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8096EE1">
      <w:pPr>
        <w:jc w:val="center"/>
        <w:rPr>
          <w:rFonts w:ascii="方正小标宋简体" w:eastAsia="方正小标宋简体" w:cs="仿宋_GB2312"/>
          <w:bCs/>
          <w:color w:val="000000" w:themeColor="text1"/>
          <w:sz w:val="44"/>
          <w:szCs w:val="44"/>
          <w14:textFill>
            <w14:solidFill>
              <w14:schemeClr w14:val="tx1"/>
            </w14:solidFill>
          </w14:textFill>
        </w:rPr>
      </w:pPr>
      <w:r>
        <w:rPr>
          <w:rFonts w:hint="eastAsia" w:ascii="方正小标宋简体" w:eastAsia="方正小标宋简体" w:cs="仿宋_GB2312"/>
          <w:bCs/>
          <w:color w:val="000000" w:themeColor="text1"/>
          <w:sz w:val="44"/>
          <w:szCs w:val="44"/>
          <w14:textFill>
            <w14:solidFill>
              <w14:schemeClr w14:val="tx1"/>
            </w14:solidFill>
          </w14:textFill>
        </w:rPr>
        <w:t>团体标准《内热式针灸疗法技术操作规范》</w:t>
      </w:r>
    </w:p>
    <w:p w14:paraId="2A9046EB">
      <w:pPr>
        <w:jc w:val="center"/>
        <w:rPr>
          <w:rFonts w:ascii="方正小标宋简体" w:eastAsia="方正小标宋简体" w:cs="仿宋_GB2312"/>
          <w:bCs/>
          <w:color w:val="000000" w:themeColor="text1"/>
          <w:sz w:val="44"/>
          <w:szCs w:val="44"/>
          <w14:textFill>
            <w14:solidFill>
              <w14:schemeClr w14:val="tx1"/>
            </w14:solidFill>
          </w14:textFill>
        </w:rPr>
      </w:pPr>
      <w:r>
        <w:rPr>
          <w:rFonts w:hint="eastAsia" w:ascii="方正小标宋简体" w:eastAsia="方正小标宋简体" w:cs="仿宋_GB2312"/>
          <w:bCs/>
          <w:color w:val="000000" w:themeColor="text1"/>
          <w:sz w:val="44"/>
          <w:szCs w:val="44"/>
          <w14:textFill>
            <w14:solidFill>
              <w14:schemeClr w14:val="tx1"/>
            </w14:solidFill>
          </w14:textFill>
        </w:rPr>
        <w:t>（征求意见稿）编制说明</w:t>
      </w:r>
    </w:p>
    <w:p w14:paraId="3A29058A">
      <w:pPr>
        <w:ind w:firstLine="378"/>
        <w:jc w:val="center"/>
        <w:rPr>
          <w:rFonts w:ascii="方正小标宋简体" w:eastAsia="方正小标宋简体" w:cs="仿宋_GB2312"/>
          <w:bCs/>
          <w:color w:val="000000" w:themeColor="text1"/>
          <w:sz w:val="18"/>
          <w:szCs w:val="18"/>
          <w14:textFill>
            <w14:solidFill>
              <w14:schemeClr w14:val="tx1"/>
            </w14:solidFill>
          </w14:textFill>
        </w:rPr>
      </w:pPr>
    </w:p>
    <w:p w14:paraId="26110FBE">
      <w:pPr>
        <w:pStyle w:val="16"/>
        <w:ind w:firstLine="640" w:firstLineChars="200"/>
        <w:jc w:val="left"/>
        <w:rPr>
          <w:rFonts w:hint="eastAsia" w:ascii="黑体" w:hAnsi="黑体" w:eastAsia="黑体"/>
          <w:b w:val="0"/>
          <w:color w:val="000000" w:themeColor="text1"/>
          <w14:textFill>
            <w14:solidFill>
              <w14:schemeClr w14:val="tx1"/>
            </w14:solidFill>
          </w14:textFill>
        </w:rPr>
      </w:pPr>
      <w:r>
        <w:rPr>
          <w:rFonts w:hint="eastAsia" w:ascii="黑体" w:hAnsi="黑体" w:eastAsia="黑体"/>
          <w:b w:val="0"/>
          <w:color w:val="000000" w:themeColor="text1"/>
          <w14:textFill>
            <w14:solidFill>
              <w14:schemeClr w14:val="tx1"/>
            </w14:solidFill>
          </w14:textFill>
        </w:rPr>
        <w:t>一、任务来源、起草单位、</w:t>
      </w:r>
      <w:r>
        <w:rPr>
          <w:rFonts w:ascii="黑体" w:hAnsi="黑体" w:eastAsia="黑体"/>
          <w:b w:val="0"/>
          <w:color w:val="000000" w:themeColor="text1"/>
          <w14:textFill>
            <w14:solidFill>
              <w14:schemeClr w14:val="tx1"/>
            </w14:solidFill>
          </w14:textFill>
        </w:rPr>
        <w:t>主要起草人</w:t>
      </w:r>
    </w:p>
    <w:p w14:paraId="77B536CE">
      <w:pPr>
        <w:spacing w:after="120" w:afterLines="50" w:line="520" w:lineRule="exact"/>
        <w:ind w:firstLine="640" w:firstLineChars="200"/>
        <w:rPr>
          <w:rFonts w:ascii="仿宋_GB2312" w:eastAsia="仿宋_GB2312"/>
          <w:color w:val="000000" w:themeColor="text1"/>
          <w:sz w:val="32"/>
          <w:szCs w:val="32"/>
          <w14:textFill>
            <w14:solidFill>
              <w14:schemeClr w14:val="tx1"/>
            </w14:solidFill>
          </w14:textFill>
        </w:rPr>
      </w:pPr>
      <w:r>
        <w:rPr>
          <w:rFonts w:hint="eastAsia" w:ascii="仿宋_GB2312" w:eastAsia="仿宋_GB2312"/>
          <w:color w:val="000000" w:themeColor="text1"/>
          <w:sz w:val="32"/>
          <w:szCs w:val="32"/>
          <w14:textFill>
            <w14:solidFill>
              <w14:schemeClr w14:val="tx1"/>
            </w14:solidFill>
          </w14:textFill>
        </w:rPr>
        <w:t>根据《广西标准化协会关于下达2025年第四十二批团体标准制修订项目计划的通知》（桂标协〔2025〕384号）文件精神，由广西中医药大学第一附属医院提出，广西中医药大学第一附属医院、防城港市中医医院、广西壮族自治区民族医院、马山县中医医院、广西国际壮医医院、湛江市第一中医医院、山西中医药大学附属医院、贵州中医药大学第一附属医院、辽宁中医药大学附属医院等单位共同起草的团体标准《内热式针灸疗法技术操作规范》（项目编号：2025-4202）已获批立项。</w:t>
      </w:r>
    </w:p>
    <w:p w14:paraId="6B7B42D3">
      <w:pPr>
        <w:spacing w:after="120" w:afterLines="50" w:line="520" w:lineRule="exact"/>
        <w:ind w:firstLine="640" w:firstLineChars="200"/>
        <w:rPr>
          <w:rFonts w:ascii="仿宋_GB2312" w:eastAsia="仿宋_GB2312"/>
          <w:color w:val="000000" w:themeColor="text1"/>
          <w:sz w:val="32"/>
          <w:szCs w:val="32"/>
          <w14:textFill>
            <w14:solidFill>
              <w14:schemeClr w14:val="tx1"/>
            </w14:solidFill>
          </w14:textFill>
        </w:rPr>
      </w:pPr>
      <w:r>
        <w:rPr>
          <w:rFonts w:hint="eastAsia" w:ascii="仿宋_GB2312" w:eastAsia="仿宋_GB2312"/>
          <w:color w:val="000000" w:themeColor="text1"/>
          <w:sz w:val="32"/>
          <w:szCs w:val="32"/>
          <w14:textFill>
            <w14:solidFill>
              <w14:schemeClr w14:val="tx1"/>
            </w14:solidFill>
          </w14:textFill>
        </w:rPr>
        <w:t>为高质量编制团体标准《内热式针灸疗法技术操作规范》，由起草单位成立标准编制工作组并进行如下分工：</w:t>
      </w:r>
    </w:p>
    <w:tbl>
      <w:tblPr>
        <w:tblStyle w:val="18"/>
        <w:tblW w:w="5081"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23"/>
        <w:gridCol w:w="1660"/>
        <w:gridCol w:w="1578"/>
        <w:gridCol w:w="2169"/>
        <w:gridCol w:w="2793"/>
      </w:tblGrid>
      <w:tr w14:paraId="4C0C59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0" w:hRule="atLeast"/>
          <w:tblHeader/>
          <w:jc w:val="center"/>
        </w:trPr>
        <w:tc>
          <w:tcPr>
            <w:tcW w:w="602" w:type="pct"/>
            <w:vAlign w:val="center"/>
          </w:tcPr>
          <w:p w14:paraId="2F8D77C6">
            <w:pPr>
              <w:jc w:val="center"/>
              <w:rPr>
                <w:rFonts w:ascii="仿宋_GB2312" w:hAnsi="Times New Roman" w:eastAsia="仿宋_GB2312"/>
                <w:b/>
                <w:color w:val="000000"/>
                <w:sz w:val="24"/>
              </w:rPr>
            </w:pPr>
            <w:r>
              <w:rPr>
                <w:rFonts w:hint="eastAsia" w:ascii="仿宋_GB2312" w:hAnsi="Times New Roman" w:eastAsia="仿宋_GB2312"/>
                <w:b/>
                <w:color w:val="000000"/>
                <w:sz w:val="24"/>
              </w:rPr>
              <w:t>姓名</w:t>
            </w:r>
          </w:p>
        </w:tc>
        <w:tc>
          <w:tcPr>
            <w:tcW w:w="890" w:type="pct"/>
            <w:vAlign w:val="center"/>
          </w:tcPr>
          <w:p w14:paraId="28CB6846">
            <w:pPr>
              <w:jc w:val="center"/>
              <w:rPr>
                <w:rFonts w:ascii="仿宋_GB2312" w:hAnsi="Times New Roman" w:eastAsia="仿宋_GB2312"/>
                <w:b/>
                <w:color w:val="000000"/>
                <w:sz w:val="24"/>
              </w:rPr>
            </w:pPr>
            <w:r>
              <w:rPr>
                <w:rFonts w:hint="eastAsia" w:ascii="仿宋_GB2312" w:hAnsi="Times New Roman" w:eastAsia="仿宋_GB2312"/>
                <w:b/>
                <w:color w:val="000000"/>
                <w:sz w:val="24"/>
              </w:rPr>
              <w:t>职务/职称</w:t>
            </w:r>
          </w:p>
        </w:tc>
        <w:tc>
          <w:tcPr>
            <w:tcW w:w="846" w:type="pct"/>
            <w:vAlign w:val="center"/>
          </w:tcPr>
          <w:p w14:paraId="1B323A05">
            <w:pPr>
              <w:jc w:val="center"/>
              <w:rPr>
                <w:rFonts w:ascii="仿宋_GB2312" w:hAnsi="Times New Roman" w:eastAsia="仿宋_GB2312"/>
                <w:b/>
                <w:color w:val="000000"/>
                <w:sz w:val="24"/>
              </w:rPr>
            </w:pPr>
            <w:r>
              <w:rPr>
                <w:rFonts w:hint="eastAsia" w:ascii="仿宋_GB2312" w:hAnsi="Times New Roman" w:eastAsia="仿宋_GB2312"/>
                <w:b/>
                <w:color w:val="000000"/>
                <w:sz w:val="24"/>
              </w:rPr>
              <w:t>从事专业</w:t>
            </w:r>
          </w:p>
        </w:tc>
        <w:tc>
          <w:tcPr>
            <w:tcW w:w="1163" w:type="pct"/>
            <w:vAlign w:val="center"/>
          </w:tcPr>
          <w:p w14:paraId="51DF9C53">
            <w:pPr>
              <w:jc w:val="center"/>
              <w:rPr>
                <w:rFonts w:ascii="仿宋_GB2312" w:hAnsi="Times New Roman" w:eastAsia="仿宋_GB2312"/>
                <w:b/>
                <w:color w:val="000000"/>
                <w:sz w:val="24"/>
              </w:rPr>
            </w:pPr>
            <w:r>
              <w:rPr>
                <w:rFonts w:hint="eastAsia" w:ascii="仿宋_GB2312" w:hAnsi="Times New Roman" w:eastAsia="仿宋_GB2312"/>
                <w:b/>
                <w:color w:val="000000"/>
                <w:sz w:val="24"/>
              </w:rPr>
              <w:t>工作单位</w:t>
            </w:r>
          </w:p>
        </w:tc>
        <w:tc>
          <w:tcPr>
            <w:tcW w:w="1497" w:type="pct"/>
            <w:vAlign w:val="center"/>
          </w:tcPr>
          <w:p w14:paraId="148E2386">
            <w:pPr>
              <w:jc w:val="center"/>
              <w:rPr>
                <w:rFonts w:ascii="仿宋_GB2312" w:hAnsi="Times New Roman" w:eastAsia="仿宋_GB2312"/>
                <w:b/>
                <w:color w:val="000000"/>
                <w:sz w:val="24"/>
              </w:rPr>
            </w:pPr>
            <w:r>
              <w:rPr>
                <w:rFonts w:hint="eastAsia" w:ascii="仿宋_GB2312" w:hAnsi="Times New Roman" w:eastAsia="仿宋_GB2312"/>
                <w:b/>
                <w:color w:val="000000"/>
                <w:sz w:val="24"/>
              </w:rPr>
              <w:t>责任分工</w:t>
            </w:r>
          </w:p>
        </w:tc>
      </w:tr>
      <w:tr w14:paraId="5DC897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atLeast"/>
          <w:jc w:val="center"/>
        </w:trPr>
        <w:tc>
          <w:tcPr>
            <w:tcW w:w="602" w:type="pct"/>
            <w:vAlign w:val="center"/>
          </w:tcPr>
          <w:p w14:paraId="66D782A2">
            <w:pPr>
              <w:jc w:val="center"/>
              <w:textAlignment w:val="baseline"/>
              <w:rPr>
                <w:rFonts w:hint="eastAsia" w:ascii="仿宋_GB2312" w:hAnsi="仿宋" w:eastAsia="仿宋_GB2312"/>
                <w:color w:val="000000"/>
                <w:sz w:val="24"/>
                <w:szCs w:val="32"/>
              </w:rPr>
            </w:pPr>
            <w:r>
              <w:rPr>
                <w:rFonts w:hint="eastAsia" w:ascii="仿宋_GB2312" w:hAnsi="仿宋" w:eastAsia="仿宋_GB2312"/>
                <w:color w:val="000000"/>
                <w:sz w:val="24"/>
                <w:szCs w:val="32"/>
              </w:rPr>
              <w:t>王开龙</w:t>
            </w:r>
          </w:p>
        </w:tc>
        <w:tc>
          <w:tcPr>
            <w:tcW w:w="890" w:type="pct"/>
            <w:vAlign w:val="center"/>
          </w:tcPr>
          <w:p w14:paraId="795BE40C">
            <w:pPr>
              <w:jc w:val="center"/>
              <w:textAlignment w:val="baseline"/>
              <w:rPr>
                <w:rFonts w:hint="eastAsia" w:ascii="仿宋_GB2312" w:hAnsi="仿宋" w:eastAsia="仿宋_GB2312"/>
                <w:color w:val="000000"/>
                <w:sz w:val="24"/>
                <w:szCs w:val="32"/>
              </w:rPr>
            </w:pPr>
            <w:r>
              <w:rPr>
                <w:rFonts w:hint="eastAsia" w:ascii="仿宋_GB2312" w:hAnsi="仿宋" w:eastAsia="仿宋_GB2312"/>
                <w:color w:val="000000"/>
                <w:sz w:val="24"/>
                <w:szCs w:val="32"/>
              </w:rPr>
              <w:t>主任医师</w:t>
            </w:r>
          </w:p>
        </w:tc>
        <w:tc>
          <w:tcPr>
            <w:tcW w:w="846" w:type="pct"/>
            <w:vAlign w:val="center"/>
          </w:tcPr>
          <w:p w14:paraId="48B29BEC">
            <w:pPr>
              <w:jc w:val="center"/>
              <w:textAlignment w:val="baseline"/>
              <w:rPr>
                <w:rFonts w:hint="eastAsia" w:ascii="仿宋_GB2312" w:hAnsi="仿宋" w:eastAsia="仿宋_GB2312"/>
                <w:color w:val="000000"/>
                <w:sz w:val="24"/>
                <w:szCs w:val="32"/>
              </w:rPr>
            </w:pPr>
            <w:r>
              <w:rPr>
                <w:rFonts w:hint="eastAsia" w:ascii="仿宋_GB2312" w:hAnsi="仿宋" w:eastAsia="仿宋_GB2312"/>
                <w:color w:val="000000"/>
                <w:sz w:val="24"/>
                <w:szCs w:val="32"/>
              </w:rPr>
              <w:t>针灸推拿学</w:t>
            </w:r>
          </w:p>
        </w:tc>
        <w:tc>
          <w:tcPr>
            <w:tcW w:w="1163" w:type="pct"/>
            <w:vAlign w:val="center"/>
          </w:tcPr>
          <w:p w14:paraId="5FCAD990">
            <w:pPr>
              <w:jc w:val="center"/>
              <w:textAlignment w:val="baseline"/>
              <w:rPr>
                <w:rFonts w:hint="eastAsia" w:ascii="仿宋_GB2312" w:hAnsi="仿宋" w:eastAsia="仿宋_GB2312"/>
                <w:color w:val="000000"/>
                <w:sz w:val="24"/>
                <w:szCs w:val="32"/>
              </w:rPr>
            </w:pPr>
            <w:r>
              <w:rPr>
                <w:rFonts w:hint="eastAsia" w:ascii="仿宋_GB2312" w:hAnsi="仿宋" w:eastAsia="仿宋_GB2312"/>
                <w:color w:val="000000"/>
                <w:sz w:val="24"/>
                <w:szCs w:val="32"/>
              </w:rPr>
              <w:t>广西中医药大学第一附属医院</w:t>
            </w:r>
          </w:p>
        </w:tc>
        <w:tc>
          <w:tcPr>
            <w:tcW w:w="1497" w:type="pct"/>
            <w:vAlign w:val="center"/>
          </w:tcPr>
          <w:p w14:paraId="4B7168D5">
            <w:pPr>
              <w:suppressAutoHyphens/>
              <w:rPr>
                <w:rFonts w:hint="eastAsia" w:ascii="仿宋_GB2312" w:hAnsi="仿宋_GB2312" w:eastAsia="仿宋_GB2312" w:cs="仿宋_GB2312"/>
                <w:bCs/>
                <w:color w:val="000000"/>
                <w:sz w:val="24"/>
              </w:rPr>
            </w:pPr>
            <w:r>
              <w:rPr>
                <w:rFonts w:hint="eastAsia" w:ascii="仿宋_GB2312" w:hAnsi="仿宋_GB2312" w:eastAsia="仿宋_GB2312" w:cs="仿宋_GB2312"/>
                <w:bCs/>
                <w:color w:val="000000"/>
                <w:sz w:val="24"/>
              </w:rPr>
              <w:t>统筹标准编制工作，组织人员进行规范发布后的宣贯培训。</w:t>
            </w:r>
          </w:p>
        </w:tc>
      </w:tr>
      <w:tr w14:paraId="3B1B01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atLeast"/>
          <w:jc w:val="center"/>
        </w:trPr>
        <w:tc>
          <w:tcPr>
            <w:tcW w:w="602" w:type="pct"/>
            <w:vAlign w:val="center"/>
          </w:tcPr>
          <w:p w14:paraId="1E63FA7F">
            <w:pPr>
              <w:jc w:val="center"/>
              <w:textAlignment w:val="baseline"/>
              <w:rPr>
                <w:rFonts w:hint="eastAsia" w:ascii="仿宋_GB2312" w:hAnsi="仿宋" w:eastAsia="仿宋_GB2312" w:cs="Times New Roman"/>
                <w:color w:val="000000"/>
                <w:sz w:val="24"/>
                <w:szCs w:val="32"/>
              </w:rPr>
            </w:pPr>
            <w:r>
              <w:rPr>
                <w:rFonts w:hint="eastAsia" w:ascii="仿宋_GB2312" w:hAnsi="仿宋" w:eastAsia="仿宋_GB2312" w:cs="Times New Roman"/>
                <w:color w:val="000000"/>
                <w:sz w:val="24"/>
                <w:szCs w:val="32"/>
              </w:rPr>
              <w:t>杨培培</w:t>
            </w:r>
          </w:p>
        </w:tc>
        <w:tc>
          <w:tcPr>
            <w:tcW w:w="890" w:type="pct"/>
            <w:vAlign w:val="center"/>
          </w:tcPr>
          <w:p w14:paraId="773738F6">
            <w:pPr>
              <w:jc w:val="center"/>
              <w:textAlignment w:val="baseline"/>
              <w:rPr>
                <w:rFonts w:hint="eastAsia" w:ascii="仿宋_GB2312" w:hAnsi="仿宋" w:eastAsia="仿宋_GB2312"/>
                <w:color w:val="000000"/>
                <w:sz w:val="24"/>
                <w:szCs w:val="32"/>
              </w:rPr>
            </w:pPr>
            <w:r>
              <w:rPr>
                <w:rFonts w:hint="eastAsia" w:ascii="仿宋_GB2312" w:hAnsi="仿宋" w:eastAsia="仿宋_GB2312"/>
                <w:color w:val="000000"/>
                <w:sz w:val="24"/>
                <w:szCs w:val="32"/>
              </w:rPr>
              <w:t>副主任医师</w:t>
            </w:r>
          </w:p>
        </w:tc>
        <w:tc>
          <w:tcPr>
            <w:tcW w:w="846" w:type="pct"/>
            <w:vAlign w:val="center"/>
          </w:tcPr>
          <w:p w14:paraId="629E85BB">
            <w:pPr>
              <w:jc w:val="center"/>
              <w:textAlignment w:val="baseline"/>
              <w:rPr>
                <w:rFonts w:hint="eastAsia" w:ascii="仿宋_GB2312" w:hAnsi="仿宋" w:eastAsia="仿宋_GB2312"/>
                <w:color w:val="000000"/>
                <w:sz w:val="24"/>
                <w:szCs w:val="32"/>
              </w:rPr>
            </w:pPr>
            <w:r>
              <w:rPr>
                <w:rFonts w:hint="eastAsia" w:ascii="仿宋_GB2312" w:hAnsi="仿宋" w:eastAsia="仿宋_GB2312"/>
                <w:color w:val="000000"/>
                <w:sz w:val="24"/>
                <w:szCs w:val="32"/>
              </w:rPr>
              <w:t>中医康复学</w:t>
            </w:r>
          </w:p>
        </w:tc>
        <w:tc>
          <w:tcPr>
            <w:tcW w:w="1163" w:type="pct"/>
            <w:vAlign w:val="center"/>
          </w:tcPr>
          <w:p w14:paraId="0EBAD8ED">
            <w:pPr>
              <w:jc w:val="center"/>
              <w:textAlignment w:val="baseline"/>
              <w:rPr>
                <w:rFonts w:hint="eastAsia" w:ascii="仿宋_GB2312" w:hAnsi="仿宋" w:eastAsia="仿宋_GB2312"/>
                <w:color w:val="000000"/>
                <w:sz w:val="24"/>
                <w:szCs w:val="32"/>
              </w:rPr>
            </w:pPr>
            <w:r>
              <w:rPr>
                <w:rFonts w:hint="eastAsia" w:ascii="仿宋_GB2312" w:hAnsi="仿宋" w:eastAsia="仿宋_GB2312"/>
                <w:color w:val="000000"/>
                <w:sz w:val="24"/>
                <w:szCs w:val="32"/>
              </w:rPr>
              <w:t>广西中医药大学第一附属医院</w:t>
            </w:r>
          </w:p>
        </w:tc>
        <w:tc>
          <w:tcPr>
            <w:tcW w:w="1497" w:type="pct"/>
            <w:vAlign w:val="center"/>
          </w:tcPr>
          <w:p w14:paraId="2D54DECE">
            <w:pPr>
              <w:suppressAutoHyphens/>
              <w:rPr>
                <w:rFonts w:hint="eastAsia" w:ascii="仿宋_GB2312" w:hAnsi="仿宋_GB2312" w:eastAsia="仿宋_GB2312" w:cs="仿宋_GB2312"/>
                <w:bCs/>
                <w:color w:val="000000"/>
                <w:sz w:val="24"/>
              </w:rPr>
            </w:pPr>
            <w:r>
              <w:rPr>
                <w:rFonts w:hint="eastAsia" w:ascii="仿宋_GB2312" w:hAnsi="仿宋_GB2312" w:eastAsia="仿宋_GB2312" w:cs="仿宋_GB2312"/>
                <w:bCs/>
                <w:color w:val="000000"/>
                <w:sz w:val="24"/>
              </w:rPr>
              <w:t>指导标准文本及编制说明编写，质量控制。</w:t>
            </w:r>
          </w:p>
        </w:tc>
      </w:tr>
      <w:tr w14:paraId="2C81AD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95" w:hRule="atLeast"/>
          <w:jc w:val="center"/>
        </w:trPr>
        <w:tc>
          <w:tcPr>
            <w:tcW w:w="602" w:type="pct"/>
            <w:vAlign w:val="center"/>
          </w:tcPr>
          <w:p w14:paraId="22FEFC77">
            <w:pPr>
              <w:jc w:val="center"/>
              <w:textAlignment w:val="baseline"/>
              <w:rPr>
                <w:rFonts w:hint="eastAsia" w:ascii="仿宋_GB2312" w:hAnsi="仿宋" w:eastAsia="仿宋_GB2312" w:cs="Times New Roman"/>
                <w:color w:val="000000"/>
                <w:sz w:val="24"/>
                <w:szCs w:val="32"/>
              </w:rPr>
            </w:pPr>
            <w:r>
              <w:rPr>
                <w:rFonts w:hint="eastAsia" w:ascii="仿宋_GB2312" w:hAnsi="仿宋" w:eastAsia="仿宋_GB2312" w:cs="Times New Roman"/>
                <w:color w:val="000000"/>
                <w:sz w:val="24"/>
                <w:szCs w:val="32"/>
              </w:rPr>
              <w:t>谭良源</w:t>
            </w:r>
          </w:p>
        </w:tc>
        <w:tc>
          <w:tcPr>
            <w:tcW w:w="890" w:type="pct"/>
            <w:vAlign w:val="center"/>
          </w:tcPr>
          <w:p w14:paraId="2F4A15CB">
            <w:pPr>
              <w:jc w:val="center"/>
              <w:textAlignment w:val="baseline"/>
              <w:rPr>
                <w:rFonts w:hint="eastAsia" w:ascii="仿宋_GB2312" w:hAnsi="仿宋" w:eastAsia="仿宋_GB2312"/>
                <w:color w:val="000000"/>
                <w:sz w:val="24"/>
                <w:szCs w:val="32"/>
              </w:rPr>
            </w:pPr>
            <w:r>
              <w:rPr>
                <w:rFonts w:hint="eastAsia" w:ascii="仿宋_GB2312" w:hAnsi="仿宋" w:eastAsia="仿宋_GB2312"/>
                <w:color w:val="000000"/>
                <w:sz w:val="24"/>
                <w:szCs w:val="32"/>
              </w:rPr>
              <w:t>医师</w:t>
            </w:r>
          </w:p>
        </w:tc>
        <w:tc>
          <w:tcPr>
            <w:tcW w:w="846" w:type="pct"/>
            <w:vAlign w:val="center"/>
          </w:tcPr>
          <w:p w14:paraId="487D1C6C">
            <w:pPr>
              <w:jc w:val="center"/>
              <w:textAlignment w:val="baseline"/>
              <w:rPr>
                <w:rFonts w:hint="eastAsia" w:ascii="仿宋_GB2312" w:hAnsi="仿宋" w:eastAsia="仿宋_GB2312"/>
                <w:color w:val="000000"/>
                <w:sz w:val="24"/>
                <w:szCs w:val="32"/>
              </w:rPr>
            </w:pPr>
            <w:r>
              <w:rPr>
                <w:rFonts w:hint="eastAsia" w:ascii="仿宋_GB2312" w:hAnsi="仿宋" w:eastAsia="仿宋_GB2312"/>
                <w:color w:val="000000"/>
                <w:sz w:val="24"/>
                <w:szCs w:val="32"/>
              </w:rPr>
              <w:t>针灸推拿学</w:t>
            </w:r>
          </w:p>
        </w:tc>
        <w:tc>
          <w:tcPr>
            <w:tcW w:w="1163" w:type="pct"/>
            <w:vAlign w:val="center"/>
          </w:tcPr>
          <w:p w14:paraId="01538FAF">
            <w:pPr>
              <w:jc w:val="center"/>
              <w:textAlignment w:val="baseline"/>
              <w:rPr>
                <w:rFonts w:hint="eastAsia" w:ascii="仿宋_GB2312" w:hAnsi="仿宋" w:eastAsia="仿宋_GB2312"/>
                <w:color w:val="000000"/>
                <w:sz w:val="24"/>
                <w:szCs w:val="32"/>
              </w:rPr>
            </w:pPr>
            <w:r>
              <w:rPr>
                <w:rFonts w:hint="eastAsia" w:ascii="仿宋_GB2312" w:hAnsi="仿宋" w:eastAsia="仿宋_GB2312"/>
                <w:color w:val="000000"/>
                <w:sz w:val="24"/>
                <w:szCs w:val="32"/>
              </w:rPr>
              <w:t>广西中医药大学第一附属医院</w:t>
            </w:r>
          </w:p>
        </w:tc>
        <w:tc>
          <w:tcPr>
            <w:tcW w:w="1497" w:type="pct"/>
            <w:vAlign w:val="center"/>
          </w:tcPr>
          <w:p w14:paraId="258FBFB5">
            <w:pPr>
              <w:suppressAutoHyphens/>
              <w:rPr>
                <w:rFonts w:hint="eastAsia" w:ascii="仿宋_GB2312" w:hAnsi="仿宋_GB2312" w:eastAsia="仿宋_GB2312" w:cs="仿宋_GB2312"/>
                <w:bCs/>
                <w:color w:val="000000"/>
                <w:sz w:val="24"/>
              </w:rPr>
            </w:pPr>
            <w:r>
              <w:rPr>
                <w:rFonts w:hint="eastAsia" w:ascii="仿宋_GB2312" w:hAnsi="仿宋_GB2312" w:eastAsia="仿宋_GB2312" w:cs="仿宋_GB2312"/>
                <w:bCs/>
                <w:color w:val="000000"/>
                <w:sz w:val="24"/>
              </w:rPr>
              <w:t>对标准实施情况进行总结分析，不断对标准提出修正意见。</w:t>
            </w:r>
          </w:p>
        </w:tc>
      </w:tr>
      <w:tr w14:paraId="7DD375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95" w:hRule="atLeast"/>
          <w:jc w:val="center"/>
        </w:trPr>
        <w:tc>
          <w:tcPr>
            <w:tcW w:w="602" w:type="pct"/>
            <w:vAlign w:val="center"/>
          </w:tcPr>
          <w:p w14:paraId="62057A9E">
            <w:pPr>
              <w:jc w:val="center"/>
              <w:textAlignment w:val="baseline"/>
              <w:rPr>
                <w:rFonts w:hint="eastAsia" w:ascii="仿宋_GB2312" w:hAnsi="仿宋" w:eastAsia="仿宋_GB2312" w:cs="Times New Roman"/>
                <w:color w:val="000000"/>
                <w:sz w:val="24"/>
                <w:szCs w:val="32"/>
              </w:rPr>
            </w:pPr>
            <w:r>
              <w:rPr>
                <w:rFonts w:hint="eastAsia" w:ascii="仿宋_GB2312" w:hAnsi="仿宋" w:eastAsia="仿宋_GB2312" w:cs="Times New Roman"/>
                <w:color w:val="000000"/>
                <w:sz w:val="24"/>
                <w:szCs w:val="32"/>
              </w:rPr>
              <w:t>唐宏亮</w:t>
            </w:r>
          </w:p>
        </w:tc>
        <w:tc>
          <w:tcPr>
            <w:tcW w:w="890" w:type="pct"/>
            <w:vAlign w:val="center"/>
          </w:tcPr>
          <w:p w14:paraId="5035E28A">
            <w:pPr>
              <w:jc w:val="center"/>
              <w:textAlignment w:val="baseline"/>
              <w:rPr>
                <w:rFonts w:hint="eastAsia" w:ascii="仿宋_GB2312" w:hAnsi="仿宋_GB2312" w:eastAsia="仿宋_GB2312" w:cs="仿宋_GB2312"/>
                <w:color w:val="000000"/>
                <w:szCs w:val="21"/>
              </w:rPr>
            </w:pPr>
            <w:r>
              <w:rPr>
                <w:rFonts w:hint="eastAsia" w:ascii="仿宋_GB2312" w:hAnsi="仿宋" w:eastAsia="仿宋_GB2312"/>
                <w:color w:val="000000"/>
                <w:sz w:val="24"/>
                <w:szCs w:val="32"/>
              </w:rPr>
              <w:t>主任医师</w:t>
            </w:r>
          </w:p>
        </w:tc>
        <w:tc>
          <w:tcPr>
            <w:tcW w:w="846" w:type="pct"/>
            <w:vAlign w:val="center"/>
          </w:tcPr>
          <w:p w14:paraId="29C4042F">
            <w:pPr>
              <w:jc w:val="center"/>
              <w:textAlignment w:val="baseline"/>
              <w:rPr>
                <w:rFonts w:hint="eastAsia" w:ascii="仿宋_GB2312" w:hAnsi="仿宋_GB2312" w:eastAsia="仿宋_GB2312" w:cs="仿宋_GB2312"/>
                <w:color w:val="000000"/>
                <w:szCs w:val="21"/>
              </w:rPr>
            </w:pPr>
            <w:r>
              <w:rPr>
                <w:rFonts w:hint="eastAsia" w:ascii="仿宋_GB2312" w:hAnsi="仿宋" w:eastAsia="仿宋_GB2312"/>
                <w:color w:val="000000"/>
                <w:sz w:val="24"/>
                <w:szCs w:val="32"/>
              </w:rPr>
              <w:t>针灸推拿学</w:t>
            </w:r>
          </w:p>
        </w:tc>
        <w:tc>
          <w:tcPr>
            <w:tcW w:w="1163" w:type="pct"/>
            <w:vAlign w:val="center"/>
          </w:tcPr>
          <w:p w14:paraId="55E92BF5">
            <w:pPr>
              <w:jc w:val="center"/>
              <w:textAlignment w:val="baseline"/>
              <w:rPr>
                <w:rFonts w:hint="eastAsia" w:ascii="仿宋_GB2312" w:hAnsi="仿宋_GB2312" w:eastAsia="仿宋_GB2312" w:cs="仿宋_GB2312"/>
                <w:color w:val="000000"/>
                <w:szCs w:val="21"/>
              </w:rPr>
            </w:pPr>
            <w:r>
              <w:rPr>
                <w:rFonts w:hint="eastAsia" w:ascii="仿宋_GB2312" w:hAnsi="仿宋" w:eastAsia="仿宋_GB2312" w:cs="Times New Roman"/>
                <w:color w:val="000000"/>
                <w:sz w:val="24"/>
                <w:szCs w:val="32"/>
              </w:rPr>
              <w:t>防城港市中医医院</w:t>
            </w:r>
          </w:p>
        </w:tc>
        <w:tc>
          <w:tcPr>
            <w:tcW w:w="1497" w:type="pct"/>
            <w:vAlign w:val="center"/>
          </w:tcPr>
          <w:p w14:paraId="19BAB031">
            <w:pPr>
              <w:suppressAutoHyphens/>
              <w:rPr>
                <w:rFonts w:hint="eastAsia" w:ascii="仿宋_GB2312" w:hAnsi="仿宋_GB2312" w:eastAsia="仿宋_GB2312" w:cs="仿宋_GB2312"/>
                <w:bCs/>
                <w:color w:val="000000"/>
                <w:sz w:val="24"/>
              </w:rPr>
            </w:pPr>
            <w:r>
              <w:rPr>
                <w:rFonts w:hint="eastAsia" w:ascii="仿宋_GB2312" w:hAnsi="仿宋_GB2312" w:eastAsia="仿宋_GB2312" w:cs="仿宋_GB2312"/>
                <w:bCs/>
                <w:color w:val="000000"/>
                <w:sz w:val="24"/>
              </w:rPr>
              <w:t>负责起草标准草案，征求意见稿和标准编制说明，送审稿及编制说明的编写工作。</w:t>
            </w:r>
          </w:p>
        </w:tc>
      </w:tr>
      <w:tr w14:paraId="0E3364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95" w:hRule="atLeast"/>
          <w:jc w:val="center"/>
        </w:trPr>
        <w:tc>
          <w:tcPr>
            <w:tcW w:w="602" w:type="pct"/>
            <w:vAlign w:val="center"/>
          </w:tcPr>
          <w:p w14:paraId="0F7470ED">
            <w:pPr>
              <w:jc w:val="center"/>
              <w:textAlignment w:val="baseline"/>
              <w:rPr>
                <w:rFonts w:hint="eastAsia" w:ascii="仿宋_GB2312" w:hAnsi="仿宋" w:eastAsia="仿宋_GB2312" w:cs="Times New Roman"/>
                <w:color w:val="000000"/>
                <w:sz w:val="24"/>
                <w:szCs w:val="32"/>
              </w:rPr>
            </w:pPr>
            <w:r>
              <w:rPr>
                <w:rFonts w:hint="eastAsia" w:ascii="仿宋_GB2312" w:hAnsi="仿宋" w:eastAsia="仿宋_GB2312" w:cs="Times New Roman"/>
                <w:color w:val="000000"/>
                <w:sz w:val="24"/>
                <w:szCs w:val="32"/>
              </w:rPr>
              <w:t>李建敏</w:t>
            </w:r>
          </w:p>
        </w:tc>
        <w:tc>
          <w:tcPr>
            <w:tcW w:w="890" w:type="pct"/>
            <w:vAlign w:val="center"/>
          </w:tcPr>
          <w:p w14:paraId="18FDBC3F">
            <w:pPr>
              <w:jc w:val="center"/>
              <w:textAlignment w:val="baseline"/>
              <w:rPr>
                <w:rFonts w:hint="eastAsia" w:ascii="仿宋_GB2312" w:hAnsi="仿宋" w:eastAsia="仿宋_GB2312" w:cs="Times New Roman"/>
                <w:color w:val="000000"/>
                <w:sz w:val="24"/>
                <w:szCs w:val="32"/>
              </w:rPr>
            </w:pPr>
            <w:r>
              <w:rPr>
                <w:rFonts w:hint="eastAsia" w:ascii="仿宋_GB2312" w:hAnsi="仿宋" w:eastAsia="仿宋_GB2312" w:cs="Times New Roman"/>
                <w:color w:val="000000"/>
                <w:sz w:val="24"/>
                <w:szCs w:val="32"/>
              </w:rPr>
              <w:t>副主任医师</w:t>
            </w:r>
          </w:p>
        </w:tc>
        <w:tc>
          <w:tcPr>
            <w:tcW w:w="846" w:type="pct"/>
            <w:vAlign w:val="center"/>
          </w:tcPr>
          <w:p w14:paraId="324B7D07">
            <w:pPr>
              <w:jc w:val="center"/>
              <w:textAlignment w:val="baseline"/>
              <w:rPr>
                <w:rFonts w:hint="eastAsia" w:ascii="仿宋_GB2312" w:hAnsi="仿宋_GB2312" w:eastAsia="仿宋_GB2312" w:cs="仿宋_GB2312"/>
                <w:color w:val="000000"/>
                <w:szCs w:val="21"/>
              </w:rPr>
            </w:pPr>
            <w:r>
              <w:rPr>
                <w:rFonts w:hint="eastAsia" w:ascii="仿宋_GB2312" w:hAnsi="仿宋" w:eastAsia="仿宋_GB2312"/>
                <w:color w:val="000000"/>
                <w:sz w:val="24"/>
                <w:szCs w:val="32"/>
              </w:rPr>
              <w:t>针灸推拿学</w:t>
            </w:r>
          </w:p>
        </w:tc>
        <w:tc>
          <w:tcPr>
            <w:tcW w:w="1163" w:type="pct"/>
            <w:vAlign w:val="center"/>
          </w:tcPr>
          <w:p w14:paraId="280FB829">
            <w:pPr>
              <w:jc w:val="center"/>
              <w:textAlignment w:val="baseline"/>
              <w:rPr>
                <w:rFonts w:hint="eastAsia" w:ascii="仿宋_GB2312" w:hAnsi="仿宋_GB2312" w:eastAsia="仿宋_GB2312" w:cs="仿宋_GB2312"/>
                <w:color w:val="000000"/>
                <w:szCs w:val="21"/>
              </w:rPr>
            </w:pPr>
            <w:r>
              <w:rPr>
                <w:rFonts w:hint="eastAsia" w:ascii="仿宋_GB2312" w:hAnsi="仿宋" w:eastAsia="仿宋_GB2312" w:cs="Times New Roman"/>
                <w:color w:val="000000"/>
                <w:sz w:val="24"/>
                <w:szCs w:val="32"/>
              </w:rPr>
              <w:t>广西壮族自治区民族医院</w:t>
            </w:r>
          </w:p>
        </w:tc>
        <w:tc>
          <w:tcPr>
            <w:tcW w:w="1497" w:type="pct"/>
            <w:vAlign w:val="center"/>
          </w:tcPr>
          <w:p w14:paraId="00FCB9F3">
            <w:pPr>
              <w:suppressAutoHyphens/>
              <w:rPr>
                <w:rFonts w:hint="eastAsia" w:ascii="仿宋_GB2312" w:hAnsi="仿宋_GB2312" w:eastAsia="仿宋_GB2312" w:cs="仿宋_GB2312"/>
                <w:bCs/>
                <w:color w:val="000000"/>
                <w:sz w:val="24"/>
              </w:rPr>
            </w:pPr>
            <w:r>
              <w:rPr>
                <w:rFonts w:hint="eastAsia" w:ascii="仿宋_GB2312" w:hAnsi="Times New Roman" w:eastAsia="仿宋_GB2312"/>
                <w:bCs/>
                <w:color w:val="000000"/>
                <w:sz w:val="24"/>
              </w:rPr>
              <w:t>负责起草标准草案，征求意见稿和标准编制说明，送审稿及编制说明的编写工作。</w:t>
            </w:r>
          </w:p>
        </w:tc>
      </w:tr>
      <w:tr w14:paraId="1C6414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95" w:hRule="atLeast"/>
          <w:jc w:val="center"/>
        </w:trPr>
        <w:tc>
          <w:tcPr>
            <w:tcW w:w="602" w:type="pct"/>
            <w:vAlign w:val="center"/>
          </w:tcPr>
          <w:p w14:paraId="409EDE6F">
            <w:pPr>
              <w:jc w:val="center"/>
              <w:textAlignment w:val="baseline"/>
              <w:rPr>
                <w:rFonts w:hint="eastAsia" w:ascii="仿宋_GB2312" w:hAnsi="仿宋" w:eastAsia="仿宋_GB2312" w:cs="Times New Roman"/>
                <w:color w:val="000000"/>
                <w:sz w:val="24"/>
                <w:szCs w:val="32"/>
              </w:rPr>
            </w:pPr>
            <w:r>
              <w:rPr>
                <w:rFonts w:hint="eastAsia" w:ascii="仿宋_GB2312" w:hAnsi="仿宋" w:eastAsia="仿宋_GB2312" w:cs="Times New Roman"/>
                <w:color w:val="000000"/>
                <w:sz w:val="24"/>
                <w:szCs w:val="32"/>
              </w:rPr>
              <w:t>潘旭斌</w:t>
            </w:r>
          </w:p>
        </w:tc>
        <w:tc>
          <w:tcPr>
            <w:tcW w:w="890" w:type="pct"/>
            <w:vAlign w:val="center"/>
          </w:tcPr>
          <w:p w14:paraId="20A8D76A">
            <w:pPr>
              <w:jc w:val="center"/>
              <w:textAlignment w:val="baseline"/>
              <w:rPr>
                <w:rFonts w:hint="eastAsia" w:ascii="仿宋_GB2312" w:hAnsi="仿宋" w:eastAsia="仿宋_GB2312" w:cs="Times New Roman"/>
                <w:color w:val="000000"/>
                <w:sz w:val="24"/>
                <w:szCs w:val="32"/>
              </w:rPr>
            </w:pPr>
            <w:r>
              <w:rPr>
                <w:rFonts w:hint="eastAsia" w:ascii="仿宋_GB2312" w:hAnsi="仿宋" w:eastAsia="仿宋_GB2312" w:cs="Times New Roman"/>
                <w:color w:val="000000"/>
                <w:sz w:val="24"/>
                <w:szCs w:val="32"/>
              </w:rPr>
              <w:t>副主任医师</w:t>
            </w:r>
          </w:p>
        </w:tc>
        <w:tc>
          <w:tcPr>
            <w:tcW w:w="846" w:type="pct"/>
            <w:vAlign w:val="center"/>
          </w:tcPr>
          <w:p w14:paraId="132A6E6F">
            <w:pPr>
              <w:jc w:val="center"/>
              <w:textAlignment w:val="baseline"/>
              <w:rPr>
                <w:rFonts w:hint="eastAsia" w:ascii="仿宋_GB2312" w:hAnsi="仿宋_GB2312" w:eastAsia="仿宋_GB2312" w:cs="仿宋_GB2312"/>
                <w:color w:val="000000"/>
                <w:szCs w:val="21"/>
              </w:rPr>
            </w:pPr>
            <w:r>
              <w:rPr>
                <w:rFonts w:hint="eastAsia" w:ascii="仿宋_GB2312" w:hAnsi="仿宋" w:eastAsia="仿宋_GB2312"/>
                <w:color w:val="000000"/>
                <w:sz w:val="24"/>
                <w:szCs w:val="32"/>
              </w:rPr>
              <w:t>针灸推拿学</w:t>
            </w:r>
          </w:p>
        </w:tc>
        <w:tc>
          <w:tcPr>
            <w:tcW w:w="1163" w:type="pct"/>
            <w:vAlign w:val="center"/>
          </w:tcPr>
          <w:p w14:paraId="008052BC">
            <w:pPr>
              <w:jc w:val="center"/>
              <w:textAlignment w:val="baseline"/>
              <w:rPr>
                <w:rFonts w:hint="eastAsia" w:ascii="仿宋_GB2312" w:hAnsi="仿宋" w:eastAsia="仿宋_GB2312" w:cs="Times New Roman"/>
                <w:color w:val="000000"/>
                <w:sz w:val="24"/>
                <w:szCs w:val="32"/>
              </w:rPr>
            </w:pPr>
            <w:r>
              <w:rPr>
                <w:rFonts w:hint="eastAsia" w:ascii="仿宋_GB2312" w:hAnsi="仿宋" w:eastAsia="仿宋_GB2312" w:cs="Times New Roman"/>
                <w:color w:val="000000"/>
                <w:sz w:val="24"/>
                <w:szCs w:val="32"/>
              </w:rPr>
              <w:t>马山县中医医院</w:t>
            </w:r>
          </w:p>
        </w:tc>
        <w:tc>
          <w:tcPr>
            <w:tcW w:w="1497" w:type="pct"/>
            <w:vAlign w:val="center"/>
          </w:tcPr>
          <w:p w14:paraId="6CB2E1B3">
            <w:pPr>
              <w:suppressAutoHyphens/>
              <w:rPr>
                <w:rFonts w:hint="eastAsia" w:ascii="仿宋_GB2312" w:hAnsi="仿宋_GB2312" w:eastAsia="仿宋_GB2312" w:cs="仿宋_GB2312"/>
                <w:bCs/>
                <w:color w:val="000000"/>
                <w:sz w:val="24"/>
              </w:rPr>
            </w:pPr>
            <w:r>
              <w:rPr>
                <w:rFonts w:hint="eastAsia" w:ascii="仿宋_GB2312" w:hAnsi="Times New Roman" w:eastAsia="仿宋_GB2312"/>
                <w:bCs/>
                <w:color w:val="000000"/>
                <w:sz w:val="24"/>
              </w:rPr>
              <w:t>查询、收集和整理资料，协助标准文本及编制说明的编写、实施。</w:t>
            </w:r>
          </w:p>
        </w:tc>
      </w:tr>
      <w:tr w14:paraId="02D8EA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95" w:hRule="atLeast"/>
          <w:jc w:val="center"/>
        </w:trPr>
        <w:tc>
          <w:tcPr>
            <w:tcW w:w="602" w:type="pct"/>
            <w:vAlign w:val="center"/>
          </w:tcPr>
          <w:p w14:paraId="5CF7FB70">
            <w:pPr>
              <w:jc w:val="center"/>
              <w:textAlignment w:val="baseline"/>
              <w:rPr>
                <w:rFonts w:hint="eastAsia" w:ascii="仿宋_GB2312" w:hAnsi="仿宋" w:eastAsia="仿宋_GB2312" w:cs="Times New Roman"/>
                <w:color w:val="000000"/>
                <w:sz w:val="24"/>
                <w:szCs w:val="32"/>
              </w:rPr>
            </w:pPr>
            <w:r>
              <w:rPr>
                <w:rFonts w:hint="eastAsia" w:ascii="仿宋_GB2312" w:hAnsi="仿宋" w:eastAsia="仿宋_GB2312" w:cs="Times New Roman"/>
                <w:color w:val="000000"/>
                <w:sz w:val="24"/>
                <w:szCs w:val="32"/>
              </w:rPr>
              <w:t>廖文彦</w:t>
            </w:r>
          </w:p>
        </w:tc>
        <w:tc>
          <w:tcPr>
            <w:tcW w:w="890" w:type="pct"/>
            <w:vAlign w:val="center"/>
          </w:tcPr>
          <w:p w14:paraId="6A70FBA2">
            <w:pPr>
              <w:jc w:val="center"/>
              <w:textAlignment w:val="baseline"/>
              <w:rPr>
                <w:rFonts w:hint="eastAsia" w:ascii="仿宋_GB2312" w:hAnsi="仿宋" w:eastAsia="仿宋_GB2312" w:cs="Times New Roman"/>
                <w:color w:val="000000"/>
                <w:sz w:val="24"/>
                <w:szCs w:val="32"/>
              </w:rPr>
            </w:pPr>
            <w:r>
              <w:rPr>
                <w:rFonts w:hint="eastAsia" w:ascii="仿宋_GB2312" w:hAnsi="仿宋" w:eastAsia="仿宋_GB2312" w:cs="Times New Roman"/>
                <w:color w:val="000000"/>
                <w:sz w:val="24"/>
                <w:szCs w:val="32"/>
              </w:rPr>
              <w:t>副主任医师</w:t>
            </w:r>
          </w:p>
        </w:tc>
        <w:tc>
          <w:tcPr>
            <w:tcW w:w="846" w:type="pct"/>
            <w:vAlign w:val="center"/>
          </w:tcPr>
          <w:p w14:paraId="2EA80C37">
            <w:pPr>
              <w:jc w:val="center"/>
              <w:textAlignment w:val="baseline"/>
              <w:rPr>
                <w:rFonts w:hint="eastAsia" w:ascii="仿宋_GB2312" w:hAnsi="仿宋_GB2312" w:eastAsia="仿宋_GB2312" w:cs="仿宋_GB2312"/>
                <w:color w:val="000000"/>
                <w:szCs w:val="21"/>
              </w:rPr>
            </w:pPr>
            <w:r>
              <w:rPr>
                <w:rFonts w:hint="eastAsia" w:ascii="仿宋_GB2312" w:hAnsi="仿宋" w:eastAsia="仿宋_GB2312"/>
                <w:color w:val="000000"/>
                <w:sz w:val="24"/>
                <w:szCs w:val="32"/>
              </w:rPr>
              <w:t>针灸推拿学</w:t>
            </w:r>
          </w:p>
        </w:tc>
        <w:tc>
          <w:tcPr>
            <w:tcW w:w="1163" w:type="pct"/>
            <w:vAlign w:val="center"/>
          </w:tcPr>
          <w:p w14:paraId="0E020B49">
            <w:pPr>
              <w:jc w:val="center"/>
              <w:textAlignment w:val="baseline"/>
              <w:rPr>
                <w:rFonts w:hint="eastAsia" w:ascii="仿宋_GB2312" w:hAnsi="仿宋" w:eastAsia="仿宋_GB2312" w:cs="Times New Roman"/>
                <w:color w:val="000000"/>
                <w:sz w:val="24"/>
                <w:szCs w:val="32"/>
              </w:rPr>
            </w:pPr>
            <w:r>
              <w:rPr>
                <w:rFonts w:hint="eastAsia" w:ascii="仿宋_GB2312" w:hAnsi="仿宋" w:eastAsia="仿宋_GB2312" w:cs="Times New Roman"/>
                <w:color w:val="000000"/>
                <w:sz w:val="24"/>
                <w:szCs w:val="32"/>
              </w:rPr>
              <w:t>广西国际壮医医院</w:t>
            </w:r>
          </w:p>
        </w:tc>
        <w:tc>
          <w:tcPr>
            <w:tcW w:w="1497" w:type="pct"/>
            <w:vAlign w:val="center"/>
          </w:tcPr>
          <w:p w14:paraId="4C00FB0D">
            <w:pPr>
              <w:suppressAutoHyphens/>
              <w:rPr>
                <w:rFonts w:ascii="仿宋_GB2312" w:hAnsi="Times New Roman" w:eastAsia="仿宋_GB2312"/>
                <w:bCs/>
                <w:color w:val="000000"/>
                <w:sz w:val="24"/>
              </w:rPr>
            </w:pPr>
            <w:r>
              <w:rPr>
                <w:rFonts w:hint="eastAsia" w:ascii="仿宋_GB2312" w:hAnsi="Times New Roman" w:eastAsia="仿宋_GB2312"/>
                <w:bCs/>
                <w:color w:val="000000"/>
                <w:sz w:val="24"/>
              </w:rPr>
              <w:t>查询、收集和整理资料，协助标准文本及编制说明的编写、实施。</w:t>
            </w:r>
          </w:p>
        </w:tc>
      </w:tr>
      <w:tr w14:paraId="65ADF6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95" w:hRule="atLeast"/>
          <w:jc w:val="center"/>
        </w:trPr>
        <w:tc>
          <w:tcPr>
            <w:tcW w:w="602" w:type="pct"/>
            <w:vAlign w:val="center"/>
          </w:tcPr>
          <w:p w14:paraId="6ABCB846">
            <w:pPr>
              <w:jc w:val="center"/>
              <w:textAlignment w:val="baseline"/>
              <w:rPr>
                <w:rFonts w:hint="eastAsia" w:ascii="仿宋_GB2312" w:hAnsi="仿宋" w:eastAsia="仿宋_GB2312" w:cs="Times New Roman"/>
                <w:color w:val="000000"/>
                <w:sz w:val="24"/>
                <w:szCs w:val="32"/>
              </w:rPr>
            </w:pPr>
            <w:r>
              <w:rPr>
                <w:rFonts w:hint="eastAsia" w:ascii="仿宋_GB2312" w:hAnsi="仿宋" w:eastAsia="仿宋_GB2312" w:cs="Times New Roman"/>
                <w:color w:val="000000"/>
                <w:sz w:val="24"/>
                <w:szCs w:val="32"/>
              </w:rPr>
              <w:t>雷帮林</w:t>
            </w:r>
          </w:p>
        </w:tc>
        <w:tc>
          <w:tcPr>
            <w:tcW w:w="890" w:type="pct"/>
            <w:vAlign w:val="center"/>
          </w:tcPr>
          <w:p w14:paraId="5151F723">
            <w:pPr>
              <w:jc w:val="center"/>
              <w:textAlignment w:val="baseline"/>
              <w:rPr>
                <w:rFonts w:hint="eastAsia" w:ascii="仿宋_GB2312" w:hAnsi="仿宋" w:eastAsia="仿宋_GB2312" w:cs="Times New Roman"/>
                <w:color w:val="000000"/>
                <w:sz w:val="24"/>
                <w:szCs w:val="32"/>
              </w:rPr>
            </w:pPr>
            <w:r>
              <w:rPr>
                <w:rFonts w:hint="eastAsia" w:ascii="仿宋_GB2312" w:hAnsi="仿宋" w:eastAsia="仿宋_GB2312" w:cs="Times New Roman"/>
                <w:color w:val="000000"/>
                <w:sz w:val="24"/>
                <w:szCs w:val="32"/>
              </w:rPr>
              <w:t>副主任医师</w:t>
            </w:r>
          </w:p>
        </w:tc>
        <w:tc>
          <w:tcPr>
            <w:tcW w:w="846" w:type="pct"/>
            <w:vAlign w:val="center"/>
          </w:tcPr>
          <w:p w14:paraId="11B92A7A">
            <w:pPr>
              <w:jc w:val="center"/>
              <w:textAlignment w:val="baseline"/>
              <w:rPr>
                <w:rFonts w:hint="eastAsia" w:ascii="仿宋_GB2312" w:hAnsi="仿宋_GB2312" w:eastAsia="仿宋_GB2312" w:cs="仿宋_GB2312"/>
                <w:color w:val="000000"/>
                <w:szCs w:val="21"/>
              </w:rPr>
            </w:pPr>
            <w:r>
              <w:rPr>
                <w:rFonts w:hint="eastAsia" w:ascii="仿宋_GB2312" w:hAnsi="仿宋" w:eastAsia="仿宋_GB2312"/>
                <w:color w:val="000000"/>
                <w:sz w:val="24"/>
                <w:szCs w:val="32"/>
              </w:rPr>
              <w:t>针灸推拿学</w:t>
            </w:r>
          </w:p>
        </w:tc>
        <w:tc>
          <w:tcPr>
            <w:tcW w:w="1163" w:type="pct"/>
            <w:vAlign w:val="center"/>
          </w:tcPr>
          <w:p w14:paraId="4CF29C81">
            <w:pPr>
              <w:jc w:val="center"/>
              <w:textAlignment w:val="baseline"/>
              <w:rPr>
                <w:rFonts w:hint="eastAsia" w:ascii="仿宋_GB2312" w:hAnsi="仿宋" w:eastAsia="仿宋_GB2312" w:cs="Times New Roman"/>
                <w:color w:val="000000"/>
                <w:sz w:val="24"/>
                <w:szCs w:val="32"/>
              </w:rPr>
            </w:pPr>
            <w:r>
              <w:rPr>
                <w:rFonts w:hint="eastAsia" w:ascii="仿宋_GB2312" w:hAnsi="仿宋" w:eastAsia="仿宋_GB2312" w:cs="Times New Roman"/>
                <w:color w:val="000000"/>
                <w:sz w:val="24"/>
                <w:szCs w:val="32"/>
              </w:rPr>
              <w:t>湛江市第一中医医院</w:t>
            </w:r>
          </w:p>
        </w:tc>
        <w:tc>
          <w:tcPr>
            <w:tcW w:w="1497" w:type="pct"/>
            <w:vAlign w:val="center"/>
          </w:tcPr>
          <w:p w14:paraId="171CA4F5">
            <w:pPr>
              <w:suppressAutoHyphens/>
              <w:rPr>
                <w:rFonts w:ascii="仿宋_GB2312" w:hAnsi="Times New Roman" w:eastAsia="仿宋_GB2312"/>
                <w:bCs/>
                <w:color w:val="000000"/>
                <w:sz w:val="24"/>
              </w:rPr>
            </w:pPr>
            <w:r>
              <w:rPr>
                <w:rFonts w:hint="eastAsia" w:ascii="仿宋_GB2312" w:hAnsi="Times New Roman" w:eastAsia="仿宋_GB2312"/>
                <w:bCs/>
                <w:color w:val="000000"/>
                <w:sz w:val="24"/>
              </w:rPr>
              <w:t>查询、收集和整理资料，协助标准文本及编制说明的编写、实施。</w:t>
            </w:r>
          </w:p>
        </w:tc>
      </w:tr>
      <w:tr w14:paraId="06F89C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95" w:hRule="atLeast"/>
          <w:jc w:val="center"/>
        </w:trPr>
        <w:tc>
          <w:tcPr>
            <w:tcW w:w="602" w:type="pct"/>
            <w:vAlign w:val="center"/>
          </w:tcPr>
          <w:p w14:paraId="424075CA">
            <w:pPr>
              <w:jc w:val="center"/>
              <w:textAlignment w:val="baseline"/>
              <w:rPr>
                <w:rFonts w:hint="eastAsia" w:ascii="仿宋_GB2312" w:hAnsi="仿宋" w:eastAsia="仿宋_GB2312" w:cs="Times New Roman"/>
                <w:color w:val="000000"/>
                <w:sz w:val="24"/>
                <w:szCs w:val="32"/>
              </w:rPr>
            </w:pPr>
            <w:r>
              <w:rPr>
                <w:rFonts w:hint="eastAsia" w:ascii="仿宋_GB2312" w:hAnsi="仿宋" w:eastAsia="仿宋_GB2312" w:cs="Times New Roman"/>
                <w:color w:val="000000"/>
                <w:sz w:val="24"/>
                <w:szCs w:val="32"/>
              </w:rPr>
              <w:t>芦玥</w:t>
            </w:r>
          </w:p>
        </w:tc>
        <w:tc>
          <w:tcPr>
            <w:tcW w:w="890" w:type="pct"/>
            <w:vAlign w:val="center"/>
          </w:tcPr>
          <w:p w14:paraId="3BE01699">
            <w:pPr>
              <w:jc w:val="center"/>
              <w:textAlignment w:val="baseline"/>
              <w:rPr>
                <w:rFonts w:hint="eastAsia" w:ascii="仿宋_GB2312" w:hAnsi="仿宋" w:eastAsia="仿宋_GB2312" w:cs="Times New Roman"/>
                <w:color w:val="000000"/>
                <w:sz w:val="24"/>
                <w:szCs w:val="32"/>
              </w:rPr>
            </w:pPr>
            <w:r>
              <w:rPr>
                <w:rFonts w:hint="eastAsia" w:ascii="仿宋_GB2312" w:hAnsi="仿宋" w:eastAsia="仿宋_GB2312" w:cs="Times New Roman"/>
                <w:color w:val="000000"/>
                <w:sz w:val="24"/>
                <w:szCs w:val="32"/>
              </w:rPr>
              <w:t>副主任医师</w:t>
            </w:r>
          </w:p>
        </w:tc>
        <w:tc>
          <w:tcPr>
            <w:tcW w:w="846" w:type="pct"/>
            <w:vAlign w:val="center"/>
          </w:tcPr>
          <w:p w14:paraId="20172E62">
            <w:pPr>
              <w:jc w:val="center"/>
              <w:textAlignment w:val="baseline"/>
              <w:rPr>
                <w:rFonts w:hint="eastAsia" w:ascii="仿宋_GB2312" w:hAnsi="仿宋" w:eastAsia="仿宋_GB2312" w:cs="Times New Roman"/>
                <w:color w:val="000000"/>
                <w:sz w:val="24"/>
                <w:szCs w:val="32"/>
              </w:rPr>
            </w:pPr>
            <w:r>
              <w:rPr>
                <w:rFonts w:hint="eastAsia" w:ascii="仿宋_GB2312" w:hAnsi="仿宋" w:eastAsia="仿宋_GB2312" w:cs="Times New Roman"/>
                <w:color w:val="000000"/>
                <w:sz w:val="24"/>
                <w:szCs w:val="32"/>
              </w:rPr>
              <w:t>针灸推拿学</w:t>
            </w:r>
          </w:p>
        </w:tc>
        <w:tc>
          <w:tcPr>
            <w:tcW w:w="1163" w:type="pct"/>
            <w:vAlign w:val="center"/>
          </w:tcPr>
          <w:p w14:paraId="71EAA6EB">
            <w:pPr>
              <w:jc w:val="center"/>
              <w:textAlignment w:val="baseline"/>
              <w:rPr>
                <w:rFonts w:hint="eastAsia" w:ascii="仿宋_GB2312" w:hAnsi="仿宋" w:eastAsia="仿宋_GB2312" w:cs="Times New Roman"/>
                <w:color w:val="000000"/>
                <w:sz w:val="24"/>
                <w:szCs w:val="32"/>
              </w:rPr>
            </w:pPr>
            <w:r>
              <w:rPr>
                <w:rFonts w:hint="eastAsia" w:ascii="仿宋_GB2312" w:hAnsi="仿宋" w:eastAsia="仿宋_GB2312" w:cs="Times New Roman"/>
                <w:color w:val="000000"/>
                <w:sz w:val="24"/>
                <w:szCs w:val="32"/>
              </w:rPr>
              <w:t>山西中医药大学附属医院</w:t>
            </w:r>
          </w:p>
        </w:tc>
        <w:tc>
          <w:tcPr>
            <w:tcW w:w="1497" w:type="pct"/>
          </w:tcPr>
          <w:p w14:paraId="200840C1">
            <w:pPr>
              <w:suppressAutoHyphens/>
              <w:rPr>
                <w:rFonts w:ascii="仿宋_GB2312" w:hAnsi="Times New Roman" w:eastAsia="仿宋_GB2312"/>
                <w:bCs/>
                <w:color w:val="000000"/>
                <w:sz w:val="24"/>
              </w:rPr>
            </w:pPr>
            <w:r>
              <w:rPr>
                <w:rFonts w:hint="eastAsia" w:ascii="仿宋_GB2312" w:hAnsi="Times New Roman" w:eastAsia="仿宋_GB2312"/>
                <w:bCs/>
                <w:color w:val="000000"/>
                <w:sz w:val="24"/>
              </w:rPr>
              <w:t>查询、收集和整理资料，协助标准文本及编制说明的编写、实施。</w:t>
            </w:r>
          </w:p>
        </w:tc>
      </w:tr>
      <w:tr w14:paraId="7C7E25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95" w:hRule="atLeast"/>
          <w:jc w:val="center"/>
        </w:trPr>
        <w:tc>
          <w:tcPr>
            <w:tcW w:w="602" w:type="pct"/>
            <w:vAlign w:val="center"/>
          </w:tcPr>
          <w:p w14:paraId="02F37B6D">
            <w:pPr>
              <w:jc w:val="center"/>
              <w:textAlignment w:val="baseline"/>
              <w:rPr>
                <w:rFonts w:hint="eastAsia" w:ascii="仿宋_GB2312" w:hAnsi="仿宋" w:eastAsia="仿宋_GB2312" w:cs="Times New Roman"/>
                <w:color w:val="000000"/>
                <w:sz w:val="24"/>
                <w:szCs w:val="32"/>
              </w:rPr>
            </w:pPr>
            <w:r>
              <w:rPr>
                <w:rFonts w:hint="eastAsia" w:ascii="仿宋_GB2312" w:hAnsi="仿宋" w:eastAsia="仿宋_GB2312" w:cs="Times New Roman"/>
                <w:color w:val="000000"/>
                <w:sz w:val="24"/>
                <w:szCs w:val="32"/>
              </w:rPr>
              <w:t>范宏元</w:t>
            </w:r>
          </w:p>
        </w:tc>
        <w:tc>
          <w:tcPr>
            <w:tcW w:w="890" w:type="pct"/>
            <w:vAlign w:val="center"/>
          </w:tcPr>
          <w:p w14:paraId="293C82BA">
            <w:pPr>
              <w:jc w:val="center"/>
              <w:textAlignment w:val="baseline"/>
              <w:rPr>
                <w:rFonts w:hint="eastAsia" w:ascii="仿宋_GB2312" w:hAnsi="仿宋" w:eastAsia="仿宋_GB2312" w:cs="Times New Roman"/>
                <w:color w:val="000000"/>
                <w:sz w:val="24"/>
                <w:szCs w:val="32"/>
              </w:rPr>
            </w:pPr>
            <w:r>
              <w:rPr>
                <w:rFonts w:hint="eastAsia" w:ascii="仿宋_GB2312" w:hAnsi="仿宋" w:eastAsia="仿宋_GB2312" w:cs="Times New Roman"/>
                <w:color w:val="000000"/>
                <w:sz w:val="24"/>
                <w:szCs w:val="32"/>
              </w:rPr>
              <w:t>主任医师</w:t>
            </w:r>
          </w:p>
        </w:tc>
        <w:tc>
          <w:tcPr>
            <w:tcW w:w="846" w:type="pct"/>
            <w:vAlign w:val="center"/>
          </w:tcPr>
          <w:p w14:paraId="7DE15970">
            <w:pPr>
              <w:jc w:val="center"/>
              <w:textAlignment w:val="baseline"/>
              <w:rPr>
                <w:rFonts w:hint="eastAsia" w:ascii="仿宋_GB2312" w:hAnsi="仿宋" w:eastAsia="仿宋_GB2312" w:cs="Times New Roman"/>
                <w:color w:val="000000"/>
                <w:sz w:val="24"/>
                <w:szCs w:val="32"/>
              </w:rPr>
            </w:pPr>
            <w:r>
              <w:rPr>
                <w:rFonts w:hint="eastAsia" w:ascii="仿宋_GB2312" w:hAnsi="仿宋" w:eastAsia="仿宋_GB2312" w:cs="Times New Roman"/>
                <w:color w:val="000000"/>
                <w:sz w:val="24"/>
                <w:szCs w:val="32"/>
              </w:rPr>
              <w:t>针灸推拿学</w:t>
            </w:r>
          </w:p>
        </w:tc>
        <w:tc>
          <w:tcPr>
            <w:tcW w:w="1163" w:type="pct"/>
            <w:vAlign w:val="center"/>
          </w:tcPr>
          <w:p w14:paraId="1BC1DA51">
            <w:pPr>
              <w:jc w:val="center"/>
              <w:textAlignment w:val="baseline"/>
              <w:rPr>
                <w:rFonts w:hint="eastAsia" w:ascii="仿宋_GB2312" w:hAnsi="仿宋" w:eastAsia="仿宋_GB2312" w:cs="Times New Roman"/>
                <w:color w:val="000000"/>
                <w:sz w:val="24"/>
                <w:szCs w:val="32"/>
              </w:rPr>
            </w:pPr>
            <w:r>
              <w:rPr>
                <w:rFonts w:hint="eastAsia" w:ascii="仿宋_GB2312" w:hAnsi="仿宋" w:eastAsia="仿宋_GB2312" w:cs="Times New Roman"/>
                <w:color w:val="000000"/>
                <w:sz w:val="24"/>
                <w:szCs w:val="32"/>
              </w:rPr>
              <w:t>贵州中医药大学第一附属医院</w:t>
            </w:r>
          </w:p>
        </w:tc>
        <w:tc>
          <w:tcPr>
            <w:tcW w:w="1497" w:type="pct"/>
          </w:tcPr>
          <w:p w14:paraId="4C5F8AF8">
            <w:pPr>
              <w:suppressAutoHyphens/>
              <w:rPr>
                <w:rFonts w:ascii="仿宋_GB2312" w:hAnsi="Times New Roman" w:eastAsia="仿宋_GB2312"/>
                <w:bCs/>
                <w:color w:val="000000"/>
                <w:sz w:val="24"/>
              </w:rPr>
            </w:pPr>
            <w:r>
              <w:rPr>
                <w:rFonts w:hint="eastAsia" w:ascii="仿宋_GB2312" w:hAnsi="Times New Roman" w:eastAsia="仿宋_GB2312"/>
                <w:bCs/>
                <w:color w:val="000000"/>
                <w:sz w:val="24"/>
              </w:rPr>
              <w:t>查询、收集和整理资料，协助标准文本及编制说明的编写、实施。</w:t>
            </w:r>
          </w:p>
        </w:tc>
      </w:tr>
      <w:tr w14:paraId="7ACDE7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95" w:hRule="atLeast"/>
          <w:jc w:val="center"/>
        </w:trPr>
        <w:tc>
          <w:tcPr>
            <w:tcW w:w="602" w:type="pct"/>
            <w:vAlign w:val="center"/>
          </w:tcPr>
          <w:p w14:paraId="18B39D3B">
            <w:pPr>
              <w:jc w:val="center"/>
              <w:textAlignment w:val="baseline"/>
              <w:rPr>
                <w:rFonts w:hint="eastAsia" w:ascii="仿宋_GB2312" w:hAnsi="仿宋" w:eastAsia="仿宋_GB2312" w:cs="Times New Roman"/>
                <w:color w:val="000000"/>
                <w:sz w:val="24"/>
                <w:szCs w:val="32"/>
              </w:rPr>
            </w:pPr>
            <w:r>
              <w:rPr>
                <w:rFonts w:hint="eastAsia" w:ascii="仿宋_GB2312" w:hAnsi="仿宋" w:eastAsia="仿宋_GB2312" w:cs="Times New Roman"/>
                <w:color w:val="000000"/>
                <w:sz w:val="24"/>
                <w:szCs w:val="32"/>
              </w:rPr>
              <w:t>邵妍</w:t>
            </w:r>
          </w:p>
        </w:tc>
        <w:tc>
          <w:tcPr>
            <w:tcW w:w="890" w:type="pct"/>
            <w:vAlign w:val="center"/>
          </w:tcPr>
          <w:p w14:paraId="6150B35B">
            <w:pPr>
              <w:jc w:val="center"/>
              <w:textAlignment w:val="baseline"/>
              <w:rPr>
                <w:rFonts w:hint="eastAsia" w:ascii="仿宋_GB2312" w:hAnsi="仿宋" w:eastAsia="仿宋_GB2312" w:cs="Times New Roman"/>
                <w:color w:val="000000"/>
                <w:sz w:val="24"/>
                <w:szCs w:val="32"/>
              </w:rPr>
            </w:pPr>
            <w:r>
              <w:rPr>
                <w:rFonts w:hint="eastAsia" w:ascii="仿宋_GB2312" w:hAnsi="仿宋" w:eastAsia="仿宋_GB2312" w:cs="Times New Roman"/>
                <w:color w:val="000000"/>
                <w:sz w:val="24"/>
                <w:szCs w:val="32"/>
              </w:rPr>
              <w:t>主任医师</w:t>
            </w:r>
          </w:p>
        </w:tc>
        <w:tc>
          <w:tcPr>
            <w:tcW w:w="846" w:type="pct"/>
            <w:vAlign w:val="center"/>
          </w:tcPr>
          <w:p w14:paraId="5B360354">
            <w:pPr>
              <w:jc w:val="center"/>
              <w:textAlignment w:val="baseline"/>
              <w:rPr>
                <w:rFonts w:hint="eastAsia" w:ascii="仿宋_GB2312" w:hAnsi="仿宋" w:eastAsia="仿宋_GB2312" w:cs="Times New Roman"/>
                <w:color w:val="000000"/>
                <w:sz w:val="24"/>
                <w:szCs w:val="32"/>
              </w:rPr>
            </w:pPr>
            <w:r>
              <w:rPr>
                <w:rFonts w:hint="eastAsia" w:ascii="仿宋_GB2312" w:hAnsi="仿宋" w:eastAsia="仿宋_GB2312" w:cs="Times New Roman"/>
                <w:color w:val="000000"/>
                <w:sz w:val="24"/>
                <w:szCs w:val="32"/>
              </w:rPr>
              <w:t>针灸推拿学</w:t>
            </w:r>
          </w:p>
        </w:tc>
        <w:tc>
          <w:tcPr>
            <w:tcW w:w="1163" w:type="pct"/>
            <w:vAlign w:val="center"/>
          </w:tcPr>
          <w:p w14:paraId="0F21289C">
            <w:pPr>
              <w:jc w:val="center"/>
              <w:textAlignment w:val="baseline"/>
              <w:rPr>
                <w:rFonts w:hint="eastAsia" w:ascii="仿宋_GB2312" w:hAnsi="仿宋" w:eastAsia="仿宋_GB2312" w:cs="Times New Roman"/>
                <w:color w:val="000000"/>
                <w:sz w:val="24"/>
                <w:szCs w:val="32"/>
              </w:rPr>
            </w:pPr>
            <w:r>
              <w:rPr>
                <w:rFonts w:hint="eastAsia" w:ascii="仿宋_GB2312" w:hAnsi="仿宋" w:eastAsia="仿宋_GB2312" w:cs="Times New Roman"/>
                <w:color w:val="000000"/>
                <w:sz w:val="24"/>
                <w:szCs w:val="32"/>
              </w:rPr>
              <w:t>辽宁中医药大学附属医院</w:t>
            </w:r>
          </w:p>
        </w:tc>
        <w:tc>
          <w:tcPr>
            <w:tcW w:w="1497" w:type="pct"/>
          </w:tcPr>
          <w:p w14:paraId="117AEAF1">
            <w:pPr>
              <w:suppressAutoHyphens/>
              <w:rPr>
                <w:rFonts w:ascii="仿宋_GB2312" w:hAnsi="Times New Roman" w:eastAsia="仿宋_GB2312"/>
                <w:bCs/>
                <w:color w:val="000000"/>
                <w:sz w:val="24"/>
              </w:rPr>
            </w:pPr>
            <w:r>
              <w:rPr>
                <w:rFonts w:hint="eastAsia" w:ascii="仿宋_GB2312" w:hAnsi="Times New Roman" w:eastAsia="仿宋_GB2312"/>
                <w:bCs/>
                <w:color w:val="000000"/>
                <w:sz w:val="24"/>
              </w:rPr>
              <w:t>查询、收集和整理资料，协助标准文本及编制说明的编写、实施。</w:t>
            </w:r>
          </w:p>
        </w:tc>
      </w:tr>
      <w:tr w14:paraId="29CAE7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95" w:hRule="atLeast"/>
          <w:jc w:val="center"/>
        </w:trPr>
        <w:tc>
          <w:tcPr>
            <w:tcW w:w="602" w:type="pct"/>
            <w:vAlign w:val="center"/>
          </w:tcPr>
          <w:p w14:paraId="4772E0F7">
            <w:pPr>
              <w:jc w:val="center"/>
              <w:textAlignment w:val="baseline"/>
              <w:rPr>
                <w:rFonts w:hint="eastAsia" w:ascii="仿宋_GB2312" w:hAnsi="仿宋" w:eastAsia="仿宋_GB2312" w:cs="Times New Roman"/>
                <w:color w:val="000000"/>
                <w:sz w:val="24"/>
                <w:szCs w:val="32"/>
              </w:rPr>
            </w:pPr>
            <w:r>
              <w:rPr>
                <w:rFonts w:hint="eastAsia" w:ascii="仿宋_GB2312" w:hAnsi="仿宋" w:eastAsia="仿宋_GB2312" w:cs="Times New Roman"/>
                <w:color w:val="000000"/>
                <w:sz w:val="24"/>
                <w:szCs w:val="32"/>
              </w:rPr>
              <w:t>刘未艾</w:t>
            </w:r>
          </w:p>
        </w:tc>
        <w:tc>
          <w:tcPr>
            <w:tcW w:w="890" w:type="pct"/>
            <w:vAlign w:val="center"/>
          </w:tcPr>
          <w:p w14:paraId="6063C9AE">
            <w:pPr>
              <w:jc w:val="center"/>
              <w:textAlignment w:val="baseline"/>
              <w:rPr>
                <w:rFonts w:hint="eastAsia" w:ascii="仿宋_GB2312" w:hAnsi="仿宋" w:eastAsia="仿宋_GB2312" w:cs="Times New Roman"/>
                <w:color w:val="000000"/>
                <w:sz w:val="24"/>
                <w:szCs w:val="32"/>
              </w:rPr>
            </w:pPr>
            <w:r>
              <w:rPr>
                <w:rFonts w:hint="eastAsia" w:ascii="仿宋_GB2312" w:hAnsi="仿宋" w:eastAsia="仿宋_GB2312" w:cs="Times New Roman"/>
                <w:color w:val="000000"/>
                <w:sz w:val="24"/>
                <w:szCs w:val="32"/>
              </w:rPr>
              <w:t>主任医师</w:t>
            </w:r>
          </w:p>
        </w:tc>
        <w:tc>
          <w:tcPr>
            <w:tcW w:w="846" w:type="pct"/>
            <w:vAlign w:val="center"/>
          </w:tcPr>
          <w:p w14:paraId="71C70817">
            <w:pPr>
              <w:jc w:val="center"/>
              <w:textAlignment w:val="baseline"/>
              <w:rPr>
                <w:rFonts w:hint="eastAsia" w:ascii="仿宋_GB2312" w:hAnsi="仿宋" w:eastAsia="仿宋_GB2312" w:cs="Times New Roman"/>
                <w:color w:val="000000"/>
                <w:sz w:val="24"/>
                <w:szCs w:val="32"/>
              </w:rPr>
            </w:pPr>
            <w:r>
              <w:rPr>
                <w:rFonts w:hint="eastAsia" w:ascii="仿宋_GB2312" w:hAnsi="仿宋" w:eastAsia="仿宋_GB2312" w:cs="Times New Roman"/>
                <w:color w:val="000000"/>
                <w:sz w:val="24"/>
                <w:szCs w:val="32"/>
              </w:rPr>
              <w:t>针灸推拿学</w:t>
            </w:r>
          </w:p>
        </w:tc>
        <w:tc>
          <w:tcPr>
            <w:tcW w:w="1163" w:type="pct"/>
            <w:vAlign w:val="center"/>
          </w:tcPr>
          <w:p w14:paraId="32D9EA09">
            <w:pPr>
              <w:jc w:val="center"/>
              <w:textAlignment w:val="baseline"/>
              <w:rPr>
                <w:rFonts w:hint="eastAsia" w:ascii="仿宋_GB2312" w:hAnsi="仿宋" w:eastAsia="仿宋_GB2312" w:cs="Times New Roman"/>
                <w:color w:val="000000"/>
                <w:sz w:val="24"/>
                <w:szCs w:val="32"/>
              </w:rPr>
            </w:pPr>
            <w:r>
              <w:rPr>
                <w:rFonts w:hint="eastAsia" w:ascii="仿宋_GB2312" w:hAnsi="仿宋" w:eastAsia="仿宋_GB2312" w:cs="Times New Roman"/>
                <w:color w:val="000000"/>
                <w:sz w:val="24"/>
                <w:szCs w:val="32"/>
              </w:rPr>
              <w:t>湖南中医药大学第二附属医院</w:t>
            </w:r>
          </w:p>
        </w:tc>
        <w:tc>
          <w:tcPr>
            <w:tcW w:w="1497" w:type="pct"/>
          </w:tcPr>
          <w:p w14:paraId="0240FB8F">
            <w:pPr>
              <w:suppressAutoHyphens/>
              <w:rPr>
                <w:rFonts w:ascii="仿宋_GB2312" w:hAnsi="Times New Roman" w:eastAsia="仿宋_GB2312"/>
                <w:bCs/>
                <w:color w:val="000000"/>
                <w:sz w:val="24"/>
              </w:rPr>
            </w:pPr>
            <w:r>
              <w:rPr>
                <w:rFonts w:hint="eastAsia" w:ascii="仿宋_GB2312" w:hAnsi="Times New Roman" w:eastAsia="仿宋_GB2312"/>
                <w:bCs/>
                <w:color w:val="000000"/>
                <w:sz w:val="24"/>
              </w:rPr>
              <w:t>查询、收集和整理资料，协助标准文本及编制说明的编写、实施。</w:t>
            </w:r>
          </w:p>
        </w:tc>
      </w:tr>
      <w:tr w14:paraId="71139C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95" w:hRule="atLeast"/>
          <w:jc w:val="center"/>
        </w:trPr>
        <w:tc>
          <w:tcPr>
            <w:tcW w:w="602" w:type="pct"/>
            <w:vAlign w:val="center"/>
          </w:tcPr>
          <w:p w14:paraId="4A982D5C">
            <w:pPr>
              <w:jc w:val="center"/>
              <w:textAlignment w:val="baseline"/>
              <w:rPr>
                <w:rFonts w:hint="eastAsia" w:ascii="仿宋_GB2312" w:hAnsi="仿宋" w:eastAsia="仿宋_GB2312" w:cs="Times New Roman"/>
                <w:color w:val="000000"/>
                <w:sz w:val="24"/>
                <w:szCs w:val="32"/>
              </w:rPr>
            </w:pPr>
            <w:r>
              <w:rPr>
                <w:rFonts w:hint="eastAsia" w:ascii="仿宋_GB2312" w:hAnsi="仿宋" w:eastAsia="仿宋_GB2312" w:cs="Times New Roman"/>
                <w:color w:val="000000"/>
                <w:sz w:val="24"/>
                <w:szCs w:val="32"/>
              </w:rPr>
              <w:t>杨旺</w:t>
            </w:r>
          </w:p>
        </w:tc>
        <w:tc>
          <w:tcPr>
            <w:tcW w:w="890" w:type="pct"/>
            <w:vAlign w:val="center"/>
          </w:tcPr>
          <w:p w14:paraId="7ADB1F1C">
            <w:pPr>
              <w:jc w:val="center"/>
              <w:textAlignment w:val="baseline"/>
              <w:rPr>
                <w:rFonts w:hint="eastAsia" w:ascii="仿宋_GB2312" w:hAnsi="仿宋" w:eastAsia="仿宋_GB2312" w:cs="Times New Roman"/>
                <w:color w:val="000000"/>
                <w:sz w:val="24"/>
                <w:szCs w:val="32"/>
              </w:rPr>
            </w:pPr>
            <w:r>
              <w:rPr>
                <w:rFonts w:hint="eastAsia" w:ascii="仿宋_GB2312" w:hAnsi="仿宋" w:eastAsia="仿宋_GB2312" w:cs="Times New Roman"/>
                <w:color w:val="000000"/>
                <w:sz w:val="24"/>
                <w:szCs w:val="32"/>
              </w:rPr>
              <w:t>副主任医师</w:t>
            </w:r>
          </w:p>
        </w:tc>
        <w:tc>
          <w:tcPr>
            <w:tcW w:w="846" w:type="pct"/>
            <w:vAlign w:val="center"/>
          </w:tcPr>
          <w:p w14:paraId="4A577103">
            <w:pPr>
              <w:jc w:val="center"/>
              <w:textAlignment w:val="baseline"/>
              <w:rPr>
                <w:rFonts w:hint="eastAsia" w:ascii="仿宋_GB2312" w:hAnsi="仿宋" w:eastAsia="仿宋_GB2312" w:cs="Times New Roman"/>
                <w:color w:val="000000"/>
                <w:sz w:val="24"/>
                <w:szCs w:val="32"/>
              </w:rPr>
            </w:pPr>
            <w:r>
              <w:rPr>
                <w:rFonts w:hint="eastAsia" w:ascii="仿宋_GB2312" w:hAnsi="仿宋" w:eastAsia="仿宋_GB2312" w:cs="Times New Roman"/>
                <w:color w:val="000000"/>
                <w:sz w:val="24"/>
                <w:szCs w:val="32"/>
              </w:rPr>
              <w:t>针灸推拿学</w:t>
            </w:r>
          </w:p>
        </w:tc>
        <w:tc>
          <w:tcPr>
            <w:tcW w:w="1163" w:type="pct"/>
            <w:vAlign w:val="center"/>
          </w:tcPr>
          <w:p w14:paraId="1049CE3E">
            <w:pPr>
              <w:jc w:val="center"/>
              <w:textAlignment w:val="baseline"/>
              <w:rPr>
                <w:rFonts w:hint="eastAsia" w:ascii="仿宋_GB2312" w:hAnsi="仿宋" w:eastAsia="仿宋_GB2312" w:cs="Times New Roman"/>
                <w:color w:val="000000"/>
                <w:sz w:val="24"/>
                <w:szCs w:val="32"/>
              </w:rPr>
            </w:pPr>
            <w:r>
              <w:rPr>
                <w:rFonts w:hint="eastAsia" w:ascii="仿宋_GB2312" w:hAnsi="仿宋" w:eastAsia="仿宋_GB2312" w:cs="Times New Roman"/>
                <w:color w:val="000000"/>
                <w:sz w:val="24"/>
                <w:szCs w:val="32"/>
              </w:rPr>
              <w:t>防城港市中医医院</w:t>
            </w:r>
          </w:p>
        </w:tc>
        <w:tc>
          <w:tcPr>
            <w:tcW w:w="1497" w:type="pct"/>
          </w:tcPr>
          <w:p w14:paraId="499C8DBC">
            <w:pPr>
              <w:suppressAutoHyphens/>
              <w:rPr>
                <w:rFonts w:ascii="仿宋_GB2312" w:hAnsi="Times New Roman" w:eastAsia="仿宋_GB2312"/>
                <w:bCs/>
                <w:color w:val="000000"/>
                <w:sz w:val="24"/>
              </w:rPr>
            </w:pPr>
            <w:r>
              <w:rPr>
                <w:rFonts w:hint="eastAsia" w:ascii="仿宋_GB2312" w:hAnsi="Times New Roman" w:eastAsia="仿宋_GB2312"/>
                <w:bCs/>
                <w:color w:val="000000"/>
                <w:sz w:val="24"/>
              </w:rPr>
              <w:t>查询、收集和整理资料，协助标准文本及编制说明的编写、实施。</w:t>
            </w:r>
          </w:p>
        </w:tc>
      </w:tr>
      <w:tr w14:paraId="5B4B6D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95" w:hRule="atLeast"/>
          <w:jc w:val="center"/>
        </w:trPr>
        <w:tc>
          <w:tcPr>
            <w:tcW w:w="602" w:type="pct"/>
            <w:vAlign w:val="center"/>
          </w:tcPr>
          <w:p w14:paraId="0ED30C54">
            <w:pPr>
              <w:jc w:val="center"/>
              <w:textAlignment w:val="baseline"/>
              <w:rPr>
                <w:rFonts w:hint="eastAsia" w:ascii="仿宋_GB2312" w:hAnsi="仿宋" w:eastAsia="仿宋_GB2312" w:cs="Times New Roman"/>
                <w:color w:val="000000"/>
                <w:sz w:val="24"/>
                <w:szCs w:val="32"/>
              </w:rPr>
            </w:pPr>
            <w:r>
              <w:rPr>
                <w:rFonts w:hint="eastAsia" w:ascii="仿宋_GB2312" w:hAnsi="仿宋" w:eastAsia="仿宋_GB2312" w:cs="Times New Roman"/>
                <w:color w:val="000000"/>
                <w:sz w:val="24"/>
                <w:szCs w:val="32"/>
              </w:rPr>
              <w:t>王雄将</w:t>
            </w:r>
          </w:p>
        </w:tc>
        <w:tc>
          <w:tcPr>
            <w:tcW w:w="890" w:type="pct"/>
            <w:vAlign w:val="center"/>
          </w:tcPr>
          <w:p w14:paraId="120E4243">
            <w:pPr>
              <w:jc w:val="center"/>
              <w:textAlignment w:val="baseline"/>
              <w:rPr>
                <w:rFonts w:hint="eastAsia" w:ascii="仿宋_GB2312" w:hAnsi="仿宋" w:eastAsia="仿宋_GB2312" w:cs="Times New Roman"/>
                <w:color w:val="000000"/>
                <w:sz w:val="24"/>
                <w:szCs w:val="32"/>
              </w:rPr>
            </w:pPr>
            <w:r>
              <w:rPr>
                <w:rFonts w:hint="eastAsia" w:ascii="仿宋_GB2312" w:hAnsi="仿宋" w:eastAsia="仿宋_GB2312" w:cs="Times New Roman"/>
                <w:color w:val="000000"/>
                <w:sz w:val="24"/>
                <w:szCs w:val="32"/>
              </w:rPr>
              <w:t>讲师</w:t>
            </w:r>
          </w:p>
        </w:tc>
        <w:tc>
          <w:tcPr>
            <w:tcW w:w="846" w:type="pct"/>
            <w:vAlign w:val="center"/>
          </w:tcPr>
          <w:p w14:paraId="6A7380AF">
            <w:pPr>
              <w:jc w:val="center"/>
              <w:textAlignment w:val="baseline"/>
              <w:rPr>
                <w:rFonts w:hint="eastAsia" w:ascii="仿宋_GB2312" w:hAnsi="仿宋" w:eastAsia="仿宋_GB2312" w:cs="Times New Roman"/>
                <w:color w:val="000000"/>
                <w:sz w:val="24"/>
                <w:szCs w:val="32"/>
              </w:rPr>
            </w:pPr>
            <w:r>
              <w:rPr>
                <w:rFonts w:hint="eastAsia" w:ascii="仿宋_GB2312" w:hAnsi="仿宋" w:eastAsia="仿宋_GB2312" w:cs="Times New Roman"/>
                <w:color w:val="000000"/>
                <w:sz w:val="24"/>
                <w:szCs w:val="32"/>
              </w:rPr>
              <w:t>针灸推拿学</w:t>
            </w:r>
          </w:p>
        </w:tc>
        <w:tc>
          <w:tcPr>
            <w:tcW w:w="1163" w:type="pct"/>
            <w:vAlign w:val="center"/>
          </w:tcPr>
          <w:p w14:paraId="3A21F6AA">
            <w:pPr>
              <w:jc w:val="center"/>
              <w:textAlignment w:val="baseline"/>
              <w:rPr>
                <w:rFonts w:hint="eastAsia" w:ascii="仿宋_GB2312" w:hAnsi="仿宋" w:eastAsia="仿宋_GB2312" w:cs="Times New Roman"/>
                <w:color w:val="000000"/>
                <w:sz w:val="24"/>
                <w:szCs w:val="32"/>
              </w:rPr>
            </w:pPr>
            <w:r>
              <w:rPr>
                <w:rFonts w:hint="eastAsia" w:ascii="仿宋_GB2312" w:hAnsi="仿宋" w:eastAsia="仿宋_GB2312" w:cs="Times New Roman"/>
                <w:color w:val="000000"/>
                <w:sz w:val="24"/>
                <w:szCs w:val="32"/>
              </w:rPr>
              <w:t>广西中医药大学</w:t>
            </w:r>
          </w:p>
        </w:tc>
        <w:tc>
          <w:tcPr>
            <w:tcW w:w="1497" w:type="pct"/>
          </w:tcPr>
          <w:p w14:paraId="4F5FAF70">
            <w:pPr>
              <w:suppressAutoHyphens/>
              <w:rPr>
                <w:rFonts w:ascii="仿宋_GB2312" w:hAnsi="Times New Roman" w:eastAsia="仿宋_GB2312"/>
                <w:bCs/>
                <w:color w:val="000000"/>
                <w:sz w:val="24"/>
              </w:rPr>
            </w:pPr>
            <w:r>
              <w:rPr>
                <w:rFonts w:hint="eastAsia" w:ascii="仿宋_GB2312" w:hAnsi="Times New Roman" w:eastAsia="仿宋_GB2312"/>
                <w:bCs/>
                <w:color w:val="000000"/>
                <w:sz w:val="24"/>
              </w:rPr>
              <w:t>查询、收集和整理资料，协助标准文本及编制说明的编写、实施。</w:t>
            </w:r>
          </w:p>
        </w:tc>
      </w:tr>
      <w:tr w14:paraId="78E434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95" w:hRule="atLeast"/>
          <w:jc w:val="center"/>
        </w:trPr>
        <w:tc>
          <w:tcPr>
            <w:tcW w:w="602" w:type="pct"/>
            <w:vAlign w:val="center"/>
          </w:tcPr>
          <w:p w14:paraId="51A58C17">
            <w:pPr>
              <w:jc w:val="center"/>
              <w:textAlignment w:val="baseline"/>
              <w:rPr>
                <w:rFonts w:hint="eastAsia" w:ascii="仿宋_GB2312" w:hAnsi="仿宋" w:eastAsia="仿宋_GB2312" w:cs="Times New Roman"/>
                <w:color w:val="000000"/>
                <w:sz w:val="24"/>
                <w:szCs w:val="32"/>
              </w:rPr>
            </w:pPr>
            <w:r>
              <w:rPr>
                <w:rFonts w:hint="eastAsia" w:ascii="仿宋_GB2312" w:hAnsi="仿宋" w:eastAsia="仿宋_GB2312" w:cs="Times New Roman"/>
                <w:color w:val="000000"/>
                <w:sz w:val="24"/>
                <w:szCs w:val="32"/>
              </w:rPr>
              <w:t>刘振威</w:t>
            </w:r>
          </w:p>
        </w:tc>
        <w:tc>
          <w:tcPr>
            <w:tcW w:w="890" w:type="pct"/>
            <w:vAlign w:val="center"/>
          </w:tcPr>
          <w:p w14:paraId="53F05367">
            <w:pPr>
              <w:jc w:val="center"/>
              <w:textAlignment w:val="baseline"/>
              <w:rPr>
                <w:rFonts w:hint="eastAsia" w:ascii="仿宋_GB2312" w:hAnsi="仿宋" w:eastAsia="仿宋_GB2312" w:cs="Times New Roman"/>
                <w:color w:val="000000"/>
                <w:sz w:val="24"/>
                <w:szCs w:val="32"/>
              </w:rPr>
            </w:pPr>
            <w:r>
              <w:rPr>
                <w:rFonts w:hint="eastAsia" w:ascii="仿宋_GB2312" w:hAnsi="仿宋" w:eastAsia="仿宋_GB2312" w:cs="Times New Roman"/>
                <w:color w:val="000000"/>
                <w:sz w:val="24"/>
                <w:szCs w:val="32"/>
              </w:rPr>
              <w:t>主任医师</w:t>
            </w:r>
          </w:p>
        </w:tc>
        <w:tc>
          <w:tcPr>
            <w:tcW w:w="846" w:type="pct"/>
            <w:vAlign w:val="center"/>
          </w:tcPr>
          <w:p w14:paraId="1DCD89FA">
            <w:pPr>
              <w:jc w:val="center"/>
              <w:textAlignment w:val="baseline"/>
              <w:rPr>
                <w:rFonts w:hint="eastAsia" w:ascii="仿宋_GB2312" w:hAnsi="仿宋" w:eastAsia="仿宋_GB2312" w:cs="Times New Roman"/>
                <w:color w:val="000000"/>
                <w:sz w:val="24"/>
                <w:szCs w:val="32"/>
              </w:rPr>
            </w:pPr>
            <w:r>
              <w:rPr>
                <w:rFonts w:hint="eastAsia" w:ascii="仿宋_GB2312" w:hAnsi="仿宋" w:eastAsia="仿宋_GB2312" w:cs="Times New Roman"/>
                <w:color w:val="000000"/>
                <w:sz w:val="24"/>
                <w:szCs w:val="32"/>
              </w:rPr>
              <w:t>针灸推拿学</w:t>
            </w:r>
          </w:p>
        </w:tc>
        <w:tc>
          <w:tcPr>
            <w:tcW w:w="1163" w:type="pct"/>
            <w:vAlign w:val="center"/>
          </w:tcPr>
          <w:p w14:paraId="69D4D4E5">
            <w:pPr>
              <w:jc w:val="center"/>
              <w:textAlignment w:val="baseline"/>
              <w:rPr>
                <w:rFonts w:hint="eastAsia" w:ascii="仿宋_GB2312" w:hAnsi="仿宋" w:eastAsia="仿宋_GB2312" w:cs="Times New Roman"/>
                <w:color w:val="000000"/>
                <w:sz w:val="24"/>
                <w:szCs w:val="32"/>
              </w:rPr>
            </w:pPr>
            <w:r>
              <w:rPr>
                <w:rFonts w:hint="eastAsia" w:ascii="仿宋_GB2312" w:hAnsi="仿宋" w:eastAsia="仿宋_GB2312" w:cs="Times New Roman"/>
                <w:color w:val="000000"/>
                <w:sz w:val="24"/>
                <w:szCs w:val="32"/>
              </w:rPr>
              <w:t>广西中医药大学附属瑞康医院</w:t>
            </w:r>
          </w:p>
        </w:tc>
        <w:tc>
          <w:tcPr>
            <w:tcW w:w="1497" w:type="pct"/>
          </w:tcPr>
          <w:p w14:paraId="4E1434C6">
            <w:pPr>
              <w:suppressAutoHyphens/>
              <w:rPr>
                <w:rFonts w:ascii="仿宋_GB2312" w:hAnsi="Times New Roman" w:eastAsia="仿宋_GB2312"/>
                <w:bCs/>
                <w:color w:val="000000"/>
                <w:sz w:val="24"/>
              </w:rPr>
            </w:pPr>
            <w:r>
              <w:rPr>
                <w:rFonts w:hint="eastAsia" w:ascii="仿宋_GB2312" w:hAnsi="Times New Roman" w:eastAsia="仿宋_GB2312"/>
                <w:bCs/>
                <w:color w:val="000000"/>
                <w:sz w:val="24"/>
              </w:rPr>
              <w:t>查询、收集和整理资料，协助标准文本及编制说明的编写、实施。</w:t>
            </w:r>
          </w:p>
        </w:tc>
      </w:tr>
      <w:tr w14:paraId="5B580A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95" w:hRule="atLeast"/>
          <w:jc w:val="center"/>
        </w:trPr>
        <w:tc>
          <w:tcPr>
            <w:tcW w:w="602" w:type="pct"/>
            <w:vAlign w:val="center"/>
          </w:tcPr>
          <w:p w14:paraId="2DA8069F">
            <w:pPr>
              <w:jc w:val="center"/>
              <w:textAlignment w:val="baseline"/>
              <w:rPr>
                <w:rFonts w:hint="eastAsia" w:ascii="仿宋_GB2312" w:hAnsi="仿宋" w:eastAsia="仿宋_GB2312" w:cs="Times New Roman"/>
                <w:color w:val="000000"/>
                <w:sz w:val="24"/>
                <w:szCs w:val="32"/>
              </w:rPr>
            </w:pPr>
            <w:r>
              <w:rPr>
                <w:rFonts w:hint="eastAsia" w:ascii="仿宋_GB2312" w:hAnsi="仿宋" w:eastAsia="仿宋_GB2312" w:cs="Times New Roman"/>
                <w:color w:val="000000"/>
                <w:sz w:val="24"/>
                <w:szCs w:val="32"/>
              </w:rPr>
              <w:t>梁英业</w:t>
            </w:r>
          </w:p>
        </w:tc>
        <w:tc>
          <w:tcPr>
            <w:tcW w:w="890" w:type="pct"/>
            <w:vAlign w:val="center"/>
          </w:tcPr>
          <w:p w14:paraId="31B8E013">
            <w:pPr>
              <w:jc w:val="center"/>
              <w:textAlignment w:val="baseline"/>
              <w:rPr>
                <w:rFonts w:hint="eastAsia" w:ascii="仿宋_GB2312" w:hAnsi="仿宋" w:eastAsia="仿宋_GB2312" w:cs="Times New Roman"/>
                <w:color w:val="000000"/>
                <w:sz w:val="24"/>
                <w:szCs w:val="32"/>
              </w:rPr>
            </w:pPr>
            <w:r>
              <w:rPr>
                <w:rFonts w:hint="eastAsia" w:ascii="仿宋_GB2312" w:hAnsi="仿宋" w:eastAsia="仿宋_GB2312" w:cs="Times New Roman"/>
                <w:color w:val="000000"/>
                <w:sz w:val="24"/>
                <w:szCs w:val="32"/>
              </w:rPr>
              <w:t>助理研究员</w:t>
            </w:r>
          </w:p>
        </w:tc>
        <w:tc>
          <w:tcPr>
            <w:tcW w:w="846" w:type="pct"/>
            <w:vAlign w:val="center"/>
          </w:tcPr>
          <w:p w14:paraId="4A5B09D6">
            <w:pPr>
              <w:jc w:val="center"/>
              <w:textAlignment w:val="baseline"/>
              <w:rPr>
                <w:rFonts w:hint="eastAsia" w:ascii="仿宋_GB2312" w:hAnsi="仿宋" w:eastAsia="仿宋_GB2312" w:cs="Times New Roman"/>
                <w:color w:val="000000"/>
                <w:sz w:val="24"/>
                <w:szCs w:val="32"/>
              </w:rPr>
            </w:pPr>
            <w:r>
              <w:rPr>
                <w:rFonts w:hint="eastAsia" w:ascii="仿宋_GB2312" w:hAnsi="仿宋" w:eastAsia="仿宋_GB2312" w:cs="Times New Roman"/>
                <w:color w:val="000000"/>
                <w:sz w:val="24"/>
                <w:szCs w:val="32"/>
              </w:rPr>
              <w:t>针灸推拿学</w:t>
            </w:r>
          </w:p>
        </w:tc>
        <w:tc>
          <w:tcPr>
            <w:tcW w:w="1163" w:type="pct"/>
            <w:vAlign w:val="center"/>
          </w:tcPr>
          <w:p w14:paraId="1DC9AFFB">
            <w:pPr>
              <w:jc w:val="center"/>
              <w:textAlignment w:val="baseline"/>
              <w:rPr>
                <w:rFonts w:hint="eastAsia" w:ascii="仿宋_GB2312" w:hAnsi="仿宋" w:eastAsia="仿宋_GB2312" w:cs="Times New Roman"/>
                <w:color w:val="000000"/>
                <w:sz w:val="24"/>
                <w:szCs w:val="32"/>
              </w:rPr>
            </w:pPr>
            <w:r>
              <w:rPr>
                <w:rFonts w:hint="eastAsia" w:ascii="仿宋_GB2312" w:hAnsi="仿宋" w:eastAsia="仿宋_GB2312" w:cs="Times New Roman"/>
                <w:color w:val="000000"/>
                <w:sz w:val="24"/>
                <w:szCs w:val="32"/>
              </w:rPr>
              <w:t>广西中医药大学第一附属医院</w:t>
            </w:r>
          </w:p>
        </w:tc>
        <w:tc>
          <w:tcPr>
            <w:tcW w:w="1497" w:type="pct"/>
          </w:tcPr>
          <w:p w14:paraId="5C7217DA">
            <w:pPr>
              <w:suppressAutoHyphens/>
              <w:rPr>
                <w:rFonts w:ascii="仿宋_GB2312" w:hAnsi="Times New Roman" w:eastAsia="仿宋_GB2312"/>
                <w:bCs/>
                <w:color w:val="000000"/>
                <w:sz w:val="24"/>
              </w:rPr>
            </w:pPr>
            <w:r>
              <w:rPr>
                <w:rFonts w:hint="eastAsia" w:ascii="仿宋_GB2312" w:hAnsi="Times New Roman" w:eastAsia="仿宋_GB2312"/>
                <w:bCs/>
                <w:color w:val="000000"/>
                <w:sz w:val="24"/>
              </w:rPr>
              <w:t>查询、收集和整理资料，协助标准文本及编制说明的编写、实施。</w:t>
            </w:r>
          </w:p>
        </w:tc>
      </w:tr>
      <w:tr w14:paraId="37819F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95" w:hRule="atLeast"/>
          <w:jc w:val="center"/>
        </w:trPr>
        <w:tc>
          <w:tcPr>
            <w:tcW w:w="602" w:type="pct"/>
            <w:vAlign w:val="center"/>
          </w:tcPr>
          <w:p w14:paraId="14E0734C">
            <w:pPr>
              <w:jc w:val="center"/>
              <w:textAlignment w:val="baseline"/>
              <w:rPr>
                <w:rFonts w:hint="eastAsia" w:ascii="仿宋_GB2312" w:hAnsi="仿宋" w:eastAsia="仿宋_GB2312" w:cs="Times New Roman"/>
                <w:color w:val="000000"/>
                <w:sz w:val="24"/>
                <w:szCs w:val="32"/>
              </w:rPr>
            </w:pPr>
            <w:r>
              <w:rPr>
                <w:rFonts w:hint="eastAsia" w:ascii="仿宋_GB2312" w:hAnsi="仿宋" w:eastAsia="仿宋_GB2312" w:cs="Times New Roman"/>
                <w:color w:val="000000"/>
                <w:sz w:val="24"/>
                <w:szCs w:val="32"/>
              </w:rPr>
              <w:t>甘炜</w:t>
            </w:r>
          </w:p>
        </w:tc>
        <w:tc>
          <w:tcPr>
            <w:tcW w:w="890" w:type="pct"/>
            <w:vAlign w:val="center"/>
          </w:tcPr>
          <w:p w14:paraId="58FA7842">
            <w:pPr>
              <w:jc w:val="center"/>
              <w:textAlignment w:val="baseline"/>
              <w:rPr>
                <w:rFonts w:hint="eastAsia" w:ascii="仿宋_GB2312" w:hAnsi="仿宋" w:eastAsia="仿宋_GB2312" w:cs="Times New Roman"/>
                <w:color w:val="000000"/>
                <w:sz w:val="24"/>
                <w:szCs w:val="32"/>
              </w:rPr>
            </w:pPr>
            <w:r>
              <w:rPr>
                <w:rFonts w:hint="eastAsia" w:ascii="仿宋_GB2312" w:hAnsi="仿宋" w:eastAsia="仿宋_GB2312" w:cs="Times New Roman"/>
                <w:color w:val="000000"/>
                <w:sz w:val="24"/>
                <w:szCs w:val="32"/>
              </w:rPr>
              <w:t>副主任医师</w:t>
            </w:r>
          </w:p>
        </w:tc>
        <w:tc>
          <w:tcPr>
            <w:tcW w:w="846" w:type="pct"/>
            <w:vAlign w:val="center"/>
          </w:tcPr>
          <w:p w14:paraId="07228F87">
            <w:pPr>
              <w:jc w:val="center"/>
              <w:textAlignment w:val="baseline"/>
              <w:rPr>
                <w:rFonts w:hint="eastAsia" w:ascii="仿宋_GB2312" w:hAnsi="仿宋" w:eastAsia="仿宋_GB2312" w:cs="Times New Roman"/>
                <w:color w:val="000000"/>
                <w:sz w:val="24"/>
                <w:szCs w:val="32"/>
              </w:rPr>
            </w:pPr>
            <w:r>
              <w:rPr>
                <w:rFonts w:hint="eastAsia" w:ascii="仿宋_GB2312" w:hAnsi="仿宋" w:eastAsia="仿宋_GB2312" w:cs="Times New Roman"/>
                <w:color w:val="000000"/>
                <w:sz w:val="24"/>
                <w:szCs w:val="32"/>
              </w:rPr>
              <w:t>针灸推拿学</w:t>
            </w:r>
          </w:p>
        </w:tc>
        <w:tc>
          <w:tcPr>
            <w:tcW w:w="1163" w:type="pct"/>
            <w:vAlign w:val="center"/>
          </w:tcPr>
          <w:p w14:paraId="138E2C0B">
            <w:pPr>
              <w:jc w:val="center"/>
              <w:textAlignment w:val="baseline"/>
              <w:rPr>
                <w:rFonts w:hint="eastAsia" w:ascii="仿宋_GB2312" w:hAnsi="仿宋" w:eastAsia="仿宋_GB2312" w:cs="Times New Roman"/>
                <w:color w:val="000000"/>
                <w:sz w:val="24"/>
                <w:szCs w:val="32"/>
              </w:rPr>
            </w:pPr>
            <w:r>
              <w:rPr>
                <w:rFonts w:hint="eastAsia" w:ascii="仿宋_GB2312" w:hAnsi="仿宋" w:eastAsia="仿宋_GB2312" w:cs="Times New Roman"/>
                <w:color w:val="000000"/>
                <w:sz w:val="24"/>
                <w:szCs w:val="32"/>
              </w:rPr>
              <w:t>广西中医药大学第一附属医院</w:t>
            </w:r>
          </w:p>
        </w:tc>
        <w:tc>
          <w:tcPr>
            <w:tcW w:w="1497" w:type="pct"/>
          </w:tcPr>
          <w:p w14:paraId="131BFC38">
            <w:pPr>
              <w:suppressAutoHyphens/>
              <w:rPr>
                <w:rFonts w:ascii="仿宋_GB2312" w:hAnsi="Times New Roman" w:eastAsia="仿宋_GB2312"/>
                <w:bCs/>
                <w:color w:val="000000"/>
                <w:sz w:val="24"/>
              </w:rPr>
            </w:pPr>
            <w:r>
              <w:rPr>
                <w:rFonts w:hint="eastAsia" w:ascii="仿宋_GB2312" w:hAnsi="Times New Roman" w:eastAsia="仿宋_GB2312"/>
                <w:bCs/>
                <w:color w:val="000000"/>
                <w:sz w:val="24"/>
              </w:rPr>
              <w:t>查询、收集和整理资料，协助标准文本及编制说明的编写、实施。</w:t>
            </w:r>
          </w:p>
        </w:tc>
      </w:tr>
      <w:tr w14:paraId="335309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95" w:hRule="atLeast"/>
          <w:jc w:val="center"/>
        </w:trPr>
        <w:tc>
          <w:tcPr>
            <w:tcW w:w="602" w:type="pct"/>
            <w:vAlign w:val="center"/>
          </w:tcPr>
          <w:p w14:paraId="333664A5">
            <w:pPr>
              <w:jc w:val="center"/>
              <w:textAlignment w:val="baseline"/>
              <w:rPr>
                <w:rFonts w:hint="eastAsia" w:ascii="仿宋_GB2312" w:hAnsi="仿宋" w:eastAsia="仿宋_GB2312" w:cs="Times New Roman"/>
                <w:color w:val="000000"/>
                <w:sz w:val="24"/>
                <w:szCs w:val="32"/>
              </w:rPr>
            </w:pPr>
            <w:r>
              <w:rPr>
                <w:rFonts w:hint="eastAsia" w:ascii="仿宋_GB2312" w:hAnsi="仿宋" w:eastAsia="仿宋_GB2312" w:cs="Times New Roman"/>
                <w:color w:val="000000"/>
                <w:sz w:val="24"/>
                <w:szCs w:val="32"/>
              </w:rPr>
              <w:t>卢栋明</w:t>
            </w:r>
          </w:p>
        </w:tc>
        <w:tc>
          <w:tcPr>
            <w:tcW w:w="890" w:type="pct"/>
            <w:vAlign w:val="center"/>
          </w:tcPr>
          <w:p w14:paraId="3787434D">
            <w:pPr>
              <w:jc w:val="center"/>
              <w:textAlignment w:val="baseline"/>
              <w:rPr>
                <w:rFonts w:hint="eastAsia" w:ascii="仿宋_GB2312" w:hAnsi="仿宋" w:eastAsia="仿宋_GB2312" w:cs="Times New Roman"/>
                <w:color w:val="000000"/>
                <w:sz w:val="24"/>
                <w:szCs w:val="32"/>
              </w:rPr>
            </w:pPr>
            <w:r>
              <w:rPr>
                <w:rFonts w:hint="eastAsia" w:ascii="仿宋_GB2312" w:hAnsi="仿宋" w:eastAsia="仿宋_GB2312" w:cs="Times New Roman"/>
                <w:color w:val="000000"/>
                <w:sz w:val="24"/>
                <w:szCs w:val="32"/>
              </w:rPr>
              <w:t>副教授</w:t>
            </w:r>
          </w:p>
        </w:tc>
        <w:tc>
          <w:tcPr>
            <w:tcW w:w="846" w:type="pct"/>
            <w:vAlign w:val="center"/>
          </w:tcPr>
          <w:p w14:paraId="54BD0155">
            <w:pPr>
              <w:jc w:val="center"/>
              <w:textAlignment w:val="baseline"/>
              <w:rPr>
                <w:rFonts w:hint="eastAsia" w:ascii="仿宋_GB2312" w:hAnsi="仿宋" w:eastAsia="仿宋_GB2312" w:cs="Times New Roman"/>
                <w:color w:val="000000"/>
                <w:sz w:val="24"/>
                <w:szCs w:val="32"/>
              </w:rPr>
            </w:pPr>
            <w:r>
              <w:rPr>
                <w:rFonts w:hint="eastAsia" w:ascii="仿宋_GB2312" w:hAnsi="仿宋" w:eastAsia="仿宋_GB2312" w:cs="Times New Roman"/>
                <w:color w:val="000000"/>
                <w:sz w:val="24"/>
                <w:szCs w:val="32"/>
              </w:rPr>
              <w:t>针灸推拿学</w:t>
            </w:r>
          </w:p>
        </w:tc>
        <w:tc>
          <w:tcPr>
            <w:tcW w:w="1163" w:type="pct"/>
            <w:vAlign w:val="center"/>
          </w:tcPr>
          <w:p w14:paraId="3B547AC6">
            <w:pPr>
              <w:jc w:val="center"/>
              <w:textAlignment w:val="baseline"/>
              <w:rPr>
                <w:rFonts w:hint="eastAsia" w:ascii="仿宋_GB2312" w:hAnsi="仿宋" w:eastAsia="仿宋_GB2312" w:cs="Times New Roman"/>
                <w:color w:val="000000"/>
                <w:sz w:val="24"/>
                <w:szCs w:val="32"/>
              </w:rPr>
            </w:pPr>
            <w:r>
              <w:rPr>
                <w:rFonts w:hint="eastAsia" w:ascii="仿宋_GB2312" w:hAnsi="仿宋" w:eastAsia="仿宋_GB2312" w:cs="Times New Roman"/>
                <w:color w:val="000000"/>
                <w:sz w:val="24"/>
                <w:szCs w:val="32"/>
              </w:rPr>
              <w:t>广西中医药大学第一附属医院</w:t>
            </w:r>
          </w:p>
        </w:tc>
        <w:tc>
          <w:tcPr>
            <w:tcW w:w="1497" w:type="pct"/>
          </w:tcPr>
          <w:p w14:paraId="6F1DB717">
            <w:pPr>
              <w:suppressAutoHyphens/>
              <w:rPr>
                <w:rFonts w:ascii="仿宋_GB2312" w:hAnsi="Times New Roman" w:eastAsia="仿宋_GB2312"/>
                <w:bCs/>
                <w:color w:val="000000"/>
                <w:sz w:val="24"/>
              </w:rPr>
            </w:pPr>
            <w:r>
              <w:rPr>
                <w:rFonts w:hint="eastAsia" w:ascii="仿宋_GB2312" w:hAnsi="Times New Roman" w:eastAsia="仿宋_GB2312"/>
                <w:bCs/>
                <w:color w:val="000000"/>
                <w:sz w:val="24"/>
              </w:rPr>
              <w:t>查询、收集和整理资料，协助标准文本及编制说明的编写、实施。</w:t>
            </w:r>
          </w:p>
        </w:tc>
      </w:tr>
      <w:tr w14:paraId="2C4349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95" w:hRule="atLeast"/>
          <w:jc w:val="center"/>
        </w:trPr>
        <w:tc>
          <w:tcPr>
            <w:tcW w:w="602" w:type="pct"/>
            <w:vAlign w:val="center"/>
          </w:tcPr>
          <w:p w14:paraId="5A72637C">
            <w:pPr>
              <w:jc w:val="center"/>
              <w:textAlignment w:val="baseline"/>
              <w:rPr>
                <w:rFonts w:hint="eastAsia" w:ascii="仿宋_GB2312" w:hAnsi="仿宋" w:eastAsia="仿宋_GB2312" w:cs="Times New Roman"/>
                <w:color w:val="000000"/>
                <w:sz w:val="24"/>
                <w:szCs w:val="32"/>
              </w:rPr>
            </w:pPr>
            <w:r>
              <w:rPr>
                <w:rFonts w:hint="eastAsia" w:ascii="仿宋_GB2312" w:hAnsi="仿宋" w:eastAsia="仿宋_GB2312" w:cs="Times New Roman"/>
                <w:color w:val="000000"/>
                <w:sz w:val="24"/>
                <w:szCs w:val="32"/>
              </w:rPr>
              <w:t>符维艳</w:t>
            </w:r>
          </w:p>
        </w:tc>
        <w:tc>
          <w:tcPr>
            <w:tcW w:w="890" w:type="pct"/>
            <w:vAlign w:val="center"/>
          </w:tcPr>
          <w:p w14:paraId="2B9FDEC2">
            <w:pPr>
              <w:jc w:val="center"/>
              <w:textAlignment w:val="baseline"/>
              <w:rPr>
                <w:rFonts w:hint="eastAsia" w:ascii="仿宋_GB2312" w:hAnsi="仿宋" w:eastAsia="仿宋_GB2312" w:cs="Times New Roman"/>
                <w:color w:val="000000"/>
                <w:sz w:val="24"/>
                <w:szCs w:val="32"/>
              </w:rPr>
            </w:pPr>
            <w:r>
              <w:rPr>
                <w:rFonts w:hint="eastAsia" w:ascii="仿宋_GB2312" w:hAnsi="仿宋" w:eastAsia="仿宋_GB2312" w:cs="Times New Roman"/>
                <w:color w:val="000000"/>
                <w:sz w:val="24"/>
                <w:szCs w:val="32"/>
              </w:rPr>
              <w:t>主治医师</w:t>
            </w:r>
          </w:p>
        </w:tc>
        <w:tc>
          <w:tcPr>
            <w:tcW w:w="846" w:type="pct"/>
            <w:vAlign w:val="center"/>
          </w:tcPr>
          <w:p w14:paraId="42774908">
            <w:pPr>
              <w:jc w:val="center"/>
              <w:textAlignment w:val="baseline"/>
              <w:rPr>
                <w:rFonts w:hint="eastAsia" w:ascii="仿宋_GB2312" w:hAnsi="仿宋" w:eastAsia="仿宋_GB2312" w:cs="Times New Roman"/>
                <w:color w:val="000000"/>
                <w:sz w:val="24"/>
                <w:szCs w:val="32"/>
              </w:rPr>
            </w:pPr>
            <w:r>
              <w:rPr>
                <w:rFonts w:hint="eastAsia" w:ascii="仿宋_GB2312" w:hAnsi="仿宋" w:eastAsia="仿宋_GB2312" w:cs="Times New Roman"/>
                <w:color w:val="000000"/>
                <w:sz w:val="24"/>
                <w:szCs w:val="32"/>
              </w:rPr>
              <w:t>针灸推拿学</w:t>
            </w:r>
          </w:p>
        </w:tc>
        <w:tc>
          <w:tcPr>
            <w:tcW w:w="1163" w:type="pct"/>
            <w:vAlign w:val="center"/>
          </w:tcPr>
          <w:p w14:paraId="0F968EEB">
            <w:pPr>
              <w:jc w:val="center"/>
              <w:textAlignment w:val="baseline"/>
              <w:rPr>
                <w:rFonts w:hint="eastAsia" w:ascii="仿宋_GB2312" w:hAnsi="仿宋" w:eastAsia="仿宋_GB2312" w:cs="Times New Roman"/>
                <w:color w:val="000000"/>
                <w:sz w:val="24"/>
                <w:szCs w:val="32"/>
              </w:rPr>
            </w:pPr>
            <w:r>
              <w:rPr>
                <w:rFonts w:hint="eastAsia" w:ascii="仿宋_GB2312" w:hAnsi="仿宋" w:eastAsia="仿宋_GB2312" w:cs="Times New Roman"/>
                <w:color w:val="000000"/>
                <w:sz w:val="24"/>
                <w:szCs w:val="32"/>
              </w:rPr>
              <w:t>广西中医药大学第一附属医院</w:t>
            </w:r>
          </w:p>
        </w:tc>
        <w:tc>
          <w:tcPr>
            <w:tcW w:w="1497" w:type="pct"/>
          </w:tcPr>
          <w:p w14:paraId="6B0810B0">
            <w:pPr>
              <w:suppressAutoHyphens/>
              <w:rPr>
                <w:rFonts w:ascii="仿宋_GB2312" w:hAnsi="Times New Roman" w:eastAsia="仿宋_GB2312"/>
                <w:bCs/>
                <w:color w:val="000000"/>
                <w:sz w:val="24"/>
              </w:rPr>
            </w:pPr>
            <w:r>
              <w:rPr>
                <w:rFonts w:hint="eastAsia" w:ascii="仿宋_GB2312" w:hAnsi="Times New Roman" w:eastAsia="仿宋_GB2312"/>
                <w:bCs/>
                <w:color w:val="000000"/>
                <w:sz w:val="24"/>
              </w:rPr>
              <w:t>查询、收集和整理资料，协助标准文本及编制说明的编写、实施。</w:t>
            </w:r>
          </w:p>
        </w:tc>
      </w:tr>
      <w:tr w14:paraId="730DDE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95" w:hRule="atLeast"/>
          <w:jc w:val="center"/>
        </w:trPr>
        <w:tc>
          <w:tcPr>
            <w:tcW w:w="602" w:type="pct"/>
            <w:vAlign w:val="center"/>
          </w:tcPr>
          <w:p w14:paraId="0288CCF0">
            <w:pPr>
              <w:jc w:val="center"/>
              <w:textAlignment w:val="baseline"/>
              <w:rPr>
                <w:rFonts w:hint="eastAsia" w:ascii="仿宋_GB2312" w:hAnsi="仿宋" w:eastAsia="仿宋_GB2312" w:cs="Times New Roman"/>
                <w:color w:val="000000"/>
                <w:sz w:val="24"/>
                <w:szCs w:val="32"/>
              </w:rPr>
            </w:pPr>
            <w:r>
              <w:rPr>
                <w:rFonts w:hint="eastAsia" w:ascii="仿宋_GB2312" w:hAnsi="仿宋" w:eastAsia="仿宋_GB2312" w:cs="Times New Roman"/>
                <w:color w:val="000000"/>
                <w:sz w:val="24"/>
                <w:szCs w:val="32"/>
              </w:rPr>
              <w:t>王喜龙</w:t>
            </w:r>
          </w:p>
        </w:tc>
        <w:tc>
          <w:tcPr>
            <w:tcW w:w="890" w:type="pct"/>
            <w:vAlign w:val="center"/>
          </w:tcPr>
          <w:p w14:paraId="39F845CE">
            <w:pPr>
              <w:jc w:val="center"/>
              <w:textAlignment w:val="baseline"/>
              <w:rPr>
                <w:rFonts w:hint="eastAsia" w:ascii="仿宋_GB2312" w:hAnsi="仿宋" w:eastAsia="仿宋_GB2312" w:cs="Times New Roman"/>
                <w:color w:val="000000"/>
                <w:sz w:val="24"/>
                <w:szCs w:val="32"/>
              </w:rPr>
            </w:pPr>
            <w:r>
              <w:rPr>
                <w:rFonts w:hint="eastAsia" w:ascii="仿宋_GB2312" w:hAnsi="仿宋" w:eastAsia="仿宋_GB2312" w:cs="Times New Roman"/>
                <w:color w:val="000000"/>
                <w:sz w:val="24"/>
                <w:szCs w:val="32"/>
              </w:rPr>
              <w:t>副主任医师</w:t>
            </w:r>
          </w:p>
        </w:tc>
        <w:tc>
          <w:tcPr>
            <w:tcW w:w="846" w:type="pct"/>
            <w:vAlign w:val="center"/>
          </w:tcPr>
          <w:p w14:paraId="45C004BC">
            <w:pPr>
              <w:jc w:val="center"/>
              <w:textAlignment w:val="baseline"/>
              <w:rPr>
                <w:rFonts w:hint="eastAsia" w:ascii="仿宋_GB2312" w:hAnsi="仿宋" w:eastAsia="仿宋_GB2312" w:cs="Times New Roman"/>
                <w:color w:val="000000"/>
                <w:sz w:val="24"/>
                <w:szCs w:val="32"/>
              </w:rPr>
            </w:pPr>
            <w:r>
              <w:rPr>
                <w:rFonts w:hint="eastAsia" w:ascii="仿宋_GB2312" w:hAnsi="仿宋" w:eastAsia="仿宋_GB2312" w:cs="Times New Roman"/>
                <w:color w:val="000000"/>
                <w:sz w:val="24"/>
                <w:szCs w:val="32"/>
              </w:rPr>
              <w:t>中医康复</w:t>
            </w:r>
          </w:p>
        </w:tc>
        <w:tc>
          <w:tcPr>
            <w:tcW w:w="1163" w:type="pct"/>
            <w:vAlign w:val="center"/>
          </w:tcPr>
          <w:p w14:paraId="0085D531">
            <w:pPr>
              <w:jc w:val="center"/>
              <w:textAlignment w:val="baseline"/>
              <w:rPr>
                <w:rFonts w:hint="eastAsia" w:ascii="仿宋_GB2312" w:hAnsi="仿宋" w:eastAsia="仿宋_GB2312" w:cs="Times New Roman"/>
                <w:color w:val="000000"/>
                <w:sz w:val="24"/>
                <w:szCs w:val="32"/>
              </w:rPr>
            </w:pPr>
            <w:r>
              <w:rPr>
                <w:rFonts w:hint="eastAsia" w:ascii="仿宋_GB2312" w:hAnsi="仿宋" w:eastAsia="仿宋_GB2312" w:cs="Times New Roman"/>
                <w:color w:val="000000"/>
                <w:sz w:val="24"/>
                <w:szCs w:val="32"/>
              </w:rPr>
              <w:t>广西壮族自治区江滨医院</w:t>
            </w:r>
          </w:p>
        </w:tc>
        <w:tc>
          <w:tcPr>
            <w:tcW w:w="1497" w:type="pct"/>
          </w:tcPr>
          <w:p w14:paraId="30B679B3">
            <w:pPr>
              <w:suppressAutoHyphens/>
              <w:rPr>
                <w:rFonts w:ascii="仿宋_GB2312" w:hAnsi="Times New Roman" w:eastAsia="仿宋_GB2312"/>
                <w:bCs/>
                <w:color w:val="000000"/>
                <w:sz w:val="24"/>
              </w:rPr>
            </w:pPr>
            <w:r>
              <w:rPr>
                <w:rFonts w:hint="eastAsia" w:ascii="仿宋_GB2312" w:hAnsi="Times New Roman" w:eastAsia="仿宋_GB2312"/>
                <w:bCs/>
                <w:color w:val="000000"/>
                <w:sz w:val="24"/>
              </w:rPr>
              <w:t>查询、收集和整理资料，协助标准文本及编制说明的编写、实施。</w:t>
            </w:r>
          </w:p>
        </w:tc>
      </w:tr>
      <w:tr w14:paraId="7C51DC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95" w:hRule="atLeast"/>
          <w:jc w:val="center"/>
        </w:trPr>
        <w:tc>
          <w:tcPr>
            <w:tcW w:w="602" w:type="pct"/>
            <w:vAlign w:val="center"/>
          </w:tcPr>
          <w:p w14:paraId="4A44F840">
            <w:pPr>
              <w:jc w:val="center"/>
              <w:textAlignment w:val="baseline"/>
              <w:rPr>
                <w:rFonts w:hint="eastAsia" w:ascii="仿宋_GB2312" w:hAnsi="仿宋" w:eastAsia="仿宋_GB2312" w:cs="Times New Roman"/>
                <w:color w:val="000000"/>
                <w:sz w:val="24"/>
                <w:szCs w:val="32"/>
              </w:rPr>
            </w:pPr>
            <w:r>
              <w:rPr>
                <w:rFonts w:hint="eastAsia" w:ascii="仿宋_GB2312" w:hAnsi="仿宋" w:eastAsia="仿宋_GB2312" w:cs="Times New Roman"/>
                <w:color w:val="000000"/>
                <w:sz w:val="24"/>
                <w:szCs w:val="32"/>
              </w:rPr>
              <w:t>马钰婷</w:t>
            </w:r>
          </w:p>
        </w:tc>
        <w:tc>
          <w:tcPr>
            <w:tcW w:w="890" w:type="pct"/>
            <w:vAlign w:val="center"/>
          </w:tcPr>
          <w:p w14:paraId="0FB644DF">
            <w:pPr>
              <w:jc w:val="center"/>
              <w:textAlignment w:val="baseline"/>
              <w:rPr>
                <w:rFonts w:hint="eastAsia" w:ascii="仿宋_GB2312" w:hAnsi="仿宋" w:eastAsia="仿宋_GB2312" w:cs="Times New Roman"/>
                <w:color w:val="000000"/>
                <w:sz w:val="24"/>
                <w:szCs w:val="32"/>
              </w:rPr>
            </w:pPr>
            <w:r>
              <w:rPr>
                <w:rFonts w:hint="eastAsia" w:ascii="仿宋_GB2312" w:hAnsi="仿宋" w:eastAsia="仿宋_GB2312" w:cs="Times New Roman"/>
                <w:color w:val="000000"/>
                <w:sz w:val="24"/>
                <w:szCs w:val="32"/>
              </w:rPr>
              <w:t>副主任医师</w:t>
            </w:r>
          </w:p>
        </w:tc>
        <w:tc>
          <w:tcPr>
            <w:tcW w:w="846" w:type="pct"/>
            <w:vAlign w:val="center"/>
          </w:tcPr>
          <w:p w14:paraId="14AB8537">
            <w:pPr>
              <w:jc w:val="center"/>
              <w:textAlignment w:val="baseline"/>
              <w:rPr>
                <w:rFonts w:hint="eastAsia" w:ascii="仿宋_GB2312" w:hAnsi="仿宋" w:eastAsia="仿宋_GB2312" w:cs="Times New Roman"/>
                <w:color w:val="000000"/>
                <w:sz w:val="24"/>
                <w:szCs w:val="32"/>
              </w:rPr>
            </w:pPr>
            <w:r>
              <w:rPr>
                <w:rFonts w:hint="eastAsia" w:ascii="仿宋_GB2312" w:hAnsi="仿宋" w:eastAsia="仿宋_GB2312" w:cs="Times New Roman"/>
                <w:color w:val="000000"/>
                <w:sz w:val="24"/>
                <w:szCs w:val="32"/>
              </w:rPr>
              <w:t>中医康复</w:t>
            </w:r>
          </w:p>
        </w:tc>
        <w:tc>
          <w:tcPr>
            <w:tcW w:w="1163" w:type="pct"/>
            <w:vAlign w:val="center"/>
          </w:tcPr>
          <w:p w14:paraId="68C6ABB1">
            <w:pPr>
              <w:jc w:val="center"/>
              <w:textAlignment w:val="baseline"/>
              <w:rPr>
                <w:rFonts w:hint="eastAsia" w:ascii="仿宋_GB2312" w:hAnsi="仿宋" w:eastAsia="仿宋_GB2312" w:cs="Times New Roman"/>
                <w:color w:val="000000"/>
                <w:sz w:val="24"/>
                <w:szCs w:val="32"/>
              </w:rPr>
            </w:pPr>
            <w:r>
              <w:rPr>
                <w:rFonts w:hint="eastAsia" w:ascii="仿宋_GB2312" w:hAnsi="仿宋" w:eastAsia="仿宋_GB2312" w:cs="Times New Roman"/>
                <w:color w:val="000000"/>
                <w:sz w:val="24"/>
                <w:szCs w:val="32"/>
              </w:rPr>
              <w:t>南宁市第四人民医院</w:t>
            </w:r>
          </w:p>
        </w:tc>
        <w:tc>
          <w:tcPr>
            <w:tcW w:w="1497" w:type="pct"/>
          </w:tcPr>
          <w:p w14:paraId="25424C68">
            <w:pPr>
              <w:suppressAutoHyphens/>
              <w:rPr>
                <w:rFonts w:ascii="仿宋_GB2312" w:hAnsi="Times New Roman" w:eastAsia="仿宋_GB2312"/>
                <w:bCs/>
                <w:color w:val="000000"/>
                <w:sz w:val="24"/>
              </w:rPr>
            </w:pPr>
            <w:r>
              <w:rPr>
                <w:rFonts w:hint="eastAsia" w:ascii="仿宋_GB2312" w:hAnsi="Times New Roman" w:eastAsia="仿宋_GB2312"/>
                <w:bCs/>
                <w:color w:val="000000"/>
                <w:sz w:val="24"/>
              </w:rPr>
              <w:t>查询、收集和整理资料，协助标准文本及编制说明的编写、实施。</w:t>
            </w:r>
          </w:p>
        </w:tc>
      </w:tr>
      <w:tr w14:paraId="62AA91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95" w:hRule="atLeast"/>
          <w:jc w:val="center"/>
        </w:trPr>
        <w:tc>
          <w:tcPr>
            <w:tcW w:w="602" w:type="pct"/>
            <w:vAlign w:val="center"/>
          </w:tcPr>
          <w:p w14:paraId="26FFE52F">
            <w:pPr>
              <w:jc w:val="center"/>
              <w:textAlignment w:val="baseline"/>
              <w:rPr>
                <w:rFonts w:hint="eastAsia" w:ascii="仿宋_GB2312" w:hAnsi="仿宋" w:eastAsia="仿宋_GB2312" w:cs="Times New Roman"/>
                <w:color w:val="000000"/>
                <w:sz w:val="24"/>
                <w:szCs w:val="32"/>
              </w:rPr>
            </w:pPr>
            <w:r>
              <w:rPr>
                <w:rFonts w:hint="eastAsia" w:ascii="仿宋_GB2312" w:hAnsi="仿宋" w:eastAsia="仿宋_GB2312" w:cs="Times New Roman"/>
                <w:color w:val="000000"/>
                <w:sz w:val="24"/>
                <w:szCs w:val="32"/>
              </w:rPr>
              <w:t>吕苏津</w:t>
            </w:r>
          </w:p>
        </w:tc>
        <w:tc>
          <w:tcPr>
            <w:tcW w:w="890" w:type="pct"/>
            <w:vAlign w:val="center"/>
          </w:tcPr>
          <w:p w14:paraId="419C6684">
            <w:pPr>
              <w:jc w:val="center"/>
              <w:textAlignment w:val="baseline"/>
              <w:rPr>
                <w:rFonts w:hint="eastAsia" w:ascii="仿宋_GB2312" w:hAnsi="仿宋" w:eastAsia="仿宋_GB2312" w:cs="Times New Roman"/>
                <w:color w:val="000000"/>
                <w:sz w:val="24"/>
                <w:szCs w:val="32"/>
              </w:rPr>
            </w:pPr>
            <w:r>
              <w:rPr>
                <w:rFonts w:hint="eastAsia" w:ascii="仿宋_GB2312" w:hAnsi="仿宋" w:eastAsia="仿宋_GB2312" w:cs="Times New Roman"/>
                <w:color w:val="000000"/>
                <w:sz w:val="24"/>
                <w:szCs w:val="32"/>
              </w:rPr>
              <w:t>主治医师</w:t>
            </w:r>
          </w:p>
        </w:tc>
        <w:tc>
          <w:tcPr>
            <w:tcW w:w="846" w:type="pct"/>
            <w:vAlign w:val="center"/>
          </w:tcPr>
          <w:p w14:paraId="24BE58DF">
            <w:pPr>
              <w:jc w:val="center"/>
              <w:textAlignment w:val="baseline"/>
              <w:rPr>
                <w:rFonts w:hint="eastAsia" w:ascii="仿宋_GB2312" w:hAnsi="仿宋" w:eastAsia="仿宋_GB2312" w:cs="Times New Roman"/>
                <w:color w:val="000000"/>
                <w:sz w:val="24"/>
                <w:szCs w:val="32"/>
              </w:rPr>
            </w:pPr>
            <w:r>
              <w:rPr>
                <w:rFonts w:hint="eastAsia" w:ascii="仿宋_GB2312" w:hAnsi="仿宋" w:eastAsia="仿宋_GB2312" w:cs="Times New Roman"/>
                <w:color w:val="000000"/>
                <w:sz w:val="24"/>
                <w:szCs w:val="32"/>
              </w:rPr>
              <w:t>中医康复</w:t>
            </w:r>
          </w:p>
        </w:tc>
        <w:tc>
          <w:tcPr>
            <w:tcW w:w="1163" w:type="pct"/>
            <w:vAlign w:val="center"/>
          </w:tcPr>
          <w:p w14:paraId="7A72B860">
            <w:pPr>
              <w:jc w:val="center"/>
              <w:textAlignment w:val="baseline"/>
              <w:rPr>
                <w:rFonts w:hint="eastAsia" w:ascii="仿宋_GB2312" w:hAnsi="仿宋" w:eastAsia="仿宋_GB2312" w:cs="Times New Roman"/>
                <w:color w:val="000000"/>
                <w:sz w:val="24"/>
                <w:szCs w:val="32"/>
              </w:rPr>
            </w:pPr>
            <w:r>
              <w:rPr>
                <w:rFonts w:hint="eastAsia" w:ascii="仿宋_GB2312" w:hAnsi="仿宋" w:eastAsia="仿宋_GB2312" w:cs="Times New Roman"/>
                <w:color w:val="000000"/>
                <w:sz w:val="24"/>
                <w:szCs w:val="32"/>
              </w:rPr>
              <w:t>陆川县乌石镇中心卫生院</w:t>
            </w:r>
          </w:p>
        </w:tc>
        <w:tc>
          <w:tcPr>
            <w:tcW w:w="1497" w:type="pct"/>
          </w:tcPr>
          <w:p w14:paraId="5C30CC7C">
            <w:pPr>
              <w:suppressAutoHyphens/>
              <w:rPr>
                <w:rFonts w:ascii="仿宋_GB2312" w:hAnsi="Times New Roman" w:eastAsia="仿宋_GB2312"/>
                <w:bCs/>
                <w:color w:val="000000"/>
                <w:sz w:val="24"/>
              </w:rPr>
            </w:pPr>
            <w:r>
              <w:rPr>
                <w:rFonts w:hint="eastAsia" w:ascii="仿宋_GB2312" w:hAnsi="Times New Roman" w:eastAsia="仿宋_GB2312"/>
                <w:bCs/>
                <w:color w:val="000000"/>
                <w:sz w:val="24"/>
              </w:rPr>
              <w:t>查询、收集和整理资料，协助标准文本及编制说明的编写、实施。</w:t>
            </w:r>
          </w:p>
        </w:tc>
      </w:tr>
      <w:tr w14:paraId="3E7626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95" w:hRule="atLeast"/>
          <w:jc w:val="center"/>
        </w:trPr>
        <w:tc>
          <w:tcPr>
            <w:tcW w:w="602" w:type="pct"/>
            <w:vAlign w:val="center"/>
          </w:tcPr>
          <w:p w14:paraId="737622A4">
            <w:pPr>
              <w:jc w:val="center"/>
              <w:textAlignment w:val="baseline"/>
              <w:rPr>
                <w:rFonts w:hint="eastAsia" w:ascii="仿宋_GB2312" w:hAnsi="仿宋" w:eastAsia="仿宋_GB2312" w:cs="Times New Roman"/>
                <w:color w:val="000000"/>
                <w:sz w:val="24"/>
                <w:szCs w:val="32"/>
              </w:rPr>
            </w:pPr>
            <w:r>
              <w:rPr>
                <w:rFonts w:hint="eastAsia" w:ascii="仿宋_GB2312" w:hAnsi="仿宋" w:eastAsia="仿宋_GB2312" w:cs="Times New Roman"/>
                <w:color w:val="000000"/>
                <w:sz w:val="24"/>
                <w:szCs w:val="32"/>
              </w:rPr>
              <w:t>袁经阳</w:t>
            </w:r>
          </w:p>
        </w:tc>
        <w:tc>
          <w:tcPr>
            <w:tcW w:w="890" w:type="pct"/>
            <w:vAlign w:val="center"/>
          </w:tcPr>
          <w:p w14:paraId="5E836018">
            <w:pPr>
              <w:jc w:val="center"/>
              <w:textAlignment w:val="baseline"/>
              <w:rPr>
                <w:rFonts w:hint="eastAsia" w:ascii="仿宋_GB2312" w:hAnsi="仿宋" w:eastAsia="仿宋_GB2312" w:cs="Times New Roman"/>
                <w:color w:val="000000"/>
                <w:sz w:val="24"/>
                <w:szCs w:val="32"/>
              </w:rPr>
            </w:pPr>
            <w:r>
              <w:rPr>
                <w:rFonts w:hint="eastAsia" w:ascii="仿宋_GB2312" w:hAnsi="仿宋" w:eastAsia="仿宋_GB2312" w:cs="Times New Roman"/>
                <w:color w:val="000000"/>
                <w:sz w:val="24"/>
                <w:szCs w:val="32"/>
              </w:rPr>
              <w:t>副主任医师</w:t>
            </w:r>
          </w:p>
        </w:tc>
        <w:tc>
          <w:tcPr>
            <w:tcW w:w="846" w:type="pct"/>
            <w:vAlign w:val="center"/>
          </w:tcPr>
          <w:p w14:paraId="590982FA">
            <w:pPr>
              <w:jc w:val="center"/>
              <w:textAlignment w:val="baseline"/>
              <w:rPr>
                <w:rFonts w:hint="eastAsia" w:ascii="仿宋_GB2312" w:hAnsi="仿宋" w:eastAsia="仿宋_GB2312" w:cs="Times New Roman"/>
                <w:color w:val="000000"/>
                <w:sz w:val="24"/>
                <w:szCs w:val="32"/>
              </w:rPr>
            </w:pPr>
            <w:r>
              <w:rPr>
                <w:rFonts w:hint="eastAsia" w:ascii="仿宋_GB2312" w:hAnsi="仿宋" w:eastAsia="仿宋_GB2312" w:cs="Times New Roman"/>
                <w:color w:val="000000"/>
                <w:sz w:val="24"/>
                <w:szCs w:val="32"/>
              </w:rPr>
              <w:t>中医康复</w:t>
            </w:r>
          </w:p>
        </w:tc>
        <w:tc>
          <w:tcPr>
            <w:tcW w:w="1163" w:type="pct"/>
            <w:vAlign w:val="center"/>
          </w:tcPr>
          <w:p w14:paraId="68B49CEC">
            <w:pPr>
              <w:jc w:val="center"/>
              <w:textAlignment w:val="baseline"/>
              <w:rPr>
                <w:rFonts w:hint="eastAsia" w:ascii="仿宋_GB2312" w:hAnsi="仿宋" w:eastAsia="仿宋_GB2312" w:cs="Times New Roman"/>
                <w:color w:val="000000"/>
                <w:sz w:val="24"/>
                <w:szCs w:val="32"/>
              </w:rPr>
            </w:pPr>
            <w:r>
              <w:rPr>
                <w:rFonts w:hint="eastAsia" w:ascii="仿宋_GB2312" w:hAnsi="仿宋" w:eastAsia="仿宋_GB2312" w:cs="Times New Roman"/>
                <w:color w:val="000000"/>
                <w:sz w:val="24"/>
                <w:szCs w:val="32"/>
              </w:rPr>
              <w:t>广西国际壮医医院</w:t>
            </w:r>
          </w:p>
        </w:tc>
        <w:tc>
          <w:tcPr>
            <w:tcW w:w="1497" w:type="pct"/>
          </w:tcPr>
          <w:p w14:paraId="087B6C17">
            <w:pPr>
              <w:suppressAutoHyphens/>
              <w:rPr>
                <w:rFonts w:ascii="仿宋_GB2312" w:hAnsi="Times New Roman" w:eastAsia="仿宋_GB2312"/>
                <w:bCs/>
                <w:color w:val="000000"/>
                <w:sz w:val="24"/>
              </w:rPr>
            </w:pPr>
            <w:r>
              <w:rPr>
                <w:rFonts w:hint="eastAsia" w:ascii="仿宋_GB2312" w:hAnsi="Times New Roman" w:eastAsia="仿宋_GB2312"/>
                <w:bCs/>
                <w:color w:val="000000"/>
                <w:sz w:val="24"/>
              </w:rPr>
              <w:t>查询、收集和整理资料，协助标准文本及编制说明的编写、实施。</w:t>
            </w:r>
          </w:p>
        </w:tc>
      </w:tr>
      <w:tr w14:paraId="55A1A1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95" w:hRule="atLeast"/>
          <w:jc w:val="center"/>
        </w:trPr>
        <w:tc>
          <w:tcPr>
            <w:tcW w:w="602" w:type="pct"/>
            <w:vAlign w:val="center"/>
          </w:tcPr>
          <w:p w14:paraId="6CD4F11F">
            <w:pPr>
              <w:jc w:val="center"/>
              <w:textAlignment w:val="baseline"/>
              <w:rPr>
                <w:rFonts w:hint="eastAsia" w:ascii="仿宋_GB2312" w:hAnsi="仿宋" w:eastAsia="仿宋_GB2312" w:cs="Times New Roman"/>
                <w:color w:val="000000"/>
                <w:sz w:val="24"/>
                <w:szCs w:val="32"/>
              </w:rPr>
            </w:pPr>
            <w:r>
              <w:rPr>
                <w:rFonts w:hint="eastAsia" w:ascii="仿宋_GB2312" w:hAnsi="仿宋" w:eastAsia="仿宋_GB2312" w:cs="Times New Roman"/>
                <w:color w:val="000000"/>
                <w:sz w:val="24"/>
                <w:szCs w:val="32"/>
              </w:rPr>
              <w:t>莫恒</w:t>
            </w:r>
          </w:p>
        </w:tc>
        <w:tc>
          <w:tcPr>
            <w:tcW w:w="890" w:type="pct"/>
            <w:vAlign w:val="center"/>
          </w:tcPr>
          <w:p w14:paraId="4C04B42C">
            <w:pPr>
              <w:jc w:val="center"/>
              <w:textAlignment w:val="baseline"/>
              <w:rPr>
                <w:rFonts w:hint="eastAsia" w:ascii="仿宋_GB2312" w:hAnsi="仿宋" w:eastAsia="仿宋_GB2312" w:cs="Times New Roman"/>
                <w:color w:val="000000"/>
                <w:sz w:val="24"/>
                <w:szCs w:val="32"/>
              </w:rPr>
            </w:pPr>
            <w:r>
              <w:rPr>
                <w:rFonts w:hint="eastAsia" w:ascii="仿宋_GB2312" w:hAnsi="仿宋" w:eastAsia="仿宋_GB2312" w:cs="Times New Roman"/>
                <w:color w:val="000000"/>
                <w:sz w:val="24"/>
                <w:szCs w:val="32"/>
              </w:rPr>
              <w:t>主治医师</w:t>
            </w:r>
          </w:p>
        </w:tc>
        <w:tc>
          <w:tcPr>
            <w:tcW w:w="846" w:type="pct"/>
            <w:vAlign w:val="center"/>
          </w:tcPr>
          <w:p w14:paraId="39F65A59">
            <w:pPr>
              <w:jc w:val="center"/>
              <w:textAlignment w:val="baseline"/>
              <w:rPr>
                <w:rFonts w:hint="eastAsia" w:ascii="仿宋_GB2312" w:hAnsi="仿宋" w:eastAsia="仿宋_GB2312" w:cs="Times New Roman"/>
                <w:color w:val="000000"/>
                <w:sz w:val="24"/>
                <w:szCs w:val="32"/>
              </w:rPr>
            </w:pPr>
            <w:r>
              <w:rPr>
                <w:rFonts w:hint="eastAsia" w:ascii="仿宋_GB2312" w:hAnsi="仿宋" w:eastAsia="仿宋_GB2312" w:cs="Times New Roman"/>
                <w:color w:val="000000"/>
                <w:sz w:val="24"/>
                <w:szCs w:val="32"/>
              </w:rPr>
              <w:t>康复医学</w:t>
            </w:r>
          </w:p>
        </w:tc>
        <w:tc>
          <w:tcPr>
            <w:tcW w:w="1163" w:type="pct"/>
            <w:vAlign w:val="center"/>
          </w:tcPr>
          <w:p w14:paraId="4D85B79F">
            <w:pPr>
              <w:jc w:val="center"/>
              <w:textAlignment w:val="baseline"/>
              <w:rPr>
                <w:rFonts w:hint="eastAsia" w:ascii="仿宋_GB2312" w:hAnsi="仿宋" w:eastAsia="仿宋_GB2312" w:cs="Times New Roman"/>
                <w:color w:val="000000"/>
                <w:sz w:val="24"/>
                <w:szCs w:val="32"/>
              </w:rPr>
            </w:pPr>
            <w:r>
              <w:rPr>
                <w:rFonts w:hint="eastAsia" w:ascii="仿宋_GB2312" w:hAnsi="仿宋" w:eastAsia="仿宋_GB2312" w:cs="Times New Roman"/>
                <w:color w:val="000000"/>
                <w:sz w:val="24"/>
                <w:szCs w:val="32"/>
              </w:rPr>
              <w:t>河池市人民医院</w:t>
            </w:r>
          </w:p>
        </w:tc>
        <w:tc>
          <w:tcPr>
            <w:tcW w:w="1497" w:type="pct"/>
          </w:tcPr>
          <w:p w14:paraId="34B42A45">
            <w:pPr>
              <w:suppressAutoHyphens/>
              <w:rPr>
                <w:rFonts w:ascii="仿宋_GB2312" w:hAnsi="Times New Roman" w:eastAsia="仿宋_GB2312"/>
                <w:bCs/>
                <w:color w:val="000000"/>
                <w:sz w:val="24"/>
              </w:rPr>
            </w:pPr>
            <w:r>
              <w:rPr>
                <w:rFonts w:hint="eastAsia" w:ascii="仿宋_GB2312" w:hAnsi="Times New Roman" w:eastAsia="仿宋_GB2312"/>
                <w:bCs/>
                <w:color w:val="000000"/>
                <w:sz w:val="24"/>
              </w:rPr>
              <w:t>查询、收集和整理资料，协助标准文本及编制说明的编写、实施。</w:t>
            </w:r>
          </w:p>
        </w:tc>
      </w:tr>
      <w:tr w14:paraId="22EE51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95" w:hRule="atLeast"/>
          <w:jc w:val="center"/>
        </w:trPr>
        <w:tc>
          <w:tcPr>
            <w:tcW w:w="602" w:type="pct"/>
            <w:vAlign w:val="center"/>
          </w:tcPr>
          <w:p w14:paraId="1049894F">
            <w:pPr>
              <w:jc w:val="center"/>
              <w:textAlignment w:val="baseline"/>
              <w:rPr>
                <w:rFonts w:hint="eastAsia" w:ascii="仿宋_GB2312" w:hAnsi="仿宋" w:eastAsia="仿宋_GB2312" w:cs="Times New Roman"/>
                <w:color w:val="000000"/>
                <w:sz w:val="24"/>
                <w:szCs w:val="32"/>
              </w:rPr>
            </w:pPr>
            <w:r>
              <w:rPr>
                <w:rFonts w:hint="eastAsia" w:ascii="仿宋_GB2312" w:hAnsi="仿宋" w:eastAsia="仿宋_GB2312" w:cs="Times New Roman"/>
                <w:color w:val="000000"/>
                <w:sz w:val="24"/>
                <w:szCs w:val="32"/>
              </w:rPr>
              <w:t>黄肖喜</w:t>
            </w:r>
          </w:p>
        </w:tc>
        <w:tc>
          <w:tcPr>
            <w:tcW w:w="890" w:type="pct"/>
            <w:vAlign w:val="center"/>
          </w:tcPr>
          <w:p w14:paraId="6A923FE9">
            <w:pPr>
              <w:jc w:val="center"/>
              <w:textAlignment w:val="baseline"/>
              <w:rPr>
                <w:rFonts w:hint="eastAsia" w:ascii="仿宋_GB2312" w:hAnsi="仿宋" w:eastAsia="仿宋_GB2312" w:cs="Times New Roman"/>
                <w:color w:val="000000"/>
                <w:sz w:val="24"/>
                <w:szCs w:val="32"/>
              </w:rPr>
            </w:pPr>
            <w:r>
              <w:rPr>
                <w:rFonts w:hint="eastAsia" w:ascii="仿宋_GB2312" w:hAnsi="仿宋" w:eastAsia="仿宋_GB2312" w:cs="Times New Roman"/>
                <w:color w:val="000000"/>
                <w:sz w:val="24"/>
                <w:szCs w:val="32"/>
              </w:rPr>
              <w:t>副主任医师</w:t>
            </w:r>
          </w:p>
        </w:tc>
        <w:tc>
          <w:tcPr>
            <w:tcW w:w="846" w:type="pct"/>
            <w:vAlign w:val="center"/>
          </w:tcPr>
          <w:p w14:paraId="660D4044">
            <w:pPr>
              <w:jc w:val="center"/>
              <w:textAlignment w:val="baseline"/>
              <w:rPr>
                <w:rFonts w:hint="eastAsia" w:ascii="仿宋_GB2312" w:hAnsi="仿宋" w:eastAsia="仿宋_GB2312" w:cs="Times New Roman"/>
                <w:color w:val="000000"/>
                <w:sz w:val="24"/>
                <w:szCs w:val="32"/>
              </w:rPr>
            </w:pPr>
            <w:r>
              <w:rPr>
                <w:rFonts w:hint="eastAsia" w:ascii="仿宋_GB2312" w:hAnsi="仿宋" w:eastAsia="仿宋_GB2312" w:cs="Times New Roman"/>
                <w:color w:val="000000"/>
                <w:sz w:val="24"/>
                <w:szCs w:val="32"/>
              </w:rPr>
              <w:t>中医康复</w:t>
            </w:r>
          </w:p>
        </w:tc>
        <w:tc>
          <w:tcPr>
            <w:tcW w:w="1163" w:type="pct"/>
            <w:vAlign w:val="center"/>
          </w:tcPr>
          <w:p w14:paraId="3AD4EC71">
            <w:pPr>
              <w:jc w:val="center"/>
              <w:textAlignment w:val="baseline"/>
              <w:rPr>
                <w:rFonts w:hint="eastAsia" w:ascii="仿宋_GB2312" w:hAnsi="仿宋" w:eastAsia="仿宋_GB2312" w:cs="Times New Roman"/>
                <w:color w:val="000000"/>
                <w:sz w:val="24"/>
                <w:szCs w:val="32"/>
              </w:rPr>
            </w:pPr>
            <w:r>
              <w:rPr>
                <w:rFonts w:hint="eastAsia" w:ascii="仿宋_GB2312" w:hAnsi="仿宋" w:eastAsia="仿宋_GB2312" w:cs="Times New Roman"/>
                <w:color w:val="000000"/>
                <w:sz w:val="24"/>
                <w:szCs w:val="32"/>
              </w:rPr>
              <w:t>大化县人民医院</w:t>
            </w:r>
          </w:p>
        </w:tc>
        <w:tc>
          <w:tcPr>
            <w:tcW w:w="1497" w:type="pct"/>
          </w:tcPr>
          <w:p w14:paraId="30A163FF">
            <w:pPr>
              <w:suppressAutoHyphens/>
              <w:rPr>
                <w:rFonts w:ascii="仿宋_GB2312" w:hAnsi="Times New Roman" w:eastAsia="仿宋_GB2312"/>
                <w:bCs/>
                <w:color w:val="000000"/>
                <w:sz w:val="24"/>
              </w:rPr>
            </w:pPr>
            <w:r>
              <w:rPr>
                <w:rFonts w:hint="eastAsia" w:ascii="仿宋_GB2312" w:hAnsi="Times New Roman" w:eastAsia="仿宋_GB2312"/>
                <w:bCs/>
                <w:color w:val="000000"/>
                <w:sz w:val="24"/>
              </w:rPr>
              <w:t>查询、收集和整理资料，协助标准文本及编制说明的编写、实施。</w:t>
            </w:r>
          </w:p>
        </w:tc>
      </w:tr>
      <w:tr w14:paraId="199B9E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95" w:hRule="atLeast"/>
          <w:jc w:val="center"/>
        </w:trPr>
        <w:tc>
          <w:tcPr>
            <w:tcW w:w="602" w:type="pct"/>
            <w:vAlign w:val="center"/>
          </w:tcPr>
          <w:p w14:paraId="4D113251">
            <w:pPr>
              <w:jc w:val="center"/>
              <w:textAlignment w:val="baseline"/>
              <w:rPr>
                <w:rFonts w:hint="eastAsia" w:ascii="仿宋_GB2312" w:hAnsi="仿宋" w:eastAsia="仿宋_GB2312" w:cs="Times New Roman"/>
                <w:color w:val="000000"/>
                <w:sz w:val="24"/>
                <w:szCs w:val="32"/>
              </w:rPr>
            </w:pPr>
            <w:r>
              <w:rPr>
                <w:rFonts w:hint="eastAsia" w:ascii="仿宋_GB2312" w:hAnsi="仿宋" w:eastAsia="仿宋_GB2312" w:cs="Times New Roman"/>
                <w:color w:val="000000"/>
                <w:sz w:val="24"/>
                <w:szCs w:val="32"/>
              </w:rPr>
              <w:t>廖华薇</w:t>
            </w:r>
          </w:p>
        </w:tc>
        <w:tc>
          <w:tcPr>
            <w:tcW w:w="890" w:type="pct"/>
            <w:vAlign w:val="center"/>
          </w:tcPr>
          <w:p w14:paraId="25F1DDFC">
            <w:pPr>
              <w:jc w:val="center"/>
              <w:textAlignment w:val="baseline"/>
              <w:rPr>
                <w:rFonts w:hint="eastAsia" w:ascii="仿宋_GB2312" w:hAnsi="仿宋" w:eastAsia="仿宋_GB2312" w:cs="Times New Roman"/>
                <w:color w:val="000000"/>
                <w:sz w:val="24"/>
                <w:szCs w:val="32"/>
              </w:rPr>
            </w:pPr>
            <w:r>
              <w:rPr>
                <w:rFonts w:hint="eastAsia" w:ascii="仿宋_GB2312" w:hAnsi="仿宋" w:eastAsia="仿宋_GB2312" w:cs="Times New Roman"/>
                <w:color w:val="000000"/>
                <w:sz w:val="24"/>
                <w:szCs w:val="32"/>
              </w:rPr>
              <w:t>主任医师</w:t>
            </w:r>
          </w:p>
        </w:tc>
        <w:tc>
          <w:tcPr>
            <w:tcW w:w="846" w:type="pct"/>
            <w:vAlign w:val="center"/>
          </w:tcPr>
          <w:p w14:paraId="32889FF7">
            <w:pPr>
              <w:jc w:val="center"/>
              <w:textAlignment w:val="baseline"/>
              <w:rPr>
                <w:rFonts w:hint="eastAsia" w:ascii="仿宋_GB2312" w:hAnsi="仿宋" w:eastAsia="仿宋_GB2312" w:cs="Times New Roman"/>
                <w:color w:val="000000"/>
                <w:sz w:val="24"/>
                <w:szCs w:val="32"/>
              </w:rPr>
            </w:pPr>
            <w:r>
              <w:rPr>
                <w:rFonts w:hint="eastAsia" w:ascii="仿宋_GB2312" w:hAnsi="仿宋" w:eastAsia="仿宋_GB2312" w:cs="Times New Roman"/>
                <w:color w:val="000000"/>
                <w:sz w:val="24"/>
                <w:szCs w:val="32"/>
              </w:rPr>
              <w:t>中医康复</w:t>
            </w:r>
          </w:p>
        </w:tc>
        <w:tc>
          <w:tcPr>
            <w:tcW w:w="1163" w:type="pct"/>
            <w:vAlign w:val="center"/>
          </w:tcPr>
          <w:p w14:paraId="08556564">
            <w:pPr>
              <w:jc w:val="center"/>
              <w:textAlignment w:val="baseline"/>
              <w:rPr>
                <w:rFonts w:hint="eastAsia" w:ascii="仿宋_GB2312" w:hAnsi="仿宋" w:eastAsia="仿宋_GB2312" w:cs="Times New Roman"/>
                <w:color w:val="000000"/>
                <w:sz w:val="24"/>
                <w:szCs w:val="32"/>
              </w:rPr>
            </w:pPr>
            <w:r>
              <w:rPr>
                <w:rFonts w:hint="eastAsia" w:ascii="仿宋_GB2312" w:hAnsi="仿宋" w:eastAsia="仿宋_GB2312" w:cs="Times New Roman"/>
                <w:color w:val="000000"/>
                <w:sz w:val="24"/>
                <w:szCs w:val="32"/>
              </w:rPr>
              <w:t>南宁市第八人民医院</w:t>
            </w:r>
          </w:p>
        </w:tc>
        <w:tc>
          <w:tcPr>
            <w:tcW w:w="1497" w:type="pct"/>
          </w:tcPr>
          <w:p w14:paraId="63575A16">
            <w:pPr>
              <w:suppressAutoHyphens/>
              <w:rPr>
                <w:rFonts w:ascii="仿宋_GB2312" w:hAnsi="Times New Roman" w:eastAsia="仿宋_GB2312"/>
                <w:bCs/>
                <w:color w:val="000000"/>
                <w:sz w:val="24"/>
              </w:rPr>
            </w:pPr>
            <w:r>
              <w:rPr>
                <w:rFonts w:hint="eastAsia" w:ascii="仿宋_GB2312" w:hAnsi="Times New Roman" w:eastAsia="仿宋_GB2312"/>
                <w:bCs/>
                <w:color w:val="000000"/>
                <w:sz w:val="24"/>
              </w:rPr>
              <w:t>查询、收集和整理资料，协助标准文本及编制说明的编写、实施。</w:t>
            </w:r>
          </w:p>
        </w:tc>
      </w:tr>
      <w:tr w14:paraId="19AD58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95" w:hRule="atLeast"/>
          <w:jc w:val="center"/>
        </w:trPr>
        <w:tc>
          <w:tcPr>
            <w:tcW w:w="602" w:type="pct"/>
            <w:vAlign w:val="center"/>
          </w:tcPr>
          <w:p w14:paraId="651680AA">
            <w:pPr>
              <w:jc w:val="center"/>
              <w:textAlignment w:val="baseline"/>
              <w:rPr>
                <w:rFonts w:hint="eastAsia" w:ascii="仿宋_GB2312" w:hAnsi="仿宋" w:eastAsia="仿宋_GB2312" w:cs="Times New Roman"/>
                <w:color w:val="000000"/>
                <w:sz w:val="24"/>
                <w:szCs w:val="32"/>
              </w:rPr>
            </w:pPr>
            <w:r>
              <w:rPr>
                <w:rFonts w:hint="eastAsia" w:ascii="仿宋_GB2312" w:hAnsi="仿宋" w:eastAsia="仿宋_GB2312" w:cs="Times New Roman"/>
                <w:color w:val="000000"/>
                <w:sz w:val="24"/>
                <w:szCs w:val="32"/>
              </w:rPr>
              <w:t>黄湖</w:t>
            </w:r>
          </w:p>
        </w:tc>
        <w:tc>
          <w:tcPr>
            <w:tcW w:w="890" w:type="pct"/>
            <w:vAlign w:val="center"/>
          </w:tcPr>
          <w:p w14:paraId="250404D7">
            <w:pPr>
              <w:jc w:val="center"/>
              <w:textAlignment w:val="baseline"/>
              <w:rPr>
                <w:rFonts w:hint="eastAsia" w:ascii="仿宋_GB2312" w:hAnsi="仿宋" w:eastAsia="仿宋_GB2312" w:cs="Times New Roman"/>
                <w:color w:val="000000"/>
                <w:sz w:val="24"/>
                <w:szCs w:val="32"/>
              </w:rPr>
            </w:pPr>
            <w:r>
              <w:rPr>
                <w:rFonts w:hint="eastAsia" w:ascii="仿宋_GB2312" w:hAnsi="仿宋" w:eastAsia="仿宋_GB2312" w:cs="Times New Roman"/>
                <w:color w:val="000000"/>
                <w:sz w:val="24"/>
                <w:szCs w:val="32"/>
              </w:rPr>
              <w:t>副主任医师</w:t>
            </w:r>
          </w:p>
        </w:tc>
        <w:tc>
          <w:tcPr>
            <w:tcW w:w="846" w:type="pct"/>
            <w:vAlign w:val="center"/>
          </w:tcPr>
          <w:p w14:paraId="4591803F">
            <w:pPr>
              <w:jc w:val="center"/>
              <w:textAlignment w:val="baseline"/>
              <w:rPr>
                <w:rFonts w:hint="eastAsia" w:ascii="仿宋_GB2312" w:hAnsi="仿宋" w:eastAsia="仿宋_GB2312" w:cs="Times New Roman"/>
                <w:color w:val="000000"/>
                <w:sz w:val="24"/>
                <w:szCs w:val="32"/>
              </w:rPr>
            </w:pPr>
            <w:r>
              <w:rPr>
                <w:rFonts w:hint="eastAsia" w:ascii="仿宋_GB2312" w:hAnsi="仿宋" w:eastAsia="仿宋_GB2312" w:cs="Times New Roman"/>
                <w:color w:val="000000"/>
                <w:sz w:val="24"/>
                <w:szCs w:val="32"/>
              </w:rPr>
              <w:t>中医康复</w:t>
            </w:r>
          </w:p>
        </w:tc>
        <w:tc>
          <w:tcPr>
            <w:tcW w:w="1163" w:type="pct"/>
            <w:vAlign w:val="center"/>
          </w:tcPr>
          <w:p w14:paraId="35AB7329">
            <w:pPr>
              <w:jc w:val="center"/>
              <w:textAlignment w:val="baseline"/>
              <w:rPr>
                <w:rFonts w:hint="eastAsia" w:ascii="仿宋_GB2312" w:hAnsi="仿宋" w:eastAsia="仿宋_GB2312" w:cs="Times New Roman"/>
                <w:color w:val="000000"/>
                <w:sz w:val="24"/>
                <w:szCs w:val="32"/>
              </w:rPr>
            </w:pPr>
            <w:r>
              <w:rPr>
                <w:rFonts w:hint="eastAsia" w:ascii="仿宋_GB2312" w:hAnsi="仿宋" w:eastAsia="仿宋_GB2312" w:cs="Times New Roman"/>
                <w:color w:val="000000"/>
                <w:sz w:val="24"/>
                <w:szCs w:val="32"/>
              </w:rPr>
              <w:t>玉林市中西医结合骨科医院</w:t>
            </w:r>
          </w:p>
        </w:tc>
        <w:tc>
          <w:tcPr>
            <w:tcW w:w="1497" w:type="pct"/>
          </w:tcPr>
          <w:p w14:paraId="2401271A">
            <w:pPr>
              <w:suppressAutoHyphens/>
              <w:rPr>
                <w:rFonts w:ascii="仿宋_GB2312" w:hAnsi="Times New Roman" w:eastAsia="仿宋_GB2312"/>
                <w:bCs/>
                <w:color w:val="000000"/>
                <w:sz w:val="24"/>
              </w:rPr>
            </w:pPr>
            <w:r>
              <w:rPr>
                <w:rFonts w:hint="eastAsia" w:ascii="仿宋_GB2312" w:hAnsi="Times New Roman" w:eastAsia="仿宋_GB2312"/>
                <w:bCs/>
                <w:color w:val="000000"/>
                <w:sz w:val="24"/>
              </w:rPr>
              <w:t>查询、收集和整理资料，协助标准文本及编制说明的编写、实施。</w:t>
            </w:r>
          </w:p>
        </w:tc>
      </w:tr>
      <w:tr w14:paraId="0EC571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95" w:hRule="atLeast"/>
          <w:jc w:val="center"/>
        </w:trPr>
        <w:tc>
          <w:tcPr>
            <w:tcW w:w="602" w:type="pct"/>
            <w:vAlign w:val="center"/>
          </w:tcPr>
          <w:p w14:paraId="68E63B43">
            <w:pPr>
              <w:jc w:val="center"/>
              <w:textAlignment w:val="baseline"/>
              <w:rPr>
                <w:rFonts w:hint="eastAsia" w:ascii="仿宋_GB2312" w:hAnsi="仿宋" w:eastAsia="仿宋_GB2312" w:cs="Times New Roman"/>
                <w:color w:val="000000"/>
                <w:sz w:val="24"/>
                <w:szCs w:val="32"/>
              </w:rPr>
            </w:pPr>
            <w:r>
              <w:rPr>
                <w:rFonts w:hint="eastAsia" w:ascii="仿宋_GB2312" w:hAnsi="仿宋" w:eastAsia="仿宋_GB2312" w:cs="Times New Roman"/>
                <w:color w:val="000000"/>
                <w:sz w:val="24"/>
                <w:szCs w:val="32"/>
              </w:rPr>
              <w:t>蒙广宇</w:t>
            </w:r>
          </w:p>
        </w:tc>
        <w:tc>
          <w:tcPr>
            <w:tcW w:w="890" w:type="pct"/>
            <w:vAlign w:val="center"/>
          </w:tcPr>
          <w:p w14:paraId="4CD8D726">
            <w:pPr>
              <w:jc w:val="center"/>
              <w:textAlignment w:val="baseline"/>
              <w:rPr>
                <w:rFonts w:hint="eastAsia" w:ascii="仿宋_GB2312" w:hAnsi="仿宋" w:eastAsia="仿宋_GB2312" w:cs="Times New Roman"/>
                <w:color w:val="000000"/>
                <w:sz w:val="24"/>
                <w:szCs w:val="32"/>
              </w:rPr>
            </w:pPr>
            <w:r>
              <w:rPr>
                <w:rFonts w:hint="eastAsia" w:ascii="仿宋_GB2312" w:hAnsi="仿宋" w:eastAsia="仿宋_GB2312" w:cs="Times New Roman"/>
                <w:color w:val="000000"/>
                <w:sz w:val="24"/>
                <w:szCs w:val="32"/>
              </w:rPr>
              <w:t>副主任医师</w:t>
            </w:r>
          </w:p>
        </w:tc>
        <w:tc>
          <w:tcPr>
            <w:tcW w:w="846" w:type="pct"/>
            <w:vAlign w:val="center"/>
          </w:tcPr>
          <w:p w14:paraId="5684113B">
            <w:pPr>
              <w:jc w:val="center"/>
              <w:textAlignment w:val="baseline"/>
              <w:rPr>
                <w:rFonts w:hint="eastAsia" w:ascii="仿宋_GB2312" w:hAnsi="仿宋" w:eastAsia="仿宋_GB2312" w:cs="Times New Roman"/>
                <w:color w:val="000000"/>
                <w:sz w:val="24"/>
                <w:szCs w:val="32"/>
              </w:rPr>
            </w:pPr>
            <w:r>
              <w:rPr>
                <w:rFonts w:hint="eastAsia" w:ascii="仿宋_GB2312" w:hAnsi="仿宋" w:eastAsia="仿宋_GB2312" w:cs="Times New Roman"/>
                <w:color w:val="000000"/>
                <w:sz w:val="24"/>
                <w:szCs w:val="32"/>
              </w:rPr>
              <w:t>中医康复</w:t>
            </w:r>
          </w:p>
        </w:tc>
        <w:tc>
          <w:tcPr>
            <w:tcW w:w="1163" w:type="pct"/>
            <w:vAlign w:val="center"/>
          </w:tcPr>
          <w:p w14:paraId="58E9F250">
            <w:pPr>
              <w:jc w:val="center"/>
              <w:textAlignment w:val="baseline"/>
              <w:rPr>
                <w:rFonts w:hint="eastAsia" w:ascii="仿宋_GB2312" w:hAnsi="仿宋" w:eastAsia="仿宋_GB2312" w:cs="Times New Roman"/>
                <w:color w:val="000000"/>
                <w:sz w:val="24"/>
                <w:szCs w:val="32"/>
              </w:rPr>
            </w:pPr>
            <w:r>
              <w:rPr>
                <w:rFonts w:hint="eastAsia" w:ascii="仿宋_GB2312" w:hAnsi="仿宋" w:eastAsia="仿宋_GB2312" w:cs="Times New Roman"/>
                <w:color w:val="000000"/>
                <w:sz w:val="24"/>
                <w:szCs w:val="32"/>
              </w:rPr>
              <w:t>宾阳县中医医院</w:t>
            </w:r>
          </w:p>
        </w:tc>
        <w:tc>
          <w:tcPr>
            <w:tcW w:w="1497" w:type="pct"/>
          </w:tcPr>
          <w:p w14:paraId="50C8C760">
            <w:pPr>
              <w:suppressAutoHyphens/>
              <w:rPr>
                <w:rFonts w:ascii="仿宋_GB2312" w:hAnsi="Times New Roman" w:eastAsia="仿宋_GB2312"/>
                <w:bCs/>
                <w:color w:val="000000"/>
                <w:sz w:val="24"/>
              </w:rPr>
            </w:pPr>
            <w:r>
              <w:rPr>
                <w:rFonts w:hint="eastAsia" w:ascii="仿宋_GB2312" w:hAnsi="Times New Roman" w:eastAsia="仿宋_GB2312"/>
                <w:bCs/>
                <w:color w:val="000000"/>
                <w:sz w:val="24"/>
              </w:rPr>
              <w:t>查询、收集和整理资料，协助标准文本及编制说明的编写、实施。</w:t>
            </w:r>
          </w:p>
        </w:tc>
      </w:tr>
      <w:tr w14:paraId="24F967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95" w:hRule="atLeast"/>
          <w:jc w:val="center"/>
        </w:trPr>
        <w:tc>
          <w:tcPr>
            <w:tcW w:w="602" w:type="pct"/>
            <w:vAlign w:val="center"/>
          </w:tcPr>
          <w:p w14:paraId="204F1DA6">
            <w:pPr>
              <w:jc w:val="center"/>
              <w:textAlignment w:val="baseline"/>
              <w:rPr>
                <w:rFonts w:hint="eastAsia" w:ascii="仿宋_GB2312" w:hAnsi="仿宋" w:eastAsia="仿宋_GB2312" w:cs="Times New Roman"/>
                <w:color w:val="000000"/>
                <w:sz w:val="24"/>
                <w:szCs w:val="32"/>
              </w:rPr>
            </w:pPr>
            <w:r>
              <w:rPr>
                <w:rFonts w:hint="eastAsia" w:ascii="仿宋_GB2312" w:hAnsi="仿宋" w:eastAsia="仿宋_GB2312" w:cs="Times New Roman"/>
                <w:color w:val="000000"/>
                <w:sz w:val="24"/>
                <w:szCs w:val="32"/>
              </w:rPr>
              <w:t>刘石焕</w:t>
            </w:r>
          </w:p>
        </w:tc>
        <w:tc>
          <w:tcPr>
            <w:tcW w:w="890" w:type="pct"/>
            <w:vAlign w:val="center"/>
          </w:tcPr>
          <w:p w14:paraId="0C919ED0">
            <w:pPr>
              <w:jc w:val="center"/>
              <w:textAlignment w:val="baseline"/>
              <w:rPr>
                <w:rFonts w:hint="eastAsia" w:ascii="仿宋_GB2312" w:hAnsi="仿宋" w:eastAsia="仿宋_GB2312" w:cs="Times New Roman"/>
                <w:color w:val="000000"/>
                <w:sz w:val="24"/>
                <w:szCs w:val="32"/>
              </w:rPr>
            </w:pPr>
            <w:r>
              <w:rPr>
                <w:rFonts w:hint="eastAsia" w:ascii="仿宋_GB2312" w:hAnsi="仿宋" w:eastAsia="仿宋_GB2312" w:cs="Times New Roman"/>
                <w:color w:val="000000"/>
                <w:sz w:val="24"/>
                <w:szCs w:val="32"/>
              </w:rPr>
              <w:t>主治医师</w:t>
            </w:r>
          </w:p>
        </w:tc>
        <w:tc>
          <w:tcPr>
            <w:tcW w:w="846" w:type="pct"/>
            <w:vAlign w:val="center"/>
          </w:tcPr>
          <w:p w14:paraId="0F1CD5F0">
            <w:pPr>
              <w:jc w:val="center"/>
              <w:textAlignment w:val="baseline"/>
              <w:rPr>
                <w:rFonts w:hint="eastAsia" w:ascii="仿宋_GB2312" w:hAnsi="仿宋" w:eastAsia="仿宋_GB2312" w:cs="Times New Roman"/>
                <w:color w:val="000000"/>
                <w:sz w:val="24"/>
                <w:szCs w:val="32"/>
              </w:rPr>
            </w:pPr>
            <w:r>
              <w:rPr>
                <w:rFonts w:hint="eastAsia" w:ascii="仿宋_GB2312" w:hAnsi="仿宋" w:eastAsia="仿宋_GB2312" w:cs="Times New Roman"/>
                <w:color w:val="000000"/>
                <w:sz w:val="24"/>
                <w:szCs w:val="32"/>
              </w:rPr>
              <w:t>中医康复</w:t>
            </w:r>
          </w:p>
        </w:tc>
        <w:tc>
          <w:tcPr>
            <w:tcW w:w="1163" w:type="pct"/>
            <w:vAlign w:val="center"/>
          </w:tcPr>
          <w:p w14:paraId="4E614F97">
            <w:pPr>
              <w:jc w:val="center"/>
              <w:textAlignment w:val="baseline"/>
              <w:rPr>
                <w:rFonts w:hint="eastAsia" w:ascii="仿宋_GB2312" w:hAnsi="仿宋" w:eastAsia="仿宋_GB2312" w:cs="Times New Roman"/>
                <w:color w:val="000000"/>
                <w:sz w:val="24"/>
                <w:szCs w:val="32"/>
              </w:rPr>
            </w:pPr>
            <w:r>
              <w:rPr>
                <w:rFonts w:hint="eastAsia" w:ascii="仿宋_GB2312" w:hAnsi="仿宋" w:eastAsia="仿宋_GB2312" w:cs="Times New Roman"/>
                <w:color w:val="000000"/>
                <w:sz w:val="24"/>
                <w:szCs w:val="32"/>
              </w:rPr>
              <w:t>南宁市邕宁区人民医院</w:t>
            </w:r>
          </w:p>
        </w:tc>
        <w:tc>
          <w:tcPr>
            <w:tcW w:w="1497" w:type="pct"/>
          </w:tcPr>
          <w:p w14:paraId="5D20F3B5">
            <w:pPr>
              <w:suppressAutoHyphens/>
              <w:rPr>
                <w:rFonts w:ascii="仿宋_GB2312" w:hAnsi="Times New Roman" w:eastAsia="仿宋_GB2312"/>
                <w:bCs/>
                <w:color w:val="000000"/>
                <w:sz w:val="24"/>
              </w:rPr>
            </w:pPr>
            <w:r>
              <w:rPr>
                <w:rFonts w:hint="eastAsia" w:ascii="仿宋_GB2312" w:hAnsi="Times New Roman" w:eastAsia="仿宋_GB2312"/>
                <w:bCs/>
                <w:color w:val="000000"/>
                <w:sz w:val="24"/>
              </w:rPr>
              <w:t>查询、收集和整理资料，协助标准文本及编制说明的编写、实施。</w:t>
            </w:r>
          </w:p>
        </w:tc>
      </w:tr>
    </w:tbl>
    <w:p w14:paraId="38153D5D">
      <w:pPr>
        <w:pStyle w:val="16"/>
        <w:ind w:firstLine="640" w:firstLineChars="200"/>
        <w:jc w:val="left"/>
        <w:rPr>
          <w:rFonts w:hint="eastAsia" w:ascii="黑体" w:hAnsi="黑体" w:eastAsia="黑体"/>
          <w:b w:val="0"/>
          <w:color w:val="000000" w:themeColor="text1"/>
          <w14:textFill>
            <w14:solidFill>
              <w14:schemeClr w14:val="tx1"/>
            </w14:solidFill>
          </w14:textFill>
        </w:rPr>
      </w:pPr>
      <w:r>
        <w:rPr>
          <w:rFonts w:hint="eastAsia" w:ascii="黑体" w:hAnsi="黑体" w:eastAsia="黑体"/>
          <w:b w:val="0"/>
          <w:color w:val="000000" w:themeColor="text1"/>
          <w14:textFill>
            <w14:solidFill>
              <w14:schemeClr w14:val="tx1"/>
            </w14:solidFill>
          </w14:textFill>
        </w:rPr>
        <w:t>二、制定标准的必要性和意义</w:t>
      </w:r>
    </w:p>
    <w:p w14:paraId="3C46E3BB">
      <w:pPr>
        <w:spacing w:line="520" w:lineRule="exact"/>
        <w:ind w:firstLine="640" w:firstLineChars="200"/>
        <w:rPr>
          <w:rFonts w:ascii="仿宋_GB2312" w:eastAsia="仿宋_GB2312"/>
          <w:color w:val="000000" w:themeColor="text1"/>
          <w:sz w:val="32"/>
          <w:szCs w:val="32"/>
          <w14:textFill>
            <w14:solidFill>
              <w14:schemeClr w14:val="tx1"/>
            </w14:solidFill>
          </w14:textFill>
        </w:rPr>
      </w:pPr>
      <w:r>
        <w:rPr>
          <w:rFonts w:hint="eastAsia" w:ascii="仿宋_GB2312" w:eastAsia="仿宋_GB2312"/>
          <w:color w:val="000000" w:themeColor="text1"/>
          <w:sz w:val="32"/>
          <w:szCs w:val="32"/>
          <w14:textFill>
            <w14:solidFill>
              <w14:schemeClr w14:val="tx1"/>
            </w14:solidFill>
          </w14:textFill>
        </w:rPr>
        <w:t>内热式针灸治疗仪作为传统针灸与现代科技结合的创新产物，已在临床医疗、康复保健等领域展现出广泛的应用前景。该技术通过特制加热针具插入人体特定穴位或病变软组织，通过计算机精确控温，使针具内部均匀发热，将热量直接传输至深部组织。与传统艾灸相比，内热针疗法能够使局部组织升温，增加血流量，促进新陈代谢，加速病变组织修复过程，具有作用直接、热渗透性强等技术特点。</w:t>
      </w:r>
    </w:p>
    <w:p w14:paraId="74F8F5EF">
      <w:pPr>
        <w:spacing w:line="520" w:lineRule="exact"/>
        <w:ind w:firstLine="640" w:firstLineChars="200"/>
        <w:rPr>
          <w:rFonts w:ascii="仿宋_GB2312" w:eastAsia="仿宋_GB2312"/>
          <w:color w:val="000000" w:themeColor="text1"/>
          <w:sz w:val="32"/>
          <w:szCs w:val="32"/>
          <w14:textFill>
            <w14:solidFill>
              <w14:schemeClr w14:val="tx1"/>
            </w14:solidFill>
          </w14:textFill>
        </w:rPr>
      </w:pPr>
      <w:r>
        <w:rPr>
          <w:rFonts w:hint="eastAsia" w:ascii="仿宋_GB2312" w:eastAsia="仿宋_GB2312"/>
          <w:color w:val="000000" w:themeColor="text1"/>
          <w:sz w:val="32"/>
          <w:szCs w:val="32"/>
          <w14:textFill>
            <w14:solidFill>
              <w14:schemeClr w14:val="tx1"/>
            </w14:solidFill>
          </w14:textFill>
        </w:rPr>
        <w:t>内热式针灸疗法凭借“疗效确切、安全可控”的优势，已形成覆盖各级医疗机构的庞大应用体系。据不完全统计，2024年全国开展内热式针灸疗法的医疗机构已超3.2万家，较2019年增长187%，其中三级医院覆盖率达83%，二级医院覆盖率达65%，基层医疗机构（社区卫生服务中心、乡镇卫生院）覆盖率也已提升至41%。2024年全国内热式针灸疗法年治疗人次突破1.2亿，其中颈椎病、腰椎间盘突出症、膝关节骨关节炎三大适应症占比达68%，单病种年治疗人次均超2000万。以颈椎病为例，该疗法临床有效率达80%以上，显著高于传统理疗的52%，患者认可度持续提升，近三年就诊需求年均增长率达29%。</w:t>
      </w:r>
    </w:p>
    <w:p w14:paraId="1A31F060">
      <w:pPr>
        <w:spacing w:line="520" w:lineRule="exact"/>
        <w:ind w:firstLine="640" w:firstLineChars="200"/>
        <w:rPr>
          <w:rFonts w:ascii="仿宋_GB2312" w:eastAsia="仿宋_GB2312"/>
          <w:color w:val="000000" w:themeColor="text1"/>
          <w:sz w:val="32"/>
          <w:szCs w:val="32"/>
          <w14:textFill>
            <w14:solidFill>
              <w14:schemeClr w14:val="tx1"/>
            </w14:solidFill>
          </w14:textFill>
        </w:rPr>
      </w:pPr>
      <w:r>
        <w:rPr>
          <w:rFonts w:hint="eastAsia" w:ascii="仿宋_GB2312" w:eastAsia="仿宋_GB2312"/>
          <w:color w:val="000000" w:themeColor="text1"/>
          <w:sz w:val="32"/>
          <w:szCs w:val="32"/>
          <w14:textFill>
            <w14:solidFill>
              <w14:schemeClr w14:val="tx1"/>
            </w14:solidFill>
          </w14:textFill>
        </w:rPr>
        <w:t>当前内热式针灸疗法在技术操作层面存在显著差异，直接影响治疗效果的一致性与可比性。各医疗机构和设备生产商在治疗参数设置、操作流程、禁忌症把握等方面标准不一，导致同类疾病治疗效果差异较大，难以进行科学的疗效评估和经验交流。制定团体标准可以统一技术规范，明确关键技术参数，为临床实践提供权威依据。</w:t>
      </w:r>
    </w:p>
    <w:p w14:paraId="05AA087B">
      <w:pPr>
        <w:spacing w:line="520" w:lineRule="exact"/>
        <w:ind w:firstLine="640" w:firstLineChars="200"/>
        <w:rPr>
          <w:rFonts w:ascii="仿宋_GB2312" w:eastAsia="仿宋_GB2312"/>
          <w:color w:val="000000" w:themeColor="text1"/>
          <w:sz w:val="28"/>
          <w:szCs w:val="28"/>
          <w14:textFill>
            <w14:solidFill>
              <w14:schemeClr w14:val="tx1"/>
            </w14:solidFill>
          </w14:textFill>
        </w:rPr>
      </w:pPr>
      <w:r>
        <w:rPr>
          <w:rFonts w:hint="eastAsia" w:ascii="仿宋_GB2312" w:eastAsia="仿宋_GB2312"/>
          <w:color w:val="000000" w:themeColor="text1"/>
          <w:sz w:val="32"/>
          <w:szCs w:val="32"/>
          <w14:textFill>
            <w14:solidFill>
              <w14:schemeClr w14:val="tx1"/>
            </w14:solidFill>
          </w14:textFill>
        </w:rPr>
        <w:t>制定团体标准《内热式针灸疗法技术操作规范》，将有效提高该疗法的安全性与操作规范性，为行业树立统一的技术标尺；进而充分发挥其在临床实践中的确切疗效与独特优势，提升行业整体服务水平，对促进内热式针灸技术的传承创新与推广应用，推动中医针灸产业高质量发展具有重要意义。</w:t>
      </w:r>
    </w:p>
    <w:p w14:paraId="11640DFF">
      <w:pPr>
        <w:autoSpaceDE w:val="0"/>
        <w:autoSpaceDN w:val="0"/>
        <w:adjustRightInd w:val="0"/>
        <w:spacing w:before="120" w:beforeLines="50" w:after="120" w:afterLines="50" w:line="560" w:lineRule="exact"/>
        <w:ind w:firstLine="640" w:firstLineChars="200"/>
        <w:outlineLvl w:val="0"/>
        <w:rPr>
          <w:rFonts w:ascii="Times New Roman" w:hAnsi="Times New Roman" w:eastAsia="黑体" w:cs="Times New Roman"/>
          <w:color w:val="000000" w:themeColor="text1"/>
          <w:sz w:val="32"/>
          <w:szCs w:val="32"/>
          <w14:textFill>
            <w14:solidFill>
              <w14:schemeClr w14:val="tx1"/>
            </w14:solidFill>
          </w14:textFill>
        </w:rPr>
      </w:pPr>
      <w:r>
        <w:rPr>
          <w:rFonts w:hint="eastAsia" w:ascii="Times New Roman" w:hAnsi="Times New Roman" w:eastAsia="黑体" w:cs="Times New Roman"/>
          <w:color w:val="000000" w:themeColor="text1"/>
          <w:sz w:val="32"/>
          <w:szCs w:val="32"/>
          <w14:textFill>
            <w14:solidFill>
              <w14:schemeClr w14:val="tx1"/>
            </w14:solidFill>
          </w14:textFill>
        </w:rPr>
        <w:t>三、主要起草过程</w:t>
      </w:r>
    </w:p>
    <w:p w14:paraId="43F8EA17">
      <w:pPr>
        <w:spacing w:line="560" w:lineRule="exact"/>
        <w:ind w:firstLine="643" w:firstLineChars="200"/>
        <w:rPr>
          <w:rFonts w:hint="eastAsia" w:ascii="楷体" w:hAnsi="楷体" w:eastAsia="楷体" w:cs="楷体"/>
          <w:b/>
          <w:color w:val="000000" w:themeColor="text1"/>
          <w:sz w:val="32"/>
          <w:szCs w:val="32"/>
          <w14:textFill>
            <w14:solidFill>
              <w14:schemeClr w14:val="tx1"/>
            </w14:solidFill>
          </w14:textFill>
        </w:rPr>
      </w:pPr>
      <w:r>
        <w:rPr>
          <w:rFonts w:hint="eastAsia" w:ascii="楷体" w:hAnsi="楷体" w:eastAsia="楷体" w:cs="楷体"/>
          <w:b/>
          <w:color w:val="000000" w:themeColor="text1"/>
          <w:sz w:val="32"/>
          <w:szCs w:val="32"/>
          <w14:textFill>
            <w14:solidFill>
              <w14:schemeClr w14:val="tx1"/>
            </w14:solidFill>
          </w14:textFill>
        </w:rPr>
        <w:t>（一）成立标准编制工作组</w:t>
      </w:r>
    </w:p>
    <w:p w14:paraId="1C3AAF8E">
      <w:pPr>
        <w:spacing w:line="520" w:lineRule="exact"/>
        <w:ind w:firstLine="640" w:firstLineChars="200"/>
        <w:jc w:val="left"/>
        <w:rPr>
          <w:rFonts w:ascii="仿宋_GB2312" w:eastAsia="仿宋_GB2312"/>
          <w:color w:val="000000" w:themeColor="text1"/>
          <w:sz w:val="32"/>
          <w:szCs w:val="32"/>
          <w14:textFill>
            <w14:solidFill>
              <w14:schemeClr w14:val="tx1"/>
            </w14:solidFill>
          </w14:textFill>
        </w:rPr>
      </w:pPr>
      <w:r>
        <w:rPr>
          <w:rFonts w:hint="eastAsia" w:ascii="仿宋_GB2312" w:eastAsia="仿宋_GB2312"/>
          <w:color w:val="000000" w:themeColor="text1"/>
          <w:sz w:val="32"/>
          <w:szCs w:val="32"/>
          <w14:textFill>
            <w14:solidFill>
              <w14:schemeClr w14:val="tx1"/>
            </w14:solidFill>
          </w14:textFill>
        </w:rPr>
        <w:t>团体标准《内热式针灸疗法技术操作规范》项目任务下达后，广西中医药大学第一附属医院、防城港市中医医院、广西壮族自治区民族医院、马山县中医医院、广西国际壮医医院、湛江市第一中医医院、山西中医药大学附属医院、贵州中医药大学第一附属医院、辽宁中医药大学附属医院等单位成立了标准编制工作组，制定了起草编写方案与进度安排，明确任务职责，确定工作技术路线，开展标准研制工作。具体标准编制工作由起草单位相关人员配合完成。</w:t>
      </w:r>
    </w:p>
    <w:p w14:paraId="51A504F2">
      <w:pPr>
        <w:spacing w:line="520" w:lineRule="exact"/>
        <w:ind w:firstLine="640" w:firstLineChars="200"/>
        <w:jc w:val="left"/>
        <w:rPr>
          <w:rFonts w:ascii="仿宋_GB2312" w:eastAsia="仿宋_GB2312"/>
          <w:color w:val="000000" w:themeColor="text1"/>
          <w:sz w:val="32"/>
          <w:szCs w:val="32"/>
          <w14:textFill>
            <w14:solidFill>
              <w14:schemeClr w14:val="tx1"/>
            </w14:solidFill>
          </w14:textFill>
        </w:rPr>
      </w:pPr>
      <w:r>
        <w:rPr>
          <w:rFonts w:hint="eastAsia" w:ascii="仿宋_GB2312" w:eastAsia="仿宋_GB2312"/>
          <w:color w:val="000000" w:themeColor="text1"/>
          <w:sz w:val="32"/>
          <w:szCs w:val="32"/>
          <w14:textFill>
            <w14:solidFill>
              <w14:schemeClr w14:val="tx1"/>
            </w14:solidFill>
          </w14:textFill>
        </w:rPr>
        <w:t>为了明确标准编制的任务职责，确定工作技术路线，开展标准研制工作。编制工作组下设三个组，分别是资料收集组、草案编写组、标准实施组。</w:t>
      </w:r>
    </w:p>
    <w:p w14:paraId="16E7778D">
      <w:pPr>
        <w:spacing w:line="520" w:lineRule="exact"/>
        <w:ind w:firstLine="640" w:firstLineChars="200"/>
        <w:rPr>
          <w:rFonts w:ascii="仿宋_GB2312" w:eastAsia="仿宋_GB2312"/>
          <w:color w:val="000000" w:themeColor="text1"/>
          <w:sz w:val="32"/>
          <w:szCs w:val="32"/>
          <w14:textFill>
            <w14:solidFill>
              <w14:schemeClr w14:val="tx1"/>
            </w14:solidFill>
          </w14:textFill>
        </w:rPr>
      </w:pPr>
      <w:r>
        <w:rPr>
          <w:rFonts w:hint="eastAsia" w:ascii="仿宋_GB2312" w:eastAsia="仿宋_GB2312"/>
          <w:color w:val="000000" w:themeColor="text1"/>
          <w:sz w:val="32"/>
          <w:szCs w:val="32"/>
          <w14:textFill>
            <w14:solidFill>
              <w14:schemeClr w14:val="tx1"/>
            </w14:solidFill>
          </w14:textFill>
        </w:rPr>
        <w:t>资料收集组负责国内外有关内热式针灸疗法技术相关文献资料的查询、收集和整理工作，查阅前期对内热式针灸疗法技术的有关研究情况和目前科学界关于内热式针灸疗法技术的研究进展。</w:t>
      </w:r>
    </w:p>
    <w:p w14:paraId="2100BCF8">
      <w:pPr>
        <w:spacing w:line="520" w:lineRule="exact"/>
        <w:ind w:firstLine="640" w:firstLineChars="200"/>
        <w:rPr>
          <w:rFonts w:ascii="仿宋_GB2312" w:eastAsia="仿宋_GB2312"/>
          <w:color w:val="000000" w:themeColor="text1"/>
          <w:sz w:val="32"/>
          <w:szCs w:val="32"/>
          <w14:textFill>
            <w14:solidFill>
              <w14:schemeClr w14:val="tx1"/>
            </w14:solidFill>
          </w14:textFill>
        </w:rPr>
      </w:pPr>
      <w:r>
        <w:rPr>
          <w:rFonts w:hint="eastAsia" w:ascii="仿宋_GB2312" w:eastAsia="仿宋_GB2312"/>
          <w:color w:val="000000" w:themeColor="text1"/>
          <w:sz w:val="32"/>
          <w:szCs w:val="32"/>
          <w14:textFill>
            <w14:solidFill>
              <w14:schemeClr w14:val="tx1"/>
            </w14:solidFill>
          </w14:textFill>
        </w:rPr>
        <w:t>草案编写组负责起草标准草案及后续征求意见稿和标准编制说明、送审稿及编制说明等编写工作，包括后期召开征求意见会、网上征求意见，以及标准的不断修改和完善。</w:t>
      </w:r>
    </w:p>
    <w:p w14:paraId="7E36DFD2">
      <w:pPr>
        <w:spacing w:line="520" w:lineRule="exact"/>
        <w:ind w:firstLine="640" w:firstLineChars="200"/>
        <w:jc w:val="left"/>
        <w:rPr>
          <w:rFonts w:ascii="仿宋_GB2312" w:eastAsia="仿宋_GB2312" w:cs="仿宋_GB2312"/>
          <w:color w:val="000000" w:themeColor="text1"/>
          <w:sz w:val="28"/>
          <w:szCs w:val="28"/>
          <w14:textFill>
            <w14:solidFill>
              <w14:schemeClr w14:val="tx1"/>
            </w14:solidFill>
          </w14:textFill>
        </w:rPr>
      </w:pPr>
      <w:r>
        <w:rPr>
          <w:rFonts w:hint="eastAsia" w:ascii="仿宋_GB2312" w:eastAsia="仿宋_GB2312"/>
          <w:color w:val="000000" w:themeColor="text1"/>
          <w:sz w:val="32"/>
          <w:szCs w:val="32"/>
          <w14:textFill>
            <w14:solidFill>
              <w14:schemeClr w14:val="tx1"/>
            </w14:solidFill>
          </w14:textFill>
        </w:rPr>
        <w:t>标准实施组负责团体标准《内热式针灸疗法技术操作规范》发布后，组织相关单位开展标准宣贯培训会，对标准进行详细解读，让相关人员了解标准，并根据标准对内热式针灸疗法技术进行规范化操作，并对标准实施情况进行总结分析，不断对标准提出修正意见。</w:t>
      </w:r>
    </w:p>
    <w:p w14:paraId="17A8AE01">
      <w:pPr>
        <w:spacing w:line="560" w:lineRule="exact"/>
        <w:ind w:firstLine="643" w:firstLineChars="200"/>
        <w:rPr>
          <w:rFonts w:hint="eastAsia" w:ascii="楷体" w:hAnsi="楷体" w:eastAsia="楷体" w:cs="楷体"/>
          <w:b/>
          <w:color w:val="000000" w:themeColor="text1"/>
          <w:sz w:val="32"/>
          <w:szCs w:val="32"/>
          <w14:textFill>
            <w14:solidFill>
              <w14:schemeClr w14:val="tx1"/>
            </w14:solidFill>
          </w14:textFill>
        </w:rPr>
      </w:pPr>
      <w:r>
        <w:rPr>
          <w:rFonts w:hint="eastAsia" w:ascii="楷体" w:hAnsi="楷体" w:eastAsia="楷体" w:cs="楷体"/>
          <w:b/>
          <w:color w:val="000000" w:themeColor="text1"/>
          <w:sz w:val="32"/>
          <w:szCs w:val="32"/>
          <w14:textFill>
            <w14:solidFill>
              <w14:schemeClr w14:val="tx1"/>
            </w14:solidFill>
          </w14:textFill>
        </w:rPr>
        <w:t>（二）收集整理文献资料</w:t>
      </w:r>
    </w:p>
    <w:p w14:paraId="22FA192B">
      <w:pPr>
        <w:spacing w:line="520" w:lineRule="exact"/>
        <w:ind w:firstLine="640" w:firstLineChars="200"/>
        <w:rPr>
          <w:rFonts w:ascii="仿宋_GB2312" w:eastAsia="仿宋_GB2312"/>
          <w:color w:val="000000" w:themeColor="text1"/>
          <w:sz w:val="32"/>
          <w:szCs w:val="32"/>
          <w:highlight w:val="yellow"/>
          <w14:textFill>
            <w14:solidFill>
              <w14:schemeClr w14:val="tx1"/>
            </w14:solidFill>
          </w14:textFill>
        </w:rPr>
      </w:pPr>
      <w:r>
        <w:rPr>
          <w:rFonts w:hint="eastAsia" w:ascii="仿宋_GB2312" w:eastAsia="仿宋_GB2312"/>
          <w:color w:val="000000" w:themeColor="text1"/>
          <w:sz w:val="32"/>
          <w:szCs w:val="32"/>
          <w14:textFill>
            <w14:solidFill>
              <w14:schemeClr w14:val="tx1"/>
            </w14:solidFill>
          </w14:textFill>
        </w:rPr>
        <w:t>标准编制工作组收集了国内有关“针灸疗法”“针灸技术操作”的相关资料。主要有：</w:t>
      </w:r>
    </w:p>
    <w:p w14:paraId="483F8C30">
      <w:pPr>
        <w:spacing w:line="520" w:lineRule="exact"/>
        <w:ind w:firstLine="640" w:firstLineChars="200"/>
        <w:rPr>
          <w:rFonts w:ascii="仿宋_GB2312" w:eastAsia="仿宋_GB2312"/>
          <w:color w:val="000000" w:themeColor="text1"/>
          <w:sz w:val="32"/>
          <w:szCs w:val="32"/>
          <w14:textFill>
            <w14:solidFill>
              <w14:schemeClr w14:val="tx1"/>
            </w14:solidFill>
          </w14:textFill>
        </w:rPr>
      </w:pPr>
      <w:r>
        <w:rPr>
          <w:rFonts w:hint="eastAsia" w:ascii="仿宋_GB2312" w:eastAsia="仿宋_GB2312"/>
          <w:color w:val="000000" w:themeColor="text1"/>
          <w:sz w:val="32"/>
          <w:szCs w:val="32"/>
          <w14:textFill>
            <w14:solidFill>
              <w14:schemeClr w14:val="tx1"/>
            </w14:solidFill>
          </w14:textFill>
        </w:rPr>
        <w:t>《GB/T 33416-2016  针灸技术操作规范 编写通则》</w:t>
      </w:r>
    </w:p>
    <w:p w14:paraId="6015A08E">
      <w:pPr>
        <w:spacing w:line="520" w:lineRule="exact"/>
        <w:ind w:firstLine="640" w:firstLineChars="200"/>
        <w:rPr>
          <w:rFonts w:ascii="仿宋_GB2312" w:eastAsia="仿宋_GB2312"/>
          <w:color w:val="000000" w:themeColor="text1"/>
          <w:sz w:val="32"/>
          <w:szCs w:val="32"/>
          <w14:textFill>
            <w14:solidFill>
              <w14:schemeClr w14:val="tx1"/>
            </w14:solidFill>
          </w14:textFill>
        </w:rPr>
      </w:pPr>
      <w:r>
        <w:rPr>
          <w:rFonts w:hint="eastAsia" w:ascii="仿宋_GB2312" w:eastAsia="仿宋_GB2312"/>
          <w:color w:val="000000" w:themeColor="text1"/>
          <w:sz w:val="32"/>
          <w:szCs w:val="32"/>
          <w14:textFill>
            <w14:solidFill>
              <w14:schemeClr w14:val="tx1"/>
            </w14:solidFill>
          </w14:textFill>
        </w:rPr>
        <w:t>《GB/Z 40893.3-2021  中医技术操作规范  儿科 第3部分：小儿针灸疗法》</w:t>
      </w:r>
    </w:p>
    <w:p w14:paraId="20EA6192">
      <w:pPr>
        <w:spacing w:line="520" w:lineRule="exact"/>
        <w:ind w:firstLine="640" w:firstLineChars="200"/>
        <w:rPr>
          <w:rFonts w:ascii="仿宋_GB2312" w:eastAsia="仿宋_GB2312"/>
          <w:color w:val="000000" w:themeColor="text1"/>
          <w:sz w:val="32"/>
          <w:szCs w:val="32"/>
          <w14:textFill>
            <w14:solidFill>
              <w14:schemeClr w14:val="tx1"/>
            </w14:solidFill>
          </w14:textFill>
        </w:rPr>
      </w:pPr>
      <w:r>
        <w:rPr>
          <w:rFonts w:hint="eastAsia" w:ascii="仿宋_GB2312" w:eastAsia="仿宋_GB2312"/>
          <w:color w:val="000000" w:themeColor="text1"/>
          <w:sz w:val="32"/>
          <w:szCs w:val="32"/>
          <w14:textFill>
            <w14:solidFill>
              <w14:schemeClr w14:val="tx1"/>
            </w14:solidFill>
          </w14:textFill>
        </w:rPr>
        <w:t>《DB14/T 3270-2025针灸技术操作规范  醒脑通督针法》</w:t>
      </w:r>
    </w:p>
    <w:p w14:paraId="1CBBAE9A">
      <w:pPr>
        <w:spacing w:line="520" w:lineRule="exact"/>
        <w:ind w:firstLine="640" w:firstLineChars="200"/>
        <w:rPr>
          <w:rFonts w:ascii="仿宋_GB2312" w:eastAsia="仿宋_GB2312"/>
          <w:color w:val="000000" w:themeColor="text1"/>
          <w:sz w:val="32"/>
          <w:szCs w:val="32"/>
          <w14:textFill>
            <w14:solidFill>
              <w14:schemeClr w14:val="tx1"/>
            </w14:solidFill>
          </w14:textFill>
        </w:rPr>
      </w:pPr>
      <w:r>
        <w:rPr>
          <w:rFonts w:hint="eastAsia" w:ascii="仿宋_GB2312" w:eastAsia="仿宋_GB2312"/>
          <w:color w:val="000000" w:themeColor="text1"/>
          <w:sz w:val="32"/>
          <w:szCs w:val="32"/>
          <w14:textFill>
            <w14:solidFill>
              <w14:schemeClr w14:val="tx1"/>
            </w14:solidFill>
          </w14:textFill>
        </w:rPr>
        <w:t>《DB14/T 3278-2025  针灸技术操作规范  脐药灸》</w:t>
      </w:r>
    </w:p>
    <w:p w14:paraId="27770272">
      <w:pPr>
        <w:spacing w:line="520" w:lineRule="exact"/>
        <w:ind w:firstLine="640" w:firstLineChars="200"/>
        <w:rPr>
          <w:rFonts w:ascii="仿宋_GB2312" w:eastAsia="仿宋_GB2312"/>
          <w:color w:val="000000" w:themeColor="text1"/>
          <w:sz w:val="32"/>
          <w:szCs w:val="32"/>
          <w14:textFill>
            <w14:solidFill>
              <w14:schemeClr w14:val="tx1"/>
            </w14:solidFill>
          </w14:textFill>
        </w:rPr>
      </w:pPr>
      <w:r>
        <w:rPr>
          <w:rFonts w:hint="eastAsia" w:ascii="仿宋_GB2312" w:eastAsia="仿宋_GB2312"/>
          <w:color w:val="000000" w:themeColor="text1"/>
          <w:sz w:val="32"/>
          <w:szCs w:val="32"/>
          <w14:textFill>
            <w14:solidFill>
              <w14:schemeClr w14:val="tx1"/>
            </w14:solidFill>
          </w14:textFill>
        </w:rPr>
        <w:t>《DB14/T 3279-2025  针灸技术操作规范  强肾通督针》</w:t>
      </w:r>
    </w:p>
    <w:p w14:paraId="38BFDE6A">
      <w:pPr>
        <w:spacing w:line="560" w:lineRule="exact"/>
        <w:ind w:firstLine="643" w:firstLineChars="200"/>
        <w:rPr>
          <w:rFonts w:hint="eastAsia" w:ascii="楷体" w:hAnsi="楷体" w:eastAsia="楷体" w:cs="楷体"/>
          <w:b/>
          <w:color w:val="000000" w:themeColor="text1"/>
          <w:sz w:val="32"/>
          <w:szCs w:val="32"/>
          <w14:textFill>
            <w14:solidFill>
              <w14:schemeClr w14:val="tx1"/>
            </w14:solidFill>
          </w14:textFill>
        </w:rPr>
      </w:pPr>
      <w:r>
        <w:rPr>
          <w:rFonts w:hint="eastAsia" w:ascii="楷体" w:hAnsi="楷体" w:eastAsia="楷体" w:cs="楷体"/>
          <w:b/>
          <w:color w:val="000000" w:themeColor="text1"/>
          <w:sz w:val="32"/>
          <w:szCs w:val="32"/>
          <w14:textFill>
            <w14:solidFill>
              <w14:schemeClr w14:val="tx1"/>
            </w14:solidFill>
          </w14:textFill>
        </w:rPr>
        <w:t>（三）研讨确定标准特色</w:t>
      </w:r>
      <w:r>
        <w:rPr>
          <w:rFonts w:ascii="楷体" w:hAnsi="楷体" w:eastAsia="楷体" w:cs="楷体"/>
          <w:b/>
          <w:color w:val="000000" w:themeColor="text1"/>
          <w:sz w:val="32"/>
          <w:szCs w:val="32"/>
          <w14:textFill>
            <w14:solidFill>
              <w14:schemeClr w14:val="tx1"/>
            </w14:solidFill>
          </w14:textFill>
        </w:rPr>
        <w:t>、</w:t>
      </w:r>
      <w:r>
        <w:rPr>
          <w:rFonts w:hint="eastAsia" w:ascii="楷体" w:hAnsi="楷体" w:eastAsia="楷体" w:cs="楷体"/>
          <w:b/>
          <w:color w:val="000000" w:themeColor="text1"/>
          <w:sz w:val="32"/>
          <w:szCs w:val="32"/>
          <w14:textFill>
            <w14:solidFill>
              <w14:schemeClr w14:val="tx1"/>
            </w14:solidFill>
          </w14:textFill>
        </w:rPr>
        <w:t>创新点和主体内容</w:t>
      </w:r>
    </w:p>
    <w:p w14:paraId="13131C40">
      <w:pPr>
        <w:pStyle w:val="34"/>
        <w:rPr>
          <w:rFonts w:ascii="仿宋_GB2312" w:hAnsi="Calibri" w:eastAsia="仿宋_GB2312"/>
          <w:color w:val="000000" w:themeColor="text1"/>
          <w14:textFill>
            <w14:solidFill>
              <w14:schemeClr w14:val="tx1"/>
            </w14:solidFill>
          </w14:textFill>
        </w:rPr>
      </w:pPr>
      <w:r>
        <w:rPr>
          <w:rFonts w:hint="eastAsia" w:ascii="仿宋_GB2312" w:hAnsi="Calibri" w:eastAsia="仿宋_GB2312"/>
          <w:color w:val="000000" w:themeColor="text1"/>
          <w14:textFill>
            <w14:solidFill>
              <w14:schemeClr w14:val="tx1"/>
            </w14:solidFill>
          </w14:textFill>
        </w:rPr>
        <w:t>标准编制工作组在对收集的资料进行整理研究之后，标准编制工作组召开了标准编制会议，对标准的整体框架结构进行了研究，并对标准的关键性内容进行了初步探讨。经过研究，标准特色、创新点和主体内容如下</w:t>
      </w:r>
      <w:r>
        <w:rPr>
          <w:rFonts w:ascii="仿宋_GB2312" w:hAnsi="Calibri" w:eastAsia="仿宋_GB2312"/>
          <w:color w:val="000000" w:themeColor="text1"/>
          <w14:textFill>
            <w14:solidFill>
              <w14:schemeClr w14:val="tx1"/>
            </w14:solidFill>
          </w14:textFill>
        </w:rPr>
        <w:t>：</w:t>
      </w:r>
    </w:p>
    <w:p w14:paraId="07E51F4D">
      <w:pPr>
        <w:pStyle w:val="34"/>
        <w:rPr>
          <w:rFonts w:ascii="仿宋_GB2312" w:hAnsi="Calibri" w:eastAsia="仿宋_GB2312"/>
          <w:color w:val="000000" w:themeColor="text1"/>
          <w14:textFill>
            <w14:solidFill>
              <w14:schemeClr w14:val="tx1"/>
            </w14:solidFill>
          </w14:textFill>
        </w:rPr>
      </w:pPr>
      <w:r>
        <w:rPr>
          <w:rFonts w:ascii="仿宋_GB2312" w:hAnsi="Calibri" w:eastAsia="仿宋_GB2312"/>
          <w:color w:val="000000" w:themeColor="text1"/>
          <w14:textFill>
            <w14:solidFill>
              <w14:schemeClr w14:val="tx1"/>
            </w14:solidFill>
          </w14:textFill>
        </w:rPr>
        <w:t>1.</w:t>
      </w:r>
      <w:r>
        <w:rPr>
          <w:rFonts w:hint="eastAsia" w:ascii="仿宋_GB2312" w:hAnsi="Calibri" w:eastAsia="仿宋_GB2312"/>
          <w:color w:val="000000" w:themeColor="text1"/>
          <w14:textFill>
            <w14:solidFill>
              <w14:schemeClr w14:val="tx1"/>
            </w14:solidFill>
          </w14:textFill>
        </w:rPr>
        <w:t>特色、创新点</w:t>
      </w:r>
    </w:p>
    <w:p w14:paraId="307A2010">
      <w:pPr>
        <w:pStyle w:val="34"/>
        <w:rPr>
          <w:rFonts w:ascii="仿宋_GB2312" w:hAnsi="Calibri" w:eastAsia="仿宋_GB2312"/>
          <w:color w:val="000000" w:themeColor="text1"/>
          <w14:textFill>
            <w14:solidFill>
              <w14:schemeClr w14:val="tx1"/>
            </w14:solidFill>
          </w14:textFill>
        </w:rPr>
      </w:pPr>
      <w:r>
        <w:rPr>
          <w:rFonts w:hint="eastAsia" w:ascii="仿宋_GB2312" w:hAnsi="Calibri" w:eastAsia="仿宋_GB2312"/>
          <w:color w:val="000000" w:themeColor="text1"/>
          <w14:textFill>
            <w14:solidFill>
              <w14:schemeClr w14:val="tx1"/>
            </w14:solidFill>
          </w14:textFill>
        </w:rPr>
        <w:t>（1）理论基础多元：以中医理论、西医理论、壮医经筋理论为基础，其中中医理论是以针灸理论为核心，循经取穴，辨证治疗，发挥温经散寒、活血通络的功效。西医理论，是以解剖学理论为基础，借鉴西医软组织外科学方法，通过在肌肉的起止点、肌腹以及肌内激痛点处针刺，缓解慢性软组织疼痛。壮医经筋理论是由经筋的阳性病灶所建立的点、线、面及浅层、中层、深层多维性构成的体系，确立多维诊查治疗法则，实现标本同治。</w:t>
      </w:r>
    </w:p>
    <w:p w14:paraId="0838C3F4">
      <w:pPr>
        <w:pStyle w:val="34"/>
        <w:rPr>
          <w:rFonts w:ascii="仿宋_GB2312" w:hAnsi="Calibri" w:eastAsia="仿宋_GB2312"/>
          <w:color w:val="000000" w:themeColor="text1"/>
          <w14:textFill>
            <w14:solidFill>
              <w14:schemeClr w14:val="tx1"/>
            </w14:solidFill>
          </w14:textFill>
        </w:rPr>
      </w:pPr>
      <w:r>
        <w:rPr>
          <w:rFonts w:hint="eastAsia" w:ascii="仿宋_GB2312" w:hAnsi="Calibri" w:eastAsia="仿宋_GB2312"/>
          <w:color w:val="000000" w:themeColor="text1"/>
          <w14:textFill>
            <w14:solidFill>
              <w14:schemeClr w14:val="tx1"/>
            </w14:solidFill>
          </w14:textFill>
        </w:rPr>
        <w:t>（2）针刺方法独特：①采用从针尖到针体均能恒温发热的针具，确保治疗过程中热量稳定传递；②在肌肉相关部位密集布针，针对性强，可有效作用于病变部位；③在缺血肌筋膜区分肌肉群、分次打孔，诱导骨骼肌再生和再血管化，改善软组织痉挛变性缺血状况。</w:t>
      </w:r>
    </w:p>
    <w:p w14:paraId="2BAE7523">
      <w:pPr>
        <w:pStyle w:val="34"/>
        <w:rPr>
          <w:rFonts w:ascii="仿宋_GB2312" w:hAnsi="Calibri" w:eastAsia="仿宋_GB2312"/>
          <w:color w:val="000000" w:themeColor="text1"/>
          <w:highlight w:val="yellow"/>
          <w14:textFill>
            <w14:solidFill>
              <w14:schemeClr w14:val="tx1"/>
            </w14:solidFill>
          </w14:textFill>
        </w:rPr>
      </w:pPr>
      <w:r>
        <w:rPr>
          <w:rFonts w:hint="eastAsia" w:ascii="仿宋_GB2312" w:hAnsi="Calibri" w:eastAsia="仿宋_GB2312"/>
          <w:color w:val="000000" w:themeColor="text1"/>
          <w14:textFill>
            <w14:solidFill>
              <w14:schemeClr w14:val="tx1"/>
            </w14:solidFill>
          </w14:textFill>
        </w:rPr>
        <w:t>（3）治疗效果显著：①既有强烈的即时镇痛作用，又具备远期效果；②针刺部位能产生持久的肌肉松弛效果，且远期效果优于近期；③不仅可用于治疗软组织损伤，还能针对软组织源性内脏疾病的功能障碍发挥治疗作用。</w:t>
      </w:r>
    </w:p>
    <w:p w14:paraId="73DFD84B">
      <w:pPr>
        <w:pStyle w:val="34"/>
        <w:rPr>
          <w:rFonts w:ascii="仿宋_GB2312" w:hAnsi="Calibri" w:eastAsia="仿宋_GB2312"/>
          <w:color w:val="000000" w:themeColor="text1"/>
          <w14:textFill>
            <w14:solidFill>
              <w14:schemeClr w14:val="tx1"/>
            </w14:solidFill>
          </w14:textFill>
        </w:rPr>
      </w:pPr>
      <w:r>
        <w:rPr>
          <w:rFonts w:hint="eastAsia" w:ascii="仿宋_GB2312" w:hAnsi="Calibri" w:eastAsia="仿宋_GB2312"/>
          <w:color w:val="000000" w:themeColor="text1"/>
          <w14:textFill>
            <w14:solidFill>
              <w14:schemeClr w14:val="tx1"/>
            </w14:solidFill>
          </w14:textFill>
        </w:rPr>
        <w:t>2</w:t>
      </w:r>
      <w:r>
        <w:rPr>
          <w:rFonts w:ascii="仿宋_GB2312" w:hAnsi="Calibri" w:eastAsia="仿宋_GB2312"/>
          <w:color w:val="000000" w:themeColor="text1"/>
          <w14:textFill>
            <w14:solidFill>
              <w14:schemeClr w14:val="tx1"/>
            </w14:solidFill>
          </w14:textFill>
        </w:rPr>
        <w:t>.</w:t>
      </w:r>
      <w:r>
        <w:rPr>
          <w:rFonts w:hint="eastAsia" w:ascii="仿宋_GB2312" w:hAnsi="Calibri" w:eastAsia="仿宋_GB2312"/>
          <w:color w:val="000000" w:themeColor="text1"/>
          <w14:textFill>
            <w14:solidFill>
              <w14:schemeClr w14:val="tx1"/>
            </w14:solidFill>
          </w14:textFill>
        </w:rPr>
        <w:t>主体内容</w:t>
      </w:r>
    </w:p>
    <w:p w14:paraId="77242AC3">
      <w:pPr>
        <w:pStyle w:val="34"/>
        <w:rPr>
          <w:rFonts w:ascii="仿宋_GB2312" w:hAnsi="Calibri" w:eastAsia="仿宋_GB2312"/>
          <w:color w:val="000000" w:themeColor="text1"/>
          <w14:textFill>
            <w14:solidFill>
              <w14:schemeClr w14:val="tx1"/>
            </w14:solidFill>
          </w14:textFill>
        </w:rPr>
      </w:pPr>
      <w:r>
        <w:rPr>
          <w:rFonts w:hint="eastAsia" w:ascii="仿宋_GB2312" w:hAnsi="Calibri" w:eastAsia="仿宋_GB2312"/>
          <w:color w:val="000000" w:themeColor="text1"/>
          <w14:textFill>
            <w14:solidFill>
              <w14:schemeClr w14:val="tx1"/>
            </w14:solidFill>
          </w14:textFill>
        </w:rPr>
        <w:t>主体内容包括施术前准备、施术方法、施术后处理、注意事项、禁忌。</w:t>
      </w:r>
    </w:p>
    <w:p w14:paraId="2A3B1601">
      <w:pPr>
        <w:spacing w:line="560" w:lineRule="exact"/>
        <w:ind w:firstLine="643" w:firstLineChars="200"/>
        <w:rPr>
          <w:rFonts w:hint="eastAsia" w:ascii="楷体" w:hAnsi="楷体" w:eastAsia="楷体" w:cs="楷体"/>
          <w:b/>
          <w:color w:val="000000" w:themeColor="text1"/>
          <w:sz w:val="32"/>
          <w:szCs w:val="32"/>
          <w14:textFill>
            <w14:solidFill>
              <w14:schemeClr w14:val="tx1"/>
            </w14:solidFill>
          </w14:textFill>
        </w:rPr>
      </w:pPr>
      <w:r>
        <w:rPr>
          <w:rFonts w:hint="eastAsia" w:ascii="楷体" w:hAnsi="楷体" w:eastAsia="楷体" w:cs="楷体"/>
          <w:b/>
          <w:color w:val="000000" w:themeColor="text1"/>
          <w:sz w:val="32"/>
          <w:szCs w:val="32"/>
          <w14:textFill>
            <w14:solidFill>
              <w14:schemeClr w14:val="tx1"/>
            </w14:solidFill>
          </w14:textFill>
        </w:rPr>
        <w:t>（四）调研及形成草案、征求意见稿</w:t>
      </w:r>
    </w:p>
    <w:p w14:paraId="7E5822FA">
      <w:pPr>
        <w:spacing w:line="520" w:lineRule="exact"/>
        <w:ind w:firstLine="640" w:firstLineChars="200"/>
        <w:rPr>
          <w:rFonts w:ascii="仿宋_GB2312" w:eastAsia="仿宋_GB2312"/>
          <w:color w:val="000000" w:themeColor="text1"/>
          <w:sz w:val="32"/>
          <w:szCs w:val="32"/>
          <w14:textFill>
            <w14:solidFill>
              <w14:schemeClr w14:val="tx1"/>
            </w14:solidFill>
          </w14:textFill>
        </w:rPr>
      </w:pPr>
      <w:r>
        <w:rPr>
          <w:rFonts w:hint="eastAsia" w:ascii="仿宋_GB2312" w:eastAsia="仿宋_GB2312"/>
          <w:color w:val="000000" w:themeColor="text1"/>
          <w:sz w:val="32"/>
          <w:szCs w:val="32"/>
          <w14:textFill>
            <w14:solidFill>
              <w14:schemeClr w14:val="tx1"/>
            </w14:solidFill>
          </w14:textFill>
        </w:rPr>
        <w:t>202</w:t>
      </w:r>
      <w:r>
        <w:rPr>
          <w:rFonts w:ascii="仿宋_GB2312" w:eastAsia="仿宋_GB2312"/>
          <w:color w:val="000000" w:themeColor="text1"/>
          <w:sz w:val="32"/>
          <w:szCs w:val="32"/>
          <w14:textFill>
            <w14:solidFill>
              <w14:schemeClr w14:val="tx1"/>
            </w14:solidFill>
          </w14:textFill>
        </w:rPr>
        <w:t>5</w:t>
      </w:r>
      <w:r>
        <w:rPr>
          <w:rFonts w:hint="eastAsia" w:ascii="仿宋_GB2312" w:eastAsia="仿宋_GB2312"/>
          <w:color w:val="000000" w:themeColor="text1"/>
          <w:sz w:val="32"/>
          <w:szCs w:val="32"/>
          <w14:textFill>
            <w14:solidFill>
              <w14:schemeClr w14:val="tx1"/>
            </w14:solidFill>
          </w14:textFill>
        </w:rPr>
        <w:t>年</w:t>
      </w:r>
      <w:r>
        <w:rPr>
          <w:rFonts w:ascii="仿宋_GB2312" w:eastAsia="仿宋_GB2312"/>
          <w:color w:val="000000" w:themeColor="text1"/>
          <w:sz w:val="32"/>
          <w:szCs w:val="32"/>
          <w14:textFill>
            <w14:solidFill>
              <w14:schemeClr w14:val="tx1"/>
            </w14:solidFill>
          </w14:textFill>
        </w:rPr>
        <w:t>8</w:t>
      </w:r>
      <w:r>
        <w:rPr>
          <w:rFonts w:hint="eastAsia" w:ascii="仿宋_GB2312" w:eastAsia="仿宋_GB2312"/>
          <w:color w:val="000000" w:themeColor="text1"/>
          <w:sz w:val="32"/>
          <w:szCs w:val="32"/>
          <w14:textFill>
            <w14:solidFill>
              <w14:schemeClr w14:val="tx1"/>
            </w14:solidFill>
          </w14:textFill>
        </w:rPr>
        <w:t>月～</w:t>
      </w:r>
      <w:r>
        <w:rPr>
          <w:rFonts w:ascii="仿宋_GB2312" w:eastAsia="仿宋_GB2312"/>
          <w:color w:val="000000" w:themeColor="text1"/>
          <w:sz w:val="32"/>
          <w:szCs w:val="32"/>
          <w14:textFill>
            <w14:solidFill>
              <w14:schemeClr w14:val="tx1"/>
            </w14:solidFill>
          </w14:textFill>
        </w:rPr>
        <w:t>9</w:t>
      </w:r>
      <w:r>
        <w:rPr>
          <w:rFonts w:hint="eastAsia" w:ascii="仿宋_GB2312" w:eastAsia="仿宋_GB2312"/>
          <w:color w:val="000000" w:themeColor="text1"/>
          <w:sz w:val="32"/>
          <w:szCs w:val="32"/>
          <w14:textFill>
            <w14:solidFill>
              <w14:schemeClr w14:val="tx1"/>
            </w14:solidFill>
          </w14:textFill>
        </w:rPr>
        <w:t>月，标准编制工作组查阅了大量的国内文献资料，经编制组反复讨论，对内热式针灸疗法技术的实践情况进行系统总结，形成了标准的基本构架，对主要内容进行了讨论并对项目的工作进行了部署和安排。</w:t>
      </w:r>
    </w:p>
    <w:p w14:paraId="7EF06AF3">
      <w:pPr>
        <w:spacing w:line="520" w:lineRule="exact"/>
        <w:ind w:firstLine="640" w:firstLineChars="200"/>
        <w:rPr>
          <w:rFonts w:ascii="仿宋_GB2312" w:eastAsia="仿宋_GB2312"/>
          <w:color w:val="000000" w:themeColor="text1"/>
          <w:sz w:val="32"/>
          <w:szCs w:val="32"/>
          <w14:textFill>
            <w14:solidFill>
              <w14:schemeClr w14:val="tx1"/>
            </w14:solidFill>
          </w14:textFill>
        </w:rPr>
      </w:pPr>
      <w:r>
        <w:rPr>
          <w:rFonts w:hint="eastAsia" w:ascii="仿宋_GB2312" w:eastAsia="仿宋_GB2312"/>
          <w:color w:val="000000" w:themeColor="text1"/>
          <w:sz w:val="32"/>
          <w:szCs w:val="32"/>
          <w14:textFill>
            <w14:solidFill>
              <w14:schemeClr w14:val="tx1"/>
            </w14:solidFill>
          </w14:textFill>
        </w:rPr>
        <w:t>202</w:t>
      </w:r>
      <w:r>
        <w:rPr>
          <w:rFonts w:ascii="仿宋_GB2312" w:eastAsia="仿宋_GB2312"/>
          <w:color w:val="000000" w:themeColor="text1"/>
          <w:sz w:val="32"/>
          <w:szCs w:val="32"/>
          <w14:textFill>
            <w14:solidFill>
              <w14:schemeClr w14:val="tx1"/>
            </w14:solidFill>
          </w14:textFill>
        </w:rPr>
        <w:t>5</w:t>
      </w:r>
      <w:r>
        <w:rPr>
          <w:rFonts w:hint="eastAsia" w:ascii="仿宋_GB2312" w:eastAsia="仿宋_GB2312"/>
          <w:color w:val="000000" w:themeColor="text1"/>
          <w:sz w:val="32"/>
          <w:szCs w:val="32"/>
          <w14:textFill>
            <w14:solidFill>
              <w14:schemeClr w14:val="tx1"/>
            </w14:solidFill>
          </w14:textFill>
        </w:rPr>
        <w:t>年</w:t>
      </w:r>
      <w:r>
        <w:rPr>
          <w:rFonts w:ascii="仿宋_GB2312" w:eastAsia="仿宋_GB2312"/>
          <w:color w:val="000000" w:themeColor="text1"/>
          <w:sz w:val="32"/>
          <w:szCs w:val="32"/>
          <w14:textFill>
            <w14:solidFill>
              <w14:schemeClr w14:val="tx1"/>
            </w14:solidFill>
          </w14:textFill>
        </w:rPr>
        <w:t>10</w:t>
      </w:r>
      <w:r>
        <w:rPr>
          <w:rFonts w:hint="eastAsia" w:ascii="仿宋_GB2312" w:eastAsia="仿宋_GB2312"/>
          <w:color w:val="000000" w:themeColor="text1"/>
          <w:sz w:val="32"/>
          <w:szCs w:val="32"/>
          <w14:textFill>
            <w14:solidFill>
              <w14:schemeClr w14:val="tx1"/>
            </w14:solidFill>
          </w14:textFill>
        </w:rPr>
        <w:t>月～</w:t>
      </w:r>
      <w:r>
        <w:rPr>
          <w:rFonts w:ascii="仿宋_GB2312" w:eastAsia="仿宋_GB2312"/>
          <w:color w:val="000000" w:themeColor="text1"/>
          <w:sz w:val="32"/>
          <w:szCs w:val="32"/>
          <w14:textFill>
            <w14:solidFill>
              <w14:schemeClr w14:val="tx1"/>
            </w14:solidFill>
          </w14:textFill>
        </w:rPr>
        <w:t>11</w:t>
      </w:r>
      <w:r>
        <w:rPr>
          <w:rFonts w:hint="eastAsia" w:ascii="仿宋_GB2312" w:eastAsia="仿宋_GB2312"/>
          <w:color w:val="000000" w:themeColor="text1"/>
          <w:sz w:val="32"/>
          <w:szCs w:val="32"/>
          <w14:textFill>
            <w14:solidFill>
              <w14:schemeClr w14:val="tx1"/>
            </w14:solidFill>
          </w14:textFill>
        </w:rPr>
        <w:t>月，在前期工作的基础之上，通过理清逻辑脉络，整合已有参考资料中有关内热式针灸疗法技术的要求，并在目前内热式针灸疗法技术实际操作的基础上，按照简化、统一等原则编制完成团体标准《内热式针灸疗法技术操作规范》（草案）。</w:t>
      </w:r>
    </w:p>
    <w:p w14:paraId="78FF0A8F">
      <w:pPr>
        <w:spacing w:line="520" w:lineRule="exact"/>
        <w:ind w:firstLine="640" w:firstLineChars="200"/>
        <w:rPr>
          <w:rFonts w:ascii="仿宋_GB2312" w:eastAsia="仿宋_GB2312"/>
          <w:color w:val="000000" w:themeColor="text1"/>
          <w:sz w:val="32"/>
          <w:szCs w:val="32"/>
          <w14:textFill>
            <w14:solidFill>
              <w14:schemeClr w14:val="tx1"/>
            </w14:solidFill>
          </w14:textFill>
        </w:rPr>
      </w:pPr>
      <w:r>
        <w:rPr>
          <w:rFonts w:hint="eastAsia" w:ascii="仿宋_GB2312" w:eastAsia="仿宋_GB2312"/>
          <w:color w:val="000000" w:themeColor="text1"/>
          <w:sz w:val="32"/>
          <w:szCs w:val="32"/>
          <w14:textFill>
            <w14:solidFill>
              <w14:schemeClr w14:val="tx1"/>
            </w14:solidFill>
          </w14:textFill>
        </w:rPr>
        <w:t>202</w:t>
      </w:r>
      <w:r>
        <w:rPr>
          <w:rFonts w:ascii="仿宋_GB2312" w:eastAsia="仿宋_GB2312"/>
          <w:color w:val="000000" w:themeColor="text1"/>
          <w:sz w:val="32"/>
          <w:szCs w:val="32"/>
          <w14:textFill>
            <w14:solidFill>
              <w14:schemeClr w14:val="tx1"/>
            </w14:solidFill>
          </w14:textFill>
        </w:rPr>
        <w:t>5</w:t>
      </w:r>
      <w:r>
        <w:rPr>
          <w:rFonts w:hint="eastAsia" w:ascii="仿宋_GB2312" w:eastAsia="仿宋_GB2312"/>
          <w:color w:val="000000" w:themeColor="text1"/>
          <w:sz w:val="32"/>
          <w:szCs w:val="32"/>
          <w14:textFill>
            <w14:solidFill>
              <w14:schemeClr w14:val="tx1"/>
            </w14:solidFill>
          </w14:textFill>
        </w:rPr>
        <w:t>年</w:t>
      </w:r>
      <w:r>
        <w:rPr>
          <w:rFonts w:ascii="仿宋_GB2312" w:eastAsia="仿宋_GB2312"/>
          <w:color w:val="000000" w:themeColor="text1"/>
          <w:sz w:val="32"/>
          <w:szCs w:val="32"/>
          <w14:textFill>
            <w14:solidFill>
              <w14:schemeClr w14:val="tx1"/>
            </w14:solidFill>
          </w14:textFill>
        </w:rPr>
        <w:t>12</w:t>
      </w:r>
      <w:r>
        <w:rPr>
          <w:rFonts w:hint="eastAsia" w:ascii="仿宋_GB2312" w:eastAsia="仿宋_GB2312"/>
          <w:color w:val="000000" w:themeColor="text1"/>
          <w:sz w:val="32"/>
          <w:szCs w:val="32"/>
          <w14:textFill>
            <w14:solidFill>
              <w14:schemeClr w14:val="tx1"/>
            </w14:solidFill>
          </w14:textFill>
        </w:rPr>
        <w:t>月，标准编制工作组征求</w:t>
      </w:r>
      <w:r>
        <w:rPr>
          <w:rFonts w:ascii="仿宋_GB2312" w:eastAsia="仿宋_GB2312"/>
          <w:color w:val="000000" w:themeColor="text1"/>
          <w:sz w:val="32"/>
          <w:szCs w:val="32"/>
          <w14:textFill>
            <w14:solidFill>
              <w14:schemeClr w14:val="tx1"/>
            </w14:solidFill>
          </w14:textFill>
        </w:rPr>
        <w:t>到了</w:t>
      </w:r>
      <w:r>
        <w:rPr>
          <w:rFonts w:hint="eastAsia" w:ascii="仿宋_GB2312" w:eastAsia="仿宋_GB2312"/>
          <w:color w:val="000000" w:themeColor="text1"/>
          <w:sz w:val="32"/>
          <w:szCs w:val="32"/>
          <w14:textFill>
            <w14:solidFill>
              <w14:schemeClr w14:val="tx1"/>
            </w14:solidFill>
          </w14:textFill>
        </w:rPr>
        <w:t>广西中医药大学第一附属医院、防城港市中医医院、广西壮族自治区民族医院、马山县中医医院、广西国际壮医医院、湛江市第一中医医院、山西中医药大学附属医院、贵州中医药大学第一附属医院、辽宁中医药大学附属医院等单位的内部意见，通过收集反馈的意见，标准编制工作组多次召开会议，对标准草案进行了反复修改和研究讨论，明确内热式针灸疗法技术的要点，掌握了内热式针灸疗法技术的基本情况以及要求，最终形成了</w:t>
      </w:r>
      <w:bookmarkStart w:id="0" w:name="_Hlk120181503"/>
      <w:r>
        <w:rPr>
          <w:rFonts w:hint="eastAsia" w:ascii="仿宋_GB2312" w:eastAsia="仿宋_GB2312"/>
          <w:color w:val="000000" w:themeColor="text1"/>
          <w:sz w:val="32"/>
          <w:szCs w:val="32"/>
          <w14:textFill>
            <w14:solidFill>
              <w14:schemeClr w14:val="tx1"/>
            </w14:solidFill>
          </w14:textFill>
        </w:rPr>
        <w:t>团体标准《内热式针灸疗法技术操作规范》（征求意见稿）及其编制说明。</w:t>
      </w:r>
      <w:bookmarkEnd w:id="0"/>
    </w:p>
    <w:p w14:paraId="09100CED">
      <w:pPr>
        <w:autoSpaceDE w:val="0"/>
        <w:autoSpaceDN w:val="0"/>
        <w:adjustRightInd w:val="0"/>
        <w:spacing w:before="120" w:beforeLines="50" w:after="120" w:afterLines="50" w:line="560" w:lineRule="exact"/>
        <w:ind w:firstLine="640" w:firstLineChars="200"/>
        <w:outlineLvl w:val="0"/>
        <w:rPr>
          <w:rFonts w:ascii="Times New Roman" w:hAnsi="Times New Roman" w:eastAsia="黑体" w:cs="Times New Roman"/>
          <w:color w:val="000000" w:themeColor="text1"/>
          <w:sz w:val="32"/>
          <w:szCs w:val="32"/>
          <w14:textFill>
            <w14:solidFill>
              <w14:schemeClr w14:val="tx1"/>
            </w14:solidFill>
          </w14:textFill>
        </w:rPr>
      </w:pPr>
      <w:r>
        <w:rPr>
          <w:rFonts w:hint="eastAsia" w:ascii="Times New Roman" w:hAnsi="Times New Roman" w:eastAsia="黑体" w:cs="Times New Roman"/>
          <w:color w:val="000000" w:themeColor="text1"/>
          <w:sz w:val="32"/>
          <w:szCs w:val="32"/>
          <w14:textFill>
            <w14:solidFill>
              <w14:schemeClr w14:val="tx1"/>
            </w14:solidFill>
          </w14:textFill>
        </w:rPr>
        <w:t>四、制定标准的原则和依据，与现行法律、法规的关系，与有关国家标准、行业标准的协调情况</w:t>
      </w:r>
    </w:p>
    <w:p w14:paraId="50827EEE">
      <w:pPr>
        <w:tabs>
          <w:tab w:val="center" w:pos="4201"/>
          <w:tab w:val="right" w:leader="dot" w:pos="9298"/>
        </w:tabs>
        <w:autoSpaceDE w:val="0"/>
        <w:autoSpaceDN w:val="0"/>
        <w:spacing w:line="560" w:lineRule="exact"/>
        <w:ind w:firstLine="643" w:firstLineChars="200"/>
        <w:outlineLvl w:val="1"/>
        <w:rPr>
          <w:rFonts w:ascii="Times New Roman" w:hAnsi="Times New Roman" w:eastAsia="楷体" w:cs="Times New Roman"/>
          <w:b/>
          <w:bCs/>
          <w:color w:val="000000" w:themeColor="text1"/>
          <w:kern w:val="0"/>
          <w:sz w:val="32"/>
          <w:szCs w:val="32"/>
          <w14:textFill>
            <w14:solidFill>
              <w14:schemeClr w14:val="tx1"/>
            </w14:solidFill>
          </w14:textFill>
        </w:rPr>
      </w:pPr>
      <w:r>
        <w:rPr>
          <w:rFonts w:hint="eastAsia" w:ascii="Times New Roman" w:hAnsi="Times New Roman" w:eastAsia="楷体" w:cs="Times New Roman"/>
          <w:b/>
          <w:bCs/>
          <w:color w:val="000000" w:themeColor="text1"/>
          <w:kern w:val="0"/>
          <w:sz w:val="32"/>
          <w:szCs w:val="32"/>
          <w14:textFill>
            <w14:solidFill>
              <w14:schemeClr w14:val="tx1"/>
            </w14:solidFill>
          </w14:textFill>
        </w:rPr>
        <w:t>（一）编制原则</w:t>
      </w:r>
    </w:p>
    <w:p w14:paraId="14FD6F07">
      <w:pPr>
        <w:spacing w:line="560" w:lineRule="exact"/>
        <w:ind w:firstLine="643" w:firstLineChars="200"/>
        <w:rPr>
          <w:rFonts w:hint="eastAsia" w:ascii="仿宋_GB2312" w:hAnsi="楷体" w:eastAsia="仿宋_GB2312" w:cs="Times New Roman"/>
          <w:b/>
          <w:color w:val="000000" w:themeColor="text1"/>
          <w:sz w:val="32"/>
          <w:szCs w:val="32"/>
          <w14:textFill>
            <w14:solidFill>
              <w14:schemeClr w14:val="tx1"/>
            </w14:solidFill>
          </w14:textFill>
        </w:rPr>
      </w:pPr>
      <w:r>
        <w:rPr>
          <w:rFonts w:hint="eastAsia" w:ascii="仿宋_GB2312" w:hAnsi="楷体" w:eastAsia="仿宋_GB2312" w:cs="Times New Roman"/>
          <w:b/>
          <w:color w:val="000000" w:themeColor="text1"/>
          <w:sz w:val="32"/>
          <w:szCs w:val="32"/>
          <w14:textFill>
            <w14:solidFill>
              <w14:schemeClr w14:val="tx1"/>
            </w14:solidFill>
          </w14:textFill>
        </w:rPr>
        <w:t>1、实用性原则</w:t>
      </w:r>
    </w:p>
    <w:p w14:paraId="1D31E509">
      <w:pPr>
        <w:spacing w:line="520" w:lineRule="exact"/>
        <w:ind w:firstLine="640" w:firstLineChars="200"/>
        <w:rPr>
          <w:rFonts w:ascii="仿宋_GB2312" w:eastAsia="仿宋_GB2312"/>
          <w:color w:val="000000" w:themeColor="text1"/>
          <w:sz w:val="32"/>
          <w:szCs w:val="32"/>
          <w14:textFill>
            <w14:solidFill>
              <w14:schemeClr w14:val="tx1"/>
            </w14:solidFill>
          </w14:textFill>
        </w:rPr>
      </w:pPr>
      <w:r>
        <w:rPr>
          <w:rFonts w:hint="eastAsia" w:ascii="仿宋_GB2312" w:eastAsia="仿宋_GB2312"/>
          <w:color w:val="000000" w:themeColor="text1"/>
          <w:sz w:val="32"/>
          <w:szCs w:val="32"/>
          <w14:textFill>
            <w14:solidFill>
              <w14:schemeClr w14:val="tx1"/>
            </w14:solidFill>
          </w14:textFill>
        </w:rPr>
        <w:t>本标准是在充分收集国内外相关资料和文献、调研分析内热式针灸疗法技术现状，结合起草单位前期研究工作取得的研究成果及积累的实践经验，并借鉴国内内热式针灸疗法技术进行总结起草的，符合工作实际，有利于内热式针灸疗法技术的实施与推广，具有可操作性和实用性。</w:t>
      </w:r>
    </w:p>
    <w:p w14:paraId="29148CB3">
      <w:pPr>
        <w:spacing w:line="560" w:lineRule="exact"/>
        <w:ind w:firstLine="643" w:firstLineChars="200"/>
        <w:rPr>
          <w:rFonts w:hint="eastAsia" w:ascii="仿宋_GB2312" w:hAnsi="楷体" w:eastAsia="仿宋_GB2312" w:cs="Times New Roman"/>
          <w:b/>
          <w:color w:val="000000" w:themeColor="text1"/>
          <w:sz w:val="32"/>
          <w:szCs w:val="32"/>
          <w14:textFill>
            <w14:solidFill>
              <w14:schemeClr w14:val="tx1"/>
            </w14:solidFill>
          </w14:textFill>
        </w:rPr>
      </w:pPr>
      <w:r>
        <w:rPr>
          <w:rFonts w:hint="eastAsia" w:ascii="仿宋_GB2312" w:hAnsi="楷体" w:eastAsia="仿宋_GB2312" w:cs="Times New Roman"/>
          <w:b/>
          <w:color w:val="000000" w:themeColor="text1"/>
          <w:sz w:val="32"/>
          <w:szCs w:val="32"/>
          <w14:textFill>
            <w14:solidFill>
              <w14:schemeClr w14:val="tx1"/>
            </w14:solidFill>
          </w14:textFill>
        </w:rPr>
        <w:t>2、协调性原则</w:t>
      </w:r>
    </w:p>
    <w:p w14:paraId="51805774">
      <w:pPr>
        <w:spacing w:line="520" w:lineRule="exact"/>
        <w:ind w:firstLine="640" w:firstLineChars="200"/>
        <w:rPr>
          <w:rFonts w:ascii="仿宋_GB2312" w:eastAsia="仿宋_GB2312"/>
          <w:color w:val="000000" w:themeColor="text1"/>
          <w:sz w:val="32"/>
          <w:szCs w:val="32"/>
          <w14:textFill>
            <w14:solidFill>
              <w14:schemeClr w14:val="tx1"/>
            </w14:solidFill>
          </w14:textFill>
        </w:rPr>
      </w:pPr>
      <w:r>
        <w:rPr>
          <w:rFonts w:hint="eastAsia" w:ascii="仿宋_GB2312" w:eastAsia="仿宋_GB2312"/>
          <w:color w:val="000000" w:themeColor="text1"/>
          <w:sz w:val="32"/>
          <w:szCs w:val="32"/>
          <w14:textFill>
            <w14:solidFill>
              <w14:schemeClr w14:val="tx1"/>
            </w14:solidFill>
          </w14:textFill>
        </w:rPr>
        <w:t>本文件编写过程中注意了与内热式针灸疗法技术相关法律法规的协调问题，在内容上与现行法律法规、标准协调一致。</w:t>
      </w:r>
    </w:p>
    <w:p w14:paraId="37D46DA6">
      <w:pPr>
        <w:spacing w:line="560" w:lineRule="exact"/>
        <w:ind w:firstLine="643" w:firstLineChars="200"/>
        <w:rPr>
          <w:rFonts w:hint="eastAsia" w:ascii="仿宋_GB2312" w:hAnsi="楷体" w:eastAsia="仿宋_GB2312" w:cs="Times New Roman"/>
          <w:b/>
          <w:color w:val="000000" w:themeColor="text1"/>
          <w:sz w:val="32"/>
          <w:szCs w:val="32"/>
          <w14:textFill>
            <w14:solidFill>
              <w14:schemeClr w14:val="tx1"/>
            </w14:solidFill>
          </w14:textFill>
        </w:rPr>
      </w:pPr>
      <w:r>
        <w:rPr>
          <w:rFonts w:hint="eastAsia" w:ascii="仿宋_GB2312" w:hAnsi="楷体" w:eastAsia="仿宋_GB2312" w:cs="Times New Roman"/>
          <w:b/>
          <w:color w:val="000000" w:themeColor="text1"/>
          <w:sz w:val="32"/>
          <w:szCs w:val="32"/>
          <w14:textFill>
            <w14:solidFill>
              <w14:schemeClr w14:val="tx1"/>
            </w14:solidFill>
          </w14:textFill>
        </w:rPr>
        <w:t>3、规范性原则</w:t>
      </w:r>
    </w:p>
    <w:p w14:paraId="7C72D480">
      <w:pPr>
        <w:spacing w:line="520" w:lineRule="exact"/>
        <w:ind w:firstLine="640" w:firstLineChars="200"/>
        <w:rPr>
          <w:rFonts w:ascii="仿宋_GB2312" w:eastAsia="仿宋_GB2312"/>
          <w:color w:val="000000" w:themeColor="text1"/>
          <w:sz w:val="32"/>
          <w:szCs w:val="32"/>
          <w14:textFill>
            <w14:solidFill>
              <w14:schemeClr w14:val="tx1"/>
            </w14:solidFill>
          </w14:textFill>
        </w:rPr>
      </w:pPr>
      <w:r>
        <w:rPr>
          <w:rFonts w:hint="eastAsia" w:ascii="仿宋_GB2312" w:eastAsia="仿宋_GB2312"/>
          <w:color w:val="000000" w:themeColor="text1"/>
          <w:sz w:val="32"/>
          <w:szCs w:val="32"/>
          <w14:textFill>
            <w14:solidFill>
              <w14:schemeClr w14:val="tx1"/>
            </w14:solidFill>
          </w14:textFill>
        </w:rPr>
        <w:t>本文件严格按照GB/T 1.1—2020《标准化工作规范  第1部分：标准化文件的结构和起草规则》编写本标准的内容，保证标准的编写质量。</w:t>
      </w:r>
    </w:p>
    <w:p w14:paraId="68F0AC02">
      <w:pPr>
        <w:spacing w:line="560" w:lineRule="exact"/>
        <w:ind w:firstLine="643" w:firstLineChars="200"/>
        <w:rPr>
          <w:rFonts w:hint="eastAsia" w:ascii="仿宋_GB2312" w:hAnsi="楷体" w:eastAsia="仿宋_GB2312" w:cs="Times New Roman"/>
          <w:b/>
          <w:color w:val="000000" w:themeColor="text1"/>
          <w:sz w:val="32"/>
          <w:szCs w:val="32"/>
          <w14:textFill>
            <w14:solidFill>
              <w14:schemeClr w14:val="tx1"/>
            </w14:solidFill>
          </w14:textFill>
        </w:rPr>
      </w:pPr>
      <w:r>
        <w:rPr>
          <w:rFonts w:hint="eastAsia" w:ascii="仿宋_GB2312" w:hAnsi="楷体" w:eastAsia="仿宋_GB2312" w:cs="Times New Roman"/>
          <w:b/>
          <w:color w:val="000000" w:themeColor="text1"/>
          <w:sz w:val="32"/>
          <w:szCs w:val="32"/>
          <w14:textFill>
            <w14:solidFill>
              <w14:schemeClr w14:val="tx1"/>
            </w14:solidFill>
          </w14:textFill>
        </w:rPr>
        <w:t>4、前瞻性原则</w:t>
      </w:r>
    </w:p>
    <w:p w14:paraId="30B8B86D">
      <w:pPr>
        <w:spacing w:line="520" w:lineRule="exact"/>
        <w:ind w:firstLine="640" w:firstLineChars="200"/>
        <w:rPr>
          <w:rFonts w:ascii="仿宋_GB2312" w:eastAsia="仿宋_GB2312"/>
          <w:color w:val="000000" w:themeColor="text1"/>
          <w:sz w:val="32"/>
          <w:szCs w:val="32"/>
          <w14:textFill>
            <w14:solidFill>
              <w14:schemeClr w14:val="tx1"/>
            </w14:solidFill>
          </w14:textFill>
        </w:rPr>
      </w:pPr>
      <w:r>
        <w:rPr>
          <w:rFonts w:hint="eastAsia" w:ascii="仿宋_GB2312" w:eastAsia="仿宋_GB2312"/>
          <w:color w:val="000000" w:themeColor="text1"/>
          <w:sz w:val="32"/>
          <w:szCs w:val="32"/>
          <w14:textFill>
            <w14:solidFill>
              <w14:schemeClr w14:val="tx1"/>
            </w14:solidFill>
          </w14:textFill>
        </w:rPr>
        <w:t>本文件在兼顾当前内热式针灸疗法技术现实情况的同时，还考虑到了内热式针灸疗法技术的需要，在标准中体现了个别特色性、前瞻性和先进性条款，作为对内热式针灸疗法技术的指导。</w:t>
      </w:r>
    </w:p>
    <w:p w14:paraId="39893F8C">
      <w:pPr>
        <w:tabs>
          <w:tab w:val="center" w:pos="4201"/>
          <w:tab w:val="right" w:leader="dot" w:pos="9298"/>
        </w:tabs>
        <w:autoSpaceDE w:val="0"/>
        <w:autoSpaceDN w:val="0"/>
        <w:spacing w:line="560" w:lineRule="exact"/>
        <w:ind w:firstLine="643" w:firstLineChars="200"/>
        <w:outlineLvl w:val="1"/>
        <w:rPr>
          <w:rFonts w:ascii="Times New Roman" w:hAnsi="Times New Roman" w:eastAsia="楷体" w:cs="Times New Roman"/>
          <w:b/>
          <w:bCs/>
          <w:color w:val="000000" w:themeColor="text1"/>
          <w:kern w:val="0"/>
          <w:sz w:val="32"/>
          <w:szCs w:val="32"/>
          <w14:textFill>
            <w14:solidFill>
              <w14:schemeClr w14:val="tx1"/>
            </w14:solidFill>
          </w14:textFill>
        </w:rPr>
      </w:pPr>
      <w:r>
        <w:rPr>
          <w:rFonts w:hint="eastAsia" w:ascii="Times New Roman" w:hAnsi="Times New Roman" w:eastAsia="楷体" w:cs="Times New Roman"/>
          <w:b/>
          <w:bCs/>
          <w:color w:val="000000" w:themeColor="text1"/>
          <w:kern w:val="0"/>
          <w:sz w:val="32"/>
          <w:szCs w:val="32"/>
          <w14:textFill>
            <w14:solidFill>
              <w14:schemeClr w14:val="tx1"/>
            </w14:solidFill>
          </w14:textFill>
        </w:rPr>
        <w:t>（二）编制依据</w:t>
      </w:r>
    </w:p>
    <w:p w14:paraId="3B0AC498">
      <w:pPr>
        <w:spacing w:line="520" w:lineRule="exact"/>
        <w:ind w:firstLine="640" w:firstLineChars="200"/>
        <w:rPr>
          <w:rFonts w:ascii="仿宋_GB2312" w:eastAsia="仿宋_GB2312"/>
          <w:color w:val="000000" w:themeColor="text1"/>
          <w:sz w:val="32"/>
          <w:szCs w:val="32"/>
          <w14:textFill>
            <w14:solidFill>
              <w14:schemeClr w14:val="tx1"/>
            </w14:solidFill>
          </w14:textFill>
        </w:rPr>
      </w:pPr>
      <w:r>
        <w:rPr>
          <w:rFonts w:hint="eastAsia" w:ascii="仿宋_GB2312" w:eastAsia="仿宋_GB2312"/>
          <w:color w:val="000000" w:themeColor="text1"/>
          <w:sz w:val="32"/>
          <w:szCs w:val="32"/>
          <w14:textFill>
            <w14:solidFill>
              <w14:schemeClr w14:val="tx1"/>
            </w14:solidFill>
          </w14:textFill>
        </w:rPr>
        <w:t>本标准严格按照GB/T 1.1—2020《标准化工作规范  第1部分：标准化文件的结构和起草规则》的规则起草，标准主要内容依据起草单位在内热式针灸疗法技术过程中的实践经验确定。</w:t>
      </w:r>
    </w:p>
    <w:p w14:paraId="6B3B2338">
      <w:pPr>
        <w:tabs>
          <w:tab w:val="center" w:pos="4201"/>
          <w:tab w:val="right" w:leader="dot" w:pos="9298"/>
        </w:tabs>
        <w:autoSpaceDE w:val="0"/>
        <w:autoSpaceDN w:val="0"/>
        <w:spacing w:line="560" w:lineRule="exact"/>
        <w:ind w:firstLine="643" w:firstLineChars="200"/>
        <w:outlineLvl w:val="1"/>
        <w:rPr>
          <w:rFonts w:ascii="Times New Roman" w:hAnsi="Times New Roman" w:eastAsia="楷体" w:cs="Times New Roman"/>
          <w:b/>
          <w:bCs/>
          <w:color w:val="000000" w:themeColor="text1"/>
          <w:kern w:val="0"/>
          <w:sz w:val="32"/>
          <w:szCs w:val="32"/>
          <w14:textFill>
            <w14:solidFill>
              <w14:schemeClr w14:val="tx1"/>
            </w14:solidFill>
          </w14:textFill>
        </w:rPr>
      </w:pPr>
      <w:r>
        <w:rPr>
          <w:rFonts w:hint="eastAsia" w:ascii="Times New Roman" w:hAnsi="Times New Roman" w:eastAsia="楷体" w:cs="Times New Roman"/>
          <w:b/>
          <w:bCs/>
          <w:color w:val="000000" w:themeColor="text1"/>
          <w:kern w:val="0"/>
          <w:sz w:val="32"/>
          <w:szCs w:val="32"/>
          <w14:textFill>
            <w14:solidFill>
              <w14:schemeClr w14:val="tx1"/>
            </w14:solidFill>
          </w14:textFill>
        </w:rPr>
        <w:t>（三）与现行法律、法规的关系，与有关国家标准、行业标准的协调情况</w:t>
      </w:r>
    </w:p>
    <w:p w14:paraId="13D4EE7F">
      <w:pPr>
        <w:spacing w:line="520" w:lineRule="exact"/>
        <w:ind w:firstLine="640" w:firstLineChars="200"/>
        <w:rPr>
          <w:rFonts w:ascii="仿宋_GB2312" w:eastAsia="仿宋_GB2312"/>
          <w:color w:val="000000" w:themeColor="text1"/>
          <w:sz w:val="32"/>
          <w:szCs w:val="32"/>
          <w14:textFill>
            <w14:solidFill>
              <w14:schemeClr w14:val="tx1"/>
            </w14:solidFill>
          </w14:textFill>
        </w:rPr>
      </w:pPr>
      <w:r>
        <w:rPr>
          <w:rFonts w:hint="eastAsia" w:ascii="仿宋_GB2312" w:eastAsia="仿宋_GB2312"/>
          <w:color w:val="000000" w:themeColor="text1"/>
          <w:sz w:val="32"/>
          <w:szCs w:val="32"/>
          <w14:textFill>
            <w14:solidFill>
              <w14:schemeClr w14:val="tx1"/>
            </w14:solidFill>
          </w14:textFill>
        </w:rPr>
        <w:t>本标准与相关法律法规、强制性标准协调一致，无冲突。</w:t>
      </w:r>
    </w:p>
    <w:p w14:paraId="74091109">
      <w:pPr>
        <w:spacing w:line="520" w:lineRule="exact"/>
        <w:ind w:firstLine="640" w:firstLineChars="200"/>
        <w:rPr>
          <w:rFonts w:ascii="Times New Roman" w:hAnsi="Times New Roman" w:eastAsia="仿宋_GB2312" w:cs="Times New Roman"/>
          <w:color w:val="000000" w:themeColor="text1"/>
          <w:sz w:val="32"/>
          <w:szCs w:val="32"/>
          <w14:textFill>
            <w14:solidFill>
              <w14:schemeClr w14:val="tx1"/>
            </w14:solidFill>
          </w14:textFill>
        </w:rPr>
      </w:pPr>
      <w:r>
        <w:rPr>
          <w:rFonts w:hint="eastAsia" w:ascii="仿宋_GB2312" w:eastAsia="仿宋_GB2312"/>
          <w:color w:val="000000" w:themeColor="text1"/>
          <w:sz w:val="32"/>
          <w:szCs w:val="32"/>
          <w14:textFill>
            <w14:solidFill>
              <w14:schemeClr w14:val="tx1"/>
            </w14:solidFill>
          </w14:textFill>
        </w:rPr>
        <w:t>经查阅，截至目前，国内</w:t>
      </w:r>
      <w:r>
        <w:rPr>
          <w:rFonts w:hint="eastAsia" w:ascii="Times New Roman" w:hAnsi="Times New Roman" w:eastAsia="仿宋_GB2312" w:cs="Times New Roman"/>
          <w:color w:val="000000" w:themeColor="text1"/>
          <w:sz w:val="32"/>
          <w:szCs w:val="32"/>
          <w14:textFill>
            <w14:solidFill>
              <w14:schemeClr w14:val="tx1"/>
            </w14:solidFill>
          </w14:textFill>
        </w:rPr>
        <w:t>与“针灸疗法”“针灸技术操作”相关的标准有：《GB/T 33416-2016  针灸技术操作规范 编写通则》《GB/Z 40893.3-2021  中医技术操作规范  儿科 第3部分：小儿针灸疗法》《DB14/T 3270-2025针灸技术操作规范  醒脑通督针法》《DB14/T 3278-2025  针灸技术操作规范  脐药灸》《DB14/T 3279-2025  针灸技术操作规范  强肾通督针》。其中，《GB/T 33416-2016  针灸技术操作规范 编写通则》规定了针灸技术操作规范(以下简称《规范》)的编写总则、基本要求、结构要素及其具体内容要求。适用于《规范》各部分的编写。该标准仅规定标准编写的通用要求（如结构、术语规则），未涉及内热式针灸 “针体加热”“温度调控” 等核心技术参数、操作流程，无法直接指导临床实践。《GB/Z 40893.3-2021  中医技术操作规范  儿科 第3部分：小儿针灸疗法》规定了小儿毫针刺法、小儿三棱针疗法、刺四缝疗法、小儿艾灸的操作步骤与要求,并给出了注意事项与禁忌。适用于小儿毫针刺法、小儿三棱针疗法、刺四缝疗法、小儿艾灸技术操作。《DB14/T 3270-2025针灸技术操作规范  醒脑通督针法》规定了强肾通督针的术语和定义、施术前准备、施术方法、施术后处理、注意事项、禁忌等。适用于强肾通督针技术操作。《DB14/T 3278-2025  针灸技术操作规范  脐药灸》本文件规定了脐药灸技术操作的规范性引用文件、术语和定义、施术前准备、施术方法、施术后处理、施术流程图、注意事项、禁忌。适用于脐药灸技术操作。《DB14/T 3279-2025  针灸技术操作规范  强肾通督针》规定了醒脑通督针的术语和定义、施术前准备、施术方法、施术后处理、施术流程、注意事项、禁忌证。适用于醒脑通督针技术操作。以上标准均针对特定病症或传统 改良针法，核心技术逻辑是 “传统针刺 + 特定穴位 / 手法”；而内热式针灸是 “传统针灸 + 现代内热技术”，关键差异在于 “针体精准控温”“热传导均匀性”“设备适配性” 等专属要求，现有专科标准无相关技术条款。</w:t>
      </w:r>
    </w:p>
    <w:p w14:paraId="4774F544">
      <w:pPr>
        <w:spacing w:line="520" w:lineRule="exact"/>
        <w:ind w:firstLine="640" w:firstLineChars="200"/>
        <w:rPr>
          <w:rFonts w:ascii="仿宋_GB2312" w:eastAsia="仿宋_GB2312"/>
          <w:color w:val="000000" w:themeColor="text1"/>
          <w:sz w:val="32"/>
          <w:szCs w:val="32"/>
          <w14:textFill>
            <w14:solidFill>
              <w14:schemeClr w14:val="tx1"/>
            </w14:solidFill>
          </w14:textFill>
        </w:rPr>
      </w:pPr>
      <w:r>
        <w:rPr>
          <w:rFonts w:hint="eastAsia" w:ascii="Times New Roman" w:hAnsi="Times New Roman" w:eastAsia="仿宋_GB2312" w:cs="Times New Roman"/>
          <w:color w:val="000000" w:themeColor="text1"/>
          <w:sz w:val="32"/>
          <w:szCs w:val="32"/>
          <w14:textFill>
            <w14:solidFill>
              <w14:schemeClr w14:val="tx1"/>
            </w14:solidFill>
          </w14:textFill>
        </w:rPr>
        <w:t>上述标准不涉及内热针灸技术内容，而内热针技术（即内热式针灸）将现代恒温加热技术与针法松解相结合，用特制针具针入人体腧穴或肌肉处，并辅以针身恒温加热进行治疗。这种技术既具备传统中医医疗技术特色，还结合了现代科学技术医疗器械的创新性，治疗疼痛疗效显著，是中医特色针灸疗法。拟制订团体标准明确内热式针灸疗法技术操作的指标和内容等方面，更具有针对性，可填内热式针灸疗法技术操作相关领域标准空白</w:t>
      </w:r>
      <w:r>
        <w:rPr>
          <w:rFonts w:hint="eastAsia" w:ascii="仿宋_GB2312" w:eastAsia="仿宋_GB2312"/>
          <w:color w:val="000000" w:themeColor="text1"/>
          <w:sz w:val="32"/>
          <w:szCs w:val="32"/>
          <w14:textFill>
            <w14:solidFill>
              <w14:schemeClr w14:val="tx1"/>
            </w14:solidFill>
          </w14:textFill>
        </w:rPr>
        <w:t>。</w:t>
      </w:r>
    </w:p>
    <w:p w14:paraId="192BE869">
      <w:pPr>
        <w:spacing w:line="520" w:lineRule="exact"/>
        <w:ind w:firstLine="640" w:firstLineChars="200"/>
        <w:rPr>
          <w:rFonts w:ascii="仿宋_GB2312" w:eastAsia="仿宋_GB2312"/>
          <w:color w:val="000000" w:themeColor="text1"/>
          <w:sz w:val="32"/>
          <w:szCs w:val="32"/>
          <w14:textFill>
            <w14:solidFill>
              <w14:schemeClr w14:val="tx1"/>
            </w14:solidFill>
          </w14:textFill>
        </w:rPr>
      </w:pPr>
      <w:r>
        <w:rPr>
          <w:rFonts w:hint="eastAsia" w:ascii="仿宋_GB2312" w:eastAsia="仿宋_GB2312"/>
          <w:color w:val="000000" w:themeColor="text1"/>
          <w:sz w:val="32"/>
          <w:szCs w:val="32"/>
          <w14:textFill>
            <w14:solidFill>
              <w14:schemeClr w14:val="tx1"/>
            </w14:solidFill>
          </w14:textFill>
        </w:rPr>
        <w:t>本标准的内容与现行的法律法规及强制性标准无冲突，本文件相关指标不低于强制性国家标准的相关技术要求，标准的编写符合GB/T 1.1—2020的要求。</w:t>
      </w:r>
    </w:p>
    <w:p w14:paraId="3AC5549E">
      <w:pPr>
        <w:autoSpaceDE w:val="0"/>
        <w:autoSpaceDN w:val="0"/>
        <w:adjustRightInd w:val="0"/>
        <w:spacing w:line="560" w:lineRule="exact"/>
        <w:ind w:firstLine="640" w:firstLineChars="200"/>
        <w:outlineLvl w:val="0"/>
        <w:rPr>
          <w:rFonts w:ascii="Times New Roman" w:hAnsi="Times New Roman" w:eastAsia="黑体" w:cs="Times New Roman"/>
          <w:color w:val="000000" w:themeColor="text1"/>
          <w:sz w:val="32"/>
          <w:szCs w:val="32"/>
          <w14:textFill>
            <w14:solidFill>
              <w14:schemeClr w14:val="tx1"/>
            </w14:solidFill>
          </w14:textFill>
        </w:rPr>
      </w:pPr>
      <w:r>
        <w:rPr>
          <w:rFonts w:hint="eastAsia" w:ascii="Times New Roman" w:hAnsi="Times New Roman" w:eastAsia="黑体" w:cs="Times New Roman"/>
          <w:color w:val="000000" w:themeColor="text1"/>
          <w:sz w:val="32"/>
          <w:szCs w:val="32"/>
          <w14:textFill>
            <w14:solidFill>
              <w14:schemeClr w14:val="tx1"/>
            </w14:solidFill>
          </w14:textFill>
        </w:rPr>
        <w:t>五、主要条款的说明</w:t>
      </w:r>
      <w:bookmarkStart w:id="1" w:name="_GoBack"/>
      <w:bookmarkEnd w:id="1"/>
    </w:p>
    <w:p w14:paraId="01FF5FE1">
      <w:pPr>
        <w:spacing w:line="520" w:lineRule="exact"/>
        <w:ind w:firstLine="640" w:firstLineChars="200"/>
        <w:rPr>
          <w:rFonts w:ascii="仿宋_GB2312" w:eastAsia="仿宋_GB2312"/>
          <w:color w:val="000000" w:themeColor="text1"/>
          <w:sz w:val="32"/>
          <w:szCs w:val="32"/>
          <w14:textFill>
            <w14:solidFill>
              <w14:schemeClr w14:val="tx1"/>
            </w14:solidFill>
          </w14:textFill>
        </w:rPr>
      </w:pPr>
      <w:r>
        <w:rPr>
          <w:rFonts w:hint="eastAsia" w:ascii="仿宋_GB2312" w:eastAsia="仿宋_GB2312"/>
          <w:color w:val="000000" w:themeColor="text1"/>
          <w:sz w:val="32"/>
          <w:szCs w:val="32"/>
          <w14:textFill>
            <w14:solidFill>
              <w14:schemeClr w14:val="tx1"/>
            </w14:solidFill>
          </w14:textFill>
        </w:rPr>
        <w:t>团体标准《内热式针灸疗法技术操作规范》的主要章节内容包括施术前准备、施术方法、施术后处理、注意事项、禁忌。本文件主要内容及依据来源说明如下：</w:t>
      </w:r>
    </w:p>
    <w:p w14:paraId="2B993EC5">
      <w:pPr>
        <w:tabs>
          <w:tab w:val="center" w:pos="4201"/>
          <w:tab w:val="right" w:leader="dot" w:pos="9298"/>
        </w:tabs>
        <w:autoSpaceDE w:val="0"/>
        <w:autoSpaceDN w:val="0"/>
        <w:spacing w:line="560" w:lineRule="exact"/>
        <w:ind w:firstLine="643" w:firstLineChars="200"/>
        <w:outlineLvl w:val="1"/>
        <w:rPr>
          <w:rFonts w:ascii="Times New Roman" w:hAnsi="Times New Roman" w:eastAsia="楷体" w:cs="Times New Roman"/>
          <w:b/>
          <w:bCs/>
          <w:color w:val="000000" w:themeColor="text1"/>
          <w:kern w:val="0"/>
          <w:sz w:val="32"/>
          <w:szCs w:val="32"/>
          <w14:textFill>
            <w14:solidFill>
              <w14:schemeClr w14:val="tx1"/>
            </w14:solidFill>
          </w14:textFill>
        </w:rPr>
      </w:pPr>
      <w:r>
        <w:rPr>
          <w:rFonts w:hint="eastAsia" w:ascii="Times New Roman" w:hAnsi="Times New Roman" w:eastAsia="楷体" w:cs="Times New Roman"/>
          <w:b/>
          <w:bCs/>
          <w:color w:val="000000" w:themeColor="text1"/>
          <w:kern w:val="0"/>
          <w:sz w:val="32"/>
          <w:szCs w:val="32"/>
          <w14:textFill>
            <w14:solidFill>
              <w14:schemeClr w14:val="tx1"/>
            </w14:solidFill>
          </w14:textFill>
        </w:rPr>
        <w:t>（一）内热式针灸疗法</w:t>
      </w:r>
    </w:p>
    <w:p w14:paraId="5E9DC3D2">
      <w:pPr>
        <w:spacing w:line="520" w:lineRule="exact"/>
        <w:ind w:firstLine="640" w:firstLineChars="200"/>
        <w:rPr>
          <w:rFonts w:ascii="仿宋_GB2312" w:eastAsia="仿宋_GB2312"/>
          <w:color w:val="000000" w:themeColor="text1"/>
          <w:sz w:val="32"/>
          <w:szCs w:val="32"/>
          <w14:textFill>
            <w14:solidFill>
              <w14:schemeClr w14:val="tx1"/>
            </w14:solidFill>
          </w14:textFill>
        </w:rPr>
      </w:pPr>
      <w:r>
        <w:rPr>
          <w:rFonts w:hint="eastAsia" w:ascii="仿宋_GB2312" w:eastAsia="仿宋_GB2312"/>
          <w:color w:val="000000" w:themeColor="text1"/>
          <w:sz w:val="32"/>
          <w:szCs w:val="32"/>
          <w14:textFill>
            <w14:solidFill>
              <w14:schemeClr w14:val="tx1"/>
            </w14:solidFill>
          </w14:textFill>
        </w:rPr>
        <w:t>内热式针灸疗法是在中医传统的温针灸的基础上发展起来的，即将特制针具依据治疗需要刺入人体腧穴或肌肉深处，并视患者病情加热针具至特定温度的针刺技术，也称内热针疗法。其术语内容参考《自治区中医药局办公室关于印发&lt;中医非药物疗法第二批操作规范（试行）&gt;的通知》（桂中医药医发〔2023〕11号）确定。</w:t>
      </w:r>
    </w:p>
    <w:p w14:paraId="717B714D">
      <w:pPr>
        <w:pStyle w:val="2"/>
        <w:jc w:val="center"/>
        <w:rPr>
          <w:rFonts w:ascii="仿宋_GB2312" w:eastAsia="仿宋_GB2312"/>
          <w:color w:val="000000" w:themeColor="text1"/>
          <w14:textFill>
            <w14:solidFill>
              <w14:schemeClr w14:val="tx1"/>
            </w14:solidFill>
          </w14:textFill>
        </w:rPr>
      </w:pPr>
      <w:r>
        <w:drawing>
          <wp:inline distT="0" distB="0" distL="114300" distR="114300">
            <wp:extent cx="4500245" cy="1305560"/>
            <wp:effectExtent l="0" t="0" r="14605" b="889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5"/>
                    <a:stretch>
                      <a:fillRect/>
                    </a:stretch>
                  </pic:blipFill>
                  <pic:spPr>
                    <a:xfrm>
                      <a:off x="0" y="0"/>
                      <a:ext cx="4500245" cy="1305560"/>
                    </a:xfrm>
                    <a:prstGeom prst="rect">
                      <a:avLst/>
                    </a:prstGeom>
                    <a:noFill/>
                    <a:ln>
                      <a:noFill/>
                    </a:ln>
                  </pic:spPr>
                </pic:pic>
              </a:graphicData>
            </a:graphic>
          </wp:inline>
        </w:drawing>
      </w:r>
    </w:p>
    <w:p w14:paraId="173850F8">
      <w:pPr>
        <w:pStyle w:val="2"/>
        <w:jc w:val="center"/>
        <w:rPr>
          <w:rFonts w:ascii="仿宋_GB2312" w:eastAsia="仿宋_GB2312"/>
          <w:color w:val="000000" w:themeColor="text1"/>
          <w:sz w:val="21"/>
          <w:szCs w:val="21"/>
          <w14:textFill>
            <w14:solidFill>
              <w14:schemeClr w14:val="tx1"/>
            </w14:solidFill>
          </w14:textFill>
        </w:rPr>
      </w:pPr>
      <w:r>
        <w:rPr>
          <w:rFonts w:hint="eastAsia" w:ascii="仿宋_GB2312" w:eastAsia="仿宋_GB2312"/>
          <w:color w:val="000000" w:themeColor="text1"/>
          <w:sz w:val="21"/>
          <w:szCs w:val="21"/>
          <w14:textFill>
            <w14:solidFill>
              <w14:schemeClr w14:val="tx1"/>
            </w14:solidFill>
          </w14:textFill>
        </w:rPr>
        <w:t>来源：《自治区中医药局办公室关于印发&lt;中医非药物疗法第二批操作规范（试行）&gt;的通知》</w:t>
      </w:r>
    </w:p>
    <w:p w14:paraId="37D8CE81">
      <w:pPr>
        <w:pStyle w:val="2"/>
        <w:jc w:val="center"/>
        <w:rPr>
          <w:rFonts w:ascii="仿宋_GB2312" w:eastAsia="仿宋_GB2312"/>
          <w:color w:val="000000" w:themeColor="text1"/>
          <w:sz w:val="21"/>
          <w:szCs w:val="21"/>
          <w14:textFill>
            <w14:solidFill>
              <w14:schemeClr w14:val="tx1"/>
            </w14:solidFill>
          </w14:textFill>
        </w:rPr>
      </w:pPr>
      <w:r>
        <w:rPr>
          <w:rFonts w:hint="eastAsia" w:ascii="仿宋_GB2312" w:eastAsia="仿宋_GB2312"/>
          <w:color w:val="000000" w:themeColor="text1"/>
          <w:sz w:val="21"/>
          <w:szCs w:val="21"/>
          <w14:textFill>
            <w14:solidFill>
              <w14:schemeClr w14:val="tx1"/>
            </w14:solidFill>
          </w14:textFill>
        </w:rPr>
        <w:t>（桂中医药医发〔2023〕11号）</w:t>
      </w:r>
    </w:p>
    <w:p w14:paraId="1B0A2E6B">
      <w:pPr>
        <w:tabs>
          <w:tab w:val="center" w:pos="4201"/>
          <w:tab w:val="right" w:leader="dot" w:pos="9298"/>
        </w:tabs>
        <w:autoSpaceDE w:val="0"/>
        <w:autoSpaceDN w:val="0"/>
        <w:spacing w:line="560" w:lineRule="exact"/>
        <w:ind w:firstLine="643" w:firstLineChars="200"/>
        <w:outlineLvl w:val="1"/>
        <w:rPr>
          <w:rFonts w:ascii="Times New Roman" w:hAnsi="Times New Roman" w:eastAsia="楷体" w:cs="Times New Roman"/>
          <w:b/>
          <w:bCs/>
          <w:color w:val="000000" w:themeColor="text1"/>
          <w:kern w:val="0"/>
          <w:sz w:val="32"/>
          <w:szCs w:val="32"/>
          <w14:textFill>
            <w14:solidFill>
              <w14:schemeClr w14:val="tx1"/>
            </w14:solidFill>
          </w14:textFill>
        </w:rPr>
      </w:pPr>
      <w:r>
        <w:rPr>
          <w:rFonts w:hint="eastAsia" w:ascii="Times New Roman" w:hAnsi="Times New Roman" w:eastAsia="楷体" w:cs="Times New Roman"/>
          <w:b/>
          <w:bCs/>
          <w:color w:val="000000" w:themeColor="text1"/>
          <w:kern w:val="0"/>
          <w:sz w:val="32"/>
          <w:szCs w:val="32"/>
          <w14:textFill>
            <w14:solidFill>
              <w14:schemeClr w14:val="tx1"/>
            </w14:solidFill>
          </w14:textFill>
        </w:rPr>
        <w:t>（二）禁忌</w:t>
      </w:r>
    </w:p>
    <w:p w14:paraId="09B5136F">
      <w:pPr>
        <w:spacing w:line="520" w:lineRule="exact"/>
        <w:ind w:firstLine="640" w:firstLineChars="200"/>
        <w:rPr>
          <w:rFonts w:ascii="仿宋_GB2312" w:eastAsia="仿宋_GB2312"/>
          <w:color w:val="000000" w:themeColor="text1"/>
          <w:sz w:val="32"/>
          <w:szCs w:val="32"/>
          <w14:textFill>
            <w14:solidFill>
              <w14:schemeClr w14:val="tx1"/>
            </w14:solidFill>
          </w14:textFill>
        </w:rPr>
      </w:pPr>
      <w:r>
        <w:rPr>
          <w:rFonts w:hint="eastAsia" w:ascii="仿宋_GB2312" w:eastAsia="仿宋_GB2312"/>
          <w:color w:val="000000" w:themeColor="text1"/>
          <w:sz w:val="32"/>
          <w:szCs w:val="32"/>
          <w14:textFill>
            <w14:solidFill>
              <w14:schemeClr w14:val="tx1"/>
            </w14:solidFill>
          </w14:textFill>
        </w:rPr>
        <w:t>明确禁止使用内热式针灸疗法的情形，核心目的是规避高风险人群的治疗安全隐患。禁忌症覆盖凝血功能、皮肤状况、脏器功能、基础疾病、特殊状态等关键风险点，确保临床决策时有明确依据，避免因禁忌证判断失误导致不良事件。内容参考《自治区中医药局办公室关于印发&lt;中医非药物疗法第二批操作规范（试行）&gt;的通知》（桂中医药医发〔2023〕11号）确定。</w:t>
      </w:r>
    </w:p>
    <w:p w14:paraId="593128F8">
      <w:pPr>
        <w:jc w:val="center"/>
        <w:rPr>
          <w:rFonts w:ascii="仿宋_GB2312" w:eastAsia="仿宋_GB2312"/>
          <w:color w:val="000000" w:themeColor="text1"/>
          <w:sz w:val="32"/>
          <w:szCs w:val="32"/>
          <w14:textFill>
            <w14:solidFill>
              <w14:schemeClr w14:val="tx1"/>
            </w14:solidFill>
          </w14:textFill>
        </w:rPr>
      </w:pPr>
      <w:r>
        <w:drawing>
          <wp:inline distT="0" distB="0" distL="114300" distR="114300">
            <wp:extent cx="3728720" cy="937260"/>
            <wp:effectExtent l="0" t="0" r="5080" b="1524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6"/>
                    <a:srcRect b="72172"/>
                    <a:stretch>
                      <a:fillRect/>
                    </a:stretch>
                  </pic:blipFill>
                  <pic:spPr>
                    <a:xfrm>
                      <a:off x="0" y="0"/>
                      <a:ext cx="3728720" cy="937260"/>
                    </a:xfrm>
                    <a:prstGeom prst="rect">
                      <a:avLst/>
                    </a:prstGeom>
                    <a:noFill/>
                    <a:ln>
                      <a:noFill/>
                    </a:ln>
                  </pic:spPr>
                </pic:pic>
              </a:graphicData>
            </a:graphic>
          </wp:inline>
        </w:drawing>
      </w:r>
    </w:p>
    <w:p w14:paraId="54AAF6E2">
      <w:pPr>
        <w:jc w:val="center"/>
        <w:rPr>
          <w:rFonts w:ascii="仿宋_GB2312" w:eastAsia="仿宋_GB2312"/>
          <w:color w:val="000000" w:themeColor="text1"/>
          <w:sz w:val="32"/>
          <w:szCs w:val="32"/>
          <w14:textFill>
            <w14:solidFill>
              <w14:schemeClr w14:val="tx1"/>
            </w14:solidFill>
          </w14:textFill>
        </w:rPr>
      </w:pPr>
      <w:r>
        <w:drawing>
          <wp:inline distT="0" distB="0" distL="114300" distR="114300">
            <wp:extent cx="3728720" cy="836930"/>
            <wp:effectExtent l="0" t="0" r="5080" b="127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6"/>
                    <a:srcRect t="75151"/>
                    <a:stretch>
                      <a:fillRect/>
                    </a:stretch>
                  </pic:blipFill>
                  <pic:spPr>
                    <a:xfrm>
                      <a:off x="0" y="0"/>
                      <a:ext cx="3728720" cy="836930"/>
                    </a:xfrm>
                    <a:prstGeom prst="rect">
                      <a:avLst/>
                    </a:prstGeom>
                    <a:noFill/>
                    <a:ln>
                      <a:noFill/>
                    </a:ln>
                  </pic:spPr>
                </pic:pic>
              </a:graphicData>
            </a:graphic>
          </wp:inline>
        </w:drawing>
      </w:r>
    </w:p>
    <w:p w14:paraId="3831390B">
      <w:pPr>
        <w:pStyle w:val="2"/>
        <w:jc w:val="center"/>
        <w:rPr>
          <w:rFonts w:ascii="仿宋_GB2312" w:eastAsia="仿宋_GB2312"/>
          <w:color w:val="000000" w:themeColor="text1"/>
          <w:sz w:val="21"/>
          <w:szCs w:val="21"/>
          <w14:textFill>
            <w14:solidFill>
              <w14:schemeClr w14:val="tx1"/>
            </w14:solidFill>
          </w14:textFill>
        </w:rPr>
      </w:pPr>
      <w:r>
        <w:rPr>
          <w:rFonts w:hint="eastAsia" w:ascii="仿宋_GB2312" w:eastAsia="仿宋_GB2312"/>
          <w:color w:val="000000" w:themeColor="text1"/>
          <w:sz w:val="21"/>
          <w:szCs w:val="21"/>
          <w14:textFill>
            <w14:solidFill>
              <w14:schemeClr w14:val="tx1"/>
            </w14:solidFill>
          </w14:textFill>
        </w:rPr>
        <w:t>来源：《自治区中医药局办公室关于印发&lt;中医非药物疗法第二批操作规范（试行）&gt;的通知》</w:t>
      </w:r>
    </w:p>
    <w:p w14:paraId="172A1128">
      <w:pPr>
        <w:pStyle w:val="2"/>
        <w:jc w:val="center"/>
        <w:rPr>
          <w:rFonts w:ascii="仿宋_GB2312" w:eastAsia="仿宋_GB2312"/>
          <w:color w:val="000000" w:themeColor="text1"/>
          <w:sz w:val="21"/>
          <w:szCs w:val="21"/>
          <w14:textFill>
            <w14:solidFill>
              <w14:schemeClr w14:val="tx1"/>
            </w14:solidFill>
          </w14:textFill>
        </w:rPr>
      </w:pPr>
      <w:r>
        <w:rPr>
          <w:rFonts w:hint="eastAsia" w:ascii="仿宋_GB2312" w:eastAsia="仿宋_GB2312"/>
          <w:color w:val="000000" w:themeColor="text1"/>
          <w:sz w:val="21"/>
          <w:szCs w:val="21"/>
          <w14:textFill>
            <w14:solidFill>
              <w14:schemeClr w14:val="tx1"/>
            </w14:solidFill>
          </w14:textFill>
        </w:rPr>
        <w:t>（桂中医药医发〔2023〕11号）</w:t>
      </w:r>
    </w:p>
    <w:p w14:paraId="1971F6C6">
      <w:pPr>
        <w:tabs>
          <w:tab w:val="center" w:pos="4201"/>
          <w:tab w:val="right" w:leader="dot" w:pos="9298"/>
        </w:tabs>
        <w:autoSpaceDE w:val="0"/>
        <w:autoSpaceDN w:val="0"/>
        <w:spacing w:line="560" w:lineRule="exact"/>
        <w:ind w:firstLine="643" w:firstLineChars="200"/>
        <w:outlineLvl w:val="1"/>
        <w:rPr>
          <w:rFonts w:ascii="Times New Roman" w:hAnsi="Times New Roman" w:eastAsia="楷体" w:cs="Times New Roman"/>
          <w:b/>
          <w:bCs/>
          <w:color w:val="000000" w:themeColor="text1"/>
          <w:kern w:val="0"/>
          <w:sz w:val="32"/>
          <w:szCs w:val="32"/>
          <w14:textFill>
            <w14:solidFill>
              <w14:schemeClr w14:val="tx1"/>
            </w14:solidFill>
          </w14:textFill>
        </w:rPr>
      </w:pPr>
      <w:r>
        <w:rPr>
          <w:rFonts w:hint="eastAsia" w:ascii="Times New Roman" w:hAnsi="Times New Roman" w:eastAsia="楷体" w:cs="Times New Roman"/>
          <w:b/>
          <w:bCs/>
          <w:color w:val="000000" w:themeColor="text1"/>
          <w:kern w:val="0"/>
          <w:sz w:val="32"/>
          <w:szCs w:val="32"/>
          <w14:textFill>
            <w14:solidFill>
              <w14:schemeClr w14:val="tx1"/>
            </w14:solidFill>
          </w14:textFill>
        </w:rPr>
        <w:t>（三）施术前准备</w:t>
      </w:r>
    </w:p>
    <w:p w14:paraId="0D5108BB">
      <w:pPr>
        <w:spacing w:line="520" w:lineRule="exact"/>
        <w:ind w:firstLine="640" w:firstLineChars="200"/>
        <w:rPr>
          <w:rFonts w:ascii="仿宋_GB2312" w:eastAsia="仿宋_GB2312"/>
          <w:color w:val="000000" w:themeColor="text1"/>
          <w:sz w:val="32"/>
          <w:szCs w:val="32"/>
          <w14:textFill>
            <w14:solidFill>
              <w14:schemeClr w14:val="tx1"/>
            </w14:solidFill>
          </w14:textFill>
        </w:rPr>
      </w:pPr>
      <w:r>
        <w:rPr>
          <w:rFonts w:hint="eastAsia" w:ascii="仿宋_GB2312" w:eastAsia="仿宋_GB2312"/>
          <w:color w:val="000000" w:themeColor="text1"/>
          <w:sz w:val="32"/>
          <w:szCs w:val="32"/>
          <w14:textFill>
            <w14:solidFill>
              <w14:schemeClr w14:val="tx1"/>
            </w14:solidFill>
          </w14:textFill>
        </w:rPr>
        <w:t>1.针具</w:t>
      </w:r>
    </w:p>
    <w:p w14:paraId="1C85F7F2">
      <w:pPr>
        <w:spacing w:line="520" w:lineRule="exact"/>
        <w:ind w:firstLine="640" w:firstLineChars="200"/>
        <w:rPr>
          <w:rFonts w:ascii="仿宋_GB2312" w:eastAsia="仿宋_GB2312"/>
          <w:color w:val="000000" w:themeColor="text1"/>
          <w:sz w:val="32"/>
          <w:szCs w:val="32"/>
          <w14:textFill>
            <w14:solidFill>
              <w14:schemeClr w14:val="tx1"/>
            </w14:solidFill>
          </w14:textFill>
        </w:rPr>
      </w:pPr>
      <w:r>
        <w:rPr>
          <w:rFonts w:ascii="仿宋_GB2312" w:eastAsia="仿宋_GB2312"/>
          <w:color w:val="000000" w:themeColor="text1"/>
          <w:sz w:val="32"/>
          <w:szCs w:val="32"/>
          <w14:textFill>
            <w14:solidFill>
              <w14:schemeClr w14:val="tx1"/>
            </w14:solidFill>
          </w14:textFill>
        </w:rPr>
        <w:t>内热式针灸治疗仪</w:t>
      </w:r>
      <w:r>
        <w:rPr>
          <w:rFonts w:hint="eastAsia" w:ascii="仿宋_GB2312" w:eastAsia="仿宋_GB2312"/>
          <w:color w:val="000000" w:themeColor="text1"/>
          <w:sz w:val="32"/>
          <w:szCs w:val="32"/>
          <w14:textFill>
            <w14:solidFill>
              <w14:schemeClr w14:val="tx1"/>
            </w14:solidFill>
          </w14:textFill>
        </w:rPr>
        <w:t>自带</w:t>
      </w:r>
      <w:r>
        <w:rPr>
          <w:rFonts w:ascii="仿宋_GB2312" w:eastAsia="仿宋_GB2312"/>
          <w:color w:val="000000" w:themeColor="text1"/>
          <w:sz w:val="32"/>
          <w:szCs w:val="32"/>
          <w14:textFill>
            <w14:solidFill>
              <w14:schemeClr w14:val="tx1"/>
            </w14:solidFill>
          </w14:textFill>
        </w:rPr>
        <w:t>内热式针灸针</w:t>
      </w:r>
      <w:r>
        <w:rPr>
          <w:rFonts w:hint="eastAsia" w:ascii="仿宋_GB2312" w:eastAsia="仿宋_GB2312"/>
          <w:color w:val="000000" w:themeColor="text1"/>
          <w:sz w:val="32"/>
          <w:szCs w:val="32"/>
          <w14:textFill>
            <w14:solidFill>
              <w14:schemeClr w14:val="tx1"/>
            </w14:solidFill>
          </w14:textFill>
        </w:rPr>
        <w:t>。</w:t>
      </w:r>
      <w:r>
        <w:rPr>
          <w:rFonts w:ascii="仿宋_GB2312" w:eastAsia="仿宋_GB2312"/>
          <w:color w:val="000000" w:themeColor="text1"/>
          <w:sz w:val="32"/>
          <w:szCs w:val="32"/>
          <w14:textFill>
            <w14:solidFill>
              <w14:schemeClr w14:val="tx1"/>
            </w14:solidFill>
          </w14:textFill>
        </w:rPr>
        <w:t>内热式针灸针的规格，以针体的长度和直径予以区分</w:t>
      </w:r>
      <w:r>
        <w:rPr>
          <w:rFonts w:hint="eastAsia" w:ascii="仿宋_GB2312" w:eastAsia="仿宋_GB2312"/>
          <w:color w:val="000000" w:themeColor="text1"/>
          <w:sz w:val="32"/>
          <w:szCs w:val="32"/>
          <w14:textFill>
            <w14:solidFill>
              <w14:schemeClr w14:val="tx1"/>
            </w14:solidFill>
          </w14:textFill>
        </w:rPr>
        <w:t>。</w:t>
      </w:r>
      <w:r>
        <w:rPr>
          <w:rFonts w:ascii="仿宋_GB2312" w:eastAsia="仿宋_GB2312"/>
          <w:color w:val="000000" w:themeColor="text1"/>
          <w:sz w:val="32"/>
          <w:szCs w:val="32"/>
          <w14:textFill>
            <w14:solidFill>
              <w14:schemeClr w14:val="tx1"/>
            </w14:solidFill>
          </w14:textFill>
        </w:rPr>
        <w:t>内热式针灸针具粗细有三种规格:直径有1.1mm、0.7mm、0.5mm;长度16cm为1号针，长度14cm为2号针，长度12cm为3号针，长度10cm为4号针。临床使用时，应根据患者的治疗部位及体形选择合适长度的内热式针灸针</w:t>
      </w:r>
      <w:r>
        <w:rPr>
          <w:rFonts w:hint="eastAsia" w:ascii="仿宋_GB2312" w:eastAsia="仿宋_GB2312"/>
          <w:color w:val="000000" w:themeColor="text1"/>
          <w:sz w:val="32"/>
          <w:szCs w:val="32"/>
          <w14:textFill>
            <w14:solidFill>
              <w14:schemeClr w14:val="tx1"/>
            </w14:solidFill>
          </w14:textFill>
        </w:rPr>
        <w:t>。临床常用</w:t>
      </w:r>
      <w:r>
        <w:rPr>
          <w:rFonts w:ascii="仿宋_GB2312" w:eastAsia="仿宋_GB2312"/>
          <w:color w:val="000000" w:themeColor="text1"/>
          <w:sz w:val="32"/>
          <w:szCs w:val="32"/>
          <w14:textFill>
            <w14:solidFill>
              <w14:schemeClr w14:val="tx1"/>
            </w14:solidFill>
          </w14:textFill>
        </w:rPr>
        <w:t>内热式针灸针</w:t>
      </w:r>
      <w:r>
        <w:rPr>
          <w:rFonts w:hint="eastAsia" w:ascii="仿宋_GB2312" w:eastAsia="仿宋_GB2312"/>
          <w:color w:val="000000" w:themeColor="text1"/>
          <w:sz w:val="32"/>
          <w:szCs w:val="32"/>
          <w14:textFill>
            <w14:solidFill>
              <w14:schemeClr w14:val="tx1"/>
            </w14:solidFill>
          </w14:textFill>
        </w:rPr>
        <w:t>长度规格见表1。</w:t>
      </w:r>
    </w:p>
    <w:p w14:paraId="7ED4F96A">
      <w:pPr>
        <w:spacing w:line="520" w:lineRule="exact"/>
        <w:jc w:val="center"/>
        <w:rPr>
          <w:rFonts w:ascii="仿宋_GB2312" w:eastAsia="仿宋_GB2312"/>
          <w:color w:val="000000" w:themeColor="text1"/>
          <w:sz w:val="24"/>
          <w14:textFill>
            <w14:solidFill>
              <w14:schemeClr w14:val="tx1"/>
            </w14:solidFill>
          </w14:textFill>
        </w:rPr>
      </w:pPr>
      <w:r>
        <w:rPr>
          <w:rFonts w:hint="eastAsia" w:ascii="仿宋_GB2312" w:eastAsia="仿宋_GB2312"/>
          <w:color w:val="000000" w:themeColor="text1"/>
          <w:sz w:val="24"/>
          <w14:textFill>
            <w14:solidFill>
              <w14:schemeClr w14:val="tx1"/>
            </w14:solidFill>
          </w14:textFill>
        </w:rPr>
        <w:t>表1  临床常用</w:t>
      </w:r>
      <w:r>
        <w:rPr>
          <w:rFonts w:ascii="仿宋_GB2312" w:eastAsia="仿宋_GB2312"/>
          <w:color w:val="000000" w:themeColor="text1"/>
          <w:sz w:val="24"/>
          <w14:textFill>
            <w14:solidFill>
              <w14:schemeClr w14:val="tx1"/>
            </w14:solidFill>
          </w14:textFill>
        </w:rPr>
        <w:t>内热式针灸针</w:t>
      </w:r>
      <w:r>
        <w:rPr>
          <w:rFonts w:hint="eastAsia" w:ascii="仿宋_GB2312" w:eastAsia="仿宋_GB2312"/>
          <w:color w:val="000000" w:themeColor="text1"/>
          <w:sz w:val="24"/>
          <w14:textFill>
            <w14:solidFill>
              <w14:schemeClr w14:val="tx1"/>
            </w14:solidFill>
          </w14:textFill>
        </w:rPr>
        <w:t>长度规格</w:t>
      </w:r>
    </w:p>
    <w:tbl>
      <w:tblPr>
        <w:tblStyle w:val="19"/>
        <w:tblW w:w="0" w:type="auto"/>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0" w:type="dxa"/>
          <w:bottom w:w="0" w:type="dxa"/>
          <w:right w:w="0" w:type="dxa"/>
        </w:tblCellMar>
      </w:tblPr>
      <w:tblGrid>
        <w:gridCol w:w="1494"/>
        <w:gridCol w:w="1381"/>
        <w:gridCol w:w="1382"/>
        <w:gridCol w:w="1382"/>
        <w:gridCol w:w="1382"/>
        <w:gridCol w:w="1957"/>
      </w:tblGrid>
      <w:tr w14:paraId="04DBE909">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blHeader/>
          <w:jc w:val="center"/>
        </w:trPr>
        <w:tc>
          <w:tcPr>
            <w:tcW w:w="1555" w:type="dxa"/>
            <w:tcBorders>
              <w:top w:val="single" w:color="auto" w:sz="8" w:space="0"/>
              <w:bottom w:val="single" w:color="auto" w:sz="8" w:space="0"/>
            </w:tcBorders>
            <w:vAlign w:val="center"/>
          </w:tcPr>
          <w:p w14:paraId="4FF1DB27">
            <w:pPr>
              <w:pStyle w:val="69"/>
              <w:widowControl w:val="0"/>
              <w:rPr>
                <w:rFonts w:hint="eastAsia"/>
              </w:rPr>
            </w:pPr>
            <w:r>
              <w:rPr>
                <w:rFonts w:hint="eastAsia"/>
              </w:rPr>
              <w:t>内热式针灸针</w:t>
            </w:r>
            <w:r>
              <w:t>规格</w:t>
            </w:r>
          </w:p>
        </w:tc>
        <w:tc>
          <w:tcPr>
            <w:tcW w:w="1437" w:type="dxa"/>
            <w:tcBorders>
              <w:top w:val="single" w:color="auto" w:sz="8" w:space="0"/>
              <w:bottom w:val="single" w:color="auto" w:sz="8" w:space="0"/>
            </w:tcBorders>
            <w:vAlign w:val="center"/>
          </w:tcPr>
          <w:p w14:paraId="0C71365F">
            <w:pPr>
              <w:pStyle w:val="69"/>
              <w:widowControl w:val="0"/>
              <w:rPr>
                <w:rFonts w:hint="eastAsia"/>
              </w:rPr>
            </w:pPr>
            <w:r>
              <w:rPr>
                <w:rFonts w:hint="eastAsia"/>
              </w:rPr>
              <w:t>针</w:t>
            </w:r>
            <w:r>
              <w:t>体</w:t>
            </w:r>
            <w:r>
              <w:rPr>
                <w:rFonts w:hint="eastAsia"/>
              </w:rPr>
              <w:t>总长度</w:t>
            </w:r>
          </w:p>
        </w:tc>
        <w:tc>
          <w:tcPr>
            <w:tcW w:w="1437" w:type="dxa"/>
            <w:tcBorders>
              <w:top w:val="single" w:color="auto" w:sz="8" w:space="0"/>
              <w:bottom w:val="single" w:color="auto" w:sz="8" w:space="0"/>
            </w:tcBorders>
            <w:vAlign w:val="center"/>
          </w:tcPr>
          <w:p w14:paraId="6E3F8DC3">
            <w:pPr>
              <w:pStyle w:val="69"/>
              <w:widowControl w:val="0"/>
              <w:rPr>
                <w:rFonts w:hint="eastAsia"/>
              </w:rPr>
            </w:pPr>
            <w:r>
              <w:rPr>
                <w:rFonts w:hint="eastAsia"/>
              </w:rPr>
              <w:t>针柄</w:t>
            </w:r>
            <w:r>
              <w:t>长度</w:t>
            </w:r>
          </w:p>
        </w:tc>
        <w:tc>
          <w:tcPr>
            <w:tcW w:w="1437" w:type="dxa"/>
            <w:tcBorders>
              <w:top w:val="single" w:color="auto" w:sz="8" w:space="0"/>
              <w:bottom w:val="single" w:color="auto" w:sz="8" w:space="0"/>
            </w:tcBorders>
            <w:vAlign w:val="center"/>
          </w:tcPr>
          <w:p w14:paraId="172E54F9">
            <w:pPr>
              <w:pStyle w:val="69"/>
              <w:widowControl w:val="0"/>
              <w:rPr>
                <w:rFonts w:hint="eastAsia"/>
              </w:rPr>
            </w:pPr>
            <w:r>
              <w:rPr>
                <w:rFonts w:hint="eastAsia"/>
              </w:rPr>
              <w:t>针体</w:t>
            </w:r>
            <w:r>
              <w:t>长度</w:t>
            </w:r>
          </w:p>
        </w:tc>
        <w:tc>
          <w:tcPr>
            <w:tcW w:w="1437" w:type="dxa"/>
            <w:tcBorders>
              <w:top w:val="single" w:color="auto" w:sz="8" w:space="0"/>
              <w:bottom w:val="single" w:color="auto" w:sz="8" w:space="0"/>
            </w:tcBorders>
            <w:vAlign w:val="center"/>
          </w:tcPr>
          <w:p w14:paraId="677E93EB">
            <w:pPr>
              <w:pStyle w:val="69"/>
              <w:widowControl w:val="0"/>
              <w:rPr>
                <w:rFonts w:hint="eastAsia"/>
              </w:rPr>
            </w:pPr>
            <w:r>
              <w:rPr>
                <w:rFonts w:hint="eastAsia"/>
              </w:rPr>
              <w:t>生发热</w:t>
            </w:r>
            <w:r>
              <w:t>段长度</w:t>
            </w:r>
          </w:p>
        </w:tc>
        <w:tc>
          <w:tcPr>
            <w:tcW w:w="2031" w:type="dxa"/>
            <w:tcBorders>
              <w:top w:val="single" w:color="auto" w:sz="8" w:space="0"/>
              <w:bottom w:val="single" w:color="auto" w:sz="8" w:space="0"/>
            </w:tcBorders>
            <w:vAlign w:val="center"/>
          </w:tcPr>
          <w:p w14:paraId="7DFD98CD">
            <w:pPr>
              <w:pStyle w:val="69"/>
              <w:widowControl w:val="0"/>
              <w:rPr>
                <w:rFonts w:hint="eastAsia"/>
              </w:rPr>
            </w:pPr>
            <w:r>
              <w:rPr>
                <w:rFonts w:hint="eastAsia"/>
              </w:rPr>
              <w:t>针体直径</w:t>
            </w:r>
          </w:p>
        </w:tc>
      </w:tr>
      <w:tr w14:paraId="3D962898">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555" w:type="dxa"/>
            <w:tcBorders>
              <w:top w:val="single" w:color="auto" w:sz="8" w:space="0"/>
            </w:tcBorders>
            <w:vAlign w:val="center"/>
          </w:tcPr>
          <w:p w14:paraId="0387BBCA">
            <w:pPr>
              <w:pStyle w:val="69"/>
              <w:widowControl w:val="0"/>
              <w:rPr>
                <w:rFonts w:hint="eastAsia"/>
              </w:rPr>
            </w:pPr>
            <w:r>
              <w:rPr>
                <w:rFonts w:hint="eastAsia"/>
              </w:rPr>
              <w:t>1号</w:t>
            </w:r>
            <w:r>
              <w:t>针</w:t>
            </w:r>
          </w:p>
        </w:tc>
        <w:tc>
          <w:tcPr>
            <w:tcW w:w="1437" w:type="dxa"/>
            <w:tcBorders>
              <w:top w:val="single" w:color="auto" w:sz="8" w:space="0"/>
            </w:tcBorders>
            <w:vAlign w:val="center"/>
          </w:tcPr>
          <w:p w14:paraId="093BECBC">
            <w:pPr>
              <w:pStyle w:val="69"/>
              <w:widowControl w:val="0"/>
              <w:rPr>
                <w:rFonts w:hint="eastAsia"/>
              </w:rPr>
            </w:pPr>
            <w:r>
              <w:rPr>
                <w:rFonts w:hint="eastAsia"/>
              </w:rPr>
              <w:t>16</w:t>
            </w:r>
            <w:r>
              <w:rPr>
                <w:vertAlign w:val="subscript"/>
              </w:rPr>
              <w:t xml:space="preserve"> </w:t>
            </w:r>
            <w:r>
              <w:t>cm</w:t>
            </w:r>
          </w:p>
        </w:tc>
        <w:tc>
          <w:tcPr>
            <w:tcW w:w="1437" w:type="dxa"/>
            <w:tcBorders>
              <w:top w:val="single" w:color="auto" w:sz="8" w:space="0"/>
            </w:tcBorders>
            <w:vAlign w:val="center"/>
          </w:tcPr>
          <w:p w14:paraId="5AF58C30">
            <w:pPr>
              <w:pStyle w:val="69"/>
              <w:widowControl w:val="0"/>
              <w:rPr>
                <w:rFonts w:hint="eastAsia"/>
              </w:rPr>
            </w:pPr>
            <w:r>
              <w:rPr>
                <w:rFonts w:hint="eastAsia"/>
              </w:rPr>
              <w:t>4</w:t>
            </w:r>
            <w:r>
              <w:rPr>
                <w:vertAlign w:val="subscript"/>
              </w:rPr>
              <w:t xml:space="preserve"> </w:t>
            </w:r>
            <w:r>
              <w:t>cm</w:t>
            </w:r>
          </w:p>
        </w:tc>
        <w:tc>
          <w:tcPr>
            <w:tcW w:w="1437" w:type="dxa"/>
            <w:tcBorders>
              <w:top w:val="single" w:color="auto" w:sz="8" w:space="0"/>
            </w:tcBorders>
            <w:vAlign w:val="center"/>
          </w:tcPr>
          <w:p w14:paraId="190FE781">
            <w:pPr>
              <w:pStyle w:val="69"/>
              <w:widowControl w:val="0"/>
              <w:rPr>
                <w:rFonts w:hint="eastAsia"/>
              </w:rPr>
            </w:pPr>
            <w:r>
              <w:rPr>
                <w:rFonts w:hint="eastAsia"/>
              </w:rPr>
              <w:t>12</w:t>
            </w:r>
            <w:r>
              <w:rPr>
                <w:vertAlign w:val="subscript"/>
              </w:rPr>
              <w:t xml:space="preserve"> </w:t>
            </w:r>
            <w:r>
              <w:t>cm</w:t>
            </w:r>
          </w:p>
        </w:tc>
        <w:tc>
          <w:tcPr>
            <w:tcW w:w="1437" w:type="dxa"/>
            <w:tcBorders>
              <w:top w:val="single" w:color="auto" w:sz="8" w:space="0"/>
            </w:tcBorders>
            <w:vAlign w:val="center"/>
          </w:tcPr>
          <w:p w14:paraId="12310014">
            <w:pPr>
              <w:pStyle w:val="69"/>
              <w:widowControl w:val="0"/>
              <w:rPr>
                <w:rFonts w:hint="eastAsia"/>
              </w:rPr>
            </w:pPr>
            <w:r>
              <w:rPr>
                <w:rFonts w:hint="eastAsia"/>
              </w:rPr>
              <w:t>12</w:t>
            </w:r>
            <w:r>
              <w:rPr>
                <w:vertAlign w:val="subscript"/>
              </w:rPr>
              <w:t xml:space="preserve"> </w:t>
            </w:r>
            <w:r>
              <w:t>cm</w:t>
            </w:r>
          </w:p>
        </w:tc>
        <w:tc>
          <w:tcPr>
            <w:tcW w:w="2031" w:type="dxa"/>
            <w:vMerge w:val="restart"/>
            <w:tcBorders>
              <w:top w:val="single" w:color="auto" w:sz="8" w:space="0"/>
            </w:tcBorders>
            <w:vAlign w:val="center"/>
          </w:tcPr>
          <w:p w14:paraId="7CDCCC4A">
            <w:pPr>
              <w:pStyle w:val="69"/>
              <w:widowControl w:val="0"/>
              <w:rPr>
                <w:rFonts w:hint="eastAsia"/>
              </w:rPr>
            </w:pPr>
            <w:r>
              <w:rPr>
                <w:rFonts w:hint="eastAsia"/>
                <w:color w:val="000000" w:themeColor="text1"/>
                <w14:textFill>
                  <w14:solidFill>
                    <w14:schemeClr w14:val="tx1"/>
                  </w14:solidFill>
                </w14:textFill>
              </w:rPr>
              <w:t>1.1</w:t>
            </w:r>
            <w:r>
              <w:rPr>
                <w:rFonts w:hint="eastAsia"/>
                <w:color w:val="000000" w:themeColor="text1"/>
                <w:vertAlign w:val="superscript"/>
                <w14:textFill>
                  <w14:solidFill>
                    <w14:schemeClr w14:val="tx1"/>
                  </w14:solidFill>
                </w14:textFill>
              </w:rPr>
              <w:t xml:space="preserve"> </w:t>
            </w:r>
            <w:r>
              <w:rPr>
                <w:rFonts w:hint="eastAsia"/>
                <w:color w:val="000000" w:themeColor="text1"/>
                <w14:textFill>
                  <w14:solidFill>
                    <w14:schemeClr w14:val="tx1"/>
                  </w14:solidFill>
                </w14:textFill>
              </w:rPr>
              <w:t>mm、0.7</w:t>
            </w:r>
            <w:r>
              <w:rPr>
                <w:rFonts w:hint="eastAsia"/>
                <w:color w:val="000000" w:themeColor="text1"/>
                <w:vertAlign w:val="superscript"/>
                <w14:textFill>
                  <w14:solidFill>
                    <w14:schemeClr w14:val="tx1"/>
                  </w14:solidFill>
                </w14:textFill>
              </w:rPr>
              <w:t xml:space="preserve"> </w:t>
            </w:r>
            <w:r>
              <w:rPr>
                <w:rFonts w:hint="eastAsia"/>
                <w:color w:val="000000" w:themeColor="text1"/>
                <w14:textFill>
                  <w14:solidFill>
                    <w14:schemeClr w14:val="tx1"/>
                  </w14:solidFill>
                </w14:textFill>
              </w:rPr>
              <w:t>mm、0.5</w:t>
            </w:r>
            <w:r>
              <w:rPr>
                <w:rFonts w:hint="eastAsia"/>
                <w:color w:val="000000" w:themeColor="text1"/>
                <w:vertAlign w:val="superscript"/>
                <w14:textFill>
                  <w14:solidFill>
                    <w14:schemeClr w14:val="tx1"/>
                  </w14:solidFill>
                </w14:textFill>
              </w:rPr>
              <w:t xml:space="preserve"> </w:t>
            </w:r>
            <w:r>
              <w:rPr>
                <w:rFonts w:hint="eastAsia"/>
                <w:color w:val="000000" w:themeColor="text1"/>
                <w14:textFill>
                  <w14:solidFill>
                    <w14:schemeClr w14:val="tx1"/>
                  </w14:solidFill>
                </w14:textFill>
              </w:rPr>
              <w:t>mm</w:t>
            </w:r>
          </w:p>
        </w:tc>
      </w:tr>
      <w:tr w14:paraId="40885748">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555" w:type="dxa"/>
            <w:vAlign w:val="center"/>
          </w:tcPr>
          <w:p w14:paraId="44A036D8">
            <w:pPr>
              <w:pStyle w:val="69"/>
              <w:widowControl w:val="0"/>
              <w:rPr>
                <w:rFonts w:hint="eastAsia"/>
              </w:rPr>
            </w:pPr>
            <w:r>
              <w:t>2</w:t>
            </w:r>
            <w:r>
              <w:rPr>
                <w:rFonts w:hint="eastAsia"/>
              </w:rPr>
              <w:t>号</w:t>
            </w:r>
            <w:r>
              <w:t>针</w:t>
            </w:r>
          </w:p>
        </w:tc>
        <w:tc>
          <w:tcPr>
            <w:tcW w:w="1437" w:type="dxa"/>
            <w:vAlign w:val="center"/>
          </w:tcPr>
          <w:p w14:paraId="5164DE53">
            <w:pPr>
              <w:pStyle w:val="69"/>
              <w:widowControl w:val="0"/>
              <w:rPr>
                <w:rFonts w:hint="eastAsia"/>
              </w:rPr>
            </w:pPr>
            <w:r>
              <w:rPr>
                <w:rFonts w:hint="eastAsia"/>
              </w:rPr>
              <w:t>14</w:t>
            </w:r>
            <w:r>
              <w:rPr>
                <w:vertAlign w:val="subscript"/>
              </w:rPr>
              <w:t xml:space="preserve"> </w:t>
            </w:r>
            <w:r>
              <w:t>cm</w:t>
            </w:r>
          </w:p>
        </w:tc>
        <w:tc>
          <w:tcPr>
            <w:tcW w:w="1437" w:type="dxa"/>
            <w:vAlign w:val="center"/>
          </w:tcPr>
          <w:p w14:paraId="25B1F889">
            <w:pPr>
              <w:pStyle w:val="69"/>
              <w:widowControl w:val="0"/>
              <w:rPr>
                <w:rFonts w:hint="eastAsia"/>
              </w:rPr>
            </w:pPr>
            <w:r>
              <w:rPr>
                <w:rFonts w:hint="eastAsia"/>
              </w:rPr>
              <w:t>4</w:t>
            </w:r>
            <w:r>
              <w:rPr>
                <w:vertAlign w:val="subscript"/>
              </w:rPr>
              <w:t xml:space="preserve"> </w:t>
            </w:r>
            <w:r>
              <w:t>cm</w:t>
            </w:r>
          </w:p>
        </w:tc>
        <w:tc>
          <w:tcPr>
            <w:tcW w:w="1437" w:type="dxa"/>
            <w:vAlign w:val="center"/>
          </w:tcPr>
          <w:p w14:paraId="37986634">
            <w:pPr>
              <w:pStyle w:val="69"/>
              <w:widowControl w:val="0"/>
              <w:rPr>
                <w:rFonts w:hint="eastAsia"/>
              </w:rPr>
            </w:pPr>
            <w:r>
              <w:rPr>
                <w:rFonts w:hint="eastAsia"/>
              </w:rPr>
              <w:t>10</w:t>
            </w:r>
            <w:r>
              <w:rPr>
                <w:vertAlign w:val="subscript"/>
              </w:rPr>
              <w:t xml:space="preserve"> </w:t>
            </w:r>
            <w:r>
              <w:t>cm</w:t>
            </w:r>
          </w:p>
        </w:tc>
        <w:tc>
          <w:tcPr>
            <w:tcW w:w="1437" w:type="dxa"/>
            <w:vAlign w:val="center"/>
          </w:tcPr>
          <w:p w14:paraId="6C95A8D6">
            <w:pPr>
              <w:pStyle w:val="69"/>
              <w:widowControl w:val="0"/>
              <w:rPr>
                <w:rFonts w:hint="eastAsia"/>
              </w:rPr>
            </w:pPr>
            <w:r>
              <w:rPr>
                <w:rFonts w:hint="eastAsia"/>
              </w:rPr>
              <w:t>10</w:t>
            </w:r>
            <w:r>
              <w:rPr>
                <w:vertAlign w:val="subscript"/>
              </w:rPr>
              <w:t xml:space="preserve"> </w:t>
            </w:r>
            <w:r>
              <w:t>cm</w:t>
            </w:r>
          </w:p>
        </w:tc>
        <w:tc>
          <w:tcPr>
            <w:tcW w:w="2031" w:type="dxa"/>
            <w:vMerge w:val="continue"/>
            <w:vAlign w:val="center"/>
          </w:tcPr>
          <w:p w14:paraId="447B12AD">
            <w:pPr>
              <w:pStyle w:val="69"/>
              <w:widowControl w:val="0"/>
              <w:rPr>
                <w:rFonts w:hint="eastAsia"/>
              </w:rPr>
            </w:pPr>
          </w:p>
        </w:tc>
      </w:tr>
      <w:tr w14:paraId="79AEF6F7">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555" w:type="dxa"/>
            <w:vAlign w:val="center"/>
          </w:tcPr>
          <w:p w14:paraId="4989363A">
            <w:pPr>
              <w:pStyle w:val="69"/>
              <w:widowControl w:val="0"/>
              <w:rPr>
                <w:rFonts w:hint="eastAsia"/>
              </w:rPr>
            </w:pPr>
            <w:r>
              <w:t>3</w:t>
            </w:r>
            <w:r>
              <w:rPr>
                <w:rFonts w:hint="eastAsia"/>
              </w:rPr>
              <w:t>号</w:t>
            </w:r>
            <w:r>
              <w:t>针</w:t>
            </w:r>
          </w:p>
        </w:tc>
        <w:tc>
          <w:tcPr>
            <w:tcW w:w="1437" w:type="dxa"/>
            <w:vAlign w:val="center"/>
          </w:tcPr>
          <w:p w14:paraId="2FF23D71">
            <w:pPr>
              <w:pStyle w:val="69"/>
              <w:widowControl w:val="0"/>
              <w:rPr>
                <w:rFonts w:hint="eastAsia"/>
              </w:rPr>
            </w:pPr>
            <w:r>
              <w:rPr>
                <w:rFonts w:hint="eastAsia"/>
              </w:rPr>
              <w:t>12</w:t>
            </w:r>
            <w:r>
              <w:rPr>
                <w:vertAlign w:val="subscript"/>
              </w:rPr>
              <w:t xml:space="preserve"> </w:t>
            </w:r>
            <w:r>
              <w:t>cm</w:t>
            </w:r>
          </w:p>
        </w:tc>
        <w:tc>
          <w:tcPr>
            <w:tcW w:w="1437" w:type="dxa"/>
            <w:vAlign w:val="center"/>
          </w:tcPr>
          <w:p w14:paraId="7B2BE0E1">
            <w:pPr>
              <w:pStyle w:val="69"/>
              <w:widowControl w:val="0"/>
              <w:rPr>
                <w:rFonts w:hint="eastAsia"/>
              </w:rPr>
            </w:pPr>
            <w:r>
              <w:rPr>
                <w:rFonts w:hint="eastAsia"/>
              </w:rPr>
              <w:t>4</w:t>
            </w:r>
            <w:r>
              <w:rPr>
                <w:vertAlign w:val="subscript"/>
              </w:rPr>
              <w:t xml:space="preserve"> </w:t>
            </w:r>
            <w:r>
              <w:t>cm</w:t>
            </w:r>
          </w:p>
        </w:tc>
        <w:tc>
          <w:tcPr>
            <w:tcW w:w="1437" w:type="dxa"/>
            <w:vAlign w:val="center"/>
          </w:tcPr>
          <w:p w14:paraId="5D5F06DB">
            <w:pPr>
              <w:pStyle w:val="69"/>
              <w:widowControl w:val="0"/>
              <w:rPr>
                <w:rFonts w:hint="eastAsia"/>
              </w:rPr>
            </w:pPr>
            <w:r>
              <w:rPr>
                <w:rFonts w:hint="eastAsia"/>
              </w:rPr>
              <w:t>8</w:t>
            </w:r>
            <w:r>
              <w:rPr>
                <w:vertAlign w:val="subscript"/>
              </w:rPr>
              <w:t xml:space="preserve"> </w:t>
            </w:r>
            <w:r>
              <w:t>cm</w:t>
            </w:r>
          </w:p>
        </w:tc>
        <w:tc>
          <w:tcPr>
            <w:tcW w:w="1437" w:type="dxa"/>
            <w:vAlign w:val="center"/>
          </w:tcPr>
          <w:p w14:paraId="2196E7C9">
            <w:pPr>
              <w:pStyle w:val="69"/>
              <w:widowControl w:val="0"/>
              <w:rPr>
                <w:rFonts w:hint="eastAsia"/>
              </w:rPr>
            </w:pPr>
            <w:r>
              <w:rPr>
                <w:rFonts w:hint="eastAsia"/>
              </w:rPr>
              <w:t>8</w:t>
            </w:r>
            <w:r>
              <w:rPr>
                <w:vertAlign w:val="subscript"/>
              </w:rPr>
              <w:t xml:space="preserve"> </w:t>
            </w:r>
            <w:r>
              <w:t>cm</w:t>
            </w:r>
          </w:p>
        </w:tc>
        <w:tc>
          <w:tcPr>
            <w:tcW w:w="2031" w:type="dxa"/>
            <w:vMerge w:val="continue"/>
            <w:vAlign w:val="center"/>
          </w:tcPr>
          <w:p w14:paraId="3546D6E6">
            <w:pPr>
              <w:pStyle w:val="69"/>
              <w:widowControl w:val="0"/>
              <w:rPr>
                <w:rFonts w:hint="eastAsia"/>
              </w:rPr>
            </w:pPr>
          </w:p>
        </w:tc>
      </w:tr>
      <w:tr w14:paraId="249666D6">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555" w:type="dxa"/>
            <w:vAlign w:val="center"/>
          </w:tcPr>
          <w:p w14:paraId="48455186">
            <w:pPr>
              <w:pStyle w:val="69"/>
              <w:widowControl w:val="0"/>
              <w:rPr>
                <w:rFonts w:hint="eastAsia"/>
              </w:rPr>
            </w:pPr>
            <w:r>
              <w:t>4</w:t>
            </w:r>
            <w:r>
              <w:rPr>
                <w:rFonts w:hint="eastAsia"/>
              </w:rPr>
              <w:t>号</w:t>
            </w:r>
            <w:r>
              <w:t>针</w:t>
            </w:r>
          </w:p>
        </w:tc>
        <w:tc>
          <w:tcPr>
            <w:tcW w:w="1437" w:type="dxa"/>
            <w:vAlign w:val="center"/>
          </w:tcPr>
          <w:p w14:paraId="26555BD2">
            <w:pPr>
              <w:pStyle w:val="69"/>
              <w:widowControl w:val="0"/>
              <w:rPr>
                <w:rFonts w:hint="eastAsia"/>
              </w:rPr>
            </w:pPr>
            <w:r>
              <w:rPr>
                <w:rFonts w:hint="eastAsia"/>
              </w:rPr>
              <w:t>1</w:t>
            </w:r>
            <w:r>
              <w:t>0</w:t>
            </w:r>
            <w:r>
              <w:rPr>
                <w:vertAlign w:val="subscript"/>
              </w:rPr>
              <w:t xml:space="preserve"> </w:t>
            </w:r>
            <w:r>
              <w:t>cm</w:t>
            </w:r>
          </w:p>
        </w:tc>
        <w:tc>
          <w:tcPr>
            <w:tcW w:w="1437" w:type="dxa"/>
            <w:vAlign w:val="center"/>
          </w:tcPr>
          <w:p w14:paraId="33B04E79">
            <w:pPr>
              <w:pStyle w:val="69"/>
              <w:widowControl w:val="0"/>
              <w:rPr>
                <w:rFonts w:hint="eastAsia"/>
              </w:rPr>
            </w:pPr>
            <w:r>
              <w:rPr>
                <w:rFonts w:hint="eastAsia"/>
              </w:rPr>
              <w:t>4</w:t>
            </w:r>
            <w:r>
              <w:rPr>
                <w:vertAlign w:val="subscript"/>
              </w:rPr>
              <w:t xml:space="preserve"> </w:t>
            </w:r>
            <w:r>
              <w:t>cm</w:t>
            </w:r>
          </w:p>
        </w:tc>
        <w:tc>
          <w:tcPr>
            <w:tcW w:w="1437" w:type="dxa"/>
            <w:vAlign w:val="center"/>
          </w:tcPr>
          <w:p w14:paraId="0DBF40DE">
            <w:pPr>
              <w:pStyle w:val="69"/>
              <w:widowControl w:val="0"/>
              <w:rPr>
                <w:rFonts w:hint="eastAsia"/>
              </w:rPr>
            </w:pPr>
            <w:r>
              <w:rPr>
                <w:rFonts w:hint="eastAsia"/>
              </w:rPr>
              <w:t>6</w:t>
            </w:r>
            <w:r>
              <w:rPr>
                <w:vertAlign w:val="subscript"/>
              </w:rPr>
              <w:t xml:space="preserve"> </w:t>
            </w:r>
            <w:r>
              <w:t>cm</w:t>
            </w:r>
          </w:p>
        </w:tc>
        <w:tc>
          <w:tcPr>
            <w:tcW w:w="1437" w:type="dxa"/>
            <w:vAlign w:val="center"/>
          </w:tcPr>
          <w:p w14:paraId="7D282E01">
            <w:pPr>
              <w:pStyle w:val="69"/>
              <w:widowControl w:val="0"/>
              <w:rPr>
                <w:rFonts w:hint="eastAsia"/>
              </w:rPr>
            </w:pPr>
            <w:r>
              <w:rPr>
                <w:rFonts w:hint="eastAsia"/>
              </w:rPr>
              <w:t>6</w:t>
            </w:r>
            <w:r>
              <w:rPr>
                <w:vertAlign w:val="subscript"/>
              </w:rPr>
              <w:t xml:space="preserve"> </w:t>
            </w:r>
            <w:r>
              <w:t>cm</w:t>
            </w:r>
          </w:p>
        </w:tc>
        <w:tc>
          <w:tcPr>
            <w:tcW w:w="2031" w:type="dxa"/>
            <w:vMerge w:val="continue"/>
            <w:vAlign w:val="center"/>
          </w:tcPr>
          <w:p w14:paraId="0979E6C2">
            <w:pPr>
              <w:pStyle w:val="69"/>
              <w:widowControl w:val="0"/>
              <w:rPr>
                <w:rFonts w:hint="eastAsia"/>
              </w:rPr>
            </w:pPr>
          </w:p>
        </w:tc>
      </w:tr>
    </w:tbl>
    <w:p w14:paraId="02E32C3D">
      <w:pPr>
        <w:ind w:firstLine="640" w:firstLineChars="200"/>
        <w:jc w:val="center"/>
        <w:rPr>
          <w:rFonts w:ascii="仿宋_GB2312" w:eastAsia="仿宋_GB2312"/>
          <w:color w:val="000000" w:themeColor="text1"/>
          <w:sz w:val="32"/>
          <w:szCs w:val="32"/>
          <w14:textFill>
            <w14:solidFill>
              <w14:schemeClr w14:val="tx1"/>
            </w14:solidFill>
          </w14:textFill>
        </w:rPr>
      </w:pPr>
      <w:r>
        <w:rPr>
          <w:rFonts w:hint="eastAsia" w:ascii="仿宋_GB2312" w:eastAsia="仿宋_GB2312"/>
          <w:color w:val="000000" w:themeColor="text1"/>
          <w:sz w:val="32"/>
          <w:szCs w:val="32"/>
          <w14:textFill>
            <w14:solidFill>
              <w14:schemeClr w14:val="tx1"/>
            </w14:solidFill>
          </w14:textFill>
        </w:rPr>
        <w:drawing>
          <wp:inline distT="0" distB="0" distL="114300" distR="114300">
            <wp:extent cx="1540510" cy="1320800"/>
            <wp:effectExtent l="0" t="0" r="2540" b="12700"/>
            <wp:docPr id="5" name="图片 5" descr="微信图片_20251228083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微信图片_20251228083711"/>
                    <pic:cNvPicPr>
                      <a:picLocks noChangeAspect="1"/>
                    </pic:cNvPicPr>
                  </pic:nvPicPr>
                  <pic:blipFill>
                    <a:blip r:embed="rId7"/>
                    <a:stretch>
                      <a:fillRect/>
                    </a:stretch>
                  </pic:blipFill>
                  <pic:spPr>
                    <a:xfrm>
                      <a:off x="0" y="0"/>
                      <a:ext cx="1540510" cy="1320800"/>
                    </a:xfrm>
                    <a:prstGeom prst="rect">
                      <a:avLst/>
                    </a:prstGeom>
                  </pic:spPr>
                </pic:pic>
              </a:graphicData>
            </a:graphic>
          </wp:inline>
        </w:drawing>
      </w:r>
      <w:r>
        <w:rPr>
          <w:rFonts w:hint="eastAsia" w:ascii="仿宋_GB2312" w:eastAsia="仿宋_GB2312"/>
          <w:color w:val="000000" w:themeColor="text1"/>
          <w:sz w:val="32"/>
          <w:szCs w:val="32"/>
          <w14:textFill>
            <w14:solidFill>
              <w14:schemeClr w14:val="tx1"/>
            </w14:solidFill>
          </w14:textFill>
        </w:rPr>
        <w:drawing>
          <wp:inline distT="0" distB="0" distL="114300" distR="114300">
            <wp:extent cx="1957705" cy="3453130"/>
            <wp:effectExtent l="0" t="0" r="4445" b="13970"/>
            <wp:docPr id="1" name="图片 1" descr="微信图片_20251228083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微信图片_20251228083721"/>
                    <pic:cNvPicPr>
                      <a:picLocks noChangeAspect="1"/>
                    </pic:cNvPicPr>
                  </pic:nvPicPr>
                  <pic:blipFill>
                    <a:blip r:embed="rId8"/>
                    <a:stretch>
                      <a:fillRect/>
                    </a:stretch>
                  </pic:blipFill>
                  <pic:spPr>
                    <a:xfrm>
                      <a:off x="0" y="0"/>
                      <a:ext cx="1957705" cy="3453130"/>
                    </a:xfrm>
                    <a:prstGeom prst="rect">
                      <a:avLst/>
                    </a:prstGeom>
                  </pic:spPr>
                </pic:pic>
              </a:graphicData>
            </a:graphic>
          </wp:inline>
        </w:drawing>
      </w:r>
    </w:p>
    <w:p w14:paraId="6491DD4C">
      <w:pPr>
        <w:spacing w:line="520" w:lineRule="exact"/>
        <w:ind w:firstLine="640" w:firstLineChars="200"/>
        <w:rPr>
          <w:rFonts w:ascii="仿宋_GB2312" w:eastAsia="仿宋_GB2312"/>
          <w:color w:val="000000" w:themeColor="text1"/>
          <w:sz w:val="32"/>
          <w:szCs w:val="32"/>
          <w14:textFill>
            <w14:solidFill>
              <w14:schemeClr w14:val="tx1"/>
            </w14:solidFill>
          </w14:textFill>
        </w:rPr>
      </w:pPr>
    </w:p>
    <w:p w14:paraId="332E4109">
      <w:pPr>
        <w:jc w:val="center"/>
        <w:rPr>
          <w:rFonts w:ascii="仿宋_GB2312" w:eastAsia="仿宋_GB2312"/>
          <w:color w:val="000000" w:themeColor="text1"/>
          <w:sz w:val="32"/>
          <w:szCs w:val="32"/>
          <w14:textFill>
            <w14:solidFill>
              <w14:schemeClr w14:val="tx1"/>
            </w14:solidFill>
          </w14:textFill>
        </w:rPr>
      </w:pPr>
      <w:r>
        <w:rPr>
          <w:rFonts w:hint="eastAsia" w:ascii="仿宋_GB2312" w:eastAsia="仿宋_GB2312"/>
          <w:color w:val="000000" w:themeColor="text1"/>
          <w:sz w:val="32"/>
          <w:szCs w:val="32"/>
          <w14:textFill>
            <w14:solidFill>
              <w14:schemeClr w14:val="tx1"/>
            </w14:solidFill>
          </w14:textFill>
        </w:rPr>
        <w:drawing>
          <wp:inline distT="0" distB="0" distL="114300" distR="114300">
            <wp:extent cx="2115185" cy="1584960"/>
            <wp:effectExtent l="0" t="0" r="18415" b="15240"/>
            <wp:docPr id="7" name="图片 7" descr="微信图片_20251228083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微信图片_20251228083824"/>
                    <pic:cNvPicPr>
                      <a:picLocks noChangeAspect="1"/>
                    </pic:cNvPicPr>
                  </pic:nvPicPr>
                  <pic:blipFill>
                    <a:blip r:embed="rId9"/>
                    <a:stretch>
                      <a:fillRect/>
                    </a:stretch>
                  </pic:blipFill>
                  <pic:spPr>
                    <a:xfrm>
                      <a:off x="0" y="0"/>
                      <a:ext cx="2115185" cy="1584960"/>
                    </a:xfrm>
                    <a:prstGeom prst="rect">
                      <a:avLst/>
                    </a:prstGeom>
                  </pic:spPr>
                </pic:pic>
              </a:graphicData>
            </a:graphic>
          </wp:inline>
        </w:drawing>
      </w:r>
      <w:r>
        <w:rPr>
          <w:rFonts w:hint="eastAsia" w:ascii="仿宋_GB2312" w:eastAsia="仿宋_GB2312"/>
          <w:color w:val="000000" w:themeColor="text1"/>
          <w:sz w:val="32"/>
          <w:szCs w:val="32"/>
          <w14:textFill>
            <w14:solidFill>
              <w14:schemeClr w14:val="tx1"/>
            </w14:solidFill>
          </w14:textFill>
        </w:rPr>
        <w:drawing>
          <wp:inline distT="0" distB="0" distL="114300" distR="114300">
            <wp:extent cx="2399030" cy="1797685"/>
            <wp:effectExtent l="0" t="0" r="1270" b="12065"/>
            <wp:docPr id="6" name="图片 6" descr="微信图片_20251228083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微信图片_20251228083829"/>
                    <pic:cNvPicPr>
                      <a:picLocks noChangeAspect="1"/>
                    </pic:cNvPicPr>
                  </pic:nvPicPr>
                  <pic:blipFill>
                    <a:blip r:embed="rId10"/>
                    <a:stretch>
                      <a:fillRect/>
                    </a:stretch>
                  </pic:blipFill>
                  <pic:spPr>
                    <a:xfrm>
                      <a:off x="0" y="0"/>
                      <a:ext cx="2399030" cy="1797685"/>
                    </a:xfrm>
                    <a:prstGeom prst="rect">
                      <a:avLst/>
                    </a:prstGeom>
                  </pic:spPr>
                </pic:pic>
              </a:graphicData>
            </a:graphic>
          </wp:inline>
        </w:drawing>
      </w:r>
    </w:p>
    <w:p w14:paraId="51597115">
      <w:pPr>
        <w:spacing w:line="520" w:lineRule="exact"/>
        <w:ind w:firstLine="640" w:firstLineChars="200"/>
        <w:rPr>
          <w:rFonts w:ascii="仿宋_GB2312" w:eastAsia="仿宋_GB2312"/>
          <w:color w:val="000000" w:themeColor="text1"/>
          <w:sz w:val="32"/>
          <w:szCs w:val="32"/>
          <w14:textFill>
            <w14:solidFill>
              <w14:schemeClr w14:val="tx1"/>
            </w14:solidFill>
          </w14:textFill>
        </w:rPr>
      </w:pPr>
      <w:r>
        <w:rPr>
          <w:rFonts w:hint="eastAsia" w:ascii="仿宋_GB2312" w:eastAsia="仿宋_GB2312"/>
          <w:color w:val="000000" w:themeColor="text1"/>
          <w:sz w:val="32"/>
          <w:szCs w:val="32"/>
          <w14:textFill>
            <w14:solidFill>
              <w14:schemeClr w14:val="tx1"/>
            </w14:solidFill>
          </w14:textFill>
        </w:rPr>
        <w:t>2.体位</w:t>
      </w:r>
    </w:p>
    <w:p w14:paraId="367F0796">
      <w:pPr>
        <w:spacing w:line="520" w:lineRule="exact"/>
        <w:ind w:firstLine="640" w:firstLineChars="200"/>
        <w:rPr>
          <w:rFonts w:ascii="仿宋_GB2312" w:eastAsia="仿宋_GB2312"/>
          <w:color w:val="000000" w:themeColor="text1"/>
          <w:sz w:val="32"/>
          <w:szCs w:val="32"/>
          <w14:textFill>
            <w14:solidFill>
              <w14:schemeClr w14:val="tx1"/>
            </w14:solidFill>
          </w14:textFill>
        </w:rPr>
      </w:pPr>
      <w:r>
        <w:rPr>
          <w:rFonts w:hint="eastAsia" w:ascii="仿宋_GB2312" w:eastAsia="仿宋_GB2312"/>
          <w:color w:val="000000" w:themeColor="text1"/>
          <w:sz w:val="32"/>
          <w:szCs w:val="32"/>
          <w14:textFill>
            <w14:solidFill>
              <w14:schemeClr w14:val="tx1"/>
            </w14:solidFill>
          </w14:textFill>
        </w:rPr>
        <w:t>应根据患者病情选择合适体位。体位选择一般遵循患者舒适，医生便于操作的原则。临床常用的体位有俯卧低头位、仰卧位、俯卧位、侧卧位、坐位。俯卧低头位适用于头颈部疾病的内热针治疗仰卧位适用于人体前面部位的内热针治疗，俯卧位适用于人体背腰部的内热针治疗，侧卧位适用于人体侧部的内热针治疗，坐位适用于肘部、前臂部及腕手部疾病的内热针治疗。</w:t>
      </w:r>
    </w:p>
    <w:p w14:paraId="45599AAC">
      <w:pPr>
        <w:spacing w:line="520" w:lineRule="exact"/>
        <w:ind w:firstLine="640" w:firstLineChars="200"/>
        <w:rPr>
          <w:rFonts w:ascii="仿宋_GB2312" w:eastAsia="仿宋_GB2312"/>
          <w:color w:val="000000" w:themeColor="text1"/>
          <w:sz w:val="32"/>
          <w:szCs w:val="32"/>
          <w14:textFill>
            <w14:solidFill>
              <w14:schemeClr w14:val="tx1"/>
            </w14:solidFill>
          </w14:textFill>
        </w:rPr>
      </w:pPr>
      <w:r>
        <w:rPr>
          <w:rFonts w:hint="eastAsia" w:ascii="仿宋_GB2312" w:eastAsia="仿宋_GB2312"/>
          <w:color w:val="000000" w:themeColor="text1"/>
          <w:sz w:val="32"/>
          <w:szCs w:val="32"/>
          <w14:textFill>
            <w14:solidFill>
              <w14:schemeClr w14:val="tx1"/>
            </w14:solidFill>
          </w14:textFill>
        </w:rPr>
        <w:t>3.选穴布点</w:t>
      </w:r>
    </w:p>
    <w:p w14:paraId="545D44AE">
      <w:pPr>
        <w:spacing w:line="520" w:lineRule="exact"/>
        <w:ind w:firstLine="640" w:firstLineChars="200"/>
        <w:rPr>
          <w:rFonts w:ascii="仿宋_GB2312" w:eastAsia="仿宋_GB2312"/>
          <w:color w:val="000000" w:themeColor="text1"/>
          <w:sz w:val="32"/>
          <w:szCs w:val="32"/>
          <w14:textFill>
            <w14:solidFill>
              <w14:schemeClr w14:val="tx1"/>
            </w14:solidFill>
          </w14:textFill>
        </w:rPr>
      </w:pPr>
      <w:r>
        <w:rPr>
          <w:rFonts w:ascii="仿宋_GB2312" w:eastAsia="仿宋_GB2312"/>
          <w:color w:val="000000" w:themeColor="text1"/>
          <w:sz w:val="32"/>
          <w:szCs w:val="32"/>
          <w14:textFill>
            <w14:solidFill>
              <w14:schemeClr w14:val="tx1"/>
            </w14:solidFill>
          </w14:textFill>
        </w:rPr>
        <w:t>内热针治疗常用的布点部位多位于肌肉起止点及肌腹部、关节囊、韧带行径及附着处等。根据患者病情，</w:t>
      </w:r>
      <w:r>
        <w:rPr>
          <w:rFonts w:hint="eastAsia" w:ascii="仿宋_GB2312" w:eastAsia="仿宋_GB2312"/>
          <w:color w:val="000000" w:themeColor="text1"/>
          <w:sz w:val="32"/>
          <w:szCs w:val="32"/>
          <w14:textFill>
            <w14:solidFill>
              <w14:schemeClr w14:val="tx1"/>
            </w14:solidFill>
          </w14:textFill>
        </w:rPr>
        <w:t>临床中</w:t>
      </w:r>
      <w:r>
        <w:rPr>
          <w:rFonts w:ascii="仿宋_GB2312" w:eastAsia="仿宋_GB2312"/>
          <w:color w:val="000000" w:themeColor="text1"/>
          <w:sz w:val="32"/>
          <w:szCs w:val="32"/>
          <w14:textFill>
            <w14:solidFill>
              <w14:schemeClr w14:val="tx1"/>
            </w14:solidFill>
          </w14:textFill>
        </w:rPr>
        <w:t>一般针距选择</w:t>
      </w:r>
      <w:r>
        <w:rPr>
          <w:rFonts w:hint="eastAsia" w:ascii="仿宋_GB2312" w:eastAsia="仿宋_GB2312"/>
          <w:color w:val="000000" w:themeColor="text1"/>
          <w:sz w:val="32"/>
          <w:szCs w:val="32"/>
          <w14:textFill>
            <w14:solidFill>
              <w14:schemeClr w14:val="tx1"/>
            </w14:solidFill>
          </w14:textFill>
        </w:rPr>
        <w:t>0.5 cm～2 cm，并</w:t>
      </w:r>
      <w:r>
        <w:rPr>
          <w:rFonts w:ascii="仿宋_GB2312" w:eastAsia="仿宋_GB2312"/>
          <w:color w:val="000000" w:themeColor="text1"/>
          <w:sz w:val="32"/>
          <w:szCs w:val="32"/>
          <w14:textFill>
            <w14:solidFill>
              <w14:schemeClr w14:val="tx1"/>
            </w14:solidFill>
          </w14:textFill>
        </w:rPr>
        <w:t>严格采用记号笔、直尺定点。有多排布点时在保证安全的情况下应尽量均匀交错布点，以使内热针治疗范围内组织均受热，提高疗效。</w:t>
      </w:r>
    </w:p>
    <w:p w14:paraId="4658F111">
      <w:pPr>
        <w:tabs>
          <w:tab w:val="center" w:pos="4201"/>
          <w:tab w:val="right" w:leader="dot" w:pos="9298"/>
        </w:tabs>
        <w:autoSpaceDE w:val="0"/>
        <w:autoSpaceDN w:val="0"/>
        <w:spacing w:line="560" w:lineRule="exact"/>
        <w:ind w:firstLine="643" w:firstLineChars="200"/>
        <w:outlineLvl w:val="1"/>
        <w:rPr>
          <w:rFonts w:ascii="Times New Roman" w:hAnsi="Times New Roman" w:eastAsia="楷体" w:cs="Times New Roman"/>
          <w:b/>
          <w:bCs/>
          <w:color w:val="000000" w:themeColor="text1"/>
          <w:kern w:val="0"/>
          <w:sz w:val="32"/>
          <w:szCs w:val="32"/>
          <w14:textFill>
            <w14:solidFill>
              <w14:schemeClr w14:val="tx1"/>
            </w14:solidFill>
          </w14:textFill>
        </w:rPr>
      </w:pPr>
      <w:r>
        <w:rPr>
          <w:rFonts w:hint="eastAsia" w:ascii="Times New Roman" w:hAnsi="Times New Roman" w:eastAsia="楷体" w:cs="Times New Roman"/>
          <w:b/>
          <w:bCs/>
          <w:color w:val="000000" w:themeColor="text1"/>
          <w:kern w:val="0"/>
          <w:sz w:val="32"/>
          <w:szCs w:val="32"/>
          <w14:textFill>
            <w14:solidFill>
              <w14:schemeClr w14:val="tx1"/>
            </w14:solidFill>
          </w14:textFill>
        </w:rPr>
        <w:t>（三）施术方法</w:t>
      </w:r>
    </w:p>
    <w:p w14:paraId="36A168E8">
      <w:pPr>
        <w:spacing w:line="520" w:lineRule="exact"/>
        <w:ind w:firstLine="640" w:firstLineChars="200"/>
        <w:rPr>
          <w:rFonts w:ascii="仿宋_GB2312" w:eastAsia="仿宋_GB2312"/>
          <w:color w:val="000000" w:themeColor="text1"/>
          <w:sz w:val="32"/>
          <w:szCs w:val="32"/>
          <w14:textFill>
            <w14:solidFill>
              <w14:schemeClr w14:val="tx1"/>
            </w14:solidFill>
          </w14:textFill>
        </w:rPr>
      </w:pPr>
      <w:r>
        <w:rPr>
          <w:rFonts w:hint="eastAsia" w:ascii="仿宋_GB2312" w:eastAsia="仿宋_GB2312"/>
          <w:color w:val="000000" w:themeColor="text1"/>
          <w:sz w:val="32"/>
          <w:szCs w:val="32"/>
          <w14:textFill>
            <w14:solidFill>
              <w14:schemeClr w14:val="tx1"/>
            </w14:solidFill>
          </w14:textFill>
        </w:rPr>
        <w:t>1.麻醉</w:t>
      </w:r>
    </w:p>
    <w:p w14:paraId="0B5BFD4C">
      <w:pPr>
        <w:spacing w:line="520" w:lineRule="exact"/>
        <w:ind w:firstLine="640" w:firstLineChars="200"/>
      </w:pPr>
      <w:r>
        <w:rPr>
          <w:rFonts w:ascii="仿宋_GB2312" w:eastAsia="仿宋_GB2312"/>
          <w:color w:val="000000" w:themeColor="text1"/>
          <w:sz w:val="32"/>
          <w:szCs w:val="32"/>
          <w14:textFill>
            <w14:solidFill>
              <w14:schemeClr w14:val="tx1"/>
            </w14:solidFill>
          </w14:textFill>
        </w:rPr>
        <w:t>通常采用0.25%-0.5%利多卡因局部浸润麻醉。该浓度范围麻醉效果确切且安全性高，适用于治疗的局部镇痛需求</w:t>
      </w:r>
      <w:r>
        <w:rPr>
          <w:rFonts w:hint="eastAsia" w:ascii="仿宋_GB2312" w:eastAsia="仿宋_GB2312"/>
          <w:color w:val="000000" w:themeColor="text1"/>
          <w:sz w:val="32"/>
          <w:szCs w:val="32"/>
          <w14:textFill>
            <w14:solidFill>
              <w14:schemeClr w14:val="tx1"/>
            </w14:solidFill>
          </w14:textFill>
        </w:rPr>
        <w:t>。</w:t>
      </w:r>
      <w:r>
        <w:rPr>
          <w:rFonts w:ascii="仿宋_GB2312" w:eastAsia="仿宋_GB2312"/>
          <w:color w:val="000000" w:themeColor="text1"/>
          <w:sz w:val="32"/>
          <w:szCs w:val="32"/>
          <w14:textFill>
            <w14:solidFill>
              <w14:schemeClr w14:val="tx1"/>
            </w14:solidFill>
          </w14:textFill>
        </w:rPr>
        <w:t>患者病情较重，复杂部位或耐受度差的患者，所在医疗单位条件允许，可采用臂丛神经阻滞麻醉、椎管内阻滞麻醉或静脉麻醉</w:t>
      </w:r>
      <w:r>
        <w:rPr>
          <w:rFonts w:hint="eastAsia" w:ascii="仿宋_GB2312" w:eastAsia="仿宋_GB2312"/>
          <w:color w:val="000000" w:themeColor="text1"/>
          <w:sz w:val="32"/>
          <w:szCs w:val="32"/>
          <w14:textFill>
            <w14:solidFill>
              <w14:schemeClr w14:val="tx1"/>
            </w14:solidFill>
          </w14:textFill>
        </w:rPr>
        <w:t>，但需要麻醉专业人员协同操作。</w:t>
      </w:r>
    </w:p>
    <w:p w14:paraId="3ECFE4CE">
      <w:pPr>
        <w:spacing w:line="520" w:lineRule="exact"/>
        <w:ind w:firstLine="640" w:firstLineChars="200"/>
        <w:rPr>
          <w:rFonts w:ascii="仿宋_GB2312" w:eastAsia="仿宋_GB2312"/>
          <w:color w:val="000000" w:themeColor="text1"/>
          <w:sz w:val="32"/>
          <w:szCs w:val="32"/>
          <w14:textFill>
            <w14:solidFill>
              <w14:schemeClr w14:val="tx1"/>
            </w14:solidFill>
          </w14:textFill>
        </w:rPr>
      </w:pPr>
      <w:r>
        <w:rPr>
          <w:rFonts w:hint="eastAsia" w:ascii="仿宋_GB2312" w:eastAsia="仿宋_GB2312"/>
          <w:color w:val="000000" w:themeColor="text1"/>
          <w:sz w:val="32"/>
          <w:szCs w:val="32"/>
          <w14:textFill>
            <w14:solidFill>
              <w14:schemeClr w14:val="tx1"/>
            </w14:solidFill>
          </w14:textFill>
        </w:rPr>
        <w:t>2.进针</w:t>
      </w:r>
    </w:p>
    <w:p w14:paraId="6A9E8F0F">
      <w:pPr>
        <w:spacing w:line="520" w:lineRule="exact"/>
        <w:ind w:firstLine="640" w:firstLineChars="200"/>
        <w:rPr>
          <w:rFonts w:ascii="仿宋_GB2312" w:eastAsia="仿宋_GB2312"/>
          <w:color w:val="000000" w:themeColor="text1"/>
          <w:sz w:val="32"/>
          <w:szCs w:val="32"/>
          <w14:textFill>
            <w14:solidFill>
              <w14:schemeClr w14:val="tx1"/>
            </w14:solidFill>
          </w14:textFill>
        </w:rPr>
      </w:pPr>
      <w:r>
        <w:rPr>
          <w:rFonts w:hint="eastAsia" w:ascii="仿宋_GB2312" w:eastAsia="仿宋_GB2312"/>
          <w:color w:val="000000" w:themeColor="text1"/>
          <w:sz w:val="32"/>
          <w:szCs w:val="32"/>
          <w14:textFill>
            <w14:solidFill>
              <w14:schemeClr w14:val="tx1"/>
            </w14:solidFill>
          </w14:textFill>
        </w:rPr>
        <w:t>①持针方法:常用的进针方法有单手进针法、双手进针法两种。</w:t>
      </w:r>
    </w:p>
    <w:p w14:paraId="19B554AC">
      <w:pPr>
        <w:spacing w:line="520" w:lineRule="exact"/>
        <w:ind w:firstLine="640" w:firstLineChars="200"/>
        <w:rPr>
          <w:rFonts w:ascii="仿宋_GB2312" w:eastAsia="仿宋_GB2312"/>
          <w:color w:val="000000" w:themeColor="text1"/>
          <w:sz w:val="32"/>
          <w:szCs w:val="32"/>
          <w14:textFill>
            <w14:solidFill>
              <w14:schemeClr w14:val="tx1"/>
            </w14:solidFill>
          </w14:textFill>
        </w:rPr>
      </w:pPr>
      <w:r>
        <w:rPr>
          <w:rFonts w:hint="eastAsia" w:ascii="仿宋_GB2312" w:eastAsia="仿宋_GB2312"/>
          <w:color w:val="000000" w:themeColor="text1"/>
          <w:sz w:val="32"/>
          <w:szCs w:val="32"/>
          <w14:textFill>
            <w14:solidFill>
              <w14:schemeClr w14:val="tx1"/>
            </w14:solidFill>
          </w14:textFill>
        </w:rPr>
        <w:t>A.单手进针法:用刺手拇、食指持针，中指指端紧靠穴位,指腹抵住针身中部，当拇、食指向下用力时，中指也随之屈曲，将针刺入，直至所需的深度。此外，根据术者操作习惯，还可使用中指协同操作的手法，即用刺手拇指、食指、中指协同持针，可以中指或无名指指端紧靠穴位帮助稳定，将针刺入，刺入皮肤后缓慢进针，直至所需深度的方法。</w:t>
      </w:r>
    </w:p>
    <w:p w14:paraId="7E6F4204">
      <w:pPr>
        <w:pStyle w:val="2"/>
        <w:jc w:val="center"/>
      </w:pPr>
      <w:r>
        <w:drawing>
          <wp:inline distT="0" distB="0" distL="0" distR="0">
            <wp:extent cx="1638300" cy="1884045"/>
            <wp:effectExtent l="0" t="0" r="0" b="190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11">
                      <a:extLst>
                        <a:ext uri="{28A0092B-C50C-407E-A947-70E740481C1C}">
                          <a14:useLocalDpi xmlns:a14="http://schemas.microsoft.com/office/drawing/2010/main" val="0"/>
                        </a:ext>
                      </a:extLst>
                    </a:blip>
                    <a:stretch>
                      <a:fillRect/>
                    </a:stretch>
                  </pic:blipFill>
                  <pic:spPr>
                    <a:xfrm>
                      <a:off x="0" y="0"/>
                      <a:ext cx="1644379" cy="1891317"/>
                    </a:xfrm>
                    <a:prstGeom prst="rect">
                      <a:avLst/>
                    </a:prstGeom>
                  </pic:spPr>
                </pic:pic>
              </a:graphicData>
            </a:graphic>
          </wp:inline>
        </w:drawing>
      </w:r>
    </w:p>
    <w:p w14:paraId="73B131F3">
      <w:pPr>
        <w:spacing w:line="520" w:lineRule="exact"/>
        <w:ind w:firstLine="640" w:firstLineChars="200"/>
        <w:rPr>
          <w:rFonts w:ascii="仿宋_GB2312"/>
          <w:color w:val="000000" w:themeColor="text1"/>
          <w:sz w:val="32"/>
          <w:szCs w:val="32"/>
          <w14:textFill>
            <w14:solidFill>
              <w14:schemeClr w14:val="tx1"/>
            </w14:solidFill>
          </w14:textFill>
        </w:rPr>
      </w:pPr>
      <w:r>
        <w:rPr>
          <w:rFonts w:hint="eastAsia" w:ascii="仿宋_GB2312" w:eastAsia="仿宋_GB2312"/>
          <w:color w:val="000000" w:themeColor="text1"/>
          <w:sz w:val="32"/>
          <w:szCs w:val="32"/>
          <w14:textFill>
            <w14:solidFill>
              <w14:schemeClr w14:val="tx1"/>
            </w14:solidFill>
          </w14:textFill>
        </w:rPr>
        <w:t>B.双手进针法:刺手与押手相互配合，将针刺入穴位的方法。常用的双手进针法即为夹持进针法，即用押手拇、食二指持捏针身下端，将针尖固定在拟刺痛点的皮肤表面，刺手向下捻动针柄，押手同时向下用力，将针刺入痛点皮肤。此外，还有用刺手拇指、食指、中指协同持针，押手拇指定位，持针的拇指、食指、中指共同向下用力刺入皮肤，刺入皮肤后缓慢进针，直至所需深度的方法。</w:t>
      </w:r>
    </w:p>
    <w:p w14:paraId="62F7C729">
      <w:pPr>
        <w:ind w:firstLine="420" w:firstLineChars="200"/>
        <w:jc w:val="center"/>
        <w:rPr>
          <w:rFonts w:ascii="仿宋_GB2312" w:eastAsia="仿宋_GB2312"/>
          <w:color w:val="000000" w:themeColor="text1"/>
          <w:sz w:val="32"/>
          <w:szCs w:val="32"/>
          <w14:textFill>
            <w14:solidFill>
              <w14:schemeClr w14:val="tx1"/>
            </w14:solidFill>
          </w14:textFill>
        </w:rPr>
      </w:pPr>
      <w:r>
        <w:drawing>
          <wp:inline distT="0" distB="0" distL="0" distR="0">
            <wp:extent cx="1729740" cy="1822450"/>
            <wp:effectExtent l="0" t="0" r="3810" b="635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12">
                      <a:extLst>
                        <a:ext uri="{28A0092B-C50C-407E-A947-70E740481C1C}">
                          <a14:useLocalDpi xmlns:a14="http://schemas.microsoft.com/office/drawing/2010/main" val="0"/>
                        </a:ext>
                      </a:extLst>
                    </a:blip>
                    <a:stretch>
                      <a:fillRect/>
                    </a:stretch>
                  </pic:blipFill>
                  <pic:spPr>
                    <a:xfrm>
                      <a:off x="0" y="0"/>
                      <a:ext cx="1729740" cy="1822450"/>
                    </a:xfrm>
                    <a:prstGeom prst="rect">
                      <a:avLst/>
                    </a:prstGeom>
                  </pic:spPr>
                </pic:pic>
              </a:graphicData>
            </a:graphic>
          </wp:inline>
        </w:drawing>
      </w:r>
    </w:p>
    <w:p w14:paraId="7D8528EA">
      <w:pPr>
        <w:spacing w:line="520" w:lineRule="exact"/>
        <w:ind w:firstLine="640" w:firstLineChars="200"/>
        <w:rPr>
          <w:rFonts w:ascii="仿宋_GB2312" w:eastAsia="仿宋_GB2312"/>
          <w:color w:val="000000" w:themeColor="text1"/>
          <w:sz w:val="32"/>
          <w:szCs w:val="32"/>
          <w14:textFill>
            <w14:solidFill>
              <w14:schemeClr w14:val="tx1"/>
            </w14:solidFill>
          </w14:textFill>
        </w:rPr>
      </w:pPr>
      <w:r>
        <w:rPr>
          <w:rFonts w:hint="eastAsia" w:ascii="仿宋_GB2312" w:eastAsia="仿宋_GB2312"/>
          <w:color w:val="000000" w:themeColor="text1"/>
          <w:sz w:val="32"/>
          <w:szCs w:val="32"/>
          <w14:textFill>
            <w14:solidFill>
              <w14:schemeClr w14:val="tx1"/>
            </w14:solidFill>
          </w14:textFill>
        </w:rPr>
        <w:t>②进针方向:根据人体解剖学特点和针刺部位的不同可采取直刺、斜刺、平刺。</w:t>
      </w:r>
    </w:p>
    <w:p w14:paraId="5F807E6A">
      <w:pPr>
        <w:spacing w:line="520" w:lineRule="exact"/>
        <w:ind w:firstLine="640" w:firstLineChars="200"/>
        <w:rPr>
          <w:rFonts w:ascii="仿宋_GB2312" w:eastAsia="仿宋_GB2312"/>
          <w:color w:val="000000" w:themeColor="text1"/>
          <w:sz w:val="32"/>
          <w:szCs w:val="32"/>
          <w14:textFill>
            <w14:solidFill>
              <w14:schemeClr w14:val="tx1"/>
            </w14:solidFill>
          </w14:textFill>
        </w:rPr>
      </w:pPr>
      <w:r>
        <w:rPr>
          <w:rFonts w:hint="eastAsia" w:ascii="仿宋_GB2312" w:eastAsia="仿宋_GB2312"/>
          <w:color w:val="000000" w:themeColor="text1"/>
          <w:sz w:val="32"/>
          <w:szCs w:val="32"/>
          <w14:textFill>
            <w14:solidFill>
              <w14:schemeClr w14:val="tx1"/>
            </w14:solidFill>
          </w14:textFill>
        </w:rPr>
        <w:t>A.直刺:针身与皮肤表面成90°垂直刺入体内。一般用在肌肉比较丰满的部位，如腰部、臀部等，可保证针刺深度。</w:t>
      </w:r>
    </w:p>
    <w:p w14:paraId="74F35708">
      <w:pPr>
        <w:spacing w:line="520" w:lineRule="exact"/>
        <w:ind w:firstLine="640" w:firstLineChars="200"/>
        <w:rPr>
          <w:rFonts w:ascii="仿宋_GB2312" w:eastAsia="仿宋_GB2312"/>
          <w:color w:val="000000" w:themeColor="text1"/>
          <w:sz w:val="32"/>
          <w:szCs w:val="32"/>
          <w14:textFill>
            <w14:solidFill>
              <w14:schemeClr w14:val="tx1"/>
            </w14:solidFill>
          </w14:textFill>
        </w:rPr>
      </w:pPr>
      <w:r>
        <w:rPr>
          <w:rFonts w:hint="eastAsia" w:ascii="仿宋_GB2312" w:eastAsia="仿宋_GB2312"/>
          <w:color w:val="000000" w:themeColor="text1"/>
          <w:sz w:val="32"/>
          <w:szCs w:val="32"/>
          <w14:textFill>
            <w14:solidFill>
              <w14:schemeClr w14:val="tx1"/>
            </w14:solidFill>
          </w14:textFill>
        </w:rPr>
        <w:t>B.斜刺:针身与皮肤表面成45°左右刺入体内，此法适用于肌肉浅薄处或深部有重要脏器处。主要用于颈椎、背部等，避免损伤重要组织。</w:t>
      </w:r>
    </w:p>
    <w:p w14:paraId="34BCA7BB">
      <w:pPr>
        <w:spacing w:line="520" w:lineRule="exact"/>
        <w:ind w:firstLine="640" w:firstLineChars="200"/>
        <w:rPr>
          <w:rFonts w:ascii="仿宋_GB2312" w:eastAsia="仿宋_GB2312"/>
          <w:color w:val="000000" w:themeColor="text1"/>
          <w:sz w:val="32"/>
          <w:szCs w:val="32"/>
          <w14:textFill>
            <w14:solidFill>
              <w14:schemeClr w14:val="tx1"/>
            </w14:solidFill>
          </w14:textFill>
        </w:rPr>
      </w:pPr>
      <w:r>
        <w:rPr>
          <w:rFonts w:hint="eastAsia" w:ascii="仿宋_GB2312" w:eastAsia="仿宋_GB2312"/>
          <w:color w:val="000000" w:themeColor="text1"/>
          <w:sz w:val="32"/>
          <w:szCs w:val="32"/>
          <w14:textFill>
            <w14:solidFill>
              <w14:schemeClr w14:val="tx1"/>
            </w14:solidFill>
          </w14:textFill>
        </w:rPr>
        <w:t>C.平刺:针身与皮肤表面成15°左右刺人体内。此法适用于肌肉比较薄或膝关节部位，符合局部解剖结构限制。</w:t>
      </w:r>
    </w:p>
    <w:p w14:paraId="74112527">
      <w:pPr>
        <w:spacing w:line="520" w:lineRule="exact"/>
        <w:ind w:firstLine="640" w:firstLineChars="200"/>
        <w:rPr>
          <w:rFonts w:ascii="仿宋_GB2312" w:eastAsia="仿宋_GB2312"/>
          <w:color w:val="000000" w:themeColor="text1"/>
          <w:sz w:val="32"/>
          <w:szCs w:val="32"/>
          <w14:textFill>
            <w14:solidFill>
              <w14:schemeClr w14:val="tx1"/>
            </w14:solidFill>
          </w14:textFill>
        </w:rPr>
      </w:pPr>
      <w:r>
        <w:rPr>
          <w:rFonts w:hint="eastAsia" w:ascii="仿宋_GB2312" w:eastAsia="仿宋_GB2312"/>
          <w:color w:val="000000" w:themeColor="text1"/>
          <w:sz w:val="32"/>
          <w:szCs w:val="32"/>
          <w14:textFill>
            <w14:solidFill>
              <w14:schemeClr w14:val="tx1"/>
            </w14:solidFill>
          </w14:textFill>
        </w:rPr>
        <w:t>3.加热</w:t>
      </w:r>
    </w:p>
    <w:p w14:paraId="619E765B">
      <w:pPr>
        <w:spacing w:line="520" w:lineRule="exact"/>
        <w:ind w:firstLine="640" w:firstLineChars="200"/>
        <w:rPr>
          <w:rFonts w:ascii="仿宋_GB2312" w:eastAsia="仿宋_GB2312"/>
          <w:color w:val="000000" w:themeColor="text1"/>
          <w:sz w:val="32"/>
          <w:szCs w:val="32"/>
          <w14:textFill>
            <w14:solidFill>
              <w14:schemeClr w14:val="tx1"/>
            </w14:solidFill>
          </w14:textFill>
        </w:rPr>
      </w:pPr>
      <w:r>
        <w:rPr>
          <w:rFonts w:hint="eastAsia" w:ascii="仿宋_GB2312" w:eastAsia="仿宋_GB2312"/>
          <w:color w:val="000000" w:themeColor="text1"/>
          <w:sz w:val="32"/>
          <w:szCs w:val="32"/>
          <w14:textFill>
            <w14:solidFill>
              <w14:schemeClr w14:val="tx1"/>
            </w14:solidFill>
          </w14:textFill>
        </w:rPr>
        <w:t>全部进针完毕后，连接加热线时，应一只手固定内热针，一只手安装连接线，避免安装连接线时针尖刺入危险部位。全部内热针连接加热线针帽后，恒温加热至42 ℃，最高不超过60 ℃，时间20分钟至30分钟。</w:t>
      </w:r>
    </w:p>
    <w:p w14:paraId="4A6CE592">
      <w:pPr>
        <w:spacing w:line="520" w:lineRule="exact"/>
        <w:ind w:firstLine="640" w:firstLineChars="200"/>
        <w:rPr>
          <w:rFonts w:ascii="仿宋_GB2312" w:eastAsia="仿宋_GB2312"/>
          <w:color w:val="000000" w:themeColor="text1"/>
          <w:sz w:val="32"/>
          <w:szCs w:val="32"/>
          <w14:textFill>
            <w14:solidFill>
              <w14:schemeClr w14:val="tx1"/>
            </w14:solidFill>
          </w14:textFill>
        </w:rPr>
      </w:pPr>
      <w:r>
        <w:rPr>
          <w:rFonts w:hint="eastAsia" w:ascii="仿宋_GB2312" w:eastAsia="仿宋_GB2312"/>
          <w:color w:val="000000" w:themeColor="text1"/>
          <w:sz w:val="32"/>
          <w:szCs w:val="32"/>
          <w14:textFill>
            <w14:solidFill>
              <w14:schemeClr w14:val="tx1"/>
            </w14:solidFill>
          </w14:textFill>
        </w:rPr>
        <w:t>4.取针</w:t>
      </w:r>
    </w:p>
    <w:p w14:paraId="111E9E7E">
      <w:pPr>
        <w:spacing w:line="520" w:lineRule="exact"/>
        <w:ind w:firstLine="640" w:firstLineChars="200"/>
        <w:rPr>
          <w:rFonts w:ascii="仿宋_GB2312" w:eastAsia="仿宋_GB2312"/>
          <w:color w:val="000000" w:themeColor="text1"/>
          <w:sz w:val="32"/>
          <w:szCs w:val="32"/>
          <w14:textFill>
            <w14:solidFill>
              <w14:schemeClr w14:val="tx1"/>
            </w14:solidFill>
          </w14:textFill>
        </w:rPr>
      </w:pPr>
      <w:r>
        <w:rPr>
          <w:rFonts w:hint="eastAsia" w:ascii="仿宋_GB2312" w:eastAsia="仿宋_GB2312"/>
          <w:color w:val="000000" w:themeColor="text1"/>
          <w:sz w:val="32"/>
          <w:szCs w:val="32"/>
          <w14:textFill>
            <w14:solidFill>
              <w14:schemeClr w14:val="tx1"/>
            </w14:solidFill>
          </w14:textFill>
        </w:rPr>
        <w:t>加热20分钟结束后，关闭内热式针灸治疗仪电源,取加热线针帽时也应一只手固定内热针,另一只手取连接线避免取连接线时针尖刺入危险部位。加热线针帽取完后，取出全部内热针，局部按压止血3分钟，碘伏消毒1遍。</w:t>
      </w:r>
    </w:p>
    <w:p w14:paraId="471CD93C">
      <w:pPr>
        <w:spacing w:line="520" w:lineRule="exact"/>
        <w:ind w:firstLine="640" w:firstLineChars="200"/>
        <w:rPr>
          <w:rFonts w:ascii="仿宋_GB2312" w:eastAsia="仿宋_GB2312"/>
          <w:color w:val="000000" w:themeColor="text1"/>
          <w:sz w:val="32"/>
          <w:szCs w:val="32"/>
          <w14:textFill>
            <w14:solidFill>
              <w14:schemeClr w14:val="tx1"/>
            </w14:solidFill>
          </w14:textFill>
        </w:rPr>
      </w:pPr>
    </w:p>
    <w:p w14:paraId="74DDFFC2">
      <w:pPr>
        <w:spacing w:line="520" w:lineRule="exact"/>
        <w:ind w:firstLine="640" w:firstLineChars="200"/>
        <w:rPr>
          <w:rFonts w:ascii="仿宋_GB2312" w:eastAsia="仿宋_GB2312"/>
          <w:color w:val="000000" w:themeColor="text1"/>
          <w:sz w:val="32"/>
          <w:szCs w:val="32"/>
          <w14:textFill>
            <w14:solidFill>
              <w14:schemeClr w14:val="tx1"/>
            </w14:solidFill>
          </w14:textFill>
        </w:rPr>
      </w:pPr>
    </w:p>
    <w:p w14:paraId="72B085EE">
      <w:pPr>
        <w:numPr>
          <w:ilvl w:val="0"/>
          <w:numId w:val="7"/>
        </w:numPr>
        <w:tabs>
          <w:tab w:val="center" w:pos="4201"/>
          <w:tab w:val="right" w:leader="dot" w:pos="9298"/>
        </w:tabs>
        <w:autoSpaceDE w:val="0"/>
        <w:autoSpaceDN w:val="0"/>
        <w:spacing w:line="560" w:lineRule="exact"/>
        <w:ind w:firstLine="643" w:firstLineChars="200"/>
        <w:outlineLvl w:val="1"/>
        <w:rPr>
          <w:rFonts w:ascii="Times New Roman" w:hAnsi="Times New Roman" w:eastAsia="楷体" w:cs="Times New Roman"/>
          <w:b/>
          <w:bCs/>
          <w:color w:val="000000" w:themeColor="text1"/>
          <w:kern w:val="0"/>
          <w:sz w:val="32"/>
          <w:szCs w:val="32"/>
          <w14:textFill>
            <w14:solidFill>
              <w14:schemeClr w14:val="tx1"/>
            </w14:solidFill>
          </w14:textFill>
        </w:rPr>
      </w:pPr>
      <w:r>
        <w:rPr>
          <w:rFonts w:hint="eastAsia" w:ascii="Times New Roman" w:hAnsi="Times New Roman" w:eastAsia="楷体" w:cs="Times New Roman"/>
          <w:b/>
          <w:bCs/>
          <w:color w:val="000000" w:themeColor="text1"/>
          <w:kern w:val="0"/>
          <w:sz w:val="32"/>
          <w:szCs w:val="32"/>
          <w14:textFill>
            <w14:solidFill>
              <w14:schemeClr w14:val="tx1"/>
            </w14:solidFill>
          </w14:textFill>
        </w:rPr>
        <w:t>内热针对比毫针临床应用案例</w:t>
      </w:r>
    </w:p>
    <w:p w14:paraId="0D2FACD0">
      <w:pPr>
        <w:spacing w:line="520" w:lineRule="exact"/>
        <w:ind w:firstLine="640" w:firstLineChars="200"/>
        <w:rPr>
          <w:rFonts w:ascii="仿宋_GB2312" w:eastAsia="仿宋_GB2312"/>
          <w:color w:val="000000" w:themeColor="text1"/>
          <w:sz w:val="32"/>
          <w:szCs w:val="32"/>
          <w14:textFill>
            <w14:solidFill>
              <w14:schemeClr w14:val="tx1"/>
            </w14:solidFill>
          </w14:textFill>
        </w:rPr>
      </w:pPr>
      <w:r>
        <w:rPr>
          <w:rFonts w:hint="eastAsia" w:ascii="仿宋_GB2312" w:eastAsia="仿宋_GB2312"/>
          <w:color w:val="000000" w:themeColor="text1"/>
          <w:sz w:val="32"/>
          <w:szCs w:val="32"/>
          <w14:textFill>
            <w14:solidFill>
              <w14:schemeClr w14:val="tx1"/>
            </w14:solidFill>
          </w14:textFill>
        </w:rPr>
        <w:t>1.案例选取</w:t>
      </w:r>
    </w:p>
    <w:p w14:paraId="4B4F6B78">
      <w:pPr>
        <w:spacing w:line="520" w:lineRule="exact"/>
        <w:ind w:firstLine="640" w:firstLineChars="200"/>
        <w:rPr>
          <w:rFonts w:ascii="仿宋_GB2312" w:eastAsia="仿宋_GB2312"/>
          <w:color w:val="000000" w:themeColor="text1"/>
          <w:sz w:val="32"/>
          <w:szCs w:val="32"/>
          <w14:textFill>
            <w14:solidFill>
              <w14:schemeClr w14:val="tx1"/>
            </w14:solidFill>
          </w14:textFill>
        </w:rPr>
      </w:pPr>
      <w:r>
        <w:rPr>
          <w:rFonts w:hint="eastAsia" w:ascii="仿宋_GB2312" w:eastAsia="仿宋_GB2312"/>
          <w:color w:val="000000" w:themeColor="text1"/>
          <w:sz w:val="32"/>
          <w:szCs w:val="32"/>
          <w14:textFill>
            <w14:solidFill>
              <w14:schemeClr w14:val="tx1"/>
            </w14:solidFill>
          </w14:textFill>
        </w:rPr>
        <w:t>选取2023年5月～2024年12月就诊于广西中医药大学第一附属医院康复科门诊的52例腰椎间盘突出症患者,采取随机数字表法将其分为毫针针刺组和内热针短刺组,各26例,毫针针刺组男15例,女10例,年龄26～55岁,平均年龄(41.2±8.99)岁,病程0.3～23.1个月,平均病程(7.58±6.94)个月;内热针短刺组男17例,女8例,年龄26～65岁,平均年龄(40.4±9.90)岁,病程0.7～21.5个月,平均病程(9.86±6.66)个月。其中毫针针刺组因改行手术治疗脱落1例,内热针短刺组因工作原因离开南宁脱落1例,最终纳入统计分析的病例共50例。两组患者性别、年龄、病程在治疗前差异无统计学意义(P&gt;0.05),具有可比性,见表2。</w:t>
      </w:r>
    </w:p>
    <w:p w14:paraId="5746F69B">
      <w:pPr>
        <w:spacing w:line="520" w:lineRule="exact"/>
        <w:jc w:val="center"/>
        <w:rPr>
          <w:rFonts w:ascii="仿宋_GB2312" w:eastAsia="仿宋_GB2312"/>
          <w:color w:val="000000" w:themeColor="text1"/>
          <w:sz w:val="24"/>
          <w14:textFill>
            <w14:solidFill>
              <w14:schemeClr w14:val="tx1"/>
            </w14:solidFill>
          </w14:textFill>
        </w:rPr>
      </w:pPr>
      <w:r>
        <w:rPr>
          <w:rFonts w:hint="eastAsia" w:ascii="仿宋_GB2312" w:eastAsia="仿宋_GB2312"/>
          <w:color w:val="000000" w:themeColor="text1"/>
          <w:sz w:val="24"/>
          <w14:textFill>
            <w14:solidFill>
              <w14:schemeClr w14:val="tx1"/>
            </w14:solidFill>
          </w14:textFill>
        </w:rPr>
        <w:t>表2  两组腰椎间盘突出症患者一般资料比较</w:t>
      </w:r>
    </w:p>
    <w:p w14:paraId="3FCE88E1">
      <w:pPr>
        <w:ind w:firstLine="420" w:firstLineChars="200"/>
        <w:jc w:val="center"/>
        <w:rPr>
          <w:rFonts w:ascii="仿宋_GB2312" w:eastAsia="仿宋_GB2312"/>
          <w:color w:val="000000" w:themeColor="text1"/>
          <w:sz w:val="32"/>
          <w:szCs w:val="32"/>
          <w14:textFill>
            <w14:solidFill>
              <w14:schemeClr w14:val="tx1"/>
            </w14:solidFill>
          </w14:textFill>
        </w:rPr>
      </w:pPr>
      <w:r>
        <w:drawing>
          <wp:inline distT="0" distB="0" distL="114300" distR="114300">
            <wp:extent cx="3493770" cy="779780"/>
            <wp:effectExtent l="0" t="0" r="11430" b="1270"/>
            <wp:docPr id="1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
                    <pic:cNvPicPr>
                      <a:picLocks noChangeAspect="1"/>
                    </pic:cNvPicPr>
                  </pic:nvPicPr>
                  <pic:blipFill>
                    <a:blip r:embed="rId13"/>
                    <a:stretch>
                      <a:fillRect/>
                    </a:stretch>
                  </pic:blipFill>
                  <pic:spPr>
                    <a:xfrm>
                      <a:off x="0" y="0"/>
                      <a:ext cx="3493770" cy="779780"/>
                    </a:xfrm>
                    <a:prstGeom prst="rect">
                      <a:avLst/>
                    </a:prstGeom>
                    <a:noFill/>
                    <a:ln>
                      <a:noFill/>
                    </a:ln>
                  </pic:spPr>
                </pic:pic>
              </a:graphicData>
            </a:graphic>
          </wp:inline>
        </w:drawing>
      </w:r>
    </w:p>
    <w:p w14:paraId="56B6040B">
      <w:pPr>
        <w:spacing w:line="520" w:lineRule="exact"/>
        <w:ind w:firstLine="640" w:firstLineChars="200"/>
        <w:rPr>
          <w:rFonts w:ascii="仿宋_GB2312" w:eastAsia="仿宋_GB2312"/>
          <w:color w:val="000000" w:themeColor="text1"/>
          <w:sz w:val="32"/>
          <w:szCs w:val="32"/>
          <w14:textFill>
            <w14:solidFill>
              <w14:schemeClr w14:val="tx1"/>
            </w14:solidFill>
          </w14:textFill>
        </w:rPr>
      </w:pPr>
      <w:r>
        <w:rPr>
          <w:rFonts w:hint="eastAsia" w:ascii="仿宋_GB2312" w:eastAsia="仿宋_GB2312"/>
          <w:color w:val="000000" w:themeColor="text1"/>
          <w:sz w:val="32"/>
          <w:szCs w:val="32"/>
          <w14:textFill>
            <w14:solidFill>
              <w14:schemeClr w14:val="tx1"/>
            </w14:solidFill>
          </w14:textFill>
        </w:rPr>
        <w:t>2.治疗方法</w:t>
      </w:r>
    </w:p>
    <w:p w14:paraId="7D4B5DE2">
      <w:pPr>
        <w:spacing w:line="520" w:lineRule="exact"/>
        <w:ind w:firstLine="640" w:firstLineChars="200"/>
        <w:rPr>
          <w:rFonts w:ascii="仿宋_GB2312" w:eastAsia="仿宋_GB2312"/>
          <w:color w:val="000000" w:themeColor="text1"/>
          <w:sz w:val="32"/>
          <w:szCs w:val="32"/>
          <w14:textFill>
            <w14:solidFill>
              <w14:schemeClr w14:val="tx1"/>
            </w14:solidFill>
          </w14:textFill>
        </w:rPr>
      </w:pPr>
      <w:r>
        <w:rPr>
          <w:rFonts w:hint="eastAsia" w:ascii="仿宋_GB2312" w:eastAsia="仿宋_GB2312"/>
          <w:color w:val="000000" w:themeColor="text1"/>
          <w:sz w:val="32"/>
          <w:szCs w:val="32"/>
          <w14:textFill>
            <w14:solidFill>
              <w14:schemeClr w14:val="tx1"/>
            </w14:solidFill>
          </w14:textFill>
        </w:rPr>
        <w:t>①毫针针刺组</w:t>
      </w:r>
    </w:p>
    <w:p w14:paraId="1026AE8E">
      <w:pPr>
        <w:spacing w:line="520" w:lineRule="exact"/>
        <w:ind w:firstLine="640" w:firstLineChars="200"/>
        <w:rPr>
          <w:rFonts w:ascii="仿宋_GB2312" w:eastAsia="仿宋_GB2312"/>
          <w:color w:val="000000" w:themeColor="text1"/>
          <w:sz w:val="32"/>
          <w:szCs w:val="32"/>
          <w14:textFill>
            <w14:solidFill>
              <w14:schemeClr w14:val="tx1"/>
            </w14:solidFill>
          </w14:textFill>
        </w:rPr>
      </w:pPr>
      <w:r>
        <w:rPr>
          <w:rFonts w:hint="eastAsia" w:ascii="仿宋_GB2312" w:eastAsia="仿宋_GB2312"/>
          <w:color w:val="000000" w:themeColor="text1"/>
          <w:sz w:val="32"/>
          <w:szCs w:val="32"/>
          <w14:textFill>
            <w14:solidFill>
              <w14:schemeClr w14:val="tx1"/>
            </w14:solidFill>
          </w14:textFill>
        </w:rPr>
        <w:t>以肾俞、腰夹脊、委中、阿是穴为治疗主穴。同时辅以关元、腰阳关(寒湿腰痛);膈俞(瘀血腰痛);志室、太溪(肾虚腰痛)。操作流程:患者俯卧,暴露治疗部位,使用75%酒精消毒治疗部位。选取一次性无菌针灸针,规格为0.35mm×40mm,操作者将针快速刺入皮穴可使针感向下肢放射,留针20min,每天1次,每治疗5次休息2d,1周为1个疗程,3个疗程后观察疗效下,刺入相应穴位常规深度,行平补平泻针法,以得气为度,环跳</w:t>
      </w:r>
    </w:p>
    <w:p w14:paraId="538B53AA">
      <w:pPr>
        <w:spacing w:line="520" w:lineRule="exact"/>
        <w:ind w:firstLine="640" w:firstLineChars="200"/>
        <w:rPr>
          <w:rFonts w:ascii="仿宋_GB2312" w:eastAsia="仿宋_GB2312"/>
          <w:color w:val="000000" w:themeColor="text1"/>
          <w:sz w:val="32"/>
          <w:szCs w:val="32"/>
          <w14:textFill>
            <w14:solidFill>
              <w14:schemeClr w14:val="tx1"/>
            </w14:solidFill>
          </w14:textFill>
        </w:rPr>
      </w:pPr>
      <w:r>
        <w:rPr>
          <w:rFonts w:hint="eastAsia" w:ascii="仿宋_GB2312" w:eastAsia="仿宋_GB2312"/>
          <w:color w:val="000000" w:themeColor="text1"/>
          <w:sz w:val="32"/>
          <w:szCs w:val="32"/>
          <w14:textFill>
            <w14:solidFill>
              <w14:schemeClr w14:val="tx1"/>
            </w14:solidFill>
          </w14:textFill>
        </w:rPr>
        <w:t>②内热针短刺组</w:t>
      </w:r>
    </w:p>
    <w:p w14:paraId="5C2C1409">
      <w:pPr>
        <w:spacing w:line="520" w:lineRule="exact"/>
        <w:ind w:firstLine="640" w:firstLineChars="200"/>
        <w:rPr>
          <w:rFonts w:ascii="仿宋_GB2312" w:eastAsia="仿宋_GB2312"/>
          <w:color w:val="000000" w:themeColor="text1"/>
          <w:sz w:val="32"/>
          <w:szCs w:val="32"/>
          <w14:textFill>
            <w14:solidFill>
              <w14:schemeClr w14:val="tx1"/>
            </w14:solidFill>
          </w14:textFill>
        </w:rPr>
      </w:pPr>
      <w:r>
        <w:rPr>
          <w:rFonts w:hint="eastAsia" w:ascii="仿宋_GB2312" w:eastAsia="仿宋_GB2312"/>
          <w:color w:val="000000" w:themeColor="text1"/>
          <w:sz w:val="32"/>
          <w:szCs w:val="32"/>
          <w14:textFill>
            <w14:solidFill>
              <w14:schemeClr w14:val="tx1"/>
            </w14:solidFill>
          </w14:textFill>
        </w:rPr>
        <w:t>将腰部、腰骶部、骶髂关节处软组织的痛点等病灶点作为配穴。患者处于俯卧位,从布点中心开始向四周消毒,消毒范围需大于布点范围,上下左右各5cm,碘伏消毒2遍,并予0.5%利多卡因局部浸润麻醉。选用内热式针灸治疗仪(针具直径0.7mm×12cm)行单手进针法,使针尖直至达到取穴布点骨面,将刺入的内热针通过导电接头与精密温控加热仪连接,加热温度设定为42℃,留针时间20min;治疗时间结束后关闭内热式针灸治疗仪电源,取出加热线针帽后拔出内热针,局部予无菌纱布按压止血3min,无出血后包扎,嘱患者24h内避免触水。每5d治疗1次,5d为1个疗程,3个疗程后观察疗效,时间同毫针针刺组</w:t>
      </w:r>
    </w:p>
    <w:p w14:paraId="5753946F">
      <w:pPr>
        <w:spacing w:line="520" w:lineRule="exact"/>
        <w:ind w:firstLine="640" w:firstLineChars="200"/>
        <w:rPr>
          <w:rFonts w:ascii="仿宋_GB2312" w:eastAsia="仿宋_GB2312"/>
          <w:color w:val="000000" w:themeColor="text1"/>
          <w:sz w:val="32"/>
          <w:szCs w:val="32"/>
          <w14:textFill>
            <w14:solidFill>
              <w14:schemeClr w14:val="tx1"/>
            </w14:solidFill>
          </w14:textFill>
        </w:rPr>
      </w:pPr>
      <w:r>
        <w:rPr>
          <w:rFonts w:hint="eastAsia" w:ascii="仿宋_GB2312" w:eastAsia="仿宋_GB2312"/>
          <w:color w:val="000000" w:themeColor="text1"/>
          <w:sz w:val="32"/>
          <w:szCs w:val="32"/>
          <w14:textFill>
            <w14:solidFill>
              <w14:schemeClr w14:val="tx1"/>
            </w14:solidFill>
          </w14:textFill>
        </w:rPr>
        <w:t>3.观察指标</w:t>
      </w:r>
    </w:p>
    <w:p w14:paraId="29C74BEF">
      <w:pPr>
        <w:spacing w:line="520" w:lineRule="exact"/>
        <w:ind w:firstLine="640" w:firstLineChars="200"/>
        <w:rPr>
          <w:rFonts w:ascii="仿宋_GB2312" w:eastAsia="仿宋_GB2312"/>
          <w:color w:val="000000" w:themeColor="text1"/>
          <w:sz w:val="32"/>
          <w:szCs w:val="32"/>
          <w14:textFill>
            <w14:solidFill>
              <w14:schemeClr w14:val="tx1"/>
            </w14:solidFill>
          </w14:textFill>
        </w:rPr>
      </w:pPr>
      <w:r>
        <w:rPr>
          <w:rFonts w:hint="eastAsia" w:ascii="仿宋_GB2312" w:eastAsia="仿宋_GB2312"/>
          <w:color w:val="000000" w:themeColor="text1"/>
          <w:sz w:val="32"/>
          <w:szCs w:val="32"/>
          <w14:textFill>
            <w14:solidFill>
              <w14:schemeClr w14:val="tx1"/>
            </w14:solidFill>
          </w14:textFill>
        </w:rPr>
        <w:t>①疼痛视觉模拟量表(VAS)评分</w:t>
      </w:r>
    </w:p>
    <w:p w14:paraId="4DD9C020">
      <w:pPr>
        <w:spacing w:line="520" w:lineRule="exact"/>
        <w:ind w:firstLine="640" w:firstLineChars="200"/>
        <w:rPr>
          <w:rFonts w:ascii="仿宋_GB2312" w:eastAsia="仿宋_GB2312"/>
          <w:color w:val="000000" w:themeColor="text1"/>
          <w:sz w:val="32"/>
          <w:szCs w:val="32"/>
          <w14:textFill>
            <w14:solidFill>
              <w14:schemeClr w14:val="tx1"/>
            </w14:solidFill>
          </w14:textFill>
        </w:rPr>
      </w:pPr>
      <w:r>
        <w:rPr>
          <w:rFonts w:hint="eastAsia" w:ascii="仿宋_GB2312" w:eastAsia="仿宋_GB2312"/>
          <w:color w:val="000000" w:themeColor="text1"/>
          <w:sz w:val="32"/>
          <w:szCs w:val="32"/>
          <w14:textFill>
            <w14:solidFill>
              <w14:schemeClr w14:val="tx1"/>
            </w14:solidFill>
          </w14:textFill>
        </w:rPr>
        <w:t>以0～10数字标尺表示疼痛程度。0分表示无痛,10分为最严重。患者根据自身疼痛程度选择相应数值,从“无痛”端至标示点的距离即为VAS评分。评定时间为治疗前、治疗3个疗程结束后。</w:t>
      </w:r>
    </w:p>
    <w:p w14:paraId="17F3FD3D">
      <w:pPr>
        <w:spacing w:line="520" w:lineRule="exact"/>
        <w:ind w:firstLine="640" w:firstLineChars="200"/>
        <w:rPr>
          <w:rFonts w:ascii="仿宋_GB2312" w:eastAsia="仿宋_GB2312"/>
          <w:color w:val="000000" w:themeColor="text1"/>
          <w:sz w:val="32"/>
          <w:szCs w:val="32"/>
          <w14:textFill>
            <w14:solidFill>
              <w14:schemeClr w14:val="tx1"/>
            </w14:solidFill>
          </w14:textFill>
        </w:rPr>
      </w:pPr>
      <w:r>
        <w:rPr>
          <w:rFonts w:hint="eastAsia" w:ascii="仿宋_GB2312" w:eastAsia="仿宋_GB2312"/>
          <w:color w:val="000000" w:themeColor="text1"/>
          <w:sz w:val="32"/>
          <w:szCs w:val="32"/>
          <w14:textFill>
            <w14:solidFill>
              <w14:schemeClr w14:val="tx1"/>
            </w14:solidFill>
          </w14:textFill>
        </w:rPr>
        <w:t>②日本骨科协会腰痛疗效问卷(JOA)评分</w:t>
      </w:r>
    </w:p>
    <w:p w14:paraId="674794BA">
      <w:pPr>
        <w:spacing w:line="520" w:lineRule="exact"/>
        <w:ind w:firstLine="640" w:firstLineChars="200"/>
        <w:rPr>
          <w:rFonts w:ascii="仿宋_GB2312" w:eastAsia="仿宋_GB2312"/>
          <w:color w:val="000000" w:themeColor="text1"/>
          <w:sz w:val="32"/>
          <w:szCs w:val="32"/>
          <w14:textFill>
            <w14:solidFill>
              <w14:schemeClr w14:val="tx1"/>
            </w14:solidFill>
          </w14:textFill>
        </w:rPr>
      </w:pPr>
      <w:r>
        <w:rPr>
          <w:rFonts w:hint="eastAsia" w:ascii="仿宋_GB2312" w:eastAsia="仿宋_GB2312"/>
          <w:color w:val="000000" w:themeColor="text1"/>
          <w:sz w:val="32"/>
          <w:szCs w:val="32"/>
          <w14:textFill>
            <w14:solidFill>
              <w14:schemeClr w14:val="tx1"/>
            </w14:solidFill>
          </w14:textFill>
        </w:rPr>
        <w:t>对主观症状、客观症状、日常工作能力进行评估,总分29分,功能障碍越明显则分数越低。评定时间为治疗前、治疗3个疗程结束后。</w:t>
      </w:r>
    </w:p>
    <w:p w14:paraId="14478F2E">
      <w:pPr>
        <w:spacing w:line="520" w:lineRule="exact"/>
        <w:ind w:firstLine="640" w:firstLineChars="200"/>
        <w:rPr>
          <w:rFonts w:ascii="仿宋_GB2312" w:eastAsia="仿宋_GB2312"/>
          <w:color w:val="000000" w:themeColor="text1"/>
          <w:sz w:val="32"/>
          <w:szCs w:val="32"/>
          <w14:textFill>
            <w14:solidFill>
              <w14:schemeClr w14:val="tx1"/>
            </w14:solidFill>
          </w14:textFill>
        </w:rPr>
      </w:pPr>
      <w:r>
        <w:rPr>
          <w:rFonts w:hint="eastAsia" w:ascii="仿宋_GB2312" w:eastAsia="仿宋_GB2312"/>
          <w:color w:val="000000" w:themeColor="text1"/>
          <w:sz w:val="32"/>
          <w:szCs w:val="32"/>
          <w14:textFill>
            <w14:solidFill>
              <w14:schemeClr w14:val="tx1"/>
            </w14:solidFill>
          </w14:textFill>
        </w:rPr>
        <w:t>③腰屈曲范围(LFR)评分</w:t>
      </w:r>
    </w:p>
    <w:p w14:paraId="7B6800A5">
      <w:pPr>
        <w:spacing w:line="520" w:lineRule="exact"/>
        <w:ind w:firstLine="640" w:firstLineChars="200"/>
        <w:rPr>
          <w:rFonts w:ascii="仿宋_GB2312" w:eastAsia="仿宋_GB2312"/>
          <w:color w:val="000000" w:themeColor="text1"/>
          <w:sz w:val="32"/>
          <w:szCs w:val="32"/>
          <w14:textFill>
            <w14:solidFill>
              <w14:schemeClr w14:val="tx1"/>
            </w14:solidFill>
          </w14:textFill>
        </w:rPr>
      </w:pPr>
      <w:r>
        <w:rPr>
          <w:rFonts w:hint="eastAsia" w:ascii="仿宋_GB2312" w:eastAsia="仿宋_GB2312"/>
          <w:color w:val="000000" w:themeColor="text1"/>
          <w:sz w:val="32"/>
          <w:szCs w:val="32"/>
          <w14:textFill>
            <w14:solidFill>
              <w14:schemeClr w14:val="tx1"/>
            </w14:solidFill>
          </w14:textFill>
        </w:rPr>
        <w:t>嘱患者分别轻松站位和尽力向前弯曲脊柱,记录两次中指尖到地面的距离,取测量差值的绝对值。评定时间为治疗3个疗程结束后。</w:t>
      </w:r>
    </w:p>
    <w:p w14:paraId="56BA8755">
      <w:pPr>
        <w:spacing w:line="520" w:lineRule="exact"/>
        <w:ind w:firstLine="640" w:firstLineChars="200"/>
        <w:rPr>
          <w:rFonts w:ascii="仿宋_GB2312" w:eastAsia="仿宋_GB2312"/>
          <w:color w:val="000000" w:themeColor="text1"/>
          <w:sz w:val="32"/>
          <w:szCs w:val="32"/>
          <w14:textFill>
            <w14:solidFill>
              <w14:schemeClr w14:val="tx1"/>
            </w14:solidFill>
          </w14:textFill>
        </w:rPr>
      </w:pPr>
      <w:r>
        <w:rPr>
          <w:rFonts w:hint="eastAsia" w:ascii="仿宋_GB2312" w:eastAsia="仿宋_GB2312"/>
          <w:color w:val="000000" w:themeColor="text1"/>
          <w:sz w:val="32"/>
          <w:szCs w:val="32"/>
          <w14:textFill>
            <w14:solidFill>
              <w14:schemeClr w14:val="tx1"/>
            </w14:solidFill>
          </w14:textFill>
        </w:rPr>
        <w:t>④血清炎性因子水平</w:t>
      </w:r>
    </w:p>
    <w:p w14:paraId="2C1DFD61">
      <w:pPr>
        <w:spacing w:line="520" w:lineRule="exact"/>
        <w:ind w:firstLine="640" w:firstLineChars="200"/>
        <w:rPr>
          <w:rFonts w:ascii="仿宋_GB2312" w:eastAsia="仿宋_GB2312"/>
          <w:color w:val="000000" w:themeColor="text1"/>
          <w:sz w:val="32"/>
          <w:szCs w:val="32"/>
          <w14:textFill>
            <w14:solidFill>
              <w14:schemeClr w14:val="tx1"/>
            </w14:solidFill>
          </w14:textFill>
        </w:rPr>
      </w:pPr>
      <w:r>
        <w:rPr>
          <w:rFonts w:hint="eastAsia" w:ascii="仿宋_GB2312" w:eastAsia="仿宋_GB2312"/>
          <w:color w:val="000000" w:themeColor="text1"/>
          <w:sz w:val="32"/>
          <w:szCs w:val="32"/>
          <w14:textFill>
            <w14:solidFill>
              <w14:schemeClr w14:val="tx1"/>
            </w14:solidFill>
          </w14:textFill>
        </w:rPr>
        <w:t>采集5mL患者空腹静脉血,离心机转速3000r/min,离心时间10min,分离上层血清,采用酶联免疫法测定患者治疗前、治疗3个疗程后白细胞介素-1β(IL-1β)和肿瘤坏死因子-α(TNF-α)的含量。评定时间为治疗前、治疗3个疗程结束后的24h内。</w:t>
      </w:r>
    </w:p>
    <w:p w14:paraId="380C7763">
      <w:pPr>
        <w:spacing w:line="520" w:lineRule="exact"/>
        <w:ind w:firstLine="640" w:firstLineChars="200"/>
        <w:rPr>
          <w:rFonts w:ascii="仿宋_GB2312" w:eastAsia="仿宋_GB2312"/>
          <w:color w:val="000000" w:themeColor="text1"/>
          <w:sz w:val="32"/>
          <w:szCs w:val="32"/>
          <w14:textFill>
            <w14:solidFill>
              <w14:schemeClr w14:val="tx1"/>
            </w14:solidFill>
          </w14:textFill>
        </w:rPr>
      </w:pPr>
      <w:r>
        <w:rPr>
          <w:rFonts w:hint="eastAsia" w:ascii="仿宋_GB2312" w:eastAsia="仿宋_GB2312"/>
          <w:color w:val="000000" w:themeColor="text1"/>
          <w:sz w:val="32"/>
          <w:szCs w:val="32"/>
          <w14:textFill>
            <w14:solidFill>
              <w14:schemeClr w14:val="tx1"/>
            </w14:solidFill>
          </w14:textFill>
        </w:rPr>
        <w:t>4.结果</w:t>
      </w:r>
    </w:p>
    <w:p w14:paraId="1F5D7323">
      <w:pPr>
        <w:spacing w:line="520" w:lineRule="exact"/>
        <w:ind w:firstLine="640" w:firstLineChars="200"/>
        <w:rPr>
          <w:rFonts w:ascii="仿宋_GB2312" w:eastAsia="仿宋_GB2312"/>
          <w:color w:val="000000" w:themeColor="text1"/>
          <w:sz w:val="32"/>
          <w:szCs w:val="32"/>
          <w14:textFill>
            <w14:solidFill>
              <w14:schemeClr w14:val="tx1"/>
            </w14:solidFill>
          </w14:textFill>
        </w:rPr>
      </w:pPr>
      <w:r>
        <w:rPr>
          <w:rFonts w:hint="eastAsia" w:ascii="仿宋_GB2312" w:eastAsia="仿宋_GB2312"/>
          <w:color w:val="000000" w:themeColor="text1"/>
          <w:sz w:val="32"/>
          <w:szCs w:val="32"/>
          <w14:textFill>
            <w14:solidFill>
              <w14:schemeClr w14:val="tx1"/>
            </w14:solidFill>
          </w14:textFill>
        </w:rPr>
        <w:t>①两组患者治疗前后VAS、JOA及LFR评分对比</w:t>
      </w:r>
    </w:p>
    <w:p w14:paraId="6B0AD154">
      <w:pPr>
        <w:spacing w:line="520" w:lineRule="exact"/>
        <w:ind w:firstLine="640" w:firstLineChars="200"/>
        <w:rPr>
          <w:rFonts w:ascii="仿宋_GB2312" w:eastAsia="仿宋_GB2312"/>
          <w:color w:val="000000" w:themeColor="text1"/>
          <w:sz w:val="32"/>
          <w:szCs w:val="32"/>
          <w14:textFill>
            <w14:solidFill>
              <w14:schemeClr w14:val="tx1"/>
            </w14:solidFill>
          </w14:textFill>
        </w:rPr>
      </w:pPr>
      <w:r>
        <w:rPr>
          <w:rFonts w:hint="eastAsia" w:ascii="仿宋_GB2312" w:eastAsia="仿宋_GB2312"/>
          <w:color w:val="000000" w:themeColor="text1"/>
          <w:sz w:val="32"/>
          <w:szCs w:val="32"/>
          <w14:textFill>
            <w14:solidFill>
              <w14:schemeClr w14:val="tx1"/>
            </w14:solidFill>
          </w14:textFill>
        </w:rPr>
        <w:t>治疗后,两组均降低了患者VAS评分(P&lt;0.05),且内热针短刺组治疗后的VAS评分明显低于毫针针刺组,差异具有统计学意义(P&lt;0.05)。两组患者治疗后的JOA和LFR评分也均提高(P&lt;0.05),且内热针短刺组显著高于毫针针刺组,(P&lt;0.05)。见表3。</w:t>
      </w:r>
    </w:p>
    <w:p w14:paraId="3743F911">
      <w:pPr>
        <w:spacing w:line="520" w:lineRule="exact"/>
        <w:jc w:val="center"/>
        <w:rPr>
          <w:rFonts w:ascii="仿宋_GB2312" w:eastAsia="仿宋_GB2312"/>
          <w:color w:val="000000" w:themeColor="text1"/>
          <w:sz w:val="24"/>
          <w14:textFill>
            <w14:solidFill>
              <w14:schemeClr w14:val="tx1"/>
            </w14:solidFill>
          </w14:textFill>
        </w:rPr>
      </w:pPr>
      <w:r>
        <w:rPr>
          <w:rFonts w:hint="eastAsia" w:ascii="仿宋_GB2312" w:eastAsia="仿宋_GB2312"/>
          <w:color w:val="000000" w:themeColor="text1"/>
          <w:sz w:val="24"/>
          <w14:textFill>
            <w14:solidFill>
              <w14:schemeClr w14:val="tx1"/>
            </w14:solidFill>
          </w14:textFill>
        </w:rPr>
        <w:t>表3  两组腰椎间盘突出症患者VAS、JOA及LFR评分比较(</w:t>
      </w:r>
      <m:oMath>
        <m:acc>
          <m:accPr>
            <m:chr m:val="̅"/>
            <m:ctrlPr>
              <w:rPr>
                <w:rFonts w:ascii="Cambria Math" w:hAnsi="Cambria Math" w:eastAsia="仿宋_GB2312"/>
                <w:i/>
                <w:color w:val="000000" w:themeColor="text1"/>
                <w:sz w:val="24"/>
                <w14:textFill>
                  <w14:solidFill>
                    <w14:schemeClr w14:val="tx1"/>
                  </w14:solidFill>
                </w14:textFill>
              </w:rPr>
            </m:ctrlPr>
          </m:accPr>
          <m:e>
            <m:r>
              <m:rPr/>
              <w:rPr>
                <w:rFonts w:ascii="Cambria Math" w:hAnsi="Cambria Math" w:eastAsia="仿宋_GB2312"/>
                <w:color w:val="000000" w:themeColor="text1"/>
                <w:sz w:val="24"/>
                <w14:textFill>
                  <w14:solidFill>
                    <w14:schemeClr w14:val="tx1"/>
                  </w14:solidFill>
                </w14:textFill>
              </w:rPr>
              <m:t>x</m:t>
            </m:r>
            <m:ctrlPr>
              <w:rPr>
                <w:rFonts w:ascii="Cambria Math" w:hAnsi="Cambria Math" w:eastAsia="仿宋_GB2312"/>
                <w:i/>
                <w:color w:val="000000" w:themeColor="text1"/>
                <w:sz w:val="24"/>
                <w14:textFill>
                  <w14:solidFill>
                    <w14:schemeClr w14:val="tx1"/>
                  </w14:solidFill>
                </w14:textFill>
              </w:rPr>
            </m:ctrlPr>
          </m:e>
        </m:acc>
      </m:oMath>
      <w:r>
        <w:rPr>
          <w:rFonts w:ascii="仿宋_GB2312" w:eastAsia="仿宋_GB2312"/>
          <w:color w:val="000000" w:themeColor="text1"/>
          <w:sz w:val="24"/>
          <w14:textFill>
            <w14:solidFill>
              <w14:schemeClr w14:val="tx1"/>
            </w14:solidFill>
          </w14:textFill>
        </w:rPr>
        <w:t>±s,</w:t>
      </w:r>
      <w:r>
        <w:rPr>
          <w:rFonts w:hint="eastAsia" w:ascii="仿宋_GB2312" w:eastAsia="仿宋_GB2312"/>
          <w:color w:val="000000" w:themeColor="text1"/>
          <w:sz w:val="24"/>
          <w14:textFill>
            <w14:solidFill>
              <w14:schemeClr w14:val="tx1"/>
            </w14:solidFill>
          </w14:textFill>
        </w:rPr>
        <w:t>分)</w:t>
      </w:r>
    </w:p>
    <w:p w14:paraId="348D4B3F">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ascii="仿宋_GB2312" w:eastAsia="仿宋_GB2312"/>
          <w:color w:val="000000" w:themeColor="text1"/>
          <w:sz w:val="32"/>
          <w:szCs w:val="32"/>
          <w14:textFill>
            <w14:solidFill>
              <w14:schemeClr w14:val="tx1"/>
            </w14:solidFill>
          </w14:textFill>
        </w:rPr>
      </w:pPr>
      <w:r>
        <w:drawing>
          <wp:inline distT="0" distB="0" distL="114300" distR="114300">
            <wp:extent cx="4832350" cy="952500"/>
            <wp:effectExtent l="0" t="0" r="6350" b="0"/>
            <wp:docPr id="1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
                    <pic:cNvPicPr>
                      <a:picLocks noChangeAspect="1"/>
                    </pic:cNvPicPr>
                  </pic:nvPicPr>
                  <pic:blipFill>
                    <a:blip r:embed="rId14"/>
                    <a:stretch>
                      <a:fillRect/>
                    </a:stretch>
                  </pic:blipFill>
                  <pic:spPr>
                    <a:xfrm>
                      <a:off x="0" y="0"/>
                      <a:ext cx="4832350" cy="952500"/>
                    </a:xfrm>
                    <a:prstGeom prst="rect">
                      <a:avLst/>
                    </a:prstGeom>
                    <a:noFill/>
                    <a:ln>
                      <a:noFill/>
                    </a:ln>
                  </pic:spPr>
                </pic:pic>
              </a:graphicData>
            </a:graphic>
          </wp:inline>
        </w:drawing>
      </w:r>
    </w:p>
    <w:p w14:paraId="4F1671E2">
      <w:pPr>
        <w:spacing w:line="520" w:lineRule="exact"/>
        <w:ind w:firstLine="640" w:firstLineChars="200"/>
        <w:rPr>
          <w:rFonts w:hint="eastAsia" w:ascii="仿宋_GB2312" w:eastAsia="仿宋_GB2312"/>
          <w:color w:val="000000" w:themeColor="text1"/>
          <w:sz w:val="32"/>
          <w:szCs w:val="32"/>
          <w14:textFill>
            <w14:solidFill>
              <w14:schemeClr w14:val="tx1"/>
            </w14:solidFill>
          </w14:textFill>
        </w:rPr>
      </w:pPr>
      <w:r>
        <w:rPr>
          <w:rFonts w:hint="eastAsia" w:ascii="仿宋_GB2312" w:eastAsia="仿宋_GB2312"/>
          <w:color w:val="000000" w:themeColor="text1"/>
          <w:sz w:val="32"/>
          <w:szCs w:val="32"/>
          <w:lang w:val="en-US" w:eastAsia="zh-CN"/>
          <w14:textFill>
            <w14:solidFill>
              <w14:schemeClr w14:val="tx1"/>
            </w14:solidFill>
          </w14:textFill>
        </w:rPr>
        <w:t>②</w:t>
      </w:r>
      <w:r>
        <w:rPr>
          <w:rFonts w:hint="eastAsia" w:ascii="仿宋_GB2312" w:eastAsia="仿宋_GB2312"/>
          <w:color w:val="000000" w:themeColor="text1"/>
          <w:sz w:val="32"/>
          <w:szCs w:val="32"/>
          <w14:textFill>
            <w14:solidFill>
              <w14:schemeClr w14:val="tx1"/>
            </w14:solidFill>
          </w14:textFill>
        </w:rPr>
        <w:t>患者治疗前后血清炎性因子水平比较</w:t>
      </w:r>
    </w:p>
    <w:p w14:paraId="0287C890">
      <w:pPr>
        <w:spacing w:line="520" w:lineRule="exact"/>
        <w:ind w:firstLine="640" w:firstLineChars="200"/>
        <w:rPr>
          <w:rFonts w:ascii="仿宋_GB2312" w:eastAsia="仿宋_GB2312"/>
          <w:color w:val="000000" w:themeColor="text1"/>
          <w:sz w:val="32"/>
          <w:szCs w:val="32"/>
          <w14:textFill>
            <w14:solidFill>
              <w14:schemeClr w14:val="tx1"/>
            </w14:solidFill>
          </w14:textFill>
        </w:rPr>
      </w:pPr>
      <w:r>
        <w:rPr>
          <w:rFonts w:hint="eastAsia" w:ascii="仿宋_GB2312" w:eastAsia="仿宋_GB2312"/>
          <w:color w:val="000000" w:themeColor="text1"/>
          <w:sz w:val="32"/>
          <w:szCs w:val="32"/>
          <w14:textFill>
            <w14:solidFill>
              <w14:schemeClr w14:val="tx1"/>
            </w14:solidFill>
          </w14:textFill>
        </w:rPr>
        <w:t>治疗后,两组炎性因子IL-1β和TNF-α总体水平均降低(P&lt;0.05),且内热针短刺组更低(P&lt;0.05)。见表</w:t>
      </w:r>
      <w:r>
        <w:rPr>
          <w:rFonts w:hint="eastAsia" w:ascii="仿宋_GB2312" w:eastAsia="仿宋_GB2312"/>
          <w:color w:val="000000" w:themeColor="text1"/>
          <w:sz w:val="32"/>
          <w:szCs w:val="32"/>
          <w:lang w:val="en-US" w:eastAsia="zh-CN"/>
          <w14:textFill>
            <w14:solidFill>
              <w14:schemeClr w14:val="tx1"/>
            </w14:solidFill>
          </w14:textFill>
        </w:rPr>
        <w:t>4</w:t>
      </w:r>
      <w:r>
        <w:rPr>
          <w:rFonts w:hint="eastAsia" w:ascii="仿宋_GB2312" w:eastAsia="仿宋_GB2312"/>
          <w:color w:val="000000" w:themeColor="text1"/>
          <w:sz w:val="32"/>
          <w:szCs w:val="32"/>
          <w14:textFill>
            <w14:solidFill>
              <w14:schemeClr w14:val="tx1"/>
            </w14:solidFill>
          </w14:textFill>
        </w:rPr>
        <w:t>。</w:t>
      </w:r>
    </w:p>
    <w:p w14:paraId="057CBC65">
      <w:pPr>
        <w:spacing w:line="520" w:lineRule="exact"/>
        <w:jc w:val="center"/>
        <w:rPr>
          <w:rFonts w:ascii="仿宋_GB2312" w:eastAsia="仿宋_GB2312"/>
          <w:color w:val="000000" w:themeColor="text1"/>
          <w:sz w:val="24"/>
          <w14:textFill>
            <w14:solidFill>
              <w14:schemeClr w14:val="tx1"/>
            </w14:solidFill>
          </w14:textFill>
        </w:rPr>
      </w:pPr>
      <w:r>
        <w:rPr>
          <w:rFonts w:hint="eastAsia" w:ascii="仿宋_GB2312" w:eastAsia="仿宋_GB2312"/>
          <w:color w:val="000000" w:themeColor="text1"/>
          <w:sz w:val="24"/>
          <w14:textFill>
            <w14:solidFill>
              <w14:schemeClr w14:val="tx1"/>
            </w14:solidFill>
          </w14:textFill>
        </w:rPr>
        <w:t>表</w:t>
      </w:r>
      <w:r>
        <w:rPr>
          <w:rFonts w:hint="eastAsia" w:ascii="仿宋_GB2312" w:eastAsia="仿宋_GB2312"/>
          <w:color w:val="000000" w:themeColor="text1"/>
          <w:sz w:val="24"/>
          <w:lang w:val="en-US" w:eastAsia="zh-CN"/>
          <w14:textFill>
            <w14:solidFill>
              <w14:schemeClr w14:val="tx1"/>
            </w14:solidFill>
          </w14:textFill>
        </w:rPr>
        <w:t xml:space="preserve">4  </w:t>
      </w:r>
      <w:r>
        <w:rPr>
          <w:rFonts w:hint="eastAsia" w:ascii="仿宋_GB2312" w:eastAsia="仿宋_GB2312"/>
          <w:color w:val="000000" w:themeColor="text1"/>
          <w:sz w:val="24"/>
          <w14:textFill>
            <w14:solidFill>
              <w14:schemeClr w14:val="tx1"/>
            </w14:solidFill>
          </w14:textFill>
        </w:rPr>
        <w:t>两组腰椎间盘突出症患者炎症因子水平比较(</w:t>
      </w:r>
      <m:oMath>
        <m:acc>
          <m:accPr>
            <m:chr m:val="̅"/>
            <m:ctrlPr>
              <w:rPr>
                <w:rFonts w:ascii="Cambria Math" w:hAnsi="Cambria Math" w:eastAsia="仿宋_GB2312"/>
                <w:color w:val="000000" w:themeColor="text1"/>
                <w:sz w:val="24"/>
                <w14:textFill>
                  <w14:solidFill>
                    <w14:schemeClr w14:val="tx1"/>
                  </w14:solidFill>
                </w14:textFill>
              </w:rPr>
            </m:ctrlPr>
          </m:accPr>
          <m:e>
            <m:r>
              <m:rPr>
                <m:sty m:val="p"/>
              </m:rPr>
              <w:rPr>
                <w:rFonts w:ascii="Cambria Math" w:hAnsi="Cambria Math" w:eastAsia="仿宋_GB2312"/>
                <w:color w:val="000000" w:themeColor="text1"/>
                <w:sz w:val="24"/>
                <w14:textFill>
                  <w14:solidFill>
                    <w14:schemeClr w14:val="tx1"/>
                  </w14:solidFill>
                </w14:textFill>
              </w:rPr>
              <m:t>x</m:t>
            </m:r>
            <m:ctrlPr>
              <w:rPr>
                <w:rFonts w:ascii="Cambria Math" w:hAnsi="Cambria Math" w:eastAsia="仿宋_GB2312"/>
                <w:color w:val="000000" w:themeColor="text1"/>
                <w:sz w:val="24"/>
                <w14:textFill>
                  <w14:solidFill>
                    <w14:schemeClr w14:val="tx1"/>
                  </w14:solidFill>
                </w14:textFill>
              </w:rPr>
            </m:ctrlPr>
          </m:e>
        </m:acc>
      </m:oMath>
      <w:r>
        <w:rPr>
          <w:rFonts w:ascii="仿宋_GB2312" w:eastAsia="仿宋_GB2312"/>
          <w:color w:val="000000" w:themeColor="text1"/>
          <w:sz w:val="24"/>
          <w14:textFill>
            <w14:solidFill>
              <w14:schemeClr w14:val="tx1"/>
            </w14:solidFill>
          </w14:textFill>
        </w:rPr>
        <w:t>±s,</w:t>
      </w:r>
      <w:r>
        <w:rPr>
          <w:rFonts w:hint="eastAsia" w:ascii="仿宋_GB2312" w:eastAsia="仿宋_GB2312"/>
          <w:color w:val="000000" w:themeColor="text1"/>
          <w:sz w:val="24"/>
          <w:lang w:val="en-US" w:eastAsia="zh-CN"/>
          <w14:textFill>
            <w14:solidFill>
              <w14:schemeClr w14:val="tx1"/>
            </w14:solidFill>
          </w14:textFill>
        </w:rPr>
        <w:t>ng/L</w:t>
      </w:r>
      <w:r>
        <w:rPr>
          <w:rFonts w:hint="eastAsia" w:ascii="仿宋_GB2312" w:eastAsia="仿宋_GB2312"/>
          <w:color w:val="000000" w:themeColor="text1"/>
          <w:sz w:val="24"/>
          <w14:textFill>
            <w14:solidFill>
              <w14:schemeClr w14:val="tx1"/>
            </w14:solidFill>
          </w14:textFill>
        </w:rPr>
        <w:t>)</w:t>
      </w:r>
    </w:p>
    <w:p w14:paraId="0B7C5D31">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ascii="仿宋_GB2312" w:eastAsia="仿宋_GB2312"/>
          <w:color w:val="000000" w:themeColor="text1"/>
          <w:sz w:val="32"/>
          <w:szCs w:val="32"/>
          <w14:textFill>
            <w14:solidFill>
              <w14:schemeClr w14:val="tx1"/>
            </w14:solidFill>
          </w14:textFill>
        </w:rPr>
      </w:pPr>
      <w:r>
        <w:drawing>
          <wp:inline distT="0" distB="0" distL="114300" distR="114300">
            <wp:extent cx="3023235" cy="1351280"/>
            <wp:effectExtent l="0" t="0" r="5715" b="1270"/>
            <wp:docPr id="1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2"/>
                    <pic:cNvPicPr>
                      <a:picLocks noChangeAspect="1"/>
                    </pic:cNvPicPr>
                  </pic:nvPicPr>
                  <pic:blipFill>
                    <a:blip r:embed="rId15"/>
                    <a:stretch>
                      <a:fillRect/>
                    </a:stretch>
                  </pic:blipFill>
                  <pic:spPr>
                    <a:xfrm>
                      <a:off x="0" y="0"/>
                      <a:ext cx="3023235" cy="1351280"/>
                    </a:xfrm>
                    <a:prstGeom prst="rect">
                      <a:avLst/>
                    </a:prstGeom>
                    <a:noFill/>
                    <a:ln>
                      <a:noFill/>
                    </a:ln>
                  </pic:spPr>
                </pic:pic>
              </a:graphicData>
            </a:graphic>
          </wp:inline>
        </w:drawing>
      </w:r>
    </w:p>
    <w:p w14:paraId="78E3AB23">
      <w:pPr>
        <w:spacing w:line="520" w:lineRule="exact"/>
        <w:ind w:firstLine="640" w:firstLineChars="200"/>
        <w:rPr>
          <w:rFonts w:hint="eastAsia" w:ascii="仿宋_GB2312" w:eastAsia="仿宋_GB2312"/>
          <w:color w:val="000000" w:themeColor="text1"/>
          <w:sz w:val="32"/>
          <w:szCs w:val="32"/>
          <w:lang w:val="en-US" w:eastAsia="zh-CN"/>
          <w14:textFill>
            <w14:solidFill>
              <w14:schemeClr w14:val="tx1"/>
            </w14:solidFill>
          </w14:textFill>
        </w:rPr>
      </w:pPr>
      <w:r>
        <w:rPr>
          <w:rFonts w:hint="eastAsia" w:ascii="仿宋_GB2312" w:eastAsia="仿宋_GB2312"/>
          <w:color w:val="000000" w:themeColor="text1"/>
          <w:sz w:val="32"/>
          <w:szCs w:val="32"/>
          <w:lang w:val="en-US" w:eastAsia="zh-CN"/>
          <w14:textFill>
            <w14:solidFill>
              <w14:schemeClr w14:val="tx1"/>
            </w14:solidFill>
          </w14:textFill>
        </w:rPr>
        <w:t>③临床疗效对比</w:t>
      </w:r>
    </w:p>
    <w:p w14:paraId="57B1F301">
      <w:pPr>
        <w:spacing w:line="520" w:lineRule="exact"/>
        <w:ind w:firstLine="640" w:firstLineChars="200"/>
        <w:rPr>
          <w:rFonts w:hint="default" w:ascii="仿宋_GB2312" w:eastAsia="仿宋_GB2312"/>
          <w:color w:val="000000" w:themeColor="text1"/>
          <w:sz w:val="32"/>
          <w:szCs w:val="32"/>
          <w:lang w:val="en-US" w:eastAsia="zh-CN"/>
          <w14:textFill>
            <w14:solidFill>
              <w14:schemeClr w14:val="tx1"/>
            </w14:solidFill>
          </w14:textFill>
        </w:rPr>
      </w:pPr>
      <w:r>
        <w:rPr>
          <w:rFonts w:hint="eastAsia" w:ascii="仿宋_GB2312" w:eastAsia="仿宋_GB2312"/>
          <w:color w:val="000000" w:themeColor="text1"/>
          <w:sz w:val="32"/>
          <w:szCs w:val="32"/>
          <w:lang w:val="en-US" w:eastAsia="zh-CN"/>
          <w14:textFill>
            <w14:solidFill>
              <w14:schemeClr w14:val="tx1"/>
            </w14:solidFill>
          </w14:textFill>
        </w:rPr>
        <w:t>毫针针刺组总有效率为76%,内热针短刺组为88%,两组比较差异有统计学意义(P&lt;0.05),见表5。</w:t>
      </w:r>
    </w:p>
    <w:p w14:paraId="23C34DE7">
      <w:pPr>
        <w:spacing w:line="520" w:lineRule="exact"/>
        <w:jc w:val="center"/>
        <w:rPr>
          <w:rFonts w:hint="eastAsia" w:ascii="仿宋_GB2312" w:eastAsia="仿宋_GB2312"/>
          <w:color w:val="000000" w:themeColor="text1"/>
          <w:sz w:val="24"/>
          <w14:textFill>
            <w14:solidFill>
              <w14:schemeClr w14:val="tx1"/>
            </w14:solidFill>
          </w14:textFill>
        </w:rPr>
      </w:pPr>
      <w:r>
        <w:rPr>
          <w:rFonts w:hint="eastAsia" w:ascii="仿宋_GB2312" w:eastAsia="仿宋_GB2312"/>
          <w:color w:val="000000" w:themeColor="text1"/>
          <w:sz w:val="24"/>
          <w:lang w:val="en-US" w:eastAsia="zh-CN"/>
          <w14:textFill>
            <w14:solidFill>
              <w14:schemeClr w14:val="tx1"/>
            </w14:solidFill>
          </w14:textFill>
        </w:rPr>
        <w:t xml:space="preserve">表5  </w:t>
      </w:r>
      <w:r>
        <w:rPr>
          <w:rFonts w:hint="eastAsia" w:ascii="仿宋_GB2312" w:eastAsia="仿宋_GB2312"/>
          <w:color w:val="000000" w:themeColor="text1"/>
          <w:sz w:val="24"/>
          <w14:textFill>
            <w14:solidFill>
              <w14:schemeClr w14:val="tx1"/>
            </w14:solidFill>
          </w14:textFill>
        </w:rPr>
        <w:t>两组腰椎间盘突出症患者的临床疗效比较(例)</w:t>
      </w:r>
    </w:p>
    <w:p w14:paraId="182867B6">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ascii="仿宋_GB2312" w:eastAsia="仿宋_GB2312"/>
          <w:color w:val="000000" w:themeColor="text1"/>
          <w:sz w:val="32"/>
          <w:szCs w:val="32"/>
          <w14:textFill>
            <w14:solidFill>
              <w14:schemeClr w14:val="tx1"/>
            </w14:solidFill>
          </w14:textFill>
        </w:rPr>
      </w:pPr>
      <w:r>
        <w:drawing>
          <wp:inline distT="0" distB="0" distL="114300" distR="114300">
            <wp:extent cx="2891155" cy="788670"/>
            <wp:effectExtent l="0" t="0" r="4445" b="11430"/>
            <wp:docPr id="1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3"/>
                    <pic:cNvPicPr>
                      <a:picLocks noChangeAspect="1"/>
                    </pic:cNvPicPr>
                  </pic:nvPicPr>
                  <pic:blipFill>
                    <a:blip r:embed="rId16"/>
                    <a:stretch>
                      <a:fillRect/>
                    </a:stretch>
                  </pic:blipFill>
                  <pic:spPr>
                    <a:xfrm>
                      <a:off x="0" y="0"/>
                      <a:ext cx="2891155" cy="788670"/>
                    </a:xfrm>
                    <a:prstGeom prst="rect">
                      <a:avLst/>
                    </a:prstGeom>
                    <a:noFill/>
                    <a:ln>
                      <a:noFill/>
                    </a:ln>
                  </pic:spPr>
                </pic:pic>
              </a:graphicData>
            </a:graphic>
          </wp:inline>
        </w:drawing>
      </w:r>
    </w:p>
    <w:p w14:paraId="558C8946">
      <w:pPr>
        <w:autoSpaceDE w:val="0"/>
        <w:autoSpaceDN w:val="0"/>
        <w:adjustRightInd w:val="0"/>
        <w:spacing w:line="560" w:lineRule="exact"/>
        <w:ind w:firstLine="640" w:firstLineChars="200"/>
        <w:outlineLvl w:val="0"/>
        <w:rPr>
          <w:rFonts w:ascii="Times New Roman" w:hAnsi="Times New Roman" w:eastAsia="黑体" w:cs="Times New Roman"/>
          <w:color w:val="000000" w:themeColor="text1"/>
          <w:sz w:val="32"/>
          <w:szCs w:val="32"/>
          <w14:textFill>
            <w14:solidFill>
              <w14:schemeClr w14:val="tx1"/>
            </w14:solidFill>
          </w14:textFill>
        </w:rPr>
      </w:pPr>
      <w:r>
        <w:rPr>
          <w:rFonts w:hint="eastAsia" w:ascii="Times New Roman" w:hAnsi="Times New Roman" w:eastAsia="黑体" w:cs="Times New Roman"/>
          <w:color w:val="000000" w:themeColor="text1"/>
          <w:sz w:val="32"/>
          <w:szCs w:val="32"/>
          <w14:textFill>
            <w14:solidFill>
              <w14:schemeClr w14:val="tx1"/>
            </w14:solidFill>
          </w14:textFill>
        </w:rPr>
        <w:t>六、重大意见分歧的处理依据和结果</w:t>
      </w:r>
    </w:p>
    <w:p w14:paraId="38492D25">
      <w:pPr>
        <w:spacing w:line="520" w:lineRule="exact"/>
        <w:ind w:firstLine="640" w:firstLineChars="200"/>
        <w:rPr>
          <w:rFonts w:ascii="仿宋_GB2312" w:eastAsia="仿宋_GB2312"/>
          <w:color w:val="000000" w:themeColor="text1"/>
          <w:sz w:val="32"/>
          <w:szCs w:val="32"/>
          <w14:textFill>
            <w14:solidFill>
              <w14:schemeClr w14:val="tx1"/>
            </w14:solidFill>
          </w14:textFill>
        </w:rPr>
      </w:pPr>
      <w:r>
        <w:rPr>
          <w:rFonts w:hint="eastAsia" w:ascii="仿宋_GB2312" w:eastAsia="仿宋_GB2312"/>
          <w:color w:val="000000" w:themeColor="text1"/>
          <w:sz w:val="32"/>
          <w:szCs w:val="32"/>
          <w14:textFill>
            <w14:solidFill>
              <w14:schemeClr w14:val="tx1"/>
            </w14:solidFill>
          </w14:textFill>
        </w:rPr>
        <w:t>本标准研制过程中无重大分歧意见。</w:t>
      </w:r>
    </w:p>
    <w:p w14:paraId="54374F2F">
      <w:pPr>
        <w:autoSpaceDE w:val="0"/>
        <w:autoSpaceDN w:val="0"/>
        <w:adjustRightInd w:val="0"/>
        <w:spacing w:line="560" w:lineRule="exact"/>
        <w:ind w:firstLine="640" w:firstLineChars="200"/>
        <w:outlineLvl w:val="0"/>
        <w:rPr>
          <w:rFonts w:ascii="Times New Roman" w:hAnsi="Times New Roman" w:eastAsia="黑体" w:cs="Times New Roman"/>
          <w:color w:val="000000" w:themeColor="text1"/>
          <w:sz w:val="32"/>
          <w:szCs w:val="32"/>
          <w14:textFill>
            <w14:solidFill>
              <w14:schemeClr w14:val="tx1"/>
            </w14:solidFill>
          </w14:textFill>
        </w:rPr>
      </w:pPr>
      <w:r>
        <w:rPr>
          <w:rFonts w:hint="eastAsia" w:ascii="Times New Roman" w:hAnsi="Times New Roman" w:eastAsia="黑体" w:cs="Times New Roman"/>
          <w:color w:val="000000" w:themeColor="text1"/>
          <w:sz w:val="32"/>
          <w:szCs w:val="32"/>
          <w14:textFill>
            <w14:solidFill>
              <w14:schemeClr w14:val="tx1"/>
            </w14:solidFill>
          </w14:textFill>
        </w:rPr>
        <w:t>七、实施标准的措施</w:t>
      </w:r>
    </w:p>
    <w:p w14:paraId="0F14463E">
      <w:pPr>
        <w:tabs>
          <w:tab w:val="center" w:pos="4201"/>
          <w:tab w:val="right" w:leader="dot" w:pos="9298"/>
        </w:tabs>
        <w:autoSpaceDE w:val="0"/>
        <w:autoSpaceDN w:val="0"/>
        <w:spacing w:line="560" w:lineRule="exact"/>
        <w:ind w:firstLine="643" w:firstLineChars="200"/>
        <w:outlineLvl w:val="1"/>
        <w:rPr>
          <w:rFonts w:ascii="Times New Roman" w:hAnsi="Times New Roman" w:eastAsia="楷体" w:cs="Times New Roman"/>
          <w:b/>
          <w:bCs/>
          <w:color w:val="000000" w:themeColor="text1"/>
          <w:kern w:val="0"/>
          <w:sz w:val="32"/>
          <w:szCs w:val="32"/>
          <w14:textFill>
            <w14:solidFill>
              <w14:schemeClr w14:val="tx1"/>
            </w14:solidFill>
          </w14:textFill>
        </w:rPr>
      </w:pPr>
      <w:r>
        <w:rPr>
          <w:rFonts w:hint="eastAsia" w:ascii="Times New Roman" w:hAnsi="Times New Roman" w:eastAsia="楷体" w:cs="Times New Roman"/>
          <w:b/>
          <w:bCs/>
          <w:color w:val="000000" w:themeColor="text1"/>
          <w:kern w:val="0"/>
          <w:sz w:val="32"/>
          <w:szCs w:val="32"/>
          <w14:textFill>
            <w14:solidFill>
              <w14:schemeClr w14:val="tx1"/>
            </w14:solidFill>
          </w14:textFill>
        </w:rPr>
        <w:t>（一）标准报批发布后，成立标准宣贯工作组</w:t>
      </w:r>
    </w:p>
    <w:p w14:paraId="26C899A6">
      <w:pPr>
        <w:spacing w:line="520" w:lineRule="exact"/>
        <w:ind w:firstLine="640" w:firstLineChars="200"/>
        <w:rPr>
          <w:rFonts w:ascii="仿宋_GB2312" w:eastAsia="仿宋_GB2312"/>
          <w:color w:val="000000" w:themeColor="text1"/>
          <w:sz w:val="32"/>
          <w:szCs w:val="32"/>
          <w14:textFill>
            <w14:solidFill>
              <w14:schemeClr w14:val="tx1"/>
            </w14:solidFill>
          </w14:textFill>
        </w:rPr>
      </w:pPr>
      <w:r>
        <w:rPr>
          <w:rFonts w:hint="eastAsia" w:ascii="仿宋_GB2312" w:eastAsia="仿宋_GB2312"/>
          <w:color w:val="000000" w:themeColor="text1"/>
          <w:sz w:val="32"/>
          <w:szCs w:val="32"/>
          <w14:textFill>
            <w14:solidFill>
              <w14:schemeClr w14:val="tx1"/>
            </w14:solidFill>
          </w14:textFill>
        </w:rPr>
        <w:t>本标准发布后，成立以主要起草人为成员的标准宣贯工作组，主要负责标准的宣贯实施培训计划制定、标准实施交流会策划、标准实施信息反馈收集和标准实施效果评估等工作，并根据标准实施信息反馈和标准实施效果评估情况，及时组织标准复审修订。</w:t>
      </w:r>
    </w:p>
    <w:p w14:paraId="6560C128">
      <w:pPr>
        <w:tabs>
          <w:tab w:val="center" w:pos="4201"/>
          <w:tab w:val="right" w:leader="dot" w:pos="9298"/>
        </w:tabs>
        <w:autoSpaceDE w:val="0"/>
        <w:autoSpaceDN w:val="0"/>
        <w:spacing w:line="560" w:lineRule="exact"/>
        <w:ind w:firstLine="643" w:firstLineChars="200"/>
        <w:outlineLvl w:val="1"/>
        <w:rPr>
          <w:rFonts w:ascii="Times New Roman" w:hAnsi="Times New Roman" w:eastAsia="楷体" w:cs="Times New Roman"/>
          <w:b/>
          <w:bCs/>
          <w:color w:val="000000" w:themeColor="text1"/>
          <w:kern w:val="0"/>
          <w:sz w:val="32"/>
          <w:szCs w:val="32"/>
          <w14:textFill>
            <w14:solidFill>
              <w14:schemeClr w14:val="tx1"/>
            </w14:solidFill>
          </w14:textFill>
        </w:rPr>
      </w:pPr>
      <w:r>
        <w:rPr>
          <w:rFonts w:hint="eastAsia" w:ascii="Times New Roman" w:hAnsi="Times New Roman" w:eastAsia="楷体" w:cs="Times New Roman"/>
          <w:b/>
          <w:bCs/>
          <w:color w:val="000000" w:themeColor="text1"/>
          <w:kern w:val="0"/>
          <w:sz w:val="32"/>
          <w:szCs w:val="32"/>
          <w14:textFill>
            <w14:solidFill>
              <w14:schemeClr w14:val="tx1"/>
            </w14:solidFill>
          </w14:textFill>
        </w:rPr>
        <w:t>（二）组织开展标准宣贯培训</w:t>
      </w:r>
    </w:p>
    <w:p w14:paraId="58E83C40">
      <w:pPr>
        <w:spacing w:line="520" w:lineRule="exact"/>
        <w:ind w:firstLine="640" w:firstLineChars="200"/>
        <w:rPr>
          <w:rFonts w:hint="eastAsia" w:ascii="仿宋" w:hAnsi="仿宋" w:eastAsia="仿宋"/>
          <w:color w:val="000000" w:themeColor="text1"/>
          <w:sz w:val="32"/>
          <w:szCs w:val="32"/>
          <w14:textFill>
            <w14:solidFill>
              <w14:schemeClr w14:val="tx1"/>
            </w14:solidFill>
          </w14:textFill>
        </w:rPr>
      </w:pPr>
      <w:r>
        <w:rPr>
          <w:rFonts w:hint="eastAsia" w:ascii="仿宋_GB2312" w:eastAsia="仿宋_GB2312"/>
          <w:color w:val="000000" w:themeColor="text1"/>
          <w:sz w:val="32"/>
          <w:szCs w:val="32"/>
          <w14:textFill>
            <w14:solidFill>
              <w14:schemeClr w14:val="tx1"/>
            </w14:solidFill>
          </w14:textFill>
        </w:rPr>
        <w:t>标准发布实施后，标准宣贯工作小组制作标准解读宣贯培训PPT课件和标准核心技术明白书，并按标准宣贯培训计划深入各市县相关机构，对相关技术人员开展标准宣贯培训，对标准进行逐条解读，让相关技术人员掌握标准核心技术内容，助力标准实施落地，促进中医针灸诊疗服务高质量发展健康发展。</w:t>
      </w:r>
    </w:p>
    <w:p w14:paraId="77A5FE72">
      <w:pPr>
        <w:tabs>
          <w:tab w:val="center" w:pos="4201"/>
          <w:tab w:val="right" w:leader="dot" w:pos="9298"/>
        </w:tabs>
        <w:autoSpaceDE w:val="0"/>
        <w:autoSpaceDN w:val="0"/>
        <w:spacing w:line="560" w:lineRule="exact"/>
        <w:ind w:firstLine="643" w:firstLineChars="200"/>
        <w:outlineLvl w:val="1"/>
        <w:rPr>
          <w:rFonts w:ascii="Times New Roman" w:hAnsi="Times New Roman" w:eastAsia="楷体" w:cs="Times New Roman"/>
          <w:b/>
          <w:bCs/>
          <w:color w:val="000000" w:themeColor="text1"/>
          <w:kern w:val="0"/>
          <w:sz w:val="32"/>
          <w:szCs w:val="32"/>
          <w14:textFill>
            <w14:solidFill>
              <w14:schemeClr w14:val="tx1"/>
            </w14:solidFill>
          </w14:textFill>
        </w:rPr>
      </w:pPr>
      <w:r>
        <w:rPr>
          <w:rFonts w:hint="eastAsia" w:ascii="Times New Roman" w:hAnsi="Times New Roman" w:eastAsia="楷体" w:cs="Times New Roman"/>
          <w:b/>
          <w:bCs/>
          <w:color w:val="000000" w:themeColor="text1"/>
          <w:kern w:val="0"/>
          <w:sz w:val="32"/>
          <w:szCs w:val="32"/>
          <w14:textFill>
            <w14:solidFill>
              <w14:schemeClr w14:val="tx1"/>
            </w14:solidFill>
          </w14:textFill>
        </w:rPr>
        <w:t>（三）开展标准实施交流会，收集标准实施反馈信息</w:t>
      </w:r>
    </w:p>
    <w:p w14:paraId="0B3A8178">
      <w:pPr>
        <w:spacing w:line="520" w:lineRule="exact"/>
        <w:ind w:firstLine="640" w:firstLineChars="200"/>
        <w:rPr>
          <w:rFonts w:ascii="仿宋_GB2312" w:eastAsia="仿宋_GB2312"/>
          <w:color w:val="000000" w:themeColor="text1"/>
          <w:sz w:val="32"/>
          <w:szCs w:val="32"/>
          <w14:textFill>
            <w14:solidFill>
              <w14:schemeClr w14:val="tx1"/>
            </w14:solidFill>
          </w14:textFill>
        </w:rPr>
      </w:pPr>
      <w:r>
        <w:rPr>
          <w:rFonts w:hint="eastAsia" w:ascii="仿宋_GB2312" w:eastAsia="仿宋_GB2312"/>
          <w:color w:val="000000" w:themeColor="text1"/>
          <w:sz w:val="32"/>
          <w:szCs w:val="32"/>
          <w14:textFill>
            <w14:solidFill>
              <w14:schemeClr w14:val="tx1"/>
            </w14:solidFill>
          </w14:textFill>
        </w:rPr>
        <w:t>标准起草小组深入各市县相关机构技术人员召开标准实施交流会，听取标准实施过程中存在的问题并做好记录和解答，对存在的问题组织专家团队进行研讨，为标准的复审修订做准备。</w:t>
      </w:r>
    </w:p>
    <w:p w14:paraId="36BCADF1">
      <w:pPr>
        <w:tabs>
          <w:tab w:val="center" w:pos="4201"/>
          <w:tab w:val="right" w:leader="dot" w:pos="9298"/>
        </w:tabs>
        <w:autoSpaceDE w:val="0"/>
        <w:autoSpaceDN w:val="0"/>
        <w:spacing w:line="560" w:lineRule="exact"/>
        <w:ind w:firstLine="643" w:firstLineChars="200"/>
        <w:outlineLvl w:val="1"/>
        <w:rPr>
          <w:rFonts w:ascii="Times New Roman" w:hAnsi="Times New Roman" w:eastAsia="楷体" w:cs="Times New Roman"/>
          <w:b/>
          <w:bCs/>
          <w:color w:val="000000" w:themeColor="text1"/>
          <w:kern w:val="0"/>
          <w:sz w:val="32"/>
          <w:szCs w:val="32"/>
          <w14:textFill>
            <w14:solidFill>
              <w14:schemeClr w14:val="tx1"/>
            </w14:solidFill>
          </w14:textFill>
        </w:rPr>
      </w:pPr>
      <w:r>
        <w:rPr>
          <w:rFonts w:hint="eastAsia" w:ascii="Times New Roman" w:hAnsi="Times New Roman" w:eastAsia="楷体" w:cs="Times New Roman"/>
          <w:b/>
          <w:bCs/>
          <w:color w:val="000000" w:themeColor="text1"/>
          <w:kern w:val="0"/>
          <w:sz w:val="32"/>
          <w:szCs w:val="32"/>
          <w14:textFill>
            <w14:solidFill>
              <w14:schemeClr w14:val="tx1"/>
            </w14:solidFill>
          </w14:textFill>
        </w:rPr>
        <w:t>（四）开展标准实施效果评估</w:t>
      </w:r>
    </w:p>
    <w:p w14:paraId="1F62A269">
      <w:pPr>
        <w:spacing w:line="520" w:lineRule="exact"/>
        <w:ind w:firstLine="640" w:firstLineChars="200"/>
        <w:rPr>
          <w:rFonts w:ascii="仿宋_GB2312" w:eastAsia="仿宋_GB2312"/>
          <w:color w:val="000000" w:themeColor="text1"/>
          <w:sz w:val="32"/>
          <w:szCs w:val="32"/>
          <w14:textFill>
            <w14:solidFill>
              <w14:schemeClr w14:val="tx1"/>
            </w14:solidFill>
          </w14:textFill>
        </w:rPr>
      </w:pPr>
      <w:r>
        <w:rPr>
          <w:rFonts w:hint="eastAsia" w:ascii="仿宋_GB2312" w:eastAsia="仿宋_GB2312"/>
          <w:color w:val="000000" w:themeColor="text1"/>
          <w:sz w:val="32"/>
          <w:szCs w:val="32"/>
          <w14:textFill>
            <w14:solidFill>
              <w14:schemeClr w14:val="tx1"/>
            </w14:solidFill>
          </w14:textFill>
        </w:rPr>
        <w:t>标准实施满2年，每年标准宣贯工作组采取网络调查、问卷调查、实地调研、召开座谈会或论证会、专家咨询等方式开展标准实施效果评估，并形成标准实施效果评估报告，为标准的复审修订做准备。</w:t>
      </w:r>
    </w:p>
    <w:p w14:paraId="500073E0">
      <w:pPr>
        <w:autoSpaceDE w:val="0"/>
        <w:autoSpaceDN w:val="0"/>
        <w:adjustRightInd w:val="0"/>
        <w:spacing w:line="560" w:lineRule="exact"/>
        <w:ind w:firstLine="640" w:firstLineChars="200"/>
        <w:outlineLvl w:val="0"/>
        <w:rPr>
          <w:rFonts w:ascii="Times New Roman" w:hAnsi="Times New Roman" w:eastAsia="黑体" w:cs="Times New Roman"/>
          <w:color w:val="000000" w:themeColor="text1"/>
          <w:sz w:val="32"/>
          <w:szCs w:val="32"/>
          <w14:textFill>
            <w14:solidFill>
              <w14:schemeClr w14:val="tx1"/>
            </w14:solidFill>
          </w14:textFill>
        </w:rPr>
      </w:pPr>
      <w:r>
        <w:rPr>
          <w:rFonts w:hint="eastAsia" w:ascii="Times New Roman" w:hAnsi="Times New Roman" w:eastAsia="黑体" w:cs="Times New Roman"/>
          <w:color w:val="000000" w:themeColor="text1"/>
          <w:sz w:val="32"/>
          <w:szCs w:val="32"/>
          <w14:textFill>
            <w14:solidFill>
              <w14:schemeClr w14:val="tx1"/>
            </w14:solidFill>
          </w14:textFill>
        </w:rPr>
        <w:t>八、其他应当说明的事项</w:t>
      </w:r>
    </w:p>
    <w:p w14:paraId="3752FCD7">
      <w:pPr>
        <w:spacing w:line="520" w:lineRule="exact"/>
        <w:ind w:firstLine="640" w:firstLineChars="200"/>
        <w:rPr>
          <w:rFonts w:ascii="仿宋_GB2312" w:eastAsia="仿宋_GB2312"/>
          <w:color w:val="000000" w:themeColor="text1"/>
          <w:sz w:val="32"/>
          <w:szCs w:val="32"/>
          <w14:textFill>
            <w14:solidFill>
              <w14:schemeClr w14:val="tx1"/>
            </w14:solidFill>
          </w14:textFill>
        </w:rPr>
      </w:pPr>
      <w:r>
        <w:rPr>
          <w:rFonts w:hint="eastAsia" w:ascii="仿宋_GB2312" w:eastAsia="仿宋_GB2312"/>
          <w:color w:val="000000" w:themeColor="text1"/>
          <w:sz w:val="32"/>
          <w:szCs w:val="32"/>
          <w14:textFill>
            <w14:solidFill>
              <w14:schemeClr w14:val="tx1"/>
            </w14:solidFill>
          </w14:textFill>
        </w:rPr>
        <w:t>无。</w:t>
      </w:r>
    </w:p>
    <w:p w14:paraId="67ECDF6C">
      <w:pPr>
        <w:pStyle w:val="27"/>
        <w:rPr>
          <w:rFonts w:ascii="仿宋_GB2312" w:eastAsia="仿宋_GB2312"/>
          <w:color w:val="000000" w:themeColor="text1"/>
          <w:sz w:val="28"/>
          <w:szCs w:val="28"/>
          <w14:textFill>
            <w14:solidFill>
              <w14:schemeClr w14:val="tx1"/>
            </w14:solidFill>
          </w14:textFill>
        </w:rPr>
      </w:pPr>
    </w:p>
    <w:p w14:paraId="33A3EF76">
      <w:pPr>
        <w:pStyle w:val="27"/>
        <w:rPr>
          <w:rFonts w:ascii="仿宋_GB2312" w:eastAsia="仿宋_GB2312"/>
          <w:color w:val="000000" w:themeColor="text1"/>
          <w:sz w:val="28"/>
          <w:szCs w:val="28"/>
          <w14:textFill>
            <w14:solidFill>
              <w14:schemeClr w14:val="tx1"/>
            </w14:solidFill>
          </w14:textFill>
        </w:rPr>
      </w:pPr>
    </w:p>
    <w:p w14:paraId="122FA1BF">
      <w:pPr>
        <w:spacing w:line="520" w:lineRule="exact"/>
        <w:ind w:firstLine="640" w:firstLineChars="200"/>
        <w:jc w:val="right"/>
        <w:rPr>
          <w:rFonts w:ascii="仿宋_GB2312" w:eastAsia="仿宋_GB2312"/>
          <w:color w:val="000000" w:themeColor="text1"/>
          <w:sz w:val="32"/>
          <w:szCs w:val="32"/>
          <w14:textFill>
            <w14:solidFill>
              <w14:schemeClr w14:val="tx1"/>
            </w14:solidFill>
          </w14:textFill>
        </w:rPr>
      </w:pPr>
      <w:r>
        <w:rPr>
          <w:rFonts w:hint="eastAsia" w:ascii="仿宋_GB2312" w:eastAsia="仿宋_GB2312"/>
          <w:color w:val="000000" w:themeColor="text1"/>
          <w:sz w:val="32"/>
          <w:szCs w:val="32"/>
          <w14:textFill>
            <w14:solidFill>
              <w14:schemeClr w14:val="tx1"/>
            </w14:solidFill>
          </w14:textFill>
        </w:rPr>
        <w:t>团体标准《内热式针灸疗法技术操作规范》</w:t>
      </w:r>
    </w:p>
    <w:p w14:paraId="3D8A7D1E">
      <w:pPr>
        <w:spacing w:line="520" w:lineRule="exact"/>
        <w:ind w:firstLine="640" w:firstLineChars="200"/>
        <w:rPr>
          <w:rFonts w:ascii="仿宋_GB2312" w:eastAsia="仿宋_GB2312"/>
          <w:color w:val="000000" w:themeColor="text1"/>
          <w:sz w:val="32"/>
          <w:szCs w:val="32"/>
          <w14:textFill>
            <w14:solidFill>
              <w14:schemeClr w14:val="tx1"/>
            </w14:solidFill>
          </w14:textFill>
        </w:rPr>
      </w:pPr>
      <w:r>
        <w:rPr>
          <w:rFonts w:hint="eastAsia" w:ascii="仿宋" w:hAnsi="仿宋" w:eastAsia="仿宋"/>
          <w:color w:val="000000" w:themeColor="text1"/>
          <w:sz w:val="32"/>
          <w:szCs w:val="32"/>
          <w14:textFill>
            <w14:solidFill>
              <w14:schemeClr w14:val="tx1"/>
            </w14:solidFill>
          </w14:textFill>
        </w:rPr>
        <w:t xml:space="preserve">                             </w:t>
      </w:r>
      <w:r>
        <w:rPr>
          <w:rFonts w:hint="eastAsia" w:ascii="仿宋_GB2312" w:eastAsia="仿宋_GB2312"/>
          <w:color w:val="000000" w:themeColor="text1"/>
          <w:sz w:val="32"/>
          <w:szCs w:val="32"/>
          <w14:textFill>
            <w14:solidFill>
              <w14:schemeClr w14:val="tx1"/>
            </w14:solidFill>
          </w14:textFill>
        </w:rPr>
        <w:t>标准编制工作组</w:t>
      </w:r>
    </w:p>
    <w:p w14:paraId="69FC7EED">
      <w:pPr>
        <w:spacing w:line="520" w:lineRule="exact"/>
        <w:ind w:firstLine="640" w:firstLineChars="200"/>
        <w:rPr>
          <w:rFonts w:ascii="仿宋_GB2312" w:eastAsia="仿宋_GB2312"/>
          <w:color w:val="000000" w:themeColor="text1"/>
          <w:sz w:val="32"/>
          <w:szCs w:val="32"/>
          <w14:textFill>
            <w14:solidFill>
              <w14:schemeClr w14:val="tx1"/>
            </w14:solidFill>
          </w14:textFill>
        </w:rPr>
      </w:pPr>
      <w:r>
        <w:rPr>
          <w:rFonts w:hint="eastAsia" w:ascii="仿宋" w:hAnsi="仿宋" w:eastAsia="仿宋"/>
          <w:color w:val="000000" w:themeColor="text1"/>
          <w:sz w:val="32"/>
          <w:szCs w:val="32"/>
          <w14:textFill>
            <w14:solidFill>
              <w14:schemeClr w14:val="tx1"/>
            </w14:solidFill>
          </w14:textFill>
        </w:rPr>
        <w:t xml:space="preserve">                             </w:t>
      </w:r>
      <w:r>
        <w:rPr>
          <w:rFonts w:hint="eastAsia" w:ascii="仿宋_GB2312" w:eastAsia="仿宋_GB2312"/>
          <w:color w:val="000000" w:themeColor="text1"/>
          <w:sz w:val="32"/>
          <w:szCs w:val="32"/>
          <w14:textFill>
            <w14:solidFill>
              <w14:schemeClr w14:val="tx1"/>
            </w14:solidFill>
          </w14:textFill>
        </w:rPr>
        <w:t>202</w:t>
      </w:r>
      <w:r>
        <w:rPr>
          <w:rFonts w:ascii="仿宋_GB2312" w:eastAsia="仿宋_GB2312"/>
          <w:color w:val="000000" w:themeColor="text1"/>
          <w:sz w:val="32"/>
          <w:szCs w:val="32"/>
          <w14:textFill>
            <w14:solidFill>
              <w14:schemeClr w14:val="tx1"/>
            </w14:solidFill>
          </w14:textFill>
        </w:rPr>
        <w:t>5</w:t>
      </w:r>
      <w:r>
        <w:rPr>
          <w:rFonts w:hint="eastAsia" w:ascii="仿宋_GB2312" w:eastAsia="仿宋_GB2312"/>
          <w:color w:val="000000" w:themeColor="text1"/>
          <w:sz w:val="32"/>
          <w:szCs w:val="32"/>
          <w14:textFill>
            <w14:solidFill>
              <w14:schemeClr w14:val="tx1"/>
            </w14:solidFill>
          </w14:textFill>
        </w:rPr>
        <w:t>年</w:t>
      </w:r>
      <w:r>
        <w:rPr>
          <w:rFonts w:ascii="仿宋_GB2312" w:eastAsia="仿宋_GB2312"/>
          <w:color w:val="000000" w:themeColor="text1"/>
          <w:sz w:val="32"/>
          <w:szCs w:val="32"/>
          <w14:textFill>
            <w14:solidFill>
              <w14:schemeClr w14:val="tx1"/>
            </w14:solidFill>
          </w14:textFill>
        </w:rPr>
        <w:t>12</w:t>
      </w:r>
      <w:r>
        <w:rPr>
          <w:rFonts w:hint="eastAsia" w:ascii="仿宋_GB2312" w:eastAsia="仿宋_GB2312"/>
          <w:color w:val="000000" w:themeColor="text1"/>
          <w:sz w:val="32"/>
          <w:szCs w:val="32"/>
          <w14:textFill>
            <w14:solidFill>
              <w14:schemeClr w14:val="tx1"/>
            </w14:solidFill>
          </w14:textFill>
        </w:rPr>
        <w:t>月</w:t>
      </w:r>
      <w:r>
        <w:rPr>
          <w:rFonts w:hint="eastAsia" w:ascii="仿宋_GB2312" w:eastAsia="仿宋_GB2312"/>
          <w:color w:val="000000" w:themeColor="text1"/>
          <w:sz w:val="32"/>
          <w:szCs w:val="32"/>
          <w:lang w:val="en-US" w:eastAsia="zh-CN"/>
          <w14:textFill>
            <w14:solidFill>
              <w14:schemeClr w14:val="tx1"/>
            </w14:solidFill>
          </w14:textFill>
        </w:rPr>
        <w:t>24</w:t>
      </w:r>
      <w:r>
        <w:rPr>
          <w:rFonts w:hint="eastAsia" w:ascii="仿宋_GB2312" w:eastAsia="仿宋_GB2312"/>
          <w:color w:val="000000" w:themeColor="text1"/>
          <w:sz w:val="32"/>
          <w:szCs w:val="32"/>
          <w14:textFill>
            <w14:solidFill>
              <w14:schemeClr w14:val="tx1"/>
            </w14:solidFill>
          </w14:textFill>
        </w:rPr>
        <w:t>日</w:t>
      </w:r>
    </w:p>
    <w:p w14:paraId="445D9228">
      <w:pPr>
        <w:pStyle w:val="2"/>
        <w:jc w:val="center"/>
      </w:pPr>
    </w:p>
    <w:sectPr>
      <w:footerReference r:id="rId3" w:type="default"/>
      <w:pgSz w:w="11906" w:h="16838"/>
      <w:pgMar w:top="1474" w:right="1474" w:bottom="1474" w:left="1474" w:header="851" w:footer="992" w:gutter="0"/>
      <w:cols w:space="720" w:num="1"/>
      <w:docGrid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embedRegular r:id="rId1" w:fontKey="{B43B0A9B-B4A7-4378-ABBD-0E908CD64C86}"/>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embedRegular r:id="rId2" w:fontKey="{DC1DB5DB-302D-46C7-8264-CDC7C667BAA1}"/>
  </w:font>
  <w:font w:name="Cambria">
    <w:panose1 w:val="02040503050406030204"/>
    <w:charset w:val="00"/>
    <w:family w:val="roman"/>
    <w:pitch w:val="default"/>
    <w:sig w:usb0="E00006FF" w:usb1="420024FF" w:usb2="02000000" w:usb3="00000000" w:csb0="2000019F" w:csb1="00000000"/>
  </w:font>
  <w:font w:name="仿宋">
    <w:panose1 w:val="02010609060101010101"/>
    <w:charset w:val="86"/>
    <w:family w:val="modern"/>
    <w:pitch w:val="default"/>
    <w:sig w:usb0="800002BF" w:usb1="38CF7CFA" w:usb2="00000016" w:usb3="00000000" w:csb0="00040001" w:csb1="00000000"/>
    <w:embedRegular r:id="rId3" w:fontKey="{5E79D7D2-2C85-4309-A396-DF5E240740D5}"/>
  </w:font>
  <w:font w:name="等线">
    <w:panose1 w:val="02010600030101010101"/>
    <w:charset w:val="86"/>
    <w:family w:val="auto"/>
    <w:pitch w:val="default"/>
    <w:sig w:usb0="A00002BF" w:usb1="38CF7CFA" w:usb2="00000016" w:usb3="00000000" w:csb0="0004000F" w:csb1="00000000"/>
  </w:font>
  <w:font w:name="方正小标宋简体">
    <w:panose1 w:val="02010601030101010101"/>
    <w:charset w:val="86"/>
    <w:family w:val="auto"/>
    <w:pitch w:val="default"/>
    <w:sig w:usb0="00000001" w:usb1="080E0000" w:usb2="00000000" w:usb3="00000000" w:csb0="00040000" w:csb1="00000000"/>
  </w:font>
  <w:font w:name="仿宋_GB2312">
    <w:panose1 w:val="02010609030101010101"/>
    <w:charset w:val="86"/>
    <w:family w:val="modern"/>
    <w:pitch w:val="default"/>
    <w:sig w:usb0="00000001" w:usb1="080E0000" w:usb2="00000000" w:usb3="00000000" w:csb0="00040000" w:csb1="00000000"/>
    <w:embedRegular r:id="rId4" w:fontKey="{E738506A-C68E-44AB-AFDE-2630C91DB894}"/>
  </w:font>
  <w:font w:name="楷体">
    <w:panose1 w:val="02010609060101010101"/>
    <w:charset w:val="86"/>
    <w:family w:val="modern"/>
    <w:pitch w:val="default"/>
    <w:sig w:usb0="800002BF" w:usb1="38CF7CFA" w:usb2="00000016" w:usb3="00000000" w:csb0="00040001" w:csb1="00000000"/>
    <w:embedRegular r:id="rId5" w:fontKey="{CEE878CF-A506-490A-B749-1E0843BD42F6}"/>
  </w:font>
  <w:font w:name="Segoe UI Emoji">
    <w:panose1 w:val="020B0502040204020203"/>
    <w:charset w:val="00"/>
    <w:family w:val="swiss"/>
    <w:pitch w:val="default"/>
    <w:sig w:usb0="00000001" w:usb1="02000000" w:usb2="00000000" w:usb3="00000000" w:csb0="00000001" w:csb1="00000000"/>
    <w:embedRegular r:id="rId6" w:fontKey="{4A3A8EA3-A011-4D99-9AE7-4178C8B63914}"/>
  </w:font>
  <w:font w:name="Cambria Math">
    <w:panose1 w:val="02040503050406030204"/>
    <w:charset w:val="00"/>
    <w:family w:val="roman"/>
    <w:pitch w:val="default"/>
    <w:sig w:usb0="E00006FF" w:usb1="420024FF" w:usb2="02000000" w:usb3="00000000" w:csb0="2000019F" w:csb1="00000000"/>
    <w:embedRegular r:id="rId7" w:fontKey="{D3EDD1B9-B3BE-4ECE-820F-CA0ED60FA668}"/>
  </w:font>
  <w:font w:name="微软雅黑">
    <w:panose1 w:val="020B0503020204020204"/>
    <w:charset w:val="86"/>
    <w:family w:val="auto"/>
    <w:pitch w:val="default"/>
    <w:sig w:usb0="80000287" w:usb1="2ACF3C5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F782B59">
    <w:pPr>
      <w:pStyle w:val="11"/>
      <w:ind w:firstLine="378"/>
    </w:pPr>
    <w: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56515" cy="131445"/>
              <wp:effectExtent l="0" t="0" r="0" b="0"/>
              <wp:wrapNone/>
              <wp:docPr id="42" name="文本框 1"/>
              <wp:cNvGraphicFramePr/>
              <a:graphic xmlns:a="http://schemas.openxmlformats.org/drawingml/2006/main">
                <a:graphicData uri="http://schemas.microsoft.com/office/word/2010/wordprocessingShape">
                  <wps:wsp>
                    <wps:cNvSpPr txBox="1"/>
                    <wps:spPr>
                      <a:xfrm>
                        <a:off x="0" y="0"/>
                        <a:ext cx="56515" cy="131445"/>
                      </a:xfrm>
                      <a:prstGeom prst="rect">
                        <a:avLst/>
                      </a:prstGeom>
                      <a:noFill/>
                      <a:ln w="6350">
                        <a:noFill/>
                      </a:ln>
                    </wps:spPr>
                    <wps:txbx>
                      <w:txbxContent>
                        <w:p w14:paraId="085AFC41">
                          <w:pPr>
                            <w:pStyle w:val="11"/>
                            <w:rPr>
                              <w:rFonts w:hint="eastAsia" w:ascii="宋体" w:hAnsi="宋体"/>
                              <w:sz w:val="21"/>
                            </w:rPr>
                          </w:pPr>
                          <w:r>
                            <w:rPr>
                              <w:rFonts w:hint="eastAsia" w:ascii="宋体" w:hAnsi="宋体"/>
                              <w:sz w:val="21"/>
                            </w:rPr>
                            <w:fldChar w:fldCharType="begin"/>
                          </w:r>
                          <w:r>
                            <w:rPr>
                              <w:rFonts w:hint="eastAsia" w:ascii="宋体" w:hAnsi="宋体"/>
                              <w:sz w:val="21"/>
                            </w:rPr>
                            <w:instrText xml:space="preserve"> PAGE  \* MERGEFORMAT </w:instrText>
                          </w:r>
                          <w:r>
                            <w:rPr>
                              <w:rFonts w:hint="eastAsia" w:ascii="宋体" w:hAnsi="宋体"/>
                              <w:sz w:val="21"/>
                            </w:rPr>
                            <w:fldChar w:fldCharType="separate"/>
                          </w:r>
                          <w:r>
                            <w:rPr>
                              <w:rFonts w:ascii="宋体" w:hAnsi="宋体"/>
                              <w:sz w:val="21"/>
                            </w:rPr>
                            <w:t>11</w:t>
                          </w:r>
                          <w:r>
                            <w:rPr>
                              <w:rFonts w:hint="eastAsia" w:ascii="宋体" w:hAnsi="宋体"/>
                              <w:sz w:val="21"/>
                            </w:rPr>
                            <w:fldChar w:fldCharType="end"/>
                          </w:r>
                        </w:p>
                      </w:txbxContent>
                    </wps:txbx>
                    <wps:bodyPr wrap="none" lIns="0" tIns="0" rIns="0" bIns="0" upright="1">
                      <a:spAutoFit/>
                    </wps:bodyPr>
                  </wps:wsp>
                </a:graphicData>
              </a:graphic>
            </wp:anchor>
          </w:drawing>
        </mc:Choice>
        <mc:Fallback>
          <w:pict>
            <v:shape id="文本框 1" o:spid="_x0000_s1026" o:spt="202" type="#_x0000_t202" style="position:absolute;left:0pt;margin-top:0pt;height:10.35pt;width:4.45pt;mso-position-horizontal:center;mso-position-horizontal-relative:margin;mso-wrap-style:none;z-index:251659264;mso-width-relative:page;mso-height-relative:page;" filled="f" stroked="f" coordsize="21600,21600" o:gfxdata="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">
              <v:fill on="f" focussize="0,0"/>
              <v:stroke on="f" weight="0.5pt"/>
              <v:imagedata o:title=""/>
              <o:lock v:ext="edit" aspectratio="f"/>
              <v:textbox inset="0mm,0mm,0mm,0mm" style="mso-fit-shape-to-text:t;">
                <w:txbxContent>
                  <w:p w14:paraId="085AFC41">
                    <w:pPr>
                      <w:pStyle w:val="11"/>
                      <w:rPr>
                        <w:rFonts w:hint="eastAsia" w:ascii="宋体" w:hAnsi="宋体"/>
                        <w:sz w:val="21"/>
                      </w:rPr>
                    </w:pPr>
                    <w:r>
                      <w:rPr>
                        <w:rFonts w:hint="eastAsia" w:ascii="宋体" w:hAnsi="宋体"/>
                        <w:sz w:val="21"/>
                      </w:rPr>
                      <w:fldChar w:fldCharType="begin"/>
                    </w:r>
                    <w:r>
                      <w:rPr>
                        <w:rFonts w:hint="eastAsia" w:ascii="宋体" w:hAnsi="宋体"/>
                        <w:sz w:val="21"/>
                      </w:rPr>
                      <w:instrText xml:space="preserve"> PAGE  \* MERGEFORMAT </w:instrText>
                    </w:r>
                    <w:r>
                      <w:rPr>
                        <w:rFonts w:hint="eastAsia" w:ascii="宋体" w:hAnsi="宋体"/>
                        <w:sz w:val="21"/>
                      </w:rPr>
                      <w:fldChar w:fldCharType="separate"/>
                    </w:r>
                    <w:r>
                      <w:rPr>
                        <w:rFonts w:ascii="宋体" w:hAnsi="宋体"/>
                        <w:sz w:val="21"/>
                      </w:rPr>
                      <w:t>11</w:t>
                    </w:r>
                    <w:r>
                      <w:rPr>
                        <w:rFonts w:hint="eastAsia" w:ascii="宋体" w:hAnsi="宋体"/>
                        <w:sz w:val="21"/>
                      </w:rPr>
                      <w:fldChar w:fldCharType="end"/>
                    </w:r>
                  </w:p>
                </w:txbxContent>
              </v:textbox>
            </v:shape>
          </w:pict>
        </mc:Fallback>
      </mc:AlternateContent>
    </w: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DDF8329"/>
    <w:multiLevelType w:val="multilevel"/>
    <w:tmpl w:val="8DDF8329"/>
    <w:lvl w:ilvl="0" w:tentative="0">
      <w:start w:val="1"/>
      <w:numFmt w:val="decimal"/>
      <w:pStyle w:val="45"/>
      <w:suff w:val="nothing"/>
      <w:lvlText w:val="表%1　"/>
      <w:legacy w:legacy="1" w:legacySpace="0" w:legacyIndent="0"/>
      <w:lvlJc w:val="left"/>
      <w:pPr>
        <w:ind w:left="0" w:firstLine="0"/>
      </w:pPr>
    </w:lvl>
    <w:lvl w:ilvl="1" w:tentative="0">
      <w:start w:val="1"/>
      <w:numFmt w:val="decimal"/>
      <w:lvlText w:val="%1.%2"/>
      <w:legacy w:legacy="1" w:legacySpace="0" w:legacyIndent="567"/>
      <w:lvlJc w:val="left"/>
      <w:pPr>
        <w:ind w:left="992" w:hanging="567"/>
      </w:pPr>
    </w:lvl>
    <w:lvl w:ilvl="2" w:tentative="0">
      <w:start w:val="1"/>
      <w:numFmt w:val="decimal"/>
      <w:lvlText w:val="%1.%2.%3"/>
      <w:legacy w:legacy="1" w:legacySpace="0" w:legacyIndent="567"/>
      <w:lvlJc w:val="left"/>
      <w:pPr>
        <w:ind w:left="1417" w:hanging="567"/>
      </w:pPr>
    </w:lvl>
    <w:lvl w:ilvl="3" w:tentative="0">
      <w:start w:val="1"/>
      <w:numFmt w:val="decimal"/>
      <w:lvlText w:val="%1.%2.%3.%4"/>
      <w:legacy w:legacy="1" w:legacySpace="0" w:legacyIndent="708"/>
      <w:lvlJc w:val="left"/>
      <w:pPr>
        <w:ind w:left="1984" w:hanging="708"/>
      </w:pPr>
    </w:lvl>
    <w:lvl w:ilvl="4" w:tentative="0">
      <w:start w:val="1"/>
      <w:numFmt w:val="decimal"/>
      <w:lvlText w:val="%1.%2.%3.%4.%5"/>
      <w:legacy w:legacy="1" w:legacySpace="0" w:legacyIndent="850"/>
      <w:lvlJc w:val="left"/>
      <w:pPr>
        <w:ind w:left="2551" w:hanging="850"/>
      </w:pPr>
    </w:lvl>
    <w:lvl w:ilvl="5" w:tentative="0">
      <w:start w:val="1"/>
      <w:numFmt w:val="decimal"/>
      <w:lvlText w:val="%1.%2.%3.%4.%5.%6"/>
      <w:legacy w:legacy="1" w:legacySpace="0" w:legacyIndent="1134"/>
      <w:lvlJc w:val="left"/>
      <w:pPr>
        <w:ind w:left="3260" w:hanging="1134"/>
      </w:pPr>
    </w:lvl>
    <w:lvl w:ilvl="6" w:tentative="0">
      <w:start w:val="1"/>
      <w:numFmt w:val="decimal"/>
      <w:lvlText w:val="%1.%2.%3.%4.%5.%6.%7"/>
      <w:legacy w:legacy="1" w:legacySpace="0" w:legacyIndent="1276"/>
      <w:lvlJc w:val="left"/>
      <w:pPr>
        <w:ind w:left="3827" w:hanging="1276"/>
      </w:pPr>
    </w:lvl>
    <w:lvl w:ilvl="7" w:tentative="0">
      <w:start w:val="1"/>
      <w:numFmt w:val="decimal"/>
      <w:lvlText w:val="%1.%2.%3.%4.%5.%6.%7.%8"/>
      <w:legacy w:legacy="1" w:legacySpace="0" w:legacyIndent="1418"/>
      <w:lvlJc w:val="left"/>
      <w:pPr>
        <w:ind w:left="4394" w:hanging="1418"/>
      </w:pPr>
    </w:lvl>
    <w:lvl w:ilvl="8" w:tentative="0">
      <w:start w:val="1"/>
      <w:numFmt w:val="decimal"/>
      <w:lvlText w:val="%1.%2.%3.%4.%5.%6.%7.%8.%9"/>
      <w:legacy w:legacy="1" w:legacySpace="0" w:legacyIndent="1700"/>
      <w:lvlJc w:val="left"/>
      <w:pPr>
        <w:ind w:left="5102" w:hanging="1700"/>
      </w:pPr>
    </w:lvl>
  </w:abstractNum>
  <w:abstractNum w:abstractNumId="1">
    <w:nsid w:val="0BDC1670"/>
    <w:multiLevelType w:val="multilevel"/>
    <w:tmpl w:val="0BDC1670"/>
    <w:lvl w:ilvl="0" w:tentative="0">
      <w:start w:val="1"/>
      <w:numFmt w:val="decimal"/>
      <w:pStyle w:val="65"/>
      <w:lvlText w:val="[%1]"/>
      <w:lvlJc w:val="left"/>
      <w:pPr>
        <w:ind w:left="823" w:hanging="420"/>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2">
    <w:nsid w:val="28CD4177"/>
    <w:multiLevelType w:val="singleLevel"/>
    <w:tmpl w:val="28CD4177"/>
    <w:lvl w:ilvl="0" w:tentative="0">
      <w:start w:val="4"/>
      <w:numFmt w:val="chineseCounting"/>
      <w:suff w:val="nothing"/>
      <w:lvlText w:val="（%1）"/>
      <w:lvlJc w:val="left"/>
      <w:rPr>
        <w:rFonts w:hint="eastAsia"/>
      </w:rPr>
    </w:lvl>
  </w:abstractNum>
  <w:abstractNum w:abstractNumId="3">
    <w:nsid w:val="2C5917C3"/>
    <w:multiLevelType w:val="multilevel"/>
    <w:tmpl w:val="2C5917C3"/>
    <w:lvl w:ilvl="0" w:tentative="0">
      <w:start w:val="1"/>
      <w:numFmt w:val="none"/>
      <w:pStyle w:val="59"/>
      <w:lvlText w:val="%1——"/>
      <w:lvlJc w:val="left"/>
      <w:pPr>
        <w:tabs>
          <w:tab w:val="left" w:pos="851"/>
        </w:tabs>
        <w:ind w:left="636" w:hanging="426"/>
      </w:pPr>
      <w:rPr>
        <w:rFonts w:hint="eastAsia" w:ascii="宋体" w:hAnsi="Times New Roman" w:eastAsia="宋体"/>
        <w:b w:val="0"/>
        <w:i w:val="0"/>
        <w:sz w:val="21"/>
      </w:rPr>
    </w:lvl>
    <w:lvl w:ilvl="1" w:tentative="0">
      <w:start w:val="1"/>
      <w:numFmt w:val="none"/>
      <w:lvlText w:val=""/>
      <w:lvlJc w:val="left"/>
      <w:pPr>
        <w:ind w:left="636" w:hanging="431"/>
      </w:pPr>
      <w:rPr>
        <w:rFonts w:hint="default" w:ascii="Symbol" w:hAnsi="Symbol"/>
        <w:sz w:val="21"/>
      </w:rPr>
    </w:lvl>
    <w:lvl w:ilvl="2" w:tentative="0">
      <w:start w:val="1"/>
      <w:numFmt w:val="bullet"/>
      <w:lvlText w:val=""/>
      <w:lvlJc w:val="left"/>
      <w:pPr>
        <w:ind w:left="636" w:hanging="426"/>
      </w:pPr>
      <w:rPr>
        <w:rFonts w:hint="default" w:ascii="Wingdings" w:hAnsi="Wingdings"/>
        <w:sz w:val="21"/>
      </w:rPr>
    </w:lvl>
    <w:lvl w:ilvl="3" w:tentative="0">
      <w:start w:val="1"/>
      <w:numFmt w:val="decimal"/>
      <w:lvlText w:val="%4."/>
      <w:lvlJc w:val="left"/>
      <w:pPr>
        <w:tabs>
          <w:tab w:val="left" w:pos="2071"/>
        </w:tabs>
        <w:ind w:left="1669" w:hanging="528"/>
      </w:pPr>
      <w:rPr>
        <w:rFonts w:hint="eastAsia"/>
      </w:rPr>
    </w:lvl>
    <w:lvl w:ilvl="4" w:tentative="0">
      <w:start w:val="1"/>
      <w:numFmt w:val="lowerLetter"/>
      <w:lvlText w:val="%5)"/>
      <w:lvlJc w:val="left"/>
      <w:pPr>
        <w:tabs>
          <w:tab w:val="left" w:pos="2383"/>
        </w:tabs>
        <w:ind w:left="1981" w:hanging="528"/>
      </w:pPr>
      <w:rPr>
        <w:rFonts w:hint="eastAsia"/>
      </w:rPr>
    </w:lvl>
    <w:lvl w:ilvl="5" w:tentative="0">
      <w:start w:val="1"/>
      <w:numFmt w:val="lowerRoman"/>
      <w:lvlText w:val="%6."/>
      <w:lvlJc w:val="right"/>
      <w:pPr>
        <w:tabs>
          <w:tab w:val="left" w:pos="2695"/>
        </w:tabs>
        <w:ind w:left="2293" w:hanging="528"/>
      </w:pPr>
      <w:rPr>
        <w:rFonts w:hint="eastAsia"/>
      </w:rPr>
    </w:lvl>
    <w:lvl w:ilvl="6" w:tentative="0">
      <w:start w:val="1"/>
      <w:numFmt w:val="decimal"/>
      <w:lvlText w:val="%7."/>
      <w:lvlJc w:val="left"/>
      <w:pPr>
        <w:tabs>
          <w:tab w:val="left" w:pos="3007"/>
        </w:tabs>
        <w:ind w:left="2605" w:hanging="528"/>
      </w:pPr>
      <w:rPr>
        <w:rFonts w:hint="eastAsia"/>
      </w:rPr>
    </w:lvl>
    <w:lvl w:ilvl="7" w:tentative="0">
      <w:start w:val="1"/>
      <w:numFmt w:val="lowerLetter"/>
      <w:lvlText w:val="%8)"/>
      <w:lvlJc w:val="left"/>
      <w:pPr>
        <w:tabs>
          <w:tab w:val="left" w:pos="3319"/>
        </w:tabs>
        <w:ind w:left="2917" w:hanging="528"/>
      </w:pPr>
      <w:rPr>
        <w:rFonts w:hint="eastAsia"/>
      </w:rPr>
    </w:lvl>
    <w:lvl w:ilvl="8" w:tentative="0">
      <w:start w:val="1"/>
      <w:numFmt w:val="lowerRoman"/>
      <w:lvlText w:val="%9."/>
      <w:lvlJc w:val="right"/>
      <w:pPr>
        <w:tabs>
          <w:tab w:val="left" w:pos="3631"/>
        </w:tabs>
        <w:ind w:left="3229" w:hanging="528"/>
      </w:pPr>
      <w:rPr>
        <w:rFonts w:hint="eastAsia"/>
      </w:rPr>
    </w:lvl>
  </w:abstractNum>
  <w:abstractNum w:abstractNumId="4">
    <w:nsid w:val="44C50F90"/>
    <w:multiLevelType w:val="multilevel"/>
    <w:tmpl w:val="44C50F90"/>
    <w:lvl w:ilvl="0" w:tentative="0">
      <w:start w:val="1"/>
      <w:numFmt w:val="lowerLetter"/>
      <w:pStyle w:val="54"/>
      <w:lvlText w:val="%1)"/>
      <w:lvlJc w:val="left"/>
      <w:pPr>
        <w:tabs>
          <w:tab w:val="left" w:pos="851"/>
        </w:tabs>
        <w:ind w:left="851" w:hanging="426"/>
      </w:pPr>
      <w:rPr>
        <w:rFonts w:hint="eastAsia" w:ascii="宋体" w:hAnsi="Times New Roman" w:eastAsia="宋体"/>
        <w:sz w:val="21"/>
      </w:rPr>
    </w:lvl>
    <w:lvl w:ilvl="1" w:tentative="0">
      <w:start w:val="1"/>
      <w:numFmt w:val="decimal"/>
      <w:pStyle w:val="52"/>
      <w:lvlText w:val="%2)"/>
      <w:lvlJc w:val="left"/>
      <w:pPr>
        <w:tabs>
          <w:tab w:val="left" w:pos="1276"/>
        </w:tabs>
        <w:ind w:left="1276" w:hanging="425"/>
      </w:pPr>
      <w:rPr>
        <w:rFonts w:hint="eastAsia" w:ascii="宋体" w:hAnsi="Times New Roman" w:eastAsia="宋体"/>
        <w:sz w:val="21"/>
      </w:rPr>
    </w:lvl>
    <w:lvl w:ilvl="2" w:tentative="0">
      <w:start w:val="1"/>
      <w:numFmt w:val="decimal"/>
      <w:pStyle w:val="53"/>
      <w:lvlText w:val="(%3)"/>
      <w:lvlJc w:val="left"/>
      <w:pPr>
        <w:ind w:left="1701" w:hanging="425"/>
      </w:pPr>
      <w:rPr>
        <w:rFonts w:hint="eastAsia" w:ascii="宋体" w:hAnsi="Times New Roman" w:eastAsia="宋体"/>
        <w:sz w:val="21"/>
      </w:rPr>
    </w:lvl>
    <w:lvl w:ilvl="3" w:tentative="0">
      <w:start w:val="1"/>
      <w:numFmt w:val="decimal"/>
      <w:lvlText w:val="%4."/>
      <w:lvlJc w:val="left"/>
      <w:pPr>
        <w:tabs>
          <w:tab w:val="left" w:pos="2100"/>
        </w:tabs>
        <w:ind w:left="2099" w:hanging="419"/>
      </w:pPr>
      <w:rPr>
        <w:rFonts w:hint="eastAsia"/>
      </w:rPr>
    </w:lvl>
    <w:lvl w:ilvl="4" w:tentative="0">
      <w:start w:val="1"/>
      <w:numFmt w:val="lowerLetter"/>
      <w:lvlText w:val="%5)"/>
      <w:lvlJc w:val="left"/>
      <w:pPr>
        <w:tabs>
          <w:tab w:val="left" w:pos="2520"/>
        </w:tabs>
        <w:ind w:left="2519" w:hanging="419"/>
      </w:pPr>
      <w:rPr>
        <w:rFonts w:hint="eastAsia"/>
      </w:rPr>
    </w:lvl>
    <w:lvl w:ilvl="5" w:tentative="0">
      <w:start w:val="1"/>
      <w:numFmt w:val="lowerRoman"/>
      <w:lvlText w:val="%6."/>
      <w:lvlJc w:val="right"/>
      <w:pPr>
        <w:tabs>
          <w:tab w:val="left" w:pos="2940"/>
        </w:tabs>
        <w:ind w:left="2939" w:hanging="419"/>
      </w:pPr>
      <w:rPr>
        <w:rFonts w:hint="eastAsia"/>
      </w:rPr>
    </w:lvl>
    <w:lvl w:ilvl="6" w:tentative="0">
      <w:start w:val="1"/>
      <w:numFmt w:val="decimal"/>
      <w:lvlText w:val="%7."/>
      <w:lvlJc w:val="left"/>
      <w:pPr>
        <w:tabs>
          <w:tab w:val="left" w:pos="3360"/>
        </w:tabs>
        <w:ind w:left="3359" w:hanging="419"/>
      </w:pPr>
      <w:rPr>
        <w:rFonts w:hint="eastAsia"/>
      </w:rPr>
    </w:lvl>
    <w:lvl w:ilvl="7" w:tentative="0">
      <w:start w:val="1"/>
      <w:numFmt w:val="lowerLetter"/>
      <w:lvlText w:val="%8)"/>
      <w:lvlJc w:val="left"/>
      <w:pPr>
        <w:tabs>
          <w:tab w:val="left" w:pos="3780"/>
        </w:tabs>
        <w:ind w:left="3779" w:hanging="419"/>
      </w:pPr>
      <w:rPr>
        <w:rFonts w:hint="eastAsia"/>
      </w:rPr>
    </w:lvl>
    <w:lvl w:ilvl="8" w:tentative="0">
      <w:start w:val="1"/>
      <w:numFmt w:val="lowerRoman"/>
      <w:lvlText w:val="%9."/>
      <w:lvlJc w:val="right"/>
      <w:pPr>
        <w:tabs>
          <w:tab w:val="left" w:pos="4200"/>
        </w:tabs>
        <w:ind w:left="4199" w:hanging="419"/>
      </w:pPr>
      <w:rPr>
        <w:rFonts w:hint="eastAsia"/>
      </w:rPr>
    </w:lvl>
  </w:abstractNum>
  <w:abstractNum w:abstractNumId="5">
    <w:nsid w:val="5A9B6960"/>
    <w:multiLevelType w:val="multilevel"/>
    <w:tmpl w:val="5A9B6960"/>
    <w:lvl w:ilvl="0" w:tentative="0">
      <w:start w:val="1"/>
      <w:numFmt w:val="none"/>
      <w:pStyle w:val="42"/>
      <w:suff w:val="nothing"/>
      <w:lvlText w:val="%1"/>
      <w:legacy w:legacy="1" w:legacySpace="0" w:legacyIndent="0"/>
      <w:lvlJc w:val="left"/>
      <w:pPr>
        <w:ind w:left="0" w:firstLine="0"/>
      </w:pPr>
      <w:rPr>
        <w:rFonts w:hint="eastAsia"/>
      </w:rPr>
    </w:lvl>
    <w:lvl w:ilvl="1" w:tentative="0">
      <w:start w:val="1"/>
      <w:numFmt w:val="decimal"/>
      <w:pStyle w:val="36"/>
      <w:suff w:val="nothing"/>
      <w:lvlText w:val="%1%2　"/>
      <w:legacy w:legacy="1" w:legacySpace="0" w:legacyIndent="0"/>
      <w:lvlJc w:val="left"/>
      <w:pPr>
        <w:ind w:left="0" w:firstLine="0"/>
      </w:pPr>
      <w:rPr>
        <w:rFonts w:hint="eastAsia" w:ascii="黑体" w:hAnsi="黑体" w:eastAsia="黑体"/>
        <w:b w:val="0"/>
        <w:i w:val="0"/>
        <w:sz w:val="21"/>
      </w:rPr>
    </w:lvl>
    <w:lvl w:ilvl="2" w:tentative="0">
      <w:start w:val="1"/>
      <w:numFmt w:val="decimal"/>
      <w:pStyle w:val="38"/>
      <w:suff w:val="nothing"/>
      <w:lvlText w:val="%1%2.%3　"/>
      <w:legacy w:legacy="1" w:legacySpace="0" w:legacyIndent="0"/>
      <w:lvlJc w:val="left"/>
      <w:pPr>
        <w:ind w:left="0" w:firstLine="0"/>
      </w:pPr>
      <w:rPr>
        <w:rFonts w:hint="eastAsia" w:ascii="黑体" w:hAnsi="黑体" w:eastAsia="黑体" w:cs="Times New Roman"/>
        <w:b w:val="0"/>
        <w:bCs w:val="0"/>
        <w:i w:val="0"/>
        <w:iCs w:val="0"/>
        <w:caps w:val="0"/>
        <w:smallCaps w:val="0"/>
        <w:strike w:val="0"/>
        <w:dstrike w:val="0"/>
        <w:vanish w:val="0"/>
        <w:color w:val="000000"/>
        <w:spacing w:val="0"/>
        <w:kern w:val="0"/>
        <w:position w:val="0"/>
        <w:sz w:val="21"/>
        <w:u w:val="none"/>
        <w:vertAlign w:val="baseline"/>
      </w:rPr>
    </w:lvl>
    <w:lvl w:ilvl="3" w:tentative="0">
      <w:start w:val="1"/>
      <w:numFmt w:val="decimal"/>
      <w:suff w:val="nothing"/>
      <w:lvlText w:val="%1%2.%3.%4　"/>
      <w:legacy w:legacy="1" w:legacySpace="0" w:legacyIndent="0"/>
      <w:lvlJc w:val="left"/>
      <w:pPr>
        <w:ind w:left="0" w:firstLine="0"/>
      </w:pPr>
      <w:rPr>
        <w:rFonts w:hint="eastAsia" w:ascii="黑体" w:hAnsi="黑体" w:eastAsia="黑体"/>
        <w:b w:val="0"/>
        <w:i w:val="0"/>
        <w:sz w:val="21"/>
      </w:rPr>
    </w:lvl>
    <w:lvl w:ilvl="4" w:tentative="0">
      <w:start w:val="1"/>
      <w:numFmt w:val="decimal"/>
      <w:pStyle w:val="44"/>
      <w:suff w:val="nothing"/>
      <w:lvlText w:val="%1%2.%3.%4.%5　"/>
      <w:legacy w:legacy="1" w:legacySpace="0" w:legacyIndent="0"/>
      <w:lvlJc w:val="left"/>
      <w:pPr>
        <w:ind w:left="0" w:firstLine="0"/>
      </w:pPr>
      <w:rPr>
        <w:rFonts w:hint="eastAsia" w:ascii="黑体" w:hAnsi="黑体" w:eastAsia="黑体"/>
        <w:b w:val="0"/>
        <w:i w:val="0"/>
        <w:sz w:val="21"/>
      </w:rPr>
    </w:lvl>
    <w:lvl w:ilvl="5" w:tentative="0">
      <w:start w:val="1"/>
      <w:numFmt w:val="decimal"/>
      <w:pStyle w:val="43"/>
      <w:suff w:val="nothing"/>
      <w:lvlText w:val="%1%2.%3.%4.%5.%6　"/>
      <w:legacy w:legacy="1" w:legacySpace="0" w:legacyIndent="0"/>
      <w:lvlJc w:val="left"/>
      <w:pPr>
        <w:ind w:left="0" w:firstLine="0"/>
      </w:pPr>
      <w:rPr>
        <w:rFonts w:hint="eastAsia" w:ascii="黑体" w:hAnsi="黑体" w:eastAsia="黑体"/>
        <w:b w:val="0"/>
        <w:i w:val="0"/>
        <w:sz w:val="21"/>
      </w:rPr>
    </w:lvl>
    <w:lvl w:ilvl="6" w:tentative="0">
      <w:start w:val="1"/>
      <w:numFmt w:val="decimal"/>
      <w:pStyle w:val="41"/>
      <w:suff w:val="nothing"/>
      <w:lvlText w:val="%1%2.%3.%4.%5.%6.%7　"/>
      <w:legacy w:legacy="1" w:legacySpace="0" w:legacyIndent="0"/>
      <w:lvlJc w:val="left"/>
      <w:pPr>
        <w:ind w:left="0" w:firstLine="0"/>
      </w:pPr>
      <w:rPr>
        <w:rFonts w:hint="eastAsia" w:ascii="黑体" w:hAnsi="黑体" w:eastAsia="黑体"/>
        <w:b w:val="0"/>
        <w:i w:val="0"/>
        <w:sz w:val="21"/>
      </w:rPr>
    </w:lvl>
    <w:lvl w:ilvl="7" w:tentative="0">
      <w:start w:val="1"/>
      <w:numFmt w:val="decimal"/>
      <w:lvlText w:val="%1.%2.%3.%4.%5.%6.%7.%8"/>
      <w:legacy w:legacy="1" w:legacySpace="0" w:legacyIndent="1418"/>
      <w:lvlJc w:val="left"/>
      <w:pPr>
        <w:ind w:left="3969" w:hanging="1418"/>
      </w:pPr>
      <w:rPr>
        <w:rFonts w:hint="eastAsia"/>
      </w:rPr>
    </w:lvl>
    <w:lvl w:ilvl="8" w:tentative="0">
      <w:start w:val="1"/>
      <w:numFmt w:val="decimal"/>
      <w:lvlText w:val="%1.%2.%3.%4.%5.%6.%7.%8.%9"/>
      <w:legacy w:legacy="1" w:legacySpace="0" w:legacyIndent="1700"/>
      <w:lvlJc w:val="left"/>
      <w:pPr>
        <w:ind w:left="4677" w:hanging="1700"/>
      </w:pPr>
      <w:rPr>
        <w:rFonts w:hint="eastAsia"/>
      </w:rPr>
    </w:lvl>
  </w:abstractNum>
  <w:abstractNum w:abstractNumId="6">
    <w:nsid w:val="60B55DC2"/>
    <w:multiLevelType w:val="multilevel"/>
    <w:tmpl w:val="60B55DC2"/>
    <w:lvl w:ilvl="0" w:tentative="0">
      <w:start w:val="1"/>
      <w:numFmt w:val="upperLetter"/>
      <w:lvlText w:val="%1"/>
      <w:lvlJc w:val="left"/>
      <w:pPr>
        <w:tabs>
          <w:tab w:val="left" w:pos="0"/>
        </w:tabs>
        <w:ind w:left="0" w:hanging="425"/>
      </w:pPr>
      <w:rPr>
        <w:rFonts w:hint="eastAsia"/>
      </w:rPr>
    </w:lvl>
    <w:lvl w:ilvl="1" w:tentative="0">
      <w:start w:val="1"/>
      <w:numFmt w:val="decimal"/>
      <w:pStyle w:val="60"/>
      <w:suff w:val="nothing"/>
      <w:lvlText w:val="表%1.%2　"/>
      <w:lvlJc w:val="left"/>
      <w:pPr>
        <w:ind w:left="567" w:hanging="567"/>
      </w:pPr>
      <w:rPr>
        <w:rFonts w:hint="eastAsia"/>
      </w:rPr>
    </w:lvl>
    <w:lvl w:ilvl="2" w:tentative="0">
      <w:start w:val="1"/>
      <w:numFmt w:val="decimal"/>
      <w:lvlText w:val="%1.%2.%3"/>
      <w:lvlJc w:val="left"/>
      <w:pPr>
        <w:tabs>
          <w:tab w:val="left" w:pos="993"/>
        </w:tabs>
        <w:ind w:left="993" w:hanging="567"/>
      </w:pPr>
      <w:rPr>
        <w:rFonts w:hint="eastAsia"/>
      </w:rPr>
    </w:lvl>
    <w:lvl w:ilvl="3" w:tentative="0">
      <w:start w:val="1"/>
      <w:numFmt w:val="decimal"/>
      <w:lvlText w:val="%1.%2.%3.%4"/>
      <w:lvlJc w:val="left"/>
      <w:pPr>
        <w:tabs>
          <w:tab w:val="left" w:pos="2291"/>
        </w:tabs>
        <w:ind w:left="1559" w:hanging="708"/>
      </w:pPr>
      <w:rPr>
        <w:rFonts w:hint="eastAsia"/>
      </w:rPr>
    </w:lvl>
    <w:lvl w:ilvl="4" w:tentative="0">
      <w:start w:val="1"/>
      <w:numFmt w:val="decimal"/>
      <w:lvlText w:val="%1.%2.%3.%4.%5"/>
      <w:lvlJc w:val="left"/>
      <w:pPr>
        <w:tabs>
          <w:tab w:val="left" w:pos="3076"/>
        </w:tabs>
        <w:ind w:left="2126" w:hanging="850"/>
      </w:pPr>
      <w:rPr>
        <w:rFonts w:hint="eastAsia"/>
      </w:rPr>
    </w:lvl>
    <w:lvl w:ilvl="5" w:tentative="0">
      <w:start w:val="1"/>
      <w:numFmt w:val="decimal"/>
      <w:lvlText w:val="%1.%2.%3.%4.%5.%6"/>
      <w:lvlJc w:val="left"/>
      <w:pPr>
        <w:tabs>
          <w:tab w:val="left" w:pos="3861"/>
        </w:tabs>
        <w:ind w:left="2835" w:hanging="1134"/>
      </w:pPr>
      <w:rPr>
        <w:rFonts w:hint="eastAsia"/>
      </w:rPr>
    </w:lvl>
    <w:lvl w:ilvl="6" w:tentative="0">
      <w:start w:val="1"/>
      <w:numFmt w:val="decimal"/>
      <w:lvlText w:val="%1.%2.%3.%4.%5.%6.%7"/>
      <w:lvlJc w:val="left"/>
      <w:pPr>
        <w:tabs>
          <w:tab w:val="left" w:pos="4646"/>
        </w:tabs>
        <w:ind w:left="3402" w:hanging="1276"/>
      </w:pPr>
      <w:rPr>
        <w:rFonts w:hint="eastAsia"/>
      </w:rPr>
    </w:lvl>
    <w:lvl w:ilvl="7" w:tentative="0">
      <w:start w:val="1"/>
      <w:numFmt w:val="decimal"/>
      <w:lvlText w:val="%1.%2.%3.%4.%5.%6.%7.%8"/>
      <w:lvlJc w:val="left"/>
      <w:pPr>
        <w:tabs>
          <w:tab w:val="left" w:pos="5431"/>
        </w:tabs>
        <w:ind w:left="3969" w:hanging="1418"/>
      </w:pPr>
      <w:rPr>
        <w:rFonts w:hint="eastAsia"/>
      </w:rPr>
    </w:lvl>
    <w:lvl w:ilvl="8" w:tentative="0">
      <w:start w:val="1"/>
      <w:numFmt w:val="decimal"/>
      <w:lvlText w:val="%1.%2.%3.%4.%5.%6.%7.%8.%9"/>
      <w:lvlJc w:val="left"/>
      <w:pPr>
        <w:tabs>
          <w:tab w:val="left" w:pos="6217"/>
        </w:tabs>
        <w:ind w:left="4677" w:hanging="1700"/>
      </w:pPr>
      <w:rPr>
        <w:rFonts w:hint="eastAsia"/>
      </w:rPr>
    </w:lvl>
  </w:abstractNum>
  <w:num w:numId="1">
    <w:abstractNumId w:val="5"/>
  </w:num>
  <w:num w:numId="2">
    <w:abstractNumId w:val="0"/>
  </w:num>
  <w:num w:numId="3">
    <w:abstractNumId w:val="4"/>
  </w:num>
  <w:num w:numId="4">
    <w:abstractNumId w:val="3"/>
  </w:num>
  <w:num w:numId="5">
    <w:abstractNumId w:val="6"/>
  </w:num>
  <w:num w:numId="6">
    <w:abstractNumId w:val="1"/>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70"/>
  <w:embedTrueTypeFonts/>
  <w:saveSubset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420"/>
  <w:drawingGridVerticalSpacing w:val="156"/>
  <w:noPunctuationKerning w:val="1"/>
  <w:characterSpacingControl w:val="compressPunctuation"/>
  <w:doNotValidateAgainstSchema/>
  <w:doNotDemarcateInvalidXml/>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YjcwMDc0ZjI4NzNlMjMwZWM0OGFmYTgxZDU4M2Y4NDAifQ=="/>
  </w:docVars>
  <w:rsids>
    <w:rsidRoot w:val="000D75AA"/>
    <w:rsid w:val="000026B4"/>
    <w:rsid w:val="000068A2"/>
    <w:rsid w:val="00014983"/>
    <w:rsid w:val="00014F92"/>
    <w:rsid w:val="000171F6"/>
    <w:rsid w:val="000178C8"/>
    <w:rsid w:val="00021AEF"/>
    <w:rsid w:val="00024C52"/>
    <w:rsid w:val="000367E8"/>
    <w:rsid w:val="0004185E"/>
    <w:rsid w:val="00041CA7"/>
    <w:rsid w:val="000424C0"/>
    <w:rsid w:val="00044C98"/>
    <w:rsid w:val="000513F3"/>
    <w:rsid w:val="00051A80"/>
    <w:rsid w:val="00051C74"/>
    <w:rsid w:val="00051F5E"/>
    <w:rsid w:val="000540AB"/>
    <w:rsid w:val="00055442"/>
    <w:rsid w:val="00061BDC"/>
    <w:rsid w:val="0006459C"/>
    <w:rsid w:val="000671D8"/>
    <w:rsid w:val="000709A1"/>
    <w:rsid w:val="00071CAA"/>
    <w:rsid w:val="00072103"/>
    <w:rsid w:val="000743B4"/>
    <w:rsid w:val="00075653"/>
    <w:rsid w:val="00076330"/>
    <w:rsid w:val="00082613"/>
    <w:rsid w:val="00092E1F"/>
    <w:rsid w:val="00094B6B"/>
    <w:rsid w:val="000968C6"/>
    <w:rsid w:val="000969BE"/>
    <w:rsid w:val="00097E01"/>
    <w:rsid w:val="000A2616"/>
    <w:rsid w:val="000A77F5"/>
    <w:rsid w:val="000B2F3C"/>
    <w:rsid w:val="000B3320"/>
    <w:rsid w:val="000B3E65"/>
    <w:rsid w:val="000B4242"/>
    <w:rsid w:val="000B6E76"/>
    <w:rsid w:val="000C3C30"/>
    <w:rsid w:val="000C3F40"/>
    <w:rsid w:val="000C517B"/>
    <w:rsid w:val="000C6800"/>
    <w:rsid w:val="000C7685"/>
    <w:rsid w:val="000D1FCA"/>
    <w:rsid w:val="000D211A"/>
    <w:rsid w:val="000D35F1"/>
    <w:rsid w:val="000D47AC"/>
    <w:rsid w:val="000D688C"/>
    <w:rsid w:val="000D6AA8"/>
    <w:rsid w:val="000D75AA"/>
    <w:rsid w:val="000E0C0E"/>
    <w:rsid w:val="000E53EA"/>
    <w:rsid w:val="000F03C9"/>
    <w:rsid w:val="000F21F0"/>
    <w:rsid w:val="000F2317"/>
    <w:rsid w:val="000F2861"/>
    <w:rsid w:val="000F7AED"/>
    <w:rsid w:val="00101040"/>
    <w:rsid w:val="00110AC2"/>
    <w:rsid w:val="001114EB"/>
    <w:rsid w:val="001121F0"/>
    <w:rsid w:val="001133E6"/>
    <w:rsid w:val="001133EF"/>
    <w:rsid w:val="001143BC"/>
    <w:rsid w:val="00116CEA"/>
    <w:rsid w:val="0012345E"/>
    <w:rsid w:val="00132D8B"/>
    <w:rsid w:val="001334A1"/>
    <w:rsid w:val="00133F3E"/>
    <w:rsid w:val="0013596D"/>
    <w:rsid w:val="00141D5D"/>
    <w:rsid w:val="00141D9D"/>
    <w:rsid w:val="001437B3"/>
    <w:rsid w:val="00152CB3"/>
    <w:rsid w:val="001530FB"/>
    <w:rsid w:val="001548F8"/>
    <w:rsid w:val="001655CC"/>
    <w:rsid w:val="0018012C"/>
    <w:rsid w:val="001821C9"/>
    <w:rsid w:val="00183018"/>
    <w:rsid w:val="00190E01"/>
    <w:rsid w:val="00192A37"/>
    <w:rsid w:val="001968C3"/>
    <w:rsid w:val="001A3825"/>
    <w:rsid w:val="001A7570"/>
    <w:rsid w:val="001B0030"/>
    <w:rsid w:val="001B3580"/>
    <w:rsid w:val="001B6B04"/>
    <w:rsid w:val="001C21D4"/>
    <w:rsid w:val="001C4C8F"/>
    <w:rsid w:val="001C684B"/>
    <w:rsid w:val="001C7DE8"/>
    <w:rsid w:val="001D03FF"/>
    <w:rsid w:val="001D0584"/>
    <w:rsid w:val="001D3156"/>
    <w:rsid w:val="001D4971"/>
    <w:rsid w:val="001E1206"/>
    <w:rsid w:val="001E130D"/>
    <w:rsid w:val="001E1CA6"/>
    <w:rsid w:val="001E29C4"/>
    <w:rsid w:val="001E2D73"/>
    <w:rsid w:val="001F251A"/>
    <w:rsid w:val="001F2A8F"/>
    <w:rsid w:val="001F4D35"/>
    <w:rsid w:val="001F5F5D"/>
    <w:rsid w:val="00200252"/>
    <w:rsid w:val="0020127F"/>
    <w:rsid w:val="00204829"/>
    <w:rsid w:val="00205352"/>
    <w:rsid w:val="00205D69"/>
    <w:rsid w:val="00210FD3"/>
    <w:rsid w:val="00212227"/>
    <w:rsid w:val="0021503F"/>
    <w:rsid w:val="00215478"/>
    <w:rsid w:val="002209F0"/>
    <w:rsid w:val="002210B4"/>
    <w:rsid w:val="00221DEA"/>
    <w:rsid w:val="0022236C"/>
    <w:rsid w:val="0022377B"/>
    <w:rsid w:val="002251A3"/>
    <w:rsid w:val="00226607"/>
    <w:rsid w:val="002324B6"/>
    <w:rsid w:val="00233BE9"/>
    <w:rsid w:val="00234F7D"/>
    <w:rsid w:val="00235F58"/>
    <w:rsid w:val="00236909"/>
    <w:rsid w:val="00236EB4"/>
    <w:rsid w:val="00237A0A"/>
    <w:rsid w:val="00241F8A"/>
    <w:rsid w:val="00242A75"/>
    <w:rsid w:val="00242E52"/>
    <w:rsid w:val="0024606D"/>
    <w:rsid w:val="00246E41"/>
    <w:rsid w:val="00251C09"/>
    <w:rsid w:val="0025373A"/>
    <w:rsid w:val="00253845"/>
    <w:rsid w:val="002546EF"/>
    <w:rsid w:val="00262001"/>
    <w:rsid w:val="00263E80"/>
    <w:rsid w:val="002679F0"/>
    <w:rsid w:val="00271E05"/>
    <w:rsid w:val="00280BDB"/>
    <w:rsid w:val="00281F39"/>
    <w:rsid w:val="0028500C"/>
    <w:rsid w:val="0028575C"/>
    <w:rsid w:val="002879F6"/>
    <w:rsid w:val="00291CD8"/>
    <w:rsid w:val="002920DE"/>
    <w:rsid w:val="00292F73"/>
    <w:rsid w:val="0029554A"/>
    <w:rsid w:val="00297734"/>
    <w:rsid w:val="002A2DDC"/>
    <w:rsid w:val="002A3479"/>
    <w:rsid w:val="002A3683"/>
    <w:rsid w:val="002A6366"/>
    <w:rsid w:val="002B7B10"/>
    <w:rsid w:val="002B7C92"/>
    <w:rsid w:val="002C0F07"/>
    <w:rsid w:val="002C176B"/>
    <w:rsid w:val="002C3627"/>
    <w:rsid w:val="002D005F"/>
    <w:rsid w:val="002D0B78"/>
    <w:rsid w:val="002D2273"/>
    <w:rsid w:val="002D4342"/>
    <w:rsid w:val="002D5597"/>
    <w:rsid w:val="002E1B63"/>
    <w:rsid w:val="002E357A"/>
    <w:rsid w:val="002E3B58"/>
    <w:rsid w:val="002E4234"/>
    <w:rsid w:val="002E5273"/>
    <w:rsid w:val="002F03C6"/>
    <w:rsid w:val="002F0D8E"/>
    <w:rsid w:val="002F4C45"/>
    <w:rsid w:val="002F5C0C"/>
    <w:rsid w:val="00300FDB"/>
    <w:rsid w:val="00302739"/>
    <w:rsid w:val="00302A1F"/>
    <w:rsid w:val="00310A68"/>
    <w:rsid w:val="0031223D"/>
    <w:rsid w:val="00312804"/>
    <w:rsid w:val="00313922"/>
    <w:rsid w:val="00315D1F"/>
    <w:rsid w:val="003160CF"/>
    <w:rsid w:val="00316571"/>
    <w:rsid w:val="00317091"/>
    <w:rsid w:val="00317530"/>
    <w:rsid w:val="00320CB4"/>
    <w:rsid w:val="00321E92"/>
    <w:rsid w:val="00322535"/>
    <w:rsid w:val="003259AF"/>
    <w:rsid w:val="00325F9F"/>
    <w:rsid w:val="0032620D"/>
    <w:rsid w:val="0033062D"/>
    <w:rsid w:val="003306DD"/>
    <w:rsid w:val="00330A4E"/>
    <w:rsid w:val="00332242"/>
    <w:rsid w:val="003329C7"/>
    <w:rsid w:val="003332BA"/>
    <w:rsid w:val="003348AA"/>
    <w:rsid w:val="00340D9B"/>
    <w:rsid w:val="00340FDE"/>
    <w:rsid w:val="003460F3"/>
    <w:rsid w:val="00346534"/>
    <w:rsid w:val="003479E3"/>
    <w:rsid w:val="003517E7"/>
    <w:rsid w:val="00351C4B"/>
    <w:rsid w:val="00357BDF"/>
    <w:rsid w:val="00360A67"/>
    <w:rsid w:val="00360BAF"/>
    <w:rsid w:val="00361596"/>
    <w:rsid w:val="00362C01"/>
    <w:rsid w:val="00367D5E"/>
    <w:rsid w:val="00371B5F"/>
    <w:rsid w:val="00372E66"/>
    <w:rsid w:val="00373160"/>
    <w:rsid w:val="00375933"/>
    <w:rsid w:val="0037633C"/>
    <w:rsid w:val="00382E35"/>
    <w:rsid w:val="00384168"/>
    <w:rsid w:val="003872E4"/>
    <w:rsid w:val="00390AD8"/>
    <w:rsid w:val="00390C14"/>
    <w:rsid w:val="00391F54"/>
    <w:rsid w:val="00393447"/>
    <w:rsid w:val="00396F2C"/>
    <w:rsid w:val="003A3F27"/>
    <w:rsid w:val="003A49FF"/>
    <w:rsid w:val="003A5862"/>
    <w:rsid w:val="003A694A"/>
    <w:rsid w:val="003B0042"/>
    <w:rsid w:val="003B45A7"/>
    <w:rsid w:val="003B4F42"/>
    <w:rsid w:val="003B4FCF"/>
    <w:rsid w:val="003B6088"/>
    <w:rsid w:val="003C0E61"/>
    <w:rsid w:val="003C6E5E"/>
    <w:rsid w:val="003D3CB2"/>
    <w:rsid w:val="003D485E"/>
    <w:rsid w:val="003D5559"/>
    <w:rsid w:val="003D5741"/>
    <w:rsid w:val="003D7E9E"/>
    <w:rsid w:val="003E080C"/>
    <w:rsid w:val="003E2B4C"/>
    <w:rsid w:val="00400A69"/>
    <w:rsid w:val="00400B2B"/>
    <w:rsid w:val="00400F75"/>
    <w:rsid w:val="004012D1"/>
    <w:rsid w:val="00405301"/>
    <w:rsid w:val="00406CA3"/>
    <w:rsid w:val="004074F9"/>
    <w:rsid w:val="00411EFB"/>
    <w:rsid w:val="0041392D"/>
    <w:rsid w:val="00417593"/>
    <w:rsid w:val="00422CC8"/>
    <w:rsid w:val="00424FB3"/>
    <w:rsid w:val="00426402"/>
    <w:rsid w:val="0042686B"/>
    <w:rsid w:val="00426DC5"/>
    <w:rsid w:val="00430411"/>
    <w:rsid w:val="004314F4"/>
    <w:rsid w:val="00432DC4"/>
    <w:rsid w:val="004373E9"/>
    <w:rsid w:val="00440265"/>
    <w:rsid w:val="0044036C"/>
    <w:rsid w:val="0044048B"/>
    <w:rsid w:val="0044065E"/>
    <w:rsid w:val="00444679"/>
    <w:rsid w:val="004458BB"/>
    <w:rsid w:val="0045095B"/>
    <w:rsid w:val="00455701"/>
    <w:rsid w:val="00460660"/>
    <w:rsid w:val="00460A36"/>
    <w:rsid w:val="004612C5"/>
    <w:rsid w:val="00461AA3"/>
    <w:rsid w:val="00462FF9"/>
    <w:rsid w:val="00471CEC"/>
    <w:rsid w:val="00473D8F"/>
    <w:rsid w:val="00474293"/>
    <w:rsid w:val="0047786D"/>
    <w:rsid w:val="004805DB"/>
    <w:rsid w:val="00480B2B"/>
    <w:rsid w:val="0048511D"/>
    <w:rsid w:val="00495AFE"/>
    <w:rsid w:val="00496185"/>
    <w:rsid w:val="00496EA4"/>
    <w:rsid w:val="004A18D9"/>
    <w:rsid w:val="004A4C72"/>
    <w:rsid w:val="004A75FF"/>
    <w:rsid w:val="004B0877"/>
    <w:rsid w:val="004B4D68"/>
    <w:rsid w:val="004C181C"/>
    <w:rsid w:val="004C445A"/>
    <w:rsid w:val="004C4477"/>
    <w:rsid w:val="004C4F1D"/>
    <w:rsid w:val="004C6673"/>
    <w:rsid w:val="004C7096"/>
    <w:rsid w:val="004C78DD"/>
    <w:rsid w:val="004C78FD"/>
    <w:rsid w:val="004C7CD6"/>
    <w:rsid w:val="004D3C4E"/>
    <w:rsid w:val="004D70EE"/>
    <w:rsid w:val="004D7C66"/>
    <w:rsid w:val="004E0167"/>
    <w:rsid w:val="004E152E"/>
    <w:rsid w:val="004E2983"/>
    <w:rsid w:val="004E5371"/>
    <w:rsid w:val="004E77D0"/>
    <w:rsid w:val="004F29B4"/>
    <w:rsid w:val="004F3228"/>
    <w:rsid w:val="004F6C5C"/>
    <w:rsid w:val="004F6DB3"/>
    <w:rsid w:val="005020DE"/>
    <w:rsid w:val="005051BE"/>
    <w:rsid w:val="00506D43"/>
    <w:rsid w:val="00507297"/>
    <w:rsid w:val="00510DCF"/>
    <w:rsid w:val="00510F10"/>
    <w:rsid w:val="00511151"/>
    <w:rsid w:val="005124A3"/>
    <w:rsid w:val="00512A66"/>
    <w:rsid w:val="00515B82"/>
    <w:rsid w:val="0051608A"/>
    <w:rsid w:val="0051755E"/>
    <w:rsid w:val="005208D0"/>
    <w:rsid w:val="00524029"/>
    <w:rsid w:val="00524E15"/>
    <w:rsid w:val="00527354"/>
    <w:rsid w:val="00527E33"/>
    <w:rsid w:val="00533B2A"/>
    <w:rsid w:val="0053400A"/>
    <w:rsid w:val="0053501E"/>
    <w:rsid w:val="0053635F"/>
    <w:rsid w:val="00536C3C"/>
    <w:rsid w:val="00537853"/>
    <w:rsid w:val="00537E5F"/>
    <w:rsid w:val="00540C2F"/>
    <w:rsid w:val="00540ED5"/>
    <w:rsid w:val="0054119B"/>
    <w:rsid w:val="00542F30"/>
    <w:rsid w:val="00544407"/>
    <w:rsid w:val="0054736C"/>
    <w:rsid w:val="00547941"/>
    <w:rsid w:val="00547AAF"/>
    <w:rsid w:val="005505FD"/>
    <w:rsid w:val="0055431F"/>
    <w:rsid w:val="00554B7D"/>
    <w:rsid w:val="00564A0C"/>
    <w:rsid w:val="00564F91"/>
    <w:rsid w:val="00565DC9"/>
    <w:rsid w:val="0056706B"/>
    <w:rsid w:val="00571433"/>
    <w:rsid w:val="00571BCB"/>
    <w:rsid w:val="005734DC"/>
    <w:rsid w:val="00573DE7"/>
    <w:rsid w:val="00575956"/>
    <w:rsid w:val="00575C51"/>
    <w:rsid w:val="005777D1"/>
    <w:rsid w:val="00583E03"/>
    <w:rsid w:val="005873FB"/>
    <w:rsid w:val="005910DC"/>
    <w:rsid w:val="00594F6B"/>
    <w:rsid w:val="0059544C"/>
    <w:rsid w:val="00597C52"/>
    <w:rsid w:val="005A067E"/>
    <w:rsid w:val="005A4A0E"/>
    <w:rsid w:val="005A7C01"/>
    <w:rsid w:val="005B304B"/>
    <w:rsid w:val="005B6868"/>
    <w:rsid w:val="005C07C8"/>
    <w:rsid w:val="005C2C71"/>
    <w:rsid w:val="005C5910"/>
    <w:rsid w:val="005C5B2E"/>
    <w:rsid w:val="005C68B4"/>
    <w:rsid w:val="005C6BB1"/>
    <w:rsid w:val="005D2ABC"/>
    <w:rsid w:val="005D3003"/>
    <w:rsid w:val="005D616B"/>
    <w:rsid w:val="005D6C2D"/>
    <w:rsid w:val="005E3C13"/>
    <w:rsid w:val="005E47AA"/>
    <w:rsid w:val="005E5F8F"/>
    <w:rsid w:val="005E7B33"/>
    <w:rsid w:val="005F09D2"/>
    <w:rsid w:val="005F1668"/>
    <w:rsid w:val="005F2769"/>
    <w:rsid w:val="005F2AD0"/>
    <w:rsid w:val="005F2FD2"/>
    <w:rsid w:val="005F4961"/>
    <w:rsid w:val="005F529E"/>
    <w:rsid w:val="0060186C"/>
    <w:rsid w:val="00605A2E"/>
    <w:rsid w:val="0060769D"/>
    <w:rsid w:val="00611B2F"/>
    <w:rsid w:val="006121F4"/>
    <w:rsid w:val="00617539"/>
    <w:rsid w:val="00617590"/>
    <w:rsid w:val="00617B08"/>
    <w:rsid w:val="006260BB"/>
    <w:rsid w:val="0062727F"/>
    <w:rsid w:val="00627AB4"/>
    <w:rsid w:val="00631D1E"/>
    <w:rsid w:val="006335ED"/>
    <w:rsid w:val="00633E53"/>
    <w:rsid w:val="006342DB"/>
    <w:rsid w:val="006343EC"/>
    <w:rsid w:val="0063539D"/>
    <w:rsid w:val="006371EA"/>
    <w:rsid w:val="00637F53"/>
    <w:rsid w:val="006470F2"/>
    <w:rsid w:val="006477EC"/>
    <w:rsid w:val="00650F3D"/>
    <w:rsid w:val="00650FD7"/>
    <w:rsid w:val="006511A8"/>
    <w:rsid w:val="006526CC"/>
    <w:rsid w:val="00653597"/>
    <w:rsid w:val="00653CD9"/>
    <w:rsid w:val="00654C80"/>
    <w:rsid w:val="00660ECB"/>
    <w:rsid w:val="00661F06"/>
    <w:rsid w:val="00664AC8"/>
    <w:rsid w:val="0066650C"/>
    <w:rsid w:val="0066728E"/>
    <w:rsid w:val="0067031D"/>
    <w:rsid w:val="0067378F"/>
    <w:rsid w:val="0067489E"/>
    <w:rsid w:val="006773E1"/>
    <w:rsid w:val="0068386A"/>
    <w:rsid w:val="00685738"/>
    <w:rsid w:val="00691000"/>
    <w:rsid w:val="00691524"/>
    <w:rsid w:val="00695D34"/>
    <w:rsid w:val="006A0FCD"/>
    <w:rsid w:val="006A4226"/>
    <w:rsid w:val="006A4FC1"/>
    <w:rsid w:val="006A5636"/>
    <w:rsid w:val="006A6711"/>
    <w:rsid w:val="006A6CB4"/>
    <w:rsid w:val="006B0BA0"/>
    <w:rsid w:val="006B12C0"/>
    <w:rsid w:val="006B71A8"/>
    <w:rsid w:val="006C0607"/>
    <w:rsid w:val="006C3771"/>
    <w:rsid w:val="006C3BB0"/>
    <w:rsid w:val="006C5213"/>
    <w:rsid w:val="006C5D9F"/>
    <w:rsid w:val="006D0AF0"/>
    <w:rsid w:val="006D35DC"/>
    <w:rsid w:val="006D4F09"/>
    <w:rsid w:val="006E1443"/>
    <w:rsid w:val="006E2C64"/>
    <w:rsid w:val="006E4C07"/>
    <w:rsid w:val="006E6BFD"/>
    <w:rsid w:val="006E746B"/>
    <w:rsid w:val="006F3E35"/>
    <w:rsid w:val="006F55FA"/>
    <w:rsid w:val="007016D6"/>
    <w:rsid w:val="00704968"/>
    <w:rsid w:val="00707BC6"/>
    <w:rsid w:val="007105C4"/>
    <w:rsid w:val="0071134C"/>
    <w:rsid w:val="007125F7"/>
    <w:rsid w:val="00714DDE"/>
    <w:rsid w:val="00720AF6"/>
    <w:rsid w:val="00724389"/>
    <w:rsid w:val="00726FA5"/>
    <w:rsid w:val="00727802"/>
    <w:rsid w:val="00731B29"/>
    <w:rsid w:val="00733795"/>
    <w:rsid w:val="00734E08"/>
    <w:rsid w:val="007351D6"/>
    <w:rsid w:val="00737200"/>
    <w:rsid w:val="00737872"/>
    <w:rsid w:val="00737D62"/>
    <w:rsid w:val="007400B5"/>
    <w:rsid w:val="0074491A"/>
    <w:rsid w:val="00747D22"/>
    <w:rsid w:val="00754349"/>
    <w:rsid w:val="00754D85"/>
    <w:rsid w:val="007557E4"/>
    <w:rsid w:val="00756356"/>
    <w:rsid w:val="00757FD8"/>
    <w:rsid w:val="007605F1"/>
    <w:rsid w:val="00763D7D"/>
    <w:rsid w:val="0076553F"/>
    <w:rsid w:val="00774434"/>
    <w:rsid w:val="007756AB"/>
    <w:rsid w:val="00777833"/>
    <w:rsid w:val="007805DF"/>
    <w:rsid w:val="007811F6"/>
    <w:rsid w:val="00781D6C"/>
    <w:rsid w:val="007845E1"/>
    <w:rsid w:val="00785759"/>
    <w:rsid w:val="0078641D"/>
    <w:rsid w:val="007936EA"/>
    <w:rsid w:val="007940A9"/>
    <w:rsid w:val="007940BF"/>
    <w:rsid w:val="00795EA0"/>
    <w:rsid w:val="007A149B"/>
    <w:rsid w:val="007B1EA3"/>
    <w:rsid w:val="007C08A9"/>
    <w:rsid w:val="007C244C"/>
    <w:rsid w:val="007C66E4"/>
    <w:rsid w:val="007D641F"/>
    <w:rsid w:val="007D725F"/>
    <w:rsid w:val="007E18F0"/>
    <w:rsid w:val="007E608C"/>
    <w:rsid w:val="007F2B8D"/>
    <w:rsid w:val="007F3206"/>
    <w:rsid w:val="007F44C1"/>
    <w:rsid w:val="007F6D75"/>
    <w:rsid w:val="008003BA"/>
    <w:rsid w:val="00801A7F"/>
    <w:rsid w:val="0080563C"/>
    <w:rsid w:val="00806BAC"/>
    <w:rsid w:val="008105E1"/>
    <w:rsid w:val="00812DC4"/>
    <w:rsid w:val="00813A84"/>
    <w:rsid w:val="00814260"/>
    <w:rsid w:val="00814DA3"/>
    <w:rsid w:val="00815F39"/>
    <w:rsid w:val="008206EE"/>
    <w:rsid w:val="008216E8"/>
    <w:rsid w:val="008247C4"/>
    <w:rsid w:val="00825F04"/>
    <w:rsid w:val="00826611"/>
    <w:rsid w:val="00826BFA"/>
    <w:rsid w:val="00831A18"/>
    <w:rsid w:val="0083680B"/>
    <w:rsid w:val="00836EA3"/>
    <w:rsid w:val="00840B0D"/>
    <w:rsid w:val="00850053"/>
    <w:rsid w:val="00853F5C"/>
    <w:rsid w:val="00854417"/>
    <w:rsid w:val="00856862"/>
    <w:rsid w:val="00856A9B"/>
    <w:rsid w:val="00860AE3"/>
    <w:rsid w:val="008653C3"/>
    <w:rsid w:val="008715CA"/>
    <w:rsid w:val="00874BB5"/>
    <w:rsid w:val="00875B83"/>
    <w:rsid w:val="008779C2"/>
    <w:rsid w:val="0088204E"/>
    <w:rsid w:val="00882F78"/>
    <w:rsid w:val="008854C0"/>
    <w:rsid w:val="0088596D"/>
    <w:rsid w:val="00885A19"/>
    <w:rsid w:val="00886CE3"/>
    <w:rsid w:val="00887632"/>
    <w:rsid w:val="00890AB3"/>
    <w:rsid w:val="00893A2E"/>
    <w:rsid w:val="00895F4A"/>
    <w:rsid w:val="008973E6"/>
    <w:rsid w:val="008A010A"/>
    <w:rsid w:val="008B22AA"/>
    <w:rsid w:val="008B3416"/>
    <w:rsid w:val="008B3930"/>
    <w:rsid w:val="008B422F"/>
    <w:rsid w:val="008B4863"/>
    <w:rsid w:val="008B579D"/>
    <w:rsid w:val="008B6B5F"/>
    <w:rsid w:val="008B744A"/>
    <w:rsid w:val="008C0D0B"/>
    <w:rsid w:val="008C1022"/>
    <w:rsid w:val="008C2552"/>
    <w:rsid w:val="008C50FF"/>
    <w:rsid w:val="008D00AC"/>
    <w:rsid w:val="008D02D8"/>
    <w:rsid w:val="008D1A38"/>
    <w:rsid w:val="008D3443"/>
    <w:rsid w:val="008D7187"/>
    <w:rsid w:val="008D78B0"/>
    <w:rsid w:val="008E1EB5"/>
    <w:rsid w:val="008E63DC"/>
    <w:rsid w:val="008E7ADB"/>
    <w:rsid w:val="008E7C88"/>
    <w:rsid w:val="008F0233"/>
    <w:rsid w:val="008F0327"/>
    <w:rsid w:val="008F3A33"/>
    <w:rsid w:val="008F77D3"/>
    <w:rsid w:val="008F7B61"/>
    <w:rsid w:val="00901A8D"/>
    <w:rsid w:val="009029CF"/>
    <w:rsid w:val="009031D1"/>
    <w:rsid w:val="00905E4B"/>
    <w:rsid w:val="00907D3C"/>
    <w:rsid w:val="00913E57"/>
    <w:rsid w:val="00917DDE"/>
    <w:rsid w:val="00920F97"/>
    <w:rsid w:val="00921E53"/>
    <w:rsid w:val="0092324A"/>
    <w:rsid w:val="00923402"/>
    <w:rsid w:val="00923653"/>
    <w:rsid w:val="00924305"/>
    <w:rsid w:val="00926112"/>
    <w:rsid w:val="00926E1B"/>
    <w:rsid w:val="00927696"/>
    <w:rsid w:val="009312DF"/>
    <w:rsid w:val="009317D5"/>
    <w:rsid w:val="00932BA3"/>
    <w:rsid w:val="00933182"/>
    <w:rsid w:val="00933571"/>
    <w:rsid w:val="00940E07"/>
    <w:rsid w:val="009411E1"/>
    <w:rsid w:val="009425CD"/>
    <w:rsid w:val="00943727"/>
    <w:rsid w:val="009453F1"/>
    <w:rsid w:val="0094544E"/>
    <w:rsid w:val="00947EBA"/>
    <w:rsid w:val="00952A6C"/>
    <w:rsid w:val="00953891"/>
    <w:rsid w:val="00954DC7"/>
    <w:rsid w:val="00954FD2"/>
    <w:rsid w:val="0096388F"/>
    <w:rsid w:val="00963992"/>
    <w:rsid w:val="00966431"/>
    <w:rsid w:val="00966E03"/>
    <w:rsid w:val="009706A4"/>
    <w:rsid w:val="00970FC4"/>
    <w:rsid w:val="00971556"/>
    <w:rsid w:val="009718CC"/>
    <w:rsid w:val="009750C1"/>
    <w:rsid w:val="00975641"/>
    <w:rsid w:val="00985F7F"/>
    <w:rsid w:val="00991C98"/>
    <w:rsid w:val="00994827"/>
    <w:rsid w:val="00997F40"/>
    <w:rsid w:val="009A0FFB"/>
    <w:rsid w:val="009A13B3"/>
    <w:rsid w:val="009A4141"/>
    <w:rsid w:val="009A5CFB"/>
    <w:rsid w:val="009A62C4"/>
    <w:rsid w:val="009B36FD"/>
    <w:rsid w:val="009B795D"/>
    <w:rsid w:val="009C0BDB"/>
    <w:rsid w:val="009C174F"/>
    <w:rsid w:val="009C21A2"/>
    <w:rsid w:val="009C2645"/>
    <w:rsid w:val="009C5B24"/>
    <w:rsid w:val="009D1C9B"/>
    <w:rsid w:val="009D2D7E"/>
    <w:rsid w:val="009D438F"/>
    <w:rsid w:val="009D5100"/>
    <w:rsid w:val="009D6865"/>
    <w:rsid w:val="009E3161"/>
    <w:rsid w:val="009F0F09"/>
    <w:rsid w:val="009F33B1"/>
    <w:rsid w:val="009F7D99"/>
    <w:rsid w:val="00A0200B"/>
    <w:rsid w:val="00A05C7B"/>
    <w:rsid w:val="00A065E9"/>
    <w:rsid w:val="00A11DCA"/>
    <w:rsid w:val="00A12161"/>
    <w:rsid w:val="00A1234F"/>
    <w:rsid w:val="00A1372A"/>
    <w:rsid w:val="00A16A3E"/>
    <w:rsid w:val="00A16D74"/>
    <w:rsid w:val="00A204FE"/>
    <w:rsid w:val="00A22171"/>
    <w:rsid w:val="00A22C63"/>
    <w:rsid w:val="00A23C1F"/>
    <w:rsid w:val="00A24C55"/>
    <w:rsid w:val="00A263D3"/>
    <w:rsid w:val="00A2656A"/>
    <w:rsid w:val="00A30314"/>
    <w:rsid w:val="00A324C0"/>
    <w:rsid w:val="00A356AD"/>
    <w:rsid w:val="00A365A2"/>
    <w:rsid w:val="00A37FDF"/>
    <w:rsid w:val="00A412E6"/>
    <w:rsid w:val="00A42C5E"/>
    <w:rsid w:val="00A4360A"/>
    <w:rsid w:val="00A43914"/>
    <w:rsid w:val="00A449BB"/>
    <w:rsid w:val="00A467C0"/>
    <w:rsid w:val="00A511A6"/>
    <w:rsid w:val="00A52D71"/>
    <w:rsid w:val="00A52E40"/>
    <w:rsid w:val="00A55696"/>
    <w:rsid w:val="00A602E9"/>
    <w:rsid w:val="00A72EA5"/>
    <w:rsid w:val="00A73E5A"/>
    <w:rsid w:val="00A75476"/>
    <w:rsid w:val="00A80798"/>
    <w:rsid w:val="00A84390"/>
    <w:rsid w:val="00A86090"/>
    <w:rsid w:val="00A865BA"/>
    <w:rsid w:val="00A877C5"/>
    <w:rsid w:val="00A87F41"/>
    <w:rsid w:val="00A87F8B"/>
    <w:rsid w:val="00A93EC6"/>
    <w:rsid w:val="00A94D0D"/>
    <w:rsid w:val="00AA112C"/>
    <w:rsid w:val="00AA4E65"/>
    <w:rsid w:val="00AA703E"/>
    <w:rsid w:val="00AB10F4"/>
    <w:rsid w:val="00AB565E"/>
    <w:rsid w:val="00AC1923"/>
    <w:rsid w:val="00AC3575"/>
    <w:rsid w:val="00AC57C3"/>
    <w:rsid w:val="00AC63CF"/>
    <w:rsid w:val="00AD0169"/>
    <w:rsid w:val="00AD0172"/>
    <w:rsid w:val="00AD2BF7"/>
    <w:rsid w:val="00AD4D17"/>
    <w:rsid w:val="00AD5449"/>
    <w:rsid w:val="00AD6E16"/>
    <w:rsid w:val="00AE261F"/>
    <w:rsid w:val="00AE277B"/>
    <w:rsid w:val="00AE2D3E"/>
    <w:rsid w:val="00AE2DC3"/>
    <w:rsid w:val="00AE3954"/>
    <w:rsid w:val="00AE3AD9"/>
    <w:rsid w:val="00AE5727"/>
    <w:rsid w:val="00AE6AA1"/>
    <w:rsid w:val="00AE7155"/>
    <w:rsid w:val="00AE7B31"/>
    <w:rsid w:val="00AF11A3"/>
    <w:rsid w:val="00AF1EF8"/>
    <w:rsid w:val="00B02088"/>
    <w:rsid w:val="00B0340D"/>
    <w:rsid w:val="00B03636"/>
    <w:rsid w:val="00B046DF"/>
    <w:rsid w:val="00B0506E"/>
    <w:rsid w:val="00B05BC1"/>
    <w:rsid w:val="00B07A8A"/>
    <w:rsid w:val="00B11249"/>
    <w:rsid w:val="00B11CC1"/>
    <w:rsid w:val="00B122F4"/>
    <w:rsid w:val="00B13D72"/>
    <w:rsid w:val="00B144D3"/>
    <w:rsid w:val="00B1480E"/>
    <w:rsid w:val="00B213D1"/>
    <w:rsid w:val="00B233CC"/>
    <w:rsid w:val="00B23C80"/>
    <w:rsid w:val="00B258C7"/>
    <w:rsid w:val="00B339D7"/>
    <w:rsid w:val="00B37157"/>
    <w:rsid w:val="00B37261"/>
    <w:rsid w:val="00B429E8"/>
    <w:rsid w:val="00B43752"/>
    <w:rsid w:val="00B50F8B"/>
    <w:rsid w:val="00B53F5C"/>
    <w:rsid w:val="00B54989"/>
    <w:rsid w:val="00B54E52"/>
    <w:rsid w:val="00B5537F"/>
    <w:rsid w:val="00B55800"/>
    <w:rsid w:val="00B56568"/>
    <w:rsid w:val="00B63784"/>
    <w:rsid w:val="00B65AE9"/>
    <w:rsid w:val="00B66676"/>
    <w:rsid w:val="00B6740B"/>
    <w:rsid w:val="00B67E21"/>
    <w:rsid w:val="00B708B2"/>
    <w:rsid w:val="00B73416"/>
    <w:rsid w:val="00B77477"/>
    <w:rsid w:val="00B81E53"/>
    <w:rsid w:val="00B82470"/>
    <w:rsid w:val="00B8532C"/>
    <w:rsid w:val="00B938A5"/>
    <w:rsid w:val="00B94E0B"/>
    <w:rsid w:val="00B94EFE"/>
    <w:rsid w:val="00B954B8"/>
    <w:rsid w:val="00B95769"/>
    <w:rsid w:val="00B95AA9"/>
    <w:rsid w:val="00BA1E45"/>
    <w:rsid w:val="00BA33F4"/>
    <w:rsid w:val="00BA570D"/>
    <w:rsid w:val="00BA5A89"/>
    <w:rsid w:val="00BA67F2"/>
    <w:rsid w:val="00BB0302"/>
    <w:rsid w:val="00BB0578"/>
    <w:rsid w:val="00BB14F3"/>
    <w:rsid w:val="00BB2599"/>
    <w:rsid w:val="00BB4557"/>
    <w:rsid w:val="00BB4A60"/>
    <w:rsid w:val="00BB6932"/>
    <w:rsid w:val="00BB7B52"/>
    <w:rsid w:val="00BC09B1"/>
    <w:rsid w:val="00BC0AE7"/>
    <w:rsid w:val="00BC0EBE"/>
    <w:rsid w:val="00BC1466"/>
    <w:rsid w:val="00BC2838"/>
    <w:rsid w:val="00BC56DD"/>
    <w:rsid w:val="00BC75E3"/>
    <w:rsid w:val="00BD0462"/>
    <w:rsid w:val="00BD049A"/>
    <w:rsid w:val="00BD1C9B"/>
    <w:rsid w:val="00BD2990"/>
    <w:rsid w:val="00BD46AC"/>
    <w:rsid w:val="00BD50BC"/>
    <w:rsid w:val="00BD58F8"/>
    <w:rsid w:val="00BE1405"/>
    <w:rsid w:val="00BE2434"/>
    <w:rsid w:val="00BE4828"/>
    <w:rsid w:val="00BE7E1C"/>
    <w:rsid w:val="00BF1BCD"/>
    <w:rsid w:val="00BF2633"/>
    <w:rsid w:val="00C01697"/>
    <w:rsid w:val="00C0404B"/>
    <w:rsid w:val="00C07069"/>
    <w:rsid w:val="00C10DDC"/>
    <w:rsid w:val="00C11840"/>
    <w:rsid w:val="00C123EE"/>
    <w:rsid w:val="00C13CB6"/>
    <w:rsid w:val="00C16960"/>
    <w:rsid w:val="00C20386"/>
    <w:rsid w:val="00C24084"/>
    <w:rsid w:val="00C240EA"/>
    <w:rsid w:val="00C24E08"/>
    <w:rsid w:val="00C25A1B"/>
    <w:rsid w:val="00C3071D"/>
    <w:rsid w:val="00C32608"/>
    <w:rsid w:val="00C3263C"/>
    <w:rsid w:val="00C34527"/>
    <w:rsid w:val="00C34EF5"/>
    <w:rsid w:val="00C353E2"/>
    <w:rsid w:val="00C370DD"/>
    <w:rsid w:val="00C417EA"/>
    <w:rsid w:val="00C43474"/>
    <w:rsid w:val="00C452A4"/>
    <w:rsid w:val="00C45AB0"/>
    <w:rsid w:val="00C4615A"/>
    <w:rsid w:val="00C47943"/>
    <w:rsid w:val="00C53DA6"/>
    <w:rsid w:val="00C556A8"/>
    <w:rsid w:val="00C5603B"/>
    <w:rsid w:val="00C6357F"/>
    <w:rsid w:val="00C63CAC"/>
    <w:rsid w:val="00C63F98"/>
    <w:rsid w:val="00C6457A"/>
    <w:rsid w:val="00C65F66"/>
    <w:rsid w:val="00C7120B"/>
    <w:rsid w:val="00C7355C"/>
    <w:rsid w:val="00C75439"/>
    <w:rsid w:val="00C76192"/>
    <w:rsid w:val="00C76CBA"/>
    <w:rsid w:val="00C83F05"/>
    <w:rsid w:val="00C84144"/>
    <w:rsid w:val="00C84726"/>
    <w:rsid w:val="00C8714F"/>
    <w:rsid w:val="00C877FA"/>
    <w:rsid w:val="00C91BC6"/>
    <w:rsid w:val="00C94DE6"/>
    <w:rsid w:val="00CA061C"/>
    <w:rsid w:val="00CA42EE"/>
    <w:rsid w:val="00CA4819"/>
    <w:rsid w:val="00CA66D2"/>
    <w:rsid w:val="00CB1526"/>
    <w:rsid w:val="00CB15D9"/>
    <w:rsid w:val="00CB4195"/>
    <w:rsid w:val="00CB4AE0"/>
    <w:rsid w:val="00CC2D94"/>
    <w:rsid w:val="00CC3BA7"/>
    <w:rsid w:val="00CC657B"/>
    <w:rsid w:val="00CC6C27"/>
    <w:rsid w:val="00CC71EF"/>
    <w:rsid w:val="00CD1247"/>
    <w:rsid w:val="00CD39C3"/>
    <w:rsid w:val="00CD641B"/>
    <w:rsid w:val="00CD7D4C"/>
    <w:rsid w:val="00CE3911"/>
    <w:rsid w:val="00CE4310"/>
    <w:rsid w:val="00CE618C"/>
    <w:rsid w:val="00CE6464"/>
    <w:rsid w:val="00CE7CD2"/>
    <w:rsid w:val="00CF1134"/>
    <w:rsid w:val="00CF2652"/>
    <w:rsid w:val="00CF4569"/>
    <w:rsid w:val="00D01B13"/>
    <w:rsid w:val="00D0457A"/>
    <w:rsid w:val="00D04C1F"/>
    <w:rsid w:val="00D056CC"/>
    <w:rsid w:val="00D07689"/>
    <w:rsid w:val="00D12C1A"/>
    <w:rsid w:val="00D157EE"/>
    <w:rsid w:val="00D244E8"/>
    <w:rsid w:val="00D25186"/>
    <w:rsid w:val="00D26FDE"/>
    <w:rsid w:val="00D32A78"/>
    <w:rsid w:val="00D32D33"/>
    <w:rsid w:val="00D35977"/>
    <w:rsid w:val="00D40471"/>
    <w:rsid w:val="00D41B12"/>
    <w:rsid w:val="00D43F5A"/>
    <w:rsid w:val="00D46122"/>
    <w:rsid w:val="00D46946"/>
    <w:rsid w:val="00D47978"/>
    <w:rsid w:val="00D51137"/>
    <w:rsid w:val="00D51397"/>
    <w:rsid w:val="00D63277"/>
    <w:rsid w:val="00D63378"/>
    <w:rsid w:val="00D634F2"/>
    <w:rsid w:val="00D64597"/>
    <w:rsid w:val="00D65554"/>
    <w:rsid w:val="00D6558E"/>
    <w:rsid w:val="00D67816"/>
    <w:rsid w:val="00D742F6"/>
    <w:rsid w:val="00D75133"/>
    <w:rsid w:val="00D76935"/>
    <w:rsid w:val="00D779E8"/>
    <w:rsid w:val="00D82669"/>
    <w:rsid w:val="00D830DE"/>
    <w:rsid w:val="00D85995"/>
    <w:rsid w:val="00D87A69"/>
    <w:rsid w:val="00D87F07"/>
    <w:rsid w:val="00D90E31"/>
    <w:rsid w:val="00D9142A"/>
    <w:rsid w:val="00D9558F"/>
    <w:rsid w:val="00D960EC"/>
    <w:rsid w:val="00D9735E"/>
    <w:rsid w:val="00D97782"/>
    <w:rsid w:val="00DA50C3"/>
    <w:rsid w:val="00DA5886"/>
    <w:rsid w:val="00DA7438"/>
    <w:rsid w:val="00DB0788"/>
    <w:rsid w:val="00DB7F6F"/>
    <w:rsid w:val="00DC55D0"/>
    <w:rsid w:val="00DC5BB0"/>
    <w:rsid w:val="00DD0BAD"/>
    <w:rsid w:val="00DD0DE2"/>
    <w:rsid w:val="00DD2CE2"/>
    <w:rsid w:val="00DD60DE"/>
    <w:rsid w:val="00DD642A"/>
    <w:rsid w:val="00DD71A7"/>
    <w:rsid w:val="00DE1406"/>
    <w:rsid w:val="00DE14F6"/>
    <w:rsid w:val="00DE35BE"/>
    <w:rsid w:val="00DF2589"/>
    <w:rsid w:val="00DF360F"/>
    <w:rsid w:val="00DF36CA"/>
    <w:rsid w:val="00DF4FB8"/>
    <w:rsid w:val="00DF63E3"/>
    <w:rsid w:val="00DF7385"/>
    <w:rsid w:val="00E00473"/>
    <w:rsid w:val="00E02F0D"/>
    <w:rsid w:val="00E1061C"/>
    <w:rsid w:val="00E10692"/>
    <w:rsid w:val="00E14738"/>
    <w:rsid w:val="00E1479A"/>
    <w:rsid w:val="00E15A16"/>
    <w:rsid w:val="00E206A3"/>
    <w:rsid w:val="00E20C64"/>
    <w:rsid w:val="00E24DB8"/>
    <w:rsid w:val="00E26EB0"/>
    <w:rsid w:val="00E27034"/>
    <w:rsid w:val="00E32D4B"/>
    <w:rsid w:val="00E33957"/>
    <w:rsid w:val="00E40749"/>
    <w:rsid w:val="00E41116"/>
    <w:rsid w:val="00E414EF"/>
    <w:rsid w:val="00E424DA"/>
    <w:rsid w:val="00E45390"/>
    <w:rsid w:val="00E455A5"/>
    <w:rsid w:val="00E555C5"/>
    <w:rsid w:val="00E56CCD"/>
    <w:rsid w:val="00E5722D"/>
    <w:rsid w:val="00E62643"/>
    <w:rsid w:val="00E62938"/>
    <w:rsid w:val="00E642D3"/>
    <w:rsid w:val="00E702F6"/>
    <w:rsid w:val="00E7387C"/>
    <w:rsid w:val="00E73C17"/>
    <w:rsid w:val="00E73E5F"/>
    <w:rsid w:val="00E768B8"/>
    <w:rsid w:val="00E778AE"/>
    <w:rsid w:val="00E77A0F"/>
    <w:rsid w:val="00E82D4E"/>
    <w:rsid w:val="00E835A1"/>
    <w:rsid w:val="00E83E2D"/>
    <w:rsid w:val="00E85164"/>
    <w:rsid w:val="00E8739B"/>
    <w:rsid w:val="00E90652"/>
    <w:rsid w:val="00E948B4"/>
    <w:rsid w:val="00E95C43"/>
    <w:rsid w:val="00E96570"/>
    <w:rsid w:val="00EA31DB"/>
    <w:rsid w:val="00EA68E9"/>
    <w:rsid w:val="00EA7D7F"/>
    <w:rsid w:val="00EB3C38"/>
    <w:rsid w:val="00EC12A0"/>
    <w:rsid w:val="00EC1E5F"/>
    <w:rsid w:val="00EC64A8"/>
    <w:rsid w:val="00EC78B7"/>
    <w:rsid w:val="00ED14BD"/>
    <w:rsid w:val="00ED1EBB"/>
    <w:rsid w:val="00ED24F1"/>
    <w:rsid w:val="00ED41E5"/>
    <w:rsid w:val="00ED49B5"/>
    <w:rsid w:val="00EE332B"/>
    <w:rsid w:val="00EE6C01"/>
    <w:rsid w:val="00EF1519"/>
    <w:rsid w:val="00EF2896"/>
    <w:rsid w:val="00EF2C61"/>
    <w:rsid w:val="00EF4610"/>
    <w:rsid w:val="00EF6CB2"/>
    <w:rsid w:val="00EF7939"/>
    <w:rsid w:val="00F01A5C"/>
    <w:rsid w:val="00F04DE2"/>
    <w:rsid w:val="00F076E3"/>
    <w:rsid w:val="00F11CFC"/>
    <w:rsid w:val="00F1463A"/>
    <w:rsid w:val="00F15936"/>
    <w:rsid w:val="00F20B68"/>
    <w:rsid w:val="00F23DBE"/>
    <w:rsid w:val="00F31085"/>
    <w:rsid w:val="00F31737"/>
    <w:rsid w:val="00F329A7"/>
    <w:rsid w:val="00F40513"/>
    <w:rsid w:val="00F41C5C"/>
    <w:rsid w:val="00F424A9"/>
    <w:rsid w:val="00F4459F"/>
    <w:rsid w:val="00F508C7"/>
    <w:rsid w:val="00F52F72"/>
    <w:rsid w:val="00F5729F"/>
    <w:rsid w:val="00F60524"/>
    <w:rsid w:val="00F65587"/>
    <w:rsid w:val="00F656A1"/>
    <w:rsid w:val="00F65B62"/>
    <w:rsid w:val="00F71AE6"/>
    <w:rsid w:val="00F72DC7"/>
    <w:rsid w:val="00F74B26"/>
    <w:rsid w:val="00F772DD"/>
    <w:rsid w:val="00F776C3"/>
    <w:rsid w:val="00F77E06"/>
    <w:rsid w:val="00F80CA8"/>
    <w:rsid w:val="00F8101C"/>
    <w:rsid w:val="00F850F4"/>
    <w:rsid w:val="00F85AD8"/>
    <w:rsid w:val="00F9021F"/>
    <w:rsid w:val="00F93464"/>
    <w:rsid w:val="00F95594"/>
    <w:rsid w:val="00F973A7"/>
    <w:rsid w:val="00FA35E2"/>
    <w:rsid w:val="00FA5DE1"/>
    <w:rsid w:val="00FA6CB8"/>
    <w:rsid w:val="00FA7D60"/>
    <w:rsid w:val="00FB260A"/>
    <w:rsid w:val="00FB2B02"/>
    <w:rsid w:val="00FB4897"/>
    <w:rsid w:val="00FB6664"/>
    <w:rsid w:val="00FC2464"/>
    <w:rsid w:val="00FC3224"/>
    <w:rsid w:val="00FC60C3"/>
    <w:rsid w:val="00FC6311"/>
    <w:rsid w:val="00FC7647"/>
    <w:rsid w:val="00FC7CE6"/>
    <w:rsid w:val="00FD0795"/>
    <w:rsid w:val="00FD0A4E"/>
    <w:rsid w:val="00FD3A37"/>
    <w:rsid w:val="00FD577E"/>
    <w:rsid w:val="00FD6497"/>
    <w:rsid w:val="00FD73BD"/>
    <w:rsid w:val="00FE14B4"/>
    <w:rsid w:val="00FE1EBE"/>
    <w:rsid w:val="00FE46CE"/>
    <w:rsid w:val="00FE4E43"/>
    <w:rsid w:val="00FF1103"/>
    <w:rsid w:val="00FF2EC3"/>
    <w:rsid w:val="00FF462C"/>
    <w:rsid w:val="00FF66DC"/>
    <w:rsid w:val="00FF7CD6"/>
    <w:rsid w:val="012A4E2C"/>
    <w:rsid w:val="02DC2156"/>
    <w:rsid w:val="03CC3F79"/>
    <w:rsid w:val="05CD222A"/>
    <w:rsid w:val="06084616"/>
    <w:rsid w:val="06A9292B"/>
    <w:rsid w:val="0751458B"/>
    <w:rsid w:val="07B40FAC"/>
    <w:rsid w:val="08EF7A39"/>
    <w:rsid w:val="0A5844F0"/>
    <w:rsid w:val="0D1A36AC"/>
    <w:rsid w:val="0DFF0ECB"/>
    <w:rsid w:val="0EE41D10"/>
    <w:rsid w:val="0EE508FF"/>
    <w:rsid w:val="11386E78"/>
    <w:rsid w:val="11B73ED3"/>
    <w:rsid w:val="11D50857"/>
    <w:rsid w:val="12277661"/>
    <w:rsid w:val="1303728B"/>
    <w:rsid w:val="133D4C82"/>
    <w:rsid w:val="138D4967"/>
    <w:rsid w:val="13D12EE6"/>
    <w:rsid w:val="13EE1CEA"/>
    <w:rsid w:val="13F37300"/>
    <w:rsid w:val="16FC0965"/>
    <w:rsid w:val="173C0FBE"/>
    <w:rsid w:val="174D6D27"/>
    <w:rsid w:val="18CE5C46"/>
    <w:rsid w:val="1A2A2D28"/>
    <w:rsid w:val="1B9C64CF"/>
    <w:rsid w:val="1C294DFA"/>
    <w:rsid w:val="1D2971FC"/>
    <w:rsid w:val="1E6C7E3E"/>
    <w:rsid w:val="1E766C61"/>
    <w:rsid w:val="20346CD6"/>
    <w:rsid w:val="206E043A"/>
    <w:rsid w:val="21B75E11"/>
    <w:rsid w:val="237B6BCB"/>
    <w:rsid w:val="23B343B6"/>
    <w:rsid w:val="2443573A"/>
    <w:rsid w:val="25496D80"/>
    <w:rsid w:val="27095D8A"/>
    <w:rsid w:val="2773229F"/>
    <w:rsid w:val="277B51EB"/>
    <w:rsid w:val="2782156C"/>
    <w:rsid w:val="279E6744"/>
    <w:rsid w:val="27EA3FDE"/>
    <w:rsid w:val="28374162"/>
    <w:rsid w:val="29EF532D"/>
    <w:rsid w:val="2A566386"/>
    <w:rsid w:val="2BAD2B02"/>
    <w:rsid w:val="2C144E79"/>
    <w:rsid w:val="2D1C16E1"/>
    <w:rsid w:val="2E0C3040"/>
    <w:rsid w:val="2E40384E"/>
    <w:rsid w:val="2F083808"/>
    <w:rsid w:val="2F0B058C"/>
    <w:rsid w:val="2F7C5FA4"/>
    <w:rsid w:val="2F873A0C"/>
    <w:rsid w:val="310E416B"/>
    <w:rsid w:val="3198768F"/>
    <w:rsid w:val="336C294A"/>
    <w:rsid w:val="344833B2"/>
    <w:rsid w:val="37D526F5"/>
    <w:rsid w:val="3B873167"/>
    <w:rsid w:val="3D6C58AA"/>
    <w:rsid w:val="3E799816"/>
    <w:rsid w:val="3E80028A"/>
    <w:rsid w:val="3E96049C"/>
    <w:rsid w:val="3EEF3F33"/>
    <w:rsid w:val="403F2E01"/>
    <w:rsid w:val="40F11A6F"/>
    <w:rsid w:val="431A1904"/>
    <w:rsid w:val="45413951"/>
    <w:rsid w:val="456D465C"/>
    <w:rsid w:val="46E47FFF"/>
    <w:rsid w:val="4779601E"/>
    <w:rsid w:val="493E1AE1"/>
    <w:rsid w:val="4B2238EC"/>
    <w:rsid w:val="4C6C7CEB"/>
    <w:rsid w:val="4DDD59C1"/>
    <w:rsid w:val="4EAE0286"/>
    <w:rsid w:val="4F2C00B8"/>
    <w:rsid w:val="51377C7B"/>
    <w:rsid w:val="51FB0B52"/>
    <w:rsid w:val="525641E8"/>
    <w:rsid w:val="531F075A"/>
    <w:rsid w:val="538344F5"/>
    <w:rsid w:val="547A11B4"/>
    <w:rsid w:val="54E74EA9"/>
    <w:rsid w:val="55D63DB0"/>
    <w:rsid w:val="5681187F"/>
    <w:rsid w:val="56DA342C"/>
    <w:rsid w:val="57A01936"/>
    <w:rsid w:val="57A57FD6"/>
    <w:rsid w:val="57F01F2D"/>
    <w:rsid w:val="57FA2BA8"/>
    <w:rsid w:val="58D367F3"/>
    <w:rsid w:val="592A18E9"/>
    <w:rsid w:val="592C1295"/>
    <w:rsid w:val="59A74507"/>
    <w:rsid w:val="59DD74BB"/>
    <w:rsid w:val="5A8C449C"/>
    <w:rsid w:val="5B571FFB"/>
    <w:rsid w:val="5BFB00CD"/>
    <w:rsid w:val="5C452F47"/>
    <w:rsid w:val="5D086F45"/>
    <w:rsid w:val="5D4D6706"/>
    <w:rsid w:val="5DC33611"/>
    <w:rsid w:val="60252B89"/>
    <w:rsid w:val="60BD4E13"/>
    <w:rsid w:val="61052B7B"/>
    <w:rsid w:val="616C2448"/>
    <w:rsid w:val="63350368"/>
    <w:rsid w:val="63DF2082"/>
    <w:rsid w:val="642D3D62"/>
    <w:rsid w:val="642E4822"/>
    <w:rsid w:val="6499553C"/>
    <w:rsid w:val="654A16B4"/>
    <w:rsid w:val="6554040D"/>
    <w:rsid w:val="660F1D12"/>
    <w:rsid w:val="67277FC8"/>
    <w:rsid w:val="677C2407"/>
    <w:rsid w:val="68027C66"/>
    <w:rsid w:val="68C47A98"/>
    <w:rsid w:val="68C53F3C"/>
    <w:rsid w:val="6967054A"/>
    <w:rsid w:val="6B013226"/>
    <w:rsid w:val="6B183BE5"/>
    <w:rsid w:val="6CC80E6D"/>
    <w:rsid w:val="6FDD1529"/>
    <w:rsid w:val="710B6BAC"/>
    <w:rsid w:val="716D361E"/>
    <w:rsid w:val="71CC633B"/>
    <w:rsid w:val="71F238C8"/>
    <w:rsid w:val="73033076"/>
    <w:rsid w:val="738A5B9F"/>
    <w:rsid w:val="741F6AAA"/>
    <w:rsid w:val="74A0585D"/>
    <w:rsid w:val="77A669E4"/>
    <w:rsid w:val="77A7157C"/>
    <w:rsid w:val="78B143BF"/>
    <w:rsid w:val="78B15962"/>
    <w:rsid w:val="7A035425"/>
    <w:rsid w:val="7AB465B7"/>
    <w:rsid w:val="7AFEC822"/>
    <w:rsid w:val="7B215011"/>
    <w:rsid w:val="7B777F3F"/>
    <w:rsid w:val="7CB63E70"/>
    <w:rsid w:val="7D221505"/>
    <w:rsid w:val="7E2B6198"/>
    <w:rsid w:val="D9BF3AD6"/>
    <w:rsid w:val="E7FFD9D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EmbedSmartTag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iPriority="9" w:name="heading 4"/>
    <w:lsdException w:qFormat="1" w:uiPriority="9" w:name="heading 5"/>
    <w:lsdException w:qFormat="1" w:uiPriority="9" w:name="heading 6"/>
    <w:lsdException w:qFormat="1" w:unhideWhenUsed="0" w:uiPriority="9" w:semiHidden="0"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qFormat="1" w:uiPriority="39" w:semiHidden="0"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iPriority="99" w:semiHidden="0" w:name="annotation text"/>
    <w:lsdException w:qFormat="1" w:unhideWhenUsed="0" w:uiPriority="0" w:semiHidden="0" w:name="header"/>
    <w:lsdException w:qFormat="1" w:unhideWhenUsed="0" w:uiPriority="99" w:semiHidden="0" w:name="footer"/>
    <w:lsdException w:uiPriority="99" w:name="index heading"/>
    <w:lsdException w:qFormat="1" w:uiPriority="35" w:name="caption"/>
    <w:lsdException w:uiPriority="99" w:name="table of figures"/>
    <w:lsdException w:uiPriority="99" w:name="envelope address"/>
    <w:lsdException w:qFormat="1" w:unhideWhenUsed="0" w:uiPriority="0" w:semiHidden="0" w:name="envelope return"/>
    <w:lsdException w:qFormat="1" w:unhideWhenUsed="0" w:uiPriority="0" w:semiHidden="0" w:name="footnote reference"/>
    <w:lsdException w:qFormat="1" w:unhideWhenUsed="0" w:uiPriority="99" w:semiHidden="0" w:name="annotation reference"/>
    <w:lsdException w:qFormat="1" w:unhideWhenUsed="0" w:uiPriority="0" w:semiHidden="0" w:name="line number"/>
    <w:lsdException w:uiPriority="99" w:name="page number"/>
    <w:lsdException w:qFormat="1" w:uiPriority="99" w:name="endnote reference"/>
    <w:lsdException w:qFormat="1"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semiHidden="0"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qFormat="1"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nhideWhenUsed="0" w:uiPriority="0"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semiHidden="0" w:name="Balloon Text"/>
    <w:lsdException w:qFormat="1" w:unhideWhenUsed="0" w:uiPriority="39" w:semiHidden="0" w:name="Table Grid"/>
    <w:lsdException w:uiPriority="99" w:name="Table Theme"/>
    <w:lsdException w:qFormat="1" w:uiPriority="99" w:semiHidden="0" w:name="Placeholder Text"/>
    <w:lsdException w:qFormat="1" w:unhideWhenUsed="0" w:uiPriority="99"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Calibri" w:hAnsi="Calibri" w:eastAsia="宋体" w:cs="Calibri"/>
      <w:kern w:val="2"/>
      <w:sz w:val="21"/>
      <w:szCs w:val="24"/>
      <w:lang w:val="en-US" w:eastAsia="zh-CN" w:bidi="ar-SA"/>
    </w:rPr>
  </w:style>
  <w:style w:type="paragraph" w:styleId="3">
    <w:name w:val="heading 1"/>
    <w:basedOn w:val="1"/>
    <w:next w:val="1"/>
    <w:qFormat/>
    <w:uiPriority w:val="0"/>
    <w:pPr>
      <w:keepNext/>
      <w:keepLines/>
      <w:spacing w:before="340" w:after="330" w:line="578" w:lineRule="auto"/>
      <w:outlineLvl w:val="0"/>
    </w:pPr>
    <w:rPr>
      <w:b/>
      <w:bCs/>
      <w:kern w:val="44"/>
      <w:sz w:val="44"/>
    </w:rPr>
  </w:style>
  <w:style w:type="paragraph" w:styleId="4">
    <w:name w:val="heading 2"/>
    <w:basedOn w:val="1"/>
    <w:next w:val="1"/>
    <w:qFormat/>
    <w:uiPriority w:val="0"/>
    <w:pPr>
      <w:keepNext/>
      <w:keepLines/>
      <w:spacing w:before="260" w:after="260" w:line="415" w:lineRule="auto"/>
      <w:outlineLvl w:val="1"/>
    </w:pPr>
    <w:rPr>
      <w:rFonts w:ascii="Times New Roman" w:hAnsi="Times New Roman" w:eastAsia="黑体"/>
      <w:b/>
      <w:sz w:val="32"/>
    </w:rPr>
  </w:style>
  <w:style w:type="paragraph" w:styleId="5">
    <w:name w:val="heading 3"/>
    <w:basedOn w:val="1"/>
    <w:next w:val="1"/>
    <w:qFormat/>
    <w:uiPriority w:val="0"/>
    <w:pPr>
      <w:keepNext/>
      <w:keepLines/>
      <w:spacing w:before="260" w:after="260" w:line="415" w:lineRule="auto"/>
      <w:outlineLvl w:val="2"/>
    </w:pPr>
    <w:rPr>
      <w:b/>
      <w:sz w:val="32"/>
    </w:rPr>
  </w:style>
  <w:style w:type="paragraph" w:styleId="6">
    <w:name w:val="heading 7"/>
    <w:basedOn w:val="1"/>
    <w:next w:val="1"/>
    <w:link w:val="28"/>
    <w:qFormat/>
    <w:uiPriority w:val="9"/>
    <w:pPr>
      <w:keepNext/>
      <w:keepLines/>
      <w:spacing w:before="240" w:after="64" w:line="320" w:lineRule="auto"/>
      <w:outlineLvl w:val="6"/>
    </w:pPr>
    <w:rPr>
      <w:b/>
      <w:bCs/>
      <w:sz w:val="24"/>
    </w:rPr>
  </w:style>
  <w:style w:type="character" w:default="1" w:styleId="20">
    <w:name w:val="Default Paragraph Font"/>
    <w:unhideWhenUsed/>
    <w:qFormat/>
    <w:uiPriority w:val="1"/>
  </w:style>
  <w:style w:type="table" w:default="1" w:styleId="18">
    <w:name w:val="Normal Table"/>
    <w:semiHidden/>
    <w:unhideWhenUsed/>
    <w:qFormat/>
    <w:uiPriority w:val="99"/>
    <w:tblPr>
      <w:tblCellMar>
        <w:top w:w="0" w:type="dxa"/>
        <w:left w:w="108" w:type="dxa"/>
        <w:bottom w:w="0" w:type="dxa"/>
        <w:right w:w="108" w:type="dxa"/>
      </w:tblCellMar>
    </w:tblPr>
  </w:style>
  <w:style w:type="paragraph" w:customStyle="1" w:styleId="2">
    <w:name w:val="BodyText2"/>
    <w:basedOn w:val="1"/>
    <w:qFormat/>
    <w:uiPriority w:val="0"/>
    <w:pPr>
      <w:spacing w:after="120" w:line="480" w:lineRule="auto"/>
      <w:textAlignment w:val="baseline"/>
    </w:pPr>
    <w:rPr>
      <w:rFonts w:cs="Times New Roman"/>
      <w:sz w:val="32"/>
      <w:szCs w:val="32"/>
    </w:rPr>
  </w:style>
  <w:style w:type="paragraph" w:styleId="7">
    <w:name w:val="annotation text"/>
    <w:basedOn w:val="1"/>
    <w:link w:val="29"/>
    <w:unhideWhenUsed/>
    <w:qFormat/>
    <w:uiPriority w:val="99"/>
    <w:pPr>
      <w:adjustRightInd w:val="0"/>
      <w:spacing w:line="400" w:lineRule="exact"/>
      <w:jc w:val="left"/>
    </w:pPr>
    <w:rPr>
      <w:szCs w:val="21"/>
    </w:rPr>
  </w:style>
  <w:style w:type="paragraph" w:styleId="8">
    <w:name w:val="Date"/>
    <w:basedOn w:val="1"/>
    <w:next w:val="1"/>
    <w:link w:val="66"/>
    <w:semiHidden/>
    <w:unhideWhenUsed/>
    <w:qFormat/>
    <w:uiPriority w:val="99"/>
    <w:pPr>
      <w:ind w:left="100" w:leftChars="2500"/>
    </w:pPr>
  </w:style>
  <w:style w:type="paragraph" w:styleId="9">
    <w:name w:val="endnote text"/>
    <w:basedOn w:val="1"/>
    <w:link w:val="64"/>
    <w:semiHidden/>
    <w:unhideWhenUsed/>
    <w:qFormat/>
    <w:uiPriority w:val="99"/>
    <w:pPr>
      <w:snapToGrid w:val="0"/>
      <w:jc w:val="left"/>
    </w:pPr>
  </w:style>
  <w:style w:type="paragraph" w:styleId="10">
    <w:name w:val="Balloon Text"/>
    <w:basedOn w:val="1"/>
    <w:link w:val="30"/>
    <w:unhideWhenUsed/>
    <w:qFormat/>
    <w:uiPriority w:val="99"/>
    <w:rPr>
      <w:sz w:val="18"/>
      <w:szCs w:val="18"/>
    </w:rPr>
  </w:style>
  <w:style w:type="paragraph" w:styleId="11">
    <w:name w:val="footer"/>
    <w:basedOn w:val="1"/>
    <w:link w:val="31"/>
    <w:qFormat/>
    <w:uiPriority w:val="99"/>
    <w:pPr>
      <w:tabs>
        <w:tab w:val="center" w:pos="4153"/>
        <w:tab w:val="right" w:pos="8306"/>
      </w:tabs>
      <w:snapToGrid w:val="0"/>
      <w:jc w:val="left"/>
    </w:pPr>
    <w:rPr>
      <w:sz w:val="18"/>
      <w:szCs w:val="18"/>
    </w:rPr>
  </w:style>
  <w:style w:type="paragraph" w:styleId="12">
    <w:name w:val="envelope return"/>
    <w:basedOn w:val="1"/>
    <w:qFormat/>
    <w:uiPriority w:val="0"/>
    <w:pPr>
      <w:snapToGrid w:val="0"/>
    </w:pPr>
    <w:rPr>
      <w:rFonts w:ascii="Times New Roman" w:hAnsi="Times New Roman"/>
    </w:rPr>
  </w:style>
  <w:style w:type="paragraph" w:styleId="13">
    <w:name w:val="header"/>
    <w:basedOn w:val="1"/>
    <w:link w:val="62"/>
    <w:qFormat/>
    <w:uiPriority w:val="0"/>
    <w:pPr>
      <w:pBdr>
        <w:bottom w:val="single" w:color="auto" w:sz="6" w:space="1"/>
      </w:pBdr>
      <w:tabs>
        <w:tab w:val="center" w:pos="4153"/>
        <w:tab w:val="right" w:pos="8306"/>
      </w:tabs>
      <w:snapToGrid w:val="0"/>
      <w:jc w:val="center"/>
    </w:pPr>
    <w:rPr>
      <w:sz w:val="18"/>
      <w:szCs w:val="18"/>
    </w:rPr>
  </w:style>
  <w:style w:type="paragraph" w:styleId="14">
    <w:name w:val="toc 4"/>
    <w:basedOn w:val="1"/>
    <w:next w:val="1"/>
    <w:unhideWhenUsed/>
    <w:qFormat/>
    <w:uiPriority w:val="39"/>
    <w:pPr>
      <w:tabs>
        <w:tab w:val="right" w:leader="dot" w:pos="9344"/>
      </w:tabs>
      <w:adjustRightInd w:val="0"/>
      <w:spacing w:line="300" w:lineRule="exact"/>
      <w:ind w:left="629"/>
    </w:pPr>
    <w:rPr>
      <w:rFonts w:ascii="宋体"/>
      <w:szCs w:val="21"/>
    </w:rPr>
  </w:style>
  <w:style w:type="paragraph" w:styleId="15">
    <w:name w:val="Normal (Web)"/>
    <w:basedOn w:val="1"/>
    <w:semiHidden/>
    <w:unhideWhenUsed/>
    <w:qFormat/>
    <w:uiPriority w:val="99"/>
    <w:rPr>
      <w:sz w:val="24"/>
    </w:rPr>
  </w:style>
  <w:style w:type="paragraph" w:styleId="16">
    <w:name w:val="Title"/>
    <w:basedOn w:val="1"/>
    <w:next w:val="1"/>
    <w:link w:val="67"/>
    <w:qFormat/>
    <w:uiPriority w:val="10"/>
    <w:pPr>
      <w:spacing w:before="240" w:after="60"/>
      <w:jc w:val="center"/>
      <w:outlineLvl w:val="0"/>
    </w:pPr>
    <w:rPr>
      <w:rFonts w:asciiTheme="majorHAnsi" w:hAnsiTheme="majorHAnsi" w:eastAsiaTheme="majorEastAsia" w:cstheme="majorBidi"/>
      <w:b/>
      <w:bCs/>
      <w:sz w:val="32"/>
      <w:szCs w:val="32"/>
    </w:rPr>
  </w:style>
  <w:style w:type="paragraph" w:styleId="17">
    <w:name w:val="annotation subject"/>
    <w:basedOn w:val="7"/>
    <w:next w:val="7"/>
    <w:link w:val="63"/>
    <w:semiHidden/>
    <w:unhideWhenUsed/>
    <w:qFormat/>
    <w:uiPriority w:val="99"/>
    <w:pPr>
      <w:adjustRightInd/>
      <w:spacing w:line="240" w:lineRule="auto"/>
    </w:pPr>
    <w:rPr>
      <w:b/>
      <w:bCs/>
      <w:szCs w:val="24"/>
    </w:rPr>
  </w:style>
  <w:style w:type="table" w:styleId="19">
    <w:name w:val="Table Grid"/>
    <w:basedOn w:val="18"/>
    <w:qFormat/>
    <w:uiPriority w:val="39"/>
    <w:pPr>
      <w:widowControl w:val="0"/>
      <w:jc w:val="both"/>
    </w:pPr>
    <w:tblPr>
      <w:tblBorders>
        <w:top w:val="single" w:color="auto" w:sz="4" w:space="0"/>
        <w:bottom w:val="single" w:color="auto" w:sz="4" w:space="0"/>
      </w:tblBorders>
    </w:tblPr>
  </w:style>
  <w:style w:type="character" w:styleId="21">
    <w:name w:val="Strong"/>
    <w:basedOn w:val="20"/>
    <w:qFormat/>
    <w:uiPriority w:val="22"/>
    <w:rPr>
      <w:b/>
    </w:rPr>
  </w:style>
  <w:style w:type="character" w:styleId="22">
    <w:name w:val="endnote reference"/>
    <w:basedOn w:val="20"/>
    <w:semiHidden/>
    <w:unhideWhenUsed/>
    <w:qFormat/>
    <w:uiPriority w:val="99"/>
    <w:rPr>
      <w:vertAlign w:val="superscript"/>
    </w:rPr>
  </w:style>
  <w:style w:type="character" w:styleId="23">
    <w:name w:val="line number"/>
    <w:qFormat/>
    <w:uiPriority w:val="0"/>
  </w:style>
  <w:style w:type="character" w:styleId="24">
    <w:name w:val="Hyperlink"/>
    <w:qFormat/>
    <w:uiPriority w:val="0"/>
    <w:rPr>
      <w:rFonts w:ascii="宋体" w:eastAsia="宋体"/>
      <w:color w:val="auto"/>
      <w:spacing w:val="0"/>
      <w:w w:val="100"/>
      <w:position w:val="0"/>
      <w:sz w:val="21"/>
      <w:u w:val="none"/>
      <w:vertAlign w:val="baseline"/>
    </w:rPr>
  </w:style>
  <w:style w:type="character" w:styleId="25">
    <w:name w:val="annotation reference"/>
    <w:qFormat/>
    <w:uiPriority w:val="99"/>
    <w:rPr>
      <w:sz w:val="21"/>
    </w:rPr>
  </w:style>
  <w:style w:type="character" w:styleId="26">
    <w:name w:val="footnote reference"/>
    <w:qFormat/>
    <w:uiPriority w:val="0"/>
    <w:rPr>
      <w:vertAlign w:val="superscript"/>
    </w:rPr>
  </w:style>
  <w:style w:type="paragraph" w:customStyle="1" w:styleId="27">
    <w:name w:val="正文-公1"/>
    <w:qFormat/>
    <w:uiPriority w:val="99"/>
    <w:pPr>
      <w:widowControl w:val="0"/>
      <w:suppressAutoHyphens/>
      <w:jc w:val="both"/>
    </w:pPr>
    <w:rPr>
      <w:rFonts w:ascii="Calibri" w:hAnsi="Calibri" w:eastAsia="宋体" w:cs="Times New Roman"/>
      <w:kern w:val="2"/>
      <w:sz w:val="21"/>
      <w:szCs w:val="24"/>
      <w:lang w:val="en-US" w:eastAsia="zh-CN" w:bidi="ar-SA"/>
    </w:rPr>
  </w:style>
  <w:style w:type="character" w:customStyle="1" w:styleId="28">
    <w:name w:val="标题 7 字符"/>
    <w:link w:val="6"/>
    <w:qFormat/>
    <w:uiPriority w:val="0"/>
    <w:rPr>
      <w:rFonts w:eastAsia="宋体"/>
      <w:b/>
      <w:bCs/>
      <w:kern w:val="2"/>
      <w:sz w:val="24"/>
      <w:szCs w:val="24"/>
    </w:rPr>
  </w:style>
  <w:style w:type="character" w:customStyle="1" w:styleId="29">
    <w:name w:val="批注文字 字符"/>
    <w:link w:val="7"/>
    <w:semiHidden/>
    <w:qFormat/>
    <w:uiPriority w:val="99"/>
    <w:rPr>
      <w:rFonts w:ascii="Calibri" w:hAnsi="Calibri" w:eastAsia="宋体"/>
      <w:kern w:val="2"/>
      <w:sz w:val="21"/>
      <w:szCs w:val="21"/>
    </w:rPr>
  </w:style>
  <w:style w:type="character" w:customStyle="1" w:styleId="30">
    <w:name w:val="批注框文本 字符"/>
    <w:link w:val="10"/>
    <w:semiHidden/>
    <w:qFormat/>
    <w:uiPriority w:val="99"/>
    <w:rPr>
      <w:rFonts w:eastAsia="宋体"/>
      <w:kern w:val="2"/>
      <w:sz w:val="18"/>
      <w:szCs w:val="18"/>
    </w:rPr>
  </w:style>
  <w:style w:type="character" w:customStyle="1" w:styleId="31">
    <w:name w:val="页脚 字符"/>
    <w:link w:val="11"/>
    <w:qFormat/>
    <w:locked/>
    <w:uiPriority w:val="99"/>
    <w:rPr>
      <w:rFonts w:eastAsia="宋体"/>
      <w:kern w:val="2"/>
      <w:sz w:val="18"/>
      <w:szCs w:val="18"/>
    </w:rPr>
  </w:style>
  <w:style w:type="paragraph" w:customStyle="1" w:styleId="32">
    <w:name w:val="其他标准称谓"/>
    <w:qFormat/>
    <w:uiPriority w:val="0"/>
    <w:pPr>
      <w:spacing w:line="0" w:lineRule="atLeast"/>
      <w:jc w:val="distribute"/>
    </w:pPr>
    <w:rPr>
      <w:rFonts w:ascii="黑体" w:hAnsi="Calibri" w:eastAsia="黑体" w:cs="Calibri"/>
      <w:sz w:val="52"/>
      <w:lang w:val="en-US" w:eastAsia="zh-CN" w:bidi="ar-SA"/>
    </w:rPr>
  </w:style>
  <w:style w:type="paragraph" w:customStyle="1" w:styleId="33">
    <w:name w:val="封面标准号1"/>
    <w:qFormat/>
    <w:uiPriority w:val="0"/>
    <w:pPr>
      <w:widowControl w:val="0"/>
      <w:kinsoku w:val="0"/>
      <w:overflowPunct w:val="0"/>
      <w:autoSpaceDE w:val="0"/>
      <w:autoSpaceDN w:val="0"/>
      <w:spacing w:before="308"/>
      <w:jc w:val="right"/>
      <w:textAlignment w:val="center"/>
    </w:pPr>
    <w:rPr>
      <w:rFonts w:ascii="Calibri" w:hAnsi="Calibri" w:eastAsia="宋体" w:cs="Calibri"/>
      <w:sz w:val="28"/>
      <w:lang w:val="en-US" w:eastAsia="zh-CN" w:bidi="ar-SA"/>
    </w:rPr>
  </w:style>
  <w:style w:type="paragraph" w:customStyle="1" w:styleId="34">
    <w:name w:val="标准文件_段"/>
    <w:link w:val="35"/>
    <w:qFormat/>
    <w:uiPriority w:val="0"/>
    <w:pPr>
      <w:autoSpaceDE w:val="0"/>
      <w:autoSpaceDN w:val="0"/>
      <w:spacing w:line="520" w:lineRule="exact"/>
      <w:ind w:firstLine="640" w:firstLineChars="200"/>
      <w:jc w:val="both"/>
    </w:pPr>
    <w:rPr>
      <w:rFonts w:ascii="仿宋" w:hAnsi="仿宋" w:eastAsia="仿宋" w:cs="Calibri"/>
      <w:kern w:val="2"/>
      <w:sz w:val="32"/>
      <w:szCs w:val="32"/>
      <w:lang w:val="en-US" w:eastAsia="zh-CN" w:bidi="ar-SA"/>
    </w:rPr>
  </w:style>
  <w:style w:type="character" w:customStyle="1" w:styleId="35">
    <w:name w:val="标准文件_段 Char"/>
    <w:link w:val="34"/>
    <w:qFormat/>
    <w:uiPriority w:val="0"/>
    <w:rPr>
      <w:rFonts w:ascii="仿宋" w:hAnsi="仿宋" w:eastAsia="仿宋" w:cs="Calibri"/>
      <w:kern w:val="2"/>
      <w:sz w:val="32"/>
      <w:szCs w:val="32"/>
    </w:rPr>
  </w:style>
  <w:style w:type="paragraph" w:customStyle="1" w:styleId="36">
    <w:name w:val="标准文件_章标题"/>
    <w:next w:val="34"/>
    <w:qFormat/>
    <w:uiPriority w:val="0"/>
    <w:pPr>
      <w:numPr>
        <w:ilvl w:val="1"/>
        <w:numId w:val="1"/>
      </w:numPr>
      <w:spacing w:before="100" w:beforeLines="100" w:after="100" w:afterLines="100"/>
      <w:jc w:val="both"/>
      <w:outlineLvl w:val="0"/>
    </w:pPr>
    <w:rPr>
      <w:rFonts w:ascii="黑体" w:hAnsi="Calibri" w:eastAsia="黑体" w:cs="Calibri"/>
      <w:sz w:val="21"/>
      <w:lang w:val="en-US" w:eastAsia="zh-CN" w:bidi="ar-SA"/>
    </w:rPr>
  </w:style>
  <w:style w:type="paragraph" w:customStyle="1" w:styleId="37">
    <w:name w:val="标准文件_二级条标题"/>
    <w:next w:val="34"/>
    <w:qFormat/>
    <w:uiPriority w:val="0"/>
    <w:pPr>
      <w:widowControl w:val="0"/>
      <w:spacing w:before="50" w:beforeLines="50" w:after="50" w:afterLines="50"/>
      <w:jc w:val="both"/>
      <w:outlineLvl w:val="2"/>
    </w:pPr>
    <w:rPr>
      <w:rFonts w:ascii="黑体" w:hAnsi="Calibri" w:eastAsia="黑体" w:cs="Calibri"/>
      <w:sz w:val="21"/>
      <w:lang w:val="en-US" w:eastAsia="zh-CN" w:bidi="ar-SA"/>
    </w:rPr>
  </w:style>
  <w:style w:type="paragraph" w:customStyle="1" w:styleId="38">
    <w:name w:val="标准文件_一级条标题"/>
    <w:basedOn w:val="36"/>
    <w:next w:val="34"/>
    <w:qFormat/>
    <w:uiPriority w:val="0"/>
    <w:pPr>
      <w:numPr>
        <w:ilvl w:val="2"/>
      </w:numPr>
      <w:spacing w:before="50" w:beforeLines="0" w:after="50" w:afterLines="0"/>
      <w:outlineLvl w:val="1"/>
    </w:pPr>
  </w:style>
  <w:style w:type="paragraph" w:customStyle="1" w:styleId="39">
    <w:name w:val="标准文件_三级条标题"/>
    <w:basedOn w:val="37"/>
    <w:next w:val="34"/>
    <w:qFormat/>
    <w:uiPriority w:val="0"/>
    <w:pPr>
      <w:outlineLvl w:val="3"/>
    </w:pPr>
  </w:style>
  <w:style w:type="paragraph" w:customStyle="1" w:styleId="40">
    <w:name w:val="标准文件_四级条标题"/>
    <w:next w:val="34"/>
    <w:qFormat/>
    <w:uiPriority w:val="0"/>
    <w:pPr>
      <w:widowControl w:val="0"/>
      <w:spacing w:before="50" w:beforeLines="50" w:after="50" w:afterLines="50"/>
      <w:jc w:val="both"/>
      <w:outlineLvl w:val="4"/>
    </w:pPr>
    <w:rPr>
      <w:rFonts w:ascii="黑体" w:hAnsi="Calibri" w:eastAsia="黑体" w:cs="Calibri"/>
      <w:sz w:val="21"/>
      <w:lang w:val="en-US" w:eastAsia="zh-CN" w:bidi="ar-SA"/>
    </w:rPr>
  </w:style>
  <w:style w:type="paragraph" w:customStyle="1" w:styleId="41">
    <w:name w:val="标准文件_五级条标题"/>
    <w:next w:val="37"/>
    <w:qFormat/>
    <w:uiPriority w:val="0"/>
    <w:pPr>
      <w:widowControl w:val="0"/>
      <w:numPr>
        <w:ilvl w:val="6"/>
        <w:numId w:val="1"/>
      </w:numPr>
      <w:spacing w:before="50" w:beforeLines="50" w:after="50" w:afterLines="50"/>
      <w:jc w:val="both"/>
      <w:outlineLvl w:val="5"/>
    </w:pPr>
    <w:rPr>
      <w:rFonts w:ascii="黑体" w:hAnsi="Calibri" w:eastAsia="黑体" w:cs="Calibri"/>
      <w:sz w:val="21"/>
      <w:lang w:val="en-US" w:eastAsia="zh-CN" w:bidi="ar-SA"/>
    </w:rPr>
  </w:style>
  <w:style w:type="paragraph" w:customStyle="1" w:styleId="42">
    <w:name w:val="前言标题"/>
    <w:next w:val="1"/>
    <w:qFormat/>
    <w:uiPriority w:val="0"/>
    <w:pPr>
      <w:numPr>
        <w:ilvl w:val="0"/>
        <w:numId w:val="1"/>
      </w:numPr>
      <w:shd w:val="clear" w:color="FFFFFF" w:fill="FFFFFF"/>
      <w:spacing w:before="540" w:after="600"/>
      <w:jc w:val="center"/>
      <w:outlineLvl w:val="0"/>
    </w:pPr>
    <w:rPr>
      <w:rFonts w:ascii="黑体" w:hAnsi="Calibri" w:eastAsia="黑体" w:cs="Calibri"/>
      <w:sz w:val="32"/>
      <w:lang w:val="en-US" w:eastAsia="zh-CN" w:bidi="ar-SA"/>
    </w:rPr>
  </w:style>
  <w:style w:type="paragraph" w:customStyle="1" w:styleId="43">
    <w:name w:val="标准文件_四级无标题"/>
    <w:basedOn w:val="40"/>
    <w:qFormat/>
    <w:uiPriority w:val="0"/>
    <w:pPr>
      <w:numPr>
        <w:ilvl w:val="5"/>
        <w:numId w:val="1"/>
      </w:numPr>
    </w:pPr>
    <w:rPr>
      <w:rFonts w:ascii="宋体" w:eastAsia="宋体"/>
      <w:szCs w:val="52"/>
    </w:rPr>
  </w:style>
  <w:style w:type="paragraph" w:customStyle="1" w:styleId="44">
    <w:name w:val="标准文件_三级无标题"/>
    <w:basedOn w:val="39"/>
    <w:qFormat/>
    <w:uiPriority w:val="0"/>
    <w:pPr>
      <w:numPr>
        <w:ilvl w:val="4"/>
        <w:numId w:val="1"/>
      </w:numPr>
    </w:pPr>
    <w:rPr>
      <w:rFonts w:ascii="宋体" w:eastAsia="宋体"/>
    </w:rPr>
  </w:style>
  <w:style w:type="paragraph" w:customStyle="1" w:styleId="45">
    <w:name w:val="标准文件_正文表标题"/>
    <w:qFormat/>
    <w:uiPriority w:val="0"/>
    <w:pPr>
      <w:numPr>
        <w:ilvl w:val="0"/>
        <w:numId w:val="2"/>
      </w:numPr>
      <w:tabs>
        <w:tab w:val="left" w:pos="0"/>
      </w:tabs>
      <w:spacing w:before="50" w:beforeLines="50" w:after="50" w:afterLines="50"/>
      <w:jc w:val="center"/>
    </w:pPr>
    <w:rPr>
      <w:rFonts w:ascii="黑体" w:hAnsi="Calibri" w:eastAsia="黑体" w:cs="Calibri"/>
      <w:sz w:val="21"/>
      <w:lang w:val="en-US" w:eastAsia="zh-CN" w:bidi="ar-SA"/>
    </w:rPr>
  </w:style>
  <w:style w:type="character" w:customStyle="1" w:styleId="46">
    <w:name w:val="font11"/>
    <w:qFormat/>
    <w:uiPriority w:val="0"/>
    <w:rPr>
      <w:rFonts w:ascii="等线" w:eastAsia="等线"/>
      <w:b/>
      <w:bCs/>
      <w:color w:val="FF0000"/>
      <w:sz w:val="22"/>
      <w:szCs w:val="22"/>
      <w:u w:val="none"/>
    </w:rPr>
  </w:style>
  <w:style w:type="character" w:customStyle="1" w:styleId="47">
    <w:name w:val="font01"/>
    <w:qFormat/>
    <w:uiPriority w:val="0"/>
    <w:rPr>
      <w:rFonts w:ascii="等线" w:eastAsia="等线"/>
      <w:color w:val="000000"/>
      <w:sz w:val="22"/>
      <w:szCs w:val="22"/>
      <w:u w:val="none"/>
    </w:rPr>
  </w:style>
  <w:style w:type="paragraph" w:customStyle="1" w:styleId="48">
    <w:name w:val="段"/>
    <w:qFormat/>
    <w:uiPriority w:val="0"/>
    <w:pPr>
      <w:autoSpaceDE w:val="0"/>
      <w:autoSpaceDN w:val="0"/>
      <w:ind w:firstLine="200" w:firstLineChars="200"/>
      <w:jc w:val="both"/>
    </w:pPr>
    <w:rPr>
      <w:rFonts w:ascii="宋体" w:hAnsi="Calibri" w:eastAsia="宋体" w:cs="Calibri"/>
      <w:sz w:val="21"/>
      <w:lang w:val="en-US" w:eastAsia="zh-CN" w:bidi="ar-SA"/>
    </w:rPr>
  </w:style>
  <w:style w:type="paragraph" w:customStyle="1" w:styleId="49">
    <w:name w:val="二级无"/>
    <w:basedOn w:val="1"/>
    <w:qFormat/>
    <w:uiPriority w:val="0"/>
    <w:pPr>
      <w:widowControl/>
      <w:tabs>
        <w:tab w:val="left" w:pos="780"/>
      </w:tabs>
      <w:ind w:left="780" w:hanging="360"/>
      <w:jc w:val="left"/>
      <w:outlineLvl w:val="3"/>
    </w:pPr>
    <w:rPr>
      <w:rFonts w:ascii="宋体"/>
      <w:kern w:val="0"/>
      <w:szCs w:val="21"/>
    </w:rPr>
  </w:style>
  <w:style w:type="paragraph" w:customStyle="1" w:styleId="50">
    <w:name w:val="标准文件_二级无标题"/>
    <w:basedOn w:val="37"/>
    <w:qFormat/>
    <w:uiPriority w:val="0"/>
    <w:pPr>
      <w:tabs>
        <w:tab w:val="left" w:pos="1200"/>
      </w:tabs>
      <w:spacing w:before="0" w:beforeLines="0" w:after="0" w:afterLines="0"/>
      <w:ind w:left="1200" w:hanging="360"/>
      <w:outlineLvl w:val="9"/>
    </w:pPr>
    <w:rPr>
      <w:rFonts w:ascii="宋体" w:eastAsia="宋体"/>
    </w:rPr>
  </w:style>
  <w:style w:type="paragraph" w:customStyle="1" w:styleId="51">
    <w:name w:val="Char Char Char Char"/>
    <w:basedOn w:val="1"/>
    <w:qFormat/>
    <w:uiPriority w:val="0"/>
  </w:style>
  <w:style w:type="paragraph" w:customStyle="1" w:styleId="52">
    <w:name w:val="标准文件_数字编号列项（二级）"/>
    <w:qFormat/>
    <w:uiPriority w:val="0"/>
    <w:pPr>
      <w:numPr>
        <w:ilvl w:val="1"/>
        <w:numId w:val="3"/>
      </w:numPr>
      <w:jc w:val="both"/>
    </w:pPr>
    <w:rPr>
      <w:rFonts w:ascii="宋体" w:hAnsi="Calibri" w:eastAsia="宋体" w:cs="Calibri"/>
      <w:sz w:val="21"/>
      <w:lang w:val="en-US" w:eastAsia="zh-CN" w:bidi="ar-SA"/>
    </w:rPr>
  </w:style>
  <w:style w:type="paragraph" w:customStyle="1" w:styleId="53">
    <w:name w:val="标准文件_编号列项（三级）"/>
    <w:qFormat/>
    <w:uiPriority w:val="0"/>
    <w:pPr>
      <w:numPr>
        <w:ilvl w:val="2"/>
        <w:numId w:val="3"/>
      </w:numPr>
    </w:pPr>
    <w:rPr>
      <w:rFonts w:ascii="宋体" w:hAnsi="Calibri" w:eastAsia="宋体" w:cs="Calibri"/>
      <w:sz w:val="21"/>
      <w:lang w:val="en-US" w:eastAsia="zh-CN" w:bidi="ar-SA"/>
    </w:rPr>
  </w:style>
  <w:style w:type="paragraph" w:customStyle="1" w:styleId="54">
    <w:name w:val="标准文件_字母编号列项（一级）"/>
    <w:qFormat/>
    <w:uiPriority w:val="0"/>
    <w:pPr>
      <w:numPr>
        <w:ilvl w:val="0"/>
        <w:numId w:val="3"/>
      </w:numPr>
      <w:jc w:val="both"/>
    </w:pPr>
    <w:rPr>
      <w:rFonts w:ascii="宋体" w:hAnsi="Calibri" w:eastAsia="宋体" w:cs="Calibri"/>
      <w:sz w:val="21"/>
      <w:lang w:val="en-US" w:eastAsia="zh-CN" w:bidi="ar-SA"/>
    </w:rPr>
  </w:style>
  <w:style w:type="paragraph" w:customStyle="1" w:styleId="55">
    <w:name w:val="标准文件_术语条一"/>
    <w:basedOn w:val="1"/>
    <w:next w:val="34"/>
    <w:qFormat/>
    <w:uiPriority w:val="0"/>
    <w:pPr>
      <w:widowControl/>
    </w:pPr>
    <w:rPr>
      <w:rFonts w:ascii="宋体"/>
      <w:kern w:val="0"/>
      <w:szCs w:val="20"/>
    </w:rPr>
  </w:style>
  <w:style w:type="paragraph" w:customStyle="1" w:styleId="56">
    <w:name w:val="abstract"/>
    <w:basedOn w:val="1"/>
    <w:qFormat/>
    <w:uiPriority w:val="0"/>
    <w:pPr>
      <w:widowControl/>
      <w:spacing w:before="100" w:beforeAutospacing="1" w:after="100" w:afterAutospacing="1"/>
      <w:jc w:val="left"/>
    </w:pPr>
    <w:rPr>
      <w:rFonts w:ascii="宋体" w:hAnsi="宋体" w:cs="宋体"/>
      <w:kern w:val="0"/>
      <w:sz w:val="24"/>
    </w:rPr>
  </w:style>
  <w:style w:type="paragraph" w:customStyle="1" w:styleId="57">
    <w:name w:val="abstract_more"/>
    <w:basedOn w:val="1"/>
    <w:qFormat/>
    <w:uiPriority w:val="0"/>
    <w:pPr>
      <w:widowControl/>
      <w:spacing w:before="100" w:beforeAutospacing="1" w:after="100" w:afterAutospacing="1"/>
      <w:jc w:val="left"/>
    </w:pPr>
    <w:rPr>
      <w:rFonts w:ascii="宋体" w:hAnsi="宋体" w:cs="宋体"/>
      <w:kern w:val="0"/>
      <w:sz w:val="24"/>
    </w:rPr>
  </w:style>
  <w:style w:type="paragraph" w:styleId="58">
    <w:name w:val="No Spacing"/>
    <w:qFormat/>
    <w:uiPriority w:val="99"/>
    <w:pPr>
      <w:widowControl w:val="0"/>
      <w:jc w:val="both"/>
    </w:pPr>
    <w:rPr>
      <w:rFonts w:ascii="Calibri" w:hAnsi="Calibri" w:eastAsia="宋体" w:cs="Times New Roman"/>
      <w:kern w:val="2"/>
      <w:sz w:val="21"/>
      <w:szCs w:val="24"/>
      <w:lang w:val="en-US" w:eastAsia="zh-CN" w:bidi="ar-SA"/>
    </w:rPr>
  </w:style>
  <w:style w:type="paragraph" w:customStyle="1" w:styleId="59">
    <w:name w:val="标准文件_一级项"/>
    <w:qFormat/>
    <w:uiPriority w:val="0"/>
    <w:pPr>
      <w:numPr>
        <w:ilvl w:val="0"/>
        <w:numId w:val="4"/>
      </w:numPr>
    </w:pPr>
    <w:rPr>
      <w:rFonts w:ascii="宋体" w:hAnsi="Times New Roman" w:eastAsia="宋体" w:cs="Times New Roman"/>
      <w:sz w:val="21"/>
      <w:lang w:val="en-US" w:eastAsia="zh-CN" w:bidi="ar-SA"/>
    </w:rPr>
  </w:style>
  <w:style w:type="paragraph" w:customStyle="1" w:styleId="60">
    <w:name w:val="附录表标题"/>
    <w:basedOn w:val="1"/>
    <w:next w:val="48"/>
    <w:qFormat/>
    <w:uiPriority w:val="0"/>
    <w:pPr>
      <w:numPr>
        <w:ilvl w:val="1"/>
        <w:numId w:val="5"/>
      </w:numPr>
      <w:tabs>
        <w:tab w:val="left" w:pos="180"/>
      </w:tabs>
      <w:spacing w:beforeLines="50" w:afterLines="50"/>
      <w:ind w:left="0" w:firstLine="0"/>
      <w:jc w:val="center"/>
    </w:pPr>
    <w:rPr>
      <w:rFonts w:ascii="黑体" w:hAnsi="Times New Roman" w:eastAsia="黑体" w:cs="Times New Roman"/>
      <w:szCs w:val="21"/>
    </w:rPr>
  </w:style>
  <w:style w:type="paragraph" w:styleId="61">
    <w:name w:val="List Paragraph"/>
    <w:basedOn w:val="1"/>
    <w:unhideWhenUsed/>
    <w:qFormat/>
    <w:uiPriority w:val="99"/>
    <w:pPr>
      <w:ind w:firstLine="420" w:firstLineChars="200"/>
    </w:pPr>
    <w:rPr>
      <w:rFonts w:ascii="Times New Roman" w:hAnsi="Times New Roman" w:cs="Times New Roman"/>
    </w:rPr>
  </w:style>
  <w:style w:type="character" w:customStyle="1" w:styleId="62">
    <w:name w:val="页眉 字符"/>
    <w:basedOn w:val="20"/>
    <w:link w:val="13"/>
    <w:qFormat/>
    <w:uiPriority w:val="0"/>
    <w:rPr>
      <w:rFonts w:ascii="Calibri" w:hAnsi="Calibri" w:cs="Calibri"/>
      <w:kern w:val="2"/>
      <w:sz w:val="18"/>
      <w:szCs w:val="18"/>
    </w:rPr>
  </w:style>
  <w:style w:type="character" w:customStyle="1" w:styleId="63">
    <w:name w:val="批注主题 字符"/>
    <w:basedOn w:val="29"/>
    <w:link w:val="17"/>
    <w:semiHidden/>
    <w:qFormat/>
    <w:uiPriority w:val="99"/>
    <w:rPr>
      <w:rFonts w:ascii="Calibri" w:hAnsi="Calibri" w:eastAsia="宋体" w:cs="Calibri"/>
      <w:b/>
      <w:bCs/>
      <w:kern w:val="2"/>
      <w:sz w:val="21"/>
      <w:szCs w:val="24"/>
    </w:rPr>
  </w:style>
  <w:style w:type="character" w:customStyle="1" w:styleId="64">
    <w:name w:val="尾注文本 字符"/>
    <w:basedOn w:val="20"/>
    <w:link w:val="9"/>
    <w:semiHidden/>
    <w:qFormat/>
    <w:uiPriority w:val="99"/>
    <w:rPr>
      <w:rFonts w:ascii="Calibri" w:hAnsi="Calibri" w:cs="Calibri"/>
      <w:kern w:val="2"/>
      <w:sz w:val="21"/>
      <w:szCs w:val="24"/>
    </w:rPr>
  </w:style>
  <w:style w:type="paragraph" w:customStyle="1" w:styleId="65">
    <w:name w:val="标准文件_方框数字列项"/>
    <w:basedOn w:val="34"/>
    <w:qFormat/>
    <w:uiPriority w:val="0"/>
    <w:pPr>
      <w:numPr>
        <w:ilvl w:val="0"/>
        <w:numId w:val="6"/>
      </w:numPr>
      <w:spacing w:line="240" w:lineRule="auto"/>
      <w:ind w:firstLine="0" w:firstLineChars="0"/>
    </w:pPr>
    <w:rPr>
      <w:rFonts w:ascii="宋体" w:hAnsi="Times New Roman" w:eastAsia="宋体" w:cs="Times New Roman"/>
      <w:kern w:val="0"/>
      <w:sz w:val="21"/>
      <w:szCs w:val="20"/>
    </w:rPr>
  </w:style>
  <w:style w:type="character" w:customStyle="1" w:styleId="66">
    <w:name w:val="日期 字符"/>
    <w:basedOn w:val="20"/>
    <w:link w:val="8"/>
    <w:semiHidden/>
    <w:qFormat/>
    <w:uiPriority w:val="99"/>
    <w:rPr>
      <w:rFonts w:ascii="Calibri" w:hAnsi="Calibri" w:cs="Calibri"/>
      <w:kern w:val="2"/>
      <w:sz w:val="21"/>
      <w:szCs w:val="24"/>
    </w:rPr>
  </w:style>
  <w:style w:type="character" w:customStyle="1" w:styleId="67">
    <w:name w:val="标题 字符"/>
    <w:basedOn w:val="20"/>
    <w:link w:val="16"/>
    <w:qFormat/>
    <w:uiPriority w:val="10"/>
    <w:rPr>
      <w:rFonts w:asciiTheme="majorHAnsi" w:hAnsiTheme="majorHAnsi" w:eastAsiaTheme="majorEastAsia" w:cstheme="majorBidi"/>
      <w:b/>
      <w:bCs/>
      <w:kern w:val="2"/>
      <w:sz w:val="32"/>
      <w:szCs w:val="32"/>
    </w:rPr>
  </w:style>
  <w:style w:type="table" w:customStyle="1" w:styleId="68">
    <w:name w:val="网格型1"/>
    <w:basedOn w:val="18"/>
    <w:qFormat/>
    <w:uiPriority w:val="3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69">
    <w:name w:val="标准文件_表格"/>
    <w:basedOn w:val="34"/>
    <w:qFormat/>
    <w:uiPriority w:val="0"/>
    <w:pPr>
      <w:ind w:firstLine="0" w:firstLineChars="0"/>
      <w:jc w:val="center"/>
    </w:pPr>
    <w:rPr>
      <w:sz w:val="18"/>
    </w:rPr>
  </w:style>
  <w:style w:type="character" w:styleId="70">
    <w:name w:val="Placeholder Text"/>
    <w:basedOn w:val="20"/>
    <w:unhideWhenUsed/>
    <w:qFormat/>
    <w:uiPriority w:val="99"/>
    <w:rPr>
      <w:color w:val="666666"/>
    </w:rPr>
  </w:style>
</w:styles>
</file>

<file path=word/_rels/document.xml.rels><?xml version="1.0" encoding="UTF-8" standalone="yes"?>
<Relationships xmlns="http://schemas.openxmlformats.org/package/2006/relationships"><Relationship Id="rId9" Type="http://schemas.openxmlformats.org/officeDocument/2006/relationships/image" Target="media/image5.jpeg"/><Relationship Id="rId8" Type="http://schemas.openxmlformats.org/officeDocument/2006/relationships/image" Target="media/image4.jpeg"/><Relationship Id="rId7" Type="http://schemas.openxmlformats.org/officeDocument/2006/relationships/image" Target="media/image3.jpeg"/><Relationship Id="rId6" Type="http://schemas.openxmlformats.org/officeDocument/2006/relationships/image" Target="media/image2.png"/><Relationship Id="rId5" Type="http://schemas.openxmlformats.org/officeDocument/2006/relationships/image" Target="media/image1.png"/><Relationship Id="rId4" Type="http://schemas.openxmlformats.org/officeDocument/2006/relationships/theme" Target="theme/theme1.xml"/><Relationship Id="rId3" Type="http://schemas.openxmlformats.org/officeDocument/2006/relationships/footer" Target="footer1.xml"/><Relationship Id="rId20" Type="http://schemas.openxmlformats.org/officeDocument/2006/relationships/fontTable" Target="fontTable.xml"/><Relationship Id="rId2" Type="http://schemas.openxmlformats.org/officeDocument/2006/relationships/settings" Target="settings.xml"/><Relationship Id="rId19" Type="http://schemas.openxmlformats.org/officeDocument/2006/relationships/customXml" Target="../customXml/item2.xml"/><Relationship Id="rId18" Type="http://schemas.openxmlformats.org/officeDocument/2006/relationships/numbering" Target="numbering.xml"/><Relationship Id="rId17" Type="http://schemas.openxmlformats.org/officeDocument/2006/relationships/customXml" Target="../customXml/item1.xml"/><Relationship Id="rId16" Type="http://schemas.openxmlformats.org/officeDocument/2006/relationships/image" Target="media/image12.png"/><Relationship Id="rId15" Type="http://schemas.openxmlformats.org/officeDocument/2006/relationships/image" Target="media/image11.png"/><Relationship Id="rId14" Type="http://schemas.openxmlformats.org/officeDocument/2006/relationships/image" Target="media/image10.png"/><Relationship Id="rId13" Type="http://schemas.openxmlformats.org/officeDocument/2006/relationships/image" Target="media/image9.png"/><Relationship Id="rId12" Type="http://schemas.openxmlformats.org/officeDocument/2006/relationships/image" Target="media/image8.png"/><Relationship Id="rId11" Type="http://schemas.openxmlformats.org/officeDocument/2006/relationships/image" Target="media/image7.png"/><Relationship Id="rId10" Type="http://schemas.openxmlformats.org/officeDocument/2006/relationships/image" Target="media/image6.jpeg"/><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hpExts>
    <customShpInfo spid="_x0000_s1026"/>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C8F7BB9D-ADAF-4870-B5F4-5A64B6D6D972}">
  <ds:schemaRefs/>
</ds:datastoreItem>
</file>

<file path=docProps/app.xml><?xml version="1.0" encoding="utf-8"?>
<Properties xmlns="http://schemas.openxmlformats.org/officeDocument/2006/extended-properties" xmlns:vt="http://schemas.openxmlformats.org/officeDocument/2006/docPropsVTypes">
  <Template>Normal</Template>
  <Company>微软中国</Company>
  <Pages>20</Pages>
  <Words>6501</Words>
  <Characters>6841</Characters>
  <Lines>75</Lines>
  <Paragraphs>21</Paragraphs>
  <TotalTime>1</TotalTime>
  <ScaleCrop>false</ScaleCrop>
  <LinksUpToDate>false</LinksUpToDate>
  <CharactersWithSpaces>6939</CharactersWithSpaces>
  <Application>WPS Office_12.1.0.24034_F1E327BC-269C-435d-A152-05C5408002CA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2024-09-29T09:06:00Z</dcterms:created>
  <dc:creator>Administrator</dc:creator>
  <cp:lastModifiedBy>清风揽月</cp:lastModifiedBy>
  <cp:lastPrinted>2025-05-09T02:21:00Z</cp:lastPrinted>
  <dcterms:modified xsi:type="dcterms:W3CDTF">2025-12-28T01:32:59Z</dcterms:modified>
  <cp:revision>406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2052-12.1.0.24034</vt:lpwstr>
  </property>
  <property fmtid="{D5CDD505-2E9C-101B-9397-08002B2CF9AE}" pid="3" name="ICV">
    <vt:lpwstr>A922D90BF3B641DA8C66AE267C36FA1E_13</vt:lpwstr>
  </property>
  <property fmtid="{D5CDD505-2E9C-101B-9397-08002B2CF9AE}" pid="4" name="KSOTemplateDocerSaveRecord">
    <vt:lpwstr>eyJoZGlkIjoiZDllMzdjNjgwNDU3NjBmZDQ4Y2EzNzcwNGVkZjc2ZWYiLCJ1c2VySWQiOiI1NjkwODQ0OTAifQ==</vt:lpwstr>
  </property>
</Properties>
</file>