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C055057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jc w:val="center"/>
        <w:rPr>
          <w:rFonts w:ascii="方正小标宋简体" w:eastAsia="方正小标宋简体" w:cs="仿宋_GB2312"/>
          <w:bCs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  <w:r>
        <w:rPr>
          <w:rFonts w:hint="eastAsia" w:ascii="方正小标宋简体" w:eastAsia="方正小标宋简体" w:cs="仿宋_GB2312"/>
          <w:bCs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  <w:t>团体标准《</w:t>
      </w:r>
      <w:r>
        <w:rPr>
          <w:rFonts w:hint="eastAsia" w:ascii="方正小标宋简体" w:eastAsia="方正小标宋简体" w:cs="仿宋_GB2312"/>
          <w:bCs/>
          <w:color w:val="000000" w:themeColor="text1"/>
          <w:sz w:val="44"/>
          <w:szCs w:val="44"/>
          <w:lang w:eastAsia="zh-CN"/>
          <w14:textFill>
            <w14:solidFill>
              <w14:schemeClr w14:val="tx1"/>
            </w14:solidFill>
          </w14:textFill>
        </w:rPr>
        <w:t>斑节对虾生态养殖技术规范</w:t>
      </w:r>
      <w:r>
        <w:rPr>
          <w:rFonts w:hint="eastAsia" w:ascii="方正小标宋简体" w:eastAsia="方正小标宋简体" w:cs="仿宋_GB2312"/>
          <w:bCs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  <w:t>》（征求意见稿）编制说明</w:t>
      </w:r>
    </w:p>
    <w:p w14:paraId="62E7E0C9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378"/>
        <w:jc w:val="center"/>
        <w:rPr>
          <w:rFonts w:ascii="方正小标宋简体" w:eastAsia="方正小标宋简体" w:cs="仿宋_GB2312"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</w:p>
    <w:p w14:paraId="74A76E49">
      <w:pPr>
        <w:pStyle w:val="16"/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before="0" w:after="0" w:line="520" w:lineRule="exact"/>
        <w:ind w:firstLine="640" w:firstLineChars="200"/>
        <w:jc w:val="left"/>
        <w:rPr>
          <w:rFonts w:hint="eastAsia" w:ascii="黑体" w:hAnsi="黑体" w:eastAsia="黑体"/>
          <w:b w:val="0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b w:val="0"/>
          <w:color w:val="000000" w:themeColor="text1"/>
          <w14:textFill>
            <w14:solidFill>
              <w14:schemeClr w14:val="tx1"/>
            </w14:solidFill>
          </w14:textFill>
        </w:rPr>
        <w:t>一、任务来源、起草单位、</w:t>
      </w:r>
      <w:r>
        <w:rPr>
          <w:rFonts w:ascii="黑体" w:hAnsi="黑体" w:eastAsia="黑体"/>
          <w:b w:val="0"/>
          <w:color w:val="000000" w:themeColor="text1"/>
          <w14:textFill>
            <w14:solidFill>
              <w14:schemeClr w14:val="tx1"/>
            </w14:solidFill>
          </w14:textFill>
        </w:rPr>
        <w:t>主要起草人</w:t>
      </w:r>
    </w:p>
    <w:p w14:paraId="563EDC9B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根据《广西标准化协会关于下达2025年第四十二批团体标准制修订项目计划的通知》（桂标协〔2025〕384号）文件精神，由广西水产学会提出，广西壮族自治区中医药研究院、广西壮族自治区水产科学研究院、广西中医药大学、防城港市渔业技术推广站、合浦县乡村振兴发展中心、合浦县水产技术推广站等单位共同起草的团体标准《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斑节对虾生态养殖技术规范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》（项目编号：2025-420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7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）已获批立项。</w:t>
      </w:r>
    </w:p>
    <w:p w14:paraId="44A20A57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为高质量编制团体标准《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斑节对虾生态养殖技术规范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》，由起草单位成立标准编制工作组并进行如下分工：</w:t>
      </w:r>
    </w:p>
    <w:tbl>
      <w:tblPr>
        <w:tblStyle w:val="18"/>
        <w:tblW w:w="5081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23"/>
        <w:gridCol w:w="1660"/>
        <w:gridCol w:w="1578"/>
        <w:gridCol w:w="2169"/>
        <w:gridCol w:w="2793"/>
      </w:tblGrid>
      <w:tr w14:paraId="6D681A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0" w:hRule="atLeast"/>
          <w:tblHeader/>
          <w:jc w:val="center"/>
        </w:trPr>
        <w:tc>
          <w:tcPr>
            <w:tcW w:w="602" w:type="pct"/>
            <w:noWrap w:val="0"/>
            <w:vAlign w:val="center"/>
          </w:tcPr>
          <w:p w14:paraId="26473916">
            <w:pPr>
              <w:jc w:val="center"/>
              <w:rPr>
                <w:rFonts w:ascii="仿宋_GB2312" w:hAnsi="Times New Roman" w:eastAsia="仿宋_GB2312"/>
                <w:b/>
                <w:color w:val="000000"/>
                <w:sz w:val="24"/>
              </w:rPr>
            </w:pPr>
            <w:r>
              <w:rPr>
                <w:rFonts w:hint="eastAsia" w:ascii="仿宋_GB2312" w:hAnsi="Times New Roman" w:eastAsia="仿宋_GB2312"/>
                <w:b/>
                <w:color w:val="000000"/>
                <w:sz w:val="24"/>
              </w:rPr>
              <w:t>姓名</w:t>
            </w:r>
          </w:p>
        </w:tc>
        <w:tc>
          <w:tcPr>
            <w:tcW w:w="890" w:type="pct"/>
            <w:noWrap w:val="0"/>
            <w:vAlign w:val="center"/>
          </w:tcPr>
          <w:p w14:paraId="2D39A4ED">
            <w:pPr>
              <w:jc w:val="center"/>
              <w:rPr>
                <w:rFonts w:ascii="仿宋_GB2312" w:hAnsi="Times New Roman" w:eastAsia="仿宋_GB2312"/>
                <w:b/>
                <w:color w:val="000000"/>
                <w:sz w:val="24"/>
              </w:rPr>
            </w:pPr>
            <w:r>
              <w:rPr>
                <w:rFonts w:hint="eastAsia" w:ascii="仿宋_GB2312" w:hAnsi="Times New Roman" w:eastAsia="仿宋_GB2312"/>
                <w:b/>
                <w:color w:val="000000"/>
                <w:sz w:val="24"/>
              </w:rPr>
              <w:t>职务/职称</w:t>
            </w:r>
          </w:p>
        </w:tc>
        <w:tc>
          <w:tcPr>
            <w:tcW w:w="846" w:type="pct"/>
            <w:noWrap w:val="0"/>
            <w:vAlign w:val="center"/>
          </w:tcPr>
          <w:p w14:paraId="0A3FA167">
            <w:pPr>
              <w:jc w:val="center"/>
              <w:rPr>
                <w:rFonts w:ascii="仿宋_GB2312" w:hAnsi="Times New Roman" w:eastAsia="仿宋_GB2312"/>
                <w:b/>
                <w:color w:val="000000"/>
                <w:sz w:val="24"/>
              </w:rPr>
            </w:pPr>
            <w:r>
              <w:rPr>
                <w:rFonts w:hint="eastAsia" w:ascii="仿宋_GB2312" w:hAnsi="Times New Roman" w:eastAsia="仿宋_GB2312"/>
                <w:b/>
                <w:color w:val="000000"/>
                <w:sz w:val="24"/>
              </w:rPr>
              <w:t>从事专业</w:t>
            </w:r>
          </w:p>
        </w:tc>
        <w:tc>
          <w:tcPr>
            <w:tcW w:w="1163" w:type="pct"/>
            <w:noWrap w:val="0"/>
            <w:vAlign w:val="center"/>
          </w:tcPr>
          <w:p w14:paraId="325148D5">
            <w:pPr>
              <w:jc w:val="center"/>
              <w:rPr>
                <w:rFonts w:ascii="仿宋_GB2312" w:hAnsi="Times New Roman" w:eastAsia="仿宋_GB2312"/>
                <w:b/>
                <w:color w:val="000000"/>
                <w:sz w:val="24"/>
              </w:rPr>
            </w:pPr>
            <w:r>
              <w:rPr>
                <w:rFonts w:hint="eastAsia" w:ascii="仿宋_GB2312" w:hAnsi="Times New Roman" w:eastAsia="仿宋_GB2312"/>
                <w:b/>
                <w:color w:val="000000"/>
                <w:sz w:val="24"/>
              </w:rPr>
              <w:t>工作单位</w:t>
            </w:r>
          </w:p>
        </w:tc>
        <w:tc>
          <w:tcPr>
            <w:tcW w:w="1497" w:type="pct"/>
            <w:noWrap w:val="0"/>
            <w:vAlign w:val="center"/>
          </w:tcPr>
          <w:p w14:paraId="4AABB8E6">
            <w:pPr>
              <w:jc w:val="center"/>
              <w:rPr>
                <w:rFonts w:ascii="仿宋_GB2312" w:hAnsi="Times New Roman" w:eastAsia="仿宋_GB2312"/>
                <w:b/>
                <w:color w:val="000000"/>
                <w:sz w:val="24"/>
              </w:rPr>
            </w:pPr>
            <w:r>
              <w:rPr>
                <w:rFonts w:hint="eastAsia" w:ascii="仿宋_GB2312" w:hAnsi="Times New Roman" w:eastAsia="仿宋_GB2312"/>
                <w:b/>
                <w:color w:val="000000"/>
                <w:sz w:val="24"/>
              </w:rPr>
              <w:t>责任分工</w:t>
            </w:r>
          </w:p>
        </w:tc>
      </w:tr>
      <w:tr w14:paraId="6F0985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  <w:jc w:val="center"/>
        </w:trPr>
        <w:tc>
          <w:tcPr>
            <w:tcW w:w="602" w:type="pct"/>
            <w:noWrap w:val="0"/>
            <w:vAlign w:val="center"/>
          </w:tcPr>
          <w:p w14:paraId="250664C2">
            <w:pPr>
              <w:jc w:val="center"/>
              <w:textAlignment w:val="baseline"/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</w:pPr>
            <w:r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  <w:t>黄艳</w:t>
            </w:r>
          </w:p>
        </w:tc>
        <w:tc>
          <w:tcPr>
            <w:tcW w:w="890" w:type="pct"/>
            <w:noWrap w:val="0"/>
            <w:vAlign w:val="center"/>
          </w:tcPr>
          <w:p w14:paraId="2AD6337B">
            <w:pPr>
              <w:jc w:val="center"/>
              <w:textAlignment w:val="baseline"/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</w:pPr>
            <w:r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  <w:t>研究员</w:t>
            </w:r>
          </w:p>
        </w:tc>
        <w:tc>
          <w:tcPr>
            <w:tcW w:w="846" w:type="pct"/>
            <w:noWrap w:val="0"/>
            <w:vAlign w:val="center"/>
          </w:tcPr>
          <w:p w14:paraId="291D71D9">
            <w:pPr>
              <w:jc w:val="center"/>
              <w:textAlignment w:val="baseline"/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</w:pPr>
            <w:r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  <w:t>检验检测</w:t>
            </w:r>
          </w:p>
        </w:tc>
        <w:tc>
          <w:tcPr>
            <w:tcW w:w="1163" w:type="pct"/>
            <w:noWrap w:val="0"/>
            <w:vAlign w:val="center"/>
          </w:tcPr>
          <w:p w14:paraId="459E3B8E">
            <w:pPr>
              <w:jc w:val="center"/>
              <w:textAlignment w:val="baseline"/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</w:pPr>
            <w:r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  <w:t>广西中医药研究院</w:t>
            </w:r>
          </w:p>
        </w:tc>
        <w:tc>
          <w:tcPr>
            <w:tcW w:w="1497" w:type="pct"/>
            <w:noWrap w:val="0"/>
            <w:vAlign w:val="center"/>
          </w:tcPr>
          <w:p w14:paraId="5AC2421A">
            <w:pPr>
              <w:suppressAutoHyphens/>
              <w:rPr>
                <w:rFonts w:hint="eastAsia" w:ascii="仿宋_GB2312" w:hAnsi="仿宋_GB2312" w:eastAsia="仿宋_GB2312" w:cs="仿宋_GB2312"/>
                <w:bCs/>
                <w:color w:val="000000"/>
                <w:sz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bCs/>
                <w:color w:val="000000"/>
                <w:sz w:val="24"/>
                <w:lang w:eastAsia="zh-CN"/>
              </w:rPr>
              <w:t>总统筹，组织实施</w:t>
            </w:r>
          </w:p>
        </w:tc>
      </w:tr>
      <w:tr w14:paraId="7BE806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  <w:jc w:val="center"/>
        </w:trPr>
        <w:tc>
          <w:tcPr>
            <w:tcW w:w="602" w:type="pct"/>
            <w:noWrap w:val="0"/>
            <w:vAlign w:val="center"/>
          </w:tcPr>
          <w:p w14:paraId="14A9B818">
            <w:pPr>
              <w:jc w:val="center"/>
              <w:textAlignment w:val="baseline"/>
              <w:rPr>
                <w:rFonts w:hint="default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</w:pPr>
            <w:r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  <w:t>熊建华</w:t>
            </w:r>
          </w:p>
        </w:tc>
        <w:tc>
          <w:tcPr>
            <w:tcW w:w="890" w:type="pct"/>
            <w:noWrap w:val="0"/>
            <w:vAlign w:val="center"/>
          </w:tcPr>
          <w:p w14:paraId="5991AB1E">
            <w:pPr>
              <w:jc w:val="center"/>
              <w:textAlignment w:val="baseline"/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</w:pPr>
            <w:r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  <w:t>正高级农艺师</w:t>
            </w:r>
          </w:p>
        </w:tc>
        <w:tc>
          <w:tcPr>
            <w:tcW w:w="846" w:type="pct"/>
            <w:noWrap w:val="0"/>
            <w:vAlign w:val="center"/>
          </w:tcPr>
          <w:p w14:paraId="7673622B">
            <w:pPr>
              <w:jc w:val="center"/>
              <w:textAlignment w:val="baseline"/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</w:pPr>
            <w:r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  <w:t>水产养殖</w:t>
            </w:r>
          </w:p>
        </w:tc>
        <w:tc>
          <w:tcPr>
            <w:tcW w:w="1163" w:type="pct"/>
            <w:noWrap w:val="0"/>
            <w:vAlign w:val="center"/>
          </w:tcPr>
          <w:p w14:paraId="62C23E4F">
            <w:pPr>
              <w:jc w:val="center"/>
              <w:textAlignment w:val="baseline"/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</w:pPr>
            <w:r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  <w:t>广西水产科学研究院</w:t>
            </w:r>
          </w:p>
        </w:tc>
        <w:tc>
          <w:tcPr>
            <w:tcW w:w="1497" w:type="pct"/>
            <w:noWrap w:val="0"/>
            <w:vAlign w:val="center"/>
          </w:tcPr>
          <w:p w14:paraId="78894B5C">
            <w:pPr>
              <w:suppressAutoHyphens/>
              <w:rPr>
                <w:rFonts w:ascii="仿宋_GB2312" w:hAnsi="仿宋_GB2312" w:eastAsia="仿宋_GB2312" w:cs="仿宋_GB2312"/>
                <w:bCs/>
                <w:color w:val="000000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bCs/>
                <w:color w:val="000000"/>
                <w:sz w:val="24"/>
              </w:rPr>
              <w:t>统筹标准编制工作，组织人员进行规范发布后的宣贯培训。</w:t>
            </w:r>
          </w:p>
        </w:tc>
      </w:tr>
      <w:tr w14:paraId="1C7C65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  <w:jc w:val="center"/>
        </w:trPr>
        <w:tc>
          <w:tcPr>
            <w:tcW w:w="602" w:type="pct"/>
            <w:noWrap w:val="0"/>
            <w:vAlign w:val="center"/>
          </w:tcPr>
          <w:p w14:paraId="5C38718D">
            <w:pPr>
              <w:jc w:val="center"/>
              <w:textAlignment w:val="baseline"/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</w:pPr>
            <w:r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  <w:t>罗帮</w:t>
            </w:r>
          </w:p>
        </w:tc>
        <w:tc>
          <w:tcPr>
            <w:tcW w:w="890" w:type="pct"/>
            <w:noWrap w:val="0"/>
            <w:vAlign w:val="center"/>
          </w:tcPr>
          <w:p w14:paraId="4C807952">
            <w:pPr>
              <w:jc w:val="center"/>
              <w:textAlignment w:val="baseline"/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</w:pPr>
            <w:r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  <w:t>副研究员</w:t>
            </w:r>
          </w:p>
        </w:tc>
        <w:tc>
          <w:tcPr>
            <w:tcW w:w="846" w:type="pct"/>
            <w:noWrap w:val="0"/>
            <w:vAlign w:val="center"/>
          </w:tcPr>
          <w:p w14:paraId="4992DE44">
            <w:pPr>
              <w:jc w:val="center"/>
              <w:textAlignment w:val="baseline"/>
              <w:rPr>
                <w:rFonts w:hint="eastAsia" w:ascii="仿宋_GB2312" w:hAnsi="仿宋" w:eastAsia="仿宋_GB2312"/>
                <w:color w:val="000000"/>
                <w:kern w:val="2"/>
                <w:sz w:val="24"/>
                <w:szCs w:val="32"/>
                <w:lang w:val="en-US" w:eastAsia="zh-CN" w:bidi="ar-SA"/>
              </w:rPr>
            </w:pPr>
            <w:r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  <w:t>水产养殖</w:t>
            </w:r>
          </w:p>
        </w:tc>
        <w:tc>
          <w:tcPr>
            <w:tcW w:w="1163" w:type="pct"/>
            <w:noWrap w:val="0"/>
            <w:vAlign w:val="center"/>
          </w:tcPr>
          <w:p w14:paraId="4F528EE3">
            <w:pPr>
              <w:jc w:val="center"/>
              <w:textAlignment w:val="baseline"/>
              <w:rPr>
                <w:rFonts w:hint="eastAsia" w:ascii="仿宋_GB2312" w:hAnsi="仿宋" w:eastAsia="仿宋_GB2312"/>
                <w:color w:val="000000"/>
                <w:kern w:val="2"/>
                <w:sz w:val="24"/>
                <w:szCs w:val="32"/>
                <w:lang w:val="en-US" w:eastAsia="zh-CN" w:bidi="ar-SA"/>
              </w:rPr>
            </w:pPr>
            <w:r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  <w:t>广西水产科学研究院</w:t>
            </w:r>
          </w:p>
        </w:tc>
        <w:tc>
          <w:tcPr>
            <w:tcW w:w="1497" w:type="pct"/>
            <w:noWrap w:val="0"/>
            <w:vAlign w:val="center"/>
          </w:tcPr>
          <w:p w14:paraId="6997FC9B">
            <w:pPr>
              <w:suppressAutoHyphens/>
              <w:rPr>
                <w:rFonts w:ascii="仿宋_GB2312" w:hAnsi="仿宋_GB2312" w:eastAsia="仿宋_GB2312" w:cs="仿宋_GB2312"/>
                <w:bCs/>
                <w:color w:val="000000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bCs/>
                <w:color w:val="000000"/>
                <w:sz w:val="24"/>
              </w:rPr>
              <w:t>指导标准文本及编制说明编写，质量控制。</w:t>
            </w:r>
          </w:p>
        </w:tc>
      </w:tr>
      <w:tr w14:paraId="62DB21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5" w:hRule="atLeast"/>
          <w:jc w:val="center"/>
        </w:trPr>
        <w:tc>
          <w:tcPr>
            <w:tcW w:w="602" w:type="pct"/>
            <w:noWrap w:val="0"/>
            <w:vAlign w:val="center"/>
          </w:tcPr>
          <w:p w14:paraId="7C7627BA">
            <w:pPr>
              <w:jc w:val="center"/>
              <w:textAlignment w:val="baseline"/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</w:pPr>
            <w:r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  <w:t>方怀义</w:t>
            </w:r>
          </w:p>
        </w:tc>
        <w:tc>
          <w:tcPr>
            <w:tcW w:w="890" w:type="pct"/>
            <w:noWrap w:val="0"/>
            <w:vAlign w:val="center"/>
          </w:tcPr>
          <w:p w14:paraId="3FE0F383">
            <w:pPr>
              <w:jc w:val="center"/>
              <w:textAlignment w:val="baseline"/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</w:pPr>
            <w:r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  <w:t>讲师</w:t>
            </w:r>
          </w:p>
        </w:tc>
        <w:tc>
          <w:tcPr>
            <w:tcW w:w="846" w:type="pct"/>
            <w:noWrap w:val="0"/>
            <w:vAlign w:val="center"/>
          </w:tcPr>
          <w:p w14:paraId="69C140F0">
            <w:pPr>
              <w:jc w:val="center"/>
              <w:textAlignment w:val="baseline"/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</w:pPr>
            <w:r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  <w:t>水产养殖</w:t>
            </w:r>
          </w:p>
        </w:tc>
        <w:tc>
          <w:tcPr>
            <w:tcW w:w="1163" w:type="pct"/>
            <w:noWrap w:val="0"/>
            <w:vAlign w:val="center"/>
          </w:tcPr>
          <w:p w14:paraId="4034A0FC">
            <w:pPr>
              <w:jc w:val="center"/>
              <w:textAlignment w:val="baseline"/>
              <w:rPr>
                <w:rFonts w:hint="default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</w:pPr>
            <w:r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  <w:t>北部湾大学</w:t>
            </w:r>
          </w:p>
        </w:tc>
        <w:tc>
          <w:tcPr>
            <w:tcW w:w="1497" w:type="pct"/>
            <w:noWrap w:val="0"/>
            <w:vAlign w:val="center"/>
          </w:tcPr>
          <w:p w14:paraId="7970D616">
            <w:pPr>
              <w:suppressAutoHyphens/>
              <w:rPr>
                <w:rFonts w:ascii="仿宋_GB2312" w:hAnsi="仿宋_GB2312" w:eastAsia="仿宋_GB2312" w:cs="仿宋_GB2312"/>
                <w:bCs/>
                <w:color w:val="000000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bCs/>
                <w:color w:val="000000"/>
                <w:sz w:val="24"/>
              </w:rPr>
              <w:t>对标准实施情况进行总结分析，不断对标准提出修正意见。</w:t>
            </w:r>
          </w:p>
        </w:tc>
      </w:tr>
      <w:tr w14:paraId="0FCBE5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5" w:hRule="atLeast"/>
          <w:jc w:val="center"/>
        </w:trPr>
        <w:tc>
          <w:tcPr>
            <w:tcW w:w="602" w:type="pct"/>
            <w:noWrap w:val="0"/>
            <w:vAlign w:val="center"/>
          </w:tcPr>
          <w:p w14:paraId="3DBAE478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</w:pPr>
            <w:r>
              <w:rPr>
                <w:rFonts w:ascii="仿宋_GB2312" w:hAnsi="仿宋" w:eastAsia="仿宋_GB2312"/>
                <w:color w:val="000000"/>
                <w:sz w:val="24"/>
                <w:szCs w:val="32"/>
              </w:rPr>
              <w:t>钟声平</w:t>
            </w:r>
          </w:p>
        </w:tc>
        <w:tc>
          <w:tcPr>
            <w:tcW w:w="890" w:type="pct"/>
            <w:noWrap w:val="0"/>
            <w:vAlign w:val="center"/>
          </w:tcPr>
          <w:p w14:paraId="16C1AC6A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</w:pPr>
            <w:r>
              <w:rPr>
                <w:rFonts w:ascii="仿宋_GB2312" w:hAnsi="仿宋" w:eastAsia="仿宋_GB2312"/>
                <w:color w:val="000000"/>
                <w:sz w:val="24"/>
                <w:szCs w:val="32"/>
              </w:rPr>
              <w:t>副研究员</w:t>
            </w:r>
          </w:p>
        </w:tc>
        <w:tc>
          <w:tcPr>
            <w:tcW w:w="846" w:type="pct"/>
            <w:noWrap w:val="0"/>
            <w:vAlign w:val="center"/>
          </w:tcPr>
          <w:p w14:paraId="34D716FB">
            <w:pPr>
              <w:jc w:val="center"/>
              <w:textAlignment w:val="baseline"/>
              <w:rPr>
                <w:rFonts w:hint="default" w:ascii="仿宋_GB2312" w:hAnsi="仿宋_GB2312" w:eastAsia="仿宋_GB2312" w:cs="仿宋_GB2312"/>
                <w:color w:val="000000"/>
                <w:szCs w:val="21"/>
                <w:lang w:val="en-US" w:eastAsia="zh-CN"/>
              </w:rPr>
            </w:pPr>
            <w:r>
              <w:rPr>
                <w:rFonts w:hint="eastAsia" w:ascii="仿宋_GB2312" w:hAnsi="仿宋" w:eastAsia="仿宋_GB2312"/>
                <w:color w:val="000000"/>
                <w:sz w:val="24"/>
                <w:szCs w:val="32"/>
              </w:rPr>
              <w:t>海洋</w:t>
            </w:r>
            <w:r>
              <w:rPr>
                <w:rFonts w:ascii="仿宋_GB2312" w:hAnsi="仿宋" w:eastAsia="仿宋_GB2312"/>
                <w:color w:val="000000"/>
                <w:sz w:val="24"/>
                <w:szCs w:val="32"/>
              </w:rPr>
              <w:t>生物技术</w:t>
            </w:r>
          </w:p>
        </w:tc>
        <w:tc>
          <w:tcPr>
            <w:tcW w:w="1163" w:type="pct"/>
            <w:noWrap w:val="0"/>
            <w:vAlign w:val="center"/>
          </w:tcPr>
          <w:p w14:paraId="2855D93A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</w:pPr>
            <w:r>
              <w:rPr>
                <w:rFonts w:ascii="仿宋_GB2312" w:hAnsi="仿宋" w:eastAsia="仿宋_GB2312"/>
                <w:color w:val="000000"/>
                <w:sz w:val="24"/>
                <w:szCs w:val="32"/>
              </w:rPr>
              <w:t>广西中医药大学</w:t>
            </w:r>
          </w:p>
        </w:tc>
        <w:tc>
          <w:tcPr>
            <w:tcW w:w="1497" w:type="pct"/>
            <w:noWrap w:val="0"/>
            <w:vAlign w:val="center"/>
          </w:tcPr>
          <w:p w14:paraId="7EDCB500">
            <w:pPr>
              <w:suppressAutoHyphens/>
              <w:rPr>
                <w:rFonts w:ascii="仿宋_GB2312" w:hAnsi="仿宋_GB2312" w:eastAsia="仿宋_GB2312" w:cs="仿宋_GB2312"/>
                <w:bCs/>
                <w:color w:val="000000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bCs/>
                <w:color w:val="000000"/>
                <w:sz w:val="24"/>
              </w:rPr>
              <w:t>负责起草标准草案，征求意见稿和标准编制说明，送审稿及编制说明的编写工作。</w:t>
            </w:r>
          </w:p>
        </w:tc>
      </w:tr>
      <w:tr w14:paraId="47B7C4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5" w:hRule="atLeast"/>
          <w:jc w:val="center"/>
        </w:trPr>
        <w:tc>
          <w:tcPr>
            <w:tcW w:w="602" w:type="pct"/>
            <w:noWrap w:val="0"/>
            <w:vAlign w:val="center"/>
          </w:tcPr>
          <w:p w14:paraId="33BB11B2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szCs w:val="21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eastAsia="zh-CN"/>
              </w:rPr>
              <w:t>赖克道</w:t>
            </w:r>
          </w:p>
        </w:tc>
        <w:tc>
          <w:tcPr>
            <w:tcW w:w="890" w:type="pct"/>
            <w:noWrap w:val="0"/>
            <w:vAlign w:val="center"/>
          </w:tcPr>
          <w:p w14:paraId="40790F46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szCs w:val="21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eastAsia="zh-CN"/>
              </w:rPr>
              <w:t>研究员</w:t>
            </w:r>
          </w:p>
        </w:tc>
        <w:tc>
          <w:tcPr>
            <w:tcW w:w="846" w:type="pct"/>
            <w:noWrap w:val="0"/>
            <w:vAlign w:val="center"/>
          </w:tcPr>
          <w:p w14:paraId="6191D34D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szCs w:val="21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eastAsia="zh-CN"/>
              </w:rPr>
              <w:t>分析化学</w:t>
            </w:r>
          </w:p>
        </w:tc>
        <w:tc>
          <w:tcPr>
            <w:tcW w:w="1163" w:type="pct"/>
            <w:noWrap w:val="0"/>
            <w:vAlign w:val="center"/>
          </w:tcPr>
          <w:p w14:paraId="71B21F8F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  <w:t>广西中医药研究院</w:t>
            </w:r>
          </w:p>
        </w:tc>
        <w:tc>
          <w:tcPr>
            <w:tcW w:w="1497" w:type="pct"/>
            <w:noWrap w:val="0"/>
            <w:vAlign w:val="center"/>
          </w:tcPr>
          <w:p w14:paraId="63ACBDEC">
            <w:pPr>
              <w:suppressAutoHyphens/>
              <w:rPr>
                <w:rFonts w:hint="eastAsia" w:ascii="仿宋_GB2312" w:hAnsi="Times New Roman" w:eastAsia="仿宋_GB2312"/>
                <w:bCs/>
                <w:color w:val="00000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_GB2312" w:hAnsi="Times New Roman" w:eastAsia="仿宋_GB2312"/>
                <w:bCs/>
                <w:color w:val="000000"/>
                <w:sz w:val="24"/>
              </w:rPr>
              <w:t>查询、收集和整理资料，协助标准文本及编制说明的编写、实施。</w:t>
            </w:r>
          </w:p>
        </w:tc>
      </w:tr>
      <w:tr w14:paraId="7743CF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5" w:hRule="atLeast"/>
          <w:jc w:val="center"/>
        </w:trPr>
        <w:tc>
          <w:tcPr>
            <w:tcW w:w="602" w:type="pct"/>
            <w:noWrap w:val="0"/>
            <w:vAlign w:val="center"/>
          </w:tcPr>
          <w:p w14:paraId="310D05B9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szCs w:val="21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eastAsia="zh-CN"/>
              </w:rPr>
              <w:t>陈明生</w:t>
            </w:r>
          </w:p>
        </w:tc>
        <w:tc>
          <w:tcPr>
            <w:tcW w:w="890" w:type="pct"/>
            <w:noWrap w:val="0"/>
            <w:vAlign w:val="center"/>
          </w:tcPr>
          <w:p w14:paraId="1C3453B7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szCs w:val="21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eastAsia="zh-CN"/>
              </w:rPr>
              <w:t>副主任药师</w:t>
            </w:r>
          </w:p>
        </w:tc>
        <w:tc>
          <w:tcPr>
            <w:tcW w:w="846" w:type="pct"/>
            <w:noWrap w:val="0"/>
            <w:vAlign w:val="center"/>
          </w:tcPr>
          <w:p w14:paraId="2D761340">
            <w:pPr>
              <w:jc w:val="center"/>
              <w:textAlignment w:val="baseline"/>
              <w:rPr>
                <w:rFonts w:ascii="仿宋_GB2312" w:hAnsi="仿宋_GB2312" w:eastAsia="仿宋_GB2312" w:cs="仿宋_GB2312"/>
                <w:color w:val="000000"/>
                <w:szCs w:val="21"/>
              </w:rPr>
            </w:pPr>
            <w:r>
              <w:rPr>
                <w:rFonts w:ascii="仿宋_GB2312" w:hAnsi="仿宋_GB2312" w:eastAsia="仿宋_GB2312" w:cs="仿宋_GB2312"/>
                <w:color w:val="000000"/>
                <w:szCs w:val="21"/>
              </w:rPr>
              <w:t>海洋药用资源</w:t>
            </w:r>
          </w:p>
        </w:tc>
        <w:tc>
          <w:tcPr>
            <w:tcW w:w="1163" w:type="pct"/>
            <w:noWrap w:val="0"/>
            <w:vAlign w:val="center"/>
          </w:tcPr>
          <w:p w14:paraId="02BFC050">
            <w:pPr>
              <w:jc w:val="center"/>
              <w:textAlignment w:val="baseline"/>
              <w:rPr>
                <w:rFonts w:ascii="仿宋_GB2312" w:hAnsi="仿宋_GB2312" w:eastAsia="仿宋_GB2312" w:cs="仿宋_GB2312"/>
                <w:color w:val="000000"/>
                <w:szCs w:val="21"/>
              </w:rPr>
            </w:pPr>
            <w:r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  <w:t>广西中医药研究院</w:t>
            </w:r>
          </w:p>
        </w:tc>
        <w:tc>
          <w:tcPr>
            <w:tcW w:w="1497" w:type="pct"/>
            <w:noWrap w:val="0"/>
            <w:vAlign w:val="center"/>
          </w:tcPr>
          <w:p w14:paraId="41B7341F">
            <w:pPr>
              <w:suppressAutoHyphens/>
              <w:rPr>
                <w:rFonts w:hint="eastAsia" w:ascii="仿宋_GB2312" w:hAnsi="Times New Roman" w:eastAsia="仿宋_GB2312"/>
                <w:bCs/>
                <w:color w:val="000000"/>
                <w:sz w:val="24"/>
              </w:rPr>
            </w:pPr>
            <w:r>
              <w:rPr>
                <w:rFonts w:hint="eastAsia" w:ascii="仿宋_GB2312" w:hAnsi="Times New Roman" w:eastAsia="仿宋_GB2312"/>
                <w:bCs/>
                <w:color w:val="000000"/>
                <w:sz w:val="24"/>
              </w:rPr>
              <w:t>查询、收集和整理资料，协助标准文本及编制说明的编写、实施。</w:t>
            </w:r>
          </w:p>
        </w:tc>
      </w:tr>
      <w:tr w14:paraId="37C4ED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5" w:hRule="atLeast"/>
          <w:jc w:val="center"/>
        </w:trPr>
        <w:tc>
          <w:tcPr>
            <w:tcW w:w="602" w:type="pct"/>
            <w:noWrap w:val="0"/>
            <w:vAlign w:val="center"/>
          </w:tcPr>
          <w:p w14:paraId="71492385">
            <w:pPr>
              <w:jc w:val="center"/>
              <w:textAlignment w:val="baseline"/>
              <w:rPr>
                <w:rFonts w:hint="default" w:ascii="仿宋_GB2312" w:hAnsi="仿宋" w:eastAsia="仿宋_GB2312"/>
                <w:color w:val="000000"/>
                <w:kern w:val="2"/>
                <w:sz w:val="24"/>
                <w:szCs w:val="32"/>
                <w:lang w:val="en-US" w:eastAsia="zh-CN" w:bidi="ar-SA"/>
              </w:rPr>
            </w:pPr>
            <w:r>
              <w:rPr>
                <w:rFonts w:ascii="仿宋_GB2312" w:hAnsi="仿宋_GB2312" w:eastAsia="仿宋_GB2312" w:cs="仿宋_GB2312"/>
                <w:color w:val="000000"/>
                <w:szCs w:val="21"/>
              </w:rPr>
              <w:t>黄国强</w:t>
            </w:r>
          </w:p>
        </w:tc>
        <w:tc>
          <w:tcPr>
            <w:tcW w:w="890" w:type="pct"/>
            <w:noWrap w:val="0"/>
            <w:vAlign w:val="center"/>
          </w:tcPr>
          <w:p w14:paraId="210B241A">
            <w:pPr>
              <w:jc w:val="center"/>
              <w:textAlignment w:val="baseline"/>
              <w:rPr>
                <w:rFonts w:hint="eastAsia" w:ascii="仿宋_GB2312" w:hAnsi="仿宋" w:eastAsia="仿宋_GB2312"/>
                <w:color w:val="000000"/>
                <w:kern w:val="2"/>
                <w:sz w:val="24"/>
                <w:szCs w:val="32"/>
                <w:lang w:val="en-US" w:eastAsia="zh-CN" w:bidi="ar-SA"/>
              </w:rPr>
            </w:pPr>
            <w:r>
              <w:rPr>
                <w:rFonts w:ascii="仿宋_GB2312" w:hAnsi="仿宋_GB2312" w:eastAsia="仿宋_GB2312" w:cs="仿宋_GB2312"/>
                <w:color w:val="000000"/>
                <w:szCs w:val="21"/>
              </w:rPr>
              <w:t>研究员</w:t>
            </w:r>
          </w:p>
        </w:tc>
        <w:tc>
          <w:tcPr>
            <w:tcW w:w="846" w:type="pct"/>
            <w:noWrap w:val="0"/>
            <w:vAlign w:val="center"/>
          </w:tcPr>
          <w:p w14:paraId="1634FE59">
            <w:pPr>
              <w:jc w:val="center"/>
              <w:textAlignment w:val="baseline"/>
              <w:rPr>
                <w:rFonts w:hint="eastAsia" w:ascii="仿宋_GB2312" w:hAnsi="仿宋" w:eastAsia="仿宋_GB2312"/>
                <w:color w:val="000000"/>
                <w:kern w:val="2"/>
                <w:sz w:val="24"/>
                <w:szCs w:val="32"/>
                <w:lang w:val="en-US" w:eastAsia="zh-CN" w:bidi="ar-SA"/>
              </w:rPr>
            </w:pPr>
            <w:r>
              <w:rPr>
                <w:rFonts w:ascii="仿宋_GB2312" w:hAnsi="仿宋_GB2312" w:eastAsia="仿宋_GB2312" w:cs="仿宋_GB2312"/>
                <w:color w:val="000000"/>
                <w:szCs w:val="21"/>
              </w:rPr>
              <w:t>海水养殖生态</w:t>
            </w:r>
          </w:p>
        </w:tc>
        <w:tc>
          <w:tcPr>
            <w:tcW w:w="1163" w:type="pct"/>
            <w:noWrap w:val="0"/>
            <w:vAlign w:val="center"/>
          </w:tcPr>
          <w:p w14:paraId="207F8340">
            <w:pPr>
              <w:jc w:val="center"/>
              <w:textAlignment w:val="baseline"/>
              <w:rPr>
                <w:rFonts w:hint="default" w:ascii="仿宋_GB2312" w:hAnsi="仿宋" w:eastAsia="仿宋_GB2312"/>
                <w:color w:val="000000"/>
                <w:kern w:val="2"/>
                <w:sz w:val="24"/>
                <w:szCs w:val="32"/>
                <w:lang w:val="en-US" w:eastAsia="zh-CN" w:bidi="ar-SA"/>
              </w:rPr>
            </w:pPr>
            <w:r>
              <w:rPr>
                <w:rFonts w:ascii="仿宋_GB2312" w:hAnsi="仿宋_GB2312" w:eastAsia="仿宋_GB2312" w:cs="仿宋_GB2312"/>
                <w:color w:val="000000"/>
                <w:szCs w:val="21"/>
              </w:rPr>
              <w:t>广西中医药大学</w:t>
            </w:r>
          </w:p>
        </w:tc>
        <w:tc>
          <w:tcPr>
            <w:tcW w:w="1497" w:type="pct"/>
            <w:noWrap w:val="0"/>
            <w:vAlign w:val="center"/>
          </w:tcPr>
          <w:p w14:paraId="76F16051">
            <w:pPr>
              <w:suppressAutoHyphens/>
              <w:rPr>
                <w:rFonts w:ascii="仿宋_GB2312" w:hAnsi="仿宋_GB2312" w:eastAsia="仿宋_GB2312" w:cs="仿宋_GB2312"/>
                <w:bCs/>
                <w:color w:val="000000"/>
                <w:sz w:val="24"/>
              </w:rPr>
            </w:pPr>
            <w:r>
              <w:rPr>
                <w:rFonts w:hint="eastAsia" w:ascii="仿宋_GB2312" w:hAnsi="Times New Roman" w:eastAsia="仿宋_GB2312"/>
                <w:bCs/>
                <w:color w:val="000000"/>
                <w:sz w:val="24"/>
              </w:rPr>
              <w:t>负责起草标准草案，征求意见稿和标准编制说明，送审稿及编制说明的编写工作。</w:t>
            </w:r>
          </w:p>
        </w:tc>
      </w:tr>
      <w:tr w14:paraId="1452FC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5" w:hRule="atLeast"/>
          <w:jc w:val="center"/>
        </w:trPr>
        <w:tc>
          <w:tcPr>
            <w:tcW w:w="602" w:type="pct"/>
            <w:noWrap w:val="0"/>
            <w:vAlign w:val="center"/>
          </w:tcPr>
          <w:p w14:paraId="705D8447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张艳秋</w:t>
            </w:r>
          </w:p>
        </w:tc>
        <w:tc>
          <w:tcPr>
            <w:tcW w:w="890" w:type="pct"/>
            <w:noWrap w:val="0"/>
            <w:vAlign w:val="center"/>
          </w:tcPr>
          <w:p w14:paraId="7F821152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副教授</w:t>
            </w:r>
          </w:p>
        </w:tc>
        <w:tc>
          <w:tcPr>
            <w:tcW w:w="846" w:type="pct"/>
            <w:noWrap w:val="0"/>
            <w:vAlign w:val="center"/>
          </w:tcPr>
          <w:p w14:paraId="2CA8CB7B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饲料营养</w:t>
            </w:r>
          </w:p>
        </w:tc>
        <w:tc>
          <w:tcPr>
            <w:tcW w:w="1163" w:type="pct"/>
            <w:noWrap w:val="0"/>
            <w:vAlign w:val="center"/>
          </w:tcPr>
          <w:p w14:paraId="73D34E82">
            <w:pPr>
              <w:jc w:val="center"/>
              <w:textAlignment w:val="baseline"/>
              <w:rPr>
                <w:rFonts w:hint="default" w:ascii="仿宋_GB2312" w:hAnsi="仿宋_GB2312" w:eastAsia="仿宋_GB2312" w:cs="仿宋_GB2312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北部湾大学</w:t>
            </w:r>
          </w:p>
        </w:tc>
        <w:tc>
          <w:tcPr>
            <w:tcW w:w="1497" w:type="pct"/>
            <w:noWrap w:val="0"/>
            <w:vAlign w:val="center"/>
          </w:tcPr>
          <w:p w14:paraId="4A7FE86A">
            <w:pPr>
              <w:suppressAutoHyphens/>
              <w:rPr>
                <w:rFonts w:ascii="仿宋_GB2312" w:hAnsi="仿宋_GB2312" w:eastAsia="仿宋_GB2312" w:cs="仿宋_GB2312"/>
                <w:bCs/>
                <w:color w:val="000000"/>
                <w:sz w:val="24"/>
              </w:rPr>
            </w:pPr>
            <w:r>
              <w:rPr>
                <w:rFonts w:hint="eastAsia" w:ascii="仿宋_GB2312" w:hAnsi="Times New Roman" w:eastAsia="仿宋_GB2312"/>
                <w:bCs/>
                <w:color w:val="000000"/>
                <w:sz w:val="24"/>
              </w:rPr>
              <w:t>查询、收集和整理资料，协助标准文本及编制说明的编写、实施。</w:t>
            </w:r>
          </w:p>
        </w:tc>
      </w:tr>
      <w:tr w14:paraId="7C614E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5" w:hRule="atLeast"/>
          <w:jc w:val="center"/>
        </w:trPr>
        <w:tc>
          <w:tcPr>
            <w:tcW w:w="602" w:type="pct"/>
            <w:noWrap w:val="0"/>
            <w:vAlign w:val="center"/>
          </w:tcPr>
          <w:p w14:paraId="28EBACA2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秦普亿</w:t>
            </w:r>
          </w:p>
        </w:tc>
        <w:tc>
          <w:tcPr>
            <w:tcW w:w="890" w:type="pct"/>
            <w:noWrap w:val="0"/>
            <w:vAlign w:val="center"/>
          </w:tcPr>
          <w:p w14:paraId="1E0883B6">
            <w:pPr>
              <w:jc w:val="center"/>
              <w:textAlignment w:val="baseline"/>
              <w:rPr>
                <w:rFonts w:hint="default" w:ascii="仿宋_GB2312" w:hAnsi="仿宋_GB2312" w:eastAsia="仿宋_GB2312" w:cs="仿宋_GB2312"/>
                <w:color w:val="000000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工程师</w:t>
            </w:r>
          </w:p>
        </w:tc>
        <w:tc>
          <w:tcPr>
            <w:tcW w:w="846" w:type="pct"/>
            <w:noWrap w:val="0"/>
            <w:vAlign w:val="center"/>
          </w:tcPr>
          <w:p w14:paraId="6CA934E4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水产养殖</w:t>
            </w:r>
          </w:p>
        </w:tc>
        <w:tc>
          <w:tcPr>
            <w:tcW w:w="1163" w:type="pct"/>
            <w:noWrap w:val="0"/>
            <w:vAlign w:val="center"/>
          </w:tcPr>
          <w:p w14:paraId="3FB6E256">
            <w:pPr>
              <w:jc w:val="center"/>
              <w:textAlignment w:val="baseline"/>
              <w:rPr>
                <w:rFonts w:ascii="仿宋_GB2312" w:hAnsi="仿宋_GB2312" w:eastAsia="仿宋_GB2312" w:cs="仿宋_GB2312"/>
                <w:color w:val="000000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合浦县水产技术推广站</w:t>
            </w:r>
          </w:p>
        </w:tc>
        <w:tc>
          <w:tcPr>
            <w:tcW w:w="1497" w:type="pct"/>
            <w:noWrap w:val="0"/>
            <w:vAlign w:val="center"/>
          </w:tcPr>
          <w:p w14:paraId="60D114E8">
            <w:pPr>
              <w:suppressAutoHyphens/>
              <w:rPr>
                <w:rFonts w:ascii="仿宋_GB2312" w:hAnsi="Times New Roman" w:eastAsia="仿宋_GB2312"/>
                <w:bCs/>
                <w:color w:val="000000"/>
                <w:sz w:val="24"/>
              </w:rPr>
            </w:pPr>
            <w:r>
              <w:rPr>
                <w:rFonts w:hint="eastAsia" w:ascii="仿宋_GB2312" w:hAnsi="Times New Roman" w:eastAsia="仿宋_GB2312"/>
                <w:bCs/>
                <w:color w:val="000000"/>
                <w:sz w:val="24"/>
              </w:rPr>
              <w:t>查询、收集和整理资料，协助标准文本及编制说明的编写、实施。</w:t>
            </w:r>
          </w:p>
        </w:tc>
      </w:tr>
      <w:tr w14:paraId="3CD040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5" w:hRule="atLeast"/>
          <w:jc w:val="center"/>
        </w:trPr>
        <w:tc>
          <w:tcPr>
            <w:tcW w:w="602" w:type="pct"/>
            <w:noWrap w:val="0"/>
            <w:vAlign w:val="center"/>
          </w:tcPr>
          <w:p w14:paraId="0AA852ED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方雪湾</w:t>
            </w:r>
          </w:p>
        </w:tc>
        <w:tc>
          <w:tcPr>
            <w:tcW w:w="890" w:type="pct"/>
            <w:noWrap w:val="0"/>
            <w:vAlign w:val="center"/>
          </w:tcPr>
          <w:p w14:paraId="15488C67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助理研究员</w:t>
            </w:r>
          </w:p>
        </w:tc>
        <w:tc>
          <w:tcPr>
            <w:tcW w:w="846" w:type="pct"/>
            <w:noWrap w:val="0"/>
            <w:vAlign w:val="center"/>
          </w:tcPr>
          <w:p w14:paraId="0A5700DD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分析化学</w:t>
            </w:r>
          </w:p>
        </w:tc>
        <w:tc>
          <w:tcPr>
            <w:tcW w:w="1163" w:type="pct"/>
            <w:noWrap w:val="0"/>
            <w:vAlign w:val="center"/>
          </w:tcPr>
          <w:p w14:paraId="037116A6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  <w:t>广西中医药研究院</w:t>
            </w:r>
          </w:p>
        </w:tc>
        <w:tc>
          <w:tcPr>
            <w:tcW w:w="1497" w:type="pct"/>
            <w:noWrap w:val="0"/>
            <w:vAlign w:val="center"/>
          </w:tcPr>
          <w:p w14:paraId="43A29FD6">
            <w:pPr>
              <w:suppressAutoHyphens/>
              <w:rPr>
                <w:rFonts w:hint="eastAsia" w:ascii="仿宋_GB2312" w:hAnsi="Times New Roman" w:eastAsia="仿宋_GB2312"/>
                <w:bCs/>
                <w:color w:val="00000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_GB2312" w:hAnsi="Times New Roman" w:eastAsia="仿宋_GB2312"/>
                <w:bCs/>
                <w:color w:val="000000"/>
                <w:sz w:val="24"/>
              </w:rPr>
              <w:t>查询、收集和整理资料，协助标准文本及编制说明的编写、实施。</w:t>
            </w:r>
          </w:p>
        </w:tc>
      </w:tr>
      <w:tr w14:paraId="37DEF6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5" w:hRule="atLeast"/>
          <w:jc w:val="center"/>
        </w:trPr>
        <w:tc>
          <w:tcPr>
            <w:tcW w:w="602" w:type="pct"/>
            <w:noWrap w:val="0"/>
            <w:vAlign w:val="center"/>
          </w:tcPr>
          <w:p w14:paraId="54A8518F">
            <w:pPr>
              <w:jc w:val="center"/>
              <w:textAlignment w:val="baseline"/>
              <w:rPr>
                <w:rFonts w:hint="default" w:ascii="仿宋_GB2312" w:hAnsi="仿宋_GB2312" w:eastAsia="仿宋_GB2312" w:cs="仿宋_GB2312"/>
                <w:color w:val="000000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张彬</w:t>
            </w:r>
          </w:p>
        </w:tc>
        <w:tc>
          <w:tcPr>
            <w:tcW w:w="890" w:type="pct"/>
            <w:noWrap w:val="0"/>
            <w:vAlign w:val="center"/>
          </w:tcPr>
          <w:p w14:paraId="3ADD0F70">
            <w:pPr>
              <w:jc w:val="center"/>
              <w:textAlignment w:val="baseline"/>
              <w:rPr>
                <w:rFonts w:hint="default" w:ascii="仿宋_GB2312" w:hAnsi="仿宋_GB2312" w:eastAsia="仿宋_GB2312" w:cs="仿宋_GB2312"/>
                <w:color w:val="000000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正高级农艺师</w:t>
            </w:r>
          </w:p>
        </w:tc>
        <w:tc>
          <w:tcPr>
            <w:tcW w:w="846" w:type="pct"/>
            <w:noWrap w:val="0"/>
            <w:vAlign w:val="center"/>
          </w:tcPr>
          <w:p w14:paraId="0816FEA5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水产养殖</w:t>
            </w:r>
          </w:p>
        </w:tc>
        <w:tc>
          <w:tcPr>
            <w:tcW w:w="1163" w:type="pct"/>
            <w:noWrap w:val="0"/>
            <w:vAlign w:val="center"/>
          </w:tcPr>
          <w:p w14:paraId="4A6B0E44">
            <w:pPr>
              <w:jc w:val="center"/>
              <w:textAlignment w:val="baseline"/>
              <w:rPr>
                <w:rFonts w:hint="default" w:ascii="仿宋_GB2312" w:hAnsi="仿宋_GB2312" w:eastAsia="仿宋_GB2312" w:cs="仿宋_GB2312"/>
                <w:color w:val="000000"/>
                <w:szCs w:val="21"/>
                <w:lang w:val="en-US" w:eastAsia="zh-CN"/>
              </w:rPr>
            </w:pPr>
            <w:r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  <w:t>广西水产科学研究院</w:t>
            </w:r>
          </w:p>
        </w:tc>
        <w:tc>
          <w:tcPr>
            <w:tcW w:w="1497" w:type="pct"/>
            <w:noWrap w:val="0"/>
            <w:vAlign w:val="center"/>
          </w:tcPr>
          <w:p w14:paraId="60343B7F">
            <w:pPr>
              <w:suppressAutoHyphens/>
              <w:rPr>
                <w:rFonts w:ascii="仿宋_GB2312" w:hAnsi="Times New Roman" w:eastAsia="仿宋_GB2312"/>
                <w:bCs/>
                <w:color w:val="000000"/>
                <w:sz w:val="24"/>
              </w:rPr>
            </w:pPr>
            <w:r>
              <w:rPr>
                <w:rFonts w:hint="eastAsia" w:ascii="仿宋_GB2312" w:hAnsi="Times New Roman" w:eastAsia="仿宋_GB2312"/>
                <w:bCs/>
                <w:color w:val="000000"/>
                <w:sz w:val="24"/>
              </w:rPr>
              <w:t>查询、收集和整理资料，协助标准文本及编制说明的编写、实施。</w:t>
            </w:r>
          </w:p>
        </w:tc>
      </w:tr>
      <w:tr w14:paraId="688F56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5" w:hRule="atLeast"/>
          <w:jc w:val="center"/>
        </w:trPr>
        <w:tc>
          <w:tcPr>
            <w:tcW w:w="602" w:type="pct"/>
            <w:noWrap w:val="0"/>
            <w:vAlign w:val="center"/>
          </w:tcPr>
          <w:p w14:paraId="259C0158">
            <w:pPr>
              <w:jc w:val="center"/>
              <w:textAlignment w:val="baseline"/>
              <w:rPr>
                <w:rFonts w:hint="default" w:ascii="仿宋_GB2312" w:hAnsi="仿宋_GB2312" w:eastAsia="仿宋_GB2312" w:cs="仿宋_GB2312"/>
                <w:color w:val="000000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赵永贞</w:t>
            </w:r>
          </w:p>
        </w:tc>
        <w:tc>
          <w:tcPr>
            <w:tcW w:w="890" w:type="pct"/>
            <w:noWrap w:val="0"/>
            <w:vAlign w:val="center"/>
          </w:tcPr>
          <w:p w14:paraId="6949FF63">
            <w:pPr>
              <w:jc w:val="center"/>
              <w:textAlignment w:val="baseline"/>
              <w:rPr>
                <w:rFonts w:hint="default" w:ascii="仿宋_GB2312" w:hAnsi="仿宋_GB2312" w:eastAsia="仿宋_GB2312" w:cs="仿宋_GB2312"/>
                <w:color w:val="000000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研究员</w:t>
            </w:r>
          </w:p>
        </w:tc>
        <w:tc>
          <w:tcPr>
            <w:tcW w:w="846" w:type="pct"/>
            <w:noWrap w:val="0"/>
            <w:vAlign w:val="center"/>
          </w:tcPr>
          <w:p w14:paraId="06E5E377">
            <w:pPr>
              <w:jc w:val="center"/>
              <w:textAlignment w:val="baseline"/>
              <w:rPr>
                <w:rFonts w:hint="default" w:ascii="仿宋_GB2312" w:hAnsi="仿宋_GB2312" w:eastAsia="仿宋_GB2312" w:cs="仿宋_GB2312"/>
                <w:color w:val="000000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水产养殖</w:t>
            </w:r>
          </w:p>
        </w:tc>
        <w:tc>
          <w:tcPr>
            <w:tcW w:w="1163" w:type="pct"/>
            <w:noWrap w:val="0"/>
            <w:vAlign w:val="center"/>
          </w:tcPr>
          <w:p w14:paraId="5C1EE310">
            <w:pPr>
              <w:jc w:val="center"/>
              <w:textAlignment w:val="baseline"/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</w:pPr>
            <w:r>
              <w:rPr>
                <w:rFonts w:hint="eastAsia" w:ascii="仿宋_GB2312" w:hAnsi="仿宋" w:eastAsia="仿宋_GB2312"/>
                <w:color w:val="000000"/>
                <w:sz w:val="24"/>
                <w:szCs w:val="32"/>
                <w:lang w:val="en-US" w:eastAsia="zh-CN"/>
              </w:rPr>
              <w:t>广西水产科学研究院</w:t>
            </w:r>
          </w:p>
        </w:tc>
        <w:tc>
          <w:tcPr>
            <w:tcW w:w="1497" w:type="pct"/>
            <w:noWrap w:val="0"/>
            <w:vAlign w:val="center"/>
          </w:tcPr>
          <w:p w14:paraId="01DAB8C5">
            <w:pPr>
              <w:suppressAutoHyphens/>
              <w:rPr>
                <w:rFonts w:hint="eastAsia" w:ascii="仿宋_GB2312" w:hAnsi="Times New Roman" w:eastAsia="仿宋_GB2312"/>
                <w:bCs/>
                <w:color w:val="000000"/>
                <w:sz w:val="24"/>
              </w:rPr>
            </w:pPr>
            <w:r>
              <w:rPr>
                <w:rFonts w:hint="eastAsia" w:ascii="仿宋_GB2312" w:hAnsi="Times New Roman" w:eastAsia="仿宋_GB2312"/>
                <w:bCs/>
                <w:color w:val="000000"/>
                <w:sz w:val="24"/>
              </w:rPr>
              <w:t>查询、收集和整理资料，协助标准文本及编制说明的编写、实施。</w:t>
            </w:r>
          </w:p>
        </w:tc>
      </w:tr>
      <w:tr w14:paraId="583A85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5" w:hRule="atLeast"/>
          <w:jc w:val="center"/>
        </w:trPr>
        <w:tc>
          <w:tcPr>
            <w:tcW w:w="602" w:type="pct"/>
            <w:noWrap w:val="0"/>
            <w:vAlign w:val="center"/>
          </w:tcPr>
          <w:p w14:paraId="3EFB4618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黄德生</w:t>
            </w:r>
          </w:p>
        </w:tc>
        <w:tc>
          <w:tcPr>
            <w:tcW w:w="890" w:type="pct"/>
            <w:noWrap w:val="0"/>
            <w:vAlign w:val="center"/>
          </w:tcPr>
          <w:p w14:paraId="46E2FBE8">
            <w:pPr>
              <w:jc w:val="center"/>
              <w:textAlignment w:val="baseline"/>
              <w:rPr>
                <w:rFonts w:hint="default" w:ascii="仿宋_GB2312" w:hAnsi="仿宋_GB2312" w:eastAsia="仿宋_GB2312" w:cs="仿宋_GB2312"/>
                <w:color w:val="000000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正高级农艺师</w:t>
            </w:r>
          </w:p>
        </w:tc>
        <w:tc>
          <w:tcPr>
            <w:tcW w:w="846" w:type="pct"/>
            <w:noWrap w:val="0"/>
            <w:vAlign w:val="center"/>
          </w:tcPr>
          <w:p w14:paraId="74EA62F5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水产养殖</w:t>
            </w:r>
          </w:p>
        </w:tc>
        <w:tc>
          <w:tcPr>
            <w:tcW w:w="1163" w:type="pct"/>
            <w:noWrap w:val="0"/>
            <w:vAlign w:val="center"/>
          </w:tcPr>
          <w:p w14:paraId="4C56A6F7">
            <w:pPr>
              <w:jc w:val="center"/>
              <w:textAlignment w:val="baseline"/>
              <w:rPr>
                <w:rFonts w:hint="default" w:ascii="仿宋_GB2312" w:hAnsi="仿宋_GB2312" w:eastAsia="仿宋_GB2312" w:cs="仿宋_GB2312"/>
                <w:color w:val="000000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合浦县水产技术推广站</w:t>
            </w:r>
          </w:p>
        </w:tc>
        <w:tc>
          <w:tcPr>
            <w:tcW w:w="1497" w:type="pct"/>
            <w:noWrap w:val="0"/>
            <w:vAlign w:val="top"/>
          </w:tcPr>
          <w:p w14:paraId="77DAEB4F">
            <w:pPr>
              <w:suppressAutoHyphens/>
              <w:rPr>
                <w:rFonts w:ascii="仿宋_GB2312" w:hAnsi="Times New Roman" w:eastAsia="仿宋_GB2312"/>
                <w:bCs/>
                <w:color w:val="000000"/>
                <w:sz w:val="24"/>
              </w:rPr>
            </w:pPr>
            <w:r>
              <w:rPr>
                <w:rFonts w:hint="eastAsia" w:ascii="仿宋_GB2312" w:hAnsi="Times New Roman" w:eastAsia="仿宋_GB2312"/>
                <w:bCs/>
                <w:color w:val="000000"/>
                <w:sz w:val="24"/>
              </w:rPr>
              <w:t>查询、收集和整理资料，协助标准文本及编制说明的编写、实施。</w:t>
            </w:r>
          </w:p>
        </w:tc>
      </w:tr>
      <w:tr w14:paraId="7C6F1E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5" w:hRule="atLeast"/>
          <w:jc w:val="center"/>
        </w:trPr>
        <w:tc>
          <w:tcPr>
            <w:tcW w:w="602" w:type="pct"/>
            <w:noWrap w:val="0"/>
            <w:vAlign w:val="center"/>
          </w:tcPr>
          <w:p w14:paraId="1A508EE9">
            <w:pPr>
              <w:jc w:val="center"/>
              <w:textAlignment w:val="baseline"/>
              <w:rPr>
                <w:rFonts w:ascii="仿宋_GB2312" w:hAnsi="仿宋" w:eastAsia="仿宋_GB2312"/>
                <w:color w:val="000000"/>
                <w:kern w:val="2"/>
                <w:sz w:val="24"/>
                <w:szCs w:val="32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花廷鹏</w:t>
            </w:r>
          </w:p>
        </w:tc>
        <w:tc>
          <w:tcPr>
            <w:tcW w:w="890" w:type="pct"/>
            <w:noWrap w:val="0"/>
            <w:vAlign w:val="center"/>
          </w:tcPr>
          <w:p w14:paraId="0EDC6392">
            <w:pPr>
              <w:jc w:val="center"/>
              <w:textAlignment w:val="baseline"/>
              <w:rPr>
                <w:rFonts w:ascii="仿宋_GB2312" w:hAnsi="仿宋" w:eastAsia="仿宋_GB2312"/>
                <w:color w:val="000000"/>
                <w:kern w:val="2"/>
                <w:sz w:val="24"/>
                <w:szCs w:val="32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工程师</w:t>
            </w:r>
          </w:p>
        </w:tc>
        <w:tc>
          <w:tcPr>
            <w:tcW w:w="846" w:type="pct"/>
            <w:noWrap w:val="0"/>
            <w:vAlign w:val="center"/>
          </w:tcPr>
          <w:p w14:paraId="0E7D880A">
            <w:pPr>
              <w:jc w:val="center"/>
              <w:textAlignment w:val="baseline"/>
              <w:rPr>
                <w:rFonts w:ascii="仿宋_GB2312" w:hAnsi="仿宋" w:eastAsia="仿宋_GB2312"/>
                <w:color w:val="000000"/>
                <w:kern w:val="2"/>
                <w:sz w:val="24"/>
                <w:szCs w:val="32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水产养殖</w:t>
            </w:r>
          </w:p>
        </w:tc>
        <w:tc>
          <w:tcPr>
            <w:tcW w:w="1163" w:type="pct"/>
            <w:noWrap w:val="0"/>
            <w:vAlign w:val="center"/>
          </w:tcPr>
          <w:p w14:paraId="6F8C0914">
            <w:pPr>
              <w:jc w:val="center"/>
              <w:textAlignment w:val="baseline"/>
              <w:rPr>
                <w:rFonts w:ascii="仿宋_GB2312" w:hAnsi="仿宋" w:eastAsia="仿宋_GB2312"/>
                <w:color w:val="000000"/>
                <w:kern w:val="2"/>
                <w:sz w:val="24"/>
                <w:szCs w:val="32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合浦县乡村振兴发展中心</w:t>
            </w:r>
          </w:p>
        </w:tc>
        <w:tc>
          <w:tcPr>
            <w:tcW w:w="1497" w:type="pct"/>
            <w:noWrap w:val="0"/>
            <w:vAlign w:val="top"/>
          </w:tcPr>
          <w:p w14:paraId="01B63BE3">
            <w:pPr>
              <w:suppressAutoHyphens/>
              <w:rPr>
                <w:rFonts w:ascii="仿宋_GB2312" w:hAnsi="Times New Roman" w:eastAsia="仿宋_GB2312"/>
                <w:bCs/>
                <w:color w:val="000000"/>
                <w:sz w:val="24"/>
              </w:rPr>
            </w:pPr>
            <w:r>
              <w:rPr>
                <w:rFonts w:hint="eastAsia" w:ascii="仿宋_GB2312" w:hAnsi="Times New Roman" w:eastAsia="仿宋_GB2312"/>
                <w:bCs/>
                <w:color w:val="000000"/>
                <w:sz w:val="24"/>
              </w:rPr>
              <w:t>查询、收集和整理资料，协助标准文本及编制说明的编写、实施。</w:t>
            </w:r>
          </w:p>
        </w:tc>
      </w:tr>
      <w:tr w14:paraId="3CC4F8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5" w:hRule="atLeast"/>
          <w:jc w:val="center"/>
        </w:trPr>
        <w:tc>
          <w:tcPr>
            <w:tcW w:w="602" w:type="pct"/>
            <w:noWrap w:val="0"/>
            <w:vAlign w:val="center"/>
          </w:tcPr>
          <w:p w14:paraId="06B42D8B">
            <w:pPr>
              <w:jc w:val="center"/>
              <w:textAlignment w:val="baseline"/>
              <w:rPr>
                <w:rFonts w:ascii="仿宋_GB2312" w:hAnsi="仿宋_GB2312" w:eastAsia="仿宋_GB2312" w:cs="仿宋_GB2312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仿宋_GB2312" w:hAnsi="仿宋_GB2312" w:eastAsia="仿宋_GB2312" w:cs="仿宋_GB2312"/>
                <w:color w:val="000000"/>
                <w:szCs w:val="21"/>
              </w:rPr>
              <w:t>高程海</w:t>
            </w:r>
          </w:p>
        </w:tc>
        <w:tc>
          <w:tcPr>
            <w:tcW w:w="890" w:type="pct"/>
            <w:noWrap w:val="0"/>
            <w:vAlign w:val="center"/>
          </w:tcPr>
          <w:p w14:paraId="1400B70F">
            <w:pPr>
              <w:jc w:val="center"/>
              <w:textAlignment w:val="baseline"/>
              <w:rPr>
                <w:rFonts w:ascii="仿宋_GB2312" w:hAnsi="仿宋_GB2312" w:eastAsia="仿宋_GB2312" w:cs="仿宋_GB2312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仿宋_GB2312" w:hAnsi="仿宋_GB2312" w:eastAsia="仿宋_GB2312" w:cs="仿宋_GB2312"/>
                <w:color w:val="000000"/>
                <w:szCs w:val="21"/>
              </w:rPr>
              <w:t>研究员</w:t>
            </w:r>
          </w:p>
        </w:tc>
        <w:tc>
          <w:tcPr>
            <w:tcW w:w="846" w:type="pct"/>
            <w:noWrap w:val="0"/>
            <w:vAlign w:val="center"/>
          </w:tcPr>
          <w:p w14:paraId="5FFAD146">
            <w:pPr>
              <w:jc w:val="center"/>
              <w:textAlignment w:val="baseline"/>
              <w:rPr>
                <w:rFonts w:ascii="仿宋_GB2312" w:hAnsi="仿宋_GB2312" w:eastAsia="仿宋_GB2312" w:cs="仿宋_GB2312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仿宋_GB2312" w:hAnsi="仿宋_GB2312" w:eastAsia="仿宋_GB2312" w:cs="仿宋_GB2312"/>
                <w:color w:val="000000"/>
                <w:szCs w:val="21"/>
              </w:rPr>
              <w:t>海洋药用资源</w:t>
            </w:r>
          </w:p>
        </w:tc>
        <w:tc>
          <w:tcPr>
            <w:tcW w:w="1163" w:type="pct"/>
            <w:noWrap w:val="0"/>
            <w:vAlign w:val="center"/>
          </w:tcPr>
          <w:p w14:paraId="578B5731">
            <w:pPr>
              <w:jc w:val="center"/>
              <w:textAlignment w:val="baseline"/>
              <w:rPr>
                <w:rFonts w:ascii="仿宋_GB2312" w:hAnsi="仿宋_GB2312" w:eastAsia="仿宋_GB2312" w:cs="仿宋_GB2312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仿宋_GB2312" w:hAnsi="仿宋_GB2312" w:eastAsia="仿宋_GB2312" w:cs="仿宋_GB2312"/>
                <w:color w:val="000000"/>
                <w:szCs w:val="21"/>
              </w:rPr>
              <w:t>广西中医药大学</w:t>
            </w:r>
          </w:p>
        </w:tc>
        <w:tc>
          <w:tcPr>
            <w:tcW w:w="1497" w:type="pct"/>
            <w:noWrap w:val="0"/>
            <w:vAlign w:val="top"/>
          </w:tcPr>
          <w:p w14:paraId="43E49C17">
            <w:pPr>
              <w:suppressAutoHyphens/>
              <w:rPr>
                <w:rFonts w:ascii="仿宋_GB2312" w:hAnsi="Times New Roman" w:eastAsia="仿宋_GB2312"/>
                <w:bCs/>
                <w:color w:val="000000"/>
                <w:sz w:val="24"/>
              </w:rPr>
            </w:pPr>
            <w:r>
              <w:rPr>
                <w:rFonts w:hint="eastAsia" w:ascii="仿宋_GB2312" w:hAnsi="Times New Roman" w:eastAsia="仿宋_GB2312"/>
                <w:bCs/>
                <w:color w:val="000000"/>
                <w:sz w:val="24"/>
              </w:rPr>
              <w:t>查询、收集和整理资料，协助标准文本及编制说明的编写、实施。</w:t>
            </w:r>
          </w:p>
        </w:tc>
      </w:tr>
      <w:tr w14:paraId="14EFCB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5" w:hRule="atLeast"/>
          <w:jc w:val="center"/>
        </w:trPr>
        <w:tc>
          <w:tcPr>
            <w:tcW w:w="602" w:type="pct"/>
            <w:noWrap w:val="0"/>
            <w:vAlign w:val="center"/>
          </w:tcPr>
          <w:p w14:paraId="7DD8C800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仿宋_GB2312" w:hAnsi="仿宋_GB2312" w:eastAsia="仿宋_GB2312" w:cs="仿宋_GB2312"/>
                <w:color w:val="000000"/>
                <w:szCs w:val="21"/>
              </w:rPr>
              <w:t>黄亮华</w:t>
            </w:r>
          </w:p>
        </w:tc>
        <w:tc>
          <w:tcPr>
            <w:tcW w:w="890" w:type="pct"/>
            <w:noWrap w:val="0"/>
            <w:vAlign w:val="center"/>
          </w:tcPr>
          <w:p w14:paraId="6FFBF868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仿宋_GB2312" w:hAnsi="仿宋_GB2312" w:eastAsia="仿宋_GB2312" w:cs="仿宋_GB2312"/>
                <w:color w:val="000000"/>
                <w:szCs w:val="21"/>
              </w:rPr>
              <w:t>助理研究员</w:t>
            </w:r>
          </w:p>
        </w:tc>
        <w:tc>
          <w:tcPr>
            <w:tcW w:w="846" w:type="pct"/>
            <w:noWrap w:val="0"/>
            <w:vAlign w:val="center"/>
          </w:tcPr>
          <w:p w14:paraId="0F106137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仿宋_GB2312" w:hAnsi="仿宋_GB2312" w:eastAsia="仿宋_GB2312" w:cs="仿宋_GB2312"/>
                <w:color w:val="000000"/>
                <w:szCs w:val="21"/>
              </w:rPr>
              <w:t>海水养殖</w:t>
            </w:r>
          </w:p>
        </w:tc>
        <w:tc>
          <w:tcPr>
            <w:tcW w:w="1163" w:type="pct"/>
            <w:noWrap w:val="0"/>
            <w:vAlign w:val="center"/>
          </w:tcPr>
          <w:p w14:paraId="2AA5D9FA">
            <w:pPr>
              <w:jc w:val="center"/>
              <w:textAlignment w:val="baseline"/>
              <w:rPr>
                <w:rFonts w:hint="default" w:ascii="仿宋_GB2312" w:hAnsi="仿宋_GB2312" w:eastAsia="仿宋_GB2312" w:cs="仿宋_GB2312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仿宋_GB2312" w:hAnsi="仿宋_GB2312" w:eastAsia="仿宋_GB2312" w:cs="仿宋_GB2312"/>
                <w:color w:val="000000"/>
                <w:szCs w:val="21"/>
              </w:rPr>
              <w:t>广西中医药大学</w:t>
            </w:r>
          </w:p>
        </w:tc>
        <w:tc>
          <w:tcPr>
            <w:tcW w:w="1497" w:type="pct"/>
            <w:noWrap w:val="0"/>
            <w:vAlign w:val="top"/>
          </w:tcPr>
          <w:p w14:paraId="59506A89">
            <w:pPr>
              <w:suppressAutoHyphens/>
              <w:rPr>
                <w:rFonts w:ascii="仿宋_GB2312" w:hAnsi="Times New Roman" w:eastAsia="仿宋_GB2312"/>
                <w:bCs/>
                <w:color w:val="000000"/>
                <w:sz w:val="24"/>
              </w:rPr>
            </w:pPr>
            <w:r>
              <w:rPr>
                <w:rFonts w:hint="eastAsia" w:ascii="仿宋_GB2312" w:hAnsi="Times New Roman" w:eastAsia="仿宋_GB2312"/>
                <w:bCs/>
                <w:color w:val="000000"/>
                <w:sz w:val="24"/>
              </w:rPr>
              <w:t>查询、收集和整理资料，协助标准文本及编制说明的编写、实施。</w:t>
            </w:r>
          </w:p>
        </w:tc>
      </w:tr>
      <w:tr w14:paraId="6D5390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5" w:hRule="atLeast"/>
          <w:jc w:val="center"/>
        </w:trPr>
        <w:tc>
          <w:tcPr>
            <w:tcW w:w="602" w:type="pct"/>
            <w:noWrap w:val="0"/>
            <w:vAlign w:val="center"/>
          </w:tcPr>
          <w:p w14:paraId="0BA7539F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黄忠国</w:t>
            </w:r>
          </w:p>
        </w:tc>
        <w:tc>
          <w:tcPr>
            <w:tcW w:w="890" w:type="pct"/>
            <w:noWrap w:val="0"/>
            <w:vAlign w:val="center"/>
          </w:tcPr>
          <w:p w14:paraId="1DC0371A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工程师</w:t>
            </w:r>
          </w:p>
        </w:tc>
        <w:tc>
          <w:tcPr>
            <w:tcW w:w="846" w:type="pct"/>
            <w:noWrap w:val="0"/>
            <w:vAlign w:val="center"/>
          </w:tcPr>
          <w:p w14:paraId="4ACCD956">
            <w:pPr>
              <w:jc w:val="center"/>
              <w:textAlignment w:val="baseline"/>
              <w:rPr>
                <w:rFonts w:ascii="仿宋_GB2312" w:hAnsi="仿宋_GB2312" w:eastAsia="仿宋_GB2312" w:cs="仿宋_GB2312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水产养殖</w:t>
            </w:r>
          </w:p>
        </w:tc>
        <w:tc>
          <w:tcPr>
            <w:tcW w:w="1163" w:type="pct"/>
            <w:noWrap w:val="0"/>
            <w:vAlign w:val="center"/>
          </w:tcPr>
          <w:p w14:paraId="4448AD6C">
            <w:pPr>
              <w:jc w:val="center"/>
              <w:textAlignment w:val="baseline"/>
              <w:rPr>
                <w:rFonts w:ascii="仿宋_GB2312" w:hAnsi="仿宋_GB2312" w:eastAsia="仿宋_GB2312" w:cs="仿宋_GB2312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防城港市渔业技术推广站</w:t>
            </w:r>
          </w:p>
        </w:tc>
        <w:tc>
          <w:tcPr>
            <w:tcW w:w="1497" w:type="pct"/>
            <w:noWrap w:val="0"/>
            <w:vAlign w:val="top"/>
          </w:tcPr>
          <w:p w14:paraId="6C517B41">
            <w:pPr>
              <w:suppressAutoHyphens/>
              <w:rPr>
                <w:rFonts w:ascii="仿宋_GB2312" w:hAnsi="Times New Roman" w:eastAsia="仿宋_GB2312"/>
                <w:bCs/>
                <w:color w:val="000000"/>
                <w:sz w:val="24"/>
              </w:rPr>
            </w:pPr>
            <w:r>
              <w:rPr>
                <w:rFonts w:hint="eastAsia" w:ascii="仿宋_GB2312" w:hAnsi="Times New Roman" w:eastAsia="仿宋_GB2312"/>
                <w:bCs/>
                <w:color w:val="000000"/>
                <w:sz w:val="24"/>
              </w:rPr>
              <w:t>查询、收集和整理资料，协助标准文本及编制说明的编写、实施。</w:t>
            </w:r>
          </w:p>
        </w:tc>
      </w:tr>
      <w:tr w14:paraId="78016B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5" w:hRule="atLeast"/>
          <w:jc w:val="center"/>
        </w:trPr>
        <w:tc>
          <w:tcPr>
            <w:tcW w:w="602" w:type="pct"/>
            <w:noWrap w:val="0"/>
            <w:vAlign w:val="center"/>
          </w:tcPr>
          <w:p w14:paraId="61D3766F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黄忠杰</w:t>
            </w:r>
          </w:p>
        </w:tc>
        <w:tc>
          <w:tcPr>
            <w:tcW w:w="890" w:type="pct"/>
            <w:noWrap w:val="0"/>
            <w:vAlign w:val="center"/>
          </w:tcPr>
          <w:p w14:paraId="59D7006A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工程师</w:t>
            </w:r>
          </w:p>
        </w:tc>
        <w:tc>
          <w:tcPr>
            <w:tcW w:w="846" w:type="pct"/>
            <w:noWrap w:val="0"/>
            <w:vAlign w:val="center"/>
          </w:tcPr>
          <w:p w14:paraId="59BA03AE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水产养殖</w:t>
            </w:r>
          </w:p>
        </w:tc>
        <w:tc>
          <w:tcPr>
            <w:tcW w:w="1163" w:type="pct"/>
            <w:noWrap w:val="0"/>
            <w:vAlign w:val="center"/>
          </w:tcPr>
          <w:p w14:paraId="660B9A17">
            <w:pPr>
              <w:jc w:val="center"/>
              <w:textAlignment w:val="baseline"/>
              <w:rPr>
                <w:rFonts w:hint="default" w:ascii="仿宋_GB2312" w:hAnsi="仿宋_GB2312" w:eastAsia="仿宋_GB2312" w:cs="仿宋_GB2312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防城港市渔业技术推广站</w:t>
            </w:r>
          </w:p>
        </w:tc>
        <w:tc>
          <w:tcPr>
            <w:tcW w:w="1497" w:type="pct"/>
            <w:noWrap w:val="0"/>
            <w:vAlign w:val="top"/>
          </w:tcPr>
          <w:p w14:paraId="37499378">
            <w:pPr>
              <w:suppressAutoHyphens/>
              <w:rPr>
                <w:rFonts w:ascii="仿宋_GB2312" w:hAnsi="Times New Roman" w:eastAsia="仿宋_GB2312"/>
                <w:bCs/>
                <w:color w:val="000000"/>
                <w:sz w:val="24"/>
              </w:rPr>
            </w:pPr>
            <w:r>
              <w:rPr>
                <w:rFonts w:hint="eastAsia" w:ascii="仿宋_GB2312" w:hAnsi="Times New Roman" w:eastAsia="仿宋_GB2312"/>
                <w:bCs/>
                <w:color w:val="000000"/>
                <w:sz w:val="24"/>
              </w:rPr>
              <w:t>查询、收集和整理资料，协助标准文本及编制说明的编写、实施。</w:t>
            </w:r>
          </w:p>
        </w:tc>
      </w:tr>
      <w:tr w14:paraId="6CDBAE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5" w:hRule="atLeast"/>
          <w:jc w:val="center"/>
        </w:trPr>
        <w:tc>
          <w:tcPr>
            <w:tcW w:w="602" w:type="pct"/>
            <w:noWrap w:val="0"/>
            <w:vAlign w:val="center"/>
          </w:tcPr>
          <w:p w14:paraId="4432EA6A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曾尚伟</w:t>
            </w:r>
          </w:p>
        </w:tc>
        <w:tc>
          <w:tcPr>
            <w:tcW w:w="890" w:type="pct"/>
            <w:noWrap w:val="0"/>
            <w:vAlign w:val="center"/>
          </w:tcPr>
          <w:p w14:paraId="037ABDC6">
            <w:pPr>
              <w:jc w:val="center"/>
              <w:textAlignment w:val="baseline"/>
              <w:rPr>
                <w:rFonts w:hint="eastAsia" w:ascii="仿宋_GB2312" w:hAnsi="仿宋_GB2312" w:eastAsia="仿宋_GB2312" w:cs="仿宋_GB2312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工程师</w:t>
            </w:r>
          </w:p>
        </w:tc>
        <w:tc>
          <w:tcPr>
            <w:tcW w:w="846" w:type="pct"/>
            <w:noWrap w:val="0"/>
            <w:vAlign w:val="center"/>
          </w:tcPr>
          <w:p w14:paraId="5D256DDA">
            <w:pPr>
              <w:jc w:val="center"/>
              <w:textAlignment w:val="baseline"/>
              <w:rPr>
                <w:rFonts w:ascii="仿宋_GB2312" w:hAnsi="仿宋_GB2312" w:eastAsia="仿宋_GB2312" w:cs="仿宋_GB2312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水产养殖</w:t>
            </w:r>
          </w:p>
        </w:tc>
        <w:tc>
          <w:tcPr>
            <w:tcW w:w="1163" w:type="pct"/>
            <w:noWrap w:val="0"/>
            <w:vAlign w:val="center"/>
          </w:tcPr>
          <w:p w14:paraId="052C0301">
            <w:pPr>
              <w:jc w:val="center"/>
              <w:textAlignment w:val="baseline"/>
              <w:rPr>
                <w:rFonts w:ascii="仿宋_GB2312" w:hAnsi="仿宋_GB2312" w:eastAsia="仿宋_GB2312" w:cs="仿宋_GB2312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szCs w:val="21"/>
                <w:lang w:val="en-US" w:eastAsia="zh-CN"/>
              </w:rPr>
              <w:t>防城港市渔业技术推广站</w:t>
            </w:r>
          </w:p>
        </w:tc>
        <w:tc>
          <w:tcPr>
            <w:tcW w:w="1497" w:type="pct"/>
            <w:noWrap w:val="0"/>
            <w:vAlign w:val="top"/>
          </w:tcPr>
          <w:p w14:paraId="5FAF82D5">
            <w:pPr>
              <w:suppressAutoHyphens/>
              <w:rPr>
                <w:rFonts w:ascii="仿宋_GB2312" w:hAnsi="Times New Roman" w:eastAsia="仿宋_GB2312"/>
                <w:bCs/>
                <w:color w:val="000000"/>
                <w:sz w:val="24"/>
              </w:rPr>
            </w:pPr>
            <w:r>
              <w:rPr>
                <w:rFonts w:hint="eastAsia" w:ascii="仿宋_GB2312" w:hAnsi="Times New Roman" w:eastAsia="仿宋_GB2312"/>
                <w:bCs/>
                <w:color w:val="000000"/>
                <w:sz w:val="24"/>
              </w:rPr>
              <w:t>查询、收集和整理资料，协助标准文本及编制说明的编写、实施。</w:t>
            </w:r>
          </w:p>
        </w:tc>
      </w:tr>
    </w:tbl>
    <w:p w14:paraId="44930E5E">
      <w:pPr>
        <w:pStyle w:val="16"/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before="0" w:after="0" w:line="520" w:lineRule="exact"/>
        <w:ind w:firstLine="640" w:firstLineChars="200"/>
        <w:jc w:val="left"/>
        <w:rPr>
          <w:rFonts w:hint="eastAsia" w:ascii="黑体" w:hAnsi="黑体" w:eastAsia="黑体"/>
          <w:b w:val="0"/>
          <w:color w:val="000000" w:themeColor="text1"/>
          <w14:textFill>
            <w14:solidFill>
              <w14:schemeClr w14:val="tx1"/>
            </w14:solidFill>
          </w14:textFill>
        </w:rPr>
      </w:pPr>
    </w:p>
    <w:p w14:paraId="396A51D1">
      <w:pPr>
        <w:pStyle w:val="16"/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before="0" w:after="0" w:line="520" w:lineRule="exact"/>
        <w:ind w:firstLine="640" w:firstLineChars="200"/>
        <w:jc w:val="left"/>
        <w:rPr>
          <w:rFonts w:hint="eastAsia" w:ascii="黑体" w:hAnsi="黑体" w:eastAsia="黑体"/>
          <w:b w:val="0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b w:val="0"/>
          <w:color w:val="000000" w:themeColor="text1"/>
          <w14:textFill>
            <w14:solidFill>
              <w14:schemeClr w14:val="tx1"/>
            </w14:solidFill>
          </w14:textFill>
        </w:rPr>
        <w:t>二、制定标准的必要性和意义</w:t>
      </w:r>
    </w:p>
    <w:p w14:paraId="509A0591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斑节对虾（俗称草虾、黑虎虾）作为我国沿海高价值水产养殖品种，近年来养殖规模持续扩大，已形成“全国布局、区域集中”的产业格局。从全国范围看，斑节对虾凭借“个头大、肉质优、市场溢价高”的优势，已成为沿海省份海水养殖的核心品种之一，养殖面积呈逐年递增趋势，且覆盖区域广、模式多样。据公开数据及产业实践，我国斑节对虾养殖已形成“华南（广西、广东）、华东（江苏、浙江）、西南（海南）”三大核心产区，全国养殖总面积突破100万亩。其中，仅江苏响水县单一县域，斑节虾养殖面积就达10万亩（2024—2025年数据），占当地高效设施渔业面积的71%，且通过 “退盐转养” 政策持续扩容；广东、海南等地高位池集约化养殖面积年均增长15%以上，产业规模扩张速度与技术规范缺失的矛盾日益突出。全国范围内，斑节对虾养殖同时存在“土池粗养、高位池精养、工厂化循环水养殖、立体混养” 等多种模式，不同模式的设施标准、水质管控、投喂策略差异显著。广西防城港则侧重工厂化高密度养殖（如广西海之恒水产 600 多亩池塘实现亩产超 300 斤），但部分散户仍沿用传统土池养殖，存在“过度投喂、滥用药物、尾水直排” 等问题。缺乏统一标准导致产品品质差异大——市场上斑节对虾规格从15头/斤到50头/斤不等，成活率波动区间达30%—80%，严重影响产业整体竞争力。随着国内高端水产品消费市场崛起及出口需求增加（如南沙青蟹已实现 “走出国门”），斑节对虾作为 “虾后” 品种，市场对其“生态养殖、可追溯、无药残”的要求日益严格。但当前部分养殖主体因缺乏技术规范，存在“使用禁用抗生素（如青霉素类、喹诺酮类）、苗种检疫不达标” 等问题，导致产品抽检合格率仅为85%左右（低于海水虾类平均水平）。</w:t>
      </w:r>
    </w:p>
    <w:p w14:paraId="30CED7A1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广西渔业部门及企业实践数据，广西斑节对虾养殖主要集中在防城港、北海、钦州、东兴等沿海城市，总养殖面积超15万亩，占全国总面积的15%以上。其中，东兴市单一县域水产养殖面积达6.5万多亩，斑节对虾作为主导品种之一，与南美白对虾、石斑鱼形成“多品混养”模式，年产值近亿元；防城港港口区、北海合浦县的高位池养殖面积超5万亩，工厂化养殖基地（如广西海之恒水产）单场规模达600多亩，已成为华南地区重要的斑节对虾供应基地。广西斑节对虾养殖已摆脱传统“靠天吃饭”模式，设施化水平全国领先——目前全区高位池、陆基圆池、小棚养殖等设施化面积占比超60%，如东兴市建成陆基养殖圆池1400多个、小棚生物簇团养殖面积1500亩，北海合浦县推广“高位池+HDPE地膜防渗”模式。但设施化养殖对“精准环境调控、病害防控、尾水治理” 的技术要求更高，当前因缺乏区域适配的标准，部分养殖主体存在 “增氧设备配置不足（未达 1.0-1.5kW / 亩）、尾水未经处理直排” 等问题，导致局部海域水质恶化，2023年广西沿海养殖区因“弧菌超标”导致的减产案例达20余起，经济损失超千万元。当前不同产区、不同主体的养殖技术差异显著，明确 “环境与设施、苗种质量、饲养管理”的核心指标（如溶解氧≥4mg/L、饲料蛋白质含量≥42%），让散户“有标可依”，龙头企业“有标可领”。</w:t>
      </w:r>
    </w:p>
    <w:p w14:paraId="3A9B5362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ascii="仿宋_GB2312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因此，通过制定团体标准《斑节对虾生态养殖技术规范》，以标准为抓手，规范斑节对虾生态养殖技术，以标准化技术手段，确保养殖过程的标准化和规范化，提高斑节对虾生态养殖效率和产品质量，对推动斑节对虾产业发展具有重要意义。</w:t>
      </w:r>
    </w:p>
    <w:p w14:paraId="73DAB89B">
      <w:pPr>
        <w:keepNext w:val="0"/>
        <w:keepLines w:val="0"/>
        <w:pageBreakBefore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20" w:lineRule="exact"/>
        <w:ind w:firstLine="640" w:firstLineChars="200"/>
        <w:outlineLvl w:val="0"/>
        <w:rPr>
          <w:rFonts w:ascii="Times New Roman" w:hAnsi="Times New Roman" w:eastAsia="黑体" w:cs="Times New Roman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黑体" w:cs="Times New Roman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三、主要起草过程</w:t>
      </w:r>
    </w:p>
    <w:p w14:paraId="28E902A1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3" w:firstLineChars="200"/>
        <w:rPr>
          <w:rFonts w:hint="eastAsia" w:ascii="楷体" w:hAnsi="楷体" w:eastAsia="楷体" w:cs="楷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（一）成立标准编制工作组</w:t>
      </w:r>
    </w:p>
    <w:p w14:paraId="0E1698C2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jc w:val="left"/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团体标准《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斑节对虾生态养殖技术规范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》项目任务下达后，广西壮族自治区中医药研究院、广西壮族自治区水产科学研究院、广西中医药大学、防城港市渔业技术推广站、合浦县乡村振兴发展中心、合浦县水产技术推广站等单位成立了标准编制工作组，制定了起草编写方案与进度安排，明确任务职责，确定工作技术路线，开展标准研制工作。具体标准编制工作由起草单位相关人员配合完成。</w:t>
      </w:r>
    </w:p>
    <w:p w14:paraId="13EEFBC8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jc w:val="left"/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为了明确标准编制的任务职责，确定工作技术路线，开展标准研制工作。编制工作组下设三个组，分别是资料收集组、草案编写组、标准实施组。</w:t>
      </w:r>
    </w:p>
    <w:p w14:paraId="523DEF10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资料收集组负责国内外有关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斑节对虾生态养殖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技术相关文献资料的查询、收集和整理工作，查阅前期对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斑节对虾生态养殖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技术的有关研究情况和目前科学界关于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斑节对虾生态养殖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技术的研究进展。</w:t>
      </w:r>
    </w:p>
    <w:p w14:paraId="2D0916A0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草案编写组负责起草标准草案及后续征求意见稿和标准编制说明、送审稿及编制说明等编写工作，包括后期召开征求意见会、网上征求意见，以及标准的不断修改和完善。</w:t>
      </w:r>
    </w:p>
    <w:p w14:paraId="50B5BB7C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jc w:val="left"/>
        <w:rPr>
          <w:rFonts w:ascii="仿宋_GB2312" w:eastAsia="仿宋_GB2312" w:cs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标准实施组负责团体标准《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斑节对虾生态养殖技术规范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》发布后，组织相关单位开展标准宣贯培训会，对标准进行详细解读，让相关人员了解标准，并根据标准对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斑节对虾生态养殖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技术进行规范化操作，并对标准实施情况进行总结分析，不断对标准提出修正意见。</w:t>
      </w:r>
    </w:p>
    <w:p w14:paraId="66E66933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3" w:firstLineChars="200"/>
        <w:rPr>
          <w:rFonts w:hint="eastAsia" w:ascii="楷体" w:hAnsi="楷体" w:eastAsia="楷体" w:cs="楷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（二）收集整理文献资料</w:t>
      </w:r>
    </w:p>
    <w:p w14:paraId="305EAB9C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ascii="仿宋_GB2312" w:eastAsia="仿宋_GB2312"/>
          <w:color w:val="000000" w:themeColor="text1"/>
          <w:sz w:val="32"/>
          <w:szCs w:val="32"/>
          <w:highlight w:val="yellow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标准编制工作组收集了国内有关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斑节对虾生态养殖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的相关资料。主要有：</w:t>
      </w:r>
    </w:p>
    <w:p w14:paraId="30EC52BE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《GB/T 26619-2011 斑节对虾》《DB4405/T 215—2019海水池塘斑节对虾生态混养技术规范》《DB3716/T 84.2-2024  盐碱地斑节对虾 第2部分 健康养殖》《T/CCPITCFS 007—2024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斑节对虾工厂化养殖技术规范》《T/GDLC 008-2023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ab/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斑节对虾工厂化循环水养殖技术规程》《T/GARRPA 035-2025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南美白对虾土塘生态养殖技术规范》《T/GARRPA 036-2025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南美白对虾拱棚池生态养殖技术规范》《T/GARRPA 037-2025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南美白对虾高位池生态养殖技术规范》</w:t>
      </w:r>
    </w:p>
    <w:p w14:paraId="752F0B07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3" w:firstLineChars="200"/>
        <w:rPr>
          <w:rFonts w:hint="eastAsia" w:ascii="楷体" w:hAnsi="楷体" w:eastAsia="楷体" w:cs="楷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（三）研讨确定标准特色</w:t>
      </w:r>
      <w:r>
        <w:rPr>
          <w:rFonts w:ascii="楷体" w:hAnsi="楷体" w:eastAsia="楷体" w:cs="楷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楷体" w:hAnsi="楷体" w:eastAsia="楷体" w:cs="楷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创新点和主体内容</w:t>
      </w:r>
    </w:p>
    <w:p w14:paraId="28C6FABD">
      <w:pPr>
        <w:pStyle w:val="34"/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rPr>
          <w:rFonts w:ascii="仿宋_GB2312" w:hAnsi="Calibri" w:eastAsia="仿宋_GB2312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Calibri" w:eastAsia="仿宋_GB2312"/>
          <w:color w:val="000000" w:themeColor="text1"/>
          <w14:textFill>
            <w14:solidFill>
              <w14:schemeClr w14:val="tx1"/>
            </w14:solidFill>
          </w14:textFill>
        </w:rPr>
        <w:t>标准编制工作组在对收集的资料进行整理研究之后，标准编制工作组召开了标准编制会议，对标准的整体框架结构进行了研究，并对标准的关键性内容进行了初步探讨。经过研究，标准特色、创新点和主体内容如下</w:t>
      </w:r>
      <w:r>
        <w:rPr>
          <w:rFonts w:ascii="仿宋_GB2312" w:hAnsi="Calibri" w:eastAsia="仿宋_GB2312"/>
          <w:color w:val="000000" w:themeColor="text1"/>
          <w14:textFill>
            <w14:solidFill>
              <w14:schemeClr w14:val="tx1"/>
            </w14:solidFill>
          </w14:textFill>
        </w:rPr>
        <w:t>：</w:t>
      </w:r>
    </w:p>
    <w:p w14:paraId="3B3CCCF1">
      <w:pPr>
        <w:pStyle w:val="34"/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rPr>
          <w:rFonts w:hint="eastAsia" w:ascii="仿宋_GB2312" w:hAnsi="Calibri" w:eastAsia="仿宋_GB2312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Calibri" w:eastAsia="仿宋_GB2312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1.</w:t>
      </w:r>
      <w:r>
        <w:rPr>
          <w:rFonts w:hint="eastAsia" w:ascii="仿宋_GB2312" w:hAnsi="Calibri" w:eastAsia="仿宋_GB2312"/>
          <w:color w:val="000000" w:themeColor="text1"/>
          <w14:textFill>
            <w14:solidFill>
              <w14:schemeClr w14:val="tx1"/>
            </w14:solidFill>
          </w14:textFill>
        </w:rPr>
        <w:t>精准量化指标，可操作性强：明确池塘规格（单池面积、坡度、地膜厚度≥0.5mm）、进排水网袋目数（60～80 目）、增氧溶解氧阈值（≥4.0mg/L）等核心参数，饲料蛋白含量、益生菌用量、病害用药剂量均量化，解决现有标准模糊性问题。</w:t>
      </w:r>
    </w:p>
    <w:p w14:paraId="06CC48DC">
      <w:pPr>
        <w:pStyle w:val="34"/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rPr>
          <w:rFonts w:hint="eastAsia" w:ascii="仿宋_GB2312" w:hAnsi="Calibri" w:eastAsia="仿宋_GB2312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Calibri" w:eastAsia="仿宋_GB2312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2.</w:t>
      </w:r>
      <w:r>
        <w:rPr>
          <w:rFonts w:hint="eastAsia" w:ascii="仿宋_GB2312" w:hAnsi="Calibri" w:eastAsia="仿宋_GB2312"/>
          <w:color w:val="000000" w:themeColor="text1"/>
          <w14:textFill>
            <w14:solidFill>
              <w14:schemeClr w14:val="tx1"/>
            </w14:solidFill>
          </w14:textFill>
        </w:rPr>
        <w:t>生态与应激防控结合：创新饲料添加β—葡聚糖、杜仲叶提取物等免疫增强剂，苗种运输/放苗、移塘环节强化VC应激灵使用，盐度/水温骤变的应对流程（暴雨前后蓄水池调度、24h 盐度恢复）</w:t>
      </w:r>
      <w:r>
        <w:rPr>
          <w:rFonts w:hint="eastAsia" w:ascii="仿宋_GB2312" w:hAnsi="Calibri" w:eastAsia="仿宋_GB2312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；水质培育与调控以“益生菌为主、化学手段为辅”：投放EM菌/光合细菌（0.5mg/L～1.0mg/L）培育水色，每10～15d泼洒光合细菌/EM菌（500～600mL/667m²），氨氮超标时用复合芽孢杆菌+红糖（而非化学药剂）调控；</w:t>
      </w:r>
      <w:r>
        <w:rPr>
          <w:rFonts w:hint="eastAsia" w:ascii="仿宋_GB2312" w:hAnsi="Calibri" w:eastAsia="仿宋_GB2312"/>
          <w:color w:val="000000" w:themeColor="text1"/>
          <w14:textFill>
            <w14:solidFill>
              <w14:schemeClr w14:val="tx1"/>
            </w14:solidFill>
          </w14:textFill>
        </w:rPr>
        <w:t>用GB/T 22919.1规定的配合饲料（粗蛋白38％～48％），成虾期添加β—葡聚糖（0.1％～0.2％）、杜仲叶提取物（0.3％～0.5％）等天然免疫增强剂，替代抗生素促生长；按“幼苗期</w:t>
      </w:r>
      <w:r>
        <w:rPr>
          <w:rFonts w:hint="eastAsia" w:ascii="仿宋_GB2312" w:hAnsi="Calibri" w:eastAsia="仿宋_GB2312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3％～5％</w:t>
      </w:r>
      <w:r>
        <w:rPr>
          <w:rFonts w:hint="eastAsia" w:ascii="仿宋_GB2312" w:hAnsi="Calibri" w:eastAsia="仿宋_GB2312"/>
          <w:color w:val="000000" w:themeColor="text1"/>
          <w14:textFill>
            <w14:solidFill>
              <w14:schemeClr w14:val="tx1"/>
            </w14:solidFill>
          </w14:textFill>
        </w:rPr>
        <w:t>、成虾期</w:t>
      </w:r>
      <w:r>
        <w:rPr>
          <w:rFonts w:hint="eastAsia" w:ascii="仿宋_GB2312" w:hAnsi="Calibri" w:eastAsia="仿宋_GB2312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2％～3％</w:t>
      </w:r>
      <w:r>
        <w:rPr>
          <w:rFonts w:hint="eastAsia" w:ascii="仿宋_GB2312" w:hAnsi="Calibri" w:eastAsia="仿宋_GB2312"/>
          <w:color w:val="000000" w:themeColor="text1"/>
          <w14:textFill>
            <w14:solidFill>
              <w14:schemeClr w14:val="tx1"/>
            </w14:solidFill>
          </w14:textFill>
        </w:rPr>
        <w:t>” 的精准投饲率投喂，减少残饵导致的水体富营养化</w:t>
      </w:r>
      <w:r>
        <w:rPr>
          <w:rFonts w:hint="eastAsia" w:ascii="仿宋_GB2312" w:hAnsi="Calibri" w:eastAsia="仿宋_GB2312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；</w:t>
      </w:r>
      <w:r>
        <w:rPr>
          <w:rFonts w:hint="eastAsia" w:ascii="仿宋_GB2312" w:hAnsi="Calibri" w:eastAsia="仿宋_GB2312"/>
          <w:color w:val="000000" w:themeColor="text1"/>
          <w14:textFill>
            <w14:solidFill>
              <w14:schemeClr w14:val="tx1"/>
            </w14:solidFill>
          </w14:textFill>
        </w:rPr>
        <w:t>突出生态抗逆理念。</w:t>
      </w:r>
    </w:p>
    <w:p w14:paraId="786042E1">
      <w:pPr>
        <w:pStyle w:val="34"/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rPr>
          <w:rFonts w:hint="eastAsia" w:ascii="仿宋_GB2312" w:hAnsi="Calibri" w:eastAsia="仿宋_GB2312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Calibri" w:eastAsia="仿宋_GB2312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3.</w:t>
      </w:r>
      <w:r>
        <w:rPr>
          <w:rFonts w:hint="eastAsia" w:ascii="仿宋_GB2312" w:hAnsi="Calibri" w:eastAsia="仿宋_GB2312"/>
          <w:color w:val="000000" w:themeColor="text1"/>
          <w14:textFill>
            <w14:solidFill>
              <w14:schemeClr w14:val="tx1"/>
            </w14:solidFill>
          </w14:textFill>
        </w:rPr>
        <w:t>病害防控体系化：明确禁用物质残留限值（抗生素≤0.01mg/kg），整合生物（搭配滤食性生物）、物理、化学+微生物防控，分幼苗/成虾阶段针对性预防（EHP 检测、中药提取液泼洒），常见病害（白斑综合征、弧菌病）有具体处置方案，比现有标准更具针对性。</w:t>
      </w:r>
    </w:p>
    <w:p w14:paraId="6379691A">
      <w:pPr>
        <w:pStyle w:val="34"/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rPr>
          <w:rFonts w:hint="eastAsia" w:ascii="仿宋_GB2312" w:hAnsi="Calibri" w:eastAsia="仿宋_GB2312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Calibri" w:eastAsia="仿宋_GB2312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4.</w:t>
      </w:r>
      <w:r>
        <w:rPr>
          <w:rFonts w:hint="eastAsia" w:ascii="仿宋_GB2312" w:hAnsi="Calibri" w:eastAsia="仿宋_GB2312"/>
          <w:color w:val="000000" w:themeColor="text1"/>
          <w14:textFill>
            <w14:solidFill>
              <w14:schemeClr w14:val="tx1"/>
            </w14:solidFill>
          </w14:textFill>
        </w:rPr>
        <w:t>全流程追溯与地方适配：养殖档案涵盖苗种来源、水质波动、药物使用等，保存期≥2 年；结合广西气候特点，明确水温适配范围（23℃～32℃）、尾水处理采用 “三池两坝” 适配地方标准（DB45/T 2956），兼顾合规性与地域实用性。</w:t>
      </w:r>
    </w:p>
    <w:p w14:paraId="0C2A8AB2">
      <w:pPr>
        <w:pStyle w:val="34"/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rPr>
          <w:rFonts w:hint="eastAsia" w:ascii="仿宋_GB2312" w:hAnsi="Calibri" w:eastAsia="仿宋_GB2312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Calibri" w:eastAsia="仿宋_GB2312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5.</w:t>
      </w:r>
      <w:r>
        <w:rPr>
          <w:rFonts w:hint="eastAsia" w:ascii="仿宋_GB2312" w:hAnsi="Calibri" w:eastAsia="仿宋_GB2312"/>
          <w:color w:val="000000" w:themeColor="text1"/>
          <w14:textFill>
            <w14:solidFill>
              <w14:schemeClr w14:val="tx1"/>
            </w14:solidFill>
          </w14:textFill>
        </w:rPr>
        <w:t>移塘与底质改良创新：首次明确移塘触发条件（氨氮＞0.8mg/L 等）及操作流程（应激灵泼洒、新池补乳酸菌），底质改良分池塘 / 规模化养殖制定差异化方案，搭配增氧预处理，提升养殖稳定性。</w:t>
      </w:r>
    </w:p>
    <w:p w14:paraId="095E4878">
      <w:pPr>
        <w:pStyle w:val="34"/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rPr>
          <w:rFonts w:ascii="仿宋_GB2312" w:hAnsi="Calibri" w:eastAsia="仿宋_GB2312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Calibri" w:eastAsia="仿宋_GB2312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6</w:t>
      </w:r>
      <w:r>
        <w:rPr>
          <w:rFonts w:ascii="仿宋_GB2312" w:hAnsi="Calibri" w:eastAsia="仿宋_GB2312"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仿宋_GB2312" w:hAnsi="Calibri" w:eastAsia="仿宋_GB2312"/>
          <w:color w:val="000000" w:themeColor="text1"/>
          <w14:textFill>
            <w14:solidFill>
              <w14:schemeClr w14:val="tx1"/>
            </w14:solidFill>
          </w14:textFill>
        </w:rPr>
        <w:t>主体内容</w:t>
      </w:r>
    </w:p>
    <w:p w14:paraId="010ED1D4">
      <w:pPr>
        <w:pStyle w:val="34"/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rPr>
          <w:rFonts w:ascii="仿宋_GB2312" w:hAnsi="Calibri" w:eastAsia="仿宋_GB2312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Calibri" w:eastAsia="仿宋_GB2312"/>
          <w:color w:val="000000" w:themeColor="text1"/>
          <w14:textFill>
            <w14:solidFill>
              <w14:schemeClr w14:val="tx1"/>
            </w14:solidFill>
          </w14:textFill>
        </w:rPr>
        <w:t>主体内容包括</w:t>
      </w:r>
      <w:r>
        <w:rPr>
          <w:rFonts w:hint="eastAsia" w:ascii="仿宋_GB2312" w:hAnsi="Calibri" w:eastAsia="仿宋_GB2312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斑节对虾生态养殖</w:t>
      </w:r>
      <w:r>
        <w:rPr>
          <w:rFonts w:hint="eastAsia" w:ascii="仿宋_GB2312" w:hAnsi="Calibri" w:eastAsia="仿宋_GB2312"/>
          <w:color w:val="000000" w:themeColor="text1"/>
          <w14:textFill>
            <w14:solidFill>
              <w14:schemeClr w14:val="tx1"/>
            </w14:solidFill>
          </w14:textFill>
        </w:rPr>
        <w:t>环境条件与设施、养殖用水水质、前期准备、苗种选择与投放、养殖过程管理、病害防控、尾水处理、收获</w:t>
      </w:r>
      <w:r>
        <w:rPr>
          <w:rFonts w:hint="eastAsia" w:ascii="仿宋_GB2312" w:hAnsi="Calibri" w:eastAsia="仿宋_GB2312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仿宋_GB2312" w:hAnsi="Calibri" w:eastAsia="仿宋_GB2312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档案管理等</w:t>
      </w:r>
      <w:r>
        <w:rPr>
          <w:rFonts w:hint="eastAsia" w:ascii="仿宋_GB2312" w:hAnsi="Calibri" w:eastAsia="仿宋_GB2312"/>
          <w:color w:val="000000" w:themeColor="text1"/>
          <w14:textFill>
            <w14:solidFill>
              <w14:schemeClr w14:val="tx1"/>
            </w14:solidFill>
          </w14:textFill>
        </w:rPr>
        <w:t>要求。</w:t>
      </w:r>
    </w:p>
    <w:p w14:paraId="30946844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3" w:firstLineChars="200"/>
        <w:rPr>
          <w:rFonts w:hint="eastAsia" w:ascii="楷体" w:hAnsi="楷体" w:eastAsia="楷体" w:cs="楷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楷体" w:hAnsi="楷体" w:eastAsia="楷体" w:cs="楷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（四）调研及形成草案、征求意见稿</w:t>
      </w:r>
    </w:p>
    <w:p w14:paraId="4870BFA9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202</w:t>
      </w:r>
      <w:r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年</w:t>
      </w:r>
      <w:r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月～</w:t>
      </w:r>
      <w:r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9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月，标准编制工作组查阅了大量的国内文献资料，经编制组反复讨论，对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斑节对虾生态养殖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技术的实践情况进行系统总结，形成了标准的基本构架，对主要内容进行了讨论并对项目的工作进行了部署和安排。</w:t>
      </w:r>
    </w:p>
    <w:p w14:paraId="28759C43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202</w:t>
      </w:r>
      <w:r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年</w:t>
      </w:r>
      <w:r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10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月～</w:t>
      </w:r>
      <w:r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11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月，在前期工作的基础之上，通过理清逻辑脉络，整合已有参考资料中有关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斑节对虾生态养殖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技术的要求，并在目前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斑节对虾生态养殖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技术实际操作的基础上，按照简化、统一等原则编制完成团体标准《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斑节对虾生态养殖技术规范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》（草案）。</w:t>
      </w:r>
    </w:p>
    <w:p w14:paraId="42F87AAD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202</w:t>
      </w:r>
      <w:r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年</w:t>
      </w:r>
      <w:r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12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月，标准编制工作组还深入北海海洋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产业园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的自然资源部第四海洋研究所以及各养殖户，还征求</w:t>
      </w:r>
      <w:r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到了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广西壮族自治区中医药研究院、广西壮族自治区水产科学研究院、广西中医药大学、防城港市渔业技术推广站、合浦县乡村振兴发展中心、合浦县水产技术推广站等单位的内部意见，通过收集反馈的意见，标准编制工作组多次召开会议，对标准草案进行了反复修改和研究讨论，明确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斑节对虾生态养殖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技术的要点，掌握了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斑节对虾生态养殖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技术的基本情况以及要求，最终形成了</w:t>
      </w:r>
      <w:bookmarkStart w:id="0" w:name="_Hlk120181503"/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团体标准《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斑节对虾生态养殖技术规范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》（征求意见稿）及其编制说明。</w:t>
      </w:r>
      <w:bookmarkEnd w:id="0"/>
    </w:p>
    <w:tbl>
      <w:tblPr>
        <w:tblStyle w:val="1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left w:w="108" w:type="dxa"/>
          <w:right w:w="108" w:type="dxa"/>
        </w:tblCellMar>
      </w:tblPr>
      <w:tblGrid>
        <w:gridCol w:w="4587"/>
        <w:gridCol w:w="4587"/>
      </w:tblGrid>
      <w:tr w14:paraId="09960D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4587" w:type="dxa"/>
          </w:tcPr>
          <w:p w14:paraId="4AAB66CF">
            <w:pPr>
              <w:pStyle w:val="2"/>
              <w:jc w:val="center"/>
              <w:rPr>
                <w:rFonts w:hint="eastAsia" w:ascii="仿宋_GB2312" w:eastAsia="仿宋_GB2312"/>
                <w:color w:val="000000" w:themeColor="text1"/>
                <w:sz w:val="32"/>
                <w:szCs w:val="32"/>
                <w:vertAlign w:val="baseli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eastAsia="仿宋_GB2312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走访调研过程</w:t>
            </w:r>
            <w:r>
              <w:rPr>
                <w:rFonts w:hint="eastAsia" w:ascii="仿宋_GB2312" w:eastAsia="仿宋_GB2312"/>
                <w:color w:val="000000" w:themeColor="text1"/>
                <w:sz w:val="32"/>
                <w:szCs w:val="32"/>
                <w14:textFill>
                  <w14:solidFill>
                    <w14:schemeClr w14:val="tx1"/>
                  </w14:solidFill>
                </w14:textFill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27305</wp:posOffset>
                  </wp:positionH>
                  <wp:positionV relativeFrom="paragraph">
                    <wp:posOffset>60325</wp:posOffset>
                  </wp:positionV>
                  <wp:extent cx="2496185" cy="1403350"/>
                  <wp:effectExtent l="0" t="0" r="18415" b="6350"/>
                  <wp:wrapTopAndBottom/>
                  <wp:docPr id="1" name="图片 1" descr="微信图片_202512281834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微信图片_20251228183458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185" cy="140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587" w:type="dxa"/>
          </w:tcPr>
          <w:p w14:paraId="022220F5">
            <w:pPr>
              <w:pStyle w:val="2"/>
              <w:jc w:val="center"/>
              <w:rPr>
                <w:rFonts w:hint="eastAsia" w:ascii="仿宋_GB2312" w:eastAsia="仿宋_GB2312"/>
                <w:color w:val="000000" w:themeColor="text1"/>
                <w:sz w:val="32"/>
                <w:szCs w:val="32"/>
                <w:vertAlign w:val="baseli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eastAsia="仿宋_GB2312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走访调研过程</w:t>
            </w:r>
            <w:r>
              <w:rPr>
                <w:rFonts w:hint="eastAsia" w:ascii="仿宋_GB2312" w:eastAsia="仿宋_GB2312"/>
                <w:color w:val="000000" w:themeColor="text1"/>
                <w:sz w:val="32"/>
                <w:szCs w:val="32"/>
                <w14:textFill>
                  <w14:solidFill>
                    <w14:schemeClr w14:val="tx1"/>
                  </w14:solidFill>
                </w14:textFill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154940</wp:posOffset>
                  </wp:positionH>
                  <wp:positionV relativeFrom="paragraph">
                    <wp:posOffset>60325</wp:posOffset>
                  </wp:positionV>
                  <wp:extent cx="2529840" cy="1423035"/>
                  <wp:effectExtent l="0" t="0" r="3810" b="5715"/>
                  <wp:wrapTopAndBottom/>
                  <wp:docPr id="2" name="图片 2" descr="微信图片_202512281835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微信图片_2025122818350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9840" cy="1423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4DB3135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0" w:firstLineChars="0"/>
        <w:jc w:val="center"/>
        <w:outlineLvl w:val="9"/>
        <w:rPr>
          <w:rFonts w:ascii="Times New Roman" w:hAnsi="Times New Roman" w:eastAsia="黑体" w:cs="Times New Roman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黑体" w:cs="Times New Roman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四、制定标准的原则和依据，与现行法律、法规的关系，与有关国家标准、行业标准的协调情况</w:t>
      </w:r>
    </w:p>
    <w:p w14:paraId="3EE11069">
      <w:pPr>
        <w:keepNext w:val="0"/>
        <w:keepLines w:val="0"/>
        <w:pageBreakBefore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snapToGrid/>
        <w:spacing w:line="520" w:lineRule="exact"/>
        <w:ind w:firstLine="643" w:firstLineChars="200"/>
        <w:outlineLvl w:val="1"/>
        <w:rPr>
          <w:rFonts w:ascii="Times New Roman" w:hAnsi="Times New Roman" w:eastAsia="楷体" w:cs="Times New Roman"/>
          <w:b/>
          <w:bCs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楷体" w:cs="Times New Roman"/>
          <w:b/>
          <w:bCs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  <w:t>（一）编制原则</w:t>
      </w:r>
    </w:p>
    <w:p w14:paraId="5B3F563F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3" w:firstLineChars="200"/>
        <w:rPr>
          <w:rFonts w:hint="eastAsia" w:ascii="仿宋_GB2312" w:hAnsi="楷体" w:eastAsia="仿宋_GB2312" w:cs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楷体" w:eastAsia="仿宋_GB2312" w:cs="Times New Roman"/>
          <w:b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1.</w:t>
      </w:r>
      <w:r>
        <w:rPr>
          <w:rFonts w:hint="eastAsia" w:ascii="仿宋_GB2312" w:hAnsi="楷体" w:eastAsia="仿宋_GB2312" w:cs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实用性原则</w:t>
      </w:r>
    </w:p>
    <w:p w14:paraId="27DCA161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本标准是在充分收集国内外相关资料和文献、调研分析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斑节对虾生态养殖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技术现状，结合起草单位前期研究工作取得的研究成果及积累的实践经验，并借鉴国内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斑节对虾生态养殖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技术进行总结起草的，符合工作实际，有利于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斑节对虾生态养殖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技术的实施与推广，具有可操作性和实用性。</w:t>
      </w:r>
    </w:p>
    <w:p w14:paraId="5627CEB1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3" w:firstLineChars="200"/>
        <w:rPr>
          <w:rFonts w:hint="eastAsia" w:ascii="仿宋_GB2312" w:hAnsi="楷体" w:eastAsia="仿宋_GB2312" w:cs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楷体" w:eastAsia="仿宋_GB2312" w:cs="Times New Roman"/>
          <w:b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2.</w:t>
      </w:r>
      <w:r>
        <w:rPr>
          <w:rFonts w:hint="eastAsia" w:ascii="仿宋_GB2312" w:hAnsi="楷体" w:eastAsia="仿宋_GB2312" w:cs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协调性原则</w:t>
      </w:r>
    </w:p>
    <w:p w14:paraId="50314EF1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本文件编写过程中注意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了斑节对虾生态养殖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技术相关法律法规的协调问题，在内容上与现行法律法规、标准协调一致。</w:t>
      </w:r>
    </w:p>
    <w:p w14:paraId="0EAE49F2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3" w:firstLineChars="200"/>
        <w:rPr>
          <w:rFonts w:hint="eastAsia" w:ascii="仿宋_GB2312" w:hAnsi="楷体" w:eastAsia="仿宋_GB2312" w:cs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楷体" w:eastAsia="仿宋_GB2312" w:cs="Times New Roman"/>
          <w:b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3.</w:t>
      </w:r>
      <w:r>
        <w:rPr>
          <w:rFonts w:hint="eastAsia" w:ascii="仿宋_GB2312" w:hAnsi="楷体" w:eastAsia="仿宋_GB2312" w:cs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规范性原则</w:t>
      </w:r>
    </w:p>
    <w:p w14:paraId="4F578CF3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本文件严格按照GB/T 1.1—2020《标准化工作规范  第1部分：标准化文件的结构和起草规则》编写本标准的内容，保证标准的编写质量。</w:t>
      </w:r>
    </w:p>
    <w:p w14:paraId="6CC71D6B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3" w:firstLineChars="200"/>
        <w:rPr>
          <w:rFonts w:hint="eastAsia" w:ascii="仿宋_GB2312" w:hAnsi="楷体" w:eastAsia="仿宋_GB2312" w:cs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楷体" w:eastAsia="仿宋_GB2312" w:cs="Times New Roman"/>
          <w:b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4.</w:t>
      </w:r>
      <w:r>
        <w:rPr>
          <w:rFonts w:hint="eastAsia" w:ascii="仿宋_GB2312" w:hAnsi="楷体" w:eastAsia="仿宋_GB2312" w:cs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前瞻性原则</w:t>
      </w:r>
    </w:p>
    <w:p w14:paraId="2DC0753A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本文件在兼顾当前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斑节对虾生态养殖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技术现实情况的同时，还考虑到了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斑节对虾生态养殖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技术的需要，在标准中体现了个别特色性、前瞻性和先进性条款，作为对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斑节对虾生态养殖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技术的指导。</w:t>
      </w:r>
    </w:p>
    <w:p w14:paraId="4B5E0684">
      <w:pPr>
        <w:keepNext w:val="0"/>
        <w:keepLines w:val="0"/>
        <w:pageBreakBefore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snapToGrid/>
        <w:spacing w:line="520" w:lineRule="exact"/>
        <w:ind w:firstLine="643" w:firstLineChars="200"/>
        <w:outlineLvl w:val="1"/>
        <w:rPr>
          <w:rFonts w:ascii="Times New Roman" w:hAnsi="Times New Roman" w:eastAsia="楷体" w:cs="Times New Roman"/>
          <w:b/>
          <w:bCs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楷体" w:cs="Times New Roman"/>
          <w:b/>
          <w:bCs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  <w:t>（二）编制依据</w:t>
      </w:r>
    </w:p>
    <w:p w14:paraId="712CC4A0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本标准严格按照GB/T 1.1—2020《标准化工作规范  第1部分：标准化文件的结构和起草规则》的规则起草，标准主要内容依据起草单位在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斑节对虾生态养殖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技术过程中的实践经验确定。</w:t>
      </w:r>
    </w:p>
    <w:p w14:paraId="5D8023B0">
      <w:pPr>
        <w:keepNext w:val="0"/>
        <w:keepLines w:val="0"/>
        <w:pageBreakBefore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snapToGrid/>
        <w:spacing w:line="520" w:lineRule="exact"/>
        <w:ind w:firstLine="643" w:firstLineChars="200"/>
        <w:outlineLvl w:val="1"/>
        <w:rPr>
          <w:rFonts w:ascii="Times New Roman" w:hAnsi="Times New Roman" w:eastAsia="楷体" w:cs="Times New Roman"/>
          <w:b/>
          <w:bCs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楷体" w:cs="Times New Roman"/>
          <w:b/>
          <w:bCs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  <w:t>（三）与现行法律、法规的关系，与有关国家标准、行业标准的协调情况</w:t>
      </w:r>
    </w:p>
    <w:p w14:paraId="17E5F0A1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本标准与相关法律法规、强制性标准协调一致，无冲突。</w:t>
      </w:r>
    </w:p>
    <w:p w14:paraId="086473F4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经查阅，未发现与《斑节对虾生态养殖技术规范》完全一致的现行标准。“斑节对虾生态”相关的标准如下。</w:t>
      </w:r>
    </w:p>
    <w:p w14:paraId="78632B39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《GB/T 26619-2011 斑节对虾》规定斑节对虾苗种、成虾的规格、感官及检测方法。本团体标准 “苗种质量指标”（体长 0.8—1.2cm、逆水游动率≥95%）引用此标准，补充 EHP 感染率≤1% 的 SPF 苗种检疫要求。《DB4405/T 215—2019海水池塘斑节对虾生态混养技术规范》适用于河口区斑节对虾与海水鱼类混养生产，涵盖池塘条件、苗种选择、养殖管理等内容。《T/CCPITCFS 007—2024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斑节对虾工厂化养殖技术规范》由全国城市工业品贸易中心联合会发布，聚焦工厂化养殖模式，涵盖设施设备、养殖工艺、质量控制等方面。《南美白对虾土塘生态养殖技术规范》《南美白对虾拱棚池生态养殖技术规范》《南美白对虾高位池生态养殖技术规范》（T/GARRPA 035-2025、T/GARRPA 036-2025、T/GARRPA 037-2025）。</w:t>
      </w:r>
    </w:p>
    <w:p w14:paraId="7B012009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本标准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就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水质培育与调控以 “益生菌为主、化学手段为辅”：投放 EM 菌 / 光合细菌（0.5mg/L～1.0mg/L）培育水色，每 10～15d 泼洒光合细菌 / EM 菌（500～600mL/667m²），氨氮超标时用复合芽孢杆菌 + 红糖（而非化学药剂）调控，符合 SC/T 1137 微生物制剂使用原则，减少化学药剂对水体生态的破坏。</w:t>
      </w:r>
    </w:p>
    <w:p w14:paraId="7D6C5B16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底质改良分场景采用生态方案：池塘养殖用生石灰（10～20kg/667m²），规模化养殖用底质改良菌（5～10kg/667m²），且改良前开启底部气盘增氧≥2h，通过生物氧化 + 物理增氧分解底泥有机物，避免传统化学改底剂的残留风险。</w:t>
      </w:r>
    </w:p>
    <w:p w14:paraId="6C3E7310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饲料管理聚焦 “营养优化 + 减少浪费”：选用 GB/T 22919.1 规定的配合饲料（粗蛋白 38％～48％），成虾期添加 β— 葡聚糖（0.1％～0.2％）、杜仲叶提取物（0.3％～0.5％）等天然免疫增强剂，替代抗生素促生长；按 “幼苗期 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3％～5％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、成虾期 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2％～3％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” 的精准投饲率投喂，减少残饵导致的水体富营养化。</w:t>
      </w:r>
    </w:p>
    <w:p w14:paraId="0592B175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应急环节：现有标准未涉及斑节对虾长周期养殖的移塘技术，本团体标准明确氨氮＞0.8mg/L 等 4 类触发条件、新老池盐度差≤3‰的操作规范，填补应急处置空白。</w:t>
      </w:r>
    </w:p>
    <w:p w14:paraId="3E0F234C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本标准的内容与现行的法律法规及强制性标准无冲突，本文件相关指标不低于强制性国家标准的相关技术要求，标准的编写符合GB/T 1.1—2020的要求。</w:t>
      </w:r>
    </w:p>
    <w:p w14:paraId="65C9E550">
      <w:pPr>
        <w:keepNext w:val="0"/>
        <w:keepLines w:val="0"/>
        <w:pageBreakBefore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20" w:lineRule="exact"/>
        <w:ind w:firstLine="640" w:firstLineChars="200"/>
        <w:outlineLvl w:val="0"/>
        <w:rPr>
          <w:rFonts w:ascii="Times New Roman" w:hAnsi="Times New Roman" w:eastAsia="黑体" w:cs="Times New Roman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黑体" w:cs="Times New Roman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五、主要条款的说明</w:t>
      </w:r>
    </w:p>
    <w:p w14:paraId="0D6F0B94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520" w:lineRule="exact"/>
        <w:ind w:firstLine="640" w:firstLineChars="200"/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团体标准《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斑节对虾生态养殖技术规范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》的主要章节内容包括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斑节对虾生态养殖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环境条件与设施、养殖用水水质、前期准备、苗种选择与投放、养殖过程管理、病害防控、尾水处理、收获等的要求。本文件主要内容及依据来源说明如下：</w:t>
      </w:r>
    </w:p>
    <w:p w14:paraId="781BD440">
      <w:pPr>
        <w:keepNext w:val="0"/>
        <w:keepLines w:val="0"/>
        <w:pageBreakBefore w:val="0"/>
        <w:widowControl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520" w:lineRule="exact"/>
        <w:ind w:firstLine="643" w:firstLineChars="200"/>
        <w:outlineLvl w:val="1"/>
        <w:rPr>
          <w:rFonts w:hint="eastAsia" w:ascii="Times New Roman" w:hAnsi="Times New Roman" w:eastAsia="楷体" w:cs="Times New Roman"/>
          <w:b/>
          <w:bCs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楷体" w:cs="Times New Roman"/>
          <w:b/>
          <w:bCs/>
          <w:color w:val="000000" w:themeColor="text1"/>
          <w:kern w:val="0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Times New Roman" w:hAnsi="Times New Roman" w:eastAsia="楷体" w:cs="Times New Roman"/>
          <w:b/>
          <w:bCs/>
          <w:color w:val="000000" w:themeColor="text1"/>
          <w:kern w:val="0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一</w:t>
      </w:r>
      <w:r>
        <w:rPr>
          <w:rFonts w:hint="eastAsia" w:ascii="Times New Roman" w:hAnsi="Times New Roman" w:eastAsia="楷体" w:cs="Times New Roman"/>
          <w:b/>
          <w:bCs/>
          <w:color w:val="000000" w:themeColor="text1"/>
          <w:kern w:val="0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Times New Roman" w:hAnsi="Times New Roman" w:eastAsia="楷体" w:cs="Times New Roman"/>
          <w:b/>
          <w:bCs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  <w:t>环境条件与设施</w:t>
      </w:r>
    </w:p>
    <w:p w14:paraId="42A554B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hAnsi="Calibri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Calibri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1.场址选择</w:t>
      </w:r>
    </w:p>
    <w:tbl>
      <w:tblPr>
        <w:tblStyle w:val="19"/>
        <w:tblpPr w:leftFromText="180" w:rightFromText="180" w:vertAnchor="text" w:horzAnchor="page" w:tblpX="2119" w:tblpY="3658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300"/>
      </w:tblGrid>
      <w:tr w14:paraId="122F3A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52" w:hRule="atLeast"/>
        </w:trPr>
        <w:tc>
          <w:tcPr>
            <w:tcW w:w="8300" w:type="dxa"/>
          </w:tcPr>
          <w:p w14:paraId="166734BE">
            <w:pPr>
              <w:pStyle w:val="2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520" w:lineRule="exact"/>
              <w:ind w:left="0" w:right="0"/>
              <w:jc w:val="center"/>
              <w:textAlignment w:val="baseline"/>
              <w:rPr>
                <w:rFonts w:hint="default" w:ascii="仿宋_GB2312" w:eastAsia="仿宋_GB2312" w:cs="Calibri"/>
                <w:color w:val="000000" w:themeColor="text1"/>
                <w:kern w:val="2"/>
                <w:sz w:val="32"/>
                <w:szCs w:val="32"/>
                <w:vertAlign w:val="baseli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仿宋_GB2312" w:eastAsia="仿宋_GB2312" w:cs="Calibri"/>
                <w:color w:val="000000" w:themeColor="text1"/>
                <w:kern w:val="2"/>
                <w:sz w:val="32"/>
                <w:szCs w:val="32"/>
                <w:vertAlign w:val="baseli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646430</wp:posOffset>
                  </wp:positionH>
                  <wp:positionV relativeFrom="paragraph">
                    <wp:posOffset>118110</wp:posOffset>
                  </wp:positionV>
                  <wp:extent cx="3852545" cy="2164715"/>
                  <wp:effectExtent l="0" t="0" r="1270" b="5080"/>
                  <wp:wrapTopAndBottom/>
                  <wp:docPr id="7" name="图片 7" descr="3033c134c1382dd2c2f7892dc46928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3033c134c1382dd2c2f7892dc469288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2545" cy="2164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_GB2312" w:eastAsia="仿宋_GB2312" w:cs="Calibri"/>
                <w:color w:val="000000" w:themeColor="text1"/>
                <w:kern w:val="2"/>
                <w:sz w:val="32"/>
                <w:szCs w:val="32"/>
                <w:vertAlign w:val="baseli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养殖地</w:t>
            </w:r>
          </w:p>
        </w:tc>
      </w:tr>
    </w:tbl>
    <w:p w14:paraId="68BA079A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养殖场地选择符合</w:t>
      </w:r>
      <w:r>
        <w:rPr>
          <w:rFonts w:hint="default" w:ascii="仿宋_GB2312" w:hAnsi="Calibri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《SC/T 0004</w:t>
      </w: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default" w:ascii="仿宋_GB2312" w:hAnsi="Calibri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水产养殖质量安全管理规范》</w:t>
      </w: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的规定，核心是保障养殖基础条件稳定、养殖水质安全无污染，同时符合水产养殖质量安全管理的通用规范，交通便利、电力齐全是养殖物资（苗种 / 饲料）运输、增氧 / 监测设备持续运行的基础；水源丰富 + 排水通畅 + 近河口港湾，能满足混养所需的 10‰～32‰盐度稳定供给，同时便于水质调控，最终确保混养成功率与产品质量。</w:t>
      </w:r>
    </w:p>
    <w:p w14:paraId="788AE33A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default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2.池塘设计</w:t>
      </w:r>
    </w:p>
    <w:p w14:paraId="613477B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640" w:firstLineChars="200"/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5</w:t>
      </w:r>
      <w:r>
        <w:rPr>
          <w:rFonts w:hint="default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～1</w:t>
      </w: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5</w:t>
      </w:r>
      <w:r>
        <w:rPr>
          <w:rFonts w:hint="default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 xml:space="preserve"> 亩的规模</w:t>
      </w: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主要根据目前大部分养殖规模确定，避免过小导致水体容量不足、水质易波动，也防止过大造成投喂不均、排污困难，保障虾群活动空间与水体自净能力匹配；长方形设计便于水流循环，减少死角。水深 1.5～2.0 m：维持稳定水温（减少昼夜温差）和溶氧储备，满足斑节对虾生长的水体环境需求，同时为水质调控（如益生菌投放、换水）预留空间。</w:t>
      </w:r>
      <w:r>
        <w:rPr>
          <w:rFonts w:hint="default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1.5％～2％坡度：引导残饵、粪便等污染物向排水口集中，便于快速排污，减少底质有机物堆积，降低硫化物、氨氮超标风险，契合生态养殖 “减污控源” 核心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="仿宋_GB2312" w:hAnsi="Calibri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高密度聚乙烯地膜（厚度≥0.5 mm）避免养殖水体与土壤直接接触，防止土壤中重金属、污染物渗入水体，同时减少水体流失，节约水资源，符合 GB/T 17643 的生态环保要求。地膜表面光滑，污染物不易附着，配合池底坡度，排污更</w:t>
      </w: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彻底，减少底质改良频次和化学改底剂使用，降低养殖污染。</w:t>
      </w:r>
    </w:p>
    <w:p w14:paraId="04B083A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640" w:firstLineChars="200"/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高度≥2.5 m：高于历史最高潮位，防止暴雨、涨潮时外源污水倒灌，阻断外界污染源（如沿岸生活污水、农田径流）进入养殖池，从源头规避污染风险。</w:t>
      </w:r>
    </w:p>
    <w:p w14:paraId="3C9F5E4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640" w:firstLineChars="200"/>
        <w:rPr>
          <w:rFonts w:hint="eastAsia" w:ascii="仿宋_GB2312" w:hAnsi="Calibri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Calibri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陆基设施化养殖池应符合T/GXAS 944的规定。</w:t>
      </w:r>
    </w:p>
    <w:tbl>
      <w:tblPr>
        <w:tblStyle w:val="1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left w:w="108" w:type="dxa"/>
          <w:right w:w="108" w:type="dxa"/>
        </w:tblCellMar>
      </w:tblPr>
      <w:tblGrid>
        <w:gridCol w:w="9174"/>
      </w:tblGrid>
      <w:tr w14:paraId="2C8A3E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9174" w:type="dxa"/>
          </w:tcPr>
          <w:p w14:paraId="636944A5">
            <w:pPr>
              <w:pStyle w:val="2"/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drawing>
                <wp:inline distT="0" distB="0" distL="114300" distR="114300">
                  <wp:extent cx="5678805" cy="3647440"/>
                  <wp:effectExtent l="0" t="0" r="10160" b="1270"/>
                  <wp:docPr id="3" name="图片 3" descr="e726db84-8149-4a8c-a1ea-0c790bda8c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e726db84-8149-4a8c-a1ea-0c790bda8c94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8805" cy="3647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vertAlign w:val="baseline"/>
                <w:lang w:val="en-US" w:eastAsia="zh-CN"/>
              </w:rPr>
              <w:t>来源：T/GXAS 944  东兴对虾健康养殖技术规范</w:t>
            </w:r>
          </w:p>
        </w:tc>
      </w:tr>
      <w:tr w14:paraId="1C0893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52" w:hRule="atLeast"/>
        </w:trPr>
        <w:tc>
          <w:tcPr>
            <w:tcW w:w="9174" w:type="dxa"/>
          </w:tcPr>
          <w:p w14:paraId="4A0583D9">
            <w:pPr>
              <w:pStyle w:val="2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520" w:lineRule="exact"/>
              <w:ind w:left="0" w:right="0"/>
              <w:jc w:val="center"/>
              <w:textAlignment w:val="baseline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 w:ascii="仿宋_GB2312" w:eastAsia="仿宋_GB2312" w:cs="Calibri"/>
                <w:color w:val="000000" w:themeColor="text1"/>
                <w:kern w:val="2"/>
                <w:sz w:val="32"/>
                <w:szCs w:val="32"/>
                <w:vertAlign w:val="baseli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5684520" cy="3784600"/>
                  <wp:effectExtent l="0" t="0" r="4445" b="4445"/>
                  <wp:wrapTight wrapText="bothSides">
                    <wp:wrapPolygon>
                      <wp:start x="0" y="0"/>
                      <wp:lineTo x="0" y="21379"/>
                      <wp:lineTo x="21371" y="21379"/>
                      <wp:lineTo x="21371" y="0"/>
                      <wp:lineTo x="0" y="0"/>
                    </wp:wrapPolygon>
                  </wp:wrapTight>
                  <wp:docPr id="8" name="图片 8" descr="169c9ce42b59f7447dc1f8f3b4d50e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169c9ce42b59f7447dc1f8f3b4d50e1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4520" cy="3784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_GB2312" w:eastAsia="仿宋_GB2312" w:cs="Calibri"/>
                <w:color w:val="000000" w:themeColor="text1"/>
                <w:kern w:val="2"/>
                <w:sz w:val="32"/>
                <w:szCs w:val="32"/>
                <w:vertAlign w:val="baseli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养殖地</w:t>
            </w:r>
          </w:p>
        </w:tc>
      </w:tr>
    </w:tbl>
    <w:p w14:paraId="4A9995A0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520" w:lineRule="exact"/>
        <w:ind w:firstLine="640" w:firstLineChars="200"/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</w:p>
    <w:p w14:paraId="176E55DB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3.配套设施</w:t>
      </w:r>
    </w:p>
    <w:p w14:paraId="09E945F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进排水系统：</w:t>
      </w:r>
      <w:r>
        <w:rPr>
          <w:rFonts w:hint="default" w:ascii="仿宋_GB2312" w:hAnsi="Calibri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0.18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～</w:t>
      </w:r>
      <w:r>
        <w:rPr>
          <w:rFonts w:hint="default" w:ascii="仿宋_GB2312" w:hAnsi="Calibri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0.25 mm 的网目能有效拦截水中的野杂鱼、虾苗、蟹苗、螺类、水蚤等敌害生物，避免其进入养殖池与</w:t>
      </w: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斑节</w:t>
      </w:r>
      <w:r>
        <w:rPr>
          <w:rFonts w:hint="default" w:ascii="仿宋_GB2312" w:hAnsi="Calibri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对虾争夺饵料、空间，或捕食幼体虾蟹，降低养殖成活率</w:t>
      </w: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。集中进水便于统一过滤、消毒预处理，确保规模化养殖时各池水质均匀；配备水泵保障进水稳定，避免自然取水的不确定性，同时减少新水过度抽取，契合生态养殖的资源节约要求。斑节对虾生态养殖池的残饵、粪便、死藻等污染物主要沉积在池底，设置池底排污管可实现底层定向排污，直接排出池底厌氧层的污水，相较于表层排水，能更高效改善底质环境，降低底层溶氧偏低、硫化氢等有毒有害物质滋生的风险，从源头减少虾蟹细菌性、病毒性病害的发生。</w:t>
      </w:r>
    </w:p>
    <w:p w14:paraId="7DA2006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增氧系统：斑节对虾生长、水质稳定均依赖充足溶氧（≥4.0 mg/L），低于该值会导致摄食下降、免疫力降低，还会引发底质有机物厌氧分解产生氨氮、硫化物等毒素，破坏水体生态平衡。</w:t>
      </w:r>
    </w:p>
    <w:p w14:paraId="1D9EFDEF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default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多元增氧设施适配不同场景：叶轮式、罗茨风机等多种类型可选，满足池塘养殖、规模化养殖等不同模式需求，均匀分布确保全池溶氧均衡，避免局部缺氧死角。符合 GB/T 20014.21 规范，通过物理增氧替代化学增氧手段，减少药剂使用，同时充足溶氧能促进益生菌活性，助力水质生物调控，呼应生态养殖理念</w:t>
      </w:r>
      <w:r>
        <w:rPr>
          <w:rFonts w:hint="default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。</w:t>
      </w:r>
    </w:p>
    <w:p w14:paraId="5DE741FC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default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监测设施</w:t>
      </w: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：通过盐度监测仪可实时掌握盐度变化，及时采取换水、补盐等调控措施，保障盐度稳定在适宜区间。水温直接决定虾蟹的代谢速率、蜕壳周期、饵料转化率，同时影响水体溶氧饱和度、微生物活性；通过水温仪可实时监测池水温变化，高温期及时采取加水、遮阴等降温措施，低温期做好保温，同时根据水温调整投喂量，实现科学投喂。溶氧仪是验证增氧系统运行效果、把控溶氧阈值的唯一精准工具；可实时监测不同水层溶氧变化，及时发现底层溶氧偏低问题，调整增氧机开启时间 / 频次，避免因溶氧不足引发虾蟹浮头、缺氧死亡。</w:t>
      </w:r>
    </w:p>
    <w:p w14:paraId="64BFA495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（二）养殖用水水质</w:t>
      </w:r>
    </w:p>
    <w:p w14:paraId="7DCD9E78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default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default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斑节对虾适宜生长水温 23℃～32℃，全年≥22℃持续 8 个月可满足 6～8 个月养殖周期，冬季最低＞16℃避免低温停食、冻伤，契合广西气候适配性，无需额外升温成本。pH（7.5～8.5）：维持生理代谢平衡，该范围是对虾鳃部呼吸、酶活性的最佳酸碱环境，偏离会导致免疫力下降、氨氮毒性增强，严格限定可减少化学调酸 / 调碱药剂使用</w:t>
      </w: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。氨氮≤0.2mg/L、亚硝酸盐≤0.05mg/L）：杜绝内源毒害，两者是养殖水体主要有毒物质，超标会导致对虾中毒（亚硝酸盐影响血液携氧、氨氮损伤肝脏），低限值可避免化学解毒剂使用，降低病害发生率。</w:t>
      </w:r>
    </w:p>
    <w:p w14:paraId="36560A9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default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氨氮、亚硝酸盐是虾养池最主要的有毒水质指标，主要由虾蟹粪便、残饵、死藻等有机物分解产生，且两者对虾的生理毒性极强</w:t>
      </w: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。</w:t>
      </w:r>
      <w:r>
        <w:rPr>
          <w:rFonts w:hint="default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氨氮会破坏虾蟹血淋巴的携氧能力，引发缺氧浮头、肝胰腺损伤，严重时直接导致中毒死亡；亚硝酸盐为强氧化剂，会使虾蟹血液中的血红蛋白转化为高铁血红蛋白，丧失携氧功能，引发 “高铁血红蛋白症”，表现为鳃部发紫、摄食停止，且虾蟹幼体对其毒性更敏感。透明度直接反映水体浮游生物群落结构、悬浮物含量，是判断池塘藻相平衡与水质清洁度的核心直观指标，≥30 cm 的透明度是虾蟹混养池生态平衡的关键阈值</w:t>
      </w: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。化学需氧量（COD）反映水体中可被氧化的有机物总含量，该指标设定是为了从水源端把控有机物污染，避免外源有机物进入养殖池加剧水质负担。GB 11607《渔业水质标准》是我国水产养殖水源水质的国家强制性标准，涵盖了溶解氧、硫化氢、总磷、总氮、重金属（汞、镉、铅等）、石油类等未在本条款中单独列明的核心水质指标。</w:t>
      </w:r>
    </w:p>
    <w:tbl>
      <w:tblPr>
        <w:tblStyle w:val="1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174"/>
      </w:tblGrid>
      <w:tr w14:paraId="5DAFF5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174" w:type="dxa"/>
          </w:tcPr>
          <w:p w14:paraId="6268B94B">
            <w:pPr>
              <w:pStyle w:val="2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520" w:lineRule="exact"/>
              <w:ind w:left="0" w:right="0"/>
              <w:jc w:val="center"/>
              <w:textAlignment w:val="baseline"/>
              <w:rPr>
                <w:rFonts w:hint="default" w:ascii="仿宋_GB2312" w:eastAsia="仿宋" w:cs="Calibri"/>
                <w:color w:val="000000" w:themeColor="text1"/>
                <w:kern w:val="2"/>
                <w:sz w:val="32"/>
                <w:szCs w:val="32"/>
                <w:vertAlign w:val="baseli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868045</wp:posOffset>
                  </wp:positionH>
                  <wp:positionV relativeFrom="paragraph">
                    <wp:posOffset>-623570</wp:posOffset>
                  </wp:positionV>
                  <wp:extent cx="4045585" cy="2792095"/>
                  <wp:effectExtent l="0" t="0" r="2540" b="3810"/>
                  <wp:wrapTopAndBottom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45585" cy="27920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/>
                <w:lang w:val="en-US" w:eastAsia="zh-CN"/>
              </w:rPr>
              <w:t>养殖池</w:t>
            </w:r>
          </w:p>
        </w:tc>
      </w:tr>
    </w:tbl>
    <w:p w14:paraId="731EAC0A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default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</w:p>
    <w:tbl>
      <w:tblPr>
        <w:tblStyle w:val="1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9"/>
        <w:gridCol w:w="1764"/>
        <w:gridCol w:w="1648"/>
        <w:gridCol w:w="1417"/>
        <w:gridCol w:w="1533"/>
        <w:gridCol w:w="1533"/>
      </w:tblGrid>
      <w:tr w14:paraId="045DD2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9" w:type="dxa"/>
          </w:tcPr>
          <w:p w14:paraId="2C35B966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  <w:t>项目</w:t>
            </w:r>
          </w:p>
        </w:tc>
        <w:tc>
          <w:tcPr>
            <w:tcW w:w="1764" w:type="dxa"/>
          </w:tcPr>
          <w:p w14:paraId="250D3FCD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  <w:t>企业1</w:t>
            </w:r>
          </w:p>
        </w:tc>
        <w:tc>
          <w:tcPr>
            <w:tcW w:w="1648" w:type="dxa"/>
          </w:tcPr>
          <w:p w14:paraId="3C5976EA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  <w:t>企业2</w:t>
            </w:r>
          </w:p>
        </w:tc>
        <w:tc>
          <w:tcPr>
            <w:tcW w:w="1417" w:type="dxa"/>
          </w:tcPr>
          <w:p w14:paraId="293A46F9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  <w:t>企业3</w:t>
            </w:r>
          </w:p>
        </w:tc>
        <w:tc>
          <w:tcPr>
            <w:tcW w:w="1533" w:type="dxa"/>
          </w:tcPr>
          <w:p w14:paraId="50D69160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  <w:t>企业4</w:t>
            </w:r>
          </w:p>
        </w:tc>
        <w:tc>
          <w:tcPr>
            <w:tcW w:w="1533" w:type="dxa"/>
          </w:tcPr>
          <w:p w14:paraId="24F62EC6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  <w:t>企业5</w:t>
            </w:r>
          </w:p>
        </w:tc>
      </w:tr>
      <w:tr w14:paraId="391783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9" w:type="dxa"/>
          </w:tcPr>
          <w:p w14:paraId="63ADF474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  <w:t>盐度</w:t>
            </w:r>
          </w:p>
        </w:tc>
        <w:tc>
          <w:tcPr>
            <w:tcW w:w="1764" w:type="dxa"/>
          </w:tcPr>
          <w:p w14:paraId="39047E06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10‰～20‰</w:t>
            </w:r>
          </w:p>
        </w:tc>
        <w:tc>
          <w:tcPr>
            <w:tcW w:w="1648" w:type="dxa"/>
          </w:tcPr>
          <w:p w14:paraId="6356A559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15‰～20‰</w:t>
            </w:r>
          </w:p>
        </w:tc>
        <w:tc>
          <w:tcPr>
            <w:tcW w:w="1417" w:type="dxa"/>
          </w:tcPr>
          <w:p w14:paraId="06ABA87A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15‰～32‰</w:t>
            </w:r>
          </w:p>
        </w:tc>
        <w:tc>
          <w:tcPr>
            <w:tcW w:w="1533" w:type="dxa"/>
          </w:tcPr>
          <w:p w14:paraId="5B335849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15‰～25‰</w:t>
            </w:r>
          </w:p>
        </w:tc>
        <w:tc>
          <w:tcPr>
            <w:tcW w:w="1533" w:type="dxa"/>
          </w:tcPr>
          <w:p w14:paraId="6EB439EC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10‰～32‰</w:t>
            </w:r>
          </w:p>
        </w:tc>
      </w:tr>
      <w:tr w14:paraId="137D9E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9" w:type="dxa"/>
          </w:tcPr>
          <w:p w14:paraId="31C285BA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  <w:t>pH值</w:t>
            </w:r>
          </w:p>
        </w:tc>
        <w:tc>
          <w:tcPr>
            <w:tcW w:w="1764" w:type="dxa"/>
          </w:tcPr>
          <w:p w14:paraId="046FE07D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7.6～8.5</w:t>
            </w:r>
          </w:p>
        </w:tc>
        <w:tc>
          <w:tcPr>
            <w:tcW w:w="1648" w:type="dxa"/>
          </w:tcPr>
          <w:p w14:paraId="4FFBAF86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8.0～8.5</w:t>
            </w:r>
          </w:p>
        </w:tc>
        <w:tc>
          <w:tcPr>
            <w:tcW w:w="1417" w:type="dxa"/>
          </w:tcPr>
          <w:p w14:paraId="2A538B89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7.6～8.5</w:t>
            </w:r>
          </w:p>
        </w:tc>
        <w:tc>
          <w:tcPr>
            <w:tcW w:w="1533" w:type="dxa"/>
          </w:tcPr>
          <w:p w14:paraId="416743E3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7.8～8.5</w:t>
            </w:r>
          </w:p>
        </w:tc>
        <w:tc>
          <w:tcPr>
            <w:tcW w:w="1533" w:type="dxa"/>
          </w:tcPr>
          <w:p w14:paraId="6C7F9878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  <w:t>8.0</w:t>
            </w: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～8.5</w:t>
            </w:r>
          </w:p>
        </w:tc>
      </w:tr>
      <w:tr w14:paraId="0CB571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9" w:type="dxa"/>
          </w:tcPr>
          <w:p w14:paraId="2223C421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  <w:t>透明度</w:t>
            </w:r>
          </w:p>
        </w:tc>
        <w:tc>
          <w:tcPr>
            <w:tcW w:w="1764" w:type="dxa"/>
          </w:tcPr>
          <w:p w14:paraId="0D19C880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≥40</w:t>
            </w: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vertAlign w:val="baseline"/>
                <w:lang w:val="en-US" w:eastAsia="zh-CN" w:bidi="ar"/>
              </w:rPr>
              <w:t xml:space="preserve"> </w:t>
            </w: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cm</w:t>
            </w:r>
          </w:p>
        </w:tc>
        <w:tc>
          <w:tcPr>
            <w:tcW w:w="1648" w:type="dxa"/>
          </w:tcPr>
          <w:p w14:paraId="1F199993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≥30</w:t>
            </w: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vertAlign w:val="baseline"/>
                <w:lang w:val="en-US" w:eastAsia="zh-CN" w:bidi="ar"/>
              </w:rPr>
              <w:t xml:space="preserve"> </w:t>
            </w: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cm</w:t>
            </w:r>
          </w:p>
        </w:tc>
        <w:tc>
          <w:tcPr>
            <w:tcW w:w="1417" w:type="dxa"/>
          </w:tcPr>
          <w:p w14:paraId="3379753F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≥30</w:t>
            </w: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vertAlign w:val="baseline"/>
                <w:lang w:val="en-US" w:eastAsia="zh-CN" w:bidi="ar"/>
              </w:rPr>
              <w:t xml:space="preserve"> </w:t>
            </w: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cm</w:t>
            </w:r>
          </w:p>
        </w:tc>
        <w:tc>
          <w:tcPr>
            <w:tcW w:w="1533" w:type="dxa"/>
          </w:tcPr>
          <w:p w14:paraId="05F0900B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≥30</w:t>
            </w: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vertAlign w:val="baseline"/>
                <w:lang w:val="en-US" w:eastAsia="zh-CN" w:bidi="ar"/>
              </w:rPr>
              <w:t xml:space="preserve"> </w:t>
            </w: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cm</w:t>
            </w:r>
          </w:p>
        </w:tc>
        <w:tc>
          <w:tcPr>
            <w:tcW w:w="1533" w:type="dxa"/>
          </w:tcPr>
          <w:p w14:paraId="7AD28B89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≥40</w:t>
            </w: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vertAlign w:val="baseline"/>
                <w:lang w:val="en-US" w:eastAsia="zh-CN" w:bidi="ar"/>
              </w:rPr>
              <w:t xml:space="preserve"> </w:t>
            </w: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cm</w:t>
            </w:r>
          </w:p>
        </w:tc>
      </w:tr>
      <w:tr w14:paraId="101089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9" w:type="dxa"/>
          </w:tcPr>
          <w:p w14:paraId="7C786DB8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  <w:t>水体含氧量</w:t>
            </w:r>
          </w:p>
        </w:tc>
        <w:tc>
          <w:tcPr>
            <w:tcW w:w="1764" w:type="dxa"/>
            <w:vAlign w:val="center"/>
          </w:tcPr>
          <w:p w14:paraId="5A8C7A82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&gt;5.0</w:t>
            </w: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vertAlign w:val="baseline"/>
                <w:lang w:val="en-US" w:eastAsia="zh-CN" w:bidi="ar"/>
              </w:rPr>
              <w:t xml:space="preserve"> </w:t>
            </w: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mg/L</w:t>
            </w:r>
          </w:p>
        </w:tc>
        <w:tc>
          <w:tcPr>
            <w:tcW w:w="1648" w:type="dxa"/>
            <w:vAlign w:val="center"/>
          </w:tcPr>
          <w:p w14:paraId="60603996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&gt;5.0</w:t>
            </w: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vertAlign w:val="baseline"/>
                <w:lang w:val="en-US" w:eastAsia="zh-CN" w:bidi="ar"/>
              </w:rPr>
              <w:t xml:space="preserve"> </w:t>
            </w: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mg/L</w:t>
            </w:r>
          </w:p>
        </w:tc>
        <w:tc>
          <w:tcPr>
            <w:tcW w:w="1417" w:type="dxa"/>
            <w:vAlign w:val="center"/>
          </w:tcPr>
          <w:p w14:paraId="47502688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&gt;6.0</w:t>
            </w: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vertAlign w:val="baseline"/>
                <w:lang w:val="en-US" w:eastAsia="zh-CN" w:bidi="ar"/>
              </w:rPr>
              <w:t xml:space="preserve"> </w:t>
            </w: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mg/L</w:t>
            </w:r>
          </w:p>
        </w:tc>
        <w:tc>
          <w:tcPr>
            <w:tcW w:w="1533" w:type="dxa"/>
            <w:vAlign w:val="center"/>
          </w:tcPr>
          <w:p w14:paraId="5342D3C6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&gt;5.0</w:t>
            </w: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vertAlign w:val="baseline"/>
                <w:lang w:val="en-US" w:eastAsia="zh-CN" w:bidi="ar"/>
              </w:rPr>
              <w:t xml:space="preserve"> </w:t>
            </w: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mg/L</w:t>
            </w:r>
          </w:p>
        </w:tc>
        <w:tc>
          <w:tcPr>
            <w:tcW w:w="1533" w:type="dxa"/>
            <w:vAlign w:val="center"/>
          </w:tcPr>
          <w:p w14:paraId="3B14CCC5">
            <w:pPr>
              <w:pStyle w:val="27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仿宋_GB2312" w:hAnsi="仿宋_GB2312" w:eastAsia="仿宋_GB2312" w:cs="仿宋_GB2312"/>
                <w:b w:val="0"/>
                <w:sz w:val="30"/>
                <w:szCs w:val="30"/>
                <w:vertAlign w:val="baseli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&gt;6.0</w:t>
            </w: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vertAlign w:val="baseline"/>
                <w:lang w:val="en-US" w:eastAsia="zh-CN" w:bidi="ar"/>
              </w:rPr>
              <w:t xml:space="preserve"> </w:t>
            </w:r>
            <w:r>
              <w:rPr>
                <w:rFonts w:hint="eastAsia" w:ascii="仿宋_GB2312" w:hAnsi="仿宋_GB2312" w:eastAsia="仿宋_GB2312" w:cs="仿宋_GB2312"/>
                <w:kern w:val="2"/>
                <w:sz w:val="30"/>
                <w:szCs w:val="30"/>
                <w:lang w:val="en-US" w:eastAsia="zh-CN" w:bidi="ar"/>
              </w:rPr>
              <w:t>mg/L</w:t>
            </w:r>
          </w:p>
        </w:tc>
      </w:tr>
    </w:tbl>
    <w:p w14:paraId="79E5DCD5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default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153DE454">
      <w:pPr>
        <w:keepNext w:val="0"/>
        <w:keepLines w:val="0"/>
        <w:pageBreakBefore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snapToGrid/>
        <w:spacing w:line="520" w:lineRule="exact"/>
        <w:ind w:firstLine="643" w:firstLineChars="200"/>
        <w:outlineLvl w:val="1"/>
        <w:rPr>
          <w:rFonts w:hint="eastAsia" w:ascii="Times New Roman" w:hAnsi="Times New Roman" w:eastAsia="楷体" w:cs="Times New Roman"/>
          <w:b/>
          <w:bCs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楷体" w:cs="Times New Roman"/>
          <w:b/>
          <w:bCs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  <w:t>（2）前期准备</w:t>
      </w:r>
    </w:p>
    <w:p w14:paraId="661623CE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1.消毒</w:t>
      </w:r>
    </w:p>
    <w:p w14:paraId="026D26B0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曝晒 7～15 d：利用阳光紫外线物理杀菌，分解底质残留有机物，无化学污染，契合生态理念；生石灰（100～150 kg/667m²）：既能杀灭病菌、虫卵等病原，又能调节底质 pH 值（改善酸性底泥），且生石灰分解后生成碳酸钙，可改良底质结构，无药物残留，避免后续养殖水体污染，符合无公害养殖要求。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同时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池塘经过多年的养殖，沙质底中通常会沉积了大量由死藻、青苔、粪便、残饵、污泥等组成的有机物质，通常都恶臭发黑，在细菌的作用下，不但会消耗水中溶解氧，还会产生硫化氢、氨氮等大量有毒物质，在放苗前必须除去。漂白剂（30～50 mg/L）：杀菌效率高，能快速处理大面积养殖池的病原，傍晚使用可减少含氯成分挥发，提升消毒效果，且用量可控（10～15 kg/667m²），避免过量残留；紫外灯、臭氧：物理 / 化学低残留消毒方式，无需添加化学药剂，不会改变水体成分，适配规模化养殖对 “高效 + 环保”的双重需求，减少对后续水质培育（益生菌投放）的干扰。</w:t>
      </w:r>
    </w:p>
    <w:tbl>
      <w:tblPr>
        <w:tblStyle w:val="1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174"/>
      </w:tblGrid>
      <w:tr w14:paraId="095E75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64" w:hRule="atLeast"/>
        </w:trPr>
        <w:tc>
          <w:tcPr>
            <w:tcW w:w="9174" w:type="dxa"/>
          </w:tcPr>
          <w:p w14:paraId="05EFADE5">
            <w:pPr>
              <w:pStyle w:val="2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520" w:lineRule="exact"/>
              <w:ind w:left="0" w:right="0"/>
              <w:jc w:val="center"/>
              <w:textAlignment w:val="baseline"/>
              <w:rPr>
                <w:rFonts w:hint="eastAsia" w:eastAsia="宋体"/>
                <w:vertAlign w:val="baseline"/>
                <w:lang w:eastAsia="zh-CN"/>
              </w:rPr>
            </w:pPr>
            <w:r>
              <w:rPr>
                <w:rFonts w:hint="eastAsia" w:ascii="仿宋" w:hAnsi="仿宋" w:eastAsia="仿宋"/>
                <w:lang w:val="en-US" w:eastAsia="zh-CN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5684520" cy="2867025"/>
                  <wp:effectExtent l="0" t="0" r="0" b="0"/>
                  <wp:wrapTight wrapText="bothSides">
                    <wp:wrapPolygon>
                      <wp:start x="0" y="0"/>
                      <wp:lineTo x="0" y="21308"/>
                      <wp:lineTo x="21371" y="21308"/>
                      <wp:lineTo x="21371" y="0"/>
                      <wp:lineTo x="0" y="0"/>
                    </wp:wrapPolygon>
                  </wp:wrapTight>
                  <wp:docPr id="11" name="图片 11" descr="c8991b820706bcb24517237f066f3d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c8991b820706bcb24517237f066f3d47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rcRect b="10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4520" cy="2867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/>
                <w:lang w:val="en-US" w:eastAsia="zh-CN"/>
              </w:rPr>
              <w:t>池塘暴晒</w:t>
            </w:r>
          </w:p>
        </w:tc>
      </w:tr>
    </w:tbl>
    <w:p w14:paraId="13A5268D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砂滤可过滤水体悬浮物、野杂鱼卵等杂质，蓄水池消毒能杀灭病原微生物，静置 2d 可让消毒剂残留分解、悬浮物沉淀，避免未处理的原水带入污染，防止对后续水质培育（益生菌投放）和虾苗存活造成干扰。SC/T 0004《水产养殖质量安全管理规范》：规定进水环节需经过净化处理，保障养殖用水安全。</w:t>
      </w:r>
    </w:p>
    <w:p w14:paraId="3071DBF2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hint="default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2.水质培育</w:t>
      </w:r>
    </w:p>
    <w:p w14:paraId="1B0F9AA0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益生菌可分解水体有机物、抑制弧菌等有害菌繁殖，同时光合细菌能光合作用产氧，EM 菌可调节水体菌群平衡，替代化学水质调节剂，契合生态养殖 “生物调控” 理念；精准浓度设定避免益生菌过量导致水质失衡，确保菌群稳定繁殖。7 天后水质指标（透明度 30～40 cm + 茶褐 / 黄绿色）：适配生长与生态需求该水色是有益藻相（硅藻、绿藻）的表现，藻类能产氧、供天然饵料，还能缓冲水质波动；透明度控制既保证藻类光合作用，又避免水体过肥引发富营养化，为后续虾苗投放提供 “稳、净、肥” 的适宜环境，降低应激与病害风险。SC/T 1137《淡水养殖水质调节用微生物制剂质量与使用原则》：明确益生菌选用种类、使用浓度及安全要求，是投放益生菌的核心依据；GB 11607《渔业水质标准》：透明度等指标需符合渔业水质基础要求，水质培育是达标关键环节；GB/T 20014.21《良好农业规范 对虾池塘养殖控制点与符合性规范》：规定对虾养殖需构建稳定藻相，保障水体生态平衡。</w:t>
      </w:r>
    </w:p>
    <w:p w14:paraId="5318F27D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3.培育饵料</w:t>
      </w:r>
    </w:p>
    <w:p w14:paraId="63173196">
      <w:pPr>
        <w:pStyle w:val="2"/>
        <w:rPr>
          <w:rFonts w:hint="eastAsia"/>
          <w:lang w:val="en-US" w:eastAsia="zh-CN"/>
        </w:rPr>
      </w:pPr>
    </w:p>
    <w:tbl>
      <w:tblPr>
        <w:tblStyle w:val="1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left w:w="108" w:type="dxa"/>
          <w:right w:w="108" w:type="dxa"/>
        </w:tblCellMar>
      </w:tblPr>
      <w:tblGrid>
        <w:gridCol w:w="9174"/>
      </w:tblGrid>
      <w:tr w14:paraId="21E4B5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9174" w:type="dxa"/>
          </w:tcPr>
          <w:p w14:paraId="5BC47F8B"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520" w:lineRule="exact"/>
              <w:jc w:val="center"/>
              <w:textAlignment w:val="baseline"/>
              <w:rPr>
                <w:rFonts w:hint="eastAsia" w:ascii="仿宋_GB2312" w:eastAsia="仿宋_GB2312" w:cs="Calibri"/>
                <w:color w:val="000000" w:themeColor="text1"/>
                <w:kern w:val="2"/>
                <w:sz w:val="32"/>
                <w:szCs w:val="32"/>
                <w:vertAlign w:val="baseli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lang w:val="en-US" w:eastAsia="zh-CN"/>
              </w:rPr>
              <w:t>来源：T/GXAS 944  东兴对虾健康养殖技术规范</w:t>
            </w:r>
            <w:r>
              <w:rPr>
                <w:rFonts w:hint="eastAsia" w:ascii="仿宋_GB2312" w:eastAsia="仿宋_GB2312" w:cs="Calibri"/>
                <w:color w:val="000000" w:themeColor="text1"/>
                <w:kern w:val="2"/>
                <w:sz w:val="32"/>
                <w:szCs w:val="32"/>
                <w:vertAlign w:val="baseli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-1657350</wp:posOffset>
                  </wp:positionV>
                  <wp:extent cx="5683885" cy="1912620"/>
                  <wp:effectExtent l="0" t="0" r="5080" b="8890"/>
                  <wp:wrapTopAndBottom/>
                  <wp:docPr id="4" name="图片 4" descr="2a3163ee-6906-4626-b7a6-756d2fdd8b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2a3163ee-6906-4626-b7a6-756d2fdd8b8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3885" cy="1912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6D34A8FB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40ABB01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（三）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苗种选择与投放</w:t>
      </w:r>
    </w:p>
    <w:p w14:paraId="5CFDCD3A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hAnsi="Calibri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Calibri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1.苗种质量</w:t>
      </w:r>
    </w:p>
    <w:p w14:paraId="228C6CE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hAnsi="Calibri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Calibri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原、良种场有规范的苗种培育标准和特定病原筛查体系，能有效杜绝白斑综合征病毒、桃拉综合征病毒等对虾烈性病原的携带与引入，避免病原入池引发全池病害爆发；同时良种场苗种遗传性状优良，生长性能、抗逆性更优，配合官方检疫合格的要求，进一步排除病苗、弱苗，降低养殖前期的苗种损耗风险。附肢完整、反应敏捷、逆水能力强，说明苗种体质健壮、摄食与抗逆潜力强，可减少放苗后因体质弱导致的死亡；100% 附肢完整率避免机械损伤引发的病菌感染，降低病害传播风险。GB/T 20014.21《良好农业规范 第 21 部分：对虾池塘养殖控制点与符合性规范》：明确对虾苗种的活力、体质等质量控制要求，是苗种筛选的核心依据</w:t>
      </w: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。</w:t>
      </w:r>
    </w:p>
    <w:p w14:paraId="41BD538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hAnsi="Calibri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Calibri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2.苗种投放</w:t>
      </w:r>
    </w:p>
    <w:p w14:paraId="37DD204B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两个时段水温多处于 23℃～32℃（斑节对虾最佳生长水温），且后续能维持≥8 个月的适宜水温周期，避免低温 / 高温导致苗种应激、生长缓慢；同时避开暴雨、台风高发的极端时段，减少环境突变对苗种存活的影响。</w:t>
      </w:r>
    </w:p>
    <w:p w14:paraId="64ECDF0E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密度设定基于池塘水体容量、增氧能力和水质自净能力，避免过密导致溶氧不足、残饵粪便堆积（引发氨氮 / 亚硝酸盐超标），减少化学调水和病害用药；规模化养殖因设施更完善（集中进水、底质改良菌投放），承载力更高，故密度略高，兼顾生态环保与养殖效益。GB/T 20014.21《良好农业规范 第 21 部分：对虾池塘养殖控制点与符合性规范》：明确对虾苗种投放时间、密度需与环境承载力匹配。</w:t>
      </w:r>
    </w:p>
    <w:p w14:paraId="42C071B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713423F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6A2A297B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06" w:lineRule="atLeast"/>
        <w:ind w:left="0" w:right="0"/>
        <w:rPr>
          <w:rFonts w:hint="eastAsia" w:ascii="仿宋_GB2312" w:hAnsi="Calibri" w:eastAsia="仿宋_GB2312" w:cs="Calibri"/>
          <w:b w:val="0"/>
          <w:bCs w:val="0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Calibri" w:eastAsia="仿宋_GB2312" w:cs="Calibri"/>
          <w:b w:val="0"/>
          <w:bCs w:val="0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5 家企业斑节对虾苗种投放情况表</w:t>
      </w:r>
    </w:p>
    <w:tbl>
      <w:tblPr>
        <w:tblW w:w="4999" w:type="pct"/>
        <w:tblCellSpacing w:w="15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282"/>
        <w:gridCol w:w="1554"/>
        <w:gridCol w:w="2419"/>
        <w:gridCol w:w="3771"/>
      </w:tblGrid>
      <w:tr w14:paraId="5FAB2CF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blHeader/>
          <w:tblCellSpacing w:w="15" w:type="dxa"/>
        </w:trPr>
        <w:tc>
          <w:tcPr>
            <w:tcW w:w="685" w:type="pct"/>
            <w:tcBorders>
              <w:top w:val="single" w:color="auto" w:sz="4" w:space="0"/>
              <w:left w:val="single" w:color="auto" w:sz="0" w:space="0"/>
              <w:bottom w:val="single" w:color="auto" w:sz="4" w:space="0"/>
              <w:right w:val="single" w:color="auto" w:sz="4" w:space="0"/>
            </w:tcBorders>
            <w:shd w:val="clear"/>
            <w:vAlign w:val="center"/>
          </w:tcPr>
          <w:p w14:paraId="588B5595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06" w:lineRule="atLeast"/>
              <w:ind w:left="0" w:right="0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宋体" w:hAnsi="宋体" w:eastAsia="宋体" w:cs="宋体"/>
                <w:b/>
                <w:bCs/>
                <w:color w:val="000000"/>
                <w:kern w:val="0"/>
                <w:sz w:val="24"/>
                <w:szCs w:val="24"/>
                <w:bdr w:val="none" w:color="auto" w:sz="0" w:space="0"/>
                <w:lang w:val="en-US" w:eastAsia="zh-CN" w:bidi="ar"/>
              </w:rPr>
              <w:t>企业名称</w:t>
            </w:r>
          </w:p>
        </w:tc>
        <w:tc>
          <w:tcPr>
            <w:tcW w:w="84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vAlign w:val="center"/>
          </w:tcPr>
          <w:p w14:paraId="1E25F19B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06" w:lineRule="atLeast"/>
              <w:ind w:left="0" w:right="0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宋体" w:hAnsi="宋体" w:eastAsia="宋体" w:cs="宋体"/>
                <w:b/>
                <w:bCs/>
                <w:color w:val="000000"/>
                <w:kern w:val="0"/>
                <w:sz w:val="24"/>
                <w:szCs w:val="24"/>
                <w:bdr w:val="none" w:color="auto" w:sz="0" w:space="0"/>
                <w:lang w:val="en-US" w:eastAsia="zh-CN" w:bidi="ar"/>
              </w:rPr>
              <w:t>养殖模式</w:t>
            </w:r>
          </w:p>
        </w:tc>
        <w:tc>
          <w:tcPr>
            <w:tcW w:w="132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vAlign w:val="center"/>
          </w:tcPr>
          <w:p w14:paraId="1F8CEABE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06" w:lineRule="atLeast"/>
              <w:ind w:left="0" w:right="0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宋体" w:hAnsi="宋体" w:eastAsia="宋体" w:cs="宋体"/>
                <w:b/>
                <w:bCs/>
                <w:color w:val="000000"/>
                <w:kern w:val="0"/>
                <w:sz w:val="24"/>
                <w:szCs w:val="24"/>
                <w:bdr w:val="none" w:color="auto" w:sz="0" w:space="0"/>
                <w:lang w:val="en-US" w:eastAsia="zh-CN" w:bidi="ar"/>
              </w:rPr>
              <w:t>投放时间</w:t>
            </w:r>
          </w:p>
        </w:tc>
        <w:tc>
          <w:tcPr>
            <w:tcW w:w="206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vAlign w:val="center"/>
          </w:tcPr>
          <w:p w14:paraId="31C325E4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06" w:lineRule="atLeast"/>
              <w:ind w:left="0" w:right="0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宋体" w:hAnsi="宋体" w:eastAsia="宋体" w:cs="宋体"/>
                <w:b/>
                <w:bCs/>
                <w:color w:val="000000"/>
                <w:kern w:val="0"/>
                <w:sz w:val="24"/>
                <w:szCs w:val="24"/>
                <w:bdr w:val="none" w:color="auto" w:sz="0" w:space="0"/>
                <w:lang w:val="en-US" w:eastAsia="zh-CN" w:bidi="ar"/>
              </w:rPr>
              <w:t>投放密度（万尾 / 667 m²）</w:t>
            </w:r>
          </w:p>
        </w:tc>
      </w:tr>
      <w:tr w14:paraId="19F4231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blCellSpacing w:w="15" w:type="dxa"/>
        </w:trPr>
        <w:tc>
          <w:tcPr>
            <w:tcW w:w="6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vAlign w:val="center"/>
          </w:tcPr>
          <w:p w14:paraId="284EFF93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06" w:lineRule="atLeast"/>
              <w:ind w:left="0" w:right="0"/>
              <w:jc w:val="center"/>
              <w:rPr>
                <w:rFonts w:hint="default" w:eastAsia="宋体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color w:val="000000"/>
                <w:sz w:val="24"/>
                <w:szCs w:val="24"/>
                <w:lang w:val="en-US" w:eastAsia="zh-CN"/>
              </w:rPr>
              <w:t>企业1</w:t>
            </w:r>
          </w:p>
        </w:tc>
        <w:tc>
          <w:tcPr>
            <w:tcW w:w="84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vAlign w:val="center"/>
          </w:tcPr>
          <w:p w14:paraId="1BCBEB32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06" w:lineRule="atLeast"/>
              <w:ind w:left="0" w:right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4"/>
                <w:szCs w:val="24"/>
                <w:bdr w:val="none" w:color="auto" w:sz="0" w:space="0"/>
                <w:lang w:val="en-US" w:eastAsia="zh-CN" w:bidi="ar"/>
              </w:rPr>
              <w:t>池塘养殖</w:t>
            </w:r>
          </w:p>
        </w:tc>
        <w:tc>
          <w:tcPr>
            <w:tcW w:w="132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vAlign w:val="center"/>
          </w:tcPr>
          <w:p w14:paraId="3F8CC604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06" w:lineRule="atLeast"/>
              <w:ind w:left="0" w:right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4"/>
                <w:szCs w:val="24"/>
                <w:bdr w:val="none" w:color="auto" w:sz="0" w:space="0"/>
                <w:lang w:val="en-US" w:eastAsia="zh-CN" w:bidi="ar"/>
              </w:rPr>
              <w:t>春季（4 月中旬）</w:t>
            </w:r>
          </w:p>
        </w:tc>
        <w:tc>
          <w:tcPr>
            <w:tcW w:w="206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vAlign w:val="center"/>
          </w:tcPr>
          <w:p w14:paraId="47CB95AD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06" w:lineRule="atLeast"/>
              <w:ind w:left="0" w:right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4"/>
                <w:szCs w:val="24"/>
                <w:bdr w:val="none" w:color="auto" w:sz="0" w:space="0"/>
                <w:lang w:val="en-US" w:eastAsia="zh-CN" w:bidi="ar"/>
              </w:rPr>
              <w:t>1.1～1.3</w:t>
            </w:r>
          </w:p>
        </w:tc>
      </w:tr>
      <w:tr w14:paraId="504BB84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blCellSpacing w:w="15" w:type="dxa"/>
        </w:trPr>
        <w:tc>
          <w:tcPr>
            <w:tcW w:w="6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vAlign w:val="center"/>
          </w:tcPr>
          <w:p w14:paraId="06D3A0CA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06" w:lineRule="atLeast"/>
              <w:ind w:left="0" w:right="0"/>
              <w:jc w:val="center"/>
              <w:rPr>
                <w:rFonts w:hint="default"/>
                <w:color w:val="000000"/>
                <w:sz w:val="24"/>
                <w:szCs w:val="24"/>
                <w:lang w:val="en-US"/>
              </w:rPr>
            </w:pPr>
            <w:r>
              <w:rPr>
                <w:rFonts w:hint="eastAsia"/>
                <w:color w:val="000000"/>
                <w:sz w:val="24"/>
                <w:szCs w:val="24"/>
                <w:lang w:val="en-US" w:eastAsia="zh-CN"/>
              </w:rPr>
              <w:t>企业2</w:t>
            </w:r>
          </w:p>
        </w:tc>
        <w:tc>
          <w:tcPr>
            <w:tcW w:w="84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vAlign w:val="center"/>
          </w:tcPr>
          <w:p w14:paraId="4478C775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06" w:lineRule="atLeast"/>
              <w:ind w:left="0" w:right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4"/>
                <w:szCs w:val="24"/>
                <w:bdr w:val="none" w:color="auto" w:sz="0" w:space="0"/>
                <w:lang w:val="en-US" w:eastAsia="zh-CN" w:bidi="ar"/>
              </w:rPr>
              <w:t>规模化养殖</w:t>
            </w:r>
          </w:p>
        </w:tc>
        <w:tc>
          <w:tcPr>
            <w:tcW w:w="132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vAlign w:val="center"/>
          </w:tcPr>
          <w:p w14:paraId="5B31D84F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06" w:lineRule="atLeast"/>
              <w:ind w:left="0" w:right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4"/>
                <w:szCs w:val="24"/>
                <w:bdr w:val="none" w:color="auto" w:sz="0" w:space="0"/>
                <w:lang w:val="en-US" w:eastAsia="zh-CN" w:bidi="ar"/>
              </w:rPr>
              <w:t>春季（5 月初）</w:t>
            </w:r>
          </w:p>
        </w:tc>
        <w:tc>
          <w:tcPr>
            <w:tcW w:w="206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vAlign w:val="center"/>
          </w:tcPr>
          <w:p w14:paraId="76F5B90A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06" w:lineRule="atLeast"/>
              <w:ind w:left="0" w:right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4"/>
                <w:szCs w:val="24"/>
                <w:bdr w:val="none" w:color="auto" w:sz="0" w:space="0"/>
                <w:lang w:val="en-US" w:eastAsia="zh-CN" w:bidi="ar"/>
              </w:rPr>
              <w:t>3.5～3.9</w:t>
            </w:r>
          </w:p>
        </w:tc>
      </w:tr>
      <w:tr w14:paraId="4582013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blCellSpacing w:w="15" w:type="dxa"/>
        </w:trPr>
        <w:tc>
          <w:tcPr>
            <w:tcW w:w="6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vAlign w:val="center"/>
          </w:tcPr>
          <w:p w14:paraId="3530929C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06" w:lineRule="atLeast"/>
              <w:ind w:left="0" w:right="0"/>
              <w:jc w:val="center"/>
              <w:rPr>
                <w:rFonts w:hint="default"/>
                <w:color w:val="000000"/>
                <w:sz w:val="24"/>
                <w:szCs w:val="24"/>
                <w:lang w:val="en-US"/>
              </w:rPr>
            </w:pPr>
            <w:r>
              <w:rPr>
                <w:rFonts w:hint="eastAsia"/>
                <w:color w:val="000000"/>
                <w:sz w:val="24"/>
                <w:szCs w:val="24"/>
                <w:lang w:val="en-US" w:eastAsia="zh-CN"/>
              </w:rPr>
              <w:t>企业3</w:t>
            </w:r>
          </w:p>
        </w:tc>
        <w:tc>
          <w:tcPr>
            <w:tcW w:w="84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vAlign w:val="center"/>
          </w:tcPr>
          <w:p w14:paraId="5F3ED2E1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06" w:lineRule="atLeast"/>
              <w:ind w:left="0" w:right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4"/>
                <w:szCs w:val="24"/>
                <w:bdr w:val="none" w:color="auto" w:sz="0" w:space="0"/>
                <w:lang w:val="en-US" w:eastAsia="zh-CN" w:bidi="ar"/>
              </w:rPr>
              <w:t>池塘养殖</w:t>
            </w:r>
          </w:p>
        </w:tc>
        <w:tc>
          <w:tcPr>
            <w:tcW w:w="132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vAlign w:val="center"/>
          </w:tcPr>
          <w:p w14:paraId="625A0594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06" w:lineRule="atLeast"/>
              <w:ind w:left="0" w:right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4"/>
                <w:szCs w:val="24"/>
                <w:bdr w:val="none" w:color="auto" w:sz="0" w:space="0"/>
                <w:lang w:val="en-US" w:eastAsia="zh-CN" w:bidi="ar"/>
              </w:rPr>
              <w:t>秋季（8 月下旬）</w:t>
            </w:r>
          </w:p>
        </w:tc>
        <w:tc>
          <w:tcPr>
            <w:tcW w:w="206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vAlign w:val="center"/>
          </w:tcPr>
          <w:p w14:paraId="3CE6C14C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06" w:lineRule="atLeast"/>
              <w:ind w:left="0" w:right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4"/>
                <w:szCs w:val="24"/>
                <w:bdr w:val="none" w:color="auto" w:sz="0" w:space="0"/>
                <w:lang w:val="en-US" w:eastAsia="zh-CN" w:bidi="ar"/>
              </w:rPr>
              <w:t>1.6～1.8</w:t>
            </w:r>
          </w:p>
        </w:tc>
      </w:tr>
      <w:tr w14:paraId="671B040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0" w:hRule="atLeast"/>
          <w:tblCellSpacing w:w="15" w:type="dxa"/>
        </w:trPr>
        <w:tc>
          <w:tcPr>
            <w:tcW w:w="6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vAlign w:val="center"/>
          </w:tcPr>
          <w:p w14:paraId="3747C367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06" w:lineRule="atLeast"/>
              <w:ind w:left="0" w:right="0"/>
              <w:jc w:val="center"/>
              <w:rPr>
                <w:rFonts w:hint="default"/>
                <w:color w:val="000000"/>
                <w:sz w:val="24"/>
                <w:szCs w:val="24"/>
                <w:lang w:val="en-US"/>
              </w:rPr>
            </w:pPr>
            <w:r>
              <w:rPr>
                <w:rFonts w:hint="eastAsia"/>
                <w:color w:val="000000"/>
                <w:sz w:val="24"/>
                <w:szCs w:val="24"/>
                <w:lang w:val="en-US" w:eastAsia="zh-CN"/>
              </w:rPr>
              <w:t>企业4</w:t>
            </w:r>
          </w:p>
        </w:tc>
        <w:tc>
          <w:tcPr>
            <w:tcW w:w="84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vAlign w:val="center"/>
          </w:tcPr>
          <w:p w14:paraId="7C63DDDC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06" w:lineRule="atLeast"/>
              <w:ind w:left="0" w:right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4"/>
                <w:szCs w:val="24"/>
                <w:bdr w:val="none" w:color="auto" w:sz="0" w:space="0"/>
                <w:lang w:val="en-US" w:eastAsia="zh-CN" w:bidi="ar"/>
              </w:rPr>
              <w:t>规模化养殖</w:t>
            </w:r>
          </w:p>
        </w:tc>
        <w:tc>
          <w:tcPr>
            <w:tcW w:w="132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vAlign w:val="center"/>
          </w:tcPr>
          <w:p w14:paraId="2F07DF76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06" w:lineRule="atLeast"/>
              <w:ind w:left="0" w:right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4"/>
                <w:szCs w:val="24"/>
                <w:bdr w:val="none" w:color="auto" w:sz="0" w:space="0"/>
                <w:lang w:val="en-US" w:eastAsia="zh-CN" w:bidi="ar"/>
              </w:rPr>
              <w:t>秋季（9 月初）</w:t>
            </w:r>
          </w:p>
        </w:tc>
        <w:tc>
          <w:tcPr>
            <w:tcW w:w="206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vAlign w:val="center"/>
          </w:tcPr>
          <w:p w14:paraId="0D2DCFF1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06" w:lineRule="atLeast"/>
              <w:ind w:left="0" w:right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4"/>
                <w:szCs w:val="24"/>
                <w:bdr w:val="none" w:color="auto" w:sz="0" w:space="0"/>
                <w:lang w:val="en-US" w:eastAsia="zh-CN" w:bidi="ar"/>
              </w:rPr>
              <w:t>4.2～4.6</w:t>
            </w:r>
          </w:p>
        </w:tc>
      </w:tr>
      <w:tr w14:paraId="57DE244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blCellSpacing w:w="15" w:type="dxa"/>
        </w:trPr>
        <w:tc>
          <w:tcPr>
            <w:tcW w:w="68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vAlign w:val="center"/>
          </w:tcPr>
          <w:p w14:paraId="2802F458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06" w:lineRule="atLeast"/>
              <w:ind w:left="0" w:right="0"/>
              <w:jc w:val="center"/>
              <w:rPr>
                <w:rFonts w:hint="default"/>
                <w:color w:val="000000"/>
                <w:sz w:val="24"/>
                <w:szCs w:val="24"/>
                <w:lang w:val="en-US"/>
              </w:rPr>
            </w:pPr>
            <w:r>
              <w:rPr>
                <w:rFonts w:hint="eastAsia"/>
                <w:color w:val="000000"/>
                <w:sz w:val="24"/>
                <w:szCs w:val="24"/>
                <w:lang w:val="en-US" w:eastAsia="zh-CN"/>
              </w:rPr>
              <w:t>企业5</w:t>
            </w:r>
          </w:p>
        </w:tc>
        <w:tc>
          <w:tcPr>
            <w:tcW w:w="84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vAlign w:val="center"/>
          </w:tcPr>
          <w:p w14:paraId="2E0D18AA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06" w:lineRule="atLeast"/>
              <w:ind w:left="0" w:right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4"/>
                <w:szCs w:val="24"/>
                <w:bdr w:val="none" w:color="auto" w:sz="0" w:space="0"/>
                <w:lang w:val="en-US" w:eastAsia="zh-CN" w:bidi="ar"/>
              </w:rPr>
              <w:t>池塘养殖</w:t>
            </w:r>
          </w:p>
        </w:tc>
        <w:tc>
          <w:tcPr>
            <w:tcW w:w="132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vAlign w:val="center"/>
          </w:tcPr>
          <w:p w14:paraId="3E9CBBDC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06" w:lineRule="atLeast"/>
              <w:ind w:left="0" w:right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4"/>
                <w:szCs w:val="24"/>
                <w:bdr w:val="none" w:color="auto" w:sz="0" w:space="0"/>
                <w:lang w:val="en-US" w:eastAsia="zh-CN" w:bidi="ar"/>
              </w:rPr>
              <w:t>春季（4 月下旬）</w:t>
            </w:r>
          </w:p>
        </w:tc>
        <w:tc>
          <w:tcPr>
            <w:tcW w:w="206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vAlign w:val="center"/>
          </w:tcPr>
          <w:p w14:paraId="2180F75B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06" w:lineRule="atLeast"/>
              <w:ind w:left="0" w:right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4"/>
                <w:szCs w:val="24"/>
                <w:bdr w:val="none" w:color="auto" w:sz="0" w:space="0"/>
                <w:lang w:val="en-US" w:eastAsia="zh-CN" w:bidi="ar"/>
              </w:rPr>
              <w:t>1.8～2.0</w:t>
            </w:r>
          </w:p>
        </w:tc>
      </w:tr>
    </w:tbl>
    <w:p w14:paraId="784CA51E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</w:p>
    <w:tbl>
      <w:tblPr>
        <w:tblStyle w:val="1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left w:w="108" w:type="dxa"/>
          <w:right w:w="108" w:type="dxa"/>
        </w:tblCellMar>
      </w:tblPr>
      <w:tblGrid>
        <w:gridCol w:w="9174"/>
      </w:tblGrid>
      <w:tr w14:paraId="6D413E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9174" w:type="dxa"/>
          </w:tcPr>
          <w:p w14:paraId="2471892B"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520" w:lineRule="exact"/>
              <w:textAlignment w:val="baseline"/>
              <w:rPr>
                <w:rFonts w:hint="eastAsia" w:ascii="仿宋_GB2312" w:eastAsia="仿宋_GB2312" w:cs="Calibri"/>
                <w:color w:val="000000" w:themeColor="text1"/>
                <w:kern w:val="2"/>
                <w:sz w:val="32"/>
                <w:szCs w:val="32"/>
                <w:vertAlign w:val="baseli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eastAsia="仿宋_GB2312" w:cs="Calibri"/>
                <w:color w:val="000000" w:themeColor="text1"/>
                <w:kern w:val="2"/>
                <w:sz w:val="32"/>
                <w:szCs w:val="32"/>
                <w:vertAlign w:val="baseli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898525</wp:posOffset>
                  </wp:positionH>
                  <wp:positionV relativeFrom="paragraph">
                    <wp:posOffset>84455</wp:posOffset>
                  </wp:positionV>
                  <wp:extent cx="3858895" cy="4719955"/>
                  <wp:effectExtent l="0" t="0" r="0" b="0"/>
                  <wp:wrapSquare wrapText="bothSides"/>
                  <wp:docPr id="5" name="图片 5" descr="50264bcaf8736954ed3631222d7e6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50264bcaf8736954ed3631222d7e6314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b="8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8895" cy="4719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B2183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9174" w:type="dxa"/>
          </w:tcPr>
          <w:p w14:paraId="3575326B"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520" w:lineRule="exact"/>
              <w:textAlignment w:val="baseline"/>
              <w:rPr>
                <w:rFonts w:hint="eastAsia" w:ascii="仿宋_GB2312" w:eastAsia="仿宋_GB2312" w:cs="Calibri"/>
                <w:color w:val="000000" w:themeColor="text1"/>
                <w:kern w:val="2"/>
                <w:sz w:val="32"/>
                <w:szCs w:val="32"/>
                <w:vertAlign w:val="baseli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eastAsia="仿宋_GB2312" w:cs="Calibri"/>
                <w:color w:val="000000" w:themeColor="text1"/>
                <w:kern w:val="2"/>
                <w:sz w:val="32"/>
                <w:szCs w:val="32"/>
                <w:vertAlign w:val="baseli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drawing>
                <wp:anchor distT="0" distB="0" distL="114300" distR="114300" simplePos="0" relativeHeight="251674624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-3600450</wp:posOffset>
                  </wp:positionV>
                  <wp:extent cx="5143500" cy="3858895"/>
                  <wp:effectExtent l="0" t="0" r="5715" b="5715"/>
                  <wp:wrapTight wrapText="bothSides">
                    <wp:wrapPolygon>
                      <wp:start x="0" y="0"/>
                      <wp:lineTo x="0" y="21330"/>
                      <wp:lineTo x="21397" y="21330"/>
                      <wp:lineTo x="21397" y="0"/>
                      <wp:lineTo x="0" y="0"/>
                    </wp:wrapPolygon>
                  </wp:wrapTight>
                  <wp:docPr id="6" name="图片 6" descr="be3b8532c7a7b872190979e8f3d557c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be3b8532c7a7b872190979e8f3d557c7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0" cy="3858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16BBCFE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4788217C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3.放苗方法</w:t>
      </w:r>
    </w:p>
    <w:p w14:paraId="7DBC02FE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default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default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VC 应激灵是天然免疫增强剂，能提升苗种抗应激能力，缓解运输过程中高密度、水质波动带来的应激反应，减少苗种抵达后的活力下降；精准剂量设定既保证抗应激效果，又避免过量添加导致水体营养失衡</w:t>
      </w: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。苗种运输袋内水温、水质与养殖池存在差异，直接放苗会导致渗透压骤变、体温应激，引发批量死亡。漂浮平衡水温可缩小温差（与目标趋近一致），分次加水（每次 1/5 袋内水量，间隔 5min）能让苗种逐步适应养殖池盐度、pH 等水质指标，实现 “渐进式适应”，避免应激冲击。提前验证苗种与养殖池水体的适配性，若试苗存活率不达标，可及时调整水质（如补充益生菌、调节盐度），避免直接放苗造成大规模死亡，减少苗种资源浪费。GB/T 20014.21《良好农业规范 第 21 部分：对虾池塘养殖控制点与符合性规范》：明确对虾放苗环节需控制环境突变、保障苗种适应，规定了水温平衡、放苗时机等核心控制点。</w:t>
      </w:r>
    </w:p>
    <w:p w14:paraId="6C8C4AB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（四）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养殖过程管理</w:t>
      </w:r>
    </w:p>
    <w:p w14:paraId="6E9C42D8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1.饲料管理</w:t>
      </w:r>
    </w:p>
    <w:p w14:paraId="5C21A69A">
      <w:pPr>
        <w:keepNext w:val="0"/>
        <w:keepLines w:val="0"/>
        <w:pageBreakBefore w:val="0"/>
        <w:tabs>
          <w:tab w:val="left" w:pos="1800"/>
        </w:tabs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GB/T 22919.1 是斑节对虾配合饲料的专属标准，限定该标准可避免劣质饲料使用；粗蛋白含量分阶段适配（幼苗期≥42%、成虾期 38%～42%），既满足苗种快速生长的高蛋白需求，又避免成虾期蛋白过量导致的残饵浪费（蛋白未被吸收会分解为氨氮、亚硝酸盐），从源头减少内源污染。颗粒均匀、无霉变、耐水性好（1.5h 不散开）等要求，核心是减少投喂后饲料破碎、溶解造成的水体浑浊和营养流失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耐水性差的饲料会快速散粉，不仅降低利用率，还会增加水体富营养化风险；良好诱食性可提升对虾摄食效率，减少残饵堆积，降低底质污染压力，同时避免霉变饲料引发的肠道疾病，减少渔药使用。</w:t>
      </w:r>
    </w:p>
    <w:p w14:paraId="0AE7B842">
      <w:pPr>
        <w:keepNext w:val="0"/>
        <w:keepLines w:val="0"/>
        <w:pageBreakBefore w:val="0"/>
        <w:tabs>
          <w:tab w:val="left" w:pos="1800"/>
        </w:tabs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成虾期添加 β— 葡聚糖（0.1%～0.2%）、杜仲叶提取物（0.3%～0.5%）：两类均为天然免疫增强剂，无需添加抗生素等化学物质即可提升对虾免疫力和抗病能力，减少病害发生概率；每月 7～10 次的频次设计，既保证添加剂在体内的有效浓度，又避免过量添加导致的代谢负担，契合生态养殖 “绿色抗逆” 核心，同时降低药物残留风险，保障产品安全。</w:t>
      </w:r>
    </w:p>
    <w:p w14:paraId="72D41F55">
      <w:pPr>
        <w:keepNext w:val="0"/>
        <w:keepLines w:val="0"/>
        <w:pageBreakBefore w:val="0"/>
        <w:tabs>
          <w:tab w:val="left" w:pos="1800"/>
        </w:tabs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幼苗期（≤3cm）日投饲率 3%～5%、成虾期（＞3cm）2%～3%，是基于不同阶段摄食强度和消化能力设计 —— 苗种生长快、需能量多，投饲率高；成虾消化功能成熟但代谢稳定，投饲率适度降低，避免过量投喂造成残饵堆积，从投喂环节控制污染。投喂次数与时间精准设定：每日 2～4 次（7:00、11:00、18:00、23:00 或早晚两次），贴合斑节对虾 “昼伏夜出” 的摄食习性（夜间活动频繁、摄食旺盛），同时避开高温时段（正午）和溶氧低谷（凌晨），提升摄食效率；多次少量投喂可避免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。</w:t>
      </w:r>
    </w:p>
    <w:p w14:paraId="77F67D7B">
      <w:pPr>
        <w:keepNext w:val="0"/>
        <w:keepLines w:val="0"/>
        <w:pageBreakBefore w:val="0"/>
        <w:tabs>
          <w:tab w:val="left" w:pos="1800"/>
        </w:tabs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GB/T 22919.1《水产配合饲料 第 1 部分：斑节对虾配合饲料》：明确斑节对虾配合饲料的营养指标（如粗蛋白范围）、物理性状（耐水性、成型率）、感官要求等，是饲料选用的直接标准。GB/T 20014.21《良好农业规范 第 21 部分：对虾池塘养殖控制点与符合性规范》：规定对虾养殖的饲料质量控制、投喂管理要求，强调投喂需与水体承载能力匹配，避免污染。</w:t>
      </w:r>
    </w:p>
    <w:tbl>
      <w:tblPr>
        <w:tblStyle w:val="1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87"/>
        <w:gridCol w:w="4587"/>
      </w:tblGrid>
      <w:tr w14:paraId="6174B0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87" w:type="dxa"/>
          </w:tcPr>
          <w:p w14:paraId="587C9166">
            <w:pPr>
              <w:pStyle w:val="2"/>
              <w:keepNext w:val="0"/>
              <w:keepLines w:val="0"/>
              <w:suppressLineNumbers w:val="0"/>
              <w:spacing w:before="0" w:beforeAutospacing="0" w:afterAutospacing="0"/>
              <w:ind w:left="0" w:right="0"/>
              <w:rPr>
                <w:rFonts w:hint="eastAsia" w:ascii="仿宋_GB2312" w:eastAsia="仿宋_GB2312"/>
                <w:color w:val="000000" w:themeColor="text1"/>
                <w:sz w:val="32"/>
                <w:szCs w:val="32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eastAsia="仿宋_GB2312"/>
                <w:color w:val="000000" w:themeColor="text1"/>
                <w:sz w:val="32"/>
                <w:szCs w:val="32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466725</wp:posOffset>
                  </wp:positionH>
                  <wp:positionV relativeFrom="paragraph">
                    <wp:posOffset>71755</wp:posOffset>
                  </wp:positionV>
                  <wp:extent cx="2087245" cy="2784475"/>
                  <wp:effectExtent l="0" t="0" r="6985" b="635"/>
                  <wp:wrapSquare wrapText="bothSides"/>
                  <wp:docPr id="19" name="图片 19" descr="6129ef94f0b7a73fe7abd73e81ade2b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6129ef94f0b7a73fe7abd73e81ade2bb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7245" cy="2784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587" w:type="dxa"/>
          </w:tcPr>
          <w:p w14:paraId="62631DC6">
            <w:pPr>
              <w:pStyle w:val="2"/>
              <w:keepNext w:val="0"/>
              <w:keepLines w:val="0"/>
              <w:suppressLineNumbers w:val="0"/>
              <w:spacing w:before="0" w:beforeAutospacing="0" w:afterAutospacing="0"/>
              <w:ind w:left="0" w:right="0"/>
              <w:rPr>
                <w:rFonts w:hint="eastAsia" w:ascii="仿宋_GB2312" w:eastAsia="仿宋_GB2312"/>
                <w:color w:val="000000" w:themeColor="text1"/>
                <w:sz w:val="32"/>
                <w:szCs w:val="32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eastAsia="仿宋_GB2312"/>
                <w:color w:val="000000" w:themeColor="text1"/>
                <w:sz w:val="32"/>
                <w:szCs w:val="32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-8255</wp:posOffset>
                  </wp:positionH>
                  <wp:positionV relativeFrom="paragraph">
                    <wp:posOffset>327025</wp:posOffset>
                  </wp:positionV>
                  <wp:extent cx="2767330" cy="2074545"/>
                  <wp:effectExtent l="0" t="0" r="6985" b="8890"/>
                  <wp:wrapTight wrapText="bothSides">
                    <wp:wrapPolygon>
                      <wp:start x="0" y="0"/>
                      <wp:lineTo x="0" y="21355"/>
                      <wp:lineTo x="21317" y="21355"/>
                      <wp:lineTo x="21317" y="0"/>
                      <wp:lineTo x="0" y="0"/>
                    </wp:wrapPolygon>
                  </wp:wrapTight>
                  <wp:docPr id="20" name="图片 20" descr="4197c869cc3b54734f8ada29cef8ef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4197c869cc3b54734f8ada29cef8efcc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7330" cy="2074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C3612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87" w:type="dxa"/>
          </w:tcPr>
          <w:p w14:paraId="51CD0651">
            <w:pPr>
              <w:pStyle w:val="2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520" w:lineRule="exact"/>
              <w:ind w:left="0" w:right="0"/>
              <w:textAlignment w:val="baseline"/>
              <w:rPr>
                <w:rFonts w:hint="eastAsia" w:ascii="仿宋_GB2312" w:eastAsia="仿宋_GB2312" w:cs="Times New Roman"/>
                <w:color w:val="000000" w:themeColor="text1"/>
                <w:sz w:val="32"/>
                <w:szCs w:val="32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eastAsia="仿宋_GB2312" w:cs="Times New Roman"/>
                <w:color w:val="000000" w:themeColor="text1"/>
                <w:sz w:val="32"/>
                <w:szCs w:val="32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-3438525</wp:posOffset>
                  </wp:positionV>
                  <wp:extent cx="2773680" cy="3700145"/>
                  <wp:effectExtent l="0" t="0" r="635" b="2540"/>
                  <wp:wrapTight wrapText="bothSides">
                    <wp:wrapPolygon>
                      <wp:start x="0" y="0"/>
                      <wp:lineTo x="0" y="21363"/>
                      <wp:lineTo x="21353" y="21363"/>
                      <wp:lineTo x="21353" y="0"/>
                      <wp:lineTo x="0" y="0"/>
                    </wp:wrapPolygon>
                  </wp:wrapTight>
                  <wp:docPr id="21" name="图片 21" descr="44f19ef0d26b55b1af51875c696117f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44f19ef0d26b55b1af51875c696117f7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3680" cy="3700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587" w:type="dxa"/>
          </w:tcPr>
          <w:p w14:paraId="265255B0">
            <w:pPr>
              <w:pStyle w:val="2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520" w:lineRule="exact"/>
              <w:ind w:left="0" w:right="0"/>
              <w:textAlignment w:val="baseline"/>
              <w:rPr>
                <w:rFonts w:hint="eastAsia" w:ascii="仿宋_GB2312" w:eastAsia="仿宋_GB2312" w:cs="Times New Roman"/>
                <w:color w:val="000000" w:themeColor="text1"/>
                <w:sz w:val="32"/>
                <w:szCs w:val="32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_GB2312" w:eastAsia="仿宋_GB2312" w:cs="Times New Roman"/>
                <w:color w:val="000000" w:themeColor="text1"/>
                <w:sz w:val="32"/>
                <w:szCs w:val="32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-3438525</wp:posOffset>
                  </wp:positionV>
                  <wp:extent cx="2773680" cy="3700145"/>
                  <wp:effectExtent l="0" t="0" r="635" b="2540"/>
                  <wp:wrapSquare wrapText="bothSides"/>
                  <wp:docPr id="22" name="图片 22" descr="fe85cc12be5c564f7f0404c620296f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fe85cc12be5c564f7f0404c620296f54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3680" cy="3700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03405455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</w:p>
    <w:p w14:paraId="762729EA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2.水环境管理</w:t>
      </w:r>
    </w:p>
    <w:p w14:paraId="10D6A1DB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default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苗种阶段（每 3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～</w:t>
      </w:r>
      <w:r>
        <w:rPr>
          <w:rFonts w:hint="default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5d 换水 1 次，换水量 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～</w:t>
      </w:r>
      <w:r>
        <w:rPr>
          <w:rFonts w:hint="default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）：苗种期（体长 0.8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～</w:t>
      </w:r>
      <w:r>
        <w:rPr>
          <w:rFonts w:hint="default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3cm）体质娇嫩，对水温、盐度、pH 等水质指标突变的耐受度极低（温差超 2℃、盐度骤变超 3‰即易应激死亡），且此阶段投饲量少、残饵粪便等内源污染轻，低频率、小换水量既能通过少量新水补充溶氧、稀释微量污染物，又能最大程度维持养殖水体的稳定性，避免换水引发的环境应激，保障苗种存活。</w:t>
      </w:r>
    </w:p>
    <w:p w14:paraId="765E839F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default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中虾、成虾阶段（每 2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～</w:t>
      </w:r>
      <w:r>
        <w:rPr>
          <w:rFonts w:hint="default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3d 换水 1 次，换水量 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～</w:t>
      </w:r>
      <w:r>
        <w:rPr>
          <w:rFonts w:hint="default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）：中虾（3-8cm）、成虾（≥8cm）生长速度快，摄食量大、投饲率提升，残饵、粪便、代谢废物等内源污染呈指数级增加，水体中氨氮、亚硝酸盐、硫化物等有毒物质易超标，且对虾个体抗逆性显著增强，高频率、适中换水量可高效稀释污染物、补充溶解氧、调节水体藻相和菌相平衡，防止底质有机物堆积引发水质恶化，同时换水量控制在 20% 以内，仍能避免水体环境剧烈波动。</w:t>
      </w:r>
    </w:p>
    <w:p w14:paraId="1D084F9A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单次换水量不超过 30%，可避免养殖池与新水源的水温、盐度、pH 等指标出现大幅差值，防止对虾因渗透压失衡、鳃部呼吸功能受影响引发应激死亡，同时避免水体中已建立的有益藻相（硅藻、绿藻）、益生菌相（EM 菌、光合细菌）因大量新水涌入被破坏，维持养殖水体的微生态平衡。过量换水会增加取水、抽水的能耗成本，且新水源可能携带野杂鱼卵、病原微生物、悬浮物等外源污染物。GB/T 20014.21《良好农业规范 第 21 部分：对虾池塘养殖控制点与符合性规范》：该标准明确规定对虾养殖需实施 “水环境动态管控”，要求根据养殖阶段调整换水频率和换水量，避免过量换水引发环境应激，同时限定换水的水质安全要求</w:t>
      </w:r>
      <w:r>
        <w:rPr>
          <w:rFonts w:hint="eastAsia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。</w:t>
      </w:r>
    </w:p>
    <w:p w14:paraId="6042CDC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水温、pH、溶氧是影响斑节对虾生理代谢的即时性关键指标</w:t>
      </w:r>
      <w:r>
        <w:rPr>
          <w:rFonts w:hint="eastAsia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。</w:t>
      </w:r>
      <w:r>
        <w:rPr>
          <w:rFonts w:hint="default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溶氧低于阈值会直接导致浮头死亡，pH 骤变会破坏鳃部呼吸功能、增强氨氮毒性，水温波动会影响摄食与生长，每日在7:00-8:00（溶氧低谷、pH 偏低）、15:00-16:00（水温高峰、溶氧高峰） 监测，能精准捕捉指标昼夜变化规律，及时发现异常趋势，避免突发水质事故。采用调节水色（提升藻类吸收氨氮）+ 排污换水（稀释毒素）+ 沸石粉（物理吸附底质中氨氮）+ 有益微生物（分解转化毒素） 组合措施，替代化学解毒剂，既快速降低毒素含量，又能修复水体自净能力，避免化学药剂带来的残留与二次污染</w:t>
      </w:r>
      <w:r>
        <w:rPr>
          <w:rFonts w:hint="eastAsia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。</w:t>
      </w:r>
    </w:p>
    <w:p w14:paraId="41594E0E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定期泼洒光合细菌 / EM 菌（每10d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～</w:t>
      </w:r>
      <w:r>
        <w:rPr>
          <w:rFonts w:hint="eastAsia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15 d，500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～</w:t>
      </w:r>
      <w:r>
        <w:rPr>
          <w:rFonts w:hint="eastAsia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600 mL/667m²）：两类益生菌是水体微生态的 “核心有益菌”—— 光合细菌可利用水体中的氨氮、亚硝酸盐作为营养源，EM 菌可分解残饵、粪便等有机物，定期投放能维持有益菌相优势，强化水体自净能力，从源头减少污染物累积，降低水质超标概率。</w:t>
      </w:r>
    </w:p>
    <w:p w14:paraId="1971790D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default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氨氮超标应急投放复合芽孢杆菌 + 红糖：复合芽孢杆菌分解有机物、氨氮的效率远高于常规益生菌，红糖作为 “菌肥” 能为芽孢杆菌提供营养，使其快速繁殖并发挥作用，500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～</w:t>
      </w:r>
      <w:r>
        <w:rPr>
          <w:rFonts w:hint="eastAsia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1000 g/667m² 的芽孢杆菌用量 + 2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～</w:t>
      </w:r>
      <w:bookmarkStart w:id="1" w:name="_GoBack"/>
      <w:bookmarkEnd w:id="1"/>
      <w:r>
        <w:rPr>
          <w:rFonts w:hint="eastAsia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3 kg/667m² 的红糖用量，是经实践验证的最佳配比，能快速缓解氨氮超标危机，且无任何毒副作用。GB/T 20014.21《良好农业规范 第 21 部分：对虾池塘养殖控制点与符合性规范》：明确规定对虾养殖需实施 “水环境动态监测与调控”，要求每日监测溶氧、pH，每周监测氨氮、亚硝酸盐，同时限定了盐度、溶氧的适宜范围，是监测频次、指标限值设定的核心规范依据。SC/T 1137《淡水养殖水质调节用微生物制剂质量与使用原则》：明确了光合细菌、EM 菌、复合芽孢杆菌等益生菌的使用剂量、使用时机，以及与有机营养源（红糖）的配比要求</w:t>
      </w:r>
    </w:p>
    <w:tbl>
      <w:tblPr>
        <w:tblStyle w:val="1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87"/>
        <w:gridCol w:w="4587"/>
      </w:tblGrid>
      <w:tr w14:paraId="5FFD5D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87" w:type="dxa"/>
          </w:tcPr>
          <w:p w14:paraId="76BCB571">
            <w:pPr>
              <w:pStyle w:val="2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520" w:lineRule="exact"/>
              <w:ind w:left="0" w:right="0"/>
              <w:jc w:val="center"/>
              <w:textAlignment w:val="baseline"/>
              <w:rPr>
                <w:rFonts w:hint="default" w:ascii="仿宋_GB2312" w:eastAsia="仿宋_GB2312" w:cs="Times New Roman"/>
                <w:color w:val="000000" w:themeColor="text1"/>
                <w:sz w:val="32"/>
                <w:szCs w:val="32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仿宋_GB2312" w:eastAsia="仿宋_GB2312" w:cs="Times New Roman"/>
                <w:color w:val="000000" w:themeColor="text1"/>
                <w:sz w:val="32"/>
                <w:szCs w:val="32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-2801620</wp:posOffset>
                  </wp:positionV>
                  <wp:extent cx="2775585" cy="2486660"/>
                  <wp:effectExtent l="0" t="0" r="0" b="0"/>
                  <wp:wrapSquare wrapText="bothSides"/>
                  <wp:docPr id="23" name="图片 23" descr="d0d07472913c676e622a46f733ee4e8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d0d07472913c676e622a46f733ee4e8e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rcRect b="188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5585" cy="2486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_GB2312" w:eastAsia="仿宋_GB2312" w:cs="Times New Roman"/>
                <w:color w:val="000000" w:themeColor="text1"/>
                <w:sz w:val="32"/>
                <w:szCs w:val="32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光合细菌</w:t>
            </w:r>
          </w:p>
        </w:tc>
        <w:tc>
          <w:tcPr>
            <w:tcW w:w="4587" w:type="dxa"/>
          </w:tcPr>
          <w:p w14:paraId="135DDAEE">
            <w:pPr>
              <w:pStyle w:val="2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520" w:lineRule="exact"/>
              <w:ind w:left="0" w:right="0"/>
              <w:textAlignment w:val="baseline"/>
              <w:rPr>
                <w:rFonts w:hint="default"/>
              </w:rPr>
            </w:pPr>
            <w:r>
              <w:rPr>
                <w:rFonts w:hint="default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458470</wp:posOffset>
                  </wp:positionH>
                  <wp:positionV relativeFrom="paragraph">
                    <wp:posOffset>335280</wp:posOffset>
                  </wp:positionV>
                  <wp:extent cx="2056130" cy="1864995"/>
                  <wp:effectExtent l="0" t="0" r="5715" b="2540"/>
                  <wp:wrapTight wrapText="bothSides">
                    <wp:wrapPolygon>
                      <wp:start x="0" y="0"/>
                      <wp:lineTo x="0" y="21254"/>
                      <wp:lineTo x="21320" y="21254"/>
                      <wp:lineTo x="21320" y="0"/>
                      <wp:lineTo x="0" y="0"/>
                    </wp:wrapPolygon>
                  </wp:wrapTight>
                  <wp:docPr id="14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l="8161" t="36276" r="24230" b="292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6130" cy="1864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5A1A9B2F">
            <w:pPr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right="0"/>
              <w:rPr>
                <w:rFonts w:hint="default"/>
                <w:lang w:val="en-US" w:eastAsia="zh-CN"/>
              </w:rPr>
            </w:pPr>
          </w:p>
          <w:p w14:paraId="153DEE6E">
            <w:pPr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right="0"/>
              <w:rPr>
                <w:rFonts w:hint="default"/>
                <w:lang w:val="en-US" w:eastAsia="zh-CN"/>
              </w:rPr>
            </w:pPr>
          </w:p>
          <w:p w14:paraId="353DB2C9">
            <w:pPr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right="0"/>
              <w:rPr>
                <w:rFonts w:hint="default"/>
                <w:lang w:val="en-US" w:eastAsia="zh-CN"/>
              </w:rPr>
            </w:pPr>
          </w:p>
          <w:p w14:paraId="6150C405">
            <w:pPr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right="0"/>
              <w:rPr>
                <w:rFonts w:hint="default"/>
                <w:lang w:val="en-US" w:eastAsia="zh-CN"/>
              </w:rPr>
            </w:pPr>
          </w:p>
          <w:p w14:paraId="5CB80003">
            <w:pPr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right="0"/>
              <w:rPr>
                <w:rFonts w:hint="default"/>
                <w:lang w:val="en-US" w:eastAsia="zh-CN"/>
              </w:rPr>
            </w:pPr>
          </w:p>
          <w:p w14:paraId="7BB3C345">
            <w:pPr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right="0"/>
              <w:rPr>
                <w:rFonts w:hint="default"/>
                <w:lang w:val="en-US" w:eastAsia="zh-CN"/>
              </w:rPr>
            </w:pPr>
          </w:p>
          <w:p w14:paraId="47D9B45D">
            <w:pPr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right="0"/>
              <w:rPr>
                <w:rFonts w:hint="default"/>
                <w:lang w:val="en-US" w:eastAsia="zh-CN"/>
              </w:rPr>
            </w:pPr>
          </w:p>
          <w:p w14:paraId="33FE5E78">
            <w:pPr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right="0"/>
              <w:rPr>
                <w:rFonts w:hint="default"/>
                <w:lang w:val="en-US" w:eastAsia="zh-CN"/>
              </w:rPr>
            </w:pPr>
          </w:p>
          <w:p w14:paraId="39A707F4">
            <w:pPr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right="0"/>
              <w:rPr>
                <w:rFonts w:hint="default"/>
                <w:lang w:val="en-US" w:eastAsia="zh-CN"/>
              </w:rPr>
            </w:pPr>
          </w:p>
          <w:p w14:paraId="6B1EFA5C">
            <w:pPr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right="0"/>
              <w:rPr>
                <w:rFonts w:hint="default"/>
                <w:lang w:val="en-US" w:eastAsia="zh-CN"/>
              </w:rPr>
            </w:pPr>
          </w:p>
          <w:p w14:paraId="6B3ACB54">
            <w:pPr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right="0"/>
              <w:rPr>
                <w:rFonts w:hint="default"/>
                <w:lang w:val="en-US" w:eastAsia="zh-CN"/>
              </w:rPr>
            </w:pPr>
          </w:p>
          <w:p w14:paraId="2F162353">
            <w:pPr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right="0"/>
              <w:rPr>
                <w:rFonts w:hint="default"/>
                <w:lang w:val="en-US" w:eastAsia="zh-CN"/>
              </w:rPr>
            </w:pPr>
          </w:p>
          <w:p w14:paraId="69B0BDC1">
            <w:pPr>
              <w:pStyle w:val="2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520" w:lineRule="exact"/>
              <w:ind w:left="0" w:right="0"/>
              <w:jc w:val="center"/>
              <w:textAlignment w:val="baseline"/>
              <w:rPr>
                <w:rFonts w:hint="default"/>
                <w:lang w:val="en-US" w:eastAsia="zh-CN"/>
              </w:rPr>
            </w:pPr>
            <w:r>
              <w:rPr>
                <w:rFonts w:hint="eastAsia" w:ascii="仿宋_GB2312" w:eastAsia="仿宋_GB2312" w:cs="Times New Roman"/>
                <w:color w:val="000000" w:themeColor="text1"/>
                <w:sz w:val="32"/>
                <w:szCs w:val="32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复合乳酸菌</w:t>
            </w:r>
          </w:p>
        </w:tc>
      </w:tr>
    </w:tbl>
    <w:p w14:paraId="3B50829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default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</w:p>
    <w:p w14:paraId="6482567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default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</w:p>
    <w:p w14:paraId="1A6033C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default" w:ascii="仿宋_GB2312" w:eastAsia="仿宋_GB2312" w:cs="Times New Roman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</w:p>
    <w:tbl>
      <w:tblPr>
        <w:tblStyle w:val="1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174"/>
      </w:tblGrid>
      <w:tr w14:paraId="5438B2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4" w:hRule="atLeast"/>
        </w:trPr>
        <w:tc>
          <w:tcPr>
            <w:tcW w:w="9174" w:type="dxa"/>
          </w:tcPr>
          <w:p w14:paraId="4B7DDDDE">
            <w:pPr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default" w:ascii="仿宋_GB2312" w:eastAsia="仿宋_GB2312" w:cs="Times New Roman"/>
                <w:color w:val="000000" w:themeColor="text1"/>
                <w:sz w:val="32"/>
                <w:szCs w:val="32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2193290" cy="1950720"/>
                  <wp:effectExtent l="0" t="0" r="8890" b="3175"/>
                  <wp:docPr id="25" name="图片 25" descr="83238b0b1967e37c6188ad8d444f40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83238b0b1967e37c6188ad8d444f4048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rcRect b="76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3290" cy="1950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BEEF48">
            <w:pPr>
              <w:keepNext w:val="0"/>
              <w:keepLines w:val="0"/>
              <w:suppressLineNumbers w:val="0"/>
              <w:tabs>
                <w:tab w:val="left" w:pos="7595"/>
              </w:tabs>
              <w:bidi w:val="0"/>
              <w:spacing w:before="0" w:beforeAutospacing="0" w:after="0" w:afterAutospacing="0"/>
              <w:ind w:left="0" w:right="0"/>
              <w:jc w:val="left"/>
              <w:rPr>
                <w:rFonts w:hint="eastAsia"/>
                <w:lang w:val="en-US" w:eastAsia="zh-CN"/>
              </w:rPr>
            </w:pPr>
          </w:p>
          <w:p w14:paraId="6E16F203">
            <w:pPr>
              <w:pStyle w:val="2"/>
              <w:keepNext w:val="0"/>
              <w:keepLines w:val="0"/>
              <w:suppressLineNumbers w:val="0"/>
              <w:spacing w:before="0" w:beforeAutospacing="0" w:afterAutospacing="0"/>
              <w:ind w:left="0" w:right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沸石灰</w:t>
            </w:r>
          </w:p>
        </w:tc>
      </w:tr>
    </w:tbl>
    <w:p w14:paraId="0384A2FE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移塘：氨氮＞0.8mg/L 时，会对斑节对虾肝脏、鳃部造成不可逆损伤，出现批量中毒死亡；亚硝酸盐＞0.2mg/L 会导致对虾血液携氧能力完全丧失，引发 “浮头、偷死” 现象；硫化物＞0.3mg/L 会腐蚀对虾附肢和鳃丝，导致呼吸功能衰竭，同时抑制水体所有有益菌、藻的活性，破坏微生态平衡；底质有机质＞8% 说明残饵、粪便堆积已远超水体和底质的自净能力，会持续诱发厌氧分解，有毒物质会不断累积，形成 “污染 - 死亡 - 更污染” 的恶性循环。48h 氨氮未下降的时间限定，排除了水质短期波动的情况，确保移塘决策的科学性，避免盲目移塘造成不必要的成本损耗。移塘对虾本就因原池恶劣水质存在体质虚弱、免疫力下降的问题，若新池环境不达标，会加剧应激死亡，因此要求新池符合第 4、5 章设施和水质基础要求，并细化盐度差≤3‰、氨氮≤0.2mg/L、底质硫化物≤0.1mg/L。</w:t>
      </w:r>
    </w:p>
    <w:p w14:paraId="54BEE31E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GB/T 20014.21《良好农业规范 第 21 部分：对虾池塘养殖控制点与符合性规范》该标准明确要求对虾养殖需建立“日常监测巡查制度”和“突发环境事件应急处置措施”，规定了应急移塘的基本要求、巡查频次和内容，同时要求养殖过程实现质量安全可追溯，为 8.8 移塘的应急设计和 8.9 巡查的制度设计提供核心遵循。</w:t>
      </w:r>
    </w:p>
    <w:p w14:paraId="3031534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default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（五）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病害防控</w:t>
      </w:r>
    </w:p>
    <w:p w14:paraId="019103DA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禁用抗生素遵循《NY 5071-2002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无公害食品 水产养殖饲料使用准则》，同时契合《NY/T 393-2020绿色食品 农药使用准则》中水产养殖禁用高毒抗生素的要求；抗生素、重金属残留阈值参考《GB 2762-2022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食品安全国家标准 食品中污染物限量》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。消毒剂会在杀菌的同时抑制水体有益微生物，24h 后补泼有益微生物，能快速补充池塘优势有益菌群，恢复水体微生态平衡，避免消毒后水体菌群失衡引发藻类爆发、水质恶化等次生问题，兼顾抑菌效果与水体生态稳定。</w:t>
      </w:r>
    </w:p>
    <w:p w14:paraId="36AC682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每月 1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～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2 次用聚维酮碘（0.3mg/L）/ 二氧化氯（0.1～0.2mg/L）全池泼洒：两类均为水产养殖中低毒、无残留、广谱性消毒剂，聚维酮碘靠碘离子破坏病菌细胞膜，二氧化氯靠强氧化性消杀有害菌 / 病毒，低浓度定期泼洒能有效抑制水体中弧菌、白斑综合征病毒等病原繁殖，且不会对虾体造成损伤，每月 1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～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2 次的频次既保证防控效果，又避免频繁消毒对水体生态的干扰。24h 后补泼有益微生物 300g/667m²：化学消毒剂在消杀有害菌的同时，会对水体有益菌造成短暂损伤，消毒 24h 后消毒剂药效基本消退，此时补施有益微生物能快速恢复水体有益菌相优势，避免出现 “消毒后有害菌反弹” 的真空期，实现“消杀 - 补菌” 的生态平衡，兼顾病害防控与水体微生态稳定。</w:t>
      </w:r>
    </w:p>
    <w:p w14:paraId="4C7CF254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滤食性鱼类（如鳙鱼、鲢鱼）滤食水体中过量的浮游藻类、有机碎屑，贝类（如文蛤、缢蛏）滤食残饵、粪便颗粒，二者能有效降低水体富营养化程度，避免藻类过度繁殖引发倒藻、水质恶化，而水质恶化正是病原爆发的核心诱因；同时滤食性生物可作为水质指示生物。</w:t>
      </w:r>
    </w:p>
    <w:p w14:paraId="07DB089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针对斑节对虾的主要敌害（如野杂鱼、蟹类、水生昆虫），采用灯光诱杀（趋光性敌害）、人工捕捉（非趋光性敌害）的物理手段，替代化学杀螺剂、杀虫剂等有毒药剂，既有效清除敌害（避免其捕食虾苗、争夺饵料），又不会对虾体和水体造成任何化学污染，保障养殖生态的完整性。</w:t>
      </w:r>
    </w:p>
    <w:p w14:paraId="56D00E3B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标粗池每 5～7d 泼洒光合细菌 500～600g/667m²：幼苗阶段对水质波动极敏感，光合细菌能快速稳定水体藻相、菌相，分解微量残饵 / 粪便，维持水质清洁，为幼苗营造稳定的生长环境，减少因水质应激导致的免疫力下降。</w:t>
      </w:r>
    </w:p>
    <w:p w14:paraId="7889353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饲料添加 β- 葡聚糖 0.1%：β- 葡聚糖是天然免疫增强剂，能激活幼苗的非特异性免疫系统（如吞噬细胞活性），提升其抗病害能力，0.1% 的添加量适配幼苗的消化能力，避免过量添加导致肠道负担。</w:t>
      </w:r>
    </w:p>
    <w:p w14:paraId="33E05245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每月检测 1 次 EHP，感染率＞1% 时隔离 / 药物干预：EHP（肝肠胞虫）是斑节对虾幼苗阶段的高易感、高致病性病害，主要危害肝胰腺和肠道，导致幼苗摄食下降、生长迟缓，且可通过水平 / 垂直传播快速扩散，每月检测能及时发现早期感染；感染率＞1% 是防控红线，此时及时隔离病虾、干预处理，能避免病害扩散至全池，降低养殖损失。</w:t>
      </w:r>
    </w:p>
    <w:p w14:paraId="6AE9C5A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基于广西北部湾沿海地区多年斑节对虾生态养殖实操数据验证，完全适配当地气候、水质与养殖模式特点：</w:t>
      </w:r>
    </w:p>
    <w:p w14:paraId="318277CF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当地高温、高湿、暴雨多发的气候特点，导致弧菌、白斑综合征病毒在 5～9 月高发，因此条款中设定 “病害高发期补施芽孢杆菌”“每月泼洒中药制剂”，精准匹配当地病害发生时间；当地实操数据显示，幼苗阶段 EHP 感染率＞1% 时，若不及时干预，15d 内全池感染率可达 80% 以上，死亡率超 50%，因此将 1% 设定为防控红线；成虾阶段弧菌含量＞1000CFU/mL 时，3～5d 内易爆发弧菌病，因此该阈值为应急处置的最佳节点；当地养殖实践证明，黄芩 + 黄柏 + 大黄按 2:1:1 水煎后泼洒，对水体弧菌的抑制率可达 85% 以上，远高于其他配比；蛭弧菌 300～500mL/667m² 的用量，能在 72h 内将弧菌含量降至安全范围；当地滤食性生物放养实操表明，10～20 尾 / 667m² 鳙鱼或 5～10kg/667m² 文蛤，能将水体富营养化程度降低 40% 以上，且不会与对虾争夺溶氧、饵料，是 “控污不竞争” 的最优用量。</w:t>
      </w:r>
    </w:p>
    <w:p w14:paraId="7B9ABDEE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default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（六）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病害防控</w:t>
      </w:r>
    </w:p>
    <w:p w14:paraId="48FDFA54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三池两坝是水产养殖经典的生态型尾水处理模式，通过沉淀、过滤、水生植物 / 微生物生态净化，能高效去除尾水中的悬浮物、氮磷和部分有机物，一体化水处理设施则适配规模化养殖的高效处理需求，两种模式可满足不同养殖规模的尾水处理需求，从源头杜绝养殖尾水的外源污染，落实水产养殖的环保减排要求。</w:t>
      </w:r>
    </w:p>
    <w:p w14:paraId="3236631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DB45/T 2956：为广西水产养殖尾水排放相关的地方标准，明确了广西辖区内水产养殖尾水的排放指标、检测方法等核心要求，是养殖尾水达标排放的合规判定依据；DB45/T 2841：为广西水产养殖尾水处理设施相关的地方标准，规范了尾水处理设施的建设、运行、维护要求，其中包含 “三池两坝”、一体化水处理设施的设计与使用准则，是尾水处理设施建设和运行的技术依据。</w:t>
      </w:r>
    </w:p>
    <w:p w14:paraId="489BF5B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default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（七）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收获</w:t>
      </w:r>
    </w:p>
    <w:p w14:paraId="63F0FEC5">
      <w:pPr>
        <w:keepNext w:val="0"/>
        <w:keepLines w:val="0"/>
        <w:pageBreakBefore w:val="0"/>
        <w:tabs>
          <w:tab w:val="left" w:pos="1800"/>
        </w:tabs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斑节对虾的生长速率受水温、水质、饲料等因素影响，在广西北部湾适宜的生态养殖环境下，6～8 个月是其从 0.8～1.2cm 虾苗生长至商品成虾的最优周期。体长和体重是斑节对虾商品等级划分的核心指标，≥18cm、≥60g 的规格是市场公认的优质商品虾标准，该规格的成虾肌肉紧实、出肉率高、口感佳，兼具食用价值与经济价值，能保障养殖者的销售收益；同时统一商品规格，也便于后续分拣、加工、流通，契合水产养殖产业化、标准化的发展要求。</w:t>
      </w:r>
    </w:p>
    <w:p w14:paraId="4E0D0779">
      <w:pPr>
        <w:keepNext w:val="0"/>
        <w:keepLines w:val="0"/>
        <w:pageBreakBefore w:val="0"/>
        <w:tabs>
          <w:tab w:val="left" w:pos="1800"/>
        </w:tabs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当地生态养殖实操表明，6～8 个月养殖周期内，斑节对虾的存活率能稳定在 80% 以上，且 95% 以上的成虾能达到≥18cm、≥60g 的商品规格，是兼顾生长与效益的最优周期；池塘养殖采用 3cm 网目地笼，每天 1～2 次、连续 5～7d 捕捞，捕获率能稳定达到 90% 以上，且成虾收获过程中的死亡率控制在 5% 以内，远低于拉网捕捞的死亡率；规模化养殖采用 60～80 目收虾网排水收虾，能在 1～2d 内完成整池收获，收获效率较池塘养殖提升 5 倍以上，且成虾损伤率＜3%，契合规模化养殖的产业化作业需求。</w:t>
      </w:r>
    </w:p>
    <w:tbl>
      <w:tblPr>
        <w:tblStyle w:val="1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87"/>
        <w:gridCol w:w="4587"/>
      </w:tblGrid>
      <w:tr w14:paraId="5F7AEF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87" w:type="dxa"/>
          </w:tcPr>
          <w:p w14:paraId="79D3B84E">
            <w:pPr>
              <w:pStyle w:val="2"/>
              <w:keepNext w:val="0"/>
              <w:keepLines w:val="0"/>
              <w:suppressLineNumbers w:val="0"/>
              <w:spacing w:before="0" w:beforeAutospacing="0" w:afterAutospacing="0"/>
              <w:ind w:left="0" w:right="0"/>
              <w:rPr>
                <w:rFonts w:hint="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2772410" cy="1560195"/>
                  <wp:effectExtent l="0" t="0" r="1905" b="5080"/>
                  <wp:wrapSquare wrapText="bothSides"/>
                  <wp:docPr id="9" name="图片 9" descr="00b216494f2c2c414d79ab0479a19bf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00b216494f2c2c414d79ab0479a19bfe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2410" cy="1560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587" w:type="dxa"/>
          </w:tcPr>
          <w:p w14:paraId="14D0A368">
            <w:pPr>
              <w:pStyle w:val="2"/>
              <w:keepNext w:val="0"/>
              <w:keepLines w:val="0"/>
              <w:suppressLineNumbers w:val="0"/>
              <w:spacing w:before="0" w:beforeAutospacing="0" w:afterAutospacing="0"/>
              <w:ind w:left="0" w:right="0"/>
              <w:rPr>
                <w:rFonts w:hint="eastAsia"/>
                <w:b/>
                <w:bCs/>
                <w:vertAlign w:val="baseline"/>
                <w:lang w:eastAsia="zh-CN"/>
              </w:rPr>
            </w:pPr>
            <w:r>
              <w:rPr>
                <w:rFonts w:hint="eastAsia"/>
                <w:b/>
                <w:bCs/>
                <w:vertAlign w:val="baseline"/>
                <w:lang w:eastAsia="zh-CN"/>
              </w:rPr>
              <w:drawing>
                <wp:inline distT="0" distB="0" distL="114300" distR="114300">
                  <wp:extent cx="2774315" cy="1672590"/>
                  <wp:effectExtent l="0" t="0" r="0" b="635"/>
                  <wp:docPr id="12" name="图片 12" descr="e6b1cf20280f30ef18396ec6900ff7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e6b1cf20280f30ef18396ec6900ff775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4315" cy="1672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4AED33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default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（八）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养殖档案</w:t>
      </w:r>
    </w:p>
    <w:p w14:paraId="559C8C5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20" w:lineRule="exact"/>
        <w:ind w:firstLine="640" w:firstLineChars="200"/>
        <w:textAlignment w:val="baseline"/>
        <w:rPr>
          <w:rFonts w:hint="eastAsia" w:ascii="仿宋_GB2312" w:hAnsi="Calibri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Calibri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遵循GB/T 42478-2023《水产养殖档案编制规范》</w:t>
      </w:r>
      <w:r>
        <w:rPr>
          <w:rFonts w:hint="eastAsia" w:ascii="仿宋_GB2312" w:eastAsia="仿宋_GB2312" w:cs="Calibri"/>
          <w:color w:val="000000" w:themeColor="text1"/>
          <w:kern w:val="2"/>
          <w:sz w:val="32"/>
          <w:szCs w:val="32"/>
          <w:lang w:val="en-US" w:eastAsia="zh-CN" w:bidi="ar-SA"/>
          <w14:textFill>
            <w14:solidFill>
              <w14:schemeClr w14:val="tx1"/>
            </w14:solidFill>
          </w14:textFill>
        </w:rPr>
        <w:t>。</w:t>
      </w:r>
    </w:p>
    <w:p w14:paraId="64E49315">
      <w:pPr>
        <w:keepNext w:val="0"/>
        <w:keepLines w:val="0"/>
        <w:pageBreakBefore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20" w:lineRule="exact"/>
        <w:ind w:firstLine="640" w:firstLineChars="200"/>
        <w:outlineLvl w:val="0"/>
        <w:rPr>
          <w:rFonts w:ascii="Times New Roman" w:hAnsi="Times New Roman" w:eastAsia="黑体" w:cs="Times New Roman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黑体" w:cs="Times New Roman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六、重大意见分歧的处理依据和结果</w:t>
      </w:r>
    </w:p>
    <w:p w14:paraId="2FEB7C93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本标准研制过程中无重大分歧意见。</w:t>
      </w:r>
    </w:p>
    <w:p w14:paraId="7816D51D">
      <w:pPr>
        <w:keepNext w:val="0"/>
        <w:keepLines w:val="0"/>
        <w:pageBreakBefore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20" w:lineRule="exact"/>
        <w:ind w:firstLine="640" w:firstLineChars="200"/>
        <w:outlineLvl w:val="0"/>
        <w:rPr>
          <w:rFonts w:ascii="Times New Roman" w:hAnsi="Times New Roman" w:eastAsia="黑体" w:cs="Times New Roman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黑体" w:cs="Times New Roman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七、实施标准的措施</w:t>
      </w:r>
    </w:p>
    <w:p w14:paraId="1EFA9ED7">
      <w:pPr>
        <w:keepNext w:val="0"/>
        <w:keepLines w:val="0"/>
        <w:pageBreakBefore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snapToGrid/>
        <w:spacing w:line="520" w:lineRule="exact"/>
        <w:ind w:firstLine="643" w:firstLineChars="200"/>
        <w:outlineLvl w:val="1"/>
        <w:rPr>
          <w:rFonts w:ascii="Times New Roman" w:hAnsi="Times New Roman" w:eastAsia="楷体" w:cs="Times New Roman"/>
          <w:b/>
          <w:bCs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楷体" w:cs="Times New Roman"/>
          <w:b/>
          <w:bCs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  <w:t>（一）标准报批发布后，成立标准宣贯工作组</w:t>
      </w:r>
    </w:p>
    <w:p w14:paraId="0FAC67C3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本标准发布后，成立以主要起草人为成员的标准宣贯工作组，主要负责标准的宣贯实施培训计划制定、标准实施交流会策划、标准实施信息反馈收集和标准实施效果评估等工作，并根据标准实施信息反馈和标准实施效果评估情况，及时组织标准复审修订。</w:t>
      </w:r>
    </w:p>
    <w:p w14:paraId="64156C85">
      <w:pPr>
        <w:keepNext w:val="0"/>
        <w:keepLines w:val="0"/>
        <w:pageBreakBefore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snapToGrid/>
        <w:spacing w:line="520" w:lineRule="exact"/>
        <w:ind w:firstLine="643" w:firstLineChars="200"/>
        <w:outlineLvl w:val="1"/>
        <w:rPr>
          <w:rFonts w:ascii="Times New Roman" w:hAnsi="Times New Roman" w:eastAsia="楷体" w:cs="Times New Roman"/>
          <w:b/>
          <w:bCs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楷体" w:cs="Times New Roman"/>
          <w:b/>
          <w:bCs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  <w:t>（二）组织开展标准宣贯培训</w:t>
      </w:r>
    </w:p>
    <w:p w14:paraId="24F10B80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标准发布实施后，标准宣贯工作小组制作标准解读宣贯培训PPT课件和标准核心技术明白书，并按标准宣贯培训计划深入各市县相关机构，对相关技术人员开展标准宣贯培训，对标准进行逐条解读，让相关技术人员掌握标准核心技术内容，助力标准实施落地，促进广西水产养殖产业健康发展。</w:t>
      </w:r>
    </w:p>
    <w:p w14:paraId="4E52F787">
      <w:pPr>
        <w:keepNext w:val="0"/>
        <w:keepLines w:val="0"/>
        <w:pageBreakBefore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snapToGrid/>
        <w:spacing w:line="520" w:lineRule="exact"/>
        <w:ind w:firstLine="643" w:firstLineChars="200"/>
        <w:outlineLvl w:val="1"/>
        <w:rPr>
          <w:rFonts w:ascii="Times New Roman" w:hAnsi="Times New Roman" w:eastAsia="楷体" w:cs="Times New Roman"/>
          <w:b/>
          <w:bCs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楷体" w:cs="Times New Roman"/>
          <w:b/>
          <w:bCs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  <w:t>（三）开展标准实施交流会，收集标准实施反馈信息</w:t>
      </w:r>
    </w:p>
    <w:p w14:paraId="5FEEE190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标准起草小组深入各市县相关机构技术人员召开标准实施交流会，听取标准实施过程中存在的问题并做好记录和解答，对存在的问题组织专家团队进行研讨，为标准的复审修订做准备。</w:t>
      </w:r>
    </w:p>
    <w:p w14:paraId="6A504440">
      <w:pPr>
        <w:keepNext w:val="0"/>
        <w:keepLines w:val="0"/>
        <w:pageBreakBefore w:val="0"/>
        <w:tabs>
          <w:tab w:val="center" w:pos="4201"/>
          <w:tab w:val="right" w:leader="dot" w:pos="9298"/>
        </w:tabs>
        <w:kinsoku/>
        <w:wordWrap/>
        <w:overflowPunct/>
        <w:topLinePunct w:val="0"/>
        <w:autoSpaceDE w:val="0"/>
        <w:autoSpaceDN w:val="0"/>
        <w:bidi w:val="0"/>
        <w:snapToGrid/>
        <w:spacing w:line="520" w:lineRule="exact"/>
        <w:ind w:firstLine="643" w:firstLineChars="200"/>
        <w:outlineLvl w:val="1"/>
        <w:rPr>
          <w:rFonts w:ascii="Times New Roman" w:hAnsi="Times New Roman" w:eastAsia="楷体" w:cs="Times New Roman"/>
          <w:b/>
          <w:bCs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楷体" w:cs="Times New Roman"/>
          <w:b/>
          <w:bCs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  <w:t>（四）开展标准实施效果评估</w:t>
      </w:r>
    </w:p>
    <w:p w14:paraId="24573D85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标准实施满2年，每年标准宣贯工作组采取网络调查、问卷调查、实地调研、召开座谈会或论证会、专家咨询等方式开展标准实施效果评估，并形成标准实施效果评估报告，为标准的复审修订做准备。</w:t>
      </w:r>
    </w:p>
    <w:p w14:paraId="41DFCADE">
      <w:pPr>
        <w:keepNext w:val="0"/>
        <w:keepLines w:val="0"/>
        <w:pageBreakBefore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20" w:lineRule="exact"/>
        <w:ind w:firstLine="640" w:firstLineChars="200"/>
        <w:outlineLvl w:val="0"/>
        <w:rPr>
          <w:rFonts w:ascii="Times New Roman" w:hAnsi="Times New Roman" w:eastAsia="黑体" w:cs="Times New Roman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黑体" w:cs="Times New Roman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八、其他应当说明的事项</w:t>
      </w:r>
    </w:p>
    <w:p w14:paraId="41767F4A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无。</w:t>
      </w:r>
    </w:p>
    <w:p w14:paraId="79FE0F26">
      <w:pPr>
        <w:pStyle w:val="27"/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rPr>
          <w:rFonts w:ascii="仿宋_GB2312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 w14:paraId="229819C5">
      <w:pPr>
        <w:pStyle w:val="27"/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rPr>
          <w:rFonts w:ascii="仿宋_GB2312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 w14:paraId="402162DF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jc w:val="right"/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团体标准《</w:t>
      </w:r>
      <w:r>
        <w:rPr>
          <w:rFonts w:hint="eastAsia" w:ascii="仿宋_GB2312" w:eastAsia="仿宋_GB2312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斑节对虾生态养殖技术规范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》</w:t>
      </w:r>
    </w:p>
    <w:p w14:paraId="5BDAE9B7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标准编制工作组</w:t>
      </w:r>
    </w:p>
    <w:p w14:paraId="7844F01D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20" w:lineRule="exact"/>
        <w:ind w:firstLine="640" w:firstLineChars="200"/>
        <w:rPr>
          <w:rFonts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202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年</w:t>
      </w:r>
      <w:r>
        <w:rPr>
          <w:rFonts w:hint="eastAsia" w:ascii="仿宋_GB2312" w:eastAsia="仿宋_GB2312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仿宋_GB2312" w:eastAsia="仿宋_GB2312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月25日</w:t>
      </w:r>
    </w:p>
    <w:p w14:paraId="07BC7230">
      <w:pPr>
        <w:pStyle w:val="2"/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after="0" w:line="520" w:lineRule="exact"/>
        <w:jc w:val="center"/>
      </w:pPr>
    </w:p>
    <w:sectPr>
      <w:footerReference r:id="rId3" w:type="default"/>
      <w:pgSz w:w="11906" w:h="16838"/>
      <w:pgMar w:top="1474" w:right="1474" w:bottom="1474" w:left="1474" w:header="851" w:footer="992" w:gutter="0"/>
      <w:cols w:space="720" w:num="1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D75B0300-FDBC-4A9F-87B0-92F80499EDB1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2" w:fontKey="{EDAD66D8-B46C-430E-881B-C09F4847AF99}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3" w:fontKey="{7172771B-CB89-4F79-856A-EBD538F6FA4D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简体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4" w:fontKey="{FA4AAE93-85D1-49A6-BA37-9A8971C63652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5" w:fontKey="{E7EFAE91-0F89-45C2-AFCF-6F229CFEE6ED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6" w:fontKey="{F496C7A1-60F3-499B-8993-25CF04617D3B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C9CFC1">
    <w:pPr>
      <w:pStyle w:val="11"/>
      <w:ind w:firstLine="378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56515" cy="131445"/>
              <wp:effectExtent l="0" t="0" r="0" b="0"/>
              <wp:wrapNone/>
              <wp:docPr id="42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515" cy="1314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D95A9E6">
                          <w:pPr>
                            <w:pStyle w:val="11"/>
                            <w:rPr>
                              <w:rFonts w:hint="eastAsia" w:ascii="宋体" w:hAnsi="宋体"/>
                              <w:sz w:val="21"/>
                            </w:rPr>
                          </w:pPr>
                          <w:r>
                            <w:rPr>
                              <w:rFonts w:hint="eastAsia" w:ascii="宋体" w:hAnsi="宋体"/>
                              <w:sz w:val="21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/>
                              <w:sz w:val="21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/>
                              <w:sz w:val="21"/>
                            </w:rPr>
                            <w:fldChar w:fldCharType="separate"/>
                          </w:r>
                          <w:r>
                            <w:rPr>
                              <w:rFonts w:ascii="宋体" w:hAnsi="宋体"/>
                              <w:sz w:val="21"/>
                            </w:rPr>
                            <w:t>6</w:t>
                          </w:r>
                          <w:r>
                            <w:rPr>
                              <w:rFonts w:hint="eastAsia" w:ascii="宋体" w:hAnsi="宋体"/>
                              <w:sz w:val="21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1" o:spid="_x0000_s1026" o:spt="202" type="#_x0000_t202" style="position:absolute;left:0pt;margin-top:0pt;height:10.35pt;width:4.45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D95A9E6">
                    <w:pPr>
                      <w:pStyle w:val="11"/>
                      <w:rPr>
                        <w:rFonts w:hint="eastAsia" w:ascii="宋体" w:hAnsi="宋体"/>
                        <w:sz w:val="21"/>
                      </w:rPr>
                    </w:pPr>
                    <w:r>
                      <w:rPr>
                        <w:rFonts w:hint="eastAsia" w:ascii="宋体" w:hAnsi="宋体"/>
                        <w:sz w:val="21"/>
                      </w:rPr>
                      <w:fldChar w:fldCharType="begin"/>
                    </w:r>
                    <w:r>
                      <w:rPr>
                        <w:rFonts w:hint="eastAsia" w:ascii="宋体" w:hAnsi="宋体"/>
                        <w:sz w:val="21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/>
                        <w:sz w:val="21"/>
                      </w:rPr>
                      <w:fldChar w:fldCharType="separate"/>
                    </w:r>
                    <w:r>
                      <w:rPr>
                        <w:rFonts w:ascii="宋体" w:hAnsi="宋体"/>
                        <w:sz w:val="21"/>
                      </w:rPr>
                      <w:t>6</w:t>
                    </w:r>
                    <w:r>
                      <w:rPr>
                        <w:rFonts w:hint="eastAsia" w:ascii="宋体" w:hAnsi="宋体"/>
                        <w:sz w:val="21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DDF8329"/>
    <w:multiLevelType w:val="multilevel"/>
    <w:tmpl w:val="8DDF8329"/>
    <w:lvl w:ilvl="0" w:tentative="0">
      <w:start w:val="1"/>
      <w:numFmt w:val="decimal"/>
      <w:pStyle w:val="45"/>
      <w:suff w:val="nothing"/>
      <w:lvlText w:val="表%1　"/>
      <w:legacy w:legacy="1" w:legacySpace="0" w:legacyIndent="0"/>
      <w:lvlJc w:val="left"/>
      <w:pPr>
        <w:ind w:left="0" w:firstLine="0"/>
      </w:pPr>
    </w:lvl>
    <w:lvl w:ilvl="1" w:tentative="0">
      <w:start w:val="1"/>
      <w:numFmt w:val="decimal"/>
      <w:lvlText w:val="%1.%2"/>
      <w:legacy w:legacy="1" w:legacySpace="0" w:legacyIndent="567"/>
      <w:lvlJc w:val="left"/>
      <w:pPr>
        <w:ind w:left="992" w:hanging="567"/>
      </w:pPr>
    </w:lvl>
    <w:lvl w:ilvl="2" w:tentative="0">
      <w:start w:val="1"/>
      <w:numFmt w:val="decimal"/>
      <w:lvlText w:val="%1.%2.%3"/>
      <w:legacy w:legacy="1" w:legacySpace="0" w:legacyIndent="567"/>
      <w:lvlJc w:val="left"/>
      <w:pPr>
        <w:ind w:left="1417" w:hanging="567"/>
      </w:pPr>
    </w:lvl>
    <w:lvl w:ilvl="3" w:tentative="0">
      <w:start w:val="1"/>
      <w:numFmt w:val="decimal"/>
      <w:lvlText w:val="%1.%2.%3.%4"/>
      <w:legacy w:legacy="1" w:legacySpace="0" w:legacyIndent="708"/>
      <w:lvlJc w:val="left"/>
      <w:pPr>
        <w:ind w:left="1984" w:hanging="708"/>
      </w:pPr>
    </w:lvl>
    <w:lvl w:ilvl="4" w:tentative="0">
      <w:start w:val="1"/>
      <w:numFmt w:val="decimal"/>
      <w:lvlText w:val="%1.%2.%3.%4.%5"/>
      <w:legacy w:legacy="1" w:legacySpace="0" w:legacyIndent="850"/>
      <w:lvlJc w:val="left"/>
      <w:pPr>
        <w:ind w:left="2551" w:hanging="850"/>
      </w:pPr>
    </w:lvl>
    <w:lvl w:ilvl="5" w:tentative="0">
      <w:start w:val="1"/>
      <w:numFmt w:val="decimal"/>
      <w:lvlText w:val="%1.%2.%3.%4.%5.%6"/>
      <w:legacy w:legacy="1" w:legacySpace="0" w:legacyIndent="1134"/>
      <w:lvlJc w:val="left"/>
      <w:pPr>
        <w:ind w:left="3260" w:hanging="1134"/>
      </w:pPr>
    </w:lvl>
    <w:lvl w:ilvl="6" w:tentative="0">
      <w:start w:val="1"/>
      <w:numFmt w:val="decimal"/>
      <w:lvlText w:val="%1.%2.%3.%4.%5.%6.%7"/>
      <w:legacy w:legacy="1" w:legacySpace="0" w:legacyIndent="1276"/>
      <w:lvlJc w:val="left"/>
      <w:pPr>
        <w:ind w:left="3827" w:hanging="1276"/>
      </w:pPr>
    </w:lvl>
    <w:lvl w:ilvl="7" w:tentative="0">
      <w:start w:val="1"/>
      <w:numFmt w:val="decimal"/>
      <w:lvlText w:val="%1.%2.%3.%4.%5.%6.%7.%8"/>
      <w:legacy w:legacy="1" w:legacySpace="0" w:legacyIndent="1418"/>
      <w:lvlJc w:val="left"/>
      <w:pPr>
        <w:ind w:left="4394" w:hanging="1418"/>
      </w:pPr>
    </w:lvl>
    <w:lvl w:ilvl="8" w:tentative="0">
      <w:start w:val="1"/>
      <w:numFmt w:val="decimal"/>
      <w:lvlText w:val="%1.%2.%3.%4.%5.%6.%7.%8.%9"/>
      <w:legacy w:legacy="1" w:legacySpace="0" w:legacyIndent="1700"/>
      <w:lvlJc w:val="left"/>
      <w:pPr>
        <w:ind w:left="5102" w:hanging="1700"/>
      </w:pPr>
    </w:lvl>
  </w:abstractNum>
  <w:abstractNum w:abstractNumId="1">
    <w:nsid w:val="0BDC1670"/>
    <w:multiLevelType w:val="multilevel"/>
    <w:tmpl w:val="0BDC1670"/>
    <w:lvl w:ilvl="0" w:tentative="0">
      <w:start w:val="1"/>
      <w:numFmt w:val="decimal"/>
      <w:pStyle w:val="65"/>
      <w:lvlText w:val="[%1]"/>
      <w:lvlJc w:val="left"/>
      <w:pPr>
        <w:ind w:left="823" w:hanging="420"/>
      </w:p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">
    <w:nsid w:val="2C5917C3"/>
    <w:multiLevelType w:val="multilevel"/>
    <w:tmpl w:val="2C5917C3"/>
    <w:lvl w:ilvl="0" w:tentative="0">
      <w:start w:val="1"/>
      <w:numFmt w:val="none"/>
      <w:pStyle w:val="59"/>
      <w:lvlText w:val="%1——"/>
      <w:lvlJc w:val="left"/>
      <w:pPr>
        <w:tabs>
          <w:tab w:val="left" w:pos="851"/>
        </w:tabs>
        <w:ind w:left="636" w:hanging="426"/>
      </w:pPr>
      <w:rPr>
        <w:rFonts w:hint="eastAsia" w:ascii="宋体" w:hAnsi="Times New Roman" w:eastAsia="宋体"/>
        <w:b w:val="0"/>
        <w:i w:val="0"/>
        <w:sz w:val="21"/>
      </w:rPr>
    </w:lvl>
    <w:lvl w:ilvl="1" w:tentative="0">
      <w:start w:val="1"/>
      <w:numFmt w:val="none"/>
      <w:lvlText w:val=""/>
      <w:lvlJc w:val="left"/>
      <w:pPr>
        <w:ind w:left="636" w:hanging="431"/>
      </w:pPr>
      <w:rPr>
        <w:rFonts w:hint="default" w:ascii="Symbol" w:hAnsi="Symbol"/>
        <w:sz w:val="21"/>
      </w:rPr>
    </w:lvl>
    <w:lvl w:ilvl="2" w:tentative="0">
      <w:start w:val="1"/>
      <w:numFmt w:val="bullet"/>
      <w:lvlText w:val=""/>
      <w:lvlJc w:val="left"/>
      <w:pPr>
        <w:ind w:left="636" w:hanging="426"/>
      </w:pPr>
      <w:rPr>
        <w:rFonts w:hint="default" w:ascii="Wingdings" w:hAnsi="Wingdings"/>
        <w:sz w:val="21"/>
      </w:rPr>
    </w:lvl>
    <w:lvl w:ilvl="3" w:tentative="0">
      <w:start w:val="1"/>
      <w:numFmt w:val="decimal"/>
      <w:lvlText w:val="%4."/>
      <w:lvlJc w:val="left"/>
      <w:pPr>
        <w:tabs>
          <w:tab w:val="left" w:pos="2071"/>
        </w:tabs>
        <w:ind w:left="1669" w:hanging="528"/>
      </w:pPr>
      <w:rPr>
        <w:rFonts w:hint="eastAsia"/>
      </w:rPr>
    </w:lvl>
    <w:lvl w:ilvl="4" w:tentative="0">
      <w:start w:val="1"/>
      <w:numFmt w:val="lowerLetter"/>
      <w:lvlText w:val="%5)"/>
      <w:lvlJc w:val="left"/>
      <w:pPr>
        <w:tabs>
          <w:tab w:val="left" w:pos="2383"/>
        </w:tabs>
        <w:ind w:left="1981" w:hanging="528"/>
      </w:pPr>
      <w:rPr>
        <w:rFonts w:hint="eastAsia"/>
      </w:rPr>
    </w:lvl>
    <w:lvl w:ilvl="5" w:tentative="0">
      <w:start w:val="1"/>
      <w:numFmt w:val="lowerRoman"/>
      <w:lvlText w:val="%6."/>
      <w:lvlJc w:val="right"/>
      <w:pPr>
        <w:tabs>
          <w:tab w:val="left" w:pos="2695"/>
        </w:tabs>
        <w:ind w:left="2293" w:hanging="528"/>
      </w:pPr>
      <w:rPr>
        <w:rFonts w:hint="eastAsia"/>
      </w:rPr>
    </w:lvl>
    <w:lvl w:ilvl="6" w:tentative="0">
      <w:start w:val="1"/>
      <w:numFmt w:val="decimal"/>
      <w:lvlText w:val="%7."/>
      <w:lvlJc w:val="left"/>
      <w:pPr>
        <w:tabs>
          <w:tab w:val="left" w:pos="3007"/>
        </w:tabs>
        <w:ind w:left="2605" w:hanging="528"/>
      </w:pPr>
      <w:rPr>
        <w:rFonts w:hint="eastAsia"/>
      </w:rPr>
    </w:lvl>
    <w:lvl w:ilvl="7" w:tentative="0">
      <w:start w:val="1"/>
      <w:numFmt w:val="lowerLetter"/>
      <w:lvlText w:val="%8)"/>
      <w:lvlJc w:val="left"/>
      <w:pPr>
        <w:tabs>
          <w:tab w:val="left" w:pos="3319"/>
        </w:tabs>
        <w:ind w:left="2917" w:hanging="528"/>
      </w:pPr>
      <w:rPr>
        <w:rFonts w:hint="eastAsia"/>
      </w:rPr>
    </w:lvl>
    <w:lvl w:ilvl="8" w:tentative="0">
      <w:start w:val="1"/>
      <w:numFmt w:val="lowerRoman"/>
      <w:lvlText w:val="%9."/>
      <w:lvlJc w:val="right"/>
      <w:pPr>
        <w:tabs>
          <w:tab w:val="left" w:pos="3631"/>
        </w:tabs>
        <w:ind w:left="3229" w:hanging="528"/>
      </w:pPr>
      <w:rPr>
        <w:rFonts w:hint="eastAsia"/>
      </w:rPr>
    </w:lvl>
  </w:abstractNum>
  <w:abstractNum w:abstractNumId="3">
    <w:nsid w:val="44C50F90"/>
    <w:multiLevelType w:val="multilevel"/>
    <w:tmpl w:val="44C50F90"/>
    <w:lvl w:ilvl="0" w:tentative="0">
      <w:start w:val="1"/>
      <w:numFmt w:val="lowerLetter"/>
      <w:pStyle w:val="54"/>
      <w:lvlText w:val="%1)"/>
      <w:lvlJc w:val="left"/>
      <w:pPr>
        <w:tabs>
          <w:tab w:val="left" w:pos="851"/>
        </w:tabs>
        <w:ind w:left="851" w:hanging="426"/>
      </w:pPr>
      <w:rPr>
        <w:rFonts w:hint="eastAsia" w:ascii="宋体" w:hAnsi="Times New Roman" w:eastAsia="宋体"/>
        <w:sz w:val="21"/>
      </w:rPr>
    </w:lvl>
    <w:lvl w:ilvl="1" w:tentative="0">
      <w:start w:val="1"/>
      <w:numFmt w:val="decimal"/>
      <w:pStyle w:val="52"/>
      <w:lvlText w:val="%2)"/>
      <w:lvlJc w:val="left"/>
      <w:pPr>
        <w:tabs>
          <w:tab w:val="left" w:pos="1276"/>
        </w:tabs>
        <w:ind w:left="1276" w:hanging="425"/>
      </w:pPr>
      <w:rPr>
        <w:rFonts w:hint="eastAsia" w:ascii="宋体" w:hAnsi="Times New Roman" w:eastAsia="宋体"/>
        <w:sz w:val="21"/>
      </w:rPr>
    </w:lvl>
    <w:lvl w:ilvl="2" w:tentative="0">
      <w:start w:val="1"/>
      <w:numFmt w:val="decimal"/>
      <w:pStyle w:val="53"/>
      <w:lvlText w:val="(%3)"/>
      <w:lvlJc w:val="left"/>
      <w:pPr>
        <w:ind w:left="1701" w:hanging="425"/>
      </w:pPr>
      <w:rPr>
        <w:rFonts w:hint="eastAsia" w:ascii="宋体" w:hAnsi="Times New Roman" w:eastAsia="宋体"/>
        <w:sz w:val="21"/>
      </w:rPr>
    </w:lvl>
    <w:lvl w:ilvl="3" w:tentative="0">
      <w:start w:val="1"/>
      <w:numFmt w:val="decimal"/>
      <w:lvlText w:val="%4."/>
      <w:lvlJc w:val="left"/>
      <w:pPr>
        <w:tabs>
          <w:tab w:val="left" w:pos="2100"/>
        </w:tabs>
        <w:ind w:left="2099" w:hanging="419"/>
      </w:pPr>
      <w:rPr>
        <w:rFonts w:hint="eastAsia"/>
      </w:rPr>
    </w:lvl>
    <w:lvl w:ilvl="4" w:tentative="0">
      <w:start w:val="1"/>
      <w:numFmt w:val="lowerLetter"/>
      <w:lvlText w:val="%5)"/>
      <w:lvlJc w:val="left"/>
      <w:pPr>
        <w:tabs>
          <w:tab w:val="left" w:pos="2520"/>
        </w:tabs>
        <w:ind w:left="2519" w:hanging="419"/>
      </w:pPr>
      <w:rPr>
        <w:rFonts w:hint="eastAsia"/>
      </w:rPr>
    </w:lvl>
    <w:lvl w:ilvl="5" w:tentative="0">
      <w:start w:val="1"/>
      <w:numFmt w:val="lowerRoman"/>
      <w:lvlText w:val="%6."/>
      <w:lvlJc w:val="right"/>
      <w:pPr>
        <w:tabs>
          <w:tab w:val="left" w:pos="2940"/>
        </w:tabs>
        <w:ind w:left="2939" w:hanging="419"/>
      </w:pPr>
      <w:rPr>
        <w:rFonts w:hint="eastAsia"/>
      </w:rPr>
    </w:lvl>
    <w:lvl w:ilvl="6" w:tentative="0">
      <w:start w:val="1"/>
      <w:numFmt w:val="decimal"/>
      <w:lvlText w:val="%7."/>
      <w:lvlJc w:val="left"/>
      <w:pPr>
        <w:tabs>
          <w:tab w:val="left" w:pos="3360"/>
        </w:tabs>
        <w:ind w:left="3359" w:hanging="419"/>
      </w:pPr>
      <w:rPr>
        <w:rFonts w:hint="eastAsia"/>
      </w:rPr>
    </w:lvl>
    <w:lvl w:ilvl="7" w:tentative="0">
      <w:start w:val="1"/>
      <w:numFmt w:val="lowerLetter"/>
      <w:lvlText w:val="%8)"/>
      <w:lvlJc w:val="left"/>
      <w:pPr>
        <w:tabs>
          <w:tab w:val="left" w:pos="3780"/>
        </w:tabs>
        <w:ind w:left="3779" w:hanging="419"/>
      </w:pPr>
      <w:rPr>
        <w:rFonts w:hint="eastAsia"/>
      </w:rPr>
    </w:lvl>
    <w:lvl w:ilvl="8" w:tentative="0">
      <w:start w:val="1"/>
      <w:numFmt w:val="lowerRoman"/>
      <w:lvlText w:val="%9."/>
      <w:lvlJc w:val="right"/>
      <w:pPr>
        <w:tabs>
          <w:tab w:val="left" w:pos="4200"/>
        </w:tabs>
        <w:ind w:left="4199" w:hanging="419"/>
      </w:pPr>
      <w:rPr>
        <w:rFonts w:hint="eastAsia"/>
      </w:rPr>
    </w:lvl>
  </w:abstractNum>
  <w:abstractNum w:abstractNumId="4">
    <w:nsid w:val="5A9B6960"/>
    <w:multiLevelType w:val="multilevel"/>
    <w:tmpl w:val="5A9B6960"/>
    <w:lvl w:ilvl="0" w:tentative="0">
      <w:start w:val="1"/>
      <w:numFmt w:val="none"/>
      <w:pStyle w:val="42"/>
      <w:suff w:val="nothing"/>
      <w:lvlText w:val="%1"/>
      <w:legacy w:legacy="1" w:legacySpace="0" w:legacyIndent="0"/>
      <w:lvlJc w:val="left"/>
      <w:pPr>
        <w:ind w:left="0" w:firstLine="0"/>
      </w:pPr>
      <w:rPr>
        <w:rFonts w:hint="eastAsia"/>
      </w:rPr>
    </w:lvl>
    <w:lvl w:ilvl="1" w:tentative="0">
      <w:start w:val="1"/>
      <w:numFmt w:val="decimal"/>
      <w:pStyle w:val="36"/>
      <w:suff w:val="nothing"/>
      <w:lvlText w:val="%1%2　"/>
      <w:legacy w:legacy="1" w:legacySpace="0" w:legacyIndent="0"/>
      <w:lvlJc w:val="left"/>
      <w:pPr>
        <w:ind w:left="0" w:firstLine="0"/>
      </w:pPr>
      <w:rPr>
        <w:rFonts w:hint="eastAsia" w:ascii="黑体" w:hAnsi="黑体" w:eastAsia="黑体"/>
        <w:b w:val="0"/>
        <w:i w:val="0"/>
        <w:sz w:val="21"/>
      </w:rPr>
    </w:lvl>
    <w:lvl w:ilvl="2" w:tentative="0">
      <w:start w:val="1"/>
      <w:numFmt w:val="decimal"/>
      <w:pStyle w:val="38"/>
      <w:suff w:val="nothing"/>
      <w:lvlText w:val="%1%2.%3　"/>
      <w:legacy w:legacy="1" w:legacySpace="0" w:legacyIndent="0"/>
      <w:lvlJc w:val="left"/>
      <w:pPr>
        <w:ind w:left="0" w:firstLine="0"/>
      </w:pPr>
      <w:rPr>
        <w:rFonts w:hint="eastAsia" w:ascii="黑体" w:hAnsi="黑体" w:eastAsia="黑体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1"/>
        <w:u w:val="none"/>
        <w:vertAlign w:val="baseline"/>
      </w:rPr>
    </w:lvl>
    <w:lvl w:ilvl="3" w:tentative="0">
      <w:start w:val="1"/>
      <w:numFmt w:val="decimal"/>
      <w:suff w:val="nothing"/>
      <w:lvlText w:val="%1%2.%3.%4　"/>
      <w:legacy w:legacy="1" w:legacySpace="0" w:legacyIndent="0"/>
      <w:lvlJc w:val="left"/>
      <w:pPr>
        <w:ind w:left="0" w:firstLine="0"/>
      </w:pPr>
      <w:rPr>
        <w:rFonts w:hint="eastAsia" w:ascii="黑体" w:hAnsi="黑体" w:eastAsia="黑体"/>
        <w:b w:val="0"/>
        <w:i w:val="0"/>
        <w:sz w:val="21"/>
      </w:rPr>
    </w:lvl>
    <w:lvl w:ilvl="4" w:tentative="0">
      <w:start w:val="1"/>
      <w:numFmt w:val="decimal"/>
      <w:pStyle w:val="44"/>
      <w:suff w:val="nothing"/>
      <w:lvlText w:val="%1%2.%3.%4.%5　"/>
      <w:legacy w:legacy="1" w:legacySpace="0" w:legacyIndent="0"/>
      <w:lvlJc w:val="left"/>
      <w:pPr>
        <w:ind w:left="0" w:firstLine="0"/>
      </w:pPr>
      <w:rPr>
        <w:rFonts w:hint="eastAsia" w:ascii="黑体" w:hAnsi="黑体" w:eastAsia="黑体"/>
        <w:b w:val="0"/>
        <w:i w:val="0"/>
        <w:sz w:val="21"/>
      </w:rPr>
    </w:lvl>
    <w:lvl w:ilvl="5" w:tentative="0">
      <w:start w:val="1"/>
      <w:numFmt w:val="decimal"/>
      <w:pStyle w:val="43"/>
      <w:suff w:val="nothing"/>
      <w:lvlText w:val="%1%2.%3.%4.%5.%6　"/>
      <w:legacy w:legacy="1" w:legacySpace="0" w:legacyIndent="0"/>
      <w:lvlJc w:val="left"/>
      <w:pPr>
        <w:ind w:left="0" w:firstLine="0"/>
      </w:pPr>
      <w:rPr>
        <w:rFonts w:hint="eastAsia" w:ascii="黑体" w:hAnsi="黑体" w:eastAsia="黑体"/>
        <w:b w:val="0"/>
        <w:i w:val="0"/>
        <w:sz w:val="21"/>
      </w:rPr>
    </w:lvl>
    <w:lvl w:ilvl="6" w:tentative="0">
      <w:start w:val="1"/>
      <w:numFmt w:val="decimal"/>
      <w:pStyle w:val="41"/>
      <w:suff w:val="nothing"/>
      <w:lvlText w:val="%1%2.%3.%4.%5.%6.%7　"/>
      <w:legacy w:legacy="1" w:legacySpace="0" w:legacyIndent="0"/>
      <w:lvlJc w:val="left"/>
      <w:pPr>
        <w:ind w:left="0" w:firstLine="0"/>
      </w:pPr>
      <w:rPr>
        <w:rFonts w:hint="eastAsia" w:ascii="黑体" w:hAnsi="黑体" w:eastAsia="黑体"/>
        <w:b w:val="0"/>
        <w:i w:val="0"/>
        <w:sz w:val="21"/>
      </w:rPr>
    </w:lvl>
    <w:lvl w:ilvl="7" w:tentative="0">
      <w:start w:val="1"/>
      <w:numFmt w:val="decimal"/>
      <w:lvlText w:val="%1.%2.%3.%4.%5.%6.%7.%8"/>
      <w:legacy w:legacy="1" w:legacySpace="0" w:legacyIndent="1418"/>
      <w:lvlJc w:val="left"/>
      <w:pPr>
        <w:ind w:left="3969" w:hanging="1418"/>
      </w:pPr>
      <w:rPr>
        <w:rFonts w:hint="eastAsia"/>
      </w:rPr>
    </w:lvl>
    <w:lvl w:ilvl="8" w:tentative="0">
      <w:start w:val="1"/>
      <w:numFmt w:val="decimal"/>
      <w:lvlText w:val="%1.%2.%3.%4.%5.%6.%7.%8.%9"/>
      <w:legacy w:legacy="1" w:legacySpace="0" w:legacyIndent="1700"/>
      <w:lvlJc w:val="left"/>
      <w:pPr>
        <w:ind w:left="4677" w:hanging="1700"/>
      </w:pPr>
      <w:rPr>
        <w:rFonts w:hint="eastAsia"/>
      </w:rPr>
    </w:lvl>
  </w:abstractNum>
  <w:abstractNum w:abstractNumId="5">
    <w:nsid w:val="60B55DC2"/>
    <w:multiLevelType w:val="multilevel"/>
    <w:tmpl w:val="60B55DC2"/>
    <w:lvl w:ilvl="0" w:tentative="0">
      <w:start w:val="1"/>
      <w:numFmt w:val="upperLetter"/>
      <w:lvlText w:val="%1"/>
      <w:lvlJc w:val="left"/>
      <w:pPr>
        <w:tabs>
          <w:tab w:val="left" w:pos="0"/>
        </w:tabs>
        <w:ind w:left="0" w:hanging="425"/>
      </w:pPr>
      <w:rPr>
        <w:rFonts w:hint="eastAsia"/>
      </w:rPr>
    </w:lvl>
    <w:lvl w:ilvl="1" w:tentative="0">
      <w:start w:val="1"/>
      <w:numFmt w:val="decimal"/>
      <w:pStyle w:val="60"/>
      <w:suff w:val="nothing"/>
      <w:lvlText w:val="表%1.%2　"/>
      <w:lvlJc w:val="left"/>
      <w:pPr>
        <w:ind w:left="567" w:hanging="567"/>
      </w:pPr>
      <w:rPr>
        <w:rFonts w:hint="eastAsia"/>
      </w:rPr>
    </w:lvl>
    <w:lvl w:ilvl="2" w:tentative="0">
      <w:start w:val="1"/>
      <w:numFmt w:val="decimal"/>
      <w:lvlText w:val="%1.%2.%3"/>
      <w:lvlJc w:val="left"/>
      <w:pPr>
        <w:tabs>
          <w:tab w:val="left" w:pos="993"/>
        </w:tabs>
        <w:ind w:left="993" w:hanging="567"/>
      </w:pPr>
      <w:rPr>
        <w:rFonts w:hint="eastAsia"/>
      </w:rPr>
    </w:lvl>
    <w:lvl w:ilvl="3" w:tentative="0">
      <w:start w:val="1"/>
      <w:numFmt w:val="decimal"/>
      <w:lvlText w:val="%1.%2.%3.%4"/>
      <w:lvlJc w:val="left"/>
      <w:pPr>
        <w:tabs>
          <w:tab w:val="left" w:pos="2291"/>
        </w:tabs>
        <w:ind w:left="1559" w:hanging="708"/>
      </w:pPr>
      <w:rPr>
        <w:rFonts w:hint="eastAsia"/>
      </w:rPr>
    </w:lvl>
    <w:lvl w:ilvl="4" w:tentative="0">
      <w:start w:val="1"/>
      <w:numFmt w:val="decimal"/>
      <w:lvlText w:val="%1.%2.%3.%4.%5"/>
      <w:lvlJc w:val="left"/>
      <w:pPr>
        <w:tabs>
          <w:tab w:val="left" w:pos="3076"/>
        </w:tabs>
        <w:ind w:left="2126" w:hanging="850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tabs>
          <w:tab w:val="left" w:pos="3861"/>
        </w:tabs>
        <w:ind w:left="2835" w:hanging="1134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tabs>
          <w:tab w:val="left" w:pos="4646"/>
        </w:tabs>
        <w:ind w:left="3402" w:hanging="127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5431"/>
        </w:tabs>
        <w:ind w:left="3969" w:hanging="1418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6217"/>
        </w:tabs>
        <w:ind w:left="4677" w:hanging="1700"/>
      </w:pPr>
      <w:rPr>
        <w:rFonts w:hint="eastAsia"/>
      </w:r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2"/>
  </w:num>
  <w:num w:numId="5">
    <w:abstractNumId w:val="5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TrueTypeFonts/>
  <w:saveSubset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cwMDc0ZjI4NzNlMjMwZWM0OGFmYTgxZDU4M2Y4NDAifQ=="/>
  </w:docVars>
  <w:rsids>
    <w:rsidRoot w:val="000D75AA"/>
    <w:rsid w:val="000026B4"/>
    <w:rsid w:val="000068A2"/>
    <w:rsid w:val="00014983"/>
    <w:rsid w:val="00014F92"/>
    <w:rsid w:val="000171F6"/>
    <w:rsid w:val="000178C8"/>
    <w:rsid w:val="00021AEF"/>
    <w:rsid w:val="00024C52"/>
    <w:rsid w:val="0004185E"/>
    <w:rsid w:val="00041CA7"/>
    <w:rsid w:val="000424C0"/>
    <w:rsid w:val="000513F3"/>
    <w:rsid w:val="00051A80"/>
    <w:rsid w:val="00051C74"/>
    <w:rsid w:val="00051F5E"/>
    <w:rsid w:val="000540AB"/>
    <w:rsid w:val="00055442"/>
    <w:rsid w:val="00061BDC"/>
    <w:rsid w:val="0006459C"/>
    <w:rsid w:val="000671D8"/>
    <w:rsid w:val="000709A1"/>
    <w:rsid w:val="00071CAA"/>
    <w:rsid w:val="00072103"/>
    <w:rsid w:val="000743B4"/>
    <w:rsid w:val="00075653"/>
    <w:rsid w:val="00076330"/>
    <w:rsid w:val="00082613"/>
    <w:rsid w:val="00092E1F"/>
    <w:rsid w:val="00094B6B"/>
    <w:rsid w:val="000968C6"/>
    <w:rsid w:val="000969BE"/>
    <w:rsid w:val="00097E01"/>
    <w:rsid w:val="000A2616"/>
    <w:rsid w:val="000A77F5"/>
    <w:rsid w:val="000B2F3C"/>
    <w:rsid w:val="000B3320"/>
    <w:rsid w:val="000B3E65"/>
    <w:rsid w:val="000B4242"/>
    <w:rsid w:val="000B6E76"/>
    <w:rsid w:val="000C3C30"/>
    <w:rsid w:val="000C3F40"/>
    <w:rsid w:val="000C517B"/>
    <w:rsid w:val="000C6800"/>
    <w:rsid w:val="000C7685"/>
    <w:rsid w:val="000D1FCA"/>
    <w:rsid w:val="000D211A"/>
    <w:rsid w:val="000D35F1"/>
    <w:rsid w:val="000D47AC"/>
    <w:rsid w:val="000D688C"/>
    <w:rsid w:val="000D6AA8"/>
    <w:rsid w:val="000D75AA"/>
    <w:rsid w:val="000E0C0E"/>
    <w:rsid w:val="000E53EA"/>
    <w:rsid w:val="000F03C9"/>
    <w:rsid w:val="000F21F0"/>
    <w:rsid w:val="000F2317"/>
    <w:rsid w:val="000F2861"/>
    <w:rsid w:val="000F7AED"/>
    <w:rsid w:val="00101040"/>
    <w:rsid w:val="00110AC2"/>
    <w:rsid w:val="001114EB"/>
    <w:rsid w:val="001121F0"/>
    <w:rsid w:val="001133E6"/>
    <w:rsid w:val="001133EF"/>
    <w:rsid w:val="001143BC"/>
    <w:rsid w:val="00116CEA"/>
    <w:rsid w:val="0012345E"/>
    <w:rsid w:val="00132D8B"/>
    <w:rsid w:val="001334A1"/>
    <w:rsid w:val="00133F3E"/>
    <w:rsid w:val="0013596D"/>
    <w:rsid w:val="00141D5D"/>
    <w:rsid w:val="00141D9D"/>
    <w:rsid w:val="001437B3"/>
    <w:rsid w:val="001440BF"/>
    <w:rsid w:val="00152CB3"/>
    <w:rsid w:val="001530FB"/>
    <w:rsid w:val="001548F8"/>
    <w:rsid w:val="001655CC"/>
    <w:rsid w:val="00173873"/>
    <w:rsid w:val="0018012C"/>
    <w:rsid w:val="001821C9"/>
    <w:rsid w:val="00183018"/>
    <w:rsid w:val="00190E01"/>
    <w:rsid w:val="00192A37"/>
    <w:rsid w:val="001968C3"/>
    <w:rsid w:val="001A3825"/>
    <w:rsid w:val="001A7570"/>
    <w:rsid w:val="001B0030"/>
    <w:rsid w:val="001B3580"/>
    <w:rsid w:val="001B6B04"/>
    <w:rsid w:val="001C21D4"/>
    <w:rsid w:val="001C4C8F"/>
    <w:rsid w:val="001C684B"/>
    <w:rsid w:val="001C7DE8"/>
    <w:rsid w:val="001D03FF"/>
    <w:rsid w:val="001D0584"/>
    <w:rsid w:val="001D3156"/>
    <w:rsid w:val="001D4971"/>
    <w:rsid w:val="001E1206"/>
    <w:rsid w:val="001E130D"/>
    <w:rsid w:val="001E1CA6"/>
    <w:rsid w:val="001E29C4"/>
    <w:rsid w:val="001E2D73"/>
    <w:rsid w:val="001F251A"/>
    <w:rsid w:val="001F2A8F"/>
    <w:rsid w:val="001F4D35"/>
    <w:rsid w:val="001F5F5D"/>
    <w:rsid w:val="00200252"/>
    <w:rsid w:val="0020127F"/>
    <w:rsid w:val="00204829"/>
    <w:rsid w:val="00205352"/>
    <w:rsid w:val="00205D69"/>
    <w:rsid w:val="00210FD3"/>
    <w:rsid w:val="00212227"/>
    <w:rsid w:val="0021503F"/>
    <w:rsid w:val="00215478"/>
    <w:rsid w:val="002209F0"/>
    <w:rsid w:val="002210B4"/>
    <w:rsid w:val="00221DEA"/>
    <w:rsid w:val="0022236C"/>
    <w:rsid w:val="0022377B"/>
    <w:rsid w:val="002251A3"/>
    <w:rsid w:val="00226607"/>
    <w:rsid w:val="002324B6"/>
    <w:rsid w:val="00234F7D"/>
    <w:rsid w:val="00235F58"/>
    <w:rsid w:val="00236909"/>
    <w:rsid w:val="00236EB4"/>
    <w:rsid w:val="00237A0A"/>
    <w:rsid w:val="00241F8A"/>
    <w:rsid w:val="00242A75"/>
    <w:rsid w:val="00242E52"/>
    <w:rsid w:val="0024606D"/>
    <w:rsid w:val="00246E41"/>
    <w:rsid w:val="00251C09"/>
    <w:rsid w:val="0025373A"/>
    <w:rsid w:val="00253845"/>
    <w:rsid w:val="002546EF"/>
    <w:rsid w:val="00262001"/>
    <w:rsid w:val="00263E80"/>
    <w:rsid w:val="002679F0"/>
    <w:rsid w:val="00271E05"/>
    <w:rsid w:val="00280BDB"/>
    <w:rsid w:val="00281F39"/>
    <w:rsid w:val="0028500C"/>
    <w:rsid w:val="0028575C"/>
    <w:rsid w:val="002879F6"/>
    <w:rsid w:val="00291CD8"/>
    <w:rsid w:val="002920DE"/>
    <w:rsid w:val="00292F73"/>
    <w:rsid w:val="0029554A"/>
    <w:rsid w:val="00297734"/>
    <w:rsid w:val="002A2DDC"/>
    <w:rsid w:val="002A3479"/>
    <w:rsid w:val="002A3683"/>
    <w:rsid w:val="002A6366"/>
    <w:rsid w:val="002B7B10"/>
    <w:rsid w:val="002B7C92"/>
    <w:rsid w:val="002C0F07"/>
    <w:rsid w:val="002C176B"/>
    <w:rsid w:val="002C3627"/>
    <w:rsid w:val="002D005F"/>
    <w:rsid w:val="002D0B78"/>
    <w:rsid w:val="002D2273"/>
    <w:rsid w:val="002D4342"/>
    <w:rsid w:val="002D5597"/>
    <w:rsid w:val="002E1B63"/>
    <w:rsid w:val="002E357A"/>
    <w:rsid w:val="002E3B58"/>
    <w:rsid w:val="002E4234"/>
    <w:rsid w:val="002E5273"/>
    <w:rsid w:val="002F03C6"/>
    <w:rsid w:val="002F0D8E"/>
    <w:rsid w:val="002F4C45"/>
    <w:rsid w:val="002F5C0C"/>
    <w:rsid w:val="00300FDB"/>
    <w:rsid w:val="00302739"/>
    <w:rsid w:val="00302A1F"/>
    <w:rsid w:val="00310A68"/>
    <w:rsid w:val="0031223D"/>
    <w:rsid w:val="00312804"/>
    <w:rsid w:val="00313922"/>
    <w:rsid w:val="00315D1F"/>
    <w:rsid w:val="003160CF"/>
    <w:rsid w:val="00316571"/>
    <w:rsid w:val="00317091"/>
    <w:rsid w:val="00317530"/>
    <w:rsid w:val="00320CB4"/>
    <w:rsid w:val="00321E92"/>
    <w:rsid w:val="00322535"/>
    <w:rsid w:val="003259AF"/>
    <w:rsid w:val="00325F9F"/>
    <w:rsid w:val="0032620D"/>
    <w:rsid w:val="0033062D"/>
    <w:rsid w:val="003306DD"/>
    <w:rsid w:val="00330A4E"/>
    <w:rsid w:val="00332242"/>
    <w:rsid w:val="003329C7"/>
    <w:rsid w:val="003332BA"/>
    <w:rsid w:val="003348AA"/>
    <w:rsid w:val="00340D9B"/>
    <w:rsid w:val="00340FDE"/>
    <w:rsid w:val="003460F3"/>
    <w:rsid w:val="00346534"/>
    <w:rsid w:val="003479E3"/>
    <w:rsid w:val="003517E7"/>
    <w:rsid w:val="00351C4B"/>
    <w:rsid w:val="00357BDF"/>
    <w:rsid w:val="00360A67"/>
    <w:rsid w:val="00360BAF"/>
    <w:rsid w:val="00361596"/>
    <w:rsid w:val="00362C01"/>
    <w:rsid w:val="00367D5E"/>
    <w:rsid w:val="00371B5F"/>
    <w:rsid w:val="00372E66"/>
    <w:rsid w:val="00373160"/>
    <w:rsid w:val="00375933"/>
    <w:rsid w:val="0037633C"/>
    <w:rsid w:val="00382E35"/>
    <w:rsid w:val="00384168"/>
    <w:rsid w:val="003872E4"/>
    <w:rsid w:val="00390AD8"/>
    <w:rsid w:val="00390C14"/>
    <w:rsid w:val="00391F54"/>
    <w:rsid w:val="00393447"/>
    <w:rsid w:val="00396F2C"/>
    <w:rsid w:val="003A3F27"/>
    <w:rsid w:val="003A49FF"/>
    <w:rsid w:val="003A5862"/>
    <w:rsid w:val="003A694A"/>
    <w:rsid w:val="003B0042"/>
    <w:rsid w:val="003B45A7"/>
    <w:rsid w:val="003B4F42"/>
    <w:rsid w:val="003B4FCF"/>
    <w:rsid w:val="003B6088"/>
    <w:rsid w:val="003C0E61"/>
    <w:rsid w:val="003D3CB2"/>
    <w:rsid w:val="003D485E"/>
    <w:rsid w:val="003D5559"/>
    <w:rsid w:val="003D5741"/>
    <w:rsid w:val="003D7E9E"/>
    <w:rsid w:val="003E080C"/>
    <w:rsid w:val="003E2B4C"/>
    <w:rsid w:val="00400A69"/>
    <w:rsid w:val="00400B2B"/>
    <w:rsid w:val="00400F75"/>
    <w:rsid w:val="004012D1"/>
    <w:rsid w:val="00405301"/>
    <w:rsid w:val="00406CA3"/>
    <w:rsid w:val="00411EFB"/>
    <w:rsid w:val="0041392D"/>
    <w:rsid w:val="00417593"/>
    <w:rsid w:val="00422CC8"/>
    <w:rsid w:val="00424FB3"/>
    <w:rsid w:val="00426402"/>
    <w:rsid w:val="0042686B"/>
    <w:rsid w:val="00426DC5"/>
    <w:rsid w:val="00430411"/>
    <w:rsid w:val="004314F4"/>
    <w:rsid w:val="00432DC4"/>
    <w:rsid w:val="004373E9"/>
    <w:rsid w:val="00440265"/>
    <w:rsid w:val="0044036C"/>
    <w:rsid w:val="0044048B"/>
    <w:rsid w:val="0044065E"/>
    <w:rsid w:val="00444679"/>
    <w:rsid w:val="004458BB"/>
    <w:rsid w:val="0045095B"/>
    <w:rsid w:val="00455701"/>
    <w:rsid w:val="00460660"/>
    <w:rsid w:val="00460A36"/>
    <w:rsid w:val="004612C5"/>
    <w:rsid w:val="00461AA3"/>
    <w:rsid w:val="00462FF9"/>
    <w:rsid w:val="00471CEC"/>
    <w:rsid w:val="00473D8F"/>
    <w:rsid w:val="00474293"/>
    <w:rsid w:val="0047786D"/>
    <w:rsid w:val="004805DB"/>
    <w:rsid w:val="00480B2B"/>
    <w:rsid w:val="0048511D"/>
    <w:rsid w:val="00495AFE"/>
    <w:rsid w:val="00496185"/>
    <w:rsid w:val="00496EA4"/>
    <w:rsid w:val="004A18D9"/>
    <w:rsid w:val="004A4C72"/>
    <w:rsid w:val="004A75FF"/>
    <w:rsid w:val="004B0877"/>
    <w:rsid w:val="004B4D68"/>
    <w:rsid w:val="004C181C"/>
    <w:rsid w:val="004C445A"/>
    <w:rsid w:val="004C4477"/>
    <w:rsid w:val="004C4F1D"/>
    <w:rsid w:val="004C6673"/>
    <w:rsid w:val="004C7096"/>
    <w:rsid w:val="004C78DD"/>
    <w:rsid w:val="004C78FD"/>
    <w:rsid w:val="004C7CD6"/>
    <w:rsid w:val="004D3C4E"/>
    <w:rsid w:val="004D70EE"/>
    <w:rsid w:val="004D7C66"/>
    <w:rsid w:val="004E0167"/>
    <w:rsid w:val="004E152E"/>
    <w:rsid w:val="004E2983"/>
    <w:rsid w:val="004E5371"/>
    <w:rsid w:val="004E77D0"/>
    <w:rsid w:val="004F29B4"/>
    <w:rsid w:val="004F3228"/>
    <w:rsid w:val="004F6C5C"/>
    <w:rsid w:val="004F6DB3"/>
    <w:rsid w:val="005020DE"/>
    <w:rsid w:val="005051BE"/>
    <w:rsid w:val="00506D43"/>
    <w:rsid w:val="00507297"/>
    <w:rsid w:val="00510DCF"/>
    <w:rsid w:val="00510F10"/>
    <w:rsid w:val="00511151"/>
    <w:rsid w:val="005124A3"/>
    <w:rsid w:val="00512A66"/>
    <w:rsid w:val="00515B82"/>
    <w:rsid w:val="0051608A"/>
    <w:rsid w:val="0051755E"/>
    <w:rsid w:val="005208D0"/>
    <w:rsid w:val="00524029"/>
    <w:rsid w:val="00524E15"/>
    <w:rsid w:val="00527354"/>
    <w:rsid w:val="00527E33"/>
    <w:rsid w:val="00533B2A"/>
    <w:rsid w:val="0053400A"/>
    <w:rsid w:val="0053501E"/>
    <w:rsid w:val="0053635F"/>
    <w:rsid w:val="00536C3C"/>
    <w:rsid w:val="00537853"/>
    <w:rsid w:val="00537E5F"/>
    <w:rsid w:val="00540C2F"/>
    <w:rsid w:val="00540ED5"/>
    <w:rsid w:val="0054119B"/>
    <w:rsid w:val="00542F30"/>
    <w:rsid w:val="00544407"/>
    <w:rsid w:val="0054736C"/>
    <w:rsid w:val="00547941"/>
    <w:rsid w:val="00547AAF"/>
    <w:rsid w:val="005505FD"/>
    <w:rsid w:val="0055431F"/>
    <w:rsid w:val="00554B7D"/>
    <w:rsid w:val="00564A0C"/>
    <w:rsid w:val="00564F91"/>
    <w:rsid w:val="00565DC9"/>
    <w:rsid w:val="0056706B"/>
    <w:rsid w:val="00571433"/>
    <w:rsid w:val="00571BCB"/>
    <w:rsid w:val="005734DC"/>
    <w:rsid w:val="00573DE7"/>
    <w:rsid w:val="00575956"/>
    <w:rsid w:val="00575C51"/>
    <w:rsid w:val="005777D1"/>
    <w:rsid w:val="00583E03"/>
    <w:rsid w:val="005873FB"/>
    <w:rsid w:val="005910DC"/>
    <w:rsid w:val="00594F6B"/>
    <w:rsid w:val="0059544C"/>
    <w:rsid w:val="00597C52"/>
    <w:rsid w:val="005A067E"/>
    <w:rsid w:val="005A4A0E"/>
    <w:rsid w:val="005A7C01"/>
    <w:rsid w:val="005B304B"/>
    <w:rsid w:val="005B6868"/>
    <w:rsid w:val="005C07C8"/>
    <w:rsid w:val="005C2C71"/>
    <w:rsid w:val="005C5910"/>
    <w:rsid w:val="005C5B2E"/>
    <w:rsid w:val="005C68B4"/>
    <w:rsid w:val="005C6BB1"/>
    <w:rsid w:val="005D2ABC"/>
    <w:rsid w:val="005D3003"/>
    <w:rsid w:val="005D616B"/>
    <w:rsid w:val="005D6C2D"/>
    <w:rsid w:val="005E3C13"/>
    <w:rsid w:val="005E47AA"/>
    <w:rsid w:val="005E5F8F"/>
    <w:rsid w:val="005E7B33"/>
    <w:rsid w:val="005F09D2"/>
    <w:rsid w:val="005F1668"/>
    <w:rsid w:val="005F2769"/>
    <w:rsid w:val="005F2AD0"/>
    <w:rsid w:val="005F2FD2"/>
    <w:rsid w:val="005F4961"/>
    <w:rsid w:val="005F529E"/>
    <w:rsid w:val="0060186C"/>
    <w:rsid w:val="00605A2E"/>
    <w:rsid w:val="0060769D"/>
    <w:rsid w:val="00611B2F"/>
    <w:rsid w:val="006121F4"/>
    <w:rsid w:val="00617539"/>
    <w:rsid w:val="00617590"/>
    <w:rsid w:val="00617B08"/>
    <w:rsid w:val="006260BB"/>
    <w:rsid w:val="0062727F"/>
    <w:rsid w:val="00627AB4"/>
    <w:rsid w:val="00631D1E"/>
    <w:rsid w:val="006335ED"/>
    <w:rsid w:val="00633E53"/>
    <w:rsid w:val="006342DB"/>
    <w:rsid w:val="006343EC"/>
    <w:rsid w:val="0063539D"/>
    <w:rsid w:val="006371EA"/>
    <w:rsid w:val="00637F53"/>
    <w:rsid w:val="006470F2"/>
    <w:rsid w:val="006477EC"/>
    <w:rsid w:val="00650F3D"/>
    <w:rsid w:val="00650FD7"/>
    <w:rsid w:val="006511A8"/>
    <w:rsid w:val="006526CC"/>
    <w:rsid w:val="00653597"/>
    <w:rsid w:val="00653CD9"/>
    <w:rsid w:val="00654C80"/>
    <w:rsid w:val="00660ECB"/>
    <w:rsid w:val="00661F06"/>
    <w:rsid w:val="00664AC8"/>
    <w:rsid w:val="0066650C"/>
    <w:rsid w:val="0066728E"/>
    <w:rsid w:val="0067031D"/>
    <w:rsid w:val="0067378F"/>
    <w:rsid w:val="0067489E"/>
    <w:rsid w:val="006773E1"/>
    <w:rsid w:val="0068386A"/>
    <w:rsid w:val="00685738"/>
    <w:rsid w:val="00691000"/>
    <w:rsid w:val="00691524"/>
    <w:rsid w:val="00695D34"/>
    <w:rsid w:val="006A0FCD"/>
    <w:rsid w:val="006A4226"/>
    <w:rsid w:val="006A4FC1"/>
    <w:rsid w:val="006A5636"/>
    <w:rsid w:val="006A6711"/>
    <w:rsid w:val="006A6CB4"/>
    <w:rsid w:val="006B0BA0"/>
    <w:rsid w:val="006B12C0"/>
    <w:rsid w:val="006B71A8"/>
    <w:rsid w:val="006C0607"/>
    <w:rsid w:val="006C3771"/>
    <w:rsid w:val="006C3BB0"/>
    <w:rsid w:val="006C5213"/>
    <w:rsid w:val="006C5D9F"/>
    <w:rsid w:val="006D0AF0"/>
    <w:rsid w:val="006D35DC"/>
    <w:rsid w:val="006D4F09"/>
    <w:rsid w:val="006E1443"/>
    <w:rsid w:val="006E2C64"/>
    <w:rsid w:val="006E4C07"/>
    <w:rsid w:val="006E6BFD"/>
    <w:rsid w:val="006E746B"/>
    <w:rsid w:val="006F3E35"/>
    <w:rsid w:val="006F55FA"/>
    <w:rsid w:val="007016D6"/>
    <w:rsid w:val="00704968"/>
    <w:rsid w:val="00707BC6"/>
    <w:rsid w:val="007105C4"/>
    <w:rsid w:val="0071134C"/>
    <w:rsid w:val="007125F7"/>
    <w:rsid w:val="00714DDE"/>
    <w:rsid w:val="00720AF6"/>
    <w:rsid w:val="00724389"/>
    <w:rsid w:val="00726FA5"/>
    <w:rsid w:val="00727802"/>
    <w:rsid w:val="00731B29"/>
    <w:rsid w:val="00733795"/>
    <w:rsid w:val="00734E08"/>
    <w:rsid w:val="007351D6"/>
    <w:rsid w:val="00737200"/>
    <w:rsid w:val="00737872"/>
    <w:rsid w:val="00737D62"/>
    <w:rsid w:val="007400B5"/>
    <w:rsid w:val="0074491A"/>
    <w:rsid w:val="00747D22"/>
    <w:rsid w:val="00754349"/>
    <w:rsid w:val="00754D85"/>
    <w:rsid w:val="007557E4"/>
    <w:rsid w:val="00756356"/>
    <w:rsid w:val="00757FD8"/>
    <w:rsid w:val="007605F1"/>
    <w:rsid w:val="00763D7D"/>
    <w:rsid w:val="0076553F"/>
    <w:rsid w:val="00774434"/>
    <w:rsid w:val="007756AB"/>
    <w:rsid w:val="00777833"/>
    <w:rsid w:val="007805DF"/>
    <w:rsid w:val="007811F6"/>
    <w:rsid w:val="00781D6C"/>
    <w:rsid w:val="007845E1"/>
    <w:rsid w:val="00785759"/>
    <w:rsid w:val="007936EA"/>
    <w:rsid w:val="007940A9"/>
    <w:rsid w:val="007940BF"/>
    <w:rsid w:val="00795EA0"/>
    <w:rsid w:val="007A149B"/>
    <w:rsid w:val="007B1EA3"/>
    <w:rsid w:val="007C08A9"/>
    <w:rsid w:val="007C244C"/>
    <w:rsid w:val="007C66E4"/>
    <w:rsid w:val="007D641F"/>
    <w:rsid w:val="007D725F"/>
    <w:rsid w:val="007E18F0"/>
    <w:rsid w:val="007E608C"/>
    <w:rsid w:val="007F2B8D"/>
    <w:rsid w:val="007F3206"/>
    <w:rsid w:val="007F44C1"/>
    <w:rsid w:val="007F6D75"/>
    <w:rsid w:val="008003BA"/>
    <w:rsid w:val="00801A7F"/>
    <w:rsid w:val="0080563C"/>
    <w:rsid w:val="008066AA"/>
    <w:rsid w:val="00806BAC"/>
    <w:rsid w:val="008105E1"/>
    <w:rsid w:val="00812DC4"/>
    <w:rsid w:val="00813A84"/>
    <w:rsid w:val="00814260"/>
    <w:rsid w:val="00814DA3"/>
    <w:rsid w:val="00815F39"/>
    <w:rsid w:val="008206EE"/>
    <w:rsid w:val="008216E8"/>
    <w:rsid w:val="008247C4"/>
    <w:rsid w:val="00825F04"/>
    <w:rsid w:val="00826611"/>
    <w:rsid w:val="00826BFA"/>
    <w:rsid w:val="00831A18"/>
    <w:rsid w:val="0083680B"/>
    <w:rsid w:val="00836EA3"/>
    <w:rsid w:val="00840B0D"/>
    <w:rsid w:val="00850053"/>
    <w:rsid w:val="00853F5C"/>
    <w:rsid w:val="00854417"/>
    <w:rsid w:val="00856862"/>
    <w:rsid w:val="00856A9B"/>
    <w:rsid w:val="00860AE3"/>
    <w:rsid w:val="008653C3"/>
    <w:rsid w:val="008715CA"/>
    <w:rsid w:val="00874BB5"/>
    <w:rsid w:val="00875B83"/>
    <w:rsid w:val="008779C2"/>
    <w:rsid w:val="0088204E"/>
    <w:rsid w:val="00882F78"/>
    <w:rsid w:val="008854C0"/>
    <w:rsid w:val="0088596D"/>
    <w:rsid w:val="00885A19"/>
    <w:rsid w:val="00886CE3"/>
    <w:rsid w:val="00887632"/>
    <w:rsid w:val="00890AB3"/>
    <w:rsid w:val="00893A2E"/>
    <w:rsid w:val="00895F4A"/>
    <w:rsid w:val="008973E6"/>
    <w:rsid w:val="008A010A"/>
    <w:rsid w:val="008B22AA"/>
    <w:rsid w:val="008B3416"/>
    <w:rsid w:val="008B3930"/>
    <w:rsid w:val="008B422F"/>
    <w:rsid w:val="008B4863"/>
    <w:rsid w:val="008B579D"/>
    <w:rsid w:val="008B6B5F"/>
    <w:rsid w:val="008B744A"/>
    <w:rsid w:val="008C0D0B"/>
    <w:rsid w:val="008C1022"/>
    <w:rsid w:val="008C2552"/>
    <w:rsid w:val="008C50FF"/>
    <w:rsid w:val="008D00AC"/>
    <w:rsid w:val="008D02D8"/>
    <w:rsid w:val="008D1A38"/>
    <w:rsid w:val="008D3443"/>
    <w:rsid w:val="008D7187"/>
    <w:rsid w:val="008D78B0"/>
    <w:rsid w:val="008E1EB5"/>
    <w:rsid w:val="008E63DC"/>
    <w:rsid w:val="008E7ADB"/>
    <w:rsid w:val="008E7C88"/>
    <w:rsid w:val="008F0233"/>
    <w:rsid w:val="008F0327"/>
    <w:rsid w:val="008F3A33"/>
    <w:rsid w:val="008F77D3"/>
    <w:rsid w:val="008F7B61"/>
    <w:rsid w:val="00901A8D"/>
    <w:rsid w:val="009029CF"/>
    <w:rsid w:val="009031D1"/>
    <w:rsid w:val="00905E4B"/>
    <w:rsid w:val="00907D3C"/>
    <w:rsid w:val="00913E57"/>
    <w:rsid w:val="00917DDE"/>
    <w:rsid w:val="00920F97"/>
    <w:rsid w:val="00921E53"/>
    <w:rsid w:val="0092324A"/>
    <w:rsid w:val="00923402"/>
    <w:rsid w:val="00923653"/>
    <w:rsid w:val="00924305"/>
    <w:rsid w:val="00926112"/>
    <w:rsid w:val="00926E1B"/>
    <w:rsid w:val="00927696"/>
    <w:rsid w:val="009312DF"/>
    <w:rsid w:val="009317D5"/>
    <w:rsid w:val="00932BA3"/>
    <w:rsid w:val="00933182"/>
    <w:rsid w:val="00933571"/>
    <w:rsid w:val="00940E07"/>
    <w:rsid w:val="009411E1"/>
    <w:rsid w:val="009425CD"/>
    <w:rsid w:val="00943727"/>
    <w:rsid w:val="009453F1"/>
    <w:rsid w:val="0094544E"/>
    <w:rsid w:val="00947EBA"/>
    <w:rsid w:val="00952A6C"/>
    <w:rsid w:val="00953891"/>
    <w:rsid w:val="00954DC7"/>
    <w:rsid w:val="00954FD2"/>
    <w:rsid w:val="0096388F"/>
    <w:rsid w:val="00963992"/>
    <w:rsid w:val="00966431"/>
    <w:rsid w:val="00966E03"/>
    <w:rsid w:val="009706A4"/>
    <w:rsid w:val="00970FC4"/>
    <w:rsid w:val="00971556"/>
    <w:rsid w:val="009718CC"/>
    <w:rsid w:val="009750C1"/>
    <w:rsid w:val="00975641"/>
    <w:rsid w:val="00985F7F"/>
    <w:rsid w:val="00991C98"/>
    <w:rsid w:val="00994827"/>
    <w:rsid w:val="00997F40"/>
    <w:rsid w:val="009A0FFB"/>
    <w:rsid w:val="009A13B3"/>
    <w:rsid w:val="009A4141"/>
    <w:rsid w:val="009A5CFB"/>
    <w:rsid w:val="009A62C4"/>
    <w:rsid w:val="009B36FD"/>
    <w:rsid w:val="009B795D"/>
    <w:rsid w:val="009C0BDB"/>
    <w:rsid w:val="009C174F"/>
    <w:rsid w:val="009C21A2"/>
    <w:rsid w:val="009C2645"/>
    <w:rsid w:val="009C5B24"/>
    <w:rsid w:val="009D1C9B"/>
    <w:rsid w:val="009D2D7E"/>
    <w:rsid w:val="009D438F"/>
    <w:rsid w:val="009D5100"/>
    <w:rsid w:val="009D6865"/>
    <w:rsid w:val="009E3161"/>
    <w:rsid w:val="009F0F09"/>
    <w:rsid w:val="009F33B1"/>
    <w:rsid w:val="009F7D99"/>
    <w:rsid w:val="00A0200B"/>
    <w:rsid w:val="00A05C7B"/>
    <w:rsid w:val="00A065E9"/>
    <w:rsid w:val="00A11DCA"/>
    <w:rsid w:val="00A12161"/>
    <w:rsid w:val="00A1234F"/>
    <w:rsid w:val="00A1372A"/>
    <w:rsid w:val="00A16A3E"/>
    <w:rsid w:val="00A16D74"/>
    <w:rsid w:val="00A204FE"/>
    <w:rsid w:val="00A22171"/>
    <w:rsid w:val="00A22C63"/>
    <w:rsid w:val="00A23C1F"/>
    <w:rsid w:val="00A24C55"/>
    <w:rsid w:val="00A263D3"/>
    <w:rsid w:val="00A2656A"/>
    <w:rsid w:val="00A30314"/>
    <w:rsid w:val="00A324C0"/>
    <w:rsid w:val="00A356AD"/>
    <w:rsid w:val="00A365A2"/>
    <w:rsid w:val="00A37FDF"/>
    <w:rsid w:val="00A412E6"/>
    <w:rsid w:val="00A42C5E"/>
    <w:rsid w:val="00A4360A"/>
    <w:rsid w:val="00A43914"/>
    <w:rsid w:val="00A449BB"/>
    <w:rsid w:val="00A467C0"/>
    <w:rsid w:val="00A511A6"/>
    <w:rsid w:val="00A52D71"/>
    <w:rsid w:val="00A52E40"/>
    <w:rsid w:val="00A55696"/>
    <w:rsid w:val="00A602E9"/>
    <w:rsid w:val="00A72EA5"/>
    <w:rsid w:val="00A73E5A"/>
    <w:rsid w:val="00A75476"/>
    <w:rsid w:val="00A80798"/>
    <w:rsid w:val="00A84390"/>
    <w:rsid w:val="00A86090"/>
    <w:rsid w:val="00A865BA"/>
    <w:rsid w:val="00A877C5"/>
    <w:rsid w:val="00A87F41"/>
    <w:rsid w:val="00A87F8B"/>
    <w:rsid w:val="00A93EC6"/>
    <w:rsid w:val="00A94D0D"/>
    <w:rsid w:val="00AA112C"/>
    <w:rsid w:val="00AA4E65"/>
    <w:rsid w:val="00AA703E"/>
    <w:rsid w:val="00AB10F4"/>
    <w:rsid w:val="00AB565E"/>
    <w:rsid w:val="00AC1923"/>
    <w:rsid w:val="00AC3575"/>
    <w:rsid w:val="00AC57C3"/>
    <w:rsid w:val="00AC63CF"/>
    <w:rsid w:val="00AD0169"/>
    <w:rsid w:val="00AD0172"/>
    <w:rsid w:val="00AD2BF7"/>
    <w:rsid w:val="00AD4D17"/>
    <w:rsid w:val="00AD5449"/>
    <w:rsid w:val="00AD6E16"/>
    <w:rsid w:val="00AE261F"/>
    <w:rsid w:val="00AE277B"/>
    <w:rsid w:val="00AE2D3E"/>
    <w:rsid w:val="00AE2DC3"/>
    <w:rsid w:val="00AE3954"/>
    <w:rsid w:val="00AE3AD9"/>
    <w:rsid w:val="00AE5727"/>
    <w:rsid w:val="00AE6AA1"/>
    <w:rsid w:val="00AE7155"/>
    <w:rsid w:val="00AE7B31"/>
    <w:rsid w:val="00AF11A3"/>
    <w:rsid w:val="00AF1EF8"/>
    <w:rsid w:val="00B02088"/>
    <w:rsid w:val="00B0340D"/>
    <w:rsid w:val="00B03636"/>
    <w:rsid w:val="00B046DF"/>
    <w:rsid w:val="00B0506E"/>
    <w:rsid w:val="00B05BC1"/>
    <w:rsid w:val="00B07A8A"/>
    <w:rsid w:val="00B11249"/>
    <w:rsid w:val="00B11CC1"/>
    <w:rsid w:val="00B122F4"/>
    <w:rsid w:val="00B13D72"/>
    <w:rsid w:val="00B144D3"/>
    <w:rsid w:val="00B1480E"/>
    <w:rsid w:val="00B213D1"/>
    <w:rsid w:val="00B233CC"/>
    <w:rsid w:val="00B23C80"/>
    <w:rsid w:val="00B258C7"/>
    <w:rsid w:val="00B339D7"/>
    <w:rsid w:val="00B37157"/>
    <w:rsid w:val="00B37261"/>
    <w:rsid w:val="00B429E8"/>
    <w:rsid w:val="00B43752"/>
    <w:rsid w:val="00B50F8B"/>
    <w:rsid w:val="00B53F5C"/>
    <w:rsid w:val="00B54989"/>
    <w:rsid w:val="00B54E52"/>
    <w:rsid w:val="00B5537F"/>
    <w:rsid w:val="00B55800"/>
    <w:rsid w:val="00B56568"/>
    <w:rsid w:val="00B63784"/>
    <w:rsid w:val="00B65AE9"/>
    <w:rsid w:val="00B66676"/>
    <w:rsid w:val="00B6740B"/>
    <w:rsid w:val="00B708B2"/>
    <w:rsid w:val="00B73416"/>
    <w:rsid w:val="00B77477"/>
    <w:rsid w:val="00B81E53"/>
    <w:rsid w:val="00B82470"/>
    <w:rsid w:val="00B8532C"/>
    <w:rsid w:val="00B938A5"/>
    <w:rsid w:val="00B94E0B"/>
    <w:rsid w:val="00B94EFE"/>
    <w:rsid w:val="00B954B8"/>
    <w:rsid w:val="00B95769"/>
    <w:rsid w:val="00B95AA9"/>
    <w:rsid w:val="00BA1E45"/>
    <w:rsid w:val="00BA33F4"/>
    <w:rsid w:val="00BA570D"/>
    <w:rsid w:val="00BA5A89"/>
    <w:rsid w:val="00BA67F2"/>
    <w:rsid w:val="00BB0302"/>
    <w:rsid w:val="00BB0578"/>
    <w:rsid w:val="00BB14F3"/>
    <w:rsid w:val="00BB2599"/>
    <w:rsid w:val="00BB4557"/>
    <w:rsid w:val="00BB4A60"/>
    <w:rsid w:val="00BB6932"/>
    <w:rsid w:val="00BB7B52"/>
    <w:rsid w:val="00BC09B1"/>
    <w:rsid w:val="00BC0AE7"/>
    <w:rsid w:val="00BC0EBE"/>
    <w:rsid w:val="00BC1466"/>
    <w:rsid w:val="00BC2838"/>
    <w:rsid w:val="00BC75E3"/>
    <w:rsid w:val="00BD0462"/>
    <w:rsid w:val="00BD049A"/>
    <w:rsid w:val="00BD1C9B"/>
    <w:rsid w:val="00BD2990"/>
    <w:rsid w:val="00BD46AC"/>
    <w:rsid w:val="00BD50BC"/>
    <w:rsid w:val="00BD58F8"/>
    <w:rsid w:val="00BE1405"/>
    <w:rsid w:val="00BE2434"/>
    <w:rsid w:val="00BE4828"/>
    <w:rsid w:val="00BE7E1C"/>
    <w:rsid w:val="00BF1BCD"/>
    <w:rsid w:val="00BF2633"/>
    <w:rsid w:val="00C01697"/>
    <w:rsid w:val="00C0404B"/>
    <w:rsid w:val="00C07069"/>
    <w:rsid w:val="00C10DDC"/>
    <w:rsid w:val="00C11840"/>
    <w:rsid w:val="00C123EE"/>
    <w:rsid w:val="00C13CB6"/>
    <w:rsid w:val="00C16960"/>
    <w:rsid w:val="00C20386"/>
    <w:rsid w:val="00C24084"/>
    <w:rsid w:val="00C240EA"/>
    <w:rsid w:val="00C24E08"/>
    <w:rsid w:val="00C25A1B"/>
    <w:rsid w:val="00C3071D"/>
    <w:rsid w:val="00C32608"/>
    <w:rsid w:val="00C3263C"/>
    <w:rsid w:val="00C34527"/>
    <w:rsid w:val="00C34EF5"/>
    <w:rsid w:val="00C353E2"/>
    <w:rsid w:val="00C370DD"/>
    <w:rsid w:val="00C417EA"/>
    <w:rsid w:val="00C43474"/>
    <w:rsid w:val="00C452A4"/>
    <w:rsid w:val="00C45AB0"/>
    <w:rsid w:val="00C4615A"/>
    <w:rsid w:val="00C47943"/>
    <w:rsid w:val="00C53DA6"/>
    <w:rsid w:val="00C556A8"/>
    <w:rsid w:val="00C5603B"/>
    <w:rsid w:val="00C6357F"/>
    <w:rsid w:val="00C63CAC"/>
    <w:rsid w:val="00C63F98"/>
    <w:rsid w:val="00C6457A"/>
    <w:rsid w:val="00C65F66"/>
    <w:rsid w:val="00C7120B"/>
    <w:rsid w:val="00C7355C"/>
    <w:rsid w:val="00C75439"/>
    <w:rsid w:val="00C76192"/>
    <w:rsid w:val="00C76CBA"/>
    <w:rsid w:val="00C83F05"/>
    <w:rsid w:val="00C84144"/>
    <w:rsid w:val="00C84726"/>
    <w:rsid w:val="00C8714F"/>
    <w:rsid w:val="00C877FA"/>
    <w:rsid w:val="00C91BC6"/>
    <w:rsid w:val="00C94DE6"/>
    <w:rsid w:val="00CA061C"/>
    <w:rsid w:val="00CA42EE"/>
    <w:rsid w:val="00CA4819"/>
    <w:rsid w:val="00CA66D2"/>
    <w:rsid w:val="00CB1526"/>
    <w:rsid w:val="00CB15D9"/>
    <w:rsid w:val="00CB4195"/>
    <w:rsid w:val="00CB4AE0"/>
    <w:rsid w:val="00CC2D94"/>
    <w:rsid w:val="00CC3BA7"/>
    <w:rsid w:val="00CC657B"/>
    <w:rsid w:val="00CC6C27"/>
    <w:rsid w:val="00CC71EF"/>
    <w:rsid w:val="00CD1247"/>
    <w:rsid w:val="00CD39C3"/>
    <w:rsid w:val="00CD641B"/>
    <w:rsid w:val="00CD7D4C"/>
    <w:rsid w:val="00CE3911"/>
    <w:rsid w:val="00CE4310"/>
    <w:rsid w:val="00CE618C"/>
    <w:rsid w:val="00CE6464"/>
    <w:rsid w:val="00CE7CD2"/>
    <w:rsid w:val="00CF1134"/>
    <w:rsid w:val="00CF2652"/>
    <w:rsid w:val="00CF4569"/>
    <w:rsid w:val="00D01B13"/>
    <w:rsid w:val="00D0457A"/>
    <w:rsid w:val="00D04C1F"/>
    <w:rsid w:val="00D056CC"/>
    <w:rsid w:val="00D07689"/>
    <w:rsid w:val="00D12C1A"/>
    <w:rsid w:val="00D157EE"/>
    <w:rsid w:val="00D244E8"/>
    <w:rsid w:val="00D25186"/>
    <w:rsid w:val="00D26FDE"/>
    <w:rsid w:val="00D32A78"/>
    <w:rsid w:val="00D32D33"/>
    <w:rsid w:val="00D35977"/>
    <w:rsid w:val="00D40471"/>
    <w:rsid w:val="00D41B12"/>
    <w:rsid w:val="00D43F5A"/>
    <w:rsid w:val="00D46122"/>
    <w:rsid w:val="00D46946"/>
    <w:rsid w:val="00D47978"/>
    <w:rsid w:val="00D51137"/>
    <w:rsid w:val="00D51397"/>
    <w:rsid w:val="00D63277"/>
    <w:rsid w:val="00D63378"/>
    <w:rsid w:val="00D634F2"/>
    <w:rsid w:val="00D64597"/>
    <w:rsid w:val="00D65554"/>
    <w:rsid w:val="00D6558E"/>
    <w:rsid w:val="00D67816"/>
    <w:rsid w:val="00D742F6"/>
    <w:rsid w:val="00D75133"/>
    <w:rsid w:val="00D76935"/>
    <w:rsid w:val="00D779E8"/>
    <w:rsid w:val="00D82669"/>
    <w:rsid w:val="00D830DE"/>
    <w:rsid w:val="00D85995"/>
    <w:rsid w:val="00D87A69"/>
    <w:rsid w:val="00D87F07"/>
    <w:rsid w:val="00D90E31"/>
    <w:rsid w:val="00D9142A"/>
    <w:rsid w:val="00D9558F"/>
    <w:rsid w:val="00D960EC"/>
    <w:rsid w:val="00D9735E"/>
    <w:rsid w:val="00D97782"/>
    <w:rsid w:val="00DA50C3"/>
    <w:rsid w:val="00DA5886"/>
    <w:rsid w:val="00DA7438"/>
    <w:rsid w:val="00DB0788"/>
    <w:rsid w:val="00DB7F6F"/>
    <w:rsid w:val="00DC55D0"/>
    <w:rsid w:val="00DC5BB0"/>
    <w:rsid w:val="00DD0BAD"/>
    <w:rsid w:val="00DD0DE2"/>
    <w:rsid w:val="00DD2CE2"/>
    <w:rsid w:val="00DD60DE"/>
    <w:rsid w:val="00DD642A"/>
    <w:rsid w:val="00DD71A7"/>
    <w:rsid w:val="00DE1406"/>
    <w:rsid w:val="00DE14F6"/>
    <w:rsid w:val="00DE35BE"/>
    <w:rsid w:val="00DF2589"/>
    <w:rsid w:val="00DF360F"/>
    <w:rsid w:val="00DF36CA"/>
    <w:rsid w:val="00DF4FB8"/>
    <w:rsid w:val="00DF63E3"/>
    <w:rsid w:val="00DF7385"/>
    <w:rsid w:val="00E00473"/>
    <w:rsid w:val="00E02F0D"/>
    <w:rsid w:val="00E1061C"/>
    <w:rsid w:val="00E10692"/>
    <w:rsid w:val="00E13C32"/>
    <w:rsid w:val="00E14738"/>
    <w:rsid w:val="00E1479A"/>
    <w:rsid w:val="00E15A16"/>
    <w:rsid w:val="00E206A3"/>
    <w:rsid w:val="00E20C64"/>
    <w:rsid w:val="00E24DB8"/>
    <w:rsid w:val="00E26EB0"/>
    <w:rsid w:val="00E27034"/>
    <w:rsid w:val="00E32D4B"/>
    <w:rsid w:val="00E33957"/>
    <w:rsid w:val="00E40749"/>
    <w:rsid w:val="00E41116"/>
    <w:rsid w:val="00E414EF"/>
    <w:rsid w:val="00E424DA"/>
    <w:rsid w:val="00E45390"/>
    <w:rsid w:val="00E455A5"/>
    <w:rsid w:val="00E555C5"/>
    <w:rsid w:val="00E56CCD"/>
    <w:rsid w:val="00E5722D"/>
    <w:rsid w:val="00E62643"/>
    <w:rsid w:val="00E62938"/>
    <w:rsid w:val="00E642D3"/>
    <w:rsid w:val="00E702F6"/>
    <w:rsid w:val="00E7387C"/>
    <w:rsid w:val="00E73C17"/>
    <w:rsid w:val="00E73E5F"/>
    <w:rsid w:val="00E768B8"/>
    <w:rsid w:val="00E778AE"/>
    <w:rsid w:val="00E77A0F"/>
    <w:rsid w:val="00E82D4E"/>
    <w:rsid w:val="00E835A1"/>
    <w:rsid w:val="00E83E2D"/>
    <w:rsid w:val="00E85164"/>
    <w:rsid w:val="00E8739B"/>
    <w:rsid w:val="00E90652"/>
    <w:rsid w:val="00E948B4"/>
    <w:rsid w:val="00E95B08"/>
    <w:rsid w:val="00E95C43"/>
    <w:rsid w:val="00E96570"/>
    <w:rsid w:val="00EA31DB"/>
    <w:rsid w:val="00EA68E9"/>
    <w:rsid w:val="00EA7D7F"/>
    <w:rsid w:val="00EB3C38"/>
    <w:rsid w:val="00EC12A0"/>
    <w:rsid w:val="00EC1E5F"/>
    <w:rsid w:val="00EC64A8"/>
    <w:rsid w:val="00EC78B7"/>
    <w:rsid w:val="00ED14BD"/>
    <w:rsid w:val="00ED24F1"/>
    <w:rsid w:val="00ED41E5"/>
    <w:rsid w:val="00ED49B5"/>
    <w:rsid w:val="00EE332B"/>
    <w:rsid w:val="00EE6C01"/>
    <w:rsid w:val="00EF1519"/>
    <w:rsid w:val="00EF2896"/>
    <w:rsid w:val="00EF2C61"/>
    <w:rsid w:val="00EF4610"/>
    <w:rsid w:val="00EF6CB2"/>
    <w:rsid w:val="00EF7939"/>
    <w:rsid w:val="00F01A5C"/>
    <w:rsid w:val="00F04DE2"/>
    <w:rsid w:val="00F076E3"/>
    <w:rsid w:val="00F11CFC"/>
    <w:rsid w:val="00F1463A"/>
    <w:rsid w:val="00F15936"/>
    <w:rsid w:val="00F20B68"/>
    <w:rsid w:val="00F23DBE"/>
    <w:rsid w:val="00F31085"/>
    <w:rsid w:val="00F31737"/>
    <w:rsid w:val="00F329A7"/>
    <w:rsid w:val="00F40513"/>
    <w:rsid w:val="00F41C5C"/>
    <w:rsid w:val="00F424A9"/>
    <w:rsid w:val="00F4459F"/>
    <w:rsid w:val="00F508C7"/>
    <w:rsid w:val="00F52F72"/>
    <w:rsid w:val="00F5729F"/>
    <w:rsid w:val="00F60524"/>
    <w:rsid w:val="00F65587"/>
    <w:rsid w:val="00F656A1"/>
    <w:rsid w:val="00F65B62"/>
    <w:rsid w:val="00F71AE6"/>
    <w:rsid w:val="00F72DC7"/>
    <w:rsid w:val="00F74B26"/>
    <w:rsid w:val="00F772DD"/>
    <w:rsid w:val="00F776C3"/>
    <w:rsid w:val="00F77E06"/>
    <w:rsid w:val="00F80CA8"/>
    <w:rsid w:val="00F8101C"/>
    <w:rsid w:val="00F850F4"/>
    <w:rsid w:val="00F85AD8"/>
    <w:rsid w:val="00F9021F"/>
    <w:rsid w:val="00F93464"/>
    <w:rsid w:val="00F95594"/>
    <w:rsid w:val="00F973A7"/>
    <w:rsid w:val="00FA35E2"/>
    <w:rsid w:val="00FA5DE1"/>
    <w:rsid w:val="00FA6CB8"/>
    <w:rsid w:val="00FA7D60"/>
    <w:rsid w:val="00FB260A"/>
    <w:rsid w:val="00FB2B02"/>
    <w:rsid w:val="00FB4897"/>
    <w:rsid w:val="00FB6664"/>
    <w:rsid w:val="00FC2464"/>
    <w:rsid w:val="00FC3224"/>
    <w:rsid w:val="00FC60C3"/>
    <w:rsid w:val="00FC6311"/>
    <w:rsid w:val="00FC7647"/>
    <w:rsid w:val="00FC7CE6"/>
    <w:rsid w:val="00FD0795"/>
    <w:rsid w:val="00FD0A4E"/>
    <w:rsid w:val="00FD3A37"/>
    <w:rsid w:val="00FD577E"/>
    <w:rsid w:val="00FD6497"/>
    <w:rsid w:val="00FD73BD"/>
    <w:rsid w:val="00FE14B4"/>
    <w:rsid w:val="00FE1EBE"/>
    <w:rsid w:val="00FE46CE"/>
    <w:rsid w:val="00FE4E43"/>
    <w:rsid w:val="00FF1103"/>
    <w:rsid w:val="00FF2EC3"/>
    <w:rsid w:val="00FF462C"/>
    <w:rsid w:val="00FF66DC"/>
    <w:rsid w:val="00FF7CD6"/>
    <w:rsid w:val="012A4E2C"/>
    <w:rsid w:val="01923F61"/>
    <w:rsid w:val="02DC2156"/>
    <w:rsid w:val="03CC3F79"/>
    <w:rsid w:val="05CD222A"/>
    <w:rsid w:val="06084616"/>
    <w:rsid w:val="06A9292B"/>
    <w:rsid w:val="08EF7A39"/>
    <w:rsid w:val="0A341A17"/>
    <w:rsid w:val="0A5844F0"/>
    <w:rsid w:val="0C670946"/>
    <w:rsid w:val="0DFF0ECB"/>
    <w:rsid w:val="0EE41D10"/>
    <w:rsid w:val="0EFE59B6"/>
    <w:rsid w:val="11386E78"/>
    <w:rsid w:val="11B73ED3"/>
    <w:rsid w:val="12277661"/>
    <w:rsid w:val="133D4C82"/>
    <w:rsid w:val="138D4967"/>
    <w:rsid w:val="13D12EE6"/>
    <w:rsid w:val="13EE1CEA"/>
    <w:rsid w:val="13F37300"/>
    <w:rsid w:val="174D6D27"/>
    <w:rsid w:val="18CE5C46"/>
    <w:rsid w:val="1A2A2D28"/>
    <w:rsid w:val="1B6F0F65"/>
    <w:rsid w:val="1B9C64CF"/>
    <w:rsid w:val="1C364665"/>
    <w:rsid w:val="1E6C7E3E"/>
    <w:rsid w:val="20346CD6"/>
    <w:rsid w:val="206E043A"/>
    <w:rsid w:val="21B75E11"/>
    <w:rsid w:val="21FC3914"/>
    <w:rsid w:val="23240FF6"/>
    <w:rsid w:val="2443573A"/>
    <w:rsid w:val="25496D80"/>
    <w:rsid w:val="27095D8A"/>
    <w:rsid w:val="277B51EB"/>
    <w:rsid w:val="279E6744"/>
    <w:rsid w:val="28152185"/>
    <w:rsid w:val="29EF532D"/>
    <w:rsid w:val="2B7E4854"/>
    <w:rsid w:val="2BAD2B02"/>
    <w:rsid w:val="2CAE36F2"/>
    <w:rsid w:val="2DE03FF9"/>
    <w:rsid w:val="2E0C3040"/>
    <w:rsid w:val="2E40384E"/>
    <w:rsid w:val="2F083808"/>
    <w:rsid w:val="2F0B058C"/>
    <w:rsid w:val="2F7C5FA4"/>
    <w:rsid w:val="31F97D80"/>
    <w:rsid w:val="344833B2"/>
    <w:rsid w:val="39C76956"/>
    <w:rsid w:val="3D6C58AA"/>
    <w:rsid w:val="3DE01B28"/>
    <w:rsid w:val="3E799816"/>
    <w:rsid w:val="3F95563F"/>
    <w:rsid w:val="403F2E01"/>
    <w:rsid w:val="431A1904"/>
    <w:rsid w:val="45413951"/>
    <w:rsid w:val="46E47FFF"/>
    <w:rsid w:val="4779601E"/>
    <w:rsid w:val="493E1AE1"/>
    <w:rsid w:val="494618D7"/>
    <w:rsid w:val="4B2238EC"/>
    <w:rsid w:val="4C6C7CEB"/>
    <w:rsid w:val="4D5711AA"/>
    <w:rsid w:val="4DDD59C1"/>
    <w:rsid w:val="4EAE0286"/>
    <w:rsid w:val="51FB0B52"/>
    <w:rsid w:val="525F7333"/>
    <w:rsid w:val="531F075A"/>
    <w:rsid w:val="55D63DB0"/>
    <w:rsid w:val="56DA342C"/>
    <w:rsid w:val="57A01936"/>
    <w:rsid w:val="57A57FD6"/>
    <w:rsid w:val="57F01F2D"/>
    <w:rsid w:val="58D367F3"/>
    <w:rsid w:val="592C1295"/>
    <w:rsid w:val="59DD74BB"/>
    <w:rsid w:val="5A8C449C"/>
    <w:rsid w:val="5B571FFB"/>
    <w:rsid w:val="5BFB00CD"/>
    <w:rsid w:val="5C452F47"/>
    <w:rsid w:val="5D086F45"/>
    <w:rsid w:val="5D3C3724"/>
    <w:rsid w:val="5D4D6706"/>
    <w:rsid w:val="60252B89"/>
    <w:rsid w:val="60F75CC9"/>
    <w:rsid w:val="616C2448"/>
    <w:rsid w:val="63DF2082"/>
    <w:rsid w:val="654A16B4"/>
    <w:rsid w:val="660F1D12"/>
    <w:rsid w:val="67277FC8"/>
    <w:rsid w:val="6735217D"/>
    <w:rsid w:val="677C2407"/>
    <w:rsid w:val="68C47A98"/>
    <w:rsid w:val="68C53F3C"/>
    <w:rsid w:val="6914088B"/>
    <w:rsid w:val="6CC80E6D"/>
    <w:rsid w:val="6FDD1529"/>
    <w:rsid w:val="710B6BAC"/>
    <w:rsid w:val="718F7D6A"/>
    <w:rsid w:val="71CC633B"/>
    <w:rsid w:val="71F238C8"/>
    <w:rsid w:val="738A5B9F"/>
    <w:rsid w:val="741F6AAA"/>
    <w:rsid w:val="74692370"/>
    <w:rsid w:val="74A0585D"/>
    <w:rsid w:val="77A7157C"/>
    <w:rsid w:val="78B143BF"/>
    <w:rsid w:val="7A035425"/>
    <w:rsid w:val="7AB465B7"/>
    <w:rsid w:val="7AFB3F76"/>
    <w:rsid w:val="7AFEC822"/>
    <w:rsid w:val="7B215011"/>
    <w:rsid w:val="7CB63E70"/>
    <w:rsid w:val="7D221505"/>
    <w:rsid w:val="7E2B6198"/>
    <w:rsid w:val="7E466F5D"/>
    <w:rsid w:val="D9BF3AD6"/>
    <w:rsid w:val="E7FFD9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w:doNotEmbedSmartTag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nhideWhenUsed="0" w:uiPriority="9" w:semiHidden="0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qFormat="1" w:uiPriority="39" w:semiHidden="0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qFormat="1" w:unhideWhenUsed="0" w:uiPriority="0" w:semiHidden="0" w:name="envelope return"/>
    <w:lsdException w:qFormat="1" w:unhideWhenUsed="0" w:uiPriority="0" w:semiHidden="0" w:name="footnote reference"/>
    <w:lsdException w:qFormat="1" w:unhideWhenUsed="0" w:uiPriority="99" w:semiHidden="0" w:name="annotation reference"/>
    <w:lsdException w:qFormat="1" w:unhideWhenUsed="0" w:uiPriority="0" w:semiHidden="0" w:name="line number"/>
    <w:lsdException w:uiPriority="99" w:name="page number"/>
    <w:lsdException w:qFormat="1" w:uiPriority="99" w:name="endnote reference"/>
    <w:lsdException w:qFormat="1"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39" w:semiHidden="0" w:name="Table Grid"/>
    <w:lsdException w:uiPriority="99" w:name="Table Theme"/>
    <w:lsdException w:qFormat="1" w:unhideWhenUsed="0" w:uiPriority="99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</w:rPr>
  </w:style>
  <w:style w:type="paragraph" w:styleId="4">
    <w:name w:val="heading 2"/>
    <w:basedOn w:val="1"/>
    <w:next w:val="1"/>
    <w:qFormat/>
    <w:uiPriority w:val="0"/>
    <w:pPr>
      <w:keepNext/>
      <w:keepLines/>
      <w:spacing w:before="260" w:after="260" w:line="415" w:lineRule="auto"/>
      <w:outlineLvl w:val="1"/>
    </w:pPr>
    <w:rPr>
      <w:rFonts w:ascii="Times New Roman" w:hAnsi="Times New Roman" w:eastAsia="黑体"/>
      <w:b/>
      <w:sz w:val="32"/>
    </w:rPr>
  </w:style>
  <w:style w:type="paragraph" w:styleId="5">
    <w:name w:val="heading 3"/>
    <w:basedOn w:val="1"/>
    <w:next w:val="1"/>
    <w:qFormat/>
    <w:uiPriority w:val="0"/>
    <w:pPr>
      <w:keepNext/>
      <w:keepLines/>
      <w:spacing w:before="260" w:after="260" w:line="415" w:lineRule="auto"/>
      <w:outlineLvl w:val="2"/>
    </w:pPr>
    <w:rPr>
      <w:b/>
      <w:sz w:val="32"/>
    </w:rPr>
  </w:style>
  <w:style w:type="paragraph" w:styleId="6">
    <w:name w:val="heading 7"/>
    <w:basedOn w:val="1"/>
    <w:next w:val="1"/>
    <w:link w:val="28"/>
    <w:qFormat/>
    <w:uiPriority w:val="9"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character" w:default="1" w:styleId="20">
    <w:name w:val="Default Paragraph Font"/>
    <w:semiHidden/>
    <w:unhideWhenUsed/>
    <w:qFormat/>
    <w:uiPriority w:val="1"/>
  </w:style>
  <w:style w:type="table" w:default="1" w:styleId="18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Calibri" w:hAnsi="Calibri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BodyText2"/>
    <w:basedOn w:val="1"/>
    <w:qFormat/>
    <w:uiPriority w:val="0"/>
    <w:pPr>
      <w:spacing w:after="120" w:line="480" w:lineRule="auto"/>
      <w:textAlignment w:val="baseline"/>
    </w:pPr>
    <w:rPr>
      <w:rFonts w:cs="Times New Roman"/>
      <w:sz w:val="32"/>
      <w:szCs w:val="32"/>
    </w:rPr>
  </w:style>
  <w:style w:type="paragraph" w:styleId="7">
    <w:name w:val="annotation text"/>
    <w:basedOn w:val="1"/>
    <w:link w:val="29"/>
    <w:unhideWhenUsed/>
    <w:qFormat/>
    <w:uiPriority w:val="99"/>
    <w:pPr>
      <w:adjustRightInd w:val="0"/>
      <w:spacing w:line="400" w:lineRule="exact"/>
      <w:jc w:val="left"/>
    </w:pPr>
    <w:rPr>
      <w:szCs w:val="21"/>
    </w:rPr>
  </w:style>
  <w:style w:type="paragraph" w:styleId="8">
    <w:name w:val="Date"/>
    <w:basedOn w:val="1"/>
    <w:next w:val="1"/>
    <w:link w:val="66"/>
    <w:semiHidden/>
    <w:unhideWhenUsed/>
    <w:qFormat/>
    <w:uiPriority w:val="99"/>
    <w:pPr>
      <w:ind w:left="100" w:leftChars="2500"/>
    </w:pPr>
  </w:style>
  <w:style w:type="paragraph" w:styleId="9">
    <w:name w:val="endnote text"/>
    <w:basedOn w:val="1"/>
    <w:link w:val="64"/>
    <w:semiHidden/>
    <w:unhideWhenUsed/>
    <w:qFormat/>
    <w:uiPriority w:val="99"/>
    <w:pPr>
      <w:snapToGrid w:val="0"/>
      <w:jc w:val="left"/>
    </w:pPr>
  </w:style>
  <w:style w:type="paragraph" w:styleId="10">
    <w:name w:val="Balloon Text"/>
    <w:basedOn w:val="1"/>
    <w:link w:val="30"/>
    <w:unhideWhenUsed/>
    <w:qFormat/>
    <w:uiPriority w:val="99"/>
    <w:rPr>
      <w:sz w:val="18"/>
      <w:szCs w:val="18"/>
    </w:rPr>
  </w:style>
  <w:style w:type="paragraph" w:styleId="11">
    <w:name w:val="footer"/>
    <w:basedOn w:val="1"/>
    <w:link w:val="3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envelope return"/>
    <w:basedOn w:val="1"/>
    <w:qFormat/>
    <w:uiPriority w:val="0"/>
    <w:pPr>
      <w:snapToGrid w:val="0"/>
    </w:pPr>
    <w:rPr>
      <w:rFonts w:ascii="Times New Roman" w:hAnsi="Times New Roman"/>
    </w:rPr>
  </w:style>
  <w:style w:type="paragraph" w:styleId="13">
    <w:name w:val="header"/>
    <w:basedOn w:val="1"/>
    <w:link w:val="62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4">
    <w:name w:val="toc 4"/>
    <w:basedOn w:val="1"/>
    <w:next w:val="1"/>
    <w:unhideWhenUsed/>
    <w:qFormat/>
    <w:uiPriority w:val="39"/>
    <w:pPr>
      <w:tabs>
        <w:tab w:val="right" w:leader="dot" w:pos="9344"/>
      </w:tabs>
      <w:adjustRightInd w:val="0"/>
      <w:spacing w:line="300" w:lineRule="exact"/>
      <w:ind w:left="629"/>
    </w:pPr>
    <w:rPr>
      <w:rFonts w:ascii="宋体"/>
      <w:szCs w:val="21"/>
    </w:rPr>
  </w:style>
  <w:style w:type="paragraph" w:styleId="15">
    <w:name w:val="Normal (Web)"/>
    <w:basedOn w:val="1"/>
    <w:semiHidden/>
    <w:unhideWhenUsed/>
    <w:qFormat/>
    <w:uiPriority w:val="99"/>
    <w:rPr>
      <w:sz w:val="24"/>
    </w:rPr>
  </w:style>
  <w:style w:type="paragraph" w:styleId="16">
    <w:name w:val="Title"/>
    <w:basedOn w:val="1"/>
    <w:next w:val="1"/>
    <w:link w:val="67"/>
    <w:qFormat/>
    <w:uiPriority w:val="10"/>
    <w:pPr>
      <w:spacing w:before="240" w:after="60"/>
      <w:jc w:val="center"/>
      <w:outlineLvl w:val="0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17">
    <w:name w:val="annotation subject"/>
    <w:basedOn w:val="7"/>
    <w:next w:val="7"/>
    <w:link w:val="63"/>
    <w:semiHidden/>
    <w:unhideWhenUsed/>
    <w:qFormat/>
    <w:uiPriority w:val="99"/>
    <w:pPr>
      <w:adjustRightInd/>
      <w:spacing w:line="240" w:lineRule="auto"/>
    </w:pPr>
    <w:rPr>
      <w:b/>
      <w:bCs/>
      <w:szCs w:val="24"/>
    </w:rPr>
  </w:style>
  <w:style w:type="table" w:styleId="19">
    <w:name w:val="Table Grid"/>
    <w:basedOn w:val="18"/>
    <w:qFormat/>
    <w:uiPriority w:val="39"/>
    <w:pPr>
      <w:widowControl w:val="0"/>
      <w:jc w:val="both"/>
    </w:pPr>
    <w:tblPr>
      <w:tblBorders>
        <w:top w:val="single" w:color="auto" w:sz="4" w:space="0"/>
        <w:bottom w:val="single" w:color="auto" w:sz="4" w:space="0"/>
      </w:tblBorders>
    </w:tblPr>
  </w:style>
  <w:style w:type="character" w:styleId="21">
    <w:name w:val="Strong"/>
    <w:basedOn w:val="20"/>
    <w:qFormat/>
    <w:uiPriority w:val="22"/>
    <w:rPr>
      <w:b/>
    </w:rPr>
  </w:style>
  <w:style w:type="character" w:styleId="22">
    <w:name w:val="endnote reference"/>
    <w:basedOn w:val="20"/>
    <w:semiHidden/>
    <w:unhideWhenUsed/>
    <w:qFormat/>
    <w:uiPriority w:val="99"/>
    <w:rPr>
      <w:vertAlign w:val="superscript"/>
    </w:rPr>
  </w:style>
  <w:style w:type="character" w:styleId="23">
    <w:name w:val="line number"/>
    <w:qFormat/>
    <w:uiPriority w:val="0"/>
  </w:style>
  <w:style w:type="character" w:styleId="24">
    <w:name w:val="Hyperlink"/>
    <w:qFormat/>
    <w:uiPriority w:val="0"/>
    <w:rPr>
      <w:rFonts w:ascii="宋体" w:eastAsia="宋体"/>
      <w:color w:val="auto"/>
      <w:spacing w:val="0"/>
      <w:w w:val="100"/>
      <w:position w:val="0"/>
      <w:sz w:val="21"/>
      <w:u w:val="none"/>
      <w:vertAlign w:val="baseline"/>
    </w:rPr>
  </w:style>
  <w:style w:type="character" w:styleId="25">
    <w:name w:val="annotation reference"/>
    <w:qFormat/>
    <w:uiPriority w:val="99"/>
    <w:rPr>
      <w:sz w:val="21"/>
    </w:rPr>
  </w:style>
  <w:style w:type="character" w:styleId="26">
    <w:name w:val="footnote reference"/>
    <w:qFormat/>
    <w:uiPriority w:val="0"/>
    <w:rPr>
      <w:vertAlign w:val="superscript"/>
    </w:rPr>
  </w:style>
  <w:style w:type="paragraph" w:customStyle="1" w:styleId="27">
    <w:name w:val="正文-公1"/>
    <w:qFormat/>
    <w:uiPriority w:val="99"/>
    <w:pPr>
      <w:widowControl w:val="0"/>
      <w:suppressAutoHyphens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customStyle="1" w:styleId="28">
    <w:name w:val="标题 7 字符"/>
    <w:link w:val="6"/>
    <w:qFormat/>
    <w:uiPriority w:val="0"/>
    <w:rPr>
      <w:rFonts w:eastAsia="宋体"/>
      <w:b/>
      <w:bCs/>
      <w:kern w:val="2"/>
      <w:sz w:val="24"/>
      <w:szCs w:val="24"/>
    </w:rPr>
  </w:style>
  <w:style w:type="character" w:customStyle="1" w:styleId="29">
    <w:name w:val="批注文字 字符"/>
    <w:link w:val="7"/>
    <w:semiHidden/>
    <w:qFormat/>
    <w:uiPriority w:val="99"/>
    <w:rPr>
      <w:rFonts w:ascii="Calibri" w:hAnsi="Calibri" w:eastAsia="宋体"/>
      <w:kern w:val="2"/>
      <w:sz w:val="21"/>
      <w:szCs w:val="21"/>
    </w:rPr>
  </w:style>
  <w:style w:type="character" w:customStyle="1" w:styleId="30">
    <w:name w:val="批注框文本 字符"/>
    <w:link w:val="10"/>
    <w:semiHidden/>
    <w:qFormat/>
    <w:uiPriority w:val="99"/>
    <w:rPr>
      <w:rFonts w:eastAsia="宋体"/>
      <w:kern w:val="2"/>
      <w:sz w:val="18"/>
      <w:szCs w:val="18"/>
    </w:rPr>
  </w:style>
  <w:style w:type="character" w:customStyle="1" w:styleId="31">
    <w:name w:val="页脚 字符"/>
    <w:link w:val="11"/>
    <w:qFormat/>
    <w:locked/>
    <w:uiPriority w:val="99"/>
    <w:rPr>
      <w:rFonts w:eastAsia="宋体"/>
      <w:kern w:val="2"/>
      <w:sz w:val="18"/>
      <w:szCs w:val="18"/>
    </w:rPr>
  </w:style>
  <w:style w:type="paragraph" w:customStyle="1" w:styleId="32">
    <w:name w:val="其他标准称谓"/>
    <w:qFormat/>
    <w:uiPriority w:val="0"/>
    <w:pPr>
      <w:spacing w:line="0" w:lineRule="atLeast"/>
      <w:jc w:val="distribute"/>
    </w:pPr>
    <w:rPr>
      <w:rFonts w:ascii="黑体" w:hAnsi="Calibri" w:eastAsia="黑体" w:cs="Calibri"/>
      <w:sz w:val="52"/>
      <w:lang w:val="en-US" w:eastAsia="zh-CN" w:bidi="ar-SA"/>
    </w:rPr>
  </w:style>
  <w:style w:type="paragraph" w:customStyle="1" w:styleId="33">
    <w:name w:val="封面标准号1"/>
    <w:qFormat/>
    <w:uiPriority w:val="0"/>
    <w:pPr>
      <w:widowControl w:val="0"/>
      <w:kinsoku w:val="0"/>
      <w:overflowPunct w:val="0"/>
      <w:autoSpaceDE w:val="0"/>
      <w:autoSpaceDN w:val="0"/>
      <w:spacing w:before="308"/>
      <w:jc w:val="right"/>
      <w:textAlignment w:val="center"/>
    </w:pPr>
    <w:rPr>
      <w:rFonts w:ascii="Calibri" w:hAnsi="Calibri" w:eastAsia="宋体" w:cs="Calibri"/>
      <w:sz w:val="28"/>
      <w:lang w:val="en-US" w:eastAsia="zh-CN" w:bidi="ar-SA"/>
    </w:rPr>
  </w:style>
  <w:style w:type="paragraph" w:customStyle="1" w:styleId="34">
    <w:name w:val="标准文件_段"/>
    <w:link w:val="35"/>
    <w:qFormat/>
    <w:uiPriority w:val="0"/>
    <w:pPr>
      <w:autoSpaceDE w:val="0"/>
      <w:autoSpaceDN w:val="0"/>
      <w:spacing w:line="520" w:lineRule="exact"/>
      <w:ind w:firstLine="640" w:firstLineChars="200"/>
      <w:jc w:val="both"/>
    </w:pPr>
    <w:rPr>
      <w:rFonts w:ascii="仿宋" w:hAnsi="仿宋" w:eastAsia="仿宋" w:cs="Calibri"/>
      <w:kern w:val="2"/>
      <w:sz w:val="32"/>
      <w:szCs w:val="32"/>
      <w:lang w:val="en-US" w:eastAsia="zh-CN" w:bidi="ar-SA"/>
    </w:rPr>
  </w:style>
  <w:style w:type="character" w:customStyle="1" w:styleId="35">
    <w:name w:val="标准文件_段 Char"/>
    <w:link w:val="34"/>
    <w:qFormat/>
    <w:uiPriority w:val="0"/>
    <w:rPr>
      <w:rFonts w:ascii="仿宋" w:hAnsi="仿宋" w:eastAsia="仿宋" w:cs="Calibri"/>
      <w:kern w:val="2"/>
      <w:sz w:val="32"/>
      <w:szCs w:val="32"/>
    </w:rPr>
  </w:style>
  <w:style w:type="paragraph" w:customStyle="1" w:styleId="36">
    <w:name w:val="标准文件_章标题"/>
    <w:next w:val="34"/>
    <w:qFormat/>
    <w:uiPriority w:val="0"/>
    <w:pPr>
      <w:numPr>
        <w:ilvl w:val="1"/>
        <w:numId w:val="1"/>
      </w:numPr>
      <w:spacing w:before="100" w:beforeLines="100" w:after="100" w:afterLines="100"/>
      <w:jc w:val="both"/>
      <w:outlineLvl w:val="0"/>
    </w:pPr>
    <w:rPr>
      <w:rFonts w:ascii="黑体" w:hAnsi="Calibri" w:eastAsia="黑体" w:cs="Calibri"/>
      <w:sz w:val="21"/>
      <w:lang w:val="en-US" w:eastAsia="zh-CN" w:bidi="ar-SA"/>
    </w:rPr>
  </w:style>
  <w:style w:type="paragraph" w:customStyle="1" w:styleId="37">
    <w:name w:val="标准文件_二级条标题"/>
    <w:next w:val="34"/>
    <w:qFormat/>
    <w:uiPriority w:val="0"/>
    <w:pPr>
      <w:widowControl w:val="0"/>
      <w:spacing w:before="50" w:beforeLines="50" w:after="50" w:afterLines="50"/>
      <w:jc w:val="both"/>
      <w:outlineLvl w:val="2"/>
    </w:pPr>
    <w:rPr>
      <w:rFonts w:ascii="黑体" w:hAnsi="Calibri" w:eastAsia="黑体" w:cs="Calibri"/>
      <w:sz w:val="21"/>
      <w:lang w:val="en-US" w:eastAsia="zh-CN" w:bidi="ar-SA"/>
    </w:rPr>
  </w:style>
  <w:style w:type="paragraph" w:customStyle="1" w:styleId="38">
    <w:name w:val="标准文件_一级条标题"/>
    <w:basedOn w:val="36"/>
    <w:next w:val="34"/>
    <w:qFormat/>
    <w:uiPriority w:val="0"/>
    <w:pPr>
      <w:numPr>
        <w:ilvl w:val="2"/>
      </w:numPr>
      <w:spacing w:before="50" w:beforeLines="0" w:after="50" w:afterLines="0"/>
      <w:outlineLvl w:val="1"/>
    </w:pPr>
  </w:style>
  <w:style w:type="paragraph" w:customStyle="1" w:styleId="39">
    <w:name w:val="标准文件_三级条标题"/>
    <w:basedOn w:val="37"/>
    <w:next w:val="34"/>
    <w:qFormat/>
    <w:uiPriority w:val="0"/>
    <w:pPr>
      <w:outlineLvl w:val="3"/>
    </w:pPr>
  </w:style>
  <w:style w:type="paragraph" w:customStyle="1" w:styleId="40">
    <w:name w:val="标准文件_四级条标题"/>
    <w:next w:val="34"/>
    <w:qFormat/>
    <w:uiPriority w:val="0"/>
    <w:pPr>
      <w:widowControl w:val="0"/>
      <w:spacing w:before="50" w:beforeLines="50" w:after="50" w:afterLines="50"/>
      <w:jc w:val="both"/>
      <w:outlineLvl w:val="4"/>
    </w:pPr>
    <w:rPr>
      <w:rFonts w:ascii="黑体" w:hAnsi="Calibri" w:eastAsia="黑体" w:cs="Calibri"/>
      <w:sz w:val="21"/>
      <w:lang w:val="en-US" w:eastAsia="zh-CN" w:bidi="ar-SA"/>
    </w:rPr>
  </w:style>
  <w:style w:type="paragraph" w:customStyle="1" w:styleId="41">
    <w:name w:val="标准文件_五级条标题"/>
    <w:next w:val="37"/>
    <w:qFormat/>
    <w:uiPriority w:val="0"/>
    <w:pPr>
      <w:widowControl w:val="0"/>
      <w:numPr>
        <w:ilvl w:val="6"/>
        <w:numId w:val="1"/>
      </w:numPr>
      <w:spacing w:before="50" w:beforeLines="50" w:after="50" w:afterLines="50"/>
      <w:jc w:val="both"/>
      <w:outlineLvl w:val="5"/>
    </w:pPr>
    <w:rPr>
      <w:rFonts w:ascii="黑体" w:hAnsi="Calibri" w:eastAsia="黑体" w:cs="Calibri"/>
      <w:sz w:val="21"/>
      <w:lang w:val="en-US" w:eastAsia="zh-CN" w:bidi="ar-SA"/>
    </w:rPr>
  </w:style>
  <w:style w:type="paragraph" w:customStyle="1" w:styleId="42">
    <w:name w:val="前言标题"/>
    <w:next w:val="1"/>
    <w:qFormat/>
    <w:uiPriority w:val="0"/>
    <w:pPr>
      <w:numPr>
        <w:ilvl w:val="0"/>
        <w:numId w:val="1"/>
      </w:numPr>
      <w:shd w:val="clear" w:color="FFFFFF" w:fill="FFFFFF"/>
      <w:spacing w:before="540" w:after="600"/>
      <w:jc w:val="center"/>
      <w:outlineLvl w:val="0"/>
    </w:pPr>
    <w:rPr>
      <w:rFonts w:ascii="黑体" w:hAnsi="Calibri" w:eastAsia="黑体" w:cs="Calibri"/>
      <w:sz w:val="32"/>
      <w:lang w:val="en-US" w:eastAsia="zh-CN" w:bidi="ar-SA"/>
    </w:rPr>
  </w:style>
  <w:style w:type="paragraph" w:customStyle="1" w:styleId="43">
    <w:name w:val="标准文件_四级无标题"/>
    <w:basedOn w:val="40"/>
    <w:qFormat/>
    <w:uiPriority w:val="0"/>
    <w:pPr>
      <w:numPr>
        <w:ilvl w:val="5"/>
        <w:numId w:val="1"/>
      </w:numPr>
    </w:pPr>
    <w:rPr>
      <w:rFonts w:ascii="宋体" w:eastAsia="宋体"/>
      <w:szCs w:val="52"/>
    </w:rPr>
  </w:style>
  <w:style w:type="paragraph" w:customStyle="1" w:styleId="44">
    <w:name w:val="标准文件_三级无标题"/>
    <w:basedOn w:val="39"/>
    <w:qFormat/>
    <w:uiPriority w:val="0"/>
    <w:pPr>
      <w:numPr>
        <w:ilvl w:val="4"/>
        <w:numId w:val="1"/>
      </w:numPr>
    </w:pPr>
    <w:rPr>
      <w:rFonts w:ascii="宋体" w:eastAsia="宋体"/>
    </w:rPr>
  </w:style>
  <w:style w:type="paragraph" w:customStyle="1" w:styleId="45">
    <w:name w:val="标准文件_正文表标题"/>
    <w:qFormat/>
    <w:uiPriority w:val="0"/>
    <w:pPr>
      <w:numPr>
        <w:ilvl w:val="0"/>
        <w:numId w:val="2"/>
      </w:numPr>
      <w:tabs>
        <w:tab w:val="left" w:pos="0"/>
      </w:tabs>
      <w:spacing w:before="50" w:beforeLines="50" w:after="50" w:afterLines="50"/>
      <w:jc w:val="center"/>
    </w:pPr>
    <w:rPr>
      <w:rFonts w:ascii="黑体" w:hAnsi="Calibri" w:eastAsia="黑体" w:cs="Calibri"/>
      <w:sz w:val="21"/>
      <w:lang w:val="en-US" w:eastAsia="zh-CN" w:bidi="ar-SA"/>
    </w:rPr>
  </w:style>
  <w:style w:type="character" w:customStyle="1" w:styleId="46">
    <w:name w:val="font11"/>
    <w:qFormat/>
    <w:uiPriority w:val="0"/>
    <w:rPr>
      <w:rFonts w:ascii="等线" w:eastAsia="等线"/>
      <w:b/>
      <w:bCs/>
      <w:color w:val="FF0000"/>
      <w:sz w:val="22"/>
      <w:szCs w:val="22"/>
      <w:u w:val="none"/>
    </w:rPr>
  </w:style>
  <w:style w:type="character" w:customStyle="1" w:styleId="47">
    <w:name w:val="font01"/>
    <w:qFormat/>
    <w:uiPriority w:val="0"/>
    <w:rPr>
      <w:rFonts w:ascii="等线" w:eastAsia="等线"/>
      <w:color w:val="000000"/>
      <w:sz w:val="22"/>
      <w:szCs w:val="22"/>
      <w:u w:val="none"/>
    </w:rPr>
  </w:style>
  <w:style w:type="paragraph" w:customStyle="1" w:styleId="48">
    <w:name w:val="段"/>
    <w:qFormat/>
    <w:uiPriority w:val="0"/>
    <w:pPr>
      <w:autoSpaceDE w:val="0"/>
      <w:autoSpaceDN w:val="0"/>
      <w:ind w:firstLine="200" w:firstLineChars="200"/>
      <w:jc w:val="both"/>
    </w:pPr>
    <w:rPr>
      <w:rFonts w:ascii="宋体" w:hAnsi="Calibri" w:eastAsia="宋体" w:cs="Calibri"/>
      <w:sz w:val="21"/>
      <w:lang w:val="en-US" w:eastAsia="zh-CN" w:bidi="ar-SA"/>
    </w:rPr>
  </w:style>
  <w:style w:type="paragraph" w:customStyle="1" w:styleId="49">
    <w:name w:val="二级无"/>
    <w:basedOn w:val="1"/>
    <w:qFormat/>
    <w:uiPriority w:val="0"/>
    <w:pPr>
      <w:widowControl/>
      <w:tabs>
        <w:tab w:val="left" w:pos="780"/>
      </w:tabs>
      <w:ind w:left="780" w:hanging="360"/>
      <w:jc w:val="left"/>
      <w:outlineLvl w:val="3"/>
    </w:pPr>
    <w:rPr>
      <w:rFonts w:ascii="宋体"/>
      <w:kern w:val="0"/>
      <w:szCs w:val="21"/>
    </w:rPr>
  </w:style>
  <w:style w:type="paragraph" w:customStyle="1" w:styleId="50">
    <w:name w:val="标准文件_二级无标题"/>
    <w:basedOn w:val="37"/>
    <w:qFormat/>
    <w:uiPriority w:val="0"/>
    <w:pPr>
      <w:tabs>
        <w:tab w:val="left" w:pos="1200"/>
      </w:tabs>
      <w:spacing w:before="0" w:beforeLines="0" w:after="0" w:afterLines="0"/>
      <w:ind w:left="1200" w:hanging="360"/>
      <w:outlineLvl w:val="9"/>
    </w:pPr>
    <w:rPr>
      <w:rFonts w:ascii="宋体" w:eastAsia="宋体"/>
    </w:rPr>
  </w:style>
  <w:style w:type="paragraph" w:customStyle="1" w:styleId="51">
    <w:name w:val="Char Char Char Char"/>
    <w:basedOn w:val="1"/>
    <w:qFormat/>
    <w:uiPriority w:val="0"/>
  </w:style>
  <w:style w:type="paragraph" w:customStyle="1" w:styleId="52">
    <w:name w:val="标准文件_数字编号列项（二级）"/>
    <w:qFormat/>
    <w:uiPriority w:val="0"/>
    <w:pPr>
      <w:numPr>
        <w:ilvl w:val="1"/>
        <w:numId w:val="3"/>
      </w:numPr>
      <w:jc w:val="both"/>
    </w:pPr>
    <w:rPr>
      <w:rFonts w:ascii="宋体" w:hAnsi="Calibri" w:eastAsia="宋体" w:cs="Calibri"/>
      <w:sz w:val="21"/>
      <w:lang w:val="en-US" w:eastAsia="zh-CN" w:bidi="ar-SA"/>
    </w:rPr>
  </w:style>
  <w:style w:type="paragraph" w:customStyle="1" w:styleId="53">
    <w:name w:val="标准文件_编号列项（三级）"/>
    <w:qFormat/>
    <w:uiPriority w:val="0"/>
    <w:pPr>
      <w:numPr>
        <w:ilvl w:val="2"/>
        <w:numId w:val="3"/>
      </w:numPr>
    </w:pPr>
    <w:rPr>
      <w:rFonts w:ascii="宋体" w:hAnsi="Calibri" w:eastAsia="宋体" w:cs="Calibri"/>
      <w:sz w:val="21"/>
      <w:lang w:val="en-US" w:eastAsia="zh-CN" w:bidi="ar-SA"/>
    </w:rPr>
  </w:style>
  <w:style w:type="paragraph" w:customStyle="1" w:styleId="54">
    <w:name w:val="标准文件_字母编号列项（一级）"/>
    <w:qFormat/>
    <w:uiPriority w:val="0"/>
    <w:pPr>
      <w:numPr>
        <w:ilvl w:val="0"/>
        <w:numId w:val="3"/>
      </w:numPr>
      <w:jc w:val="both"/>
    </w:pPr>
    <w:rPr>
      <w:rFonts w:ascii="宋体" w:hAnsi="Calibri" w:eastAsia="宋体" w:cs="Calibri"/>
      <w:sz w:val="21"/>
      <w:lang w:val="en-US" w:eastAsia="zh-CN" w:bidi="ar-SA"/>
    </w:rPr>
  </w:style>
  <w:style w:type="paragraph" w:customStyle="1" w:styleId="55">
    <w:name w:val="标准文件_术语条一"/>
    <w:basedOn w:val="1"/>
    <w:next w:val="34"/>
    <w:qFormat/>
    <w:uiPriority w:val="0"/>
    <w:pPr>
      <w:widowControl/>
    </w:pPr>
    <w:rPr>
      <w:rFonts w:ascii="宋体"/>
      <w:kern w:val="0"/>
      <w:szCs w:val="20"/>
    </w:rPr>
  </w:style>
  <w:style w:type="paragraph" w:customStyle="1" w:styleId="56">
    <w:name w:val="abstract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57">
    <w:name w:val="abstract_more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58">
    <w:name w:val="No Spacing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customStyle="1" w:styleId="59">
    <w:name w:val="标准文件_一级项"/>
    <w:qFormat/>
    <w:uiPriority w:val="0"/>
    <w:pPr>
      <w:numPr>
        <w:ilvl w:val="0"/>
        <w:numId w:val="4"/>
      </w:numPr>
    </w:pPr>
    <w:rPr>
      <w:rFonts w:ascii="宋体" w:hAnsi="Times New Roman" w:eastAsia="宋体" w:cs="Times New Roman"/>
      <w:sz w:val="21"/>
      <w:lang w:val="en-US" w:eastAsia="zh-CN" w:bidi="ar-SA"/>
    </w:rPr>
  </w:style>
  <w:style w:type="paragraph" w:customStyle="1" w:styleId="60">
    <w:name w:val="附录表标题"/>
    <w:basedOn w:val="1"/>
    <w:next w:val="48"/>
    <w:qFormat/>
    <w:uiPriority w:val="0"/>
    <w:pPr>
      <w:numPr>
        <w:ilvl w:val="1"/>
        <w:numId w:val="5"/>
      </w:numPr>
      <w:tabs>
        <w:tab w:val="left" w:pos="180"/>
      </w:tabs>
      <w:spacing w:beforeLines="50" w:afterLines="50"/>
      <w:ind w:left="0" w:firstLine="0"/>
      <w:jc w:val="center"/>
    </w:pPr>
    <w:rPr>
      <w:rFonts w:ascii="黑体" w:hAnsi="Times New Roman" w:eastAsia="黑体" w:cs="Times New Roman"/>
      <w:szCs w:val="21"/>
    </w:rPr>
  </w:style>
  <w:style w:type="paragraph" w:styleId="61">
    <w:name w:val="List Paragraph"/>
    <w:basedOn w:val="1"/>
    <w:unhideWhenUsed/>
    <w:qFormat/>
    <w:uiPriority w:val="99"/>
    <w:pPr>
      <w:ind w:firstLine="420" w:firstLineChars="200"/>
    </w:pPr>
    <w:rPr>
      <w:rFonts w:ascii="Times New Roman" w:hAnsi="Times New Roman" w:cs="Times New Roman"/>
    </w:rPr>
  </w:style>
  <w:style w:type="character" w:customStyle="1" w:styleId="62">
    <w:name w:val="页眉 字符"/>
    <w:basedOn w:val="20"/>
    <w:link w:val="13"/>
    <w:qFormat/>
    <w:uiPriority w:val="0"/>
    <w:rPr>
      <w:rFonts w:ascii="Calibri" w:hAnsi="Calibri" w:cs="Calibri"/>
      <w:kern w:val="2"/>
      <w:sz w:val="18"/>
      <w:szCs w:val="18"/>
    </w:rPr>
  </w:style>
  <w:style w:type="character" w:customStyle="1" w:styleId="63">
    <w:name w:val="批注主题 字符"/>
    <w:basedOn w:val="29"/>
    <w:link w:val="17"/>
    <w:semiHidden/>
    <w:qFormat/>
    <w:uiPriority w:val="99"/>
    <w:rPr>
      <w:rFonts w:ascii="Calibri" w:hAnsi="Calibri" w:eastAsia="宋体" w:cs="Calibri"/>
      <w:b/>
      <w:bCs/>
      <w:kern w:val="2"/>
      <w:sz w:val="21"/>
      <w:szCs w:val="24"/>
    </w:rPr>
  </w:style>
  <w:style w:type="character" w:customStyle="1" w:styleId="64">
    <w:name w:val="尾注文本 字符"/>
    <w:basedOn w:val="20"/>
    <w:link w:val="9"/>
    <w:semiHidden/>
    <w:qFormat/>
    <w:uiPriority w:val="99"/>
    <w:rPr>
      <w:rFonts w:ascii="Calibri" w:hAnsi="Calibri" w:cs="Calibri"/>
      <w:kern w:val="2"/>
      <w:sz w:val="21"/>
      <w:szCs w:val="24"/>
    </w:rPr>
  </w:style>
  <w:style w:type="paragraph" w:customStyle="1" w:styleId="65">
    <w:name w:val="标准文件_方框数字列项"/>
    <w:basedOn w:val="34"/>
    <w:qFormat/>
    <w:uiPriority w:val="0"/>
    <w:pPr>
      <w:numPr>
        <w:ilvl w:val="0"/>
        <w:numId w:val="6"/>
      </w:numPr>
      <w:spacing w:line="240" w:lineRule="auto"/>
      <w:ind w:firstLine="0" w:firstLineChars="0"/>
    </w:pPr>
    <w:rPr>
      <w:rFonts w:ascii="宋体" w:hAnsi="Times New Roman" w:eastAsia="宋体" w:cs="Times New Roman"/>
      <w:kern w:val="0"/>
      <w:sz w:val="21"/>
      <w:szCs w:val="20"/>
    </w:rPr>
  </w:style>
  <w:style w:type="character" w:customStyle="1" w:styleId="66">
    <w:name w:val="日期 字符"/>
    <w:basedOn w:val="20"/>
    <w:link w:val="8"/>
    <w:semiHidden/>
    <w:qFormat/>
    <w:uiPriority w:val="99"/>
    <w:rPr>
      <w:rFonts w:ascii="Calibri" w:hAnsi="Calibri" w:cs="Calibri"/>
      <w:kern w:val="2"/>
      <w:sz w:val="21"/>
      <w:szCs w:val="24"/>
    </w:rPr>
  </w:style>
  <w:style w:type="character" w:customStyle="1" w:styleId="67">
    <w:name w:val="标题 字符"/>
    <w:basedOn w:val="20"/>
    <w:link w:val="16"/>
    <w:qFormat/>
    <w:uiPriority w:val="10"/>
    <w:rPr>
      <w:rFonts w:asciiTheme="majorHAnsi" w:hAnsiTheme="majorHAnsi" w:eastAsiaTheme="majorEastAsia" w:cstheme="majorBidi"/>
      <w:b/>
      <w:bCs/>
      <w:kern w:val="2"/>
      <w:sz w:val="32"/>
      <w:szCs w:val="32"/>
    </w:rPr>
  </w:style>
  <w:style w:type="table" w:customStyle="1" w:styleId="68">
    <w:name w:val="网格型1"/>
    <w:basedOn w:val="18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pn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8" Type="http://schemas.openxmlformats.org/officeDocument/2006/relationships/fontTable" Target="fontTable.xml"/><Relationship Id="rId27" Type="http://schemas.openxmlformats.org/officeDocument/2006/relationships/customXml" Target="../customXml/item3.xml"/><Relationship Id="rId26" Type="http://schemas.openxmlformats.org/officeDocument/2006/relationships/customXml" Target="../customXml/item2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ontractReview xmlns="http://schemas.wps.cn/vas-ai-hub/contract-review">
  <reviewItems>
    <reviewItem>
      <errorID>3bbb143f-ad0c-42e3-985a-74b3da6e9d92</errorID>
      <errorWord>《斑节对虾生态养殖技术规范》（征求意见稿）</errorWord>
      <group>L1_Knowledge</group>
      <groupName>知识性问题</groupName>
      <ability>L2_Knowledge</ability>
      <abilityName>其他知识</abilityName>
      <candidateList>
        <item>《斑节对虾生态养殖技术规范（征求意见稿）》</item>
      </candidateList>
      <explain>疑似政策文件、法律法规名称等书写不规范，请注意检查。</explain>
      <paraID>2C055057</paraID>
      <start>4</start>
      <end>25</end>
      <status>ignored</status>
      <modifiedWord/>
      <trackRevisions>false</trackRevisions>
    </reviewItem>
    <reviewItem>
      <errorID>26698eea-e6dd-43b4-a7e9-af9df3c17e0f</errorID>
      <errorWord>～</errorWord>
      <group>L1_Punc</group>
      <groupName>标点问题</groupName>
      <ability>L2_Punc</ability>
      <abilityName>标点符号检查</abilityName>
      <candidateList>
        <item>—</item>
      </candidateList>
      <explain>根据国标GB/T 15834-2011《标点符号用法》中的4.13.3.2节，标识相关项目（如时间、地域等）的起止，以及标识数值范围（由阿拉伯数字或汉字数字构成）的起止时，一般用一字线或长浪纹线。如“25～30g”“2011年2月3日—10日”。</explain>
      <paraID>4870BFA9</paraID>
      <start>7</start>
      <end>8</end>
      <status>ignored</status>
      <modifiedWord/>
      <trackRevisions>false</trackRevisions>
    </reviewItem>
    <reviewItem>
      <errorID>be173b64-8bfd-436f-8115-bea8020a8c80</errorID>
      <errorWord>～</errorWord>
      <group>L1_Punc</group>
      <groupName>标点问题</groupName>
      <ability>L2_Punc</ability>
      <abilityName>标点符号检查</abilityName>
      <candidateList>
        <item>—</item>
      </candidateList>
      <explain>根据国标GB/T 15834-2011《标点符号用法》中的4.13.3.2节，标识相关项目（如时间、地域等）的起止，以及标识数值范围（由阿拉伯数字或汉字数字构成）的起止时，一般用一字线或长浪纹线。如“25～30g”“2011年2月3日—10日”。</explain>
      <paraID>28759C43</paraID>
      <start>8</start>
      <end>9</end>
      <status>ignored</status>
      <modifiedWord/>
      <trackRevisions>false</trackRevisions>
    </reviewItem>
    <reviewItem>
      <errorID>59c050be-0b01-4b2a-bd4a-8ce3407820e8</errorID>
      <errorWord>《斑节对虾生态养殖技术规范》（草案）</errorWord>
      <group>L1_Knowledge</group>
      <groupName>知识性问题</groupName>
      <ability>L2_Knowledge</ability>
      <abilityName>其他知识</abilityName>
      <candidateList>
        <item>《斑节对虾生态养殖技术规范（草案）》</item>
      </candidateList>
      <explain>疑似政策文件、法律法规名称等书写不规范，请注意检查。</explain>
      <paraID>28759C43</paraID>
      <start>99</start>
      <end>117</end>
      <status>ignored</status>
      <modifiedWord/>
      <trackRevisions>false</trackRevisions>
    </reviewItem>
    <reviewItem>
      <errorID>3399bfc2-5422-4e6b-b652-1ba2e0c29043</errorID>
      <errorWord>《斑节对虾生态养殖技术规范》（征求意见稿）</errorWord>
      <group>L1_Knowledge</group>
      <groupName>知识性问题</groupName>
      <ability>L2_Knowledge</ability>
      <abilityName>其他知识</abilityName>
      <candidateList>
        <item>《斑节对虾生态养殖技术规范（征求意见稿）》</item>
      </candidateList>
      <explain>疑似政策文件、法律法规名称等书写不规范，请注意检查。</explain>
      <paraID>42F87AAD</paraID>
      <start>221</start>
      <end>242</end>
      <status>ignored</status>
      <modifiedWord/>
      <trackRevisions>false</trackRevisions>
    </reviewItem>
    <reviewItem>
      <errorID>0f314695-ac19-4dd4-a7c6-a7957c75a596</errorID>
      <errorWord>法律、法规</errorWord>
      <group>L1_Word</group>
      <groupName>字词问题</groupName>
      <ability>L2_Typo</ability>
      <abilityName>字词错误</abilityName>
      <candidateList>
        <item>法律法规</item>
      </candidateList>
      <explain/>
      <paraID>4DB3135A</paraID>
      <start>16</start>
      <end>21</end>
      <status>ignored</status>
      <modifiedWord/>
      <trackRevisions>false</trackRevisions>
    </reviewItem>
    <reviewItem>
      <errorID>63442871-e442-4a57-9adf-040fec9cfae9</errorID>
      <errorWord>法律、法规</errorWord>
      <group>L1_Word</group>
      <groupName>字词问题</groupName>
      <ability>L2_Typo</ability>
      <abilityName>字词错误</abilityName>
      <candidateList>
        <item>法律法规</item>
      </candidateList>
      <explain/>
      <paraID>5D8023B0</paraID>
      <start>6</start>
      <end>11</end>
      <status>ignored</status>
      <modifiedWord/>
      <trackRevisions>false</trackRevisions>
    </reviewItem>
    <reviewItem>
      <errorID>ee64535b-88fa-4a15-82c8-54d66cc23ae1</errorID>
      <errorWord>水体流失</errorWord>
      <group>L1_Knowledge</group>
      <groupName>知识性问题</groupName>
      <ability>L2_Term</ability>
      <abilityName>专业术语</abilityName>
      <candidateList>
        <item>水土流失</item>
      </candidateList>
      <explain/>
      <paraID>613477B6</paraID>
      <start>297</start>
      <end>301</end>
      <status>ignored</status>
      <modifiedWord/>
      <trackRevisions>false</trackRevisions>
    </reviewItem>
    <reviewItem>
      <errorID>45a6df67-1c5d-40ea-9fe3-2e2ee23328b6</errorID>
      <errorWord>～</errorWord>
      <group>L1_Format</group>
      <groupName>格式问题</groupName>
      <ability>L2_HalfPunc</ability>
      <abilityName>全半角检查</abilityName>
      <candidateList>
        <item>~</item>
      </candidateList>
      <explain>文本全半角错误。</explain>
      <paraID>39047E06</paraID>
      <start>3</start>
      <end>4</end>
      <status>ignored</status>
      <modifiedWord/>
      <trackRevisions>false</trackRevisions>
    </reviewItem>
    <reviewItem>
      <errorID>3c84dd1a-6229-473f-8be8-79bea402e274</errorID>
      <errorWord>～</errorWord>
      <group>L1_Format</group>
      <groupName>格式问题</groupName>
      <ability>L2_HalfPunc</ability>
      <abilityName>全半角检查</abilityName>
      <candidateList>
        <item>~</item>
      </candidateList>
      <explain>文本全半角错误。</explain>
      <paraID>6356A559</paraID>
      <start>3</start>
      <end>4</end>
      <status>ignored</status>
      <modifiedWord/>
      <trackRevisions>false</trackRevisions>
    </reviewItem>
    <reviewItem>
      <errorID>490b5e11-1b14-4784-b569-f81429b1a89d</errorID>
      <errorWord>～</errorWord>
      <group>L1_Format</group>
      <groupName>格式问题</groupName>
      <ability>L2_HalfPunc</ability>
      <abilityName>全半角检查</abilityName>
      <candidateList>
        <item>~</item>
      </candidateList>
      <explain>文本全半角错误。</explain>
      <paraID> 6ABA87A</paraID>
      <start>3</start>
      <end>4</end>
      <status>ignored</status>
      <modifiedWord/>
      <trackRevisions>false</trackRevisions>
    </reviewItem>
    <reviewItem>
      <errorID>14cb93eb-9ef8-4e1c-a5d1-66ccbeb8b2b6</errorID>
      <errorWord>～</errorWord>
      <group>L1_Format</group>
      <groupName>格式问题</groupName>
      <ability>L2_HalfPunc</ability>
      <abilityName>全半角检查</abilityName>
      <candidateList>
        <item>~</item>
      </candidateList>
      <explain>文本全半角错误。</explain>
      <paraID>5B335849</paraID>
      <start>3</start>
      <end>4</end>
      <status>ignored</status>
      <modifiedWord/>
      <trackRevisions>false</trackRevisions>
    </reviewItem>
    <reviewItem>
      <errorID>716f759c-77b2-4f59-908a-89f0ae2d41dd</errorID>
      <errorWord>～</errorWord>
      <group>L1_Format</group>
      <groupName>格式问题</groupName>
      <ability>L2_HalfPunc</ability>
      <abilityName>全半角检查</abilityName>
      <candidateList>
        <item>~</item>
      </candidateList>
      <explain>文本全半角错误。</explain>
      <paraID>6EB439EC</paraID>
      <start>3</start>
      <end>4</end>
      <status>ignored</status>
      <modifiedWord/>
      <trackRevisions>false</trackRevisions>
    </reviewItem>
    <reviewItem>
      <errorID>786f00ee-eaad-4e5d-81c4-54d8e5f89acc</errorID>
      <errorWord>～</errorWord>
      <group>L1_Format</group>
      <groupName>格式问题</groupName>
      <ability>L2_HalfPunc</ability>
      <abilityName>全半角检查</abilityName>
      <candidateList>
        <item>~</item>
      </candidateList>
      <explain>文本全半角错误。</explain>
      <paraID> 46FE07D</paraID>
      <start>3</start>
      <end>4</end>
      <status>ignored</status>
      <modifiedWord/>
      <trackRevisions>false</trackRevisions>
    </reviewItem>
    <reviewItem>
      <errorID>b5218da6-9c77-411c-99c4-0bc5b93c9670</errorID>
      <errorWord>～</errorWord>
      <group>L1_Format</group>
      <groupName>格式问题</groupName>
      <ability>L2_HalfPunc</ability>
      <abilityName>全半角检查</abilityName>
      <candidateList>
        <item>~</item>
      </candidateList>
      <explain>文本全半角错误。</explain>
      <paraID>4FFBAF86</paraID>
      <start>3</start>
      <end>4</end>
      <status>ignored</status>
      <modifiedWord/>
      <trackRevisions>false</trackRevisions>
    </reviewItem>
    <reviewItem>
      <errorID>c9df2adb-c8f0-4eec-a58b-3f2f4c713b80</errorID>
      <errorWord>～</errorWord>
      <group>L1_Format</group>
      <groupName>格式问题</groupName>
      <ability>L2_HalfPunc</ability>
      <abilityName>全半角检查</abilityName>
      <candidateList>
        <item>~</item>
      </candidateList>
      <explain>文本全半角错误。</explain>
      <paraID>2A538B89</paraID>
      <start>3</start>
      <end>4</end>
      <status>ignored</status>
      <modifiedWord/>
      <trackRevisions>false</trackRevisions>
    </reviewItem>
    <reviewItem>
      <errorID>19567e78-eb53-4cfc-b677-db91f3f02264</errorID>
      <errorWord>～</errorWord>
      <group>L1_Format</group>
      <groupName>格式问题</groupName>
      <ability>L2_HalfPunc</ability>
      <abilityName>全半角检查</abilityName>
      <candidateList>
        <item>~</item>
      </candidateList>
      <explain>文本全半角错误。</explain>
      <paraID>416743E3</paraID>
      <start>3</start>
      <end>4</end>
      <status>ignored</status>
      <modifiedWord/>
      <trackRevisions>false</trackRevisions>
    </reviewItem>
    <reviewItem>
      <errorID>8110748e-e0d3-4768-ab94-90df10375e44</errorID>
      <errorWord>～</errorWord>
      <group>L1_Format</group>
      <groupName>格式问题</groupName>
      <ability>L2_HalfPunc</ability>
      <abilityName>全半角检查</abilityName>
      <candidateList>
        <item>~</item>
      </candidateList>
      <explain>文本全半角错误。</explain>
      <paraID>6C7F9878</paraID>
      <start>3</start>
      <end>4</end>
      <status>ignored</status>
      <modifiedWord/>
      <trackRevisions>false</trackRevisions>
    </reviewItem>
    <reviewItem>
      <errorID>bef32ded-73f9-49e1-aefb-b26ee8d0bd0d</errorID>
      <errorWord>&gt;</errorWord>
      <group>L1_Punc</group>
      <groupName>标点问题</groupName>
      <ability>L2_Punc</ability>
      <abilityName>标点符号检查</abilityName>
      <candidateList/>
      <explain/>
      <paraID>5A8C7A82</paraID>
      <start>0</start>
      <end>1</end>
      <status>ignored</status>
      <modifiedWord/>
      <trackRevisions>false</trackRevisions>
    </reviewItem>
    <reviewItem>
      <errorID>88f8c59c-a05e-4150-98df-794f7cda3e44</errorID>
      <errorWord>&gt;</errorWord>
      <group>L1_Punc</group>
      <groupName>标点问题</groupName>
      <ability>L2_Punc</ability>
      <abilityName>标点符号检查</abilityName>
      <candidateList/>
      <explain/>
      <paraID>60603996</paraID>
      <start>0</start>
      <end>1</end>
      <status>ignored</status>
      <modifiedWord/>
      <trackRevisions>false</trackRevisions>
    </reviewItem>
    <reviewItem>
      <errorID>4b79f99f-0caa-47e1-a4a8-7bd7efdfcb04</errorID>
      <errorWord>&gt;</errorWord>
      <group>L1_Punc</group>
      <groupName>标点问题</groupName>
      <ability>L2_Punc</ability>
      <abilityName>标点符号检查</abilityName>
      <candidateList/>
      <explain/>
      <paraID>47502688</paraID>
      <start>0</start>
      <end>1</end>
      <status>ignored</status>
      <modifiedWord/>
      <trackRevisions>false</trackRevisions>
    </reviewItem>
    <reviewItem>
      <errorID>b34349d2-3500-4d44-a3e5-33a8c3eb905c</errorID>
      <errorWord>&gt;</errorWord>
      <group>L1_Punc</group>
      <groupName>标点问题</groupName>
      <ability>L2_Punc</ability>
      <abilityName>标点符号检查</abilityName>
      <candidateList/>
      <explain/>
      <paraID>5342D3C6</paraID>
      <start>0</start>
      <end>1</end>
      <status>ignored</status>
      <modifiedWord/>
      <trackRevisions>false</trackRevisions>
    </reviewItem>
    <reviewItem>
      <errorID>f98aca3a-db54-40d5-92d8-841cdcfb5162</errorID>
      <errorWord>&gt;</errorWord>
      <group>L1_Punc</group>
      <groupName>标点问题</groupName>
      <ability>L2_Punc</ability>
      <abilityName>标点符号检查</abilityName>
      <candidateList/>
      <explain/>
      <paraID>3B14CCC5</paraID>
      <start>0</start>
      <end>1</end>
      <status>ignored</status>
      <modifiedWord/>
      <trackRevisions>false</trackRevisions>
    </reviewItem>
    <reviewItem>
      <errorID>32ef5993-f670-4424-90d7-5e04fdb3b2c2</errorID>
      <errorWord>曝晒</errorWord>
      <group>L1_Word</group>
      <groupName>字词问题</groupName>
      <ability>L2_Typo</ability>
      <abilityName>字词错误</abilityName>
      <candidateList>
        <item>暴晒</item>
      </candidateList>
      <explain>〈动〉在强烈的阳光下久晒：烈日～｜洗好的丝绸衣服不宜～。</explain>
      <paraID> 26D26B0</paraID>
      <start>0</start>
      <end>2</end>
      <status>ignored</status>
      <modifiedWord/>
      <trackRevisions>false</trackRevisions>
    </reviewItem>
    <reviewItem>
      <errorID>b9840067-c951-4de2-a8ca-93db9d47a582</errorID>
      <errorWord>潜力</errorWord>
      <group>L1_Word</group>
      <groupName>字词问题</groupName>
      <ability>L2_Typo</ability>
      <abilityName>字词错误</abilityName>
      <candidateList>
        <item>能力</item>
      </candidateList>
      <explain>〈名〉能胜任某项任务的主观条件：～强｜他经验丰富，有～担当这项工作。</explain>
      <paraID>228C6CE2</paraID>
      <start>166</start>
      <end>168</end>
      <status>ignored</status>
      <modifiedWord/>
      <trackRevisions>false</trackRevisions>
    </reviewItem>
    <reviewItem>
      <errorID>0f6fdd87-183f-4e8f-b517-d5cdeb011009</errorID>
      <errorWord>～</errorWord>
      <group>L1_Format</group>
      <groupName>格式问题</groupName>
      <ability>L2_HalfPunc</ability>
      <abilityName>全半角检查</abilityName>
      <candidateList>
        <item>~</item>
      </candidateList>
      <explain>文本全半角错误。</explain>
      <paraID>47CB95AD</paraID>
      <start>3</start>
      <end>4</end>
      <status>ignored</status>
      <modifiedWord/>
      <trackRevisions>false</trackRevisions>
    </reviewItem>
    <reviewItem>
      <errorID>7b2f2056-1693-459b-945d-309f5f6aa968</errorID>
      <errorWord>～</errorWord>
      <group>L1_Format</group>
      <groupName>格式问题</groupName>
      <ability>L2_HalfPunc</ability>
      <abilityName>全半角检查</abilityName>
      <candidateList>
        <item>~</item>
      </candidateList>
      <explain>文本全半角错误。</explain>
      <paraID>76F5B90A</paraID>
      <start>3</start>
      <end>4</end>
      <status>ignored</status>
      <modifiedWord/>
      <trackRevisions>false</trackRevisions>
    </reviewItem>
    <reviewItem>
      <errorID>61bfa3e2-ae9c-48b2-b715-b2d9bf1cf091</errorID>
      <errorWord>～</errorWord>
      <group>L1_Format</group>
      <groupName>格式问题</groupName>
      <ability>L2_HalfPunc</ability>
      <abilityName>全半角检查</abilityName>
      <candidateList>
        <item>~</item>
      </candidateList>
      <explain>文本全半角错误。</explain>
      <paraID>3CE6C14C</paraID>
      <start>3</start>
      <end>4</end>
      <status>ignored</status>
      <modifiedWord/>
      <trackRevisions>false</trackRevisions>
    </reviewItem>
    <reviewItem>
      <errorID>b7e52d82-a3aa-4796-9b37-fb8d0d4b7e2b</errorID>
      <errorWord>～</errorWord>
      <group>L1_Format</group>
      <groupName>格式问题</groupName>
      <ability>L2_HalfPunc</ability>
      <abilityName>全半角检查</abilityName>
      <candidateList>
        <item>~</item>
      </candidateList>
      <explain>文本全半角错误。</explain>
      <paraID> D2DCFF1</paraID>
      <start>3</start>
      <end>4</end>
      <status>ignored</status>
      <modifiedWord/>
      <trackRevisions>false</trackRevisions>
    </reviewItem>
    <reviewItem>
      <errorID>099e8514-5143-42dc-8013-584f8153ede1</errorID>
      <errorWord>～</errorWord>
      <group>L1_Format</group>
      <groupName>格式问题</groupName>
      <ability>L2_HalfPunc</ability>
      <abilityName>全半角检查</abilityName>
      <candidateList>
        <item>~</item>
      </candidateList>
      <explain>文本全半角错误。</explain>
      <paraID>2180F75B</paraID>
      <start>3</start>
      <end>4</end>
      <status>ignored</status>
      <modifiedWord/>
      <trackRevisions>false</trackRevisions>
    </reviewItem>
    <reviewItem>
      <errorID>ea8ce2c3-ac9c-407b-a6c9-85e4478ab2b0</errorID>
      <errorWord>（</errorWord>
      <group>L1_Word</group>
      <groupName>字词问题</groupName>
      <ability>L2_Typo</ability>
      <abilityName>字词错误</abilityName>
      <candidateList>
        <item>（与</item>
      </candidateList>
      <explain/>
      <paraID>7DBC02FE</paraID>
      <start>149</start>
      <end>151</end>
      <status>modified</status>
      <modifiedWord>（与</modifiedWord>
      <trackRevisions>false</trackRevisions>
    </reviewItem>
    <reviewItem>
      <errorID>5a8a60f8-dbf9-4b5a-9536-d654b1444cee</errorID>
      <errorWord>-</errorWord>
      <group>L1_Punc</group>
      <groupName>标点问题</groupName>
      <ability>L2_Punc</ability>
      <abilityName>标点符号检查</abilityName>
      <candidateList>
        <item>—</item>
      </candidateList>
      <explain>根据国标GB/T 15834-2011《标点符号用法》中的4.13.3.2节，标识相关项目（如时间、地域等）的起止，以及标识数值范围（由阿拉伯数字或汉字数字构成）的起止时，一般用一字线或长浪纹线。如“25～30g”“2011年2月3日—10日”。</explain>
      <paraID>765E839F</paraID>
      <start>33</start>
      <end>34</end>
      <status>unmodified</status>
      <modifiedWord/>
      <trackRevisions>false</trackRevisions>
    </reviewItem>
    <reviewItem>
      <errorID>4938cb29-fd6f-4dcc-ba4a-2018f7075825</errorID>
      <errorWord>呼吸功能衰竭</errorWord>
      <group>L1_Knowledge</group>
      <groupName>知识性问题</groupName>
      <ability>L2_Term</ability>
      <abilityName>专业术语</abilityName>
      <candidateList>
        <item>呼吸衰竭</item>
      </candidateList>
      <explain>医学名词[呼吸功能衰竭]为不规范表述或旧称，其规范书面表述为[呼吸衰竭]。</explain>
      <paraID> 384A2FE</paraID>
      <start>112</start>
      <end>118</end>
      <status>unmodified</status>
      <modifiedWord/>
      <trackRevisions>false</trackRevisions>
    </reviewItem>
    <reviewItem>
      <errorID>ed1b6498-59e5-4579-8047-4439e10abd6d</errorID>
      <errorWord>藻类爆发</errorWord>
      <group>L1_Word</group>
      <groupName>字词问题</groupName>
      <ability>L2_Typo</ability>
      <abilityName>字词错误</abilityName>
      <candidateList>
        <item>藻类暴发</item>
      </candidateList>
      <explain/>
      <paraID> 19103DA</paraID>
      <start>201</start>
      <end>205</end>
      <status>unmodified</status>
      <modifiedWord/>
      <trackRevisions>false</trackRevisions>
    </reviewItem>
    <reviewItem>
      <errorID>2a5a3228-013c-4590-8ada-0ce225b1cdd7</errorID>
      <errorWord>泼洒</errorWord>
      <group>L1_Word</group>
      <groupName>字词问题</groupName>
      <ability>L2_Typo</ability>
      <abilityName>字词错误</abilityName>
      <candidateList>
        <item>喷洒</item>
      </candidateList>
      <explain>〈动〉喷射散落（多用于液体）：～农药。</explain>
      <paraID>318277CF</paraID>
      <start>64</start>
      <end>66</end>
      <status>unmodified</status>
      <modifiedWord/>
      <trackRevisions>false</trackRevisions>
    </reviewItem>
  </reviewItems>
  <config/>
</contractReview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E72A2F6-D823-40B3-8291-5366788C423B}">
  <ds:schemaRefs/>
</ds:datastoreItem>
</file>

<file path=customXml/itemProps3.xml><?xml version="1.0" encoding="utf-8"?>
<ds:datastoreItem xmlns:ds="http://schemas.openxmlformats.org/officeDocument/2006/customXml" ds:itemID="{0890d99c-dd8f-4705-b11d-7aeb6f073f4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32</Pages>
  <Words>20974</Words>
  <Characters>22109</Characters>
  <Lines>67</Lines>
  <Paragraphs>19</Paragraphs>
  <TotalTime>0</TotalTime>
  <ScaleCrop>false</ScaleCrop>
  <LinksUpToDate>false</LinksUpToDate>
  <CharactersWithSpaces>22597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2024-09-29T09:06:00Z</dcterms:created>
  <dc:creator>Administrator</dc:creator>
  <cp:lastModifiedBy>树年强</cp:lastModifiedBy>
  <cp:lastPrinted>2025-05-09T02:21:00Z</cp:lastPrinted>
  <dcterms:modified xsi:type="dcterms:W3CDTF">2026-01-31T15:21:52Z</dcterms:modified>
  <cp:revision>405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A922D90BF3B641DA8C66AE267C36FA1E_13</vt:lpwstr>
  </property>
  <property fmtid="{D5CDD505-2E9C-101B-9397-08002B2CF9AE}" pid="4" name="KSOTemplateDocerSaveRecord">
    <vt:lpwstr>eyJoZGlkIjoiNWQ2M2M3NjMwOWFmYTljMzU3NzA1NWI2MjAwNmRhMmMiLCJ1c2VySWQiOiI2Mzk4NzAxMjYifQ==</vt:lpwstr>
  </property>
</Properties>
</file>