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055057">
      <w:pPr>
        <w:keepNext w:val="0"/>
        <w:keepLines w:val="0"/>
        <w:pageBreakBefore w:val="0"/>
        <w:kinsoku/>
        <w:wordWrap/>
        <w:overflowPunct/>
        <w:topLinePunct w:val="0"/>
        <w:bidi w:val="0"/>
        <w:snapToGrid/>
        <w:spacing w:line="520" w:lineRule="exact"/>
        <w:jc w:val="center"/>
        <w:rPr>
          <w:rFonts w:ascii="方正小标宋简体" w:eastAsia="方正小标宋简体" w:cs="仿宋_GB2312"/>
          <w:bCs/>
          <w:color w:val="000000" w:themeColor="text1"/>
          <w:sz w:val="44"/>
          <w:szCs w:val="44"/>
          <w14:textFill>
            <w14:solidFill>
              <w14:schemeClr w14:val="tx1"/>
            </w14:solidFill>
          </w14:textFill>
        </w:rPr>
      </w:pPr>
      <w:r>
        <w:rPr>
          <w:rFonts w:hint="eastAsia" w:ascii="方正小标宋简体" w:eastAsia="方正小标宋简体" w:cs="仿宋_GB2312"/>
          <w:bCs/>
          <w:color w:val="000000" w:themeColor="text1"/>
          <w:sz w:val="44"/>
          <w:szCs w:val="44"/>
          <w14:textFill>
            <w14:solidFill>
              <w14:schemeClr w14:val="tx1"/>
            </w14:solidFill>
          </w14:textFill>
        </w:rPr>
        <w:t>团体标准《</w:t>
      </w:r>
      <w:r>
        <w:rPr>
          <w:rFonts w:hint="eastAsia" w:ascii="方正小标宋简体" w:eastAsia="方正小标宋简体" w:cs="仿宋_GB2312"/>
          <w:bCs/>
          <w:color w:val="000000" w:themeColor="text1"/>
          <w:sz w:val="44"/>
          <w:szCs w:val="44"/>
          <w:lang w:eastAsia="zh-CN"/>
          <w14:textFill>
            <w14:solidFill>
              <w14:schemeClr w14:val="tx1"/>
            </w14:solidFill>
          </w14:textFill>
        </w:rPr>
        <w:t>南美白对虾与青蟹混养技术规范</w:t>
      </w:r>
      <w:r>
        <w:rPr>
          <w:rFonts w:hint="eastAsia" w:ascii="方正小标宋简体" w:eastAsia="方正小标宋简体" w:cs="仿宋_GB2312"/>
          <w:bCs/>
          <w:color w:val="000000" w:themeColor="text1"/>
          <w:sz w:val="44"/>
          <w:szCs w:val="44"/>
          <w14:textFill>
            <w14:solidFill>
              <w14:schemeClr w14:val="tx1"/>
            </w14:solidFill>
          </w14:textFill>
        </w:rPr>
        <w:t>》（征求意见稿）编制说明</w:t>
      </w:r>
    </w:p>
    <w:p w14:paraId="62E7E0C9">
      <w:pPr>
        <w:keepNext w:val="0"/>
        <w:keepLines w:val="0"/>
        <w:pageBreakBefore w:val="0"/>
        <w:kinsoku/>
        <w:wordWrap/>
        <w:overflowPunct/>
        <w:topLinePunct w:val="0"/>
        <w:bidi w:val="0"/>
        <w:snapToGrid/>
        <w:spacing w:line="520" w:lineRule="exact"/>
        <w:ind w:firstLine="378"/>
        <w:jc w:val="center"/>
        <w:rPr>
          <w:rFonts w:ascii="方正小标宋简体" w:eastAsia="方正小标宋简体" w:cs="仿宋_GB2312"/>
          <w:bCs/>
          <w:color w:val="000000" w:themeColor="text1"/>
          <w:sz w:val="18"/>
          <w:szCs w:val="18"/>
          <w14:textFill>
            <w14:solidFill>
              <w14:schemeClr w14:val="tx1"/>
            </w14:solidFill>
          </w14:textFill>
        </w:rPr>
      </w:pPr>
    </w:p>
    <w:p w14:paraId="74A76E49">
      <w:pPr>
        <w:pStyle w:val="16"/>
        <w:keepNext w:val="0"/>
        <w:keepLines w:val="0"/>
        <w:pageBreakBefore w:val="0"/>
        <w:kinsoku/>
        <w:wordWrap/>
        <w:overflowPunct/>
        <w:topLinePunct w:val="0"/>
        <w:bidi w:val="0"/>
        <w:snapToGrid/>
        <w:spacing w:before="0" w:after="0" w:line="520" w:lineRule="exact"/>
        <w:ind w:firstLine="640" w:firstLineChars="200"/>
        <w:jc w:val="left"/>
        <w:rPr>
          <w:rFonts w:hint="eastAsia"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一、任务来源、起草单位、</w:t>
      </w:r>
      <w:r>
        <w:rPr>
          <w:rFonts w:ascii="黑体" w:hAnsi="黑体" w:eastAsia="黑体"/>
          <w:b w:val="0"/>
          <w:color w:val="000000" w:themeColor="text1"/>
          <w14:textFill>
            <w14:solidFill>
              <w14:schemeClr w14:val="tx1"/>
            </w14:solidFill>
          </w14:textFill>
        </w:rPr>
        <w:t>主要起草人</w:t>
      </w:r>
    </w:p>
    <w:p w14:paraId="563EDC9B">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根据《广西标准化协会关于下达2025年第四十二批团体标准制修订项目计划的通知》（桂标协〔2025〕384号）文件精神，由广西水产学会提出，广西壮族自治区中医药研究院、广西壮族自治区水产科学研究院、广西中医药大学、防城港市渔业技术推广站、合浦县乡村振兴发展中心、合浦县水产技术推广站等单位共同起草的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》（项目编号：2025-420</w:t>
      </w:r>
      <w:r>
        <w:rPr>
          <w:rFonts w:hint="eastAsia" w:ascii="仿宋_GB2312" w:eastAsia="仿宋_GB2312"/>
          <w:color w:val="000000" w:themeColor="text1"/>
          <w:sz w:val="32"/>
          <w:szCs w:val="32"/>
          <w:lang w:val="en-US" w:eastAsia="zh-CN"/>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）已获批立项。</w:t>
      </w:r>
    </w:p>
    <w:p w14:paraId="44A20A57">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为高质量编制团体标准《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》，由起草单位成立标准编制工作组并进行如下分工：</w:t>
      </w:r>
    </w:p>
    <w:tbl>
      <w:tblPr>
        <w:tblStyle w:val="18"/>
        <w:tblW w:w="508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1660"/>
        <w:gridCol w:w="1578"/>
        <w:gridCol w:w="2169"/>
        <w:gridCol w:w="2793"/>
      </w:tblGrid>
      <w:tr w14:paraId="11334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blHeader/>
          <w:jc w:val="center"/>
        </w:trPr>
        <w:tc>
          <w:tcPr>
            <w:tcW w:w="602" w:type="pct"/>
            <w:noWrap w:val="0"/>
            <w:vAlign w:val="center"/>
          </w:tcPr>
          <w:p w14:paraId="6776ACE6">
            <w:pPr>
              <w:keepNext w:val="0"/>
              <w:keepLines w:val="0"/>
              <w:pageBreakBefore w:val="0"/>
              <w:kinsoku/>
              <w:wordWrap/>
              <w:overflowPunct/>
              <w:topLinePunct w:val="0"/>
              <w:bidi w:val="0"/>
              <w:snapToGrid/>
              <w:spacing w:line="520" w:lineRule="exact"/>
              <w:jc w:val="center"/>
              <w:rPr>
                <w:rFonts w:ascii="仿宋_GB2312" w:hAnsi="Times New Roman" w:eastAsia="仿宋_GB2312"/>
                <w:b/>
                <w:color w:val="000000"/>
                <w:sz w:val="24"/>
              </w:rPr>
            </w:pPr>
            <w:r>
              <w:rPr>
                <w:rFonts w:hint="eastAsia" w:ascii="仿宋_GB2312" w:hAnsi="Times New Roman" w:eastAsia="仿宋_GB2312"/>
                <w:b/>
                <w:color w:val="000000"/>
                <w:sz w:val="24"/>
              </w:rPr>
              <w:t>姓名</w:t>
            </w:r>
          </w:p>
        </w:tc>
        <w:tc>
          <w:tcPr>
            <w:tcW w:w="890" w:type="pct"/>
            <w:noWrap w:val="0"/>
            <w:vAlign w:val="center"/>
          </w:tcPr>
          <w:p w14:paraId="7A94AF0C">
            <w:pPr>
              <w:keepNext w:val="0"/>
              <w:keepLines w:val="0"/>
              <w:pageBreakBefore w:val="0"/>
              <w:kinsoku/>
              <w:wordWrap/>
              <w:overflowPunct/>
              <w:topLinePunct w:val="0"/>
              <w:bidi w:val="0"/>
              <w:snapToGrid/>
              <w:spacing w:line="520" w:lineRule="exact"/>
              <w:jc w:val="center"/>
              <w:rPr>
                <w:rFonts w:ascii="仿宋_GB2312" w:hAnsi="Times New Roman" w:eastAsia="仿宋_GB2312"/>
                <w:b/>
                <w:color w:val="000000"/>
                <w:sz w:val="24"/>
              </w:rPr>
            </w:pPr>
            <w:r>
              <w:rPr>
                <w:rFonts w:hint="eastAsia" w:ascii="仿宋_GB2312" w:hAnsi="Times New Roman" w:eastAsia="仿宋_GB2312"/>
                <w:b/>
                <w:color w:val="000000"/>
                <w:sz w:val="24"/>
              </w:rPr>
              <w:t>职务/职称</w:t>
            </w:r>
          </w:p>
        </w:tc>
        <w:tc>
          <w:tcPr>
            <w:tcW w:w="846" w:type="pct"/>
            <w:noWrap w:val="0"/>
            <w:vAlign w:val="center"/>
          </w:tcPr>
          <w:p w14:paraId="7974F131">
            <w:pPr>
              <w:keepNext w:val="0"/>
              <w:keepLines w:val="0"/>
              <w:pageBreakBefore w:val="0"/>
              <w:kinsoku/>
              <w:wordWrap/>
              <w:overflowPunct/>
              <w:topLinePunct w:val="0"/>
              <w:bidi w:val="0"/>
              <w:snapToGrid/>
              <w:spacing w:line="520" w:lineRule="exact"/>
              <w:jc w:val="center"/>
              <w:rPr>
                <w:rFonts w:ascii="仿宋_GB2312" w:hAnsi="Times New Roman" w:eastAsia="仿宋_GB2312"/>
                <w:b/>
                <w:color w:val="000000"/>
                <w:sz w:val="24"/>
              </w:rPr>
            </w:pPr>
            <w:r>
              <w:rPr>
                <w:rFonts w:hint="eastAsia" w:ascii="仿宋_GB2312" w:hAnsi="Times New Roman" w:eastAsia="仿宋_GB2312"/>
                <w:b/>
                <w:color w:val="000000"/>
                <w:sz w:val="24"/>
              </w:rPr>
              <w:t>从事专业</w:t>
            </w:r>
          </w:p>
        </w:tc>
        <w:tc>
          <w:tcPr>
            <w:tcW w:w="1163" w:type="pct"/>
            <w:noWrap w:val="0"/>
            <w:vAlign w:val="center"/>
          </w:tcPr>
          <w:p w14:paraId="49DE5F7B">
            <w:pPr>
              <w:keepNext w:val="0"/>
              <w:keepLines w:val="0"/>
              <w:pageBreakBefore w:val="0"/>
              <w:kinsoku/>
              <w:wordWrap/>
              <w:overflowPunct/>
              <w:topLinePunct w:val="0"/>
              <w:bidi w:val="0"/>
              <w:snapToGrid/>
              <w:spacing w:line="520" w:lineRule="exact"/>
              <w:jc w:val="center"/>
              <w:rPr>
                <w:rFonts w:ascii="仿宋_GB2312" w:hAnsi="Times New Roman" w:eastAsia="仿宋_GB2312"/>
                <w:b/>
                <w:color w:val="000000"/>
                <w:sz w:val="24"/>
              </w:rPr>
            </w:pPr>
            <w:r>
              <w:rPr>
                <w:rFonts w:hint="eastAsia" w:ascii="仿宋_GB2312" w:hAnsi="Times New Roman" w:eastAsia="仿宋_GB2312"/>
                <w:b/>
                <w:color w:val="000000"/>
                <w:sz w:val="24"/>
              </w:rPr>
              <w:t>工作单位</w:t>
            </w:r>
          </w:p>
        </w:tc>
        <w:tc>
          <w:tcPr>
            <w:tcW w:w="1497" w:type="pct"/>
            <w:noWrap w:val="0"/>
            <w:vAlign w:val="center"/>
          </w:tcPr>
          <w:p w14:paraId="2ED9AFCD">
            <w:pPr>
              <w:keepNext w:val="0"/>
              <w:keepLines w:val="0"/>
              <w:pageBreakBefore w:val="0"/>
              <w:kinsoku/>
              <w:wordWrap/>
              <w:overflowPunct/>
              <w:topLinePunct w:val="0"/>
              <w:bidi w:val="0"/>
              <w:snapToGrid/>
              <w:spacing w:line="520" w:lineRule="exact"/>
              <w:jc w:val="center"/>
              <w:rPr>
                <w:rFonts w:ascii="仿宋_GB2312" w:hAnsi="Times New Roman" w:eastAsia="仿宋_GB2312"/>
                <w:b/>
                <w:color w:val="000000"/>
                <w:sz w:val="24"/>
              </w:rPr>
            </w:pPr>
            <w:r>
              <w:rPr>
                <w:rFonts w:hint="eastAsia" w:ascii="仿宋_GB2312" w:hAnsi="Times New Roman" w:eastAsia="仿宋_GB2312"/>
                <w:b/>
                <w:color w:val="000000"/>
                <w:sz w:val="24"/>
              </w:rPr>
              <w:t>责任分工</w:t>
            </w:r>
          </w:p>
        </w:tc>
      </w:tr>
      <w:tr w14:paraId="4617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02" w:type="pct"/>
            <w:noWrap w:val="0"/>
            <w:vAlign w:val="center"/>
          </w:tcPr>
          <w:p w14:paraId="7240BF85">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sz w:val="24"/>
                <w:szCs w:val="32"/>
                <w:lang w:val="en-US" w:eastAsia="zh-CN"/>
              </w:rPr>
            </w:pPr>
            <w:r>
              <w:rPr>
                <w:rFonts w:hint="eastAsia" w:ascii="仿宋_GB2312" w:hAnsi="仿宋" w:eastAsia="仿宋_GB2312"/>
                <w:color w:val="000000"/>
                <w:sz w:val="24"/>
                <w:szCs w:val="32"/>
                <w:lang w:val="en-US" w:eastAsia="zh-CN"/>
              </w:rPr>
              <w:t>黄艳</w:t>
            </w:r>
          </w:p>
        </w:tc>
        <w:tc>
          <w:tcPr>
            <w:tcW w:w="890" w:type="pct"/>
            <w:noWrap w:val="0"/>
            <w:vAlign w:val="center"/>
          </w:tcPr>
          <w:p w14:paraId="7FE2AADC">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sz w:val="24"/>
                <w:szCs w:val="32"/>
                <w:lang w:val="en-US" w:eastAsia="zh-CN"/>
              </w:rPr>
            </w:pPr>
            <w:r>
              <w:rPr>
                <w:rFonts w:hint="eastAsia" w:ascii="仿宋_GB2312" w:hAnsi="仿宋" w:eastAsia="仿宋_GB2312"/>
                <w:color w:val="000000"/>
                <w:sz w:val="24"/>
                <w:szCs w:val="32"/>
                <w:lang w:val="en-US" w:eastAsia="zh-CN"/>
              </w:rPr>
              <w:t>研究员</w:t>
            </w:r>
          </w:p>
        </w:tc>
        <w:tc>
          <w:tcPr>
            <w:tcW w:w="846" w:type="pct"/>
            <w:noWrap w:val="0"/>
            <w:vAlign w:val="center"/>
          </w:tcPr>
          <w:p w14:paraId="2DEF883D">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sz w:val="24"/>
                <w:szCs w:val="32"/>
                <w:lang w:val="en-US" w:eastAsia="zh-CN"/>
              </w:rPr>
            </w:pPr>
            <w:r>
              <w:rPr>
                <w:rFonts w:hint="eastAsia" w:ascii="仿宋_GB2312" w:hAnsi="仿宋" w:eastAsia="仿宋_GB2312"/>
                <w:color w:val="000000"/>
                <w:sz w:val="24"/>
                <w:szCs w:val="32"/>
                <w:lang w:val="en-US" w:eastAsia="zh-CN"/>
              </w:rPr>
              <w:t>检验检测</w:t>
            </w:r>
          </w:p>
        </w:tc>
        <w:tc>
          <w:tcPr>
            <w:tcW w:w="1163" w:type="pct"/>
            <w:noWrap w:val="0"/>
            <w:vAlign w:val="center"/>
          </w:tcPr>
          <w:p w14:paraId="64820E39">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sz w:val="24"/>
                <w:szCs w:val="32"/>
                <w:lang w:val="en-US" w:eastAsia="zh-CN"/>
              </w:rPr>
            </w:pPr>
            <w:r>
              <w:rPr>
                <w:rFonts w:hint="eastAsia" w:ascii="仿宋_GB2312" w:hAnsi="仿宋" w:eastAsia="仿宋_GB2312"/>
                <w:color w:val="000000"/>
                <w:sz w:val="24"/>
                <w:szCs w:val="32"/>
                <w:lang w:val="en-US" w:eastAsia="zh-CN"/>
              </w:rPr>
              <w:t>广西中医药研究院</w:t>
            </w:r>
          </w:p>
        </w:tc>
        <w:tc>
          <w:tcPr>
            <w:tcW w:w="1497" w:type="pct"/>
            <w:noWrap w:val="0"/>
            <w:vAlign w:val="center"/>
          </w:tcPr>
          <w:p w14:paraId="7CF52667">
            <w:pPr>
              <w:keepNext w:val="0"/>
              <w:keepLines w:val="0"/>
              <w:pageBreakBefore w:val="0"/>
              <w:suppressAutoHyphens/>
              <w:kinsoku/>
              <w:wordWrap/>
              <w:overflowPunct/>
              <w:topLinePunct w:val="0"/>
              <w:bidi w:val="0"/>
              <w:snapToGrid/>
              <w:spacing w:line="520" w:lineRule="exact"/>
              <w:rPr>
                <w:rFonts w:hint="eastAsia" w:ascii="仿宋_GB2312" w:hAnsi="仿宋_GB2312" w:eastAsia="仿宋_GB2312" w:cs="仿宋_GB2312"/>
                <w:bCs/>
                <w:color w:val="000000"/>
                <w:sz w:val="24"/>
              </w:rPr>
            </w:pPr>
            <w:r>
              <w:rPr>
                <w:rFonts w:hint="eastAsia" w:ascii="仿宋_GB2312" w:hAnsi="仿宋_GB2312" w:eastAsia="仿宋_GB2312" w:cs="仿宋_GB2312"/>
                <w:bCs/>
                <w:color w:val="000000"/>
                <w:sz w:val="24"/>
                <w:lang w:eastAsia="zh-CN"/>
              </w:rPr>
              <w:t>总统筹，组织实施</w:t>
            </w:r>
          </w:p>
        </w:tc>
      </w:tr>
      <w:tr w14:paraId="477A3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02" w:type="pct"/>
            <w:noWrap w:val="0"/>
            <w:vAlign w:val="center"/>
          </w:tcPr>
          <w:p w14:paraId="6C8A55FB">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罗帮</w:t>
            </w:r>
          </w:p>
        </w:tc>
        <w:tc>
          <w:tcPr>
            <w:tcW w:w="890" w:type="pct"/>
            <w:noWrap w:val="0"/>
            <w:vAlign w:val="center"/>
          </w:tcPr>
          <w:p w14:paraId="7284233D">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副研究员</w:t>
            </w:r>
          </w:p>
        </w:tc>
        <w:tc>
          <w:tcPr>
            <w:tcW w:w="846" w:type="pct"/>
            <w:noWrap w:val="0"/>
            <w:vAlign w:val="center"/>
          </w:tcPr>
          <w:p w14:paraId="4E21E678">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水产养殖</w:t>
            </w:r>
          </w:p>
        </w:tc>
        <w:tc>
          <w:tcPr>
            <w:tcW w:w="1163" w:type="pct"/>
            <w:noWrap w:val="0"/>
            <w:vAlign w:val="center"/>
          </w:tcPr>
          <w:p w14:paraId="4139833C">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广西水产科学研究院</w:t>
            </w:r>
          </w:p>
        </w:tc>
        <w:tc>
          <w:tcPr>
            <w:tcW w:w="1497" w:type="pct"/>
            <w:noWrap w:val="0"/>
            <w:vAlign w:val="center"/>
          </w:tcPr>
          <w:p w14:paraId="1ED6BEE5">
            <w:pPr>
              <w:keepNext w:val="0"/>
              <w:keepLines w:val="0"/>
              <w:pageBreakBefore w:val="0"/>
              <w:suppressAutoHyphens/>
              <w:kinsoku/>
              <w:wordWrap/>
              <w:overflowPunct/>
              <w:topLinePunct w:val="0"/>
              <w:bidi w:val="0"/>
              <w:snapToGrid/>
              <w:spacing w:line="520" w:lineRule="exact"/>
              <w:rPr>
                <w:rFonts w:ascii="仿宋_GB2312" w:hAnsi="仿宋_GB2312" w:eastAsia="仿宋_GB2312" w:cs="仿宋_GB2312"/>
                <w:bCs/>
                <w:color w:val="000000"/>
                <w:sz w:val="24"/>
              </w:rPr>
            </w:pPr>
            <w:r>
              <w:rPr>
                <w:rFonts w:hint="eastAsia" w:ascii="仿宋_GB2312" w:hAnsi="仿宋_GB2312" w:eastAsia="仿宋_GB2312" w:cs="仿宋_GB2312"/>
                <w:bCs/>
                <w:color w:val="000000"/>
                <w:sz w:val="24"/>
              </w:rPr>
              <w:t>统筹标准编制工作，组织人员进行规范发布后的宣贯培训。</w:t>
            </w:r>
          </w:p>
        </w:tc>
      </w:tr>
      <w:tr w14:paraId="5C903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02" w:type="pct"/>
            <w:noWrap w:val="0"/>
            <w:vAlign w:val="center"/>
          </w:tcPr>
          <w:p w14:paraId="692CB8CB">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熊建华</w:t>
            </w:r>
          </w:p>
        </w:tc>
        <w:tc>
          <w:tcPr>
            <w:tcW w:w="890" w:type="pct"/>
            <w:noWrap w:val="0"/>
            <w:vAlign w:val="center"/>
          </w:tcPr>
          <w:p w14:paraId="4F2C2DC3">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正高级农艺师</w:t>
            </w:r>
          </w:p>
        </w:tc>
        <w:tc>
          <w:tcPr>
            <w:tcW w:w="846" w:type="pct"/>
            <w:noWrap w:val="0"/>
            <w:vAlign w:val="center"/>
          </w:tcPr>
          <w:p w14:paraId="556A72F1">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水产养殖</w:t>
            </w:r>
          </w:p>
        </w:tc>
        <w:tc>
          <w:tcPr>
            <w:tcW w:w="1163" w:type="pct"/>
            <w:noWrap w:val="0"/>
            <w:vAlign w:val="center"/>
          </w:tcPr>
          <w:p w14:paraId="4D2AF553">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广西水产科学研究院</w:t>
            </w:r>
          </w:p>
        </w:tc>
        <w:tc>
          <w:tcPr>
            <w:tcW w:w="1497" w:type="pct"/>
            <w:noWrap w:val="0"/>
            <w:vAlign w:val="center"/>
          </w:tcPr>
          <w:p w14:paraId="1E1FDF9C">
            <w:pPr>
              <w:keepNext w:val="0"/>
              <w:keepLines w:val="0"/>
              <w:pageBreakBefore w:val="0"/>
              <w:suppressAutoHyphens/>
              <w:kinsoku/>
              <w:wordWrap/>
              <w:overflowPunct/>
              <w:topLinePunct w:val="0"/>
              <w:bidi w:val="0"/>
              <w:snapToGrid/>
              <w:spacing w:line="520" w:lineRule="exact"/>
              <w:rPr>
                <w:rFonts w:ascii="仿宋_GB2312" w:hAnsi="仿宋_GB2312" w:eastAsia="仿宋_GB2312" w:cs="仿宋_GB2312"/>
                <w:bCs/>
                <w:color w:val="000000"/>
                <w:sz w:val="24"/>
              </w:rPr>
            </w:pPr>
            <w:r>
              <w:rPr>
                <w:rFonts w:hint="eastAsia" w:ascii="仿宋_GB2312" w:hAnsi="仿宋_GB2312" w:eastAsia="仿宋_GB2312" w:cs="仿宋_GB2312"/>
                <w:bCs/>
                <w:color w:val="000000"/>
                <w:sz w:val="24"/>
              </w:rPr>
              <w:t>指导标准文本及编制说明编写，质量控制。</w:t>
            </w:r>
          </w:p>
        </w:tc>
      </w:tr>
      <w:tr w14:paraId="09E28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6ED62C88">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方怀义</w:t>
            </w:r>
          </w:p>
        </w:tc>
        <w:tc>
          <w:tcPr>
            <w:tcW w:w="890" w:type="pct"/>
            <w:noWrap w:val="0"/>
            <w:vAlign w:val="center"/>
          </w:tcPr>
          <w:p w14:paraId="58588D3D">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讲师</w:t>
            </w:r>
          </w:p>
        </w:tc>
        <w:tc>
          <w:tcPr>
            <w:tcW w:w="846" w:type="pct"/>
            <w:noWrap w:val="0"/>
            <w:vAlign w:val="center"/>
          </w:tcPr>
          <w:p w14:paraId="6CC24E18">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水产养殖</w:t>
            </w:r>
          </w:p>
        </w:tc>
        <w:tc>
          <w:tcPr>
            <w:tcW w:w="1163" w:type="pct"/>
            <w:noWrap w:val="0"/>
            <w:vAlign w:val="center"/>
          </w:tcPr>
          <w:p w14:paraId="4FA9A8F5">
            <w:pPr>
              <w:keepNext w:val="0"/>
              <w:keepLines w:val="0"/>
              <w:pageBreakBefore w:val="0"/>
              <w:kinsoku/>
              <w:wordWrap/>
              <w:overflowPunct/>
              <w:topLinePunct w:val="0"/>
              <w:bidi w:val="0"/>
              <w:snapToGrid/>
              <w:spacing w:line="520" w:lineRule="exact"/>
              <w:jc w:val="center"/>
              <w:textAlignment w:val="baseline"/>
              <w:rPr>
                <w:rFonts w:hint="default"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北部湾大学</w:t>
            </w:r>
          </w:p>
        </w:tc>
        <w:tc>
          <w:tcPr>
            <w:tcW w:w="1497" w:type="pct"/>
            <w:noWrap w:val="0"/>
            <w:vAlign w:val="center"/>
          </w:tcPr>
          <w:p w14:paraId="47D19A0E">
            <w:pPr>
              <w:keepNext w:val="0"/>
              <w:keepLines w:val="0"/>
              <w:pageBreakBefore w:val="0"/>
              <w:suppressAutoHyphens/>
              <w:kinsoku/>
              <w:wordWrap/>
              <w:overflowPunct/>
              <w:topLinePunct w:val="0"/>
              <w:bidi w:val="0"/>
              <w:snapToGrid/>
              <w:spacing w:line="520" w:lineRule="exact"/>
              <w:rPr>
                <w:rFonts w:ascii="仿宋_GB2312" w:hAnsi="仿宋_GB2312" w:eastAsia="仿宋_GB2312" w:cs="仿宋_GB2312"/>
                <w:bCs/>
                <w:color w:val="000000"/>
                <w:sz w:val="24"/>
              </w:rPr>
            </w:pPr>
            <w:r>
              <w:rPr>
                <w:rFonts w:hint="eastAsia" w:ascii="仿宋_GB2312" w:hAnsi="仿宋_GB2312" w:eastAsia="仿宋_GB2312" w:cs="仿宋_GB2312"/>
                <w:bCs/>
                <w:color w:val="000000"/>
                <w:sz w:val="24"/>
              </w:rPr>
              <w:t>对标准实施情况进行总结分析，不断对标准提出修正意见。</w:t>
            </w:r>
          </w:p>
        </w:tc>
      </w:tr>
      <w:tr w14:paraId="5CDAF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42C73075">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ascii="仿宋_GB2312" w:hAnsi="仿宋" w:eastAsia="仿宋_GB2312"/>
                <w:color w:val="000000"/>
                <w:sz w:val="24"/>
                <w:szCs w:val="32"/>
              </w:rPr>
              <w:t>钟声平</w:t>
            </w:r>
          </w:p>
        </w:tc>
        <w:tc>
          <w:tcPr>
            <w:tcW w:w="890" w:type="pct"/>
            <w:noWrap w:val="0"/>
            <w:vAlign w:val="center"/>
          </w:tcPr>
          <w:p w14:paraId="4C6DD8BC">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ascii="仿宋_GB2312" w:hAnsi="仿宋" w:eastAsia="仿宋_GB2312"/>
                <w:color w:val="000000"/>
                <w:sz w:val="24"/>
                <w:szCs w:val="32"/>
              </w:rPr>
              <w:t>副研究员</w:t>
            </w:r>
          </w:p>
        </w:tc>
        <w:tc>
          <w:tcPr>
            <w:tcW w:w="846" w:type="pct"/>
            <w:noWrap w:val="0"/>
            <w:vAlign w:val="center"/>
          </w:tcPr>
          <w:p w14:paraId="134F002F">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 w:eastAsia="仿宋_GB2312"/>
                <w:color w:val="000000"/>
                <w:sz w:val="24"/>
                <w:szCs w:val="32"/>
              </w:rPr>
              <w:t>海洋</w:t>
            </w:r>
            <w:r>
              <w:rPr>
                <w:rFonts w:ascii="仿宋_GB2312" w:hAnsi="仿宋" w:eastAsia="仿宋_GB2312"/>
                <w:color w:val="000000"/>
                <w:sz w:val="24"/>
                <w:szCs w:val="32"/>
              </w:rPr>
              <w:t>生物技术</w:t>
            </w:r>
          </w:p>
        </w:tc>
        <w:tc>
          <w:tcPr>
            <w:tcW w:w="1163" w:type="pct"/>
            <w:noWrap w:val="0"/>
            <w:vAlign w:val="center"/>
          </w:tcPr>
          <w:p w14:paraId="2DB3811D">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ascii="仿宋_GB2312" w:hAnsi="仿宋" w:eastAsia="仿宋_GB2312"/>
                <w:color w:val="000000"/>
                <w:sz w:val="24"/>
                <w:szCs w:val="32"/>
              </w:rPr>
              <w:t>广西中医药大学</w:t>
            </w:r>
          </w:p>
        </w:tc>
        <w:tc>
          <w:tcPr>
            <w:tcW w:w="1497" w:type="pct"/>
            <w:noWrap w:val="0"/>
            <w:vAlign w:val="center"/>
          </w:tcPr>
          <w:p w14:paraId="58BB281B">
            <w:pPr>
              <w:keepNext w:val="0"/>
              <w:keepLines w:val="0"/>
              <w:pageBreakBefore w:val="0"/>
              <w:suppressAutoHyphens/>
              <w:kinsoku/>
              <w:wordWrap/>
              <w:overflowPunct/>
              <w:topLinePunct w:val="0"/>
              <w:bidi w:val="0"/>
              <w:snapToGrid/>
              <w:spacing w:line="520" w:lineRule="exact"/>
              <w:rPr>
                <w:rFonts w:ascii="仿宋_GB2312" w:hAnsi="仿宋_GB2312" w:eastAsia="仿宋_GB2312" w:cs="仿宋_GB2312"/>
                <w:bCs/>
                <w:color w:val="000000"/>
                <w:sz w:val="24"/>
              </w:rPr>
            </w:pPr>
            <w:r>
              <w:rPr>
                <w:rFonts w:hint="eastAsia" w:ascii="仿宋_GB2312" w:hAnsi="仿宋_GB2312" w:eastAsia="仿宋_GB2312" w:cs="仿宋_GB2312"/>
                <w:bCs/>
                <w:color w:val="000000"/>
                <w:sz w:val="24"/>
              </w:rPr>
              <w:t>负责起草标准草案，征求意见稿和标准编制说明，送审稿及编制说明的编写工作。</w:t>
            </w:r>
          </w:p>
        </w:tc>
      </w:tr>
      <w:tr w14:paraId="3700C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3DC8CCFD">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陈明生</w:t>
            </w:r>
          </w:p>
        </w:tc>
        <w:tc>
          <w:tcPr>
            <w:tcW w:w="890" w:type="pct"/>
            <w:noWrap w:val="0"/>
            <w:vAlign w:val="center"/>
          </w:tcPr>
          <w:p w14:paraId="415ED992">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szCs w:val="21"/>
                <w:lang w:eastAsia="zh-CN"/>
              </w:rPr>
            </w:pPr>
            <w:r>
              <w:rPr>
                <w:rFonts w:hint="eastAsia" w:ascii="仿宋_GB2312" w:hAnsi="仿宋_GB2312" w:eastAsia="仿宋_GB2312" w:cs="仿宋_GB2312"/>
                <w:color w:val="000000"/>
                <w:szCs w:val="21"/>
                <w:lang w:eastAsia="zh-CN"/>
              </w:rPr>
              <w:t>副主任药师</w:t>
            </w:r>
          </w:p>
        </w:tc>
        <w:tc>
          <w:tcPr>
            <w:tcW w:w="846" w:type="pct"/>
            <w:noWrap w:val="0"/>
            <w:vAlign w:val="center"/>
          </w:tcPr>
          <w:p w14:paraId="4954DEC2">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检验检测</w:t>
            </w:r>
          </w:p>
        </w:tc>
        <w:tc>
          <w:tcPr>
            <w:tcW w:w="1163" w:type="pct"/>
            <w:noWrap w:val="0"/>
            <w:vAlign w:val="center"/>
          </w:tcPr>
          <w:p w14:paraId="23D61A50">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广西中医药研究院</w:t>
            </w:r>
          </w:p>
        </w:tc>
        <w:tc>
          <w:tcPr>
            <w:tcW w:w="1497" w:type="pct"/>
            <w:noWrap w:val="0"/>
            <w:vAlign w:val="center"/>
          </w:tcPr>
          <w:p w14:paraId="138629ED">
            <w:pPr>
              <w:keepNext w:val="0"/>
              <w:keepLines w:val="0"/>
              <w:pageBreakBefore w:val="0"/>
              <w:suppressAutoHyphens/>
              <w:kinsoku/>
              <w:wordWrap/>
              <w:overflowPunct/>
              <w:topLinePunct w:val="0"/>
              <w:bidi w:val="0"/>
              <w:snapToGrid/>
              <w:spacing w:line="520" w:lineRule="exact"/>
              <w:rPr>
                <w:rFonts w:hint="eastAsia"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751F3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278BF94E">
            <w:pPr>
              <w:keepNext w:val="0"/>
              <w:keepLines w:val="0"/>
              <w:pageBreakBefore w:val="0"/>
              <w:kinsoku/>
              <w:wordWrap/>
              <w:overflowPunct/>
              <w:topLinePunct w:val="0"/>
              <w:bidi w:val="0"/>
              <w:snapToGrid/>
              <w:spacing w:line="520" w:lineRule="exact"/>
              <w:jc w:val="center"/>
              <w:textAlignment w:val="baseline"/>
              <w:rPr>
                <w:rFonts w:hint="default" w:ascii="仿宋_GB2312" w:hAnsi="仿宋" w:eastAsia="仿宋_GB2312"/>
                <w:color w:val="000000"/>
                <w:kern w:val="2"/>
                <w:sz w:val="24"/>
                <w:szCs w:val="32"/>
                <w:lang w:val="en-US" w:eastAsia="zh-CN" w:bidi="ar-SA"/>
              </w:rPr>
            </w:pPr>
            <w:r>
              <w:rPr>
                <w:rFonts w:ascii="仿宋_GB2312" w:hAnsi="仿宋_GB2312" w:eastAsia="仿宋_GB2312" w:cs="仿宋_GB2312"/>
                <w:color w:val="000000"/>
                <w:szCs w:val="21"/>
              </w:rPr>
              <w:t>黄国强</w:t>
            </w:r>
          </w:p>
        </w:tc>
        <w:tc>
          <w:tcPr>
            <w:tcW w:w="890" w:type="pct"/>
            <w:noWrap w:val="0"/>
            <w:vAlign w:val="center"/>
          </w:tcPr>
          <w:p w14:paraId="382B6D6A">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ascii="仿宋_GB2312" w:hAnsi="仿宋_GB2312" w:eastAsia="仿宋_GB2312" w:cs="仿宋_GB2312"/>
                <w:color w:val="000000"/>
                <w:szCs w:val="21"/>
              </w:rPr>
              <w:t>研究员</w:t>
            </w:r>
          </w:p>
        </w:tc>
        <w:tc>
          <w:tcPr>
            <w:tcW w:w="846" w:type="pct"/>
            <w:noWrap w:val="0"/>
            <w:vAlign w:val="center"/>
          </w:tcPr>
          <w:p w14:paraId="7E7A80D9">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ascii="仿宋_GB2312" w:hAnsi="仿宋_GB2312" w:eastAsia="仿宋_GB2312" w:cs="仿宋_GB2312"/>
                <w:color w:val="000000"/>
                <w:szCs w:val="21"/>
              </w:rPr>
              <w:t>海水养殖生态</w:t>
            </w:r>
          </w:p>
        </w:tc>
        <w:tc>
          <w:tcPr>
            <w:tcW w:w="1163" w:type="pct"/>
            <w:noWrap w:val="0"/>
            <w:vAlign w:val="center"/>
          </w:tcPr>
          <w:p w14:paraId="05EC350E">
            <w:pPr>
              <w:keepNext w:val="0"/>
              <w:keepLines w:val="0"/>
              <w:pageBreakBefore w:val="0"/>
              <w:kinsoku/>
              <w:wordWrap/>
              <w:overflowPunct/>
              <w:topLinePunct w:val="0"/>
              <w:bidi w:val="0"/>
              <w:snapToGrid/>
              <w:spacing w:line="520" w:lineRule="exact"/>
              <w:jc w:val="center"/>
              <w:textAlignment w:val="baseline"/>
              <w:rPr>
                <w:rFonts w:hint="default" w:ascii="仿宋_GB2312" w:hAnsi="仿宋" w:eastAsia="仿宋_GB2312"/>
                <w:color w:val="000000"/>
                <w:kern w:val="2"/>
                <w:sz w:val="24"/>
                <w:szCs w:val="32"/>
                <w:lang w:val="en-US" w:eastAsia="zh-CN" w:bidi="ar-SA"/>
              </w:rPr>
            </w:pPr>
            <w:r>
              <w:rPr>
                <w:rFonts w:ascii="仿宋_GB2312" w:hAnsi="仿宋_GB2312" w:eastAsia="仿宋_GB2312" w:cs="仿宋_GB2312"/>
                <w:color w:val="000000"/>
                <w:szCs w:val="21"/>
              </w:rPr>
              <w:t>广西中医药大学</w:t>
            </w:r>
          </w:p>
        </w:tc>
        <w:tc>
          <w:tcPr>
            <w:tcW w:w="1497" w:type="pct"/>
            <w:noWrap w:val="0"/>
            <w:vAlign w:val="center"/>
          </w:tcPr>
          <w:p w14:paraId="27FCCFAF">
            <w:pPr>
              <w:keepNext w:val="0"/>
              <w:keepLines w:val="0"/>
              <w:pageBreakBefore w:val="0"/>
              <w:suppressAutoHyphens/>
              <w:kinsoku/>
              <w:wordWrap/>
              <w:overflowPunct/>
              <w:topLinePunct w:val="0"/>
              <w:bidi w:val="0"/>
              <w:snapToGrid/>
              <w:spacing w:line="520" w:lineRule="exact"/>
              <w:rPr>
                <w:rFonts w:ascii="仿宋_GB2312" w:hAnsi="仿宋_GB2312" w:eastAsia="仿宋_GB2312" w:cs="仿宋_GB2312"/>
                <w:bCs/>
                <w:color w:val="000000"/>
                <w:sz w:val="24"/>
              </w:rPr>
            </w:pPr>
            <w:r>
              <w:rPr>
                <w:rFonts w:hint="eastAsia" w:ascii="仿宋_GB2312" w:hAnsi="Times New Roman" w:eastAsia="仿宋_GB2312"/>
                <w:bCs/>
                <w:color w:val="000000"/>
                <w:sz w:val="24"/>
              </w:rPr>
              <w:t>负责起草标准草案，征求意见稿和标准编制说明，送审稿及编制说明的编写工作。</w:t>
            </w:r>
          </w:p>
        </w:tc>
      </w:tr>
      <w:tr w14:paraId="09225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773D6512">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szCs w:val="21"/>
                <w:lang w:val="en-US" w:eastAsia="zh-CN"/>
              </w:rPr>
              <w:t>谭小青</w:t>
            </w:r>
          </w:p>
        </w:tc>
        <w:tc>
          <w:tcPr>
            <w:tcW w:w="890" w:type="pct"/>
            <w:noWrap w:val="0"/>
            <w:vAlign w:val="center"/>
          </w:tcPr>
          <w:p w14:paraId="190FDDD2">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szCs w:val="21"/>
                <w:lang w:val="en-US" w:eastAsia="zh-CN"/>
              </w:rPr>
            </w:pPr>
            <w:r>
              <w:rPr>
                <w:rFonts w:hint="eastAsia" w:ascii="仿宋_GB2312" w:hAnsi="仿宋_GB2312" w:eastAsia="仿宋_GB2312" w:cs="仿宋_GB2312"/>
                <w:color w:val="000000"/>
                <w:szCs w:val="21"/>
                <w:lang w:val="en-US" w:eastAsia="zh-CN"/>
              </w:rPr>
              <w:t>副主任药师</w:t>
            </w:r>
          </w:p>
        </w:tc>
        <w:tc>
          <w:tcPr>
            <w:tcW w:w="846" w:type="pct"/>
            <w:noWrap w:val="0"/>
            <w:vAlign w:val="center"/>
          </w:tcPr>
          <w:p w14:paraId="2466E588">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检验检测</w:t>
            </w:r>
          </w:p>
        </w:tc>
        <w:tc>
          <w:tcPr>
            <w:tcW w:w="1163" w:type="pct"/>
            <w:noWrap w:val="0"/>
            <w:vAlign w:val="center"/>
          </w:tcPr>
          <w:p w14:paraId="587439C7">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广西中医药研究院</w:t>
            </w:r>
          </w:p>
        </w:tc>
        <w:tc>
          <w:tcPr>
            <w:tcW w:w="1497" w:type="pct"/>
            <w:noWrap w:val="0"/>
            <w:vAlign w:val="center"/>
          </w:tcPr>
          <w:p w14:paraId="4111CB5C">
            <w:pPr>
              <w:keepNext w:val="0"/>
              <w:keepLines w:val="0"/>
              <w:pageBreakBefore w:val="0"/>
              <w:suppressAutoHyphens/>
              <w:kinsoku/>
              <w:wordWrap/>
              <w:overflowPunct/>
              <w:topLinePunct w:val="0"/>
              <w:bidi w:val="0"/>
              <w:snapToGrid/>
              <w:spacing w:line="520" w:lineRule="exact"/>
              <w:rPr>
                <w:rFonts w:hint="eastAsia" w:ascii="仿宋_GB2312" w:hAnsi="Times New Roman" w:eastAsia="仿宋_GB2312"/>
                <w:bCs/>
                <w:color w:val="000000"/>
                <w:kern w:val="2"/>
                <w:sz w:val="24"/>
                <w:szCs w:val="24"/>
                <w:lang w:val="en-US" w:eastAsia="zh-CN" w:bidi="ar-SA"/>
              </w:rPr>
            </w:pPr>
            <w:r>
              <w:rPr>
                <w:rFonts w:hint="eastAsia" w:ascii="仿宋_GB2312" w:hAnsi="Times New Roman" w:eastAsia="仿宋_GB2312"/>
                <w:bCs/>
                <w:color w:val="000000"/>
                <w:sz w:val="24"/>
              </w:rPr>
              <w:t>查询、收集和整理资料，协助标准文本及编制说明的编写、实施。</w:t>
            </w:r>
          </w:p>
        </w:tc>
      </w:tr>
      <w:tr w14:paraId="665AA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2E3FA408">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张艳秋</w:t>
            </w:r>
          </w:p>
        </w:tc>
        <w:tc>
          <w:tcPr>
            <w:tcW w:w="890" w:type="pct"/>
            <w:noWrap w:val="0"/>
            <w:vAlign w:val="center"/>
          </w:tcPr>
          <w:p w14:paraId="16B858DD">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副教授</w:t>
            </w:r>
          </w:p>
        </w:tc>
        <w:tc>
          <w:tcPr>
            <w:tcW w:w="846" w:type="pct"/>
            <w:noWrap w:val="0"/>
            <w:vAlign w:val="center"/>
          </w:tcPr>
          <w:p w14:paraId="6E862783">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饲料营养</w:t>
            </w:r>
          </w:p>
        </w:tc>
        <w:tc>
          <w:tcPr>
            <w:tcW w:w="1163" w:type="pct"/>
            <w:noWrap w:val="0"/>
            <w:vAlign w:val="center"/>
          </w:tcPr>
          <w:p w14:paraId="67BCA6D3">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北部湾大学</w:t>
            </w:r>
          </w:p>
        </w:tc>
        <w:tc>
          <w:tcPr>
            <w:tcW w:w="1497" w:type="pct"/>
            <w:noWrap w:val="0"/>
            <w:vAlign w:val="center"/>
          </w:tcPr>
          <w:p w14:paraId="2456C698">
            <w:pPr>
              <w:keepNext w:val="0"/>
              <w:keepLines w:val="0"/>
              <w:pageBreakBefore w:val="0"/>
              <w:suppressAutoHyphens/>
              <w:kinsoku/>
              <w:wordWrap/>
              <w:overflowPunct/>
              <w:topLinePunct w:val="0"/>
              <w:bidi w:val="0"/>
              <w:snapToGrid/>
              <w:spacing w:line="520" w:lineRule="exact"/>
              <w:rPr>
                <w:rFonts w:ascii="仿宋_GB2312" w:hAnsi="仿宋_GB2312" w:eastAsia="仿宋_GB2312" w:cs="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1B96B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2DDA688A">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秦普亿</w:t>
            </w:r>
          </w:p>
        </w:tc>
        <w:tc>
          <w:tcPr>
            <w:tcW w:w="890" w:type="pct"/>
            <w:noWrap w:val="0"/>
            <w:vAlign w:val="center"/>
          </w:tcPr>
          <w:p w14:paraId="7DB65C4C">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工程师</w:t>
            </w:r>
          </w:p>
        </w:tc>
        <w:tc>
          <w:tcPr>
            <w:tcW w:w="846" w:type="pct"/>
            <w:noWrap w:val="0"/>
            <w:vAlign w:val="center"/>
          </w:tcPr>
          <w:p w14:paraId="4D1777CF">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08256C66">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合浦县水产技术推广站</w:t>
            </w:r>
          </w:p>
        </w:tc>
        <w:tc>
          <w:tcPr>
            <w:tcW w:w="1497" w:type="pct"/>
            <w:noWrap w:val="0"/>
            <w:vAlign w:val="center"/>
          </w:tcPr>
          <w:p w14:paraId="1EA38C67">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34994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735EA20D">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张彬</w:t>
            </w:r>
          </w:p>
        </w:tc>
        <w:tc>
          <w:tcPr>
            <w:tcW w:w="890" w:type="pct"/>
            <w:noWrap w:val="0"/>
            <w:vAlign w:val="center"/>
          </w:tcPr>
          <w:p w14:paraId="1139B110">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正高级农艺师</w:t>
            </w:r>
          </w:p>
        </w:tc>
        <w:tc>
          <w:tcPr>
            <w:tcW w:w="846" w:type="pct"/>
            <w:noWrap w:val="0"/>
            <w:vAlign w:val="center"/>
          </w:tcPr>
          <w:p w14:paraId="3706B659">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05868B08">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 w:eastAsia="仿宋_GB2312"/>
                <w:color w:val="000000"/>
                <w:sz w:val="24"/>
                <w:szCs w:val="32"/>
                <w:lang w:val="en-US" w:eastAsia="zh-CN"/>
              </w:rPr>
              <w:t>广西水产科学研究院</w:t>
            </w:r>
          </w:p>
        </w:tc>
        <w:tc>
          <w:tcPr>
            <w:tcW w:w="1497" w:type="pct"/>
            <w:noWrap w:val="0"/>
            <w:vAlign w:val="center"/>
          </w:tcPr>
          <w:p w14:paraId="1BEEC844">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3DED5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4A210E86">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赵永贞</w:t>
            </w:r>
          </w:p>
        </w:tc>
        <w:tc>
          <w:tcPr>
            <w:tcW w:w="890" w:type="pct"/>
            <w:noWrap w:val="0"/>
            <w:vAlign w:val="center"/>
          </w:tcPr>
          <w:p w14:paraId="276174B2">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研究员</w:t>
            </w:r>
          </w:p>
        </w:tc>
        <w:tc>
          <w:tcPr>
            <w:tcW w:w="846" w:type="pct"/>
            <w:noWrap w:val="0"/>
            <w:vAlign w:val="center"/>
          </w:tcPr>
          <w:p w14:paraId="4F3DB9B5">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481738CB">
            <w:pPr>
              <w:keepNext w:val="0"/>
              <w:keepLines w:val="0"/>
              <w:pageBreakBefore w:val="0"/>
              <w:kinsoku/>
              <w:wordWrap/>
              <w:overflowPunct/>
              <w:topLinePunct w:val="0"/>
              <w:bidi w:val="0"/>
              <w:snapToGrid/>
              <w:spacing w:line="520" w:lineRule="exact"/>
              <w:jc w:val="center"/>
              <w:textAlignment w:val="baseline"/>
              <w:rPr>
                <w:rFonts w:hint="eastAsia" w:ascii="仿宋_GB2312" w:hAnsi="仿宋" w:eastAsia="仿宋_GB2312"/>
                <w:color w:val="000000"/>
                <w:kern w:val="2"/>
                <w:sz w:val="24"/>
                <w:szCs w:val="32"/>
                <w:lang w:val="en-US" w:eastAsia="zh-CN" w:bidi="ar-SA"/>
              </w:rPr>
            </w:pPr>
            <w:r>
              <w:rPr>
                <w:rFonts w:hint="eastAsia" w:ascii="仿宋_GB2312" w:hAnsi="仿宋" w:eastAsia="仿宋_GB2312"/>
                <w:color w:val="000000"/>
                <w:sz w:val="24"/>
                <w:szCs w:val="32"/>
                <w:lang w:val="en-US" w:eastAsia="zh-CN"/>
              </w:rPr>
              <w:t>广西水产科学研究院</w:t>
            </w:r>
          </w:p>
        </w:tc>
        <w:tc>
          <w:tcPr>
            <w:tcW w:w="1497" w:type="pct"/>
            <w:noWrap w:val="0"/>
            <w:vAlign w:val="top"/>
          </w:tcPr>
          <w:p w14:paraId="35A46BAC">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2168D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16A52044">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黄德生</w:t>
            </w:r>
          </w:p>
        </w:tc>
        <w:tc>
          <w:tcPr>
            <w:tcW w:w="890" w:type="pct"/>
            <w:noWrap w:val="0"/>
            <w:vAlign w:val="center"/>
          </w:tcPr>
          <w:p w14:paraId="6BBD5551">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正高级农艺师</w:t>
            </w:r>
          </w:p>
        </w:tc>
        <w:tc>
          <w:tcPr>
            <w:tcW w:w="846" w:type="pct"/>
            <w:noWrap w:val="0"/>
            <w:vAlign w:val="center"/>
          </w:tcPr>
          <w:p w14:paraId="0A7533C0">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4DFDE89B">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合浦县水产技术推广站</w:t>
            </w:r>
          </w:p>
        </w:tc>
        <w:tc>
          <w:tcPr>
            <w:tcW w:w="1497" w:type="pct"/>
            <w:noWrap w:val="0"/>
            <w:vAlign w:val="top"/>
          </w:tcPr>
          <w:p w14:paraId="16645AC4">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547A0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3DD24A11">
            <w:pPr>
              <w:keepNext w:val="0"/>
              <w:keepLines w:val="0"/>
              <w:pageBreakBefore w:val="0"/>
              <w:kinsoku/>
              <w:wordWrap/>
              <w:overflowPunct/>
              <w:topLinePunct w:val="0"/>
              <w:bidi w:val="0"/>
              <w:snapToGrid/>
              <w:spacing w:line="520" w:lineRule="exact"/>
              <w:jc w:val="center"/>
              <w:textAlignment w:val="baseline"/>
              <w:rPr>
                <w:rFonts w:ascii="仿宋_GB2312" w:hAnsi="仿宋" w:eastAsia="仿宋_GB2312"/>
                <w:color w:val="000000"/>
                <w:kern w:val="2"/>
                <w:sz w:val="24"/>
                <w:szCs w:val="32"/>
                <w:lang w:val="en-US" w:eastAsia="zh-CN" w:bidi="ar-SA"/>
              </w:rPr>
            </w:pPr>
            <w:r>
              <w:rPr>
                <w:rFonts w:hint="eastAsia" w:ascii="仿宋_GB2312" w:hAnsi="仿宋_GB2312" w:eastAsia="仿宋_GB2312" w:cs="仿宋_GB2312"/>
                <w:color w:val="000000"/>
                <w:szCs w:val="21"/>
                <w:lang w:val="en-US" w:eastAsia="zh-CN"/>
              </w:rPr>
              <w:t>花廷鹏</w:t>
            </w:r>
          </w:p>
        </w:tc>
        <w:tc>
          <w:tcPr>
            <w:tcW w:w="890" w:type="pct"/>
            <w:noWrap w:val="0"/>
            <w:vAlign w:val="center"/>
          </w:tcPr>
          <w:p w14:paraId="7BCF3719">
            <w:pPr>
              <w:keepNext w:val="0"/>
              <w:keepLines w:val="0"/>
              <w:pageBreakBefore w:val="0"/>
              <w:kinsoku/>
              <w:wordWrap/>
              <w:overflowPunct/>
              <w:topLinePunct w:val="0"/>
              <w:bidi w:val="0"/>
              <w:snapToGrid/>
              <w:spacing w:line="520" w:lineRule="exact"/>
              <w:jc w:val="center"/>
              <w:textAlignment w:val="baseline"/>
              <w:rPr>
                <w:rFonts w:ascii="仿宋_GB2312" w:hAnsi="仿宋" w:eastAsia="仿宋_GB2312"/>
                <w:color w:val="000000"/>
                <w:kern w:val="2"/>
                <w:sz w:val="24"/>
                <w:szCs w:val="32"/>
                <w:lang w:val="en-US" w:eastAsia="zh-CN" w:bidi="ar-SA"/>
              </w:rPr>
            </w:pPr>
            <w:r>
              <w:rPr>
                <w:rFonts w:hint="eastAsia" w:ascii="仿宋_GB2312" w:hAnsi="仿宋_GB2312" w:eastAsia="仿宋_GB2312" w:cs="仿宋_GB2312"/>
                <w:color w:val="000000"/>
                <w:szCs w:val="21"/>
                <w:lang w:val="en-US" w:eastAsia="zh-CN"/>
              </w:rPr>
              <w:t>工程师</w:t>
            </w:r>
          </w:p>
        </w:tc>
        <w:tc>
          <w:tcPr>
            <w:tcW w:w="846" w:type="pct"/>
            <w:noWrap w:val="0"/>
            <w:vAlign w:val="center"/>
          </w:tcPr>
          <w:p w14:paraId="4D54C673">
            <w:pPr>
              <w:keepNext w:val="0"/>
              <w:keepLines w:val="0"/>
              <w:pageBreakBefore w:val="0"/>
              <w:kinsoku/>
              <w:wordWrap/>
              <w:overflowPunct/>
              <w:topLinePunct w:val="0"/>
              <w:bidi w:val="0"/>
              <w:snapToGrid/>
              <w:spacing w:line="520" w:lineRule="exact"/>
              <w:jc w:val="center"/>
              <w:textAlignment w:val="baseline"/>
              <w:rPr>
                <w:rFonts w:ascii="仿宋_GB2312" w:hAnsi="仿宋" w:eastAsia="仿宋_GB2312"/>
                <w:color w:val="000000"/>
                <w:kern w:val="2"/>
                <w:sz w:val="24"/>
                <w:szCs w:val="32"/>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6D131D3B">
            <w:pPr>
              <w:keepNext w:val="0"/>
              <w:keepLines w:val="0"/>
              <w:pageBreakBefore w:val="0"/>
              <w:kinsoku/>
              <w:wordWrap/>
              <w:overflowPunct/>
              <w:topLinePunct w:val="0"/>
              <w:bidi w:val="0"/>
              <w:snapToGrid/>
              <w:spacing w:line="520" w:lineRule="exact"/>
              <w:jc w:val="center"/>
              <w:textAlignment w:val="baseline"/>
              <w:rPr>
                <w:rFonts w:ascii="仿宋_GB2312" w:hAnsi="仿宋" w:eastAsia="仿宋_GB2312"/>
                <w:color w:val="000000"/>
                <w:kern w:val="2"/>
                <w:sz w:val="24"/>
                <w:szCs w:val="32"/>
                <w:lang w:val="en-US" w:eastAsia="zh-CN" w:bidi="ar-SA"/>
              </w:rPr>
            </w:pPr>
            <w:r>
              <w:rPr>
                <w:rFonts w:hint="eastAsia" w:ascii="仿宋_GB2312" w:hAnsi="仿宋_GB2312" w:eastAsia="仿宋_GB2312" w:cs="仿宋_GB2312"/>
                <w:color w:val="000000"/>
                <w:szCs w:val="21"/>
                <w:lang w:val="en-US" w:eastAsia="zh-CN"/>
              </w:rPr>
              <w:t>合浦县乡村振兴发展中心</w:t>
            </w:r>
          </w:p>
        </w:tc>
        <w:tc>
          <w:tcPr>
            <w:tcW w:w="1497" w:type="pct"/>
            <w:noWrap w:val="0"/>
            <w:vAlign w:val="top"/>
          </w:tcPr>
          <w:p w14:paraId="66489307">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0E91E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26C4B6A7">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高程海</w:t>
            </w:r>
          </w:p>
        </w:tc>
        <w:tc>
          <w:tcPr>
            <w:tcW w:w="890" w:type="pct"/>
            <w:noWrap w:val="0"/>
            <w:vAlign w:val="center"/>
          </w:tcPr>
          <w:p w14:paraId="13EC7E40">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研究员</w:t>
            </w:r>
          </w:p>
        </w:tc>
        <w:tc>
          <w:tcPr>
            <w:tcW w:w="846" w:type="pct"/>
            <w:noWrap w:val="0"/>
            <w:vAlign w:val="center"/>
          </w:tcPr>
          <w:p w14:paraId="624B1E3C">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海洋药用资源</w:t>
            </w:r>
          </w:p>
        </w:tc>
        <w:tc>
          <w:tcPr>
            <w:tcW w:w="1163" w:type="pct"/>
            <w:noWrap w:val="0"/>
            <w:vAlign w:val="center"/>
          </w:tcPr>
          <w:p w14:paraId="3030CF7A">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广西中医药大学</w:t>
            </w:r>
          </w:p>
        </w:tc>
        <w:tc>
          <w:tcPr>
            <w:tcW w:w="1497" w:type="pct"/>
            <w:noWrap w:val="0"/>
            <w:vAlign w:val="top"/>
          </w:tcPr>
          <w:p w14:paraId="0990B880">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49443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2FCD2F02">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黄亮华</w:t>
            </w:r>
          </w:p>
        </w:tc>
        <w:tc>
          <w:tcPr>
            <w:tcW w:w="890" w:type="pct"/>
            <w:noWrap w:val="0"/>
            <w:vAlign w:val="center"/>
          </w:tcPr>
          <w:p w14:paraId="25C1D9AB">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助理研究员</w:t>
            </w:r>
          </w:p>
        </w:tc>
        <w:tc>
          <w:tcPr>
            <w:tcW w:w="846" w:type="pct"/>
            <w:noWrap w:val="0"/>
            <w:vAlign w:val="center"/>
          </w:tcPr>
          <w:p w14:paraId="08852302">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海水养殖</w:t>
            </w:r>
          </w:p>
        </w:tc>
        <w:tc>
          <w:tcPr>
            <w:tcW w:w="1163" w:type="pct"/>
            <w:noWrap w:val="0"/>
            <w:vAlign w:val="center"/>
          </w:tcPr>
          <w:p w14:paraId="2361280A">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ascii="仿宋_GB2312" w:hAnsi="仿宋_GB2312" w:eastAsia="仿宋_GB2312" w:cs="仿宋_GB2312"/>
                <w:color w:val="000000"/>
                <w:szCs w:val="21"/>
              </w:rPr>
              <w:t>广西中医药大学</w:t>
            </w:r>
          </w:p>
        </w:tc>
        <w:tc>
          <w:tcPr>
            <w:tcW w:w="1497" w:type="pct"/>
            <w:noWrap w:val="0"/>
            <w:vAlign w:val="top"/>
          </w:tcPr>
          <w:p w14:paraId="2E714E85">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465D4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2E834CE3">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黄忠国</w:t>
            </w:r>
          </w:p>
        </w:tc>
        <w:tc>
          <w:tcPr>
            <w:tcW w:w="890" w:type="pct"/>
            <w:noWrap w:val="0"/>
            <w:vAlign w:val="center"/>
          </w:tcPr>
          <w:p w14:paraId="0DF0BF82">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工程师</w:t>
            </w:r>
          </w:p>
        </w:tc>
        <w:tc>
          <w:tcPr>
            <w:tcW w:w="846" w:type="pct"/>
            <w:noWrap w:val="0"/>
            <w:vAlign w:val="center"/>
          </w:tcPr>
          <w:p w14:paraId="300CA44B">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1E3F0634">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防城港市渔业技术推广站</w:t>
            </w:r>
          </w:p>
        </w:tc>
        <w:tc>
          <w:tcPr>
            <w:tcW w:w="1497" w:type="pct"/>
            <w:noWrap w:val="0"/>
            <w:vAlign w:val="top"/>
          </w:tcPr>
          <w:p w14:paraId="2D221E7E">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131BE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368D89B4">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黄忠杰</w:t>
            </w:r>
          </w:p>
        </w:tc>
        <w:tc>
          <w:tcPr>
            <w:tcW w:w="890" w:type="pct"/>
            <w:noWrap w:val="0"/>
            <w:vAlign w:val="center"/>
          </w:tcPr>
          <w:p w14:paraId="4D9A646C">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工程师</w:t>
            </w:r>
          </w:p>
        </w:tc>
        <w:tc>
          <w:tcPr>
            <w:tcW w:w="846" w:type="pct"/>
            <w:noWrap w:val="0"/>
            <w:vAlign w:val="center"/>
          </w:tcPr>
          <w:p w14:paraId="3391005C">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33DF6D1E">
            <w:pPr>
              <w:keepNext w:val="0"/>
              <w:keepLines w:val="0"/>
              <w:pageBreakBefore w:val="0"/>
              <w:kinsoku/>
              <w:wordWrap/>
              <w:overflowPunct/>
              <w:topLinePunct w:val="0"/>
              <w:bidi w:val="0"/>
              <w:snapToGrid/>
              <w:spacing w:line="520" w:lineRule="exact"/>
              <w:jc w:val="center"/>
              <w:textAlignment w:val="baseline"/>
              <w:rPr>
                <w:rFonts w:hint="default"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防城港市渔业技术推广站</w:t>
            </w:r>
          </w:p>
        </w:tc>
        <w:tc>
          <w:tcPr>
            <w:tcW w:w="1497" w:type="pct"/>
            <w:noWrap w:val="0"/>
            <w:vAlign w:val="top"/>
          </w:tcPr>
          <w:p w14:paraId="4330B5C3">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r w14:paraId="46D62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602" w:type="pct"/>
            <w:noWrap w:val="0"/>
            <w:vAlign w:val="center"/>
          </w:tcPr>
          <w:p w14:paraId="00586C8A">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曾尚伟</w:t>
            </w:r>
          </w:p>
        </w:tc>
        <w:tc>
          <w:tcPr>
            <w:tcW w:w="890" w:type="pct"/>
            <w:noWrap w:val="0"/>
            <w:vAlign w:val="center"/>
          </w:tcPr>
          <w:p w14:paraId="78F32EE3">
            <w:pPr>
              <w:keepNext w:val="0"/>
              <w:keepLines w:val="0"/>
              <w:pageBreakBefore w:val="0"/>
              <w:kinsoku/>
              <w:wordWrap/>
              <w:overflowPunct/>
              <w:topLinePunct w:val="0"/>
              <w:bidi w:val="0"/>
              <w:snapToGrid/>
              <w:spacing w:line="520" w:lineRule="exact"/>
              <w:jc w:val="center"/>
              <w:textAlignment w:val="baseline"/>
              <w:rPr>
                <w:rFonts w:hint="eastAsia"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工程师</w:t>
            </w:r>
          </w:p>
        </w:tc>
        <w:tc>
          <w:tcPr>
            <w:tcW w:w="846" w:type="pct"/>
            <w:noWrap w:val="0"/>
            <w:vAlign w:val="center"/>
          </w:tcPr>
          <w:p w14:paraId="58AAB102">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水产养殖</w:t>
            </w:r>
          </w:p>
        </w:tc>
        <w:tc>
          <w:tcPr>
            <w:tcW w:w="1163" w:type="pct"/>
            <w:noWrap w:val="0"/>
            <w:vAlign w:val="center"/>
          </w:tcPr>
          <w:p w14:paraId="567A46BB">
            <w:pPr>
              <w:keepNext w:val="0"/>
              <w:keepLines w:val="0"/>
              <w:pageBreakBefore w:val="0"/>
              <w:kinsoku/>
              <w:wordWrap/>
              <w:overflowPunct/>
              <w:topLinePunct w:val="0"/>
              <w:bidi w:val="0"/>
              <w:snapToGrid/>
              <w:spacing w:line="520" w:lineRule="exact"/>
              <w:jc w:val="center"/>
              <w:textAlignment w:val="baseline"/>
              <w:rPr>
                <w:rFonts w:ascii="仿宋_GB2312" w:hAnsi="仿宋_GB2312" w:eastAsia="仿宋_GB2312" w:cs="仿宋_GB2312"/>
                <w:color w:val="000000"/>
                <w:kern w:val="2"/>
                <w:sz w:val="21"/>
                <w:szCs w:val="21"/>
                <w:lang w:val="en-US" w:eastAsia="zh-CN" w:bidi="ar-SA"/>
              </w:rPr>
            </w:pPr>
            <w:r>
              <w:rPr>
                <w:rFonts w:hint="eastAsia" w:ascii="仿宋_GB2312" w:hAnsi="仿宋_GB2312" w:eastAsia="仿宋_GB2312" w:cs="仿宋_GB2312"/>
                <w:color w:val="000000"/>
                <w:szCs w:val="21"/>
                <w:lang w:val="en-US" w:eastAsia="zh-CN"/>
              </w:rPr>
              <w:t>防城港市渔业技术推广站</w:t>
            </w:r>
          </w:p>
        </w:tc>
        <w:tc>
          <w:tcPr>
            <w:tcW w:w="1497" w:type="pct"/>
            <w:noWrap w:val="0"/>
            <w:vAlign w:val="top"/>
          </w:tcPr>
          <w:p w14:paraId="5F11E50B">
            <w:pPr>
              <w:keepNext w:val="0"/>
              <w:keepLines w:val="0"/>
              <w:pageBreakBefore w:val="0"/>
              <w:suppressAutoHyphens/>
              <w:kinsoku/>
              <w:wordWrap/>
              <w:overflowPunct/>
              <w:topLinePunct w:val="0"/>
              <w:bidi w:val="0"/>
              <w:snapToGrid/>
              <w:spacing w:line="520" w:lineRule="exact"/>
              <w:rPr>
                <w:rFonts w:ascii="仿宋_GB2312" w:hAnsi="Times New Roman" w:eastAsia="仿宋_GB2312"/>
                <w:bCs/>
                <w:color w:val="000000"/>
                <w:sz w:val="24"/>
              </w:rPr>
            </w:pPr>
            <w:r>
              <w:rPr>
                <w:rFonts w:hint="eastAsia" w:ascii="仿宋_GB2312" w:hAnsi="Times New Roman" w:eastAsia="仿宋_GB2312"/>
                <w:bCs/>
                <w:color w:val="000000"/>
                <w:sz w:val="24"/>
              </w:rPr>
              <w:t>查询、收集和整理资料，协助标准文本及编制说明的编写、实施。</w:t>
            </w:r>
          </w:p>
        </w:tc>
      </w:tr>
    </w:tbl>
    <w:p w14:paraId="396A51D1">
      <w:pPr>
        <w:pStyle w:val="16"/>
        <w:keepNext w:val="0"/>
        <w:keepLines w:val="0"/>
        <w:pageBreakBefore w:val="0"/>
        <w:kinsoku/>
        <w:wordWrap/>
        <w:overflowPunct/>
        <w:topLinePunct w:val="0"/>
        <w:bidi w:val="0"/>
        <w:snapToGrid/>
        <w:spacing w:before="0" w:after="0" w:line="520" w:lineRule="exact"/>
        <w:ind w:firstLine="640" w:firstLineChars="200"/>
        <w:jc w:val="left"/>
        <w:rPr>
          <w:rFonts w:hint="eastAsia"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二、制定标准的必要性和意义</w:t>
      </w:r>
    </w:p>
    <w:p w14:paraId="487B5237">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近年来随着居民消费水平的提升和消费观念的转变，对于高品质海鲜产品的需求日益旺盛，虾类和青蟹消费需求也在不断增长。我国东南沿海作为混养模式的主产区，已形成多个万亩级连片养殖基地，成为区域渔业经济的支柱。其中，广东省湛江市廉江市营仔镇表现尤为典型，该镇4.2万多亩水产养殖面积中，以龙营围、江洲围两个万亩连片基地为核心，虾蟹混养模式占比超60%，仅这两大基地的混养面积就达1.8万余亩，年总产值接近10亿元，占全镇农业产值的50%以上。在广西北部湾地区，作为南美白对虾主产区（2024年海水养殖面积达33.06万亩），青蟹混养已成为池塘养殖的主流模式，仅防城港市防城区茅岭镇、港口区光坡镇就有270多户农户参与，混养面积达6000多亩，户均年纯收入超9.5万元。受市场需求拉动与政策支持，虾蟹混养面积呈逐年递增态势。廉江市营仔镇的养殖户在收益驱动下，单户养殖面积从40亩向140亩扩张，当地混养户数量从2022年的60余户增长至2025年的近百户；无棣县在混养模式试验成功后，明确提出“提高养殖密度、实现产量翻两番”的目标，计划将混养面积进一步扩大；定边县的混养规模规划从80亩跃升至500亩，增幅超5倍。综合测算，全国南美白对虾与青蟹混养面积已突破50万亩，且以年均15%-20%的速度增长，成为水产养殖中最具活力的模式之一。经过多年科研攻关与生产实践，南美白对虾与青蟹混养已形成从池塘构建到收获追溯的全链条成熟技术体系，为标准制定提供了丰富的实践依据和科学支撑，具备“有技术可转化、有经验可提炼”的有利条件。</w:t>
      </w:r>
    </w:p>
    <w:p w14:paraId="438A33D2">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由于缺乏统一标准，各地养殖技术差异极大，从苗种投放、饲料投喂到水质调控均呈现“各自为战”的状态。在苗种投放环节，广西部分养殖户南美白对虾投放密度达3.02万尾/亩，青蟹仅281只/亩，而广东营仔镇的混养密度则为对虾</w:t>
      </w:r>
      <w:r>
        <w:rPr>
          <w:rFonts w:hint="eastAsia" w:ascii="仿宋_GB2312" w:eastAsia="仿宋_GB2312"/>
          <w:color w:val="000000" w:themeColor="text1"/>
          <w:sz w:val="32"/>
          <w:szCs w:val="32"/>
          <w:lang w:eastAsia="zh-CN"/>
          <w14:textFill>
            <w14:solidFill>
              <w14:schemeClr w14:val="tx1"/>
            </w14:solidFill>
          </w14:textFill>
        </w:rPr>
        <w:t>3万—5万</w:t>
      </w:r>
      <w:r>
        <w:rPr>
          <w:rFonts w:hint="eastAsia" w:ascii="仿宋_GB2312" w:eastAsia="仿宋_GB2312"/>
          <w:color w:val="000000" w:themeColor="text1"/>
          <w:sz w:val="32"/>
          <w:szCs w:val="32"/>
          <w14:textFill>
            <w14:solidFill>
              <w14:schemeClr w14:val="tx1"/>
            </w14:solidFill>
          </w14:textFill>
        </w:rPr>
        <w:t>尾/亩、青蟹1000只/亩，两者差距近4倍</w:t>
      </w:r>
      <w:r>
        <w:rPr>
          <w:rFonts w:hint="eastAsia" w:ascii="仿宋_GB2312" w:eastAsia="仿宋_GB2312"/>
          <w:color w:val="000000" w:themeColor="text1"/>
          <w:sz w:val="32"/>
          <w:szCs w:val="32"/>
          <w:lang w:eastAsia="zh-CN"/>
          <w14:textFill>
            <w14:solidFill>
              <w14:schemeClr w14:val="tx1"/>
            </w14:solidFill>
          </w14:textFill>
        </w:rPr>
        <w:t>；在</w:t>
      </w:r>
      <w:r>
        <w:rPr>
          <w:rFonts w:hint="eastAsia" w:ascii="仿宋_GB2312" w:eastAsia="仿宋_GB2312"/>
          <w:color w:val="000000" w:themeColor="text1"/>
          <w:sz w:val="32"/>
          <w:szCs w:val="32"/>
          <w14:textFill>
            <w14:solidFill>
              <w14:schemeClr w14:val="tx1"/>
            </w14:solidFill>
          </w14:textFill>
        </w:rPr>
        <w:t>饲料投喂上，有的养殖户依赖天然饵料，有的则过量投放人工饲料，导致残饵污染水质，增加病害风险。技术差异直接引发效益分化：营仔镇规范管理的养殖户亩均收益超2万元，而技术粗放的养殖户亩均收益不足5000元，甚至出现亏损；无棣县混养模式亩产值7500元，而部分内陆地区因技术不当，亩产值仅3000元左右。标准缺失导致产品质量难以把控，安全隐患时有发生。在病害防治中，部分养殖户为降低成本，违规使用高毒渔药，而规范养殖则采用“微生物制剂+碘制剂”的绿色防控方式</w:t>
      </w:r>
      <w:r>
        <w:rPr>
          <w:rFonts w:hint="eastAsia" w:ascii="仿宋_GB2312" w:eastAsia="仿宋_GB2312"/>
          <w:color w:val="000000" w:themeColor="text1"/>
          <w:sz w:val="32"/>
          <w:szCs w:val="32"/>
          <w:lang w:eastAsia="zh-CN"/>
          <w14:textFill>
            <w14:solidFill>
              <w14:schemeClr w14:val="tx1"/>
            </w14:solidFill>
          </w14:textFill>
        </w:rPr>
        <w:t>；在</w:t>
      </w:r>
      <w:r>
        <w:rPr>
          <w:rFonts w:hint="eastAsia" w:ascii="仿宋_GB2312" w:eastAsia="仿宋_GB2312"/>
          <w:color w:val="000000" w:themeColor="text1"/>
          <w:sz w:val="32"/>
          <w:szCs w:val="32"/>
          <w14:textFill>
            <w14:solidFill>
              <w14:schemeClr w14:val="tx1"/>
            </w14:solidFill>
          </w14:textFill>
        </w:rPr>
        <w:t>饲料选择上，劣质饲料导致产品蛋白质含量波动，定边县盐碱地混养的对虾蛋白质含量比普通养殖高12%，而部分地区产品因饲料问题口感松散、品质低下。质量差异使市场出现“劣币驱逐良币”现象，消费者对虾蟹产品信任度下降，甚至出现“同一品种、不同价格”的混乱局面，严重影响产业品牌化发展。部分养殖区域未配套尾水处理设施，直接排放富营养化尾水，导致近岸海域水质恶化；有的养殖户为追求产量，过度投放苗种，破坏水体生态平衡，引发对虾白斑综合症、青蟹黄斑病等病害大规模爆发，发病率较规范养殖区域高30%-50%。广西虽已出台《海水养殖尾水排放标准》，但由于缺乏混养专属技术规范，尾水处理设施建设与养殖模式不匹配，达标排放率不足60%，生态压力日益凸显。</w:t>
      </w:r>
    </w:p>
    <w:p w14:paraId="3A9B5362">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因此，通过制定团体标准《南美白对虾与青蟹混养技术规范》，以标准为抓手，规范南美白对虾与青蟹混养养殖技术，以标准化技术手段，确保养殖过程的标准化和规范化，提高南美白对虾与青蟹混养效率和产品质量</w:t>
      </w:r>
      <w:r>
        <w:rPr>
          <w:rFonts w:hint="eastAsia" w:ascii="仿宋_GB2312" w:eastAsia="仿宋_GB2312"/>
          <w:color w:val="000000" w:themeColor="text1"/>
          <w:sz w:val="32"/>
          <w:szCs w:val="32"/>
          <w:lang w:eastAsia="zh-CN"/>
          <w14:textFill>
            <w14:solidFill>
              <w14:schemeClr w14:val="tx1"/>
            </w14:solidFill>
          </w14:textFill>
        </w:rPr>
        <w:t>，对</w:t>
      </w:r>
      <w:r>
        <w:rPr>
          <w:rFonts w:hint="eastAsia" w:ascii="仿宋_GB2312" w:eastAsia="仿宋_GB2312"/>
          <w:color w:val="000000" w:themeColor="text1"/>
          <w:sz w:val="32"/>
          <w:szCs w:val="32"/>
          <w14:textFill>
            <w14:solidFill>
              <w14:schemeClr w14:val="tx1"/>
            </w14:solidFill>
          </w14:textFill>
        </w:rPr>
        <w:t>推动南美白对虾与青蟹产业发展具有重要意义。</w:t>
      </w:r>
    </w:p>
    <w:p w14:paraId="73DAB89B">
      <w:pPr>
        <w:keepNext w:val="0"/>
        <w:keepLines w:val="0"/>
        <w:pageBreakBefore w:val="0"/>
        <w:kinsoku/>
        <w:wordWrap/>
        <w:overflowPunct/>
        <w:topLinePunct w:val="0"/>
        <w:autoSpaceDE w:val="0"/>
        <w:autoSpaceDN w:val="0"/>
        <w:bidi w:val="0"/>
        <w:adjustRightInd w:val="0"/>
        <w:snapToGrid/>
        <w:spacing w:line="52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三、主要起草过程</w:t>
      </w:r>
    </w:p>
    <w:p w14:paraId="28E902A1">
      <w:pPr>
        <w:keepNext w:val="0"/>
        <w:keepLines w:val="0"/>
        <w:pageBreakBefore w:val="0"/>
        <w:kinsoku/>
        <w:wordWrap/>
        <w:overflowPunct/>
        <w:topLinePunct w:val="0"/>
        <w:bidi w:val="0"/>
        <w:snapToGrid/>
        <w:spacing w:line="52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（一）成立标准编制工作组</w:t>
      </w:r>
    </w:p>
    <w:p w14:paraId="0E1698C2">
      <w:pPr>
        <w:keepNext w:val="0"/>
        <w:keepLines w:val="0"/>
        <w:pageBreakBefore w:val="0"/>
        <w:kinsoku/>
        <w:wordWrap/>
        <w:overflowPunct/>
        <w:topLinePunct w:val="0"/>
        <w:bidi w:val="0"/>
        <w:snapToGrid/>
        <w:spacing w:line="520" w:lineRule="exact"/>
        <w:ind w:firstLine="640" w:firstLineChars="200"/>
        <w:jc w:val="lef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项目任务下达后，广西壮族自治区中医药研究院、广西壮族自治区水产科学研究院、广西中医药大学、防城港市渔业技术推广站、合浦县乡村振兴发展中心、合浦县水产技术推广站等单位成立了标准编制工作组，制定了起草编写方案与进度安排，明确任务职责，确定工作技术路线，开展标准研制工作。具体标准编制工作由起草单位相关人员配合完成。</w:t>
      </w:r>
    </w:p>
    <w:p w14:paraId="13EEFBC8">
      <w:pPr>
        <w:keepNext w:val="0"/>
        <w:keepLines w:val="0"/>
        <w:pageBreakBefore w:val="0"/>
        <w:kinsoku/>
        <w:wordWrap/>
        <w:overflowPunct/>
        <w:topLinePunct w:val="0"/>
        <w:bidi w:val="0"/>
        <w:snapToGrid/>
        <w:spacing w:line="520" w:lineRule="exact"/>
        <w:ind w:firstLine="640" w:firstLineChars="200"/>
        <w:jc w:val="lef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为了明确标准编制的任务职责，确定工作技术路线，开展标准研制工作。编制工作组下设三个组，分别是资料收集组、草案编写组、标准实施组。</w:t>
      </w:r>
    </w:p>
    <w:p w14:paraId="523DEF10">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资料收集组负责国内外有关</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技术相关文献资料的查询、收集和整理工作，查阅前期对</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技术的有关研究情况和目前科学界关于</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技术的研究进展。</w:t>
      </w:r>
    </w:p>
    <w:p w14:paraId="2D0916A0">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草案编写组负责起草标准草案及后续征求意见稿和标准编制说明、送审稿及编制说明等编写工作，包括后期召开征求意见会、网上征求意见，以及标准的不断修改和完善。</w:t>
      </w:r>
    </w:p>
    <w:p w14:paraId="50B5BB7C">
      <w:pPr>
        <w:keepNext w:val="0"/>
        <w:keepLines w:val="0"/>
        <w:pageBreakBefore w:val="0"/>
        <w:kinsoku/>
        <w:wordWrap/>
        <w:overflowPunct/>
        <w:topLinePunct w:val="0"/>
        <w:bidi w:val="0"/>
        <w:snapToGrid/>
        <w:spacing w:line="520" w:lineRule="exact"/>
        <w:ind w:firstLine="640" w:firstLineChars="200"/>
        <w:jc w:val="left"/>
        <w:rPr>
          <w:rFonts w:ascii="仿宋_GB2312" w:eastAsia="仿宋_GB2312" w:cs="仿宋_GB2312"/>
          <w:color w:val="000000" w:themeColor="text1"/>
          <w:sz w:val="28"/>
          <w:szCs w:val="28"/>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标准实施组负责团体标准《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》发布后，组织相关单位开展标准宣贯培训会，对标准进行详细解读，让相关人员了解标准，并根据标准对</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技术进行规范化操作，并对标准实施情况进行总结分析，不断对标准提出修正意见。</w:t>
      </w:r>
    </w:p>
    <w:p w14:paraId="66E66933">
      <w:pPr>
        <w:keepNext w:val="0"/>
        <w:keepLines w:val="0"/>
        <w:pageBreakBefore w:val="0"/>
        <w:kinsoku/>
        <w:wordWrap/>
        <w:overflowPunct/>
        <w:topLinePunct w:val="0"/>
        <w:bidi w:val="0"/>
        <w:snapToGrid/>
        <w:spacing w:line="52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（二）收集整理文献资料</w:t>
      </w:r>
    </w:p>
    <w:p w14:paraId="305EAB9C">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highlight w:val="yellow"/>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标准编制工作组收集了国内有关南美白对虾混养、</w:t>
      </w:r>
      <w:r>
        <w:rPr>
          <w:rFonts w:hint="eastAsia" w:ascii="仿宋_GB2312" w:eastAsia="仿宋_GB2312"/>
          <w:color w:val="000000" w:themeColor="text1"/>
          <w:sz w:val="32"/>
          <w:szCs w:val="32"/>
          <w:lang w:eastAsia="zh-CN"/>
          <w14:textFill>
            <w14:solidFill>
              <w14:schemeClr w14:val="tx1"/>
            </w14:solidFill>
          </w14:textFill>
        </w:rPr>
        <w:t>青蟹</w:t>
      </w:r>
      <w:r>
        <w:rPr>
          <w:rFonts w:hint="eastAsia" w:ascii="仿宋_GB2312" w:eastAsia="仿宋_GB2312"/>
          <w:color w:val="000000" w:themeColor="text1"/>
          <w:sz w:val="32"/>
          <w:szCs w:val="32"/>
          <w14:textFill>
            <w14:solidFill>
              <w14:schemeClr w14:val="tx1"/>
            </w14:solidFill>
          </w14:textFill>
        </w:rPr>
        <w:t>养殖的相关资料。主要有：</w:t>
      </w:r>
    </w:p>
    <w:p w14:paraId="30EC52BE">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《DB14/ T 2735—2023  稻蟹虾综合种养技术规程》《DB21/T 2825.8-2021 池塘混养技术规程 第8部分：克氏原整虾与中华绒螯蟹》《DB32/T 3772-2020 河蟹与南美白对虾池塘双主养技术规范》《DB32/ T 4238-2022 河蟹套养青虾生态养殖技术规范》《DB3205/T 208-2011“太湖1号”青虾与河蟹池塘混养操作规程》</w:t>
      </w:r>
    </w:p>
    <w:p w14:paraId="752F0B07">
      <w:pPr>
        <w:keepNext w:val="0"/>
        <w:keepLines w:val="0"/>
        <w:pageBreakBefore w:val="0"/>
        <w:kinsoku/>
        <w:wordWrap/>
        <w:overflowPunct/>
        <w:topLinePunct w:val="0"/>
        <w:bidi w:val="0"/>
        <w:snapToGrid/>
        <w:spacing w:line="52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（三）研讨确定标准特色</w:t>
      </w:r>
      <w:r>
        <w:rPr>
          <w:rFonts w:ascii="楷体" w:hAnsi="楷体" w:eastAsia="楷体" w:cs="楷体"/>
          <w:b/>
          <w:color w:val="000000" w:themeColor="text1"/>
          <w:sz w:val="32"/>
          <w:szCs w:val="32"/>
          <w14:textFill>
            <w14:solidFill>
              <w14:schemeClr w14:val="tx1"/>
            </w14:solidFill>
          </w14:textFill>
        </w:rPr>
        <w:t>、</w:t>
      </w:r>
      <w:r>
        <w:rPr>
          <w:rFonts w:hint="eastAsia" w:ascii="楷体" w:hAnsi="楷体" w:eastAsia="楷体" w:cs="楷体"/>
          <w:b/>
          <w:color w:val="000000" w:themeColor="text1"/>
          <w:sz w:val="32"/>
          <w:szCs w:val="32"/>
          <w14:textFill>
            <w14:solidFill>
              <w14:schemeClr w14:val="tx1"/>
            </w14:solidFill>
          </w14:textFill>
        </w:rPr>
        <w:t>创新点和主体内容</w:t>
      </w:r>
    </w:p>
    <w:p w14:paraId="28C6FABD">
      <w:pPr>
        <w:pStyle w:val="34"/>
        <w:keepNext w:val="0"/>
        <w:keepLines w:val="0"/>
        <w:pageBreakBefore w:val="0"/>
        <w:kinsoku/>
        <w:wordWrap/>
        <w:overflowPunct/>
        <w:topLinePunct w:val="0"/>
        <w:bidi w:val="0"/>
        <w:snapToGrid/>
        <w:spacing w:line="520" w:lineRule="exact"/>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标准编制工作组在对收集的资料进行整理研究之后，标准编制工作组召开了标准编制会议，对标准的整体框架结构进行了研究，并对标准的关键性内容进行了初步探讨。经过研究，标准特色、创新点和主体内容如下</w:t>
      </w:r>
      <w:r>
        <w:rPr>
          <w:rFonts w:ascii="仿宋_GB2312" w:hAnsi="Calibri" w:eastAsia="仿宋_GB2312"/>
          <w:color w:val="000000" w:themeColor="text1"/>
          <w14:textFill>
            <w14:solidFill>
              <w14:schemeClr w14:val="tx1"/>
            </w14:solidFill>
          </w14:textFill>
        </w:rPr>
        <w:t>：</w:t>
      </w:r>
    </w:p>
    <w:p w14:paraId="24988C4A">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1.创新三位一体混养逻辑，解决种间竞争难题</w:t>
      </w:r>
    </w:p>
    <w:p w14:paraId="2AF0F8EB">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 xml:space="preserve">传统混养多依赖“大水体粗放混养”，易出现青蟹捕食对虾、空间争夺等问题；本标准通过“功能分区（物理隔离）+时序投放（大小错峰）+水生植物（生态庇护）”，从物理、时间、生态三个维度减少种间冲突，“多品种搭配”但更聚焦虾蟹协同，实测可提升虾蟹存活率 </w:t>
      </w:r>
      <w:r>
        <w:rPr>
          <w:rFonts w:hint="eastAsia" w:ascii="仿宋_GB2312" w:hAnsi="Calibri" w:eastAsia="仿宋_GB2312"/>
          <w:color w:val="000000" w:themeColor="text1"/>
          <w:lang w:eastAsia="zh-CN"/>
          <w14:textFill>
            <w14:solidFill>
              <w14:schemeClr w14:val="tx1"/>
            </w14:solidFill>
          </w14:textFill>
        </w:rPr>
        <w:t>15%～20%</w:t>
      </w:r>
      <w:r>
        <w:rPr>
          <w:rFonts w:hint="eastAsia" w:ascii="仿宋_GB2312" w:hAnsi="Calibri" w:eastAsia="仿宋_GB2312"/>
          <w:color w:val="000000" w:themeColor="text1"/>
          <w14:textFill>
            <w14:solidFill>
              <w14:schemeClr w14:val="tx1"/>
            </w14:solidFill>
          </w14:textFill>
        </w:rPr>
        <w:t>（按标准附录病害防控数据推算）。</w:t>
      </w:r>
    </w:p>
    <w:p w14:paraId="63ED7442">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2.首创青蟹蜕壳期“多因子协同保护”技术，提升成蟹品质</w:t>
      </w:r>
    </w:p>
    <w:p w14:paraId="108007C0">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针对青蟹蜕壳期易受攻击、存活率低的痛点，标准明确蜕壳前3天“调水深（1.0</w:t>
      </w:r>
      <w:r>
        <w:rPr>
          <w:rFonts w:hint="eastAsia" w:ascii="仿宋_GB2312" w:hAnsi="Calibri" w:eastAsia="仿宋_GB2312"/>
          <w:color w:val="000000" w:themeColor="text1"/>
          <w:lang w:val="en-US" w:eastAsia="zh-CN"/>
          <w14:textFill>
            <w14:solidFill>
              <w14:schemeClr w14:val="tx1"/>
            </w14:solidFill>
          </w14:textFill>
        </w:rPr>
        <w:t>-</w:t>
      </w:r>
      <w:r>
        <w:rPr>
          <w:rFonts w:hint="eastAsia" w:ascii="仿宋_GB2312" w:hAnsi="Calibri" w:eastAsia="仿宋_GB2312"/>
          <w:color w:val="000000" w:themeColor="text1"/>
          <w14:textFill>
            <w14:solidFill>
              <w14:schemeClr w14:val="tx1"/>
            </w14:solidFill>
          </w14:textFill>
        </w:rPr>
        <w:t>1.2m）+ 停换水消毒 + 泼氯化钙（500g/667m²）+ 磷酸二氢钠（300g/667m²）+ 遮阳网控光（≤5000lux）”，高峰期加投碎贝壳（10kg/667m²）并隔离受攻击个体；较常规 “仅停喂”更系统，可使软壳蟹存活率提升至 85% 以上，且促进甲壳硬化，提升成蟹规格（甲宽≥8cm 比例提高 10%）。</w:t>
      </w:r>
    </w:p>
    <w:p w14:paraId="734DD5C4">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3.构建盐度适应性调控体系，拓展混养地域范围</w:t>
      </w:r>
    </w:p>
    <w:p w14:paraId="0FD031E4">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突破传统“固定盐度养殖”局限，通过“苗种驯化（盐度梯度提升）+植物适配（按盐度选种）+应急调控（盐度骤变处理）”，实现10‰</w:t>
      </w:r>
      <w:r>
        <w:rPr>
          <w:rFonts w:hint="eastAsia" w:ascii="仿宋_GB2312" w:hAnsi="Calibri" w:eastAsia="仿宋_GB2312"/>
          <w:color w:val="000000" w:themeColor="text1"/>
          <w:lang w:val="en-US" w:eastAsia="zh-CN"/>
          <w14:textFill>
            <w14:solidFill>
              <w14:schemeClr w14:val="tx1"/>
            </w14:solidFill>
          </w14:textFill>
        </w:rPr>
        <w:t>-</w:t>
      </w:r>
      <w:r>
        <w:rPr>
          <w:rFonts w:hint="eastAsia" w:ascii="仿宋_GB2312" w:hAnsi="Calibri" w:eastAsia="仿宋_GB2312"/>
          <w:color w:val="000000" w:themeColor="text1"/>
          <w14:textFill>
            <w14:solidFill>
              <w14:schemeClr w14:val="tx1"/>
            </w14:solidFill>
          </w14:textFill>
        </w:rPr>
        <w:t>32‰盐度区间的稳定混养，既适用于广西沿海，也可推广至榆林盐碱地、福建沿海等区域，扩大技术适用范围。</w:t>
      </w:r>
    </w:p>
    <w:p w14:paraId="55FF0A3D">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4.创新“中药+微生物”绿色病害防控模式，保障产品安全</w:t>
      </w:r>
    </w:p>
    <w:p w14:paraId="687A6CA1">
      <w:pPr>
        <w:pStyle w:val="34"/>
        <w:keepNext w:val="0"/>
        <w:keepLines w:val="0"/>
        <w:pageBreakBefore w:val="0"/>
        <w:kinsoku/>
        <w:wordWrap/>
        <w:overflowPunct/>
        <w:topLinePunct w:val="0"/>
        <w:bidi w:val="0"/>
        <w:snapToGrid/>
        <w:spacing w:line="520" w:lineRule="exact"/>
        <w:rPr>
          <w:rFonts w:hint="eastAsia"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摒弃传统“依赖抗生素”的防控方式，采用“中药提取液（黄芩+黄柏+大黄=2:1:1，2</w:t>
      </w:r>
      <w:r>
        <w:rPr>
          <w:rFonts w:hint="eastAsia" w:ascii="仿宋_GB2312" w:hAnsi="Calibri" w:eastAsia="仿宋_GB2312"/>
          <w:color w:val="000000" w:themeColor="text1"/>
          <w:lang w:val="en-US" w:eastAsia="zh-CN"/>
          <w14:textFill>
            <w14:solidFill>
              <w14:schemeClr w14:val="tx1"/>
            </w14:solidFill>
          </w14:textFill>
        </w:rPr>
        <w:t>-</w:t>
      </w:r>
      <w:r>
        <w:rPr>
          <w:rFonts w:hint="eastAsia" w:ascii="仿宋_GB2312" w:hAnsi="Calibri" w:eastAsia="仿宋_GB2312"/>
          <w:color w:val="000000" w:themeColor="text1"/>
          <w14:textFill>
            <w14:solidFill>
              <w14:schemeClr w14:val="tx1"/>
            </w14:solidFill>
          </w14:textFill>
        </w:rPr>
        <w:t>2.5kg/667m²）+ 蛭弧菌（200</w:t>
      </w:r>
      <w:r>
        <w:rPr>
          <w:rFonts w:hint="eastAsia" w:ascii="仿宋_GB2312" w:hAnsi="Calibri" w:eastAsia="仿宋_GB2312"/>
          <w:color w:val="000000" w:themeColor="text1"/>
          <w:lang w:val="en-US" w:eastAsia="zh-CN"/>
          <w14:textFill>
            <w14:solidFill>
              <w14:schemeClr w14:val="tx1"/>
            </w14:solidFill>
          </w14:textFill>
        </w:rPr>
        <w:t>-</w:t>
      </w:r>
      <w:r>
        <w:rPr>
          <w:rFonts w:hint="eastAsia" w:ascii="仿宋_GB2312" w:hAnsi="Calibri" w:eastAsia="仿宋_GB2312"/>
          <w:color w:val="000000" w:themeColor="text1"/>
          <w14:textFill>
            <w14:solidFill>
              <w14:schemeClr w14:val="tx1"/>
            </w14:solidFill>
          </w14:textFill>
        </w:rPr>
        <w:t>300mL/667m²）+聚维酮碘（0.3mg/L）”组合方案，且明确禁用硫酸铜、硫酸锌等重金属药物（铅、镉残留≤0.05mg/kg），符合 NY 5071（渔用药物准则），同时附录详细列出青蟹4类病害的“预防 - 治疗 - 休药期”，保障产品安全可追溯。</w:t>
      </w:r>
    </w:p>
    <w:p w14:paraId="095E4878">
      <w:pPr>
        <w:pStyle w:val="34"/>
        <w:keepNext w:val="0"/>
        <w:keepLines w:val="0"/>
        <w:pageBreakBefore w:val="0"/>
        <w:kinsoku/>
        <w:wordWrap/>
        <w:overflowPunct/>
        <w:topLinePunct w:val="0"/>
        <w:bidi w:val="0"/>
        <w:snapToGrid/>
        <w:spacing w:line="520" w:lineRule="exact"/>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2</w:t>
      </w:r>
      <w:r>
        <w:rPr>
          <w:rFonts w:ascii="仿宋_GB2312" w:hAnsi="Calibri" w:eastAsia="仿宋_GB2312"/>
          <w:color w:val="000000" w:themeColor="text1"/>
          <w14:textFill>
            <w14:solidFill>
              <w14:schemeClr w14:val="tx1"/>
            </w14:solidFill>
          </w14:textFill>
        </w:rPr>
        <w:t>.</w:t>
      </w:r>
      <w:r>
        <w:rPr>
          <w:rFonts w:hint="eastAsia" w:ascii="仿宋_GB2312" w:hAnsi="Calibri" w:eastAsia="仿宋_GB2312"/>
          <w:color w:val="000000" w:themeColor="text1"/>
          <w14:textFill>
            <w14:solidFill>
              <w14:schemeClr w14:val="tx1"/>
            </w14:solidFill>
          </w14:textFill>
        </w:rPr>
        <w:t>主体内容</w:t>
      </w:r>
    </w:p>
    <w:p w14:paraId="010ED1D4">
      <w:pPr>
        <w:pStyle w:val="34"/>
        <w:keepNext w:val="0"/>
        <w:keepLines w:val="0"/>
        <w:pageBreakBefore w:val="0"/>
        <w:kinsoku/>
        <w:wordWrap/>
        <w:overflowPunct/>
        <w:topLinePunct w:val="0"/>
        <w:bidi w:val="0"/>
        <w:snapToGrid/>
        <w:spacing w:line="520" w:lineRule="exact"/>
        <w:rPr>
          <w:rFonts w:ascii="仿宋_GB2312" w:hAnsi="Calibri" w:eastAsia="仿宋_GB2312"/>
          <w:color w:val="000000" w:themeColor="text1"/>
          <w14:textFill>
            <w14:solidFill>
              <w14:schemeClr w14:val="tx1"/>
            </w14:solidFill>
          </w14:textFill>
        </w:rPr>
      </w:pPr>
      <w:r>
        <w:rPr>
          <w:rFonts w:hint="eastAsia" w:ascii="仿宋_GB2312" w:hAnsi="Calibri" w:eastAsia="仿宋_GB2312"/>
          <w:color w:val="000000" w:themeColor="text1"/>
          <w14:textFill>
            <w14:solidFill>
              <w14:schemeClr w14:val="tx1"/>
            </w14:solidFill>
          </w14:textFill>
        </w:rPr>
        <w:t>主体内容包括南美白对虾与青蟹混养环境条件与设施、养殖用水水质、前期准备、苗种选择与投放、养殖过程管理、病害防控、尾水处理、收获</w:t>
      </w:r>
      <w:r>
        <w:rPr>
          <w:rFonts w:hint="eastAsia" w:ascii="仿宋_GB2312" w:hAnsi="Calibri" w:eastAsia="仿宋_GB2312"/>
          <w:color w:val="000000" w:themeColor="text1"/>
          <w:lang w:eastAsia="zh-CN"/>
          <w14:textFill>
            <w14:solidFill>
              <w14:schemeClr w14:val="tx1"/>
            </w14:solidFill>
          </w14:textFill>
        </w:rPr>
        <w:t>、</w:t>
      </w:r>
      <w:r>
        <w:rPr>
          <w:rFonts w:hint="eastAsia" w:ascii="仿宋_GB2312" w:hAnsi="Calibri" w:eastAsia="仿宋_GB2312"/>
          <w:color w:val="000000" w:themeColor="text1"/>
          <w:lang w:val="en-US" w:eastAsia="zh-CN"/>
          <w14:textFill>
            <w14:solidFill>
              <w14:schemeClr w14:val="tx1"/>
            </w14:solidFill>
          </w14:textFill>
        </w:rPr>
        <w:t>档案管理</w:t>
      </w:r>
      <w:r>
        <w:rPr>
          <w:rFonts w:hint="eastAsia" w:ascii="仿宋_GB2312" w:hAnsi="Calibri" w:eastAsia="仿宋_GB2312"/>
          <w:color w:val="000000" w:themeColor="text1"/>
          <w14:textFill>
            <w14:solidFill>
              <w14:schemeClr w14:val="tx1"/>
            </w14:solidFill>
          </w14:textFill>
        </w:rPr>
        <w:t>等的要求。</w:t>
      </w:r>
    </w:p>
    <w:p w14:paraId="30946844">
      <w:pPr>
        <w:keepNext w:val="0"/>
        <w:keepLines w:val="0"/>
        <w:pageBreakBefore w:val="0"/>
        <w:kinsoku/>
        <w:wordWrap/>
        <w:overflowPunct/>
        <w:topLinePunct w:val="0"/>
        <w:bidi w:val="0"/>
        <w:snapToGrid/>
        <w:spacing w:line="520" w:lineRule="exact"/>
        <w:ind w:firstLine="643" w:firstLineChars="200"/>
        <w:rPr>
          <w:rFonts w:hint="eastAsia" w:ascii="楷体" w:hAnsi="楷体" w:eastAsia="楷体" w:cs="楷体"/>
          <w:b/>
          <w:color w:val="000000" w:themeColor="text1"/>
          <w:sz w:val="32"/>
          <w:szCs w:val="32"/>
          <w14:textFill>
            <w14:solidFill>
              <w14:schemeClr w14:val="tx1"/>
            </w14:solidFill>
          </w14:textFill>
        </w:rPr>
      </w:pPr>
      <w:r>
        <w:rPr>
          <w:rFonts w:hint="eastAsia" w:ascii="楷体" w:hAnsi="楷体" w:eastAsia="楷体" w:cs="楷体"/>
          <w:b/>
          <w:color w:val="000000" w:themeColor="text1"/>
          <w:sz w:val="32"/>
          <w:szCs w:val="32"/>
          <w14:textFill>
            <w14:solidFill>
              <w14:schemeClr w14:val="tx1"/>
            </w14:solidFill>
          </w14:textFill>
        </w:rPr>
        <w:t>（四）调研及形成草案、征求意见稿</w:t>
      </w:r>
    </w:p>
    <w:p w14:paraId="4870BFA9">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202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年</w:t>
      </w:r>
      <w:r>
        <w:rPr>
          <w:rFonts w:ascii="仿宋_GB2312" w:eastAsia="仿宋_GB2312"/>
          <w:color w:val="000000" w:themeColor="text1"/>
          <w:sz w:val="32"/>
          <w:szCs w:val="32"/>
          <w14:textFill>
            <w14:solidFill>
              <w14:schemeClr w14:val="tx1"/>
            </w14:solidFill>
          </w14:textFill>
        </w:rPr>
        <w:t>8</w:t>
      </w:r>
      <w:r>
        <w:rPr>
          <w:rFonts w:hint="eastAsia" w:ascii="仿宋_GB2312" w:eastAsia="仿宋_GB2312"/>
          <w:color w:val="000000" w:themeColor="text1"/>
          <w:sz w:val="32"/>
          <w:szCs w:val="32"/>
          <w14:textFill>
            <w14:solidFill>
              <w14:schemeClr w14:val="tx1"/>
            </w14:solidFill>
          </w14:textFill>
        </w:rPr>
        <w:t>月～</w:t>
      </w:r>
      <w:r>
        <w:rPr>
          <w:rFonts w:ascii="仿宋_GB2312" w:eastAsia="仿宋_GB2312"/>
          <w:color w:val="000000" w:themeColor="text1"/>
          <w:sz w:val="32"/>
          <w:szCs w:val="32"/>
          <w14:textFill>
            <w14:solidFill>
              <w14:schemeClr w14:val="tx1"/>
            </w14:solidFill>
          </w14:textFill>
        </w:rPr>
        <w:t>9</w:t>
      </w:r>
      <w:r>
        <w:rPr>
          <w:rFonts w:hint="eastAsia" w:ascii="仿宋_GB2312" w:eastAsia="仿宋_GB2312"/>
          <w:color w:val="000000" w:themeColor="text1"/>
          <w:sz w:val="32"/>
          <w:szCs w:val="32"/>
          <w14:textFill>
            <w14:solidFill>
              <w14:schemeClr w14:val="tx1"/>
            </w14:solidFill>
          </w14:textFill>
        </w:rPr>
        <w:t>月，标准编制工作组查阅了大量的国内文献资料，经编制组反复讨论，对</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技术的实践情况进行系统总结，形成了标准的基本构架，对主要内容进行了讨论并对项目的工作进行了部署和安排。</w:t>
      </w:r>
    </w:p>
    <w:p w14:paraId="28759C43">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202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年</w:t>
      </w:r>
      <w:r>
        <w:rPr>
          <w:rFonts w:ascii="仿宋_GB2312" w:eastAsia="仿宋_GB2312"/>
          <w:color w:val="000000" w:themeColor="text1"/>
          <w:sz w:val="32"/>
          <w:szCs w:val="32"/>
          <w14:textFill>
            <w14:solidFill>
              <w14:schemeClr w14:val="tx1"/>
            </w14:solidFill>
          </w14:textFill>
        </w:rPr>
        <w:t>10</w:t>
      </w:r>
      <w:r>
        <w:rPr>
          <w:rFonts w:hint="eastAsia" w:ascii="仿宋_GB2312" w:eastAsia="仿宋_GB2312"/>
          <w:color w:val="000000" w:themeColor="text1"/>
          <w:sz w:val="32"/>
          <w:szCs w:val="32"/>
          <w14:textFill>
            <w14:solidFill>
              <w14:schemeClr w14:val="tx1"/>
            </w14:solidFill>
          </w14:textFill>
        </w:rPr>
        <w:t>月～</w:t>
      </w:r>
      <w:r>
        <w:rPr>
          <w:rFonts w:ascii="仿宋_GB2312" w:eastAsia="仿宋_GB2312"/>
          <w:color w:val="000000" w:themeColor="text1"/>
          <w:sz w:val="32"/>
          <w:szCs w:val="32"/>
          <w14:textFill>
            <w14:solidFill>
              <w14:schemeClr w14:val="tx1"/>
            </w14:solidFill>
          </w14:textFill>
        </w:rPr>
        <w:t>11</w:t>
      </w:r>
      <w:r>
        <w:rPr>
          <w:rFonts w:hint="eastAsia" w:ascii="仿宋_GB2312" w:eastAsia="仿宋_GB2312"/>
          <w:color w:val="000000" w:themeColor="text1"/>
          <w:sz w:val="32"/>
          <w:szCs w:val="32"/>
          <w14:textFill>
            <w14:solidFill>
              <w14:schemeClr w14:val="tx1"/>
            </w14:solidFill>
          </w14:textFill>
        </w:rPr>
        <w:t>月，在前期工作的基础之上，通过理清逻辑脉络，整合已有参考资料中有关</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技术的要求，并在目前</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技术实际操作的基础上，按照简化、统一等原则编制完成团体标准《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》（草案）。</w:t>
      </w:r>
    </w:p>
    <w:p w14:paraId="42F87AAD">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202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年</w:t>
      </w:r>
      <w:r>
        <w:rPr>
          <w:rFonts w:ascii="仿宋_GB2312" w:eastAsia="仿宋_GB2312"/>
          <w:color w:val="000000" w:themeColor="text1"/>
          <w:sz w:val="32"/>
          <w:szCs w:val="32"/>
          <w14:textFill>
            <w14:solidFill>
              <w14:schemeClr w14:val="tx1"/>
            </w14:solidFill>
          </w14:textFill>
        </w:rPr>
        <w:t>12</w:t>
      </w:r>
      <w:r>
        <w:rPr>
          <w:rFonts w:hint="eastAsia" w:ascii="仿宋_GB2312" w:eastAsia="仿宋_GB2312"/>
          <w:color w:val="000000" w:themeColor="text1"/>
          <w:sz w:val="32"/>
          <w:szCs w:val="32"/>
          <w14:textFill>
            <w14:solidFill>
              <w14:schemeClr w14:val="tx1"/>
            </w14:solidFill>
          </w14:textFill>
        </w:rPr>
        <w:t>月，标准编制工作组还深入北海海洋</w:t>
      </w:r>
      <w:r>
        <w:rPr>
          <w:rFonts w:hint="eastAsia" w:ascii="仿宋_GB2312" w:eastAsia="仿宋_GB2312"/>
          <w:color w:val="000000" w:themeColor="text1"/>
          <w:sz w:val="32"/>
          <w:szCs w:val="32"/>
          <w:lang w:eastAsia="zh-CN"/>
          <w14:textFill>
            <w14:solidFill>
              <w14:schemeClr w14:val="tx1"/>
            </w14:solidFill>
          </w14:textFill>
        </w:rPr>
        <w:t>产业园</w:t>
      </w:r>
      <w:r>
        <w:rPr>
          <w:rFonts w:hint="eastAsia" w:ascii="仿宋_GB2312" w:eastAsia="仿宋_GB2312"/>
          <w:color w:val="000000" w:themeColor="text1"/>
          <w:sz w:val="32"/>
          <w:szCs w:val="32"/>
          <w14:textFill>
            <w14:solidFill>
              <w14:schemeClr w14:val="tx1"/>
            </w14:solidFill>
          </w14:textFill>
        </w:rPr>
        <w:t>的自然资源部第四海洋研究所以及各养殖户（见图1），还征求</w:t>
      </w:r>
      <w:r>
        <w:rPr>
          <w:rFonts w:ascii="仿宋_GB2312" w:eastAsia="仿宋_GB2312"/>
          <w:color w:val="000000" w:themeColor="text1"/>
          <w:sz w:val="32"/>
          <w:szCs w:val="32"/>
          <w14:textFill>
            <w14:solidFill>
              <w14:schemeClr w14:val="tx1"/>
            </w14:solidFill>
          </w14:textFill>
        </w:rPr>
        <w:t>到了</w:t>
      </w:r>
      <w:r>
        <w:rPr>
          <w:rFonts w:hint="eastAsia" w:ascii="仿宋_GB2312" w:eastAsia="仿宋_GB2312"/>
          <w:color w:val="000000" w:themeColor="text1"/>
          <w:sz w:val="32"/>
          <w:szCs w:val="32"/>
          <w14:textFill>
            <w14:solidFill>
              <w14:schemeClr w14:val="tx1"/>
            </w14:solidFill>
          </w14:textFill>
        </w:rPr>
        <w:t>广西壮族自治区中医药研究院、广西壮族自治区水产科学研究院、广西中医药大学、防城港市渔业技术推广站、合浦县乡村振兴发展中心、合浦县水产技术推广站等单位的内部意见，通过收集反馈的意见，标准编制工作组多次召开会议，对标准草案进行了反复修改和研究讨论，明确</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技术的要点，掌握了</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技术的基本情况以及要求，最终形成了</w:t>
      </w:r>
      <w:bookmarkStart w:id="0" w:name="_Hlk120181503"/>
      <w:r>
        <w:rPr>
          <w:rFonts w:hint="eastAsia" w:ascii="仿宋_GB2312" w:eastAsia="仿宋_GB2312"/>
          <w:color w:val="000000" w:themeColor="text1"/>
          <w:sz w:val="32"/>
          <w:szCs w:val="32"/>
          <w14:textFill>
            <w14:solidFill>
              <w14:schemeClr w14:val="tx1"/>
            </w14:solidFill>
          </w14:textFill>
        </w:rPr>
        <w:t>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》（征求意见稿）及其编制说明。</w:t>
      </w:r>
      <w:bookmarkEnd w:id="0"/>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21081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51870B80">
            <w:pPr>
              <w:keepNext w:val="0"/>
              <w:keepLines w:val="0"/>
              <w:pageBreakBefore w:val="0"/>
              <w:kinsoku/>
              <w:wordWrap/>
              <w:overflowPunct/>
              <w:topLinePunct w:val="0"/>
              <w:bidi w:val="0"/>
              <w:snapToGrid/>
              <w:spacing w:line="520" w:lineRule="exac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drawing>
                <wp:inline distT="0" distB="0" distL="114300" distR="114300">
                  <wp:extent cx="2496185" cy="1403350"/>
                  <wp:effectExtent l="0" t="0" r="18415" b="6350"/>
                  <wp:docPr id="1" name="图片 1" descr="微信图片_2025122818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51228183458"/>
                          <pic:cNvPicPr>
                            <a:picLocks noChangeAspect="1"/>
                          </pic:cNvPicPr>
                        </pic:nvPicPr>
                        <pic:blipFill>
                          <a:blip r:embed="rId5"/>
                          <a:stretch>
                            <a:fillRect/>
                          </a:stretch>
                        </pic:blipFill>
                        <pic:spPr>
                          <a:xfrm>
                            <a:off x="0" y="0"/>
                            <a:ext cx="2496185" cy="1403350"/>
                          </a:xfrm>
                          <a:prstGeom prst="rect">
                            <a:avLst/>
                          </a:prstGeom>
                        </pic:spPr>
                      </pic:pic>
                    </a:graphicData>
                  </a:graphic>
                </wp:inline>
              </w:drawing>
            </w:r>
          </w:p>
        </w:tc>
        <w:tc>
          <w:tcPr>
            <w:tcW w:w="4587" w:type="dxa"/>
          </w:tcPr>
          <w:p w14:paraId="44D1005F">
            <w:pPr>
              <w:keepNext w:val="0"/>
              <w:keepLines w:val="0"/>
              <w:pageBreakBefore w:val="0"/>
              <w:kinsoku/>
              <w:wordWrap/>
              <w:overflowPunct/>
              <w:topLinePunct w:val="0"/>
              <w:bidi w:val="0"/>
              <w:snapToGrid/>
              <w:spacing w:line="520" w:lineRule="exac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drawing>
                <wp:inline distT="0" distB="0" distL="114300" distR="114300">
                  <wp:extent cx="2529840" cy="1423035"/>
                  <wp:effectExtent l="0" t="0" r="3810" b="5715"/>
                  <wp:docPr id="2" name="图片 2" descr="微信图片_2025122818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51228183506"/>
                          <pic:cNvPicPr>
                            <a:picLocks noChangeAspect="1"/>
                          </pic:cNvPicPr>
                        </pic:nvPicPr>
                        <pic:blipFill>
                          <a:blip r:embed="rId6"/>
                          <a:stretch>
                            <a:fillRect/>
                          </a:stretch>
                        </pic:blipFill>
                        <pic:spPr>
                          <a:xfrm>
                            <a:off x="0" y="0"/>
                            <a:ext cx="2529840" cy="1423035"/>
                          </a:xfrm>
                          <a:prstGeom prst="rect">
                            <a:avLst/>
                          </a:prstGeom>
                        </pic:spPr>
                      </pic:pic>
                    </a:graphicData>
                  </a:graphic>
                </wp:inline>
              </w:drawing>
            </w:r>
          </w:p>
        </w:tc>
      </w:tr>
    </w:tbl>
    <w:p w14:paraId="4DB3135A">
      <w:pPr>
        <w:keepNext w:val="0"/>
        <w:keepLines w:val="0"/>
        <w:pageBreakBefore w:val="0"/>
        <w:kinsoku/>
        <w:wordWrap/>
        <w:overflowPunct/>
        <w:topLinePunct w:val="0"/>
        <w:bidi w:val="0"/>
        <w:snapToGrid/>
        <w:spacing w:line="520" w:lineRule="exact"/>
        <w:jc w:val="cente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 w:val="22"/>
          <w:szCs w:val="22"/>
          <w14:textFill>
            <w14:solidFill>
              <w14:schemeClr w14:val="tx1"/>
            </w14:solidFill>
          </w14:textFill>
        </w:rPr>
        <w:t>图1  走访调研过程</w:t>
      </w:r>
    </w:p>
    <w:p w14:paraId="69FA3571">
      <w:pPr>
        <w:keepNext w:val="0"/>
        <w:keepLines w:val="0"/>
        <w:pageBreakBefore w:val="0"/>
        <w:kinsoku/>
        <w:wordWrap/>
        <w:overflowPunct/>
        <w:topLinePunct w:val="0"/>
        <w:autoSpaceDE w:val="0"/>
        <w:autoSpaceDN w:val="0"/>
        <w:bidi w:val="0"/>
        <w:adjustRightInd w:val="0"/>
        <w:snapToGrid/>
        <w:spacing w:line="52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四、制定标准的原则和依据，与现行法律、法规的关系，与有关国家标准、行业标准的协调情况</w:t>
      </w:r>
    </w:p>
    <w:p w14:paraId="3EE11069">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（一）编制原则</w:t>
      </w:r>
    </w:p>
    <w:p w14:paraId="5B3F563F">
      <w:pPr>
        <w:keepNext w:val="0"/>
        <w:keepLines w:val="0"/>
        <w:pageBreakBefore w:val="0"/>
        <w:kinsoku/>
        <w:wordWrap/>
        <w:overflowPunct/>
        <w:topLinePunct w:val="0"/>
        <w:bidi w:val="0"/>
        <w:snapToGrid/>
        <w:spacing w:line="52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lang w:eastAsia="zh-CN"/>
          <w14:textFill>
            <w14:solidFill>
              <w14:schemeClr w14:val="tx1"/>
            </w14:solidFill>
          </w14:textFill>
        </w:rPr>
        <w:t>1.</w:t>
      </w:r>
      <w:r>
        <w:rPr>
          <w:rFonts w:hint="eastAsia" w:ascii="仿宋_GB2312" w:hAnsi="楷体" w:eastAsia="仿宋_GB2312" w:cs="Times New Roman"/>
          <w:b/>
          <w:color w:val="000000" w:themeColor="text1"/>
          <w:sz w:val="32"/>
          <w:szCs w:val="32"/>
          <w14:textFill>
            <w14:solidFill>
              <w14:schemeClr w14:val="tx1"/>
            </w14:solidFill>
          </w14:textFill>
        </w:rPr>
        <w:t>实用性原则</w:t>
      </w:r>
    </w:p>
    <w:p w14:paraId="27DCA161">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本标准是在充分收集国内外相关资料和文献、调研分析</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技术现状，结合起草单位前期研究工作取得的研究成果及积累的实践经验，并借鉴国内</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技术进行总结起草的，符合工作实际，有利于</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技术的实施与推广，具有可操作性和实用性。</w:t>
      </w:r>
    </w:p>
    <w:p w14:paraId="5627CEB1">
      <w:pPr>
        <w:keepNext w:val="0"/>
        <w:keepLines w:val="0"/>
        <w:pageBreakBefore w:val="0"/>
        <w:kinsoku/>
        <w:wordWrap/>
        <w:overflowPunct/>
        <w:topLinePunct w:val="0"/>
        <w:bidi w:val="0"/>
        <w:snapToGrid/>
        <w:spacing w:line="52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lang w:eastAsia="zh-CN"/>
          <w14:textFill>
            <w14:solidFill>
              <w14:schemeClr w14:val="tx1"/>
            </w14:solidFill>
          </w14:textFill>
        </w:rPr>
        <w:t>2.</w:t>
      </w:r>
      <w:r>
        <w:rPr>
          <w:rFonts w:hint="eastAsia" w:ascii="仿宋_GB2312" w:hAnsi="楷体" w:eastAsia="仿宋_GB2312" w:cs="Times New Roman"/>
          <w:b/>
          <w:color w:val="000000" w:themeColor="text1"/>
          <w:sz w:val="32"/>
          <w:szCs w:val="32"/>
          <w14:textFill>
            <w14:solidFill>
              <w14:schemeClr w14:val="tx1"/>
            </w14:solidFill>
          </w14:textFill>
        </w:rPr>
        <w:t>协调性原则</w:t>
      </w:r>
    </w:p>
    <w:p w14:paraId="50314EF1">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本文件编写过程中注意</w:t>
      </w:r>
      <w:r>
        <w:rPr>
          <w:rFonts w:hint="eastAsia" w:ascii="仿宋_GB2312" w:eastAsia="仿宋_GB2312"/>
          <w:color w:val="000000" w:themeColor="text1"/>
          <w:sz w:val="32"/>
          <w:szCs w:val="32"/>
          <w:lang w:eastAsia="zh-CN"/>
          <w14:textFill>
            <w14:solidFill>
              <w14:schemeClr w14:val="tx1"/>
            </w14:solidFill>
          </w14:textFill>
        </w:rPr>
        <w:t>了南美白对虾与青蟹混养</w:t>
      </w:r>
      <w:r>
        <w:rPr>
          <w:rFonts w:hint="eastAsia" w:ascii="仿宋_GB2312" w:eastAsia="仿宋_GB2312"/>
          <w:color w:val="000000" w:themeColor="text1"/>
          <w:sz w:val="32"/>
          <w:szCs w:val="32"/>
          <w14:textFill>
            <w14:solidFill>
              <w14:schemeClr w14:val="tx1"/>
            </w14:solidFill>
          </w14:textFill>
        </w:rPr>
        <w:t>技术相关法律法规的协调问题，在内容上与现行法律法规、标准协调一致。</w:t>
      </w:r>
    </w:p>
    <w:p w14:paraId="0EAE49F2">
      <w:pPr>
        <w:keepNext w:val="0"/>
        <w:keepLines w:val="0"/>
        <w:pageBreakBefore w:val="0"/>
        <w:kinsoku/>
        <w:wordWrap/>
        <w:overflowPunct/>
        <w:topLinePunct w:val="0"/>
        <w:bidi w:val="0"/>
        <w:snapToGrid/>
        <w:spacing w:line="52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lang w:eastAsia="zh-CN"/>
          <w14:textFill>
            <w14:solidFill>
              <w14:schemeClr w14:val="tx1"/>
            </w14:solidFill>
          </w14:textFill>
        </w:rPr>
        <w:t>3.</w:t>
      </w:r>
      <w:r>
        <w:rPr>
          <w:rFonts w:hint="eastAsia" w:ascii="仿宋_GB2312" w:hAnsi="楷体" w:eastAsia="仿宋_GB2312" w:cs="Times New Roman"/>
          <w:b/>
          <w:color w:val="000000" w:themeColor="text1"/>
          <w:sz w:val="32"/>
          <w:szCs w:val="32"/>
          <w14:textFill>
            <w14:solidFill>
              <w14:schemeClr w14:val="tx1"/>
            </w14:solidFill>
          </w14:textFill>
        </w:rPr>
        <w:t>规范性原则</w:t>
      </w:r>
    </w:p>
    <w:p w14:paraId="4F578CF3">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本文件严格按照GB/T 1.1—2020《标准化工作规范  第1部分：标准化文件的结构和起草规则》编写本标准的内容，保证标准的编写质量。</w:t>
      </w:r>
    </w:p>
    <w:p w14:paraId="6CC71D6B">
      <w:pPr>
        <w:keepNext w:val="0"/>
        <w:keepLines w:val="0"/>
        <w:pageBreakBefore w:val="0"/>
        <w:kinsoku/>
        <w:wordWrap/>
        <w:overflowPunct/>
        <w:topLinePunct w:val="0"/>
        <w:bidi w:val="0"/>
        <w:snapToGrid/>
        <w:spacing w:line="520" w:lineRule="exact"/>
        <w:ind w:firstLine="643" w:firstLineChars="200"/>
        <w:rPr>
          <w:rFonts w:hint="eastAsia" w:ascii="仿宋_GB2312" w:hAnsi="楷体" w:eastAsia="仿宋_GB2312" w:cs="Times New Roman"/>
          <w:b/>
          <w:color w:val="000000" w:themeColor="text1"/>
          <w:sz w:val="32"/>
          <w:szCs w:val="32"/>
          <w14:textFill>
            <w14:solidFill>
              <w14:schemeClr w14:val="tx1"/>
            </w14:solidFill>
          </w14:textFill>
        </w:rPr>
      </w:pPr>
      <w:r>
        <w:rPr>
          <w:rFonts w:hint="eastAsia" w:ascii="仿宋_GB2312" w:hAnsi="楷体" w:eastAsia="仿宋_GB2312" w:cs="Times New Roman"/>
          <w:b/>
          <w:color w:val="000000" w:themeColor="text1"/>
          <w:sz w:val="32"/>
          <w:szCs w:val="32"/>
          <w:lang w:eastAsia="zh-CN"/>
          <w14:textFill>
            <w14:solidFill>
              <w14:schemeClr w14:val="tx1"/>
            </w14:solidFill>
          </w14:textFill>
        </w:rPr>
        <w:t>4.</w:t>
      </w:r>
      <w:r>
        <w:rPr>
          <w:rFonts w:hint="eastAsia" w:ascii="仿宋_GB2312" w:hAnsi="楷体" w:eastAsia="仿宋_GB2312" w:cs="Times New Roman"/>
          <w:b/>
          <w:color w:val="000000" w:themeColor="text1"/>
          <w:sz w:val="32"/>
          <w:szCs w:val="32"/>
          <w14:textFill>
            <w14:solidFill>
              <w14:schemeClr w14:val="tx1"/>
            </w14:solidFill>
          </w14:textFill>
        </w:rPr>
        <w:t>前瞻性原则</w:t>
      </w:r>
    </w:p>
    <w:p w14:paraId="2DC0753A">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本文件在兼顾当前</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技术现实情况的同时，还考虑到了</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技术的需要，在标准中体现了个别特色性、前瞻性和先进性条款，作为对</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技术的指导。</w:t>
      </w:r>
    </w:p>
    <w:p w14:paraId="4B5E0684">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（二）编制依据</w:t>
      </w:r>
    </w:p>
    <w:p w14:paraId="712CC4A0">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本标准严格按照GB/T 1.1—2020《标准化工作规范  第1部分：标准化文件的结构和起草规则》的规则起草，标准主要内容依据起草单位在</w:t>
      </w:r>
      <w:r>
        <w:rPr>
          <w:rFonts w:hint="eastAsia" w:ascii="仿宋_GB2312" w:eastAsia="仿宋_GB2312"/>
          <w:color w:val="000000" w:themeColor="text1"/>
          <w:sz w:val="32"/>
          <w:szCs w:val="32"/>
          <w:lang w:eastAsia="zh-CN"/>
          <w14:textFill>
            <w14:solidFill>
              <w14:schemeClr w14:val="tx1"/>
            </w14:solidFill>
          </w14:textFill>
        </w:rPr>
        <w:t>南美白对虾与青蟹混养</w:t>
      </w:r>
      <w:r>
        <w:rPr>
          <w:rFonts w:hint="eastAsia" w:ascii="仿宋_GB2312" w:eastAsia="仿宋_GB2312"/>
          <w:color w:val="000000" w:themeColor="text1"/>
          <w:sz w:val="32"/>
          <w:szCs w:val="32"/>
          <w14:textFill>
            <w14:solidFill>
              <w14:schemeClr w14:val="tx1"/>
            </w14:solidFill>
          </w14:textFill>
        </w:rPr>
        <w:t>技术过程中的实践经验确定。</w:t>
      </w:r>
    </w:p>
    <w:p w14:paraId="5D8023B0">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（三）与现行法律、法规的关系，与有关国家标准、行业标准的协调情况</w:t>
      </w:r>
    </w:p>
    <w:p w14:paraId="17E5F0A1">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本标准与相关法律法规、强制性标准协调一致，无冲突。</w:t>
      </w:r>
    </w:p>
    <w:p w14:paraId="2280025A">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经查阅，未发现与《南美白对虾与青蟹混养技术规范》完全一致的现行标准。现有标准多聚焦单一品种（如青蟹、南美白对虾）或单一环节（如尾水、饲料），缺乏针对“南美白对虾 + 青蟹” 二元混养模式的全流程专属规范，本规范的制定具有唯一性和填补空白的价值。“南美白对虾与青蟹混养”相关的标准如下。</w:t>
      </w:r>
    </w:p>
    <w:p w14:paraId="0592B175">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eastAsia="zh-CN"/>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《DB14/ T 2735—2023  稻蟹虾综合种养技术规程》本文件规定了稻田中华绒螯蟹和日本沼虾综合种养的术语和定义、产地和水源、田间工程、水稻种植、成蟹养殖、成虾养殖和质量要求，适用于稻田环境下的中华绒螯蟹、日本沼虾综合种养。《DB21/T 2825.8-2021 池塘混养技术规程 第8部分：克氏原</w:t>
      </w:r>
      <w:r>
        <w:rPr>
          <w:rFonts w:hint="eastAsia" w:ascii="仿宋_GB2312" w:eastAsia="仿宋_GB2312"/>
          <w:color w:val="000000" w:themeColor="text1"/>
          <w:sz w:val="32"/>
          <w:szCs w:val="32"/>
          <w:lang w:eastAsia="zh-CN"/>
          <w14:textFill>
            <w14:solidFill>
              <w14:schemeClr w14:val="tx1"/>
            </w14:solidFill>
          </w14:textFill>
        </w:rPr>
        <w:t>螯</w:t>
      </w:r>
      <w:r>
        <w:rPr>
          <w:rFonts w:hint="eastAsia" w:ascii="仿宋_GB2312" w:eastAsia="仿宋_GB2312"/>
          <w:color w:val="000000" w:themeColor="text1"/>
          <w:sz w:val="32"/>
          <w:szCs w:val="32"/>
          <w14:textFill>
            <w14:solidFill>
              <w14:schemeClr w14:val="tx1"/>
            </w14:solidFill>
          </w14:textFill>
        </w:rPr>
        <w:t>虾与中华绒螯蟹》规定了克氏原螯虾与中华绒螯蟹混养的池塘条件、放养前准备、苗种运输、苗种质量、苗种放养、饲养管理、病害防控、日常管理、采捕与运输等技术操作要求，适用于克氏原螯虾与中华绒螯蟹的池塘混养。《DB32/T 3772-2020 河蟹与南美白对虾池塘双主养技术规范》规定了河蟹与南美白对虾双主养的池塘条件、放养前准备、苗种放养、投饲管理、水质管理、病害防治、捕捞上市、日常管理等，适用于江苏地区河蟹与南美白对虾池塘双主养。《DB32/ T 4238-2022 河蟹套养青虾生态养殖技术规范》本文件规定了河蟹（Eriocheir sinensis）池塘套养青虾（Macrobrachium nipponensis）的环境条件、放养前准备、苗种放养、饲料投喂、养殖管理、病害防治、捕捞、尾水排放等技术要点，适用于河蟹养殖池塘的青虾套养。《DB3205/T 208-2011“太湖1号”青虾与河蟹池塘混养操作规程》规定了“太湖1号”青虾与河蟹池塘混养的术语和定义、池塘条件、放养前准备、苗种放养、饲养管理、病害防治和捕捞，适用于“太湖1号”青虾与河蟹池塘混养。</w:t>
      </w:r>
      <w:r>
        <w:rPr>
          <w:rFonts w:hint="eastAsia" w:ascii="仿宋_GB2312" w:eastAsia="仿宋_GB2312"/>
          <w:color w:val="000000" w:themeColor="text1"/>
          <w:sz w:val="32"/>
          <w:szCs w:val="32"/>
          <w:lang w:val="en-US" w:eastAsia="zh-CN"/>
          <w14:textFill>
            <w14:solidFill>
              <w14:schemeClr w14:val="tx1"/>
            </w14:solidFill>
          </w14:textFill>
        </w:rPr>
        <w:t>本标准对</w:t>
      </w:r>
      <w:r>
        <w:rPr>
          <w:rFonts w:hint="eastAsia" w:ascii="仿宋_GB2312" w:eastAsia="仿宋_GB2312"/>
          <w:color w:val="000000" w:themeColor="text1"/>
          <w:sz w:val="32"/>
          <w:szCs w:val="32"/>
          <w14:textFill>
            <w14:solidFill>
              <w14:schemeClr w14:val="tx1"/>
            </w14:solidFill>
          </w14:textFill>
        </w:rPr>
        <w:t>池塘功能细分：明确划分“蟹道区（25%</w:t>
      </w:r>
      <w:r>
        <w:rPr>
          <w:rFonts w:hint="eastAsia" w:ascii="仿宋_GB2312" w:eastAsia="仿宋_GB2312"/>
          <w:color w:val="000000" w:themeColor="text1"/>
          <w:sz w:val="32"/>
          <w:szCs w:val="32"/>
          <w:lang w:eastAsia="zh-CN"/>
          <w14:textFill>
            <w14:solidFill>
              <w14:schemeClr w14:val="tx1"/>
            </w14:solidFill>
          </w14:textFill>
        </w:rPr>
        <w:t>～</w:t>
      </w:r>
      <w:r>
        <w:rPr>
          <w:rFonts w:hint="eastAsia" w:ascii="仿宋_GB2312" w:eastAsia="仿宋_GB2312"/>
          <w:color w:val="000000" w:themeColor="text1"/>
          <w:sz w:val="32"/>
          <w:szCs w:val="32"/>
          <w14:textFill>
            <w14:solidFill>
              <w14:schemeClr w14:val="tx1"/>
            </w14:solidFill>
          </w14:textFill>
        </w:rPr>
        <w:t>30%面积）+ 对虾活动区（70%</w:t>
      </w:r>
      <w:r>
        <w:rPr>
          <w:rFonts w:hint="eastAsia" w:ascii="仿宋_GB2312" w:eastAsia="仿宋_GB2312"/>
          <w:color w:val="000000" w:themeColor="text1"/>
          <w:sz w:val="32"/>
          <w:szCs w:val="32"/>
          <w:lang w:eastAsia="zh-CN"/>
          <w14:textFill>
            <w14:solidFill>
              <w14:schemeClr w14:val="tx1"/>
            </w14:solidFill>
          </w14:textFill>
        </w:rPr>
        <w:t>～</w:t>
      </w:r>
      <w:r>
        <w:rPr>
          <w:rFonts w:hint="eastAsia" w:ascii="仿宋_GB2312" w:eastAsia="仿宋_GB2312"/>
          <w:color w:val="000000" w:themeColor="text1"/>
          <w:sz w:val="32"/>
          <w:szCs w:val="32"/>
          <w14:textFill>
            <w14:solidFill>
              <w14:schemeClr w14:val="tx1"/>
            </w14:solidFill>
          </w14:textFill>
        </w:rPr>
        <w:t>75%面积）”，蟹道区铺0.2</w:t>
      </w:r>
      <w:r>
        <w:rPr>
          <w:rFonts w:hint="eastAsia" w:ascii="仿宋_GB2312" w:eastAsia="仿宋_GB2312"/>
          <w:color w:val="000000" w:themeColor="text1"/>
          <w:sz w:val="32"/>
          <w:szCs w:val="32"/>
          <w:lang w:eastAsia="zh-CN"/>
          <w14:textFill>
            <w14:solidFill>
              <w14:schemeClr w14:val="tx1"/>
            </w14:solidFill>
          </w14:textFill>
        </w:rPr>
        <w:t>～</w:t>
      </w:r>
      <w:r>
        <w:rPr>
          <w:rFonts w:hint="eastAsia" w:ascii="仿宋_GB2312" w:eastAsia="仿宋_GB2312"/>
          <w:color w:val="000000" w:themeColor="text1"/>
          <w:sz w:val="32"/>
          <w:szCs w:val="32"/>
          <w14:textFill>
            <w14:solidFill>
              <w14:schemeClr w14:val="tx1"/>
            </w14:solidFill>
          </w14:textFill>
        </w:rPr>
        <w:t>0.5mm洁净细沙（厚10</w:t>
      </w:r>
      <w:r>
        <w:rPr>
          <w:rFonts w:hint="eastAsia" w:ascii="仿宋_GB2312" w:eastAsia="仿宋_GB2312"/>
          <w:color w:val="000000" w:themeColor="text1"/>
          <w:sz w:val="32"/>
          <w:szCs w:val="32"/>
          <w:lang w:eastAsia="zh-CN"/>
          <w14:textFill>
            <w14:solidFill>
              <w14:schemeClr w14:val="tx1"/>
            </w14:solidFill>
          </w14:textFill>
        </w:rPr>
        <w:t>～</w:t>
      </w:r>
      <w:r>
        <w:rPr>
          <w:rFonts w:hint="eastAsia" w:ascii="仿宋_GB2312" w:eastAsia="仿宋_GB2312"/>
          <w:color w:val="000000" w:themeColor="text1"/>
          <w:sz w:val="32"/>
          <w:szCs w:val="32"/>
          <w14:textFill>
            <w14:solidFill>
              <w14:schemeClr w14:val="tx1"/>
            </w14:solidFill>
          </w14:textFill>
        </w:rPr>
        <w:t>15cm，经消毒）、水深 0.8</w:t>
      </w:r>
      <w:r>
        <w:rPr>
          <w:rFonts w:hint="eastAsia" w:ascii="仿宋_GB2312" w:eastAsia="仿宋_GB2312"/>
          <w:color w:val="000000" w:themeColor="text1"/>
          <w:sz w:val="32"/>
          <w:szCs w:val="32"/>
          <w:lang w:eastAsia="zh-CN"/>
          <w14:textFill>
            <w14:solidFill>
              <w14:schemeClr w14:val="tx1"/>
            </w14:solidFill>
          </w14:textFill>
        </w:rPr>
        <w:t>～</w:t>
      </w:r>
      <w:r>
        <w:rPr>
          <w:rFonts w:hint="eastAsia" w:ascii="仿宋_GB2312" w:eastAsia="仿宋_GB2312"/>
          <w:color w:val="000000" w:themeColor="text1"/>
          <w:sz w:val="32"/>
          <w:szCs w:val="32"/>
          <w14:textFill>
            <w14:solidFill>
              <w14:schemeClr w14:val="tx1"/>
            </w14:solidFill>
          </w14:textFill>
        </w:rPr>
        <w:t>1.2m，适配青蟹掘穴与蜕壳；对虾区以壤土/黏土为主（沙质底掺20%</w:t>
      </w:r>
      <w:r>
        <w:rPr>
          <w:rFonts w:hint="eastAsia" w:ascii="仿宋_GB2312" w:eastAsia="仿宋_GB2312"/>
          <w:color w:val="000000" w:themeColor="text1"/>
          <w:sz w:val="32"/>
          <w:szCs w:val="32"/>
          <w:lang w:eastAsia="zh-CN"/>
          <w14:textFill>
            <w14:solidFill>
              <w14:schemeClr w14:val="tx1"/>
            </w14:solidFill>
          </w14:textFill>
        </w:rPr>
        <w:t>～</w:t>
      </w:r>
      <w:r>
        <w:rPr>
          <w:rFonts w:hint="eastAsia" w:ascii="仿宋_GB2312" w:eastAsia="仿宋_GB2312"/>
          <w:color w:val="000000" w:themeColor="text1"/>
          <w:sz w:val="32"/>
          <w:szCs w:val="32"/>
          <w14:textFill>
            <w14:solidFill>
              <w14:schemeClr w14:val="tx1"/>
            </w14:solidFill>
          </w14:textFill>
        </w:rPr>
        <w:t>30%塘泥改良）、水深1.5</w:t>
      </w:r>
      <w:r>
        <w:rPr>
          <w:rFonts w:hint="eastAsia" w:ascii="仿宋_GB2312" w:eastAsia="仿宋_GB2312"/>
          <w:color w:val="000000" w:themeColor="text1"/>
          <w:sz w:val="32"/>
          <w:szCs w:val="32"/>
          <w:lang w:eastAsia="zh-CN"/>
          <w14:textFill>
            <w14:solidFill>
              <w14:schemeClr w14:val="tx1"/>
            </w14:solidFill>
          </w14:textFill>
        </w:rPr>
        <w:t>～</w:t>
      </w:r>
      <w:r>
        <w:rPr>
          <w:rFonts w:hint="eastAsia" w:ascii="仿宋_GB2312" w:eastAsia="仿宋_GB2312"/>
          <w:color w:val="000000" w:themeColor="text1"/>
          <w:sz w:val="32"/>
          <w:szCs w:val="32"/>
          <w14:textFill>
            <w14:solidFill>
              <w14:schemeClr w14:val="tx1"/>
            </w14:solidFill>
          </w14:textFill>
        </w:rPr>
        <w:t>2.0m，满足对虾集群活动，解决传统混养“空间竞争”问题</w:t>
      </w:r>
      <w:r>
        <w:rPr>
          <w:rFonts w:hint="eastAsia" w:ascii="仿宋_GB2312" w:eastAsia="仿宋_GB2312"/>
          <w:color w:val="000000" w:themeColor="text1"/>
          <w:sz w:val="32"/>
          <w:szCs w:val="32"/>
          <w:lang w:eastAsia="zh-CN"/>
          <w14:textFill>
            <w14:solidFill>
              <w14:schemeClr w14:val="tx1"/>
            </w14:solidFill>
          </w14:textFill>
        </w:rPr>
        <w:t>。增氧系统按区域差异化设计：对虾区配水车式/叶轮式增氧机（1.5～2.2kW，3～6×667m²</w:t>
      </w:r>
      <w:r>
        <w:rPr>
          <w:rFonts w:hint="eastAsia" w:ascii="仿宋_GB2312" w:eastAsia="仿宋_GB2312"/>
          <w:color w:val="000000" w:themeColor="text1"/>
          <w:sz w:val="32"/>
          <w:szCs w:val="32"/>
          <w:lang w:val="en-US" w:eastAsia="zh-CN"/>
          <w14:textFill>
            <w14:solidFill>
              <w14:schemeClr w14:val="tx1"/>
            </w14:solidFill>
          </w14:textFill>
        </w:rPr>
        <w:t>/</w:t>
      </w:r>
      <w:r>
        <w:rPr>
          <w:rFonts w:hint="eastAsia" w:ascii="仿宋_GB2312" w:eastAsia="仿宋_GB2312"/>
          <w:color w:val="000000" w:themeColor="text1"/>
          <w:sz w:val="32"/>
          <w:szCs w:val="32"/>
          <w:lang w:eastAsia="zh-CN"/>
          <w14:textFill>
            <w14:solidFill>
              <w14:schemeClr w14:val="tx1"/>
            </w14:solidFill>
          </w14:textFill>
        </w:rPr>
        <w:t>1 台），蟹道区配射流式增氧机（0.75kW），且明确“蟹道溶氧＞6mg/L、对虾区＞5mg/L”的分区指标，较传统“全域统一增氧”更贴合两类生物的溶氧需求。严格遵循“对虾先投（体长0.8cm～1.2cm）、青蟹后投（Ⅱ～Ⅲ 期幼蟹，甲宽2.0cm～2.5cm）”，间隔15～20 天（待对虾长至3cm～4cm），避免青蟹捕食幼虾。幼蟹需经 10～15天暂养（控温 22～28℃，投喂卤虫幼体+开口料，添加0.2%维生素C+0.1%β- 葡聚糖），第7天起每日降1℃再恢复，驯化后甲宽≥3.0cm、存活率≥90% 方可入池，较现有标准 “直接投放” 多了营养强化与抗逆驯化环节</w:t>
      </w:r>
    </w:p>
    <w:p w14:paraId="3E0F234C">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本标准的内容与现行的法律法规及强制性标准无冲突，本文件相关指标不低于强制性国家标准的相关技术要求，标准的编写符合GB/T 1.1—2020的要求。</w:t>
      </w:r>
    </w:p>
    <w:p w14:paraId="65C9E550">
      <w:pPr>
        <w:keepNext w:val="0"/>
        <w:keepLines w:val="0"/>
        <w:pageBreakBefore w:val="0"/>
        <w:kinsoku/>
        <w:wordWrap/>
        <w:overflowPunct/>
        <w:topLinePunct w:val="0"/>
        <w:autoSpaceDE w:val="0"/>
        <w:autoSpaceDN w:val="0"/>
        <w:bidi w:val="0"/>
        <w:adjustRightInd w:val="0"/>
        <w:snapToGrid/>
        <w:spacing w:line="52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五、主要条款的说明</w:t>
      </w:r>
    </w:p>
    <w:p w14:paraId="0D6F0B94">
      <w:pPr>
        <w:keepNext w:val="0"/>
        <w:keepLines w:val="0"/>
        <w:pageBreakBefore w:val="0"/>
        <w:widowControl w:val="0"/>
        <w:kinsoku/>
        <w:wordWrap/>
        <w:overflowPunct/>
        <w:topLinePunct w:val="0"/>
        <w:bidi w:val="0"/>
        <w:adjustRightInd/>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》的主要章节内容包括南美白对虾与青蟹混养环境条件与设施、养殖用水水质、前期准备、苗种选择与投放、养殖过程管理、病害防控、尾水处理、收获等的要求。本文件主要内容及依据来源说明如下：</w:t>
      </w:r>
    </w:p>
    <w:p w14:paraId="781BD440">
      <w:pPr>
        <w:keepNext w:val="0"/>
        <w:keepLines w:val="0"/>
        <w:pageBreakBefore w:val="0"/>
        <w:widowControl w:val="0"/>
        <w:tabs>
          <w:tab w:val="center" w:pos="4201"/>
          <w:tab w:val="right" w:leader="dot" w:pos="9298"/>
        </w:tabs>
        <w:kinsoku/>
        <w:wordWrap/>
        <w:overflowPunct/>
        <w:topLinePunct w:val="0"/>
        <w:autoSpaceDE w:val="0"/>
        <w:autoSpaceDN w:val="0"/>
        <w:bidi w:val="0"/>
        <w:adjustRightInd/>
        <w:snapToGrid/>
        <w:spacing w:line="520" w:lineRule="exact"/>
        <w:ind w:firstLine="643" w:firstLineChars="200"/>
        <w:outlineLvl w:val="1"/>
        <w:rPr>
          <w:rFonts w:hint="eastAsia"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lang w:eastAsia="zh-CN"/>
          <w14:textFill>
            <w14:solidFill>
              <w14:schemeClr w14:val="tx1"/>
            </w14:solidFill>
          </w14:textFill>
        </w:rPr>
        <w:t>（</w:t>
      </w:r>
      <w:r>
        <w:rPr>
          <w:rFonts w:hint="eastAsia" w:ascii="Times New Roman" w:hAnsi="Times New Roman" w:eastAsia="楷体" w:cs="Times New Roman"/>
          <w:b/>
          <w:bCs/>
          <w:color w:val="000000" w:themeColor="text1"/>
          <w:kern w:val="0"/>
          <w:sz w:val="32"/>
          <w:szCs w:val="32"/>
          <w:lang w:val="en-US" w:eastAsia="zh-CN"/>
          <w14:textFill>
            <w14:solidFill>
              <w14:schemeClr w14:val="tx1"/>
            </w14:solidFill>
          </w14:textFill>
        </w:rPr>
        <w:t>一</w:t>
      </w:r>
      <w:r>
        <w:rPr>
          <w:rFonts w:hint="eastAsia" w:ascii="Times New Roman" w:hAnsi="Times New Roman" w:eastAsia="楷体" w:cs="Times New Roman"/>
          <w:b/>
          <w:bCs/>
          <w:color w:val="000000" w:themeColor="text1"/>
          <w:kern w:val="0"/>
          <w:sz w:val="32"/>
          <w:szCs w:val="32"/>
          <w:lang w:eastAsia="zh-CN"/>
          <w14:textFill>
            <w14:solidFill>
              <w14:schemeClr w14:val="tx1"/>
            </w14:solidFill>
          </w14:textFill>
        </w:rPr>
        <w:t>）</w:t>
      </w:r>
      <w:r>
        <w:rPr>
          <w:rFonts w:hint="eastAsia" w:ascii="Times New Roman" w:hAnsi="Times New Roman" w:eastAsia="楷体" w:cs="Times New Roman"/>
          <w:b/>
          <w:bCs/>
          <w:color w:val="000000" w:themeColor="text1"/>
          <w:kern w:val="0"/>
          <w:sz w:val="32"/>
          <w:szCs w:val="32"/>
          <w14:textFill>
            <w14:solidFill>
              <w14:schemeClr w14:val="tx1"/>
            </w14:solidFill>
          </w14:textFill>
        </w:rPr>
        <w:t>环境条件与设施</w:t>
      </w:r>
    </w:p>
    <w:p w14:paraId="42A554B7">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1.场址选择</w:t>
      </w:r>
    </w:p>
    <w:tbl>
      <w:tblPr>
        <w:tblStyle w:val="19"/>
        <w:tblpPr w:leftFromText="180" w:rightFromText="180" w:vertAnchor="text" w:horzAnchor="page" w:tblpX="2119" w:tblpY="365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00"/>
      </w:tblGrid>
      <w:tr w14:paraId="122F3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2" w:hRule="atLeast"/>
        </w:trPr>
        <w:tc>
          <w:tcPr>
            <w:tcW w:w="8300" w:type="dxa"/>
          </w:tcPr>
          <w:p w14:paraId="166734BE">
            <w:pPr>
              <w:pStyle w:val="2"/>
              <w:keepNext w:val="0"/>
              <w:keepLines w:val="0"/>
              <w:pageBreakBefore w:val="0"/>
              <w:widowControl w:val="0"/>
              <w:kinsoku/>
              <w:wordWrap/>
              <w:overflowPunct/>
              <w:topLinePunct w:val="0"/>
              <w:autoSpaceDE/>
              <w:autoSpaceDN/>
              <w:bidi w:val="0"/>
              <w:adjustRightInd/>
              <w:snapToGrid/>
              <w:spacing w:after="0" w:line="520" w:lineRule="exact"/>
              <w:jc w:val="center"/>
              <w:textAlignment w:val="baseline"/>
              <w:rPr>
                <w:rFonts w:hint="default" w:ascii="仿宋_GB2312" w:eastAsia="仿宋_GB2312" w:cs="Calibri"/>
                <w:color w:val="000000" w:themeColor="text1"/>
                <w:kern w:val="2"/>
                <w:sz w:val="32"/>
                <w:szCs w:val="32"/>
                <w:vertAlign w:val="baseline"/>
                <w:lang w:val="en-US" w:eastAsia="zh-CN" w:bidi="ar-SA"/>
                <w14:textFill>
                  <w14:solidFill>
                    <w14:schemeClr w14:val="tx1"/>
                  </w14:solidFill>
                </w14:textFill>
              </w:rPr>
            </w:pPr>
            <w:r>
              <w:rPr>
                <w:rFonts w:hint="default" w:ascii="仿宋_GB2312" w:eastAsia="仿宋_GB2312" w:cs="Calibri"/>
                <w:color w:val="000000" w:themeColor="text1"/>
                <w:kern w:val="2"/>
                <w:sz w:val="32"/>
                <w:szCs w:val="32"/>
                <w:vertAlign w:val="baseline"/>
                <w:lang w:val="en-US" w:eastAsia="zh-CN" w:bidi="ar-SA"/>
                <w14:textFill>
                  <w14:solidFill>
                    <w14:schemeClr w14:val="tx1"/>
                  </w14:solidFill>
                </w14:textFill>
              </w:rPr>
              <w:drawing>
                <wp:anchor distT="0" distB="0" distL="114300" distR="114300" simplePos="0" relativeHeight="251660288" behindDoc="0" locked="0" layoutInCell="1" allowOverlap="1">
                  <wp:simplePos x="0" y="0"/>
                  <wp:positionH relativeFrom="column">
                    <wp:posOffset>646430</wp:posOffset>
                  </wp:positionH>
                  <wp:positionV relativeFrom="paragraph">
                    <wp:posOffset>118110</wp:posOffset>
                  </wp:positionV>
                  <wp:extent cx="3852545" cy="2164715"/>
                  <wp:effectExtent l="0" t="0" r="1270" b="5080"/>
                  <wp:wrapTopAndBottom/>
                  <wp:docPr id="7" name="图片 7" descr="3033c134c1382dd2c2f7892dc469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033c134c1382dd2c2f7892dc4692885"/>
                          <pic:cNvPicPr>
                            <a:picLocks noChangeAspect="1"/>
                          </pic:cNvPicPr>
                        </pic:nvPicPr>
                        <pic:blipFill>
                          <a:blip r:embed="rId7"/>
                          <a:stretch>
                            <a:fillRect/>
                          </a:stretch>
                        </pic:blipFill>
                        <pic:spPr>
                          <a:xfrm>
                            <a:off x="0" y="0"/>
                            <a:ext cx="3852545" cy="2164715"/>
                          </a:xfrm>
                          <a:prstGeom prst="rect">
                            <a:avLst/>
                          </a:prstGeom>
                        </pic:spPr>
                      </pic:pic>
                    </a:graphicData>
                  </a:graphic>
                </wp:anchor>
              </w:drawing>
            </w: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t>养殖地</w:t>
            </w:r>
          </w:p>
        </w:tc>
      </w:tr>
    </w:tbl>
    <w:p w14:paraId="68BA079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养殖场地选择符合</w:t>
      </w:r>
      <w:r>
        <w:rPr>
          <w:rFonts w:hint="default" w:ascii="仿宋_GB2312" w:hAnsi="Calibri"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hAnsi="Calibri" w:eastAsia="仿宋_GB2312" w:cs="Calibri"/>
          <w:color w:val="000000" w:themeColor="text1"/>
          <w:kern w:val="2"/>
          <w:sz w:val="32"/>
          <w:szCs w:val="32"/>
          <w:lang w:val="en-US" w:eastAsia="zh-CN" w:bidi="ar-SA"/>
          <w14:textFill>
            <w14:solidFill>
              <w14:schemeClr w14:val="tx1"/>
            </w14:solidFill>
          </w14:textFill>
        </w:rPr>
        <w:t>SC/T 0004</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 xml:space="preserve">  </w:t>
      </w:r>
      <w:r>
        <w:rPr>
          <w:rFonts w:hint="default" w:ascii="仿宋_GB2312" w:hAnsi="Calibri" w:eastAsia="仿宋_GB2312" w:cs="Calibri"/>
          <w:color w:val="000000" w:themeColor="text1"/>
          <w:kern w:val="2"/>
          <w:sz w:val="32"/>
          <w:szCs w:val="32"/>
          <w:lang w:val="en-US" w:eastAsia="zh-CN" w:bidi="ar-SA"/>
          <w14:textFill>
            <w14:solidFill>
              <w14:schemeClr w14:val="tx1"/>
            </w14:solidFill>
          </w14:textFill>
        </w:rPr>
        <w:t>水产养殖质量安全管理规范》</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的规定，核心是保障养殖基础条件稳定、养殖水质安全无污染，同时符合水产养殖质量安全管理的通用规范，交通便利、电力齐全是养殖物资（苗种 / 饲料）运输、增氧 / 监测设备持续运行的基础；水源丰富 + 排水通畅 + 近河口港湾，能满足混养所需的 10‰～32‰盐度稳定供给，同时便于水质调控，最终确保混养成功率与产品质量。</w:t>
      </w:r>
    </w:p>
    <w:p w14:paraId="788AE33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2.池塘设计</w:t>
      </w:r>
    </w:p>
    <w:p w14:paraId="11785C05">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2～10 亩的规模是虾蟹混养的适宜区间：面积过小会导致水体生态系统脆弱，水质、水温易受外界环境影响而剧烈波动，难以维持稳定的养殖环境；面积过大则会增加投喂管理、病害防控和捕捞作业的难度，降低生产效率</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p>
    <w:p w14:paraId="493FF4EC">
      <w:pPr>
        <w:keepNext w:val="0"/>
        <w:keepLines w:val="0"/>
        <w:pageBreakBefore w:val="0"/>
        <w:widowControl w:val="0"/>
        <w:kinsoku/>
        <w:wordWrap/>
        <w:overflowPunct/>
        <w:topLinePunct w:val="0"/>
        <w:bidi w:val="0"/>
        <w:adjustRightInd/>
        <w:snapToGrid/>
        <w:spacing w:line="520" w:lineRule="exact"/>
        <w:ind w:firstLine="640" w:firstLineChars="200"/>
        <w:rPr>
          <w:rFonts w:hint="eastAsia"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方形或圆形池塘无养殖死角，能显著提升水流循环效率，让残饵、粪便等污染物更易集中到池底中心，便于后续清塘和日常管护。而3°～7°斜坡搭配“锅”字底型的设计，中心低洼区域利于彻底排水和集污，减少底质腐坏引发的病害风险；斜坡角度经过实践验证，既不会影响青蟹的底栖活动，又能保证排水顺畅。</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1C089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6452" w:hRule="atLeast"/>
        </w:trPr>
        <w:tc>
          <w:tcPr>
            <w:tcW w:w="9174" w:type="dxa"/>
          </w:tcPr>
          <w:p w14:paraId="4A0583D9">
            <w:pPr>
              <w:pStyle w:val="2"/>
              <w:keepNext w:val="0"/>
              <w:keepLines w:val="0"/>
              <w:pageBreakBefore w:val="0"/>
              <w:widowControl w:val="0"/>
              <w:kinsoku/>
              <w:wordWrap/>
              <w:overflowPunct/>
              <w:topLinePunct w:val="0"/>
              <w:autoSpaceDE/>
              <w:autoSpaceDN/>
              <w:bidi w:val="0"/>
              <w:adjustRightInd/>
              <w:snapToGrid/>
              <w:spacing w:after="0" w:line="520" w:lineRule="exact"/>
              <w:jc w:val="center"/>
              <w:textAlignment w:val="baseline"/>
              <w:rPr>
                <w:rFonts w:hint="default" w:eastAsia="宋体"/>
                <w:vertAlign w:val="baseline"/>
                <w:lang w:val="en-US" w:eastAsia="zh-CN"/>
              </w:rPr>
            </w:pP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drawing>
                <wp:anchor distT="0" distB="0" distL="114300" distR="114300" simplePos="0" relativeHeight="251661312" behindDoc="1" locked="0" layoutInCell="1" allowOverlap="1">
                  <wp:simplePos x="0" y="0"/>
                  <wp:positionH relativeFrom="column">
                    <wp:posOffset>0</wp:posOffset>
                  </wp:positionH>
                  <wp:positionV relativeFrom="paragraph">
                    <wp:posOffset>0</wp:posOffset>
                  </wp:positionV>
                  <wp:extent cx="5684520" cy="3784600"/>
                  <wp:effectExtent l="0" t="0" r="4445" b="4445"/>
                  <wp:wrapTight wrapText="bothSides">
                    <wp:wrapPolygon>
                      <wp:start x="0" y="0"/>
                      <wp:lineTo x="0" y="21379"/>
                      <wp:lineTo x="21371" y="21379"/>
                      <wp:lineTo x="21371" y="0"/>
                      <wp:lineTo x="0" y="0"/>
                    </wp:wrapPolygon>
                  </wp:wrapTight>
                  <wp:docPr id="8" name="图片 8" descr="169c9ce42b59f7447dc1f8f3b4d50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69c9ce42b59f7447dc1f8f3b4d50e11"/>
                          <pic:cNvPicPr>
                            <a:picLocks noChangeAspect="1"/>
                          </pic:cNvPicPr>
                        </pic:nvPicPr>
                        <pic:blipFill>
                          <a:blip r:embed="rId8"/>
                          <a:stretch>
                            <a:fillRect/>
                          </a:stretch>
                        </pic:blipFill>
                        <pic:spPr>
                          <a:xfrm>
                            <a:off x="0" y="0"/>
                            <a:ext cx="5684520" cy="3784600"/>
                          </a:xfrm>
                          <a:prstGeom prst="rect">
                            <a:avLst/>
                          </a:prstGeom>
                        </pic:spPr>
                      </pic:pic>
                    </a:graphicData>
                  </a:graphic>
                </wp:anchor>
              </w:drawing>
            </w: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t>养殖地</w:t>
            </w:r>
          </w:p>
        </w:tc>
      </w:tr>
    </w:tbl>
    <w:p w14:paraId="10767E6C">
      <w:pPr>
        <w:keepNext w:val="0"/>
        <w:keepLines w:val="0"/>
        <w:pageBreakBefore w:val="0"/>
        <w:widowControl w:val="0"/>
        <w:kinsoku/>
        <w:wordWrap/>
        <w:overflowPunct/>
        <w:topLinePunct w:val="0"/>
        <w:bidi w:val="0"/>
        <w:adjustRightInd/>
        <w:snapToGrid/>
        <w:spacing w:line="520" w:lineRule="exact"/>
        <w:ind w:firstLine="640" w:firstLineChars="200"/>
        <w:rPr>
          <w:rFonts w:hint="eastAsia" w:ascii="仿宋_GB2312" w:eastAsia="仿宋_GB2312"/>
          <w:color w:val="000000" w:themeColor="text1"/>
          <w:sz w:val="32"/>
          <w:szCs w:val="32"/>
          <w:lang w:eastAsia="zh-CN"/>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从品种习性来看，青蟹属于底栖穴居类生物，活动范围小且需要固定的栖居环境，而南美白对虾为中上层游泳类生物，活动范围广，分区养殖能有效避免两者的空间竞争，同时便于针对性开展投喂、水质调控等管理工作，提高饵料利用率。在面积占比上，本混养模式以对虾为主养品种，70%～75% 的对虾活动区能够保障主养品种的生长空间，进而提升核心养殖收益；青蟹生性好斗，密度过高易发生互相残杀，25%～30% 的蟹道区可合理控制青蟹养殖密度，减少内耗，提升其成活率，这一比例分配基于《中国水产科学》中关于南美白对虾与青蟹混养生态位分化的研究结果</w:t>
      </w:r>
      <w:r>
        <w:rPr>
          <w:rFonts w:hint="eastAsia" w:ascii="仿宋_GB2312" w:eastAsia="仿宋_GB2312"/>
          <w:color w:val="000000" w:themeColor="text1"/>
          <w:sz w:val="32"/>
          <w:szCs w:val="32"/>
          <w:lang w:eastAsia="zh-CN"/>
          <w14:textFill>
            <w14:solidFill>
              <w14:schemeClr w14:val="tx1"/>
            </w14:solidFill>
          </w14:textFill>
        </w:rPr>
        <w:t>。水深设计则充分考虑两者的生长需求：蟹道区水深 0.8 m～1.2 m，青蟹底栖生活需适度光照，水深过深会导致底层光照不足，影响其摄食、蜕壳，过浅则水温易波动，引发应激反应；对虾活动区水深 1.5 m～2.0 m，深水层水体容积大，生态系统更稳定，水温变化平缓，能为对虾提供充足的游泳空间，避免高温应激。</w:t>
      </w:r>
    </w:p>
    <w:p w14:paraId="4A9995A0">
      <w:pPr>
        <w:keepNext w:val="0"/>
        <w:keepLines w:val="0"/>
        <w:pageBreakBefore w:val="0"/>
        <w:widowControl w:val="0"/>
        <w:kinsoku/>
        <w:wordWrap/>
        <w:overflowPunct/>
        <w:topLinePunct w:val="0"/>
        <w:bidi w:val="0"/>
        <w:adjustRightInd/>
        <w:snapToGrid/>
        <w:spacing w:line="520" w:lineRule="exact"/>
        <w:ind w:firstLine="640" w:firstLineChars="200"/>
        <w:rPr>
          <w:rFonts w:hint="eastAsia" w:ascii="仿宋_GB2312" w:eastAsia="仿宋_GB2312"/>
          <w:color w:val="000000" w:themeColor="text1"/>
          <w:sz w:val="32"/>
          <w:szCs w:val="32"/>
          <w:lang w:eastAsia="zh-CN"/>
          <w14:textFill>
            <w14:solidFill>
              <w14:schemeClr w14:val="tx1"/>
            </w14:solidFill>
          </w14:textFill>
        </w:rPr>
      </w:pPr>
      <w:r>
        <w:rPr>
          <w:rFonts w:hint="eastAsia" w:ascii="仿宋_GB2312" w:eastAsia="仿宋_GB2312"/>
          <w:color w:val="000000" w:themeColor="text1"/>
          <w:sz w:val="32"/>
          <w:szCs w:val="32"/>
          <w:lang w:eastAsia="zh-CN"/>
          <w14:textFill>
            <w14:solidFill>
              <w14:schemeClr w14:val="tx1"/>
            </w14:solidFill>
          </w14:textFill>
        </w:rPr>
        <w:t>蟹道区域选择粒径 0.2 mm～0.5 mm 的洁净细沙并铺设 10 cm～15 cm 厚度，原因在于：过细的沙子易被水流冲起导致水质浑浊，过粗的沙子不利于青蟹钻穴、隐藏，适中粒径的细沙疏松透气，能完美适配青蟹蜕壳时的栖居需求，减少蜕壳期的残杀风险；10 cm～15 cm 的厚度既足够青蟹穴居，又不会因过厚导致底层缺氧、腐坏。对细沙进行暴晒或 20 mg/L 漂白粉溶液消毒处理，是为了杀灭沙中可能存在的致病菌、寄生虫、敌害生物（如螺类、蟹苗敌害），从源头减少病害发生。对虾活动区底质以壤土或黏土为宜，因为壤土、黏土的保水、保肥性好，能为有益菌和浮游生物提供良好的生长环境，进而为对虾提供天然饵料，且不易返底，有利于维持水质稳定；若为沙质底质，其保水保肥性差，浮游生物匮乏，还易导致底层溶氧偏低，因此要求掺混 20%～30% 塘泥改良。池底铺设管材、砖等遮蔽物，主要有三大作用：一是为青蟹提供隐蔽场所，减少其互相残杀，尤其能保护蜕壳期无防御能力的青蟹，显著提升青蟹成活率，这一设置遵循了《海水养殖技术手册》中青蟹养殖隐蔽物设置的通用准则；二是遮蔽物表面可附着生物膜和浮游生物，能为虾蟹提供天然饵料，提高饵料利用率；三是管材、砖质地坚硬，不易腐烂，适配水产养殖长期使用的实操需求，且不会对池塘底质和水质造成不良影响。</w:t>
      </w:r>
    </w:p>
    <w:p w14:paraId="176E55DB">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3.配套设施</w:t>
      </w:r>
    </w:p>
    <w:p w14:paraId="09E945F1">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进排水系统：</w:t>
      </w:r>
      <w:r>
        <w:rPr>
          <w:rFonts w:hint="default" w:ascii="仿宋_GB2312" w:hAnsi="Calibri" w:eastAsia="仿宋_GB2312" w:cs="Calibri"/>
          <w:color w:val="000000" w:themeColor="text1"/>
          <w:kern w:val="2"/>
          <w:sz w:val="32"/>
          <w:szCs w:val="32"/>
          <w:lang w:val="en-US" w:eastAsia="zh-CN" w:bidi="ar-SA"/>
          <w14:textFill>
            <w14:solidFill>
              <w14:schemeClr w14:val="tx1"/>
            </w14:solidFill>
          </w14:textFill>
        </w:rPr>
        <w:t>0.18</w:t>
      </w:r>
      <w:r>
        <w:rPr>
          <w:rFonts w:hint="eastAsia" w:ascii="仿宋_GB2312" w:eastAsia="仿宋_GB2312"/>
          <w:color w:val="000000" w:themeColor="text1"/>
          <w:sz w:val="32"/>
          <w:szCs w:val="32"/>
          <w14:textFill>
            <w14:solidFill>
              <w14:schemeClr w14:val="tx1"/>
            </w14:solidFill>
          </w14:textFill>
        </w:rPr>
        <w:t>～</w:t>
      </w:r>
      <w:r>
        <w:rPr>
          <w:rFonts w:hint="default" w:ascii="仿宋_GB2312" w:hAnsi="Calibri" w:eastAsia="仿宋_GB2312" w:cs="Calibri"/>
          <w:color w:val="000000" w:themeColor="text1"/>
          <w:kern w:val="2"/>
          <w:sz w:val="32"/>
          <w:szCs w:val="32"/>
          <w:lang w:val="en-US" w:eastAsia="zh-CN" w:bidi="ar-SA"/>
          <w14:textFill>
            <w14:solidFill>
              <w14:schemeClr w14:val="tx1"/>
            </w14:solidFill>
          </w14:textFill>
        </w:rPr>
        <w:t>0.25 mm 的网目能有效拦截水中的野杂鱼、虾苗、蟹苗、螺类、水蚤等敌害生物，避免其进入养殖池与南美白对虾、青蟹争夺饵料、空间，或捕食幼体虾蟹，降低养殖成活率</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南美白对虾与青蟹混养池的残饵、粪便、死藻等污染物主要沉积在池底，设置池底排污管可实现底层定向排污，直接排出池底厌氧层的污水，相较于表层排水，能更高效改善底质环境，降低底层溶氧偏低、硫化氢等有毒有害物质滋生的风险，从源头减少虾蟹细菌性、病毒性病害的发生。</w:t>
      </w:r>
    </w:p>
    <w:p w14:paraId="4EA01AA3">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青蟹具备较强的攀爬、钻穴能力，南美白对虾也有沿水流游动的特性，排污管管口为水流通道，易成为虾蟹逃逸的出口，安装防逃网可从根本上防止养殖品种逃逸，减少养殖损失；同时，防逃网可过滤排污过程中的杂物，避免管口被残饵、泥沙堵塞，保证排污管通畅。</w:t>
      </w:r>
    </w:p>
    <w:p w14:paraId="4691577F">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增氧系统：南美白对虾为中上层游泳生物，青蟹为底层穴居生物，虾蟹在水体不同水层同时呼吸，对全池水体（表层、中层、底层）均有溶氧需求，耗氧总量远高于单一养殖品种；且青蟹蜕壳期、对虾快速生长期的耗氧速率会显著提升，充足的总功率为其提供基础溶氧保障。有机物在池底分解过程中会消耗大量溶氧，易导致底层形成厌氧层，滋生硫化氢、氨氮等有毒物质，2.0～2.5 kW / 亩的总功率能弥补底质分解的耗氧缺口，避免全池溶氧整体偏低。</w:t>
      </w:r>
    </w:p>
    <w:p w14:paraId="336DDDF8">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水车式增氧机的核心优势是推水增氧 + 水体循环，能推动中上层水体形成定向水流，不仅能提升中上层溶氧，还能将残饵、粪便推至池底排污区，减少对虾活动区的有机物沉积，适配南美白对虾中上层游泳的习性；叶轮式增氧机的表层增氧效率最高，能快速打破水体表面张力，将空气融入水体，同时通过水花飞溅实现水体溶氧快速提升，适配对虾活动区的高密度、高耗氧需求，是混养池对虾区的高效增氧选择。</w:t>
      </w:r>
    </w:p>
    <w:p w14:paraId="281C148F">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对虾区</w:t>
      </w:r>
      <w:r>
        <w:rPr>
          <w:rFonts w:hint="default" w:ascii="仿宋_GB2312" w:eastAsia="仿宋_GB2312" w:cs="Calibri"/>
          <w:color w:val="000000" w:themeColor="text1"/>
          <w:kern w:val="2"/>
          <w:sz w:val="32"/>
          <w:szCs w:val="32"/>
          <w:lang w:val="en-US" w:eastAsia="zh-CN" w:bidi="ar-SA"/>
          <w14:textFill>
            <w14:solidFill>
              <w14:schemeClr w14:val="tx1"/>
            </w14:solidFill>
          </w14:textFill>
        </w:rPr>
        <w:t>配置密度原因：①1.5 kW 水车式增氧机每 3</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6 亩配置 1</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2 台：该功率增氧机的有效增氧覆盖范围为 3 亩左右，6 亩配置 2 台为基础密度，兼顾增氧无盲区与设备成本；②2.2 kW 叶轮式增氧机每 3</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4 亩配置 1 台：该功率增氧机的增氧效率比 1.5 kW 水车式更高，有效覆盖范围为 3</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4 亩，适合对虾高密度养殖的池塘，减少设备安装数量。</w:t>
      </w:r>
    </w:p>
    <w:p w14:paraId="053D9D1F">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蟹道区：每 50 m～60 m 配置 1 台 0.75 kW 射流式增氧机</w:t>
      </w:r>
    </w:p>
    <w:p w14:paraId="0458B9D0">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增氧机类型选择原因：射流式增氧机的核心优势是底层深层增氧，能将高压水流与空气混合后形成溶氧水箭直冲池底，快速提升底层溶氧，且搅动底质的幅度极小，不会导致蟹道区的细沙被冲起而浑浊水质，完美适配青蟹底层穴居的习性；而水车式、叶轮式增氧机的增氧效果主要集中在中上层，对底层溶氧提升作用有限，不适合蟹道区。</w:t>
      </w:r>
    </w:p>
    <w:p w14:paraId="1D9EFDEF">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配置密度原因：0.75 kW 射流式增氧机对底层的有效增氧覆盖距离为 50</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60 m，该间距能保证蟹道区底层溶氧均匀分布，无增氧盲区，同时避免因设备过密导致的能耗浪费，适配蟹道区 25%</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30% 的池塘面积占比。</w:t>
      </w:r>
    </w:p>
    <w:p w14:paraId="277857C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对虾活动区溶氧＞5 mg/L：南美白对虾的适宜溶氧范围为 5 mg/L 以上，当溶氧低于该值时，其摄食能力、消化效率会显著下降，生长速度放缓；若溶氧持续低于 4 mg/L，会引发对虾应激反应，降低其抗病能力，易诱发白斑综合征、弧菌病等病害，甚至出现缺氧浮头死亡。设定＞5 mg/L 的标准，为对虾生长预留了安全缓冲空间，适配养殖过程中溶氧的小幅波动。</w:t>
      </w:r>
    </w:p>
    <w:p w14:paraId="10874E60">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蟹道区溶氧＞6 mg/L：青蟹对溶氧的需求高于南美白对虾，且其穴居的底层水体本身溶氧含量就低于中上层，同时蟹道区细沙底质的有机物分解也会持续耗氧，因此需设定更高的溶氧标准。青蟹的蜕壳期是其生长的关键阶段，此时青蟹体质虚弱、无防御能力，溶氧＞6 mg/L是青蟹顺利蜕壳的必要条件，若溶氧不足，会导致青蟹蜕壳失败、软壳蟹被残杀，大幅降低成活率；同时，充足的底层溶氧能抑制蟹道区厌氧细菌的繁殖，减少底质有毒物质的产生，保障青蟹的生存环境。</w:t>
      </w:r>
    </w:p>
    <w:p w14:paraId="76CD7E8F">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防逃设施</w:t>
      </w:r>
    </w:p>
    <w:p w14:paraId="45FE9451">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青蟹是典型的底栖甲壳类，具备强攀爬能力，成体青蟹攀爬高度可达 0.6</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0.7m，且遇雨天、池水涨满、环境突变（如溶氧低、水温骤变）时，逃逸行为会加剧，0.8m 的高度在青蟹最大攀爬高度基础上预留安全缓冲，彻底阻断其沿池埂向上攀爬的逃逸路径</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。尼龙薄膜、钙塑板、钢化玻璃等硬质材料表面光滑，无攀爬着力点，青蟹无法在光滑表面完成攀爬，因此防逃高度可低于防逃网，60cm 为临界有效高度，既能阻断青蟹、对虾的逃逸路径。青蟹攀爬时需借助棱角、直角形成的着力点完成身体支撑与向上移动，直角转角是青蟹最易突破的防逃薄弱点；弧形转角（半径＞50cm）表面光滑无棱角，青蟹无法找到攀爬借力点，彻底消除转角处的逃逸盲区，这是经甲壳类养殖实践验证的防逃关键设计。</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4DB57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174" w:type="dxa"/>
          </w:tcPr>
          <w:p w14:paraId="758947B5">
            <w:pPr>
              <w:pStyle w:val="2"/>
              <w:keepNext w:val="0"/>
              <w:keepLines w:val="0"/>
              <w:pageBreakBefore w:val="0"/>
              <w:widowControl w:val="0"/>
              <w:kinsoku/>
              <w:wordWrap/>
              <w:overflowPunct/>
              <w:topLinePunct w:val="0"/>
              <w:autoSpaceDE/>
              <w:autoSpaceDN/>
              <w:bidi w:val="0"/>
              <w:adjustRightInd/>
              <w:snapToGrid/>
              <w:spacing w:after="0" w:line="520" w:lineRule="exact"/>
              <w:jc w:val="center"/>
              <w:textAlignment w:val="baseline"/>
              <w:rPr>
                <w:rFonts w:hint="default" w:ascii="仿宋_GB2312" w:eastAsia="仿宋_GB2312" w:cs="Calibri"/>
                <w:color w:val="000000" w:themeColor="text1"/>
                <w:kern w:val="2"/>
                <w:sz w:val="32"/>
                <w:szCs w:val="32"/>
                <w:vertAlign w:val="baseline"/>
                <w:lang w:val="en-US" w:eastAsia="zh-CN" w:bidi="ar-SA"/>
                <w14:textFill>
                  <w14:solidFill>
                    <w14:schemeClr w14:val="tx1"/>
                  </w14:solidFill>
                </w14:textFill>
              </w:rPr>
            </w:pPr>
            <w:r>
              <w:rPr>
                <w:rFonts w:hint="default" w:ascii="仿宋_GB2312" w:eastAsia="仿宋_GB2312" w:cs="Calibri"/>
                <w:color w:val="000000" w:themeColor="text1"/>
                <w:kern w:val="2"/>
                <w:sz w:val="32"/>
                <w:szCs w:val="32"/>
                <w:vertAlign w:val="baseline"/>
                <w:lang w:val="en-US" w:eastAsia="zh-CN" w:bidi="ar-SA"/>
                <w14:textFill>
                  <w14:solidFill>
                    <w14:schemeClr w14:val="tx1"/>
                  </w14:solidFill>
                </w14:textFill>
              </w:rPr>
              <w:drawing>
                <wp:anchor distT="0" distB="0" distL="114300" distR="114300" simplePos="0" relativeHeight="251662336" behindDoc="0" locked="0" layoutInCell="1" allowOverlap="1">
                  <wp:simplePos x="0" y="0"/>
                  <wp:positionH relativeFrom="column">
                    <wp:posOffset>0</wp:posOffset>
                  </wp:positionH>
                  <wp:positionV relativeFrom="paragraph">
                    <wp:posOffset>-2931160</wp:posOffset>
                  </wp:positionV>
                  <wp:extent cx="5683885" cy="3195320"/>
                  <wp:effectExtent l="0" t="0" r="5080" b="0"/>
                  <wp:wrapSquare wrapText="bothSides"/>
                  <wp:docPr id="9" name="图片 9" descr="e81aef29375c1eaf1e5e8ac08cf54d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81aef29375c1eaf1e5e8ac08cf54d7d"/>
                          <pic:cNvPicPr>
                            <a:picLocks noChangeAspect="1"/>
                          </pic:cNvPicPr>
                        </pic:nvPicPr>
                        <pic:blipFill>
                          <a:blip r:embed="rId9"/>
                          <a:stretch>
                            <a:fillRect/>
                          </a:stretch>
                        </pic:blipFill>
                        <pic:spPr>
                          <a:xfrm>
                            <a:off x="0" y="0"/>
                            <a:ext cx="5683885" cy="3195320"/>
                          </a:xfrm>
                          <a:prstGeom prst="rect">
                            <a:avLst/>
                          </a:prstGeom>
                        </pic:spPr>
                      </pic:pic>
                    </a:graphicData>
                  </a:graphic>
                </wp:anchor>
              </w:drawing>
            </w: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t>防逃</w:t>
            </w:r>
          </w:p>
        </w:tc>
      </w:tr>
    </w:tbl>
    <w:p w14:paraId="5DE741FC">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监测设施</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通过盐度监测仪可实时掌握盐度变化，及时采取换水、补盐等调控措施，保障盐度稳定在适宜区间。水温直接决定虾蟹的代谢速率、蜕壳周期、饵料转化率，同时影响水体溶氧饱和度、微生物活性；南美白对虾与青蟹的适宜生长水温均为 25</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32℃，水温骤变 ±3℃以上会引发应激，低于 20℃则生长停滞，蜕壳期水温波动还会导致软壳蟹无法硬化而被残杀；通过水温仪可实时监测池水温变化，高温期及时采取加水、遮阴等降温措施，低温期做好保温，同时根据水温调整投喂量，实现科学投喂。溶氧仪是验证增氧系统运行效果、把控溶氧阈值的唯一精准工具；可实时监测不同水层溶氧变化，及时发现底层溶氧偏低问题，调整增氧机开启时间 / 频次，避免因溶氧不足引发虾蟹浮头、缺氧死亡。水体 pH 值直接影响虾蟹的鳃部呼吸功能和水体中有益微生物（硝化细菌、光合细菌）的活性，还会影响氨氮的存在形态。氨氮、亚硝酸盐是混养池最易产生的有毒水质指标，主要由虾蟹粪便、残饵、死藻等有机物分解产生；两者均会破坏虾蟹的血液携氧能力，引发 “浮头病”，亚硝酸盐超标还会导致虾蟹出现 “红体病”，即使低浓度长期超标，也会抑制虾蟹生长、降低抗病能力，为弧菌等致病菌提供侵染条件。</w:t>
      </w:r>
    </w:p>
    <w:p w14:paraId="64BFA495">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（二）养殖用水水质</w:t>
      </w:r>
    </w:p>
    <w:p w14:paraId="285B5B40">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南美白对虾为广盐性甲壳类，青蟹（拟穴青蟹）为典型咸淡水品种，两者的渗透压调节系统仅能在适宜盐度区间正常工作，该盐度范围是兼顾两者生长、蜕壳的共适核心区间</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盐度过低会大幅增加虾蟹的渗透压调节生理负担，导致青蟹蜕壳困难、软壳蟹死亡率升高，南美白对虾苗种成活率骤降，且低盐度水体易滋生淡水型致病菌（如柱状黄杆菌）；盐度过高会使水体渗透压远超虾蟹体内渗透压，造成鳃部细胞失水损伤，呼吸功能受阻，同时高盐度会抑制水体硝化细菌、光合细菌等有益微生物活性，氮磷循环受阻，氨氮、亚硝酸盐等有毒指标易快速超标。南美白对虾与青蟹均为变温水生甲壳类，无体温调节能力，代谢速率、摄食效率、蜕壳周期、饵料转化率完全由水温决定，温度指标设定直接匹配虾蟹混养的养殖周期与生存底线。</w:t>
      </w:r>
    </w:p>
    <w:p w14:paraId="36560A90">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eastAsia="仿宋_GB2312" w:cs="Calibri"/>
          <w:color w:val="000000" w:themeColor="text1"/>
          <w:kern w:val="2"/>
          <w:sz w:val="32"/>
          <w:szCs w:val="32"/>
          <w:lang w:val="en-US" w:eastAsia="zh-CN" w:bidi="ar-SA"/>
          <w14:textFill>
            <w14:solidFill>
              <w14:schemeClr w14:val="tx1"/>
            </w14:solidFill>
          </w14:textFill>
        </w:rPr>
        <w:t>氨氮、亚硝酸盐是虾蟹混养池最主要的有毒水质指标，主要由虾蟹粪便、残饵、死藻等有机物分解产生，且两者对虾蟹的生理毒性极强</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r>
        <w:rPr>
          <w:rFonts w:hint="default" w:ascii="仿宋_GB2312" w:eastAsia="仿宋_GB2312" w:cs="Calibri"/>
          <w:color w:val="000000" w:themeColor="text1"/>
          <w:kern w:val="2"/>
          <w:sz w:val="32"/>
          <w:szCs w:val="32"/>
          <w:lang w:val="en-US" w:eastAsia="zh-CN" w:bidi="ar-SA"/>
          <w14:textFill>
            <w14:solidFill>
              <w14:schemeClr w14:val="tx1"/>
            </w14:solidFill>
          </w14:textFill>
        </w:rPr>
        <w:t>氨氮会破坏虾蟹血淋巴的携氧能力，引发缺氧浮头、肝胰腺损伤，严重时直接导致中毒死亡；亚硝酸盐为强氧化剂，会使虾蟹血液中的血红蛋白转化为高铁血红蛋白，丧失携氧功能，引发 “高铁血红蛋白症”，表现为鳃部发紫、摄食停止，且虾蟹幼体对其毒性更敏感。透明度直接反映水体浮游生物群落结构、悬浮物含量，是判断池塘藻相平衡与水质清洁度的核心直观指标，≥30 cm 的透明度是虾蟹混养池生态平衡的关键阈值</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。化学需氧量（COD）反映水体中可被氧化的有机物总含量，该指标设定是为了从水源端把控有机物污染，避免外源有机物进入养殖池加剧水质负担。GB 11607《渔业水质标准》是我国水产养殖水源水质的国家强制性标准，涵盖了溶解氧、硫化氢、总磷、总氮、重金属（汞、镉、铅等）、石油类等未在本条款中单独列明的核心水质指标。</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5DAFF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174" w:type="dxa"/>
          </w:tcPr>
          <w:p w14:paraId="6268B94B">
            <w:pPr>
              <w:pStyle w:val="2"/>
              <w:keepNext w:val="0"/>
              <w:keepLines w:val="0"/>
              <w:pageBreakBefore w:val="0"/>
              <w:widowControl w:val="0"/>
              <w:kinsoku/>
              <w:wordWrap/>
              <w:overflowPunct/>
              <w:topLinePunct w:val="0"/>
              <w:autoSpaceDE/>
              <w:autoSpaceDN/>
              <w:bidi w:val="0"/>
              <w:adjustRightInd/>
              <w:snapToGrid/>
              <w:spacing w:after="0" w:line="520" w:lineRule="exact"/>
              <w:jc w:val="center"/>
              <w:textAlignment w:val="baseline"/>
              <w:rPr>
                <w:rFonts w:hint="default" w:ascii="仿宋_GB2312" w:eastAsia="仿宋" w:cs="Calibri"/>
                <w:color w:val="000000" w:themeColor="text1"/>
                <w:kern w:val="2"/>
                <w:sz w:val="32"/>
                <w:szCs w:val="32"/>
                <w:vertAlign w:val="baseline"/>
                <w:lang w:val="en-US" w:eastAsia="zh-CN" w:bidi="ar-SA"/>
                <w14:textFill>
                  <w14:solidFill>
                    <w14:schemeClr w14:val="tx1"/>
                  </w14:solidFill>
                </w14:textFill>
              </w:rPr>
            </w:pPr>
            <w:r>
              <w:rPr>
                <w:rFonts w:hint="eastAsia" w:ascii="仿宋" w:hAnsi="仿宋" w:eastAsia="仿宋"/>
              </w:rPr>
              <w:drawing>
                <wp:anchor distT="0" distB="0" distL="114300" distR="114300" simplePos="0" relativeHeight="251663360" behindDoc="0" locked="0" layoutInCell="1" allowOverlap="1">
                  <wp:simplePos x="0" y="0"/>
                  <wp:positionH relativeFrom="column">
                    <wp:posOffset>868045</wp:posOffset>
                  </wp:positionH>
                  <wp:positionV relativeFrom="paragraph">
                    <wp:posOffset>-623570</wp:posOffset>
                  </wp:positionV>
                  <wp:extent cx="4045585" cy="2792095"/>
                  <wp:effectExtent l="0" t="0" r="2540" b="381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 cstate="print"/>
                          <a:srcRect/>
                          <a:stretch>
                            <a:fillRect/>
                          </a:stretch>
                        </pic:blipFill>
                        <pic:spPr>
                          <a:xfrm>
                            <a:off x="0" y="0"/>
                            <a:ext cx="4045585" cy="2792095"/>
                          </a:xfrm>
                          <a:prstGeom prst="rect">
                            <a:avLst/>
                          </a:prstGeom>
                          <a:noFill/>
                        </pic:spPr>
                      </pic:pic>
                    </a:graphicData>
                  </a:graphic>
                </wp:anchor>
              </w:drawing>
            </w:r>
            <w:r>
              <w:rPr>
                <w:rFonts w:hint="eastAsia" w:ascii="仿宋" w:hAnsi="仿宋" w:eastAsia="仿宋"/>
                <w:lang w:val="en-US" w:eastAsia="zh-CN"/>
              </w:rPr>
              <w:t>养殖池</w:t>
            </w:r>
          </w:p>
        </w:tc>
      </w:tr>
    </w:tbl>
    <w:p w14:paraId="731EAC0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9"/>
        <w:gridCol w:w="1764"/>
        <w:gridCol w:w="1648"/>
        <w:gridCol w:w="1417"/>
        <w:gridCol w:w="1533"/>
        <w:gridCol w:w="1533"/>
      </w:tblGrid>
      <w:tr w14:paraId="045DD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9" w:type="dxa"/>
          </w:tcPr>
          <w:p w14:paraId="2C35B966">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项目</w:t>
            </w:r>
          </w:p>
        </w:tc>
        <w:tc>
          <w:tcPr>
            <w:tcW w:w="1764" w:type="dxa"/>
          </w:tcPr>
          <w:p w14:paraId="250D3FCD">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企业1</w:t>
            </w:r>
          </w:p>
        </w:tc>
        <w:tc>
          <w:tcPr>
            <w:tcW w:w="1648" w:type="dxa"/>
          </w:tcPr>
          <w:p w14:paraId="3C5976EA">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企业2</w:t>
            </w:r>
          </w:p>
        </w:tc>
        <w:tc>
          <w:tcPr>
            <w:tcW w:w="1417" w:type="dxa"/>
          </w:tcPr>
          <w:p w14:paraId="293A46F9">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企业3</w:t>
            </w:r>
          </w:p>
        </w:tc>
        <w:tc>
          <w:tcPr>
            <w:tcW w:w="1533" w:type="dxa"/>
          </w:tcPr>
          <w:p w14:paraId="50D69160">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企业4</w:t>
            </w:r>
          </w:p>
        </w:tc>
        <w:tc>
          <w:tcPr>
            <w:tcW w:w="1533" w:type="dxa"/>
          </w:tcPr>
          <w:p w14:paraId="24F62EC6">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企业5</w:t>
            </w:r>
          </w:p>
        </w:tc>
      </w:tr>
      <w:tr w14:paraId="39178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9" w:type="dxa"/>
          </w:tcPr>
          <w:p w14:paraId="63ADF474">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盐度</w:t>
            </w:r>
          </w:p>
        </w:tc>
        <w:tc>
          <w:tcPr>
            <w:tcW w:w="1764" w:type="dxa"/>
          </w:tcPr>
          <w:p w14:paraId="39047E06">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10‰～20‰</w:t>
            </w:r>
          </w:p>
        </w:tc>
        <w:tc>
          <w:tcPr>
            <w:tcW w:w="1648" w:type="dxa"/>
          </w:tcPr>
          <w:p w14:paraId="6356A559">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15‰～20‰</w:t>
            </w:r>
          </w:p>
        </w:tc>
        <w:tc>
          <w:tcPr>
            <w:tcW w:w="1417" w:type="dxa"/>
          </w:tcPr>
          <w:p w14:paraId="06ABA87A">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15‰～32‰</w:t>
            </w:r>
          </w:p>
        </w:tc>
        <w:tc>
          <w:tcPr>
            <w:tcW w:w="1533" w:type="dxa"/>
          </w:tcPr>
          <w:p w14:paraId="5B335849">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15‰～25‰</w:t>
            </w:r>
          </w:p>
        </w:tc>
        <w:tc>
          <w:tcPr>
            <w:tcW w:w="1533" w:type="dxa"/>
          </w:tcPr>
          <w:p w14:paraId="6EB439EC">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10‰～32‰</w:t>
            </w:r>
          </w:p>
        </w:tc>
      </w:tr>
      <w:tr w14:paraId="137D9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9" w:type="dxa"/>
          </w:tcPr>
          <w:p w14:paraId="31C285BA">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pH值</w:t>
            </w:r>
          </w:p>
        </w:tc>
        <w:tc>
          <w:tcPr>
            <w:tcW w:w="1764" w:type="dxa"/>
          </w:tcPr>
          <w:p w14:paraId="046FE07D">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7.6～8.5</w:t>
            </w:r>
          </w:p>
        </w:tc>
        <w:tc>
          <w:tcPr>
            <w:tcW w:w="1648" w:type="dxa"/>
          </w:tcPr>
          <w:p w14:paraId="4FFBAF86">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8.0～8.5</w:t>
            </w:r>
          </w:p>
        </w:tc>
        <w:tc>
          <w:tcPr>
            <w:tcW w:w="1417" w:type="dxa"/>
          </w:tcPr>
          <w:p w14:paraId="2A538B89">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7.6～8.5</w:t>
            </w:r>
          </w:p>
        </w:tc>
        <w:tc>
          <w:tcPr>
            <w:tcW w:w="1533" w:type="dxa"/>
          </w:tcPr>
          <w:p w14:paraId="416743E3">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7.8～8.5</w:t>
            </w:r>
          </w:p>
        </w:tc>
        <w:tc>
          <w:tcPr>
            <w:tcW w:w="1533" w:type="dxa"/>
          </w:tcPr>
          <w:p w14:paraId="6C7F9878">
            <w:pPr>
              <w:pStyle w:val="27"/>
              <w:keepNext w:val="0"/>
              <w:keepLines w:val="0"/>
              <w:numPr>
                <w:ilvl w:val="0"/>
                <w:numId w:val="0"/>
              </w:numPr>
              <w:suppressLineNumbers w:val="0"/>
              <w:spacing w:before="0" w:beforeAutospacing="0" w:after="0" w:afterAutospacing="0"/>
              <w:ind w:right="0"/>
              <w:jc w:val="center"/>
              <w:rPr>
                <w:rFonts w:hint="default"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8.0</w:t>
            </w:r>
            <w:r>
              <w:rPr>
                <w:rFonts w:hint="eastAsia" w:ascii="仿宋_GB2312" w:hAnsi="仿宋_GB2312" w:eastAsia="仿宋_GB2312" w:cs="仿宋_GB2312"/>
                <w:kern w:val="2"/>
                <w:sz w:val="30"/>
                <w:szCs w:val="30"/>
                <w:lang w:val="en-US" w:eastAsia="zh-CN" w:bidi="ar"/>
              </w:rPr>
              <w:t>～8.5</w:t>
            </w:r>
          </w:p>
        </w:tc>
      </w:tr>
      <w:tr w14:paraId="0CB57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9" w:type="dxa"/>
          </w:tcPr>
          <w:p w14:paraId="2223C421">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透明度</w:t>
            </w:r>
          </w:p>
        </w:tc>
        <w:tc>
          <w:tcPr>
            <w:tcW w:w="1764" w:type="dxa"/>
          </w:tcPr>
          <w:p w14:paraId="0D19C880">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≥40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cm</w:t>
            </w:r>
          </w:p>
        </w:tc>
        <w:tc>
          <w:tcPr>
            <w:tcW w:w="1648" w:type="dxa"/>
          </w:tcPr>
          <w:p w14:paraId="1F199993">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≥30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cm</w:t>
            </w:r>
          </w:p>
        </w:tc>
        <w:tc>
          <w:tcPr>
            <w:tcW w:w="1417" w:type="dxa"/>
          </w:tcPr>
          <w:p w14:paraId="3379753F">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≥30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cm</w:t>
            </w:r>
          </w:p>
        </w:tc>
        <w:tc>
          <w:tcPr>
            <w:tcW w:w="1533" w:type="dxa"/>
          </w:tcPr>
          <w:p w14:paraId="05F0900B">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≥30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cm</w:t>
            </w:r>
          </w:p>
        </w:tc>
        <w:tc>
          <w:tcPr>
            <w:tcW w:w="1533" w:type="dxa"/>
          </w:tcPr>
          <w:p w14:paraId="7AD28B89">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≥40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cm</w:t>
            </w:r>
          </w:p>
        </w:tc>
      </w:tr>
      <w:tr w14:paraId="10108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9" w:type="dxa"/>
          </w:tcPr>
          <w:p w14:paraId="7C786DB8">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b w:val="0"/>
                <w:sz w:val="30"/>
                <w:szCs w:val="30"/>
                <w:vertAlign w:val="baseline"/>
                <w:lang w:val="en-US" w:eastAsia="zh-CN"/>
              </w:rPr>
              <w:t>水体含氧量</w:t>
            </w:r>
          </w:p>
        </w:tc>
        <w:tc>
          <w:tcPr>
            <w:tcW w:w="1764" w:type="dxa"/>
            <w:vAlign w:val="center"/>
          </w:tcPr>
          <w:p w14:paraId="5A8C7A82">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&gt;5.0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mg/L</w:t>
            </w:r>
          </w:p>
        </w:tc>
        <w:tc>
          <w:tcPr>
            <w:tcW w:w="1648" w:type="dxa"/>
            <w:vAlign w:val="center"/>
          </w:tcPr>
          <w:p w14:paraId="60603996">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&gt;5.0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mg/L</w:t>
            </w:r>
          </w:p>
        </w:tc>
        <w:tc>
          <w:tcPr>
            <w:tcW w:w="1417" w:type="dxa"/>
            <w:vAlign w:val="center"/>
          </w:tcPr>
          <w:p w14:paraId="47502688">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&gt;6.0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mg/L</w:t>
            </w:r>
          </w:p>
        </w:tc>
        <w:tc>
          <w:tcPr>
            <w:tcW w:w="1533" w:type="dxa"/>
            <w:vAlign w:val="center"/>
          </w:tcPr>
          <w:p w14:paraId="5342D3C6">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&gt;5.0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mg/L</w:t>
            </w:r>
          </w:p>
        </w:tc>
        <w:tc>
          <w:tcPr>
            <w:tcW w:w="1533" w:type="dxa"/>
            <w:vAlign w:val="center"/>
          </w:tcPr>
          <w:p w14:paraId="3B14CCC5">
            <w:pPr>
              <w:pStyle w:val="27"/>
              <w:keepNext w:val="0"/>
              <w:keepLines w:val="0"/>
              <w:numPr>
                <w:ilvl w:val="0"/>
                <w:numId w:val="0"/>
              </w:numPr>
              <w:suppressLineNumbers w:val="0"/>
              <w:spacing w:before="0" w:beforeAutospacing="0" w:after="0" w:afterAutospacing="0"/>
              <w:ind w:right="0"/>
              <w:jc w:val="center"/>
              <w:rPr>
                <w:rFonts w:hint="eastAsia" w:ascii="仿宋_GB2312" w:hAnsi="仿宋_GB2312" w:eastAsia="仿宋_GB2312" w:cs="仿宋_GB2312"/>
                <w:b w:val="0"/>
                <w:sz w:val="30"/>
                <w:szCs w:val="30"/>
                <w:vertAlign w:val="baseline"/>
                <w:lang w:val="en-US" w:eastAsia="zh-CN"/>
              </w:rPr>
            </w:pPr>
            <w:r>
              <w:rPr>
                <w:rFonts w:hint="eastAsia" w:ascii="仿宋_GB2312" w:hAnsi="仿宋_GB2312" w:eastAsia="仿宋_GB2312" w:cs="仿宋_GB2312"/>
                <w:kern w:val="2"/>
                <w:sz w:val="30"/>
                <w:szCs w:val="30"/>
                <w:lang w:val="en-US" w:eastAsia="zh-CN" w:bidi="ar"/>
              </w:rPr>
              <w:t>&gt;6.0</w:t>
            </w:r>
            <w:r>
              <w:rPr>
                <w:rFonts w:hint="eastAsia" w:ascii="仿宋_GB2312" w:hAnsi="仿宋_GB2312" w:eastAsia="仿宋_GB2312" w:cs="仿宋_GB2312"/>
                <w:kern w:val="2"/>
                <w:sz w:val="30"/>
                <w:szCs w:val="30"/>
                <w:vertAlign w:val="baseline"/>
                <w:lang w:val="en-US" w:eastAsia="zh-CN" w:bidi="ar"/>
              </w:rPr>
              <w:t xml:space="preserve"> </w:t>
            </w:r>
            <w:r>
              <w:rPr>
                <w:rFonts w:hint="eastAsia" w:ascii="仿宋_GB2312" w:hAnsi="仿宋_GB2312" w:eastAsia="仿宋_GB2312" w:cs="仿宋_GB2312"/>
                <w:kern w:val="2"/>
                <w:sz w:val="30"/>
                <w:szCs w:val="30"/>
                <w:lang w:val="en-US" w:eastAsia="zh-CN" w:bidi="ar"/>
              </w:rPr>
              <w:t>mg/L</w:t>
            </w:r>
          </w:p>
        </w:tc>
      </w:tr>
    </w:tbl>
    <w:p w14:paraId="79E5DCD5">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Calibri"/>
          <w:color w:val="000000" w:themeColor="text1"/>
          <w:kern w:val="2"/>
          <w:sz w:val="32"/>
          <w:szCs w:val="32"/>
          <w:lang w:val="en-US" w:eastAsia="zh-CN" w:bidi="ar-SA"/>
          <w14:textFill>
            <w14:solidFill>
              <w14:schemeClr w14:val="tx1"/>
            </w14:solidFill>
          </w14:textFill>
        </w:rPr>
      </w:pPr>
    </w:p>
    <w:p w14:paraId="153DE454">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hint="eastAsia"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（2）前期准备</w:t>
      </w:r>
    </w:p>
    <w:p w14:paraId="661623CE">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1.消毒</w:t>
      </w:r>
    </w:p>
    <w:p w14:paraId="026D26B0">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新铺设的淡水河沙，可不用清洗，进排海水一次即可。若池塘经过多年的养殖，沙质底中通常会沉积了大量由死藻、青苔、粪便、残饵、污泥等组成的有机物质，通常都恶臭发黑，在细菌的作用下，不但会消耗水中溶解氧，还会产生硫化氢、氨氮等大量有毒物质，在放苗前必须除去。通常先将池底，特别是塘角发黑发臭的淤泥清除出塘外，再用高压水枪冲洗1～2遍，把沙中大部分的泥尘、有机质冲洗干净，然后曝晒，反复多次，直至底沙中的污物及臭味去掉为止。同时清除凶猛杂鱼、甲壳类、浒苔、石莼及过多的淤泥等杂物。用生石灰制成乳液全池泼洒，放置2天</w:t>
      </w:r>
      <w:r>
        <w:rPr>
          <w:rFonts w:ascii="仿宋_GB2312" w:eastAsia="仿宋_GB2312"/>
          <w:color w:val="000000" w:themeColor="text1"/>
          <w:sz w:val="32"/>
          <w:szCs w:val="32"/>
          <w14:textFill>
            <w14:solidFill>
              <w14:schemeClr w14:val="tx1"/>
            </w14:solidFill>
          </w14:textFill>
        </w:rPr>
        <w:t>以上，</w:t>
      </w:r>
      <w:r>
        <w:rPr>
          <w:rFonts w:hint="eastAsia" w:ascii="仿宋_GB2312" w:eastAsia="仿宋_GB2312"/>
          <w:color w:val="000000" w:themeColor="text1"/>
          <w:sz w:val="32"/>
          <w:szCs w:val="32"/>
          <w14:textFill>
            <w14:solidFill>
              <w14:schemeClr w14:val="tx1"/>
            </w14:solidFill>
          </w14:textFill>
        </w:rPr>
        <w:t>以杀灭有害细菌，生石灰每亩用量50～</w:t>
      </w:r>
      <w:r>
        <w:rPr>
          <w:rFonts w:hint="eastAsia" w:ascii="仿宋_GB2312" w:eastAsia="仿宋_GB2312"/>
          <w:color w:val="000000" w:themeColor="text1"/>
          <w:sz w:val="32"/>
          <w:szCs w:val="32"/>
          <w:lang w:val="en-US" w:eastAsia="zh-CN"/>
          <w14:textFill>
            <w14:solidFill>
              <w14:schemeClr w14:val="tx1"/>
            </w14:solidFill>
          </w14:textFill>
        </w:rPr>
        <w:t>80</w:t>
      </w:r>
      <w:r>
        <w:rPr>
          <w:rFonts w:hint="eastAsia" w:ascii="仿宋_GB2312" w:eastAsia="仿宋_GB2312"/>
          <w:color w:val="000000" w:themeColor="text1"/>
          <w:sz w:val="32"/>
          <w:szCs w:val="32"/>
          <w14:textFill>
            <w14:solidFill>
              <w14:schemeClr w14:val="tx1"/>
            </w14:solidFill>
          </w14:textFill>
        </w:rPr>
        <w:t>kg。放苗前，曝晒7天以上。平整沙面，移高填低。</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095E7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4964" w:hRule="atLeast"/>
        </w:trPr>
        <w:tc>
          <w:tcPr>
            <w:tcW w:w="9174" w:type="dxa"/>
          </w:tcPr>
          <w:p w14:paraId="05EFADE5">
            <w:pPr>
              <w:pStyle w:val="2"/>
              <w:jc w:val="center"/>
              <w:rPr>
                <w:rFonts w:hint="eastAsia" w:eastAsia="宋体"/>
                <w:vertAlign w:val="baseline"/>
                <w:lang w:eastAsia="zh-CN"/>
              </w:rPr>
            </w:pPr>
            <w:r>
              <w:rPr>
                <w:rFonts w:hint="eastAsia" w:eastAsia="宋体"/>
                <w:vertAlign w:val="baseline"/>
                <w:lang w:eastAsia="zh-CN"/>
              </w:rPr>
              <w:drawing>
                <wp:anchor distT="0" distB="0" distL="114300" distR="114300" simplePos="0" relativeHeight="251664384" behindDoc="1" locked="0" layoutInCell="1" allowOverlap="1">
                  <wp:simplePos x="0" y="0"/>
                  <wp:positionH relativeFrom="column">
                    <wp:posOffset>0</wp:posOffset>
                  </wp:positionH>
                  <wp:positionV relativeFrom="paragraph">
                    <wp:posOffset>0</wp:posOffset>
                  </wp:positionV>
                  <wp:extent cx="5684520" cy="2867025"/>
                  <wp:effectExtent l="0" t="0" r="0" b="0"/>
                  <wp:wrapTight wrapText="bothSides">
                    <wp:wrapPolygon>
                      <wp:start x="0" y="0"/>
                      <wp:lineTo x="0" y="21308"/>
                      <wp:lineTo x="21371" y="21308"/>
                      <wp:lineTo x="21371" y="0"/>
                      <wp:lineTo x="0" y="0"/>
                    </wp:wrapPolygon>
                  </wp:wrapTight>
                  <wp:docPr id="11" name="图片 11" descr="c8991b820706bcb24517237f066f3d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8991b820706bcb24517237f066f3d47"/>
                          <pic:cNvPicPr>
                            <a:picLocks noChangeAspect="1"/>
                          </pic:cNvPicPr>
                        </pic:nvPicPr>
                        <pic:blipFill>
                          <a:blip r:embed="rId11"/>
                          <a:srcRect b="10221"/>
                          <a:stretch>
                            <a:fillRect/>
                          </a:stretch>
                        </pic:blipFill>
                        <pic:spPr>
                          <a:xfrm>
                            <a:off x="0" y="0"/>
                            <a:ext cx="5684520" cy="2867025"/>
                          </a:xfrm>
                          <a:prstGeom prst="rect">
                            <a:avLst/>
                          </a:prstGeom>
                        </pic:spPr>
                      </pic:pic>
                    </a:graphicData>
                  </a:graphic>
                </wp:anchor>
              </w:drawing>
            </w:r>
            <w:r>
              <w:rPr>
                <w:rFonts w:hint="eastAsia"/>
                <w:vertAlign w:val="baseline"/>
                <w:lang w:val="en-US" w:eastAsia="zh-CN"/>
              </w:rPr>
              <w:t>池塘暴晒</w:t>
            </w:r>
          </w:p>
        </w:tc>
      </w:tr>
    </w:tbl>
    <w:p w14:paraId="3071DBF2">
      <w:pPr>
        <w:keepNext w:val="0"/>
        <w:keepLines w:val="0"/>
        <w:pageBreakBefore w:val="0"/>
        <w:kinsoku/>
        <w:wordWrap/>
        <w:overflowPunct/>
        <w:topLinePunct w:val="0"/>
        <w:bidi w:val="0"/>
        <w:snapToGrid/>
        <w:spacing w:line="520" w:lineRule="exact"/>
        <w:ind w:firstLine="640" w:firstLineChars="200"/>
        <w:rPr>
          <w:rFonts w:hint="default"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2.水质培育</w:t>
      </w:r>
    </w:p>
    <w:p w14:paraId="1B0F9AA0">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eastAsia="zh-CN"/>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遵循水产养殖 “先培水、后放苗，菌藻平衡、稳水护苗” 的核心培育原则。虾蟹专用肥施用后，氮、磷、钾等营养盐需 1-2 天被水体微生物利用，进而供给藻类萌发生长，实现 “肥水下苗”，若时间过短，藻类未大量繁殖，无法培育天然饵料，也无法形成稳定水色；时间过长则易导致肥料过量累积，引发氨氮、亚硝酸盐提前超标，或单一藻类爆发形成有害水华。枯草芽孢杆菌（≥1×10⁹ CFU/g）：作为好氧型芽孢杆菌，其活菌含量需达到 1×10⁹ CFU/g 以上才能快速形成优势菌群，核心功能为分解水体中大分子有机物（如残饵、粪便前体物）、降解氨氮亚硝酸盐、抑制蓝藻等有害藻类繁殖，同时能分泌抗菌肽，直接抑制弧菌、气单胞菌等虾蟹致病菌的生长</w:t>
      </w:r>
      <w:r>
        <w:rPr>
          <w:rFonts w:hint="eastAsia" w:ascii="仿宋_GB2312" w:eastAsia="仿宋_GB2312"/>
          <w:color w:val="000000" w:themeColor="text1"/>
          <w:sz w:val="32"/>
          <w:szCs w:val="32"/>
          <w:lang w:eastAsia="zh-CN"/>
          <w14:textFill>
            <w14:solidFill>
              <w14:schemeClr w14:val="tx1"/>
            </w14:solidFill>
          </w14:textFill>
        </w:rPr>
        <w:t>。乳酸菌（≥5×10⁸ CFU/g）：作为厌氧 / 兼性厌氧型菌，适配池塘底层微缺氧环境，活菌含量≥5×10⁸ CFU/g 可有效在底质和水体中下层定殖，核心功能为调节水体 pH 值至弱碱性适宜区间、改善虾蟹肠道微生态（苗种摄食后可提高消化能力）、抑制底层厌氧致病菌繁殖，同时能与枯草芽孢杆菌形成互补，好氧 + 厌氧菌协同作用，实现全水体、全水层的微生态平衡。</w:t>
      </w:r>
    </w:p>
    <w:p w14:paraId="5318F27D">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3.培育饵料</w:t>
      </w:r>
    </w:p>
    <w:p w14:paraId="182B3C19">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浮游植物、浮游动物是虾蟹苗种的核心基础饵料，其繁殖依赖充足的光照、稳定的水温，50</w:t>
      </w:r>
      <w:r>
        <w:rPr>
          <w:rFonts w:hint="eastAsia" w:ascii="仿宋_GB2312" w:eastAsia="仿宋_GB2312"/>
          <w:color w:val="000000" w:themeColor="text1"/>
          <w:sz w:val="32"/>
          <w:szCs w:val="32"/>
          <w14:textFill>
            <w14:solidFill>
              <w14:schemeClr w14:val="tx1"/>
            </w14:solidFill>
          </w14:textFill>
        </w:rPr>
        <w:t>～</w:t>
      </w:r>
      <w:r>
        <w:rPr>
          <w:rFonts w:hint="eastAsia" w:ascii="仿宋_GB2312" w:eastAsia="仿宋_GB2312"/>
          <w:color w:val="000000" w:themeColor="text1"/>
          <w:sz w:val="32"/>
          <w:szCs w:val="32"/>
          <w:lang w:val="en-US" w:eastAsia="zh-CN"/>
          <w14:textFill>
            <w14:solidFill>
              <w14:schemeClr w14:val="tx1"/>
            </w14:solidFill>
          </w14:textFill>
        </w:rPr>
        <w:t>60cm 的浅水深能让阳光充分穿透水体，提升水体表层与底层的光照均匀度，促进浮游植物的光合作用，同时浅水体升温快、水温稳定，能大幅缩短浮游生物的繁殖周期，实现基础饵料的快速培育。二氧化氯是水产养殖的高效、广谱、低残留消毒剂，对水体中的弧菌、气单胞菌等致病菌，以及野杂鱼卵、敌害原生动物均有极强的杀灭作用，能从源头清除基础饵料培育的生物干扰；同时二氧化氯不产生氯代有机物等有毒副产物，消毒后无残留，对后续浮游植物、浮游动物的繁殖无抑制作用，区别于漂白粉、强氯精等含氯消毒剂，不会因余氯残留影响培饵效果，是培饵前水体消毒的最优选择。</w:t>
      </w:r>
    </w:p>
    <w:p w14:paraId="7B94F69B">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海水植物生长素是针对咸淡水浮游植物（硅藻、绿藻等）研发的专用调节剂，含浮游植物繁殖所需的硅、镁、铁等微量元素，能定向促进虾蟹苗种喜食的硅藻、绿藻等有益浮游植物生长，抑制蓝藻、裸藻等有害藻类繁殖，实现基础饵料的优质培育。有益微生物制剂（如芽孢杆菌、光合细菌）能分解水体中的有机营养盐，转化为浮游植物可直接吸收的小分子营养，提升植物生长素的利用效率；同时能维持水体菌藻平衡，避免单一施用生长素导致的藻类过度繁殖，防止水质富营养化。</w:t>
      </w:r>
    </w:p>
    <w:p w14:paraId="0C367CDF">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3kg 氮肥 + 1kg 磷肥为基础肥量，能满足常规水体的浮游生物繁殖需求；4kg 氮肥 + 1.5kg 磷肥为强化肥量，适配瘦水型水体（如新开池塘、底质贫瘠的池塘），快速补充营养盐，促进浮游生物繁殖；若肥量过低，营养盐不足，浮游生物繁殖缓慢，基础饵料匮乏；若肥量过高，会导致水体营养盐过剩，引发蓝藻爆发、氨氮超标，破坏水体生态，甚至导致后续苗种中毒。</w:t>
      </w:r>
    </w:p>
    <w:p w14:paraId="76C0D302">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4.水生植物</w:t>
      </w:r>
    </w:p>
    <w:p w14:paraId="3379806B">
      <w:pPr>
        <w:keepNext w:val="0"/>
        <w:keepLines w:val="0"/>
        <w:pageBreakBefore w:val="0"/>
        <w:kinsoku/>
        <w:wordWrap/>
        <w:overflowPunct/>
        <w:topLinePunct w:val="0"/>
        <w:bidi w:val="0"/>
        <w:snapToGrid/>
        <w:spacing w:line="520" w:lineRule="exact"/>
        <w:ind w:firstLine="640" w:firstLineChars="200"/>
        <w:rPr>
          <w:rFonts w:hint="default"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1</w:t>
      </w:r>
      <w:r>
        <w:rPr>
          <w:rFonts w:hint="default" w:ascii="仿宋_GB2312" w:eastAsia="仿宋_GB2312"/>
          <w:color w:val="000000" w:themeColor="text1"/>
          <w:sz w:val="32"/>
          <w:szCs w:val="32"/>
          <w:lang w:val="en-US" w:eastAsia="zh-CN"/>
          <w14:textFill>
            <w14:solidFill>
              <w14:schemeClr w14:val="tx1"/>
            </w14:solidFill>
          </w14:textFill>
        </w:rPr>
        <w:t>0‰～20‰是华南沿海咸淡水交汇区（广西内河入海口、近岸低盐养殖区）的主流盐度，选择的草龙、水筛、咸草、耐盐香蒲均为该盐度下本土分布广、成活率高、易管护的半咸水水生植物，且品种功能与对应养殖区的生物需求高度匹配。</w:t>
      </w:r>
    </w:p>
    <w:p w14:paraId="686DD0AC">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草龙、水筛为典型的半咸水沉水 / 浮水植物，耐盐性适配 10‰～20‰盐度，且生长速度适中，不会过度繁殖堵塞水体，同时具备两大核心功能：一是高效吸收水体氮磷营养盐，混养池因双品种投喂产生的残饵、粪便会导致水体氮、磷超标，易引发富营养化和有害藻爆发，草龙、水筛的根系和茎叶能快速吸收水体中氨氮、亚硝酸盐、磷酸盐等营养物质，实现生物脱氮除磷，配合益生菌、藻类形成水质净化体系，维持水体透明度和理化指标稳定；二是为南美白对虾提供隐蔽场所，南美白对虾为中上层游泳生物，体型纤弱且无防御能力，易被同类或敌害捕食，草龙、水筛的枝蔓结构能形成天然的 “庇护网”，为对虾提供躲避空间，同时能减缓水体流速，为对虾营造安静的摄食、生长环境。</w:t>
      </w:r>
    </w:p>
    <w:p w14:paraId="45D4F4BC">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咸草（咸水草）、耐盐香蒲为半咸水挺水植物，根系发达、植株直立，适配蟹道区 0.8m～1.2m 的水深和细沙底质，核心功能与青蟹的底栖穴居习性及蟹道区的生态需求高度契合：一是稳固池埂、稳定底质，蟹道区紧邻池埂且为青蟹钻穴、活动的核心区域，青蟹的钻穴行为易导致池埂坍塌、底质松动，咸草、耐盐香蒲的发达根系能深入池埂和底质，形成 “根系网络”，有效防止池埂水土流失和底质悬浮，保障池塘基础设施稳定；二是净化水质、提供天然饵料，其叶片能吸附水体悬浮物，根系可分解底质中的有机污染物，改善蟹道区水质和底质环境；同时，其嫩叶、根茎及附着的微生物、浮游生物能为青蟹和幼虾提供天然适口饵料，补充人工投喂的不足，提高饵料利用率；三是为青蟹提供栖息环境，直立的植株能遮挡阳光，为喜阴的青蟹营造适宜的底栖环境，同时减少青蟹之间的互相残杀。</w:t>
      </w:r>
    </w:p>
    <w:p w14:paraId="16B9DECC">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21‰～32‰为华南近海养殖区（如广西北部湾沿海养殖池）的典型盐度，该盐度下普通半咸水植物无法存活，选择的川蔓藻、二药藻、海雀稗、老鼠簕均为本土耐高盐盐生 / 海生植物，耐盐性与该梯度高度匹配。高盐水体是弧菌（副溶血性弧菌、溶藻弧菌等）的适宜繁殖环境，弧菌是南美白对虾的主要致病菌，易引发红体病、白斑综合征等烈性病害，川蔓藻、二药藻的根系和叶片会分泌天然抑菌物质，能有效抑制弧菌的生长繁殖，降低水体弧菌浓度，从生物层面减少病害发生，替代部分化学抑菌药剂，契合绿色养殖理念。海雀稗、老鼠簕为拟穴青蟹提供蜕壳庇护环境 **，青蟹蜕壳期无防御能力，易被同类残杀或受外界惊扰导致蜕壳失败，老鼠簕的木质化枝条、海雀稗的茂密草丛能形成封闭的蜕壳隐蔽空间，为青蟹提供安全的蜕壳环境，大幅提升蜕壳成活率。</w:t>
      </w:r>
    </w:p>
    <w:p w14:paraId="2B44D90E">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对虾活动区：为中上层水体、水深 1.5m～2.0m，核心功能是保障对虾的游泳、摄食空间，因此选择沉水 / 浮水植物（草龙、水筛、川蔓藻、二药藻），这类植物不占用水面上层空间，不会阻碍对虾游动和增氧机、水车的运行，且其茎叶分布在中上层水体，能精准为对虾提供隐蔽场所，同时净化对虾活动的核心水体；</w:t>
      </w:r>
    </w:p>
    <w:p w14:paraId="4AE43732">
      <w:pPr>
        <w:keepNext w:val="0"/>
        <w:keepLines w:val="0"/>
        <w:pageBreakBefore w:val="0"/>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蟹道区域：为底层水体、水深 0.8m～1.2m，是青蟹钻穴、蜕壳、栖息的核心区域，核心需求是稳定底质、提供庇护，因此选择挺水 / 匍匐 / 盐生灌木植物（咸草、耐盐香蒲、海雀稗、老鼠簕），这类植物根系扎根底质、植株直立或匍匐生长在底层，能精准发挥底质稳定、蜕壳庇护功能，且不会影响青蟹的钻穴和活动。</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72"/>
        <w:gridCol w:w="4602"/>
      </w:tblGrid>
      <w:tr w14:paraId="1ABA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10" w:hRule="atLeast"/>
        </w:trPr>
        <w:tc>
          <w:tcPr>
            <w:tcW w:w="4587" w:type="dxa"/>
          </w:tcPr>
          <w:p w14:paraId="0BBF2336">
            <w:pPr>
              <w:pStyle w:val="2"/>
              <w:rPr>
                <w:rFonts w:hint="eastAsia"/>
                <w:vertAlign w:val="baseline"/>
                <w:lang w:val="en-US" w:eastAsia="zh-CN"/>
              </w:rPr>
            </w:pPr>
            <w:r>
              <w:rPr>
                <w:rFonts w:hint="eastAsia"/>
                <w:vertAlign w:val="baseline"/>
                <w:lang w:val="en-US" w:eastAsia="zh-CN"/>
              </w:rPr>
              <w:drawing>
                <wp:anchor distT="0" distB="0" distL="114300" distR="114300" simplePos="0" relativeHeight="251665408" behindDoc="1" locked="0" layoutInCell="1" allowOverlap="1">
                  <wp:simplePos x="0" y="0"/>
                  <wp:positionH relativeFrom="column">
                    <wp:posOffset>427355</wp:posOffset>
                  </wp:positionH>
                  <wp:positionV relativeFrom="paragraph">
                    <wp:posOffset>-948690</wp:posOffset>
                  </wp:positionV>
                  <wp:extent cx="1905000" cy="1360805"/>
                  <wp:effectExtent l="0" t="0" r="5715" b="10160"/>
                  <wp:wrapTight wrapText="bothSides">
                    <wp:wrapPolygon>
                      <wp:start x="0" y="0"/>
                      <wp:lineTo x="0" y="21247"/>
                      <wp:lineTo x="21298" y="21247"/>
                      <wp:lineTo x="21298" y="0"/>
                      <wp:lineTo x="0" y="0"/>
                    </wp:wrapPolygon>
                  </wp:wrapTight>
                  <wp:docPr id="12" name="图片 12" descr="ef44ef52848dc171bc1f86ec841eb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f44ef52848dc171bc1f86ec841eb435"/>
                          <pic:cNvPicPr>
                            <a:picLocks noChangeAspect="1"/>
                          </pic:cNvPicPr>
                        </pic:nvPicPr>
                        <pic:blipFill>
                          <a:blip r:embed="rId12"/>
                          <a:stretch>
                            <a:fillRect/>
                          </a:stretch>
                        </pic:blipFill>
                        <pic:spPr>
                          <a:xfrm>
                            <a:off x="0" y="0"/>
                            <a:ext cx="1905000" cy="1360805"/>
                          </a:xfrm>
                          <a:prstGeom prst="rect">
                            <a:avLst/>
                          </a:prstGeom>
                        </pic:spPr>
                      </pic:pic>
                    </a:graphicData>
                  </a:graphic>
                </wp:anchor>
              </w:drawing>
            </w:r>
          </w:p>
        </w:tc>
        <w:tc>
          <w:tcPr>
            <w:tcW w:w="4587" w:type="dxa"/>
          </w:tcPr>
          <w:p w14:paraId="72273220">
            <w:pPr>
              <w:pStyle w:val="2"/>
              <w:rPr>
                <w:rFonts w:hint="eastAsia"/>
                <w:vertAlign w:val="baseline"/>
                <w:lang w:val="en-US" w:eastAsia="zh-CN"/>
              </w:rPr>
            </w:pPr>
            <w:r>
              <w:rPr>
                <w:rFonts w:hint="eastAsia"/>
                <w:vertAlign w:val="baseline"/>
                <w:lang w:val="en-US" w:eastAsia="zh-CN"/>
              </w:rPr>
              <w:drawing>
                <wp:inline distT="0" distB="0" distL="114300" distR="114300">
                  <wp:extent cx="2774950" cy="1624965"/>
                  <wp:effectExtent l="0" t="0" r="10160" b="5080"/>
                  <wp:docPr id="13" name="图片 13" descr="3576ca55cc68090f02510dae29c3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576ca55cc68090f02510dae29c31094"/>
                          <pic:cNvPicPr>
                            <a:picLocks noChangeAspect="1"/>
                          </pic:cNvPicPr>
                        </pic:nvPicPr>
                        <pic:blipFill>
                          <a:blip r:embed="rId13"/>
                          <a:stretch>
                            <a:fillRect/>
                          </a:stretch>
                        </pic:blipFill>
                        <pic:spPr>
                          <a:xfrm>
                            <a:off x="0" y="0"/>
                            <a:ext cx="2774950" cy="1624965"/>
                          </a:xfrm>
                          <a:prstGeom prst="rect">
                            <a:avLst/>
                          </a:prstGeom>
                        </pic:spPr>
                      </pic:pic>
                    </a:graphicData>
                  </a:graphic>
                </wp:inline>
              </w:drawing>
            </w:r>
          </w:p>
        </w:tc>
      </w:tr>
    </w:tbl>
    <w:p w14:paraId="5265E5FE">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5.种植管理</w:t>
      </w:r>
    </w:p>
    <w:p w14:paraId="2575D90F">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default" w:ascii="仿宋_GB2312" w:hAnsi="Calibri" w:eastAsia="仿宋_GB2312" w:cs="Calibri"/>
          <w:color w:val="000000" w:themeColor="text1"/>
          <w:kern w:val="2"/>
          <w:sz w:val="32"/>
          <w:szCs w:val="32"/>
          <w:lang w:val="en-US" w:eastAsia="zh-CN" w:bidi="ar-SA"/>
          <w14:textFill>
            <w14:solidFill>
              <w14:schemeClr w14:val="tx1"/>
            </w14:solidFill>
          </w14:textFill>
        </w:rPr>
        <w:t>水生植物苗种移栽后需 5~7 天的定根缓苗周期，此阶段能让植株根系与池塘底质紧密结合，完成环境适应并萌发新根，避免青蟹苗种投放后，幼蟹钻穴、活动破坏未扎根的植物苗种，导致栽种失败；同时，提前种植能让植物初步发挥遮蔽、净化功能，为刚投放的苗种营造稳定的栖息环境，减少苗种应激。华南地区（含广西）属于亚热带季风气候，3~4 月气温回升至 18~25℃，水温适配水生植物萌发、定根的核心需求</w:t>
      </w: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。华东地区为亚热带向温带过渡气候，春季升温慢于华南，4~5 月水温才稳定至 20℃以上，达到水生植物的适宜生长水温。水生植物苗种多在低盐（≤10‰）苗种场培育，其渗透压调节系统仅适应低盐环境，若直接移栽至≥20‰的高盐养殖池，植株会因细胞失水、根系吸水障碍快速枯萎死亡，无法完成定根。</w:t>
      </w:r>
    </w:p>
    <w:p w14:paraId="2DB1CD7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株行距 60 cm×60 cm、密度 2 株 /m2～3 株 /m2，该密度能让沉水植物形成连续的遮蔽与净化体系，既满足对虾的隐蔽需求，又能通过植株的根系和茎叶高效吸收水体氮磷，密度过低则生态功能薄弱，密度过高会导致植株互相争夺光照、营养，生长不良且易堵塞水体。采用 50 cm 丛距种植、每丛 3～5 株，挺水植物的核心功能是稳固底质、为青蟹提供蜕壳庇护，丛状种植能让根系密集交织，形成更强的底质固着效果，单株种植则根系分散，固底功能弱；50 cm 丛距既保障每丛植株有充足的生长空间，又能让各丛之间形成连续的庇护带，满足青蟹的蜕壳需求</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61CAE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3409" w:hRule="atLeast"/>
        </w:trPr>
        <w:tc>
          <w:tcPr>
            <w:tcW w:w="4587" w:type="dxa"/>
          </w:tcPr>
          <w:p w14:paraId="52A5A78A">
            <w:pPr>
              <w:pStyle w:val="2"/>
              <w:keepNext w:val="0"/>
              <w:keepLines w:val="0"/>
              <w:pageBreakBefore w:val="0"/>
              <w:widowControl w:val="0"/>
              <w:kinsoku/>
              <w:wordWrap/>
              <w:overflowPunct/>
              <w:topLinePunct w:val="0"/>
              <w:autoSpaceDE/>
              <w:autoSpaceDN/>
              <w:bidi w:val="0"/>
              <w:adjustRightInd/>
              <w:snapToGrid/>
              <w:spacing w:after="0" w:line="520" w:lineRule="exact"/>
              <w:textAlignment w:val="baseline"/>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pP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drawing>
                <wp:anchor distT="0" distB="0" distL="114300" distR="114300" simplePos="0" relativeHeight="251666432" behindDoc="0" locked="0" layoutInCell="1" allowOverlap="1">
                  <wp:simplePos x="0" y="0"/>
                  <wp:positionH relativeFrom="column">
                    <wp:posOffset>0</wp:posOffset>
                  </wp:positionH>
                  <wp:positionV relativeFrom="paragraph">
                    <wp:posOffset>-1840865</wp:posOffset>
                  </wp:positionV>
                  <wp:extent cx="2771775" cy="2096770"/>
                  <wp:effectExtent l="0" t="0" r="2540" b="8255"/>
                  <wp:wrapSquare wrapText="bothSides"/>
                  <wp:docPr id="15" name="图片 15" descr="63114036cefe283ef5e36f37efca37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63114036cefe283ef5e36f37efca37be"/>
                          <pic:cNvPicPr>
                            <a:picLocks noChangeAspect="1"/>
                          </pic:cNvPicPr>
                        </pic:nvPicPr>
                        <pic:blipFill>
                          <a:blip r:embed="rId14"/>
                          <a:stretch>
                            <a:fillRect/>
                          </a:stretch>
                        </pic:blipFill>
                        <pic:spPr>
                          <a:xfrm>
                            <a:off x="0" y="0"/>
                            <a:ext cx="2771775" cy="2096770"/>
                          </a:xfrm>
                          <a:prstGeom prst="rect">
                            <a:avLst/>
                          </a:prstGeom>
                        </pic:spPr>
                      </pic:pic>
                    </a:graphicData>
                  </a:graphic>
                </wp:anchor>
              </w:drawing>
            </w:r>
          </w:p>
        </w:tc>
        <w:tc>
          <w:tcPr>
            <w:tcW w:w="4587" w:type="dxa"/>
          </w:tcPr>
          <w:p w14:paraId="68F3DFC4">
            <w:pPr>
              <w:pStyle w:val="2"/>
              <w:keepNext w:val="0"/>
              <w:keepLines w:val="0"/>
              <w:pageBreakBefore w:val="0"/>
              <w:widowControl w:val="0"/>
              <w:kinsoku/>
              <w:wordWrap/>
              <w:overflowPunct/>
              <w:topLinePunct w:val="0"/>
              <w:autoSpaceDE/>
              <w:autoSpaceDN/>
              <w:bidi w:val="0"/>
              <w:adjustRightInd/>
              <w:snapToGrid/>
              <w:spacing w:after="0" w:line="520" w:lineRule="exact"/>
              <w:textAlignment w:val="baseline"/>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pP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drawing>
                <wp:anchor distT="0" distB="0" distL="114300" distR="114300" simplePos="0" relativeHeight="251667456" behindDoc="0" locked="0" layoutInCell="1" allowOverlap="1">
                  <wp:simplePos x="0" y="0"/>
                  <wp:positionH relativeFrom="column">
                    <wp:posOffset>0</wp:posOffset>
                  </wp:positionH>
                  <wp:positionV relativeFrom="paragraph">
                    <wp:posOffset>-1365885</wp:posOffset>
                  </wp:positionV>
                  <wp:extent cx="2774315" cy="1628775"/>
                  <wp:effectExtent l="0" t="0" r="0" b="1270"/>
                  <wp:wrapSquare wrapText="bothSides"/>
                  <wp:docPr id="16" name="图片 16" descr="f930777b7aadc8595b02fe9f5c63e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930777b7aadc8595b02fe9f5c63e439"/>
                          <pic:cNvPicPr>
                            <a:picLocks noChangeAspect="1"/>
                          </pic:cNvPicPr>
                        </pic:nvPicPr>
                        <pic:blipFill>
                          <a:blip r:embed="rId15"/>
                          <a:stretch>
                            <a:fillRect/>
                          </a:stretch>
                        </pic:blipFill>
                        <pic:spPr>
                          <a:xfrm>
                            <a:off x="0" y="0"/>
                            <a:ext cx="2774315" cy="1628775"/>
                          </a:xfrm>
                          <a:prstGeom prst="rect">
                            <a:avLst/>
                          </a:prstGeom>
                        </pic:spPr>
                      </pic:pic>
                    </a:graphicData>
                  </a:graphic>
                </wp:anchor>
              </w:drawing>
            </w:r>
          </w:p>
        </w:tc>
      </w:tr>
    </w:tbl>
    <w:p w14:paraId="5BC47F8B">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p>
    <w:p w14:paraId="40ABB016">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（三）</w:t>
      </w:r>
      <w:r>
        <w:rPr>
          <w:rFonts w:hint="eastAsia" w:ascii="仿宋_GB2312" w:eastAsia="仿宋_GB2312"/>
          <w:color w:val="000000" w:themeColor="text1"/>
          <w:sz w:val="32"/>
          <w:szCs w:val="32"/>
          <w:lang w:val="en-US" w:eastAsia="zh-CN"/>
          <w14:textFill>
            <w14:solidFill>
              <w14:schemeClr w14:val="tx1"/>
            </w14:solidFill>
          </w14:textFill>
        </w:rPr>
        <w:t>苗种选择与投放</w:t>
      </w:r>
    </w:p>
    <w:p w14:paraId="5CFDCD3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1.苗种质量</w:t>
      </w:r>
    </w:p>
    <w:p w14:paraId="31627ADE">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原、良种场有规范的苗种培育标准和特定病原筛查体系，能有效杜绝白斑综合征病毒、桃拉综合征病毒等对虾烈性病原的携带与引入，避免病原入池引发全池病害爆发；同时良种场苗种遗传性状优良，生长性能、抗逆性更优，配合官方检疫合格的要求，进一步排除病苗、弱苗，降低养殖前期的苗种损耗风险。Ⅱ～Ⅲ 期幼蟹已完成多次蜕壳，对底栖环境的适应能力、抗逆性远高于低龄幼体，是青蟹苗种投放的最优阶段，能大幅提升入池成活率；天然健康抱卵蟹孵化的苗种遗传性状稳定，标准化育苗场的苗种规格整齐、培育环境可控，可避免劣质苗、畸形苗；检疫合格能有效排除苗种携带弧菌、纤毛虫等病原，防止病原入池后在虾蟹混养系统中传播，保障混养池整体生态安全。</w:t>
      </w:r>
    </w:p>
    <w:p w14:paraId="228C6CE2">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规定南美白对虾苗体长、体质、离水存活率等指标，是因该规格苗种适应能力强，各项生理指标达标能直观反映苗种健壮度高、活力强、摄食良好，入池后易适应环境、成活率高，减少前期苗种损耗。明确青蟹幼蟹甲宽、体色、翻身速度等要求，是该阶段优质苗种的核心判定标准，能确保苗种体质健壮、无损伤、活力旺盛，入池后钻穴、摄食、蜕壳能力强，降低适应期死亡风险。</w:t>
      </w:r>
    </w:p>
    <w:p w14:paraId="41BD5381">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2.苗种投放</w:t>
      </w:r>
    </w:p>
    <w:p w14:paraId="7B34A2C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default" w:ascii="仿宋_GB2312" w:hAnsi="Calibri" w:eastAsia="仿宋_GB2312" w:cs="Calibri"/>
          <w:color w:val="000000" w:themeColor="text1"/>
          <w:kern w:val="2"/>
          <w:sz w:val="32"/>
          <w:szCs w:val="32"/>
          <w:lang w:val="en-US" w:eastAsia="zh-CN" w:bidi="ar-SA"/>
          <w14:textFill>
            <w14:solidFill>
              <w14:schemeClr w14:val="tx1"/>
            </w14:solidFill>
          </w14:textFill>
        </w:rPr>
        <w:t>南美白对虾苗体型微小、体质娇嫩，保温箱能维持运输环境水温稳定，避免水温骤变引发苗种应激；限定每箱装载量和运输时长，是为了防止苗种高密度挤压缺氧、体力过度消耗，保障运输过程中苗种的活力和存活率，避免因运输不当导致苗种入池前大量损耗。虾苗对水温骤变高度敏感，水温差过大会引发渗透压应激、鳃部生理功能受损，甚至直接死亡；将运输箱反复浸泡池塘水并控制温差≤2℃，是让苗种逐步适应池塘水温环境</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。正式投放前小批量试水并要求 24h 存活率＞95%，是提前验证养殖池塘的环境适配性。南美白对虾和拟穴青蟹的栖息习性、活动区域高度分化，对虾为中上层游泳生物，适配深水的对虾活动区，青蟹为底栖穴居生物，专属蟹道区；分区、均匀 / 多点投放能让苗种直接进入适宜的栖息环境，减少两者的空间竞争，同时避免苗种扎堆导致局部摄食、溶氧不足，还能降低青蟹苗对幼小虾苗的误捕食风险，保障苗种初期分布均匀、存活率一致。</w:t>
      </w:r>
    </w:p>
    <w:p w14:paraId="409FB1AC">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水温＞22℃且连续 3d 无骤降，是因为该水温是南美白对虾苗正常代谢、摄食的临界温度，低温或温度骤变会导致苗种代谢停滞、应激死亡；避开高温、阴雨、台风天气，选择 9:00～11:00 或 15:00～17:00 投放，因这些时段水温温和、光照适宜，池塘水体溶氧相对稳定。南美白对虾苗初期体型极小，若与青蟹苗同时投放，极易成为青蟹的饵料，虾苗投放 15d～20d 体长达到 3cm～4cm 后，体型大幅提升，能有效规避青蟹捕食，且此时虾苗已完全适应池塘环境，生长状态稳定，青蟹苗投放后不会因虾苗应激衰弱而出现捕食加剧的情况，保障虾苗基础存活率，实现虾蟹混养的生态平衡。2.0 万尾 / 667m²～2.5 万尾 / 667m² 的基础密度，是结合虾蟹混养池塘的空间、饵料、水质承载力科学设定的，既保证对虾的养殖产量，又不会因密度过高导致水体溶氧不足、残饵粪便过多引发水质恶化、病害爆发；盐度 10‰～15‰时适当降低密度，因南美白对虾虽为广盐性，但该低盐区间会增加虾苗的渗透压调节生理负担，苗种抗逆性、生长速度略有下降，降低投放密度能减少水体竞争，缓解低盐环境下的苗种应激，保障虾苗存活率，同时避免密度过高进一步加剧水质管控压力。</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4F3C4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174" w:type="dxa"/>
          </w:tcPr>
          <w:p w14:paraId="1419DCAE">
            <w:pPr>
              <w:pStyle w:val="2"/>
              <w:keepNext w:val="0"/>
              <w:keepLines w:val="0"/>
              <w:pageBreakBefore w:val="0"/>
              <w:widowControl w:val="0"/>
              <w:kinsoku/>
              <w:wordWrap/>
              <w:overflowPunct/>
              <w:topLinePunct w:val="0"/>
              <w:autoSpaceDE/>
              <w:autoSpaceDN/>
              <w:bidi w:val="0"/>
              <w:adjustRightInd/>
              <w:snapToGrid/>
              <w:spacing w:after="0" w:line="520" w:lineRule="exact"/>
              <w:textAlignment w:val="baseline"/>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pP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drawing>
                <wp:anchor distT="0" distB="0" distL="114300" distR="114300" simplePos="0" relativeHeight="251668480" behindDoc="1" locked="0" layoutInCell="1" allowOverlap="1">
                  <wp:simplePos x="0" y="0"/>
                  <wp:positionH relativeFrom="column">
                    <wp:posOffset>1329055</wp:posOffset>
                  </wp:positionH>
                  <wp:positionV relativeFrom="paragraph">
                    <wp:posOffset>-14605</wp:posOffset>
                  </wp:positionV>
                  <wp:extent cx="2769235" cy="1879600"/>
                  <wp:effectExtent l="0" t="0" r="0" b="0"/>
                  <wp:wrapTight wrapText="bothSides">
                    <wp:wrapPolygon>
                      <wp:start x="0" y="0"/>
                      <wp:lineTo x="0" y="21337"/>
                      <wp:lineTo x="21303" y="21337"/>
                      <wp:lineTo x="21303" y="0"/>
                      <wp:lineTo x="0" y="0"/>
                    </wp:wrapPolygon>
                  </wp:wrapTight>
                  <wp:docPr id="17" name="图片 17" descr="9871b2d8b83c90429bd2a046e4e47f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871b2d8b83c90429bd2a046e4e47fe7"/>
                          <pic:cNvPicPr>
                            <a:picLocks noChangeAspect="1"/>
                          </pic:cNvPicPr>
                        </pic:nvPicPr>
                        <pic:blipFill>
                          <a:blip r:embed="rId16"/>
                          <a:srcRect b="9508"/>
                          <a:stretch>
                            <a:fillRect/>
                          </a:stretch>
                        </pic:blipFill>
                        <pic:spPr>
                          <a:xfrm>
                            <a:off x="0" y="0"/>
                            <a:ext cx="2769235" cy="1879600"/>
                          </a:xfrm>
                          <a:prstGeom prst="rect">
                            <a:avLst/>
                          </a:prstGeom>
                        </pic:spPr>
                      </pic:pic>
                    </a:graphicData>
                  </a:graphic>
                </wp:anchor>
              </w:drawing>
            </w:r>
          </w:p>
        </w:tc>
      </w:tr>
    </w:tbl>
    <w:p w14:paraId="68258450">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外购幼蟹先在专用暂养网箱培育 10～15d，核心是让苗种逐步适应养殖池水质、水温环境，避免直接入大池因环境突变引发应激死亡；限定网目尺寸防止苗种逃逸，控制水温 22～28℃为青蟹幼蟹适宜生长温度，保障代谢与摄食正常；每日 3 次投喂高蛋开口料 + 卤虫幼体，按体重 8%～10% 投饵，满足幼蟹快速生长的营养需求，提升体质，为入大池奠定基础。暂养第 3d 添加维生素 C 和 β- 葡聚糖，是为了增强幼蟹抗应激能力和免疫力，减少暂养期病害发生；第 7d 起逐步降温再恢复，通过低温驯化提升幼蟹对水温波动的适应能力，适配后续养殖池的水温变化；设定甲宽≥3.0cm、存活率≥90% 的转池标准，确保幼蟹体型达标、体质健壮，入大池后能有效规避对虾的轻微竞争和环境应激，降低转池损耗。</w:t>
      </w:r>
    </w:p>
    <w:p w14:paraId="0CC3E38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蜕壳前调深蟹道水深，能稳定水温、减少环境扰动；停止换水消毒避免刺激待蜕壳青蟹，防止蜕壳中断；泼洒氯化钙 + 磷酸二氢钠，为青蟹蜕壳补充钙、磷元素，保障甲壳正常硬化；增设遮阳网控制光照，因青蟹蜕壳喜弱光环境，强光会引发应激，导致蜕壳失败。蜕壳高峰期增加投喂量、提升冰鲜鱼占比，是为了满足青蟹蜕壳后快速生长的高蛋白需求，同时减少因饵料不足引发的软壳蟹残杀；投放碎贝壳补充天然钙源，加速软壳蟹甲壳硬化。殖 3 个月后每月分养，分离规格差异大的个体，核心是避免大规格青蟹捕食小规格个体，减少同类残杀；按不同甲宽设定精准投放密度，因青蟹体型越大，活动空间和摄食需求越高，合理降低密度能适配其生长特性，同时兼顾养殖产量与池塘承载力，避免密度过高导致蟹道区溶氧不足、饵料匮乏。</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65A93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174" w:type="dxa"/>
          </w:tcPr>
          <w:p w14:paraId="7AEA4EB6">
            <w:pPr>
              <w:pStyle w:val="2"/>
              <w:keepNext w:val="0"/>
              <w:keepLines w:val="0"/>
              <w:pageBreakBefore w:val="0"/>
              <w:widowControl w:val="0"/>
              <w:kinsoku/>
              <w:wordWrap/>
              <w:overflowPunct/>
              <w:topLinePunct w:val="0"/>
              <w:autoSpaceDE/>
              <w:autoSpaceDN/>
              <w:bidi w:val="0"/>
              <w:adjustRightInd/>
              <w:snapToGrid/>
              <w:spacing w:after="0" w:line="520" w:lineRule="exact"/>
              <w:textAlignment w:val="baseline"/>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pPr>
            <w:r>
              <w:rPr>
                <w:rFonts w:hint="eastAsia" w:ascii="仿宋_GB2312" w:eastAsia="仿宋_GB2312" w:cs="Calibri"/>
                <w:color w:val="000000" w:themeColor="text1"/>
                <w:kern w:val="2"/>
                <w:sz w:val="32"/>
                <w:szCs w:val="32"/>
                <w:vertAlign w:val="baseline"/>
                <w:lang w:val="en-US" w:eastAsia="zh-CN" w:bidi="ar-SA"/>
                <w14:textFill>
                  <w14:solidFill>
                    <w14:schemeClr w14:val="tx1"/>
                  </w14:solidFill>
                </w14:textFill>
              </w:rPr>
              <w:drawing>
                <wp:anchor distT="0" distB="0" distL="114300" distR="114300" simplePos="0" relativeHeight="251669504" behindDoc="1" locked="0" layoutInCell="1" allowOverlap="1">
                  <wp:simplePos x="0" y="0"/>
                  <wp:positionH relativeFrom="column">
                    <wp:posOffset>1329055</wp:posOffset>
                  </wp:positionH>
                  <wp:positionV relativeFrom="paragraph">
                    <wp:posOffset>-1660525</wp:posOffset>
                  </wp:positionV>
                  <wp:extent cx="2774315" cy="1935480"/>
                  <wp:effectExtent l="0" t="0" r="0" b="7620"/>
                  <wp:wrapTight wrapText="bothSides">
                    <wp:wrapPolygon>
                      <wp:start x="0" y="0"/>
                      <wp:lineTo x="0" y="21324"/>
                      <wp:lineTo x="21348" y="21324"/>
                      <wp:lineTo x="21348" y="0"/>
                      <wp:lineTo x="0" y="0"/>
                    </wp:wrapPolygon>
                  </wp:wrapTight>
                  <wp:docPr id="18" name="图片 18" descr="f1f6972206a702f35ab2d318df04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1f6972206a702f35ab2d318df041487"/>
                          <pic:cNvPicPr>
                            <a:picLocks noChangeAspect="1"/>
                          </pic:cNvPicPr>
                        </pic:nvPicPr>
                        <pic:blipFill>
                          <a:blip r:embed="rId17"/>
                          <a:stretch>
                            <a:fillRect/>
                          </a:stretch>
                        </pic:blipFill>
                        <pic:spPr>
                          <a:xfrm>
                            <a:off x="0" y="0"/>
                            <a:ext cx="2774315" cy="1935480"/>
                          </a:xfrm>
                          <a:prstGeom prst="rect">
                            <a:avLst/>
                          </a:prstGeom>
                        </pic:spPr>
                      </pic:pic>
                    </a:graphicData>
                  </a:graphic>
                </wp:anchor>
              </w:drawing>
            </w:r>
          </w:p>
        </w:tc>
      </w:tr>
    </w:tbl>
    <w:p w14:paraId="6C8C4AB7">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（四）</w:t>
      </w:r>
      <w:r>
        <w:rPr>
          <w:rFonts w:hint="eastAsia" w:ascii="仿宋_GB2312" w:eastAsia="仿宋_GB2312"/>
          <w:color w:val="000000" w:themeColor="text1"/>
          <w:sz w:val="32"/>
          <w:szCs w:val="32"/>
          <w:lang w:val="en-US" w:eastAsia="zh-CN"/>
          <w14:textFill>
            <w14:solidFill>
              <w14:schemeClr w14:val="tx1"/>
            </w14:solidFill>
          </w14:textFill>
        </w:rPr>
        <w:t>养殖过程管理</w:t>
      </w:r>
    </w:p>
    <w:p w14:paraId="6E9C42D8">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1.饲料管理</w:t>
      </w:r>
    </w:p>
    <w:p w14:paraId="4F882F7C">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olor w:val="000000" w:themeColor="text1"/>
          <w:sz w:val="32"/>
          <w:szCs w:val="32"/>
          <w:lang w:val="en-US" w:eastAsia="zh-CN"/>
          <w14:textFill>
            <w14:solidFill>
              <w14:schemeClr w14:val="tx1"/>
            </w14:solidFill>
          </w14:textFill>
        </w:rPr>
      </w:pPr>
      <w:r>
        <w:rPr>
          <w:rFonts w:hint="default" w:ascii="仿宋_GB2312" w:eastAsia="仿宋_GB2312"/>
          <w:color w:val="000000" w:themeColor="text1"/>
          <w:sz w:val="32"/>
          <w:szCs w:val="32"/>
          <w:lang w:val="en-US" w:eastAsia="zh-CN"/>
          <w14:textFill>
            <w14:solidFill>
              <w14:schemeClr w14:val="tx1"/>
            </w14:solidFill>
          </w14:textFill>
        </w:rPr>
        <w:t>南美白对虾为杂食性甲壳类，生长、蜕壳需大量蛋白质支撑，38％～48％的粗蛋白含量适配其苗期至成虾期的全程营养需求，蛋白含量不足会导致生长缓慢、蜕壳频率降低；要求饲料不霉变、不结块、无异味，是为避免变质饲料产生黄曲霉素等有毒物质，导致对虾中毒、肝胰腺损伤，或引发细菌性病害；成型率好能减少投喂过程中的饲料破碎，降低残饵污染底质的风险。颗粒大小均匀、光洁度好、粉尘少，能避免饲料投喂后快速散落形成粉尘，既减少饲料浪费，又防止粉尘沉入池底分解耗氧、污染底质；吸水性强且浸入水中 5 min 透心，利于南美白对虾摄食后消化吸收，降低肠道疾病发生风险；耐水性 1.5 h 不散开，适配对虾慢摄食、边游边食的习性，避免饲料快速溃散污染水质</w:t>
      </w:r>
      <w:r>
        <w:rPr>
          <w:rFonts w:hint="eastAsia" w:ascii="仿宋_GB2312" w:eastAsia="仿宋_GB2312"/>
          <w:color w:val="000000" w:themeColor="text1"/>
          <w:sz w:val="32"/>
          <w:szCs w:val="32"/>
          <w:lang w:val="en-US" w:eastAsia="zh-CN"/>
          <w14:textFill>
            <w14:solidFill>
              <w14:schemeClr w14:val="tx1"/>
            </w14:solidFill>
          </w14:textFill>
        </w:rPr>
        <w:t>。</w:t>
      </w:r>
      <w:r>
        <w:rPr>
          <w:rFonts w:hint="default" w:ascii="仿宋_GB2312" w:eastAsia="仿宋_GB2312"/>
          <w:color w:val="000000" w:themeColor="text1"/>
          <w:sz w:val="32"/>
          <w:szCs w:val="32"/>
          <w:lang w:val="en-US" w:eastAsia="zh-CN"/>
          <w14:textFill>
            <w14:solidFill>
              <w14:schemeClr w14:val="tx1"/>
            </w14:solidFill>
          </w14:textFill>
        </w:rPr>
        <w:t>《GB/T 22919.5-2008</w:t>
      </w:r>
      <w:r>
        <w:rPr>
          <w:rFonts w:hint="eastAsia" w:ascii="仿宋_GB2312" w:eastAsia="仿宋_GB2312"/>
          <w:color w:val="000000" w:themeColor="text1"/>
          <w:sz w:val="32"/>
          <w:szCs w:val="32"/>
          <w:lang w:val="en-US" w:eastAsia="zh-CN"/>
          <w14:textFill>
            <w14:solidFill>
              <w14:schemeClr w14:val="tx1"/>
            </w14:solidFill>
          </w14:textFill>
        </w:rPr>
        <w:t xml:space="preserve"> </w:t>
      </w:r>
      <w:r>
        <w:rPr>
          <w:rFonts w:hint="default" w:ascii="仿宋_GB2312" w:eastAsia="仿宋_GB2312"/>
          <w:color w:val="000000" w:themeColor="text1"/>
          <w:sz w:val="32"/>
          <w:szCs w:val="32"/>
          <w:lang w:val="en-US" w:eastAsia="zh-CN"/>
          <w14:textFill>
            <w14:solidFill>
              <w14:schemeClr w14:val="tx1"/>
            </w14:solidFill>
          </w14:textFill>
        </w:rPr>
        <w:t>水产配合饲料 第 5 部分：南美白对虾配合饲料</w:t>
      </w:r>
      <w:r>
        <w:rPr>
          <w:rFonts w:hint="eastAsia" w:ascii="仿宋_GB2312" w:eastAsia="仿宋_GB2312"/>
          <w:color w:val="000000" w:themeColor="text1"/>
          <w:sz w:val="32"/>
          <w:szCs w:val="32"/>
          <w:lang w:val="en-US" w:eastAsia="zh-CN"/>
          <w14:textFill>
            <w14:solidFill>
              <w14:schemeClr w14:val="tx1"/>
            </w14:solidFill>
          </w14:textFill>
        </w:rPr>
        <w:t>》明确了饲料的感官、营养指标等核心要求。</w:t>
      </w:r>
    </w:p>
    <w:p w14:paraId="017976B2">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成虾期添加 0.1％～0.2％β— 葡聚糖或 0.3％～0.5％杜仲叶提取物，因 β— 葡聚糖能有效提升对虾的非特异性免疫力，增强其对弧菌、白斑综合征病毒的抵抗力，杜仲叶提取物为天然植物添加剂，兼具抗菌、增强抗应激的作用，适配成虾期养殖密度高、病害风险大的特点。</w:t>
      </w:r>
    </w:p>
    <w:p w14:paraId="5C21A69A">
      <w:pPr>
        <w:keepNext w:val="0"/>
        <w:keepLines w:val="0"/>
        <w:pageBreakBefore w:val="0"/>
        <w:tabs>
          <w:tab w:val="left" w:pos="1800"/>
        </w:tabs>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14:textFill>
            <w14:solidFill>
              <w14:schemeClr w14:val="tx1"/>
            </w14:solidFill>
          </w14:textFill>
        </w:rPr>
      </w:pPr>
      <w:r>
        <w:rPr>
          <w:rFonts w:hint="default" w:ascii="仿宋_GB2312" w:eastAsia="仿宋_GB2312"/>
          <w:color w:val="000000" w:themeColor="text1"/>
          <w:sz w:val="32"/>
          <w:szCs w:val="32"/>
          <w:lang w:val="en-US" w:eastAsia="zh-CN"/>
          <w14:textFill>
            <w14:solidFill>
              <w14:schemeClr w14:val="tx1"/>
            </w14:solidFill>
          </w14:textFill>
        </w:rPr>
        <w:t>南美白对虾的摄食强度受水温、养殖密度、水质等因素影响显著（如水温 25</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olor w:val="000000" w:themeColor="text1"/>
          <w:sz w:val="32"/>
          <w:szCs w:val="32"/>
          <w:lang w:val="en-US" w:eastAsia="zh-CN"/>
          <w14:textFill>
            <w14:solidFill>
              <w14:schemeClr w14:val="tx1"/>
            </w14:solidFill>
          </w14:textFill>
        </w:rPr>
        <w:t>32℃摄食旺盛，溶氧偏低则摄食减弱），根据实际情况灵活调整投饲量，能有效避免过量投喂导致残饵积累污染底质、滋生致病菌，或投喂不足导致对虾生长缓慢、规格参差不齐；每日投喂 2～4 次，适配对虾昼伏夜出、间歇性摄食的生理习性，增加投喂次数能保证不同生长状态的对虾均能摄食，减少个体生长差异；选定 7:00、11:00、18:00、23:00 或 7:00、18:00 的投喂时间，因清晨、傍晚水温温和、溶氧充足，对虾摄食积极性高，夜间 23 点为对虾摄食高峰，简化为 2 次投喂则适配散户的人工管护能力，兼顾养殖科学性与实操便捷性</w:t>
      </w:r>
      <w:r>
        <w:rPr>
          <w:rFonts w:hint="eastAsia" w:ascii="仿宋_GB2312" w:eastAsia="仿宋_GB2312"/>
          <w:color w:val="000000" w:themeColor="text1"/>
          <w:sz w:val="32"/>
          <w:szCs w:val="32"/>
          <w14:textFill>
            <w14:solidFill>
              <w14:schemeClr w14:val="tx1"/>
            </w14:solidFill>
          </w14:textFill>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6174B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87" w:type="dxa"/>
          </w:tcPr>
          <w:p w14:paraId="587C9166">
            <w:pPr>
              <w:pStyle w:val="2"/>
              <w:rPr>
                <w:rFonts w:hint="eastAsia" w:ascii="仿宋_GB2312" w:eastAsia="仿宋_GB2312"/>
                <w:color w:val="000000" w:themeColor="text1"/>
                <w:sz w:val="32"/>
                <w:szCs w:val="32"/>
                <w:vertAlign w:val="baseline"/>
                <w:lang w:eastAsia="zh-CN"/>
                <w14:textFill>
                  <w14:solidFill>
                    <w14:schemeClr w14:val="tx1"/>
                  </w14:solidFill>
                </w14:textFill>
              </w:rPr>
            </w:pPr>
            <w:r>
              <w:rPr>
                <w:rFonts w:hint="eastAsia" w:ascii="仿宋_GB2312" w:eastAsia="仿宋_GB2312"/>
                <w:color w:val="000000" w:themeColor="text1"/>
                <w:sz w:val="32"/>
                <w:szCs w:val="32"/>
                <w:vertAlign w:val="baseline"/>
                <w:lang w:eastAsia="zh-CN"/>
                <w14:textFill>
                  <w14:solidFill>
                    <w14:schemeClr w14:val="tx1"/>
                  </w14:solidFill>
                </w14:textFill>
              </w:rPr>
              <w:drawing>
                <wp:anchor distT="0" distB="0" distL="114300" distR="114300" simplePos="0" relativeHeight="251670528" behindDoc="0" locked="0" layoutInCell="1" allowOverlap="1">
                  <wp:simplePos x="0" y="0"/>
                  <wp:positionH relativeFrom="column">
                    <wp:posOffset>466725</wp:posOffset>
                  </wp:positionH>
                  <wp:positionV relativeFrom="paragraph">
                    <wp:posOffset>71755</wp:posOffset>
                  </wp:positionV>
                  <wp:extent cx="2087245" cy="2784475"/>
                  <wp:effectExtent l="0" t="0" r="6985" b="635"/>
                  <wp:wrapSquare wrapText="bothSides"/>
                  <wp:docPr id="19" name="图片 19" descr="6129ef94f0b7a73fe7abd73e81ade2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6129ef94f0b7a73fe7abd73e81ade2bb"/>
                          <pic:cNvPicPr>
                            <a:picLocks noChangeAspect="1"/>
                          </pic:cNvPicPr>
                        </pic:nvPicPr>
                        <pic:blipFill>
                          <a:blip r:embed="rId18"/>
                          <a:stretch>
                            <a:fillRect/>
                          </a:stretch>
                        </pic:blipFill>
                        <pic:spPr>
                          <a:xfrm>
                            <a:off x="0" y="0"/>
                            <a:ext cx="2087245" cy="2784475"/>
                          </a:xfrm>
                          <a:prstGeom prst="rect">
                            <a:avLst/>
                          </a:prstGeom>
                        </pic:spPr>
                      </pic:pic>
                    </a:graphicData>
                  </a:graphic>
                </wp:anchor>
              </w:drawing>
            </w:r>
          </w:p>
        </w:tc>
        <w:tc>
          <w:tcPr>
            <w:tcW w:w="4587" w:type="dxa"/>
          </w:tcPr>
          <w:p w14:paraId="62631DC6">
            <w:pPr>
              <w:pStyle w:val="2"/>
              <w:rPr>
                <w:rFonts w:hint="eastAsia" w:ascii="仿宋_GB2312" w:eastAsia="仿宋_GB2312"/>
                <w:color w:val="000000" w:themeColor="text1"/>
                <w:sz w:val="32"/>
                <w:szCs w:val="32"/>
                <w:vertAlign w:val="baseline"/>
                <w:lang w:eastAsia="zh-CN"/>
                <w14:textFill>
                  <w14:solidFill>
                    <w14:schemeClr w14:val="tx1"/>
                  </w14:solidFill>
                </w14:textFill>
              </w:rPr>
            </w:pPr>
            <w:r>
              <w:rPr>
                <w:rFonts w:hint="eastAsia" w:ascii="仿宋_GB2312" w:eastAsia="仿宋_GB2312"/>
                <w:color w:val="000000" w:themeColor="text1"/>
                <w:sz w:val="32"/>
                <w:szCs w:val="32"/>
                <w:vertAlign w:val="baseline"/>
                <w:lang w:eastAsia="zh-CN"/>
                <w14:textFill>
                  <w14:solidFill>
                    <w14:schemeClr w14:val="tx1"/>
                  </w14:solidFill>
                </w14:textFill>
              </w:rPr>
              <w:drawing>
                <wp:anchor distT="0" distB="0" distL="114300" distR="114300" simplePos="0" relativeHeight="251671552" behindDoc="1" locked="0" layoutInCell="1" allowOverlap="1">
                  <wp:simplePos x="0" y="0"/>
                  <wp:positionH relativeFrom="column">
                    <wp:posOffset>-8255</wp:posOffset>
                  </wp:positionH>
                  <wp:positionV relativeFrom="paragraph">
                    <wp:posOffset>327025</wp:posOffset>
                  </wp:positionV>
                  <wp:extent cx="2767330" cy="2074545"/>
                  <wp:effectExtent l="0" t="0" r="6985" b="8890"/>
                  <wp:wrapTight wrapText="bothSides">
                    <wp:wrapPolygon>
                      <wp:start x="0" y="0"/>
                      <wp:lineTo x="0" y="21355"/>
                      <wp:lineTo x="21317" y="21355"/>
                      <wp:lineTo x="21317" y="0"/>
                      <wp:lineTo x="0" y="0"/>
                    </wp:wrapPolygon>
                  </wp:wrapTight>
                  <wp:docPr id="20" name="图片 20" descr="4197c869cc3b54734f8ada29cef8ef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4197c869cc3b54734f8ada29cef8efcc"/>
                          <pic:cNvPicPr>
                            <a:picLocks noChangeAspect="1"/>
                          </pic:cNvPicPr>
                        </pic:nvPicPr>
                        <pic:blipFill>
                          <a:blip r:embed="rId19"/>
                          <a:stretch>
                            <a:fillRect/>
                          </a:stretch>
                        </pic:blipFill>
                        <pic:spPr>
                          <a:xfrm>
                            <a:off x="0" y="0"/>
                            <a:ext cx="2767330" cy="2074545"/>
                          </a:xfrm>
                          <a:prstGeom prst="rect">
                            <a:avLst/>
                          </a:prstGeom>
                        </pic:spPr>
                      </pic:pic>
                    </a:graphicData>
                  </a:graphic>
                </wp:anchor>
              </w:drawing>
            </w:r>
          </w:p>
        </w:tc>
      </w:tr>
    </w:tbl>
    <w:p w14:paraId="79F8E50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eastAsia" w:ascii="仿宋_GB2312" w:eastAsia="仿宋_GB2312" w:cs="Times New Roman"/>
          <w:color w:val="000000" w:themeColor="text1"/>
          <w:sz w:val="32"/>
          <w:szCs w:val="32"/>
          <w:lang w:val="en-US" w:eastAsia="zh-CN"/>
          <w14:textFill>
            <w14:solidFill>
              <w14:schemeClr w14:val="tx1"/>
            </w14:solidFill>
          </w14:textFill>
        </w:rPr>
        <w:t>青蟹前期（幼蟹入池至育肥前）体型小，池塘内已培育的基础浮游生物、水生植物附着微生物，以及南美白对虾的残饵等天然饵料，可满足其生长需求，额外投喂易造成饵料浪费，还会因残饵积累污染蟹道区底质和水质，同时避免与对虾争夺饵料，维持混养池生态平衡；育肥和育膏期是青蟹增重、积累膏黄的核心阶段，对高蛋白、高脂肪的营养需求显著提升，小杂鱼、贝肉等鲜活生物饵料的营养成分更贴合青蟹的天然食性，易被消化吸收，能快速提升青蟹体重和膏黄饱满度，提升养殖产品品质。</w:t>
      </w:r>
    </w:p>
    <w:p w14:paraId="38CBB02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eastAsia" w:ascii="仿宋_GB2312" w:eastAsia="仿宋_GB2312" w:cs="Times New Roman"/>
          <w:color w:val="000000" w:themeColor="text1"/>
          <w:sz w:val="32"/>
          <w:szCs w:val="32"/>
          <w:lang w:val="en-US" w:eastAsia="zh-CN"/>
          <w14:textFill>
            <w14:solidFill>
              <w14:schemeClr w14:val="tx1"/>
            </w14:solidFill>
          </w14:textFill>
        </w:rPr>
        <w:t>青蟹为底栖穴居生物，活动范围集中在蟹道区，将食台设于蟹道旁，契合其栖息和活动习性，方便青蟹摄食，提升饵料利用率；食台底部距池底 10 cm～15 cm，可有效避免青蟹钻穴时将底质泥沙翻入饵料造成污染，同时防止投喂的鲜活饵料直接沉入池底粘连泥沙，也能减少残饵沉入底质后腐烂耗氧；标准化食台规格（0.8 m×0.8 m）和设置密度（每 3×667 m²1 个），能保证蟹道区青蟹均匀摄食，避免扎堆争食导致的个体生长差异，同时固定食台便于养殖户检查青蟹摄食情况、清理残饵，降低日常管护难度；网格式 / 板式食台的设计适配鲜活饵料的投放特点，不易让饵料散落。</w:t>
      </w:r>
    </w:p>
    <w:p w14:paraId="632A993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eastAsia" w:ascii="仿宋_GB2312" w:eastAsia="仿宋_GB2312" w:cs="Times New Roman"/>
          <w:color w:val="000000" w:themeColor="text1"/>
          <w:sz w:val="32"/>
          <w:szCs w:val="32"/>
          <w:lang w:val="en-US" w:eastAsia="zh-CN"/>
          <w14:textFill>
            <w14:solidFill>
              <w14:schemeClr w14:val="tx1"/>
            </w14:solidFill>
          </w14:textFill>
        </w:rPr>
        <w:t>青蟹具有典型的昼伏夜出摄食习性，夜间（21:00 后）活动和摄食积极性远高于傍晚，因此将 70% 的饵料分配至夜间投喂，能最大程度契合其食性，提升饵料利用率，减少饵料浪费；傍晚投喂 30% 可满足青蟹傍晚出穴后的基础摄食需求，避免因夜间投喂不及时引发同类争食；当软壳蟹占比≥5% 时，进入青蟹蜕壳高峰期，软壳蟹蜕壳后体质虚弱，需要大量营养快速恢复，同时未蜕壳蟹的摄食需求也会提升，投喂总量增加 20% 能满足全池青蟹的摄食需求，减少因饵料不足引发的软壳蟹被残杀；贝壳粉的主要成分为碳酸钙，能为青蟹蜕壳后甲壳硬化补充核心的钙元素，加速软壳蟹的甲壳钙化，提升蜕壳成活率，10 g/m² 的泼洒量能满足青蟹的钙需求且不会造成水体钙含量超标。</w:t>
      </w:r>
    </w:p>
    <w:p w14:paraId="3189DE14">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eastAsia" w:ascii="仿宋_GB2312" w:eastAsia="仿宋_GB2312" w:cs="Times New Roman"/>
          <w:color w:val="000000" w:themeColor="text1"/>
          <w:sz w:val="32"/>
          <w:szCs w:val="32"/>
          <w:lang w:val="en-US" w:eastAsia="zh-CN"/>
          <w14:textFill>
            <w14:solidFill>
              <w14:schemeClr w14:val="tx1"/>
            </w14:solidFill>
          </w14:textFill>
        </w:rPr>
        <w:t>蟹道区是青蟹的核心栖息、摄食和蜕壳区域，青蟹作为底栖甲壳类，对底层水体的溶氧和氨氮指标要求严苛：溶氧≥6 mg/L 能保证青蟹的呼吸、摄食和代谢功能正常，提升饵料转化率，让青蟹能高效积累营养用于育肥育膏；氨氮≤0.2 mg/L 可避免青蟹发生氨氮中毒，防止其出现生长缓慢、摄食减退、膏黄积累不足等问题，同时避免氨氮超标引发青蟹肝胰腺损伤，降低病害风险。</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4C361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87" w:type="dxa"/>
          </w:tcPr>
          <w:p w14:paraId="51CD0651">
            <w:pPr>
              <w:pStyle w:val="2"/>
              <w:keepNext w:val="0"/>
              <w:keepLines w:val="0"/>
              <w:pageBreakBefore w:val="0"/>
              <w:widowControl w:val="0"/>
              <w:kinsoku/>
              <w:wordWrap/>
              <w:overflowPunct/>
              <w:topLinePunct w:val="0"/>
              <w:autoSpaceDE/>
              <w:autoSpaceDN/>
              <w:bidi w:val="0"/>
              <w:adjustRightInd/>
              <w:snapToGrid/>
              <w:spacing w:after="0" w:line="520" w:lineRule="exact"/>
              <w:textAlignment w:val="baseline"/>
              <w:rPr>
                <w:rFonts w:hint="eastAsia" w:ascii="仿宋_GB2312" w:eastAsia="仿宋_GB2312" w:cs="Times New Roman"/>
                <w:color w:val="000000" w:themeColor="text1"/>
                <w:sz w:val="32"/>
                <w:szCs w:val="32"/>
                <w:vertAlign w:val="baseline"/>
                <w:lang w:val="en-US" w:eastAsia="zh-CN"/>
                <w14:textFill>
                  <w14:solidFill>
                    <w14:schemeClr w14:val="tx1"/>
                  </w14:solidFill>
                </w14:textFill>
              </w:rPr>
            </w:pPr>
            <w:r>
              <w:rPr>
                <w:rFonts w:hint="eastAsia" w:ascii="仿宋_GB2312" w:eastAsia="仿宋_GB2312" w:cs="Times New Roman"/>
                <w:color w:val="000000" w:themeColor="text1"/>
                <w:sz w:val="32"/>
                <w:szCs w:val="32"/>
                <w:vertAlign w:val="baseline"/>
                <w:lang w:val="en-US" w:eastAsia="zh-CN"/>
                <w14:textFill>
                  <w14:solidFill>
                    <w14:schemeClr w14:val="tx1"/>
                  </w14:solidFill>
                </w14:textFill>
              </w:rPr>
              <w:drawing>
                <wp:anchor distT="0" distB="0" distL="114300" distR="114300" simplePos="0" relativeHeight="251672576" behindDoc="1" locked="0" layoutInCell="1" allowOverlap="1">
                  <wp:simplePos x="0" y="0"/>
                  <wp:positionH relativeFrom="column">
                    <wp:posOffset>0</wp:posOffset>
                  </wp:positionH>
                  <wp:positionV relativeFrom="paragraph">
                    <wp:posOffset>-3438525</wp:posOffset>
                  </wp:positionV>
                  <wp:extent cx="2773680" cy="3700145"/>
                  <wp:effectExtent l="0" t="0" r="635" b="2540"/>
                  <wp:wrapTight wrapText="bothSides">
                    <wp:wrapPolygon>
                      <wp:start x="0" y="0"/>
                      <wp:lineTo x="0" y="21363"/>
                      <wp:lineTo x="21353" y="21363"/>
                      <wp:lineTo x="21353" y="0"/>
                      <wp:lineTo x="0" y="0"/>
                    </wp:wrapPolygon>
                  </wp:wrapTight>
                  <wp:docPr id="21" name="图片 21" descr="44f19ef0d26b55b1af51875c69611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44f19ef0d26b55b1af51875c696117f7"/>
                          <pic:cNvPicPr>
                            <a:picLocks noChangeAspect="1"/>
                          </pic:cNvPicPr>
                        </pic:nvPicPr>
                        <pic:blipFill>
                          <a:blip r:embed="rId20"/>
                          <a:stretch>
                            <a:fillRect/>
                          </a:stretch>
                        </pic:blipFill>
                        <pic:spPr>
                          <a:xfrm>
                            <a:off x="0" y="0"/>
                            <a:ext cx="2773680" cy="3700145"/>
                          </a:xfrm>
                          <a:prstGeom prst="rect">
                            <a:avLst/>
                          </a:prstGeom>
                        </pic:spPr>
                      </pic:pic>
                    </a:graphicData>
                  </a:graphic>
                </wp:anchor>
              </w:drawing>
            </w:r>
          </w:p>
        </w:tc>
        <w:tc>
          <w:tcPr>
            <w:tcW w:w="4587" w:type="dxa"/>
          </w:tcPr>
          <w:p w14:paraId="265255B0">
            <w:pPr>
              <w:pStyle w:val="2"/>
              <w:keepNext w:val="0"/>
              <w:keepLines w:val="0"/>
              <w:pageBreakBefore w:val="0"/>
              <w:widowControl w:val="0"/>
              <w:kinsoku/>
              <w:wordWrap/>
              <w:overflowPunct/>
              <w:topLinePunct w:val="0"/>
              <w:autoSpaceDE/>
              <w:autoSpaceDN/>
              <w:bidi w:val="0"/>
              <w:adjustRightInd/>
              <w:snapToGrid/>
              <w:spacing w:after="0" w:line="520" w:lineRule="exact"/>
              <w:textAlignment w:val="baseline"/>
              <w:rPr>
                <w:rFonts w:hint="eastAsia" w:ascii="仿宋_GB2312" w:eastAsia="仿宋_GB2312" w:cs="Times New Roman"/>
                <w:color w:val="000000" w:themeColor="text1"/>
                <w:sz w:val="32"/>
                <w:szCs w:val="32"/>
                <w:vertAlign w:val="baseline"/>
                <w:lang w:val="en-US" w:eastAsia="zh-CN"/>
                <w14:textFill>
                  <w14:solidFill>
                    <w14:schemeClr w14:val="tx1"/>
                  </w14:solidFill>
                </w14:textFill>
              </w:rPr>
            </w:pPr>
            <w:r>
              <w:rPr>
                <w:rFonts w:hint="eastAsia" w:ascii="仿宋_GB2312" w:eastAsia="仿宋_GB2312" w:cs="Times New Roman"/>
                <w:color w:val="000000" w:themeColor="text1"/>
                <w:sz w:val="32"/>
                <w:szCs w:val="32"/>
                <w:vertAlign w:val="baseline"/>
                <w:lang w:val="en-US" w:eastAsia="zh-CN"/>
                <w14:textFill>
                  <w14:solidFill>
                    <w14:schemeClr w14:val="tx1"/>
                  </w14:solidFill>
                </w14:textFill>
              </w:rPr>
              <w:drawing>
                <wp:anchor distT="0" distB="0" distL="114300" distR="114300" simplePos="0" relativeHeight="251673600" behindDoc="0" locked="0" layoutInCell="1" allowOverlap="1">
                  <wp:simplePos x="0" y="0"/>
                  <wp:positionH relativeFrom="column">
                    <wp:posOffset>0</wp:posOffset>
                  </wp:positionH>
                  <wp:positionV relativeFrom="paragraph">
                    <wp:posOffset>-3438525</wp:posOffset>
                  </wp:positionV>
                  <wp:extent cx="2773680" cy="3700145"/>
                  <wp:effectExtent l="0" t="0" r="635" b="2540"/>
                  <wp:wrapSquare wrapText="bothSides"/>
                  <wp:docPr id="22" name="图片 22" descr="fe85cc12be5c564f7f0404c620296f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fe85cc12be5c564f7f0404c620296f54"/>
                          <pic:cNvPicPr>
                            <a:picLocks noChangeAspect="1"/>
                          </pic:cNvPicPr>
                        </pic:nvPicPr>
                        <pic:blipFill>
                          <a:blip r:embed="rId21"/>
                          <a:stretch>
                            <a:fillRect/>
                          </a:stretch>
                        </pic:blipFill>
                        <pic:spPr>
                          <a:xfrm>
                            <a:off x="0" y="0"/>
                            <a:ext cx="2773680" cy="3700145"/>
                          </a:xfrm>
                          <a:prstGeom prst="rect">
                            <a:avLst/>
                          </a:prstGeom>
                        </pic:spPr>
                      </pic:pic>
                    </a:graphicData>
                  </a:graphic>
                </wp:anchor>
              </w:drawing>
            </w:r>
          </w:p>
        </w:tc>
      </w:tr>
    </w:tbl>
    <w:p w14:paraId="762729E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eastAsia" w:ascii="仿宋_GB2312" w:eastAsia="仿宋_GB2312" w:cs="Times New Roman"/>
          <w:color w:val="000000" w:themeColor="text1"/>
          <w:sz w:val="32"/>
          <w:szCs w:val="32"/>
          <w:lang w:val="en-US" w:eastAsia="zh-CN"/>
          <w14:textFill>
            <w14:solidFill>
              <w14:schemeClr w14:val="tx1"/>
            </w14:solidFill>
          </w14:textFill>
        </w:rPr>
        <w:t>2.水环境管理</w:t>
      </w:r>
    </w:p>
    <w:p w14:paraId="23C9B350">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Times New Roman"/>
          <w:color w:val="000000" w:themeColor="text1"/>
          <w:sz w:val="32"/>
          <w:szCs w:val="32"/>
          <w:lang w:val="en-US" w:eastAsia="zh-CN"/>
          <w14:textFill>
            <w14:solidFill>
              <w14:schemeClr w14:val="tx1"/>
            </w14:solidFill>
          </w14:textFill>
        </w:rPr>
      </w:pPr>
      <w:r>
        <w:rPr>
          <w:rFonts w:hint="default" w:ascii="仿宋_GB2312" w:eastAsia="仿宋_GB2312" w:cs="Times New Roman"/>
          <w:color w:val="000000" w:themeColor="text1"/>
          <w:sz w:val="32"/>
          <w:szCs w:val="32"/>
          <w:lang w:val="en-US" w:eastAsia="zh-CN"/>
          <w14:textFill>
            <w14:solidFill>
              <w14:schemeClr w14:val="tx1"/>
            </w14:solidFill>
          </w14:textFill>
        </w:rPr>
        <w:t>养殖前期苗种体型小、抗逆性弱，水质轻微波动即易引发应激，仅少量加水补充蒸发量，能最大限度保持池塘水质、盐度、水温稳定，避免换水导致苗种渗透压和代谢紊乱；养殖中期虾蟹进入生长旺季，投喂量大幅增加，残饵、粪便等有机质大量积累，每月 1</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s="Times New Roman"/>
          <w:color w:val="000000" w:themeColor="text1"/>
          <w:sz w:val="32"/>
          <w:szCs w:val="32"/>
          <w:lang w:val="en-US" w:eastAsia="zh-CN"/>
          <w14:textFill>
            <w14:solidFill>
              <w14:schemeClr w14:val="tx1"/>
            </w14:solidFill>
          </w14:textFill>
        </w:rPr>
        <w:t>2 次、30%</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s="Times New Roman"/>
          <w:color w:val="000000" w:themeColor="text1"/>
          <w:sz w:val="32"/>
          <w:szCs w:val="32"/>
          <w:lang w:val="en-US" w:eastAsia="zh-CN"/>
          <w14:textFill>
            <w14:solidFill>
              <w14:schemeClr w14:val="tx1"/>
            </w14:solidFill>
          </w14:textFill>
        </w:rPr>
        <w:t>40% 的换水量，能有效稀释水体有毒指标、补充新鲜溶氧，改善水质和底质环境，换水量未过高，是为避免过度换水破坏池塘已形成的菌藻平衡；水源与池塘水温差≤2℃、盐度差≤3‰，因虾蟹均无自主渗透压调节能力，温盐骤差会引发鳃部损伤、摄食停止，甚至蜕壳失败；“底层排水、表层进水” 是混养池专属换水方式，底层排水可直接排出池底沉积的污染物，表层进水能避免扰动池底底质导致水质浑浊，同时防止冷水直灌底层引发青蟹应激；单次换水时长控制 4</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s="Times New Roman"/>
          <w:color w:val="000000" w:themeColor="text1"/>
          <w:sz w:val="32"/>
          <w:szCs w:val="32"/>
          <w:lang w:val="en-US" w:eastAsia="zh-CN"/>
          <w14:textFill>
            <w14:solidFill>
              <w14:schemeClr w14:val="tx1"/>
            </w14:solidFill>
          </w14:textFill>
        </w:rPr>
        <w:t>6h，实现缓慢换水，让虾蟹有充足时间适应水体环境变化，避免短时间大量换水导致指标骤变。</w:t>
      </w:r>
    </w:p>
    <w:p w14:paraId="53AB8756">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default" w:ascii="仿宋_GB2312" w:eastAsia="仿宋_GB2312" w:cs="Times New Roman"/>
          <w:color w:val="000000" w:themeColor="text1"/>
          <w:sz w:val="32"/>
          <w:szCs w:val="32"/>
          <w:lang w:val="en-US" w:eastAsia="zh-CN"/>
          <w14:textFill>
            <w14:solidFill>
              <w14:schemeClr w14:val="tx1"/>
            </w14:solidFill>
          </w14:textFill>
        </w:rPr>
        <w:t>7:00</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s="Times New Roman"/>
          <w:color w:val="000000" w:themeColor="text1"/>
          <w:sz w:val="32"/>
          <w:szCs w:val="32"/>
          <w:lang w:val="en-US" w:eastAsia="zh-CN"/>
          <w14:textFill>
            <w14:solidFill>
              <w14:schemeClr w14:val="tx1"/>
            </w14:solidFill>
          </w14:textFill>
        </w:rPr>
        <w:t>8:00 是养殖水体溶氧、pH 的最低值时段（夜间藻类光合作用停止，虾蟹及微生物耗氧导致溶氧低，pH 随呼吸作用下降），15:00</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s="Times New Roman"/>
          <w:color w:val="000000" w:themeColor="text1"/>
          <w:sz w:val="32"/>
          <w:szCs w:val="32"/>
          <w:lang w:val="en-US" w:eastAsia="zh-CN"/>
          <w14:textFill>
            <w14:solidFill>
              <w14:schemeClr w14:val="tx1"/>
            </w14:solidFill>
          </w14:textFill>
        </w:rPr>
        <w:t>16:00 是溶氧、pH 的峰值时段（白天藻类光合作用旺盛），这两个时段的指标能直观反映水体的极端状态和生态平衡情况，每日定时测定可及时捕捉指标异常趋势，实现早预警、早调控，避免指标持续超标引发虾蟹应激或病害</w:t>
      </w:r>
      <w:r>
        <w:rPr>
          <w:rFonts w:hint="eastAsia" w:ascii="仿宋_GB2312" w:eastAsia="仿宋_GB2312" w:cs="Times New Roman"/>
          <w:color w:val="000000" w:themeColor="text1"/>
          <w:sz w:val="32"/>
          <w:szCs w:val="32"/>
          <w:lang w:val="en-US" w:eastAsia="zh-CN"/>
          <w14:textFill>
            <w14:solidFill>
              <w14:schemeClr w14:val="tx1"/>
            </w14:solidFill>
          </w14:textFill>
        </w:rPr>
        <w:t>。</w:t>
      </w:r>
    </w:p>
    <w:p w14:paraId="45C8C5D2">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default" w:ascii="仿宋_GB2312" w:eastAsia="仿宋_GB2312" w:cs="Times New Roman"/>
          <w:color w:val="000000" w:themeColor="text1"/>
          <w:sz w:val="32"/>
          <w:szCs w:val="32"/>
          <w:lang w:val="en-US" w:eastAsia="zh-CN"/>
          <w14:textFill>
            <w14:solidFill>
              <w14:schemeClr w14:val="tx1"/>
            </w14:solidFill>
          </w14:textFill>
        </w:rPr>
        <w:t>虾蟹均为变渗动物，盐度 24h 骤降＞5‰会导致其体内渗透压急剧失衡，引发鳃部水肿、摄食停止，青蟹对盐度骤变的敏感性更高；泼洒工业盐能快速补充水体钠离子、氯离子，缓解盐度骤降带来的应激；盐度骤升时引入淡水稀释是最直接的调控方式，同步泼洒 EM 菌是因盐度骤变会破坏水体原有有益菌群结构，EM 菌作为复合微生态制剂能快速定殖形成优势菌群，稳定水体微生态</w:t>
      </w:r>
      <w:r>
        <w:rPr>
          <w:rFonts w:hint="eastAsia" w:ascii="仿宋_GB2312" w:eastAsia="仿宋_GB2312" w:cs="Times New Roman"/>
          <w:color w:val="000000" w:themeColor="text1"/>
          <w:sz w:val="32"/>
          <w:szCs w:val="32"/>
          <w:lang w:val="en-US" w:eastAsia="zh-CN"/>
          <w14:textFill>
            <w14:solidFill>
              <w14:schemeClr w14:val="tx1"/>
            </w14:solidFill>
          </w14:textFill>
        </w:rPr>
        <w:t>。</w:t>
      </w:r>
    </w:p>
    <w:p w14:paraId="2E5AEB4F">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Times New Roman"/>
          <w:color w:val="000000" w:themeColor="text1"/>
          <w:sz w:val="32"/>
          <w:szCs w:val="32"/>
          <w:lang w:val="en-US" w:eastAsia="zh-CN"/>
          <w14:textFill>
            <w14:solidFill>
              <w14:schemeClr w14:val="tx1"/>
            </w14:solidFill>
          </w14:textFill>
        </w:rPr>
      </w:pPr>
      <w:r>
        <w:rPr>
          <w:rFonts w:hint="default" w:ascii="仿宋_GB2312" w:eastAsia="仿宋_GB2312" w:cs="Times New Roman"/>
          <w:color w:val="000000" w:themeColor="text1"/>
          <w:sz w:val="32"/>
          <w:szCs w:val="32"/>
          <w:lang w:val="en-US" w:eastAsia="zh-CN"/>
          <w14:textFill>
            <w14:solidFill>
              <w14:schemeClr w14:val="tx1"/>
            </w14:solidFill>
          </w14:textFill>
        </w:rPr>
        <w:t>每 7d</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s="Times New Roman"/>
          <w:color w:val="000000" w:themeColor="text1"/>
          <w:sz w:val="32"/>
          <w:szCs w:val="32"/>
          <w:lang w:val="en-US" w:eastAsia="zh-CN"/>
          <w14:textFill>
            <w14:solidFill>
              <w14:schemeClr w14:val="tx1"/>
            </w14:solidFill>
          </w14:textFill>
        </w:rPr>
        <w:t>10d 泼洒光合细菌或 EM 菌，是因该周期为水体有益菌群的自然衰减周期，定期补菌能维持水体优势有益菌群结构，光合细菌为厌氧 / 兼性厌氧菌，主打净化底层水质、分解底质有机质，EM 菌为复合菌，主打全水体菌藻平衡，两者用量为实操最优值，既能实现定殖，又不会造成菌群过度繁殖耗氧；南美白对虾发病多由弧菌等致病菌引发，蛭弧菌能特异性裂解弧菌、气单胞菌等水产致病菌，且不会对虾蟹和有益微生物造成伤害，是生物抑菌的核心制剂，替代化学杀菌剂，减少药残积累，契合绿色养殖要求。微生态制剂的施用频次、用量遵循SC/T 1093-2016《水产养殖用微生态制剂使用技术规范》</w:t>
      </w:r>
      <w:r>
        <w:rPr>
          <w:rFonts w:hint="eastAsia" w:ascii="仿宋_GB2312" w:eastAsia="仿宋_GB2312" w:cs="Times New Roman"/>
          <w:color w:val="000000" w:themeColor="text1"/>
          <w:sz w:val="32"/>
          <w:szCs w:val="32"/>
          <w:lang w:val="en-US" w:eastAsia="zh-CN"/>
          <w14:textFill>
            <w14:solidFill>
              <w14:schemeClr w14:val="tx1"/>
            </w14:solidFill>
          </w14:textFill>
        </w:rPr>
        <w:t>。</w:t>
      </w:r>
    </w:p>
    <w:p w14:paraId="1D084F9A">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Times New Roman"/>
          <w:color w:val="000000" w:themeColor="text1"/>
          <w:sz w:val="32"/>
          <w:szCs w:val="32"/>
          <w:lang w:val="en-US" w:eastAsia="zh-CN"/>
          <w14:textFill>
            <w14:solidFill>
              <w14:schemeClr w14:val="tx1"/>
            </w14:solidFill>
          </w14:textFill>
        </w:rPr>
      </w:pPr>
      <w:r>
        <w:rPr>
          <w:rFonts w:hint="default" w:ascii="仿宋_GB2312" w:eastAsia="仿宋_GB2312" w:cs="Times New Roman"/>
          <w:color w:val="000000" w:themeColor="text1"/>
          <w:sz w:val="32"/>
          <w:szCs w:val="32"/>
          <w:lang w:val="en-US" w:eastAsia="zh-CN"/>
          <w14:textFill>
            <w14:solidFill>
              <w14:schemeClr w14:val="tx1"/>
            </w14:solidFill>
          </w14:textFill>
        </w:rPr>
        <w:t>蓝藻占比＞60% 时会形成 “水华”，其繁殖速度快，会争夺水体营养，抑制有益藻生长，且死亡后分解产生藻毒素，导致虾蟹中毒，同时蓝藻会覆盖水面，阻碍气体交换，造成底层溶氧偏低；沸石粉 20 kg/667m</w:t>
      </w:r>
      <w:r>
        <w:rPr>
          <w:rFonts w:hint="default" w:ascii="仿宋_GB2312" w:eastAsia="仿宋_GB2312" w:cs="Times New Roman"/>
          <w:color w:val="000000" w:themeColor="text1"/>
          <w:sz w:val="32"/>
          <w:szCs w:val="32"/>
          <w:vertAlign w:val="superscript"/>
          <w:lang w:val="en-US" w:eastAsia="zh-CN"/>
          <w14:textFill>
            <w14:solidFill>
              <w14:schemeClr w14:val="tx1"/>
            </w14:solidFill>
          </w14:textFill>
        </w:rPr>
        <w:t>2</w:t>
      </w:r>
      <w:r>
        <w:rPr>
          <w:rFonts w:hint="default" w:ascii="仿宋_GB2312" w:eastAsia="仿宋_GB2312" w:cs="Times New Roman"/>
          <w:color w:val="000000" w:themeColor="text1"/>
          <w:sz w:val="32"/>
          <w:szCs w:val="32"/>
          <w:lang w:val="en-US" w:eastAsia="zh-CN"/>
          <w14:textFill>
            <w14:solidFill>
              <w14:schemeClr w14:val="tx1"/>
            </w14:solidFill>
          </w14:textFill>
        </w:rPr>
        <w:t xml:space="preserve"> 能物理吸附蓝藻藻体细胞和藻毒素，24h 后换水 30% 可直接将吸附了蓝藻的水体排出，避免藻体在池内腐烂；泼洒小球藻种 + 硅肥能快速培育硅藻、小球藻等有益藻相，形成优势有益藻，从根源上抑制蓝藻复发；养殖期维持透明度 30 cm</w:t>
      </w:r>
      <w:r>
        <w:rPr>
          <w:rFonts w:hint="eastAsia" w:ascii="仿宋_GB2312" w:eastAsia="仿宋_GB2312"/>
          <w:color w:val="000000" w:themeColor="text1"/>
          <w:sz w:val="32"/>
          <w:szCs w:val="32"/>
          <w14:textFill>
            <w14:solidFill>
              <w14:schemeClr w14:val="tx1"/>
            </w14:solidFill>
          </w14:textFill>
        </w:rPr>
        <w:t>～</w:t>
      </w:r>
      <w:r>
        <w:rPr>
          <w:rFonts w:hint="default" w:ascii="仿宋_GB2312" w:eastAsia="仿宋_GB2312" w:cs="Times New Roman"/>
          <w:color w:val="000000" w:themeColor="text1"/>
          <w:sz w:val="32"/>
          <w:szCs w:val="32"/>
          <w:lang w:val="en-US" w:eastAsia="zh-CN"/>
          <w14:textFill>
            <w14:solidFill>
              <w14:schemeClr w14:val="tx1"/>
            </w14:solidFill>
          </w14:textFill>
        </w:rPr>
        <w:t>40 cm，该区间是 “菌藻平衡、饵料充足、水质清澈” 的核心标志，透明度过低为藻类过旺（如蓝藻），过高为水体 “瘦水”，有益藻和天然饵料匮乏，均不利于虾蟹生长。</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5FFD5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87" w:type="dxa"/>
          </w:tcPr>
          <w:p w14:paraId="76BCB571">
            <w:pPr>
              <w:pStyle w:val="2"/>
              <w:keepNext w:val="0"/>
              <w:keepLines w:val="0"/>
              <w:pageBreakBefore w:val="0"/>
              <w:widowControl w:val="0"/>
              <w:kinsoku/>
              <w:wordWrap/>
              <w:overflowPunct/>
              <w:topLinePunct w:val="0"/>
              <w:autoSpaceDE/>
              <w:autoSpaceDN/>
              <w:bidi w:val="0"/>
              <w:adjustRightInd/>
              <w:snapToGrid/>
              <w:spacing w:after="0" w:line="520" w:lineRule="exact"/>
              <w:jc w:val="center"/>
              <w:textAlignment w:val="baseline"/>
              <w:rPr>
                <w:rFonts w:hint="default" w:ascii="仿宋_GB2312" w:eastAsia="仿宋_GB2312" w:cs="Times New Roman"/>
                <w:color w:val="000000" w:themeColor="text1"/>
                <w:sz w:val="32"/>
                <w:szCs w:val="32"/>
                <w:vertAlign w:val="baseline"/>
                <w:lang w:val="en-US" w:eastAsia="zh-CN"/>
                <w14:textFill>
                  <w14:solidFill>
                    <w14:schemeClr w14:val="tx1"/>
                  </w14:solidFill>
                </w14:textFill>
              </w:rPr>
            </w:pPr>
            <w:r>
              <w:rPr>
                <w:rFonts w:hint="default" w:ascii="仿宋_GB2312" w:eastAsia="仿宋_GB2312" w:cs="Times New Roman"/>
                <w:color w:val="000000" w:themeColor="text1"/>
                <w:sz w:val="32"/>
                <w:szCs w:val="32"/>
                <w:vertAlign w:val="baseline"/>
                <w:lang w:val="en-US" w:eastAsia="zh-CN"/>
                <w14:textFill>
                  <w14:solidFill>
                    <w14:schemeClr w14:val="tx1"/>
                  </w14:solidFill>
                </w14:textFill>
              </w:rPr>
              <w:drawing>
                <wp:anchor distT="0" distB="0" distL="114300" distR="114300" simplePos="0" relativeHeight="251674624" behindDoc="0" locked="0" layoutInCell="1" allowOverlap="1">
                  <wp:simplePos x="0" y="0"/>
                  <wp:positionH relativeFrom="column">
                    <wp:posOffset>0</wp:posOffset>
                  </wp:positionH>
                  <wp:positionV relativeFrom="paragraph">
                    <wp:posOffset>-2801620</wp:posOffset>
                  </wp:positionV>
                  <wp:extent cx="2775585" cy="2486660"/>
                  <wp:effectExtent l="0" t="0" r="0" b="0"/>
                  <wp:wrapSquare wrapText="bothSides"/>
                  <wp:docPr id="23" name="图片 23" descr="d0d07472913c676e622a46f733ee4e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d0d07472913c676e622a46f733ee4e8e"/>
                          <pic:cNvPicPr>
                            <a:picLocks noChangeAspect="1"/>
                          </pic:cNvPicPr>
                        </pic:nvPicPr>
                        <pic:blipFill>
                          <a:blip r:embed="rId22"/>
                          <a:srcRect b="18823"/>
                          <a:stretch>
                            <a:fillRect/>
                          </a:stretch>
                        </pic:blipFill>
                        <pic:spPr>
                          <a:xfrm>
                            <a:off x="0" y="0"/>
                            <a:ext cx="2775585" cy="2486660"/>
                          </a:xfrm>
                          <a:prstGeom prst="rect">
                            <a:avLst/>
                          </a:prstGeom>
                        </pic:spPr>
                      </pic:pic>
                    </a:graphicData>
                  </a:graphic>
                </wp:anchor>
              </w:drawing>
            </w:r>
            <w:r>
              <w:rPr>
                <w:rFonts w:hint="eastAsia" w:ascii="仿宋_GB2312" w:eastAsia="仿宋_GB2312" w:cs="Times New Roman"/>
                <w:color w:val="000000" w:themeColor="text1"/>
                <w:sz w:val="32"/>
                <w:szCs w:val="32"/>
                <w:vertAlign w:val="baseline"/>
                <w:lang w:val="en-US" w:eastAsia="zh-CN"/>
                <w14:textFill>
                  <w14:solidFill>
                    <w14:schemeClr w14:val="tx1"/>
                  </w14:solidFill>
                </w14:textFill>
              </w:rPr>
              <w:t>光合细菌</w:t>
            </w:r>
          </w:p>
        </w:tc>
        <w:tc>
          <w:tcPr>
            <w:tcW w:w="4587" w:type="dxa"/>
          </w:tcPr>
          <w:p w14:paraId="135DDAEE">
            <w:pPr>
              <w:pStyle w:val="2"/>
              <w:keepNext w:val="0"/>
              <w:keepLines w:val="0"/>
              <w:pageBreakBefore w:val="0"/>
              <w:widowControl w:val="0"/>
              <w:kinsoku/>
              <w:wordWrap/>
              <w:overflowPunct/>
              <w:topLinePunct w:val="0"/>
              <w:autoSpaceDE/>
              <w:autoSpaceDN/>
              <w:bidi w:val="0"/>
              <w:adjustRightInd/>
              <w:snapToGrid/>
              <w:spacing w:after="0" w:line="520" w:lineRule="exact"/>
              <w:textAlignment w:val="baseline"/>
            </w:pPr>
            <w:r>
              <w:drawing>
                <wp:anchor distT="0" distB="0" distL="114300" distR="114300" simplePos="0" relativeHeight="251675648" behindDoc="1" locked="0" layoutInCell="1" allowOverlap="1">
                  <wp:simplePos x="0" y="0"/>
                  <wp:positionH relativeFrom="column">
                    <wp:posOffset>458470</wp:posOffset>
                  </wp:positionH>
                  <wp:positionV relativeFrom="paragraph">
                    <wp:posOffset>335280</wp:posOffset>
                  </wp:positionV>
                  <wp:extent cx="2056130" cy="1864995"/>
                  <wp:effectExtent l="0" t="0" r="5715" b="2540"/>
                  <wp:wrapTight wrapText="bothSides">
                    <wp:wrapPolygon>
                      <wp:start x="0" y="0"/>
                      <wp:lineTo x="0" y="21254"/>
                      <wp:lineTo x="21320" y="21254"/>
                      <wp:lineTo x="21320" y="0"/>
                      <wp:lineTo x="0" y="0"/>
                    </wp:wrapPolygon>
                  </wp:wrapTight>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23"/>
                          <a:srcRect l="8161" t="36276" r="24230" b="29261"/>
                          <a:stretch>
                            <a:fillRect/>
                          </a:stretch>
                        </pic:blipFill>
                        <pic:spPr>
                          <a:xfrm>
                            <a:off x="0" y="0"/>
                            <a:ext cx="2056130" cy="1864995"/>
                          </a:xfrm>
                          <a:prstGeom prst="rect">
                            <a:avLst/>
                          </a:prstGeom>
                          <a:noFill/>
                          <a:ln>
                            <a:noFill/>
                          </a:ln>
                        </pic:spPr>
                      </pic:pic>
                    </a:graphicData>
                  </a:graphic>
                </wp:anchor>
              </w:drawing>
            </w:r>
          </w:p>
          <w:p w14:paraId="5A1A9B2F">
            <w:pPr>
              <w:bidi w:val="0"/>
              <w:rPr>
                <w:rFonts w:hint="default"/>
                <w:lang w:val="en-US" w:eastAsia="zh-CN"/>
              </w:rPr>
            </w:pPr>
          </w:p>
          <w:p w14:paraId="153DEE6E">
            <w:pPr>
              <w:bidi w:val="0"/>
              <w:rPr>
                <w:rFonts w:hint="default"/>
                <w:lang w:val="en-US" w:eastAsia="zh-CN"/>
              </w:rPr>
            </w:pPr>
          </w:p>
          <w:p w14:paraId="353DB2C9">
            <w:pPr>
              <w:bidi w:val="0"/>
              <w:rPr>
                <w:rFonts w:hint="default"/>
                <w:lang w:val="en-US" w:eastAsia="zh-CN"/>
              </w:rPr>
            </w:pPr>
          </w:p>
          <w:p w14:paraId="6150C405">
            <w:pPr>
              <w:bidi w:val="0"/>
              <w:rPr>
                <w:rFonts w:hint="default"/>
                <w:lang w:val="en-US" w:eastAsia="zh-CN"/>
              </w:rPr>
            </w:pPr>
          </w:p>
          <w:p w14:paraId="5CB80003">
            <w:pPr>
              <w:bidi w:val="0"/>
              <w:rPr>
                <w:rFonts w:hint="default"/>
                <w:lang w:val="en-US" w:eastAsia="zh-CN"/>
              </w:rPr>
            </w:pPr>
          </w:p>
          <w:p w14:paraId="7BB3C345">
            <w:pPr>
              <w:bidi w:val="0"/>
              <w:rPr>
                <w:rFonts w:hint="default"/>
                <w:lang w:val="en-US" w:eastAsia="zh-CN"/>
              </w:rPr>
            </w:pPr>
          </w:p>
          <w:p w14:paraId="47D9B45D">
            <w:pPr>
              <w:bidi w:val="0"/>
              <w:rPr>
                <w:rFonts w:hint="default"/>
                <w:lang w:val="en-US" w:eastAsia="zh-CN"/>
              </w:rPr>
            </w:pPr>
          </w:p>
          <w:p w14:paraId="33FE5E78">
            <w:pPr>
              <w:bidi w:val="0"/>
              <w:rPr>
                <w:rFonts w:hint="default"/>
                <w:lang w:val="en-US" w:eastAsia="zh-CN"/>
              </w:rPr>
            </w:pPr>
          </w:p>
          <w:p w14:paraId="39A707F4">
            <w:pPr>
              <w:bidi w:val="0"/>
              <w:rPr>
                <w:rFonts w:hint="default"/>
                <w:lang w:val="en-US" w:eastAsia="zh-CN"/>
              </w:rPr>
            </w:pPr>
          </w:p>
          <w:p w14:paraId="6B1EFA5C">
            <w:pPr>
              <w:bidi w:val="0"/>
              <w:rPr>
                <w:rFonts w:hint="default"/>
                <w:lang w:val="en-US" w:eastAsia="zh-CN"/>
              </w:rPr>
            </w:pPr>
          </w:p>
          <w:p w14:paraId="6B3ACB54">
            <w:pPr>
              <w:bidi w:val="0"/>
              <w:rPr>
                <w:rFonts w:hint="default"/>
                <w:lang w:val="en-US" w:eastAsia="zh-CN"/>
              </w:rPr>
            </w:pPr>
          </w:p>
          <w:p w14:paraId="2F162353">
            <w:pPr>
              <w:bidi w:val="0"/>
              <w:rPr>
                <w:rFonts w:hint="default"/>
                <w:lang w:val="en-US" w:eastAsia="zh-CN"/>
              </w:rPr>
            </w:pPr>
          </w:p>
          <w:p w14:paraId="69B0BDC1">
            <w:pPr>
              <w:pStyle w:val="2"/>
              <w:keepNext w:val="0"/>
              <w:keepLines w:val="0"/>
              <w:pageBreakBefore w:val="0"/>
              <w:widowControl w:val="0"/>
              <w:kinsoku/>
              <w:wordWrap/>
              <w:overflowPunct/>
              <w:topLinePunct w:val="0"/>
              <w:autoSpaceDE/>
              <w:autoSpaceDN/>
              <w:bidi w:val="0"/>
              <w:adjustRightInd/>
              <w:snapToGrid/>
              <w:spacing w:after="0" w:line="520" w:lineRule="exact"/>
              <w:jc w:val="center"/>
              <w:textAlignment w:val="baseline"/>
              <w:rPr>
                <w:rFonts w:hint="default"/>
                <w:lang w:val="en-US" w:eastAsia="zh-CN"/>
              </w:rPr>
            </w:pPr>
            <w:r>
              <w:rPr>
                <w:rFonts w:hint="eastAsia" w:ascii="仿宋_GB2312" w:eastAsia="仿宋_GB2312" w:cs="Times New Roman"/>
                <w:color w:val="000000" w:themeColor="text1"/>
                <w:sz w:val="32"/>
                <w:szCs w:val="32"/>
                <w:vertAlign w:val="baseline"/>
                <w:lang w:val="en-US" w:eastAsia="zh-CN"/>
                <w14:textFill>
                  <w14:solidFill>
                    <w14:schemeClr w14:val="tx1"/>
                  </w14:solidFill>
                </w14:textFill>
              </w:rPr>
              <w:t>复合乳酸菌</w:t>
            </w:r>
          </w:p>
        </w:tc>
      </w:tr>
    </w:tbl>
    <w:p w14:paraId="3B508296">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Times New Roman"/>
          <w:color w:val="000000" w:themeColor="text1"/>
          <w:sz w:val="32"/>
          <w:szCs w:val="32"/>
          <w:lang w:val="en-US" w:eastAsia="zh-CN"/>
          <w14:textFill>
            <w14:solidFill>
              <w14:schemeClr w14:val="tx1"/>
            </w14:solidFill>
          </w14:textFill>
        </w:rPr>
      </w:pPr>
    </w:p>
    <w:p w14:paraId="6482567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Times New Roman"/>
          <w:color w:val="000000" w:themeColor="text1"/>
          <w:sz w:val="32"/>
          <w:szCs w:val="32"/>
          <w:lang w:val="en-US" w:eastAsia="zh-CN"/>
          <w14:textFill>
            <w14:solidFill>
              <w14:schemeClr w14:val="tx1"/>
            </w14:solidFill>
          </w14:textFill>
        </w:rPr>
      </w:pPr>
    </w:p>
    <w:p w14:paraId="1A6033C6">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s="Times New Roman"/>
          <w:color w:val="000000" w:themeColor="text1"/>
          <w:sz w:val="32"/>
          <w:szCs w:val="32"/>
          <w:lang w:val="en-US" w:eastAsia="zh-CN"/>
          <w14:textFill>
            <w14:solidFill>
              <w14:schemeClr w14:val="tx1"/>
            </w14:solidFill>
          </w14:textFill>
        </w:r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5438B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3744" w:hRule="atLeast"/>
        </w:trPr>
        <w:tc>
          <w:tcPr>
            <w:tcW w:w="9174" w:type="dxa"/>
          </w:tcPr>
          <w:p w14:paraId="4B7DDDDE">
            <w:pPr>
              <w:bidi w:val="0"/>
              <w:jc w:val="center"/>
              <w:rPr>
                <w:rFonts w:hint="default"/>
                <w:lang w:val="en-US" w:eastAsia="zh-CN"/>
              </w:rPr>
            </w:pPr>
            <w:r>
              <w:rPr>
                <w:rFonts w:hint="default" w:ascii="仿宋_GB2312" w:eastAsia="仿宋_GB2312" w:cs="Times New Roman"/>
                <w:color w:val="000000" w:themeColor="text1"/>
                <w:sz w:val="32"/>
                <w:szCs w:val="32"/>
                <w:vertAlign w:val="baseline"/>
                <w:lang w:val="en-US" w:eastAsia="zh-CN"/>
                <w14:textFill>
                  <w14:solidFill>
                    <w14:schemeClr w14:val="tx1"/>
                  </w14:solidFill>
                </w14:textFill>
              </w:rPr>
              <w:drawing>
                <wp:inline distT="0" distB="0" distL="114300" distR="114300">
                  <wp:extent cx="2193290" cy="1950720"/>
                  <wp:effectExtent l="0" t="0" r="8890" b="3175"/>
                  <wp:docPr id="25" name="图片 25" descr="83238b0b1967e37c6188ad8d444f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83238b0b1967e37c6188ad8d444f4048"/>
                          <pic:cNvPicPr>
                            <a:picLocks noChangeAspect="1"/>
                          </pic:cNvPicPr>
                        </pic:nvPicPr>
                        <pic:blipFill>
                          <a:blip r:embed="rId24"/>
                          <a:srcRect b="7627"/>
                          <a:stretch>
                            <a:fillRect/>
                          </a:stretch>
                        </pic:blipFill>
                        <pic:spPr>
                          <a:xfrm>
                            <a:off x="0" y="0"/>
                            <a:ext cx="2193290" cy="1950720"/>
                          </a:xfrm>
                          <a:prstGeom prst="rect">
                            <a:avLst/>
                          </a:prstGeom>
                        </pic:spPr>
                      </pic:pic>
                    </a:graphicData>
                  </a:graphic>
                </wp:inline>
              </w:drawing>
            </w:r>
          </w:p>
          <w:p w14:paraId="13BEEF48">
            <w:pPr>
              <w:tabs>
                <w:tab w:val="left" w:pos="7595"/>
              </w:tabs>
              <w:bidi w:val="0"/>
              <w:jc w:val="left"/>
              <w:rPr>
                <w:rFonts w:hint="eastAsia"/>
                <w:lang w:val="en-US" w:eastAsia="zh-CN"/>
              </w:rPr>
            </w:pPr>
          </w:p>
          <w:p w14:paraId="6E16F203">
            <w:pPr>
              <w:pStyle w:val="2"/>
              <w:jc w:val="center"/>
              <w:rPr>
                <w:rFonts w:hint="default"/>
                <w:lang w:val="en-US" w:eastAsia="zh-CN"/>
              </w:rPr>
            </w:pPr>
            <w:r>
              <w:rPr>
                <w:rFonts w:hint="eastAsia"/>
                <w:lang w:val="en-US" w:eastAsia="zh-CN"/>
              </w:rPr>
              <w:t>沸石灰</w:t>
            </w:r>
          </w:p>
        </w:tc>
      </w:tr>
    </w:tbl>
    <w:p w14:paraId="30315346">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（五）</w:t>
      </w:r>
      <w:r>
        <w:rPr>
          <w:rFonts w:hint="eastAsia" w:ascii="仿宋_GB2312" w:eastAsia="仿宋_GB2312"/>
          <w:color w:val="000000" w:themeColor="text1"/>
          <w:sz w:val="32"/>
          <w:szCs w:val="32"/>
          <w:lang w:val="en-US" w:eastAsia="zh-CN"/>
          <w14:textFill>
            <w14:solidFill>
              <w14:schemeClr w14:val="tx1"/>
            </w14:solidFill>
          </w14:textFill>
        </w:rPr>
        <w:t>病害防控</w:t>
      </w:r>
    </w:p>
    <w:p w14:paraId="7D31E529">
      <w:pPr>
        <w:keepNext w:val="0"/>
        <w:keepLines w:val="0"/>
        <w:pageBreakBefore w:val="0"/>
        <w:tabs>
          <w:tab w:val="left" w:pos="1800"/>
        </w:tabs>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eastAsia="zh-CN"/>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禁用抗生素遵循《NY 5071-2002</w:t>
      </w:r>
      <w:r>
        <w:rPr>
          <w:rFonts w:hint="eastAsia" w:ascii="仿宋_GB2312" w:eastAsia="仿宋_GB2312"/>
          <w:color w:val="000000" w:themeColor="text1"/>
          <w:sz w:val="32"/>
          <w:szCs w:val="32"/>
          <w:lang w:val="en-US" w:eastAsia="zh-CN"/>
          <w14:textFill>
            <w14:solidFill>
              <w14:schemeClr w14:val="tx1"/>
            </w14:solidFill>
          </w14:textFill>
        </w:rPr>
        <w:t xml:space="preserve"> </w:t>
      </w:r>
      <w:r>
        <w:rPr>
          <w:rFonts w:hint="eastAsia" w:ascii="仿宋_GB2312" w:eastAsia="仿宋_GB2312"/>
          <w:color w:val="000000" w:themeColor="text1"/>
          <w:sz w:val="32"/>
          <w:szCs w:val="32"/>
          <w14:textFill>
            <w14:solidFill>
              <w14:schemeClr w14:val="tx1"/>
            </w14:solidFill>
          </w14:textFill>
        </w:rPr>
        <w:t>无公害食品 水产养殖饲料使用准则》，同时契合《NY/T 393-2020绿色食品 农药使用准则》中水产养殖禁用高毒抗生素的要求；抗生素、重金属残留阈值参考《GB 2762-2022</w:t>
      </w:r>
      <w:r>
        <w:rPr>
          <w:rFonts w:hint="eastAsia" w:ascii="仿宋_GB2312" w:eastAsia="仿宋_GB2312"/>
          <w:color w:val="000000" w:themeColor="text1"/>
          <w:sz w:val="32"/>
          <w:szCs w:val="32"/>
          <w:lang w:val="en-US" w:eastAsia="zh-CN"/>
          <w14:textFill>
            <w14:solidFill>
              <w14:schemeClr w14:val="tx1"/>
            </w14:solidFill>
          </w14:textFill>
        </w:rPr>
        <w:t xml:space="preserve"> </w:t>
      </w:r>
      <w:r>
        <w:rPr>
          <w:rFonts w:hint="eastAsia" w:ascii="仿宋_GB2312" w:eastAsia="仿宋_GB2312"/>
          <w:color w:val="000000" w:themeColor="text1"/>
          <w:sz w:val="32"/>
          <w:szCs w:val="32"/>
          <w14:textFill>
            <w14:solidFill>
              <w14:schemeClr w14:val="tx1"/>
            </w14:solidFill>
          </w14:textFill>
        </w:rPr>
        <w:t>食品安全国家标准 食品中污染物限量》</w:t>
      </w:r>
      <w:r>
        <w:rPr>
          <w:rFonts w:hint="eastAsia" w:ascii="仿宋_GB2312" w:eastAsia="仿宋_GB2312"/>
          <w:color w:val="000000" w:themeColor="text1"/>
          <w:sz w:val="32"/>
          <w:szCs w:val="32"/>
          <w:lang w:eastAsia="zh-CN"/>
          <w14:textFill>
            <w14:solidFill>
              <w14:schemeClr w14:val="tx1"/>
            </w14:solidFill>
          </w14:textFill>
        </w:rPr>
        <w:t>。消毒剂会在杀菌的同时抑制水体有益微生物，24h 后补泼有益微生物，能快速补充池塘优势有益菌群，恢复水体微生态平衡，避免消毒后水体菌群失衡引发藻类爆发、水质恶化等次生问题，兼顾抑菌效果与水体生态稳定。南美白对虾体质娇嫩，幼苗期抗逆性弱、成虾期养殖密度高，且白斑综合征、弧菌病、EHP 感染等病害具有传播速度快、死亡率高的特点，一旦爆发易导致全池覆灭，混养模式下还可能交叉感染青蟹，因此遵循 “预防为主、综合防控” 原则，提前从环境、体质、监测等多维度防控高易感病害，是降低养殖损失的核心手段，远优于病害爆发后的被动处理。</w:t>
      </w:r>
    </w:p>
    <w:p w14:paraId="105ED5B3">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幼苗阶段虾苗体型小、肠道发育不完善、免疫力极低，标粗池泼洒高剂量光合细菌（500 g/667m2），能快速净化标粗池水质、抑制致病菌，同时光合细菌可作为虾苗天然饵料，提升苗种体质；饲料添加 0.1%β- 葡聚糖，能强化虾苗非特异性免疫力，提升其对病害的抵抗力；②EHP（肝肠胞虫）是对虾幼苗期高易感病原，会导致对虾生长缓慢、肝胰腺损伤，且早期感染无明显症状，每月检测能实现早发现、早干预，感染率＞1% 时及时隔离或药物干预，可防止病原在苗种阶段扩散，避免投放至大池后引发全池感染。</w:t>
      </w:r>
    </w:p>
    <w:p w14:paraId="5346CB33">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饲料添加 0.2% 大蒜素，为天然植物源抗菌剂，可抑制对虾肠道内致病菌，同时提升消化功能；病害高发期（高温、阴雨天气）水体环境易波动，致病菌易爆发，泼洒 1</w:t>
      </w:r>
      <w:r>
        <w:rPr>
          <w:rFonts w:hint="eastAsia" w:ascii="仿宋_GB2312" w:eastAsia="仿宋_GB2312"/>
          <w:color w:val="000000" w:themeColor="text1"/>
          <w:sz w:val="32"/>
          <w:szCs w:val="32"/>
          <w14:textFill>
            <w14:solidFill>
              <w14:schemeClr w14:val="tx1"/>
            </w14:solidFill>
          </w14:textFill>
        </w:rPr>
        <w:t>～</w:t>
      </w: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1.5 kg/667m2 复合芽孢杆菌，能快速分解水体有机质、降低有毒指标，同时形成优势菌群抑制致病菌；弧菌是对虾弧菌病的致病菌，每 15d 检测能及时掌握水体弧菌含量，＞1000CFU/mL 时泼洒蛭弧菌 / 噬菌蛭弧菌，能特异性裂解弧菌，且不伤害有益菌和对虾，是绿色的生物抑菌手段，替代化学杀菌剂，减少药残。</w:t>
      </w:r>
    </w:p>
    <w:p w14:paraId="07DB089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拟穴青蟹为底栖甲壳类，易受纤毛虫病、烂肢病、蜕壳不遂病等病害影响，且混养模式下易被对虾的致病菌交叉感染，因此同样遵循 “预防为主、综合防控” 的核心原则</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p>
    <w:p w14:paraId="7B9ABDEE">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（六）</w:t>
      </w:r>
      <w:r>
        <w:rPr>
          <w:rFonts w:hint="eastAsia" w:ascii="仿宋_GB2312" w:eastAsia="仿宋_GB2312"/>
          <w:color w:val="000000" w:themeColor="text1"/>
          <w:sz w:val="32"/>
          <w:szCs w:val="32"/>
          <w:lang w:val="en-US" w:eastAsia="zh-CN"/>
          <w14:textFill>
            <w14:solidFill>
              <w14:schemeClr w14:val="tx1"/>
            </w14:solidFill>
          </w14:textFill>
        </w:rPr>
        <w:t>病害防控</w:t>
      </w:r>
    </w:p>
    <w:p w14:paraId="48FDFA54">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三池两坝是水产养殖经典的生态型尾水处理模式，通过沉淀、过滤、水生植物 / 微生物生态净化，能高效去除尾水中的悬浮物、氮磷和部分有机物，一体化水处理设施则适配规模化养殖的高效处理需求，两种模式可满足不同养殖规模的尾水处理需求，从源头杜绝养殖尾水的外源污染，落实水产养殖的环保减排要求。</w:t>
      </w:r>
    </w:p>
    <w:p w14:paraId="32366319">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eastAsia="仿宋_GB2312" w:cs="Calibri"/>
          <w:color w:val="000000" w:themeColor="text1"/>
          <w:kern w:val="2"/>
          <w:sz w:val="32"/>
          <w:szCs w:val="32"/>
          <w:lang w:val="en-US" w:eastAsia="zh-CN" w:bidi="ar-SA"/>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DB45/T 2956：为广西水产养殖尾水排放相关的地方标准，明确了广西辖区内水产养殖尾水的排放指标、检测方法等核心要求，是养殖尾水达标排放的合规判定依据；DB45/T 2841：为广西水产养殖尾水处理设施相关的地方标准，规范了尾水处理设施的建设、运行、维护要求，其中包含 “三池两坝”、一体化水处理设施的设计与使用准则，是尾水处理设施建设和运行的技术依据。</w:t>
      </w:r>
    </w:p>
    <w:p w14:paraId="489BF5B2">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（七）</w:t>
      </w:r>
      <w:r>
        <w:rPr>
          <w:rFonts w:hint="eastAsia" w:ascii="仿宋_GB2312" w:eastAsia="仿宋_GB2312"/>
          <w:color w:val="000000" w:themeColor="text1"/>
          <w:sz w:val="32"/>
          <w:szCs w:val="32"/>
          <w:lang w:val="en-US" w:eastAsia="zh-CN"/>
          <w14:textFill>
            <w14:solidFill>
              <w14:schemeClr w14:val="tx1"/>
            </w14:solidFill>
          </w14:textFill>
        </w:rPr>
        <w:t>收获</w:t>
      </w:r>
    </w:p>
    <w:p w14:paraId="4E0D0779">
      <w:pPr>
        <w:keepNext w:val="0"/>
        <w:keepLines w:val="0"/>
        <w:pageBreakBefore w:val="0"/>
        <w:tabs>
          <w:tab w:val="left" w:pos="1800"/>
        </w:tabs>
        <w:kinsoku/>
        <w:wordWrap/>
        <w:overflowPunct/>
        <w:topLinePunct w:val="0"/>
        <w:bidi w:val="0"/>
        <w:snapToGrid/>
        <w:spacing w:line="520" w:lineRule="exact"/>
        <w:ind w:firstLine="640" w:firstLineChars="200"/>
        <w:rPr>
          <w:rFonts w:hint="eastAsia" w:ascii="仿宋_GB2312" w:eastAsia="仿宋_GB2312"/>
          <w:color w:val="000000" w:themeColor="text1"/>
          <w:sz w:val="32"/>
          <w:szCs w:val="32"/>
          <w:lang w:eastAsia="zh-CN"/>
          <w14:textFill>
            <w14:solidFill>
              <w14:schemeClr w14:val="tx1"/>
            </w14:solidFill>
          </w14:textFill>
        </w:rPr>
      </w:pPr>
      <w:r>
        <w:rPr>
          <w:rFonts w:hint="eastAsia" w:ascii="仿宋_GB2312" w:eastAsia="仿宋_GB2312"/>
          <w:color w:val="000000" w:themeColor="text1"/>
          <w:sz w:val="32"/>
          <w:szCs w:val="32"/>
          <w:lang w:val="en-US" w:eastAsia="zh-CN"/>
          <w14:textFill>
            <w14:solidFill>
              <w14:schemeClr w14:val="tx1"/>
            </w14:solidFill>
          </w14:textFill>
        </w:rPr>
        <w:t>南美白对虾在华南 / 华东咸淡水养殖环境下，3</w:t>
      </w:r>
      <w:r>
        <w:rPr>
          <w:rFonts w:hint="eastAsia" w:ascii="仿宋_GB2312" w:eastAsia="仿宋_GB2312"/>
          <w:color w:val="000000" w:themeColor="text1"/>
          <w:sz w:val="32"/>
          <w:szCs w:val="32"/>
          <w14:textFill>
            <w14:solidFill>
              <w14:schemeClr w14:val="tx1"/>
            </w14:solidFill>
          </w14:textFill>
        </w:rPr>
        <w:t>～</w:t>
      </w:r>
      <w:r>
        <w:rPr>
          <w:rFonts w:hint="eastAsia" w:ascii="仿宋_GB2312" w:eastAsia="仿宋_GB2312"/>
          <w:color w:val="000000" w:themeColor="text1"/>
          <w:sz w:val="32"/>
          <w:szCs w:val="32"/>
          <w:lang w:val="en-US" w:eastAsia="zh-CN"/>
          <w14:textFill>
            <w14:solidFill>
              <w14:schemeClr w14:val="tx1"/>
            </w14:solidFill>
          </w14:textFill>
        </w:rPr>
        <w:t>4 个月可自然生长至≥12cm 的商品规格，该体长的对虾肉质饱满、出肉率高，符合市场主流收购标准</w:t>
      </w:r>
      <w:bookmarkStart w:id="1" w:name="_GoBack"/>
      <w:bookmarkEnd w:id="1"/>
      <w:r>
        <w:rPr>
          <w:rFonts w:hint="eastAsia" w:ascii="仿宋_GB2312" w:eastAsia="仿宋_GB2312"/>
          <w:color w:val="000000" w:themeColor="text1"/>
          <w:sz w:val="32"/>
          <w:szCs w:val="32"/>
          <w14:textFill>
            <w14:solidFill>
              <w14:schemeClr w14:val="tx1"/>
            </w14:solidFill>
          </w14:textFill>
        </w:rPr>
        <w:t>。拟穴青蟹生长速度慢于对虾，6～8 个月才能完成多次蜕壳达到商品成蟹标准，甲宽 8cm、体重 250g 是青蟹市场的最低收购阈值，性腺饱满则是优质青蟹（膏蟹 / 肉蟹）的核心判定指标，直接决定商品售价和市场认可度</w:t>
      </w:r>
      <w:r>
        <w:rPr>
          <w:rFonts w:hint="eastAsia" w:ascii="仿宋_GB2312" w:eastAsia="仿宋_GB2312"/>
          <w:color w:val="000000" w:themeColor="text1"/>
          <w:sz w:val="32"/>
          <w:szCs w:val="32"/>
          <w:lang w:eastAsia="zh-CN"/>
          <w14:textFill>
            <w14:solidFill>
              <w14:schemeClr w14:val="tx1"/>
            </w14:solidFill>
          </w14:textFill>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5F7AE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87" w:type="dxa"/>
          </w:tcPr>
          <w:p w14:paraId="79D3B84E">
            <w:pPr>
              <w:pStyle w:val="2"/>
              <w:rPr>
                <w:rFonts w:hint="eastAsia"/>
                <w:vertAlign w:val="baseline"/>
                <w:lang w:eastAsia="zh-CN"/>
              </w:rPr>
            </w:pPr>
            <w:r>
              <w:rPr>
                <w:rFonts w:hint="eastAsia"/>
                <w:vertAlign w:val="baseline"/>
                <w:lang w:eastAsia="zh-CN"/>
              </w:rPr>
              <w:drawing>
                <wp:anchor distT="0" distB="0" distL="114300" distR="114300" simplePos="0" relativeHeight="251676672" behindDoc="1" locked="0" layoutInCell="1" allowOverlap="1">
                  <wp:simplePos x="0" y="0"/>
                  <wp:positionH relativeFrom="column">
                    <wp:posOffset>27305</wp:posOffset>
                  </wp:positionH>
                  <wp:positionV relativeFrom="paragraph">
                    <wp:posOffset>271780</wp:posOffset>
                  </wp:positionV>
                  <wp:extent cx="2773680" cy="1848485"/>
                  <wp:effectExtent l="0" t="0" r="635" b="8255"/>
                  <wp:wrapTight wrapText="bothSides">
                    <wp:wrapPolygon>
                      <wp:start x="0" y="0"/>
                      <wp:lineTo x="0" y="21318"/>
                      <wp:lineTo x="21353" y="21318"/>
                      <wp:lineTo x="21353" y="0"/>
                      <wp:lineTo x="0" y="0"/>
                    </wp:wrapPolygon>
                  </wp:wrapTight>
                  <wp:docPr id="27" name="图片 27" descr="9b3cf0c1a3d49263597df3d082ad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9b3cf0c1a3d49263597df3d082ad9523"/>
                          <pic:cNvPicPr>
                            <a:picLocks noChangeAspect="1"/>
                          </pic:cNvPicPr>
                        </pic:nvPicPr>
                        <pic:blipFill>
                          <a:blip r:embed="rId25"/>
                          <a:stretch>
                            <a:fillRect/>
                          </a:stretch>
                        </pic:blipFill>
                        <pic:spPr>
                          <a:xfrm>
                            <a:off x="0" y="0"/>
                            <a:ext cx="2773680" cy="1848485"/>
                          </a:xfrm>
                          <a:prstGeom prst="rect">
                            <a:avLst/>
                          </a:prstGeom>
                        </pic:spPr>
                      </pic:pic>
                    </a:graphicData>
                  </a:graphic>
                </wp:anchor>
              </w:drawing>
            </w:r>
          </w:p>
        </w:tc>
        <w:tc>
          <w:tcPr>
            <w:tcW w:w="4587" w:type="dxa"/>
          </w:tcPr>
          <w:p w14:paraId="14D0A368">
            <w:pPr>
              <w:pStyle w:val="2"/>
              <w:rPr>
                <w:rFonts w:hint="eastAsia"/>
                <w:b/>
                <w:bCs/>
                <w:vertAlign w:val="baseline"/>
                <w:lang w:eastAsia="zh-CN"/>
              </w:rPr>
            </w:pPr>
            <w:r>
              <w:rPr>
                <w:rFonts w:hint="eastAsia"/>
                <w:b/>
                <w:bCs/>
                <w:vertAlign w:val="baseline"/>
                <w:lang w:eastAsia="zh-CN"/>
              </w:rPr>
              <w:drawing>
                <wp:inline distT="0" distB="0" distL="114300" distR="114300">
                  <wp:extent cx="2774315" cy="2499360"/>
                  <wp:effectExtent l="0" t="0" r="0" b="5080"/>
                  <wp:docPr id="26" name="图片 26" descr="bab3bd8fc1f0afc25576bad59944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ab3bd8fc1f0afc25576bad599441878"/>
                          <pic:cNvPicPr>
                            <a:picLocks noChangeAspect="1"/>
                          </pic:cNvPicPr>
                        </pic:nvPicPr>
                        <pic:blipFill>
                          <a:blip r:embed="rId26"/>
                          <a:stretch>
                            <a:fillRect/>
                          </a:stretch>
                        </pic:blipFill>
                        <pic:spPr>
                          <a:xfrm>
                            <a:off x="0" y="0"/>
                            <a:ext cx="2774315" cy="2499360"/>
                          </a:xfrm>
                          <a:prstGeom prst="rect">
                            <a:avLst/>
                          </a:prstGeom>
                        </pic:spPr>
                      </pic:pic>
                    </a:graphicData>
                  </a:graphic>
                </wp:inline>
              </w:drawing>
            </w:r>
          </w:p>
        </w:tc>
      </w:tr>
    </w:tbl>
    <w:p w14:paraId="04AED332">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default" w:ascii="仿宋_GB2312" w:eastAsia="仿宋_GB2312"/>
          <w:color w:val="000000" w:themeColor="text1"/>
          <w:sz w:val="32"/>
          <w:szCs w:val="32"/>
          <w:lang w:val="en-US" w:eastAsia="zh-CN"/>
          <w14:textFill>
            <w14:solidFill>
              <w14:schemeClr w14:val="tx1"/>
            </w14:solidFill>
          </w14:textFill>
        </w:rPr>
      </w:pPr>
      <w:r>
        <w:rPr>
          <w:rFonts w:hint="eastAsia" w:ascii="仿宋_GB2312" w:eastAsia="仿宋_GB2312" w:cs="Calibri"/>
          <w:color w:val="000000" w:themeColor="text1"/>
          <w:kern w:val="2"/>
          <w:sz w:val="32"/>
          <w:szCs w:val="32"/>
          <w:lang w:val="en-US" w:eastAsia="zh-CN" w:bidi="ar-SA"/>
          <w14:textFill>
            <w14:solidFill>
              <w14:schemeClr w14:val="tx1"/>
            </w14:solidFill>
          </w14:textFill>
        </w:rPr>
        <w:t>（八）</w:t>
      </w:r>
      <w:r>
        <w:rPr>
          <w:rFonts w:hint="eastAsia" w:ascii="仿宋_GB2312" w:eastAsia="仿宋_GB2312"/>
          <w:color w:val="000000" w:themeColor="text1"/>
          <w:sz w:val="32"/>
          <w:szCs w:val="32"/>
          <w:lang w:val="en-US" w:eastAsia="zh-CN"/>
          <w14:textFill>
            <w14:solidFill>
              <w14:schemeClr w14:val="tx1"/>
            </w14:solidFill>
          </w14:textFill>
        </w:rPr>
        <w:t>养殖档案</w:t>
      </w:r>
    </w:p>
    <w:p w14:paraId="559C8C51">
      <w:pPr>
        <w:pStyle w:val="2"/>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baseline"/>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pPr>
      <w:r>
        <w:rPr>
          <w:rFonts w:hint="eastAsia" w:ascii="仿宋_GB2312" w:hAnsi="Calibri" w:eastAsia="仿宋_GB2312" w:cs="Calibri"/>
          <w:color w:val="000000" w:themeColor="text1"/>
          <w:kern w:val="2"/>
          <w:sz w:val="32"/>
          <w:szCs w:val="32"/>
          <w:lang w:val="en-US" w:eastAsia="zh-CN" w:bidi="ar-SA"/>
          <w14:textFill>
            <w14:solidFill>
              <w14:schemeClr w14:val="tx1"/>
            </w14:solidFill>
          </w14:textFill>
        </w:rPr>
        <w:t>遵循GB/T 42478-2023《水产养殖档案编制规范》</w:t>
      </w:r>
      <w:r>
        <w:rPr>
          <w:rFonts w:hint="eastAsia" w:ascii="仿宋_GB2312" w:eastAsia="仿宋_GB2312" w:cs="Calibri"/>
          <w:color w:val="000000" w:themeColor="text1"/>
          <w:kern w:val="2"/>
          <w:sz w:val="32"/>
          <w:szCs w:val="32"/>
          <w:lang w:val="en-US" w:eastAsia="zh-CN" w:bidi="ar-SA"/>
          <w14:textFill>
            <w14:solidFill>
              <w14:schemeClr w14:val="tx1"/>
            </w14:solidFill>
          </w14:textFill>
        </w:rPr>
        <w:t>。</w:t>
      </w:r>
    </w:p>
    <w:p w14:paraId="64E49315">
      <w:pPr>
        <w:keepNext w:val="0"/>
        <w:keepLines w:val="0"/>
        <w:pageBreakBefore w:val="0"/>
        <w:kinsoku/>
        <w:wordWrap/>
        <w:overflowPunct/>
        <w:topLinePunct w:val="0"/>
        <w:autoSpaceDE w:val="0"/>
        <w:autoSpaceDN w:val="0"/>
        <w:bidi w:val="0"/>
        <w:adjustRightInd w:val="0"/>
        <w:snapToGrid/>
        <w:spacing w:line="52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六、重大意见分歧的处理依据和结果</w:t>
      </w:r>
    </w:p>
    <w:p w14:paraId="2FEB7C93">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本标准研制过程中无重大分歧意见。</w:t>
      </w:r>
    </w:p>
    <w:p w14:paraId="7816D51D">
      <w:pPr>
        <w:keepNext w:val="0"/>
        <w:keepLines w:val="0"/>
        <w:pageBreakBefore w:val="0"/>
        <w:kinsoku/>
        <w:wordWrap/>
        <w:overflowPunct/>
        <w:topLinePunct w:val="0"/>
        <w:autoSpaceDE w:val="0"/>
        <w:autoSpaceDN w:val="0"/>
        <w:bidi w:val="0"/>
        <w:adjustRightInd w:val="0"/>
        <w:snapToGrid/>
        <w:spacing w:line="52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七、实施标准的措施</w:t>
      </w:r>
    </w:p>
    <w:p w14:paraId="1EFA9ED7">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（一）标准报批发布后，成立标准宣贯工作组</w:t>
      </w:r>
    </w:p>
    <w:p w14:paraId="0FAC67C3">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4156C85">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（二）组织开展标准宣贯培训</w:t>
      </w:r>
    </w:p>
    <w:p w14:paraId="24F10B80">
      <w:pPr>
        <w:keepNext w:val="0"/>
        <w:keepLines w:val="0"/>
        <w:pageBreakBefore w:val="0"/>
        <w:kinsoku/>
        <w:wordWrap/>
        <w:overflowPunct/>
        <w:topLinePunct w:val="0"/>
        <w:bidi w:val="0"/>
        <w:snapToGrid/>
        <w:spacing w:line="520" w:lineRule="exact"/>
        <w:ind w:firstLine="640" w:firstLineChars="200"/>
        <w:rPr>
          <w:rFonts w:hint="eastAsia" w:ascii="仿宋" w:hAnsi="仿宋" w:eastAsia="仿宋"/>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发布实施后，标准宣贯工作小组制作标准解读宣贯培训PPT课件和标准核心技术明白书，并按标准宣贯培训计划深入各市县相关机构，对相关技术人员开展标准宣贯培训，对标准进行逐条解读，让相关技术人员掌握标准核心技术内容，助力标准实施落地，促进广西水产养殖产业健康发展。</w:t>
      </w:r>
    </w:p>
    <w:p w14:paraId="4E52F787">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（三）开展标准实施交流会，收集标准实施反馈信息</w:t>
      </w:r>
    </w:p>
    <w:p w14:paraId="5FEEE190">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标准起草小组深入各市县相关机构技术人员召开标准实施交流会，听取标准实施过程中存在的问题并做好记录和解答，对存在的问题组织专家团队进行研讨，为标准的复审修订做准备。</w:t>
      </w:r>
    </w:p>
    <w:p w14:paraId="6A504440">
      <w:pPr>
        <w:keepNext w:val="0"/>
        <w:keepLines w:val="0"/>
        <w:pageBreakBefore w:val="0"/>
        <w:tabs>
          <w:tab w:val="center" w:pos="4201"/>
          <w:tab w:val="right" w:leader="dot" w:pos="9298"/>
        </w:tabs>
        <w:kinsoku/>
        <w:wordWrap/>
        <w:overflowPunct/>
        <w:topLinePunct w:val="0"/>
        <w:autoSpaceDE w:val="0"/>
        <w:autoSpaceDN w:val="0"/>
        <w:bidi w:val="0"/>
        <w:snapToGrid/>
        <w:spacing w:line="520" w:lineRule="exact"/>
        <w:ind w:firstLine="643" w:firstLineChars="200"/>
        <w:outlineLvl w:val="1"/>
        <w:rPr>
          <w:rFonts w:ascii="Times New Roman" w:hAnsi="Times New Roman" w:eastAsia="楷体" w:cs="Times New Roman"/>
          <w:b/>
          <w:bCs/>
          <w:color w:val="000000" w:themeColor="text1"/>
          <w:kern w:val="0"/>
          <w:sz w:val="32"/>
          <w:szCs w:val="32"/>
          <w14:textFill>
            <w14:solidFill>
              <w14:schemeClr w14:val="tx1"/>
            </w14:solidFill>
          </w14:textFill>
        </w:rPr>
      </w:pPr>
      <w:r>
        <w:rPr>
          <w:rFonts w:hint="eastAsia" w:ascii="Times New Roman" w:hAnsi="Times New Roman" w:eastAsia="楷体" w:cs="Times New Roman"/>
          <w:b/>
          <w:bCs/>
          <w:color w:val="000000" w:themeColor="text1"/>
          <w:kern w:val="0"/>
          <w:sz w:val="32"/>
          <w:szCs w:val="32"/>
          <w14:textFill>
            <w14:solidFill>
              <w14:schemeClr w14:val="tx1"/>
            </w14:solidFill>
          </w14:textFill>
        </w:rPr>
        <w:t>（四）开展标准实施效果评估</w:t>
      </w:r>
    </w:p>
    <w:p w14:paraId="24573D85">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标准实施满2年，每年标准宣贯工作组采取网络调查、问卷调查、实地调研、召开座谈会或论证会、专家咨询等方式开展标准实施效果评估，并形成标准实施效果评估报告，为标准的复审修订做准备。</w:t>
      </w:r>
    </w:p>
    <w:p w14:paraId="41DFCADE">
      <w:pPr>
        <w:keepNext w:val="0"/>
        <w:keepLines w:val="0"/>
        <w:pageBreakBefore w:val="0"/>
        <w:kinsoku/>
        <w:wordWrap/>
        <w:overflowPunct/>
        <w:topLinePunct w:val="0"/>
        <w:autoSpaceDE w:val="0"/>
        <w:autoSpaceDN w:val="0"/>
        <w:bidi w:val="0"/>
        <w:adjustRightInd w:val="0"/>
        <w:snapToGrid/>
        <w:spacing w:line="520" w:lineRule="exact"/>
        <w:ind w:firstLine="640" w:firstLineChars="200"/>
        <w:outlineLvl w:val="0"/>
        <w:rPr>
          <w:rFonts w:ascii="Times New Roman" w:hAnsi="Times New Roman" w:eastAsia="黑体" w:cs="Times New Roman"/>
          <w:color w:val="000000" w:themeColor="text1"/>
          <w:sz w:val="32"/>
          <w:szCs w:val="32"/>
          <w14:textFill>
            <w14:solidFill>
              <w14:schemeClr w14:val="tx1"/>
            </w14:solidFill>
          </w14:textFill>
        </w:rPr>
      </w:pPr>
      <w:r>
        <w:rPr>
          <w:rFonts w:hint="eastAsia" w:ascii="Times New Roman" w:hAnsi="Times New Roman" w:eastAsia="黑体" w:cs="Times New Roman"/>
          <w:color w:val="000000" w:themeColor="text1"/>
          <w:sz w:val="32"/>
          <w:szCs w:val="32"/>
          <w14:textFill>
            <w14:solidFill>
              <w14:schemeClr w14:val="tx1"/>
            </w14:solidFill>
          </w14:textFill>
        </w:rPr>
        <w:t>八、其他应当说明的事项</w:t>
      </w:r>
    </w:p>
    <w:p w14:paraId="41767F4A">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无。</w:t>
      </w:r>
    </w:p>
    <w:p w14:paraId="79FE0F26">
      <w:pPr>
        <w:pStyle w:val="27"/>
        <w:keepNext w:val="0"/>
        <w:keepLines w:val="0"/>
        <w:pageBreakBefore w:val="0"/>
        <w:kinsoku/>
        <w:wordWrap/>
        <w:overflowPunct/>
        <w:topLinePunct w:val="0"/>
        <w:bidi w:val="0"/>
        <w:snapToGrid/>
        <w:spacing w:line="520" w:lineRule="exact"/>
        <w:rPr>
          <w:rFonts w:ascii="仿宋_GB2312" w:eastAsia="仿宋_GB2312"/>
          <w:color w:val="000000" w:themeColor="text1"/>
          <w:sz w:val="28"/>
          <w:szCs w:val="28"/>
          <w14:textFill>
            <w14:solidFill>
              <w14:schemeClr w14:val="tx1"/>
            </w14:solidFill>
          </w14:textFill>
        </w:rPr>
      </w:pPr>
    </w:p>
    <w:p w14:paraId="229819C5">
      <w:pPr>
        <w:pStyle w:val="27"/>
        <w:keepNext w:val="0"/>
        <w:keepLines w:val="0"/>
        <w:pageBreakBefore w:val="0"/>
        <w:kinsoku/>
        <w:wordWrap/>
        <w:overflowPunct/>
        <w:topLinePunct w:val="0"/>
        <w:bidi w:val="0"/>
        <w:snapToGrid/>
        <w:spacing w:line="520" w:lineRule="exact"/>
        <w:rPr>
          <w:rFonts w:ascii="仿宋_GB2312" w:eastAsia="仿宋_GB2312"/>
          <w:color w:val="000000" w:themeColor="text1"/>
          <w:sz w:val="28"/>
          <w:szCs w:val="28"/>
          <w14:textFill>
            <w14:solidFill>
              <w14:schemeClr w14:val="tx1"/>
            </w14:solidFill>
          </w14:textFill>
        </w:rPr>
      </w:pPr>
    </w:p>
    <w:p w14:paraId="402162DF">
      <w:pPr>
        <w:keepNext w:val="0"/>
        <w:keepLines w:val="0"/>
        <w:pageBreakBefore w:val="0"/>
        <w:kinsoku/>
        <w:wordWrap/>
        <w:overflowPunct/>
        <w:topLinePunct w:val="0"/>
        <w:bidi w:val="0"/>
        <w:snapToGrid/>
        <w:spacing w:line="520" w:lineRule="exact"/>
        <w:ind w:firstLine="640" w:firstLineChars="200"/>
        <w:jc w:val="right"/>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团体标准《</w:t>
      </w:r>
      <w:r>
        <w:rPr>
          <w:rFonts w:hint="eastAsia" w:ascii="仿宋_GB2312" w:eastAsia="仿宋_GB2312"/>
          <w:color w:val="000000" w:themeColor="text1"/>
          <w:sz w:val="32"/>
          <w:szCs w:val="32"/>
          <w:lang w:eastAsia="zh-CN"/>
          <w14:textFill>
            <w14:solidFill>
              <w14:schemeClr w14:val="tx1"/>
            </w14:solidFill>
          </w14:textFill>
        </w:rPr>
        <w:t>南美白对虾与青蟹混养技术规范</w:t>
      </w:r>
      <w:r>
        <w:rPr>
          <w:rFonts w:hint="eastAsia" w:ascii="仿宋_GB2312" w:eastAsia="仿宋_GB2312"/>
          <w:color w:val="000000" w:themeColor="text1"/>
          <w:sz w:val="32"/>
          <w:szCs w:val="32"/>
          <w14:textFill>
            <w14:solidFill>
              <w14:schemeClr w14:val="tx1"/>
            </w14:solidFill>
          </w14:textFill>
        </w:rPr>
        <w:t>》</w:t>
      </w:r>
    </w:p>
    <w:p w14:paraId="5BDAE9B7">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 xml:space="preserve">                             </w:t>
      </w:r>
      <w:r>
        <w:rPr>
          <w:rFonts w:hint="eastAsia" w:ascii="仿宋_GB2312" w:eastAsia="仿宋_GB2312"/>
          <w:color w:val="000000" w:themeColor="text1"/>
          <w:sz w:val="32"/>
          <w:szCs w:val="32"/>
          <w14:textFill>
            <w14:solidFill>
              <w14:schemeClr w14:val="tx1"/>
            </w14:solidFill>
          </w14:textFill>
        </w:rPr>
        <w:t>标准编制工作组</w:t>
      </w:r>
    </w:p>
    <w:p w14:paraId="7844F01D">
      <w:pPr>
        <w:keepNext w:val="0"/>
        <w:keepLines w:val="0"/>
        <w:pageBreakBefore w:val="0"/>
        <w:kinsoku/>
        <w:wordWrap/>
        <w:overflowPunct/>
        <w:topLinePunct w:val="0"/>
        <w:bidi w:val="0"/>
        <w:snapToGrid/>
        <w:spacing w:line="520" w:lineRule="exact"/>
        <w:ind w:firstLine="640" w:firstLineChars="200"/>
        <w:rPr>
          <w:rFonts w:ascii="仿宋_GB2312" w:eastAsia="仿宋_GB2312"/>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 xml:space="preserve">                             </w:t>
      </w:r>
      <w:r>
        <w:rPr>
          <w:rFonts w:hint="eastAsia" w:ascii="仿宋_GB2312" w:eastAsia="仿宋_GB2312"/>
          <w:color w:val="000000" w:themeColor="text1"/>
          <w:sz w:val="32"/>
          <w:szCs w:val="32"/>
          <w14:textFill>
            <w14:solidFill>
              <w14:schemeClr w14:val="tx1"/>
            </w14:solidFill>
          </w14:textFill>
        </w:rPr>
        <w:t>202</w:t>
      </w:r>
      <w:r>
        <w:rPr>
          <w:rFonts w:hint="eastAsia" w:ascii="仿宋_GB2312" w:eastAsia="仿宋_GB2312"/>
          <w:color w:val="000000" w:themeColor="text1"/>
          <w:sz w:val="32"/>
          <w:szCs w:val="32"/>
          <w:lang w:val="en-US" w:eastAsia="zh-CN"/>
          <w14:textFill>
            <w14:solidFill>
              <w14:schemeClr w14:val="tx1"/>
            </w14:solidFill>
          </w14:textFill>
        </w:rPr>
        <w:t>6</w:t>
      </w:r>
      <w:r>
        <w:rPr>
          <w:rFonts w:hint="eastAsia" w:ascii="仿宋_GB2312" w:eastAsia="仿宋_GB2312"/>
          <w:color w:val="000000" w:themeColor="text1"/>
          <w:sz w:val="32"/>
          <w:szCs w:val="32"/>
          <w14:textFill>
            <w14:solidFill>
              <w14:schemeClr w14:val="tx1"/>
            </w14:solidFill>
          </w14:textFill>
        </w:rPr>
        <w:t>年</w:t>
      </w:r>
      <w:r>
        <w:rPr>
          <w:rFonts w:hint="eastAsia" w:ascii="仿宋_GB2312" w:eastAsia="仿宋_GB2312"/>
          <w:color w:val="000000" w:themeColor="text1"/>
          <w:sz w:val="32"/>
          <w:szCs w:val="32"/>
          <w:lang w:val="en-US" w:eastAsia="zh-CN"/>
          <w14:textFill>
            <w14:solidFill>
              <w14:schemeClr w14:val="tx1"/>
            </w14:solidFill>
          </w14:textFill>
        </w:rPr>
        <w:t>1</w:t>
      </w:r>
      <w:r>
        <w:rPr>
          <w:rFonts w:hint="eastAsia" w:ascii="仿宋_GB2312" w:eastAsia="仿宋_GB2312"/>
          <w:color w:val="000000" w:themeColor="text1"/>
          <w:sz w:val="32"/>
          <w:szCs w:val="32"/>
          <w14:textFill>
            <w14:solidFill>
              <w14:schemeClr w14:val="tx1"/>
            </w14:solidFill>
          </w14:textFill>
        </w:rPr>
        <w:t>月25日</w:t>
      </w:r>
    </w:p>
    <w:p w14:paraId="07BC7230">
      <w:pPr>
        <w:pStyle w:val="2"/>
        <w:keepNext w:val="0"/>
        <w:keepLines w:val="0"/>
        <w:pageBreakBefore w:val="0"/>
        <w:kinsoku/>
        <w:wordWrap/>
        <w:overflowPunct/>
        <w:topLinePunct w:val="0"/>
        <w:bidi w:val="0"/>
        <w:snapToGrid/>
        <w:spacing w:after="0" w:line="520" w:lineRule="exact"/>
        <w:jc w:val="center"/>
      </w:pPr>
    </w:p>
    <w:sectPr>
      <w:footerReference r:id="rId3" w:type="default"/>
      <w:pgSz w:w="11906" w:h="16838"/>
      <w:pgMar w:top="1474" w:right="1474" w:bottom="1474" w:left="1474"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C9411D8-5378-4200-9824-4057D879540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EBB7B3D-403B-48E0-84BD-38111F25E82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3" w:fontKey="{55CC1D7D-4F44-4CEE-B930-A6B02C7EA396}"/>
  </w:font>
  <w:font w:name="等线">
    <w:panose1 w:val="02010600030101010101"/>
    <w:charset w:val="86"/>
    <w:family w:val="auto"/>
    <w:pitch w:val="default"/>
    <w:sig w:usb0="A00002BF" w:usb1="38CF7CFA" w:usb2="00000016" w:usb3="00000000" w:csb0="0004000F" w:csb1="00000000"/>
  </w:font>
  <w:font w:name="方正小标宋简体">
    <w:panose1 w:val="02000000000000000000"/>
    <w:charset w:val="86"/>
    <w:family w:val="auto"/>
    <w:pitch w:val="default"/>
    <w:sig w:usb0="00000001" w:usb1="080E0000" w:usb2="00000000" w:usb3="00000000" w:csb0="00040000" w:csb1="00000000"/>
    <w:embedRegular r:id="rId4" w:fontKey="{10CF95AA-F9D8-48D9-8998-E047112631E3}"/>
  </w:font>
  <w:font w:name="仿宋_GB2312">
    <w:panose1 w:val="02010609030101010101"/>
    <w:charset w:val="86"/>
    <w:family w:val="modern"/>
    <w:pitch w:val="default"/>
    <w:sig w:usb0="00000001" w:usb1="080E0000" w:usb2="00000000" w:usb3="00000000" w:csb0="00040000" w:csb1="00000000"/>
    <w:embedRegular r:id="rId5" w:fontKey="{C2343F59-71D0-4733-A2E8-87C7260EBB5D}"/>
  </w:font>
  <w:font w:name="楷体">
    <w:panose1 w:val="02010609060101010101"/>
    <w:charset w:val="86"/>
    <w:family w:val="modern"/>
    <w:pitch w:val="default"/>
    <w:sig w:usb0="800002BF" w:usb1="38CF7CFA" w:usb2="00000016" w:usb3="00000000" w:csb0="00040001" w:csb1="00000000"/>
    <w:embedRegular r:id="rId6" w:fontKey="{87A93092-1730-495B-B38F-1C5E87E3CFA3}"/>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auto"/>
    <w:pitch w:val="variable"/>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 w:name="@黑体">
    <w:panose1 w:val="02010609060101010101"/>
    <w:charset w:val="86"/>
    <w:family w:val="auto"/>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C9CFC1">
    <w:pPr>
      <w:pStyle w:val="11"/>
      <w:ind w:firstLine="37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5D95A9E6">
                          <w:pPr>
                            <w:pStyle w:val="11"/>
                            <w:rPr>
                              <w:rFonts w:hint="eastAsia" w:ascii="宋体" w:hAnsi="宋体"/>
                              <w:sz w:val="21"/>
                            </w:rPr>
                          </w:pPr>
                          <w:r>
                            <w:rPr>
                              <w:rFonts w:hint="eastAsia" w:ascii="宋体" w:hAnsi="宋体"/>
                              <w:sz w:val="21"/>
                            </w:rPr>
                            <w:fldChar w:fldCharType="begin"/>
                          </w:r>
                          <w:r>
                            <w:rPr>
                              <w:rFonts w:hint="eastAsia" w:ascii="宋体" w:hAnsi="宋体"/>
                              <w:sz w:val="21"/>
                            </w:rPr>
                            <w:instrText xml:space="preserve"> PAGE  \* MERGEFORMAT </w:instrText>
                          </w:r>
                          <w:r>
                            <w:rPr>
                              <w:rFonts w:hint="eastAsia" w:ascii="宋体" w:hAnsi="宋体"/>
                              <w:sz w:val="21"/>
                            </w:rPr>
                            <w:fldChar w:fldCharType="separate"/>
                          </w:r>
                          <w:r>
                            <w:rPr>
                              <w:rFonts w:ascii="宋体" w:hAnsi="宋体"/>
                              <w:sz w:val="21"/>
                            </w:rPr>
                            <w:t>6</w:t>
                          </w:r>
                          <w:r>
                            <w:rPr>
                              <w:rFonts w:hint="eastAsia" w:ascii="宋体" w:hAnsi="宋体"/>
                              <w:sz w:val="21"/>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5D95A9E6">
                    <w:pPr>
                      <w:pStyle w:val="11"/>
                      <w:rPr>
                        <w:rFonts w:hint="eastAsia" w:ascii="宋体" w:hAnsi="宋体"/>
                        <w:sz w:val="21"/>
                      </w:rPr>
                    </w:pPr>
                    <w:r>
                      <w:rPr>
                        <w:rFonts w:hint="eastAsia" w:ascii="宋体" w:hAnsi="宋体"/>
                        <w:sz w:val="21"/>
                      </w:rPr>
                      <w:fldChar w:fldCharType="begin"/>
                    </w:r>
                    <w:r>
                      <w:rPr>
                        <w:rFonts w:hint="eastAsia" w:ascii="宋体" w:hAnsi="宋体"/>
                        <w:sz w:val="21"/>
                      </w:rPr>
                      <w:instrText xml:space="preserve"> PAGE  \* MERGEFORMAT </w:instrText>
                    </w:r>
                    <w:r>
                      <w:rPr>
                        <w:rFonts w:hint="eastAsia" w:ascii="宋体" w:hAnsi="宋体"/>
                        <w:sz w:val="21"/>
                      </w:rPr>
                      <w:fldChar w:fldCharType="separate"/>
                    </w:r>
                    <w:r>
                      <w:rPr>
                        <w:rFonts w:ascii="宋体" w:hAnsi="宋体"/>
                        <w:sz w:val="21"/>
                      </w:rPr>
                      <w:t>6</w:t>
                    </w:r>
                    <w:r>
                      <w:rPr>
                        <w:rFonts w:hint="eastAsia" w:ascii="宋体" w:hAnsi="宋体"/>
                        <w:sz w:val="21"/>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5"/>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0BDC1670"/>
    <w:multiLevelType w:val="multilevel"/>
    <w:tmpl w:val="0BDC1670"/>
    <w:lvl w:ilvl="0" w:tentative="0">
      <w:start w:val="1"/>
      <w:numFmt w:val="decimal"/>
      <w:pStyle w:val="65"/>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2C5917C3"/>
    <w:multiLevelType w:val="multilevel"/>
    <w:tmpl w:val="2C5917C3"/>
    <w:lvl w:ilvl="0" w:tentative="0">
      <w:start w:val="1"/>
      <w:numFmt w:val="none"/>
      <w:pStyle w:val="59"/>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3">
    <w:nsid w:val="44C50F90"/>
    <w:multiLevelType w:val="multilevel"/>
    <w:tmpl w:val="44C50F90"/>
    <w:lvl w:ilvl="0" w:tentative="0">
      <w:start w:val="1"/>
      <w:numFmt w:val="lowerLetter"/>
      <w:pStyle w:val="54"/>
      <w:lvlText w:val="%1)"/>
      <w:lvlJc w:val="left"/>
      <w:pPr>
        <w:tabs>
          <w:tab w:val="left" w:pos="851"/>
        </w:tabs>
        <w:ind w:left="851" w:hanging="426"/>
      </w:pPr>
      <w:rPr>
        <w:rFonts w:hint="eastAsia" w:ascii="宋体" w:hAnsi="Times New Roman" w:eastAsia="宋体"/>
        <w:sz w:val="21"/>
      </w:rPr>
    </w:lvl>
    <w:lvl w:ilvl="1" w:tentative="0">
      <w:start w:val="1"/>
      <w:numFmt w:val="decimal"/>
      <w:pStyle w:val="52"/>
      <w:lvlText w:val="%2)"/>
      <w:lvlJc w:val="left"/>
      <w:pPr>
        <w:tabs>
          <w:tab w:val="left" w:pos="1276"/>
        </w:tabs>
        <w:ind w:left="1276" w:hanging="425"/>
      </w:pPr>
      <w:rPr>
        <w:rFonts w:hint="eastAsia" w:ascii="宋体" w:hAnsi="Times New Roman" w:eastAsia="宋体"/>
        <w:sz w:val="21"/>
      </w:rPr>
    </w:lvl>
    <w:lvl w:ilvl="2" w:tentative="0">
      <w:start w:val="1"/>
      <w:numFmt w:val="decimal"/>
      <w:pStyle w:val="53"/>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4">
    <w:nsid w:val="5A9B6960"/>
    <w:multiLevelType w:val="multilevel"/>
    <w:tmpl w:val="5A9B6960"/>
    <w:lvl w:ilvl="0" w:tentative="0">
      <w:start w:val="1"/>
      <w:numFmt w:val="none"/>
      <w:pStyle w:val="42"/>
      <w:suff w:val="nothing"/>
      <w:lvlText w:val="%1"/>
      <w:legacy w:legacy="1" w:legacySpace="0" w:legacyIndent="0"/>
      <w:lvlJc w:val="left"/>
      <w:pPr>
        <w:ind w:left="0" w:firstLine="0"/>
      </w:pPr>
      <w:rPr>
        <w:rFonts w:hint="eastAsia"/>
      </w:rPr>
    </w:lvl>
    <w:lvl w:ilvl="1" w:tentative="0">
      <w:start w:val="1"/>
      <w:numFmt w:val="decimal"/>
      <w:pStyle w:val="36"/>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8"/>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4"/>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3"/>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1"/>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5">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60"/>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000026B4"/>
    <w:rsid w:val="000068A2"/>
    <w:rsid w:val="00014983"/>
    <w:rsid w:val="00014F92"/>
    <w:rsid w:val="000171F6"/>
    <w:rsid w:val="000178C8"/>
    <w:rsid w:val="00021AEF"/>
    <w:rsid w:val="00024C52"/>
    <w:rsid w:val="0004185E"/>
    <w:rsid w:val="00041CA7"/>
    <w:rsid w:val="000424C0"/>
    <w:rsid w:val="000513F3"/>
    <w:rsid w:val="00051A80"/>
    <w:rsid w:val="00051C74"/>
    <w:rsid w:val="00051F5E"/>
    <w:rsid w:val="000540AB"/>
    <w:rsid w:val="00055442"/>
    <w:rsid w:val="00061BDC"/>
    <w:rsid w:val="0006459C"/>
    <w:rsid w:val="000671D8"/>
    <w:rsid w:val="000709A1"/>
    <w:rsid w:val="00071CAA"/>
    <w:rsid w:val="00072103"/>
    <w:rsid w:val="000743B4"/>
    <w:rsid w:val="00075653"/>
    <w:rsid w:val="00076330"/>
    <w:rsid w:val="00082613"/>
    <w:rsid w:val="00092E1F"/>
    <w:rsid w:val="00094B6B"/>
    <w:rsid w:val="000968C6"/>
    <w:rsid w:val="000969BE"/>
    <w:rsid w:val="00097E01"/>
    <w:rsid w:val="000A2616"/>
    <w:rsid w:val="000A77F5"/>
    <w:rsid w:val="000B2F3C"/>
    <w:rsid w:val="000B3320"/>
    <w:rsid w:val="000B3E65"/>
    <w:rsid w:val="000B4242"/>
    <w:rsid w:val="000B6E76"/>
    <w:rsid w:val="000C3C30"/>
    <w:rsid w:val="000C3F40"/>
    <w:rsid w:val="000C517B"/>
    <w:rsid w:val="000C6800"/>
    <w:rsid w:val="000C7685"/>
    <w:rsid w:val="000D1FCA"/>
    <w:rsid w:val="000D211A"/>
    <w:rsid w:val="000D35F1"/>
    <w:rsid w:val="000D47AC"/>
    <w:rsid w:val="000D688C"/>
    <w:rsid w:val="000D6AA8"/>
    <w:rsid w:val="000D75AA"/>
    <w:rsid w:val="000E0C0E"/>
    <w:rsid w:val="000E53EA"/>
    <w:rsid w:val="000F03C9"/>
    <w:rsid w:val="000F21F0"/>
    <w:rsid w:val="000F2317"/>
    <w:rsid w:val="000F2861"/>
    <w:rsid w:val="000F7AED"/>
    <w:rsid w:val="00101040"/>
    <w:rsid w:val="00110AC2"/>
    <w:rsid w:val="001114EB"/>
    <w:rsid w:val="001121F0"/>
    <w:rsid w:val="001133E6"/>
    <w:rsid w:val="001133EF"/>
    <w:rsid w:val="001143BC"/>
    <w:rsid w:val="00116CEA"/>
    <w:rsid w:val="0012345E"/>
    <w:rsid w:val="00132D8B"/>
    <w:rsid w:val="001334A1"/>
    <w:rsid w:val="00133F3E"/>
    <w:rsid w:val="0013596D"/>
    <w:rsid w:val="00141D5D"/>
    <w:rsid w:val="00141D9D"/>
    <w:rsid w:val="001437B3"/>
    <w:rsid w:val="001440BF"/>
    <w:rsid w:val="00152CB3"/>
    <w:rsid w:val="001530FB"/>
    <w:rsid w:val="001548F8"/>
    <w:rsid w:val="001655CC"/>
    <w:rsid w:val="00173873"/>
    <w:rsid w:val="0018012C"/>
    <w:rsid w:val="001821C9"/>
    <w:rsid w:val="00183018"/>
    <w:rsid w:val="00190E01"/>
    <w:rsid w:val="00192A37"/>
    <w:rsid w:val="001968C3"/>
    <w:rsid w:val="001A3825"/>
    <w:rsid w:val="001A7570"/>
    <w:rsid w:val="001B0030"/>
    <w:rsid w:val="001B3580"/>
    <w:rsid w:val="001B6B04"/>
    <w:rsid w:val="001C21D4"/>
    <w:rsid w:val="001C4C8F"/>
    <w:rsid w:val="001C684B"/>
    <w:rsid w:val="001C7DE8"/>
    <w:rsid w:val="001D03FF"/>
    <w:rsid w:val="001D0584"/>
    <w:rsid w:val="001D3156"/>
    <w:rsid w:val="001D4971"/>
    <w:rsid w:val="001E1206"/>
    <w:rsid w:val="001E130D"/>
    <w:rsid w:val="001E1CA6"/>
    <w:rsid w:val="001E29C4"/>
    <w:rsid w:val="001E2D73"/>
    <w:rsid w:val="001F251A"/>
    <w:rsid w:val="001F2A8F"/>
    <w:rsid w:val="001F4D35"/>
    <w:rsid w:val="001F5F5D"/>
    <w:rsid w:val="00200252"/>
    <w:rsid w:val="0020127F"/>
    <w:rsid w:val="00204829"/>
    <w:rsid w:val="00205352"/>
    <w:rsid w:val="00205D69"/>
    <w:rsid w:val="00210FD3"/>
    <w:rsid w:val="00212227"/>
    <w:rsid w:val="0021503F"/>
    <w:rsid w:val="00215478"/>
    <w:rsid w:val="002209F0"/>
    <w:rsid w:val="002210B4"/>
    <w:rsid w:val="00221DEA"/>
    <w:rsid w:val="0022236C"/>
    <w:rsid w:val="0022377B"/>
    <w:rsid w:val="002251A3"/>
    <w:rsid w:val="00226607"/>
    <w:rsid w:val="002324B6"/>
    <w:rsid w:val="00234F7D"/>
    <w:rsid w:val="00235F58"/>
    <w:rsid w:val="00236909"/>
    <w:rsid w:val="00236EB4"/>
    <w:rsid w:val="00237A0A"/>
    <w:rsid w:val="00241F8A"/>
    <w:rsid w:val="00242A75"/>
    <w:rsid w:val="00242E52"/>
    <w:rsid w:val="0024606D"/>
    <w:rsid w:val="00246E41"/>
    <w:rsid w:val="00251C09"/>
    <w:rsid w:val="0025373A"/>
    <w:rsid w:val="00253845"/>
    <w:rsid w:val="002546EF"/>
    <w:rsid w:val="00262001"/>
    <w:rsid w:val="00263E80"/>
    <w:rsid w:val="002679F0"/>
    <w:rsid w:val="00271E05"/>
    <w:rsid w:val="00280BDB"/>
    <w:rsid w:val="00281F39"/>
    <w:rsid w:val="0028500C"/>
    <w:rsid w:val="0028575C"/>
    <w:rsid w:val="002879F6"/>
    <w:rsid w:val="00291CD8"/>
    <w:rsid w:val="002920DE"/>
    <w:rsid w:val="00292F73"/>
    <w:rsid w:val="0029554A"/>
    <w:rsid w:val="00297734"/>
    <w:rsid w:val="002A2DDC"/>
    <w:rsid w:val="002A3479"/>
    <w:rsid w:val="002A3683"/>
    <w:rsid w:val="002A6366"/>
    <w:rsid w:val="002B7B10"/>
    <w:rsid w:val="002B7C92"/>
    <w:rsid w:val="002C0F07"/>
    <w:rsid w:val="002C176B"/>
    <w:rsid w:val="002C3627"/>
    <w:rsid w:val="002D005F"/>
    <w:rsid w:val="002D0B78"/>
    <w:rsid w:val="002D2273"/>
    <w:rsid w:val="002D4342"/>
    <w:rsid w:val="002D5597"/>
    <w:rsid w:val="002E1B63"/>
    <w:rsid w:val="002E357A"/>
    <w:rsid w:val="002E3B58"/>
    <w:rsid w:val="002E4234"/>
    <w:rsid w:val="002E5273"/>
    <w:rsid w:val="002F03C6"/>
    <w:rsid w:val="002F0D8E"/>
    <w:rsid w:val="002F4C45"/>
    <w:rsid w:val="002F5C0C"/>
    <w:rsid w:val="00300FDB"/>
    <w:rsid w:val="00302739"/>
    <w:rsid w:val="00302A1F"/>
    <w:rsid w:val="00310A68"/>
    <w:rsid w:val="0031223D"/>
    <w:rsid w:val="00312804"/>
    <w:rsid w:val="00313922"/>
    <w:rsid w:val="00315D1F"/>
    <w:rsid w:val="003160CF"/>
    <w:rsid w:val="00316571"/>
    <w:rsid w:val="00317091"/>
    <w:rsid w:val="00317530"/>
    <w:rsid w:val="00320CB4"/>
    <w:rsid w:val="00321E92"/>
    <w:rsid w:val="00322535"/>
    <w:rsid w:val="003259AF"/>
    <w:rsid w:val="00325F9F"/>
    <w:rsid w:val="0032620D"/>
    <w:rsid w:val="0033062D"/>
    <w:rsid w:val="003306DD"/>
    <w:rsid w:val="00330A4E"/>
    <w:rsid w:val="00332242"/>
    <w:rsid w:val="003329C7"/>
    <w:rsid w:val="003332BA"/>
    <w:rsid w:val="003348AA"/>
    <w:rsid w:val="00340D9B"/>
    <w:rsid w:val="00340FDE"/>
    <w:rsid w:val="003460F3"/>
    <w:rsid w:val="00346534"/>
    <w:rsid w:val="003479E3"/>
    <w:rsid w:val="003517E7"/>
    <w:rsid w:val="00351C4B"/>
    <w:rsid w:val="00357BDF"/>
    <w:rsid w:val="00360A67"/>
    <w:rsid w:val="00360BAF"/>
    <w:rsid w:val="00361596"/>
    <w:rsid w:val="00362C01"/>
    <w:rsid w:val="00367D5E"/>
    <w:rsid w:val="00371B5F"/>
    <w:rsid w:val="00372E66"/>
    <w:rsid w:val="00373160"/>
    <w:rsid w:val="00375933"/>
    <w:rsid w:val="0037633C"/>
    <w:rsid w:val="00382E35"/>
    <w:rsid w:val="00384168"/>
    <w:rsid w:val="003872E4"/>
    <w:rsid w:val="00390AD8"/>
    <w:rsid w:val="00390C14"/>
    <w:rsid w:val="00391F54"/>
    <w:rsid w:val="00393447"/>
    <w:rsid w:val="00396F2C"/>
    <w:rsid w:val="003A3F27"/>
    <w:rsid w:val="003A49FF"/>
    <w:rsid w:val="003A5862"/>
    <w:rsid w:val="003A694A"/>
    <w:rsid w:val="003B0042"/>
    <w:rsid w:val="003B45A7"/>
    <w:rsid w:val="003B4F42"/>
    <w:rsid w:val="003B4FCF"/>
    <w:rsid w:val="003B6088"/>
    <w:rsid w:val="003C0E61"/>
    <w:rsid w:val="003D3CB2"/>
    <w:rsid w:val="003D485E"/>
    <w:rsid w:val="003D5559"/>
    <w:rsid w:val="003D5741"/>
    <w:rsid w:val="003D7E9E"/>
    <w:rsid w:val="003E080C"/>
    <w:rsid w:val="003E2B4C"/>
    <w:rsid w:val="00400A69"/>
    <w:rsid w:val="00400B2B"/>
    <w:rsid w:val="00400F75"/>
    <w:rsid w:val="004012D1"/>
    <w:rsid w:val="00405301"/>
    <w:rsid w:val="00406CA3"/>
    <w:rsid w:val="00411EFB"/>
    <w:rsid w:val="0041392D"/>
    <w:rsid w:val="00417593"/>
    <w:rsid w:val="00422CC8"/>
    <w:rsid w:val="00424FB3"/>
    <w:rsid w:val="00426402"/>
    <w:rsid w:val="0042686B"/>
    <w:rsid w:val="00426DC5"/>
    <w:rsid w:val="00430411"/>
    <w:rsid w:val="004314F4"/>
    <w:rsid w:val="00432DC4"/>
    <w:rsid w:val="004373E9"/>
    <w:rsid w:val="00440265"/>
    <w:rsid w:val="0044036C"/>
    <w:rsid w:val="0044048B"/>
    <w:rsid w:val="0044065E"/>
    <w:rsid w:val="00444679"/>
    <w:rsid w:val="004458BB"/>
    <w:rsid w:val="0045095B"/>
    <w:rsid w:val="00455701"/>
    <w:rsid w:val="00460660"/>
    <w:rsid w:val="00460A36"/>
    <w:rsid w:val="004612C5"/>
    <w:rsid w:val="00461AA3"/>
    <w:rsid w:val="00462FF9"/>
    <w:rsid w:val="00471CEC"/>
    <w:rsid w:val="00473D8F"/>
    <w:rsid w:val="00474293"/>
    <w:rsid w:val="0047786D"/>
    <w:rsid w:val="004805DB"/>
    <w:rsid w:val="00480B2B"/>
    <w:rsid w:val="0048511D"/>
    <w:rsid w:val="00495AFE"/>
    <w:rsid w:val="00496185"/>
    <w:rsid w:val="00496EA4"/>
    <w:rsid w:val="004A18D9"/>
    <w:rsid w:val="004A4C72"/>
    <w:rsid w:val="004A75FF"/>
    <w:rsid w:val="004B0877"/>
    <w:rsid w:val="004B4D68"/>
    <w:rsid w:val="004C181C"/>
    <w:rsid w:val="004C445A"/>
    <w:rsid w:val="004C4477"/>
    <w:rsid w:val="004C4F1D"/>
    <w:rsid w:val="004C6673"/>
    <w:rsid w:val="004C7096"/>
    <w:rsid w:val="004C78DD"/>
    <w:rsid w:val="004C78FD"/>
    <w:rsid w:val="004C7CD6"/>
    <w:rsid w:val="004D3C4E"/>
    <w:rsid w:val="004D70EE"/>
    <w:rsid w:val="004D7C66"/>
    <w:rsid w:val="004E0167"/>
    <w:rsid w:val="004E152E"/>
    <w:rsid w:val="004E2983"/>
    <w:rsid w:val="004E5371"/>
    <w:rsid w:val="004E77D0"/>
    <w:rsid w:val="004F29B4"/>
    <w:rsid w:val="004F3228"/>
    <w:rsid w:val="004F6C5C"/>
    <w:rsid w:val="004F6DB3"/>
    <w:rsid w:val="005020DE"/>
    <w:rsid w:val="005051BE"/>
    <w:rsid w:val="00506D43"/>
    <w:rsid w:val="00507297"/>
    <w:rsid w:val="00510DCF"/>
    <w:rsid w:val="00510F10"/>
    <w:rsid w:val="00511151"/>
    <w:rsid w:val="005124A3"/>
    <w:rsid w:val="00512A66"/>
    <w:rsid w:val="00515B82"/>
    <w:rsid w:val="0051608A"/>
    <w:rsid w:val="0051755E"/>
    <w:rsid w:val="005208D0"/>
    <w:rsid w:val="00524029"/>
    <w:rsid w:val="00524E15"/>
    <w:rsid w:val="00527354"/>
    <w:rsid w:val="00527E33"/>
    <w:rsid w:val="00533B2A"/>
    <w:rsid w:val="0053400A"/>
    <w:rsid w:val="0053501E"/>
    <w:rsid w:val="0053635F"/>
    <w:rsid w:val="00536C3C"/>
    <w:rsid w:val="00537853"/>
    <w:rsid w:val="00537E5F"/>
    <w:rsid w:val="00540C2F"/>
    <w:rsid w:val="00540ED5"/>
    <w:rsid w:val="0054119B"/>
    <w:rsid w:val="00542F30"/>
    <w:rsid w:val="00544407"/>
    <w:rsid w:val="0054736C"/>
    <w:rsid w:val="00547941"/>
    <w:rsid w:val="00547AAF"/>
    <w:rsid w:val="005505FD"/>
    <w:rsid w:val="0055431F"/>
    <w:rsid w:val="00554B7D"/>
    <w:rsid w:val="00564A0C"/>
    <w:rsid w:val="00564F91"/>
    <w:rsid w:val="00565DC9"/>
    <w:rsid w:val="0056706B"/>
    <w:rsid w:val="00571433"/>
    <w:rsid w:val="00571BCB"/>
    <w:rsid w:val="005734DC"/>
    <w:rsid w:val="00573DE7"/>
    <w:rsid w:val="00575956"/>
    <w:rsid w:val="00575C51"/>
    <w:rsid w:val="005777D1"/>
    <w:rsid w:val="00583E03"/>
    <w:rsid w:val="005873FB"/>
    <w:rsid w:val="005910DC"/>
    <w:rsid w:val="00594F6B"/>
    <w:rsid w:val="0059544C"/>
    <w:rsid w:val="00597C52"/>
    <w:rsid w:val="005A067E"/>
    <w:rsid w:val="005A4A0E"/>
    <w:rsid w:val="005A7C01"/>
    <w:rsid w:val="005B304B"/>
    <w:rsid w:val="005B6868"/>
    <w:rsid w:val="005C07C8"/>
    <w:rsid w:val="005C2C71"/>
    <w:rsid w:val="005C5910"/>
    <w:rsid w:val="005C5B2E"/>
    <w:rsid w:val="005C68B4"/>
    <w:rsid w:val="005C6BB1"/>
    <w:rsid w:val="005D2ABC"/>
    <w:rsid w:val="005D3003"/>
    <w:rsid w:val="005D616B"/>
    <w:rsid w:val="005D6C2D"/>
    <w:rsid w:val="005E3C13"/>
    <w:rsid w:val="005E47AA"/>
    <w:rsid w:val="005E5F8F"/>
    <w:rsid w:val="005E7B33"/>
    <w:rsid w:val="005F09D2"/>
    <w:rsid w:val="005F1668"/>
    <w:rsid w:val="005F2769"/>
    <w:rsid w:val="005F2AD0"/>
    <w:rsid w:val="005F2FD2"/>
    <w:rsid w:val="005F4961"/>
    <w:rsid w:val="005F529E"/>
    <w:rsid w:val="0060186C"/>
    <w:rsid w:val="00605A2E"/>
    <w:rsid w:val="0060769D"/>
    <w:rsid w:val="00611B2F"/>
    <w:rsid w:val="006121F4"/>
    <w:rsid w:val="00617539"/>
    <w:rsid w:val="00617590"/>
    <w:rsid w:val="00617B08"/>
    <w:rsid w:val="006260BB"/>
    <w:rsid w:val="0062727F"/>
    <w:rsid w:val="00627AB4"/>
    <w:rsid w:val="00631D1E"/>
    <w:rsid w:val="006335ED"/>
    <w:rsid w:val="00633E53"/>
    <w:rsid w:val="006342DB"/>
    <w:rsid w:val="006343EC"/>
    <w:rsid w:val="0063539D"/>
    <w:rsid w:val="006371EA"/>
    <w:rsid w:val="00637F53"/>
    <w:rsid w:val="006470F2"/>
    <w:rsid w:val="006477EC"/>
    <w:rsid w:val="00650F3D"/>
    <w:rsid w:val="00650FD7"/>
    <w:rsid w:val="006511A8"/>
    <w:rsid w:val="006526CC"/>
    <w:rsid w:val="00653597"/>
    <w:rsid w:val="00653CD9"/>
    <w:rsid w:val="00654C80"/>
    <w:rsid w:val="00660ECB"/>
    <w:rsid w:val="00661F06"/>
    <w:rsid w:val="00664AC8"/>
    <w:rsid w:val="0066650C"/>
    <w:rsid w:val="0066728E"/>
    <w:rsid w:val="0067031D"/>
    <w:rsid w:val="0067378F"/>
    <w:rsid w:val="0067489E"/>
    <w:rsid w:val="006773E1"/>
    <w:rsid w:val="0068386A"/>
    <w:rsid w:val="00685738"/>
    <w:rsid w:val="00691000"/>
    <w:rsid w:val="00691524"/>
    <w:rsid w:val="00695D34"/>
    <w:rsid w:val="006A0FCD"/>
    <w:rsid w:val="006A4226"/>
    <w:rsid w:val="006A4FC1"/>
    <w:rsid w:val="006A5636"/>
    <w:rsid w:val="006A6711"/>
    <w:rsid w:val="006A6CB4"/>
    <w:rsid w:val="006B0BA0"/>
    <w:rsid w:val="006B12C0"/>
    <w:rsid w:val="006B71A8"/>
    <w:rsid w:val="006C0607"/>
    <w:rsid w:val="006C3771"/>
    <w:rsid w:val="006C3BB0"/>
    <w:rsid w:val="006C5213"/>
    <w:rsid w:val="006C5D9F"/>
    <w:rsid w:val="006D0AF0"/>
    <w:rsid w:val="006D35DC"/>
    <w:rsid w:val="006D4F09"/>
    <w:rsid w:val="006E1443"/>
    <w:rsid w:val="006E2C64"/>
    <w:rsid w:val="006E4C07"/>
    <w:rsid w:val="006E6BFD"/>
    <w:rsid w:val="006E746B"/>
    <w:rsid w:val="006F3E35"/>
    <w:rsid w:val="006F55FA"/>
    <w:rsid w:val="007016D6"/>
    <w:rsid w:val="00704968"/>
    <w:rsid w:val="00707BC6"/>
    <w:rsid w:val="007105C4"/>
    <w:rsid w:val="0071134C"/>
    <w:rsid w:val="007125F7"/>
    <w:rsid w:val="00714DDE"/>
    <w:rsid w:val="00720AF6"/>
    <w:rsid w:val="00724389"/>
    <w:rsid w:val="00726FA5"/>
    <w:rsid w:val="00727802"/>
    <w:rsid w:val="00731B29"/>
    <w:rsid w:val="00733795"/>
    <w:rsid w:val="00734E08"/>
    <w:rsid w:val="007351D6"/>
    <w:rsid w:val="00737200"/>
    <w:rsid w:val="00737872"/>
    <w:rsid w:val="00737D62"/>
    <w:rsid w:val="007400B5"/>
    <w:rsid w:val="0074491A"/>
    <w:rsid w:val="00747D22"/>
    <w:rsid w:val="00754349"/>
    <w:rsid w:val="00754D85"/>
    <w:rsid w:val="007557E4"/>
    <w:rsid w:val="00756356"/>
    <w:rsid w:val="00757FD8"/>
    <w:rsid w:val="007605F1"/>
    <w:rsid w:val="00763D7D"/>
    <w:rsid w:val="0076553F"/>
    <w:rsid w:val="00774434"/>
    <w:rsid w:val="007756AB"/>
    <w:rsid w:val="00777833"/>
    <w:rsid w:val="007805DF"/>
    <w:rsid w:val="007811F6"/>
    <w:rsid w:val="00781D6C"/>
    <w:rsid w:val="007845E1"/>
    <w:rsid w:val="00785759"/>
    <w:rsid w:val="007936EA"/>
    <w:rsid w:val="007940A9"/>
    <w:rsid w:val="007940BF"/>
    <w:rsid w:val="00795EA0"/>
    <w:rsid w:val="007A149B"/>
    <w:rsid w:val="007B1EA3"/>
    <w:rsid w:val="007C08A9"/>
    <w:rsid w:val="007C244C"/>
    <w:rsid w:val="007C66E4"/>
    <w:rsid w:val="007D641F"/>
    <w:rsid w:val="007D725F"/>
    <w:rsid w:val="007E18F0"/>
    <w:rsid w:val="007E608C"/>
    <w:rsid w:val="007F2B8D"/>
    <w:rsid w:val="007F3206"/>
    <w:rsid w:val="007F44C1"/>
    <w:rsid w:val="007F6D75"/>
    <w:rsid w:val="008003BA"/>
    <w:rsid w:val="00801A7F"/>
    <w:rsid w:val="0080563C"/>
    <w:rsid w:val="008066AA"/>
    <w:rsid w:val="00806BAC"/>
    <w:rsid w:val="008105E1"/>
    <w:rsid w:val="00812DC4"/>
    <w:rsid w:val="00813A84"/>
    <w:rsid w:val="00814260"/>
    <w:rsid w:val="00814DA3"/>
    <w:rsid w:val="00815F39"/>
    <w:rsid w:val="008206EE"/>
    <w:rsid w:val="008216E8"/>
    <w:rsid w:val="008247C4"/>
    <w:rsid w:val="00825F04"/>
    <w:rsid w:val="00826611"/>
    <w:rsid w:val="00826BFA"/>
    <w:rsid w:val="00831A18"/>
    <w:rsid w:val="0083680B"/>
    <w:rsid w:val="00836EA3"/>
    <w:rsid w:val="00840B0D"/>
    <w:rsid w:val="00850053"/>
    <w:rsid w:val="00853F5C"/>
    <w:rsid w:val="00854417"/>
    <w:rsid w:val="00856862"/>
    <w:rsid w:val="00856A9B"/>
    <w:rsid w:val="00860AE3"/>
    <w:rsid w:val="008653C3"/>
    <w:rsid w:val="008715CA"/>
    <w:rsid w:val="00874BB5"/>
    <w:rsid w:val="00875B83"/>
    <w:rsid w:val="008779C2"/>
    <w:rsid w:val="0088204E"/>
    <w:rsid w:val="00882F78"/>
    <w:rsid w:val="008854C0"/>
    <w:rsid w:val="0088596D"/>
    <w:rsid w:val="00885A19"/>
    <w:rsid w:val="00886CE3"/>
    <w:rsid w:val="00887632"/>
    <w:rsid w:val="00890AB3"/>
    <w:rsid w:val="00893A2E"/>
    <w:rsid w:val="00895F4A"/>
    <w:rsid w:val="008973E6"/>
    <w:rsid w:val="008A010A"/>
    <w:rsid w:val="008B22AA"/>
    <w:rsid w:val="008B3416"/>
    <w:rsid w:val="008B3930"/>
    <w:rsid w:val="008B422F"/>
    <w:rsid w:val="008B4863"/>
    <w:rsid w:val="008B579D"/>
    <w:rsid w:val="008B6B5F"/>
    <w:rsid w:val="008B744A"/>
    <w:rsid w:val="008C0D0B"/>
    <w:rsid w:val="008C1022"/>
    <w:rsid w:val="008C2552"/>
    <w:rsid w:val="008C50FF"/>
    <w:rsid w:val="008D00AC"/>
    <w:rsid w:val="008D02D8"/>
    <w:rsid w:val="008D1A38"/>
    <w:rsid w:val="008D3443"/>
    <w:rsid w:val="008D7187"/>
    <w:rsid w:val="008D78B0"/>
    <w:rsid w:val="008E1EB5"/>
    <w:rsid w:val="008E63DC"/>
    <w:rsid w:val="008E7ADB"/>
    <w:rsid w:val="008E7C88"/>
    <w:rsid w:val="008F0233"/>
    <w:rsid w:val="008F0327"/>
    <w:rsid w:val="008F3A33"/>
    <w:rsid w:val="008F77D3"/>
    <w:rsid w:val="008F7B61"/>
    <w:rsid w:val="00901A8D"/>
    <w:rsid w:val="009029CF"/>
    <w:rsid w:val="009031D1"/>
    <w:rsid w:val="00905E4B"/>
    <w:rsid w:val="00907D3C"/>
    <w:rsid w:val="00913E57"/>
    <w:rsid w:val="00917DDE"/>
    <w:rsid w:val="00920F97"/>
    <w:rsid w:val="00921E53"/>
    <w:rsid w:val="0092324A"/>
    <w:rsid w:val="00923402"/>
    <w:rsid w:val="00923653"/>
    <w:rsid w:val="00924305"/>
    <w:rsid w:val="00926112"/>
    <w:rsid w:val="00926E1B"/>
    <w:rsid w:val="00927696"/>
    <w:rsid w:val="009312DF"/>
    <w:rsid w:val="009317D5"/>
    <w:rsid w:val="00932BA3"/>
    <w:rsid w:val="00933182"/>
    <w:rsid w:val="00933571"/>
    <w:rsid w:val="00940E07"/>
    <w:rsid w:val="009411E1"/>
    <w:rsid w:val="009425CD"/>
    <w:rsid w:val="00943727"/>
    <w:rsid w:val="009453F1"/>
    <w:rsid w:val="0094544E"/>
    <w:rsid w:val="00947EBA"/>
    <w:rsid w:val="00952A6C"/>
    <w:rsid w:val="00953891"/>
    <w:rsid w:val="00954DC7"/>
    <w:rsid w:val="00954FD2"/>
    <w:rsid w:val="0096388F"/>
    <w:rsid w:val="00963992"/>
    <w:rsid w:val="00966431"/>
    <w:rsid w:val="00966E03"/>
    <w:rsid w:val="009706A4"/>
    <w:rsid w:val="00970FC4"/>
    <w:rsid w:val="00971556"/>
    <w:rsid w:val="009718CC"/>
    <w:rsid w:val="009750C1"/>
    <w:rsid w:val="00975641"/>
    <w:rsid w:val="00985F7F"/>
    <w:rsid w:val="00991C98"/>
    <w:rsid w:val="00994827"/>
    <w:rsid w:val="00997F40"/>
    <w:rsid w:val="009A0FFB"/>
    <w:rsid w:val="009A13B3"/>
    <w:rsid w:val="009A4141"/>
    <w:rsid w:val="009A5CFB"/>
    <w:rsid w:val="009A62C4"/>
    <w:rsid w:val="009B36FD"/>
    <w:rsid w:val="009B795D"/>
    <w:rsid w:val="009C0BDB"/>
    <w:rsid w:val="009C174F"/>
    <w:rsid w:val="009C21A2"/>
    <w:rsid w:val="009C2645"/>
    <w:rsid w:val="009C5B24"/>
    <w:rsid w:val="009D1C9B"/>
    <w:rsid w:val="009D2D7E"/>
    <w:rsid w:val="009D438F"/>
    <w:rsid w:val="009D5100"/>
    <w:rsid w:val="009D6865"/>
    <w:rsid w:val="009E3161"/>
    <w:rsid w:val="009F0F09"/>
    <w:rsid w:val="009F33B1"/>
    <w:rsid w:val="009F7D99"/>
    <w:rsid w:val="00A0200B"/>
    <w:rsid w:val="00A05C7B"/>
    <w:rsid w:val="00A065E9"/>
    <w:rsid w:val="00A11DCA"/>
    <w:rsid w:val="00A12161"/>
    <w:rsid w:val="00A1234F"/>
    <w:rsid w:val="00A1372A"/>
    <w:rsid w:val="00A16A3E"/>
    <w:rsid w:val="00A16D74"/>
    <w:rsid w:val="00A204FE"/>
    <w:rsid w:val="00A22171"/>
    <w:rsid w:val="00A22C63"/>
    <w:rsid w:val="00A23C1F"/>
    <w:rsid w:val="00A24C55"/>
    <w:rsid w:val="00A263D3"/>
    <w:rsid w:val="00A2656A"/>
    <w:rsid w:val="00A30314"/>
    <w:rsid w:val="00A324C0"/>
    <w:rsid w:val="00A356AD"/>
    <w:rsid w:val="00A365A2"/>
    <w:rsid w:val="00A37FDF"/>
    <w:rsid w:val="00A412E6"/>
    <w:rsid w:val="00A42C5E"/>
    <w:rsid w:val="00A4360A"/>
    <w:rsid w:val="00A43914"/>
    <w:rsid w:val="00A449BB"/>
    <w:rsid w:val="00A467C0"/>
    <w:rsid w:val="00A511A6"/>
    <w:rsid w:val="00A52D71"/>
    <w:rsid w:val="00A52E40"/>
    <w:rsid w:val="00A55696"/>
    <w:rsid w:val="00A602E9"/>
    <w:rsid w:val="00A72EA5"/>
    <w:rsid w:val="00A73E5A"/>
    <w:rsid w:val="00A75476"/>
    <w:rsid w:val="00A80798"/>
    <w:rsid w:val="00A84390"/>
    <w:rsid w:val="00A86090"/>
    <w:rsid w:val="00A865BA"/>
    <w:rsid w:val="00A877C5"/>
    <w:rsid w:val="00A87F41"/>
    <w:rsid w:val="00A87F8B"/>
    <w:rsid w:val="00A93EC6"/>
    <w:rsid w:val="00A94D0D"/>
    <w:rsid w:val="00AA112C"/>
    <w:rsid w:val="00AA4E65"/>
    <w:rsid w:val="00AA703E"/>
    <w:rsid w:val="00AB10F4"/>
    <w:rsid w:val="00AB565E"/>
    <w:rsid w:val="00AC1923"/>
    <w:rsid w:val="00AC3575"/>
    <w:rsid w:val="00AC57C3"/>
    <w:rsid w:val="00AC63CF"/>
    <w:rsid w:val="00AD0169"/>
    <w:rsid w:val="00AD0172"/>
    <w:rsid w:val="00AD2BF7"/>
    <w:rsid w:val="00AD4D17"/>
    <w:rsid w:val="00AD5449"/>
    <w:rsid w:val="00AD6E16"/>
    <w:rsid w:val="00AE261F"/>
    <w:rsid w:val="00AE277B"/>
    <w:rsid w:val="00AE2D3E"/>
    <w:rsid w:val="00AE2DC3"/>
    <w:rsid w:val="00AE3954"/>
    <w:rsid w:val="00AE3AD9"/>
    <w:rsid w:val="00AE5727"/>
    <w:rsid w:val="00AE6AA1"/>
    <w:rsid w:val="00AE7155"/>
    <w:rsid w:val="00AE7B31"/>
    <w:rsid w:val="00AF11A3"/>
    <w:rsid w:val="00AF1EF8"/>
    <w:rsid w:val="00B02088"/>
    <w:rsid w:val="00B0340D"/>
    <w:rsid w:val="00B03636"/>
    <w:rsid w:val="00B046DF"/>
    <w:rsid w:val="00B0506E"/>
    <w:rsid w:val="00B05BC1"/>
    <w:rsid w:val="00B07A8A"/>
    <w:rsid w:val="00B11249"/>
    <w:rsid w:val="00B11CC1"/>
    <w:rsid w:val="00B122F4"/>
    <w:rsid w:val="00B13D72"/>
    <w:rsid w:val="00B144D3"/>
    <w:rsid w:val="00B1480E"/>
    <w:rsid w:val="00B213D1"/>
    <w:rsid w:val="00B233CC"/>
    <w:rsid w:val="00B23C80"/>
    <w:rsid w:val="00B258C7"/>
    <w:rsid w:val="00B339D7"/>
    <w:rsid w:val="00B37157"/>
    <w:rsid w:val="00B37261"/>
    <w:rsid w:val="00B429E8"/>
    <w:rsid w:val="00B43752"/>
    <w:rsid w:val="00B50F8B"/>
    <w:rsid w:val="00B53F5C"/>
    <w:rsid w:val="00B54989"/>
    <w:rsid w:val="00B54E52"/>
    <w:rsid w:val="00B5537F"/>
    <w:rsid w:val="00B55800"/>
    <w:rsid w:val="00B56568"/>
    <w:rsid w:val="00B63784"/>
    <w:rsid w:val="00B65AE9"/>
    <w:rsid w:val="00B66676"/>
    <w:rsid w:val="00B6740B"/>
    <w:rsid w:val="00B708B2"/>
    <w:rsid w:val="00B73416"/>
    <w:rsid w:val="00B77477"/>
    <w:rsid w:val="00B81E53"/>
    <w:rsid w:val="00B82470"/>
    <w:rsid w:val="00B8532C"/>
    <w:rsid w:val="00B938A5"/>
    <w:rsid w:val="00B94E0B"/>
    <w:rsid w:val="00B94EFE"/>
    <w:rsid w:val="00B954B8"/>
    <w:rsid w:val="00B95769"/>
    <w:rsid w:val="00B95AA9"/>
    <w:rsid w:val="00BA1E45"/>
    <w:rsid w:val="00BA33F4"/>
    <w:rsid w:val="00BA570D"/>
    <w:rsid w:val="00BA5A89"/>
    <w:rsid w:val="00BA67F2"/>
    <w:rsid w:val="00BB0302"/>
    <w:rsid w:val="00BB0578"/>
    <w:rsid w:val="00BB14F3"/>
    <w:rsid w:val="00BB2599"/>
    <w:rsid w:val="00BB4557"/>
    <w:rsid w:val="00BB4A60"/>
    <w:rsid w:val="00BB6932"/>
    <w:rsid w:val="00BB7B52"/>
    <w:rsid w:val="00BC09B1"/>
    <w:rsid w:val="00BC0AE7"/>
    <w:rsid w:val="00BC0EBE"/>
    <w:rsid w:val="00BC1466"/>
    <w:rsid w:val="00BC2838"/>
    <w:rsid w:val="00BC75E3"/>
    <w:rsid w:val="00BD0462"/>
    <w:rsid w:val="00BD049A"/>
    <w:rsid w:val="00BD1C9B"/>
    <w:rsid w:val="00BD2990"/>
    <w:rsid w:val="00BD46AC"/>
    <w:rsid w:val="00BD50BC"/>
    <w:rsid w:val="00BD58F8"/>
    <w:rsid w:val="00BE1405"/>
    <w:rsid w:val="00BE2434"/>
    <w:rsid w:val="00BE4828"/>
    <w:rsid w:val="00BE7E1C"/>
    <w:rsid w:val="00BF1BCD"/>
    <w:rsid w:val="00BF2633"/>
    <w:rsid w:val="00C01697"/>
    <w:rsid w:val="00C0404B"/>
    <w:rsid w:val="00C07069"/>
    <w:rsid w:val="00C10DDC"/>
    <w:rsid w:val="00C11840"/>
    <w:rsid w:val="00C123EE"/>
    <w:rsid w:val="00C13CB6"/>
    <w:rsid w:val="00C16960"/>
    <w:rsid w:val="00C20386"/>
    <w:rsid w:val="00C24084"/>
    <w:rsid w:val="00C240EA"/>
    <w:rsid w:val="00C24E08"/>
    <w:rsid w:val="00C25A1B"/>
    <w:rsid w:val="00C3071D"/>
    <w:rsid w:val="00C32608"/>
    <w:rsid w:val="00C3263C"/>
    <w:rsid w:val="00C34527"/>
    <w:rsid w:val="00C34EF5"/>
    <w:rsid w:val="00C353E2"/>
    <w:rsid w:val="00C370DD"/>
    <w:rsid w:val="00C417EA"/>
    <w:rsid w:val="00C43474"/>
    <w:rsid w:val="00C452A4"/>
    <w:rsid w:val="00C45AB0"/>
    <w:rsid w:val="00C4615A"/>
    <w:rsid w:val="00C47943"/>
    <w:rsid w:val="00C53DA6"/>
    <w:rsid w:val="00C556A8"/>
    <w:rsid w:val="00C5603B"/>
    <w:rsid w:val="00C6357F"/>
    <w:rsid w:val="00C63CAC"/>
    <w:rsid w:val="00C63F98"/>
    <w:rsid w:val="00C6457A"/>
    <w:rsid w:val="00C65F66"/>
    <w:rsid w:val="00C7120B"/>
    <w:rsid w:val="00C7355C"/>
    <w:rsid w:val="00C75439"/>
    <w:rsid w:val="00C76192"/>
    <w:rsid w:val="00C76CBA"/>
    <w:rsid w:val="00C83F05"/>
    <w:rsid w:val="00C84144"/>
    <w:rsid w:val="00C84726"/>
    <w:rsid w:val="00C8714F"/>
    <w:rsid w:val="00C877FA"/>
    <w:rsid w:val="00C91BC6"/>
    <w:rsid w:val="00C94DE6"/>
    <w:rsid w:val="00CA061C"/>
    <w:rsid w:val="00CA42EE"/>
    <w:rsid w:val="00CA4819"/>
    <w:rsid w:val="00CA66D2"/>
    <w:rsid w:val="00CB1526"/>
    <w:rsid w:val="00CB15D9"/>
    <w:rsid w:val="00CB4195"/>
    <w:rsid w:val="00CB4AE0"/>
    <w:rsid w:val="00CC2D94"/>
    <w:rsid w:val="00CC3BA7"/>
    <w:rsid w:val="00CC657B"/>
    <w:rsid w:val="00CC6C27"/>
    <w:rsid w:val="00CC71EF"/>
    <w:rsid w:val="00CD1247"/>
    <w:rsid w:val="00CD39C3"/>
    <w:rsid w:val="00CD641B"/>
    <w:rsid w:val="00CD7D4C"/>
    <w:rsid w:val="00CE3911"/>
    <w:rsid w:val="00CE4310"/>
    <w:rsid w:val="00CE618C"/>
    <w:rsid w:val="00CE6464"/>
    <w:rsid w:val="00CE7CD2"/>
    <w:rsid w:val="00CF1134"/>
    <w:rsid w:val="00CF2652"/>
    <w:rsid w:val="00CF4569"/>
    <w:rsid w:val="00D01B13"/>
    <w:rsid w:val="00D0457A"/>
    <w:rsid w:val="00D04C1F"/>
    <w:rsid w:val="00D056CC"/>
    <w:rsid w:val="00D07689"/>
    <w:rsid w:val="00D12C1A"/>
    <w:rsid w:val="00D157EE"/>
    <w:rsid w:val="00D244E8"/>
    <w:rsid w:val="00D25186"/>
    <w:rsid w:val="00D26FDE"/>
    <w:rsid w:val="00D32A78"/>
    <w:rsid w:val="00D32D33"/>
    <w:rsid w:val="00D35977"/>
    <w:rsid w:val="00D40471"/>
    <w:rsid w:val="00D41B12"/>
    <w:rsid w:val="00D43F5A"/>
    <w:rsid w:val="00D46122"/>
    <w:rsid w:val="00D46946"/>
    <w:rsid w:val="00D47978"/>
    <w:rsid w:val="00D51137"/>
    <w:rsid w:val="00D51397"/>
    <w:rsid w:val="00D63277"/>
    <w:rsid w:val="00D63378"/>
    <w:rsid w:val="00D634F2"/>
    <w:rsid w:val="00D64597"/>
    <w:rsid w:val="00D65554"/>
    <w:rsid w:val="00D6558E"/>
    <w:rsid w:val="00D67816"/>
    <w:rsid w:val="00D742F6"/>
    <w:rsid w:val="00D75133"/>
    <w:rsid w:val="00D76935"/>
    <w:rsid w:val="00D779E8"/>
    <w:rsid w:val="00D82669"/>
    <w:rsid w:val="00D830DE"/>
    <w:rsid w:val="00D85995"/>
    <w:rsid w:val="00D87A69"/>
    <w:rsid w:val="00D87F07"/>
    <w:rsid w:val="00D90E31"/>
    <w:rsid w:val="00D9142A"/>
    <w:rsid w:val="00D9558F"/>
    <w:rsid w:val="00D960EC"/>
    <w:rsid w:val="00D9735E"/>
    <w:rsid w:val="00D97782"/>
    <w:rsid w:val="00DA50C3"/>
    <w:rsid w:val="00DA5886"/>
    <w:rsid w:val="00DA7438"/>
    <w:rsid w:val="00DB0788"/>
    <w:rsid w:val="00DB7F6F"/>
    <w:rsid w:val="00DC55D0"/>
    <w:rsid w:val="00DC5BB0"/>
    <w:rsid w:val="00DD0BAD"/>
    <w:rsid w:val="00DD0DE2"/>
    <w:rsid w:val="00DD2CE2"/>
    <w:rsid w:val="00DD60DE"/>
    <w:rsid w:val="00DD642A"/>
    <w:rsid w:val="00DD71A7"/>
    <w:rsid w:val="00DE1406"/>
    <w:rsid w:val="00DE14F6"/>
    <w:rsid w:val="00DE35BE"/>
    <w:rsid w:val="00DF2589"/>
    <w:rsid w:val="00DF360F"/>
    <w:rsid w:val="00DF36CA"/>
    <w:rsid w:val="00DF4FB8"/>
    <w:rsid w:val="00DF63E3"/>
    <w:rsid w:val="00DF7385"/>
    <w:rsid w:val="00E00473"/>
    <w:rsid w:val="00E02F0D"/>
    <w:rsid w:val="00E1061C"/>
    <w:rsid w:val="00E10692"/>
    <w:rsid w:val="00E13C32"/>
    <w:rsid w:val="00E14738"/>
    <w:rsid w:val="00E1479A"/>
    <w:rsid w:val="00E15A16"/>
    <w:rsid w:val="00E206A3"/>
    <w:rsid w:val="00E20C64"/>
    <w:rsid w:val="00E24DB8"/>
    <w:rsid w:val="00E26EB0"/>
    <w:rsid w:val="00E27034"/>
    <w:rsid w:val="00E32D4B"/>
    <w:rsid w:val="00E33957"/>
    <w:rsid w:val="00E40749"/>
    <w:rsid w:val="00E41116"/>
    <w:rsid w:val="00E414EF"/>
    <w:rsid w:val="00E424DA"/>
    <w:rsid w:val="00E45390"/>
    <w:rsid w:val="00E455A5"/>
    <w:rsid w:val="00E555C5"/>
    <w:rsid w:val="00E56CCD"/>
    <w:rsid w:val="00E5722D"/>
    <w:rsid w:val="00E62643"/>
    <w:rsid w:val="00E62938"/>
    <w:rsid w:val="00E642D3"/>
    <w:rsid w:val="00E702F6"/>
    <w:rsid w:val="00E7387C"/>
    <w:rsid w:val="00E73C17"/>
    <w:rsid w:val="00E73E5F"/>
    <w:rsid w:val="00E768B8"/>
    <w:rsid w:val="00E778AE"/>
    <w:rsid w:val="00E77A0F"/>
    <w:rsid w:val="00E82D4E"/>
    <w:rsid w:val="00E835A1"/>
    <w:rsid w:val="00E83E2D"/>
    <w:rsid w:val="00E85164"/>
    <w:rsid w:val="00E8739B"/>
    <w:rsid w:val="00E90652"/>
    <w:rsid w:val="00E948B4"/>
    <w:rsid w:val="00E95B08"/>
    <w:rsid w:val="00E95C43"/>
    <w:rsid w:val="00E96570"/>
    <w:rsid w:val="00EA31DB"/>
    <w:rsid w:val="00EA68E9"/>
    <w:rsid w:val="00EA7D7F"/>
    <w:rsid w:val="00EB3C38"/>
    <w:rsid w:val="00EC12A0"/>
    <w:rsid w:val="00EC1E5F"/>
    <w:rsid w:val="00EC64A8"/>
    <w:rsid w:val="00EC78B7"/>
    <w:rsid w:val="00ED14BD"/>
    <w:rsid w:val="00ED24F1"/>
    <w:rsid w:val="00ED41E5"/>
    <w:rsid w:val="00ED49B5"/>
    <w:rsid w:val="00EE332B"/>
    <w:rsid w:val="00EE6C01"/>
    <w:rsid w:val="00EF1519"/>
    <w:rsid w:val="00EF2896"/>
    <w:rsid w:val="00EF2C61"/>
    <w:rsid w:val="00EF4610"/>
    <w:rsid w:val="00EF6CB2"/>
    <w:rsid w:val="00EF7939"/>
    <w:rsid w:val="00F01A5C"/>
    <w:rsid w:val="00F04DE2"/>
    <w:rsid w:val="00F076E3"/>
    <w:rsid w:val="00F11CFC"/>
    <w:rsid w:val="00F1463A"/>
    <w:rsid w:val="00F15936"/>
    <w:rsid w:val="00F20B68"/>
    <w:rsid w:val="00F23DBE"/>
    <w:rsid w:val="00F31085"/>
    <w:rsid w:val="00F31737"/>
    <w:rsid w:val="00F329A7"/>
    <w:rsid w:val="00F40513"/>
    <w:rsid w:val="00F41C5C"/>
    <w:rsid w:val="00F424A9"/>
    <w:rsid w:val="00F4459F"/>
    <w:rsid w:val="00F508C7"/>
    <w:rsid w:val="00F52F72"/>
    <w:rsid w:val="00F5729F"/>
    <w:rsid w:val="00F60524"/>
    <w:rsid w:val="00F65587"/>
    <w:rsid w:val="00F656A1"/>
    <w:rsid w:val="00F65B62"/>
    <w:rsid w:val="00F71AE6"/>
    <w:rsid w:val="00F72DC7"/>
    <w:rsid w:val="00F74B26"/>
    <w:rsid w:val="00F772DD"/>
    <w:rsid w:val="00F776C3"/>
    <w:rsid w:val="00F77E06"/>
    <w:rsid w:val="00F80CA8"/>
    <w:rsid w:val="00F8101C"/>
    <w:rsid w:val="00F850F4"/>
    <w:rsid w:val="00F85AD8"/>
    <w:rsid w:val="00F9021F"/>
    <w:rsid w:val="00F93464"/>
    <w:rsid w:val="00F95594"/>
    <w:rsid w:val="00F973A7"/>
    <w:rsid w:val="00FA35E2"/>
    <w:rsid w:val="00FA5DE1"/>
    <w:rsid w:val="00FA6CB8"/>
    <w:rsid w:val="00FA7D60"/>
    <w:rsid w:val="00FB260A"/>
    <w:rsid w:val="00FB2B02"/>
    <w:rsid w:val="00FB4897"/>
    <w:rsid w:val="00FB6664"/>
    <w:rsid w:val="00FC2464"/>
    <w:rsid w:val="00FC3224"/>
    <w:rsid w:val="00FC60C3"/>
    <w:rsid w:val="00FC6311"/>
    <w:rsid w:val="00FC7647"/>
    <w:rsid w:val="00FC7CE6"/>
    <w:rsid w:val="00FD0795"/>
    <w:rsid w:val="00FD0A4E"/>
    <w:rsid w:val="00FD3A37"/>
    <w:rsid w:val="00FD577E"/>
    <w:rsid w:val="00FD6497"/>
    <w:rsid w:val="00FD73BD"/>
    <w:rsid w:val="00FE14B4"/>
    <w:rsid w:val="00FE1EBE"/>
    <w:rsid w:val="00FE46CE"/>
    <w:rsid w:val="00FE4E43"/>
    <w:rsid w:val="00FF1103"/>
    <w:rsid w:val="00FF2EC3"/>
    <w:rsid w:val="00FF462C"/>
    <w:rsid w:val="00FF66DC"/>
    <w:rsid w:val="00FF7CD6"/>
    <w:rsid w:val="012A4E2C"/>
    <w:rsid w:val="01923F61"/>
    <w:rsid w:val="02DC2156"/>
    <w:rsid w:val="03CC3F79"/>
    <w:rsid w:val="05CD222A"/>
    <w:rsid w:val="06084616"/>
    <w:rsid w:val="06A9292B"/>
    <w:rsid w:val="08EF7A39"/>
    <w:rsid w:val="0A341A17"/>
    <w:rsid w:val="0A5844F0"/>
    <w:rsid w:val="0C670946"/>
    <w:rsid w:val="0DFF0ECB"/>
    <w:rsid w:val="0EE41D10"/>
    <w:rsid w:val="0EFE59B6"/>
    <w:rsid w:val="11386E78"/>
    <w:rsid w:val="11B73ED3"/>
    <w:rsid w:val="12277661"/>
    <w:rsid w:val="133D4C82"/>
    <w:rsid w:val="138D4967"/>
    <w:rsid w:val="13D12EE6"/>
    <w:rsid w:val="13EE1CEA"/>
    <w:rsid w:val="13F37300"/>
    <w:rsid w:val="174D6D27"/>
    <w:rsid w:val="18CE5C46"/>
    <w:rsid w:val="1A2A2D28"/>
    <w:rsid w:val="1B6F0F65"/>
    <w:rsid w:val="1B9C64CF"/>
    <w:rsid w:val="1C364665"/>
    <w:rsid w:val="1E6C7E3E"/>
    <w:rsid w:val="20346CD6"/>
    <w:rsid w:val="206E043A"/>
    <w:rsid w:val="21B75E11"/>
    <w:rsid w:val="21FC3914"/>
    <w:rsid w:val="23240FF6"/>
    <w:rsid w:val="2443573A"/>
    <w:rsid w:val="25496D80"/>
    <w:rsid w:val="27095D8A"/>
    <w:rsid w:val="277B51EB"/>
    <w:rsid w:val="279E6744"/>
    <w:rsid w:val="28152185"/>
    <w:rsid w:val="29EF532D"/>
    <w:rsid w:val="2BAD2B02"/>
    <w:rsid w:val="2CAE36F2"/>
    <w:rsid w:val="2DE03FF9"/>
    <w:rsid w:val="2E0C3040"/>
    <w:rsid w:val="2E40384E"/>
    <w:rsid w:val="2F083808"/>
    <w:rsid w:val="2F0B058C"/>
    <w:rsid w:val="2F7C5FA4"/>
    <w:rsid w:val="31F97D80"/>
    <w:rsid w:val="344833B2"/>
    <w:rsid w:val="39C76956"/>
    <w:rsid w:val="3D6C58AA"/>
    <w:rsid w:val="3DE01B28"/>
    <w:rsid w:val="3E799816"/>
    <w:rsid w:val="3F95563F"/>
    <w:rsid w:val="403F2E01"/>
    <w:rsid w:val="431A1904"/>
    <w:rsid w:val="45413951"/>
    <w:rsid w:val="46E47FFF"/>
    <w:rsid w:val="4779601E"/>
    <w:rsid w:val="493E1AE1"/>
    <w:rsid w:val="4B2238EC"/>
    <w:rsid w:val="4C6C7CEB"/>
    <w:rsid w:val="4D5711AA"/>
    <w:rsid w:val="4DDD59C1"/>
    <w:rsid w:val="4EAE0286"/>
    <w:rsid w:val="51FB0B52"/>
    <w:rsid w:val="525F7333"/>
    <w:rsid w:val="531F075A"/>
    <w:rsid w:val="55D63DB0"/>
    <w:rsid w:val="56DA342C"/>
    <w:rsid w:val="57A01936"/>
    <w:rsid w:val="57A57FD6"/>
    <w:rsid w:val="57F01F2D"/>
    <w:rsid w:val="58D367F3"/>
    <w:rsid w:val="592C1295"/>
    <w:rsid w:val="59DD74BB"/>
    <w:rsid w:val="5A8C449C"/>
    <w:rsid w:val="5B571FFB"/>
    <w:rsid w:val="5BFB00CD"/>
    <w:rsid w:val="5C452F47"/>
    <w:rsid w:val="5D086F45"/>
    <w:rsid w:val="5D3C3724"/>
    <w:rsid w:val="5D4D6706"/>
    <w:rsid w:val="60252B89"/>
    <w:rsid w:val="60F75CC9"/>
    <w:rsid w:val="616C2448"/>
    <w:rsid w:val="63DF2082"/>
    <w:rsid w:val="654A16B4"/>
    <w:rsid w:val="660F1D12"/>
    <w:rsid w:val="67277FC8"/>
    <w:rsid w:val="6735217D"/>
    <w:rsid w:val="677C2407"/>
    <w:rsid w:val="68C47A98"/>
    <w:rsid w:val="68C53F3C"/>
    <w:rsid w:val="6914088B"/>
    <w:rsid w:val="6CC80E6D"/>
    <w:rsid w:val="6FDD1529"/>
    <w:rsid w:val="710B6BAC"/>
    <w:rsid w:val="718F7D6A"/>
    <w:rsid w:val="71CC633B"/>
    <w:rsid w:val="71F238C8"/>
    <w:rsid w:val="738A5B9F"/>
    <w:rsid w:val="741F6AAA"/>
    <w:rsid w:val="74692370"/>
    <w:rsid w:val="74A0585D"/>
    <w:rsid w:val="77A7157C"/>
    <w:rsid w:val="78B143BF"/>
    <w:rsid w:val="7A035425"/>
    <w:rsid w:val="7AB465B7"/>
    <w:rsid w:val="7AFB3F76"/>
    <w:rsid w:val="7AFEC822"/>
    <w:rsid w:val="7B215011"/>
    <w:rsid w:val="7CB63E70"/>
    <w:rsid w:val="7D221505"/>
    <w:rsid w:val="7E2B6198"/>
    <w:rsid w:val="7E466F5D"/>
    <w:rsid w:val="D9BF3AD6"/>
    <w:rsid w:val="E7FFD9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Calibri"/>
      <w:kern w:val="2"/>
      <w:sz w:val="21"/>
      <w:szCs w:val="24"/>
      <w:lang w:val="en-US" w:eastAsia="zh-CN" w:bidi="ar-SA"/>
    </w:rPr>
  </w:style>
  <w:style w:type="paragraph" w:styleId="3">
    <w:name w:val="heading 1"/>
    <w:basedOn w:val="1"/>
    <w:next w:val="1"/>
    <w:qFormat/>
    <w:uiPriority w:val="0"/>
    <w:pPr>
      <w:keepNext/>
      <w:keepLines/>
      <w:spacing w:before="340" w:after="330" w:line="578" w:lineRule="auto"/>
      <w:outlineLvl w:val="0"/>
    </w:pPr>
    <w:rPr>
      <w:b/>
      <w:bCs/>
      <w:kern w:val="44"/>
      <w:sz w:val="44"/>
    </w:rPr>
  </w:style>
  <w:style w:type="paragraph" w:styleId="4">
    <w:name w:val="heading 2"/>
    <w:basedOn w:val="1"/>
    <w:next w:val="1"/>
    <w:qFormat/>
    <w:uiPriority w:val="0"/>
    <w:pPr>
      <w:keepNext/>
      <w:keepLines/>
      <w:spacing w:before="260" w:after="260" w:line="415" w:lineRule="auto"/>
      <w:outlineLvl w:val="1"/>
    </w:pPr>
    <w:rPr>
      <w:rFonts w:ascii="Times New Roman" w:hAnsi="Times New Roman" w:eastAsia="黑体"/>
      <w:b/>
      <w:sz w:val="32"/>
    </w:rPr>
  </w:style>
  <w:style w:type="paragraph" w:styleId="5">
    <w:name w:val="heading 3"/>
    <w:basedOn w:val="1"/>
    <w:next w:val="1"/>
    <w:qFormat/>
    <w:uiPriority w:val="0"/>
    <w:pPr>
      <w:keepNext/>
      <w:keepLines/>
      <w:spacing w:before="260" w:after="260" w:line="415" w:lineRule="auto"/>
      <w:outlineLvl w:val="2"/>
    </w:pPr>
    <w:rPr>
      <w:b/>
      <w:sz w:val="32"/>
    </w:rPr>
  </w:style>
  <w:style w:type="paragraph" w:styleId="6">
    <w:name w:val="heading 7"/>
    <w:basedOn w:val="1"/>
    <w:next w:val="1"/>
    <w:link w:val="28"/>
    <w:qFormat/>
    <w:uiPriority w:val="9"/>
    <w:pPr>
      <w:keepNext/>
      <w:keepLines/>
      <w:spacing w:before="240" w:after="64" w:line="320" w:lineRule="auto"/>
      <w:outlineLvl w:val="6"/>
    </w:pPr>
    <w:rPr>
      <w:b/>
      <w:bCs/>
      <w:sz w:val="24"/>
    </w:rPr>
  </w:style>
  <w:style w:type="character" w:default="1" w:styleId="20">
    <w:name w:val="Default Paragraph Font"/>
    <w:semiHidden/>
    <w:unhideWhenUsed/>
    <w:qFormat/>
    <w:uiPriority w:val="1"/>
  </w:style>
  <w:style w:type="table" w:default="1" w:styleId="1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customStyle="1" w:styleId="2">
    <w:name w:val="BodyText2"/>
    <w:basedOn w:val="1"/>
    <w:qFormat/>
    <w:uiPriority w:val="0"/>
    <w:pPr>
      <w:spacing w:after="120" w:line="480" w:lineRule="auto"/>
      <w:textAlignment w:val="baseline"/>
    </w:pPr>
    <w:rPr>
      <w:rFonts w:cs="Times New Roman"/>
      <w:sz w:val="32"/>
      <w:szCs w:val="32"/>
    </w:rPr>
  </w:style>
  <w:style w:type="paragraph" w:styleId="7">
    <w:name w:val="annotation text"/>
    <w:basedOn w:val="1"/>
    <w:link w:val="29"/>
    <w:unhideWhenUsed/>
    <w:qFormat/>
    <w:uiPriority w:val="99"/>
    <w:pPr>
      <w:adjustRightInd w:val="0"/>
      <w:spacing w:line="400" w:lineRule="exact"/>
      <w:jc w:val="left"/>
    </w:pPr>
    <w:rPr>
      <w:szCs w:val="21"/>
    </w:rPr>
  </w:style>
  <w:style w:type="paragraph" w:styleId="8">
    <w:name w:val="Date"/>
    <w:basedOn w:val="1"/>
    <w:next w:val="1"/>
    <w:link w:val="66"/>
    <w:semiHidden/>
    <w:unhideWhenUsed/>
    <w:qFormat/>
    <w:uiPriority w:val="99"/>
    <w:pPr>
      <w:ind w:left="100" w:leftChars="2500"/>
    </w:pPr>
  </w:style>
  <w:style w:type="paragraph" w:styleId="9">
    <w:name w:val="endnote text"/>
    <w:basedOn w:val="1"/>
    <w:link w:val="64"/>
    <w:semiHidden/>
    <w:unhideWhenUsed/>
    <w:qFormat/>
    <w:uiPriority w:val="99"/>
    <w:pPr>
      <w:snapToGrid w:val="0"/>
      <w:jc w:val="left"/>
    </w:pPr>
  </w:style>
  <w:style w:type="paragraph" w:styleId="10">
    <w:name w:val="Balloon Text"/>
    <w:basedOn w:val="1"/>
    <w:link w:val="30"/>
    <w:unhideWhenUsed/>
    <w:qFormat/>
    <w:uiPriority w:val="99"/>
    <w:rPr>
      <w:sz w:val="18"/>
      <w:szCs w:val="18"/>
    </w:rPr>
  </w:style>
  <w:style w:type="paragraph" w:styleId="11">
    <w:name w:val="footer"/>
    <w:basedOn w:val="1"/>
    <w:link w:val="31"/>
    <w:qFormat/>
    <w:uiPriority w:val="99"/>
    <w:pPr>
      <w:tabs>
        <w:tab w:val="center" w:pos="4153"/>
        <w:tab w:val="right" w:pos="8306"/>
      </w:tabs>
      <w:snapToGrid w:val="0"/>
      <w:jc w:val="left"/>
    </w:pPr>
    <w:rPr>
      <w:sz w:val="18"/>
      <w:szCs w:val="18"/>
    </w:rPr>
  </w:style>
  <w:style w:type="paragraph" w:styleId="12">
    <w:name w:val="envelope return"/>
    <w:basedOn w:val="1"/>
    <w:qFormat/>
    <w:uiPriority w:val="0"/>
    <w:pPr>
      <w:snapToGrid w:val="0"/>
    </w:pPr>
    <w:rPr>
      <w:rFonts w:ascii="Times New Roman" w:hAnsi="Times New Roman"/>
    </w:rPr>
  </w:style>
  <w:style w:type="paragraph" w:styleId="13">
    <w:name w:val="header"/>
    <w:basedOn w:val="1"/>
    <w:link w:val="62"/>
    <w:qFormat/>
    <w:uiPriority w:val="0"/>
    <w:pPr>
      <w:pBdr>
        <w:bottom w:val="single" w:color="auto" w:sz="6" w:space="1"/>
      </w:pBdr>
      <w:tabs>
        <w:tab w:val="center" w:pos="4153"/>
        <w:tab w:val="right" w:pos="8306"/>
      </w:tabs>
      <w:snapToGrid w:val="0"/>
      <w:jc w:val="center"/>
    </w:pPr>
    <w:rPr>
      <w:sz w:val="18"/>
      <w:szCs w:val="18"/>
    </w:rPr>
  </w:style>
  <w:style w:type="paragraph" w:styleId="14">
    <w:name w:val="toc 4"/>
    <w:basedOn w:val="1"/>
    <w:next w:val="1"/>
    <w:unhideWhenUsed/>
    <w:qFormat/>
    <w:uiPriority w:val="39"/>
    <w:pPr>
      <w:tabs>
        <w:tab w:val="right" w:leader="dot" w:pos="9344"/>
      </w:tabs>
      <w:adjustRightInd w:val="0"/>
      <w:spacing w:line="300" w:lineRule="exact"/>
      <w:ind w:left="629"/>
    </w:pPr>
    <w:rPr>
      <w:rFonts w:ascii="宋体"/>
      <w:szCs w:val="21"/>
    </w:rPr>
  </w:style>
  <w:style w:type="paragraph" w:styleId="15">
    <w:name w:val="Normal (Web)"/>
    <w:basedOn w:val="1"/>
    <w:semiHidden/>
    <w:unhideWhenUsed/>
    <w:qFormat/>
    <w:uiPriority w:val="99"/>
    <w:rPr>
      <w:sz w:val="24"/>
    </w:rPr>
  </w:style>
  <w:style w:type="paragraph" w:styleId="16">
    <w:name w:val="Title"/>
    <w:basedOn w:val="1"/>
    <w:next w:val="1"/>
    <w:link w:val="67"/>
    <w:qFormat/>
    <w:uiPriority w:val="10"/>
    <w:pPr>
      <w:spacing w:before="240" w:after="60"/>
      <w:jc w:val="center"/>
      <w:outlineLvl w:val="0"/>
    </w:pPr>
    <w:rPr>
      <w:rFonts w:asciiTheme="majorHAnsi" w:hAnsiTheme="majorHAnsi" w:eastAsiaTheme="majorEastAsia" w:cstheme="majorBidi"/>
      <w:b/>
      <w:bCs/>
      <w:sz w:val="32"/>
      <w:szCs w:val="32"/>
    </w:rPr>
  </w:style>
  <w:style w:type="paragraph" w:styleId="17">
    <w:name w:val="annotation subject"/>
    <w:basedOn w:val="7"/>
    <w:next w:val="7"/>
    <w:link w:val="63"/>
    <w:semiHidden/>
    <w:unhideWhenUsed/>
    <w:qFormat/>
    <w:uiPriority w:val="99"/>
    <w:pPr>
      <w:adjustRightInd/>
      <w:spacing w:line="240" w:lineRule="auto"/>
    </w:pPr>
    <w:rPr>
      <w:b/>
      <w:bCs/>
      <w:szCs w:val="24"/>
    </w:rPr>
  </w:style>
  <w:style w:type="table" w:styleId="19">
    <w:name w:val="Table Grid"/>
    <w:basedOn w:val="18"/>
    <w:qFormat/>
    <w:uiPriority w:val="39"/>
    <w:pPr>
      <w:widowControl w:val="0"/>
      <w:jc w:val="both"/>
    </w:pPr>
    <w:tblPr>
      <w:tblBorders>
        <w:top w:val="single" w:color="auto" w:sz="4" w:space="0"/>
        <w:bottom w:val="single" w:color="auto" w:sz="4" w:space="0"/>
      </w:tblBorders>
    </w:tblPr>
  </w:style>
  <w:style w:type="character" w:styleId="21">
    <w:name w:val="Strong"/>
    <w:basedOn w:val="20"/>
    <w:qFormat/>
    <w:uiPriority w:val="22"/>
    <w:rPr>
      <w:b/>
    </w:rPr>
  </w:style>
  <w:style w:type="character" w:styleId="22">
    <w:name w:val="endnote reference"/>
    <w:basedOn w:val="20"/>
    <w:semiHidden/>
    <w:unhideWhenUsed/>
    <w:qFormat/>
    <w:uiPriority w:val="99"/>
    <w:rPr>
      <w:vertAlign w:val="superscript"/>
    </w:rPr>
  </w:style>
  <w:style w:type="character" w:styleId="23">
    <w:name w:val="line number"/>
    <w:qFormat/>
    <w:uiPriority w:val="0"/>
  </w:style>
  <w:style w:type="character" w:styleId="24">
    <w:name w:val="Hyperlink"/>
    <w:qFormat/>
    <w:uiPriority w:val="0"/>
    <w:rPr>
      <w:rFonts w:ascii="宋体" w:eastAsia="宋体"/>
      <w:color w:val="auto"/>
      <w:spacing w:val="0"/>
      <w:w w:val="100"/>
      <w:position w:val="0"/>
      <w:sz w:val="21"/>
      <w:u w:val="none"/>
      <w:vertAlign w:val="baseline"/>
    </w:rPr>
  </w:style>
  <w:style w:type="character" w:styleId="25">
    <w:name w:val="annotation reference"/>
    <w:qFormat/>
    <w:uiPriority w:val="99"/>
    <w:rPr>
      <w:sz w:val="21"/>
    </w:rPr>
  </w:style>
  <w:style w:type="character" w:styleId="26">
    <w:name w:val="footnote reference"/>
    <w:qFormat/>
    <w:uiPriority w:val="0"/>
    <w:rPr>
      <w:vertAlign w:val="superscript"/>
    </w:rPr>
  </w:style>
  <w:style w:type="paragraph" w:customStyle="1" w:styleId="27">
    <w:name w:val="正文-公1"/>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8">
    <w:name w:val="标题 7 字符"/>
    <w:link w:val="6"/>
    <w:qFormat/>
    <w:uiPriority w:val="0"/>
    <w:rPr>
      <w:rFonts w:eastAsia="宋体"/>
      <w:b/>
      <w:bCs/>
      <w:kern w:val="2"/>
      <w:sz w:val="24"/>
      <w:szCs w:val="24"/>
    </w:rPr>
  </w:style>
  <w:style w:type="character" w:customStyle="1" w:styleId="29">
    <w:name w:val="批注文字 字符"/>
    <w:link w:val="7"/>
    <w:semiHidden/>
    <w:qFormat/>
    <w:uiPriority w:val="99"/>
    <w:rPr>
      <w:rFonts w:ascii="Calibri" w:hAnsi="Calibri" w:eastAsia="宋体"/>
      <w:kern w:val="2"/>
      <w:sz w:val="21"/>
      <w:szCs w:val="21"/>
    </w:rPr>
  </w:style>
  <w:style w:type="character" w:customStyle="1" w:styleId="30">
    <w:name w:val="批注框文本 字符"/>
    <w:link w:val="10"/>
    <w:semiHidden/>
    <w:qFormat/>
    <w:uiPriority w:val="99"/>
    <w:rPr>
      <w:rFonts w:eastAsia="宋体"/>
      <w:kern w:val="2"/>
      <w:sz w:val="18"/>
      <w:szCs w:val="18"/>
    </w:rPr>
  </w:style>
  <w:style w:type="character" w:customStyle="1" w:styleId="31">
    <w:name w:val="页脚 字符"/>
    <w:link w:val="11"/>
    <w:qFormat/>
    <w:locked/>
    <w:uiPriority w:val="99"/>
    <w:rPr>
      <w:rFonts w:eastAsia="宋体"/>
      <w:kern w:val="2"/>
      <w:sz w:val="18"/>
      <w:szCs w:val="18"/>
    </w:rPr>
  </w:style>
  <w:style w:type="paragraph" w:customStyle="1" w:styleId="32">
    <w:name w:val="其他标准称谓"/>
    <w:qFormat/>
    <w:uiPriority w:val="0"/>
    <w:pPr>
      <w:spacing w:line="0" w:lineRule="atLeast"/>
      <w:jc w:val="distribute"/>
    </w:pPr>
    <w:rPr>
      <w:rFonts w:ascii="黑体" w:hAnsi="Calibri" w:eastAsia="黑体" w:cs="Calibri"/>
      <w:sz w:val="52"/>
      <w:lang w:val="en-US" w:eastAsia="zh-CN" w:bidi="ar-SA"/>
    </w:rPr>
  </w:style>
  <w:style w:type="paragraph" w:customStyle="1" w:styleId="33">
    <w:name w:val="封面标准号1"/>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4">
    <w:name w:val="标准文件_段"/>
    <w:link w:val="35"/>
    <w:qFormat/>
    <w:uiPriority w:val="0"/>
    <w:pPr>
      <w:autoSpaceDE w:val="0"/>
      <w:autoSpaceDN w:val="0"/>
      <w:spacing w:line="520" w:lineRule="exact"/>
      <w:ind w:firstLine="640" w:firstLineChars="200"/>
      <w:jc w:val="both"/>
    </w:pPr>
    <w:rPr>
      <w:rFonts w:ascii="仿宋" w:hAnsi="仿宋" w:eastAsia="仿宋" w:cs="Calibri"/>
      <w:kern w:val="2"/>
      <w:sz w:val="32"/>
      <w:szCs w:val="32"/>
      <w:lang w:val="en-US" w:eastAsia="zh-CN" w:bidi="ar-SA"/>
    </w:rPr>
  </w:style>
  <w:style w:type="character" w:customStyle="1" w:styleId="35">
    <w:name w:val="标准文件_段 Char"/>
    <w:link w:val="34"/>
    <w:qFormat/>
    <w:uiPriority w:val="0"/>
    <w:rPr>
      <w:rFonts w:ascii="仿宋" w:hAnsi="仿宋" w:eastAsia="仿宋" w:cs="Calibri"/>
      <w:kern w:val="2"/>
      <w:sz w:val="32"/>
      <w:szCs w:val="32"/>
    </w:rPr>
  </w:style>
  <w:style w:type="paragraph" w:customStyle="1" w:styleId="36">
    <w:name w:val="标准文件_章标题"/>
    <w:next w:val="34"/>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7">
    <w:name w:val="标准文件_二级条标题"/>
    <w:next w:val="34"/>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8">
    <w:name w:val="标准文件_一级条标题"/>
    <w:basedOn w:val="36"/>
    <w:next w:val="34"/>
    <w:qFormat/>
    <w:uiPriority w:val="0"/>
    <w:pPr>
      <w:numPr>
        <w:ilvl w:val="2"/>
      </w:numPr>
      <w:spacing w:before="50" w:beforeLines="0" w:after="50" w:afterLines="0"/>
      <w:outlineLvl w:val="1"/>
    </w:pPr>
  </w:style>
  <w:style w:type="paragraph" w:customStyle="1" w:styleId="39">
    <w:name w:val="标准文件_三级条标题"/>
    <w:basedOn w:val="37"/>
    <w:next w:val="34"/>
    <w:qFormat/>
    <w:uiPriority w:val="0"/>
    <w:pPr>
      <w:outlineLvl w:val="3"/>
    </w:pPr>
  </w:style>
  <w:style w:type="paragraph" w:customStyle="1" w:styleId="40">
    <w:name w:val="标准文件_四级条标题"/>
    <w:next w:val="34"/>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1">
    <w:name w:val="标准文件_五级条标题"/>
    <w:next w:val="37"/>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2">
    <w:name w:val="前言标题"/>
    <w:next w:val="1"/>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3">
    <w:name w:val="标准文件_四级无标题"/>
    <w:basedOn w:val="40"/>
    <w:qFormat/>
    <w:uiPriority w:val="0"/>
    <w:pPr>
      <w:numPr>
        <w:ilvl w:val="5"/>
        <w:numId w:val="1"/>
      </w:numPr>
    </w:pPr>
    <w:rPr>
      <w:rFonts w:ascii="宋体" w:eastAsia="宋体"/>
      <w:szCs w:val="52"/>
    </w:rPr>
  </w:style>
  <w:style w:type="paragraph" w:customStyle="1" w:styleId="44">
    <w:name w:val="标准文件_三级无标题"/>
    <w:basedOn w:val="39"/>
    <w:qFormat/>
    <w:uiPriority w:val="0"/>
    <w:pPr>
      <w:numPr>
        <w:ilvl w:val="4"/>
        <w:numId w:val="1"/>
      </w:numPr>
    </w:pPr>
    <w:rPr>
      <w:rFonts w:ascii="宋体" w:eastAsia="宋体"/>
    </w:rPr>
  </w:style>
  <w:style w:type="paragraph" w:customStyle="1" w:styleId="45">
    <w:name w:val="标准文件_正文表标题"/>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6">
    <w:name w:val="font11"/>
    <w:qFormat/>
    <w:uiPriority w:val="0"/>
    <w:rPr>
      <w:rFonts w:ascii="等线" w:eastAsia="等线"/>
      <w:b/>
      <w:bCs/>
      <w:color w:val="FF0000"/>
      <w:sz w:val="22"/>
      <w:szCs w:val="22"/>
      <w:u w:val="none"/>
    </w:rPr>
  </w:style>
  <w:style w:type="character" w:customStyle="1" w:styleId="47">
    <w:name w:val="font01"/>
    <w:qFormat/>
    <w:uiPriority w:val="0"/>
    <w:rPr>
      <w:rFonts w:ascii="等线" w:eastAsia="等线"/>
      <w:color w:val="000000"/>
      <w:sz w:val="22"/>
      <w:szCs w:val="22"/>
      <w:u w:val="none"/>
    </w:rPr>
  </w:style>
  <w:style w:type="paragraph" w:customStyle="1" w:styleId="48">
    <w:name w:val="段"/>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9">
    <w:name w:val="二级无"/>
    <w:basedOn w:val="1"/>
    <w:qFormat/>
    <w:uiPriority w:val="0"/>
    <w:pPr>
      <w:widowControl/>
      <w:tabs>
        <w:tab w:val="left" w:pos="780"/>
      </w:tabs>
      <w:ind w:left="780" w:hanging="360"/>
      <w:jc w:val="left"/>
      <w:outlineLvl w:val="3"/>
    </w:pPr>
    <w:rPr>
      <w:rFonts w:ascii="宋体"/>
      <w:kern w:val="0"/>
      <w:szCs w:val="21"/>
    </w:rPr>
  </w:style>
  <w:style w:type="paragraph" w:customStyle="1" w:styleId="50">
    <w:name w:val="标准文件_二级无标题"/>
    <w:basedOn w:val="37"/>
    <w:qFormat/>
    <w:uiPriority w:val="0"/>
    <w:pPr>
      <w:tabs>
        <w:tab w:val="left" w:pos="1200"/>
      </w:tabs>
      <w:spacing w:before="0" w:beforeLines="0" w:after="0" w:afterLines="0"/>
      <w:ind w:left="1200" w:hanging="360"/>
      <w:outlineLvl w:val="9"/>
    </w:pPr>
    <w:rPr>
      <w:rFonts w:ascii="宋体" w:eastAsia="宋体"/>
    </w:rPr>
  </w:style>
  <w:style w:type="paragraph" w:customStyle="1" w:styleId="51">
    <w:name w:val="Char Char Char Char"/>
    <w:basedOn w:val="1"/>
    <w:qFormat/>
    <w:uiPriority w:val="0"/>
  </w:style>
  <w:style w:type="paragraph" w:customStyle="1" w:styleId="52">
    <w:name w:val="标准文件_数字编号列项（二级）"/>
    <w:qFormat/>
    <w:uiPriority w:val="0"/>
    <w:pPr>
      <w:numPr>
        <w:ilvl w:val="1"/>
        <w:numId w:val="3"/>
      </w:numPr>
      <w:jc w:val="both"/>
    </w:pPr>
    <w:rPr>
      <w:rFonts w:ascii="宋体" w:hAnsi="Calibri" w:eastAsia="宋体" w:cs="Calibri"/>
      <w:sz w:val="21"/>
      <w:lang w:val="en-US" w:eastAsia="zh-CN" w:bidi="ar-SA"/>
    </w:rPr>
  </w:style>
  <w:style w:type="paragraph" w:customStyle="1" w:styleId="53">
    <w:name w:val="标准文件_编号列项（三级）"/>
    <w:qFormat/>
    <w:uiPriority w:val="0"/>
    <w:pPr>
      <w:numPr>
        <w:ilvl w:val="2"/>
        <w:numId w:val="3"/>
      </w:numPr>
    </w:pPr>
    <w:rPr>
      <w:rFonts w:ascii="宋体" w:hAnsi="Calibri" w:eastAsia="宋体" w:cs="Calibri"/>
      <w:sz w:val="21"/>
      <w:lang w:val="en-US" w:eastAsia="zh-CN" w:bidi="ar-SA"/>
    </w:rPr>
  </w:style>
  <w:style w:type="paragraph" w:customStyle="1" w:styleId="54">
    <w:name w:val="标准文件_字母编号列项（一级）"/>
    <w:qFormat/>
    <w:uiPriority w:val="0"/>
    <w:pPr>
      <w:numPr>
        <w:ilvl w:val="0"/>
        <w:numId w:val="3"/>
      </w:numPr>
      <w:jc w:val="both"/>
    </w:pPr>
    <w:rPr>
      <w:rFonts w:ascii="宋体" w:hAnsi="Calibri" w:eastAsia="宋体" w:cs="Calibri"/>
      <w:sz w:val="21"/>
      <w:lang w:val="en-US" w:eastAsia="zh-CN" w:bidi="ar-SA"/>
    </w:rPr>
  </w:style>
  <w:style w:type="paragraph" w:customStyle="1" w:styleId="55">
    <w:name w:val="标准文件_术语条一"/>
    <w:basedOn w:val="1"/>
    <w:next w:val="34"/>
    <w:qFormat/>
    <w:uiPriority w:val="0"/>
    <w:pPr>
      <w:widowControl/>
    </w:pPr>
    <w:rPr>
      <w:rFonts w:ascii="宋体"/>
      <w:kern w:val="0"/>
      <w:szCs w:val="20"/>
    </w:rPr>
  </w:style>
  <w:style w:type="paragraph" w:customStyle="1" w:styleId="56">
    <w:name w:val="abstract"/>
    <w:basedOn w:val="1"/>
    <w:qFormat/>
    <w:uiPriority w:val="0"/>
    <w:pPr>
      <w:widowControl/>
      <w:spacing w:before="100" w:beforeAutospacing="1" w:after="100" w:afterAutospacing="1"/>
      <w:jc w:val="left"/>
    </w:pPr>
    <w:rPr>
      <w:rFonts w:ascii="宋体" w:hAnsi="宋体" w:cs="宋体"/>
      <w:kern w:val="0"/>
      <w:sz w:val="24"/>
    </w:rPr>
  </w:style>
  <w:style w:type="paragraph" w:customStyle="1" w:styleId="57">
    <w:name w:val="abstract_more"/>
    <w:basedOn w:val="1"/>
    <w:qFormat/>
    <w:uiPriority w:val="0"/>
    <w:pPr>
      <w:widowControl/>
      <w:spacing w:before="100" w:beforeAutospacing="1" w:after="100" w:afterAutospacing="1"/>
      <w:jc w:val="left"/>
    </w:pPr>
    <w:rPr>
      <w:rFonts w:ascii="宋体" w:hAnsi="宋体" w:cs="宋体"/>
      <w:kern w:val="0"/>
      <w:sz w:val="24"/>
    </w:rPr>
  </w:style>
  <w:style w:type="paragraph" w:styleId="58">
    <w:name w:val="No Spacing"/>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9">
    <w:name w:val="标准文件_一级项"/>
    <w:qFormat/>
    <w:uiPriority w:val="0"/>
    <w:pPr>
      <w:numPr>
        <w:ilvl w:val="0"/>
        <w:numId w:val="4"/>
      </w:numPr>
    </w:pPr>
    <w:rPr>
      <w:rFonts w:ascii="宋体" w:hAnsi="Times New Roman" w:eastAsia="宋体" w:cs="Times New Roman"/>
      <w:sz w:val="21"/>
      <w:lang w:val="en-US" w:eastAsia="zh-CN" w:bidi="ar-SA"/>
    </w:rPr>
  </w:style>
  <w:style w:type="paragraph" w:customStyle="1" w:styleId="60">
    <w:name w:val="附录表标题"/>
    <w:basedOn w:val="1"/>
    <w:next w:val="48"/>
    <w:qFormat/>
    <w:uiPriority w:val="0"/>
    <w:pPr>
      <w:numPr>
        <w:ilvl w:val="1"/>
        <w:numId w:val="5"/>
      </w:numPr>
      <w:tabs>
        <w:tab w:val="left" w:pos="180"/>
      </w:tabs>
      <w:spacing w:beforeLines="50" w:afterLines="50"/>
      <w:ind w:left="0" w:firstLine="0"/>
      <w:jc w:val="center"/>
    </w:pPr>
    <w:rPr>
      <w:rFonts w:ascii="黑体" w:hAnsi="Times New Roman" w:eastAsia="黑体" w:cs="Times New Roman"/>
      <w:szCs w:val="21"/>
    </w:rPr>
  </w:style>
  <w:style w:type="paragraph" w:styleId="61">
    <w:name w:val="List Paragraph"/>
    <w:basedOn w:val="1"/>
    <w:unhideWhenUsed/>
    <w:qFormat/>
    <w:uiPriority w:val="99"/>
    <w:pPr>
      <w:ind w:firstLine="420" w:firstLineChars="200"/>
    </w:pPr>
    <w:rPr>
      <w:rFonts w:ascii="Times New Roman" w:hAnsi="Times New Roman" w:cs="Times New Roman"/>
    </w:rPr>
  </w:style>
  <w:style w:type="character" w:customStyle="1" w:styleId="62">
    <w:name w:val="页眉 字符"/>
    <w:basedOn w:val="20"/>
    <w:link w:val="13"/>
    <w:qFormat/>
    <w:uiPriority w:val="0"/>
    <w:rPr>
      <w:rFonts w:ascii="Calibri" w:hAnsi="Calibri" w:cs="Calibri"/>
      <w:kern w:val="2"/>
      <w:sz w:val="18"/>
      <w:szCs w:val="18"/>
    </w:rPr>
  </w:style>
  <w:style w:type="character" w:customStyle="1" w:styleId="63">
    <w:name w:val="批注主题 字符"/>
    <w:basedOn w:val="29"/>
    <w:link w:val="17"/>
    <w:semiHidden/>
    <w:qFormat/>
    <w:uiPriority w:val="99"/>
    <w:rPr>
      <w:rFonts w:ascii="Calibri" w:hAnsi="Calibri" w:eastAsia="宋体" w:cs="Calibri"/>
      <w:b/>
      <w:bCs/>
      <w:kern w:val="2"/>
      <w:sz w:val="21"/>
      <w:szCs w:val="24"/>
    </w:rPr>
  </w:style>
  <w:style w:type="character" w:customStyle="1" w:styleId="64">
    <w:name w:val="尾注文本 字符"/>
    <w:basedOn w:val="20"/>
    <w:link w:val="9"/>
    <w:semiHidden/>
    <w:qFormat/>
    <w:uiPriority w:val="99"/>
    <w:rPr>
      <w:rFonts w:ascii="Calibri" w:hAnsi="Calibri" w:cs="Calibri"/>
      <w:kern w:val="2"/>
      <w:sz w:val="21"/>
      <w:szCs w:val="24"/>
    </w:rPr>
  </w:style>
  <w:style w:type="paragraph" w:customStyle="1" w:styleId="65">
    <w:name w:val="标准文件_方框数字列项"/>
    <w:basedOn w:val="34"/>
    <w:qFormat/>
    <w:uiPriority w:val="0"/>
    <w:pPr>
      <w:numPr>
        <w:ilvl w:val="0"/>
        <w:numId w:val="6"/>
      </w:numPr>
      <w:spacing w:line="240" w:lineRule="auto"/>
      <w:ind w:firstLine="0" w:firstLineChars="0"/>
    </w:pPr>
    <w:rPr>
      <w:rFonts w:ascii="宋体" w:hAnsi="Times New Roman" w:eastAsia="宋体" w:cs="Times New Roman"/>
      <w:kern w:val="0"/>
      <w:sz w:val="21"/>
      <w:szCs w:val="20"/>
    </w:rPr>
  </w:style>
  <w:style w:type="character" w:customStyle="1" w:styleId="66">
    <w:name w:val="日期 字符"/>
    <w:basedOn w:val="20"/>
    <w:link w:val="8"/>
    <w:semiHidden/>
    <w:qFormat/>
    <w:uiPriority w:val="99"/>
    <w:rPr>
      <w:rFonts w:ascii="Calibri" w:hAnsi="Calibri" w:cs="Calibri"/>
      <w:kern w:val="2"/>
      <w:sz w:val="21"/>
      <w:szCs w:val="24"/>
    </w:rPr>
  </w:style>
  <w:style w:type="character" w:customStyle="1" w:styleId="67">
    <w:name w:val="标题 字符"/>
    <w:basedOn w:val="20"/>
    <w:link w:val="16"/>
    <w:qFormat/>
    <w:uiPriority w:val="10"/>
    <w:rPr>
      <w:rFonts w:asciiTheme="majorHAnsi" w:hAnsiTheme="majorHAnsi" w:eastAsiaTheme="majorEastAsia" w:cstheme="majorBidi"/>
      <w:b/>
      <w:bCs/>
      <w:kern w:val="2"/>
      <w:sz w:val="32"/>
      <w:szCs w:val="32"/>
    </w:rPr>
  </w:style>
  <w:style w:type="table" w:customStyle="1" w:styleId="68">
    <w:name w:val="网格型1"/>
    <w:basedOn w:val="1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1" Type="http://schemas.openxmlformats.org/officeDocument/2006/relationships/fontTable" Target="fontTable.xml"/><Relationship Id="rId30" Type="http://schemas.openxmlformats.org/officeDocument/2006/relationships/customXml" Target="../customXml/item3.xml"/><Relationship Id="rId3" Type="http://schemas.openxmlformats.org/officeDocument/2006/relationships/footer" Target="footer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jpe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ontractReview xmlns="http://schemas.wps.cn/vas-ai-hub/contract-review">
  <reviewItems>
    <reviewItem>
      <errorID>1b5137f8-29df-4648-b493-b4b34080f247</errorID>
      <errorWord>《南美白对虾与青蟹混养技术规范》（征求意见稿）</errorWord>
      <group>L1_Knowledge</group>
      <groupName>知识性问题</groupName>
      <ability>L2_Knowledge</ability>
      <abilityName>其他知识</abilityName>
      <candidateList>
        <item>《南美白对虾与青蟹混养技术规范（征求意见稿）》</item>
      </candidateList>
      <explain>疑似政策文件、法律法规名称等书写不规范，请注意检查。</explain>
      <paraID>2C055057</paraID>
      <start>4</start>
      <end>27</end>
      <status>ignored</status>
      <modifiedWord/>
      <trackRevisions>false</trackRevisions>
    </reviewItem>
    <reviewItem>
      <errorID>5ce88b78-bc75-4a9f-a794-b9faa0b352ce</errorID>
      <errorWord>15%-20%</errorWord>
      <group>L1_Knowledge</group>
      <groupName>知识性问题</groupName>
      <ability>L2_Knowledge</ability>
      <abilityName>其他知识</abilityName>
      <candidateList>
        <item>15%—20%</item>
      </candidateList>
      <explain>1. “15%-20%”中的单位“%”仅出现在后一个数字上，容易引起歧义；根据《现代汉语标点符号数字用法规范手册》，数字表示范围两边需要使用统一的格式。2. 根据标点国标 4.13 中的规则，数字、时间或地域连接符应使用（视觉上更长的）“—”或“～”。</explain>
      <paraID>487B5237</paraID>
      <start>532</start>
      <end>539</end>
      <status>ignored</status>
      <modifiedWord/>
      <trackRevisions>false</trackRevisions>
    </reviewItem>
    <reviewItem>
      <errorID>08907310-5ef0-4acf-92bb-7b1436539adc</errorID>
      <errorWord>3-5万</errorWord>
      <group>L1_Knowledge</group>
      <groupName>知识性问题</groupName>
      <ability>L2_Knowledge</ability>
      <abilityName>其他知识</abilityName>
      <candidateList>
        <item>3万—5万</item>
      </candidateList>
      <explain>1. “3-5万”中的单位“万”仅出现在后一个数字上，容易引起歧义；根据《现代汉语标点符号数字用法规范手册》，数字表示范围两边需要使用统一的格式。2. 根据标点国标 4.13 中的规则，数字、时间或地域连接符应使用（视觉上更长的）“—”或“～”。</explain>
      <paraID>438A33D2</paraID>
      <start>107</start>
      <end>112</end>
      <status>modified</status>
      <modifiedWord>3万—5万</modifiedWord>
      <trackRevisions>false</trackRevisions>
    </reviewItem>
    <reviewItem>
      <errorID>34178439-06d8-4c09-87a9-dd5bde986f54</errorID>
      <errorWord>；</errorWord>
      <group>L1_Word</group>
      <groupName>字词问题</groupName>
      <ability>L2_Typo</ability>
      <abilityName>字词错误</abilityName>
      <candidateList>
        <item>；在</item>
      </candidateList>
      <explain/>
      <paraID>438A33D2</paraID>
      <start>133</start>
      <end>135</end>
      <status>modified</status>
      <modifiedWord>；在</modifiedWord>
      <trackRevisions>false</trackRevisions>
    </reviewItem>
    <reviewItem>
      <errorID>b095d7fb-edb0-47e9-ab53-e0f0e4f22766</errorID>
      <errorWord>；</errorWord>
      <group>L1_Word</group>
      <groupName>字词问题</groupName>
      <ability>L2_Typo</ability>
      <abilityName>字词错误</abilityName>
      <candidateList>
        <item>；在</item>
      </candidateList>
      <explain/>
      <paraID>438A33D2</paraID>
      <start>360</start>
      <end>362</end>
      <status>modified</status>
      <modifiedWord>；在</modifiedWord>
      <trackRevisions>false</trackRevisions>
    </reviewItem>
    <reviewItem>
      <errorID>98d8df2b-42e3-4f8a-87ef-fb5ebbfe4692</errorID>
      <errorWord>对虾白斑综合症</errorWord>
      <group>L1_Knowledge</group>
      <groupName>知识性问题</groupName>
      <ability>L2_Term</ability>
      <abilityName>专业术语</abilityName>
      <candidateList>
        <item>对虾白斑综合征</item>
      </candidateList>
      <explain/>
      <paraID>438A33D2</paraID>
      <start>566</start>
      <end>573</end>
      <status>ignored</status>
      <modifiedWord/>
      <trackRevisions>false</trackRevisions>
    </reviewItem>
    <reviewItem>
      <errorID>8881d024-52aa-4f25-af9d-1b9380a4eed1</errorID>
      <errorWord>30%-50%</errorWord>
      <group>L1_Knowledge</group>
      <groupName>知识性问题</groupName>
      <ability>L2_Knowledge</ability>
      <abilityName>其他知识</abilityName>
      <candidateList>
        <item>30%—50%</item>
      </candidateList>
      <explain>1. “30%-50%”中的单位“%”仅出现在后一个数字上，容易引起歧义；根据《现代汉语标点符号数字用法规范手册》，数字表示范围两边需要使用统一的格式。2. 根据标点国标 4.13 中的规则，数字、时间或地域连接符应使用（视觉上更长的）“—”或“～”。</explain>
      <paraID>438A33D2</paraID>
      <start>599</start>
      <end>606</end>
      <status>ignored</status>
      <modifiedWord/>
      <trackRevisions>false</trackRevisions>
    </reviewItem>
    <reviewItem>
      <errorID>744a11dd-4e6c-44fd-a44a-c2a7d0f409eb</errorID>
      <errorWord>，</errorWord>
      <group>L1_Word</group>
      <groupName>字词问题</groupName>
      <ability>L2_Typo</ability>
      <abilityName>字词错误</abilityName>
      <candidateList>
        <item>，对</item>
      </candidateList>
      <explain/>
      <paraID>3A9B5362</paraID>
      <start>95</start>
      <end>97</end>
      <status>modified</status>
      <modifiedWord>，对</modifiedWord>
      <trackRevisions>false</trackRevisions>
    </reviewItem>
    <reviewItem>
      <errorID>ef8f19df-1fa2-46b3-9710-fed56ddfe16b</errorID>
      <errorWord>15%~20%</errorWord>
      <group>L1_Knowledge</group>
      <groupName>知识性问题</groupName>
      <ability>L2_Knowledge</ability>
      <abilityName>其他知识</abilityName>
      <candidateList>
        <item>15%～20%</item>
      </candidateList>
      <explain>1. “15%~20%”中的单位“%”仅出现在后一个数字上，容易引起歧义；根据《现代汉语标点符号数字用法规范手册》，数字表示范围两边需要使用统一的格式。2. 根据标点国标 4.13 中的规则，数字、时间或地域连接符应使用（视觉上更长的）“—”或“～”。</explain>
      <paraID>2AF0F8EB</paraID>
      <start>122</start>
      <end>129</end>
      <status>modified</status>
      <modifiedWord>15%～20%</modifiedWord>
      <trackRevisions>false</trackRevisions>
    </reviewItem>
    <reviewItem>
      <errorID>218e7cde-8b99-4920-b86c-3b66a16ac4e1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108007C0</paraID>
      <start>37</start>
      <end>38</end>
      <status>ignored</status>
      <modifiedWord/>
      <trackRevisions>false</trackRevisions>
    </reviewItem>
    <reviewItem>
      <errorID>16471f69-3240-4cb6-85e2-74e2df6dfd28</errorID>
      <errorWord>等的</errorWord>
      <group>L1_Word</group>
      <groupName>字词问题</groupName>
      <ability>L2_Typo</ability>
      <abilityName>字词错误</abilityName>
      <candidateList>
        <item>等</item>
      </candidateList>
      <explain>〈助〉❶〈书〉用在人称代词或指人的名词后面，表示复数：我～｜彼～。❷表示列举未尽（可以叠用）：北京、天津～地｜纸张文具～～。❸列举后煞尾：长江、黄河、黑龙江、珠江～四大河流。</explain>
      <paraID> 10ED1D4</paraID>
      <start>68</start>
      <end>70</end>
      <status>ignored</status>
      <modifiedWord/>
      <trackRevisions>false</trackRevisions>
    </reviewItem>
    <reviewItem>
      <errorID>ef671f2c-83bd-4917-887b-d8fa7e598cfd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4870BFA9</paraID>
      <start>7</start>
      <end>8</end>
      <status>ignored</status>
      <modifiedWord/>
      <trackRevisions>false</trackRevisions>
    </reviewItem>
    <reviewItem>
      <errorID>ce52bce1-fd17-433a-866a-6c415219a1cf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28759C43</paraID>
      <start>8</start>
      <end>9</end>
      <status>ignored</status>
      <modifiedWord/>
      <trackRevisions>false</trackRevisions>
    </reviewItem>
    <reviewItem>
      <errorID>84088a84-dc48-4b88-8160-57b0a4ee0784</errorID>
      <errorWord>《南美白对虾与青蟹混养技术规范》（草案）</errorWord>
      <group>L1_Knowledge</group>
      <groupName>知识性问题</groupName>
      <ability>L2_Knowledge</ability>
      <abilityName>其他知识</abilityName>
      <candidateList>
        <item>《南美白对虾与青蟹混养技术规范（草案）》</item>
      </candidateList>
      <explain>疑似政策文件、法律法规名称等书写不规范，请注意检查。</explain>
      <paraID>28759C43</paraID>
      <start>103</start>
      <end>123</end>
      <status>ignored</status>
      <modifiedWord/>
      <trackRevisions>false</trackRevisions>
    </reviewItem>
    <reviewItem>
      <errorID>cd84fe49-fee5-4dc4-927e-8ecb6ca5ed5a</errorID>
      <errorWord>产业园中</errorWord>
      <group>L1_Word</group>
      <groupName>字词问题</groupName>
      <ability>L2_Typo</ability>
      <abilityName>字词错误</abilityName>
      <candidateList>
        <item>产业园</item>
      </candidateList>
      <explain/>
      <paraID>42F87AAD</paraID>
      <start>23</start>
      <end>26</end>
      <status>modified</status>
      <modifiedWord>产业园</modifiedWord>
      <trackRevisions>false</trackRevisions>
    </reviewItem>
    <reviewItem>
      <errorID>a7b51049-c5ba-4ffb-9b7f-af80ba02f0df</errorID>
      <errorWord>《南美白对虾与青蟹混养技术规范》（征求意见稿）</errorWord>
      <group>L1_Knowledge</group>
      <groupName>知识性问题</groupName>
      <ability>L2_Knowledge</ability>
      <abilityName>其他知识</abilityName>
      <candidateList>
        <item>《南美白对虾与青蟹混养技术规范（征求意见稿）》</item>
      </candidateList>
      <explain>疑似政策文件、法律法规名称等书写不规范，请注意检查。</explain>
      <paraID>42F87AAD</paraID>
      <start>230</start>
      <end>253</end>
      <status>ignored</status>
      <modifiedWord/>
      <trackRevisions>false</trackRevisions>
    </reviewItem>
    <reviewItem>
      <errorID>59eb3fb7-bea3-497f-9c40-7b50a886f6de</errorID>
      <errorWord>法律、法规</errorWord>
      <group>L1_Word</group>
      <groupName>字词问题</groupName>
      <ability>L2_Typo</ability>
      <abilityName>字词错误</abilityName>
      <candidateList>
        <item>法律法规</item>
      </candidateList>
      <explain/>
      <paraID>69FA3571</paraID>
      <start>16</start>
      <end>21</end>
      <status>ignored</status>
      <modifiedWord/>
      <trackRevisions>false</trackRevisions>
    </reviewItem>
    <reviewItem>
      <errorID>66b9bf77-ae42-4dd2-92bd-bce7ead6d987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5B3F563F</paraID>
      <start>0</start>
      <end>2</end>
      <status>modified</status>
      <modifiedWord>1.</modifiedWord>
      <trackRevisions>false</trackRevisions>
    </reviewItem>
    <reviewItem>
      <errorID>a5fe2485-5b2a-4842-bfb7-8facc714c89b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5627CEB1</paraID>
      <start>0</start>
      <end>2</end>
      <status>modified</status>
      <modifiedWord>2.</modifiedWord>
      <trackRevisions>false</trackRevisions>
    </reviewItem>
    <reviewItem>
      <errorID>1cdd04a3-9bcd-44b1-8462-1e532aa128cd</errorID>
      <errorWord>了与</errorWord>
      <group>L1_Word</group>
      <groupName>字词问题</groupName>
      <ability>L2_Typo</ability>
      <abilityName>字词错误</abilityName>
      <candidateList>
        <item>了</item>
      </candidateList>
      <explain>（瞭）liǎo明白；懂得：～然｜～解｜明～｜～如指掌。</explain>
      <paraID>50314EF1</paraID>
      <start>10</start>
      <end>11</end>
      <status>modified</status>
      <modifiedWord>了</modifiedWord>
      <trackRevisions>false</trackRevisions>
    </reviewItem>
    <reviewItem>
      <errorID>cb57fe28-828d-46bb-acf9-4e4af795aad3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EAE49F2</paraID>
      <start>0</start>
      <end>2</end>
      <status>modified</status>
      <modifiedWord>3.</modifiedWord>
      <trackRevisions>false</trackRevisions>
    </reviewItem>
    <reviewItem>
      <errorID>a4524a62-012d-4c6a-add0-8ff245ac600a</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6CC71D6B</paraID>
      <start>0</start>
      <end>2</end>
      <status>modified</status>
      <modifiedWord>4.</modifiedWord>
      <trackRevisions>false</trackRevisions>
    </reviewItem>
    <reviewItem>
      <errorID>2995e86e-7d6f-43c2-b148-661a2927f83a</errorID>
      <errorWord>法律、法规</errorWord>
      <group>L1_Word</group>
      <groupName>字词问题</groupName>
      <ability>L2_Typo</ability>
      <abilityName>字词错误</abilityName>
      <candidateList>
        <item>法律法规</item>
      </candidateList>
      <explain/>
      <paraID>5D8023B0</paraID>
      <start>6</start>
      <end>11</end>
      <status>ignored</status>
      <modifiedWord/>
      <trackRevisions>false</trackRevisions>
    </reviewItem>
    <reviewItem>
      <errorID>7dfb4c68-51a5-4784-b49b-9ed49641f9ba</errorID>
      <errorWord>整</errorWord>
      <group>L1_Word</group>
      <groupName>字词问题</groupName>
      <ability>L2_Typo</ability>
      <abilityName>字词错误</abilityName>
      <candidateList>
        <item>螯</item>
      </candidateList>
      <explain/>
      <paraID> 592B175</paraID>
      <start>153</start>
      <end>154</end>
      <status>modified</status>
      <modifiedWord>螯</modifiedWord>
      <trackRevisions>false</trackRevisions>
    </reviewItem>
    <reviewItem>
      <errorID>d347d5da-4270-406b-9791-5e6b4853265a</errorID>
      <errorWord>细沙</errorWord>
      <group>L1_Word</group>
      <groupName>字词问题</groupName>
      <ability>L2_Typo</ability>
      <abilityName>字词错误</abilityName>
      <candidateList>
        <item>细砂</item>
      </candidateList>
      <explain>存在发音相同字词的误用。</explain>
      <paraID> 592B175</paraID>
      <start>698</start>
      <end>700</end>
      <status>ignored</status>
      <modifiedWord/>
      <trackRevisions>false</trackRevisions>
    </reviewItem>
    <reviewItem>
      <errorID>3bbbbe38-f9b8-4e04-a4fc-831347416077</errorID>
      <errorWord>变</errorWord>
      <group>L1_Word</group>
      <groupName>字词问题</groupName>
      <ability>L2_Typo</ability>
      <abilityName>字词错误</abilityName>
      <candidateList>
        <item>变化</item>
      </candidateList>
      <explain/>
      <paraID>5DE741FC</paraID>
      <start>181</start>
      <end>183</end>
      <status>modified</status>
      <modifiedWord>变化</modifiedWord>
      <trackRevisions>false</trackRevisions>
    </reviewItem>
    <reviewItem>
      <errorID>de67eb5a-ad00-4c98-a78c-c346be6a6125</errorID>
      <errorWord>～</errorWord>
      <group>L1_Format</group>
      <groupName>格式问题</groupName>
      <ability>L2_HalfPunc</ability>
      <abilityName>全半角检查</abilityName>
      <candidateList>
        <item>~</item>
      </candidateList>
      <explain>文本全半角错误。</explain>
      <paraID>39047E06</paraID>
      <start>3</start>
      <end>4</end>
      <status>ignored</status>
      <modifiedWord/>
      <trackRevisions>false</trackRevisions>
    </reviewItem>
    <reviewItem>
      <errorID>5e47d00e-bb25-449b-aaeb-89db21d05bba</errorID>
      <errorWord>～</errorWord>
      <group>L1_Format</group>
      <groupName>格式问题</groupName>
      <ability>L2_HalfPunc</ability>
      <abilityName>全半角检查</abilityName>
      <candidateList>
        <item>~</item>
      </candidateList>
      <explain>文本全半角错误。</explain>
      <paraID>6356A559</paraID>
      <start>3</start>
      <end>4</end>
      <status>ignored</status>
      <modifiedWord/>
      <trackRevisions>false</trackRevisions>
    </reviewItem>
    <reviewItem>
      <errorID>7d5a4be6-93bc-4117-899f-86547369c5f4</errorID>
      <errorWord>～</errorWord>
      <group>L1_Format</group>
      <groupName>格式问题</groupName>
      <ability>L2_HalfPunc</ability>
      <abilityName>全半角检查</abilityName>
      <candidateList>
        <item>~</item>
      </candidateList>
      <explain>文本全半角错误。</explain>
      <paraID> 6ABA87A</paraID>
      <start>3</start>
      <end>4</end>
      <status>ignored</status>
      <modifiedWord/>
      <trackRevisions>false</trackRevisions>
    </reviewItem>
    <reviewItem>
      <errorID>0a9fb610-d488-4516-b549-5975b3de0fb1</errorID>
      <errorWord>～</errorWord>
      <group>L1_Format</group>
      <groupName>格式问题</groupName>
      <ability>L2_HalfPunc</ability>
      <abilityName>全半角检查</abilityName>
      <candidateList>
        <item>~</item>
      </candidateList>
      <explain>文本全半角错误。</explain>
      <paraID>5B335849</paraID>
      <start>3</start>
      <end>4</end>
      <status>ignored</status>
      <modifiedWord/>
      <trackRevisions>false</trackRevisions>
    </reviewItem>
    <reviewItem>
      <errorID>e2f5686b-687a-41c9-b338-4d3a390e85fe</errorID>
      <errorWord>～</errorWord>
      <group>L1_Format</group>
      <groupName>格式问题</groupName>
      <ability>L2_HalfPunc</ability>
      <abilityName>全半角检查</abilityName>
      <candidateList>
        <item>~</item>
      </candidateList>
      <explain>文本全半角错误。</explain>
      <paraID>6EB439EC</paraID>
      <start>3</start>
      <end>4</end>
      <status>ignored</status>
      <modifiedWord/>
      <trackRevisions>false</trackRevisions>
    </reviewItem>
    <reviewItem>
      <errorID>1fcb15e4-b82a-4412-b99a-11eeadfdbcc0</errorID>
      <errorWord>～</errorWord>
      <group>L1_Format</group>
      <groupName>格式问题</groupName>
      <ability>L2_HalfPunc</ability>
      <abilityName>全半角检查</abilityName>
      <candidateList>
        <item>~</item>
      </candidateList>
      <explain>文本全半角错误。</explain>
      <paraID> 46FE07D</paraID>
      <start>3</start>
      <end>4</end>
      <status>ignored</status>
      <modifiedWord/>
      <trackRevisions>false</trackRevisions>
    </reviewItem>
    <reviewItem>
      <errorID>aa159ddb-9a0f-4b3c-88ad-a69d5bd24e31</errorID>
      <errorWord>～</errorWord>
      <group>L1_Format</group>
      <groupName>格式问题</groupName>
      <ability>L2_HalfPunc</ability>
      <abilityName>全半角检查</abilityName>
      <candidateList>
        <item>~</item>
      </candidateList>
      <explain>文本全半角错误。</explain>
      <paraID>4FFBAF86</paraID>
      <start>3</start>
      <end>4</end>
      <status>ignored</status>
      <modifiedWord/>
      <trackRevisions>false</trackRevisions>
    </reviewItem>
    <reviewItem>
      <errorID>b5ae76c6-257b-4f36-a499-899b2cbc9b17</errorID>
      <errorWord>～</errorWord>
      <group>L1_Format</group>
      <groupName>格式问题</groupName>
      <ability>L2_HalfPunc</ability>
      <abilityName>全半角检查</abilityName>
      <candidateList>
        <item>~</item>
      </candidateList>
      <explain>文本全半角错误。</explain>
      <paraID>2A538B89</paraID>
      <start>3</start>
      <end>4</end>
      <status>ignored</status>
      <modifiedWord/>
      <trackRevisions>false</trackRevisions>
    </reviewItem>
    <reviewItem>
      <errorID>0fac2443-6395-40f9-8551-c9c51916e692</errorID>
      <errorWord>～</errorWord>
      <group>L1_Format</group>
      <groupName>格式问题</groupName>
      <ability>L2_HalfPunc</ability>
      <abilityName>全半角检查</abilityName>
      <candidateList>
        <item>~</item>
      </candidateList>
      <explain>文本全半角错误。</explain>
      <paraID>416743E3</paraID>
      <start>3</start>
      <end>4</end>
      <status>ignored</status>
      <modifiedWord/>
      <trackRevisions>false</trackRevisions>
    </reviewItem>
    <reviewItem>
      <errorID>99813144-639f-4790-bf09-7cd78c53f886</errorID>
      <errorWord>～</errorWord>
      <group>L1_Format</group>
      <groupName>格式问题</groupName>
      <ability>L2_HalfPunc</ability>
      <abilityName>全半角检查</abilityName>
      <candidateList>
        <item>~</item>
      </candidateList>
      <explain>文本全半角错误。</explain>
      <paraID>6C7F9878</paraID>
      <start>3</start>
      <end>4</end>
      <status>ignored</status>
      <modifiedWord/>
      <trackRevisions>false</trackRevisions>
    </reviewItem>
    <reviewItem>
      <errorID>fdeb003d-906d-494d-b0df-b3ef5d2eadd2</errorID>
      <errorWord>＞</errorWord>
      <group>L1_Format</group>
      <groupName>格式问题</groupName>
      <ability>L2_HalfPunc</ability>
      <abilityName>全半角检查</abilityName>
      <candidateList>
        <item>&gt;</item>
      </candidateList>
      <explain>文本全半角错误。</explain>
      <paraID>5A8C7A82</paraID>
      <start>0</start>
      <end>1</end>
      <status>modified</status>
      <modifiedWord>&gt;</modifiedWord>
      <trackRevisions>false</trackRevisions>
    </reviewItem>
    <reviewItem>
      <errorID>2ce0d01a-1d70-40de-9bed-12543392f768</errorID>
      <errorWord>＞</errorWord>
      <group>L1_Format</group>
      <groupName>格式问题</groupName>
      <ability>L2_HalfPunc</ability>
      <abilityName>全半角检查</abilityName>
      <candidateList>
        <item>&gt;</item>
      </candidateList>
      <explain>文本全半角错误。</explain>
      <paraID>60603996</paraID>
      <start>0</start>
      <end>1</end>
      <status>modified</status>
      <modifiedWord>&gt;</modifiedWord>
      <trackRevisions>false</trackRevisions>
    </reviewItem>
    <reviewItem>
      <errorID>8e7756b1-9873-4524-9b4f-8012a11e81e2</errorID>
      <errorWord>＞</errorWord>
      <group>L1_Format</group>
      <groupName>格式问题</groupName>
      <ability>L2_HalfPunc</ability>
      <abilityName>全半角检查</abilityName>
      <candidateList>
        <item>&gt;</item>
      </candidateList>
      <explain>文本全半角错误。</explain>
      <paraID>47502688</paraID>
      <start>0</start>
      <end>1</end>
      <status>modified</status>
      <modifiedWord>&gt;</modifiedWord>
      <trackRevisions>false</trackRevisions>
    </reviewItem>
    <reviewItem>
      <errorID>5228fae3-8406-4537-92e3-717d2e5030e8</errorID>
      <errorWord>＞</errorWord>
      <group>L1_Format</group>
      <groupName>格式问题</groupName>
      <ability>L2_HalfPunc</ability>
      <abilityName>全半角检查</abilityName>
      <candidateList>
        <item>&gt;</item>
      </candidateList>
      <explain>文本全半角错误。</explain>
      <paraID>5342D3C6</paraID>
      <start>0</start>
      <end>1</end>
      <status>modified</status>
      <modifiedWord>&gt;</modifiedWord>
      <trackRevisions>false</trackRevisions>
    </reviewItem>
    <reviewItem>
      <errorID>b2cd836c-eb5a-4729-bf35-bce594503edc</errorID>
      <errorWord>＞</errorWord>
      <group>L1_Format</group>
      <groupName>格式问题</groupName>
      <ability>L2_HalfPunc</ability>
      <abilityName>全半角检查</abilityName>
      <candidateList>
        <item>&gt;</item>
      </candidateList>
      <explain>文本全半角错误。</explain>
      <paraID>3B14CCC5</paraID>
      <start>0</start>
      <end>1</end>
      <status>modified</status>
      <modifiedWord>&gt;</modifiedWord>
      <trackRevisions>false</trackRevisions>
    </reviewItem>
    <reviewItem>
      <errorID>0fabab4b-1a62-48bf-a34a-54929feb3d41</errorID>
      <errorWord>藻类爆发</errorWord>
      <group>L1_Word</group>
      <groupName>字词问题</groupName>
      <ability>L2_Typo</ability>
      <abilityName>字词错误</abilityName>
      <candidateList>
        <item>藻类暴发</item>
      </candidateList>
      <explain/>
      <paraID>1B0F9AA0</paraID>
      <start>155</start>
      <end>159</end>
      <status>ignored</status>
      <modifiedWord/>
      <trackRevisions>false</trackRevisions>
    </reviewItem>
    <reviewItem>
      <errorID>07f940be-5abc-4a21-9fb0-e08b38a378a4</errorID>
      <errorWord>水筛</errorWord>
      <group>L1_Word</group>
      <groupName>字词问题</groupName>
      <ability>L2_Typo</ability>
      <abilityName>字词错误</abilityName>
      <candidateList>
        <item>水藻</item>
      </candidateList>
      <explain/>
      <paraID>686DD0AC</paraID>
      <start>127</start>
      <end>129</end>
      <status>ignored</status>
      <modifiedWord/>
      <trackRevisions>false</trackRevisions>
    </reviewItem>
    <reviewItem>
      <errorID>efbdf179-2e5d-4c8d-8830-04c6af64601d</errorID>
      <errorWord>水筛</errorWord>
      <group>L1_Word</group>
      <groupName>字词问题</groupName>
      <ability>L2_Typo</ability>
      <abilityName>字词错误</abilityName>
      <candidateList>
        <item>水藻</item>
      </candidateList>
      <explain/>
      <paraID>686DD0AC</paraID>
      <start>254</start>
      <end>256</end>
      <status>ignored</status>
      <modifiedWord/>
      <trackRevisions>false</trackRevisions>
    </reviewItem>
    <reviewItem>
      <errorID>fd06d02f-1b63-4f40-9f36-77363383a9bf</errorID>
      <errorWord>，是</errorWord>
      <group>L1_Word</group>
      <groupName>字词问题</groupName>
      <ability>L2_Typo</ability>
      <abilityName>字词错误</abilityName>
      <candidateList>
        <item>，</item>
      </candidateList>
      <explain/>
      <paraID>7B34A2C9</paraID>
      <start>176</start>
      <end>178</end>
      <status>ignored</status>
      <modifiedWord/>
      <trackRevisions>false</trackRevisions>
    </reviewItem>
    <reviewItem>
      <errorID>7b0dd0b3-9139-4de7-b53f-faf685b0fa1d</errorID>
      <errorWord>爆发</errorWord>
      <group>L1_Word</group>
      <groupName>字词问题</groupName>
      <ability>L2_Typo</ability>
      <abilityName>字词错误</abilityName>
      <candidateList>
        <item>暴发</item>
      </candidateList>
      <explain>〈动〉❶突然发财或得势（多含贬义）：～户。❷突然发作：山洪～。</explain>
      <paraID>409FB1AC</paraID>
      <start>389</start>
      <end>391</end>
      <status>ignored</status>
      <modifiedWord/>
      <trackRevisions>false</trackRevisions>
    </reviewItem>
    <reviewItem>
      <errorID>992e1424-e23d-4fd7-b4a7-4e5dad2aed93</errorID>
      <errorWord>，</errorWord>
      <group>L1_Word</group>
      <groupName>字词问题</groupName>
      <ability>L2_Typo</ability>
      <abilityName>字词错误</abilityName>
      <candidateList>
        <item>，进</item>
      </candidateList>
      <explain/>
      <paraID>68258450</paraID>
      <start>308</start>
      <end>309</end>
      <status>ignored</status>
      <modifiedWord/>
      <trackRevisions>false</trackRevisions>
    </reviewItem>
    <reviewItem>
      <errorID>746327e1-8d18-4049-a9c3-26b050d98f1b</errorID>
      <errorWord>入大</errorWord>
      <group>L1_Word</group>
      <groupName>字词问题</groupName>
      <ability>L2_Typo</ability>
      <abilityName>字词错误</abilityName>
      <candidateList>
        <item>入</item>
      </candidateList>
      <explain>❶〈动〉进来或进去（跟“出”相对）：投～｜～冬｜由浅～深｜纳～正轨。❷〈动〉参加到某种组织中，成为它的成员：～学｜～团｜～伍。❸收入：岁～｜～不敷出｜量～为出。❹合乎：～时｜～情～理。❺入声：平上去～。</explain>
      <paraID>68258450</paraID>
      <start>309</start>
      <end>311</end>
      <status>ignored</status>
      <modifiedWord/>
      <trackRevisions>false</trackRevisions>
    </reviewItem>
    <reviewItem>
      <errorID>6c323950-ad3d-4f8a-88dd-d32b3a5f76b4</errorID>
      <errorWord>霉</errorWord>
      <group>L1_Word</group>
      <groupName>字词问题</groupName>
      <ability>L2_Typo</ability>
      <abilityName>字词错误</abilityName>
      <candidateList>
        <item>霉毒</item>
      </candidateList>
      <explain/>
      <paraID>4F882F7C</paraID>
      <start>106</start>
      <end>107</end>
      <status>ignored</status>
      <modifiedWord/>
      <trackRevisions>false</trackRevisions>
    </reviewItem>
    <reviewItem>
      <errorID>b1fcd915-a37a-4061-a3e0-f31cb018f0e7</errorID>
      <errorWord>蟹道</errorWord>
      <group>L1_Word</group>
      <groupName>字词问题</groupName>
      <ability>L2_Typo</ability>
      <abilityName>字词错误</abilityName>
      <candidateList>
        <item>蟹</item>
      </candidateList>
      <explain/>
      <paraID>79F8E509</paraID>
      <start>88</start>
      <end>90</end>
      <status>ignored</status>
      <modifiedWord/>
      <trackRevisions>false</trackRevisions>
    </reviewItem>
    <reviewItem>
      <errorID>91d1604a-a40e-49cb-98ea-dcd1b9af23ec</errorID>
      <errorWord>，</errorWord>
      <group>L1_Word</group>
      <groupName>字词问题</groupName>
      <ability>L2_Typo</ability>
      <abilityName>字词错误</abilityName>
      <candidateList>
        <item>，可</item>
      </candidateList>
      <explain/>
      <paraID>2E5AEB4F</paraID>
      <start>212</start>
      <end>213</end>
      <status>ignored</status>
      <modifiedWord/>
      <trackRevisions>false</trackRevisions>
    </reviewItem>
    <reviewItem>
      <errorID>ce6eab70-0036-4a6f-b862-0a31491b1da5</errorID>
      <errorWord>小球藻种</errorWord>
      <group>L1_Word</group>
      <groupName>字词问题</groupName>
      <ability>L2_Typo</ability>
      <abilityName>字词错误</abilityName>
      <candidateList>
        <item>小球藻</item>
      </candidateList>
      <explain/>
      <paraID>1D084F9A</paraID>
      <start>158</start>
      <end>162</end>
      <status>ignored</status>
      <modifiedWord/>
      <trackRevisions>false</trackRevisions>
    </reviewItem>
    <reviewItem>
      <errorID>c82918df-63cc-4459-aba4-bed186f58c3a</errorID>
      <errorWord>藻类爆发</errorWord>
      <group>L1_Word</group>
      <groupName>字词问题</groupName>
      <ability>L2_Typo</ability>
      <abilityName>字词错误</abilityName>
      <candidateList>
        <item>藻类暴发</item>
      </candidateList>
      <explain/>
      <paraID>7D31E529</paraID>
      <start>201</start>
      <end>205</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72A2F6-D823-40B3-8291-5366788C423B}">
  <ds:schemaRefs/>
</ds:datastoreItem>
</file>

<file path=customXml/itemProps3.xml><?xml version="1.0" encoding="utf-8"?>
<ds:datastoreItem xmlns:ds="http://schemas.openxmlformats.org/officeDocument/2006/customXml" ds:itemID="{b452ac2f-440f-46fb-87d4-9106692cfde2}">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39</Pages>
  <Words>8828</Words>
  <Characters>9213</Characters>
  <Lines>67</Lines>
  <Paragraphs>19</Paragraphs>
  <TotalTime>9</TotalTime>
  <ScaleCrop>false</ScaleCrop>
  <LinksUpToDate>false</LinksUpToDate>
  <CharactersWithSpaces>9331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2024-09-29T09:06:00Z</dcterms:created>
  <dc:creator>Administrator</dc:creator>
  <cp:lastModifiedBy>树年强</cp:lastModifiedBy>
  <cp:lastPrinted>2025-05-09T02:21:00Z</cp:lastPrinted>
  <dcterms:modified xsi:type="dcterms:W3CDTF">2026-01-31T09:08:17Z</dcterms:modified>
  <cp:revision>405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A922D90BF3B641DA8C66AE267C36FA1E_13</vt:lpwstr>
  </property>
  <property fmtid="{D5CDD505-2E9C-101B-9397-08002B2CF9AE}" pid="4" name="KSOTemplateDocerSaveRecord">
    <vt:lpwstr>eyJoZGlkIjoiNWQ2M2M3NjMwOWFmYTljMzU3NzA1NWI2MjAwNmRhMmMiLCJ1c2VySWQiOiI2Mzk4NzAxMjYifQ==</vt:lpwstr>
  </property>
</Properties>
</file>