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43EE9F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62317F3">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CDB7270">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67.180.20</w:t>
            </w:r>
            <w:r>
              <w:rPr>
                <w:rFonts w:ascii="黑体" w:hAnsi="黑体" w:eastAsia="黑体"/>
                <w:sz w:val="21"/>
                <w:szCs w:val="21"/>
              </w:rPr>
              <w:fldChar w:fldCharType="end"/>
            </w:r>
            <w:bookmarkEnd w:id="0"/>
          </w:p>
        </w:tc>
      </w:tr>
      <w:tr w14:paraId="7EAE27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FCF09EE">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8"/>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3699F84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3E9C9E40">
                  <w:pPr>
                    <w:pStyle w:val="51"/>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4EAC9086">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X 11</w:t>
            </w:r>
            <w:r>
              <w:rPr>
                <w:rFonts w:ascii="黑体" w:hAnsi="黑体" w:eastAsia="黑体"/>
                <w:sz w:val="21"/>
                <w:szCs w:val="21"/>
              </w:rPr>
              <w:fldChar w:fldCharType="end"/>
            </w:r>
            <w:bookmarkEnd w:id="2"/>
          </w:p>
        </w:tc>
      </w:tr>
    </w:tbl>
    <w:p w14:paraId="7CA3CEF9">
      <w:pPr>
        <w:pStyle w:val="52"/>
        <w:framePr w:w="9639" w:h="624" w:hRule="exact" w:hSpace="181" w:vSpace="181" w:wrap="around" w:hAnchor="page" w:x="1305" w:y="2269"/>
        <w:rPr>
          <w:rFonts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团体标准</w:t>
      </w:r>
      <w:r>
        <w:rPr>
          <w:rFonts w:ascii="黑体" w:eastAsia="黑体"/>
          <w:b w:val="0"/>
          <w:w w:val="100"/>
          <w:sz w:val="48"/>
        </w:rPr>
        <w:fldChar w:fldCharType="end"/>
      </w:r>
      <w:bookmarkEnd w:id="4"/>
    </w:p>
    <w:bookmarkEnd w:id="3"/>
    <w:p w14:paraId="6364033F">
      <w:pPr>
        <w:pStyle w:val="197"/>
        <w:framePr/>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024A8731">
      <w:pPr>
        <w:pStyle w:val="198"/>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2302AD3D">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C95F7D0">
      <w:pPr>
        <w:pStyle w:val="52"/>
        <w:framePr w:w="9639" w:h="6976" w:hRule="exact" w:hSpace="0" w:vSpace="0" w:wrap="around" w:hAnchor="page" w:y="6408"/>
        <w:jc w:val="center"/>
        <w:rPr>
          <w:rFonts w:ascii="黑体" w:hAnsi="黑体" w:eastAsia="黑体"/>
          <w:b w:val="0"/>
          <w:bCs w:val="0"/>
          <w:w w:val="100"/>
        </w:rPr>
      </w:pPr>
    </w:p>
    <w:p w14:paraId="4D920905">
      <w:pPr>
        <w:pStyle w:val="199"/>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红桄榔粉</w:t>
      </w:r>
      <w:r>
        <w:fldChar w:fldCharType="end"/>
      </w:r>
      <w:bookmarkEnd w:id="9"/>
    </w:p>
    <w:p w14:paraId="7CF11E07">
      <w:pPr>
        <w:framePr w:w="9639" w:h="6974" w:hRule="exact" w:wrap="around" w:vAnchor="page" w:hAnchor="page" w:x="1419" w:y="6408" w:anchorLock="1"/>
        <w:ind w:left="-1418"/>
      </w:pPr>
    </w:p>
    <w:p w14:paraId="0BD30027">
      <w:pPr>
        <w:pStyle w:val="127"/>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Red sugar palm flour</w:t>
      </w:r>
      <w:r>
        <w:rPr>
          <w:rFonts w:ascii="黑体" w:hAnsi="黑体" w:eastAsia="黑体"/>
          <w:szCs w:val="28"/>
        </w:rPr>
        <w:fldChar w:fldCharType="end"/>
      </w:r>
      <w:bookmarkEnd w:id="10"/>
    </w:p>
    <w:p w14:paraId="00F972C0">
      <w:pPr>
        <w:framePr w:w="9639" w:h="6974" w:hRule="exact" w:wrap="around" w:vAnchor="page" w:hAnchor="page" w:x="1419" w:y="6408" w:anchorLock="1"/>
        <w:spacing w:line="760" w:lineRule="exact"/>
        <w:ind w:left="-1418"/>
      </w:pPr>
    </w:p>
    <w:p w14:paraId="268A620A">
      <w:pPr>
        <w:pStyle w:val="127"/>
        <w:framePr w:w="9639" w:h="6974" w:hRule="exact" w:wrap="around" w:vAnchor="page" w:hAnchor="page" w:x="1419" w:y="6408" w:anchorLock="1"/>
        <w:textAlignment w:val="bottom"/>
        <w:rPr>
          <w:rFonts w:eastAsia="黑体"/>
          <w:szCs w:val="28"/>
        </w:rPr>
      </w:pPr>
    </w:p>
    <w:p w14:paraId="2ADFAC72">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4"/>
              <w:listEntry w:val="（报批稿）"/>
              <w:listEntry w:val=" "/>
              <w:listEntry w:val="草案版次选择"/>
              <w:listEntry w:val="（工作组讨论稿）"/>
              <w:listEntry w:val="（征求意见稿）"/>
              <w:listEntry w:val="（送审讨论稿）"/>
              <w:listEntry w:val="（送审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7B20FCF9">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11087528">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0E36EF17">
      <w:pPr>
        <w:pStyle w:val="195"/>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57C4B762">
      <w:pPr>
        <w:pStyle w:val="196"/>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ED629C4">
      <w:pPr>
        <w:pStyle w:val="153"/>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20"/>
      <w:r>
        <w:rPr>
          <w:rFonts w:ascii="Times New Roman"/>
          <w:w w:val="100"/>
          <w:sz w:val="28"/>
        </w:rPr>
        <w:t>  </w:t>
      </w:r>
      <w:r>
        <w:rPr>
          <w:rStyle w:val="231"/>
          <w:rFonts w:hint="eastAsia" w:hAnsi="黑体"/>
          <w:position w:val="0"/>
        </w:rPr>
        <w:t>发</w:t>
      </w:r>
      <w:r>
        <w:rPr>
          <w:rStyle w:val="231"/>
          <w:rFonts w:hint="eastAsia" w:hAnsi="黑体"/>
          <w:spacing w:val="0"/>
          <w:position w:val="0"/>
        </w:rPr>
        <w:t>布</w:t>
      </w:r>
    </w:p>
    <w:p w14:paraId="36E4C33C">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03CD665">
      <w:pPr>
        <w:pStyle w:val="93"/>
        <w:spacing w:after="360"/>
        <w:rPr>
          <w:rFonts w:hint="eastAsia"/>
        </w:rPr>
      </w:pPr>
      <w:bookmarkStart w:id="21" w:name="BookMark1"/>
      <w:bookmarkStart w:id="22" w:name="_Toc208225699"/>
      <w:bookmarkStart w:id="23" w:name="_Toc215567075"/>
      <w:bookmarkStart w:id="24" w:name="_Toc215521100"/>
      <w:bookmarkStart w:id="25" w:name="_Toc215520130"/>
      <w:bookmarkStart w:id="26" w:name="_Toc215779456"/>
      <w:bookmarkStart w:id="27" w:name="_Toc213681874"/>
      <w:bookmarkStart w:id="28" w:name="_Toc209813273"/>
      <w:bookmarkStart w:id="29" w:name="_Toc209813019"/>
      <w:bookmarkStart w:id="30" w:name="_Toc209815958"/>
      <w:bookmarkStart w:id="31" w:name="_Toc214270453"/>
      <w:bookmarkStart w:id="32" w:name="_Toc774"/>
      <w:bookmarkStart w:id="33" w:name="_Toc209816092"/>
      <w:bookmarkStart w:id="34" w:name="_Toc215855293"/>
      <w:bookmarkStart w:id="35" w:name="_Toc209815120"/>
      <w:bookmarkStart w:id="36" w:name="_Toc215761434"/>
      <w:bookmarkStart w:id="37" w:name="_Toc221147258"/>
      <w:bookmarkStart w:id="38" w:name="_Toc214269779"/>
      <w:bookmarkStart w:id="39" w:name="_Toc209976227"/>
      <w:bookmarkStart w:id="40" w:name="_Toc215567375"/>
      <w:bookmarkStart w:id="41" w:name="_Toc215738102"/>
      <w:bookmarkStart w:id="42" w:name="_Toc221229276"/>
      <w:bookmarkStart w:id="43" w:name="_Toc221265961"/>
      <w:bookmarkStart w:id="44" w:name="_Toc215565768"/>
      <w:bookmarkStart w:id="45" w:name="_Toc215666341"/>
      <w:bookmarkStart w:id="46" w:name="_Toc221148483"/>
      <w:bookmarkStart w:id="47" w:name="_Toc215521007"/>
      <w:bookmarkStart w:id="48" w:name="_Toc213786455"/>
      <w:bookmarkStart w:id="49" w:name="_Toc215565950"/>
      <w:r>
        <w:rPr>
          <w:rFonts w:hint="eastAsia"/>
          <w:spacing w:val="320"/>
        </w:rPr>
        <w:t>目</w:t>
      </w:r>
      <w:r>
        <w:rPr>
          <w:rFonts w:hint="eastAsia"/>
        </w:rPr>
        <w:t>次</w:t>
      </w:r>
    </w:p>
    <w:p w14:paraId="5178AB62">
      <w:pPr>
        <w:pStyle w:val="20"/>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"_Toc221266014" </w:instrText>
      </w:r>
      <w:r>
        <w:fldChar w:fldCharType="separate"/>
      </w:r>
      <w:r>
        <w:rPr>
          <w:rStyle w:val="33"/>
          <w:rFonts w:hint="eastAsia"/>
        </w:rPr>
        <w:t>前言</w:t>
      </w:r>
      <w:r>
        <w:tab/>
      </w:r>
      <w:r>
        <w:fldChar w:fldCharType="begin"/>
      </w:r>
      <w:r>
        <w:instrText xml:space="preserve"> PAGEREF _Toc221266014 \h </w:instrText>
      </w:r>
      <w:r>
        <w:fldChar w:fldCharType="separate"/>
      </w:r>
      <w:r>
        <w:t>II</w:t>
      </w:r>
      <w:r>
        <w:fldChar w:fldCharType="end"/>
      </w:r>
      <w:r>
        <w:fldChar w:fldCharType="end"/>
      </w:r>
    </w:p>
    <w:p w14:paraId="4C0B06BE">
      <w:pPr>
        <w:pStyle w:val="20"/>
        <w:tabs>
          <w:tab w:val="right" w:leader="dot" w:pos="9344"/>
        </w:tabs>
        <w:rPr>
          <w:rFonts w:asciiTheme="minorHAnsi" w:hAnsiTheme="minorHAnsi" w:eastAsiaTheme="minorEastAsia" w:cstheme="minorBidi"/>
          <w:szCs w:val="22"/>
        </w:rPr>
      </w:pPr>
      <w:r>
        <w:fldChar w:fldCharType="begin"/>
      </w:r>
      <w:r>
        <w:instrText xml:space="preserve"> HYPERLINK \l "_Toc221266015" </w:instrText>
      </w:r>
      <w:r>
        <w:fldChar w:fldCharType="separate"/>
      </w:r>
      <w:r>
        <w:rPr>
          <w:rStyle w:val="33"/>
        </w:rPr>
        <w:t xml:space="preserve">1 </w:t>
      </w:r>
      <w:r>
        <w:rPr>
          <w:rStyle w:val="33"/>
          <w:rFonts w:hint="eastAsia"/>
        </w:rPr>
        <w:t xml:space="preserve"> 范围</w:t>
      </w:r>
      <w:r>
        <w:tab/>
      </w:r>
      <w:r>
        <w:fldChar w:fldCharType="begin"/>
      </w:r>
      <w:r>
        <w:instrText xml:space="preserve"> PAGEREF _Toc221266015 \h </w:instrText>
      </w:r>
      <w:r>
        <w:fldChar w:fldCharType="separate"/>
      </w:r>
      <w:r>
        <w:t>1</w:t>
      </w:r>
      <w:r>
        <w:fldChar w:fldCharType="end"/>
      </w:r>
      <w:r>
        <w:fldChar w:fldCharType="end"/>
      </w:r>
    </w:p>
    <w:p w14:paraId="3EAD07CB">
      <w:pPr>
        <w:pStyle w:val="20"/>
        <w:tabs>
          <w:tab w:val="right" w:leader="dot" w:pos="9344"/>
        </w:tabs>
        <w:rPr>
          <w:rFonts w:asciiTheme="minorHAnsi" w:hAnsiTheme="minorHAnsi" w:eastAsiaTheme="minorEastAsia" w:cstheme="minorBidi"/>
          <w:szCs w:val="22"/>
        </w:rPr>
      </w:pPr>
      <w:r>
        <w:fldChar w:fldCharType="begin"/>
      </w:r>
      <w:r>
        <w:instrText xml:space="preserve"> HYPERLINK \l "_Toc221266016" </w:instrText>
      </w:r>
      <w:r>
        <w:fldChar w:fldCharType="separate"/>
      </w:r>
      <w:r>
        <w:rPr>
          <w:rStyle w:val="33"/>
        </w:rPr>
        <w:t xml:space="preserve">2 </w:t>
      </w:r>
      <w:r>
        <w:rPr>
          <w:rStyle w:val="33"/>
          <w:rFonts w:hint="eastAsia"/>
        </w:rPr>
        <w:t xml:space="preserve"> 规范性引用文件</w:t>
      </w:r>
      <w:r>
        <w:tab/>
      </w:r>
      <w:r>
        <w:fldChar w:fldCharType="begin"/>
      </w:r>
      <w:r>
        <w:instrText xml:space="preserve"> PAGEREF _Toc221266016 \h </w:instrText>
      </w:r>
      <w:r>
        <w:fldChar w:fldCharType="separate"/>
      </w:r>
      <w:r>
        <w:t>1</w:t>
      </w:r>
      <w:r>
        <w:fldChar w:fldCharType="end"/>
      </w:r>
      <w:r>
        <w:fldChar w:fldCharType="end"/>
      </w:r>
    </w:p>
    <w:p w14:paraId="74525540">
      <w:pPr>
        <w:pStyle w:val="20"/>
        <w:tabs>
          <w:tab w:val="right" w:leader="dot" w:pos="9344"/>
        </w:tabs>
        <w:rPr>
          <w:rFonts w:asciiTheme="minorHAnsi" w:hAnsiTheme="minorHAnsi" w:eastAsiaTheme="minorEastAsia" w:cstheme="minorBidi"/>
          <w:szCs w:val="22"/>
        </w:rPr>
      </w:pPr>
      <w:r>
        <w:fldChar w:fldCharType="begin"/>
      </w:r>
      <w:r>
        <w:instrText xml:space="preserve"> HYPERLINK \l "_Toc221266017" </w:instrText>
      </w:r>
      <w:r>
        <w:fldChar w:fldCharType="separate"/>
      </w:r>
      <w:r>
        <w:rPr>
          <w:rStyle w:val="33"/>
        </w:rPr>
        <w:t xml:space="preserve">3 </w:t>
      </w:r>
      <w:r>
        <w:rPr>
          <w:rStyle w:val="33"/>
          <w:rFonts w:hint="eastAsia"/>
        </w:rPr>
        <w:t xml:space="preserve"> 术语和定义</w:t>
      </w:r>
      <w:r>
        <w:tab/>
      </w:r>
      <w:r>
        <w:fldChar w:fldCharType="begin"/>
      </w:r>
      <w:r>
        <w:instrText xml:space="preserve"> PAGEREF _Toc221266017 \h </w:instrText>
      </w:r>
      <w:r>
        <w:fldChar w:fldCharType="separate"/>
      </w:r>
      <w:r>
        <w:t>1</w:t>
      </w:r>
      <w:r>
        <w:fldChar w:fldCharType="end"/>
      </w:r>
      <w:r>
        <w:fldChar w:fldCharType="end"/>
      </w:r>
    </w:p>
    <w:p w14:paraId="43ACC178">
      <w:pPr>
        <w:pStyle w:val="20"/>
        <w:tabs>
          <w:tab w:val="right" w:leader="dot" w:pos="9344"/>
        </w:tabs>
        <w:rPr>
          <w:rFonts w:asciiTheme="minorHAnsi" w:hAnsiTheme="minorHAnsi" w:eastAsiaTheme="minorEastAsia" w:cstheme="minorBidi"/>
          <w:szCs w:val="22"/>
        </w:rPr>
      </w:pPr>
      <w:r>
        <w:fldChar w:fldCharType="begin"/>
      </w:r>
      <w:r>
        <w:instrText xml:space="preserve"> HYPERLINK \l "_Toc221266018" </w:instrText>
      </w:r>
      <w:r>
        <w:fldChar w:fldCharType="separate"/>
      </w:r>
      <w:r>
        <w:rPr>
          <w:rStyle w:val="33"/>
        </w:rPr>
        <w:t xml:space="preserve">4 </w:t>
      </w:r>
      <w:r>
        <w:rPr>
          <w:rStyle w:val="33"/>
          <w:rFonts w:hint="eastAsia"/>
        </w:rPr>
        <w:t xml:space="preserve"> 要求</w:t>
      </w:r>
      <w:r>
        <w:tab/>
      </w:r>
      <w:r>
        <w:fldChar w:fldCharType="begin"/>
      </w:r>
      <w:r>
        <w:instrText xml:space="preserve"> PAGEREF _Toc221266018 \h </w:instrText>
      </w:r>
      <w:r>
        <w:fldChar w:fldCharType="separate"/>
      </w:r>
      <w:r>
        <w:t>1</w:t>
      </w:r>
      <w:r>
        <w:fldChar w:fldCharType="end"/>
      </w:r>
      <w:r>
        <w:fldChar w:fldCharType="end"/>
      </w:r>
    </w:p>
    <w:p w14:paraId="7DE42410">
      <w:pPr>
        <w:pStyle w:val="25"/>
        <w:rPr>
          <w:rFonts w:asciiTheme="minorHAnsi" w:hAnsiTheme="minorHAnsi" w:eastAsiaTheme="minorEastAsia" w:cstheme="minorBidi"/>
          <w:szCs w:val="22"/>
        </w:rPr>
      </w:pPr>
      <w:r>
        <w:fldChar w:fldCharType="begin"/>
      </w:r>
      <w:r>
        <w:instrText xml:space="preserve"> HYPERLINK \l "_Toc221266019" </w:instrText>
      </w:r>
      <w:r>
        <w:fldChar w:fldCharType="separate"/>
      </w:r>
      <w:r>
        <w:rPr>
          <w:rStyle w:val="33"/>
          <w14:scene3d w14:prst="orthographicFront">
            <w14:lightRig w14:rig="threePt" w14:dir="t">
              <w14:rot w14:lat="0" w14:lon="0" w14:rev="0"/>
            </w14:lightRig>
          </w14:scene3d>
        </w:rPr>
        <w:t xml:space="preserve">4.1 </w:t>
      </w:r>
      <w:r>
        <w:rPr>
          <w:rStyle w:val="33"/>
          <w:rFonts w:hint="eastAsia"/>
        </w:rPr>
        <w:t xml:space="preserve"> 原辅料</w:t>
      </w:r>
      <w:r>
        <w:tab/>
      </w:r>
      <w:r>
        <w:fldChar w:fldCharType="begin"/>
      </w:r>
      <w:r>
        <w:instrText xml:space="preserve"> PAGEREF _Toc221266019 \h </w:instrText>
      </w:r>
      <w:r>
        <w:fldChar w:fldCharType="separate"/>
      </w:r>
      <w:r>
        <w:t>1</w:t>
      </w:r>
      <w:r>
        <w:fldChar w:fldCharType="end"/>
      </w:r>
      <w:r>
        <w:fldChar w:fldCharType="end"/>
      </w:r>
    </w:p>
    <w:p w14:paraId="018E76E3">
      <w:pPr>
        <w:pStyle w:val="25"/>
        <w:rPr>
          <w:rFonts w:asciiTheme="minorHAnsi" w:hAnsiTheme="minorHAnsi" w:eastAsiaTheme="minorEastAsia" w:cstheme="minorBidi"/>
          <w:szCs w:val="22"/>
        </w:rPr>
      </w:pPr>
      <w:r>
        <w:fldChar w:fldCharType="begin"/>
      </w:r>
      <w:r>
        <w:instrText xml:space="preserve"> HYPERLINK \l "_Toc221266020" </w:instrText>
      </w:r>
      <w:r>
        <w:fldChar w:fldCharType="separate"/>
      </w:r>
      <w:r>
        <w:rPr>
          <w:rStyle w:val="33"/>
          <w14:scene3d w14:prst="orthographicFront">
            <w14:lightRig w14:rig="threePt" w14:dir="t">
              <w14:rot w14:lat="0" w14:lon="0" w14:rev="0"/>
            </w14:lightRig>
          </w14:scene3d>
        </w:rPr>
        <w:t xml:space="preserve">4.2 </w:t>
      </w:r>
      <w:r>
        <w:rPr>
          <w:rStyle w:val="33"/>
          <w:rFonts w:hint="eastAsia"/>
        </w:rPr>
        <w:t xml:space="preserve"> 感官</w:t>
      </w:r>
      <w:r>
        <w:tab/>
      </w:r>
      <w:r>
        <w:fldChar w:fldCharType="begin"/>
      </w:r>
      <w:r>
        <w:instrText xml:space="preserve"> PAGEREF _Toc221266020 \h </w:instrText>
      </w:r>
      <w:r>
        <w:fldChar w:fldCharType="separate"/>
      </w:r>
      <w:r>
        <w:t>2</w:t>
      </w:r>
      <w:r>
        <w:fldChar w:fldCharType="end"/>
      </w:r>
      <w:r>
        <w:fldChar w:fldCharType="end"/>
      </w:r>
    </w:p>
    <w:p w14:paraId="44362063">
      <w:pPr>
        <w:pStyle w:val="25"/>
        <w:rPr>
          <w:rFonts w:asciiTheme="minorHAnsi" w:hAnsiTheme="minorHAnsi" w:eastAsiaTheme="minorEastAsia" w:cstheme="minorBidi"/>
          <w:szCs w:val="22"/>
        </w:rPr>
      </w:pPr>
      <w:r>
        <w:fldChar w:fldCharType="begin"/>
      </w:r>
      <w:r>
        <w:instrText xml:space="preserve"> HYPERLINK \l "_Toc221266021" </w:instrText>
      </w:r>
      <w:r>
        <w:fldChar w:fldCharType="separate"/>
      </w:r>
      <w:r>
        <w:rPr>
          <w:rStyle w:val="33"/>
          <w14:scene3d w14:prst="orthographicFront">
            <w14:lightRig w14:rig="threePt" w14:dir="t">
              <w14:rot w14:lat="0" w14:lon="0" w14:rev="0"/>
            </w14:lightRig>
          </w14:scene3d>
        </w:rPr>
        <w:t xml:space="preserve">4.3 </w:t>
      </w:r>
      <w:r>
        <w:rPr>
          <w:rStyle w:val="33"/>
          <w:rFonts w:hint="eastAsia"/>
        </w:rPr>
        <w:t xml:space="preserve"> 理化指标</w:t>
      </w:r>
      <w:r>
        <w:tab/>
      </w:r>
      <w:r>
        <w:fldChar w:fldCharType="begin"/>
      </w:r>
      <w:r>
        <w:instrText xml:space="preserve"> PAGEREF _Toc221266021 \h </w:instrText>
      </w:r>
      <w:r>
        <w:fldChar w:fldCharType="separate"/>
      </w:r>
      <w:r>
        <w:t>2</w:t>
      </w:r>
      <w:r>
        <w:fldChar w:fldCharType="end"/>
      </w:r>
      <w:r>
        <w:fldChar w:fldCharType="end"/>
      </w:r>
    </w:p>
    <w:p w14:paraId="261292FD">
      <w:pPr>
        <w:pStyle w:val="25"/>
        <w:rPr>
          <w:rFonts w:asciiTheme="minorHAnsi" w:hAnsiTheme="minorHAnsi" w:eastAsiaTheme="minorEastAsia" w:cstheme="minorBidi"/>
          <w:szCs w:val="22"/>
        </w:rPr>
      </w:pPr>
      <w:r>
        <w:fldChar w:fldCharType="begin"/>
      </w:r>
      <w:r>
        <w:instrText xml:space="preserve"> HYPERLINK \l "_Toc221266022" </w:instrText>
      </w:r>
      <w:r>
        <w:fldChar w:fldCharType="separate"/>
      </w:r>
      <w:r>
        <w:rPr>
          <w:rStyle w:val="33"/>
          <w14:scene3d w14:prst="orthographicFront">
            <w14:lightRig w14:rig="threePt" w14:dir="t">
              <w14:rot w14:lat="0" w14:lon="0" w14:rev="0"/>
            </w14:lightRig>
          </w14:scene3d>
        </w:rPr>
        <w:t xml:space="preserve">4.4 </w:t>
      </w:r>
      <w:r>
        <w:rPr>
          <w:rStyle w:val="33"/>
          <w:rFonts w:hint="eastAsia"/>
        </w:rPr>
        <w:t xml:space="preserve"> 其他食品安全指标</w:t>
      </w:r>
      <w:r>
        <w:tab/>
      </w:r>
      <w:r>
        <w:fldChar w:fldCharType="begin"/>
      </w:r>
      <w:r>
        <w:instrText xml:space="preserve"> PAGEREF _Toc221266022 \h </w:instrText>
      </w:r>
      <w:r>
        <w:fldChar w:fldCharType="separate"/>
      </w:r>
      <w:r>
        <w:t>2</w:t>
      </w:r>
      <w:r>
        <w:fldChar w:fldCharType="end"/>
      </w:r>
      <w:r>
        <w:fldChar w:fldCharType="end"/>
      </w:r>
    </w:p>
    <w:p w14:paraId="4A26BFC1">
      <w:pPr>
        <w:pStyle w:val="25"/>
        <w:rPr>
          <w:rFonts w:asciiTheme="minorHAnsi" w:hAnsiTheme="minorHAnsi" w:eastAsiaTheme="minorEastAsia" w:cstheme="minorBidi"/>
          <w:szCs w:val="22"/>
        </w:rPr>
      </w:pPr>
      <w:r>
        <w:fldChar w:fldCharType="begin"/>
      </w:r>
      <w:r>
        <w:instrText xml:space="preserve"> HYPERLINK \l "_Toc221266023" </w:instrText>
      </w:r>
      <w:r>
        <w:fldChar w:fldCharType="separate"/>
      </w:r>
      <w:r>
        <w:rPr>
          <w:rStyle w:val="33"/>
          <w14:scene3d w14:prst="orthographicFront">
            <w14:lightRig w14:rig="threePt" w14:dir="t">
              <w14:rot w14:lat="0" w14:lon="0" w14:rev="0"/>
            </w14:lightRig>
          </w14:scene3d>
        </w:rPr>
        <w:t xml:space="preserve">4.5 </w:t>
      </w:r>
      <w:r>
        <w:rPr>
          <w:rStyle w:val="33"/>
          <w:rFonts w:hint="eastAsia"/>
        </w:rPr>
        <w:t xml:space="preserve"> 净含量</w:t>
      </w:r>
      <w:r>
        <w:tab/>
      </w:r>
      <w:r>
        <w:fldChar w:fldCharType="begin"/>
      </w:r>
      <w:r>
        <w:instrText xml:space="preserve"> PAGEREF _Toc221266023 \h </w:instrText>
      </w:r>
      <w:r>
        <w:fldChar w:fldCharType="separate"/>
      </w:r>
      <w:r>
        <w:t>2</w:t>
      </w:r>
      <w:r>
        <w:fldChar w:fldCharType="end"/>
      </w:r>
      <w:r>
        <w:fldChar w:fldCharType="end"/>
      </w:r>
    </w:p>
    <w:p w14:paraId="55F8ED05">
      <w:pPr>
        <w:pStyle w:val="25"/>
        <w:rPr>
          <w:rFonts w:asciiTheme="minorHAnsi" w:hAnsiTheme="minorHAnsi" w:eastAsiaTheme="minorEastAsia" w:cstheme="minorBidi"/>
          <w:szCs w:val="22"/>
        </w:rPr>
      </w:pPr>
      <w:r>
        <w:fldChar w:fldCharType="begin"/>
      </w:r>
      <w:r>
        <w:instrText xml:space="preserve"> HYPERLINK \l "_Toc221266024" </w:instrText>
      </w:r>
      <w:r>
        <w:fldChar w:fldCharType="separate"/>
      </w:r>
      <w:r>
        <w:rPr>
          <w:rStyle w:val="33"/>
          <w14:scene3d w14:prst="orthographicFront">
            <w14:lightRig w14:rig="threePt" w14:dir="t">
              <w14:rot w14:lat="0" w14:lon="0" w14:rev="0"/>
            </w14:lightRig>
          </w14:scene3d>
        </w:rPr>
        <w:t xml:space="preserve">4.6 </w:t>
      </w:r>
      <w:r>
        <w:rPr>
          <w:rStyle w:val="33"/>
          <w:rFonts w:hint="eastAsia"/>
        </w:rPr>
        <w:t xml:space="preserve"> 生产加工要求</w:t>
      </w:r>
      <w:r>
        <w:tab/>
      </w:r>
      <w:r>
        <w:fldChar w:fldCharType="begin"/>
      </w:r>
      <w:r>
        <w:instrText xml:space="preserve"> PAGEREF _Toc221266024 \h </w:instrText>
      </w:r>
      <w:r>
        <w:fldChar w:fldCharType="separate"/>
      </w:r>
      <w:r>
        <w:t>2</w:t>
      </w:r>
      <w:r>
        <w:fldChar w:fldCharType="end"/>
      </w:r>
      <w:r>
        <w:fldChar w:fldCharType="end"/>
      </w:r>
    </w:p>
    <w:p w14:paraId="2F6DE6B3">
      <w:pPr>
        <w:pStyle w:val="20"/>
        <w:tabs>
          <w:tab w:val="right" w:leader="dot" w:pos="9344"/>
        </w:tabs>
        <w:rPr>
          <w:rFonts w:asciiTheme="minorHAnsi" w:hAnsiTheme="minorHAnsi" w:eastAsiaTheme="minorEastAsia" w:cstheme="minorBidi"/>
          <w:szCs w:val="22"/>
        </w:rPr>
      </w:pPr>
      <w:r>
        <w:fldChar w:fldCharType="begin"/>
      </w:r>
      <w:r>
        <w:instrText xml:space="preserve"> HYPERLINK \l "_Toc221266025" </w:instrText>
      </w:r>
      <w:r>
        <w:fldChar w:fldCharType="separate"/>
      </w:r>
      <w:r>
        <w:rPr>
          <w:rStyle w:val="33"/>
        </w:rPr>
        <w:t xml:space="preserve">5 </w:t>
      </w:r>
      <w:r>
        <w:rPr>
          <w:rStyle w:val="33"/>
          <w:rFonts w:hint="eastAsia"/>
        </w:rPr>
        <w:t xml:space="preserve"> 试验方法</w:t>
      </w:r>
      <w:r>
        <w:tab/>
      </w:r>
      <w:r>
        <w:fldChar w:fldCharType="begin"/>
      </w:r>
      <w:r>
        <w:instrText xml:space="preserve"> PAGEREF _Toc221266025 \h </w:instrText>
      </w:r>
      <w:r>
        <w:fldChar w:fldCharType="separate"/>
      </w:r>
      <w:r>
        <w:t>2</w:t>
      </w:r>
      <w:r>
        <w:fldChar w:fldCharType="end"/>
      </w:r>
      <w:r>
        <w:fldChar w:fldCharType="end"/>
      </w:r>
    </w:p>
    <w:p w14:paraId="6F15701F">
      <w:pPr>
        <w:pStyle w:val="25"/>
        <w:rPr>
          <w:rFonts w:asciiTheme="minorHAnsi" w:hAnsiTheme="minorHAnsi" w:eastAsiaTheme="minorEastAsia" w:cstheme="minorBidi"/>
          <w:szCs w:val="22"/>
        </w:rPr>
      </w:pPr>
      <w:r>
        <w:fldChar w:fldCharType="begin"/>
      </w:r>
      <w:r>
        <w:instrText xml:space="preserve"> HYPERLINK \l "_Toc221266026" </w:instrText>
      </w:r>
      <w:r>
        <w:fldChar w:fldCharType="separate"/>
      </w:r>
      <w:r>
        <w:rPr>
          <w:rStyle w:val="33"/>
          <w14:scene3d w14:prst="orthographicFront">
            <w14:lightRig w14:rig="threePt" w14:dir="t">
              <w14:rot w14:lat="0" w14:lon="0" w14:rev="0"/>
            </w14:lightRig>
          </w14:scene3d>
        </w:rPr>
        <w:t xml:space="preserve">5.1 </w:t>
      </w:r>
      <w:r>
        <w:rPr>
          <w:rStyle w:val="33"/>
          <w:rFonts w:hint="eastAsia"/>
        </w:rPr>
        <w:t xml:space="preserve"> 感官检验</w:t>
      </w:r>
      <w:r>
        <w:tab/>
      </w:r>
      <w:r>
        <w:fldChar w:fldCharType="begin"/>
      </w:r>
      <w:r>
        <w:instrText xml:space="preserve"> PAGEREF _Toc221266026 \h </w:instrText>
      </w:r>
      <w:r>
        <w:fldChar w:fldCharType="separate"/>
      </w:r>
      <w:r>
        <w:t>2</w:t>
      </w:r>
      <w:r>
        <w:fldChar w:fldCharType="end"/>
      </w:r>
      <w:r>
        <w:fldChar w:fldCharType="end"/>
      </w:r>
    </w:p>
    <w:p w14:paraId="0AB55C10">
      <w:pPr>
        <w:pStyle w:val="25"/>
        <w:rPr>
          <w:rFonts w:asciiTheme="minorHAnsi" w:hAnsiTheme="minorHAnsi" w:eastAsiaTheme="minorEastAsia" w:cstheme="minorBidi"/>
          <w:szCs w:val="22"/>
        </w:rPr>
      </w:pPr>
      <w:r>
        <w:fldChar w:fldCharType="begin"/>
      </w:r>
      <w:r>
        <w:instrText xml:space="preserve"> HYPERLINK \l "_Toc221266027" </w:instrText>
      </w:r>
      <w:r>
        <w:fldChar w:fldCharType="separate"/>
      </w:r>
      <w:r>
        <w:rPr>
          <w:rStyle w:val="33"/>
          <w14:scene3d w14:prst="orthographicFront">
            <w14:lightRig w14:rig="threePt" w14:dir="t">
              <w14:rot w14:lat="0" w14:lon="0" w14:rev="0"/>
            </w14:lightRig>
          </w14:scene3d>
        </w:rPr>
        <w:t xml:space="preserve">5.2 </w:t>
      </w:r>
      <w:r>
        <w:rPr>
          <w:rStyle w:val="33"/>
          <w:rFonts w:hint="eastAsia"/>
        </w:rPr>
        <w:t xml:space="preserve"> 理化指标</w:t>
      </w:r>
      <w:r>
        <w:tab/>
      </w:r>
      <w:r>
        <w:fldChar w:fldCharType="begin"/>
      </w:r>
      <w:r>
        <w:instrText xml:space="preserve"> PAGEREF _Toc221266027 \h </w:instrText>
      </w:r>
      <w:r>
        <w:fldChar w:fldCharType="separate"/>
      </w:r>
      <w:r>
        <w:t>3</w:t>
      </w:r>
      <w:r>
        <w:fldChar w:fldCharType="end"/>
      </w:r>
      <w:r>
        <w:fldChar w:fldCharType="end"/>
      </w:r>
    </w:p>
    <w:p w14:paraId="271D6FD5">
      <w:pPr>
        <w:pStyle w:val="25"/>
        <w:rPr>
          <w:rFonts w:asciiTheme="minorHAnsi" w:hAnsiTheme="minorHAnsi" w:eastAsiaTheme="minorEastAsia" w:cstheme="minorBidi"/>
          <w:szCs w:val="22"/>
        </w:rPr>
      </w:pPr>
      <w:r>
        <w:fldChar w:fldCharType="begin"/>
      </w:r>
      <w:r>
        <w:instrText xml:space="preserve"> HYPERLINK \l "_Toc221266028" </w:instrText>
      </w:r>
      <w:r>
        <w:fldChar w:fldCharType="separate"/>
      </w:r>
      <w:r>
        <w:rPr>
          <w:rStyle w:val="33"/>
          <w14:scene3d w14:prst="orthographicFront">
            <w14:lightRig w14:rig="threePt" w14:dir="t">
              <w14:rot w14:lat="0" w14:lon="0" w14:rev="0"/>
            </w14:lightRig>
          </w14:scene3d>
        </w:rPr>
        <w:t xml:space="preserve">5.3 </w:t>
      </w:r>
      <w:r>
        <w:rPr>
          <w:rStyle w:val="33"/>
          <w:rFonts w:hint="eastAsia"/>
        </w:rPr>
        <w:t xml:space="preserve"> 食品安全</w:t>
      </w:r>
      <w:r>
        <w:tab/>
      </w:r>
      <w:r>
        <w:fldChar w:fldCharType="begin"/>
      </w:r>
      <w:r>
        <w:instrText xml:space="preserve"> PAGEREF _Toc221266028 \h </w:instrText>
      </w:r>
      <w:r>
        <w:fldChar w:fldCharType="separate"/>
      </w:r>
      <w:r>
        <w:t>3</w:t>
      </w:r>
      <w:r>
        <w:fldChar w:fldCharType="end"/>
      </w:r>
      <w:r>
        <w:fldChar w:fldCharType="end"/>
      </w:r>
    </w:p>
    <w:p w14:paraId="2329FF9C">
      <w:pPr>
        <w:pStyle w:val="25"/>
        <w:rPr>
          <w:rFonts w:asciiTheme="minorHAnsi" w:hAnsiTheme="minorHAnsi" w:eastAsiaTheme="minorEastAsia" w:cstheme="minorBidi"/>
          <w:szCs w:val="22"/>
        </w:rPr>
      </w:pPr>
      <w:r>
        <w:fldChar w:fldCharType="begin"/>
      </w:r>
      <w:r>
        <w:instrText xml:space="preserve"> HYPERLINK \l "_Toc221266029" </w:instrText>
      </w:r>
      <w:r>
        <w:fldChar w:fldCharType="separate"/>
      </w:r>
      <w:r>
        <w:rPr>
          <w:rStyle w:val="33"/>
          <w14:scene3d w14:prst="orthographicFront">
            <w14:lightRig w14:rig="threePt" w14:dir="t">
              <w14:rot w14:lat="0" w14:lon="0" w14:rev="0"/>
            </w14:lightRig>
          </w14:scene3d>
        </w:rPr>
        <w:t xml:space="preserve">5.4 </w:t>
      </w:r>
      <w:r>
        <w:rPr>
          <w:rStyle w:val="33"/>
          <w:rFonts w:hint="eastAsia"/>
        </w:rPr>
        <w:t xml:space="preserve"> 净含量</w:t>
      </w:r>
      <w:r>
        <w:tab/>
      </w:r>
      <w:r>
        <w:fldChar w:fldCharType="begin"/>
      </w:r>
      <w:r>
        <w:instrText xml:space="preserve"> PAGEREF _Toc221266029 \h </w:instrText>
      </w:r>
      <w:r>
        <w:fldChar w:fldCharType="separate"/>
      </w:r>
      <w:r>
        <w:t>3</w:t>
      </w:r>
      <w:r>
        <w:fldChar w:fldCharType="end"/>
      </w:r>
      <w:r>
        <w:fldChar w:fldCharType="end"/>
      </w:r>
    </w:p>
    <w:p w14:paraId="34CA4DCE">
      <w:pPr>
        <w:pStyle w:val="20"/>
        <w:tabs>
          <w:tab w:val="right" w:leader="dot" w:pos="9344"/>
        </w:tabs>
        <w:rPr>
          <w:rFonts w:asciiTheme="minorHAnsi" w:hAnsiTheme="minorHAnsi" w:eastAsiaTheme="minorEastAsia" w:cstheme="minorBidi"/>
          <w:szCs w:val="22"/>
        </w:rPr>
      </w:pPr>
      <w:r>
        <w:fldChar w:fldCharType="begin"/>
      </w:r>
      <w:r>
        <w:instrText xml:space="preserve"> HYPERLINK \l "_Toc221266030" </w:instrText>
      </w:r>
      <w:r>
        <w:fldChar w:fldCharType="separate"/>
      </w:r>
      <w:r>
        <w:rPr>
          <w:rStyle w:val="33"/>
        </w:rPr>
        <w:t xml:space="preserve">6 </w:t>
      </w:r>
      <w:r>
        <w:rPr>
          <w:rStyle w:val="33"/>
          <w:rFonts w:hint="eastAsia"/>
        </w:rPr>
        <w:t xml:space="preserve"> 检验规则</w:t>
      </w:r>
      <w:r>
        <w:tab/>
      </w:r>
      <w:r>
        <w:fldChar w:fldCharType="begin"/>
      </w:r>
      <w:r>
        <w:instrText xml:space="preserve"> PAGEREF _Toc221266030 \h </w:instrText>
      </w:r>
      <w:r>
        <w:fldChar w:fldCharType="separate"/>
      </w:r>
      <w:r>
        <w:t>3</w:t>
      </w:r>
      <w:r>
        <w:fldChar w:fldCharType="end"/>
      </w:r>
      <w:r>
        <w:fldChar w:fldCharType="end"/>
      </w:r>
    </w:p>
    <w:p w14:paraId="3805D45F">
      <w:pPr>
        <w:pStyle w:val="25"/>
        <w:rPr>
          <w:rFonts w:asciiTheme="minorHAnsi" w:hAnsiTheme="minorHAnsi" w:eastAsiaTheme="minorEastAsia" w:cstheme="minorBidi"/>
          <w:szCs w:val="22"/>
        </w:rPr>
      </w:pPr>
      <w:r>
        <w:fldChar w:fldCharType="begin"/>
      </w:r>
      <w:r>
        <w:instrText xml:space="preserve"> HYPERLINK \l "_Toc221266031" </w:instrText>
      </w:r>
      <w:r>
        <w:fldChar w:fldCharType="separate"/>
      </w:r>
      <w:r>
        <w:rPr>
          <w:rStyle w:val="33"/>
          <w14:scene3d w14:prst="orthographicFront">
            <w14:lightRig w14:rig="threePt" w14:dir="t">
              <w14:rot w14:lat="0" w14:lon="0" w14:rev="0"/>
            </w14:lightRig>
          </w14:scene3d>
        </w:rPr>
        <w:t xml:space="preserve">6.1 </w:t>
      </w:r>
      <w:r>
        <w:rPr>
          <w:rStyle w:val="33"/>
          <w:rFonts w:hint="eastAsia"/>
        </w:rPr>
        <w:t xml:space="preserve"> 组批</w:t>
      </w:r>
      <w:r>
        <w:tab/>
      </w:r>
      <w:r>
        <w:fldChar w:fldCharType="begin"/>
      </w:r>
      <w:r>
        <w:instrText xml:space="preserve"> PAGEREF _Toc221266031 \h </w:instrText>
      </w:r>
      <w:r>
        <w:fldChar w:fldCharType="separate"/>
      </w:r>
      <w:r>
        <w:t>3</w:t>
      </w:r>
      <w:r>
        <w:fldChar w:fldCharType="end"/>
      </w:r>
      <w:r>
        <w:fldChar w:fldCharType="end"/>
      </w:r>
    </w:p>
    <w:p w14:paraId="3B883DF4">
      <w:pPr>
        <w:pStyle w:val="25"/>
        <w:rPr>
          <w:rFonts w:asciiTheme="minorHAnsi" w:hAnsiTheme="minorHAnsi" w:eastAsiaTheme="minorEastAsia" w:cstheme="minorBidi"/>
          <w:szCs w:val="22"/>
        </w:rPr>
      </w:pPr>
      <w:r>
        <w:fldChar w:fldCharType="begin"/>
      </w:r>
      <w:r>
        <w:instrText xml:space="preserve"> HYPERLINK \l "_Toc221266032" </w:instrText>
      </w:r>
      <w:r>
        <w:fldChar w:fldCharType="separate"/>
      </w:r>
      <w:r>
        <w:rPr>
          <w:rStyle w:val="33"/>
          <w14:scene3d w14:prst="orthographicFront">
            <w14:lightRig w14:rig="threePt" w14:dir="t">
              <w14:rot w14:lat="0" w14:lon="0" w14:rev="0"/>
            </w14:lightRig>
          </w14:scene3d>
        </w:rPr>
        <w:t xml:space="preserve">6.2 </w:t>
      </w:r>
      <w:r>
        <w:rPr>
          <w:rStyle w:val="33"/>
          <w:rFonts w:hint="eastAsia"/>
        </w:rPr>
        <w:t xml:space="preserve"> 抽样</w:t>
      </w:r>
      <w:r>
        <w:tab/>
      </w:r>
      <w:r>
        <w:fldChar w:fldCharType="begin"/>
      </w:r>
      <w:r>
        <w:instrText xml:space="preserve"> PAGEREF _Toc221266032 \h </w:instrText>
      </w:r>
      <w:r>
        <w:fldChar w:fldCharType="separate"/>
      </w:r>
      <w:r>
        <w:t>3</w:t>
      </w:r>
      <w:r>
        <w:fldChar w:fldCharType="end"/>
      </w:r>
      <w:r>
        <w:fldChar w:fldCharType="end"/>
      </w:r>
    </w:p>
    <w:p w14:paraId="30D6339A">
      <w:pPr>
        <w:pStyle w:val="25"/>
        <w:rPr>
          <w:rFonts w:asciiTheme="minorHAnsi" w:hAnsiTheme="minorHAnsi" w:eastAsiaTheme="minorEastAsia" w:cstheme="minorBidi"/>
          <w:szCs w:val="22"/>
        </w:rPr>
      </w:pPr>
      <w:r>
        <w:fldChar w:fldCharType="begin"/>
      </w:r>
      <w:r>
        <w:instrText xml:space="preserve"> HYPERLINK \l "_Toc221266033" </w:instrText>
      </w:r>
      <w:r>
        <w:fldChar w:fldCharType="separate"/>
      </w:r>
      <w:r>
        <w:rPr>
          <w:rStyle w:val="33"/>
          <w14:scene3d w14:prst="orthographicFront">
            <w14:lightRig w14:rig="threePt" w14:dir="t">
              <w14:rot w14:lat="0" w14:lon="0" w14:rev="0"/>
            </w14:lightRig>
          </w14:scene3d>
        </w:rPr>
        <w:t xml:space="preserve">6.3 </w:t>
      </w:r>
      <w:r>
        <w:rPr>
          <w:rStyle w:val="33"/>
          <w:rFonts w:hint="eastAsia"/>
        </w:rPr>
        <w:t xml:space="preserve"> 出厂检验</w:t>
      </w:r>
      <w:r>
        <w:tab/>
      </w:r>
      <w:r>
        <w:fldChar w:fldCharType="begin"/>
      </w:r>
      <w:r>
        <w:instrText xml:space="preserve"> PAGEREF _Toc221266033 \h </w:instrText>
      </w:r>
      <w:r>
        <w:fldChar w:fldCharType="separate"/>
      </w:r>
      <w:r>
        <w:t>3</w:t>
      </w:r>
      <w:r>
        <w:fldChar w:fldCharType="end"/>
      </w:r>
      <w:r>
        <w:fldChar w:fldCharType="end"/>
      </w:r>
    </w:p>
    <w:p w14:paraId="0629EB63">
      <w:pPr>
        <w:pStyle w:val="25"/>
        <w:rPr>
          <w:rFonts w:asciiTheme="minorHAnsi" w:hAnsiTheme="minorHAnsi" w:eastAsiaTheme="minorEastAsia" w:cstheme="minorBidi"/>
          <w:szCs w:val="22"/>
        </w:rPr>
      </w:pPr>
      <w:r>
        <w:fldChar w:fldCharType="begin"/>
      </w:r>
      <w:r>
        <w:instrText xml:space="preserve"> HYPERLINK \l "_Toc221266034" </w:instrText>
      </w:r>
      <w:r>
        <w:fldChar w:fldCharType="separate"/>
      </w:r>
      <w:r>
        <w:rPr>
          <w:rStyle w:val="33"/>
          <w14:scene3d w14:prst="orthographicFront">
            <w14:lightRig w14:rig="threePt" w14:dir="t">
              <w14:rot w14:lat="0" w14:lon="0" w14:rev="0"/>
            </w14:lightRig>
          </w14:scene3d>
        </w:rPr>
        <w:t xml:space="preserve">6.4 </w:t>
      </w:r>
      <w:r>
        <w:rPr>
          <w:rStyle w:val="33"/>
          <w:rFonts w:hint="eastAsia"/>
        </w:rPr>
        <w:t xml:space="preserve"> 型式检验</w:t>
      </w:r>
      <w:r>
        <w:tab/>
      </w:r>
      <w:r>
        <w:fldChar w:fldCharType="begin"/>
      </w:r>
      <w:r>
        <w:instrText xml:space="preserve"> PAGEREF _Toc221266034 \h </w:instrText>
      </w:r>
      <w:r>
        <w:fldChar w:fldCharType="separate"/>
      </w:r>
      <w:r>
        <w:t>3</w:t>
      </w:r>
      <w:r>
        <w:fldChar w:fldCharType="end"/>
      </w:r>
      <w:r>
        <w:fldChar w:fldCharType="end"/>
      </w:r>
    </w:p>
    <w:p w14:paraId="43D1223A">
      <w:pPr>
        <w:pStyle w:val="25"/>
        <w:rPr>
          <w:rFonts w:asciiTheme="minorHAnsi" w:hAnsiTheme="minorHAnsi" w:eastAsiaTheme="minorEastAsia" w:cstheme="minorBidi"/>
          <w:szCs w:val="22"/>
        </w:rPr>
      </w:pPr>
      <w:r>
        <w:fldChar w:fldCharType="begin"/>
      </w:r>
      <w:r>
        <w:instrText xml:space="preserve"> HYPERLINK \l "_Toc221266035" </w:instrText>
      </w:r>
      <w:r>
        <w:fldChar w:fldCharType="separate"/>
      </w:r>
      <w:r>
        <w:rPr>
          <w:rStyle w:val="33"/>
          <w14:scene3d w14:prst="orthographicFront">
            <w14:lightRig w14:rig="threePt" w14:dir="t">
              <w14:rot w14:lat="0" w14:lon="0" w14:rev="0"/>
            </w14:lightRig>
          </w14:scene3d>
        </w:rPr>
        <w:t xml:space="preserve">6.5 </w:t>
      </w:r>
      <w:r>
        <w:rPr>
          <w:rStyle w:val="33"/>
          <w:rFonts w:hint="eastAsia"/>
        </w:rPr>
        <w:t xml:space="preserve"> 判定规则</w:t>
      </w:r>
      <w:r>
        <w:tab/>
      </w:r>
      <w:r>
        <w:fldChar w:fldCharType="begin"/>
      </w:r>
      <w:r>
        <w:instrText xml:space="preserve"> PAGEREF _Toc221266035 \h </w:instrText>
      </w:r>
      <w:r>
        <w:fldChar w:fldCharType="separate"/>
      </w:r>
      <w:r>
        <w:t>4</w:t>
      </w:r>
      <w:r>
        <w:fldChar w:fldCharType="end"/>
      </w:r>
      <w:r>
        <w:fldChar w:fldCharType="end"/>
      </w:r>
    </w:p>
    <w:p w14:paraId="74B7421F">
      <w:pPr>
        <w:pStyle w:val="20"/>
        <w:tabs>
          <w:tab w:val="right" w:leader="dot" w:pos="9344"/>
        </w:tabs>
        <w:rPr>
          <w:rFonts w:asciiTheme="minorHAnsi" w:hAnsiTheme="minorHAnsi" w:eastAsiaTheme="minorEastAsia" w:cstheme="minorBidi"/>
          <w:szCs w:val="22"/>
        </w:rPr>
      </w:pPr>
      <w:r>
        <w:fldChar w:fldCharType="begin"/>
      </w:r>
      <w:r>
        <w:instrText xml:space="preserve"> HYPERLINK \l "_Toc221266036" </w:instrText>
      </w:r>
      <w:r>
        <w:fldChar w:fldCharType="separate"/>
      </w:r>
      <w:r>
        <w:rPr>
          <w:rStyle w:val="33"/>
        </w:rPr>
        <w:t xml:space="preserve">7 </w:t>
      </w:r>
      <w:r>
        <w:rPr>
          <w:rStyle w:val="33"/>
          <w:rFonts w:hint="eastAsia"/>
        </w:rPr>
        <w:t xml:space="preserve"> 标志、标签、包装、运输、贮存和保存期</w:t>
      </w:r>
      <w:r>
        <w:tab/>
      </w:r>
      <w:r>
        <w:fldChar w:fldCharType="begin"/>
      </w:r>
      <w:r>
        <w:instrText xml:space="preserve"> PAGEREF _Toc221266036 \h </w:instrText>
      </w:r>
      <w:r>
        <w:fldChar w:fldCharType="separate"/>
      </w:r>
      <w:r>
        <w:t>4</w:t>
      </w:r>
      <w:r>
        <w:fldChar w:fldCharType="end"/>
      </w:r>
      <w:r>
        <w:fldChar w:fldCharType="end"/>
      </w:r>
    </w:p>
    <w:p w14:paraId="7E822D24">
      <w:pPr>
        <w:pStyle w:val="25"/>
        <w:rPr>
          <w:rFonts w:asciiTheme="minorHAnsi" w:hAnsiTheme="minorHAnsi" w:eastAsiaTheme="minorEastAsia" w:cstheme="minorBidi"/>
          <w:szCs w:val="22"/>
        </w:rPr>
      </w:pPr>
      <w:r>
        <w:fldChar w:fldCharType="begin"/>
      </w:r>
      <w:r>
        <w:instrText xml:space="preserve"> HYPERLINK \l "_Toc221266037" </w:instrText>
      </w:r>
      <w:r>
        <w:fldChar w:fldCharType="separate"/>
      </w:r>
      <w:r>
        <w:rPr>
          <w:rStyle w:val="33"/>
          <w14:scene3d w14:prst="orthographicFront">
            <w14:lightRig w14:rig="threePt" w14:dir="t">
              <w14:rot w14:lat="0" w14:lon="0" w14:rev="0"/>
            </w14:lightRig>
          </w14:scene3d>
        </w:rPr>
        <w:t xml:space="preserve">7.1 </w:t>
      </w:r>
      <w:r>
        <w:rPr>
          <w:rStyle w:val="33"/>
          <w:rFonts w:hint="eastAsia"/>
        </w:rPr>
        <w:t xml:space="preserve"> 标志、标识</w:t>
      </w:r>
      <w:r>
        <w:tab/>
      </w:r>
      <w:r>
        <w:fldChar w:fldCharType="begin"/>
      </w:r>
      <w:r>
        <w:instrText xml:space="preserve"> PAGEREF _Toc221266037 \h </w:instrText>
      </w:r>
      <w:r>
        <w:fldChar w:fldCharType="separate"/>
      </w:r>
      <w:r>
        <w:t>4</w:t>
      </w:r>
      <w:r>
        <w:fldChar w:fldCharType="end"/>
      </w:r>
      <w:r>
        <w:fldChar w:fldCharType="end"/>
      </w:r>
    </w:p>
    <w:p w14:paraId="086401C6">
      <w:pPr>
        <w:pStyle w:val="25"/>
        <w:rPr>
          <w:rFonts w:asciiTheme="minorHAnsi" w:hAnsiTheme="minorHAnsi" w:eastAsiaTheme="minorEastAsia" w:cstheme="minorBidi"/>
          <w:szCs w:val="22"/>
        </w:rPr>
      </w:pPr>
      <w:r>
        <w:fldChar w:fldCharType="begin"/>
      </w:r>
      <w:r>
        <w:instrText xml:space="preserve"> HYPERLINK \l "_Toc221266038" </w:instrText>
      </w:r>
      <w:r>
        <w:fldChar w:fldCharType="separate"/>
      </w:r>
      <w:r>
        <w:rPr>
          <w:rStyle w:val="33"/>
          <w14:scene3d w14:prst="orthographicFront">
            <w14:lightRig w14:rig="threePt" w14:dir="t">
              <w14:rot w14:lat="0" w14:lon="0" w14:rev="0"/>
            </w14:lightRig>
          </w14:scene3d>
        </w:rPr>
        <w:t xml:space="preserve">7.2 </w:t>
      </w:r>
      <w:r>
        <w:rPr>
          <w:rStyle w:val="33"/>
          <w:rFonts w:hint="eastAsia"/>
        </w:rPr>
        <w:t xml:space="preserve"> 包装</w:t>
      </w:r>
      <w:r>
        <w:tab/>
      </w:r>
      <w:r>
        <w:fldChar w:fldCharType="begin"/>
      </w:r>
      <w:r>
        <w:instrText xml:space="preserve"> PAGEREF _Toc221266038 \h </w:instrText>
      </w:r>
      <w:r>
        <w:fldChar w:fldCharType="separate"/>
      </w:r>
      <w:r>
        <w:t>4</w:t>
      </w:r>
      <w:r>
        <w:fldChar w:fldCharType="end"/>
      </w:r>
      <w:r>
        <w:fldChar w:fldCharType="end"/>
      </w:r>
    </w:p>
    <w:p w14:paraId="481AA857">
      <w:pPr>
        <w:pStyle w:val="25"/>
        <w:rPr>
          <w:rFonts w:asciiTheme="minorHAnsi" w:hAnsiTheme="minorHAnsi" w:eastAsiaTheme="minorEastAsia" w:cstheme="minorBidi"/>
          <w:szCs w:val="22"/>
        </w:rPr>
      </w:pPr>
      <w:r>
        <w:fldChar w:fldCharType="begin"/>
      </w:r>
      <w:r>
        <w:instrText xml:space="preserve"> HYPERLINK \l "_Toc221266039" </w:instrText>
      </w:r>
      <w:r>
        <w:fldChar w:fldCharType="separate"/>
      </w:r>
      <w:r>
        <w:rPr>
          <w:rStyle w:val="33"/>
          <w14:scene3d w14:prst="orthographicFront">
            <w14:lightRig w14:rig="threePt" w14:dir="t">
              <w14:rot w14:lat="0" w14:lon="0" w14:rev="0"/>
            </w14:lightRig>
          </w14:scene3d>
        </w:rPr>
        <w:t xml:space="preserve">7.3 </w:t>
      </w:r>
      <w:r>
        <w:rPr>
          <w:rStyle w:val="33"/>
          <w:rFonts w:hint="eastAsia"/>
        </w:rPr>
        <w:t xml:space="preserve"> 运输</w:t>
      </w:r>
      <w:r>
        <w:tab/>
      </w:r>
      <w:r>
        <w:fldChar w:fldCharType="begin"/>
      </w:r>
      <w:r>
        <w:instrText xml:space="preserve"> PAGEREF _Toc221266039 \h </w:instrText>
      </w:r>
      <w:r>
        <w:fldChar w:fldCharType="separate"/>
      </w:r>
      <w:r>
        <w:t>4</w:t>
      </w:r>
      <w:r>
        <w:fldChar w:fldCharType="end"/>
      </w:r>
      <w:r>
        <w:fldChar w:fldCharType="end"/>
      </w:r>
    </w:p>
    <w:p w14:paraId="7461833C">
      <w:pPr>
        <w:pStyle w:val="25"/>
        <w:rPr>
          <w:rFonts w:asciiTheme="minorHAnsi" w:hAnsiTheme="minorHAnsi" w:eastAsiaTheme="minorEastAsia" w:cstheme="minorBidi"/>
          <w:szCs w:val="22"/>
        </w:rPr>
      </w:pPr>
      <w:r>
        <w:fldChar w:fldCharType="begin"/>
      </w:r>
      <w:r>
        <w:instrText xml:space="preserve"> HYPERLINK \l "_Toc221266040" </w:instrText>
      </w:r>
      <w:r>
        <w:fldChar w:fldCharType="separate"/>
      </w:r>
      <w:r>
        <w:rPr>
          <w:rStyle w:val="33"/>
          <w14:scene3d w14:prst="orthographicFront">
            <w14:lightRig w14:rig="threePt" w14:dir="t">
              <w14:rot w14:lat="0" w14:lon="0" w14:rev="0"/>
            </w14:lightRig>
          </w14:scene3d>
        </w:rPr>
        <w:t xml:space="preserve">7.4 </w:t>
      </w:r>
      <w:r>
        <w:rPr>
          <w:rStyle w:val="33"/>
          <w:rFonts w:hint="eastAsia"/>
        </w:rPr>
        <w:t xml:space="preserve"> 贮存</w:t>
      </w:r>
      <w:r>
        <w:tab/>
      </w:r>
      <w:r>
        <w:fldChar w:fldCharType="begin"/>
      </w:r>
      <w:r>
        <w:instrText xml:space="preserve"> PAGEREF _Toc221266040 \h </w:instrText>
      </w:r>
      <w:r>
        <w:fldChar w:fldCharType="separate"/>
      </w:r>
      <w:r>
        <w:t>4</w:t>
      </w:r>
      <w:r>
        <w:fldChar w:fldCharType="end"/>
      </w:r>
      <w:r>
        <w:fldChar w:fldCharType="end"/>
      </w:r>
    </w:p>
    <w:p w14:paraId="463BDF7E">
      <w:pPr>
        <w:pStyle w:val="25"/>
        <w:rPr>
          <w:rFonts w:asciiTheme="minorHAnsi" w:hAnsiTheme="minorHAnsi" w:eastAsiaTheme="minorEastAsia" w:cstheme="minorBidi"/>
          <w:szCs w:val="22"/>
        </w:rPr>
      </w:pPr>
      <w:r>
        <w:fldChar w:fldCharType="begin"/>
      </w:r>
      <w:r>
        <w:instrText xml:space="preserve"> HYPERLINK \l "_Toc221266041" </w:instrText>
      </w:r>
      <w:r>
        <w:fldChar w:fldCharType="separate"/>
      </w:r>
      <w:r>
        <w:rPr>
          <w:rStyle w:val="33"/>
          <w14:scene3d w14:prst="orthographicFront">
            <w14:lightRig w14:rig="threePt" w14:dir="t">
              <w14:rot w14:lat="0" w14:lon="0" w14:rev="0"/>
            </w14:lightRig>
          </w14:scene3d>
        </w:rPr>
        <w:t xml:space="preserve">7.5 </w:t>
      </w:r>
      <w:r>
        <w:rPr>
          <w:rStyle w:val="33"/>
          <w:rFonts w:hint="eastAsia"/>
        </w:rPr>
        <w:t xml:space="preserve"> 保质期</w:t>
      </w:r>
      <w:r>
        <w:tab/>
      </w:r>
      <w:r>
        <w:fldChar w:fldCharType="begin"/>
      </w:r>
      <w:r>
        <w:instrText xml:space="preserve"> PAGEREF _Toc221266041 \h </w:instrText>
      </w:r>
      <w:r>
        <w:fldChar w:fldCharType="separate"/>
      </w:r>
      <w:r>
        <w:t>4</w:t>
      </w:r>
      <w:r>
        <w:fldChar w:fldCharType="end"/>
      </w:r>
      <w:r>
        <w:fldChar w:fldCharType="end"/>
      </w:r>
    </w:p>
    <w:p w14:paraId="70DFFDE7">
      <w:pPr>
        <w:pStyle w:val="93"/>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4AAA8BA7">
      <w:pPr>
        <w:pStyle w:val="91"/>
        <w:spacing w:before="560" w:after="360"/>
      </w:pPr>
      <w:bookmarkStart w:id="50" w:name="_Toc221266014"/>
      <w:bookmarkStart w:id="51" w:name="BookMark2"/>
      <w:r>
        <w:rPr>
          <w:rFonts w:hint="eastAsia"/>
          <w:spacing w:val="320"/>
        </w:rPr>
        <w:t>前</w:t>
      </w:r>
      <w:r>
        <w:rPr>
          <w:rFonts w:hint="eastAsia"/>
        </w:rPr>
        <w:t>言</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7D89D5A">
      <w:pPr>
        <w:pStyle w:val="58"/>
        <w:ind w:firstLine="420"/>
      </w:pPr>
      <w:r>
        <w:rPr>
          <w:rFonts w:hint="eastAsia"/>
        </w:rPr>
        <w:t>本文件参照GB/T 1.1—2020《标准化工作导则  第1部分：标准化文件的结构和起草规则》的规定起草。</w:t>
      </w:r>
    </w:p>
    <w:p w14:paraId="7B96F817">
      <w:pPr>
        <w:pStyle w:val="58"/>
        <w:ind w:firstLine="420"/>
      </w:pPr>
      <w:r>
        <w:rPr>
          <w:rFonts w:hint="eastAsia"/>
        </w:rPr>
        <w:t>请注意本文件的某些内容可能涉及专利，本文件的发布机构不承担识别专利的责任。</w:t>
      </w:r>
    </w:p>
    <w:p w14:paraId="43D06BAD">
      <w:pPr>
        <w:pStyle w:val="58"/>
        <w:ind w:firstLine="420"/>
      </w:pPr>
      <w:r>
        <w:rPr>
          <w:rFonts w:hint="eastAsia"/>
        </w:rPr>
        <w:t>本文件由广西食品工业协会提出、归口并宣贯。</w:t>
      </w:r>
    </w:p>
    <w:p w14:paraId="3C5BDEAB">
      <w:pPr>
        <w:pStyle w:val="58"/>
        <w:ind w:firstLine="420"/>
      </w:pPr>
      <w:r>
        <w:rPr>
          <w:rFonts w:hint="eastAsia"/>
        </w:rPr>
        <w:t>本文件起草单位：广西壮族自治区国有派阳山林场、广西派阳山森林公园有限责任公司、广西大学、广西崇左市龙州县彩森食品有限责任公司、龙州县广林食品有限公司。</w:t>
      </w:r>
    </w:p>
    <w:p w14:paraId="6D7DE727">
      <w:pPr>
        <w:pStyle w:val="58"/>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linePitch="312" w:charSpace="0"/>
        </w:sectPr>
      </w:pPr>
      <w:r>
        <w:rPr>
          <w:rFonts w:hint="eastAsia"/>
        </w:rPr>
        <w:t>本文件主要起草人：周怀勋、刘奇林、陈锦芳、许文宝、刘小玲、吕燕强、吕玉玉。</w:t>
      </w:r>
    </w:p>
    <w:bookmarkEnd w:id="51"/>
    <w:p w14:paraId="254C1754">
      <w:pPr>
        <w:spacing w:line="20" w:lineRule="exact"/>
        <w:jc w:val="center"/>
        <w:rPr>
          <w:rFonts w:ascii="黑体" w:hAnsi="黑体" w:eastAsia="黑体"/>
          <w:sz w:val="32"/>
          <w:szCs w:val="32"/>
        </w:rPr>
      </w:pPr>
      <w:bookmarkStart w:id="52" w:name="BookMark4"/>
    </w:p>
    <w:p w14:paraId="7E14F035">
      <w:pPr>
        <w:spacing w:line="20" w:lineRule="exact"/>
        <w:jc w:val="center"/>
        <w:rPr>
          <w:rFonts w:ascii="黑体" w:hAnsi="黑体" w:eastAsia="黑体"/>
          <w:sz w:val="32"/>
          <w:szCs w:val="32"/>
        </w:rPr>
      </w:pPr>
    </w:p>
    <w:sdt>
      <w:sdtPr>
        <w:tag w:val="NEW_STAND_NAME"/>
        <w:id w:val="595910757"/>
        <w:lock w:val="sdtLocked"/>
        <w:placeholder>
          <w:docPart w:val="36A881E1D7344406903FADC03FA52A06"/>
        </w:placeholder>
      </w:sdtPr>
      <w:sdtContent>
        <w:p w14:paraId="3EA64313">
          <w:pPr>
            <w:pStyle w:val="179"/>
            <w:spacing w:before="240" w:beforeLines="100" w:after="528" w:afterLines="220"/>
          </w:pPr>
          <w:bookmarkStart w:id="53" w:name="NEW_STAND_NAME"/>
          <w:r>
            <w:rPr>
              <w:rFonts w:hint="eastAsia"/>
            </w:rPr>
            <w:t>红桄榔粉</w:t>
          </w:r>
        </w:p>
      </w:sdtContent>
    </w:sdt>
    <w:bookmarkEnd w:id="53"/>
    <w:p w14:paraId="79044180">
      <w:pPr>
        <w:pStyle w:val="106"/>
        <w:spacing w:before="240" w:after="240"/>
      </w:pPr>
      <w:bookmarkStart w:id="54" w:name="_Toc215565769"/>
      <w:bookmarkStart w:id="55" w:name="_Toc26986530"/>
      <w:bookmarkStart w:id="56" w:name="_Toc209813020"/>
      <w:bookmarkStart w:id="57" w:name="_Toc215567076"/>
      <w:bookmarkStart w:id="58" w:name="_Toc26986771"/>
      <w:bookmarkStart w:id="59" w:name="_Toc209816093"/>
      <w:bookmarkStart w:id="60" w:name="_Toc215520131"/>
      <w:bookmarkStart w:id="61" w:name="_Toc26648465"/>
      <w:bookmarkStart w:id="62" w:name="_Toc97192964"/>
      <w:bookmarkStart w:id="63" w:name="_Toc209813274"/>
      <w:bookmarkStart w:id="64" w:name="_Toc215738103"/>
      <w:bookmarkStart w:id="65" w:name="_Toc215521008"/>
      <w:bookmarkStart w:id="66" w:name="_Toc215666342"/>
      <w:bookmarkStart w:id="67" w:name="_Toc209976228"/>
      <w:bookmarkStart w:id="68" w:name="_Toc24884211"/>
      <w:bookmarkStart w:id="69" w:name="_Toc17233325"/>
      <w:bookmarkStart w:id="70" w:name="_Toc209815959"/>
      <w:bookmarkStart w:id="71" w:name="_Toc26718930"/>
      <w:bookmarkStart w:id="72" w:name="_Toc221148484"/>
      <w:bookmarkStart w:id="73" w:name="_Toc213786456"/>
      <w:bookmarkStart w:id="74" w:name="_Toc215521101"/>
      <w:bookmarkStart w:id="75" w:name="_Toc209815121"/>
      <w:bookmarkStart w:id="76" w:name="_Toc214270454"/>
      <w:bookmarkStart w:id="77" w:name="_Toc215565951"/>
      <w:bookmarkStart w:id="78" w:name="_Toc221229277"/>
      <w:bookmarkStart w:id="79" w:name="_Toc214269780"/>
      <w:bookmarkStart w:id="80" w:name="_Toc221265962"/>
      <w:bookmarkStart w:id="81" w:name="_Toc208225700"/>
      <w:bookmarkStart w:id="82" w:name="_Toc215567376"/>
      <w:bookmarkStart w:id="83" w:name="_Toc221266015"/>
      <w:bookmarkStart w:id="84" w:name="_Toc221147259"/>
      <w:bookmarkStart w:id="85" w:name="_Toc24884218"/>
      <w:bookmarkStart w:id="86" w:name="_Toc1092"/>
      <w:bookmarkStart w:id="87" w:name="_Toc215761435"/>
      <w:bookmarkStart w:id="88" w:name="_Toc215855294"/>
      <w:bookmarkStart w:id="89" w:name="_Toc17233333"/>
      <w:bookmarkStart w:id="90" w:name="_Toc215779457"/>
      <w:bookmarkStart w:id="91" w:name="_Toc213681875"/>
      <w:r>
        <w:rPr>
          <w:rFonts w:hint="eastAsia"/>
        </w:rPr>
        <w:t>范围</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7647372C">
      <w:pPr>
        <w:pStyle w:val="58"/>
        <w:ind w:firstLine="420"/>
      </w:pPr>
      <w:bookmarkStart w:id="92" w:name="OLE_LINK10"/>
      <w:r>
        <w:rPr>
          <w:rFonts w:hint="eastAsia"/>
        </w:rPr>
        <w:t>本文件界定了红桄榔粉的术语和定义，规定了红桄榔粉的原辅料、感官、理化指标、安全指标的要求以及检验规则、标志、标签、包装、运输和贮运和保质期的内容，描述了相应的试验方法。</w:t>
      </w:r>
    </w:p>
    <w:p w14:paraId="13D47EC4">
      <w:pPr>
        <w:pStyle w:val="58"/>
        <w:ind w:firstLine="420"/>
      </w:pPr>
      <w:r>
        <w:rPr>
          <w:rFonts w:hint="eastAsia"/>
        </w:rPr>
        <w:t>本文件适用于红桄榔粉的生产、检验和销售。</w:t>
      </w:r>
      <w:bookmarkStart w:id="93" w:name="_Toc26648466"/>
      <w:bookmarkStart w:id="94" w:name="_Toc24884219"/>
      <w:bookmarkStart w:id="95" w:name="_Toc17233334"/>
      <w:bookmarkStart w:id="96" w:name="_Toc17233326"/>
      <w:bookmarkStart w:id="97" w:name="_Toc24884212"/>
    </w:p>
    <w:bookmarkEnd w:id="92"/>
    <w:p w14:paraId="55CA0F67">
      <w:pPr>
        <w:pStyle w:val="106"/>
        <w:spacing w:before="240" w:after="240"/>
      </w:pPr>
      <w:bookmarkStart w:id="98" w:name="_Toc97192965"/>
      <w:bookmarkStart w:id="99" w:name="_Toc221229278"/>
      <w:bookmarkStart w:id="100" w:name="_Toc209813275"/>
      <w:bookmarkStart w:id="101" w:name="_Toc214269781"/>
      <w:bookmarkStart w:id="102" w:name="_Toc26718931"/>
      <w:bookmarkStart w:id="103" w:name="_Toc215520132"/>
      <w:bookmarkStart w:id="104" w:name="_Toc214270455"/>
      <w:bookmarkStart w:id="105" w:name="_Toc209815960"/>
      <w:bookmarkStart w:id="106" w:name="_Toc26986531"/>
      <w:bookmarkStart w:id="107" w:name="_Toc215738104"/>
      <w:bookmarkStart w:id="108" w:name="_Toc209813021"/>
      <w:bookmarkStart w:id="109" w:name="_Toc209976229"/>
      <w:bookmarkStart w:id="110" w:name="_Toc208225701"/>
      <w:bookmarkStart w:id="111" w:name="_Toc215567077"/>
      <w:bookmarkStart w:id="112" w:name="_Toc215779458"/>
      <w:bookmarkStart w:id="113" w:name="_Toc209815122"/>
      <w:bookmarkStart w:id="114" w:name="_Toc215565952"/>
      <w:bookmarkStart w:id="115" w:name="_Toc215761436"/>
      <w:bookmarkStart w:id="116" w:name="_Toc215567377"/>
      <w:bookmarkStart w:id="117" w:name="_Toc215855295"/>
      <w:bookmarkStart w:id="118" w:name="_Toc215666343"/>
      <w:bookmarkStart w:id="119" w:name="_Toc215565770"/>
      <w:bookmarkStart w:id="120" w:name="_Toc221265963"/>
      <w:bookmarkStart w:id="121" w:name="_Toc221148485"/>
      <w:bookmarkStart w:id="122" w:name="_Toc213786457"/>
      <w:bookmarkStart w:id="123" w:name="_Toc221147260"/>
      <w:bookmarkStart w:id="124" w:name="_Toc26986772"/>
      <w:bookmarkStart w:id="125" w:name="_Toc215521009"/>
      <w:bookmarkStart w:id="126" w:name="_Toc209816094"/>
      <w:bookmarkStart w:id="127" w:name="_Toc213681876"/>
      <w:bookmarkStart w:id="128" w:name="_Toc221266016"/>
      <w:bookmarkStart w:id="129" w:name="_Toc215521102"/>
      <w:bookmarkStart w:id="130" w:name="_Toc11514"/>
      <w:r>
        <w:rPr>
          <w:rFonts w:hint="eastAsia"/>
        </w:rPr>
        <w:t>规范性引用文件</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sdt>
      <w:sdtPr>
        <w:rPr>
          <w:rFonts w:hint="eastAsia"/>
        </w:rPr>
        <w:id w:val="715848253"/>
        <w:placeholder>
          <w:docPart w:val="71EB0C5E4F7549298FE58EBD9C12CF8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B5E98A5">
          <w:pPr>
            <w:pStyle w:val="5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8ECF8B9">
      <w:pPr>
        <w:pStyle w:val="58"/>
        <w:ind w:firstLine="420"/>
      </w:pPr>
      <w:r>
        <w:rPr>
          <w:rFonts w:hint="eastAsia"/>
        </w:rPr>
        <w:t>GB/T 191  包装储运图示标志</w:t>
      </w:r>
    </w:p>
    <w:p w14:paraId="5F1BD6EA">
      <w:pPr>
        <w:pStyle w:val="239"/>
        <w:rPr>
          <w:rFonts w:hAnsi="Times New Roman" w:cs="Times New Roman"/>
          <w:szCs w:val="20"/>
        </w:rPr>
      </w:pPr>
      <w:bookmarkStart w:id="131" w:name="OLE_LINK13"/>
      <w:bookmarkStart w:id="132" w:name="OLE_LINK3"/>
      <w:bookmarkStart w:id="133" w:name="OLE_LINK2"/>
      <w:bookmarkStart w:id="134" w:name="OLE_LINK14"/>
      <w:r>
        <w:rPr>
          <w:rFonts w:hint="eastAsia" w:hAnsi="Times New Roman" w:cs="Times New Roman"/>
          <w:szCs w:val="20"/>
        </w:rPr>
        <w:t>GB 5009.3  食品安全国家标准  食品中水分的测定</w:t>
      </w:r>
    </w:p>
    <w:p w14:paraId="24972F15">
      <w:pPr>
        <w:pStyle w:val="239"/>
        <w:rPr>
          <w:rFonts w:hAnsi="Times New Roman" w:cs="Times New Roman"/>
          <w:szCs w:val="20"/>
        </w:rPr>
      </w:pPr>
      <w:r>
        <w:rPr>
          <w:rFonts w:hint="eastAsia" w:hAnsi="Times New Roman" w:cs="Times New Roman"/>
          <w:szCs w:val="20"/>
        </w:rPr>
        <w:t>GB 5009.4  食品安全国家标准  食品中灰分的测定</w:t>
      </w:r>
    </w:p>
    <w:p w14:paraId="281095BD">
      <w:pPr>
        <w:pStyle w:val="239"/>
        <w:rPr>
          <w:rFonts w:hAnsi="Times New Roman" w:cs="Times New Roman"/>
          <w:szCs w:val="20"/>
        </w:rPr>
      </w:pPr>
      <w:r>
        <w:rPr>
          <w:rFonts w:hint="eastAsia" w:hAnsi="Times New Roman" w:cs="Times New Roman"/>
          <w:szCs w:val="20"/>
        </w:rPr>
        <w:t>GB 5009.9  食品安全国家标准  食品中淀粉的测定</w:t>
      </w:r>
    </w:p>
    <w:p w14:paraId="6A6E977B">
      <w:pPr>
        <w:pStyle w:val="239"/>
        <w:rPr>
          <w:rFonts w:hAnsi="Times New Roman" w:cs="Times New Roman"/>
          <w:szCs w:val="20"/>
        </w:rPr>
      </w:pPr>
      <w:r>
        <w:rPr>
          <w:rFonts w:hint="eastAsia" w:hAnsi="Times New Roman" w:cs="Times New Roman"/>
          <w:szCs w:val="20"/>
        </w:rPr>
        <w:t>GB 5009.22  食品安全国家标准  食品中黄曲霉毒素B族和G族的测定</w:t>
      </w:r>
    </w:p>
    <w:p w14:paraId="68343574">
      <w:pPr>
        <w:pStyle w:val="239"/>
        <w:rPr>
          <w:rFonts w:hAnsi="Times New Roman" w:cs="Times New Roman"/>
          <w:szCs w:val="20"/>
        </w:rPr>
      </w:pPr>
      <w:r>
        <w:rPr>
          <w:rFonts w:hint="eastAsia" w:hAnsi="Times New Roman" w:cs="Times New Roman"/>
          <w:szCs w:val="20"/>
        </w:rPr>
        <w:t>GB 5009.239  食品安全国家标准  食品酸度的测定</w:t>
      </w:r>
    </w:p>
    <w:p w14:paraId="52A76139">
      <w:pPr>
        <w:pStyle w:val="239"/>
        <w:rPr>
          <w:rFonts w:hAnsi="Times New Roman" w:cs="Times New Roman"/>
          <w:szCs w:val="20"/>
        </w:rPr>
      </w:pPr>
      <w:r>
        <w:rPr>
          <w:rFonts w:hint="eastAsia" w:hAnsi="Times New Roman" w:cs="Times New Roman"/>
          <w:szCs w:val="20"/>
        </w:rPr>
        <w:t>GB 5009.268  食品安全国家标准  食品中多元素的测定</w:t>
      </w:r>
    </w:p>
    <w:p w14:paraId="2263A73C">
      <w:pPr>
        <w:pStyle w:val="239"/>
      </w:pPr>
      <w:r>
        <w:rPr>
          <w:rFonts w:hint="eastAsia"/>
        </w:rPr>
        <w:t>GB 5749  生活饮用水卫生标准</w:t>
      </w:r>
    </w:p>
    <w:p w14:paraId="71AC72D3">
      <w:pPr>
        <w:pStyle w:val="239"/>
        <w:ind w:firstLine="400"/>
      </w:pPr>
      <w:r>
        <w:rPr>
          <w:rFonts w:hint="eastAsia"/>
          <w:sz w:val="20"/>
          <w:szCs w:val="20"/>
        </w:rPr>
        <w:t>GB</w:t>
      </w:r>
      <w:r>
        <w:rPr>
          <w:rFonts w:hint="eastAsia"/>
          <w:spacing w:val="8"/>
          <w:sz w:val="20"/>
          <w:szCs w:val="20"/>
        </w:rPr>
        <w:t xml:space="preserve"> 7718  食品安全国家标准  预包装食品标签通则</w:t>
      </w:r>
    </w:p>
    <w:p w14:paraId="6BD1E4A0">
      <w:pPr>
        <w:pStyle w:val="58"/>
        <w:ind w:firstLine="420"/>
        <w:rPr>
          <w:rFonts w:hAnsi="宋体"/>
        </w:rPr>
      </w:pPr>
      <w:r>
        <w:rPr>
          <w:rFonts w:hint="eastAsia" w:hAnsi="宋体"/>
        </w:rPr>
        <w:t>GB 14881 食品安全国家标准  食品生产通用卫生规范</w:t>
      </w:r>
    </w:p>
    <w:p w14:paraId="6BBECD49">
      <w:pPr>
        <w:pStyle w:val="58"/>
        <w:ind w:firstLine="420"/>
      </w:pPr>
      <w:r>
        <w:rPr>
          <w:rFonts w:hint="eastAsia"/>
        </w:rPr>
        <w:t>GB/T 15683  粮油检验  大米直链淀粉含量的测定</w:t>
      </w:r>
    </w:p>
    <w:p w14:paraId="0D3F5007">
      <w:pPr>
        <w:pStyle w:val="58"/>
        <w:ind w:firstLine="420"/>
      </w:pPr>
      <w:r>
        <w:rPr>
          <w:rFonts w:hint="eastAsia"/>
        </w:rPr>
        <w:t>GB 23350  限制商品过度包装要求  食品和化妆品</w:t>
      </w:r>
    </w:p>
    <w:p w14:paraId="6565D9E2">
      <w:pPr>
        <w:pStyle w:val="58"/>
        <w:ind w:firstLine="420"/>
      </w:pPr>
      <w:r>
        <w:rPr>
          <w:rFonts w:hint="eastAsia"/>
        </w:rPr>
        <w:t>GB 28050  食品安全国家标准  预包装食品营养标签通则</w:t>
      </w:r>
    </w:p>
    <w:p w14:paraId="3173B778">
      <w:pPr>
        <w:pStyle w:val="58"/>
        <w:ind w:firstLine="420"/>
      </w:pPr>
      <w:r>
        <w:rPr>
          <w:rFonts w:hint="eastAsia"/>
        </w:rPr>
        <w:t>JJF 1070  定量包装商品净含量计量检验规则</w:t>
      </w:r>
    </w:p>
    <w:p w14:paraId="1385377A">
      <w:pPr>
        <w:pStyle w:val="58"/>
        <w:ind w:firstLine="420"/>
      </w:pPr>
      <w:r>
        <w:rPr>
          <w:rFonts w:hint="eastAsia"/>
        </w:rPr>
        <w:t>SN/T 4592  出口食品中总黄酮的测定</w:t>
      </w:r>
    </w:p>
    <w:bookmarkEnd w:id="131"/>
    <w:bookmarkEnd w:id="132"/>
    <w:bookmarkEnd w:id="133"/>
    <w:bookmarkEnd w:id="134"/>
    <w:p w14:paraId="4FFFA837">
      <w:pPr>
        <w:pStyle w:val="106"/>
        <w:spacing w:before="240" w:after="240"/>
      </w:pPr>
      <w:bookmarkStart w:id="135" w:name="_Toc213681877"/>
      <w:bookmarkStart w:id="136" w:name="_Toc215779459"/>
      <w:bookmarkStart w:id="137" w:name="_Toc209815961"/>
      <w:bookmarkStart w:id="138" w:name="_Toc215738105"/>
      <w:bookmarkStart w:id="139" w:name="_Toc221147261"/>
      <w:bookmarkStart w:id="140" w:name="_Toc215761437"/>
      <w:bookmarkStart w:id="141" w:name="_Toc209813022"/>
      <w:bookmarkStart w:id="142" w:name="_Toc215666344"/>
      <w:bookmarkStart w:id="143" w:name="_Toc208225702"/>
      <w:bookmarkStart w:id="144" w:name="_Toc215521103"/>
      <w:bookmarkStart w:id="145" w:name="_Toc221229279"/>
      <w:bookmarkStart w:id="146" w:name="_Toc215567078"/>
      <w:bookmarkStart w:id="147" w:name="_Toc215565953"/>
      <w:bookmarkStart w:id="148" w:name="_Toc215565771"/>
      <w:bookmarkStart w:id="149" w:name="_Toc209815123"/>
      <w:bookmarkStart w:id="150" w:name="_Toc215855296"/>
      <w:bookmarkStart w:id="151" w:name="_Toc209813276"/>
      <w:bookmarkStart w:id="152" w:name="_Toc209816095"/>
      <w:bookmarkStart w:id="153" w:name="_Toc215567378"/>
      <w:bookmarkStart w:id="154" w:name="_Toc221265964"/>
      <w:bookmarkStart w:id="155" w:name="_Toc221266017"/>
      <w:bookmarkStart w:id="156" w:name="_Toc215521010"/>
      <w:bookmarkStart w:id="157" w:name="_Toc209976230"/>
      <w:bookmarkStart w:id="158" w:name="_Toc213786458"/>
      <w:bookmarkStart w:id="159" w:name="_Toc214269782"/>
      <w:bookmarkStart w:id="160" w:name="_Toc221148486"/>
      <w:bookmarkStart w:id="161" w:name="_Toc97192966"/>
      <w:bookmarkStart w:id="162" w:name="_Toc214270456"/>
      <w:bookmarkStart w:id="163" w:name="_Toc215520133"/>
      <w:bookmarkStart w:id="164" w:name="_Toc3261"/>
      <w:r>
        <w:rPr>
          <w:rFonts w:hint="eastAsia"/>
          <w:szCs w:val="21"/>
        </w:rPr>
        <w:t>术语和定义</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sdt>
      <w:sdtPr>
        <w:id w:val="-1909835108"/>
        <w:placeholder>
          <w:docPart w:val="5F377E8A0A8D44608D745CE8FFD574B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46C14FA">
          <w:pPr>
            <w:pStyle w:val="58"/>
            <w:ind w:firstLine="420"/>
          </w:pPr>
          <w:bookmarkStart w:id="165" w:name="_Toc26986532"/>
          <w:bookmarkEnd w:id="165"/>
          <w:r>
            <w:t>下列术语和定义适用于本文件。</w:t>
          </w:r>
        </w:p>
      </w:sdtContent>
    </w:sdt>
    <w:p w14:paraId="7574F90B">
      <w:pPr>
        <w:pStyle w:val="225"/>
        <w:ind w:left="420" w:hanging="420" w:hangingChars="200"/>
        <w:rPr>
          <w:rFonts w:ascii="黑体" w:hAnsi="黑体" w:eastAsia="黑体"/>
        </w:rPr>
      </w:pPr>
      <w:bookmarkStart w:id="166" w:name="_Toc215567380"/>
      <w:bookmarkStart w:id="167" w:name="_Toc215666346"/>
      <w:bookmarkStart w:id="168" w:name="_Toc561"/>
      <w:bookmarkStart w:id="169" w:name="_Toc215565773"/>
      <w:bookmarkStart w:id="170" w:name="_Toc213786459"/>
      <w:bookmarkStart w:id="171" w:name="_Toc215521012"/>
      <w:bookmarkStart w:id="172" w:name="_Toc209976231"/>
      <w:bookmarkStart w:id="173" w:name="_Toc214270457"/>
      <w:bookmarkStart w:id="174" w:name="_Toc209816096"/>
      <w:bookmarkStart w:id="175" w:name="_Toc209815124"/>
      <w:bookmarkStart w:id="176" w:name="_Toc208225703"/>
      <w:bookmarkStart w:id="177" w:name="_Toc214269783"/>
      <w:bookmarkStart w:id="178" w:name="_Toc215761439"/>
      <w:bookmarkStart w:id="179" w:name="_Toc215567080"/>
      <w:bookmarkStart w:id="180" w:name="_Toc209813277"/>
      <w:bookmarkStart w:id="181" w:name="_Toc213681878"/>
      <w:bookmarkStart w:id="182" w:name="_Toc215565955"/>
      <w:bookmarkStart w:id="183" w:name="_Toc215520135"/>
      <w:bookmarkStart w:id="184" w:name="_Toc209813023"/>
      <w:bookmarkStart w:id="185" w:name="_Toc209815962"/>
      <w:bookmarkStart w:id="186" w:name="_Toc221148487"/>
      <w:bookmarkStart w:id="187" w:name="_Toc215779461"/>
      <w:bookmarkStart w:id="188" w:name="_Toc215521105"/>
      <w:bookmarkStart w:id="189" w:name="_Toc221147262"/>
      <w:bookmarkStart w:id="190" w:name="_Toc215738107"/>
      <w:bookmarkStart w:id="191" w:name="_Toc215855298"/>
      <w:bookmarkStart w:id="192" w:name="_Hlk193354480"/>
      <w:r>
        <w:rPr>
          <w:rFonts w:ascii="黑体" w:hAnsi="黑体" w:eastAsia="黑体"/>
        </w:rPr>
        <w:br w:type="textWrapping"/>
      </w:r>
      <w:r>
        <w:rPr>
          <w:rFonts w:ascii="黑体" w:hAnsi="黑体" w:eastAsia="黑体"/>
        </w:rPr>
        <w:t>红桄榔粉</w:t>
      </w:r>
      <w:r>
        <w:rPr>
          <w:rFonts w:hint="eastAsia" w:ascii="黑体" w:hAnsi="黑体" w:eastAsia="黑体"/>
        </w:rPr>
        <w:t xml:space="preserve">  r</w:t>
      </w:r>
      <w:r>
        <w:rPr>
          <w:rFonts w:ascii="黑体" w:hAnsi="黑体" w:eastAsia="黑体"/>
        </w:rPr>
        <w:t>ed sugar palm flour</w:t>
      </w:r>
    </w:p>
    <w:p w14:paraId="2F9F7E49">
      <w:pPr>
        <w:pStyle w:val="58"/>
        <w:ind w:firstLine="420"/>
      </w:pPr>
      <w:r>
        <w:rPr>
          <w:rFonts w:hint="eastAsia"/>
        </w:rPr>
        <w:t>以棕榈科桄榔树树干髓心为原料，经砍碎、舂烂、磨粉、沉淀、晒干等工艺制成，含钙、铁、锌、硒等多种微量元素，</w:t>
      </w:r>
      <w:bookmarkStart w:id="193" w:name="OLE_LINK1"/>
      <w:r>
        <w:rPr>
          <w:rFonts w:hint="eastAsia"/>
        </w:rPr>
        <w:t>冲调后口感柔滑、细腻，呈透明胶状，兼具营养与独特风味的地方特色红色粉末食品。</w:t>
      </w:r>
      <w:bookmarkEnd w:id="193"/>
    </w:p>
    <w:p w14:paraId="3B4B83D1">
      <w:pPr>
        <w:pStyle w:val="106"/>
        <w:spacing w:before="240" w:after="240"/>
      </w:pPr>
      <w:bookmarkStart w:id="194" w:name="_Toc221265965"/>
      <w:bookmarkStart w:id="195" w:name="_Toc221229280"/>
      <w:bookmarkStart w:id="196" w:name="_Toc221266018"/>
      <w:r>
        <w:rPr>
          <w:rFonts w:hint="eastAsia"/>
        </w:rPr>
        <w:t>要求</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4"/>
      <w:bookmarkEnd w:id="195"/>
      <w:bookmarkEnd w:id="196"/>
    </w:p>
    <w:p w14:paraId="4823A8D9">
      <w:pPr>
        <w:pStyle w:val="107"/>
        <w:spacing w:before="120" w:after="120"/>
      </w:pPr>
      <w:bookmarkStart w:id="197" w:name="_Toc221229281"/>
      <w:bookmarkStart w:id="198" w:name="_Toc221148488"/>
      <w:bookmarkStart w:id="199" w:name="_Toc221147263"/>
      <w:bookmarkStart w:id="200" w:name="_Toc221265966"/>
      <w:bookmarkStart w:id="201" w:name="_Toc221266019"/>
      <w:bookmarkStart w:id="202" w:name="_Toc215521106"/>
      <w:bookmarkStart w:id="203" w:name="_Toc215567081"/>
      <w:bookmarkStart w:id="204" w:name="_Toc209976232"/>
      <w:bookmarkStart w:id="205" w:name="_Toc209816097"/>
      <w:bookmarkStart w:id="206" w:name="_Toc215761440"/>
      <w:bookmarkStart w:id="207" w:name="_Toc215567381"/>
      <w:bookmarkStart w:id="208" w:name="_Toc209813278"/>
      <w:bookmarkStart w:id="209" w:name="_Toc209813024"/>
      <w:bookmarkStart w:id="210" w:name="_Toc214270458"/>
      <w:bookmarkStart w:id="211" w:name="_Toc215565956"/>
      <w:bookmarkStart w:id="212" w:name="_Toc215521013"/>
      <w:bookmarkStart w:id="213" w:name="_Toc213786460"/>
      <w:bookmarkStart w:id="214" w:name="_Toc215565774"/>
      <w:bookmarkStart w:id="215" w:name="_Toc213681879"/>
      <w:bookmarkStart w:id="216" w:name="_Toc215738108"/>
      <w:bookmarkStart w:id="217" w:name="_Toc215666347"/>
      <w:bookmarkStart w:id="218" w:name="_Toc209815963"/>
      <w:bookmarkStart w:id="219" w:name="_Toc208225704"/>
      <w:bookmarkStart w:id="220" w:name="_Toc215779462"/>
      <w:bookmarkStart w:id="221" w:name="_Toc215520136"/>
      <w:bookmarkStart w:id="222" w:name="_Toc214269784"/>
      <w:bookmarkStart w:id="223" w:name="_Toc209815125"/>
      <w:bookmarkStart w:id="224" w:name="_Toc15433"/>
      <w:bookmarkStart w:id="225" w:name="_Toc215855299"/>
      <w:bookmarkStart w:id="226" w:name="_Hlk193354503"/>
      <w:r>
        <w:rPr>
          <w:rFonts w:hint="eastAsia"/>
        </w:rPr>
        <w:t>原辅料</w:t>
      </w:r>
      <w:bookmarkEnd w:id="197"/>
      <w:bookmarkEnd w:id="198"/>
      <w:bookmarkEnd w:id="199"/>
      <w:bookmarkEnd w:id="200"/>
      <w:bookmarkEnd w:id="201"/>
    </w:p>
    <w:p w14:paraId="549E2D41">
      <w:pPr>
        <w:pStyle w:val="67"/>
        <w:spacing w:before="120" w:after="120"/>
        <w:ind w:left="0"/>
      </w:pPr>
      <w:bookmarkStart w:id="227" w:name="OLE_LINK4"/>
      <w:r>
        <w:rPr>
          <w:rFonts w:hint="eastAsia"/>
        </w:rPr>
        <w:t>原料要求</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56DE7D76">
      <w:pPr>
        <w:pStyle w:val="58"/>
        <w:ind w:firstLine="420"/>
        <w:rPr>
          <w:szCs w:val="21"/>
        </w:rPr>
      </w:pPr>
      <w:r>
        <w:rPr>
          <w:rFonts w:hint="eastAsia"/>
          <w:szCs w:val="21"/>
        </w:rPr>
        <w:t>选用树高＞10</w:t>
      </w:r>
      <w:r>
        <w:rPr>
          <w:rFonts w:hint="eastAsia"/>
          <w:szCs w:val="21"/>
          <w:vertAlign w:val="superscript"/>
        </w:rPr>
        <w:t xml:space="preserve"> </w:t>
      </w:r>
      <w:r>
        <w:rPr>
          <w:rFonts w:hint="eastAsia"/>
          <w:szCs w:val="21"/>
        </w:rPr>
        <w:t>m的棕榈科桄榔树</w:t>
      </w:r>
      <w:r>
        <w:rPr>
          <w:rFonts w:hint="eastAsia"/>
        </w:rPr>
        <w:t>（</w:t>
      </w:r>
      <w:r>
        <w:rPr>
          <w:rFonts w:ascii="黑体" w:hAnsi="黑体" w:eastAsia="黑体"/>
          <w:i/>
          <w:szCs w:val="28"/>
        </w:rPr>
        <w:t>Arenga pinnata</w:t>
      </w:r>
      <w:r>
        <w:rPr>
          <w:rFonts w:hint="eastAsia"/>
        </w:rPr>
        <w:t>）</w:t>
      </w:r>
      <w:r>
        <w:rPr>
          <w:rFonts w:hint="eastAsia"/>
          <w:szCs w:val="21"/>
        </w:rPr>
        <w:t>的髓芯为原料。</w:t>
      </w:r>
    </w:p>
    <w:bookmarkEnd w:id="227"/>
    <w:p w14:paraId="57C9563A">
      <w:pPr>
        <w:pStyle w:val="67"/>
        <w:spacing w:before="120" w:after="120"/>
        <w:ind w:left="0"/>
      </w:pPr>
      <w:r>
        <w:rPr>
          <w:rFonts w:hint="eastAsia"/>
        </w:rPr>
        <w:t>生产用水</w:t>
      </w:r>
    </w:p>
    <w:p w14:paraId="46FA91EE">
      <w:pPr>
        <w:pStyle w:val="239"/>
      </w:pPr>
      <w:r>
        <w:rPr>
          <w:rFonts w:hint="eastAsia"/>
        </w:rPr>
        <w:t>应符合GB 5749的规定。</w:t>
      </w:r>
    </w:p>
    <w:p w14:paraId="42CEFD48">
      <w:pPr>
        <w:pStyle w:val="67"/>
        <w:spacing w:before="120" w:after="120"/>
        <w:ind w:left="0"/>
      </w:pPr>
      <w:r>
        <w:rPr>
          <w:rFonts w:hint="eastAsia"/>
        </w:rPr>
        <w:t>其他原辅料</w:t>
      </w:r>
    </w:p>
    <w:p w14:paraId="1CFA4BEE">
      <w:pPr>
        <w:pStyle w:val="239"/>
      </w:pPr>
      <w:r>
        <w:rPr>
          <w:rFonts w:hint="eastAsia"/>
        </w:rPr>
        <w:t>应符合相应食品标准和有关规定。</w:t>
      </w:r>
    </w:p>
    <w:p w14:paraId="49D820BB">
      <w:pPr>
        <w:pStyle w:val="107"/>
        <w:spacing w:before="120" w:after="120"/>
      </w:pPr>
      <w:bookmarkStart w:id="228" w:name="_Toc221266020"/>
      <w:bookmarkStart w:id="229" w:name="_Toc221147264"/>
      <w:bookmarkStart w:id="230" w:name="_Toc221265967"/>
      <w:bookmarkStart w:id="231" w:name="_Toc221148489"/>
      <w:bookmarkStart w:id="232" w:name="_Toc221229282"/>
      <w:r>
        <w:rPr>
          <w:rFonts w:hint="eastAsia"/>
        </w:rPr>
        <w:t>感官</w:t>
      </w:r>
      <w:bookmarkEnd w:id="228"/>
      <w:bookmarkEnd w:id="229"/>
      <w:bookmarkEnd w:id="230"/>
      <w:bookmarkEnd w:id="231"/>
      <w:bookmarkEnd w:id="232"/>
    </w:p>
    <w:p w14:paraId="527C0C50">
      <w:pPr>
        <w:pStyle w:val="58"/>
        <w:ind w:firstLine="420"/>
      </w:pPr>
      <w:r>
        <w:rPr>
          <w:rFonts w:hint="eastAsia"/>
        </w:rPr>
        <w:t>应符合表1的规定。</w:t>
      </w:r>
    </w:p>
    <w:p w14:paraId="6EBB0DD7">
      <w:pPr>
        <w:pStyle w:val="114"/>
        <w:spacing w:before="120" w:after="120"/>
      </w:pPr>
      <w:bookmarkStart w:id="233" w:name="_Hlk193354613"/>
      <w:r>
        <w:rPr>
          <w:rFonts w:hint="eastAsia"/>
        </w:rPr>
        <w:t>感官</w:t>
      </w:r>
    </w:p>
    <w:tbl>
      <w:tblPr>
        <w:tblStyle w:val="27"/>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86"/>
        <w:gridCol w:w="8088"/>
      </w:tblGrid>
      <w:tr w14:paraId="1CEFA1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30" w:hRule="atLeast"/>
          <w:tblHeader/>
          <w:jc w:val="center"/>
        </w:trPr>
        <w:tc>
          <w:tcPr>
            <w:tcW w:w="686" w:type="pct"/>
            <w:tcBorders>
              <w:top w:val="single" w:color="auto" w:sz="8" w:space="0"/>
              <w:bottom w:val="single" w:color="auto" w:sz="8" w:space="0"/>
            </w:tcBorders>
            <w:vAlign w:val="center"/>
          </w:tcPr>
          <w:p w14:paraId="010FD4BE">
            <w:pPr>
              <w:pStyle w:val="180"/>
            </w:pPr>
            <w:r>
              <w:t>项目</w:t>
            </w:r>
          </w:p>
        </w:tc>
        <w:tc>
          <w:tcPr>
            <w:tcW w:w="4314" w:type="pct"/>
            <w:tcBorders>
              <w:top w:val="single" w:color="auto" w:sz="8" w:space="0"/>
              <w:bottom w:val="single" w:color="auto" w:sz="8" w:space="0"/>
            </w:tcBorders>
            <w:vAlign w:val="center"/>
          </w:tcPr>
          <w:p w14:paraId="565D465C">
            <w:pPr>
              <w:pStyle w:val="180"/>
            </w:pPr>
            <w:r>
              <w:t>要求</w:t>
            </w:r>
          </w:p>
        </w:tc>
      </w:tr>
      <w:tr w14:paraId="451C80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86" w:type="pct"/>
            <w:tcBorders>
              <w:top w:val="single" w:color="auto" w:sz="4" w:space="0"/>
            </w:tcBorders>
            <w:vAlign w:val="center"/>
          </w:tcPr>
          <w:p w14:paraId="723D5506">
            <w:pPr>
              <w:pStyle w:val="180"/>
            </w:pPr>
            <w:r>
              <w:t>色泽</w:t>
            </w:r>
          </w:p>
        </w:tc>
        <w:tc>
          <w:tcPr>
            <w:tcW w:w="4314" w:type="pct"/>
            <w:tcBorders>
              <w:top w:val="single" w:color="auto" w:sz="4" w:space="0"/>
            </w:tcBorders>
            <w:vAlign w:val="center"/>
          </w:tcPr>
          <w:p w14:paraId="4EBB29C3">
            <w:pPr>
              <w:pStyle w:val="180"/>
              <w:ind w:firstLine="178" w:firstLineChars="100"/>
              <w:jc w:val="left"/>
            </w:pPr>
            <w:r>
              <w:rPr>
                <w:spacing w:val="-1"/>
              </w:rPr>
              <w:t>呈</w:t>
            </w:r>
            <w:r>
              <w:rPr>
                <w:rFonts w:hint="eastAsia"/>
                <w:spacing w:val="-1"/>
              </w:rPr>
              <w:t>偏红或粉红色</w:t>
            </w:r>
            <w:r>
              <w:rPr>
                <w:spacing w:val="-1"/>
              </w:rPr>
              <w:t>，色泽均匀</w:t>
            </w:r>
            <w:r>
              <w:rPr>
                <w:rFonts w:hint="eastAsia"/>
                <w:spacing w:val="-1"/>
              </w:rPr>
              <w:t>；</w:t>
            </w:r>
            <w:r>
              <w:rPr>
                <w:spacing w:val="-1"/>
              </w:rPr>
              <w:t>冲调后</w:t>
            </w:r>
            <w:r>
              <w:rPr>
                <w:rFonts w:hint="eastAsia"/>
                <w:spacing w:val="-1"/>
              </w:rPr>
              <w:t>半透明或微透明的胶状糊，色泽偏暗，类似深琥珀色或浅咖啡色</w:t>
            </w:r>
          </w:p>
        </w:tc>
      </w:tr>
      <w:tr w14:paraId="756E5D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86" w:type="pct"/>
            <w:vAlign w:val="center"/>
          </w:tcPr>
          <w:p w14:paraId="2E8C1424">
            <w:pPr>
              <w:pStyle w:val="234"/>
              <w:jc w:val="center"/>
            </w:pPr>
            <w:r>
              <w:rPr>
                <w:rFonts w:hint="eastAsia" w:ascii="宋体" w:hAnsi="宋体"/>
                <w:bCs/>
                <w:sz w:val="18"/>
                <w:szCs w:val="18"/>
              </w:rPr>
              <w:t>组织形态</w:t>
            </w:r>
          </w:p>
        </w:tc>
        <w:tc>
          <w:tcPr>
            <w:tcW w:w="4314" w:type="pct"/>
            <w:vAlign w:val="center"/>
          </w:tcPr>
          <w:p w14:paraId="51FF7388">
            <w:pPr>
              <w:pStyle w:val="180"/>
              <w:ind w:firstLine="178" w:firstLineChars="100"/>
              <w:jc w:val="left"/>
              <w:rPr>
                <w:rFonts w:hAnsi="宋体"/>
                <w:szCs w:val="18"/>
              </w:rPr>
            </w:pPr>
            <w:r>
              <w:rPr>
                <w:spacing w:val="-1"/>
              </w:rPr>
              <w:t>粉状，质地细腻、无结块、霉变</w:t>
            </w:r>
            <w:r>
              <w:rPr>
                <w:rFonts w:hint="eastAsia"/>
                <w:spacing w:val="-1"/>
              </w:rPr>
              <w:t>；</w:t>
            </w:r>
            <w:r>
              <w:rPr>
                <w:spacing w:val="-1"/>
              </w:rPr>
              <w:t>冲调后粘稠均匀</w:t>
            </w:r>
            <w:r>
              <w:rPr>
                <w:rFonts w:hint="eastAsia"/>
                <w:spacing w:val="-1"/>
              </w:rPr>
              <w:t>柔滑、有光泽的胶状体</w:t>
            </w:r>
          </w:p>
        </w:tc>
      </w:tr>
      <w:tr w14:paraId="55BA30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86" w:type="pct"/>
            <w:vAlign w:val="center"/>
          </w:tcPr>
          <w:p w14:paraId="40FEE4A9">
            <w:pPr>
              <w:pStyle w:val="180"/>
            </w:pPr>
            <w:r>
              <w:rPr>
                <w:rFonts w:hint="eastAsia"/>
              </w:rPr>
              <w:t>气味</w:t>
            </w:r>
          </w:p>
        </w:tc>
        <w:tc>
          <w:tcPr>
            <w:tcW w:w="4314" w:type="pct"/>
            <w:vAlign w:val="center"/>
          </w:tcPr>
          <w:p w14:paraId="6CDBACB2">
            <w:pPr>
              <w:pStyle w:val="180"/>
              <w:ind w:firstLine="178" w:firstLineChars="100"/>
              <w:jc w:val="left"/>
              <w:rPr>
                <w:lang w:bidi="ar"/>
              </w:rPr>
            </w:pPr>
            <w:r>
              <w:rPr>
                <w:rFonts w:hint="eastAsia"/>
                <w:spacing w:val="-1"/>
              </w:rPr>
              <w:t>清淡的、类似坚果或谷物的天然植物清香；冲调后热气会带出明显的植物清香</w:t>
            </w:r>
          </w:p>
        </w:tc>
      </w:tr>
      <w:tr w14:paraId="454C99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86" w:type="pct"/>
            <w:vAlign w:val="center"/>
          </w:tcPr>
          <w:p w14:paraId="1BBA42D1">
            <w:pPr>
              <w:pStyle w:val="180"/>
            </w:pPr>
            <w:r>
              <w:rPr>
                <w:rFonts w:hint="eastAsia"/>
              </w:rPr>
              <w:t>滋味</w:t>
            </w:r>
          </w:p>
        </w:tc>
        <w:tc>
          <w:tcPr>
            <w:tcW w:w="4314" w:type="pct"/>
            <w:vAlign w:val="center"/>
          </w:tcPr>
          <w:p w14:paraId="3DCA54EB">
            <w:pPr>
              <w:pStyle w:val="180"/>
              <w:ind w:firstLine="178" w:firstLineChars="100"/>
              <w:jc w:val="left"/>
            </w:pPr>
            <w:r>
              <w:rPr>
                <w:spacing w:val="-1"/>
              </w:rPr>
              <w:t>细腻顺滑，入口易化，回味</w:t>
            </w:r>
            <w:r>
              <w:rPr>
                <w:rFonts w:hint="eastAsia"/>
                <w:spacing w:val="-1"/>
              </w:rPr>
              <w:t>有淡淡的植物微甘</w:t>
            </w:r>
          </w:p>
        </w:tc>
      </w:tr>
      <w:tr w14:paraId="357211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686" w:type="pct"/>
            <w:vAlign w:val="center"/>
          </w:tcPr>
          <w:p w14:paraId="05987D0D">
            <w:pPr>
              <w:pStyle w:val="180"/>
            </w:pPr>
            <w:r>
              <w:rPr>
                <w:rFonts w:hint="eastAsia"/>
              </w:rPr>
              <w:t>杂质</w:t>
            </w:r>
          </w:p>
        </w:tc>
        <w:tc>
          <w:tcPr>
            <w:tcW w:w="4314" w:type="pct"/>
            <w:vAlign w:val="center"/>
          </w:tcPr>
          <w:p w14:paraId="21CAA040">
            <w:pPr>
              <w:pStyle w:val="234"/>
              <w:ind w:firstLine="180" w:firstLineChars="100"/>
              <w:jc w:val="left"/>
              <w:rPr>
                <w:rFonts w:ascii="宋体" w:hAnsi="宋体"/>
                <w:sz w:val="18"/>
                <w:szCs w:val="18"/>
              </w:rPr>
            </w:pPr>
            <w:r>
              <w:rPr>
                <w:rFonts w:hint="eastAsia" w:ascii="宋体" w:hAnsi="宋体"/>
                <w:sz w:val="18"/>
                <w:szCs w:val="18"/>
              </w:rPr>
              <w:t>无正常视力可见的外来杂质</w:t>
            </w:r>
          </w:p>
        </w:tc>
      </w:tr>
      <w:bookmarkEnd w:id="233"/>
    </w:tbl>
    <w:p w14:paraId="7F61F502">
      <w:pPr>
        <w:pStyle w:val="107"/>
        <w:spacing w:before="120" w:after="120"/>
      </w:pPr>
      <w:bookmarkStart w:id="234" w:name="_Toc213681881"/>
      <w:bookmarkStart w:id="235" w:name="_Toc209815127"/>
      <w:bookmarkStart w:id="236" w:name="_Toc209976234"/>
      <w:bookmarkStart w:id="237" w:name="_Toc221229283"/>
      <w:bookmarkStart w:id="238" w:name="_Toc214269786"/>
      <w:bookmarkStart w:id="239" w:name="_Toc213786462"/>
      <w:bookmarkStart w:id="240" w:name="_Toc221266021"/>
      <w:bookmarkStart w:id="241" w:name="_Toc209813280"/>
      <w:bookmarkStart w:id="242" w:name="_Toc214270460"/>
      <w:bookmarkStart w:id="243" w:name="_Toc209815965"/>
      <w:bookmarkStart w:id="244" w:name="_Toc208225706"/>
      <w:bookmarkStart w:id="245" w:name="_Toc209813026"/>
      <w:bookmarkStart w:id="246" w:name="_Toc221265968"/>
      <w:bookmarkStart w:id="247" w:name="_Toc209816099"/>
      <w:r>
        <w:rPr>
          <w:rFonts w:hint="eastAsia"/>
        </w:rPr>
        <w:t>理化指标</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33AEE730">
      <w:pPr>
        <w:pStyle w:val="58"/>
        <w:ind w:firstLine="420"/>
      </w:pPr>
      <w:r>
        <w:rPr>
          <w:rFonts w:hint="eastAsia"/>
        </w:rPr>
        <w:t>应符合表2的规定。</w:t>
      </w:r>
    </w:p>
    <w:p w14:paraId="6BAF18D4">
      <w:pPr>
        <w:pStyle w:val="58"/>
        <w:tabs>
          <w:tab w:val="left" w:pos="0"/>
        </w:tabs>
        <w:spacing w:before="120" w:beforeLines="50" w:after="120" w:afterLines="50"/>
        <w:ind w:firstLine="0" w:firstLineChars="0"/>
        <w:jc w:val="center"/>
        <w:rPr>
          <w:rFonts w:ascii="黑体" w:hAnsi="黑体" w:eastAsia="黑体"/>
          <w:szCs w:val="21"/>
        </w:rPr>
      </w:pPr>
      <w:bookmarkStart w:id="248" w:name="_Hlk193354684"/>
      <w:r>
        <w:rPr>
          <w:rFonts w:hint="eastAsia" w:ascii="黑体" w:hAnsi="黑体" w:eastAsia="黑体"/>
          <w:szCs w:val="21"/>
        </w:rPr>
        <w:t>表2 理化指标</w:t>
      </w:r>
    </w:p>
    <w:tbl>
      <w:tblPr>
        <w:tblStyle w:val="27"/>
        <w:tblW w:w="5000"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autofit"/>
        <w:tblCellMar>
          <w:top w:w="0" w:type="dxa"/>
          <w:left w:w="108" w:type="dxa"/>
          <w:bottom w:w="0" w:type="dxa"/>
          <w:right w:w="108" w:type="dxa"/>
        </w:tblCellMar>
      </w:tblPr>
      <w:tblGrid>
        <w:gridCol w:w="4741"/>
        <w:gridCol w:w="4829"/>
      </w:tblGrid>
      <w:tr w14:paraId="434B1737">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108" w:type="dxa"/>
            <w:bottom w:w="0" w:type="dxa"/>
            <w:right w:w="108" w:type="dxa"/>
          </w:tblCellMar>
        </w:tblPrEx>
        <w:trPr>
          <w:trHeight w:val="40" w:hRule="atLeast"/>
        </w:trPr>
        <w:tc>
          <w:tcPr>
            <w:tcW w:w="2477" w:type="pct"/>
            <w:tcBorders>
              <w:bottom w:val="single" w:color="auto" w:sz="8" w:space="0"/>
            </w:tcBorders>
            <w:vAlign w:val="center"/>
          </w:tcPr>
          <w:p w14:paraId="750994DD">
            <w:pPr>
              <w:spacing w:line="240" w:lineRule="auto"/>
              <w:jc w:val="center"/>
              <w:rPr>
                <w:rFonts w:ascii="宋体" w:hAnsi="Times New Roman"/>
                <w:sz w:val="18"/>
              </w:rPr>
            </w:pPr>
            <w:r>
              <w:rPr>
                <w:rFonts w:hint="eastAsia" w:ascii="宋体" w:hAnsi="Times New Roman"/>
                <w:sz w:val="18"/>
              </w:rPr>
              <w:t>项目</w:t>
            </w:r>
          </w:p>
        </w:tc>
        <w:tc>
          <w:tcPr>
            <w:tcW w:w="2523" w:type="pct"/>
            <w:tcBorders>
              <w:bottom w:val="single" w:color="auto" w:sz="8" w:space="0"/>
            </w:tcBorders>
            <w:vAlign w:val="center"/>
          </w:tcPr>
          <w:p w14:paraId="1C1AFE43">
            <w:pPr>
              <w:spacing w:line="240" w:lineRule="auto"/>
              <w:jc w:val="center"/>
              <w:rPr>
                <w:rFonts w:ascii="宋体" w:hAnsi="Times New Roman"/>
                <w:sz w:val="18"/>
              </w:rPr>
            </w:pPr>
            <w:r>
              <w:rPr>
                <w:rFonts w:hint="eastAsia" w:ascii="宋体" w:hAnsi="Times New Roman"/>
                <w:sz w:val="18"/>
              </w:rPr>
              <w:t>指标</w:t>
            </w:r>
          </w:p>
        </w:tc>
      </w:tr>
      <w:tr w14:paraId="5561C734">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108" w:type="dxa"/>
            <w:bottom w:w="0" w:type="dxa"/>
            <w:right w:w="108" w:type="dxa"/>
          </w:tblCellMar>
        </w:tblPrEx>
        <w:trPr>
          <w:trHeight w:val="40" w:hRule="atLeast"/>
        </w:trPr>
        <w:tc>
          <w:tcPr>
            <w:tcW w:w="2477" w:type="pct"/>
            <w:tcBorders>
              <w:bottom w:val="single" w:color="auto" w:sz="4" w:space="0"/>
            </w:tcBorders>
            <w:vAlign w:val="center"/>
          </w:tcPr>
          <w:p w14:paraId="64F530C1">
            <w:pPr>
              <w:spacing w:line="240" w:lineRule="auto"/>
              <w:jc w:val="left"/>
              <w:rPr>
                <w:rFonts w:ascii="宋体" w:hAnsi="Times New Roman"/>
                <w:sz w:val="18"/>
              </w:rPr>
            </w:pPr>
            <w:bookmarkStart w:id="249" w:name="_Hlk221228879"/>
            <w:r>
              <w:rPr>
                <w:rFonts w:hint="eastAsia" w:ascii="宋体" w:hAnsi="Times New Roman"/>
                <w:sz w:val="18"/>
              </w:rPr>
              <w:t>水分（g/100</w:t>
            </w:r>
            <w:r>
              <w:rPr>
                <w:rFonts w:hint="eastAsia" w:ascii="宋体" w:hAnsi="Times New Roman"/>
                <w:sz w:val="18"/>
                <w:vertAlign w:val="superscript"/>
              </w:rPr>
              <w:t xml:space="preserve"> </w:t>
            </w:r>
            <w:r>
              <w:rPr>
                <w:rFonts w:hint="eastAsia" w:ascii="宋体" w:hAnsi="Times New Roman"/>
                <w:sz w:val="18"/>
              </w:rPr>
              <w:t>g）                                 ≤</w:t>
            </w:r>
          </w:p>
        </w:tc>
        <w:tc>
          <w:tcPr>
            <w:tcW w:w="2523" w:type="pct"/>
            <w:tcBorders>
              <w:bottom w:val="single" w:color="auto" w:sz="4" w:space="0"/>
            </w:tcBorders>
            <w:vAlign w:val="center"/>
          </w:tcPr>
          <w:p w14:paraId="0BD0DC4C">
            <w:pPr>
              <w:spacing w:line="240" w:lineRule="auto"/>
              <w:jc w:val="center"/>
              <w:rPr>
                <w:rFonts w:ascii="宋体" w:hAnsi="Times New Roman"/>
                <w:sz w:val="18"/>
              </w:rPr>
            </w:pPr>
            <w:r>
              <w:rPr>
                <w:rFonts w:hint="eastAsia" w:ascii="宋体" w:hAnsi="Times New Roman"/>
                <w:sz w:val="18"/>
              </w:rPr>
              <w:t>9.0</w:t>
            </w:r>
          </w:p>
        </w:tc>
      </w:tr>
      <w:tr w14:paraId="1571E75F">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108" w:type="dxa"/>
            <w:bottom w:w="0" w:type="dxa"/>
            <w:right w:w="108" w:type="dxa"/>
          </w:tblCellMar>
        </w:tblPrEx>
        <w:trPr>
          <w:trHeight w:val="40" w:hRule="atLeast"/>
        </w:trPr>
        <w:tc>
          <w:tcPr>
            <w:tcW w:w="2477" w:type="pct"/>
            <w:tcBorders>
              <w:top w:val="single" w:color="auto" w:sz="4" w:space="0"/>
              <w:bottom w:val="single" w:color="auto" w:sz="4" w:space="0"/>
            </w:tcBorders>
            <w:vAlign w:val="center"/>
          </w:tcPr>
          <w:p w14:paraId="20574EF3">
            <w:pPr>
              <w:spacing w:line="240" w:lineRule="auto"/>
              <w:jc w:val="left"/>
              <w:rPr>
                <w:rFonts w:ascii="宋体" w:hAnsi="Times New Roman"/>
                <w:sz w:val="18"/>
              </w:rPr>
            </w:pPr>
            <w:r>
              <w:rPr>
                <w:rFonts w:hint="eastAsia" w:ascii="宋体" w:hAnsi="Times New Roman"/>
                <w:sz w:val="18"/>
              </w:rPr>
              <w:t>淀粉（以还原糖计）/（g/100</w:t>
            </w:r>
            <w:r>
              <w:rPr>
                <w:rFonts w:hint="eastAsia" w:ascii="宋体" w:hAnsi="Times New Roman"/>
                <w:sz w:val="18"/>
                <w:vertAlign w:val="superscript"/>
              </w:rPr>
              <w:t xml:space="preserve"> </w:t>
            </w:r>
            <w:r>
              <w:rPr>
                <w:rFonts w:hint="eastAsia" w:ascii="宋体" w:hAnsi="Times New Roman"/>
                <w:sz w:val="18"/>
              </w:rPr>
              <w:t>g）                  ≥</w:t>
            </w:r>
          </w:p>
        </w:tc>
        <w:tc>
          <w:tcPr>
            <w:tcW w:w="2523" w:type="pct"/>
            <w:tcBorders>
              <w:top w:val="single" w:color="auto" w:sz="4" w:space="0"/>
              <w:bottom w:val="single" w:color="auto" w:sz="4" w:space="0"/>
            </w:tcBorders>
            <w:vAlign w:val="center"/>
          </w:tcPr>
          <w:p w14:paraId="4A73C2C9">
            <w:pPr>
              <w:spacing w:line="240" w:lineRule="auto"/>
              <w:jc w:val="center"/>
              <w:rPr>
                <w:rFonts w:ascii="宋体" w:hAnsi="Times New Roman"/>
                <w:sz w:val="18"/>
              </w:rPr>
            </w:pPr>
            <w:r>
              <w:rPr>
                <w:rFonts w:hint="eastAsia" w:ascii="宋体" w:hAnsi="Times New Roman"/>
                <w:sz w:val="18"/>
              </w:rPr>
              <w:t>78</w:t>
            </w:r>
          </w:p>
        </w:tc>
      </w:tr>
      <w:tr w14:paraId="6CBCDAFF">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108" w:type="dxa"/>
            <w:bottom w:w="0" w:type="dxa"/>
            <w:right w:w="108" w:type="dxa"/>
          </w:tblCellMar>
        </w:tblPrEx>
        <w:trPr>
          <w:trHeight w:val="40" w:hRule="atLeast"/>
        </w:trPr>
        <w:tc>
          <w:tcPr>
            <w:tcW w:w="2477" w:type="pct"/>
            <w:tcBorders>
              <w:top w:val="single" w:color="auto" w:sz="4" w:space="0"/>
              <w:bottom w:val="single" w:color="auto" w:sz="4" w:space="0"/>
            </w:tcBorders>
            <w:vAlign w:val="center"/>
          </w:tcPr>
          <w:p w14:paraId="3E35DB4F">
            <w:pPr>
              <w:spacing w:line="240" w:lineRule="auto"/>
              <w:jc w:val="left"/>
              <w:rPr>
                <w:rFonts w:ascii="宋体" w:hAnsi="Times New Roman"/>
                <w:sz w:val="18"/>
              </w:rPr>
            </w:pPr>
            <w:r>
              <w:rPr>
                <w:rFonts w:hint="eastAsia" w:ascii="宋体" w:hAnsi="Times New Roman"/>
                <w:sz w:val="18"/>
              </w:rPr>
              <w:t>直链淀粉/(％)                                   ≥</w:t>
            </w:r>
          </w:p>
        </w:tc>
        <w:tc>
          <w:tcPr>
            <w:tcW w:w="2523" w:type="pct"/>
            <w:tcBorders>
              <w:top w:val="single" w:color="auto" w:sz="4" w:space="0"/>
              <w:bottom w:val="single" w:color="auto" w:sz="4" w:space="0"/>
            </w:tcBorders>
            <w:vAlign w:val="center"/>
          </w:tcPr>
          <w:p w14:paraId="265AA6B0">
            <w:pPr>
              <w:spacing w:line="240" w:lineRule="auto"/>
              <w:jc w:val="center"/>
              <w:rPr>
                <w:rFonts w:ascii="宋体" w:hAnsi="Times New Roman"/>
                <w:sz w:val="18"/>
              </w:rPr>
            </w:pPr>
            <w:r>
              <w:rPr>
                <w:rFonts w:hint="eastAsia" w:ascii="宋体" w:hAnsi="Times New Roman"/>
                <w:sz w:val="18"/>
              </w:rPr>
              <w:t>60</w:t>
            </w:r>
          </w:p>
        </w:tc>
      </w:tr>
      <w:tr w14:paraId="73ECED98">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108" w:type="dxa"/>
            <w:bottom w:w="0" w:type="dxa"/>
            <w:right w:w="108" w:type="dxa"/>
          </w:tblCellMar>
        </w:tblPrEx>
        <w:trPr>
          <w:trHeight w:val="40" w:hRule="atLeast"/>
        </w:trPr>
        <w:tc>
          <w:tcPr>
            <w:tcW w:w="2477" w:type="pct"/>
            <w:tcBorders>
              <w:top w:val="single" w:color="auto" w:sz="4" w:space="0"/>
              <w:bottom w:val="single" w:color="auto" w:sz="4" w:space="0"/>
            </w:tcBorders>
            <w:vAlign w:val="center"/>
          </w:tcPr>
          <w:p w14:paraId="6C21AD2F">
            <w:pPr>
              <w:spacing w:line="240" w:lineRule="auto"/>
              <w:jc w:val="left"/>
              <w:rPr>
                <w:rFonts w:ascii="宋体" w:hAnsi="Times New Roman"/>
                <w:sz w:val="18"/>
              </w:rPr>
            </w:pPr>
            <w:r>
              <w:rPr>
                <w:rFonts w:hint="eastAsia" w:ascii="宋体" w:hAnsi="Times New Roman"/>
                <w:sz w:val="18"/>
              </w:rPr>
              <w:t>灰分/（g/100</w:t>
            </w:r>
            <w:r>
              <w:rPr>
                <w:rFonts w:hint="eastAsia" w:ascii="宋体" w:hAnsi="Times New Roman"/>
                <w:sz w:val="18"/>
                <w:vertAlign w:val="superscript"/>
              </w:rPr>
              <w:t xml:space="preserve"> </w:t>
            </w:r>
            <w:r>
              <w:rPr>
                <w:rFonts w:hint="eastAsia" w:ascii="宋体" w:hAnsi="Times New Roman"/>
                <w:sz w:val="18"/>
              </w:rPr>
              <w:t>g）                                ≤</w:t>
            </w:r>
          </w:p>
        </w:tc>
        <w:tc>
          <w:tcPr>
            <w:tcW w:w="2523" w:type="pct"/>
            <w:tcBorders>
              <w:top w:val="single" w:color="auto" w:sz="4" w:space="0"/>
              <w:bottom w:val="single" w:color="auto" w:sz="4" w:space="0"/>
            </w:tcBorders>
            <w:vAlign w:val="center"/>
          </w:tcPr>
          <w:p w14:paraId="09ADBD61">
            <w:pPr>
              <w:spacing w:line="240" w:lineRule="auto"/>
              <w:jc w:val="center"/>
              <w:rPr>
                <w:rFonts w:ascii="宋体" w:hAnsi="Times New Roman"/>
                <w:sz w:val="18"/>
              </w:rPr>
            </w:pPr>
            <w:r>
              <w:rPr>
                <w:rFonts w:hint="eastAsia" w:ascii="宋体" w:hAnsi="Times New Roman"/>
                <w:sz w:val="18"/>
              </w:rPr>
              <w:t>0.30</w:t>
            </w:r>
          </w:p>
        </w:tc>
      </w:tr>
      <w:tr w14:paraId="364C92A4">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108" w:type="dxa"/>
            <w:bottom w:w="0" w:type="dxa"/>
            <w:right w:w="108" w:type="dxa"/>
          </w:tblCellMar>
        </w:tblPrEx>
        <w:trPr>
          <w:trHeight w:val="40" w:hRule="atLeast"/>
        </w:trPr>
        <w:tc>
          <w:tcPr>
            <w:tcW w:w="2477" w:type="pct"/>
            <w:tcBorders>
              <w:top w:val="single" w:color="auto" w:sz="4" w:space="0"/>
              <w:bottom w:val="single" w:color="auto" w:sz="4" w:space="0"/>
            </w:tcBorders>
            <w:vAlign w:val="center"/>
          </w:tcPr>
          <w:p w14:paraId="5CDFCC3F">
            <w:pPr>
              <w:spacing w:line="240" w:lineRule="auto"/>
              <w:jc w:val="left"/>
              <w:rPr>
                <w:rFonts w:ascii="宋体" w:hAnsi="Times New Roman"/>
                <w:sz w:val="18"/>
              </w:rPr>
            </w:pPr>
            <w:r>
              <w:rPr>
                <w:rFonts w:hint="eastAsia" w:ascii="宋体" w:hAnsi="Times New Roman"/>
                <w:sz w:val="18"/>
              </w:rPr>
              <w:t>钙/（</w:t>
            </w:r>
            <w:r>
              <w:rPr>
                <w:rFonts w:ascii="宋体" w:hAnsi="Times New Roman"/>
                <w:sz w:val="18"/>
              </w:rPr>
              <w:t>mg/100g</w:t>
            </w:r>
            <w:r>
              <w:rPr>
                <w:rFonts w:hint="eastAsia" w:ascii="宋体" w:hAnsi="Times New Roman"/>
                <w:sz w:val="18"/>
              </w:rPr>
              <w:t xml:space="preserve">）                                  </w:t>
            </w:r>
          </w:p>
        </w:tc>
        <w:tc>
          <w:tcPr>
            <w:tcW w:w="2523" w:type="pct"/>
            <w:tcBorders>
              <w:top w:val="single" w:color="auto" w:sz="4" w:space="0"/>
              <w:bottom w:val="single" w:color="auto" w:sz="4" w:space="0"/>
            </w:tcBorders>
            <w:vAlign w:val="center"/>
          </w:tcPr>
          <w:p w14:paraId="1FA7CAE1">
            <w:pPr>
              <w:spacing w:line="240" w:lineRule="auto"/>
              <w:jc w:val="center"/>
              <w:rPr>
                <w:rFonts w:ascii="宋体" w:hAnsi="Times New Roman"/>
                <w:sz w:val="18"/>
              </w:rPr>
            </w:pPr>
            <w:r>
              <w:rPr>
                <w:rFonts w:hint="eastAsia" w:ascii="宋体" w:hAnsi="Times New Roman"/>
                <w:sz w:val="18"/>
              </w:rPr>
              <w:t>20～80</w:t>
            </w:r>
          </w:p>
        </w:tc>
      </w:tr>
      <w:tr w14:paraId="740B05E6">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108" w:type="dxa"/>
            <w:bottom w:w="0" w:type="dxa"/>
            <w:right w:w="108" w:type="dxa"/>
          </w:tblCellMar>
        </w:tblPrEx>
        <w:trPr>
          <w:trHeight w:val="40" w:hRule="atLeast"/>
        </w:trPr>
        <w:tc>
          <w:tcPr>
            <w:tcW w:w="2477" w:type="pct"/>
            <w:tcBorders>
              <w:top w:val="single" w:color="auto" w:sz="4" w:space="0"/>
              <w:bottom w:val="single" w:color="auto" w:sz="4" w:space="0"/>
            </w:tcBorders>
            <w:vAlign w:val="center"/>
          </w:tcPr>
          <w:p w14:paraId="5191D734">
            <w:pPr>
              <w:spacing w:line="240" w:lineRule="auto"/>
              <w:jc w:val="left"/>
              <w:rPr>
                <w:rFonts w:ascii="宋体" w:hAnsi="Times New Roman"/>
                <w:sz w:val="18"/>
              </w:rPr>
            </w:pPr>
            <w:r>
              <w:rPr>
                <w:rFonts w:hint="eastAsia" w:ascii="宋体" w:hAnsi="Times New Roman"/>
                <w:sz w:val="18"/>
              </w:rPr>
              <w:t>铁/（</w:t>
            </w:r>
            <w:r>
              <w:rPr>
                <w:rFonts w:ascii="宋体" w:hAnsi="Times New Roman"/>
                <w:sz w:val="18"/>
              </w:rPr>
              <w:t>mg/100g</w:t>
            </w:r>
            <w:r>
              <w:rPr>
                <w:rFonts w:hint="eastAsia" w:ascii="宋体" w:hAnsi="Times New Roman"/>
                <w:sz w:val="18"/>
              </w:rPr>
              <w:t xml:space="preserve">）                                  </w:t>
            </w:r>
          </w:p>
        </w:tc>
        <w:tc>
          <w:tcPr>
            <w:tcW w:w="2523" w:type="pct"/>
            <w:tcBorders>
              <w:top w:val="single" w:color="auto" w:sz="4" w:space="0"/>
              <w:bottom w:val="single" w:color="auto" w:sz="4" w:space="0"/>
            </w:tcBorders>
            <w:vAlign w:val="center"/>
          </w:tcPr>
          <w:p w14:paraId="7A1613A1">
            <w:pPr>
              <w:spacing w:line="240" w:lineRule="auto"/>
              <w:jc w:val="center"/>
              <w:rPr>
                <w:rFonts w:ascii="宋体" w:hAnsi="Times New Roman"/>
                <w:sz w:val="18"/>
              </w:rPr>
            </w:pPr>
            <w:r>
              <w:rPr>
                <w:rFonts w:hint="eastAsia" w:ascii="宋体" w:hAnsi="Times New Roman"/>
                <w:sz w:val="18"/>
              </w:rPr>
              <w:t>0.8～25</w:t>
            </w:r>
          </w:p>
        </w:tc>
      </w:tr>
      <w:tr w14:paraId="53BB7999">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108" w:type="dxa"/>
            <w:bottom w:w="0" w:type="dxa"/>
            <w:right w:w="108" w:type="dxa"/>
          </w:tblCellMar>
        </w:tblPrEx>
        <w:trPr>
          <w:trHeight w:val="40" w:hRule="atLeast"/>
        </w:trPr>
        <w:tc>
          <w:tcPr>
            <w:tcW w:w="2477" w:type="pct"/>
            <w:tcBorders>
              <w:top w:val="single" w:color="auto" w:sz="4" w:space="0"/>
              <w:bottom w:val="single" w:color="auto" w:sz="4" w:space="0"/>
            </w:tcBorders>
            <w:vAlign w:val="center"/>
          </w:tcPr>
          <w:p w14:paraId="5CE4485B">
            <w:pPr>
              <w:spacing w:line="240" w:lineRule="auto"/>
              <w:jc w:val="left"/>
              <w:rPr>
                <w:rFonts w:ascii="宋体" w:hAnsi="Times New Roman"/>
                <w:sz w:val="18"/>
              </w:rPr>
            </w:pPr>
            <w:r>
              <w:rPr>
                <w:rFonts w:hint="eastAsia" w:ascii="宋体" w:hAnsi="Times New Roman"/>
                <w:sz w:val="18"/>
              </w:rPr>
              <w:t>锌/（</w:t>
            </w:r>
            <w:r>
              <w:rPr>
                <w:rFonts w:ascii="宋体" w:hAnsi="Times New Roman"/>
                <w:sz w:val="18"/>
              </w:rPr>
              <w:t>mg/100g</w:t>
            </w:r>
            <w:r>
              <w:rPr>
                <w:rFonts w:hint="eastAsia" w:ascii="宋体" w:hAnsi="Times New Roman"/>
                <w:sz w:val="18"/>
              </w:rPr>
              <w:t xml:space="preserve">）                                 </w:t>
            </w:r>
          </w:p>
        </w:tc>
        <w:tc>
          <w:tcPr>
            <w:tcW w:w="2523" w:type="pct"/>
            <w:tcBorders>
              <w:top w:val="single" w:color="auto" w:sz="4" w:space="0"/>
              <w:bottom w:val="single" w:color="auto" w:sz="4" w:space="0"/>
            </w:tcBorders>
            <w:vAlign w:val="center"/>
          </w:tcPr>
          <w:p w14:paraId="2C7A7F3B">
            <w:pPr>
              <w:spacing w:line="240" w:lineRule="auto"/>
              <w:jc w:val="center"/>
              <w:rPr>
                <w:rFonts w:ascii="宋体" w:hAnsi="Times New Roman"/>
                <w:sz w:val="18"/>
              </w:rPr>
            </w:pPr>
            <w:r>
              <w:rPr>
                <w:rFonts w:hint="eastAsia" w:ascii="宋体" w:hAnsi="Times New Roman"/>
                <w:sz w:val="18"/>
              </w:rPr>
              <w:t>0.25～0.65</w:t>
            </w:r>
          </w:p>
        </w:tc>
      </w:tr>
      <w:tr w14:paraId="675CB9FB">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108" w:type="dxa"/>
            <w:bottom w:w="0" w:type="dxa"/>
            <w:right w:w="108" w:type="dxa"/>
          </w:tblCellMar>
        </w:tblPrEx>
        <w:trPr>
          <w:trHeight w:val="40" w:hRule="atLeast"/>
        </w:trPr>
        <w:tc>
          <w:tcPr>
            <w:tcW w:w="2477" w:type="pct"/>
            <w:tcBorders>
              <w:top w:val="single" w:color="auto" w:sz="4" w:space="0"/>
              <w:bottom w:val="single" w:color="auto" w:sz="4" w:space="0"/>
            </w:tcBorders>
            <w:vAlign w:val="center"/>
          </w:tcPr>
          <w:p w14:paraId="46336E59">
            <w:pPr>
              <w:spacing w:line="240" w:lineRule="auto"/>
              <w:jc w:val="left"/>
              <w:rPr>
                <w:rFonts w:ascii="宋体" w:hAnsi="Times New Roman"/>
                <w:sz w:val="18"/>
              </w:rPr>
            </w:pPr>
            <w:r>
              <w:rPr>
                <w:rFonts w:hint="eastAsia" w:ascii="宋体" w:hAnsi="Times New Roman"/>
                <w:sz w:val="18"/>
              </w:rPr>
              <w:t>硒/（μ</w:t>
            </w:r>
            <w:r>
              <w:rPr>
                <w:rFonts w:ascii="宋体" w:hAnsi="Times New Roman"/>
                <w:sz w:val="18"/>
              </w:rPr>
              <w:t>g/100g</w:t>
            </w:r>
            <w:r>
              <w:rPr>
                <w:rFonts w:hint="eastAsia" w:ascii="宋体" w:hAnsi="Times New Roman"/>
                <w:sz w:val="18"/>
              </w:rPr>
              <w:t xml:space="preserve">）                                </w:t>
            </w:r>
          </w:p>
        </w:tc>
        <w:tc>
          <w:tcPr>
            <w:tcW w:w="2523" w:type="pct"/>
            <w:tcBorders>
              <w:top w:val="single" w:color="auto" w:sz="4" w:space="0"/>
              <w:bottom w:val="single" w:color="auto" w:sz="4" w:space="0"/>
            </w:tcBorders>
            <w:vAlign w:val="center"/>
          </w:tcPr>
          <w:p w14:paraId="3BDE2574">
            <w:pPr>
              <w:spacing w:line="240" w:lineRule="auto"/>
              <w:jc w:val="center"/>
              <w:rPr>
                <w:rFonts w:ascii="宋体" w:hAnsi="Times New Roman"/>
                <w:sz w:val="18"/>
              </w:rPr>
            </w:pPr>
            <w:r>
              <w:rPr>
                <w:rFonts w:hint="eastAsia" w:ascii="宋体" w:hAnsi="Times New Roman"/>
                <w:sz w:val="18"/>
              </w:rPr>
              <w:t>1～15</w:t>
            </w:r>
          </w:p>
        </w:tc>
      </w:tr>
      <w:tr w14:paraId="047286E4">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108" w:type="dxa"/>
            <w:bottom w:w="0" w:type="dxa"/>
            <w:right w:w="108" w:type="dxa"/>
          </w:tblCellMar>
        </w:tblPrEx>
        <w:trPr>
          <w:trHeight w:val="40" w:hRule="atLeast"/>
        </w:trPr>
        <w:tc>
          <w:tcPr>
            <w:tcW w:w="2477" w:type="pct"/>
            <w:tcBorders>
              <w:top w:val="single" w:color="auto" w:sz="4" w:space="0"/>
              <w:bottom w:val="single" w:color="auto" w:sz="4" w:space="0"/>
            </w:tcBorders>
            <w:vAlign w:val="center"/>
          </w:tcPr>
          <w:p w14:paraId="43311784">
            <w:pPr>
              <w:spacing w:line="240" w:lineRule="auto"/>
              <w:jc w:val="left"/>
              <w:rPr>
                <w:rFonts w:ascii="宋体" w:hAnsi="Times New Roman"/>
                <w:sz w:val="18"/>
              </w:rPr>
            </w:pPr>
            <w:r>
              <w:rPr>
                <w:rFonts w:hint="eastAsia" w:ascii="宋体" w:hAnsi="Times New Roman"/>
                <w:sz w:val="18"/>
              </w:rPr>
              <w:t>总黄酮/（mg/100</w:t>
            </w:r>
            <w:r>
              <w:rPr>
                <w:rFonts w:hint="eastAsia" w:ascii="宋体" w:hAnsi="Times New Roman"/>
                <w:sz w:val="18"/>
                <w:vertAlign w:val="superscript"/>
              </w:rPr>
              <w:t xml:space="preserve"> </w:t>
            </w:r>
            <w:r>
              <w:rPr>
                <w:rFonts w:hint="eastAsia" w:ascii="宋体" w:hAnsi="Times New Roman"/>
                <w:sz w:val="18"/>
              </w:rPr>
              <w:t xml:space="preserve">g）                               </w:t>
            </w:r>
          </w:p>
        </w:tc>
        <w:tc>
          <w:tcPr>
            <w:tcW w:w="2523" w:type="pct"/>
            <w:tcBorders>
              <w:top w:val="single" w:color="auto" w:sz="4" w:space="0"/>
              <w:bottom w:val="single" w:color="auto" w:sz="4" w:space="0"/>
            </w:tcBorders>
            <w:vAlign w:val="center"/>
          </w:tcPr>
          <w:p w14:paraId="2B73C91C">
            <w:pPr>
              <w:spacing w:line="240" w:lineRule="auto"/>
              <w:jc w:val="center"/>
              <w:rPr>
                <w:rFonts w:ascii="宋体" w:hAnsi="Times New Roman"/>
                <w:sz w:val="18"/>
              </w:rPr>
            </w:pPr>
            <w:r>
              <w:rPr>
                <w:rFonts w:hint="eastAsia" w:ascii="宋体" w:hAnsi="Times New Roman"/>
                <w:sz w:val="18"/>
              </w:rPr>
              <w:t>30～100</w:t>
            </w:r>
          </w:p>
        </w:tc>
      </w:tr>
      <w:tr w14:paraId="0D1630D4">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108" w:type="dxa"/>
            <w:bottom w:w="0" w:type="dxa"/>
            <w:right w:w="108" w:type="dxa"/>
          </w:tblCellMar>
        </w:tblPrEx>
        <w:trPr>
          <w:trHeight w:val="70" w:hRule="atLeast"/>
        </w:trPr>
        <w:tc>
          <w:tcPr>
            <w:tcW w:w="2477" w:type="pct"/>
            <w:tcBorders>
              <w:top w:val="single" w:color="auto" w:sz="4" w:space="0"/>
              <w:bottom w:val="single" w:color="auto" w:sz="4" w:space="0"/>
            </w:tcBorders>
            <w:vAlign w:val="center"/>
          </w:tcPr>
          <w:p w14:paraId="4F05EC2B">
            <w:pPr>
              <w:spacing w:line="240" w:lineRule="auto"/>
              <w:jc w:val="left"/>
              <w:rPr>
                <w:rFonts w:ascii="宋体" w:hAnsi="Times New Roman"/>
                <w:sz w:val="18"/>
              </w:rPr>
            </w:pPr>
            <w:r>
              <w:rPr>
                <w:rFonts w:hint="eastAsia" w:ascii="宋体" w:hAnsi="宋体"/>
                <w:sz w:val="18"/>
                <w:szCs w:val="18"/>
              </w:rPr>
              <w:t>酸度/（mL/10</w:t>
            </w:r>
            <w:r>
              <w:rPr>
                <w:rFonts w:hint="eastAsia" w:ascii="宋体" w:hAnsi="宋体"/>
                <w:sz w:val="18"/>
                <w:szCs w:val="18"/>
                <w:vertAlign w:val="superscript"/>
              </w:rPr>
              <w:t xml:space="preserve"> </w:t>
            </w:r>
            <w:r>
              <w:rPr>
                <w:rFonts w:hint="eastAsia" w:ascii="宋体" w:hAnsi="宋体"/>
                <w:sz w:val="18"/>
                <w:szCs w:val="18"/>
              </w:rPr>
              <w:t>g）</w:t>
            </w:r>
            <w:r>
              <w:rPr>
                <w:rFonts w:hint="eastAsia" w:ascii="宋体" w:hAnsi="Times New Roman"/>
                <w:sz w:val="18"/>
              </w:rPr>
              <w:t xml:space="preserve">                                </w:t>
            </w:r>
            <w:r>
              <w:rPr>
                <w:rFonts w:hint="eastAsia" w:ascii="宋体" w:hAnsi="Times New Roman"/>
                <w:sz w:val="18"/>
                <w:lang w:val="en-US" w:eastAsia="zh-CN"/>
              </w:rPr>
              <w:t xml:space="preserve"> </w:t>
            </w:r>
            <w:bookmarkStart w:id="676" w:name="_GoBack"/>
            <w:bookmarkEnd w:id="676"/>
            <w:r>
              <w:rPr>
                <w:rFonts w:hint="eastAsia" w:ascii="宋体" w:hAnsi="Times New Roman"/>
                <w:sz w:val="18"/>
              </w:rPr>
              <w:t>＜</w:t>
            </w:r>
          </w:p>
        </w:tc>
        <w:tc>
          <w:tcPr>
            <w:tcW w:w="2523" w:type="pct"/>
            <w:tcBorders>
              <w:top w:val="single" w:color="auto" w:sz="4" w:space="0"/>
              <w:bottom w:val="single" w:color="auto" w:sz="4" w:space="0"/>
            </w:tcBorders>
            <w:vAlign w:val="center"/>
          </w:tcPr>
          <w:p w14:paraId="33F30A9A">
            <w:pPr>
              <w:spacing w:line="240" w:lineRule="auto"/>
              <w:jc w:val="center"/>
              <w:rPr>
                <w:rFonts w:ascii="宋体" w:hAnsi="Times New Roman"/>
                <w:sz w:val="18"/>
              </w:rPr>
            </w:pPr>
            <w:r>
              <w:rPr>
                <w:rFonts w:hint="eastAsia" w:ascii="宋体" w:hAnsi="Times New Roman"/>
                <w:sz w:val="18"/>
              </w:rPr>
              <w:t>1.0</w:t>
            </w:r>
          </w:p>
        </w:tc>
      </w:tr>
      <w:tr w14:paraId="0799063E">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108" w:type="dxa"/>
            <w:bottom w:w="0" w:type="dxa"/>
            <w:right w:w="108" w:type="dxa"/>
          </w:tblCellMar>
        </w:tblPrEx>
        <w:trPr>
          <w:trHeight w:val="40" w:hRule="atLeast"/>
        </w:trPr>
        <w:tc>
          <w:tcPr>
            <w:tcW w:w="2477" w:type="pct"/>
            <w:tcBorders>
              <w:top w:val="single" w:color="auto" w:sz="4" w:space="0"/>
            </w:tcBorders>
            <w:vAlign w:val="center"/>
          </w:tcPr>
          <w:p w14:paraId="15101AA6">
            <w:pPr>
              <w:spacing w:line="240" w:lineRule="auto"/>
              <w:jc w:val="left"/>
              <w:rPr>
                <w:rFonts w:ascii="宋体" w:hAnsi="Times New Roman"/>
                <w:sz w:val="18"/>
              </w:rPr>
            </w:pPr>
            <w:r>
              <w:rPr>
                <w:rFonts w:hint="eastAsia" w:ascii="宋体" w:hAnsi="宋体" w:cs="宋体"/>
                <w:sz w:val="18"/>
                <w:szCs w:val="18"/>
              </w:rPr>
              <w:t>黄曲霉毒素B</w:t>
            </w:r>
            <w:r>
              <w:rPr>
                <w:rFonts w:hint="eastAsia" w:ascii="宋体" w:hAnsi="宋体" w:cs="宋体"/>
                <w:sz w:val="18"/>
                <w:szCs w:val="18"/>
                <w:vertAlign w:val="subscript"/>
              </w:rPr>
              <w:t>1</w:t>
            </w:r>
            <w:r>
              <w:rPr>
                <w:rFonts w:hint="eastAsia" w:ascii="宋体" w:hAnsi="宋体" w:cs="宋体"/>
                <w:sz w:val="18"/>
                <w:szCs w:val="18"/>
              </w:rPr>
              <w:t>/（µg/kg）                           ≤</w:t>
            </w:r>
            <w:r>
              <w:rPr>
                <w:rFonts w:hint="eastAsia" w:ascii="宋体" w:hAnsi="Times New Roman"/>
                <w:sz w:val="18"/>
              </w:rPr>
              <w:t xml:space="preserve">                           </w:t>
            </w:r>
            <w:r>
              <w:rPr>
                <w:rFonts w:ascii="宋体" w:hAnsi="Times New Roman"/>
                <w:sz w:val="18"/>
              </w:rPr>
              <w:t xml:space="preserve"> </w:t>
            </w:r>
            <w:r>
              <w:rPr>
                <w:rFonts w:hint="eastAsia" w:ascii="宋体" w:hAnsi="Times New Roman"/>
                <w:sz w:val="18"/>
              </w:rPr>
              <w:t xml:space="preserve"> </w:t>
            </w:r>
          </w:p>
        </w:tc>
        <w:tc>
          <w:tcPr>
            <w:tcW w:w="2523" w:type="pct"/>
            <w:tcBorders>
              <w:top w:val="single" w:color="auto" w:sz="4" w:space="0"/>
            </w:tcBorders>
            <w:vAlign w:val="center"/>
          </w:tcPr>
          <w:p w14:paraId="1ADB37A8">
            <w:pPr>
              <w:spacing w:line="240" w:lineRule="auto"/>
              <w:jc w:val="center"/>
              <w:rPr>
                <w:rFonts w:ascii="宋体" w:hAnsi="Times New Roman"/>
                <w:sz w:val="18"/>
              </w:rPr>
            </w:pPr>
            <w:r>
              <w:rPr>
                <w:rFonts w:hint="eastAsia" w:ascii="宋体" w:hAnsi="Times New Roman"/>
                <w:sz w:val="18"/>
              </w:rPr>
              <w:t>5</w:t>
            </w:r>
          </w:p>
        </w:tc>
      </w:tr>
      <w:bookmarkEnd w:id="248"/>
      <w:bookmarkEnd w:id="249"/>
    </w:tbl>
    <w:p w14:paraId="4B37DEED">
      <w:pPr>
        <w:pStyle w:val="107"/>
        <w:spacing w:before="120" w:after="120"/>
      </w:pPr>
      <w:bookmarkStart w:id="250" w:name="_Toc215761442"/>
      <w:bookmarkStart w:id="251" w:name="_Toc209813281"/>
      <w:bookmarkStart w:id="252" w:name="_Toc209976235"/>
      <w:bookmarkStart w:id="253" w:name="_Toc215521015"/>
      <w:bookmarkStart w:id="254" w:name="_Toc215520138"/>
      <w:bookmarkStart w:id="255" w:name="_Toc209813027"/>
      <w:bookmarkStart w:id="256" w:name="_Toc213786463"/>
      <w:bookmarkStart w:id="257" w:name="_Toc221147265"/>
      <w:bookmarkStart w:id="258" w:name="_Toc221229284"/>
      <w:bookmarkStart w:id="259" w:name="_Toc213681882"/>
      <w:bookmarkStart w:id="260" w:name="_Toc215567083"/>
      <w:bookmarkStart w:id="261" w:name="_Toc13872"/>
      <w:bookmarkStart w:id="262" w:name="_Toc208225707"/>
      <w:bookmarkStart w:id="263" w:name="_Toc215565776"/>
      <w:bookmarkStart w:id="264" w:name="_Toc215565958"/>
      <w:bookmarkStart w:id="265" w:name="_Toc209815966"/>
      <w:bookmarkStart w:id="266" w:name="_Toc215738110"/>
      <w:bookmarkStart w:id="267" w:name="_Toc214269787"/>
      <w:bookmarkStart w:id="268" w:name="_Toc215855301"/>
      <w:bookmarkStart w:id="269" w:name="_Toc214270461"/>
      <w:bookmarkStart w:id="270" w:name="_Toc215779464"/>
      <w:bookmarkStart w:id="271" w:name="_Toc215666349"/>
      <w:bookmarkStart w:id="272" w:name="_Toc215567383"/>
      <w:bookmarkStart w:id="273" w:name="_Toc221148490"/>
      <w:bookmarkStart w:id="274" w:name="_Toc215521108"/>
      <w:bookmarkStart w:id="275" w:name="_Toc209815128"/>
      <w:bookmarkStart w:id="276" w:name="_Toc209816100"/>
      <w:bookmarkStart w:id="277" w:name="_Toc221265969"/>
      <w:bookmarkStart w:id="278" w:name="_Toc221266022"/>
      <w:bookmarkStart w:id="279" w:name="_Hlk193354794"/>
      <w:r>
        <w:rPr>
          <w:rFonts w:hint="eastAsia"/>
        </w:rPr>
        <w:t>其他食品安全</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r>
        <w:rPr>
          <w:rFonts w:hint="eastAsia"/>
        </w:rPr>
        <w:t>指标</w:t>
      </w:r>
      <w:bookmarkEnd w:id="277"/>
      <w:bookmarkEnd w:id="278"/>
    </w:p>
    <w:p w14:paraId="358FEB1F">
      <w:pPr>
        <w:pStyle w:val="58"/>
        <w:ind w:firstLine="420"/>
        <w:rPr>
          <w:rFonts w:hAnsi="宋体" w:cs="宋体"/>
        </w:rPr>
      </w:pPr>
      <w:r>
        <w:t>污染物限量、微生物限量、</w:t>
      </w:r>
      <w:r>
        <w:rPr>
          <w:rFonts w:hint="eastAsia" w:hAnsi="宋体" w:cs="宋体"/>
        </w:rPr>
        <w:t>真菌毒素限量等安全指标应符合相关食品安全要求。</w:t>
      </w:r>
    </w:p>
    <w:p w14:paraId="5B3C3A84">
      <w:pPr>
        <w:pStyle w:val="107"/>
        <w:spacing w:before="120" w:after="120"/>
      </w:pPr>
      <w:bookmarkStart w:id="280" w:name="_Toc221229285"/>
      <w:bookmarkStart w:id="281" w:name="_Toc221265970"/>
      <w:bookmarkStart w:id="282" w:name="_Toc221147266"/>
      <w:bookmarkStart w:id="283" w:name="_Toc221148491"/>
      <w:bookmarkStart w:id="284" w:name="_Toc221266023"/>
      <w:r>
        <w:rPr>
          <w:rFonts w:hint="eastAsia"/>
        </w:rPr>
        <w:t>净含量</w:t>
      </w:r>
      <w:bookmarkEnd w:id="280"/>
      <w:bookmarkEnd w:id="281"/>
      <w:bookmarkEnd w:id="282"/>
      <w:bookmarkEnd w:id="283"/>
      <w:bookmarkEnd w:id="284"/>
    </w:p>
    <w:p w14:paraId="6D5638E9">
      <w:pPr>
        <w:pStyle w:val="58"/>
        <w:ind w:firstLine="420"/>
        <w:rPr>
          <w:rFonts w:hAnsi="宋体"/>
        </w:rPr>
      </w:pPr>
      <w:r>
        <w:rPr>
          <w:rFonts w:hint="eastAsia" w:hAnsi="宋体"/>
        </w:rPr>
        <w:t>预包装产品净含量要求见《定量包装商品计量监督管理办法》。</w:t>
      </w:r>
    </w:p>
    <w:p w14:paraId="3FB898B5">
      <w:pPr>
        <w:pStyle w:val="107"/>
        <w:spacing w:before="120" w:after="120"/>
      </w:pPr>
      <w:bookmarkStart w:id="285" w:name="_Toc221265971"/>
      <w:bookmarkStart w:id="286" w:name="_Toc221147267"/>
      <w:bookmarkStart w:id="287" w:name="_Toc221229286"/>
      <w:bookmarkStart w:id="288" w:name="_Toc221266024"/>
      <w:bookmarkStart w:id="289" w:name="_Toc221148492"/>
      <w:r>
        <w:rPr>
          <w:rFonts w:hint="eastAsia"/>
        </w:rPr>
        <w:t>生产加工要求</w:t>
      </w:r>
      <w:bookmarkEnd w:id="285"/>
      <w:bookmarkEnd w:id="286"/>
      <w:bookmarkEnd w:id="287"/>
      <w:bookmarkEnd w:id="288"/>
      <w:bookmarkEnd w:id="289"/>
    </w:p>
    <w:p w14:paraId="71B3B0B8">
      <w:pPr>
        <w:pStyle w:val="58"/>
        <w:ind w:firstLine="420"/>
      </w:pPr>
      <w:r>
        <w:rPr>
          <w:rFonts w:hint="eastAsia" w:hAnsi="宋体"/>
        </w:rPr>
        <w:t>应符合GB 14881的规定。</w:t>
      </w:r>
    </w:p>
    <w:p w14:paraId="0E299C3B">
      <w:pPr>
        <w:pStyle w:val="106"/>
        <w:spacing w:before="240" w:after="240"/>
      </w:pPr>
      <w:bookmarkStart w:id="290" w:name="_Toc215738111"/>
      <w:bookmarkStart w:id="291" w:name="_Toc215666350"/>
      <w:bookmarkStart w:id="292" w:name="_Toc214270462"/>
      <w:bookmarkStart w:id="293" w:name="_Toc215761443"/>
      <w:bookmarkStart w:id="294" w:name="_Toc209815129"/>
      <w:bookmarkStart w:id="295" w:name="_Toc209816101"/>
      <w:bookmarkStart w:id="296" w:name="_Toc209976236"/>
      <w:bookmarkStart w:id="297" w:name="_Toc209813028"/>
      <w:bookmarkStart w:id="298" w:name="_Toc215521109"/>
      <w:bookmarkStart w:id="299" w:name="_Toc215779465"/>
      <w:bookmarkStart w:id="300" w:name="_Toc213681883"/>
      <w:bookmarkStart w:id="301" w:name="_Toc5977"/>
      <w:bookmarkStart w:id="302" w:name="_Toc215565959"/>
      <w:bookmarkStart w:id="303" w:name="_Toc215521016"/>
      <w:bookmarkStart w:id="304" w:name="_Toc215567384"/>
      <w:bookmarkStart w:id="305" w:name="_Toc213786464"/>
      <w:bookmarkStart w:id="306" w:name="_Toc215565777"/>
      <w:bookmarkStart w:id="307" w:name="_Toc215567084"/>
      <w:bookmarkStart w:id="308" w:name="_Toc215855302"/>
      <w:bookmarkStart w:id="309" w:name="_Toc221148493"/>
      <w:bookmarkStart w:id="310" w:name="_Toc221265972"/>
      <w:bookmarkStart w:id="311" w:name="_Toc221266025"/>
      <w:bookmarkStart w:id="312" w:name="_Toc221229287"/>
      <w:bookmarkStart w:id="313" w:name="_Toc209815967"/>
      <w:bookmarkStart w:id="314" w:name="_Toc214269788"/>
      <w:bookmarkStart w:id="315" w:name="_Toc209813282"/>
      <w:bookmarkStart w:id="316" w:name="_Toc208225708"/>
      <w:bookmarkStart w:id="317" w:name="_Toc215520139"/>
      <w:bookmarkStart w:id="318" w:name="_Toc221147268"/>
      <w:bookmarkStart w:id="319" w:name="_Hlk193354820"/>
      <w:r>
        <w:rPr>
          <w:rFonts w:hint="eastAsia"/>
        </w:rPr>
        <w:t>试验方法</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4124C563">
      <w:pPr>
        <w:pStyle w:val="107"/>
        <w:spacing w:before="120" w:after="120"/>
      </w:pPr>
      <w:bookmarkStart w:id="320" w:name="_Toc213681884"/>
      <w:bookmarkStart w:id="321" w:name="_Toc215565778"/>
      <w:bookmarkStart w:id="322" w:name="_Toc215779466"/>
      <w:bookmarkStart w:id="323" w:name="_Toc215738112"/>
      <w:bookmarkStart w:id="324" w:name="_Toc215565960"/>
      <w:bookmarkStart w:id="325" w:name="_Toc214269789"/>
      <w:bookmarkStart w:id="326" w:name="_Toc215521017"/>
      <w:bookmarkStart w:id="327" w:name="_Toc215520140"/>
      <w:bookmarkStart w:id="328" w:name="_Toc215761444"/>
      <w:bookmarkStart w:id="329" w:name="_Toc4495"/>
      <w:bookmarkStart w:id="330" w:name="_Toc215567085"/>
      <w:bookmarkStart w:id="331" w:name="_Toc215855303"/>
      <w:bookmarkStart w:id="332" w:name="_Toc215666351"/>
      <w:bookmarkStart w:id="333" w:name="_Toc215521110"/>
      <w:bookmarkStart w:id="334" w:name="_Toc215567385"/>
      <w:bookmarkStart w:id="335" w:name="_Toc214270463"/>
      <w:bookmarkStart w:id="336" w:name="_Toc213786465"/>
      <w:bookmarkStart w:id="337" w:name="_Toc221147269"/>
      <w:bookmarkStart w:id="338" w:name="_Toc221148494"/>
      <w:bookmarkStart w:id="339" w:name="_Toc221266026"/>
      <w:bookmarkStart w:id="340" w:name="_Toc221229288"/>
      <w:bookmarkStart w:id="341" w:name="_Toc221265973"/>
      <w:bookmarkStart w:id="342" w:name="_Hlk193354869"/>
      <w:r>
        <w:rPr>
          <w:rFonts w:hint="eastAsia"/>
        </w:rPr>
        <w:t>感官</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r>
        <w:rPr>
          <w:rFonts w:hint="eastAsia"/>
        </w:rPr>
        <w:t>检验</w:t>
      </w:r>
      <w:bookmarkEnd w:id="337"/>
      <w:bookmarkEnd w:id="338"/>
      <w:bookmarkEnd w:id="339"/>
      <w:bookmarkEnd w:id="340"/>
      <w:bookmarkEnd w:id="341"/>
    </w:p>
    <w:p w14:paraId="64212773">
      <w:pPr>
        <w:pStyle w:val="67"/>
        <w:spacing w:before="120" w:after="120"/>
        <w:ind w:left="0"/>
      </w:pPr>
      <w:r>
        <w:rPr>
          <w:rFonts w:hint="eastAsia"/>
        </w:rPr>
        <w:t>组织形态、色泽、杂质</w:t>
      </w:r>
    </w:p>
    <w:p w14:paraId="17F5664E">
      <w:pPr>
        <w:pStyle w:val="58"/>
        <w:ind w:firstLine="420"/>
      </w:pPr>
      <w:bookmarkStart w:id="343" w:name="OLE_LINK9"/>
      <w:r>
        <w:rPr>
          <w:rFonts w:hint="eastAsia"/>
        </w:rPr>
        <w:t>在正常光线下将适量样品置于清洁的白瓷盘中，通在自然光下观测其色泽、组织形态和杂质。</w:t>
      </w:r>
    </w:p>
    <w:p w14:paraId="4EF560FD">
      <w:pPr>
        <w:pStyle w:val="67"/>
        <w:spacing w:before="120" w:after="120"/>
        <w:ind w:left="0"/>
      </w:pPr>
      <w:r>
        <w:rPr>
          <w:rFonts w:hint="eastAsia"/>
        </w:rPr>
        <w:t>滋味和气味</w:t>
      </w:r>
    </w:p>
    <w:p w14:paraId="1264A351">
      <w:pPr>
        <w:pStyle w:val="58"/>
        <w:ind w:firstLine="420"/>
      </w:pPr>
      <w:r>
        <w:rPr>
          <w:rFonts w:hint="eastAsia"/>
        </w:rPr>
        <w:t>用温开水漱口后，按食用方法熟化后嗅其气味，用温水漱口，品尝其滋味。</w:t>
      </w:r>
    </w:p>
    <w:bookmarkEnd w:id="343"/>
    <w:p w14:paraId="4CDD56F9">
      <w:pPr>
        <w:pStyle w:val="107"/>
        <w:numPr>
          <w:ilvl w:val="0"/>
          <w:numId w:val="0"/>
        </w:numPr>
        <w:spacing w:before="120" w:after="120"/>
        <w:rPr>
          <w:rFonts w:hint="eastAsia"/>
        </w:rPr>
      </w:pPr>
      <w:bookmarkStart w:id="344" w:name="_Toc221148495"/>
      <w:bookmarkStart w:id="345" w:name="_Toc214270464"/>
      <w:bookmarkStart w:id="346" w:name="_Toc215761445"/>
      <w:bookmarkStart w:id="347" w:name="_Toc215666352"/>
      <w:bookmarkStart w:id="348" w:name="_Toc215779467"/>
      <w:bookmarkStart w:id="349" w:name="_Toc209976239"/>
      <w:bookmarkStart w:id="350" w:name="_Toc213786466"/>
      <w:bookmarkStart w:id="351" w:name="_Toc213681885"/>
      <w:bookmarkStart w:id="352" w:name="_Toc209815132"/>
      <w:bookmarkStart w:id="353" w:name="_Toc215521018"/>
      <w:bookmarkStart w:id="354" w:name="_Toc209815970"/>
      <w:bookmarkStart w:id="355" w:name="_Toc221229289"/>
      <w:bookmarkStart w:id="356" w:name="_Toc209813031"/>
      <w:bookmarkStart w:id="357" w:name="_Toc215565961"/>
      <w:bookmarkStart w:id="358" w:name="_Toc215567386"/>
      <w:bookmarkStart w:id="359" w:name="_Toc209816104"/>
      <w:bookmarkStart w:id="360" w:name="_Toc208225711"/>
      <w:bookmarkStart w:id="361" w:name="_Toc215565779"/>
      <w:bookmarkStart w:id="362" w:name="_Toc214269790"/>
      <w:bookmarkStart w:id="363" w:name="_Toc209813285"/>
      <w:bookmarkStart w:id="364" w:name="_Toc215520141"/>
      <w:bookmarkStart w:id="365" w:name="_Toc215521111"/>
      <w:bookmarkStart w:id="366" w:name="_Toc215567086"/>
      <w:bookmarkStart w:id="367" w:name="_Toc23245"/>
      <w:bookmarkStart w:id="368" w:name="_Toc215738113"/>
      <w:bookmarkStart w:id="369" w:name="_Toc215855304"/>
      <w:bookmarkStart w:id="370" w:name="_Toc221147270"/>
      <w:bookmarkStart w:id="371" w:name="_Toc221265974"/>
    </w:p>
    <w:p w14:paraId="2B105014">
      <w:pPr>
        <w:pStyle w:val="107"/>
        <w:spacing w:before="120" w:after="120"/>
      </w:pPr>
      <w:bookmarkStart w:id="372" w:name="_Toc221266027"/>
      <w:r>
        <w:rPr>
          <w:rFonts w:hint="eastAsia"/>
        </w:rPr>
        <w:t>理化指标</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14E2652F">
      <w:pPr>
        <w:pStyle w:val="67"/>
        <w:spacing w:before="120" w:after="120"/>
        <w:ind w:left="0"/>
      </w:pPr>
      <w:bookmarkStart w:id="373" w:name="OLE_LINK7"/>
      <w:r>
        <w:rPr>
          <w:rFonts w:hint="eastAsia"/>
        </w:rPr>
        <w:t>水分</w:t>
      </w:r>
    </w:p>
    <w:p w14:paraId="6B82E330">
      <w:pPr>
        <w:pStyle w:val="58"/>
        <w:ind w:firstLine="420"/>
      </w:pPr>
      <w:r>
        <w:rPr>
          <w:rFonts w:hint="eastAsia"/>
        </w:rPr>
        <w:t>按GB 5009.3</w:t>
      </w:r>
      <w:r>
        <w:rPr>
          <w:rFonts w:hint="eastAsia" w:hAnsi="宋体"/>
        </w:rPr>
        <w:t>规定的方法进行测定。</w:t>
      </w:r>
    </w:p>
    <w:p w14:paraId="0BD849DB">
      <w:pPr>
        <w:pStyle w:val="67"/>
        <w:spacing w:before="120" w:after="120"/>
        <w:ind w:left="0"/>
      </w:pPr>
      <w:r>
        <w:rPr>
          <w:rFonts w:hint="eastAsia"/>
        </w:rPr>
        <w:t>淀粉</w:t>
      </w:r>
    </w:p>
    <w:p w14:paraId="07A1D52F">
      <w:pPr>
        <w:pStyle w:val="58"/>
        <w:ind w:firstLine="420"/>
      </w:pPr>
      <w:r>
        <w:rPr>
          <w:rFonts w:hint="eastAsia"/>
        </w:rPr>
        <w:t>按GB 5009.9</w:t>
      </w:r>
      <w:r>
        <w:rPr>
          <w:rFonts w:hint="eastAsia" w:hAnsi="宋体"/>
        </w:rPr>
        <w:t>规定的方法进行测定。</w:t>
      </w:r>
    </w:p>
    <w:p w14:paraId="565433AE">
      <w:pPr>
        <w:pStyle w:val="67"/>
        <w:spacing w:before="120" w:after="120"/>
        <w:ind w:left="0"/>
      </w:pPr>
      <w:r>
        <w:t>直链淀粉</w:t>
      </w:r>
    </w:p>
    <w:p w14:paraId="74BC7ABC">
      <w:pPr>
        <w:pStyle w:val="58"/>
        <w:ind w:firstLine="420"/>
      </w:pPr>
      <w:r>
        <w:rPr>
          <w:rFonts w:hint="eastAsia"/>
        </w:rPr>
        <w:t>按GB/T 15683中非脱脂法</w:t>
      </w:r>
      <w:r>
        <w:rPr>
          <w:rFonts w:hint="eastAsia" w:hAnsi="宋体"/>
        </w:rPr>
        <w:t>规定的方法进行测定。</w:t>
      </w:r>
    </w:p>
    <w:p w14:paraId="38EA506A">
      <w:pPr>
        <w:pStyle w:val="67"/>
        <w:spacing w:before="120" w:after="120"/>
        <w:ind w:left="0"/>
      </w:pPr>
      <w:r>
        <w:rPr>
          <w:rFonts w:hint="eastAsia"/>
        </w:rPr>
        <w:t>灰分</w:t>
      </w:r>
    </w:p>
    <w:p w14:paraId="110DF0DA">
      <w:pPr>
        <w:pStyle w:val="58"/>
        <w:ind w:firstLine="420"/>
      </w:pPr>
      <w:r>
        <w:rPr>
          <w:rFonts w:hint="eastAsia"/>
        </w:rPr>
        <w:t>按GB 5009.4</w:t>
      </w:r>
      <w:r>
        <w:rPr>
          <w:rFonts w:hint="eastAsia" w:hAnsi="宋体"/>
        </w:rPr>
        <w:t>规定的方法进行测定</w:t>
      </w:r>
      <w:r>
        <w:rPr>
          <w:rFonts w:hint="eastAsia"/>
        </w:rPr>
        <w:t>。</w:t>
      </w:r>
    </w:p>
    <w:p w14:paraId="084DB22F">
      <w:pPr>
        <w:pStyle w:val="67"/>
        <w:spacing w:before="120" w:after="120"/>
        <w:ind w:left="0"/>
      </w:pPr>
      <w:r>
        <w:rPr>
          <w:rFonts w:hint="eastAsia"/>
        </w:rPr>
        <w:t>钙、铁、锌、硒</w:t>
      </w:r>
    </w:p>
    <w:p w14:paraId="245D7B29">
      <w:pPr>
        <w:pStyle w:val="58"/>
        <w:ind w:firstLine="420"/>
      </w:pPr>
      <w:r>
        <w:rPr>
          <w:rFonts w:hint="eastAsia"/>
        </w:rPr>
        <w:t>按GB 5009.268</w:t>
      </w:r>
      <w:r>
        <w:rPr>
          <w:rFonts w:hint="eastAsia" w:hAnsi="宋体"/>
        </w:rPr>
        <w:t>规定的方法进行测定。</w:t>
      </w:r>
    </w:p>
    <w:p w14:paraId="61FAD049">
      <w:pPr>
        <w:pStyle w:val="67"/>
        <w:spacing w:before="120" w:after="120"/>
        <w:ind w:left="0"/>
      </w:pPr>
      <w:r>
        <w:rPr>
          <w:rFonts w:hint="eastAsia"/>
        </w:rPr>
        <w:t>总黄酮</w:t>
      </w:r>
    </w:p>
    <w:p w14:paraId="402FE4BC">
      <w:pPr>
        <w:pStyle w:val="58"/>
        <w:ind w:firstLine="420"/>
      </w:pPr>
      <w:r>
        <w:rPr>
          <w:rFonts w:hint="eastAsia"/>
        </w:rPr>
        <w:t>按</w:t>
      </w:r>
      <w:r>
        <w:t>SN/T 4592</w:t>
      </w:r>
      <w:r>
        <w:rPr>
          <w:rFonts w:hint="eastAsia" w:hAnsi="宋体"/>
        </w:rPr>
        <w:t>规定的方法进行测定。</w:t>
      </w:r>
    </w:p>
    <w:p w14:paraId="0306D0D6">
      <w:pPr>
        <w:pStyle w:val="67"/>
        <w:spacing w:before="120" w:after="120"/>
        <w:ind w:left="0"/>
      </w:pPr>
      <w:r>
        <w:rPr>
          <w:rFonts w:hint="eastAsia"/>
        </w:rPr>
        <w:t>酸度</w:t>
      </w:r>
    </w:p>
    <w:p w14:paraId="59BA32A1">
      <w:pPr>
        <w:pStyle w:val="58"/>
        <w:ind w:firstLine="420"/>
      </w:pPr>
      <w:r>
        <w:rPr>
          <w:rFonts w:hint="eastAsia"/>
        </w:rPr>
        <w:t>按GB 5009.239</w:t>
      </w:r>
      <w:r>
        <w:rPr>
          <w:rFonts w:hint="eastAsia" w:hAnsi="宋体"/>
        </w:rPr>
        <w:t>规定的方法进行测定。</w:t>
      </w:r>
    </w:p>
    <w:p w14:paraId="27B5AA21">
      <w:pPr>
        <w:pStyle w:val="67"/>
        <w:spacing w:before="120" w:after="120"/>
        <w:ind w:left="0"/>
      </w:pPr>
      <w:r>
        <w:rPr>
          <w:rFonts w:hint="eastAsia"/>
        </w:rPr>
        <w:t>黄曲霉毒素B</w:t>
      </w:r>
      <w:r>
        <w:rPr>
          <w:rFonts w:hint="eastAsia"/>
          <w:vertAlign w:val="subscript"/>
        </w:rPr>
        <w:t>1</w:t>
      </w:r>
    </w:p>
    <w:p w14:paraId="71C87618">
      <w:pPr>
        <w:pStyle w:val="58"/>
        <w:ind w:firstLine="420"/>
      </w:pPr>
      <w:r>
        <w:rPr>
          <w:rFonts w:hint="eastAsia"/>
        </w:rPr>
        <w:t>按GB 5009.22</w:t>
      </w:r>
      <w:r>
        <w:rPr>
          <w:rFonts w:hint="eastAsia" w:hAnsi="宋体"/>
        </w:rPr>
        <w:t>规定的方法进行测定。</w:t>
      </w:r>
    </w:p>
    <w:bookmarkEnd w:id="373"/>
    <w:p w14:paraId="56643051">
      <w:pPr>
        <w:pStyle w:val="107"/>
        <w:spacing w:before="120" w:after="120"/>
      </w:pPr>
      <w:bookmarkStart w:id="374" w:name="_Toc215567087"/>
      <w:bookmarkStart w:id="375" w:name="_Toc215521019"/>
      <w:bookmarkStart w:id="376" w:name="_Toc221229290"/>
      <w:bookmarkStart w:id="377" w:name="_Toc215565780"/>
      <w:bookmarkStart w:id="378" w:name="_Toc215567387"/>
      <w:bookmarkStart w:id="379" w:name="_Toc221147271"/>
      <w:bookmarkStart w:id="380" w:name="_Toc215779468"/>
      <w:bookmarkStart w:id="381" w:name="_Toc215565962"/>
      <w:bookmarkStart w:id="382" w:name="_Toc221266028"/>
      <w:bookmarkStart w:id="383" w:name="_Toc215521112"/>
      <w:bookmarkStart w:id="384" w:name="_Toc215761446"/>
      <w:bookmarkStart w:id="385" w:name="_Toc215738114"/>
      <w:bookmarkStart w:id="386" w:name="_Toc215855305"/>
      <w:bookmarkStart w:id="387" w:name="_Toc221148496"/>
      <w:bookmarkStart w:id="388" w:name="_Toc215666353"/>
      <w:bookmarkStart w:id="389" w:name="_Toc221265975"/>
      <w:r>
        <w:rPr>
          <w:rFonts w:hint="eastAsia"/>
        </w:rPr>
        <w:t>食品安全</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676013EA">
      <w:pPr>
        <w:pStyle w:val="58"/>
        <w:ind w:firstLine="420"/>
        <w:rPr>
          <w:rFonts w:hAnsi="宋体" w:cs="宋体"/>
        </w:rPr>
      </w:pPr>
      <w:bookmarkStart w:id="390" w:name="OLE_LINK5"/>
      <w:r>
        <w:t>污染物限量、微生物限量、</w:t>
      </w:r>
      <w:r>
        <w:rPr>
          <w:rFonts w:hint="eastAsia" w:hAnsi="宋体" w:cs="宋体"/>
        </w:rPr>
        <w:t>真菌毒素限量等安全指标</w:t>
      </w:r>
      <w:bookmarkEnd w:id="390"/>
      <w:r>
        <w:rPr>
          <w:rFonts w:hint="eastAsia" w:hAnsi="宋体" w:cs="宋体"/>
        </w:rPr>
        <w:t>按相关食品安全要求</w:t>
      </w:r>
      <w:r>
        <w:rPr>
          <w:rFonts w:hint="eastAsia" w:hAnsi="宋体"/>
        </w:rPr>
        <w:t>方法进行测定</w:t>
      </w:r>
      <w:r>
        <w:rPr>
          <w:rFonts w:hint="eastAsia" w:hAnsi="宋体" w:cs="宋体"/>
        </w:rPr>
        <w:t>。</w:t>
      </w:r>
    </w:p>
    <w:p w14:paraId="2E515894">
      <w:pPr>
        <w:pStyle w:val="107"/>
        <w:spacing w:before="120" w:after="120"/>
      </w:pPr>
      <w:bookmarkStart w:id="391" w:name="_Toc221147272"/>
      <w:bookmarkStart w:id="392" w:name="_Toc221229291"/>
      <w:bookmarkStart w:id="393" w:name="_Toc221265976"/>
      <w:bookmarkStart w:id="394" w:name="_Toc221266029"/>
      <w:bookmarkStart w:id="395" w:name="_Toc221148497"/>
      <w:bookmarkStart w:id="396" w:name="OLE_LINK8"/>
      <w:r>
        <w:rPr>
          <w:rFonts w:hint="eastAsia"/>
        </w:rPr>
        <w:t>净含量</w:t>
      </w:r>
      <w:bookmarkEnd w:id="391"/>
      <w:bookmarkEnd w:id="392"/>
      <w:bookmarkEnd w:id="393"/>
      <w:bookmarkEnd w:id="394"/>
      <w:bookmarkEnd w:id="395"/>
    </w:p>
    <w:p w14:paraId="22BBE7DB">
      <w:pPr>
        <w:pStyle w:val="58"/>
        <w:ind w:firstLine="420"/>
      </w:pPr>
      <w:r>
        <w:rPr>
          <w:rFonts w:hint="eastAsia"/>
        </w:rPr>
        <w:t>按JJF 1070</w:t>
      </w:r>
      <w:r>
        <w:rPr>
          <w:rFonts w:hint="eastAsia" w:hAnsi="宋体"/>
        </w:rPr>
        <w:t>规定的方法进行测定</w:t>
      </w:r>
      <w:r>
        <w:rPr>
          <w:rFonts w:hint="eastAsia"/>
        </w:rPr>
        <w:t>。</w:t>
      </w:r>
    </w:p>
    <w:bookmarkEnd w:id="396"/>
    <w:p w14:paraId="01216CC1">
      <w:pPr>
        <w:pStyle w:val="106"/>
        <w:spacing w:before="240" w:after="240"/>
      </w:pPr>
      <w:bookmarkStart w:id="397" w:name="_Toc221229292"/>
      <w:bookmarkStart w:id="398" w:name="_Toc215565781"/>
      <w:bookmarkStart w:id="399" w:name="_Toc208225712"/>
      <w:bookmarkStart w:id="400" w:name="_Toc215855306"/>
      <w:bookmarkStart w:id="401" w:name="_Toc25759"/>
      <w:bookmarkStart w:id="402" w:name="_Toc215738115"/>
      <w:bookmarkStart w:id="403" w:name="_Toc213681886"/>
      <w:bookmarkStart w:id="404" w:name="_Toc214269791"/>
      <w:bookmarkStart w:id="405" w:name="_Toc215521113"/>
      <w:bookmarkStart w:id="406" w:name="_Toc209813032"/>
      <w:bookmarkStart w:id="407" w:name="_Toc214270465"/>
      <w:bookmarkStart w:id="408" w:name="_Toc209976240"/>
      <w:bookmarkStart w:id="409" w:name="_Toc215565963"/>
      <w:bookmarkStart w:id="410" w:name="_Toc215567388"/>
      <w:bookmarkStart w:id="411" w:name="_Toc215666354"/>
      <w:bookmarkStart w:id="412" w:name="_Toc215567088"/>
      <w:bookmarkStart w:id="413" w:name="_Toc215761447"/>
      <w:bookmarkStart w:id="414" w:name="_Toc215520142"/>
      <w:bookmarkStart w:id="415" w:name="_Toc215521020"/>
      <w:bookmarkStart w:id="416" w:name="_Toc209815971"/>
      <w:bookmarkStart w:id="417" w:name="_Toc213786467"/>
      <w:bookmarkStart w:id="418" w:name="_Toc209813286"/>
      <w:bookmarkStart w:id="419" w:name="_Toc221265977"/>
      <w:bookmarkStart w:id="420" w:name="_Toc221266030"/>
      <w:bookmarkStart w:id="421" w:name="_Toc209815133"/>
      <w:bookmarkStart w:id="422" w:name="_Toc215779469"/>
      <w:bookmarkStart w:id="423" w:name="_Toc209816105"/>
      <w:bookmarkStart w:id="424" w:name="_Toc221148498"/>
      <w:bookmarkStart w:id="425" w:name="_Toc221147273"/>
      <w:r>
        <w:rPr>
          <w:rFonts w:hint="eastAsia"/>
        </w:rPr>
        <w:t>检验规则</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440584E3">
      <w:pPr>
        <w:pStyle w:val="107"/>
        <w:spacing w:before="120" w:after="120"/>
      </w:pPr>
      <w:bookmarkStart w:id="426" w:name="_Toc215565964"/>
      <w:bookmarkStart w:id="427" w:name="_Toc209815134"/>
      <w:bookmarkStart w:id="428" w:name="_Toc215521114"/>
      <w:bookmarkStart w:id="429" w:name="_Toc209813033"/>
      <w:bookmarkStart w:id="430" w:name="_Toc215567389"/>
      <w:bookmarkStart w:id="431" w:name="_Toc213681887"/>
      <w:bookmarkStart w:id="432" w:name="_Toc209813287"/>
      <w:bookmarkStart w:id="433" w:name="_Toc209815972"/>
      <w:bookmarkStart w:id="434" w:name="_Toc213786468"/>
      <w:bookmarkStart w:id="435" w:name="_Toc215521021"/>
      <w:bookmarkStart w:id="436" w:name="_Toc215565782"/>
      <w:bookmarkStart w:id="437" w:name="_Toc214269792"/>
      <w:bookmarkStart w:id="438" w:name="_Toc214270466"/>
      <w:bookmarkStart w:id="439" w:name="_Toc209976241"/>
      <w:bookmarkStart w:id="440" w:name="_Toc215666355"/>
      <w:bookmarkStart w:id="441" w:name="_Toc221147274"/>
      <w:bookmarkStart w:id="442" w:name="_Toc209816106"/>
      <w:bookmarkStart w:id="443" w:name="_Toc221265978"/>
      <w:bookmarkStart w:id="444" w:name="_Toc208225713"/>
      <w:bookmarkStart w:id="445" w:name="_Toc215520143"/>
      <w:bookmarkStart w:id="446" w:name="_Toc221266031"/>
      <w:bookmarkStart w:id="447" w:name="_Toc215779470"/>
      <w:bookmarkStart w:id="448" w:name="_Toc215567089"/>
      <w:bookmarkStart w:id="449" w:name="_Toc215855307"/>
      <w:bookmarkStart w:id="450" w:name="_Toc221229293"/>
      <w:bookmarkStart w:id="451" w:name="_Toc221148499"/>
      <w:bookmarkStart w:id="452" w:name="_Toc12023"/>
      <w:bookmarkStart w:id="453" w:name="_Toc215761448"/>
      <w:bookmarkStart w:id="454" w:name="_Toc215738116"/>
      <w:r>
        <w:rPr>
          <w:rFonts w:hint="eastAsia"/>
        </w:rPr>
        <w:t>组批</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37B7A2F7">
      <w:pPr>
        <w:pStyle w:val="58"/>
        <w:ind w:firstLine="420"/>
      </w:pPr>
      <w:r>
        <w:rPr>
          <w:rFonts w:hint="eastAsia"/>
        </w:rPr>
        <w:t>以同一原料、同一生产线，在同一生产日期的产品为一组批。</w:t>
      </w:r>
    </w:p>
    <w:p w14:paraId="5C0B9129">
      <w:pPr>
        <w:pStyle w:val="107"/>
        <w:spacing w:before="120" w:after="120"/>
      </w:pPr>
      <w:bookmarkStart w:id="455" w:name="_Toc215855308"/>
      <w:bookmarkStart w:id="456" w:name="_Toc213786469"/>
      <w:bookmarkStart w:id="457" w:name="_Toc215520144"/>
      <w:bookmarkStart w:id="458" w:name="_Toc209816107"/>
      <w:bookmarkStart w:id="459" w:name="_Toc3893"/>
      <w:bookmarkStart w:id="460" w:name="_Toc215779471"/>
      <w:bookmarkStart w:id="461" w:name="_Toc215761449"/>
      <w:bookmarkStart w:id="462" w:name="_Toc215565965"/>
      <w:bookmarkStart w:id="463" w:name="_Toc215521022"/>
      <w:bookmarkStart w:id="464" w:name="_Toc221266032"/>
      <w:bookmarkStart w:id="465" w:name="_Toc215521115"/>
      <w:bookmarkStart w:id="466" w:name="_Toc209815135"/>
      <w:bookmarkStart w:id="467" w:name="_Toc215565783"/>
      <w:bookmarkStart w:id="468" w:name="_Toc215738117"/>
      <w:bookmarkStart w:id="469" w:name="_Toc221147275"/>
      <w:bookmarkStart w:id="470" w:name="_Toc209813288"/>
      <w:bookmarkStart w:id="471" w:name="_Toc213681888"/>
      <w:bookmarkStart w:id="472" w:name="_Toc214270467"/>
      <w:bookmarkStart w:id="473" w:name="_Toc209813034"/>
      <w:bookmarkStart w:id="474" w:name="_Toc215567390"/>
      <w:bookmarkStart w:id="475" w:name="_Toc209815973"/>
      <w:bookmarkStart w:id="476" w:name="_Toc208225714"/>
      <w:bookmarkStart w:id="477" w:name="_Toc221229294"/>
      <w:bookmarkStart w:id="478" w:name="_Toc215666356"/>
      <w:bookmarkStart w:id="479" w:name="_Toc209976242"/>
      <w:bookmarkStart w:id="480" w:name="_Toc214269793"/>
      <w:bookmarkStart w:id="481" w:name="_Toc221148500"/>
      <w:bookmarkStart w:id="482" w:name="_Toc215567090"/>
      <w:bookmarkStart w:id="483" w:name="_Toc221265979"/>
      <w:r>
        <w:rPr>
          <w:rFonts w:hint="eastAsia"/>
        </w:rPr>
        <w:t>抽样</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2C214B57">
      <w:pPr>
        <w:pStyle w:val="58"/>
        <w:ind w:firstLine="420"/>
      </w:pPr>
      <w:r>
        <w:rPr>
          <w:rFonts w:hint="eastAsia"/>
        </w:rPr>
        <w:t>每批产品按生产批次及数量比例随机抽样，抽样数量应满足检验要求。</w:t>
      </w:r>
    </w:p>
    <w:p w14:paraId="6CF883C0">
      <w:pPr>
        <w:pStyle w:val="107"/>
        <w:spacing w:before="120" w:after="120"/>
      </w:pPr>
      <w:bookmarkStart w:id="484" w:name="_Toc215738118"/>
      <w:bookmarkStart w:id="485" w:name="_Toc215520145"/>
      <w:bookmarkStart w:id="486" w:name="_Toc213681889"/>
      <w:bookmarkStart w:id="487" w:name="_Toc213786470"/>
      <w:bookmarkStart w:id="488" w:name="_Toc3226"/>
      <w:bookmarkStart w:id="489" w:name="_Toc215521116"/>
      <w:bookmarkStart w:id="490" w:name="_Toc209815136"/>
      <w:bookmarkStart w:id="491" w:name="_Toc214270468"/>
      <w:bookmarkStart w:id="492" w:name="_Toc221266033"/>
      <w:bookmarkStart w:id="493" w:name="_Toc215855309"/>
      <w:bookmarkStart w:id="494" w:name="_Toc221148501"/>
      <w:bookmarkStart w:id="495" w:name="_Toc215521023"/>
      <w:bookmarkStart w:id="496" w:name="_Toc209816108"/>
      <w:bookmarkStart w:id="497" w:name="_Toc209813289"/>
      <w:bookmarkStart w:id="498" w:name="_Toc215666357"/>
      <w:bookmarkStart w:id="499" w:name="_Toc221229295"/>
      <w:bookmarkStart w:id="500" w:name="_Toc209815974"/>
      <w:bookmarkStart w:id="501" w:name="_Toc209976243"/>
      <w:bookmarkStart w:id="502" w:name="_Toc215567091"/>
      <w:bookmarkStart w:id="503" w:name="_Toc215761450"/>
      <w:bookmarkStart w:id="504" w:name="_Toc214269794"/>
      <w:bookmarkStart w:id="505" w:name="_Toc215567391"/>
      <w:bookmarkStart w:id="506" w:name="_Toc208225715"/>
      <w:bookmarkStart w:id="507" w:name="_Toc221265980"/>
      <w:bookmarkStart w:id="508" w:name="_Toc221147276"/>
      <w:bookmarkStart w:id="509" w:name="_Toc215565966"/>
      <w:bookmarkStart w:id="510" w:name="_Toc215565784"/>
      <w:bookmarkStart w:id="511" w:name="_Toc215779472"/>
      <w:bookmarkStart w:id="512" w:name="_Toc209813035"/>
      <w:r>
        <w:rPr>
          <w:rFonts w:hint="eastAsia"/>
        </w:rPr>
        <w:t>出厂检验</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52086E1E">
      <w:pPr>
        <w:pStyle w:val="58"/>
        <w:ind w:firstLine="420"/>
      </w:pPr>
      <w:r>
        <w:rPr>
          <w:rFonts w:hint="eastAsia"/>
        </w:rPr>
        <w:t>每批产品出厂前，生产单位应进行出厂检验，检验项目包括但不限于：感官要求、水分、菌落总数、大肠杆菌和净含量，检验合格方可出厂。</w:t>
      </w:r>
    </w:p>
    <w:p w14:paraId="20E73A37">
      <w:pPr>
        <w:pStyle w:val="107"/>
        <w:spacing w:before="120" w:after="120"/>
      </w:pPr>
      <w:bookmarkStart w:id="513" w:name="_Toc208225716"/>
      <w:bookmarkStart w:id="514" w:name="_Toc221229296"/>
      <w:bookmarkStart w:id="515" w:name="_Toc215738119"/>
      <w:bookmarkStart w:id="516" w:name="_Toc221147277"/>
      <w:bookmarkStart w:id="517" w:name="_Toc215567092"/>
      <w:bookmarkStart w:id="518" w:name="_Toc213786471"/>
      <w:bookmarkStart w:id="519" w:name="_Toc215565967"/>
      <w:bookmarkStart w:id="520" w:name="_Toc215666358"/>
      <w:bookmarkStart w:id="521" w:name="_Toc209976244"/>
      <w:bookmarkStart w:id="522" w:name="_Toc214269795"/>
      <w:bookmarkStart w:id="523" w:name="_Toc215520146"/>
      <w:bookmarkStart w:id="524" w:name="_Toc221265981"/>
      <w:bookmarkStart w:id="525" w:name="_Toc221266034"/>
      <w:bookmarkStart w:id="526" w:name="_Toc209813036"/>
      <w:bookmarkStart w:id="527" w:name="_Toc213681890"/>
      <w:bookmarkStart w:id="528" w:name="_Toc215761451"/>
      <w:bookmarkStart w:id="529" w:name="_Toc215855310"/>
      <w:bookmarkStart w:id="530" w:name="_Toc215521024"/>
      <w:bookmarkStart w:id="531" w:name="_Toc214270469"/>
      <w:bookmarkStart w:id="532" w:name="_Toc215565785"/>
      <w:bookmarkStart w:id="533" w:name="_Toc209815137"/>
      <w:bookmarkStart w:id="534" w:name="_Toc209815975"/>
      <w:bookmarkStart w:id="535" w:name="_Toc215779473"/>
      <w:bookmarkStart w:id="536" w:name="_Toc209816109"/>
      <w:bookmarkStart w:id="537" w:name="_Toc26179"/>
      <w:bookmarkStart w:id="538" w:name="_Toc221148502"/>
      <w:bookmarkStart w:id="539" w:name="_Toc209813290"/>
      <w:bookmarkStart w:id="540" w:name="_Toc215567392"/>
      <w:bookmarkStart w:id="541" w:name="_Toc215521117"/>
      <w:r>
        <w:rPr>
          <w:rFonts w:hint="eastAsia"/>
        </w:rPr>
        <w:t>型式检验</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2A68C0F7">
      <w:pPr>
        <w:pStyle w:val="58"/>
        <w:ind w:firstLine="420"/>
      </w:pPr>
      <w:r>
        <w:rPr>
          <w:rFonts w:hint="eastAsia" w:hAnsi="宋体"/>
        </w:rPr>
        <w:t>检验项目包括本文件规定的全部项目。有下列情形之一时，应进行型式检验：</w:t>
      </w:r>
    </w:p>
    <w:p w14:paraId="35F57B61">
      <w:pPr>
        <w:pStyle w:val="134"/>
      </w:pPr>
      <w:r>
        <w:rPr>
          <w:rFonts w:hint="eastAsia"/>
        </w:rPr>
        <w:t>新产品投产前；</w:t>
      </w:r>
    </w:p>
    <w:p w14:paraId="2FD96558">
      <w:pPr>
        <w:pStyle w:val="134"/>
      </w:pPr>
      <w:r>
        <w:rPr>
          <w:rFonts w:hint="eastAsia"/>
        </w:rPr>
        <w:t>正式生产后，如原料、工艺有较大变化，可能影响产品质量时；</w:t>
      </w:r>
    </w:p>
    <w:p w14:paraId="72FFE037">
      <w:pPr>
        <w:pStyle w:val="134"/>
      </w:pPr>
      <w:r>
        <w:rPr>
          <w:rFonts w:hint="eastAsia"/>
        </w:rPr>
        <w:t>长期停产后恢复生产时；</w:t>
      </w:r>
    </w:p>
    <w:p w14:paraId="0F675D46">
      <w:pPr>
        <w:pStyle w:val="134"/>
      </w:pPr>
      <w:r>
        <w:rPr>
          <w:rFonts w:hint="eastAsia"/>
        </w:rPr>
        <w:t>出厂检验结果与上次型式检验结果有较大差异时；</w:t>
      </w:r>
    </w:p>
    <w:p w14:paraId="685EA005">
      <w:pPr>
        <w:pStyle w:val="134"/>
      </w:pPr>
      <w:r>
        <w:rPr>
          <w:rFonts w:hint="eastAsia"/>
        </w:rPr>
        <w:t>国家有关监管机构提出进行型式检验的要求时。</w:t>
      </w:r>
    </w:p>
    <w:p w14:paraId="3C9F0516">
      <w:pPr>
        <w:pStyle w:val="107"/>
        <w:spacing w:before="120" w:after="120"/>
      </w:pPr>
      <w:bookmarkStart w:id="542" w:name="_Toc209815138"/>
      <w:bookmarkStart w:id="543" w:name="_Toc213681891"/>
      <w:bookmarkStart w:id="544" w:name="_Toc215666359"/>
      <w:bookmarkStart w:id="545" w:name="_Toc209815976"/>
      <w:bookmarkStart w:id="546" w:name="_Toc215567393"/>
      <w:bookmarkStart w:id="547" w:name="_Toc215565968"/>
      <w:bookmarkStart w:id="548" w:name="_Toc209813291"/>
      <w:bookmarkStart w:id="549" w:name="_Toc221229297"/>
      <w:bookmarkStart w:id="550" w:name="_Toc208225717"/>
      <w:bookmarkStart w:id="551" w:name="_Toc209813037"/>
      <w:bookmarkStart w:id="552" w:name="_Toc215521118"/>
      <w:bookmarkStart w:id="553" w:name="_Toc215565786"/>
      <w:bookmarkStart w:id="554" w:name="_Toc221148503"/>
      <w:bookmarkStart w:id="555" w:name="_Toc215520147"/>
      <w:bookmarkStart w:id="556" w:name="_Toc214269796"/>
      <w:bookmarkStart w:id="557" w:name="_Toc214270470"/>
      <w:bookmarkStart w:id="558" w:name="_Toc215855311"/>
      <w:bookmarkStart w:id="559" w:name="_Toc209816110"/>
      <w:bookmarkStart w:id="560" w:name="_Toc215567093"/>
      <w:bookmarkStart w:id="561" w:name="_Toc221147278"/>
      <w:bookmarkStart w:id="562" w:name="_Toc215521025"/>
      <w:bookmarkStart w:id="563" w:name="_Toc213786472"/>
      <w:bookmarkStart w:id="564" w:name="_Toc215738120"/>
      <w:bookmarkStart w:id="565" w:name="_Toc215761452"/>
      <w:bookmarkStart w:id="566" w:name="_Toc215779474"/>
      <w:bookmarkStart w:id="567" w:name="_Toc7983"/>
      <w:bookmarkStart w:id="568" w:name="_Toc209976245"/>
      <w:bookmarkStart w:id="569" w:name="_Toc221266035"/>
      <w:bookmarkStart w:id="570" w:name="_Toc221265982"/>
      <w:r>
        <w:rPr>
          <w:rFonts w:hint="eastAsia"/>
        </w:rPr>
        <w:t>判定规则</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1356837F">
      <w:pPr>
        <w:pStyle w:val="167"/>
        <w:ind w:left="0"/>
      </w:pPr>
      <w:r>
        <w:rPr>
          <w:rFonts w:hint="eastAsia"/>
        </w:rPr>
        <w:t>出厂检验时，项目全部符合本文件要求,判定该批产品合格。</w:t>
      </w:r>
    </w:p>
    <w:p w14:paraId="68D9DE3D">
      <w:pPr>
        <w:pStyle w:val="167"/>
        <w:ind w:left="0"/>
      </w:pPr>
      <w:r>
        <w:rPr>
          <w:rFonts w:hint="eastAsia"/>
        </w:rPr>
        <w:t>型式检验时，项目全部符合本文件要求,判定该批产品合格。食品安全指标不符合本文件规定，则判定该批产品不合格。理化指标检验有一项或一项以上不符合本文件规定，允许加倍抽样复检，若复检仍有一项或一项以上不符合本文件规定，则判定该批产品不合格。</w:t>
      </w:r>
    </w:p>
    <w:p w14:paraId="52A70098">
      <w:pPr>
        <w:pStyle w:val="106"/>
        <w:spacing w:before="240" w:after="240"/>
      </w:pPr>
      <w:bookmarkStart w:id="571" w:name="_Toc215565787"/>
      <w:bookmarkStart w:id="572" w:name="_Toc209815977"/>
      <w:bookmarkStart w:id="573" w:name="_Toc209815139"/>
      <w:bookmarkStart w:id="574" w:name="_Toc215520148"/>
      <w:bookmarkStart w:id="575" w:name="_Toc214270471"/>
      <w:bookmarkStart w:id="576" w:name="_Toc215567094"/>
      <w:bookmarkStart w:id="577" w:name="_Toc215666360"/>
      <w:bookmarkStart w:id="578" w:name="_Toc208225718"/>
      <w:bookmarkStart w:id="579" w:name="_Toc209813038"/>
      <w:bookmarkStart w:id="580" w:name="_Toc209816111"/>
      <w:bookmarkStart w:id="581" w:name="_Toc215567394"/>
      <w:bookmarkStart w:id="582" w:name="_Toc209976246"/>
      <w:bookmarkStart w:id="583" w:name="_Toc215855312"/>
      <w:bookmarkStart w:id="584" w:name="_Toc213786473"/>
      <w:bookmarkStart w:id="585" w:name="_Toc215738121"/>
      <w:bookmarkStart w:id="586" w:name="_Toc215521119"/>
      <w:bookmarkStart w:id="587" w:name="_Toc209813292"/>
      <w:bookmarkStart w:id="588" w:name="_Toc12387"/>
      <w:bookmarkStart w:id="589" w:name="_Toc215565969"/>
      <w:bookmarkStart w:id="590" w:name="_Toc215779475"/>
      <w:bookmarkStart w:id="591" w:name="_Toc215761453"/>
      <w:bookmarkStart w:id="592" w:name="_Toc215521026"/>
      <w:bookmarkStart w:id="593" w:name="_Toc213681892"/>
      <w:bookmarkStart w:id="594" w:name="_Toc214269797"/>
      <w:bookmarkStart w:id="595" w:name="_Toc221229298"/>
      <w:bookmarkStart w:id="596" w:name="_Toc221147279"/>
      <w:bookmarkStart w:id="597" w:name="_Toc221148504"/>
      <w:bookmarkStart w:id="598" w:name="_Toc221265983"/>
      <w:bookmarkStart w:id="599" w:name="_Toc221266036"/>
      <w:r>
        <w:t>标志、</w:t>
      </w:r>
      <w:r>
        <w:rPr>
          <w:rFonts w:hint="eastAsia"/>
        </w:rPr>
        <w:t>标签</w:t>
      </w:r>
      <w:r>
        <w:t>、包装</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r>
        <w:t>、</w:t>
      </w:r>
      <w:r>
        <w:rPr>
          <w:rFonts w:hint="eastAsia"/>
        </w:rPr>
        <w:t>运输、贮存</w:t>
      </w:r>
      <w:bookmarkEnd w:id="595"/>
      <w:bookmarkEnd w:id="596"/>
      <w:bookmarkEnd w:id="597"/>
      <w:r>
        <w:rPr>
          <w:rFonts w:hint="eastAsia"/>
        </w:rPr>
        <w:t>和保存期</w:t>
      </w:r>
      <w:bookmarkEnd w:id="598"/>
      <w:bookmarkEnd w:id="599"/>
    </w:p>
    <w:p w14:paraId="4D369470">
      <w:pPr>
        <w:pStyle w:val="107"/>
        <w:spacing w:before="120" w:after="120"/>
      </w:pPr>
      <w:bookmarkStart w:id="600" w:name="_Toc221148505"/>
      <w:bookmarkStart w:id="601" w:name="_Toc215567395"/>
      <w:bookmarkStart w:id="602" w:name="_Toc221229299"/>
      <w:bookmarkStart w:id="603" w:name="_Toc209813293"/>
      <w:bookmarkStart w:id="604" w:name="_Toc215666361"/>
      <w:bookmarkStart w:id="605" w:name="_Toc213681893"/>
      <w:bookmarkStart w:id="606" w:name="_Toc24524"/>
      <w:bookmarkStart w:id="607" w:name="_Toc209976247"/>
      <w:bookmarkStart w:id="608" w:name="_Toc209816112"/>
      <w:bookmarkStart w:id="609" w:name="_Toc215761454"/>
      <w:bookmarkStart w:id="610" w:name="_Toc209815140"/>
      <w:bookmarkStart w:id="611" w:name="_Toc215855313"/>
      <w:bookmarkStart w:id="612" w:name="_Toc214270472"/>
      <w:bookmarkStart w:id="613" w:name="_Toc209815978"/>
      <w:bookmarkStart w:id="614" w:name="_Toc215567095"/>
      <w:bookmarkStart w:id="615" w:name="_Toc214269798"/>
      <w:bookmarkStart w:id="616" w:name="_Toc209813039"/>
      <w:bookmarkStart w:id="617" w:name="_Toc215565970"/>
      <w:bookmarkStart w:id="618" w:name="_Toc221266037"/>
      <w:bookmarkStart w:id="619" w:name="_Toc221265984"/>
      <w:bookmarkStart w:id="620" w:name="_Toc215779476"/>
      <w:bookmarkStart w:id="621" w:name="_Toc215565788"/>
      <w:bookmarkStart w:id="622" w:name="_Toc215521027"/>
      <w:bookmarkStart w:id="623" w:name="_Toc215521120"/>
      <w:bookmarkStart w:id="624" w:name="_Toc215738122"/>
      <w:bookmarkStart w:id="625" w:name="_Toc213786474"/>
      <w:bookmarkStart w:id="626" w:name="_Toc221147280"/>
      <w:bookmarkStart w:id="627" w:name="_Toc215520149"/>
      <w:bookmarkStart w:id="628" w:name="_Toc208225719"/>
      <w:r>
        <w:rPr>
          <w:rFonts w:hint="eastAsia"/>
        </w:rPr>
        <w:t>标志、标识</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79618F83">
      <w:pPr>
        <w:pStyle w:val="167"/>
        <w:ind w:left="0"/>
      </w:pPr>
      <w:r>
        <w:rPr>
          <w:rFonts w:hint="eastAsia"/>
        </w:rPr>
        <w:t>储运图示标志应符合GB/T 191的规定。</w:t>
      </w:r>
    </w:p>
    <w:p w14:paraId="1FAB99C5">
      <w:pPr>
        <w:pStyle w:val="167"/>
        <w:ind w:left="0"/>
      </w:pPr>
      <w:bookmarkStart w:id="629" w:name="OLE_LINK11"/>
      <w:r>
        <w:rPr>
          <w:rFonts w:hint="eastAsia"/>
        </w:rPr>
        <w:t>标签应符合GB 7718、GB 28050</w:t>
      </w:r>
      <w:bookmarkEnd w:id="629"/>
      <w:r>
        <w:rPr>
          <w:rFonts w:hint="eastAsia"/>
        </w:rPr>
        <w:t>的要求。</w:t>
      </w:r>
    </w:p>
    <w:p w14:paraId="2BE10A1D">
      <w:pPr>
        <w:pStyle w:val="107"/>
        <w:spacing w:before="120" w:after="120"/>
      </w:pPr>
      <w:bookmarkStart w:id="630" w:name="_Toc214270473"/>
      <w:bookmarkStart w:id="631" w:name="_Toc176875270"/>
      <w:bookmarkStart w:id="632" w:name="_Toc209813294"/>
      <w:bookmarkStart w:id="633" w:name="_Toc215567396"/>
      <w:bookmarkStart w:id="634" w:name="_Toc209816113"/>
      <w:bookmarkStart w:id="635" w:name="_Toc215666362"/>
      <w:bookmarkStart w:id="636" w:name="_Toc215567096"/>
      <w:bookmarkStart w:id="637" w:name="_Toc213681894"/>
      <w:bookmarkStart w:id="638" w:name="_Toc209813040"/>
      <w:bookmarkStart w:id="639" w:name="_Toc213786475"/>
      <w:bookmarkStart w:id="640" w:name="_Toc209976248"/>
      <w:bookmarkStart w:id="641" w:name="_Toc208225720"/>
      <w:bookmarkStart w:id="642" w:name="_Toc215520150"/>
      <w:bookmarkStart w:id="643" w:name="_Toc215738123"/>
      <w:bookmarkStart w:id="644" w:name="_Toc215521121"/>
      <w:bookmarkStart w:id="645" w:name="_Toc221147281"/>
      <w:bookmarkStart w:id="646" w:name="_Toc215761455"/>
      <w:bookmarkStart w:id="647" w:name="_Toc9138"/>
      <w:bookmarkStart w:id="648" w:name="_Toc215779477"/>
      <w:bookmarkStart w:id="649" w:name="_Toc215565971"/>
      <w:bookmarkStart w:id="650" w:name="_Toc221229300"/>
      <w:bookmarkStart w:id="651" w:name="_Toc209815979"/>
      <w:bookmarkStart w:id="652" w:name="_Toc215521028"/>
      <w:bookmarkStart w:id="653" w:name="_Toc221266038"/>
      <w:bookmarkStart w:id="654" w:name="_Toc221265985"/>
      <w:bookmarkStart w:id="655" w:name="_Toc178242189"/>
      <w:bookmarkStart w:id="656" w:name="_Toc221148506"/>
      <w:bookmarkStart w:id="657" w:name="_Toc214269799"/>
      <w:bookmarkStart w:id="658" w:name="_Toc215855314"/>
      <w:bookmarkStart w:id="659" w:name="_Toc176878912"/>
      <w:bookmarkStart w:id="660" w:name="_Toc209815141"/>
      <w:bookmarkStart w:id="661" w:name="_Toc215565789"/>
      <w:r>
        <w:rPr>
          <w:rFonts w:hint="eastAsia"/>
        </w:rPr>
        <w:t>包装</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4952EE00">
      <w:pPr>
        <w:pStyle w:val="58"/>
        <w:ind w:firstLine="420"/>
      </w:pPr>
      <w:r>
        <w:rPr>
          <w:rFonts w:hint="eastAsia"/>
        </w:rPr>
        <w:t>包装材料清洁、牢固、无毒、无害、无异味、无污染，</w:t>
      </w:r>
      <w:bookmarkStart w:id="662" w:name="OLE_LINK12"/>
      <w:r>
        <w:rPr>
          <w:rFonts w:hint="eastAsia"/>
        </w:rPr>
        <w:t>包装材料符合</w:t>
      </w:r>
      <w:r>
        <w:rPr>
          <w:rFonts w:hint="eastAsia" w:hAnsi="宋体" w:cs="宋体"/>
          <w:sz w:val="20"/>
        </w:rPr>
        <w:t>GB</w:t>
      </w:r>
      <w:r>
        <w:rPr>
          <w:rFonts w:hint="eastAsia" w:hAnsi="宋体" w:cs="宋体"/>
          <w:spacing w:val="5"/>
          <w:sz w:val="20"/>
        </w:rPr>
        <w:t xml:space="preserve"> 23350</w:t>
      </w:r>
      <w:r>
        <w:rPr>
          <w:rFonts w:hint="eastAsia"/>
        </w:rPr>
        <w:t>的规定</w:t>
      </w:r>
      <w:bookmarkEnd w:id="662"/>
      <w:r>
        <w:rPr>
          <w:rFonts w:hint="eastAsia"/>
        </w:rPr>
        <w:t>。</w:t>
      </w:r>
    </w:p>
    <w:bookmarkEnd w:id="52"/>
    <w:p w14:paraId="531C6CA3">
      <w:pPr>
        <w:pStyle w:val="107"/>
        <w:spacing w:before="120" w:after="120"/>
      </w:pPr>
      <w:bookmarkStart w:id="663" w:name="_Toc221147282"/>
      <w:bookmarkStart w:id="664" w:name="_Toc221265986"/>
      <w:bookmarkStart w:id="665" w:name="_Toc221266039"/>
      <w:bookmarkStart w:id="666" w:name="_Toc221229301"/>
      <w:bookmarkStart w:id="667" w:name="_Toc221148507"/>
      <w:bookmarkStart w:id="668" w:name="BookMark8"/>
      <w:r>
        <w:rPr>
          <w:rFonts w:hint="eastAsia"/>
        </w:rPr>
        <w:t>运输</w:t>
      </w:r>
      <w:bookmarkEnd w:id="663"/>
      <w:bookmarkEnd w:id="664"/>
      <w:bookmarkEnd w:id="665"/>
      <w:bookmarkEnd w:id="666"/>
      <w:bookmarkEnd w:id="667"/>
    </w:p>
    <w:p w14:paraId="0AABF6F1">
      <w:pPr>
        <w:pStyle w:val="167"/>
        <w:ind w:left="0"/>
      </w:pPr>
      <w:r>
        <w:rPr>
          <w:rFonts w:hint="eastAsia"/>
        </w:rPr>
        <w:t>运输工具应清洁卫生、无异味、无污染。</w:t>
      </w:r>
    </w:p>
    <w:p w14:paraId="2CDBC1A9">
      <w:pPr>
        <w:pStyle w:val="167"/>
        <w:ind w:left="0"/>
      </w:pPr>
      <w:r>
        <w:rPr>
          <w:rFonts w:hint="eastAsia"/>
        </w:rPr>
        <w:t>运输过程中应防挤压、防雨、防潮、防晒，装卸时应轻搬、轻放。运输时不应与有毒、有异味、有腐蚀性、易污染的货物混装混运。</w:t>
      </w:r>
    </w:p>
    <w:p w14:paraId="41E86566">
      <w:pPr>
        <w:pStyle w:val="107"/>
        <w:spacing w:before="120" w:after="120"/>
      </w:pPr>
      <w:bookmarkStart w:id="669" w:name="_Toc221229302"/>
      <w:bookmarkStart w:id="670" w:name="_Toc221147283"/>
      <w:bookmarkStart w:id="671" w:name="_Toc221266040"/>
      <w:bookmarkStart w:id="672" w:name="_Toc221265987"/>
      <w:bookmarkStart w:id="673" w:name="_Toc221148508"/>
      <w:r>
        <w:rPr>
          <w:rFonts w:hint="eastAsia"/>
        </w:rPr>
        <w:t>贮存</w:t>
      </w:r>
      <w:bookmarkEnd w:id="669"/>
      <w:bookmarkEnd w:id="670"/>
      <w:bookmarkEnd w:id="671"/>
      <w:bookmarkEnd w:id="672"/>
      <w:bookmarkEnd w:id="673"/>
    </w:p>
    <w:p w14:paraId="2A330B00">
      <w:pPr>
        <w:pStyle w:val="167"/>
        <w:ind w:left="0"/>
      </w:pPr>
      <w:r>
        <w:rPr>
          <w:rFonts w:hint="eastAsia"/>
        </w:rPr>
        <w:t>产品应贮存在清洁、卫生、阴凉、干燥、通风、无异味的库房内。</w:t>
      </w:r>
    </w:p>
    <w:p w14:paraId="7CFEF9EA">
      <w:pPr>
        <w:pStyle w:val="167"/>
        <w:ind w:left="0"/>
        <w:rPr>
          <w:rFonts w:hint="eastAsia"/>
        </w:rPr>
      </w:pPr>
      <w:r>
        <w:rPr>
          <w:rFonts w:hint="eastAsia"/>
        </w:rPr>
        <w:t>产品贮存应离地、离墙，不应与有毒、有害、有异味、有腐蚀性的物品同处贮存。</w:t>
      </w:r>
    </w:p>
    <w:p w14:paraId="1D8F363C">
      <w:pPr>
        <w:pStyle w:val="107"/>
        <w:spacing w:before="120" w:after="120"/>
      </w:pPr>
      <w:bookmarkStart w:id="674" w:name="_Toc221266041"/>
      <w:bookmarkStart w:id="675" w:name="_Toc221265988"/>
      <w:r>
        <w:rPr>
          <w:rFonts w:hint="eastAsia"/>
        </w:rPr>
        <w:t>保质期</w:t>
      </w:r>
      <w:bookmarkEnd w:id="674"/>
      <w:bookmarkEnd w:id="675"/>
    </w:p>
    <w:p w14:paraId="43DDF50B">
      <w:pPr>
        <w:pStyle w:val="58"/>
        <w:ind w:firstLine="420"/>
        <w:rPr>
          <w:rFonts w:hint="eastAsia"/>
        </w:rPr>
      </w:pPr>
      <w:r>
        <w:rPr>
          <w:rFonts w:hint="eastAsia" w:hAnsi="宋体"/>
        </w:rPr>
        <w:t>企业可根据自身产品质量状况确定保质期。</w:t>
      </w:r>
    </w:p>
    <w:p w14:paraId="28BBC990">
      <w:pPr>
        <w:pStyle w:val="58"/>
        <w:ind w:firstLine="0" w:firstLineChars="0"/>
        <w:jc w:val="center"/>
      </w:pPr>
      <w:r>
        <w:rPr>
          <w:rFonts w:hint="eastAsia"/>
        </w:rPr>
        <w:t xml:space="preserve"> </w:t>
      </w:r>
      <w:r>
        <w:rPr>
          <w:rFonts w:hint="eastAsia"/>
        </w:rPr>
        <w:drawing>
          <wp:inline distT="0" distB="0" distL="0" distR="0">
            <wp:extent cx="1485900" cy="317500"/>
            <wp:effectExtent l="0" t="0" r="0" b="6350"/>
            <wp:docPr id="397651735" name="图片 2"/>
            <wp:cNvGraphicFramePr/>
            <a:graphic xmlns:a="http://schemas.openxmlformats.org/drawingml/2006/main">
              <a:graphicData uri="http://schemas.openxmlformats.org/drawingml/2006/picture">
                <pic:pic xmlns:pic="http://schemas.openxmlformats.org/drawingml/2006/picture">
                  <pic:nvPicPr>
                    <pic:cNvPr id="397651735" name="图片 2"/>
                    <pic:cNvPicPr/>
                  </pic:nvPicPr>
                  <pic:blipFill>
                    <a:blip r:embed="rId2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92"/>
      <w:bookmarkEnd w:id="226"/>
      <w:bookmarkEnd w:id="279"/>
      <w:bookmarkEnd w:id="319"/>
      <w:bookmarkEnd w:id="342"/>
      <w:bookmarkEnd w:id="668"/>
    </w:p>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24BAE1">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A0A63">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E0A1AF">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B90CAD">
    <w:pPr>
      <w:pStyle w:val="54"/>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D6524B">
    <w:pPr>
      <w:pStyle w:val="53"/>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89F00">
    <w:pPr>
      <w:pStyle w:val="54"/>
    </w:pPr>
    <w:r>
      <w:fldChar w:fldCharType="begin"/>
    </w:r>
    <w:r>
      <w:instrText xml:space="preserve">PAGE   \* MERGEFORMAT</w:instrText>
    </w:r>
    <w:r>
      <w:fldChar w:fldCharType="separate"/>
    </w:r>
    <w:r>
      <w:rPr>
        <w:lang w:val="zh-CN"/>
      </w:rPr>
      <w:t>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CC8B40">
    <w:pPr>
      <w:pStyle w:val="53"/>
    </w:pPr>
    <w:r>
      <w:fldChar w:fldCharType="begin"/>
    </w:r>
    <w:r>
      <w:instrText xml:space="preserve"> PAGE   \* MERGEFORMAT \* MERGEFORMAT </w:instrText>
    </w:r>
    <w:r>
      <w:fldChar w:fldCharType="separate"/>
    </w:r>
    <w:r>
      <w:t>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781C9A">
    <w:pPr>
      <w:pStyle w:val="54"/>
    </w:pPr>
    <w:r>
      <w:fldChar w:fldCharType="begin"/>
    </w:r>
    <w:r>
      <w:instrText xml:space="preserve">PAGE   \* MERGEFORMAT</w:instrText>
    </w:r>
    <w:r>
      <w:fldChar w:fldCharType="separate"/>
    </w:r>
    <w:r>
      <w:rPr>
        <w:lang w:val="zh-CN"/>
      </w:rPr>
      <w:t>3</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670388">
    <w:pPr>
      <w:pStyle w:val="53"/>
    </w:pPr>
    <w:r>
      <w:fldChar w:fldCharType="begin"/>
    </w:r>
    <w:r>
      <w:instrText xml:space="preserve"> PAGE   \* MERGEFORMAT \* MERGEFORMAT </w:instrText>
    </w:r>
    <w:r>
      <w:fldChar w:fldCharType="separate"/>
    </w:r>
    <w: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B5C27">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229D1">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0F321F">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CBF2A6">
    <w:pPr>
      <w:pStyle w:val="63"/>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CA5E93">
    <w:pPr>
      <w:pStyle w:val="64"/>
    </w:pPr>
    <w:r>
      <w:fldChar w:fldCharType="begin"/>
    </w:r>
    <w:r>
      <w:instrText xml:space="preserve"> STYLEREF  标准文件_文件编号 \* MERGEFORMAT </w:instrText>
    </w:r>
    <w:r>
      <w:fldChar w:fldCharType="separate"/>
    </w:r>
    <w:r>
      <w:t>T/GXAS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6895F9">
    <w:pPr>
      <w:pStyle w:val="63"/>
    </w:pPr>
    <w:r>
      <w:fldChar w:fldCharType="begin"/>
    </w:r>
    <w:r>
      <w:instrText xml:space="preserve"> STYLEREF  标准文件_文件编号  \* MERGEFORMAT </w:instrText>
    </w:r>
    <w:r>
      <w:fldChar w:fldCharType="separate"/>
    </w:r>
    <w:r>
      <w:t>T/GXAS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B1B2BE">
    <w:pPr>
      <w:pStyle w:val="64"/>
    </w:pPr>
    <w:r>
      <w:fldChar w:fldCharType="begin"/>
    </w:r>
    <w:r>
      <w:instrText xml:space="preserve"> STYLEREF  标准文件_文件编号 \* MERGEFORMAT </w:instrText>
    </w:r>
    <w:r>
      <w:fldChar w:fldCharType="separate"/>
    </w:r>
    <w:r>
      <w:t>T/GXAS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C1574A">
    <w:pPr>
      <w:pStyle w:val="63"/>
    </w:pPr>
    <w:r>
      <w:fldChar w:fldCharType="begin"/>
    </w:r>
    <w:r>
      <w:instrText xml:space="preserve"> STYLEREF  标准文件_文件编号  \* MERGEFORMAT </w:instrText>
    </w:r>
    <w:r>
      <w:fldChar w:fldCharType="separate"/>
    </w:r>
    <w:r>
      <w:t>T/GXAS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066BDA">
    <w:pPr>
      <w:pStyle w:val="64"/>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7"/>
      <w:suff w:val="nothing"/>
      <w:lvlText w:val="%1%2.%3.%4　"/>
      <w:lvlJc w:val="left"/>
      <w:pPr>
        <w:ind w:left="568"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1957"/>
    <w:rsid w:val="0000040A"/>
    <w:rsid w:val="00000A94"/>
    <w:rsid w:val="00001972"/>
    <w:rsid w:val="00001D9A"/>
    <w:rsid w:val="00004731"/>
    <w:rsid w:val="00007B3A"/>
    <w:rsid w:val="000107E0"/>
    <w:rsid w:val="00011FDE"/>
    <w:rsid w:val="00012FFD"/>
    <w:rsid w:val="00014162"/>
    <w:rsid w:val="00014340"/>
    <w:rsid w:val="00016A9C"/>
    <w:rsid w:val="00022184"/>
    <w:rsid w:val="00022762"/>
    <w:rsid w:val="000238E0"/>
    <w:rsid w:val="000247FD"/>
    <w:rsid w:val="000249DB"/>
    <w:rsid w:val="0002595E"/>
    <w:rsid w:val="000303C3"/>
    <w:rsid w:val="000331D3"/>
    <w:rsid w:val="000346A5"/>
    <w:rsid w:val="000359C3"/>
    <w:rsid w:val="00035A7D"/>
    <w:rsid w:val="000365ED"/>
    <w:rsid w:val="0004249A"/>
    <w:rsid w:val="00043282"/>
    <w:rsid w:val="00044286"/>
    <w:rsid w:val="00045BC7"/>
    <w:rsid w:val="00047F28"/>
    <w:rsid w:val="000503AA"/>
    <w:rsid w:val="000506A1"/>
    <w:rsid w:val="000515DD"/>
    <w:rsid w:val="0005265A"/>
    <w:rsid w:val="000537BC"/>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3B25"/>
    <w:rsid w:val="000C4B41"/>
    <w:rsid w:val="000C57D6"/>
    <w:rsid w:val="000C6362"/>
    <w:rsid w:val="000C7666"/>
    <w:rsid w:val="000D0A9C"/>
    <w:rsid w:val="000D1795"/>
    <w:rsid w:val="000D1EE5"/>
    <w:rsid w:val="000D329A"/>
    <w:rsid w:val="000D4B9C"/>
    <w:rsid w:val="000D4EB6"/>
    <w:rsid w:val="000D753B"/>
    <w:rsid w:val="000E4C9E"/>
    <w:rsid w:val="000E6FD7"/>
    <w:rsid w:val="000E7144"/>
    <w:rsid w:val="000E7807"/>
    <w:rsid w:val="000F06E1"/>
    <w:rsid w:val="000F0E3C"/>
    <w:rsid w:val="000F19D5"/>
    <w:rsid w:val="000F4050"/>
    <w:rsid w:val="000F4AEA"/>
    <w:rsid w:val="000F5986"/>
    <w:rsid w:val="000F67E9"/>
    <w:rsid w:val="00104926"/>
    <w:rsid w:val="00112B71"/>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05F7"/>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716"/>
    <w:rsid w:val="0017340B"/>
    <w:rsid w:val="00173FB1"/>
    <w:rsid w:val="00175F58"/>
    <w:rsid w:val="00176DFD"/>
    <w:rsid w:val="001807E1"/>
    <w:rsid w:val="001852C9"/>
    <w:rsid w:val="00187A0B"/>
    <w:rsid w:val="00190087"/>
    <w:rsid w:val="001913C4"/>
    <w:rsid w:val="0019348F"/>
    <w:rsid w:val="00193550"/>
    <w:rsid w:val="00193A07"/>
    <w:rsid w:val="00194082"/>
    <w:rsid w:val="0019477A"/>
    <w:rsid w:val="00194C95"/>
    <w:rsid w:val="00195338"/>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03B"/>
    <w:rsid w:val="001D212F"/>
    <w:rsid w:val="001D29D7"/>
    <w:rsid w:val="001D2DE7"/>
    <w:rsid w:val="001D411C"/>
    <w:rsid w:val="001D7223"/>
    <w:rsid w:val="001D7740"/>
    <w:rsid w:val="001E1B6A"/>
    <w:rsid w:val="001E2484"/>
    <w:rsid w:val="001E3CC4"/>
    <w:rsid w:val="001E4882"/>
    <w:rsid w:val="001E73AB"/>
    <w:rsid w:val="001F092D"/>
    <w:rsid w:val="001F143A"/>
    <w:rsid w:val="001F1605"/>
    <w:rsid w:val="001F2508"/>
    <w:rsid w:val="001F4816"/>
    <w:rsid w:val="001F4D78"/>
    <w:rsid w:val="001F69B4"/>
    <w:rsid w:val="001F77C7"/>
    <w:rsid w:val="00200183"/>
    <w:rsid w:val="00200333"/>
    <w:rsid w:val="0020107D"/>
    <w:rsid w:val="00202AA4"/>
    <w:rsid w:val="002031F7"/>
    <w:rsid w:val="002040E6"/>
    <w:rsid w:val="0020527B"/>
    <w:rsid w:val="00205F2C"/>
    <w:rsid w:val="00210B15"/>
    <w:rsid w:val="00210D3C"/>
    <w:rsid w:val="002142EA"/>
    <w:rsid w:val="00215ADD"/>
    <w:rsid w:val="00217EBA"/>
    <w:rsid w:val="002204BB"/>
    <w:rsid w:val="00221B79"/>
    <w:rsid w:val="00221C6B"/>
    <w:rsid w:val="002253A1"/>
    <w:rsid w:val="00225CF8"/>
    <w:rsid w:val="0022794E"/>
    <w:rsid w:val="00230D8E"/>
    <w:rsid w:val="00233D64"/>
    <w:rsid w:val="0023482A"/>
    <w:rsid w:val="002359CB"/>
    <w:rsid w:val="00241C4C"/>
    <w:rsid w:val="00243540"/>
    <w:rsid w:val="0024497B"/>
    <w:rsid w:val="0024515B"/>
    <w:rsid w:val="00246021"/>
    <w:rsid w:val="0024666E"/>
    <w:rsid w:val="00247F52"/>
    <w:rsid w:val="00250B25"/>
    <w:rsid w:val="00250BBE"/>
    <w:rsid w:val="002515C2"/>
    <w:rsid w:val="0025194F"/>
    <w:rsid w:val="0025459F"/>
    <w:rsid w:val="00254C69"/>
    <w:rsid w:val="0026148A"/>
    <w:rsid w:val="00262696"/>
    <w:rsid w:val="00263D25"/>
    <w:rsid w:val="002643C3"/>
    <w:rsid w:val="00264A0C"/>
    <w:rsid w:val="00266EEB"/>
    <w:rsid w:val="00267EF4"/>
    <w:rsid w:val="00270CB8"/>
    <w:rsid w:val="00272B08"/>
    <w:rsid w:val="00277633"/>
    <w:rsid w:val="00281BB8"/>
    <w:rsid w:val="00281E9E"/>
    <w:rsid w:val="00282405"/>
    <w:rsid w:val="00285170"/>
    <w:rsid w:val="00285361"/>
    <w:rsid w:val="00290BD5"/>
    <w:rsid w:val="00292D60"/>
    <w:rsid w:val="00293B30"/>
    <w:rsid w:val="00294D34"/>
    <w:rsid w:val="00294E3B"/>
    <w:rsid w:val="0029512B"/>
    <w:rsid w:val="00296193"/>
    <w:rsid w:val="00296C66"/>
    <w:rsid w:val="00296EBE"/>
    <w:rsid w:val="0029721A"/>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35CC"/>
    <w:rsid w:val="002B4508"/>
    <w:rsid w:val="002B4DE4"/>
    <w:rsid w:val="002B5779"/>
    <w:rsid w:val="002B6ECC"/>
    <w:rsid w:val="002B7332"/>
    <w:rsid w:val="002B7F51"/>
    <w:rsid w:val="002C09E7"/>
    <w:rsid w:val="002C1E06"/>
    <w:rsid w:val="002C399D"/>
    <w:rsid w:val="002C3F07"/>
    <w:rsid w:val="002C3F77"/>
    <w:rsid w:val="002C5278"/>
    <w:rsid w:val="002C7EBB"/>
    <w:rsid w:val="002D06C1"/>
    <w:rsid w:val="002D3E0E"/>
    <w:rsid w:val="002D42B5"/>
    <w:rsid w:val="002D4F1A"/>
    <w:rsid w:val="002D6EC6"/>
    <w:rsid w:val="002D79AC"/>
    <w:rsid w:val="002E039D"/>
    <w:rsid w:val="002E17FC"/>
    <w:rsid w:val="002E4D5A"/>
    <w:rsid w:val="002E5375"/>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4158"/>
    <w:rsid w:val="00335137"/>
    <w:rsid w:val="00336C64"/>
    <w:rsid w:val="00337162"/>
    <w:rsid w:val="0034194F"/>
    <w:rsid w:val="00344605"/>
    <w:rsid w:val="0034567B"/>
    <w:rsid w:val="003474AA"/>
    <w:rsid w:val="00350D1D"/>
    <w:rsid w:val="0035140E"/>
    <w:rsid w:val="00352C83"/>
    <w:rsid w:val="00352F1A"/>
    <w:rsid w:val="00354D1C"/>
    <w:rsid w:val="0036107C"/>
    <w:rsid w:val="003615D2"/>
    <w:rsid w:val="0036429C"/>
    <w:rsid w:val="00364A53"/>
    <w:rsid w:val="003654CB"/>
    <w:rsid w:val="00365AA9"/>
    <w:rsid w:val="00365F86"/>
    <w:rsid w:val="00365F87"/>
    <w:rsid w:val="00366E89"/>
    <w:rsid w:val="003705F4"/>
    <w:rsid w:val="00370D58"/>
    <w:rsid w:val="00371316"/>
    <w:rsid w:val="00376713"/>
    <w:rsid w:val="0038150F"/>
    <w:rsid w:val="00381815"/>
    <w:rsid w:val="003819AF"/>
    <w:rsid w:val="003820E9"/>
    <w:rsid w:val="00382DE7"/>
    <w:rsid w:val="00383D1F"/>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26A1"/>
    <w:rsid w:val="003A2F61"/>
    <w:rsid w:val="003A3D9C"/>
    <w:rsid w:val="003A4077"/>
    <w:rsid w:val="003A4AA7"/>
    <w:rsid w:val="003B09AD"/>
    <w:rsid w:val="003B1F18"/>
    <w:rsid w:val="003B5BF0"/>
    <w:rsid w:val="003B60BF"/>
    <w:rsid w:val="003B6BE3"/>
    <w:rsid w:val="003C010C"/>
    <w:rsid w:val="003C0A6C"/>
    <w:rsid w:val="003C14F8"/>
    <w:rsid w:val="003C2B4A"/>
    <w:rsid w:val="003C507A"/>
    <w:rsid w:val="003C5A43"/>
    <w:rsid w:val="003D0519"/>
    <w:rsid w:val="003D0FF6"/>
    <w:rsid w:val="003D262C"/>
    <w:rsid w:val="003D6D61"/>
    <w:rsid w:val="003E019F"/>
    <w:rsid w:val="003E091D"/>
    <w:rsid w:val="003E1C03"/>
    <w:rsid w:val="003E1C53"/>
    <w:rsid w:val="003E2377"/>
    <w:rsid w:val="003E28BB"/>
    <w:rsid w:val="003E2A69"/>
    <w:rsid w:val="003E2D49"/>
    <w:rsid w:val="003E2FD4"/>
    <w:rsid w:val="003E49F6"/>
    <w:rsid w:val="003E660F"/>
    <w:rsid w:val="003E66FC"/>
    <w:rsid w:val="003E79FD"/>
    <w:rsid w:val="003F0841"/>
    <w:rsid w:val="003F17AC"/>
    <w:rsid w:val="003F23D3"/>
    <w:rsid w:val="003F3F08"/>
    <w:rsid w:val="003F49F1"/>
    <w:rsid w:val="003F6272"/>
    <w:rsid w:val="003F718C"/>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01F"/>
    <w:rsid w:val="004659BD"/>
    <w:rsid w:val="00470775"/>
    <w:rsid w:val="0047087B"/>
    <w:rsid w:val="004746B1"/>
    <w:rsid w:val="0047583F"/>
    <w:rsid w:val="00475DE8"/>
    <w:rsid w:val="00481C44"/>
    <w:rsid w:val="00484936"/>
    <w:rsid w:val="00485C89"/>
    <w:rsid w:val="00486BE3"/>
    <w:rsid w:val="004905E4"/>
    <w:rsid w:val="00490A89"/>
    <w:rsid w:val="00490AB4"/>
    <w:rsid w:val="00492F02"/>
    <w:rsid w:val="004939AE"/>
    <w:rsid w:val="00494511"/>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3182"/>
    <w:rsid w:val="004D4406"/>
    <w:rsid w:val="004D47F6"/>
    <w:rsid w:val="004D7C42"/>
    <w:rsid w:val="004E0465"/>
    <w:rsid w:val="004E127B"/>
    <w:rsid w:val="004E1C0A"/>
    <w:rsid w:val="004E30C5"/>
    <w:rsid w:val="004E4AA5"/>
    <w:rsid w:val="004E4AEE"/>
    <w:rsid w:val="004E59E3"/>
    <w:rsid w:val="004E67C0"/>
    <w:rsid w:val="004E68B4"/>
    <w:rsid w:val="004F3794"/>
    <w:rsid w:val="004F391A"/>
    <w:rsid w:val="004F3CFB"/>
    <w:rsid w:val="004F6456"/>
    <w:rsid w:val="004F696E"/>
    <w:rsid w:val="004F6C71"/>
    <w:rsid w:val="00501139"/>
    <w:rsid w:val="00501214"/>
    <w:rsid w:val="00503025"/>
    <w:rsid w:val="0050363E"/>
    <w:rsid w:val="005039BC"/>
    <w:rsid w:val="005043BB"/>
    <w:rsid w:val="00504A3D"/>
    <w:rsid w:val="00505767"/>
    <w:rsid w:val="005073F0"/>
    <w:rsid w:val="00510A7B"/>
    <w:rsid w:val="00512F6E"/>
    <w:rsid w:val="00513038"/>
    <w:rsid w:val="00514174"/>
    <w:rsid w:val="00516088"/>
    <w:rsid w:val="00516B0B"/>
    <w:rsid w:val="00520A4F"/>
    <w:rsid w:val="005220EC"/>
    <w:rsid w:val="0052219D"/>
    <w:rsid w:val="00523EAD"/>
    <w:rsid w:val="00523F95"/>
    <w:rsid w:val="00524D65"/>
    <w:rsid w:val="00525B16"/>
    <w:rsid w:val="00533D04"/>
    <w:rsid w:val="00534804"/>
    <w:rsid w:val="00534BDF"/>
    <w:rsid w:val="00535021"/>
    <w:rsid w:val="005354EA"/>
    <w:rsid w:val="0053585F"/>
    <w:rsid w:val="00535EC4"/>
    <w:rsid w:val="00535ED9"/>
    <w:rsid w:val="0053692B"/>
    <w:rsid w:val="00541853"/>
    <w:rsid w:val="00542337"/>
    <w:rsid w:val="00543BDA"/>
    <w:rsid w:val="005441CC"/>
    <w:rsid w:val="005479DA"/>
    <w:rsid w:val="00547BCC"/>
    <w:rsid w:val="0055013B"/>
    <w:rsid w:val="00551F6F"/>
    <w:rsid w:val="00555044"/>
    <w:rsid w:val="005555CA"/>
    <w:rsid w:val="00556188"/>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206"/>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6A5F"/>
    <w:rsid w:val="005C7156"/>
    <w:rsid w:val="005C7646"/>
    <w:rsid w:val="005D0C75"/>
    <w:rsid w:val="005D4171"/>
    <w:rsid w:val="005D6A95"/>
    <w:rsid w:val="005D6B2C"/>
    <w:rsid w:val="005D6D9C"/>
    <w:rsid w:val="005E09DF"/>
    <w:rsid w:val="005E2335"/>
    <w:rsid w:val="005E34CA"/>
    <w:rsid w:val="005E3C18"/>
    <w:rsid w:val="005E4250"/>
    <w:rsid w:val="005E5729"/>
    <w:rsid w:val="005E6812"/>
    <w:rsid w:val="005E7881"/>
    <w:rsid w:val="005E78E0"/>
    <w:rsid w:val="005F0D9C"/>
    <w:rsid w:val="005F284E"/>
    <w:rsid w:val="006015CE"/>
    <w:rsid w:val="00604058"/>
    <w:rsid w:val="00604784"/>
    <w:rsid w:val="006061E9"/>
    <w:rsid w:val="00606419"/>
    <w:rsid w:val="00607D29"/>
    <w:rsid w:val="0061017D"/>
    <w:rsid w:val="00612952"/>
    <w:rsid w:val="00614CC1"/>
    <w:rsid w:val="00615A9D"/>
    <w:rsid w:val="00617387"/>
    <w:rsid w:val="006205D6"/>
    <w:rsid w:val="006249AA"/>
    <w:rsid w:val="006252D8"/>
    <w:rsid w:val="006259BC"/>
    <w:rsid w:val="0062636B"/>
    <w:rsid w:val="00632182"/>
    <w:rsid w:val="00632AE0"/>
    <w:rsid w:val="00633C17"/>
    <w:rsid w:val="00634D9E"/>
    <w:rsid w:val="0063656B"/>
    <w:rsid w:val="00636E3E"/>
    <w:rsid w:val="006372AF"/>
    <w:rsid w:val="006379F7"/>
    <w:rsid w:val="00637E4D"/>
    <w:rsid w:val="00640620"/>
    <w:rsid w:val="00641A1F"/>
    <w:rsid w:val="00645904"/>
    <w:rsid w:val="00651ACB"/>
    <w:rsid w:val="00651C47"/>
    <w:rsid w:val="00652AB2"/>
    <w:rsid w:val="00653FED"/>
    <w:rsid w:val="00654EC0"/>
    <w:rsid w:val="0065525B"/>
    <w:rsid w:val="00655462"/>
    <w:rsid w:val="00655D4F"/>
    <w:rsid w:val="00656D29"/>
    <w:rsid w:val="0066045E"/>
    <w:rsid w:val="006640E5"/>
    <w:rsid w:val="006646F1"/>
    <w:rsid w:val="00664929"/>
    <w:rsid w:val="00664F62"/>
    <w:rsid w:val="006655E1"/>
    <w:rsid w:val="00666487"/>
    <w:rsid w:val="00672060"/>
    <w:rsid w:val="00672BFD"/>
    <w:rsid w:val="00675413"/>
    <w:rsid w:val="006770F4"/>
    <w:rsid w:val="00677A84"/>
    <w:rsid w:val="0068026D"/>
    <w:rsid w:val="00680A27"/>
    <w:rsid w:val="006816A4"/>
    <w:rsid w:val="006819B8"/>
    <w:rsid w:val="00681E32"/>
    <w:rsid w:val="006840A6"/>
    <w:rsid w:val="006850CD"/>
    <w:rsid w:val="00685AAB"/>
    <w:rsid w:val="006870C5"/>
    <w:rsid w:val="006932BF"/>
    <w:rsid w:val="00693962"/>
    <w:rsid w:val="0069744B"/>
    <w:rsid w:val="006A07AA"/>
    <w:rsid w:val="006A25E5"/>
    <w:rsid w:val="006A2B46"/>
    <w:rsid w:val="006A336D"/>
    <w:rsid w:val="006A37B9"/>
    <w:rsid w:val="006A59FC"/>
    <w:rsid w:val="006B2672"/>
    <w:rsid w:val="006B54BF"/>
    <w:rsid w:val="006B5F44"/>
    <w:rsid w:val="006B5F90"/>
    <w:rsid w:val="006B62E4"/>
    <w:rsid w:val="006C1BBA"/>
    <w:rsid w:val="006C2079"/>
    <w:rsid w:val="006C4A2C"/>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3532"/>
    <w:rsid w:val="006F6284"/>
    <w:rsid w:val="006F6962"/>
    <w:rsid w:val="007002C5"/>
    <w:rsid w:val="00704387"/>
    <w:rsid w:val="00707669"/>
    <w:rsid w:val="00711CBA"/>
    <w:rsid w:val="00711FB5"/>
    <w:rsid w:val="00712084"/>
    <w:rsid w:val="00712A01"/>
    <w:rsid w:val="00714F58"/>
    <w:rsid w:val="0072025D"/>
    <w:rsid w:val="00720714"/>
    <w:rsid w:val="00722FBF"/>
    <w:rsid w:val="00722FC2"/>
    <w:rsid w:val="00724E1B"/>
    <w:rsid w:val="00725949"/>
    <w:rsid w:val="00727FA2"/>
    <w:rsid w:val="007322D9"/>
    <w:rsid w:val="007325F3"/>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1EA"/>
    <w:rsid w:val="00750D61"/>
    <w:rsid w:val="00750EE1"/>
    <w:rsid w:val="00752B4D"/>
    <w:rsid w:val="00755402"/>
    <w:rsid w:val="00756B26"/>
    <w:rsid w:val="00756EDF"/>
    <w:rsid w:val="007600E3"/>
    <w:rsid w:val="0076297F"/>
    <w:rsid w:val="007656CB"/>
    <w:rsid w:val="00765C43"/>
    <w:rsid w:val="00765EFB"/>
    <w:rsid w:val="007671CA"/>
    <w:rsid w:val="00767C61"/>
    <w:rsid w:val="0077008A"/>
    <w:rsid w:val="00773C1F"/>
    <w:rsid w:val="00774DA4"/>
    <w:rsid w:val="00776599"/>
    <w:rsid w:val="0078114B"/>
    <w:rsid w:val="00781DD2"/>
    <w:rsid w:val="00783ECF"/>
    <w:rsid w:val="0078413A"/>
    <w:rsid w:val="00790CF4"/>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3805"/>
    <w:rsid w:val="007C4593"/>
    <w:rsid w:val="007C5309"/>
    <w:rsid w:val="007C6069"/>
    <w:rsid w:val="007D06C4"/>
    <w:rsid w:val="007D1352"/>
    <w:rsid w:val="007D2508"/>
    <w:rsid w:val="007D346A"/>
    <w:rsid w:val="007D384B"/>
    <w:rsid w:val="007D3F61"/>
    <w:rsid w:val="007D6518"/>
    <w:rsid w:val="007D76BD"/>
    <w:rsid w:val="007E0BF1"/>
    <w:rsid w:val="007F0700"/>
    <w:rsid w:val="007F0ED8"/>
    <w:rsid w:val="007F0F63"/>
    <w:rsid w:val="007F3C9D"/>
    <w:rsid w:val="007F693E"/>
    <w:rsid w:val="007F7012"/>
    <w:rsid w:val="007F75CE"/>
    <w:rsid w:val="00801327"/>
    <w:rsid w:val="008013A4"/>
    <w:rsid w:val="008027CE"/>
    <w:rsid w:val="00802F42"/>
    <w:rsid w:val="00804383"/>
    <w:rsid w:val="00804BB7"/>
    <w:rsid w:val="00804D41"/>
    <w:rsid w:val="00810257"/>
    <w:rsid w:val="008104F5"/>
    <w:rsid w:val="00811072"/>
    <w:rsid w:val="00811369"/>
    <w:rsid w:val="00812A25"/>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459A"/>
    <w:rsid w:val="008373D3"/>
    <w:rsid w:val="00840617"/>
    <w:rsid w:val="00840F84"/>
    <w:rsid w:val="00841957"/>
    <w:rsid w:val="00842A47"/>
    <w:rsid w:val="008430C5"/>
    <w:rsid w:val="00843C13"/>
    <w:rsid w:val="00843DEF"/>
    <w:rsid w:val="008454F8"/>
    <w:rsid w:val="0085173A"/>
    <w:rsid w:val="00854ADB"/>
    <w:rsid w:val="008603CE"/>
    <w:rsid w:val="00861FC7"/>
    <w:rsid w:val="008620FC"/>
    <w:rsid w:val="008627A5"/>
    <w:rsid w:val="00863E05"/>
    <w:rsid w:val="00865ACA"/>
    <w:rsid w:val="00865D28"/>
    <w:rsid w:val="00865F85"/>
    <w:rsid w:val="00867C10"/>
    <w:rsid w:val="00870439"/>
    <w:rsid w:val="00870DA1"/>
    <w:rsid w:val="0087134E"/>
    <w:rsid w:val="00872515"/>
    <w:rsid w:val="00877FF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888"/>
    <w:rsid w:val="008E1B3E"/>
    <w:rsid w:val="008E2319"/>
    <w:rsid w:val="008E4BB6"/>
    <w:rsid w:val="008E5518"/>
    <w:rsid w:val="008E6A84"/>
    <w:rsid w:val="008F0CDC"/>
    <w:rsid w:val="008F17A3"/>
    <w:rsid w:val="008F1ED3"/>
    <w:rsid w:val="008F4C29"/>
    <w:rsid w:val="008F70BD"/>
    <w:rsid w:val="008F788F"/>
    <w:rsid w:val="008F7EA2"/>
    <w:rsid w:val="009003C3"/>
    <w:rsid w:val="00902722"/>
    <w:rsid w:val="009027BC"/>
    <w:rsid w:val="00905B52"/>
    <w:rsid w:val="009062E6"/>
    <w:rsid w:val="00911BE5"/>
    <w:rsid w:val="00913CA9"/>
    <w:rsid w:val="009145AE"/>
    <w:rsid w:val="009146CE"/>
    <w:rsid w:val="00914CA7"/>
    <w:rsid w:val="00915964"/>
    <w:rsid w:val="00915C3E"/>
    <w:rsid w:val="009161A8"/>
    <w:rsid w:val="009245AE"/>
    <w:rsid w:val="009245F5"/>
    <w:rsid w:val="009249EC"/>
    <w:rsid w:val="009273B3"/>
    <w:rsid w:val="009305B5"/>
    <w:rsid w:val="009378DD"/>
    <w:rsid w:val="009429D5"/>
    <w:rsid w:val="00942BF1"/>
    <w:rsid w:val="00944AE2"/>
    <w:rsid w:val="00945180"/>
    <w:rsid w:val="00945428"/>
    <w:rsid w:val="0094607B"/>
    <w:rsid w:val="00953604"/>
    <w:rsid w:val="0095496B"/>
    <w:rsid w:val="00960F1E"/>
    <w:rsid w:val="009610DC"/>
    <w:rsid w:val="00961490"/>
    <w:rsid w:val="0096381A"/>
    <w:rsid w:val="00965E04"/>
    <w:rsid w:val="009674AD"/>
    <w:rsid w:val="00970CDC"/>
    <w:rsid w:val="00971B5F"/>
    <w:rsid w:val="00975727"/>
    <w:rsid w:val="00977010"/>
    <w:rsid w:val="00977D02"/>
    <w:rsid w:val="00977FF9"/>
    <w:rsid w:val="009809BB"/>
    <w:rsid w:val="0098364B"/>
    <w:rsid w:val="0098691D"/>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24"/>
    <w:rsid w:val="009D4C5B"/>
    <w:rsid w:val="009D50D2"/>
    <w:rsid w:val="009D6BCA"/>
    <w:rsid w:val="009E0F62"/>
    <w:rsid w:val="009E4A58"/>
    <w:rsid w:val="009E5A2D"/>
    <w:rsid w:val="009E5AB2"/>
    <w:rsid w:val="009E6219"/>
    <w:rsid w:val="009E78AF"/>
    <w:rsid w:val="009F03B3"/>
    <w:rsid w:val="009F0A6D"/>
    <w:rsid w:val="009F7724"/>
    <w:rsid w:val="00A0096C"/>
    <w:rsid w:val="00A010B6"/>
    <w:rsid w:val="00A01757"/>
    <w:rsid w:val="00A028C0"/>
    <w:rsid w:val="00A02BAE"/>
    <w:rsid w:val="00A03DE9"/>
    <w:rsid w:val="00A06A6B"/>
    <w:rsid w:val="00A07E47"/>
    <w:rsid w:val="00A129D0"/>
    <w:rsid w:val="00A12C33"/>
    <w:rsid w:val="00A138BA"/>
    <w:rsid w:val="00A14C8E"/>
    <w:rsid w:val="00A153D9"/>
    <w:rsid w:val="00A1564E"/>
    <w:rsid w:val="00A15F09"/>
    <w:rsid w:val="00A15FC0"/>
    <w:rsid w:val="00A16941"/>
    <w:rsid w:val="00A169B6"/>
    <w:rsid w:val="00A2271D"/>
    <w:rsid w:val="00A237D5"/>
    <w:rsid w:val="00A30EFC"/>
    <w:rsid w:val="00A31984"/>
    <w:rsid w:val="00A32D73"/>
    <w:rsid w:val="00A3367B"/>
    <w:rsid w:val="00A33C67"/>
    <w:rsid w:val="00A3597D"/>
    <w:rsid w:val="00A36DD1"/>
    <w:rsid w:val="00A4006C"/>
    <w:rsid w:val="00A40091"/>
    <w:rsid w:val="00A4030F"/>
    <w:rsid w:val="00A4075A"/>
    <w:rsid w:val="00A41C79"/>
    <w:rsid w:val="00A41CB5"/>
    <w:rsid w:val="00A42CDF"/>
    <w:rsid w:val="00A4452E"/>
    <w:rsid w:val="00A4472C"/>
    <w:rsid w:val="00A44E69"/>
    <w:rsid w:val="00A4661E"/>
    <w:rsid w:val="00A55BD6"/>
    <w:rsid w:val="00A55D50"/>
    <w:rsid w:val="00A57142"/>
    <w:rsid w:val="00A648CD"/>
    <w:rsid w:val="00A6537A"/>
    <w:rsid w:val="00A65D16"/>
    <w:rsid w:val="00A67866"/>
    <w:rsid w:val="00A70B07"/>
    <w:rsid w:val="00A723F8"/>
    <w:rsid w:val="00A77CCB"/>
    <w:rsid w:val="00A83D8D"/>
    <w:rsid w:val="00A8446B"/>
    <w:rsid w:val="00A8473F"/>
    <w:rsid w:val="00A85235"/>
    <w:rsid w:val="00A862D6"/>
    <w:rsid w:val="00A8715E"/>
    <w:rsid w:val="00A9295B"/>
    <w:rsid w:val="00A93B09"/>
    <w:rsid w:val="00A952D7"/>
    <w:rsid w:val="00A963F7"/>
    <w:rsid w:val="00A96AD8"/>
    <w:rsid w:val="00AA052C"/>
    <w:rsid w:val="00AA1E45"/>
    <w:rsid w:val="00AA335E"/>
    <w:rsid w:val="00AA4286"/>
    <w:rsid w:val="00AA456B"/>
    <w:rsid w:val="00AA57F5"/>
    <w:rsid w:val="00AA672E"/>
    <w:rsid w:val="00AA6EC9"/>
    <w:rsid w:val="00AA72D7"/>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60B8"/>
    <w:rsid w:val="00AE070A"/>
    <w:rsid w:val="00AE101C"/>
    <w:rsid w:val="00AE2A69"/>
    <w:rsid w:val="00AE37E5"/>
    <w:rsid w:val="00AE5EB4"/>
    <w:rsid w:val="00AE5FEB"/>
    <w:rsid w:val="00AF0C18"/>
    <w:rsid w:val="00AF0EC2"/>
    <w:rsid w:val="00AF1AB5"/>
    <w:rsid w:val="00AF47C5"/>
    <w:rsid w:val="00AF5398"/>
    <w:rsid w:val="00AF7C3F"/>
    <w:rsid w:val="00B049AF"/>
    <w:rsid w:val="00B07242"/>
    <w:rsid w:val="00B10534"/>
    <w:rsid w:val="00B113DB"/>
    <w:rsid w:val="00B11D8A"/>
    <w:rsid w:val="00B12981"/>
    <w:rsid w:val="00B147DD"/>
    <w:rsid w:val="00B156FD"/>
    <w:rsid w:val="00B16170"/>
    <w:rsid w:val="00B21F61"/>
    <w:rsid w:val="00B261F1"/>
    <w:rsid w:val="00B265BC"/>
    <w:rsid w:val="00B31FB1"/>
    <w:rsid w:val="00B33952"/>
    <w:rsid w:val="00B33C5E"/>
    <w:rsid w:val="00B342F4"/>
    <w:rsid w:val="00B34369"/>
    <w:rsid w:val="00B34DC2"/>
    <w:rsid w:val="00B378E5"/>
    <w:rsid w:val="00B4346D"/>
    <w:rsid w:val="00B440F4"/>
    <w:rsid w:val="00B447A5"/>
    <w:rsid w:val="00B45143"/>
    <w:rsid w:val="00B4654C"/>
    <w:rsid w:val="00B47293"/>
    <w:rsid w:val="00B50E50"/>
    <w:rsid w:val="00B51449"/>
    <w:rsid w:val="00B52120"/>
    <w:rsid w:val="00B54ABC"/>
    <w:rsid w:val="00B552AC"/>
    <w:rsid w:val="00B56FBE"/>
    <w:rsid w:val="00B60ACF"/>
    <w:rsid w:val="00B62B58"/>
    <w:rsid w:val="00B631CA"/>
    <w:rsid w:val="00B65149"/>
    <w:rsid w:val="00B66567"/>
    <w:rsid w:val="00B66F52"/>
    <w:rsid w:val="00B66FE5"/>
    <w:rsid w:val="00B72880"/>
    <w:rsid w:val="00B74D16"/>
    <w:rsid w:val="00B758BF"/>
    <w:rsid w:val="00B77EC8"/>
    <w:rsid w:val="00B8208B"/>
    <w:rsid w:val="00B827A6"/>
    <w:rsid w:val="00B831CE"/>
    <w:rsid w:val="00B86677"/>
    <w:rsid w:val="00B87131"/>
    <w:rsid w:val="00B939B1"/>
    <w:rsid w:val="00B96986"/>
    <w:rsid w:val="00B96D40"/>
    <w:rsid w:val="00B97386"/>
    <w:rsid w:val="00BA263B"/>
    <w:rsid w:val="00BA42B2"/>
    <w:rsid w:val="00BA58D4"/>
    <w:rsid w:val="00BA5B9E"/>
    <w:rsid w:val="00BA7C9A"/>
    <w:rsid w:val="00BB5F8F"/>
    <w:rsid w:val="00BB657A"/>
    <w:rsid w:val="00BC1A4E"/>
    <w:rsid w:val="00BC515F"/>
    <w:rsid w:val="00BC5DC7"/>
    <w:rsid w:val="00BC6B8B"/>
    <w:rsid w:val="00BC73D8"/>
    <w:rsid w:val="00BD3450"/>
    <w:rsid w:val="00BD4A32"/>
    <w:rsid w:val="00BD52D7"/>
    <w:rsid w:val="00BD5AD2"/>
    <w:rsid w:val="00BE22F3"/>
    <w:rsid w:val="00BE52B9"/>
    <w:rsid w:val="00BE5B52"/>
    <w:rsid w:val="00BE7B8D"/>
    <w:rsid w:val="00BF0993"/>
    <w:rsid w:val="00BF10A9"/>
    <w:rsid w:val="00BF1703"/>
    <w:rsid w:val="00BF231C"/>
    <w:rsid w:val="00BF51E5"/>
    <w:rsid w:val="00BF74A6"/>
    <w:rsid w:val="00C013AD"/>
    <w:rsid w:val="00C04904"/>
    <w:rsid w:val="00C056B3"/>
    <w:rsid w:val="00C060B7"/>
    <w:rsid w:val="00C103E5"/>
    <w:rsid w:val="00C13319"/>
    <w:rsid w:val="00C13EE9"/>
    <w:rsid w:val="00C208EA"/>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4E71"/>
    <w:rsid w:val="00C85BE7"/>
    <w:rsid w:val="00C86D6F"/>
    <w:rsid w:val="00C87BE7"/>
    <w:rsid w:val="00C905FC"/>
    <w:rsid w:val="00C91DB8"/>
    <w:rsid w:val="00C92D03"/>
    <w:rsid w:val="00C9319C"/>
    <w:rsid w:val="00C9435D"/>
    <w:rsid w:val="00C94DF2"/>
    <w:rsid w:val="00C96741"/>
    <w:rsid w:val="00CA2D1B"/>
    <w:rsid w:val="00CA375D"/>
    <w:rsid w:val="00CA3A94"/>
    <w:rsid w:val="00CA662A"/>
    <w:rsid w:val="00CA7AFD"/>
    <w:rsid w:val="00CA7C3C"/>
    <w:rsid w:val="00CB0189"/>
    <w:rsid w:val="00CB0BA2"/>
    <w:rsid w:val="00CB1A42"/>
    <w:rsid w:val="00CB1B0C"/>
    <w:rsid w:val="00CB2C0B"/>
    <w:rsid w:val="00CB517D"/>
    <w:rsid w:val="00CB77F6"/>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59E6"/>
    <w:rsid w:val="00CF048A"/>
    <w:rsid w:val="00CF155A"/>
    <w:rsid w:val="00CF2947"/>
    <w:rsid w:val="00CF5E95"/>
    <w:rsid w:val="00CF686F"/>
    <w:rsid w:val="00CF6E60"/>
    <w:rsid w:val="00CF7BCA"/>
    <w:rsid w:val="00D00741"/>
    <w:rsid w:val="00D008FD"/>
    <w:rsid w:val="00D0321C"/>
    <w:rsid w:val="00D035EC"/>
    <w:rsid w:val="00D06026"/>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35C57"/>
    <w:rsid w:val="00D4162B"/>
    <w:rsid w:val="00D4514F"/>
    <w:rsid w:val="00D451E2"/>
    <w:rsid w:val="00D45E89"/>
    <w:rsid w:val="00D45E8D"/>
    <w:rsid w:val="00D466AE"/>
    <w:rsid w:val="00D4734F"/>
    <w:rsid w:val="00D51BF3"/>
    <w:rsid w:val="00D51E4D"/>
    <w:rsid w:val="00D57B78"/>
    <w:rsid w:val="00D66846"/>
    <w:rsid w:val="00D675FB"/>
    <w:rsid w:val="00D71F25"/>
    <w:rsid w:val="00D72A9C"/>
    <w:rsid w:val="00D735DC"/>
    <w:rsid w:val="00D77031"/>
    <w:rsid w:val="00D811A5"/>
    <w:rsid w:val="00D84941"/>
    <w:rsid w:val="00D84FA1"/>
    <w:rsid w:val="00D851F0"/>
    <w:rsid w:val="00D86DB7"/>
    <w:rsid w:val="00D87BF5"/>
    <w:rsid w:val="00D90721"/>
    <w:rsid w:val="00D926D0"/>
    <w:rsid w:val="00D93030"/>
    <w:rsid w:val="00D94862"/>
    <w:rsid w:val="00D950E1"/>
    <w:rsid w:val="00D952A6"/>
    <w:rsid w:val="00D95A5F"/>
    <w:rsid w:val="00D96C22"/>
    <w:rsid w:val="00D97F99"/>
    <w:rsid w:val="00DA1E08"/>
    <w:rsid w:val="00DA1E71"/>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B7865"/>
    <w:rsid w:val="00DC0321"/>
    <w:rsid w:val="00DC3067"/>
    <w:rsid w:val="00DC370B"/>
    <w:rsid w:val="00DC49DF"/>
    <w:rsid w:val="00DC5B90"/>
    <w:rsid w:val="00DC7EB8"/>
    <w:rsid w:val="00DD00FF"/>
    <w:rsid w:val="00DD03EF"/>
    <w:rsid w:val="00DD0619"/>
    <w:rsid w:val="00DD07FB"/>
    <w:rsid w:val="00DD25C6"/>
    <w:rsid w:val="00DD4FE5"/>
    <w:rsid w:val="00DD54B0"/>
    <w:rsid w:val="00DD57EE"/>
    <w:rsid w:val="00DD6BCC"/>
    <w:rsid w:val="00DE0A4B"/>
    <w:rsid w:val="00DE2410"/>
    <w:rsid w:val="00DE2939"/>
    <w:rsid w:val="00DE4A48"/>
    <w:rsid w:val="00DE6E81"/>
    <w:rsid w:val="00DE703F"/>
    <w:rsid w:val="00DE7595"/>
    <w:rsid w:val="00DF1961"/>
    <w:rsid w:val="00DF19D9"/>
    <w:rsid w:val="00DF3585"/>
    <w:rsid w:val="00DF44DE"/>
    <w:rsid w:val="00E01138"/>
    <w:rsid w:val="00E02DFB"/>
    <w:rsid w:val="00E030F9"/>
    <w:rsid w:val="00E0311A"/>
    <w:rsid w:val="00E03138"/>
    <w:rsid w:val="00E06404"/>
    <w:rsid w:val="00E11A85"/>
    <w:rsid w:val="00E12495"/>
    <w:rsid w:val="00E127AE"/>
    <w:rsid w:val="00E15CCD"/>
    <w:rsid w:val="00E15F04"/>
    <w:rsid w:val="00E202EF"/>
    <w:rsid w:val="00E210B5"/>
    <w:rsid w:val="00E2552F"/>
    <w:rsid w:val="00E3137A"/>
    <w:rsid w:val="00E32CCF"/>
    <w:rsid w:val="00E3321F"/>
    <w:rsid w:val="00E34A98"/>
    <w:rsid w:val="00E35D1E"/>
    <w:rsid w:val="00E364F9"/>
    <w:rsid w:val="00E365FA"/>
    <w:rsid w:val="00E36789"/>
    <w:rsid w:val="00E37999"/>
    <w:rsid w:val="00E44A83"/>
    <w:rsid w:val="00E4702F"/>
    <w:rsid w:val="00E502C1"/>
    <w:rsid w:val="00E502DD"/>
    <w:rsid w:val="00E50D3A"/>
    <w:rsid w:val="00E51387"/>
    <w:rsid w:val="00E51E68"/>
    <w:rsid w:val="00E52EFD"/>
    <w:rsid w:val="00E5408A"/>
    <w:rsid w:val="00E553D3"/>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87A4E"/>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221E"/>
    <w:rsid w:val="00EB31ED"/>
    <w:rsid w:val="00EB5EDF"/>
    <w:rsid w:val="00EB60FE"/>
    <w:rsid w:val="00EB74DB"/>
    <w:rsid w:val="00EC2D2F"/>
    <w:rsid w:val="00EC5359"/>
    <w:rsid w:val="00EC562A"/>
    <w:rsid w:val="00ED067A"/>
    <w:rsid w:val="00ED2B50"/>
    <w:rsid w:val="00ED4309"/>
    <w:rsid w:val="00ED4E63"/>
    <w:rsid w:val="00ED5AEC"/>
    <w:rsid w:val="00EE0350"/>
    <w:rsid w:val="00EE0719"/>
    <w:rsid w:val="00EE0E80"/>
    <w:rsid w:val="00EE2305"/>
    <w:rsid w:val="00EE613F"/>
    <w:rsid w:val="00EE7295"/>
    <w:rsid w:val="00EE7869"/>
    <w:rsid w:val="00EF054A"/>
    <w:rsid w:val="00EF0778"/>
    <w:rsid w:val="00EF3235"/>
    <w:rsid w:val="00EF68EA"/>
    <w:rsid w:val="00EF7E72"/>
    <w:rsid w:val="00F06D37"/>
    <w:rsid w:val="00F07B9D"/>
    <w:rsid w:val="00F104CA"/>
    <w:rsid w:val="00F11586"/>
    <w:rsid w:val="00F1183B"/>
    <w:rsid w:val="00F11C9F"/>
    <w:rsid w:val="00F12263"/>
    <w:rsid w:val="00F1409D"/>
    <w:rsid w:val="00F14214"/>
    <w:rsid w:val="00F157A9"/>
    <w:rsid w:val="00F16F00"/>
    <w:rsid w:val="00F24446"/>
    <w:rsid w:val="00F25BB6"/>
    <w:rsid w:val="00F26B7E"/>
    <w:rsid w:val="00F27A3B"/>
    <w:rsid w:val="00F32780"/>
    <w:rsid w:val="00F33817"/>
    <w:rsid w:val="00F404A1"/>
    <w:rsid w:val="00F416A4"/>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66AF0"/>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0A4E"/>
    <w:rsid w:val="00FA1796"/>
    <w:rsid w:val="00FA3A1C"/>
    <w:rsid w:val="00FA662D"/>
    <w:rsid w:val="00FA73B1"/>
    <w:rsid w:val="00FB0CB9"/>
    <w:rsid w:val="00FB231D"/>
    <w:rsid w:val="00FB45F1"/>
    <w:rsid w:val="00FB4A72"/>
    <w:rsid w:val="00FB54E8"/>
    <w:rsid w:val="00FB7054"/>
    <w:rsid w:val="00FB7C02"/>
    <w:rsid w:val="00FC0E31"/>
    <w:rsid w:val="00FC17B7"/>
    <w:rsid w:val="00FC2CB7"/>
    <w:rsid w:val="00FC4090"/>
    <w:rsid w:val="00FC55B4"/>
    <w:rsid w:val="00FC7DDB"/>
    <w:rsid w:val="00FD00E6"/>
    <w:rsid w:val="00FD09A1"/>
    <w:rsid w:val="00FD2A7C"/>
    <w:rsid w:val="00FD59EB"/>
    <w:rsid w:val="00FD7299"/>
    <w:rsid w:val="00FE1731"/>
    <w:rsid w:val="00FE1FBE"/>
    <w:rsid w:val="00FE3901"/>
    <w:rsid w:val="00FE39D3"/>
    <w:rsid w:val="00FE4BCE"/>
    <w:rsid w:val="00FE54AE"/>
    <w:rsid w:val="00FE576A"/>
    <w:rsid w:val="00FE7E79"/>
    <w:rsid w:val="00FF3E7D"/>
    <w:rsid w:val="00FF5B99"/>
    <w:rsid w:val="00FF730C"/>
    <w:rsid w:val="00FF73F4"/>
    <w:rsid w:val="00FF7CE4"/>
    <w:rsid w:val="00FF7E39"/>
    <w:rsid w:val="0C8800F4"/>
    <w:rsid w:val="0F843495"/>
    <w:rsid w:val="1416740E"/>
    <w:rsid w:val="1A504FA8"/>
    <w:rsid w:val="20AD6E6B"/>
    <w:rsid w:val="2849664B"/>
    <w:rsid w:val="34747240"/>
    <w:rsid w:val="364A6BF8"/>
    <w:rsid w:val="37247BD6"/>
    <w:rsid w:val="381369D7"/>
    <w:rsid w:val="407770E9"/>
    <w:rsid w:val="41EC7EB4"/>
    <w:rsid w:val="478C47D7"/>
    <w:rsid w:val="4F0D6506"/>
    <w:rsid w:val="516A41E1"/>
    <w:rsid w:val="55C40F13"/>
    <w:rsid w:val="57334E4E"/>
    <w:rsid w:val="58900FCB"/>
    <w:rsid w:val="5DD87487"/>
    <w:rsid w:val="72795F21"/>
    <w:rsid w:val="797748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semiHidden/>
    <w:unhideWhenUsed/>
    <w:qFormat/>
    <w:uiPriority w:val="99"/>
    <w:pPr>
      <w:jc w:val="left"/>
    </w:pPr>
  </w:style>
  <w:style w:type="paragraph" w:styleId="14">
    <w:name w:val="Body Text"/>
    <w:basedOn w:val="1"/>
    <w:link w:val="88"/>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50"/>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annotation reference"/>
    <w:basedOn w:val="29"/>
    <w:semiHidden/>
    <w:unhideWhenUsed/>
    <w:qFormat/>
    <w:uiPriority w:val="99"/>
    <w:rPr>
      <w:sz w:val="21"/>
      <w:szCs w:val="21"/>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Char"/>
    <w:link w:val="2"/>
    <w:qFormat/>
    <w:uiPriority w:val="0"/>
    <w:rPr>
      <w:b/>
      <w:bCs/>
      <w:kern w:val="44"/>
      <w:sz w:val="44"/>
      <w:szCs w:val="44"/>
    </w:rPr>
  </w:style>
  <w:style w:type="character" w:customStyle="1" w:styleId="37">
    <w:name w:val="标题 2 Char"/>
    <w:link w:val="3"/>
    <w:qFormat/>
    <w:uiPriority w:val="0"/>
    <w:rPr>
      <w:rFonts w:ascii="Arial" w:hAnsi="Arial" w:eastAsia="黑体"/>
      <w:b/>
      <w:bCs/>
      <w:kern w:val="2"/>
      <w:sz w:val="32"/>
      <w:szCs w:val="32"/>
    </w:rPr>
  </w:style>
  <w:style w:type="character" w:customStyle="1" w:styleId="38">
    <w:name w:val="标题 3 Char"/>
    <w:link w:val="4"/>
    <w:qFormat/>
    <w:uiPriority w:val="0"/>
    <w:rPr>
      <w:b/>
      <w:bCs/>
      <w:kern w:val="2"/>
      <w:sz w:val="32"/>
      <w:szCs w:val="32"/>
    </w:rPr>
  </w:style>
  <w:style w:type="character" w:customStyle="1" w:styleId="39">
    <w:name w:val="标题 4 Char"/>
    <w:link w:val="5"/>
    <w:qFormat/>
    <w:uiPriority w:val="0"/>
    <w:rPr>
      <w:rFonts w:ascii="Arial" w:hAnsi="Arial" w:eastAsia="黑体"/>
      <w:b/>
      <w:bCs/>
      <w:kern w:val="2"/>
      <w:sz w:val="28"/>
      <w:szCs w:val="28"/>
    </w:rPr>
  </w:style>
  <w:style w:type="character" w:customStyle="1" w:styleId="40">
    <w:name w:val="标题 5 Char"/>
    <w:link w:val="6"/>
    <w:qFormat/>
    <w:uiPriority w:val="0"/>
    <w:rPr>
      <w:b/>
      <w:bCs/>
      <w:kern w:val="2"/>
      <w:sz w:val="28"/>
      <w:szCs w:val="28"/>
    </w:rPr>
  </w:style>
  <w:style w:type="character" w:customStyle="1" w:styleId="41">
    <w:name w:val="标题 6 Char"/>
    <w:link w:val="7"/>
    <w:qFormat/>
    <w:uiPriority w:val="0"/>
    <w:rPr>
      <w:rFonts w:ascii="Arial" w:hAnsi="Arial" w:eastAsia="黑体"/>
      <w:b/>
      <w:bCs/>
      <w:kern w:val="2"/>
      <w:sz w:val="24"/>
      <w:szCs w:val="24"/>
    </w:rPr>
  </w:style>
  <w:style w:type="character" w:customStyle="1" w:styleId="42">
    <w:name w:val="标题 7 Char"/>
    <w:link w:val="8"/>
    <w:qFormat/>
    <w:uiPriority w:val="0"/>
    <w:rPr>
      <w:b/>
      <w:bCs/>
      <w:kern w:val="2"/>
      <w:sz w:val="24"/>
      <w:szCs w:val="24"/>
    </w:rPr>
  </w:style>
  <w:style w:type="character" w:customStyle="1" w:styleId="43">
    <w:name w:val="标题 8 Char"/>
    <w:link w:val="9"/>
    <w:qFormat/>
    <w:uiPriority w:val="0"/>
    <w:rPr>
      <w:rFonts w:ascii="Arial" w:hAnsi="Arial" w:eastAsia="黑体"/>
      <w:kern w:val="2"/>
      <w:sz w:val="24"/>
      <w:szCs w:val="24"/>
    </w:rPr>
  </w:style>
  <w:style w:type="character" w:customStyle="1" w:styleId="44">
    <w:name w:val="标题 9 Char"/>
    <w:link w:val="10"/>
    <w:qFormat/>
    <w:uiPriority w:val="0"/>
    <w:rPr>
      <w:rFonts w:ascii="Arial" w:hAnsi="Arial" w:eastAsia="黑体"/>
      <w:kern w:val="2"/>
      <w:sz w:val="21"/>
      <w:szCs w:val="21"/>
    </w:rPr>
  </w:style>
  <w:style w:type="character" w:customStyle="1" w:styleId="45">
    <w:name w:val="页眉 Char"/>
    <w:link w:val="19"/>
    <w:qFormat/>
    <w:uiPriority w:val="99"/>
    <w:rPr>
      <w:kern w:val="2"/>
      <w:sz w:val="18"/>
      <w:szCs w:val="18"/>
    </w:rPr>
  </w:style>
  <w:style w:type="character" w:customStyle="1" w:styleId="46">
    <w:name w:val="页脚 Char"/>
    <w:link w:val="18"/>
    <w:qFormat/>
    <w:uiPriority w:val="99"/>
    <w:rPr>
      <w:rFonts w:ascii="宋体"/>
      <w:kern w:val="2"/>
      <w:sz w:val="18"/>
      <w:szCs w:val="18"/>
    </w:rPr>
  </w:style>
  <w:style w:type="character" w:customStyle="1" w:styleId="47">
    <w:name w:val="批注框文本 Char"/>
    <w:link w:val="17"/>
    <w:semiHidden/>
    <w:qFormat/>
    <w:uiPriority w:val="99"/>
    <w:rPr>
      <w:kern w:val="2"/>
      <w:sz w:val="18"/>
      <w:szCs w:val="18"/>
    </w:rPr>
  </w:style>
  <w:style w:type="paragraph" w:styleId="48">
    <w:name w:val="Quote"/>
    <w:basedOn w:val="1"/>
    <w:next w:val="1"/>
    <w:link w:val="49"/>
    <w:qFormat/>
    <w:uiPriority w:val="29"/>
    <w:rPr>
      <w:i/>
      <w:iCs/>
      <w:color w:val="000000"/>
    </w:rPr>
  </w:style>
  <w:style w:type="character" w:customStyle="1" w:styleId="49">
    <w:name w:val="引用 Char"/>
    <w:link w:val="48"/>
    <w:qFormat/>
    <w:uiPriority w:val="29"/>
    <w:rPr>
      <w:i/>
      <w:iCs/>
      <w:color w:val="000000"/>
      <w:kern w:val="2"/>
      <w:sz w:val="21"/>
      <w:szCs w:val="21"/>
    </w:rPr>
  </w:style>
  <w:style w:type="character" w:customStyle="1" w:styleId="50">
    <w:name w:val="标题 Char"/>
    <w:link w:val="26"/>
    <w:qFormat/>
    <w:uiPriority w:val="0"/>
    <w:rPr>
      <w:rFonts w:ascii="Arial" w:hAnsi="Arial" w:cs="Arial"/>
      <w:b/>
      <w:bCs/>
      <w:kern w:val="2"/>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link w:val="235"/>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Char"/>
    <w:link w:val="14"/>
    <w:qFormat/>
    <w:uiPriority w:val="0"/>
    <w:rPr>
      <w:kern w:val="2"/>
      <w:sz w:val="21"/>
      <w:szCs w:val="21"/>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Char"/>
    <w:link w:val="22"/>
    <w:semiHidden/>
    <w:qFormat/>
    <w:uiPriority w:val="0"/>
    <w:rPr>
      <w:rFonts w:ascii="宋体"/>
      <w:kern w:val="2"/>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autoRedefine/>
    <w:semiHidden/>
    <w:qFormat/>
    <w:uiPriority w:val="0"/>
    <w:pPr>
      <w:adjustRightInd/>
      <w:spacing w:line="240" w:lineRule="auto"/>
      <w:jc w:val="left"/>
    </w:pPr>
    <w:rPr>
      <w:bCs/>
      <w:iCs/>
    </w:rPr>
  </w:style>
  <w:style w:type="paragraph" w:customStyle="1" w:styleId="145">
    <w:name w:val="目录 31"/>
    <w:basedOn w:val="1"/>
    <w:next w:val="1"/>
    <w:autoRedefine/>
    <w:semiHidden/>
    <w:qFormat/>
    <w:uiPriority w:val="0"/>
    <w:pPr>
      <w:spacing w:line="240" w:lineRule="auto"/>
    </w:pPr>
    <w:rPr>
      <w:rFonts w:ascii="宋体" w:hAnsi="宋体"/>
      <w:iCs/>
    </w:rPr>
  </w:style>
  <w:style w:type="paragraph" w:customStyle="1" w:styleId="146">
    <w:name w:val="目录 41"/>
    <w:basedOn w:val="1"/>
    <w:next w:val="1"/>
    <w:autoRedefine/>
    <w:semiHidden/>
    <w:qFormat/>
    <w:uiPriority w:val="0"/>
    <w:pPr>
      <w:adjustRightInd/>
      <w:spacing w:line="240" w:lineRule="auto"/>
      <w:jc w:val="left"/>
    </w:pPr>
  </w:style>
  <w:style w:type="paragraph" w:customStyle="1" w:styleId="147">
    <w:name w:val="目录 51"/>
    <w:basedOn w:val="1"/>
    <w:next w:val="1"/>
    <w:autoRedefine/>
    <w:semiHidden/>
    <w:qFormat/>
    <w:uiPriority w:val="0"/>
    <w:pPr>
      <w:spacing w:line="240" w:lineRule="auto"/>
    </w:pPr>
    <w:rPr>
      <w:rFonts w:ascii="宋体" w:hAnsi="宋体"/>
    </w:rPr>
  </w:style>
  <w:style w:type="paragraph" w:customStyle="1" w:styleId="148">
    <w:name w:val="目录 61"/>
    <w:basedOn w:val="1"/>
    <w:next w:val="1"/>
    <w:autoRedefine/>
    <w:semiHidden/>
    <w:qFormat/>
    <w:uiPriority w:val="0"/>
    <w:pPr>
      <w:adjustRightInd/>
      <w:spacing w:line="240" w:lineRule="auto"/>
      <w:jc w:val="left"/>
    </w:pPr>
  </w:style>
  <w:style w:type="paragraph" w:customStyle="1" w:styleId="149">
    <w:name w:val="目录 71"/>
    <w:basedOn w:val="148"/>
    <w:autoRedefine/>
    <w:semiHidden/>
    <w:qFormat/>
    <w:uiPriority w:val="0"/>
    <w:pPr>
      <w:ind w:left="1260"/>
    </w:pPr>
  </w:style>
  <w:style w:type="paragraph" w:customStyle="1" w:styleId="150">
    <w:name w:val="目录 81"/>
    <w:basedOn w:val="149"/>
    <w:autoRedefine/>
    <w:semiHidden/>
    <w:qFormat/>
    <w:uiPriority w:val="0"/>
    <w:pPr>
      <w:ind w:left="1470"/>
    </w:pPr>
  </w:style>
  <w:style w:type="paragraph" w:customStyle="1" w:styleId="151">
    <w:name w:val="目录 91"/>
    <w:basedOn w:val="150"/>
    <w:autoRedefine/>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29"/>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rPr>
      <w:rFonts w:ascii="Times New Roman"/>
    </w:rPr>
  </w:style>
  <w:style w:type="paragraph" w:customStyle="1" w:styleId="191">
    <w:name w:val="标准文件_一级项2"/>
    <w:basedOn w:val="58"/>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29"/>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frame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link w:val="232"/>
    <w:qFormat/>
    <w:uiPriority w:val="0"/>
  </w:style>
  <w:style w:type="paragraph" w:customStyle="1" w:styleId="226">
    <w:name w:val="标准文件_术语条二"/>
    <w:basedOn w:val="167"/>
    <w:next w:val="58"/>
    <w:link w:val="233"/>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29"/>
    <w:qFormat/>
    <w:uiPriority w:val="0"/>
    <w:rPr>
      <w:rFonts w:ascii="黑体" w:eastAsia="黑体"/>
      <w:spacing w:val="85"/>
      <w:w w:val="100"/>
      <w:position w:val="3"/>
      <w:sz w:val="28"/>
      <w:szCs w:val="28"/>
    </w:rPr>
  </w:style>
  <w:style w:type="character" w:customStyle="1" w:styleId="232">
    <w:name w:val="标准文件_术语条一 Char"/>
    <w:link w:val="225"/>
    <w:qFormat/>
    <w:uiPriority w:val="0"/>
    <w:rPr>
      <w:rFonts w:ascii="宋体" w:hAnsi="Times New Roman"/>
      <w:sz w:val="21"/>
    </w:rPr>
  </w:style>
  <w:style w:type="character" w:customStyle="1" w:styleId="233">
    <w:name w:val="标准文件_术语条二 Char"/>
    <w:link w:val="226"/>
    <w:qFormat/>
    <w:uiPriority w:val="0"/>
    <w:rPr>
      <w:rFonts w:ascii="宋体" w:hAnsi="Times New Roman"/>
      <w:sz w:val="21"/>
    </w:rPr>
  </w:style>
  <w:style w:type="paragraph" w:customStyle="1" w:styleId="234">
    <w:name w:val="正文1"/>
    <w:qFormat/>
    <w:uiPriority w:val="0"/>
    <w:pPr>
      <w:jc w:val="both"/>
    </w:pPr>
    <w:rPr>
      <w:rFonts w:ascii="Calibri" w:hAnsi="Calibri" w:eastAsia="宋体" w:cs="Calibri"/>
      <w:kern w:val="2"/>
      <w:sz w:val="21"/>
      <w:szCs w:val="21"/>
      <w:lang w:val="en-US" w:eastAsia="zh-CN" w:bidi="ar-SA"/>
    </w:rPr>
  </w:style>
  <w:style w:type="character" w:customStyle="1" w:styleId="235">
    <w:name w:val="标准文件_二级条标题 Char"/>
    <w:link w:val="67"/>
    <w:qFormat/>
    <w:uiPriority w:val="0"/>
    <w:rPr>
      <w:rFonts w:ascii="黑体" w:hAnsi="Times New Roman" w:eastAsia="黑体"/>
      <w:sz w:val="21"/>
    </w:rPr>
  </w:style>
  <w:style w:type="paragraph" w:customStyle="1" w:styleId="236">
    <w:name w:val="修订1"/>
    <w:hidden/>
    <w:unhideWhenUsed/>
    <w:qFormat/>
    <w:uiPriority w:val="99"/>
    <w:rPr>
      <w:rFonts w:ascii="Calibri" w:hAnsi="Calibri" w:eastAsia="宋体" w:cs="Times New Roman"/>
      <w:kern w:val="2"/>
      <w:sz w:val="21"/>
      <w:szCs w:val="21"/>
      <w:lang w:val="en-US" w:eastAsia="zh-CN" w:bidi="ar-SA"/>
    </w:rPr>
  </w:style>
  <w:style w:type="paragraph" w:customStyle="1" w:styleId="237">
    <w:name w:val="修订2"/>
    <w:hidden/>
    <w:unhideWhenUsed/>
    <w:qFormat/>
    <w:uiPriority w:val="99"/>
    <w:rPr>
      <w:rFonts w:ascii="Calibri" w:hAnsi="Calibri" w:eastAsia="宋体" w:cs="Times New Roman"/>
      <w:kern w:val="2"/>
      <w:sz w:val="21"/>
      <w:szCs w:val="21"/>
      <w:lang w:val="en-US" w:eastAsia="zh-CN" w:bidi="ar-SA"/>
    </w:rPr>
  </w:style>
  <w:style w:type="paragraph" w:customStyle="1" w:styleId="238">
    <w:name w:val="修订3"/>
    <w:hidden/>
    <w:unhideWhenUsed/>
    <w:qFormat/>
    <w:uiPriority w:val="99"/>
    <w:rPr>
      <w:rFonts w:ascii="Calibri" w:hAnsi="Calibri" w:eastAsia="宋体" w:cs="Times New Roman"/>
      <w:kern w:val="2"/>
      <w:sz w:val="21"/>
      <w:szCs w:val="21"/>
      <w:lang w:val="en-US" w:eastAsia="zh-CN" w:bidi="ar-SA"/>
    </w:rPr>
  </w:style>
  <w:style w:type="paragraph" w:customStyle="1" w:styleId="239">
    <w:name w:val="段"/>
    <w:basedOn w:val="1"/>
    <w:uiPriority w:val="0"/>
    <w:pPr>
      <w:widowControl/>
      <w:autoSpaceDE w:val="0"/>
      <w:autoSpaceDN w:val="0"/>
      <w:adjustRightInd/>
      <w:spacing w:line="240" w:lineRule="auto"/>
      <w:ind w:firstLine="420" w:firstLineChars="200"/>
    </w:pPr>
    <w:rPr>
      <w:rFonts w:ascii="宋体" w:hAnsi="宋体" w:cs="宋体"/>
      <w:kern w:val="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1" Type="http://schemas.openxmlformats.org/officeDocument/2006/relationships/glossaryDocument" Target="glossary/document.xml"/><Relationship Id="rId30" Type="http://schemas.openxmlformats.org/officeDocument/2006/relationships/fontTable" Target="fontTable.xml"/><Relationship Id="rId3" Type="http://schemas.openxmlformats.org/officeDocument/2006/relationships/footnotes" Target="footnotes.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3.jpeg"/><Relationship Id="rId25" Type="http://schemas.openxmlformats.org/officeDocument/2006/relationships/image" Target="media/image2.png"/><Relationship Id="rId24" Type="http://schemas.openxmlformats.org/officeDocument/2006/relationships/image" Target="media/image1.png"/><Relationship Id="rId23" Type="http://schemas.openxmlformats.org/officeDocument/2006/relationships/theme" Target="theme/theme1.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ruanjiananzhuang\SET2025\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6A881E1D7344406903FADC03FA52A06"/>
        <w:style w:val=""/>
        <w:category>
          <w:name w:val="常规"/>
          <w:gallery w:val="placeholder"/>
        </w:category>
        <w:types>
          <w:type w:val="bbPlcHdr"/>
        </w:types>
        <w:behaviors>
          <w:behavior w:val="content"/>
        </w:behaviors>
        <w:description w:val=""/>
        <w:guid w:val="{960BB04D-DDE0-49C8-A130-A82EB0094531}"/>
      </w:docPartPr>
      <w:docPartBody>
        <w:p w14:paraId="1E10C8E2">
          <w:pPr>
            <w:pStyle w:val="5"/>
          </w:pPr>
          <w:r>
            <w:rPr>
              <w:rStyle w:val="4"/>
              <w:rFonts w:hint="eastAsia"/>
            </w:rPr>
            <w:t>单击或点击此处输入文字。</w:t>
          </w:r>
        </w:p>
      </w:docPartBody>
    </w:docPart>
    <w:docPart>
      <w:docPartPr>
        <w:name w:val="71EB0C5E4F7549298FE58EBD9C12CF8D"/>
        <w:style w:val=""/>
        <w:category>
          <w:name w:val="常规"/>
          <w:gallery w:val="placeholder"/>
        </w:category>
        <w:types>
          <w:type w:val="bbPlcHdr"/>
        </w:types>
        <w:behaviors>
          <w:behavior w:val="content"/>
        </w:behaviors>
        <w:description w:val=""/>
        <w:guid w:val="{77A2B747-6FF3-471B-8B03-B2DB129B9ED3}"/>
      </w:docPartPr>
      <w:docPartBody>
        <w:p w14:paraId="0FD1E3DD">
          <w:pPr>
            <w:pStyle w:val="6"/>
          </w:pPr>
          <w:r>
            <w:rPr>
              <w:rStyle w:val="4"/>
              <w:rFonts w:hint="eastAsia"/>
            </w:rPr>
            <w:t>选择一项。</w:t>
          </w:r>
        </w:p>
      </w:docPartBody>
    </w:docPart>
    <w:docPart>
      <w:docPartPr>
        <w:name w:val="5F377E8A0A8D44608D745CE8FFD574BB"/>
        <w:style w:val=""/>
        <w:category>
          <w:name w:val="常规"/>
          <w:gallery w:val="placeholder"/>
        </w:category>
        <w:types>
          <w:type w:val="bbPlcHdr"/>
        </w:types>
        <w:behaviors>
          <w:behavior w:val="content"/>
        </w:behaviors>
        <w:description w:val=""/>
        <w:guid w:val="{37B6008A-F11B-484F-8F4D-A6152553878C}"/>
      </w:docPartPr>
      <w:docPartBody>
        <w:p w14:paraId="05D7970E">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F14"/>
    <w:rsid w:val="00001119"/>
    <w:rsid w:val="000026E2"/>
    <w:rsid w:val="000306EF"/>
    <w:rsid w:val="000502DE"/>
    <w:rsid w:val="000552D3"/>
    <w:rsid w:val="000A5B4F"/>
    <w:rsid w:val="000A6B6B"/>
    <w:rsid w:val="000C6B20"/>
    <w:rsid w:val="001150DF"/>
    <w:rsid w:val="0013425E"/>
    <w:rsid w:val="001427F6"/>
    <w:rsid w:val="00165DD8"/>
    <w:rsid w:val="00172716"/>
    <w:rsid w:val="00174E75"/>
    <w:rsid w:val="00175F58"/>
    <w:rsid w:val="00197AEC"/>
    <w:rsid w:val="001E73BD"/>
    <w:rsid w:val="0023583F"/>
    <w:rsid w:val="00241C4C"/>
    <w:rsid w:val="00254A0B"/>
    <w:rsid w:val="00284A9F"/>
    <w:rsid w:val="0028537A"/>
    <w:rsid w:val="003A2F61"/>
    <w:rsid w:val="003B3E40"/>
    <w:rsid w:val="00410238"/>
    <w:rsid w:val="00524EE2"/>
    <w:rsid w:val="0063656B"/>
    <w:rsid w:val="0065314F"/>
    <w:rsid w:val="00701D27"/>
    <w:rsid w:val="007325F3"/>
    <w:rsid w:val="007A432F"/>
    <w:rsid w:val="007B5BCB"/>
    <w:rsid w:val="0080596E"/>
    <w:rsid w:val="00874823"/>
    <w:rsid w:val="008C364E"/>
    <w:rsid w:val="008C5A89"/>
    <w:rsid w:val="00923D0A"/>
    <w:rsid w:val="0098691D"/>
    <w:rsid w:val="00A366BB"/>
    <w:rsid w:val="00A72851"/>
    <w:rsid w:val="00AC3E40"/>
    <w:rsid w:val="00AC4CB4"/>
    <w:rsid w:val="00AF7C2D"/>
    <w:rsid w:val="00B5195D"/>
    <w:rsid w:val="00BE33BD"/>
    <w:rsid w:val="00BE426E"/>
    <w:rsid w:val="00C208EA"/>
    <w:rsid w:val="00C85BE7"/>
    <w:rsid w:val="00CC62C5"/>
    <w:rsid w:val="00D10B5D"/>
    <w:rsid w:val="00D315B0"/>
    <w:rsid w:val="00D4474C"/>
    <w:rsid w:val="00D95FEB"/>
    <w:rsid w:val="00E0556E"/>
    <w:rsid w:val="00E73853"/>
    <w:rsid w:val="00EA0F14"/>
    <w:rsid w:val="00EB221E"/>
    <w:rsid w:val="00EC16C8"/>
    <w:rsid w:val="00F0581B"/>
    <w:rsid w:val="00FA3A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36A881E1D7344406903FADC03FA52A06"/>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71EB0C5E4F7549298FE58EBD9C12CF8D"/>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5F377E8A0A8D44608D745CE8FFD574BB"/>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A92F8D-516B-4D55-9911-33546884DCC7}">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8</Pages>
  <Words>2438</Words>
  <Characters>2822</Characters>
  <Lines>40</Lines>
  <Paragraphs>11</Paragraphs>
  <TotalTime>452</TotalTime>
  <ScaleCrop>false</ScaleCrop>
  <LinksUpToDate>false</LinksUpToDate>
  <CharactersWithSpaces>3394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2025-03-20T00:16:00Z</dcterms:created>
  <dc:creator>1</dc:creator>
  <dc:description>&lt;config cover="true" show_menu="true" version="1.0.0" doctype="SDKXY"&gt;_x000d_
&lt;/config&gt;</dc:description>
  <cp:lastModifiedBy>树年强</cp:lastModifiedBy>
  <cp:lastPrinted>2021-02-02T08:22:00Z</cp:lastPrinted>
  <dcterms:modified xsi:type="dcterms:W3CDTF">2026-02-06T02:31:35Z</dcterms:modified>
  <dc:title>团体标准</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eyJoZGlkIjoiNmE0MDE4M2RjOWFiNWU0ODQyYTkxNTQ5ODY1MjVmYmQiLCJ1c2VySWQiOiI2Mzk4NzAxMjYifQ==</vt:lpwstr>
  </property>
  <property fmtid="{D5CDD505-2E9C-101B-9397-08002B2CF9AE}" pid="16" name="KSOProductBuildVer">
    <vt:lpwstr>2052-12.1.0.24657</vt:lpwstr>
  </property>
  <property fmtid="{D5CDD505-2E9C-101B-9397-08002B2CF9AE}" pid="17" name="ICV">
    <vt:lpwstr>C06CF2085754483198BB870B2AA16DC3_13</vt:lpwstr>
  </property>
</Properties>
</file>