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7E41E4">
      <w:pPr>
        <w:widowControl/>
        <w:spacing w:line="560" w:lineRule="exact"/>
        <w:jc w:val="center"/>
        <w:rPr>
          <w:rFonts w:eastAsia="方正小标宋简体"/>
          <w:bCs/>
          <w:color w:val="auto"/>
          <w:sz w:val="44"/>
          <w:szCs w:val="44"/>
        </w:rPr>
      </w:pPr>
      <w:r>
        <w:rPr>
          <w:rFonts w:hint="eastAsia" w:eastAsia="方正小标宋简体"/>
          <w:bCs/>
          <w:color w:val="auto"/>
          <w:sz w:val="44"/>
          <w:szCs w:val="44"/>
        </w:rPr>
        <w:t>原创性高质量团体标准《</w:t>
      </w:r>
      <w:r>
        <w:rPr>
          <w:rFonts w:hint="eastAsia" w:eastAsia="方正小标宋简体"/>
          <w:color w:val="auto"/>
          <w:sz w:val="44"/>
          <w:szCs w:val="44"/>
          <w:lang w:eastAsia="zh-CN"/>
        </w:rPr>
        <w:t>红桄榔粉</w:t>
      </w:r>
      <w:r>
        <w:rPr>
          <w:rFonts w:hint="eastAsia" w:eastAsia="方正小标宋简体"/>
          <w:bCs/>
          <w:color w:val="auto"/>
          <w:sz w:val="44"/>
          <w:szCs w:val="44"/>
        </w:rPr>
        <w:t>》（</w:t>
      </w:r>
      <w:r>
        <w:rPr>
          <w:rFonts w:hint="eastAsia" w:eastAsia="方正小标宋简体"/>
          <w:bCs/>
          <w:color w:val="auto"/>
          <w:sz w:val="44"/>
          <w:szCs w:val="44"/>
          <w:lang w:val="en-US" w:eastAsia="zh-CN"/>
        </w:rPr>
        <w:t>征求意见稿</w:t>
      </w:r>
      <w:r>
        <w:rPr>
          <w:rFonts w:hint="eastAsia" w:eastAsia="方正小标宋简体"/>
          <w:bCs/>
          <w:color w:val="auto"/>
          <w:sz w:val="44"/>
          <w:szCs w:val="44"/>
        </w:rPr>
        <w:t>）编制说明</w:t>
      </w:r>
    </w:p>
    <w:p w14:paraId="02B2971B">
      <w:pPr>
        <w:rPr>
          <w:rFonts w:hint="eastAsia" w:ascii="宋体" w:hAnsi="宋体"/>
          <w:color w:val="auto"/>
          <w:sz w:val="24"/>
          <w:szCs w:val="24"/>
        </w:rPr>
      </w:pPr>
    </w:p>
    <w:p w14:paraId="185BA108">
      <w:pPr>
        <w:numPr>
          <w:ilvl w:val="0"/>
          <w:numId w:val="2"/>
        </w:numPr>
        <w:overflowPunct w:val="0"/>
        <w:topLinePunct/>
        <w:spacing w:line="560" w:lineRule="exact"/>
        <w:outlineLvl w:val="0"/>
        <w:rPr>
          <w:rFonts w:eastAsia="黑体"/>
          <w:bCs/>
          <w:color w:val="auto"/>
          <w:sz w:val="32"/>
          <w:szCs w:val="32"/>
        </w:rPr>
      </w:pPr>
      <w:r>
        <w:rPr>
          <w:rFonts w:hint="eastAsia" w:eastAsia="黑体"/>
          <w:bCs/>
          <w:color w:val="auto"/>
          <w:sz w:val="32"/>
          <w:szCs w:val="32"/>
        </w:rPr>
        <w:t>任务来源、起草单位、起草人</w:t>
      </w:r>
    </w:p>
    <w:p w14:paraId="0E3D688F">
      <w:pPr>
        <w:overflowPunct w:val="0"/>
        <w:topLinePunct/>
        <w:spacing w:line="560" w:lineRule="exact"/>
        <w:ind w:firstLine="640"/>
        <w:rPr>
          <w:rFonts w:eastAsia="仿宋_GB2312"/>
          <w:color w:val="auto"/>
          <w:sz w:val="32"/>
          <w:szCs w:val="32"/>
        </w:rPr>
      </w:pPr>
      <w:r>
        <w:rPr>
          <w:rFonts w:hint="eastAsia" w:eastAsia="仿宋_GB2312" w:cs="Times New Roman"/>
          <w:color w:val="auto"/>
          <w:sz w:val="32"/>
          <w:szCs w:val="32"/>
        </w:rPr>
        <w:t>根据《广西标准化协会关于下达202</w:t>
      </w:r>
      <w:r>
        <w:rPr>
          <w:rFonts w:hint="eastAsia" w:eastAsia="仿宋_GB2312" w:cs="Times New Roman"/>
          <w:color w:val="auto"/>
          <w:sz w:val="32"/>
          <w:szCs w:val="32"/>
          <w:lang w:val="en-US" w:eastAsia="zh-CN"/>
        </w:rPr>
        <w:t>6</w:t>
      </w:r>
      <w:r>
        <w:rPr>
          <w:rFonts w:hint="eastAsia" w:eastAsia="仿宋_GB2312" w:cs="Times New Roman"/>
          <w:color w:val="auto"/>
          <w:sz w:val="32"/>
          <w:szCs w:val="32"/>
        </w:rPr>
        <w:t>年第</w:t>
      </w:r>
      <w:r>
        <w:rPr>
          <w:rFonts w:hint="eastAsia" w:eastAsia="仿宋_GB2312" w:cs="Times New Roman"/>
          <w:color w:val="auto"/>
          <w:sz w:val="32"/>
          <w:szCs w:val="32"/>
          <w:lang w:val="en-US" w:eastAsia="zh-CN"/>
        </w:rPr>
        <w:t>二</w:t>
      </w:r>
      <w:r>
        <w:rPr>
          <w:rFonts w:hint="eastAsia" w:eastAsia="仿宋_GB2312" w:cs="Times New Roman"/>
          <w:color w:val="auto"/>
          <w:sz w:val="32"/>
          <w:szCs w:val="32"/>
        </w:rPr>
        <w:t>批团体标准制修订项目计划的通知》（桂标协〔202</w:t>
      </w:r>
      <w:r>
        <w:rPr>
          <w:rFonts w:hint="eastAsia" w:eastAsia="仿宋_GB2312" w:cs="Times New Roman"/>
          <w:color w:val="auto"/>
          <w:sz w:val="32"/>
          <w:szCs w:val="32"/>
          <w:lang w:val="en-US" w:eastAsia="zh-CN"/>
        </w:rPr>
        <w:t>6</w:t>
      </w:r>
      <w:r>
        <w:rPr>
          <w:rFonts w:hint="eastAsia" w:eastAsia="仿宋_GB2312" w:cs="Times New Roman"/>
          <w:color w:val="auto"/>
          <w:sz w:val="32"/>
          <w:szCs w:val="32"/>
        </w:rPr>
        <w:t>〕</w:t>
      </w:r>
      <w:r>
        <w:rPr>
          <w:rFonts w:hint="eastAsia" w:eastAsia="仿宋_GB2312" w:cs="Times New Roman"/>
          <w:color w:val="auto"/>
          <w:sz w:val="32"/>
          <w:szCs w:val="32"/>
          <w:lang w:val="en-US" w:eastAsia="zh-CN"/>
        </w:rPr>
        <w:t>32</w:t>
      </w:r>
      <w:r>
        <w:rPr>
          <w:rFonts w:hint="eastAsia" w:eastAsia="仿宋_GB2312" w:cs="Times New Roman"/>
          <w:color w:val="auto"/>
          <w:sz w:val="32"/>
          <w:szCs w:val="32"/>
        </w:rPr>
        <w:t>号）精神，由广西食品工业协会提出，由广西壮族自治区国有派阳山林场、广西派阳山森林公园有限责任公司、广西大学、广西崇左市龙州县彩森食品有限责任公司、龙州县广林食品有限公司</w:t>
      </w:r>
      <w:r>
        <w:rPr>
          <w:rFonts w:hint="eastAsia" w:eastAsia="仿宋_GB2312"/>
          <w:color w:val="auto"/>
          <w:sz w:val="32"/>
          <w:szCs w:val="32"/>
        </w:rPr>
        <w:t>等单位共同起草的团体标准《</w:t>
      </w:r>
      <w:r>
        <w:rPr>
          <w:rFonts w:hint="eastAsia" w:eastAsia="仿宋_GB2312"/>
          <w:color w:val="auto"/>
          <w:sz w:val="32"/>
          <w:szCs w:val="32"/>
          <w:lang w:eastAsia="zh-CN"/>
        </w:rPr>
        <w:t>红桄榔粉</w:t>
      </w:r>
      <w:r>
        <w:rPr>
          <w:rFonts w:hint="eastAsia" w:eastAsia="仿宋_GB2312"/>
          <w:color w:val="auto"/>
          <w:sz w:val="32"/>
          <w:szCs w:val="32"/>
        </w:rPr>
        <w:t>》（项目编号：202</w:t>
      </w:r>
      <w:r>
        <w:rPr>
          <w:rFonts w:hint="eastAsia" w:eastAsia="仿宋_GB2312"/>
          <w:color w:val="auto"/>
          <w:sz w:val="32"/>
          <w:szCs w:val="32"/>
          <w:lang w:val="en-US" w:eastAsia="zh-CN"/>
        </w:rPr>
        <w:t>6</w:t>
      </w:r>
      <w:r>
        <w:rPr>
          <w:rFonts w:hint="eastAsia" w:eastAsia="仿宋_GB2312"/>
          <w:color w:val="auto"/>
          <w:sz w:val="32"/>
          <w:szCs w:val="32"/>
        </w:rPr>
        <w:t>-</w:t>
      </w:r>
      <w:r>
        <w:rPr>
          <w:rFonts w:hint="eastAsia" w:eastAsia="仿宋_GB2312"/>
          <w:color w:val="auto"/>
          <w:sz w:val="32"/>
          <w:szCs w:val="32"/>
          <w:lang w:val="en-US" w:eastAsia="zh-CN"/>
        </w:rPr>
        <w:t>0203</w:t>
      </w:r>
      <w:r>
        <w:rPr>
          <w:rFonts w:hint="eastAsia" w:eastAsia="仿宋_GB2312"/>
          <w:color w:val="auto"/>
          <w:sz w:val="32"/>
          <w:szCs w:val="32"/>
        </w:rPr>
        <w:t>）已获立项。</w:t>
      </w:r>
    </w:p>
    <w:p w14:paraId="64E0E65A">
      <w:pPr>
        <w:pStyle w:val="14"/>
        <w:ind w:firstLine="640" w:firstLineChars="200"/>
        <w:rPr>
          <w:rFonts w:eastAsia="仿宋_GB2312" w:cs="Times New Roman"/>
          <w:color w:val="auto"/>
        </w:rPr>
      </w:pPr>
      <w:r>
        <w:rPr>
          <w:rFonts w:eastAsia="仿宋_GB2312" w:cs="Times New Roman"/>
          <w:color w:val="auto"/>
        </w:rPr>
        <w:t>为高质量编制团体标准《</w:t>
      </w:r>
      <w:r>
        <w:rPr>
          <w:rFonts w:hint="eastAsia" w:eastAsia="仿宋_GB2312" w:cs="Times New Roman"/>
          <w:color w:val="auto"/>
          <w:lang w:eastAsia="zh-CN"/>
        </w:rPr>
        <w:t>红桄榔粉</w:t>
      </w:r>
      <w:r>
        <w:rPr>
          <w:rFonts w:eastAsia="仿宋_GB2312" w:cs="Times New Roman"/>
          <w:color w:val="auto"/>
        </w:rPr>
        <w:t>》，由起草单位成立标准编制工作组并进行如下分工：</w:t>
      </w:r>
    </w:p>
    <w:tbl>
      <w:tblPr>
        <w:tblStyle w:val="9"/>
        <w:tblW w:w="4997"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026"/>
        <w:gridCol w:w="1541"/>
        <w:gridCol w:w="879"/>
        <w:gridCol w:w="2654"/>
        <w:gridCol w:w="2743"/>
      </w:tblGrid>
      <w:tr w14:paraId="299439C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580" w:type="pct"/>
            <w:tcBorders>
              <w:top w:val="single" w:color="auto" w:sz="8" w:space="0"/>
              <w:bottom w:val="single" w:color="auto" w:sz="8" w:space="0"/>
            </w:tcBorders>
            <w:noWrap w:val="0"/>
            <w:vAlign w:val="center"/>
          </w:tcPr>
          <w:p w14:paraId="403671F7">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rPr>
            </w:pPr>
            <w:r>
              <w:rPr>
                <w:rFonts w:hint="eastAsia" w:ascii="宋体" w:hAnsi="宋体" w:eastAsia="宋体" w:cs="宋体"/>
                <w:color w:val="auto"/>
                <w:sz w:val="24"/>
              </w:rPr>
              <w:t>姓名</w:t>
            </w:r>
          </w:p>
        </w:tc>
        <w:tc>
          <w:tcPr>
            <w:tcW w:w="871" w:type="pct"/>
            <w:tcBorders>
              <w:top w:val="single" w:color="auto" w:sz="8" w:space="0"/>
              <w:bottom w:val="single" w:color="auto" w:sz="8" w:space="0"/>
            </w:tcBorders>
            <w:noWrap w:val="0"/>
            <w:vAlign w:val="center"/>
          </w:tcPr>
          <w:p w14:paraId="42E98EDF">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rPr>
            </w:pPr>
            <w:r>
              <w:rPr>
                <w:rFonts w:hint="eastAsia" w:ascii="宋体" w:hAnsi="宋体" w:eastAsia="宋体" w:cs="宋体"/>
                <w:color w:val="auto"/>
                <w:sz w:val="24"/>
              </w:rPr>
              <w:t>职务/职称</w:t>
            </w:r>
          </w:p>
        </w:tc>
        <w:tc>
          <w:tcPr>
            <w:tcW w:w="497" w:type="pct"/>
            <w:tcBorders>
              <w:top w:val="single" w:color="auto" w:sz="8" w:space="0"/>
              <w:bottom w:val="single" w:color="auto" w:sz="8" w:space="0"/>
            </w:tcBorders>
            <w:noWrap w:val="0"/>
            <w:vAlign w:val="center"/>
          </w:tcPr>
          <w:p w14:paraId="541F7201">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rPr>
            </w:pPr>
            <w:r>
              <w:rPr>
                <w:rFonts w:hint="eastAsia" w:ascii="宋体" w:hAnsi="宋体" w:eastAsia="宋体" w:cs="宋体"/>
                <w:color w:val="auto"/>
                <w:sz w:val="24"/>
              </w:rPr>
              <w:t>从事专业</w:t>
            </w:r>
          </w:p>
        </w:tc>
        <w:tc>
          <w:tcPr>
            <w:tcW w:w="1500" w:type="pct"/>
            <w:tcBorders>
              <w:top w:val="single" w:color="auto" w:sz="8" w:space="0"/>
              <w:bottom w:val="single" w:color="auto" w:sz="8" w:space="0"/>
            </w:tcBorders>
            <w:noWrap w:val="0"/>
            <w:vAlign w:val="center"/>
          </w:tcPr>
          <w:p w14:paraId="6F578451">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rPr>
            </w:pPr>
            <w:r>
              <w:rPr>
                <w:rFonts w:hint="eastAsia" w:ascii="宋体" w:hAnsi="宋体" w:eastAsia="宋体" w:cs="宋体"/>
                <w:color w:val="auto"/>
                <w:sz w:val="24"/>
              </w:rPr>
              <w:t>工作单位</w:t>
            </w:r>
          </w:p>
        </w:tc>
        <w:tc>
          <w:tcPr>
            <w:tcW w:w="1550" w:type="pct"/>
            <w:tcBorders>
              <w:top w:val="single" w:color="auto" w:sz="8" w:space="0"/>
              <w:bottom w:val="single" w:color="auto" w:sz="8" w:space="0"/>
            </w:tcBorders>
            <w:noWrap w:val="0"/>
            <w:vAlign w:val="center"/>
          </w:tcPr>
          <w:p w14:paraId="6C3EF9B9">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rPr>
            </w:pPr>
            <w:r>
              <w:rPr>
                <w:rFonts w:hint="eastAsia" w:ascii="宋体" w:hAnsi="宋体" w:eastAsia="宋体" w:cs="宋体"/>
                <w:color w:val="auto"/>
                <w:sz w:val="24"/>
              </w:rPr>
              <w:t>责任分工</w:t>
            </w:r>
          </w:p>
        </w:tc>
      </w:tr>
      <w:tr w14:paraId="2E4E939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580" w:type="pct"/>
            <w:tcBorders>
              <w:top w:val="single" w:color="auto" w:sz="8" w:space="0"/>
              <w:bottom w:val="single" w:color="auto" w:sz="8" w:space="0"/>
            </w:tcBorders>
            <w:noWrap w:val="0"/>
            <w:vAlign w:val="center"/>
          </w:tcPr>
          <w:p w14:paraId="4FF51779">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周怀勋</w:t>
            </w:r>
          </w:p>
        </w:tc>
        <w:tc>
          <w:tcPr>
            <w:tcW w:w="871" w:type="pct"/>
            <w:tcBorders>
              <w:top w:val="single" w:color="auto" w:sz="8" w:space="0"/>
              <w:bottom w:val="single" w:color="auto" w:sz="8" w:space="0"/>
            </w:tcBorders>
            <w:noWrap w:val="0"/>
            <w:vAlign w:val="center"/>
          </w:tcPr>
          <w:p w14:paraId="1A9E8817">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场长</w:t>
            </w:r>
          </w:p>
        </w:tc>
        <w:tc>
          <w:tcPr>
            <w:tcW w:w="497" w:type="pct"/>
            <w:tcBorders>
              <w:top w:val="single" w:color="auto" w:sz="8" w:space="0"/>
              <w:bottom w:val="single" w:color="auto" w:sz="8" w:space="0"/>
            </w:tcBorders>
            <w:noWrap w:val="0"/>
            <w:vAlign w:val="center"/>
          </w:tcPr>
          <w:p w14:paraId="53B397C3">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林学</w:t>
            </w:r>
          </w:p>
        </w:tc>
        <w:tc>
          <w:tcPr>
            <w:tcW w:w="1500" w:type="pct"/>
            <w:tcBorders>
              <w:top w:val="single" w:color="auto" w:sz="8" w:space="0"/>
              <w:bottom w:val="single" w:color="auto" w:sz="8" w:space="0"/>
            </w:tcBorders>
            <w:noWrap w:val="0"/>
            <w:vAlign w:val="center"/>
          </w:tcPr>
          <w:p w14:paraId="3420F736">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广西国有派阳山林场</w:t>
            </w:r>
          </w:p>
        </w:tc>
        <w:tc>
          <w:tcPr>
            <w:tcW w:w="1550" w:type="pct"/>
            <w:tcBorders>
              <w:top w:val="single" w:color="auto" w:sz="8" w:space="0"/>
              <w:bottom w:val="single" w:color="auto" w:sz="8" w:space="0"/>
            </w:tcBorders>
            <w:noWrap w:val="0"/>
            <w:vAlign w:val="center"/>
          </w:tcPr>
          <w:p w14:paraId="4C77288A">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rPr>
            </w:pPr>
            <w:r>
              <w:rPr>
                <w:rFonts w:hint="eastAsia" w:ascii="宋体" w:hAnsi="宋体" w:eastAsia="宋体" w:cs="宋体"/>
                <w:color w:val="auto"/>
                <w:sz w:val="24"/>
              </w:rPr>
              <w:t>项目统筹</w:t>
            </w:r>
          </w:p>
        </w:tc>
      </w:tr>
      <w:tr w14:paraId="35EEC0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80" w:type="pct"/>
            <w:tcBorders>
              <w:top w:val="single" w:color="auto" w:sz="8" w:space="0"/>
              <w:bottom w:val="single" w:color="auto" w:sz="8" w:space="0"/>
            </w:tcBorders>
            <w:noWrap w:val="0"/>
            <w:vAlign w:val="center"/>
          </w:tcPr>
          <w:p w14:paraId="5898ECD8">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刘奇林</w:t>
            </w:r>
          </w:p>
        </w:tc>
        <w:tc>
          <w:tcPr>
            <w:tcW w:w="871" w:type="pct"/>
            <w:tcBorders>
              <w:top w:val="single" w:color="auto" w:sz="8" w:space="0"/>
              <w:bottom w:val="single" w:color="auto" w:sz="8" w:space="0"/>
            </w:tcBorders>
            <w:noWrap w:val="0"/>
            <w:vAlign w:val="center"/>
          </w:tcPr>
          <w:p w14:paraId="5C09AFE1">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default" w:ascii="宋体" w:hAnsi="宋体" w:eastAsia="宋体" w:cs="宋体"/>
                <w:color w:val="auto"/>
                <w:sz w:val="24"/>
                <w:lang w:val="en-US" w:eastAsia="zh-CN"/>
              </w:rPr>
            </w:pPr>
            <w:r>
              <w:rPr>
                <w:rFonts w:hint="eastAsia" w:ascii="宋体" w:hAnsi="宋体" w:eastAsia="宋体" w:cs="宋体"/>
                <w:color w:val="auto"/>
                <w:sz w:val="24"/>
                <w:lang w:val="en-US" w:eastAsia="zh-CN"/>
              </w:rPr>
              <w:t>副场长</w:t>
            </w:r>
          </w:p>
        </w:tc>
        <w:tc>
          <w:tcPr>
            <w:tcW w:w="497" w:type="pct"/>
            <w:tcBorders>
              <w:top w:val="single" w:color="auto" w:sz="8" w:space="0"/>
              <w:bottom w:val="single" w:color="auto" w:sz="8" w:space="0"/>
            </w:tcBorders>
            <w:noWrap w:val="0"/>
            <w:vAlign w:val="center"/>
          </w:tcPr>
          <w:p w14:paraId="3709EF48">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林学</w:t>
            </w:r>
          </w:p>
        </w:tc>
        <w:tc>
          <w:tcPr>
            <w:tcW w:w="1500" w:type="pct"/>
            <w:tcBorders>
              <w:top w:val="single" w:color="auto" w:sz="8" w:space="0"/>
              <w:bottom w:val="single" w:color="auto" w:sz="8" w:space="0"/>
            </w:tcBorders>
            <w:noWrap w:val="0"/>
            <w:vAlign w:val="center"/>
          </w:tcPr>
          <w:p w14:paraId="52E1F522">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rPr>
            </w:pPr>
            <w:r>
              <w:rPr>
                <w:rFonts w:hint="eastAsia" w:ascii="宋体" w:hAnsi="宋体" w:eastAsia="宋体" w:cs="宋体"/>
                <w:color w:val="auto"/>
                <w:sz w:val="24"/>
                <w:lang w:val="en-US" w:eastAsia="zh-CN"/>
              </w:rPr>
              <w:t>广西国有派阳山林场</w:t>
            </w:r>
          </w:p>
        </w:tc>
        <w:tc>
          <w:tcPr>
            <w:tcW w:w="1550" w:type="pct"/>
            <w:tcBorders>
              <w:top w:val="single" w:color="auto" w:sz="8" w:space="0"/>
              <w:bottom w:val="single" w:color="auto" w:sz="8" w:space="0"/>
            </w:tcBorders>
            <w:noWrap w:val="0"/>
            <w:vAlign w:val="center"/>
          </w:tcPr>
          <w:p w14:paraId="207BE87C">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rPr>
            </w:pPr>
            <w:r>
              <w:rPr>
                <w:rFonts w:hint="eastAsia" w:ascii="宋体" w:hAnsi="宋体" w:eastAsia="宋体" w:cs="宋体"/>
                <w:color w:val="auto"/>
                <w:sz w:val="24"/>
              </w:rPr>
              <w:t>指导项目设计、立项申报、组织撰写、验收、发布等。</w:t>
            </w:r>
          </w:p>
        </w:tc>
      </w:tr>
      <w:tr w14:paraId="60B7F7A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80" w:type="pct"/>
            <w:tcBorders>
              <w:top w:val="single" w:color="auto" w:sz="8" w:space="0"/>
              <w:bottom w:val="single" w:color="auto" w:sz="8" w:space="0"/>
            </w:tcBorders>
            <w:noWrap w:val="0"/>
            <w:vAlign w:val="center"/>
          </w:tcPr>
          <w:p w14:paraId="3AAADE56">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陈锦芳</w:t>
            </w:r>
          </w:p>
        </w:tc>
        <w:tc>
          <w:tcPr>
            <w:tcW w:w="871" w:type="pct"/>
            <w:tcBorders>
              <w:top w:val="single" w:color="auto" w:sz="8" w:space="0"/>
              <w:bottom w:val="single" w:color="auto" w:sz="8" w:space="0"/>
            </w:tcBorders>
            <w:noWrap w:val="0"/>
            <w:vAlign w:val="center"/>
          </w:tcPr>
          <w:p w14:paraId="6FF63869">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总经理</w:t>
            </w:r>
          </w:p>
        </w:tc>
        <w:tc>
          <w:tcPr>
            <w:tcW w:w="497" w:type="pct"/>
            <w:tcBorders>
              <w:top w:val="single" w:color="auto" w:sz="8" w:space="0"/>
              <w:bottom w:val="single" w:color="auto" w:sz="8" w:space="0"/>
            </w:tcBorders>
            <w:noWrap w:val="0"/>
            <w:vAlign w:val="center"/>
          </w:tcPr>
          <w:p w14:paraId="73B73C4C">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lang w:val="en-US" w:eastAsia="zh-CN"/>
              </w:rPr>
            </w:pPr>
          </w:p>
        </w:tc>
        <w:tc>
          <w:tcPr>
            <w:tcW w:w="1500" w:type="pct"/>
            <w:tcBorders>
              <w:top w:val="single" w:color="auto" w:sz="8" w:space="0"/>
              <w:bottom w:val="single" w:color="auto" w:sz="8" w:space="0"/>
            </w:tcBorders>
            <w:noWrap w:val="0"/>
            <w:vAlign w:val="center"/>
          </w:tcPr>
          <w:p w14:paraId="77635885">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广西派阳山森林公园有限责任公司</w:t>
            </w:r>
          </w:p>
        </w:tc>
        <w:tc>
          <w:tcPr>
            <w:tcW w:w="1550" w:type="pct"/>
            <w:tcBorders>
              <w:top w:val="single" w:color="auto" w:sz="8" w:space="0"/>
              <w:bottom w:val="single" w:color="auto" w:sz="8" w:space="0"/>
            </w:tcBorders>
            <w:noWrap w:val="0"/>
            <w:vAlign w:val="center"/>
          </w:tcPr>
          <w:p w14:paraId="537C43B2">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rPr>
            </w:pPr>
            <w:r>
              <w:rPr>
                <w:rFonts w:hint="eastAsia" w:ascii="宋体" w:hAnsi="宋体" w:eastAsia="宋体" w:cs="宋体"/>
                <w:color w:val="auto"/>
                <w:sz w:val="24"/>
              </w:rPr>
              <w:t>立项申报、组织撰写、验收、发布等</w:t>
            </w:r>
          </w:p>
        </w:tc>
      </w:tr>
      <w:tr w14:paraId="79D7066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80" w:type="pct"/>
            <w:tcBorders>
              <w:top w:val="single" w:color="auto" w:sz="8" w:space="0"/>
              <w:bottom w:val="single" w:color="auto" w:sz="8" w:space="0"/>
            </w:tcBorders>
            <w:shd w:val="clear" w:color="auto" w:fill="auto"/>
            <w:noWrap w:val="0"/>
            <w:vAlign w:val="center"/>
          </w:tcPr>
          <w:p w14:paraId="56EF94E2">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leftChars="0" w:right="0" w:rightChars="0"/>
              <w:jc w:val="center"/>
              <w:textAlignment w:val="auto"/>
              <w:rPr>
                <w:rFonts w:hint="default" w:ascii="宋体" w:hAnsi="宋体" w:eastAsia="宋体" w:cs="宋体"/>
                <w:color w:val="auto"/>
                <w:kern w:val="2"/>
                <w:sz w:val="24"/>
                <w:szCs w:val="15"/>
                <w:lang w:val="en-US" w:eastAsia="zh-CN" w:bidi="ar-SA"/>
              </w:rPr>
            </w:pPr>
            <w:r>
              <w:rPr>
                <w:rFonts w:hint="eastAsia" w:ascii="宋体" w:hAnsi="宋体" w:eastAsia="宋体" w:cs="宋体"/>
                <w:color w:val="auto"/>
                <w:sz w:val="24"/>
                <w:lang w:val="en-US" w:eastAsia="zh-CN"/>
              </w:rPr>
              <w:t>许文宝</w:t>
            </w:r>
          </w:p>
        </w:tc>
        <w:tc>
          <w:tcPr>
            <w:tcW w:w="871" w:type="pct"/>
            <w:tcBorders>
              <w:top w:val="single" w:color="auto" w:sz="8" w:space="0"/>
              <w:bottom w:val="single" w:color="auto" w:sz="8" w:space="0"/>
            </w:tcBorders>
            <w:shd w:val="clear" w:color="auto" w:fill="auto"/>
            <w:noWrap w:val="0"/>
            <w:vAlign w:val="center"/>
          </w:tcPr>
          <w:p w14:paraId="28BFC32D">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leftChars="0" w:right="0" w:rightChars="0"/>
              <w:jc w:val="center"/>
              <w:textAlignment w:val="auto"/>
              <w:rPr>
                <w:rFonts w:hint="eastAsia" w:ascii="宋体" w:hAnsi="宋体" w:eastAsia="宋体" w:cs="宋体"/>
                <w:color w:val="auto"/>
                <w:kern w:val="2"/>
                <w:sz w:val="24"/>
                <w:szCs w:val="15"/>
                <w:lang w:val="en-US" w:eastAsia="zh-CN" w:bidi="ar-SA"/>
              </w:rPr>
            </w:pPr>
            <w:r>
              <w:rPr>
                <w:rFonts w:hint="eastAsia" w:ascii="宋体" w:hAnsi="宋体" w:eastAsia="宋体" w:cs="宋体"/>
                <w:color w:val="auto"/>
                <w:sz w:val="24"/>
                <w:lang w:val="en-US" w:eastAsia="zh-CN"/>
              </w:rPr>
              <w:t>副总经理</w:t>
            </w:r>
          </w:p>
        </w:tc>
        <w:tc>
          <w:tcPr>
            <w:tcW w:w="497" w:type="pct"/>
            <w:tcBorders>
              <w:top w:val="single" w:color="auto" w:sz="8" w:space="0"/>
              <w:bottom w:val="single" w:color="auto" w:sz="8" w:space="0"/>
            </w:tcBorders>
            <w:shd w:val="clear" w:color="auto" w:fill="auto"/>
            <w:noWrap w:val="0"/>
            <w:vAlign w:val="center"/>
          </w:tcPr>
          <w:p w14:paraId="77CFA288">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leftChars="0" w:right="0" w:rightChars="0"/>
              <w:jc w:val="center"/>
              <w:textAlignment w:val="auto"/>
              <w:rPr>
                <w:rFonts w:hint="eastAsia" w:ascii="宋体" w:hAnsi="宋体" w:eastAsia="宋体" w:cs="宋体"/>
                <w:color w:val="auto"/>
                <w:kern w:val="2"/>
                <w:sz w:val="24"/>
                <w:szCs w:val="15"/>
                <w:lang w:val="en-US" w:eastAsia="zh-CN" w:bidi="ar-SA"/>
              </w:rPr>
            </w:pPr>
          </w:p>
        </w:tc>
        <w:tc>
          <w:tcPr>
            <w:tcW w:w="1500" w:type="pct"/>
            <w:tcBorders>
              <w:top w:val="single" w:color="auto" w:sz="8" w:space="0"/>
              <w:bottom w:val="single" w:color="auto" w:sz="8" w:space="0"/>
            </w:tcBorders>
            <w:shd w:val="clear" w:color="auto" w:fill="auto"/>
            <w:noWrap w:val="0"/>
            <w:vAlign w:val="center"/>
          </w:tcPr>
          <w:p w14:paraId="26589DB0">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leftChars="0" w:right="0" w:rightChars="0"/>
              <w:jc w:val="center"/>
              <w:textAlignment w:val="auto"/>
              <w:rPr>
                <w:rFonts w:hint="eastAsia" w:ascii="宋体" w:hAnsi="宋体" w:eastAsia="宋体" w:cs="宋体"/>
                <w:color w:val="auto"/>
                <w:kern w:val="2"/>
                <w:sz w:val="24"/>
                <w:szCs w:val="15"/>
                <w:lang w:val="en-US" w:eastAsia="zh-CN" w:bidi="ar-SA"/>
              </w:rPr>
            </w:pPr>
            <w:r>
              <w:rPr>
                <w:rFonts w:hint="eastAsia" w:ascii="宋体" w:hAnsi="宋体" w:eastAsia="宋体" w:cs="宋体"/>
                <w:color w:val="auto"/>
                <w:sz w:val="24"/>
                <w:lang w:val="en-US" w:eastAsia="zh-CN"/>
              </w:rPr>
              <w:t>广西派阳山森林公园有限责任公司</w:t>
            </w:r>
          </w:p>
        </w:tc>
        <w:tc>
          <w:tcPr>
            <w:tcW w:w="1550" w:type="pct"/>
            <w:tcBorders>
              <w:top w:val="single" w:color="auto" w:sz="8" w:space="0"/>
              <w:bottom w:val="single" w:color="auto" w:sz="8" w:space="0"/>
            </w:tcBorders>
            <w:shd w:val="clear" w:color="auto" w:fill="auto"/>
            <w:noWrap w:val="0"/>
            <w:vAlign w:val="center"/>
          </w:tcPr>
          <w:p w14:paraId="61998E3B">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leftChars="0" w:right="0" w:rightChars="0"/>
              <w:jc w:val="center"/>
              <w:textAlignment w:val="auto"/>
              <w:rPr>
                <w:rFonts w:hint="eastAsia" w:ascii="宋体" w:hAnsi="宋体" w:eastAsia="宋体" w:cs="宋体"/>
                <w:color w:val="auto"/>
                <w:kern w:val="2"/>
                <w:sz w:val="24"/>
                <w:szCs w:val="15"/>
                <w:lang w:val="en-US" w:eastAsia="zh-CN" w:bidi="ar-SA"/>
              </w:rPr>
            </w:pPr>
            <w:r>
              <w:rPr>
                <w:rFonts w:hint="eastAsia" w:ascii="宋体" w:hAnsi="宋体" w:eastAsia="宋体" w:cs="宋体"/>
                <w:color w:val="auto"/>
                <w:sz w:val="24"/>
              </w:rPr>
              <w:t>立项申报、组织撰写、验收、发布等</w:t>
            </w:r>
          </w:p>
        </w:tc>
      </w:tr>
      <w:tr w14:paraId="71A5B3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80" w:type="pct"/>
            <w:tcBorders>
              <w:top w:val="single" w:color="auto" w:sz="8" w:space="0"/>
              <w:bottom w:val="single" w:color="auto" w:sz="8" w:space="0"/>
            </w:tcBorders>
            <w:noWrap w:val="0"/>
            <w:vAlign w:val="center"/>
          </w:tcPr>
          <w:p w14:paraId="51AD31D0">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default" w:ascii="宋体" w:hAnsi="宋体" w:eastAsia="宋体" w:cs="宋体"/>
                <w:color w:val="auto"/>
                <w:sz w:val="24"/>
                <w:lang w:val="en-US" w:eastAsia="zh-CN"/>
              </w:rPr>
            </w:pPr>
            <w:r>
              <w:rPr>
                <w:rFonts w:hint="eastAsia" w:ascii="宋体" w:hAnsi="宋体" w:eastAsia="宋体" w:cs="宋体"/>
                <w:color w:val="auto"/>
                <w:sz w:val="24"/>
                <w:lang w:val="en-US" w:eastAsia="zh-CN"/>
              </w:rPr>
              <w:t>刘小玲</w:t>
            </w:r>
          </w:p>
        </w:tc>
        <w:tc>
          <w:tcPr>
            <w:tcW w:w="871" w:type="pct"/>
            <w:tcBorders>
              <w:top w:val="single" w:color="auto" w:sz="8" w:space="0"/>
              <w:bottom w:val="single" w:color="auto" w:sz="8" w:space="0"/>
            </w:tcBorders>
            <w:noWrap w:val="0"/>
            <w:vAlign w:val="center"/>
          </w:tcPr>
          <w:p w14:paraId="4FC2620F">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default" w:ascii="宋体" w:hAnsi="宋体" w:eastAsia="宋体" w:cs="宋体"/>
                <w:color w:val="auto"/>
                <w:sz w:val="24"/>
                <w:lang w:val="en-US" w:eastAsia="zh-CN"/>
              </w:rPr>
            </w:pPr>
            <w:r>
              <w:rPr>
                <w:rFonts w:hint="eastAsia" w:ascii="宋体" w:hAnsi="宋体" w:eastAsia="宋体" w:cs="宋体"/>
                <w:color w:val="auto"/>
                <w:sz w:val="24"/>
                <w:lang w:val="en-US" w:eastAsia="zh-CN"/>
              </w:rPr>
              <w:t>党委书记</w:t>
            </w:r>
          </w:p>
        </w:tc>
        <w:tc>
          <w:tcPr>
            <w:tcW w:w="497" w:type="pct"/>
            <w:tcBorders>
              <w:top w:val="single" w:color="auto" w:sz="8" w:space="0"/>
              <w:bottom w:val="single" w:color="auto" w:sz="8" w:space="0"/>
            </w:tcBorders>
            <w:noWrap w:val="0"/>
            <w:vAlign w:val="center"/>
          </w:tcPr>
          <w:p w14:paraId="24C2F9D2">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default" w:ascii="宋体" w:hAnsi="宋体" w:eastAsia="宋体" w:cs="宋体"/>
                <w:color w:val="auto"/>
                <w:sz w:val="24"/>
                <w:lang w:val="en-US" w:eastAsia="zh-CN"/>
              </w:rPr>
            </w:pPr>
            <w:r>
              <w:rPr>
                <w:rFonts w:hint="eastAsia" w:ascii="宋体" w:hAnsi="宋体" w:eastAsia="宋体" w:cs="宋体"/>
                <w:color w:val="auto"/>
                <w:sz w:val="24"/>
                <w:lang w:val="en-US" w:eastAsia="zh-CN"/>
              </w:rPr>
              <w:t>食品</w:t>
            </w:r>
          </w:p>
        </w:tc>
        <w:tc>
          <w:tcPr>
            <w:tcW w:w="1500" w:type="pct"/>
            <w:tcBorders>
              <w:top w:val="single" w:color="auto" w:sz="8" w:space="0"/>
              <w:bottom w:val="single" w:color="auto" w:sz="8" w:space="0"/>
            </w:tcBorders>
            <w:noWrap w:val="0"/>
            <w:vAlign w:val="center"/>
          </w:tcPr>
          <w:p w14:paraId="605F6F60">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lang w:val="en-US" w:eastAsia="zh-CN"/>
              </w:rPr>
            </w:pPr>
            <w:r>
              <w:rPr>
                <w:rFonts w:hint="eastAsia" w:ascii="宋体" w:hAnsi="宋体" w:eastAsia="宋体" w:cs="Times New Roman"/>
                <w:sz w:val="21"/>
                <w:szCs w:val="21"/>
                <w:lang w:val="en-US" w:eastAsia="zh-CN"/>
              </w:rPr>
              <w:t>广西大学</w:t>
            </w:r>
          </w:p>
        </w:tc>
        <w:tc>
          <w:tcPr>
            <w:tcW w:w="1550" w:type="pct"/>
            <w:tcBorders>
              <w:top w:val="single" w:color="auto" w:sz="8" w:space="0"/>
              <w:bottom w:val="single" w:color="auto" w:sz="8" w:space="0"/>
            </w:tcBorders>
            <w:shd w:val="clear" w:color="auto" w:fill="auto"/>
            <w:noWrap w:val="0"/>
            <w:vAlign w:val="center"/>
          </w:tcPr>
          <w:p w14:paraId="5AB23930">
            <w:pPr>
              <w:keepNext w:val="0"/>
              <w:keepLines w:val="0"/>
              <w:suppressLineNumbers w:val="0"/>
              <w:overflowPunct w:val="0"/>
              <w:topLinePunct/>
              <w:spacing w:before="0" w:beforeAutospacing="0" w:after="0" w:afterAutospacing="0" w:line="560" w:lineRule="exact"/>
              <w:ind w:left="0" w:leftChars="0" w:right="0" w:rightChars="0"/>
              <w:jc w:val="center"/>
              <w:rPr>
                <w:rFonts w:hint="eastAsia" w:ascii="Times New Roman" w:hAnsi="Times New Roman" w:eastAsia="仿宋_GB2312" w:cs="Times New Roman"/>
                <w:color w:val="auto"/>
                <w:kern w:val="2"/>
                <w:sz w:val="24"/>
                <w:szCs w:val="15"/>
                <w:lang w:val="en-US" w:eastAsia="zh-CN" w:bidi="ar-SA"/>
              </w:rPr>
            </w:pPr>
            <w:r>
              <w:rPr>
                <w:rFonts w:hint="eastAsia" w:ascii="Times New Roman" w:hAnsi="Times New Roman" w:eastAsia="仿宋_GB2312" w:cs="Times New Roman"/>
                <w:color w:val="auto"/>
                <w:sz w:val="24"/>
              </w:rPr>
              <w:t>指导项目设计、立项申报、参与撰写等。</w:t>
            </w:r>
          </w:p>
        </w:tc>
      </w:tr>
      <w:tr w14:paraId="66CBE9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80" w:type="pct"/>
            <w:tcBorders>
              <w:top w:val="single" w:color="auto" w:sz="8" w:space="0"/>
              <w:bottom w:val="single" w:color="auto" w:sz="8" w:space="0"/>
            </w:tcBorders>
            <w:noWrap w:val="0"/>
            <w:vAlign w:val="center"/>
          </w:tcPr>
          <w:p w14:paraId="6E4DD4D8">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default" w:ascii="宋体" w:hAnsi="宋体" w:eastAsia="宋体" w:cs="宋体"/>
                <w:color w:val="auto"/>
                <w:sz w:val="24"/>
                <w:lang w:val="en-US" w:eastAsia="zh-CN"/>
              </w:rPr>
            </w:pPr>
            <w:r>
              <w:rPr>
                <w:rFonts w:hint="eastAsia" w:ascii="宋体" w:hAnsi="宋体" w:eastAsia="宋体" w:cs="宋体"/>
                <w:color w:val="auto"/>
                <w:sz w:val="24"/>
                <w:lang w:val="en-US" w:eastAsia="zh-CN"/>
              </w:rPr>
              <w:t>吕燕强</w:t>
            </w:r>
          </w:p>
        </w:tc>
        <w:tc>
          <w:tcPr>
            <w:tcW w:w="871" w:type="pct"/>
            <w:tcBorders>
              <w:top w:val="single" w:color="auto" w:sz="8" w:space="0"/>
              <w:bottom w:val="single" w:color="auto" w:sz="8" w:space="0"/>
            </w:tcBorders>
            <w:noWrap w:val="0"/>
            <w:vAlign w:val="center"/>
          </w:tcPr>
          <w:p w14:paraId="708DB81E">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default" w:ascii="宋体" w:hAnsi="宋体" w:eastAsia="宋体" w:cs="宋体"/>
                <w:color w:val="auto"/>
                <w:sz w:val="24"/>
                <w:lang w:val="en-US" w:eastAsia="zh-CN"/>
              </w:rPr>
            </w:pPr>
            <w:r>
              <w:rPr>
                <w:rFonts w:hint="eastAsia" w:ascii="宋体" w:hAnsi="宋体" w:eastAsia="宋体" w:cs="宋体"/>
                <w:color w:val="auto"/>
                <w:sz w:val="24"/>
                <w:lang w:val="en-US" w:eastAsia="zh-CN"/>
              </w:rPr>
              <w:t>总经理</w:t>
            </w:r>
          </w:p>
        </w:tc>
        <w:tc>
          <w:tcPr>
            <w:tcW w:w="497" w:type="pct"/>
            <w:tcBorders>
              <w:top w:val="single" w:color="auto" w:sz="8" w:space="0"/>
              <w:bottom w:val="single" w:color="auto" w:sz="8" w:space="0"/>
            </w:tcBorders>
            <w:noWrap w:val="0"/>
            <w:vAlign w:val="center"/>
          </w:tcPr>
          <w:p w14:paraId="655E8D7B">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default" w:ascii="宋体" w:hAnsi="宋体" w:eastAsia="宋体" w:cs="宋体"/>
                <w:color w:val="auto"/>
                <w:sz w:val="24"/>
                <w:lang w:val="en-US" w:eastAsia="zh-CN"/>
              </w:rPr>
            </w:pPr>
            <w:r>
              <w:rPr>
                <w:rFonts w:hint="eastAsia" w:ascii="宋体" w:hAnsi="宋体" w:eastAsia="宋体" w:cs="宋体"/>
                <w:color w:val="auto"/>
                <w:sz w:val="24"/>
                <w:lang w:val="en-US" w:eastAsia="zh-CN"/>
              </w:rPr>
              <w:t>食品</w:t>
            </w:r>
          </w:p>
        </w:tc>
        <w:tc>
          <w:tcPr>
            <w:tcW w:w="1500" w:type="pct"/>
            <w:tcBorders>
              <w:top w:val="single" w:color="auto" w:sz="8" w:space="0"/>
              <w:bottom w:val="single" w:color="auto" w:sz="8" w:space="0"/>
            </w:tcBorders>
            <w:noWrap w:val="0"/>
            <w:vAlign w:val="center"/>
          </w:tcPr>
          <w:p w14:paraId="753B20DF">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lang w:val="en-US" w:eastAsia="zh-CN"/>
              </w:rPr>
            </w:pPr>
            <w:r>
              <w:rPr>
                <w:rFonts w:hint="eastAsia" w:ascii="宋体" w:hAnsi="宋体" w:eastAsia="宋体" w:cs="Times New Roman"/>
                <w:sz w:val="21"/>
                <w:szCs w:val="21"/>
                <w:lang w:val="en-US" w:eastAsia="zh-CN"/>
              </w:rPr>
              <w:t>广西崇左市龙州县彩森食品有限责任公司</w:t>
            </w:r>
          </w:p>
        </w:tc>
        <w:tc>
          <w:tcPr>
            <w:tcW w:w="1550" w:type="pct"/>
            <w:tcBorders>
              <w:top w:val="single" w:color="auto" w:sz="8" w:space="0"/>
              <w:bottom w:val="single" w:color="auto" w:sz="8" w:space="0"/>
            </w:tcBorders>
            <w:shd w:val="clear" w:color="auto" w:fill="auto"/>
            <w:noWrap w:val="0"/>
            <w:vAlign w:val="center"/>
          </w:tcPr>
          <w:p w14:paraId="13D710D4">
            <w:pPr>
              <w:keepNext w:val="0"/>
              <w:keepLines w:val="0"/>
              <w:suppressLineNumbers w:val="0"/>
              <w:overflowPunct w:val="0"/>
              <w:topLinePunct/>
              <w:spacing w:before="0" w:beforeAutospacing="0" w:after="0" w:afterAutospacing="0" w:line="560" w:lineRule="exact"/>
              <w:ind w:left="0" w:leftChars="0" w:right="0" w:rightChars="0"/>
              <w:jc w:val="center"/>
              <w:rPr>
                <w:rFonts w:hint="eastAsia" w:ascii="Times New Roman" w:hAnsi="Times New Roman" w:eastAsia="仿宋_GB2312" w:cs="Times New Roman"/>
                <w:color w:val="auto"/>
                <w:kern w:val="2"/>
                <w:sz w:val="24"/>
                <w:szCs w:val="15"/>
                <w:lang w:val="en-US" w:eastAsia="zh-CN" w:bidi="ar-SA"/>
              </w:rPr>
            </w:pPr>
            <w:r>
              <w:rPr>
                <w:rFonts w:hint="eastAsia" w:ascii="Times New Roman" w:hAnsi="Times New Roman" w:eastAsia="仿宋_GB2312" w:cs="Times New Roman"/>
                <w:color w:val="auto"/>
                <w:sz w:val="24"/>
              </w:rPr>
              <w:t>数据资料收集、标准起草、撰写。</w:t>
            </w:r>
          </w:p>
        </w:tc>
      </w:tr>
      <w:tr w14:paraId="083AEFF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0" w:type="auto"/>
            <w:vAlign w:val="center"/>
          </w:tcPr>
          <w:p w14:paraId="763F09F3">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default" w:ascii="宋体" w:hAnsi="宋体" w:eastAsia="宋体" w:cs="宋体"/>
                <w:color w:val="auto"/>
                <w:sz w:val="24"/>
                <w:lang w:val="en-US" w:eastAsia="zh-CN"/>
              </w:rPr>
            </w:pPr>
            <w:r>
              <w:rPr>
                <w:rFonts w:hint="eastAsia" w:ascii="宋体" w:hAnsi="宋体" w:eastAsia="宋体" w:cs="宋体"/>
                <w:color w:val="auto"/>
                <w:sz w:val="24"/>
                <w:lang w:val="en-US" w:eastAsia="zh-CN"/>
              </w:rPr>
              <w:t>吕玉玉</w:t>
            </w:r>
          </w:p>
        </w:tc>
        <w:tc>
          <w:tcPr>
            <w:tcW w:w="0" w:type="auto"/>
            <w:vAlign w:val="center"/>
          </w:tcPr>
          <w:p w14:paraId="5B2B36D9">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default" w:ascii="宋体" w:hAnsi="宋体" w:eastAsia="宋体" w:cs="宋体"/>
                <w:color w:val="auto"/>
                <w:sz w:val="24"/>
                <w:lang w:val="en-US" w:eastAsia="zh-CN"/>
              </w:rPr>
            </w:pPr>
            <w:r>
              <w:rPr>
                <w:rFonts w:hint="eastAsia" w:ascii="宋体" w:hAnsi="宋体" w:eastAsia="宋体" w:cs="宋体"/>
                <w:color w:val="auto"/>
                <w:sz w:val="24"/>
                <w:lang w:val="en-US" w:eastAsia="zh-CN"/>
              </w:rPr>
              <w:t>总经理</w:t>
            </w:r>
          </w:p>
        </w:tc>
        <w:tc>
          <w:tcPr>
            <w:tcW w:w="0" w:type="auto"/>
            <w:vAlign w:val="center"/>
          </w:tcPr>
          <w:p w14:paraId="05CDC9E9">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食品</w:t>
            </w:r>
          </w:p>
        </w:tc>
        <w:tc>
          <w:tcPr>
            <w:tcW w:w="0" w:type="auto"/>
            <w:vAlign w:val="center"/>
          </w:tcPr>
          <w:p w14:paraId="30CC597C">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right="0"/>
              <w:jc w:val="center"/>
              <w:textAlignment w:val="auto"/>
              <w:rPr>
                <w:rFonts w:hint="default" w:ascii="宋体" w:hAnsi="宋体" w:eastAsia="宋体" w:cs="宋体"/>
                <w:color w:val="auto"/>
                <w:sz w:val="24"/>
                <w:lang w:val="en-US" w:eastAsia="zh-CN"/>
              </w:rPr>
            </w:pPr>
            <w:r>
              <w:rPr>
                <w:rFonts w:hint="eastAsia" w:ascii="宋体" w:hAnsi="宋体" w:eastAsia="宋体" w:cs="宋体"/>
                <w:color w:val="auto"/>
                <w:sz w:val="24"/>
                <w:lang w:val="en-US" w:eastAsia="zh-CN"/>
              </w:rPr>
              <w:t>龙州县广林食品有限公司</w:t>
            </w:r>
          </w:p>
        </w:tc>
        <w:tc>
          <w:tcPr>
            <w:tcW w:w="0" w:type="auto"/>
            <w:shd w:val="clear" w:color="auto" w:fill="auto"/>
            <w:vAlign w:val="center"/>
          </w:tcPr>
          <w:p w14:paraId="7A526F48">
            <w:pPr>
              <w:keepNext w:val="0"/>
              <w:keepLines w:val="0"/>
              <w:pageBreakBefore w:val="0"/>
              <w:widowControl w:val="0"/>
              <w:suppressLineNumbers w:val="0"/>
              <w:kinsoku/>
              <w:wordWrap/>
              <w:overflowPunct w:val="0"/>
              <w:topLinePunct/>
              <w:autoSpaceDE/>
              <w:autoSpaceDN/>
              <w:bidi w:val="0"/>
              <w:adjustRightInd/>
              <w:snapToGrid/>
              <w:spacing w:before="0" w:beforeAutospacing="0" w:after="0" w:afterAutospacing="0" w:line="520" w:lineRule="exact"/>
              <w:ind w:left="0" w:leftChars="0" w:right="0" w:rightChars="0"/>
              <w:jc w:val="center"/>
              <w:textAlignment w:val="auto"/>
              <w:rPr>
                <w:rFonts w:hint="eastAsia" w:ascii="Times New Roman" w:hAnsi="Times New Roman" w:eastAsia="仿宋_GB2312" w:cs="Times New Roman"/>
                <w:color w:val="auto"/>
                <w:kern w:val="2"/>
                <w:sz w:val="24"/>
                <w:szCs w:val="15"/>
                <w:lang w:val="en-US" w:eastAsia="zh-CN" w:bidi="ar-SA"/>
              </w:rPr>
            </w:pPr>
            <w:r>
              <w:rPr>
                <w:rFonts w:hint="eastAsia" w:ascii="Times New Roman" w:hAnsi="Times New Roman" w:eastAsia="仿宋_GB2312" w:cs="Times New Roman"/>
                <w:color w:val="auto"/>
                <w:sz w:val="24"/>
              </w:rPr>
              <w:t>标准实施宣贯、培训</w:t>
            </w:r>
            <w:r>
              <w:rPr>
                <w:rFonts w:hint="eastAsia" w:eastAsia="仿宋_GB2312" w:cs="Times New Roman"/>
                <w:color w:val="auto"/>
                <w:sz w:val="24"/>
                <w:lang w:eastAsia="zh-CN"/>
              </w:rPr>
              <w:t>。</w:t>
            </w:r>
          </w:p>
        </w:tc>
      </w:tr>
    </w:tbl>
    <w:p w14:paraId="1C189B6E">
      <w:pPr>
        <w:numPr>
          <w:ilvl w:val="0"/>
          <w:numId w:val="2"/>
        </w:numPr>
        <w:overflowPunct w:val="0"/>
        <w:topLinePunct/>
        <w:spacing w:line="560" w:lineRule="exact"/>
        <w:outlineLvl w:val="0"/>
        <w:rPr>
          <w:rFonts w:eastAsia="黑体"/>
          <w:bCs/>
          <w:color w:val="auto"/>
          <w:sz w:val="32"/>
          <w:szCs w:val="32"/>
        </w:rPr>
      </w:pPr>
      <w:r>
        <w:rPr>
          <w:rFonts w:hint="eastAsia" w:eastAsia="黑体"/>
          <w:bCs/>
          <w:color w:val="auto"/>
          <w:sz w:val="32"/>
          <w:szCs w:val="32"/>
        </w:rPr>
        <w:t>制定标准的必要性和意义</w:t>
      </w:r>
    </w:p>
    <w:p w14:paraId="770F9151">
      <w:pPr>
        <w:overflowPunct w:val="0"/>
        <w:topLinePunct/>
        <w:spacing w:line="560" w:lineRule="exact"/>
        <w:ind w:firstLine="640"/>
        <w:rPr>
          <w:rFonts w:eastAsia="仿宋_GB2312"/>
          <w:color w:val="auto"/>
          <w:sz w:val="32"/>
          <w:szCs w:val="32"/>
        </w:rPr>
      </w:pPr>
      <w:r>
        <w:rPr>
          <w:rFonts w:hint="eastAsia" w:eastAsia="仿宋_GB2312"/>
          <w:color w:val="auto"/>
          <w:sz w:val="32"/>
          <w:szCs w:val="32"/>
        </w:rPr>
        <w:t>《关于培育传统优势食品产区和地方特色食品产业的指导意见》（工信部联消费〔2023〕31 号）：提出健全特色食品标准体系，鼓励社会团体制定高于推荐性标准的团体标准，支持地方特色食品产业标准化发展，为红桄榔粉这一地方特色食品的标准制定提供产业政策支撑。农业农村部等十部门《促进农产品消费实施方案》（2025 年 7 月）支持地理标志农产品质量分级标准制定。《2025 年推动绿色有机地标等绿色优质农产品高质量发展工作方案》（桂农厅办发〔2025〕28 号）：明确推进农业标准化工作，鼓励开展地方特色农产品标准制定，支持标准 “进企入户” 推广，为红桄榔粉标准化生产与推广提供政策保障。《广西壮族自治区人民政府办公厅关于强化标准引领和质量支撑 加快构建广西现代化产业体系的实施意见》指出要服务现代农林业，围绕“10+3+N”特色农业体系加强标准工作。</w:t>
      </w:r>
    </w:p>
    <w:p w14:paraId="7378B54B">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rPr>
      </w:pPr>
      <w:r>
        <w:rPr>
          <w:rFonts w:hint="eastAsia" w:eastAsia="仿宋_GB2312" w:cs="Times New Roman"/>
          <w:color w:val="auto"/>
          <w:sz w:val="32"/>
          <w:szCs w:val="32"/>
        </w:rPr>
        <w:t>红桄榔粉又称赤桄榔粉，是桄榔粉中的特级品，源自广西龙州县等桂西南边境地区的传统民间美食。红桄榔粉由树高10米以上的树种制成，其髓心本身颜色偏红，因此制成的粉颜色也偏红，是较为独特和珍贵的品种。它以深山野生棕榈科桄榔树的髓芯为原料，经去皮、取髓、粉碎、过滤、沉淀、干燥等多道工序制成，不仅保留了天然绿色的品质，其富含人体必需的 8 种氨基酸、优质植物蛋白</w:t>
      </w:r>
      <w:r>
        <w:rPr>
          <w:rFonts w:hint="eastAsia" w:eastAsia="仿宋_GB2312" w:cs="Times New Roman"/>
          <w:color w:val="auto"/>
          <w:sz w:val="32"/>
          <w:szCs w:val="32"/>
          <w:lang w:eastAsia="zh-CN"/>
        </w:rPr>
        <w:t>、</w:t>
      </w:r>
      <w:r>
        <w:rPr>
          <w:rFonts w:hint="eastAsia" w:eastAsia="仿宋_GB2312" w:cs="Times New Roman"/>
          <w:color w:val="auto"/>
          <w:sz w:val="32"/>
          <w:szCs w:val="32"/>
          <w:lang w:val="en-US" w:eastAsia="zh-CN"/>
        </w:rPr>
        <w:t>多种微量元素</w:t>
      </w:r>
      <w:r>
        <w:rPr>
          <w:rFonts w:hint="eastAsia" w:eastAsia="仿宋_GB2312" w:cs="Times New Roman"/>
          <w:color w:val="auto"/>
          <w:sz w:val="32"/>
          <w:szCs w:val="32"/>
        </w:rPr>
        <w:t>及水溶性膳食纤维。</w:t>
      </w:r>
      <w:r>
        <w:rPr>
          <w:rFonts w:hint="eastAsia" w:eastAsia="仿宋_GB2312" w:cs="Times New Roman"/>
          <w:color w:val="auto"/>
          <w:sz w:val="32"/>
          <w:szCs w:val="32"/>
          <w:lang w:val="en-US" w:eastAsia="zh-CN"/>
        </w:rPr>
        <w:t>红桄榔粉</w:t>
      </w:r>
      <w:r>
        <w:rPr>
          <w:rFonts w:hint="eastAsia" w:eastAsia="仿宋_GB2312" w:cs="Times New Roman"/>
          <w:color w:val="auto"/>
          <w:sz w:val="32"/>
          <w:szCs w:val="32"/>
        </w:rPr>
        <w:t>兼具低卡、低脂、易消化的特点，既能为老年人补充矿物质，为儿童提供生长所需营养，也能满足都市人群、素食者的健康饮食需求，是名副其实的 “天然营养代餐”，更是承载壮族千年传统技艺与药食同源智慧的文化载体。唐代《酉阳杂俎》已有食用记载，宋代苏轼在《桄榔杖寄张文潜》中以“雪粉剖桄槟”描述其形态。据考证，当地壮族先民掌握桄榔粉制作技术逾2000年，清代《龙州纪略》记载其作为贡品的历史。红桄榔粉不仅是历史悠久的民间传统美食，具有去湿热、滋补等功效，而且在2014年“桄榔粉制作技艺”已被列入广西壮族自治区非物质文化遗产名录。</w:t>
      </w:r>
    </w:p>
    <w:p w14:paraId="22F0BF99">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rPr>
      </w:pPr>
      <w:r>
        <w:rPr>
          <w:rFonts w:hint="eastAsia" w:eastAsia="仿宋_GB2312" w:cs="Times New Roman"/>
          <w:color w:val="auto"/>
          <w:sz w:val="32"/>
          <w:szCs w:val="32"/>
        </w:rPr>
        <w:t>红桄榔粉所属的桄榔粉产业，目前已经形成了可观的规模，并拥有广阔的市场前景。其主产区龙州县凭借得天独厚的亚热带气候和山地资源，成为我国桄榔树的主要分布区域，为红桄榔粉生产提供了充足原料基础。截至2024年，龙州县建有47家传统加工坊，年产量达1200吨，全产业链产值突破3000万元。实施“地理标志+绿色食品”发展战略，建成标准化种植基地8处，总面积超6000亩。桄榔粉的销售已从传统渠道扩展至全国市场。</w:t>
      </w:r>
    </w:p>
    <w:p w14:paraId="3EC1643F">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rPr>
      </w:pPr>
      <w:r>
        <w:rPr>
          <w:rFonts w:hint="eastAsia" w:eastAsia="仿宋_GB2312" w:cs="Times New Roman"/>
          <w:color w:val="auto"/>
          <w:sz w:val="32"/>
          <w:szCs w:val="32"/>
        </w:rPr>
        <w:t>然而，当前红桄榔粉产业缺乏统一标准，已成为制约其高质量发展的关键瓶颈。由于生产主体涵盖规模化企业、小型加工厂及传统手工作坊，加工工艺既有现代化机械生产，也有传统手工制作，导致产品在原料筛选、加工流程、水分含量、营养指标等方面参差不齐。部分产品存在粉质粗细不均、口感差异大、质量稳定性不足、矿物质含量不达标等问题，既无法充分体现红桄榔粉的天然营养优势，也影响消费者健康体验；同时，缺乏营养指标界定易出现“虚标营养成分”“以普通桄榔粉冒充红桄榔粉”等乱象，扰乱市场秩序，损害合法生产企业和消费者的合法权益。</w:t>
      </w:r>
    </w:p>
    <w:p w14:paraId="5E716F8B">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rPr>
      </w:pPr>
      <w:r>
        <w:rPr>
          <w:rFonts w:hint="eastAsia" w:eastAsia="仿宋_GB2312" w:cs="Times New Roman"/>
          <w:color w:val="auto"/>
          <w:sz w:val="32"/>
          <w:szCs w:val="32"/>
        </w:rPr>
        <w:t>因此，通过制定团体标准《红桄榔粉》，统一规定红桄榔粉的质量要求，规范原料要求、质量指标、检验方法等核心内容，针对性规范氨基酸、膳食纤维、钙铁锌</w:t>
      </w:r>
      <w:r>
        <w:rPr>
          <w:rFonts w:hint="eastAsia" w:eastAsia="仿宋_GB2312" w:cs="Times New Roman"/>
          <w:color w:val="auto"/>
          <w:sz w:val="32"/>
          <w:szCs w:val="32"/>
          <w:lang w:val="en-US" w:eastAsia="zh-CN"/>
        </w:rPr>
        <w:t>硒</w:t>
      </w:r>
      <w:r>
        <w:rPr>
          <w:rFonts w:hint="eastAsia" w:eastAsia="仿宋_GB2312" w:cs="Times New Roman"/>
          <w:color w:val="auto"/>
          <w:sz w:val="32"/>
          <w:szCs w:val="32"/>
        </w:rPr>
        <w:t>等核心营养指标的最低含量，以及污染物、微生物等安全指标的限量要求，既能统一产品品质门槛，保障消费者获得稳定、安全、优质的产品，又能规范市场竞争秩序，引导中小企业和手工作坊标准化生产，推动产业提质升级。此外，标准的制定还能强化“红桄榔粉”的品牌价值，助力这一特色产业进一步拓展市场、走向国际，为地方经济发展和乡村振兴提供更强支撑。</w:t>
      </w:r>
    </w:p>
    <w:p w14:paraId="08F316CB">
      <w:pPr>
        <w:numPr>
          <w:ilvl w:val="0"/>
          <w:numId w:val="2"/>
        </w:numPr>
        <w:tabs>
          <w:tab w:val="left" w:pos="600"/>
        </w:tabs>
        <w:overflowPunct w:val="0"/>
        <w:topLinePunct/>
        <w:spacing w:line="560" w:lineRule="exact"/>
        <w:outlineLvl w:val="0"/>
        <w:rPr>
          <w:rFonts w:eastAsia="黑体"/>
          <w:bCs/>
          <w:color w:val="auto"/>
          <w:sz w:val="32"/>
          <w:szCs w:val="32"/>
        </w:rPr>
      </w:pPr>
      <w:r>
        <w:rPr>
          <w:rFonts w:hint="eastAsia" w:eastAsia="黑体"/>
          <w:bCs/>
          <w:color w:val="auto"/>
          <w:sz w:val="32"/>
          <w:szCs w:val="32"/>
        </w:rPr>
        <w:t>标准编制过程</w:t>
      </w:r>
    </w:p>
    <w:p w14:paraId="70BE24C9">
      <w:pPr>
        <w:numPr>
          <w:ilvl w:val="0"/>
          <w:numId w:val="3"/>
        </w:numPr>
        <w:spacing w:line="520" w:lineRule="exact"/>
        <w:ind w:left="600"/>
        <w:rPr>
          <w:rFonts w:hint="eastAsia" w:ascii="楷体" w:hAnsi="楷体" w:eastAsia="楷体"/>
          <w:b/>
          <w:color w:val="auto"/>
          <w:sz w:val="32"/>
          <w:szCs w:val="32"/>
          <w:lang w:val="zh-CN"/>
        </w:rPr>
      </w:pPr>
      <w:r>
        <w:rPr>
          <w:rFonts w:hint="eastAsia" w:ascii="楷体" w:hAnsi="楷体" w:eastAsia="楷体"/>
          <w:b/>
          <w:color w:val="auto"/>
          <w:sz w:val="32"/>
          <w:szCs w:val="32"/>
          <w:lang w:val="zh-CN"/>
        </w:rPr>
        <w:t>成立标准编制工作组</w:t>
      </w:r>
    </w:p>
    <w:p w14:paraId="49963851">
      <w:pPr>
        <w:spacing w:line="520" w:lineRule="exact"/>
        <w:ind w:firstLine="640" w:firstLineChars="200"/>
        <w:rPr>
          <w:rFonts w:eastAsia="仿宋_GB2312" w:cs="Times New Roman"/>
          <w:color w:val="auto"/>
          <w:sz w:val="32"/>
          <w:szCs w:val="32"/>
          <w:lang w:val="zh-CN"/>
        </w:rPr>
      </w:pPr>
      <w:r>
        <w:rPr>
          <w:rFonts w:hint="eastAsia" w:ascii="仿宋_GB2312" w:eastAsia="仿宋_GB2312" w:cs="Times New Roman"/>
          <w:color w:val="auto"/>
          <w:sz w:val="32"/>
          <w:szCs w:val="32"/>
          <w:lang w:val="zh-CN"/>
        </w:rPr>
        <w:t>团体标准《红桄榔粉》项目任务下达后，广西壮族自治区国有派阳山林场成立了标准编制工作组，制定标准编写方案，明确任务职责，确定工作技术路线，开展标准研制工作。具体标准编制工作由</w:t>
      </w:r>
      <w:r>
        <w:rPr>
          <w:rFonts w:hint="eastAsia" w:eastAsia="仿宋_GB2312" w:cs="Times New Roman"/>
          <w:color w:val="auto"/>
          <w:sz w:val="32"/>
          <w:szCs w:val="32"/>
        </w:rPr>
        <w:t>广西壮族自治区国有派阳山林场、广西派阳山森林公园有限责任公司、广西大学、广西崇左市龙州县彩森食品有限责任公司、龙州县广林食品有限公司</w:t>
      </w:r>
      <w:r>
        <w:rPr>
          <w:rFonts w:hint="eastAsia" w:eastAsia="仿宋_GB2312"/>
          <w:color w:val="auto"/>
          <w:sz w:val="32"/>
          <w:szCs w:val="32"/>
        </w:rPr>
        <w:t>等单位</w:t>
      </w:r>
      <w:r>
        <w:rPr>
          <w:rFonts w:hint="eastAsia" w:eastAsia="仿宋_GB2312" w:cs="Times New Roman"/>
          <w:color w:val="auto"/>
          <w:sz w:val="32"/>
          <w:szCs w:val="32"/>
          <w:lang w:val="zh-CN"/>
        </w:rPr>
        <w:t>的相关人员</w:t>
      </w:r>
      <w:r>
        <w:rPr>
          <w:rFonts w:hint="eastAsia" w:eastAsia="仿宋_GB2312" w:cs="Times New Roman"/>
          <w:color w:val="auto"/>
          <w:sz w:val="32"/>
          <w:szCs w:val="32"/>
        </w:rPr>
        <w:t>共同</w:t>
      </w:r>
      <w:r>
        <w:rPr>
          <w:rFonts w:hint="eastAsia" w:eastAsia="仿宋_GB2312" w:cs="Times New Roman"/>
          <w:color w:val="auto"/>
          <w:sz w:val="32"/>
          <w:szCs w:val="32"/>
          <w:lang w:val="zh-CN"/>
        </w:rPr>
        <w:t>完成。</w:t>
      </w:r>
    </w:p>
    <w:p w14:paraId="22FB5AA9">
      <w:pPr>
        <w:overflowPunct w:val="0"/>
        <w:topLinePunct/>
        <w:spacing w:line="560" w:lineRule="exact"/>
        <w:ind w:firstLine="640"/>
        <w:rPr>
          <w:rFonts w:eastAsia="仿宋_GB2312"/>
          <w:color w:val="auto"/>
          <w:sz w:val="32"/>
          <w:szCs w:val="32"/>
        </w:rPr>
      </w:pPr>
      <w:r>
        <w:rPr>
          <w:rFonts w:hint="eastAsia" w:eastAsia="仿宋_GB2312"/>
          <w:color w:val="auto"/>
          <w:sz w:val="32"/>
          <w:szCs w:val="32"/>
        </w:rPr>
        <w:t>编制工作组下设资料收集组和草案编写组。资料收集组负责国内有关</w:t>
      </w:r>
      <w:r>
        <w:rPr>
          <w:rFonts w:hint="eastAsia" w:eastAsia="仿宋_GB2312"/>
          <w:color w:val="auto"/>
          <w:sz w:val="32"/>
          <w:szCs w:val="32"/>
          <w:lang w:val="en-US" w:eastAsia="zh-CN"/>
        </w:rPr>
        <w:t>红桄榔粉</w:t>
      </w:r>
      <w:r>
        <w:rPr>
          <w:rFonts w:hint="eastAsia" w:eastAsia="仿宋_GB2312"/>
          <w:color w:val="auto"/>
          <w:sz w:val="32"/>
          <w:szCs w:val="32"/>
        </w:rPr>
        <w:t>的文献资料的查询、对相关</w:t>
      </w:r>
      <w:r>
        <w:rPr>
          <w:rFonts w:hint="eastAsia" w:eastAsia="仿宋_GB2312"/>
          <w:color w:val="auto"/>
          <w:sz w:val="32"/>
          <w:szCs w:val="32"/>
          <w:lang w:val="en-US" w:eastAsia="zh-CN"/>
        </w:rPr>
        <w:t>加工红桄榔粉</w:t>
      </w:r>
      <w:r>
        <w:rPr>
          <w:rFonts w:hint="eastAsia" w:eastAsia="仿宋_GB2312"/>
          <w:color w:val="auto"/>
          <w:sz w:val="32"/>
          <w:szCs w:val="32"/>
        </w:rPr>
        <w:t>企业调研收集的经验做法等资料、开展各项试验检测数据资料的收集和整理工作。</w:t>
      </w:r>
    </w:p>
    <w:p w14:paraId="1FD1DA11">
      <w:pPr>
        <w:overflowPunct w:val="0"/>
        <w:topLinePunct/>
        <w:spacing w:line="560" w:lineRule="exact"/>
        <w:ind w:firstLine="640"/>
        <w:rPr>
          <w:rFonts w:eastAsia="仿宋_GB2312"/>
          <w:color w:val="auto"/>
          <w:sz w:val="32"/>
          <w:szCs w:val="32"/>
        </w:rPr>
      </w:pPr>
      <w:r>
        <w:rPr>
          <w:rFonts w:hint="eastAsia" w:eastAsia="仿宋_GB2312"/>
          <w:color w:val="auto"/>
          <w:sz w:val="32"/>
          <w:szCs w:val="32"/>
        </w:rPr>
        <w:t>草案编写组负责起草标准草案、征求意见稿和标准编制说明、送审稿及编制说明的编写工作，包括后期召开征求意见会、网上征求意见，以及标准的不断修改和完善。</w:t>
      </w:r>
    </w:p>
    <w:p w14:paraId="50A77B64">
      <w:pPr>
        <w:numPr>
          <w:ilvl w:val="0"/>
          <w:numId w:val="3"/>
        </w:numPr>
        <w:spacing w:line="520" w:lineRule="exact"/>
        <w:ind w:left="600"/>
        <w:rPr>
          <w:rFonts w:hint="eastAsia" w:ascii="楷体" w:hAnsi="楷体" w:eastAsia="楷体"/>
          <w:b/>
          <w:color w:val="auto"/>
          <w:sz w:val="32"/>
          <w:szCs w:val="32"/>
          <w:lang w:val="zh-CN"/>
        </w:rPr>
      </w:pPr>
      <w:r>
        <w:rPr>
          <w:rFonts w:hint="eastAsia" w:ascii="楷体" w:hAnsi="楷体" w:eastAsia="楷体"/>
          <w:b/>
          <w:color w:val="auto"/>
          <w:sz w:val="32"/>
          <w:szCs w:val="32"/>
          <w:lang w:val="zh-CN"/>
        </w:rPr>
        <w:t>收集整理文献资料</w:t>
      </w:r>
    </w:p>
    <w:p w14:paraId="44359487">
      <w:pPr>
        <w:pStyle w:val="8"/>
        <w:widowControl/>
        <w:spacing w:before="0" w:beforeAutospacing="0" w:after="0" w:afterAutospacing="0" w:line="520" w:lineRule="exact"/>
        <w:ind w:firstLine="640" w:firstLineChars="200"/>
        <w:jc w:val="both"/>
        <w:rPr>
          <w:rFonts w:eastAsia="仿宋_GB2312" w:cs="Times New Roman"/>
          <w:color w:val="auto"/>
          <w:sz w:val="32"/>
          <w:szCs w:val="32"/>
          <w:lang w:val="zh-CN"/>
        </w:rPr>
      </w:pPr>
      <w:r>
        <w:rPr>
          <w:rFonts w:hint="eastAsia" w:eastAsia="仿宋_GB2312" w:cs="Times New Roman"/>
          <w:color w:val="auto"/>
          <w:sz w:val="32"/>
          <w:szCs w:val="32"/>
          <w:lang w:val="zh-CN"/>
        </w:rPr>
        <w:t>标准编制工作组收集了国内有关</w:t>
      </w:r>
      <w:r>
        <w:rPr>
          <w:rFonts w:hint="eastAsia" w:eastAsia="仿宋_GB2312" w:cs="Times New Roman"/>
          <w:color w:val="auto"/>
          <w:sz w:val="32"/>
          <w:szCs w:val="32"/>
          <w:lang w:eastAsia="zh-CN"/>
        </w:rPr>
        <w:t>红桄榔粉</w:t>
      </w:r>
      <w:r>
        <w:rPr>
          <w:rFonts w:hint="eastAsia" w:eastAsia="仿宋_GB2312" w:cs="Times New Roman"/>
          <w:color w:val="auto"/>
          <w:sz w:val="32"/>
          <w:szCs w:val="32"/>
        </w:rPr>
        <w:t>相关文献资料。</w:t>
      </w:r>
      <w:r>
        <w:rPr>
          <w:rFonts w:hint="eastAsia" w:eastAsia="仿宋_GB2312" w:cs="Times New Roman"/>
          <w:color w:val="auto"/>
          <w:sz w:val="32"/>
          <w:szCs w:val="32"/>
          <w:lang w:val="zh-CN"/>
        </w:rPr>
        <w:t>具体列出如下：</w:t>
      </w:r>
    </w:p>
    <w:p w14:paraId="278E4D40">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DBS 45/044</w:t>
      </w:r>
      <w:r>
        <w:rPr>
          <w:rFonts w:hint="eastAsia" w:eastAsia="仿宋_GB2312" w:cs="Times New Roman"/>
          <w:color w:val="auto"/>
          <w:sz w:val="32"/>
          <w:szCs w:val="32"/>
          <w:lang w:val="en-US" w:eastAsia="zh-CN"/>
        </w:rPr>
        <w:t xml:space="preserve"> </w:t>
      </w:r>
      <w:r>
        <w:rPr>
          <w:rFonts w:hint="eastAsia" w:eastAsia="仿宋_GB2312" w:cs="Times New Roman"/>
          <w:color w:val="auto"/>
          <w:sz w:val="32"/>
          <w:szCs w:val="32"/>
          <w:lang w:val="zh-CN"/>
        </w:rPr>
        <w:t xml:space="preserve"> 食品安全地方标准  即食桄榔粉</w:t>
      </w:r>
    </w:p>
    <w:p w14:paraId="70116051">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地理标志证明商标 龙州桄榔粉（</w:t>
      </w:r>
      <w:r>
        <w:rPr>
          <w:rFonts w:hint="eastAsia" w:eastAsia="仿宋_GB2312" w:cs="Times New Roman"/>
          <w:color w:val="auto"/>
          <w:sz w:val="32"/>
          <w:szCs w:val="32"/>
          <w:lang w:val="en-US" w:eastAsia="zh-CN"/>
        </w:rPr>
        <w:t>正在制定中</w:t>
      </w:r>
      <w:r>
        <w:rPr>
          <w:rFonts w:hint="eastAsia" w:eastAsia="仿宋_GB2312" w:cs="Times New Roman"/>
          <w:color w:val="auto"/>
          <w:sz w:val="32"/>
          <w:szCs w:val="32"/>
          <w:lang w:val="zh-CN"/>
        </w:rPr>
        <w:t>）</w:t>
      </w:r>
    </w:p>
    <w:p w14:paraId="1ABFFCFF">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GB 2713  食品安全国家标准  淀粉制品</w:t>
      </w:r>
    </w:p>
    <w:p w14:paraId="5B45FDAF">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GB 5009.3  食品安全国家标准  食品中水分的测定</w:t>
      </w:r>
    </w:p>
    <w:p w14:paraId="1EEDC7BC">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GB 5009.4  食品安全国家标准  食品中灰分的测定</w:t>
      </w:r>
    </w:p>
    <w:p w14:paraId="6F404654">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GB 5009.9  食品安全国家标准  食品中淀粉的测定</w:t>
      </w:r>
    </w:p>
    <w:p w14:paraId="2835874F">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GB 5009.22  食品安全国家标准  食品中黄曲霉毒素B族和G族的测定</w:t>
      </w:r>
    </w:p>
    <w:p w14:paraId="7895E166">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GB 5009.239  食品安全国家标准  食品酸度的测定</w:t>
      </w:r>
    </w:p>
    <w:p w14:paraId="55A593C8">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GB 5009.268  食品安全国家标准  食品中多元素的测定</w:t>
      </w:r>
    </w:p>
    <w:p w14:paraId="29CCA552">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GB 5749  生活饮用水卫生标准</w:t>
      </w:r>
    </w:p>
    <w:p w14:paraId="51E85F73">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GB 7718  食品安全国家标准  预包装食品标签通则</w:t>
      </w:r>
    </w:p>
    <w:p w14:paraId="4AA02A8F">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GB 14881 食品安全国家标准  食品生产通用卫生规范</w:t>
      </w:r>
    </w:p>
    <w:p w14:paraId="6C6DBB8B">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GB/T 15683  粮油检验  大米直链淀粉含量的测定</w:t>
      </w:r>
    </w:p>
    <w:p w14:paraId="332B6523">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GB 23350  限制商品过度包装要求  食品和化妆品</w:t>
      </w:r>
    </w:p>
    <w:p w14:paraId="20ED3F8A">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zh-CN"/>
        </w:rPr>
      </w:pPr>
      <w:r>
        <w:rPr>
          <w:rFonts w:hint="eastAsia" w:eastAsia="仿宋_GB2312" w:cs="Times New Roman"/>
          <w:color w:val="auto"/>
          <w:sz w:val="32"/>
          <w:szCs w:val="32"/>
          <w:lang w:val="zh-CN"/>
        </w:rPr>
        <w:t>GB 28050  食品安全国家标准  预包装食品营养标签通则</w:t>
      </w:r>
    </w:p>
    <w:p w14:paraId="67A2A638">
      <w:pPr>
        <w:numPr>
          <w:ilvl w:val="0"/>
          <w:numId w:val="3"/>
        </w:numPr>
        <w:spacing w:line="520" w:lineRule="exact"/>
        <w:ind w:left="600"/>
        <w:rPr>
          <w:rFonts w:hint="eastAsia" w:ascii="楷体" w:hAnsi="楷体" w:eastAsia="楷体"/>
          <w:b/>
          <w:color w:val="auto"/>
          <w:sz w:val="32"/>
          <w:szCs w:val="32"/>
          <w:lang w:val="zh-CN"/>
        </w:rPr>
      </w:pPr>
      <w:r>
        <w:rPr>
          <w:rFonts w:hint="eastAsia" w:ascii="楷体" w:hAnsi="楷体" w:eastAsia="楷体"/>
          <w:b/>
          <w:color w:val="auto"/>
          <w:sz w:val="32"/>
          <w:szCs w:val="32"/>
          <w:lang w:val="zh-CN"/>
        </w:rPr>
        <w:t>研讨确定标准</w:t>
      </w:r>
      <w:r>
        <w:rPr>
          <w:rFonts w:hint="eastAsia" w:ascii="楷体" w:hAnsi="楷体" w:eastAsia="楷体"/>
          <w:b/>
          <w:color w:val="auto"/>
          <w:sz w:val="32"/>
          <w:szCs w:val="32"/>
          <w:lang w:val="en-US" w:eastAsia="zh-CN"/>
        </w:rPr>
        <w:t>特色、创新点和</w:t>
      </w:r>
      <w:r>
        <w:rPr>
          <w:rFonts w:hint="eastAsia" w:ascii="楷体" w:hAnsi="楷体" w:eastAsia="楷体"/>
          <w:b/>
          <w:color w:val="auto"/>
          <w:sz w:val="32"/>
          <w:szCs w:val="32"/>
          <w:lang w:val="zh-CN"/>
        </w:rPr>
        <w:t>主体内容</w:t>
      </w:r>
    </w:p>
    <w:p w14:paraId="1079A285">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en-US" w:eastAsia="zh-CN"/>
        </w:rPr>
      </w:pPr>
      <w:r>
        <w:rPr>
          <w:rFonts w:hint="eastAsia" w:eastAsia="仿宋_GB2312" w:cs="Times New Roman"/>
          <w:color w:val="auto"/>
          <w:sz w:val="32"/>
          <w:szCs w:val="32"/>
          <w:lang w:val="en-US" w:eastAsia="zh-CN"/>
        </w:rPr>
        <w:t>1.标准特色和创新点</w:t>
      </w:r>
    </w:p>
    <w:p w14:paraId="038AF74D">
      <w:pPr>
        <w:pStyle w:val="8"/>
        <w:widowControl/>
        <w:spacing w:before="0" w:beforeAutospacing="0" w:after="0" w:afterAutospacing="0" w:line="520" w:lineRule="exact"/>
        <w:ind w:firstLine="640" w:firstLineChars="200"/>
        <w:jc w:val="both"/>
        <w:rPr>
          <w:rFonts w:hint="default" w:ascii="Times New Roman" w:hAnsi="Times New Roman" w:eastAsia="仿宋_GB2312" w:cs="Times New Roman"/>
          <w:color w:val="auto"/>
          <w:sz w:val="32"/>
          <w:szCs w:val="32"/>
          <w:lang w:val="en-US" w:eastAsia="zh-CN"/>
        </w:rPr>
      </w:pPr>
      <w:r>
        <w:rPr>
          <w:rFonts w:hint="default" w:ascii="Times New Roman" w:hAnsi="Times New Roman" w:eastAsia="仿宋_GB2312" w:cs="Times New Roman"/>
          <w:color w:val="auto"/>
          <w:sz w:val="32"/>
          <w:szCs w:val="32"/>
          <w:lang w:val="en-US" w:eastAsia="zh-CN"/>
        </w:rPr>
        <w:t>针对红桄榔粉这一地方特色食品，明确其独特原料（棕榈科桄榔树髓心）和传统工艺（砍碎、舂烂等）；限定偏红 / 粉红色粉末、冲调后深琥珀色 / 浅咖啡色胶状糊</w:t>
      </w:r>
      <w:r>
        <w:rPr>
          <w:rFonts w:hint="eastAsia" w:ascii="Times New Roman" w:hAnsi="Times New Roman" w:eastAsia="仿宋_GB2312" w:cs="Times New Roman"/>
          <w:color w:val="auto"/>
          <w:sz w:val="32"/>
          <w:szCs w:val="32"/>
          <w:lang w:val="en-US" w:eastAsia="zh-CN"/>
        </w:rPr>
        <w:t>，以</w:t>
      </w:r>
      <w:r>
        <w:rPr>
          <w:rFonts w:hint="default" w:ascii="Times New Roman" w:hAnsi="Times New Roman" w:eastAsia="仿宋_GB2312" w:cs="Times New Roman"/>
          <w:color w:val="auto"/>
          <w:sz w:val="32"/>
          <w:szCs w:val="32"/>
          <w:lang w:val="en-US" w:eastAsia="zh-CN"/>
        </w:rPr>
        <w:t>及天然植物清香、微甘回味等专属风味；营养指标明确：突出钙、铁、锌、硒等微量元素及总黄酮（30～100mg/100g）的含量范围，强化营养属性。</w:t>
      </w:r>
    </w:p>
    <w:p w14:paraId="3C0D00C7">
      <w:pPr>
        <w:pStyle w:val="8"/>
        <w:widowControl/>
        <w:spacing w:before="0" w:beforeAutospacing="0" w:after="0" w:afterAutospacing="0" w:line="520" w:lineRule="exact"/>
        <w:ind w:firstLine="640" w:firstLineChars="200"/>
        <w:jc w:val="both"/>
        <w:rPr>
          <w:rFonts w:hint="default" w:ascii="Times New Roman" w:hAnsi="Times New Roman" w:eastAsia="仿宋_GB2312" w:cs="Times New Roman"/>
          <w:color w:val="auto"/>
          <w:sz w:val="32"/>
          <w:szCs w:val="32"/>
          <w:lang w:val="en-US" w:eastAsia="zh-CN"/>
        </w:rPr>
      </w:pPr>
      <w:r>
        <w:rPr>
          <w:rFonts w:hint="default" w:ascii="Times New Roman" w:hAnsi="Times New Roman" w:eastAsia="仿宋_GB2312" w:cs="Times New Roman"/>
          <w:color w:val="auto"/>
          <w:sz w:val="32"/>
          <w:szCs w:val="32"/>
          <w:lang w:val="en-US" w:eastAsia="zh-CN"/>
        </w:rPr>
        <w:t>首次明确红桄榔粉直链淀粉≥60% 的高指标</w:t>
      </w:r>
      <w:r>
        <w:rPr>
          <w:rFonts w:hint="eastAsia" w:ascii="Times New Roman" w:hAnsi="Times New Roman" w:eastAsia="仿宋_GB2312" w:cs="Times New Roman"/>
          <w:color w:val="auto"/>
          <w:sz w:val="32"/>
          <w:szCs w:val="32"/>
          <w:lang w:val="en-US" w:eastAsia="zh-CN"/>
        </w:rPr>
        <w:t>，以</w:t>
      </w:r>
      <w:r>
        <w:rPr>
          <w:rFonts w:hint="default" w:ascii="Times New Roman" w:hAnsi="Times New Roman" w:eastAsia="仿宋_GB2312" w:cs="Times New Roman"/>
          <w:color w:val="auto"/>
          <w:sz w:val="32"/>
          <w:szCs w:val="32"/>
          <w:lang w:val="en-US" w:eastAsia="zh-CN"/>
        </w:rPr>
        <w:t>及总黄酮等特征成分的量化要求，区别于普通淀粉制品；严格限定原料树高＞10m，从源头保障产品风味和营养；将传统工艺纳入标准规范，同时明确现代检验方法和安全要求，兼顾传承与合规。</w:t>
      </w:r>
    </w:p>
    <w:p w14:paraId="0CC75E30">
      <w:pPr>
        <w:pStyle w:val="8"/>
        <w:widowControl/>
        <w:spacing w:before="0" w:beforeAutospacing="0" w:after="0" w:afterAutospacing="0" w:line="520" w:lineRule="exact"/>
        <w:ind w:firstLine="640" w:firstLineChars="200"/>
        <w:jc w:val="both"/>
        <w:rPr>
          <w:rFonts w:hint="eastAsia" w:eastAsia="仿宋_GB2312" w:cs="Times New Roman"/>
          <w:color w:val="auto"/>
          <w:sz w:val="32"/>
          <w:szCs w:val="32"/>
          <w:lang w:val="en-US" w:eastAsia="zh-CN"/>
        </w:rPr>
      </w:pPr>
      <w:r>
        <w:rPr>
          <w:rFonts w:hint="eastAsia" w:eastAsia="仿宋_GB2312" w:cs="Times New Roman"/>
          <w:color w:val="auto"/>
          <w:sz w:val="32"/>
          <w:szCs w:val="32"/>
          <w:lang w:val="en-US" w:eastAsia="zh-CN"/>
        </w:rPr>
        <w:t>2.主体内容</w:t>
      </w:r>
    </w:p>
    <w:p w14:paraId="65CFA701">
      <w:pPr>
        <w:pStyle w:val="8"/>
        <w:widowControl/>
        <w:spacing w:before="0" w:beforeAutospacing="0" w:after="0" w:afterAutospacing="0" w:line="520" w:lineRule="exact"/>
        <w:ind w:firstLine="640" w:firstLineChars="200"/>
        <w:jc w:val="both"/>
        <w:rPr>
          <w:rFonts w:eastAsia="仿宋_GB2312" w:cs="Times New Roman"/>
          <w:color w:val="auto"/>
          <w:sz w:val="32"/>
          <w:szCs w:val="32"/>
          <w:lang w:val="zh-CN"/>
        </w:rPr>
      </w:pPr>
      <w:r>
        <w:rPr>
          <w:rFonts w:hint="eastAsia" w:eastAsia="仿宋_GB2312" w:cs="Times New Roman"/>
          <w:color w:val="auto"/>
          <w:sz w:val="32"/>
          <w:szCs w:val="32"/>
          <w:lang w:val="zh-CN"/>
        </w:rPr>
        <w:t>标准编制工作组在对收集的资料进行整理研究后，召开了标准编制会议，对标准的整体框架进行了讨论研究，并对标准的关键性问题进行了初步探讨。经过研究，标准的主体内容包括界定了红桄榔粉的术语和定义，规定了红桄榔粉的原辅料、感官、理化指标、安全指标以及标志、标签、包装、运输和贮运的要求。</w:t>
      </w:r>
    </w:p>
    <w:p w14:paraId="6A46CA72">
      <w:pPr>
        <w:numPr>
          <w:ilvl w:val="0"/>
          <w:numId w:val="3"/>
        </w:numPr>
        <w:spacing w:line="520" w:lineRule="exact"/>
        <w:ind w:left="600"/>
        <w:rPr>
          <w:rFonts w:hint="eastAsia" w:ascii="楷体" w:hAnsi="楷体" w:eastAsia="楷体"/>
          <w:b/>
          <w:color w:val="auto"/>
          <w:sz w:val="32"/>
          <w:szCs w:val="32"/>
          <w:lang w:val="zh-CN"/>
        </w:rPr>
      </w:pPr>
      <w:r>
        <w:rPr>
          <w:rFonts w:hint="eastAsia" w:ascii="楷体" w:hAnsi="楷体" w:eastAsia="楷体"/>
          <w:b/>
          <w:color w:val="auto"/>
          <w:sz w:val="32"/>
          <w:szCs w:val="32"/>
          <w:lang w:val="zh-CN"/>
        </w:rPr>
        <w:t>调研、形成文本草案、征求意见稿</w:t>
      </w:r>
    </w:p>
    <w:p w14:paraId="38D165A2">
      <w:pPr>
        <w:spacing w:line="520" w:lineRule="exact"/>
        <w:ind w:firstLine="640" w:firstLineChars="200"/>
        <w:rPr>
          <w:rFonts w:ascii="仿宋_GB2312" w:eastAsia="仿宋_GB2312"/>
          <w:color w:val="auto"/>
          <w:sz w:val="32"/>
          <w:szCs w:val="32"/>
          <w:lang w:val="zh-CN"/>
        </w:rPr>
      </w:pPr>
      <w:r>
        <w:rPr>
          <w:rFonts w:hint="eastAsia" w:eastAsia="仿宋_GB2312" w:cs="Times New Roman"/>
          <w:color w:val="auto"/>
          <w:sz w:val="32"/>
          <w:szCs w:val="32"/>
          <w:lang w:val="zh-CN"/>
        </w:rPr>
        <w:t>202</w:t>
      </w:r>
      <w:r>
        <w:rPr>
          <w:rFonts w:hint="eastAsia" w:eastAsia="仿宋_GB2312" w:cs="Times New Roman"/>
          <w:color w:val="auto"/>
          <w:sz w:val="32"/>
          <w:szCs w:val="32"/>
          <w:lang w:val="en-US" w:eastAsia="zh-CN"/>
        </w:rPr>
        <w:t>5</w:t>
      </w:r>
      <w:r>
        <w:rPr>
          <w:rFonts w:hint="eastAsia" w:eastAsia="仿宋_GB2312" w:cs="Times New Roman"/>
          <w:color w:val="auto"/>
          <w:sz w:val="32"/>
          <w:szCs w:val="32"/>
          <w:lang w:val="zh-CN"/>
        </w:rPr>
        <w:t>年</w:t>
      </w:r>
      <w:r>
        <w:rPr>
          <w:rFonts w:hint="eastAsia" w:eastAsia="仿宋_GB2312" w:cs="Times New Roman"/>
          <w:color w:val="auto"/>
          <w:sz w:val="32"/>
          <w:szCs w:val="32"/>
          <w:lang w:val="en-US" w:eastAsia="zh-CN"/>
        </w:rPr>
        <w:t>12</w:t>
      </w:r>
      <w:r>
        <w:rPr>
          <w:rFonts w:hint="eastAsia" w:eastAsia="仿宋_GB2312" w:cs="Times New Roman"/>
          <w:color w:val="auto"/>
          <w:sz w:val="32"/>
          <w:szCs w:val="32"/>
        </w:rPr>
        <w:t>月~</w:t>
      </w:r>
      <w:r>
        <w:rPr>
          <w:rFonts w:hint="eastAsia" w:eastAsia="仿宋_GB2312" w:cs="Times New Roman"/>
          <w:color w:val="auto"/>
          <w:sz w:val="32"/>
          <w:szCs w:val="32"/>
          <w:lang w:val="en-US" w:eastAsia="zh-CN"/>
        </w:rPr>
        <w:t>翌年1月</w:t>
      </w:r>
      <w:r>
        <w:rPr>
          <w:rFonts w:hint="eastAsia" w:eastAsia="仿宋_GB2312" w:cs="Times New Roman"/>
          <w:color w:val="auto"/>
          <w:sz w:val="32"/>
          <w:szCs w:val="32"/>
          <w:lang w:val="zh-CN"/>
        </w:rPr>
        <w:t>，标准编制工作组进行了广泛实地调研工作，深入</w:t>
      </w:r>
      <w:r>
        <w:rPr>
          <w:rFonts w:hint="eastAsia" w:eastAsia="仿宋_GB2312"/>
          <w:color w:val="auto"/>
          <w:sz w:val="32"/>
          <w:szCs w:val="32"/>
        </w:rPr>
        <w:t>广西派阳山森林公园有限责任公司、广西崇左市龙州县彩森食品有限责任公司、龙州县广林食品有限公司</w:t>
      </w:r>
      <w:r>
        <w:rPr>
          <w:rFonts w:hint="eastAsia" w:ascii="仿宋_GB2312" w:eastAsia="仿宋_GB2312"/>
          <w:color w:val="auto"/>
          <w:sz w:val="32"/>
          <w:szCs w:val="32"/>
        </w:rPr>
        <w:t>等单位</w:t>
      </w:r>
      <w:r>
        <w:rPr>
          <w:rFonts w:hint="eastAsia" w:eastAsia="仿宋_GB2312" w:cs="Times New Roman"/>
          <w:color w:val="auto"/>
          <w:sz w:val="32"/>
          <w:szCs w:val="32"/>
          <w:lang w:val="zh-CN"/>
        </w:rPr>
        <w:t>，对红桄榔粉的</w:t>
      </w:r>
      <w:r>
        <w:rPr>
          <w:rFonts w:hint="eastAsia" w:eastAsia="仿宋_GB2312" w:cs="Times New Roman"/>
          <w:color w:val="auto"/>
          <w:sz w:val="32"/>
          <w:szCs w:val="32"/>
          <w:lang w:val="en-US" w:eastAsia="zh-CN"/>
        </w:rPr>
        <w:t>原料、加工、感官</w:t>
      </w:r>
      <w:r>
        <w:rPr>
          <w:rFonts w:hint="eastAsia" w:eastAsia="仿宋_GB2312" w:cs="Times New Roman"/>
          <w:color w:val="auto"/>
          <w:sz w:val="32"/>
          <w:szCs w:val="32"/>
          <w:lang w:val="zh-CN"/>
        </w:rPr>
        <w:t>等方面的技术要求进行调研。</w:t>
      </w:r>
      <w:r>
        <w:rPr>
          <w:rFonts w:hint="eastAsia" w:ascii="仿宋_GB2312" w:eastAsia="仿宋_GB2312"/>
          <w:color w:val="auto"/>
          <w:sz w:val="32"/>
          <w:szCs w:val="32"/>
          <w:lang w:val="zh-CN"/>
        </w:rPr>
        <w:t>同时，查阅了大量的国内外文献资料，对</w:t>
      </w:r>
      <w:r>
        <w:rPr>
          <w:rFonts w:hint="eastAsia" w:eastAsia="仿宋_GB2312" w:cs="Times New Roman"/>
          <w:color w:val="auto"/>
          <w:sz w:val="32"/>
          <w:szCs w:val="32"/>
          <w:lang w:val="zh-CN"/>
        </w:rPr>
        <w:t>红桄榔粉技术要求</w:t>
      </w:r>
      <w:r>
        <w:rPr>
          <w:rFonts w:hint="eastAsia" w:ascii="仿宋_GB2312" w:eastAsia="仿宋_GB2312"/>
          <w:color w:val="auto"/>
          <w:sz w:val="32"/>
          <w:szCs w:val="32"/>
          <w:lang w:val="zh-CN"/>
        </w:rPr>
        <w:t>进行系统总结。并</w:t>
      </w:r>
      <w:r>
        <w:rPr>
          <w:rFonts w:hint="eastAsia" w:eastAsia="仿宋_GB2312" w:cs="Times New Roman"/>
          <w:color w:val="auto"/>
          <w:sz w:val="32"/>
          <w:szCs w:val="32"/>
          <w:lang w:val="zh-CN"/>
        </w:rPr>
        <w:t>召集相关人员开展标准研讨会，对主要内容进行了讨论后</w:t>
      </w:r>
      <w:r>
        <w:rPr>
          <w:rFonts w:hint="eastAsia" w:ascii="仿宋_GB2312" w:eastAsia="仿宋_GB2312"/>
          <w:color w:val="auto"/>
          <w:sz w:val="32"/>
          <w:szCs w:val="32"/>
          <w:lang w:val="zh-CN"/>
        </w:rPr>
        <w:t>，形成了标准</w:t>
      </w:r>
      <w:r>
        <w:rPr>
          <w:rFonts w:hint="eastAsia" w:eastAsia="仿宋_GB2312" w:cs="Times New Roman"/>
          <w:color w:val="auto"/>
          <w:sz w:val="32"/>
          <w:szCs w:val="32"/>
          <w:lang w:val="zh-CN"/>
        </w:rPr>
        <w:t>《红桄榔粉》（草案）</w:t>
      </w:r>
      <w:r>
        <w:rPr>
          <w:rFonts w:hint="eastAsia" w:ascii="仿宋_GB2312" w:eastAsia="仿宋_GB2312"/>
          <w:color w:val="auto"/>
          <w:sz w:val="32"/>
          <w:szCs w:val="32"/>
          <w:lang w:val="zh-CN"/>
        </w:rPr>
        <w:t>的基本构架，对项目的工作进行了部署和安排。</w:t>
      </w:r>
    </w:p>
    <w:p w14:paraId="5434D91C">
      <w:pPr>
        <w:pStyle w:val="8"/>
        <w:widowControl/>
        <w:spacing w:before="0" w:beforeAutospacing="0" w:after="0" w:afterAutospacing="0" w:line="520" w:lineRule="exact"/>
        <w:ind w:firstLine="640" w:firstLineChars="200"/>
        <w:jc w:val="both"/>
        <w:rPr>
          <w:rFonts w:eastAsia="仿宋_GB2312" w:cs="Times New Roman"/>
          <w:color w:val="auto"/>
          <w:sz w:val="32"/>
          <w:szCs w:val="32"/>
          <w:lang w:val="zh-CN"/>
        </w:rPr>
      </w:pPr>
      <w:r>
        <w:rPr>
          <w:rFonts w:hint="eastAsia" w:eastAsia="仿宋_GB2312" w:cs="Times New Roman"/>
          <w:color w:val="auto"/>
          <w:sz w:val="32"/>
          <w:szCs w:val="32"/>
        </w:rPr>
        <w:t>202</w:t>
      </w:r>
      <w:r>
        <w:rPr>
          <w:rFonts w:hint="eastAsia" w:eastAsia="仿宋_GB2312" w:cs="Times New Roman"/>
          <w:color w:val="auto"/>
          <w:sz w:val="32"/>
          <w:szCs w:val="32"/>
          <w:lang w:val="en-US" w:eastAsia="zh-CN"/>
        </w:rPr>
        <w:t>6</w:t>
      </w:r>
      <w:r>
        <w:rPr>
          <w:rFonts w:hint="eastAsia" w:eastAsia="仿宋_GB2312" w:cs="Times New Roman"/>
          <w:color w:val="auto"/>
          <w:sz w:val="32"/>
          <w:szCs w:val="32"/>
        </w:rPr>
        <w:t>年</w:t>
      </w:r>
      <w:r>
        <w:rPr>
          <w:rFonts w:hint="eastAsia" w:eastAsia="仿宋_GB2312" w:cs="Times New Roman"/>
          <w:color w:val="auto"/>
          <w:sz w:val="32"/>
          <w:szCs w:val="32"/>
          <w:lang w:val="en-US" w:eastAsia="zh-CN"/>
        </w:rPr>
        <w:t>1</w:t>
      </w:r>
      <w:r>
        <w:rPr>
          <w:rFonts w:hint="eastAsia" w:eastAsia="仿宋_GB2312" w:cs="Times New Roman"/>
          <w:color w:val="auto"/>
          <w:sz w:val="32"/>
          <w:szCs w:val="32"/>
        </w:rPr>
        <w:t>月，</w:t>
      </w:r>
      <w:r>
        <w:rPr>
          <w:rFonts w:hint="eastAsia" w:eastAsia="仿宋_GB2312" w:cs="Times New Roman"/>
          <w:color w:val="auto"/>
          <w:sz w:val="32"/>
          <w:szCs w:val="32"/>
          <w:lang w:val="zh-CN"/>
        </w:rPr>
        <w:t>标准编制工作组在前期工作的基础之上，通过理清逻辑脉络，整合已有的参考资料中有关红桄榔粉的内容，并结合红桄榔粉技术实际要求及前期研究的基础上，</w:t>
      </w:r>
      <w:r>
        <w:rPr>
          <w:rFonts w:hint="eastAsia" w:eastAsia="仿宋_GB2312" w:cs="Times New Roman"/>
          <w:color w:val="auto"/>
          <w:sz w:val="32"/>
          <w:szCs w:val="32"/>
          <w:lang w:val="en-US" w:eastAsia="zh-CN"/>
        </w:rPr>
        <w:t>进行了送样检测，通过检测了蛋白质、淀粉、氨基酸、膳食纤维、钙、铁、锌、灰分、酸度、直链淀粉等指标，经编制组线上线下会议讨论确定核心指标优势</w:t>
      </w:r>
      <w:r>
        <w:rPr>
          <w:rFonts w:hint="eastAsia" w:eastAsia="仿宋_GB2312" w:cs="Times New Roman"/>
          <w:color w:val="auto"/>
          <w:sz w:val="32"/>
          <w:szCs w:val="32"/>
          <w:lang w:val="zh-CN"/>
        </w:rPr>
        <w:t>。</w:t>
      </w:r>
    </w:p>
    <w:p w14:paraId="7E742D31">
      <w:pPr>
        <w:pStyle w:val="8"/>
        <w:widowControl/>
        <w:spacing w:before="0" w:beforeAutospacing="0" w:after="0" w:afterAutospacing="0" w:line="520" w:lineRule="exact"/>
        <w:ind w:firstLine="640" w:firstLineChars="200"/>
        <w:jc w:val="both"/>
        <w:rPr>
          <w:rFonts w:eastAsia="仿宋_GB2312" w:cs="Times New Roman"/>
          <w:color w:val="auto"/>
          <w:sz w:val="32"/>
          <w:szCs w:val="32"/>
          <w:lang w:val="zh-CN"/>
        </w:rPr>
      </w:pPr>
      <w:r>
        <w:rPr>
          <w:rFonts w:hint="eastAsia" w:eastAsia="仿宋_GB2312" w:cs="Times New Roman"/>
          <w:color w:val="auto"/>
          <w:sz w:val="32"/>
          <w:szCs w:val="32"/>
          <w:lang w:val="zh-CN"/>
        </w:rPr>
        <w:t>202</w:t>
      </w:r>
      <w:r>
        <w:rPr>
          <w:rFonts w:hint="eastAsia" w:eastAsia="仿宋_GB2312" w:cs="Times New Roman"/>
          <w:color w:val="auto"/>
          <w:sz w:val="32"/>
          <w:szCs w:val="32"/>
          <w:lang w:val="en-US" w:eastAsia="zh-CN"/>
        </w:rPr>
        <w:t>6年2</w:t>
      </w:r>
      <w:r>
        <w:rPr>
          <w:rFonts w:hint="eastAsia" w:eastAsia="仿宋_GB2312" w:cs="Times New Roman"/>
          <w:color w:val="auto"/>
          <w:sz w:val="32"/>
          <w:szCs w:val="32"/>
        </w:rPr>
        <w:t>月</w:t>
      </w:r>
      <w:r>
        <w:rPr>
          <w:rFonts w:hint="eastAsia" w:eastAsia="仿宋_GB2312" w:cs="Times New Roman"/>
          <w:color w:val="auto"/>
          <w:sz w:val="32"/>
          <w:szCs w:val="32"/>
          <w:lang w:val="zh-CN"/>
        </w:rPr>
        <w:t>，标准编制工作组以草案为基础，提炼核心技术细节，并征求</w:t>
      </w:r>
      <w:r>
        <w:rPr>
          <w:rFonts w:hint="eastAsia" w:eastAsia="仿宋_GB2312"/>
          <w:color w:val="auto"/>
          <w:sz w:val="32"/>
          <w:szCs w:val="32"/>
        </w:rPr>
        <w:t>广西派阳山森林公园有限责任公司、广西崇左市龙州县彩森食品有限责任公司、龙州县广林食品有限公司</w:t>
      </w:r>
      <w:r>
        <w:rPr>
          <w:rFonts w:hint="eastAsia" w:eastAsia="仿宋_GB2312" w:cs="Times New Roman"/>
          <w:color w:val="auto"/>
          <w:sz w:val="32"/>
          <w:szCs w:val="32"/>
          <w:lang w:val="zh-CN"/>
        </w:rPr>
        <w:t>等单位意见，</w:t>
      </w:r>
      <w:r>
        <w:rPr>
          <w:rFonts w:hint="eastAsia" w:eastAsia="仿宋_GB2312" w:cs="Times New Roman"/>
          <w:color w:val="auto"/>
          <w:sz w:val="32"/>
          <w:szCs w:val="32"/>
        </w:rPr>
        <w:t>经起草单位协商一致，确定红桄榔粉的原辅料、感官、理化指标、安全指标以及标志、标签、包装、运输和贮运的要求等要求</w:t>
      </w:r>
      <w:r>
        <w:rPr>
          <w:rFonts w:hint="eastAsia" w:eastAsia="仿宋_GB2312" w:cs="Times New Roman"/>
          <w:color w:val="auto"/>
          <w:sz w:val="32"/>
          <w:szCs w:val="32"/>
          <w:lang w:eastAsia="zh-CN"/>
        </w:rPr>
        <w:t>，</w:t>
      </w:r>
      <w:r>
        <w:rPr>
          <w:rFonts w:hint="eastAsia" w:eastAsia="仿宋_GB2312" w:cs="Times New Roman"/>
          <w:color w:val="auto"/>
          <w:sz w:val="32"/>
          <w:szCs w:val="32"/>
          <w:lang w:val="zh-CN"/>
        </w:rPr>
        <w:t>形成团体标准《红桄榔粉》（征求意见稿）和（征求意见稿）编制说明。</w:t>
      </w:r>
    </w:p>
    <w:p w14:paraId="7808CB30">
      <w:pPr>
        <w:pStyle w:val="8"/>
        <w:widowControl/>
        <w:spacing w:before="0" w:beforeAutospacing="0" w:after="0" w:afterAutospacing="0" w:line="520" w:lineRule="exact"/>
        <w:ind w:firstLine="640" w:firstLineChars="200"/>
        <w:jc w:val="both"/>
        <w:rPr>
          <w:rFonts w:eastAsia="仿宋_GB2312" w:cs="Times New Roman"/>
          <w:color w:val="auto"/>
          <w:sz w:val="32"/>
          <w:szCs w:val="32"/>
        </w:rPr>
      </w:pPr>
    </w:p>
    <w:p w14:paraId="182222D7">
      <w:pPr>
        <w:numPr>
          <w:ilvl w:val="0"/>
          <w:numId w:val="2"/>
        </w:numPr>
        <w:overflowPunct w:val="0"/>
        <w:topLinePunct/>
        <w:spacing w:line="560" w:lineRule="exact"/>
        <w:outlineLvl w:val="0"/>
        <w:rPr>
          <w:rFonts w:eastAsia="黑体"/>
          <w:bCs/>
          <w:color w:val="auto"/>
          <w:sz w:val="32"/>
          <w:szCs w:val="32"/>
        </w:rPr>
      </w:pPr>
      <w:r>
        <w:rPr>
          <w:rFonts w:hint="eastAsia" w:eastAsia="黑体"/>
          <w:bCs/>
          <w:color w:val="auto"/>
          <w:sz w:val="32"/>
          <w:szCs w:val="32"/>
        </w:rPr>
        <w:t>制定标准的原则和依据，与现行法律、法规的关系，与有关国家标准、行业标准的协调情况</w:t>
      </w:r>
    </w:p>
    <w:p w14:paraId="709F4BCC">
      <w:pPr>
        <w:pStyle w:val="16"/>
        <w:spacing w:line="560" w:lineRule="exact"/>
        <w:ind w:firstLine="640"/>
        <w:outlineLvl w:val="1"/>
        <w:rPr>
          <w:rFonts w:ascii="Times New Roman" w:hAnsi="Times New Roman" w:eastAsia="楷体_GB2312"/>
          <w:color w:val="auto"/>
          <w:kern w:val="2"/>
          <w:sz w:val="32"/>
          <w:szCs w:val="32"/>
        </w:rPr>
      </w:pPr>
      <w:r>
        <w:rPr>
          <w:rFonts w:ascii="Times New Roman" w:hAnsi="Times New Roman" w:eastAsia="楷体_GB2312"/>
          <w:color w:val="auto"/>
          <w:kern w:val="2"/>
          <w:sz w:val="32"/>
          <w:szCs w:val="32"/>
        </w:rPr>
        <w:t>（一）</w:t>
      </w:r>
      <w:r>
        <w:rPr>
          <w:rFonts w:hint="eastAsia" w:ascii="Times New Roman" w:hAnsi="Times New Roman" w:eastAsia="楷体_GB2312"/>
          <w:color w:val="auto"/>
          <w:kern w:val="2"/>
          <w:sz w:val="32"/>
          <w:szCs w:val="32"/>
        </w:rPr>
        <w:t>编制原则</w:t>
      </w:r>
    </w:p>
    <w:p w14:paraId="2A2BCC12">
      <w:pPr>
        <w:overflowPunct w:val="0"/>
        <w:topLinePunct/>
        <w:spacing w:line="560" w:lineRule="exact"/>
        <w:ind w:firstLine="641"/>
        <w:outlineLvl w:val="2"/>
        <w:rPr>
          <w:rFonts w:eastAsia="仿宋_GB2312"/>
          <w:color w:val="auto"/>
          <w:sz w:val="32"/>
          <w:szCs w:val="32"/>
        </w:rPr>
      </w:pPr>
      <w:r>
        <w:rPr>
          <w:rFonts w:hint="eastAsia" w:eastAsia="仿宋_GB2312"/>
          <w:color w:val="auto"/>
          <w:sz w:val="32"/>
          <w:szCs w:val="32"/>
          <w:lang w:eastAsia="zh-CN"/>
        </w:rPr>
        <w:t>1.</w:t>
      </w:r>
      <w:r>
        <w:rPr>
          <w:rFonts w:eastAsia="仿宋_GB2312"/>
          <w:color w:val="auto"/>
          <w:sz w:val="32"/>
          <w:szCs w:val="32"/>
        </w:rPr>
        <w:t>实用性原则</w:t>
      </w:r>
    </w:p>
    <w:p w14:paraId="6D4084DC">
      <w:pPr>
        <w:overflowPunct w:val="0"/>
        <w:topLinePunct/>
        <w:spacing w:line="560" w:lineRule="exact"/>
        <w:ind w:firstLine="640"/>
        <w:rPr>
          <w:rFonts w:eastAsia="仿宋_GB2312"/>
          <w:color w:val="auto"/>
          <w:sz w:val="32"/>
          <w:szCs w:val="32"/>
        </w:rPr>
      </w:pPr>
      <w:r>
        <w:rPr>
          <w:rFonts w:hint="eastAsia" w:eastAsia="仿宋_GB2312"/>
          <w:color w:val="auto"/>
          <w:sz w:val="32"/>
          <w:szCs w:val="32"/>
        </w:rPr>
        <w:t>本文件是在充分收集相关资料和文献，调研</w:t>
      </w:r>
      <w:r>
        <w:rPr>
          <w:rFonts w:hint="eastAsia" w:eastAsia="仿宋_GB2312"/>
          <w:color w:val="auto"/>
          <w:sz w:val="32"/>
          <w:szCs w:val="32"/>
          <w:lang w:eastAsia="zh-CN"/>
        </w:rPr>
        <w:t>红桄榔粉</w:t>
      </w:r>
      <w:r>
        <w:rPr>
          <w:rFonts w:hint="eastAsia" w:eastAsia="仿宋_GB2312"/>
          <w:color w:val="auto"/>
          <w:sz w:val="32"/>
          <w:szCs w:val="32"/>
          <w:lang w:val="en-US" w:eastAsia="zh-CN"/>
        </w:rPr>
        <w:t>原料、感官、理化指标</w:t>
      </w:r>
      <w:r>
        <w:rPr>
          <w:rFonts w:hint="eastAsia" w:eastAsia="仿宋_GB2312"/>
          <w:color w:val="auto"/>
          <w:sz w:val="32"/>
          <w:szCs w:val="32"/>
        </w:rPr>
        <w:t>等情况，分析</w:t>
      </w:r>
      <w:r>
        <w:rPr>
          <w:rFonts w:hint="eastAsia" w:eastAsia="仿宋_GB2312"/>
          <w:color w:val="auto"/>
          <w:sz w:val="32"/>
          <w:szCs w:val="32"/>
          <w:lang w:eastAsia="zh-CN"/>
        </w:rPr>
        <w:t>红桄榔粉</w:t>
      </w:r>
      <w:r>
        <w:rPr>
          <w:rFonts w:hint="eastAsia" w:eastAsia="仿宋_GB2312"/>
          <w:color w:val="auto"/>
          <w:sz w:val="32"/>
          <w:szCs w:val="32"/>
        </w:rPr>
        <w:t>当前现状，在现有</w:t>
      </w:r>
      <w:r>
        <w:rPr>
          <w:rFonts w:hint="eastAsia" w:eastAsia="仿宋_GB2312"/>
          <w:color w:val="auto"/>
          <w:sz w:val="32"/>
          <w:szCs w:val="32"/>
          <w:lang w:eastAsia="zh-CN"/>
        </w:rPr>
        <w:t>红桄榔粉</w:t>
      </w:r>
      <w:r>
        <w:rPr>
          <w:rFonts w:hint="eastAsia" w:eastAsia="仿宋_GB2312"/>
          <w:color w:val="auto"/>
          <w:sz w:val="32"/>
          <w:szCs w:val="32"/>
        </w:rPr>
        <w:t>的基础上，结合</w:t>
      </w:r>
      <w:r>
        <w:rPr>
          <w:rFonts w:hint="eastAsia" w:eastAsia="仿宋_GB2312"/>
          <w:color w:val="auto"/>
          <w:sz w:val="32"/>
          <w:szCs w:val="32"/>
          <w:lang w:eastAsia="zh-CN"/>
        </w:rPr>
        <w:t>广西壮族自治区国有派阳山林场</w:t>
      </w:r>
      <w:r>
        <w:rPr>
          <w:rFonts w:hint="eastAsia" w:eastAsia="仿宋_GB2312"/>
          <w:color w:val="auto"/>
          <w:sz w:val="32"/>
          <w:szCs w:val="32"/>
        </w:rPr>
        <w:t>和广西崇左市龙州县彩森食品有限责任公司、龙州县广林食品有限公司</w:t>
      </w:r>
      <w:r>
        <w:rPr>
          <w:rFonts w:hint="eastAsia" w:eastAsia="仿宋_GB2312"/>
          <w:color w:val="auto"/>
          <w:sz w:val="32"/>
          <w:szCs w:val="32"/>
          <w:lang w:val="en-US" w:eastAsia="zh-CN"/>
        </w:rPr>
        <w:t>等</w:t>
      </w:r>
      <w:r>
        <w:rPr>
          <w:rFonts w:hint="eastAsia" w:eastAsia="仿宋_GB2312" w:cs="Times New Roman"/>
          <w:color w:val="auto"/>
          <w:sz w:val="32"/>
          <w:szCs w:val="32"/>
        </w:rPr>
        <w:t>企业的需求情况</w:t>
      </w:r>
      <w:r>
        <w:rPr>
          <w:rFonts w:hint="eastAsia" w:eastAsia="仿宋_GB2312"/>
          <w:color w:val="auto"/>
          <w:sz w:val="32"/>
          <w:szCs w:val="32"/>
        </w:rPr>
        <w:t>而总结起草的，符合当前</w:t>
      </w:r>
      <w:r>
        <w:rPr>
          <w:rFonts w:hint="eastAsia" w:eastAsia="仿宋_GB2312"/>
          <w:color w:val="auto"/>
          <w:sz w:val="32"/>
          <w:szCs w:val="32"/>
          <w:lang w:eastAsia="zh-CN"/>
        </w:rPr>
        <w:t>红桄榔粉</w:t>
      </w:r>
      <w:r>
        <w:rPr>
          <w:rFonts w:hint="eastAsia" w:eastAsia="仿宋_GB2312"/>
          <w:color w:val="auto"/>
          <w:sz w:val="32"/>
          <w:szCs w:val="32"/>
        </w:rPr>
        <w:t>产业发展的方向与社会需求，有利于</w:t>
      </w:r>
      <w:r>
        <w:rPr>
          <w:rFonts w:hint="eastAsia" w:eastAsia="仿宋_GB2312"/>
          <w:color w:val="auto"/>
          <w:sz w:val="32"/>
          <w:szCs w:val="32"/>
          <w:lang w:val="en-US" w:eastAsia="zh-CN"/>
        </w:rPr>
        <w:t>桄榔粉</w:t>
      </w:r>
      <w:r>
        <w:rPr>
          <w:rFonts w:hint="eastAsia" w:eastAsia="仿宋_GB2312"/>
          <w:color w:val="auto"/>
          <w:sz w:val="32"/>
          <w:szCs w:val="32"/>
        </w:rPr>
        <w:t>产业的长远发展。</w:t>
      </w:r>
    </w:p>
    <w:p w14:paraId="5F35E036">
      <w:pPr>
        <w:overflowPunct w:val="0"/>
        <w:topLinePunct/>
        <w:spacing w:line="560" w:lineRule="exact"/>
        <w:ind w:firstLine="641"/>
        <w:outlineLvl w:val="2"/>
        <w:rPr>
          <w:rFonts w:eastAsia="仿宋_GB2312"/>
          <w:color w:val="auto"/>
          <w:sz w:val="32"/>
          <w:szCs w:val="32"/>
        </w:rPr>
      </w:pPr>
      <w:r>
        <w:rPr>
          <w:rFonts w:hint="eastAsia" w:eastAsia="仿宋_GB2312"/>
          <w:color w:val="auto"/>
          <w:sz w:val="32"/>
          <w:szCs w:val="32"/>
          <w:lang w:eastAsia="zh-CN"/>
        </w:rPr>
        <w:t>2.</w:t>
      </w:r>
      <w:r>
        <w:rPr>
          <w:rFonts w:hint="eastAsia" w:eastAsia="仿宋_GB2312"/>
          <w:color w:val="auto"/>
          <w:sz w:val="32"/>
          <w:szCs w:val="32"/>
        </w:rPr>
        <w:t>协调性原则</w:t>
      </w:r>
    </w:p>
    <w:p w14:paraId="30E74DDC">
      <w:pPr>
        <w:overflowPunct w:val="0"/>
        <w:topLinePunct/>
        <w:spacing w:line="560" w:lineRule="exact"/>
        <w:ind w:firstLine="640"/>
        <w:rPr>
          <w:rFonts w:eastAsia="仿宋_GB2312"/>
          <w:color w:val="auto"/>
          <w:sz w:val="32"/>
          <w:szCs w:val="32"/>
        </w:rPr>
      </w:pPr>
      <w:r>
        <w:rPr>
          <w:rFonts w:hint="eastAsia" w:eastAsia="仿宋_GB2312"/>
          <w:color w:val="auto"/>
          <w:sz w:val="32"/>
          <w:szCs w:val="32"/>
        </w:rPr>
        <w:t>本文件编写过程中注意了与</w:t>
      </w:r>
      <w:r>
        <w:rPr>
          <w:rFonts w:hint="eastAsia" w:eastAsia="仿宋_GB2312"/>
          <w:color w:val="auto"/>
          <w:sz w:val="32"/>
          <w:szCs w:val="32"/>
          <w:lang w:eastAsia="zh-CN"/>
        </w:rPr>
        <w:t>红桄榔粉</w:t>
      </w:r>
      <w:r>
        <w:rPr>
          <w:rFonts w:hint="eastAsia" w:eastAsia="仿宋_GB2312"/>
          <w:color w:val="auto"/>
          <w:sz w:val="32"/>
          <w:szCs w:val="32"/>
        </w:rPr>
        <w:t>相关法律法规的协调问题，在内容上与现行法律法规、标准协调一致。</w:t>
      </w:r>
    </w:p>
    <w:p w14:paraId="34A2CD62">
      <w:pPr>
        <w:overflowPunct w:val="0"/>
        <w:topLinePunct/>
        <w:spacing w:line="560" w:lineRule="exact"/>
        <w:ind w:firstLine="641"/>
        <w:outlineLvl w:val="2"/>
        <w:rPr>
          <w:rFonts w:eastAsia="仿宋_GB2312"/>
          <w:color w:val="auto"/>
          <w:sz w:val="32"/>
          <w:szCs w:val="32"/>
        </w:rPr>
      </w:pPr>
      <w:r>
        <w:rPr>
          <w:rFonts w:hint="eastAsia" w:eastAsia="仿宋_GB2312"/>
          <w:color w:val="auto"/>
          <w:sz w:val="32"/>
          <w:szCs w:val="32"/>
          <w:lang w:eastAsia="zh-CN"/>
        </w:rPr>
        <w:t>3.</w:t>
      </w:r>
      <w:r>
        <w:rPr>
          <w:rFonts w:hint="eastAsia" w:eastAsia="仿宋_GB2312"/>
          <w:color w:val="auto"/>
          <w:sz w:val="32"/>
          <w:szCs w:val="32"/>
        </w:rPr>
        <w:t>规范性原则</w:t>
      </w:r>
    </w:p>
    <w:p w14:paraId="64AE07FC">
      <w:pPr>
        <w:overflowPunct w:val="0"/>
        <w:topLinePunct/>
        <w:spacing w:line="560" w:lineRule="exact"/>
        <w:ind w:firstLine="640"/>
        <w:rPr>
          <w:rFonts w:eastAsia="仿宋_GB2312"/>
          <w:color w:val="auto"/>
          <w:sz w:val="32"/>
          <w:szCs w:val="32"/>
        </w:rPr>
      </w:pPr>
      <w:r>
        <w:rPr>
          <w:rFonts w:hint="eastAsia" w:eastAsia="仿宋_GB2312"/>
          <w:color w:val="auto"/>
          <w:sz w:val="32"/>
          <w:szCs w:val="32"/>
        </w:rPr>
        <w:t>本文件严格按照GB/T 1.1—2020《标准化工作导则  第1部分：标准化文件的结构和起草规则》编写本标准的内容，保证标准的编写质量。</w:t>
      </w:r>
    </w:p>
    <w:p w14:paraId="03753128">
      <w:pPr>
        <w:overflowPunct w:val="0"/>
        <w:topLinePunct/>
        <w:spacing w:line="560" w:lineRule="exact"/>
        <w:ind w:firstLine="641"/>
        <w:outlineLvl w:val="2"/>
        <w:rPr>
          <w:rFonts w:eastAsia="仿宋_GB2312"/>
          <w:color w:val="auto"/>
          <w:sz w:val="32"/>
          <w:szCs w:val="32"/>
        </w:rPr>
      </w:pPr>
      <w:r>
        <w:rPr>
          <w:rFonts w:hint="eastAsia" w:eastAsia="仿宋_GB2312"/>
          <w:color w:val="auto"/>
          <w:sz w:val="32"/>
          <w:szCs w:val="32"/>
          <w:lang w:eastAsia="zh-CN"/>
        </w:rPr>
        <w:t>4.</w:t>
      </w:r>
      <w:r>
        <w:rPr>
          <w:rFonts w:hint="eastAsia" w:eastAsia="仿宋_GB2312"/>
          <w:color w:val="auto"/>
          <w:sz w:val="32"/>
          <w:szCs w:val="32"/>
        </w:rPr>
        <w:t>前瞻性原则</w:t>
      </w:r>
    </w:p>
    <w:p w14:paraId="41EB8081">
      <w:pPr>
        <w:overflowPunct w:val="0"/>
        <w:topLinePunct/>
        <w:spacing w:line="560" w:lineRule="exact"/>
        <w:ind w:firstLine="640"/>
        <w:rPr>
          <w:rFonts w:eastAsia="仿宋_GB2312"/>
          <w:color w:val="auto"/>
          <w:sz w:val="32"/>
          <w:szCs w:val="32"/>
        </w:rPr>
      </w:pPr>
      <w:r>
        <w:rPr>
          <w:rFonts w:hint="eastAsia" w:eastAsia="仿宋_GB2312"/>
          <w:color w:val="auto"/>
          <w:sz w:val="32"/>
          <w:szCs w:val="32"/>
        </w:rPr>
        <w:t>本文件在兼顾当前</w:t>
      </w:r>
      <w:r>
        <w:rPr>
          <w:rFonts w:hint="eastAsia" w:eastAsia="仿宋_GB2312"/>
          <w:color w:val="auto"/>
          <w:sz w:val="32"/>
          <w:szCs w:val="32"/>
          <w:lang w:eastAsia="zh-CN"/>
        </w:rPr>
        <w:t>红桄榔粉</w:t>
      </w:r>
      <w:r>
        <w:rPr>
          <w:rFonts w:hint="eastAsia" w:eastAsia="仿宋_GB2312"/>
          <w:color w:val="auto"/>
          <w:sz w:val="32"/>
          <w:szCs w:val="32"/>
        </w:rPr>
        <w:t>现实情况的同时，还考虑到了</w:t>
      </w:r>
      <w:r>
        <w:rPr>
          <w:rFonts w:hint="eastAsia" w:eastAsia="仿宋_GB2312"/>
          <w:color w:val="auto"/>
          <w:sz w:val="32"/>
          <w:szCs w:val="32"/>
          <w:lang w:eastAsia="zh-CN"/>
        </w:rPr>
        <w:t>红桄榔粉</w:t>
      </w:r>
      <w:r>
        <w:rPr>
          <w:rFonts w:hint="eastAsia" w:eastAsia="仿宋_GB2312"/>
          <w:color w:val="auto"/>
          <w:sz w:val="32"/>
          <w:szCs w:val="32"/>
        </w:rPr>
        <w:t>产业发展的趋势和</w:t>
      </w:r>
      <w:r>
        <w:rPr>
          <w:rFonts w:eastAsia="仿宋_GB2312"/>
          <w:color w:val="auto"/>
          <w:sz w:val="32"/>
          <w:szCs w:val="32"/>
        </w:rPr>
        <w:t>结构调整</w:t>
      </w:r>
      <w:r>
        <w:rPr>
          <w:rFonts w:hint="eastAsia" w:eastAsia="仿宋_GB2312"/>
          <w:color w:val="auto"/>
          <w:sz w:val="32"/>
          <w:szCs w:val="32"/>
        </w:rPr>
        <w:t>需要，在标准中体现了个别特色性、前瞻性和实用性条款，作为对</w:t>
      </w:r>
      <w:r>
        <w:rPr>
          <w:rFonts w:hint="eastAsia" w:eastAsia="仿宋_GB2312"/>
          <w:color w:val="auto"/>
          <w:sz w:val="32"/>
          <w:szCs w:val="32"/>
          <w:lang w:eastAsia="zh-CN"/>
        </w:rPr>
        <w:t>红桄榔粉</w:t>
      </w:r>
      <w:r>
        <w:rPr>
          <w:rFonts w:hint="eastAsia" w:eastAsia="仿宋_GB2312"/>
          <w:color w:val="auto"/>
          <w:sz w:val="32"/>
          <w:szCs w:val="32"/>
        </w:rPr>
        <w:t>产业发展的指导。</w:t>
      </w:r>
    </w:p>
    <w:p w14:paraId="02ADBED1">
      <w:pPr>
        <w:pStyle w:val="16"/>
        <w:spacing w:line="560" w:lineRule="exact"/>
        <w:ind w:firstLine="640"/>
        <w:outlineLvl w:val="1"/>
        <w:rPr>
          <w:rFonts w:ascii="Times New Roman" w:hAnsi="Times New Roman" w:eastAsia="楷体_GB2312"/>
          <w:color w:val="auto"/>
          <w:kern w:val="2"/>
          <w:sz w:val="32"/>
          <w:szCs w:val="32"/>
        </w:rPr>
      </w:pPr>
      <w:r>
        <w:rPr>
          <w:rFonts w:hint="eastAsia" w:ascii="Times New Roman" w:hAnsi="Times New Roman" w:eastAsia="楷体_GB2312"/>
          <w:color w:val="auto"/>
          <w:kern w:val="2"/>
          <w:sz w:val="32"/>
          <w:szCs w:val="32"/>
        </w:rPr>
        <w:t>（二）编制依据</w:t>
      </w:r>
    </w:p>
    <w:p w14:paraId="7FDEFC45">
      <w:pPr>
        <w:pStyle w:val="8"/>
        <w:widowControl/>
        <w:tabs>
          <w:tab w:val="left" w:pos="2268"/>
        </w:tabs>
        <w:spacing w:before="0" w:beforeAutospacing="0" w:after="0" w:afterAutospacing="0" w:line="520" w:lineRule="exact"/>
        <w:ind w:firstLine="640" w:firstLineChars="200"/>
        <w:jc w:val="both"/>
        <w:rPr>
          <w:rFonts w:hint="eastAsia" w:eastAsia="仿宋_GB2312"/>
          <w:color w:val="auto"/>
          <w:sz w:val="32"/>
          <w:szCs w:val="32"/>
        </w:rPr>
      </w:pPr>
      <w:r>
        <w:rPr>
          <w:rFonts w:eastAsia="仿宋_GB2312"/>
          <w:color w:val="auto"/>
          <w:sz w:val="32"/>
          <w:szCs w:val="32"/>
        </w:rPr>
        <w:t>本标准严格按照GB/T 1.1</w:t>
      </w:r>
      <w:r>
        <w:rPr>
          <w:rFonts w:hint="eastAsia" w:eastAsia="仿宋_GB2312"/>
          <w:color w:val="auto"/>
          <w:sz w:val="32"/>
          <w:szCs w:val="32"/>
        </w:rPr>
        <w:t>-</w:t>
      </w:r>
      <w:r>
        <w:rPr>
          <w:rFonts w:eastAsia="仿宋_GB2312"/>
          <w:color w:val="auto"/>
          <w:sz w:val="32"/>
          <w:szCs w:val="32"/>
        </w:rPr>
        <w:t>2020《标准化工作导则  第1部分：标准化文件的结构和起草规则》的</w:t>
      </w:r>
      <w:r>
        <w:rPr>
          <w:rFonts w:hint="eastAsia" w:eastAsia="仿宋_GB2312"/>
          <w:color w:val="auto"/>
          <w:sz w:val="32"/>
          <w:szCs w:val="32"/>
        </w:rPr>
        <w:t>规则</w:t>
      </w:r>
      <w:r>
        <w:rPr>
          <w:rFonts w:eastAsia="仿宋_GB2312"/>
          <w:color w:val="auto"/>
          <w:sz w:val="32"/>
          <w:szCs w:val="32"/>
        </w:rPr>
        <w:t>起草</w:t>
      </w:r>
      <w:r>
        <w:rPr>
          <w:rFonts w:hint="eastAsia" w:eastAsia="仿宋_GB2312"/>
          <w:color w:val="auto"/>
          <w:sz w:val="32"/>
          <w:szCs w:val="32"/>
        </w:rPr>
        <w:t>，标准主要内容参考《DBS 45/044-2017  食品安全地方标准  即食桄榔粉》</w:t>
      </w:r>
    </w:p>
    <w:p w14:paraId="5E7E0542">
      <w:pPr>
        <w:pStyle w:val="8"/>
        <w:widowControl/>
        <w:tabs>
          <w:tab w:val="left" w:pos="2268"/>
        </w:tabs>
        <w:spacing w:before="0" w:beforeAutospacing="0" w:after="0" w:afterAutospacing="0" w:line="520" w:lineRule="exact"/>
        <w:jc w:val="both"/>
        <w:rPr>
          <w:rFonts w:eastAsia="仿宋_GB2312"/>
          <w:color w:val="auto"/>
          <w:sz w:val="32"/>
          <w:szCs w:val="32"/>
        </w:rPr>
      </w:pPr>
      <w:r>
        <w:rPr>
          <w:rFonts w:hint="eastAsia" w:eastAsia="仿宋_GB2312"/>
          <w:color w:val="auto"/>
          <w:sz w:val="32"/>
          <w:szCs w:val="32"/>
          <w:lang w:eastAsia="zh-CN"/>
        </w:rPr>
        <w:t xml:space="preserve">《GB 2713  食品安全国家标准  淀粉制品》《地理标志证明商标 </w:t>
      </w:r>
      <w:r>
        <w:rPr>
          <w:rFonts w:hint="eastAsia" w:eastAsia="仿宋_GB2312"/>
          <w:color w:val="auto"/>
          <w:sz w:val="32"/>
          <w:szCs w:val="32"/>
          <w:lang w:val="en-US" w:eastAsia="zh-CN"/>
        </w:rPr>
        <w:t xml:space="preserve"> </w:t>
      </w:r>
      <w:r>
        <w:rPr>
          <w:rFonts w:hint="eastAsia" w:eastAsia="仿宋_GB2312"/>
          <w:color w:val="auto"/>
          <w:sz w:val="32"/>
          <w:szCs w:val="32"/>
          <w:lang w:eastAsia="zh-CN"/>
        </w:rPr>
        <w:t>龙州桄榔粉》</w:t>
      </w:r>
      <w:r>
        <w:rPr>
          <w:rFonts w:hint="eastAsia" w:eastAsia="仿宋_GB2312"/>
          <w:color w:val="auto"/>
          <w:sz w:val="32"/>
          <w:szCs w:val="32"/>
        </w:rPr>
        <w:t>等相关</w:t>
      </w:r>
      <w:r>
        <w:rPr>
          <w:rFonts w:eastAsia="仿宋_GB2312"/>
          <w:color w:val="auto"/>
          <w:sz w:val="32"/>
          <w:szCs w:val="32"/>
        </w:rPr>
        <w:t>标准的基础上结合起草单位</w:t>
      </w:r>
      <w:r>
        <w:rPr>
          <w:rFonts w:hint="eastAsia" w:eastAsia="仿宋_GB2312"/>
          <w:color w:val="auto"/>
          <w:sz w:val="32"/>
          <w:szCs w:val="32"/>
        </w:rPr>
        <w:t>生产实际确定。</w:t>
      </w:r>
    </w:p>
    <w:p w14:paraId="239C8AB3">
      <w:pPr>
        <w:pStyle w:val="16"/>
        <w:spacing w:line="560" w:lineRule="exact"/>
        <w:ind w:firstLine="640"/>
        <w:outlineLvl w:val="1"/>
        <w:rPr>
          <w:rFonts w:ascii="Times New Roman" w:hAnsi="Times New Roman" w:eastAsia="楷体_GB2312"/>
          <w:color w:val="auto"/>
          <w:kern w:val="2"/>
          <w:sz w:val="32"/>
          <w:szCs w:val="32"/>
        </w:rPr>
      </w:pPr>
      <w:r>
        <w:rPr>
          <w:rFonts w:hint="eastAsia" w:ascii="Times New Roman" w:hAnsi="Times New Roman" w:eastAsia="楷体_GB2312"/>
          <w:color w:val="auto"/>
          <w:kern w:val="2"/>
          <w:sz w:val="32"/>
          <w:szCs w:val="32"/>
        </w:rPr>
        <w:t>（三）与现行法律、法规的关系，与有关国家标准、行业标准的协调情况</w:t>
      </w:r>
    </w:p>
    <w:p w14:paraId="4781B7B7">
      <w:pPr>
        <w:overflowPunct w:val="0"/>
        <w:topLinePunct/>
        <w:spacing w:line="560" w:lineRule="exact"/>
        <w:ind w:firstLine="640"/>
        <w:rPr>
          <w:rFonts w:eastAsia="仿宋_GB2312"/>
          <w:color w:val="auto"/>
          <w:sz w:val="32"/>
          <w:szCs w:val="32"/>
        </w:rPr>
      </w:pPr>
      <w:r>
        <w:rPr>
          <w:rFonts w:hint="eastAsia" w:eastAsia="仿宋_GB2312"/>
          <w:color w:val="auto"/>
          <w:sz w:val="32"/>
          <w:szCs w:val="32"/>
        </w:rPr>
        <w:t>经查阅，目前国内无“</w:t>
      </w:r>
      <w:r>
        <w:rPr>
          <w:rFonts w:hint="eastAsia" w:eastAsia="仿宋_GB2312"/>
          <w:color w:val="auto"/>
          <w:sz w:val="32"/>
          <w:szCs w:val="32"/>
          <w:lang w:eastAsia="zh-CN"/>
        </w:rPr>
        <w:t>红桄榔粉</w:t>
      </w:r>
      <w:r>
        <w:rPr>
          <w:rFonts w:hint="eastAsia" w:eastAsia="仿宋_GB2312"/>
          <w:color w:val="auto"/>
          <w:sz w:val="32"/>
          <w:szCs w:val="32"/>
        </w:rPr>
        <w:t>”的标准。</w:t>
      </w:r>
    </w:p>
    <w:p w14:paraId="5671B448">
      <w:pPr>
        <w:overflowPunct w:val="0"/>
        <w:topLinePunct/>
        <w:spacing w:line="560" w:lineRule="exact"/>
        <w:ind w:firstLine="640"/>
        <w:rPr>
          <w:rFonts w:eastAsia="仿宋_GB2312"/>
          <w:color w:val="auto"/>
          <w:sz w:val="32"/>
          <w:szCs w:val="32"/>
        </w:rPr>
        <w:sectPr>
          <w:footerReference r:id="rId4" w:type="default"/>
          <w:headerReference r:id="rId3" w:type="even"/>
          <w:footerReference r:id="rId5" w:type="even"/>
          <w:pgSz w:w="11906" w:h="16838"/>
          <w:pgMar w:top="1474" w:right="1800" w:bottom="1474" w:left="1474" w:header="851" w:footer="992" w:gutter="0"/>
          <w:cols w:space="425" w:num="1"/>
          <w:docGrid w:type="lines" w:linePitch="312" w:charSpace="0"/>
        </w:sectPr>
      </w:pPr>
    </w:p>
    <w:p w14:paraId="2E27E184">
      <w:pPr>
        <w:overflowPunct w:val="0"/>
        <w:topLinePunct/>
        <w:spacing w:line="560" w:lineRule="exact"/>
        <w:ind w:firstLine="640"/>
        <w:rPr>
          <w:rFonts w:hint="eastAsia" w:eastAsia="仿宋_GB2312"/>
          <w:color w:val="auto"/>
          <w:sz w:val="32"/>
          <w:szCs w:val="32"/>
        </w:rPr>
      </w:pPr>
      <w:r>
        <w:rPr>
          <w:rFonts w:hint="eastAsia" w:eastAsia="仿宋_GB2312"/>
          <w:color w:val="auto"/>
          <w:sz w:val="32"/>
          <w:szCs w:val="32"/>
        </w:rPr>
        <w:t>与“桄榔粉”相关标准有</w:t>
      </w:r>
    </w:p>
    <w:p w14:paraId="046B5660">
      <w:pPr>
        <w:overflowPunct w:val="0"/>
        <w:topLinePunct/>
        <w:spacing w:line="560" w:lineRule="exact"/>
        <w:ind w:firstLine="640"/>
        <w:rPr>
          <w:rFonts w:hint="eastAsia" w:eastAsia="仿宋_GB2312"/>
          <w:color w:val="auto"/>
          <w:sz w:val="32"/>
          <w:szCs w:val="32"/>
        </w:rPr>
      </w:pPr>
      <w:r>
        <w:rPr>
          <w:rFonts w:hint="eastAsia" w:eastAsia="仿宋_GB2312"/>
          <w:color w:val="auto"/>
          <w:sz w:val="32"/>
          <w:szCs w:val="32"/>
        </w:rPr>
        <w:t>《DBS 45/044-2017  食品安全地方标准  即食桄榔粉》规定了即食桄榔粉的术语和定义、要求、生产加工过程卫生要求、检验方法、检验规则、标签、标志、包装、运输、贮存和保质期。</w:t>
      </w:r>
    </w:p>
    <w:p w14:paraId="10FA6D0F">
      <w:pPr>
        <w:overflowPunct w:val="0"/>
        <w:topLinePunct/>
        <w:spacing w:line="560" w:lineRule="exact"/>
        <w:ind w:firstLine="640"/>
        <w:rPr>
          <w:rFonts w:hint="eastAsia" w:eastAsia="仿宋_GB2312"/>
          <w:color w:val="auto"/>
          <w:sz w:val="32"/>
          <w:szCs w:val="32"/>
        </w:rPr>
      </w:pPr>
      <w:r>
        <w:rPr>
          <w:rFonts w:hint="eastAsia" w:eastAsia="仿宋_GB2312"/>
          <w:color w:val="auto"/>
          <w:sz w:val="32"/>
          <w:szCs w:val="32"/>
        </w:rPr>
        <w:t>制定中的《地理标志证明商标 龙州桄榔粉》规定了龙州 桄榔粉的术语和定义、地理标志证明商标保护范围、原料要求、加工工艺、质量要求、检验方法、检验规则、标志、包装、运输和贮存。</w:t>
      </w:r>
    </w:p>
    <w:p w14:paraId="631E0EF6">
      <w:pPr>
        <w:overflowPunct w:val="0"/>
        <w:topLinePunct/>
        <w:spacing w:line="560" w:lineRule="exact"/>
        <w:ind w:firstLine="640"/>
        <w:rPr>
          <w:rFonts w:eastAsia="仿宋_GB2312"/>
          <w:color w:val="auto"/>
          <w:sz w:val="32"/>
          <w:szCs w:val="32"/>
        </w:rPr>
      </w:pPr>
      <w:r>
        <w:rPr>
          <w:rFonts w:hint="eastAsia" w:eastAsia="仿宋_GB2312"/>
          <w:color w:val="auto"/>
          <w:sz w:val="32"/>
          <w:szCs w:val="32"/>
        </w:rPr>
        <w:t>综上上述标准并没有对《红桄榔粉》</w:t>
      </w:r>
      <w:r>
        <w:rPr>
          <w:rFonts w:hint="eastAsia" w:eastAsia="仿宋_GB2312"/>
          <w:color w:val="auto"/>
          <w:sz w:val="32"/>
          <w:szCs w:val="32"/>
          <w:lang w:val="en-US" w:eastAsia="zh-CN"/>
        </w:rPr>
        <w:t>的</w:t>
      </w:r>
      <w:r>
        <w:rPr>
          <w:rFonts w:hint="eastAsia" w:eastAsia="仿宋_GB2312"/>
          <w:color w:val="auto"/>
          <w:sz w:val="32"/>
          <w:szCs w:val="32"/>
        </w:rPr>
        <w:t>原料作出要求，没有明确提出将钙铁锌</w:t>
      </w:r>
      <w:r>
        <w:rPr>
          <w:rFonts w:hint="eastAsia" w:eastAsia="仿宋_GB2312"/>
          <w:color w:val="auto"/>
          <w:sz w:val="32"/>
          <w:szCs w:val="32"/>
          <w:lang w:val="en-US" w:eastAsia="zh-CN"/>
        </w:rPr>
        <w:t>硒等</w:t>
      </w:r>
      <w:r>
        <w:rPr>
          <w:rFonts w:hint="eastAsia" w:eastAsia="仿宋_GB2312"/>
          <w:color w:val="auto"/>
          <w:sz w:val="32"/>
          <w:szCs w:val="32"/>
        </w:rPr>
        <w:t>核心指标纳入要求中按营养含量与感官品质</w:t>
      </w:r>
      <w:r>
        <w:rPr>
          <w:rFonts w:hint="eastAsia" w:eastAsia="仿宋_GB2312"/>
          <w:color w:val="auto"/>
          <w:sz w:val="32"/>
          <w:szCs w:val="32"/>
          <w:lang w:val="zh-CN"/>
        </w:rPr>
        <w:t>。</w:t>
      </w:r>
    </w:p>
    <w:p w14:paraId="1330E749">
      <w:pPr>
        <w:numPr>
          <w:ilvl w:val="0"/>
          <w:numId w:val="2"/>
        </w:numPr>
        <w:overflowPunct w:val="0"/>
        <w:topLinePunct/>
        <w:spacing w:line="560" w:lineRule="exact"/>
        <w:ind w:left="460"/>
        <w:outlineLvl w:val="0"/>
        <w:rPr>
          <w:rFonts w:eastAsia="黑体"/>
          <w:bCs/>
          <w:color w:val="auto"/>
          <w:sz w:val="32"/>
          <w:szCs w:val="32"/>
        </w:rPr>
        <w:sectPr>
          <w:type w:val="continuous"/>
          <w:pgSz w:w="11906" w:h="16838"/>
          <w:pgMar w:top="1474" w:right="1800" w:bottom="1474" w:left="1474" w:header="851" w:footer="992" w:gutter="0"/>
          <w:cols w:space="425" w:num="1"/>
          <w:docGrid w:type="lines" w:linePitch="312" w:charSpace="0"/>
        </w:sectPr>
      </w:pPr>
    </w:p>
    <w:p w14:paraId="56258EEB">
      <w:pPr>
        <w:numPr>
          <w:ilvl w:val="0"/>
          <w:numId w:val="2"/>
        </w:numPr>
        <w:overflowPunct w:val="0"/>
        <w:topLinePunct/>
        <w:spacing w:line="560" w:lineRule="exact"/>
        <w:ind w:left="460"/>
        <w:outlineLvl w:val="0"/>
        <w:rPr>
          <w:rFonts w:eastAsia="黑体"/>
          <w:bCs/>
          <w:color w:val="auto"/>
          <w:sz w:val="32"/>
          <w:szCs w:val="32"/>
        </w:rPr>
      </w:pPr>
      <w:r>
        <w:rPr>
          <w:rFonts w:hint="eastAsia" w:eastAsia="黑体"/>
          <w:bCs/>
          <w:color w:val="auto"/>
          <w:sz w:val="32"/>
          <w:szCs w:val="32"/>
        </w:rPr>
        <w:t>主要条款说明</w:t>
      </w:r>
    </w:p>
    <w:p w14:paraId="70DEAC32">
      <w:pPr>
        <w:spacing w:line="560" w:lineRule="exact"/>
        <w:ind w:firstLine="643" w:firstLineChars="200"/>
        <w:outlineLvl w:val="1"/>
        <w:rPr>
          <w:rFonts w:ascii="仿宋_GB2312" w:eastAsia="仿宋_GB2312"/>
          <w:b/>
          <w:bCs/>
          <w:color w:val="auto"/>
          <w:sz w:val="32"/>
          <w:szCs w:val="32"/>
        </w:rPr>
      </w:pPr>
      <w:r>
        <w:rPr>
          <w:rFonts w:hint="eastAsia" w:ascii="仿宋_GB2312" w:eastAsia="仿宋_GB2312"/>
          <w:b/>
          <w:bCs/>
          <w:color w:val="auto"/>
          <w:sz w:val="32"/>
          <w:szCs w:val="32"/>
        </w:rPr>
        <w:t>（一）术语和</w:t>
      </w:r>
      <w:r>
        <w:rPr>
          <w:rFonts w:ascii="仿宋_GB2312" w:eastAsia="仿宋_GB2312"/>
          <w:b/>
          <w:bCs/>
          <w:color w:val="auto"/>
          <w:sz w:val="32"/>
          <w:szCs w:val="32"/>
        </w:rPr>
        <w:t>定义</w:t>
      </w:r>
    </w:p>
    <w:p w14:paraId="2980EE61">
      <w:pPr>
        <w:pStyle w:val="14"/>
        <w:spacing w:after="0" w:line="560" w:lineRule="exact"/>
        <w:ind w:firstLine="640" w:firstLineChars="200"/>
        <w:rPr>
          <w:rFonts w:hint="default" w:ascii="仿宋_GB2312" w:eastAsia="仿宋_GB2312"/>
          <w:bCs/>
          <w:color w:val="auto"/>
          <w:lang w:val="en-US"/>
        </w:rPr>
      </w:pPr>
      <w:r>
        <w:rPr>
          <w:rFonts w:hint="eastAsia" w:eastAsia="仿宋_GB2312" w:cs="Times New Roman"/>
          <w:color w:val="auto"/>
          <w:lang w:val="en-US" w:eastAsia="zh-CN"/>
        </w:rPr>
        <w:t>根据《</w:t>
      </w:r>
      <w:r>
        <w:rPr>
          <w:rFonts w:hint="eastAsia" w:eastAsia="仿宋_GB2312" w:cs="Times New Roman"/>
          <w:color w:val="auto"/>
        </w:rPr>
        <w:t>DBS45</w:t>
      </w:r>
      <w:r>
        <w:rPr>
          <w:rFonts w:hint="eastAsia" w:eastAsia="仿宋_GB2312" w:cs="Times New Roman"/>
          <w:color w:val="auto"/>
          <w:lang w:val="en-US" w:eastAsia="zh-CN"/>
        </w:rPr>
        <w:t>/</w:t>
      </w:r>
      <w:r>
        <w:rPr>
          <w:rFonts w:hint="eastAsia" w:eastAsia="仿宋_GB2312" w:cs="Times New Roman"/>
          <w:color w:val="auto"/>
        </w:rPr>
        <w:t xml:space="preserve">044 </w:t>
      </w:r>
      <w:r>
        <w:rPr>
          <w:rFonts w:hint="eastAsia" w:eastAsia="仿宋_GB2312" w:cs="Times New Roman"/>
          <w:color w:val="auto"/>
          <w:lang w:val="en-US" w:eastAsia="zh-CN"/>
        </w:rPr>
        <w:t xml:space="preserve"> </w:t>
      </w:r>
      <w:r>
        <w:rPr>
          <w:rFonts w:hint="eastAsia" w:eastAsia="仿宋_GB2312" w:cs="Times New Roman"/>
          <w:color w:val="auto"/>
        </w:rPr>
        <w:t xml:space="preserve">食品安全地方标准 </w:t>
      </w:r>
      <w:r>
        <w:rPr>
          <w:rFonts w:hint="eastAsia" w:eastAsia="仿宋_GB2312" w:cs="Times New Roman"/>
          <w:color w:val="auto"/>
          <w:lang w:val="en-US" w:eastAsia="zh-CN"/>
        </w:rPr>
        <w:t xml:space="preserve"> </w:t>
      </w:r>
      <w:r>
        <w:rPr>
          <w:rFonts w:hint="eastAsia" w:eastAsia="仿宋_GB2312" w:cs="Times New Roman"/>
          <w:color w:val="auto"/>
        </w:rPr>
        <w:t>即食桄榔粉</w:t>
      </w:r>
      <w:r>
        <w:rPr>
          <w:rFonts w:hint="eastAsia" w:eastAsia="仿宋_GB2312" w:cs="Times New Roman"/>
          <w:color w:val="auto"/>
          <w:lang w:val="en-US" w:eastAsia="zh-CN"/>
        </w:rPr>
        <w:t>》对桄榔粉的定义，结合红桄榔粉的特性和其含有钙铁锌硒等多种微量元素，冲调后口感柔滑、细腻，呈透明胶状，兼具营养与独特风味的地方特色红色粉末食品。</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48"/>
      </w:tblGrid>
      <w:tr w14:paraId="753E9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848" w:type="dxa"/>
          </w:tcPr>
          <w:p w14:paraId="5B13380B">
            <w:pPr>
              <w:pStyle w:val="14"/>
              <w:keepNext w:val="0"/>
              <w:keepLines w:val="0"/>
              <w:suppressLineNumbers w:val="0"/>
              <w:spacing w:before="0" w:beforeAutospacing="0" w:after="0" w:afterAutospacing="0" w:line="560" w:lineRule="exact"/>
              <w:ind w:left="0" w:right="0"/>
              <w:rPr>
                <w:rFonts w:hint="eastAsia" w:ascii="仿宋_GB2312" w:eastAsia="仿宋_GB2312"/>
                <w:bCs/>
                <w:color w:val="auto"/>
                <w:vertAlign w:val="baseline"/>
                <w:lang w:eastAsia="zh-CN"/>
              </w:rPr>
            </w:pPr>
            <w:r>
              <w:rPr>
                <w:rFonts w:hint="eastAsia" w:ascii="仿宋_GB2312" w:eastAsia="仿宋_GB2312"/>
                <w:bCs/>
                <w:color w:val="auto"/>
                <w:vertAlign w:val="baseline"/>
                <w:lang w:eastAsia="zh-CN"/>
              </w:rPr>
              <w:drawing>
                <wp:anchor distT="0" distB="0" distL="114300" distR="114300" simplePos="0" relativeHeight="251659264" behindDoc="0" locked="0" layoutInCell="1" allowOverlap="1">
                  <wp:simplePos x="0" y="0"/>
                  <wp:positionH relativeFrom="column">
                    <wp:posOffset>0</wp:posOffset>
                  </wp:positionH>
                  <wp:positionV relativeFrom="paragraph">
                    <wp:posOffset>-1658620</wp:posOffset>
                  </wp:positionV>
                  <wp:extent cx="5480050" cy="1939925"/>
                  <wp:effectExtent l="0" t="0" r="3810" b="3175"/>
                  <wp:wrapSquare wrapText="bothSides"/>
                  <wp:docPr id="10" name="图片 10" descr="a61ba28b-52ff-41c0-9b15-23c99eb230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a61ba28b-52ff-41c0-9b15-23c99eb2302f"/>
                          <pic:cNvPicPr>
                            <a:picLocks noChangeAspect="1"/>
                          </pic:cNvPicPr>
                        </pic:nvPicPr>
                        <pic:blipFill>
                          <a:blip r:embed="rId7"/>
                          <a:stretch>
                            <a:fillRect/>
                          </a:stretch>
                        </pic:blipFill>
                        <pic:spPr>
                          <a:xfrm>
                            <a:off x="0" y="0"/>
                            <a:ext cx="5480050" cy="1939925"/>
                          </a:xfrm>
                          <a:prstGeom prst="rect">
                            <a:avLst/>
                          </a:prstGeom>
                        </pic:spPr>
                      </pic:pic>
                    </a:graphicData>
                  </a:graphic>
                </wp:anchor>
              </w:drawing>
            </w:r>
          </w:p>
        </w:tc>
      </w:tr>
    </w:tbl>
    <w:p w14:paraId="11EBEBE3">
      <w:pPr>
        <w:pStyle w:val="14"/>
        <w:spacing w:after="0" w:line="560" w:lineRule="exact"/>
        <w:ind w:firstLine="640" w:firstLineChars="200"/>
        <w:rPr>
          <w:rFonts w:hint="eastAsia" w:ascii="仿宋_GB2312" w:eastAsia="仿宋_GB2312"/>
          <w:bCs/>
          <w:color w:val="auto"/>
          <w:lang w:val="en-US" w:eastAsia="zh-CN"/>
        </w:rPr>
      </w:pPr>
      <w:r>
        <w:rPr>
          <w:rFonts w:hint="eastAsia" w:ascii="仿宋_GB2312" w:eastAsia="仿宋_GB2312"/>
          <w:bCs/>
          <w:color w:val="auto"/>
          <w:lang w:val="en-US" w:eastAsia="zh-CN"/>
        </w:rPr>
        <w:t>同时红桄榔粉相较于常见淀粉类冲调食物（如藕粉、玉米淀粉、山药粉、葛根粉等），核心优势集中在营养、风味、原料工艺、品质稳定性四大维度，且均有标准指标或特性支撑：</w:t>
      </w:r>
    </w:p>
    <w:p w14:paraId="482FA551">
      <w:pPr>
        <w:pStyle w:val="14"/>
        <w:spacing w:after="0" w:line="560" w:lineRule="exact"/>
        <w:ind w:firstLine="640" w:firstLineChars="200"/>
        <w:rPr>
          <w:rFonts w:hint="eastAsia" w:ascii="仿宋_GB2312" w:eastAsia="仿宋_GB2312"/>
          <w:bCs/>
          <w:color w:val="auto"/>
          <w:lang w:val="en-US" w:eastAsia="zh-CN"/>
        </w:rPr>
      </w:pPr>
      <w:r>
        <w:rPr>
          <w:rFonts w:hint="eastAsia" w:ascii="仿宋_GB2312" w:eastAsia="仿宋_GB2312"/>
          <w:bCs/>
          <w:color w:val="auto"/>
          <w:lang w:val="en-US" w:eastAsia="zh-CN"/>
        </w:rPr>
        <w:t>红桄榔粉不仅含 20～80mg/100g 钙、0.8～25mg/100g 铁等四种微量元素（含量是普通淀粉的 2～20 倍），还独有 30～100mg/100g 总黄酮，兼具基础能量与营养补充属性；而藕粉、玉米淀粉等仅以淀粉为主，微量元素含量极低，无黄酮类功能成分。</w:t>
      </w:r>
    </w:p>
    <w:p w14:paraId="4772AB2B">
      <w:pPr>
        <w:pStyle w:val="14"/>
        <w:spacing w:after="0" w:line="560" w:lineRule="exact"/>
        <w:ind w:firstLine="640" w:firstLineChars="200"/>
        <w:rPr>
          <w:rFonts w:hint="eastAsia" w:ascii="仿宋_GB2312" w:eastAsia="仿宋_GB2312"/>
          <w:bCs/>
          <w:color w:val="auto"/>
          <w:lang w:val="en-US" w:eastAsia="zh-CN"/>
        </w:rPr>
      </w:pPr>
      <w:r>
        <w:rPr>
          <w:rFonts w:hint="eastAsia" w:ascii="仿宋_GB2312" w:eastAsia="仿宋_GB2312"/>
          <w:bCs/>
          <w:color w:val="auto"/>
          <w:lang w:val="en-US" w:eastAsia="zh-CN"/>
        </w:rPr>
        <w:t>风味与口感辨识度极强：自带坚果 / 谷物类天然清香，冲调后有淡淡植物微甘回味，呈深琥珀色 / 浅咖啡色胶状体；反观藕粉风味清淡、色泽纯白，山药粉口感绵密但无天然清香，红桄榔粉的 “香 + 甘 + 独特色泽” 更具记忆点。</w:t>
      </w:r>
    </w:p>
    <w:p w14:paraId="4FC949FF">
      <w:pPr>
        <w:pStyle w:val="14"/>
        <w:spacing w:after="0" w:line="560" w:lineRule="exact"/>
        <w:ind w:firstLine="640" w:firstLineChars="200"/>
        <w:rPr>
          <w:rFonts w:hint="eastAsia" w:ascii="仿宋_GB2312" w:eastAsia="仿宋_GB2312"/>
          <w:bCs/>
          <w:color w:val="auto"/>
          <w:lang w:val="en-US" w:eastAsia="zh-CN"/>
        </w:rPr>
      </w:pPr>
      <w:r>
        <w:rPr>
          <w:rFonts w:hint="eastAsia" w:ascii="仿宋_GB2312" w:eastAsia="仿宋_GB2312"/>
          <w:bCs/>
          <w:color w:val="auto"/>
          <w:lang w:val="en-US" w:eastAsia="zh-CN"/>
        </w:rPr>
        <w:t>原料与工艺稀缺且天然：以树高＞10m 的棕榈科桄榔树髓心为原料，经传统砍碎、舂烂、沉淀、晒干工艺制成，属于地方特色森林食品；而藕粉（莲藕）、玉米淀粉（玉米）等原料常见、加工工艺普及，稀缺性与天然属性不足。</w:t>
      </w:r>
    </w:p>
    <w:p w14:paraId="41046F26">
      <w:pPr>
        <w:pStyle w:val="14"/>
        <w:spacing w:after="0" w:line="560" w:lineRule="exact"/>
        <w:ind w:firstLine="640" w:firstLineChars="200"/>
        <w:rPr>
          <w:rFonts w:hint="eastAsia" w:ascii="仿宋_GB2312" w:eastAsia="仿宋_GB2312"/>
          <w:bCs/>
          <w:color w:val="auto"/>
          <w:lang w:val="en-US" w:eastAsia="zh-CN"/>
        </w:rPr>
      </w:pPr>
      <w:r>
        <w:rPr>
          <w:rFonts w:hint="eastAsia" w:ascii="仿宋_GB2312" w:eastAsia="仿宋_GB2312"/>
          <w:bCs/>
          <w:color w:val="auto"/>
          <w:lang w:val="en-US" w:eastAsia="zh-CN"/>
        </w:rPr>
        <w:t>冲调品质稳定性更优：直链淀粉含量≥60%，冲调后胶状粘稠均匀、不易结块，饱腹感更持久；普通冲调淀粉（如藕粉直链淀粉 20%～30%、红薯淀粉 30%～40%）的黏稠度和稳定性均弱于红桄榔粉。</w:t>
      </w:r>
    </w:p>
    <w:p w14:paraId="68AADA3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06" w:lineRule="atLeast"/>
        <w:ind w:left="0" w:right="0"/>
        <w:jc w:val="center"/>
        <w:rPr>
          <w:rFonts w:hint="eastAsia" w:ascii="仿宋_GB2312" w:hAnsi="Times New Roman" w:eastAsia="仿宋_GB2312" w:cstheme="minorBidi"/>
          <w:b w:val="0"/>
          <w:bCs/>
          <w:color w:val="auto"/>
          <w:kern w:val="2"/>
          <w:sz w:val="32"/>
          <w:szCs w:val="32"/>
          <w:lang w:val="en-US" w:eastAsia="zh-CN" w:bidi="ar-SA"/>
        </w:rPr>
      </w:pPr>
      <w:r>
        <w:rPr>
          <w:rFonts w:hint="eastAsia" w:ascii="仿宋_GB2312" w:hAnsi="Times New Roman" w:eastAsia="仿宋_GB2312" w:cstheme="minorBidi"/>
          <w:b w:val="0"/>
          <w:bCs/>
          <w:color w:val="auto"/>
          <w:kern w:val="2"/>
          <w:sz w:val="32"/>
          <w:szCs w:val="32"/>
          <w:lang w:val="en-US" w:eastAsia="zh-CN" w:bidi="ar-SA"/>
        </w:rPr>
        <w:t>红桄榔粉 vs 常见冲调淀粉详细对比表</w:t>
      </w:r>
    </w:p>
    <w:tbl>
      <w:tblPr>
        <w:tblStyle w:val="9"/>
        <w:tblW w:w="0" w:type="auto"/>
        <w:tblCellSpacing w:w="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0" w:type="dxa"/>
          <w:bottom w:w="0" w:type="dxa"/>
          <w:right w:w="0" w:type="dxa"/>
        </w:tblCellMar>
      </w:tblPr>
      <w:tblGrid>
        <w:gridCol w:w="354"/>
        <w:gridCol w:w="1914"/>
        <w:gridCol w:w="1607"/>
        <w:gridCol w:w="1574"/>
        <w:gridCol w:w="1607"/>
        <w:gridCol w:w="1656"/>
      </w:tblGrid>
      <w:tr w14:paraId="2031B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tblCellSpacing w:w="15" w:type="dxa"/>
        </w:trPr>
        <w:tc>
          <w:tcPr>
            <w:tcW w:w="0" w:type="auto"/>
            <w:shd w:val="clear" w:color="auto" w:fill="auto"/>
            <w:vAlign w:val="center"/>
          </w:tcPr>
          <w:p w14:paraId="4FB2ED2D">
            <w:pPr>
              <w:keepNext w:val="0"/>
              <w:keepLines w:val="0"/>
              <w:widowControl/>
              <w:suppressLineNumbers w:val="0"/>
              <w:spacing w:before="0" w:beforeAutospacing="0" w:after="0" w:afterAutospacing="0" w:line="206" w:lineRule="atLeast"/>
              <w:ind w:left="0" w:right="0"/>
              <w:jc w:val="center"/>
              <w:rPr>
                <w:b/>
                <w:bCs/>
                <w:color w:val="000000"/>
                <w:sz w:val="13"/>
                <w:szCs w:val="13"/>
              </w:rPr>
            </w:pPr>
            <w:r>
              <w:rPr>
                <w:rFonts w:ascii="宋体" w:hAnsi="宋体" w:eastAsia="宋体" w:cs="宋体"/>
                <w:b/>
                <w:bCs/>
                <w:color w:val="000000"/>
                <w:kern w:val="0"/>
                <w:sz w:val="13"/>
                <w:szCs w:val="13"/>
                <w:lang w:val="en-US" w:eastAsia="zh-CN" w:bidi="ar"/>
              </w:rPr>
              <w:t>对比维度</w:t>
            </w:r>
          </w:p>
        </w:tc>
        <w:tc>
          <w:tcPr>
            <w:tcW w:w="0" w:type="auto"/>
            <w:shd w:val="clear" w:color="auto" w:fill="auto"/>
            <w:vAlign w:val="center"/>
          </w:tcPr>
          <w:p w14:paraId="7EE1F8C2">
            <w:pPr>
              <w:keepNext w:val="0"/>
              <w:keepLines w:val="0"/>
              <w:widowControl/>
              <w:suppressLineNumbers w:val="0"/>
              <w:spacing w:before="0" w:beforeAutospacing="0" w:after="0" w:afterAutospacing="0" w:line="206" w:lineRule="atLeast"/>
              <w:ind w:left="0" w:right="0"/>
              <w:jc w:val="center"/>
              <w:rPr>
                <w:b/>
                <w:bCs/>
                <w:color w:val="000000"/>
                <w:sz w:val="13"/>
                <w:szCs w:val="13"/>
              </w:rPr>
            </w:pPr>
            <w:r>
              <w:rPr>
                <w:rFonts w:ascii="宋体" w:hAnsi="宋体" w:eastAsia="宋体" w:cs="宋体"/>
                <w:b/>
                <w:bCs/>
                <w:color w:val="000000"/>
                <w:kern w:val="0"/>
                <w:sz w:val="13"/>
                <w:szCs w:val="13"/>
                <w:lang w:val="en-US" w:eastAsia="zh-CN" w:bidi="ar"/>
              </w:rPr>
              <w:t>红桄榔粉（依据团体标准）</w:t>
            </w:r>
          </w:p>
        </w:tc>
        <w:tc>
          <w:tcPr>
            <w:tcW w:w="0" w:type="auto"/>
            <w:shd w:val="clear" w:color="auto" w:fill="auto"/>
            <w:vAlign w:val="center"/>
          </w:tcPr>
          <w:p w14:paraId="1839454E">
            <w:pPr>
              <w:keepNext w:val="0"/>
              <w:keepLines w:val="0"/>
              <w:widowControl/>
              <w:suppressLineNumbers w:val="0"/>
              <w:spacing w:before="0" w:beforeAutospacing="0" w:after="0" w:afterAutospacing="0" w:line="206" w:lineRule="atLeast"/>
              <w:ind w:left="0" w:right="0"/>
              <w:jc w:val="center"/>
              <w:rPr>
                <w:b/>
                <w:bCs/>
                <w:color w:val="000000"/>
                <w:sz w:val="13"/>
                <w:szCs w:val="13"/>
              </w:rPr>
            </w:pPr>
            <w:r>
              <w:rPr>
                <w:rFonts w:ascii="宋体" w:hAnsi="宋体" w:eastAsia="宋体" w:cs="宋体"/>
                <w:b/>
                <w:bCs/>
                <w:color w:val="000000"/>
                <w:kern w:val="0"/>
                <w:sz w:val="13"/>
                <w:szCs w:val="13"/>
                <w:lang w:val="en-US" w:eastAsia="zh-CN" w:bidi="ar"/>
              </w:rPr>
              <w:t>藕粉（常见冲调淀粉）</w:t>
            </w:r>
          </w:p>
        </w:tc>
        <w:tc>
          <w:tcPr>
            <w:tcW w:w="0" w:type="auto"/>
            <w:shd w:val="clear" w:color="auto" w:fill="auto"/>
            <w:vAlign w:val="center"/>
          </w:tcPr>
          <w:p w14:paraId="16080006">
            <w:pPr>
              <w:keepNext w:val="0"/>
              <w:keepLines w:val="0"/>
              <w:widowControl/>
              <w:suppressLineNumbers w:val="0"/>
              <w:spacing w:before="0" w:beforeAutospacing="0" w:after="0" w:afterAutospacing="0" w:line="206" w:lineRule="atLeast"/>
              <w:ind w:left="0" w:right="0"/>
              <w:jc w:val="center"/>
              <w:rPr>
                <w:b/>
                <w:bCs/>
                <w:color w:val="000000"/>
                <w:sz w:val="13"/>
                <w:szCs w:val="13"/>
              </w:rPr>
            </w:pPr>
            <w:r>
              <w:rPr>
                <w:rFonts w:ascii="宋体" w:hAnsi="宋体" w:eastAsia="宋体" w:cs="宋体"/>
                <w:b/>
                <w:bCs/>
                <w:color w:val="000000"/>
                <w:kern w:val="0"/>
                <w:sz w:val="13"/>
                <w:szCs w:val="13"/>
                <w:lang w:val="en-US" w:eastAsia="zh-CN" w:bidi="ar"/>
              </w:rPr>
              <w:t>玉米淀粉（常见冲调淀粉）</w:t>
            </w:r>
          </w:p>
        </w:tc>
        <w:tc>
          <w:tcPr>
            <w:tcW w:w="0" w:type="auto"/>
            <w:shd w:val="clear" w:color="auto" w:fill="auto"/>
            <w:vAlign w:val="center"/>
          </w:tcPr>
          <w:p w14:paraId="4A4E98FA">
            <w:pPr>
              <w:keepNext w:val="0"/>
              <w:keepLines w:val="0"/>
              <w:widowControl/>
              <w:suppressLineNumbers w:val="0"/>
              <w:spacing w:before="0" w:beforeAutospacing="0" w:after="0" w:afterAutospacing="0" w:line="206" w:lineRule="atLeast"/>
              <w:ind w:left="0" w:right="0"/>
              <w:jc w:val="center"/>
              <w:rPr>
                <w:b/>
                <w:bCs/>
                <w:color w:val="000000"/>
                <w:sz w:val="13"/>
                <w:szCs w:val="13"/>
              </w:rPr>
            </w:pPr>
            <w:r>
              <w:rPr>
                <w:rFonts w:ascii="宋体" w:hAnsi="宋体" w:eastAsia="宋体" w:cs="宋体"/>
                <w:b/>
                <w:bCs/>
                <w:color w:val="000000"/>
                <w:kern w:val="0"/>
                <w:sz w:val="13"/>
                <w:szCs w:val="13"/>
                <w:lang w:val="en-US" w:eastAsia="zh-CN" w:bidi="ar"/>
              </w:rPr>
              <w:t>山药粉（常见冲调淀粉）</w:t>
            </w:r>
          </w:p>
        </w:tc>
        <w:tc>
          <w:tcPr>
            <w:tcW w:w="0" w:type="auto"/>
            <w:shd w:val="clear" w:color="auto" w:fill="auto"/>
            <w:vAlign w:val="center"/>
          </w:tcPr>
          <w:p w14:paraId="095DE803">
            <w:pPr>
              <w:keepNext w:val="0"/>
              <w:keepLines w:val="0"/>
              <w:widowControl/>
              <w:suppressLineNumbers w:val="0"/>
              <w:spacing w:before="0" w:beforeAutospacing="0" w:after="0" w:afterAutospacing="0" w:line="206" w:lineRule="atLeast"/>
              <w:ind w:left="0" w:right="0"/>
              <w:jc w:val="center"/>
              <w:rPr>
                <w:b/>
                <w:bCs/>
                <w:color w:val="000000"/>
                <w:sz w:val="13"/>
                <w:szCs w:val="13"/>
              </w:rPr>
            </w:pPr>
            <w:r>
              <w:rPr>
                <w:rFonts w:ascii="宋体" w:hAnsi="宋体" w:eastAsia="宋体" w:cs="宋体"/>
                <w:b/>
                <w:bCs/>
                <w:color w:val="000000"/>
                <w:kern w:val="0"/>
                <w:sz w:val="13"/>
                <w:szCs w:val="13"/>
                <w:lang w:val="en-US" w:eastAsia="zh-CN" w:bidi="ar"/>
              </w:rPr>
              <w:t>葛根粉（常见冲调淀粉）</w:t>
            </w:r>
          </w:p>
        </w:tc>
      </w:tr>
      <w:tr w14:paraId="5C1D3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0" w:type="auto"/>
            <w:shd w:val="clear" w:color="auto" w:fill="auto"/>
            <w:vAlign w:val="center"/>
          </w:tcPr>
          <w:p w14:paraId="27FD3C8B">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原料与工艺</w:t>
            </w:r>
          </w:p>
        </w:tc>
        <w:tc>
          <w:tcPr>
            <w:tcW w:w="0" w:type="auto"/>
            <w:shd w:val="clear" w:color="auto" w:fill="auto"/>
            <w:vAlign w:val="center"/>
          </w:tcPr>
          <w:p w14:paraId="4BD97413">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树高＞10m 棕榈科桄榔树髓心，经砍碎、舂烂、磨粉、沉淀、晒干传统工艺制成，地方特色森林食品</w:t>
            </w:r>
          </w:p>
        </w:tc>
        <w:tc>
          <w:tcPr>
            <w:tcW w:w="0" w:type="auto"/>
            <w:shd w:val="clear" w:color="auto" w:fill="auto"/>
            <w:vAlign w:val="center"/>
          </w:tcPr>
          <w:p w14:paraId="241F3707">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莲藕块茎提取淀粉，工艺普及，原料常见</w:t>
            </w:r>
          </w:p>
        </w:tc>
        <w:tc>
          <w:tcPr>
            <w:tcW w:w="0" w:type="auto"/>
            <w:shd w:val="clear" w:color="auto" w:fill="auto"/>
            <w:vAlign w:val="center"/>
          </w:tcPr>
          <w:p w14:paraId="4AC19BDD">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玉米胚芽提取淀粉，工业化生产，原料广泛</w:t>
            </w:r>
          </w:p>
        </w:tc>
        <w:tc>
          <w:tcPr>
            <w:tcW w:w="0" w:type="auto"/>
            <w:shd w:val="clear" w:color="auto" w:fill="auto"/>
            <w:vAlign w:val="center"/>
          </w:tcPr>
          <w:p w14:paraId="56350969">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山药块茎干燥磨粉，工艺简单，原料易获取</w:t>
            </w:r>
          </w:p>
        </w:tc>
        <w:tc>
          <w:tcPr>
            <w:tcW w:w="0" w:type="auto"/>
            <w:shd w:val="clear" w:color="auto" w:fill="auto"/>
            <w:vAlign w:val="center"/>
          </w:tcPr>
          <w:p w14:paraId="5226E0A0">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葛根块茎提取淀粉，传统与工业化结合，原料分布较广</w:t>
            </w:r>
          </w:p>
        </w:tc>
      </w:tr>
      <w:tr w14:paraId="1A5BC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blCellSpacing w:w="15" w:type="dxa"/>
        </w:trPr>
        <w:tc>
          <w:tcPr>
            <w:tcW w:w="0" w:type="auto"/>
            <w:shd w:val="clear" w:color="auto" w:fill="auto"/>
            <w:vAlign w:val="center"/>
          </w:tcPr>
          <w:p w14:paraId="02330BD0">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核心营养成分</w:t>
            </w:r>
          </w:p>
        </w:tc>
        <w:tc>
          <w:tcPr>
            <w:tcW w:w="0" w:type="auto"/>
            <w:shd w:val="clear" w:color="auto" w:fill="auto"/>
            <w:vAlign w:val="center"/>
          </w:tcPr>
          <w:p w14:paraId="7A0CE273">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淀粉≥78g/100g，直链淀粉≥60%；钙 20～80mg/100g、铁 0.8～25mg/100g、锌 0.25～0.65mg/100g、硒 1～15μg/100g；总黄酮 30～100mg/100g</w:t>
            </w:r>
          </w:p>
        </w:tc>
        <w:tc>
          <w:tcPr>
            <w:tcW w:w="0" w:type="auto"/>
            <w:shd w:val="clear" w:color="auto" w:fill="auto"/>
            <w:vAlign w:val="center"/>
          </w:tcPr>
          <w:p w14:paraId="64131703">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淀粉为主（约 85g/100g），直链淀粉 20%～30%；微量元素含量极低（铁 0.2～0.5mg/100g），无总黄酮</w:t>
            </w:r>
          </w:p>
        </w:tc>
        <w:tc>
          <w:tcPr>
            <w:tcW w:w="0" w:type="auto"/>
            <w:shd w:val="clear" w:color="auto" w:fill="auto"/>
            <w:vAlign w:val="center"/>
          </w:tcPr>
          <w:p w14:paraId="089E336F">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淀粉为主（约 88g/100g），直链淀粉 25%～35%；微量元素微量（铁 0.5～1.2mg/100g），无总黄酮</w:t>
            </w:r>
          </w:p>
        </w:tc>
        <w:tc>
          <w:tcPr>
            <w:tcW w:w="0" w:type="auto"/>
            <w:shd w:val="clear" w:color="auto" w:fill="auto"/>
            <w:vAlign w:val="center"/>
          </w:tcPr>
          <w:p w14:paraId="43A235C0">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淀粉约 75g/100g，直链淀粉 30%～40%；含少量山药多糖，微量元素（铁 0.4～1.0mg/100g），无总黄酮</w:t>
            </w:r>
          </w:p>
        </w:tc>
        <w:tc>
          <w:tcPr>
            <w:tcW w:w="0" w:type="auto"/>
            <w:shd w:val="clear" w:color="auto" w:fill="auto"/>
            <w:vAlign w:val="center"/>
          </w:tcPr>
          <w:p w14:paraId="3E6474B7">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淀粉约 80g/100g，直链淀粉 28%～38%；含少量葛根素，微量元素（铁 0.3～0.8mg/100g），总黄酮含量极低</w:t>
            </w:r>
          </w:p>
        </w:tc>
      </w:tr>
      <w:tr w14:paraId="12702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blCellSpacing w:w="15" w:type="dxa"/>
        </w:trPr>
        <w:tc>
          <w:tcPr>
            <w:tcW w:w="0" w:type="auto"/>
            <w:shd w:val="clear" w:color="auto" w:fill="auto"/>
            <w:vAlign w:val="center"/>
          </w:tcPr>
          <w:p w14:paraId="7E08FAA1">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感官特性 - 色泽</w:t>
            </w:r>
          </w:p>
        </w:tc>
        <w:tc>
          <w:tcPr>
            <w:tcW w:w="0" w:type="auto"/>
            <w:shd w:val="clear" w:color="auto" w:fill="auto"/>
            <w:vAlign w:val="center"/>
          </w:tcPr>
          <w:p w14:paraId="3F0C98ED">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粉末偏红 / 粉红色；冲调后深琥珀色 / 浅咖啡色胶状糊</w:t>
            </w:r>
          </w:p>
        </w:tc>
        <w:tc>
          <w:tcPr>
            <w:tcW w:w="0" w:type="auto"/>
            <w:shd w:val="clear" w:color="auto" w:fill="auto"/>
            <w:vAlign w:val="center"/>
          </w:tcPr>
          <w:p w14:paraId="4465B485">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粉末白色；冲调后纯白色透明胶状</w:t>
            </w:r>
          </w:p>
        </w:tc>
        <w:tc>
          <w:tcPr>
            <w:tcW w:w="0" w:type="auto"/>
            <w:shd w:val="clear" w:color="auto" w:fill="auto"/>
            <w:vAlign w:val="center"/>
          </w:tcPr>
          <w:p w14:paraId="70329973">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粉末白色；冲调后乳白色糊状</w:t>
            </w:r>
          </w:p>
        </w:tc>
        <w:tc>
          <w:tcPr>
            <w:tcW w:w="0" w:type="auto"/>
            <w:shd w:val="clear" w:color="auto" w:fill="auto"/>
            <w:vAlign w:val="center"/>
          </w:tcPr>
          <w:p w14:paraId="3870BAF1">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粉末淡黄色 / 白色；冲调后淡黄色糊状</w:t>
            </w:r>
          </w:p>
        </w:tc>
        <w:tc>
          <w:tcPr>
            <w:tcW w:w="0" w:type="auto"/>
            <w:shd w:val="clear" w:color="auto" w:fill="auto"/>
            <w:vAlign w:val="center"/>
          </w:tcPr>
          <w:p w14:paraId="17D014FC">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粉末白色 / 微黄色；冲调后透明 / 半透明胶状</w:t>
            </w:r>
          </w:p>
        </w:tc>
      </w:tr>
      <w:tr w14:paraId="28068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blCellSpacing w:w="15" w:type="dxa"/>
        </w:trPr>
        <w:tc>
          <w:tcPr>
            <w:tcW w:w="0" w:type="auto"/>
            <w:shd w:val="clear" w:color="auto" w:fill="auto"/>
            <w:vAlign w:val="center"/>
          </w:tcPr>
          <w:p w14:paraId="2CC65722">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感官特性 - 气味与滋味</w:t>
            </w:r>
          </w:p>
        </w:tc>
        <w:tc>
          <w:tcPr>
            <w:tcW w:w="0" w:type="auto"/>
            <w:shd w:val="clear" w:color="auto" w:fill="auto"/>
            <w:vAlign w:val="center"/>
          </w:tcPr>
          <w:p w14:paraId="328825C3">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天然坚果 / 谷物清香，冲调后香气明显；口感柔滑细腻，回味微甘</w:t>
            </w:r>
          </w:p>
        </w:tc>
        <w:tc>
          <w:tcPr>
            <w:tcW w:w="0" w:type="auto"/>
            <w:shd w:val="clear" w:color="auto" w:fill="auto"/>
            <w:vAlign w:val="center"/>
          </w:tcPr>
          <w:p w14:paraId="7DE200A9">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气味清淡，几乎无特殊香气；口感顺滑，味道平淡</w:t>
            </w:r>
          </w:p>
        </w:tc>
        <w:tc>
          <w:tcPr>
            <w:tcW w:w="0" w:type="auto"/>
            <w:shd w:val="clear" w:color="auto" w:fill="auto"/>
            <w:vAlign w:val="center"/>
          </w:tcPr>
          <w:p w14:paraId="643319C6">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无明显天然香气；口感</w:t>
            </w:r>
            <w:r>
              <w:rPr>
                <w:rFonts w:hint="eastAsia" w:ascii="宋体" w:hAnsi="宋体" w:eastAsia="宋体" w:cs="宋体"/>
                <w:color w:val="000000"/>
                <w:kern w:val="0"/>
                <w:sz w:val="13"/>
                <w:szCs w:val="13"/>
                <w:lang w:val="en-US" w:eastAsia="zh-CN" w:bidi="ar"/>
              </w:rPr>
              <w:t>黏稠</w:t>
            </w:r>
            <w:r>
              <w:rPr>
                <w:rFonts w:ascii="宋体" w:hAnsi="宋体" w:eastAsia="宋体" w:cs="宋体"/>
                <w:color w:val="000000"/>
                <w:kern w:val="0"/>
                <w:sz w:val="13"/>
                <w:szCs w:val="13"/>
                <w:lang w:val="en-US" w:eastAsia="zh-CN" w:bidi="ar"/>
              </w:rPr>
              <w:t>，无回甘</w:t>
            </w:r>
          </w:p>
        </w:tc>
        <w:tc>
          <w:tcPr>
            <w:tcW w:w="0" w:type="auto"/>
            <w:shd w:val="clear" w:color="auto" w:fill="auto"/>
            <w:vAlign w:val="center"/>
          </w:tcPr>
          <w:p w14:paraId="7879B26B">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带淡淡的山药腥味；口感绵密，滋味清淡</w:t>
            </w:r>
          </w:p>
        </w:tc>
        <w:tc>
          <w:tcPr>
            <w:tcW w:w="0" w:type="auto"/>
            <w:shd w:val="clear" w:color="auto" w:fill="auto"/>
            <w:vAlign w:val="center"/>
          </w:tcPr>
          <w:p w14:paraId="3A9A9E88">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有轻微土腥味；口感爽滑，无明显回甘</w:t>
            </w:r>
          </w:p>
        </w:tc>
      </w:tr>
      <w:tr w14:paraId="33386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blCellSpacing w:w="15" w:type="dxa"/>
        </w:trPr>
        <w:tc>
          <w:tcPr>
            <w:tcW w:w="0" w:type="auto"/>
            <w:shd w:val="clear" w:color="auto" w:fill="auto"/>
            <w:vAlign w:val="center"/>
          </w:tcPr>
          <w:p w14:paraId="7F364B5F">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冲调品质</w:t>
            </w:r>
          </w:p>
        </w:tc>
        <w:tc>
          <w:tcPr>
            <w:tcW w:w="0" w:type="auto"/>
            <w:shd w:val="clear" w:color="auto" w:fill="auto"/>
            <w:vAlign w:val="center"/>
          </w:tcPr>
          <w:p w14:paraId="06C9D806">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不易结块，胶状</w:t>
            </w:r>
            <w:r>
              <w:rPr>
                <w:rFonts w:hint="eastAsia" w:ascii="宋体" w:hAnsi="宋体" w:eastAsia="宋体" w:cs="宋体"/>
                <w:color w:val="000000"/>
                <w:kern w:val="0"/>
                <w:sz w:val="13"/>
                <w:szCs w:val="13"/>
                <w:lang w:val="en-US" w:eastAsia="zh-CN" w:bidi="ar"/>
              </w:rPr>
              <w:t>黏稠</w:t>
            </w:r>
            <w:r>
              <w:rPr>
                <w:rFonts w:ascii="宋体" w:hAnsi="宋体" w:eastAsia="宋体" w:cs="宋体"/>
                <w:color w:val="000000"/>
                <w:kern w:val="0"/>
                <w:sz w:val="13"/>
                <w:szCs w:val="13"/>
                <w:lang w:val="en-US" w:eastAsia="zh-CN" w:bidi="ar"/>
              </w:rPr>
              <w:t>均匀、有光泽，稳定性强，饱腹感持久</w:t>
            </w:r>
          </w:p>
        </w:tc>
        <w:tc>
          <w:tcPr>
            <w:tcW w:w="0" w:type="auto"/>
            <w:shd w:val="clear" w:color="auto" w:fill="auto"/>
            <w:vAlign w:val="center"/>
          </w:tcPr>
          <w:p w14:paraId="17545C9B">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易结块，</w:t>
            </w:r>
            <w:r>
              <w:rPr>
                <w:rFonts w:hint="eastAsia" w:ascii="宋体" w:hAnsi="宋体" w:eastAsia="宋体" w:cs="宋体"/>
                <w:color w:val="000000"/>
                <w:kern w:val="0"/>
                <w:sz w:val="13"/>
                <w:szCs w:val="13"/>
                <w:lang w:val="en-US" w:eastAsia="zh-CN" w:bidi="ar"/>
              </w:rPr>
              <w:t>黏稠度</w:t>
            </w:r>
            <w:r>
              <w:rPr>
                <w:rFonts w:ascii="宋体" w:hAnsi="宋体" w:eastAsia="宋体" w:cs="宋体"/>
                <w:color w:val="000000"/>
                <w:kern w:val="0"/>
                <w:sz w:val="13"/>
                <w:szCs w:val="13"/>
                <w:lang w:val="en-US" w:eastAsia="zh-CN" w:bidi="ar"/>
              </w:rPr>
              <w:t>中等，稳定性一般，饱腹感较弱</w:t>
            </w:r>
          </w:p>
        </w:tc>
        <w:tc>
          <w:tcPr>
            <w:tcW w:w="0" w:type="auto"/>
            <w:shd w:val="clear" w:color="auto" w:fill="auto"/>
            <w:vAlign w:val="center"/>
          </w:tcPr>
          <w:p w14:paraId="5A775844">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冲调后易分层，</w:t>
            </w:r>
            <w:r>
              <w:rPr>
                <w:rFonts w:hint="eastAsia" w:ascii="宋体" w:hAnsi="宋体" w:eastAsia="宋体" w:cs="宋体"/>
                <w:color w:val="000000"/>
                <w:kern w:val="0"/>
                <w:sz w:val="13"/>
                <w:szCs w:val="13"/>
                <w:lang w:val="en-US" w:eastAsia="zh-CN" w:bidi="ar"/>
              </w:rPr>
              <w:t>黏稠度</w:t>
            </w:r>
            <w:r>
              <w:rPr>
                <w:rFonts w:ascii="宋体" w:hAnsi="宋体" w:eastAsia="宋体" w:cs="宋体"/>
                <w:color w:val="000000"/>
                <w:kern w:val="0"/>
                <w:sz w:val="13"/>
                <w:szCs w:val="13"/>
                <w:lang w:val="en-US" w:eastAsia="zh-CN" w:bidi="ar"/>
              </w:rPr>
              <w:t>低，稳定性差，饱腹感弱</w:t>
            </w:r>
          </w:p>
        </w:tc>
        <w:tc>
          <w:tcPr>
            <w:tcW w:w="0" w:type="auto"/>
            <w:shd w:val="clear" w:color="auto" w:fill="auto"/>
            <w:vAlign w:val="center"/>
          </w:tcPr>
          <w:p w14:paraId="764C3AB1">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冲调后质地偏稀，</w:t>
            </w:r>
            <w:r>
              <w:rPr>
                <w:rFonts w:hint="eastAsia" w:ascii="宋体" w:hAnsi="宋体" w:eastAsia="宋体" w:cs="宋体"/>
                <w:color w:val="000000"/>
                <w:kern w:val="0"/>
                <w:sz w:val="13"/>
                <w:szCs w:val="13"/>
                <w:lang w:val="en-US" w:eastAsia="zh-CN" w:bidi="ar"/>
              </w:rPr>
              <w:t>黏稠度</w:t>
            </w:r>
            <w:r>
              <w:rPr>
                <w:rFonts w:ascii="宋体" w:hAnsi="宋体" w:eastAsia="宋体" w:cs="宋体"/>
                <w:color w:val="000000"/>
                <w:kern w:val="0"/>
                <w:sz w:val="13"/>
                <w:szCs w:val="13"/>
                <w:lang w:val="en-US" w:eastAsia="zh-CN" w:bidi="ar"/>
              </w:rPr>
              <w:t>中等，稳定性一般，饱腹感中等</w:t>
            </w:r>
          </w:p>
        </w:tc>
        <w:tc>
          <w:tcPr>
            <w:tcW w:w="0" w:type="auto"/>
            <w:shd w:val="clear" w:color="auto" w:fill="auto"/>
            <w:vAlign w:val="center"/>
          </w:tcPr>
          <w:p w14:paraId="36828703">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冲调后易凝固，</w:t>
            </w:r>
            <w:r>
              <w:rPr>
                <w:rFonts w:hint="eastAsia" w:ascii="宋体" w:hAnsi="宋体" w:eastAsia="宋体" w:cs="宋体"/>
                <w:color w:val="000000"/>
                <w:kern w:val="0"/>
                <w:sz w:val="13"/>
                <w:szCs w:val="13"/>
                <w:lang w:val="en-US" w:eastAsia="zh-CN" w:bidi="ar"/>
              </w:rPr>
              <w:t>黏稠度</w:t>
            </w:r>
            <w:r>
              <w:rPr>
                <w:rFonts w:ascii="宋体" w:hAnsi="宋体" w:eastAsia="宋体" w:cs="宋体"/>
                <w:color w:val="000000"/>
                <w:kern w:val="0"/>
                <w:sz w:val="13"/>
                <w:szCs w:val="13"/>
                <w:lang w:val="en-US" w:eastAsia="zh-CN" w:bidi="ar"/>
              </w:rPr>
              <w:t>较高，稳定性中等，饱腹感中等</w:t>
            </w:r>
          </w:p>
        </w:tc>
      </w:tr>
      <w:tr w14:paraId="62661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0" w:type="auto"/>
            <w:shd w:val="clear" w:color="auto" w:fill="auto"/>
            <w:vAlign w:val="center"/>
          </w:tcPr>
          <w:p w14:paraId="1B4A6A28">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安全指标</w:t>
            </w:r>
          </w:p>
        </w:tc>
        <w:tc>
          <w:tcPr>
            <w:tcW w:w="0" w:type="auto"/>
            <w:shd w:val="clear" w:color="auto" w:fill="auto"/>
            <w:vAlign w:val="center"/>
          </w:tcPr>
          <w:p w14:paraId="2A852B66">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水分≤9.0g/100g，灰分≤0.30g/100g，黄曲霉毒素 B1≤5μg/kg，符合 GB 2713 规定</w:t>
            </w:r>
          </w:p>
        </w:tc>
        <w:tc>
          <w:tcPr>
            <w:tcW w:w="0" w:type="auto"/>
            <w:shd w:val="clear" w:color="auto" w:fill="auto"/>
            <w:vAlign w:val="center"/>
          </w:tcPr>
          <w:p w14:paraId="501739E0">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水分≤12g/100g，灰分≤0.5g/100g，符合 GB 2713 规定，部分指标宽松</w:t>
            </w:r>
          </w:p>
        </w:tc>
        <w:tc>
          <w:tcPr>
            <w:tcW w:w="0" w:type="auto"/>
            <w:shd w:val="clear" w:color="auto" w:fill="auto"/>
            <w:vAlign w:val="center"/>
          </w:tcPr>
          <w:p w14:paraId="4AE90EBB">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水分≤14g/100g，灰分≤0.6g/100g，符合 GB 2713 规定，指标要求较低</w:t>
            </w:r>
          </w:p>
        </w:tc>
        <w:tc>
          <w:tcPr>
            <w:tcW w:w="0" w:type="auto"/>
            <w:shd w:val="clear" w:color="auto" w:fill="auto"/>
            <w:vAlign w:val="center"/>
          </w:tcPr>
          <w:p w14:paraId="5AE1B657">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水分≤10g/100g，灰分≤0.8g/100g，符合 GB 2713 规定，无专项严格限制</w:t>
            </w:r>
          </w:p>
        </w:tc>
        <w:tc>
          <w:tcPr>
            <w:tcW w:w="0" w:type="auto"/>
            <w:shd w:val="clear" w:color="auto" w:fill="auto"/>
            <w:vAlign w:val="center"/>
          </w:tcPr>
          <w:p w14:paraId="399F0DED">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水分≤11g/100g，灰分≤0.7g/100g，符合 GB 2713 规定，无专项严格限制</w:t>
            </w:r>
          </w:p>
        </w:tc>
      </w:tr>
      <w:tr w14:paraId="4604D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15" w:type="dxa"/>
        </w:trPr>
        <w:tc>
          <w:tcPr>
            <w:tcW w:w="0" w:type="auto"/>
            <w:shd w:val="clear" w:color="auto" w:fill="auto"/>
            <w:vAlign w:val="center"/>
          </w:tcPr>
          <w:p w14:paraId="465D2066">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适用场景</w:t>
            </w:r>
          </w:p>
        </w:tc>
        <w:tc>
          <w:tcPr>
            <w:tcW w:w="0" w:type="auto"/>
            <w:shd w:val="clear" w:color="auto" w:fill="auto"/>
            <w:vAlign w:val="center"/>
          </w:tcPr>
          <w:p w14:paraId="1F055280">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日常营养补充、早餐冲调、养生代餐，适合注重营养与独特风味的人群</w:t>
            </w:r>
          </w:p>
        </w:tc>
        <w:tc>
          <w:tcPr>
            <w:tcW w:w="0" w:type="auto"/>
            <w:shd w:val="clear" w:color="auto" w:fill="auto"/>
            <w:vAlign w:val="center"/>
          </w:tcPr>
          <w:p w14:paraId="495F9A24">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早餐冲调、餐后甜点，适合喜欢清淡口感的人群</w:t>
            </w:r>
          </w:p>
        </w:tc>
        <w:tc>
          <w:tcPr>
            <w:tcW w:w="0" w:type="auto"/>
            <w:shd w:val="clear" w:color="auto" w:fill="auto"/>
            <w:vAlign w:val="center"/>
          </w:tcPr>
          <w:p w14:paraId="6799B147">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烹饪勾芡、少量冲调糊类，多用于辅助烹饪</w:t>
            </w:r>
          </w:p>
        </w:tc>
        <w:tc>
          <w:tcPr>
            <w:tcW w:w="0" w:type="auto"/>
            <w:shd w:val="clear" w:color="auto" w:fill="auto"/>
            <w:vAlign w:val="center"/>
          </w:tcPr>
          <w:p w14:paraId="4344822E">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早餐冲调、养生调理，适合关注脾胃养护的人群</w:t>
            </w:r>
          </w:p>
        </w:tc>
        <w:tc>
          <w:tcPr>
            <w:tcW w:w="0" w:type="auto"/>
            <w:shd w:val="clear" w:color="auto" w:fill="auto"/>
            <w:vAlign w:val="center"/>
          </w:tcPr>
          <w:p w14:paraId="2C3B14AB">
            <w:pPr>
              <w:keepNext w:val="0"/>
              <w:keepLines w:val="0"/>
              <w:widowControl/>
              <w:suppressLineNumbers w:val="0"/>
              <w:spacing w:before="0" w:beforeAutospacing="0" w:after="0" w:afterAutospacing="0" w:line="206" w:lineRule="atLeast"/>
              <w:ind w:left="0" w:right="0"/>
              <w:jc w:val="left"/>
              <w:rPr>
                <w:color w:val="000000"/>
                <w:sz w:val="13"/>
                <w:szCs w:val="13"/>
              </w:rPr>
            </w:pPr>
            <w:r>
              <w:rPr>
                <w:rFonts w:ascii="宋体" w:hAnsi="宋体" w:eastAsia="宋体" w:cs="宋体"/>
                <w:color w:val="000000"/>
                <w:kern w:val="0"/>
                <w:sz w:val="13"/>
                <w:szCs w:val="13"/>
                <w:lang w:val="en-US" w:eastAsia="zh-CN" w:bidi="ar"/>
              </w:rPr>
              <w:t>早餐冲调、养生代餐，适合注重葛根素辅助调理的人群</w:t>
            </w:r>
          </w:p>
        </w:tc>
      </w:tr>
    </w:tbl>
    <w:p w14:paraId="624EA023">
      <w:pPr>
        <w:pStyle w:val="14"/>
        <w:spacing w:after="0" w:line="560" w:lineRule="exact"/>
        <w:ind w:firstLine="640" w:firstLineChars="200"/>
        <w:rPr>
          <w:rFonts w:hint="default" w:ascii="仿宋_GB2312" w:eastAsia="仿宋_GB2312"/>
          <w:bCs/>
          <w:color w:val="auto"/>
          <w:lang w:val="en-US" w:eastAsia="zh-CN"/>
        </w:rPr>
      </w:pPr>
    </w:p>
    <w:p w14:paraId="0B59D8E3">
      <w:pPr>
        <w:spacing w:line="560" w:lineRule="exact"/>
        <w:ind w:firstLine="643" w:firstLineChars="200"/>
        <w:outlineLvl w:val="1"/>
        <w:rPr>
          <w:rFonts w:hint="eastAsia" w:ascii="仿宋_GB2312" w:eastAsia="仿宋_GB2312"/>
          <w:b/>
          <w:bCs/>
          <w:color w:val="auto"/>
          <w:sz w:val="32"/>
          <w:szCs w:val="32"/>
          <w:lang w:eastAsia="zh-CN"/>
        </w:rPr>
      </w:pPr>
      <w:r>
        <w:rPr>
          <w:rFonts w:hint="eastAsia" w:ascii="仿宋_GB2312" w:eastAsia="仿宋_GB2312"/>
          <w:b/>
          <w:bCs/>
          <w:color w:val="auto"/>
          <w:sz w:val="32"/>
          <w:szCs w:val="32"/>
        </w:rPr>
        <w:t>（二）</w:t>
      </w:r>
      <w:r>
        <w:rPr>
          <w:rFonts w:hint="eastAsia" w:ascii="仿宋_GB2312" w:eastAsia="仿宋_GB2312"/>
          <w:b/>
          <w:bCs/>
          <w:color w:val="auto"/>
          <w:sz w:val="32"/>
          <w:szCs w:val="32"/>
          <w:lang w:val="en-US" w:eastAsia="zh-CN"/>
        </w:rPr>
        <w:t>要求</w:t>
      </w:r>
    </w:p>
    <w:p w14:paraId="523BCC5E">
      <w:pPr>
        <w:pStyle w:val="14"/>
        <w:spacing w:after="0" w:line="560" w:lineRule="exact"/>
        <w:ind w:firstLine="640" w:firstLineChars="200"/>
        <w:rPr>
          <w:rFonts w:eastAsia="仿宋_GB2312" w:cs="Times New Roman"/>
          <w:color w:val="auto"/>
        </w:rPr>
      </w:pPr>
      <w:r>
        <w:rPr>
          <w:rFonts w:hint="eastAsia" w:eastAsia="仿宋_GB2312" w:cs="Times New Roman"/>
          <w:color w:val="auto"/>
          <w:lang w:val="en-US" w:eastAsia="zh-CN"/>
        </w:rPr>
        <w:t>2.1原辅料</w:t>
      </w:r>
    </w:p>
    <w:p w14:paraId="3485619F">
      <w:pPr>
        <w:spacing w:line="560" w:lineRule="exact"/>
        <w:ind w:firstLine="640" w:firstLineChars="200"/>
        <w:outlineLvl w:val="1"/>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树高＞10m 的桄榔树生长周期足，髓芯成熟度高，淀粉含量（≥78g/100g）、直链淀粉（≥60%）及钙、铁、总黄酮等营养成分积累充分，符合标准理化指标要求；幼树髓芯营养不足，难以达到 “富含微量元素” 的产品定位。成熟大树（树高＞10m）髓芯质地饱满、纤维少，经加工后能形成细腻无结块的粉末，冲调后满足 “柔滑胶状、有光泽” 的感官要求；幼树髓芯纤维粗，易导致产品口感粗糙、冲调后结块。限定树高可避免过度采伐幼树，保护桄榔树种群资源，同时确保原料品质均一，让生产出的红桄榔粉在营养、风味、口感上保持稳定，符合地方特色食品的标准化生产需求。</w:t>
      </w:r>
    </w:p>
    <w:p w14:paraId="0B5FC688">
      <w:pPr>
        <w:spacing w:line="560" w:lineRule="exact"/>
        <w:ind w:firstLine="640" w:firstLineChars="200"/>
        <w:outlineLvl w:val="1"/>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通过</w:t>
      </w:r>
      <w:r>
        <w:rPr>
          <w:rFonts w:hint="eastAsia" w:eastAsia="仿宋_GB2312" w:cstheme="minorBidi"/>
          <w:color w:val="auto"/>
          <w:kern w:val="2"/>
          <w:sz w:val="32"/>
          <w:szCs w:val="32"/>
          <w:lang w:val="en-US" w:eastAsia="zh-CN" w:bidi="ar-SA"/>
        </w:rPr>
        <w:t>调查研究</w:t>
      </w:r>
      <w:r>
        <w:rPr>
          <w:rFonts w:hint="eastAsia" w:ascii="Times New Roman" w:hAnsi="Times New Roman" w:eastAsia="仿宋_GB2312" w:cstheme="minorBidi"/>
          <w:color w:val="auto"/>
          <w:kern w:val="2"/>
          <w:sz w:val="32"/>
          <w:szCs w:val="32"/>
          <w:lang w:val="en-US" w:eastAsia="zh-CN" w:bidi="ar-SA"/>
        </w:rPr>
        <w:t>可知：</w:t>
      </w:r>
    </w:p>
    <w:tbl>
      <w:tblPr>
        <w:tblStyle w:val="9"/>
        <w:tblW w:w="5660" w:type="pct"/>
        <w:tblCellSpacing w:w="15" w:type="dxa"/>
        <w:tblInd w:w="-20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682"/>
        <w:gridCol w:w="3801"/>
        <w:gridCol w:w="3600"/>
        <w:gridCol w:w="1768"/>
      </w:tblGrid>
      <w:tr w14:paraId="257D2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blHeader/>
          <w:tblCellSpacing w:w="15" w:type="dxa"/>
        </w:trPr>
        <w:tc>
          <w:tcPr>
            <w:tcW w:w="323" w:type="pct"/>
            <w:tcBorders>
              <w:top w:val="single" w:color="auto" w:sz="4" w:space="0"/>
              <w:left w:val="single" w:color="auto" w:sz="0" w:space="0"/>
              <w:bottom w:val="single" w:color="auto" w:sz="4" w:space="0"/>
              <w:right w:val="single" w:color="auto" w:sz="4" w:space="0"/>
            </w:tcBorders>
            <w:shd w:val="clear" w:color="auto" w:fill="auto"/>
            <w:vAlign w:val="center"/>
          </w:tcPr>
          <w:p w14:paraId="52D24C54">
            <w:pPr>
              <w:keepNext w:val="0"/>
              <w:keepLines w:val="0"/>
              <w:widowControl/>
              <w:suppressLineNumbers w:val="0"/>
              <w:spacing w:before="0" w:beforeAutospacing="0" w:after="0" w:afterAutospacing="0" w:line="206" w:lineRule="atLeast"/>
              <w:ind w:left="0" w:right="0"/>
              <w:jc w:val="center"/>
              <w:rPr>
                <w:b/>
                <w:bCs/>
                <w:color w:val="000000"/>
                <w:sz w:val="18"/>
                <w:szCs w:val="18"/>
              </w:rPr>
            </w:pPr>
            <w:r>
              <w:rPr>
                <w:rFonts w:ascii="宋体" w:hAnsi="宋体" w:eastAsia="宋体" w:cs="宋体"/>
                <w:b/>
                <w:bCs/>
                <w:color w:val="000000"/>
                <w:kern w:val="0"/>
                <w:sz w:val="18"/>
                <w:szCs w:val="18"/>
                <w:lang w:val="en-US" w:eastAsia="zh-CN" w:bidi="ar"/>
              </w:rPr>
              <w:t>关联维度</w:t>
            </w:r>
          </w:p>
        </w:tc>
        <w:tc>
          <w:tcPr>
            <w:tcW w:w="1913" w:type="pct"/>
            <w:tcBorders>
              <w:top w:val="single" w:color="auto" w:sz="4" w:space="0"/>
              <w:left w:val="single" w:color="auto" w:sz="4" w:space="0"/>
              <w:bottom w:val="single" w:color="auto" w:sz="4" w:space="0"/>
              <w:right w:val="single" w:color="auto" w:sz="4" w:space="0"/>
            </w:tcBorders>
            <w:shd w:val="clear" w:color="auto" w:fill="auto"/>
            <w:vAlign w:val="center"/>
          </w:tcPr>
          <w:p w14:paraId="27472144">
            <w:pPr>
              <w:keepNext w:val="0"/>
              <w:keepLines w:val="0"/>
              <w:widowControl/>
              <w:suppressLineNumbers w:val="0"/>
              <w:spacing w:before="0" w:beforeAutospacing="0" w:after="0" w:afterAutospacing="0" w:line="206" w:lineRule="atLeast"/>
              <w:ind w:left="0" w:right="0"/>
              <w:jc w:val="center"/>
              <w:rPr>
                <w:b/>
                <w:bCs/>
                <w:color w:val="000000"/>
                <w:sz w:val="18"/>
                <w:szCs w:val="18"/>
              </w:rPr>
            </w:pPr>
            <w:r>
              <w:rPr>
                <w:rFonts w:ascii="宋体" w:hAnsi="宋体" w:eastAsia="宋体" w:cs="宋体"/>
                <w:b/>
                <w:bCs/>
                <w:color w:val="000000"/>
                <w:kern w:val="0"/>
                <w:sz w:val="18"/>
                <w:szCs w:val="18"/>
                <w:lang w:val="en-US" w:eastAsia="zh-CN" w:bidi="ar"/>
              </w:rPr>
              <w:t>树高＞10m（符合原料要求）</w:t>
            </w:r>
          </w:p>
        </w:tc>
        <w:tc>
          <w:tcPr>
            <w:tcW w:w="1811" w:type="pct"/>
            <w:tcBorders>
              <w:top w:val="single" w:color="auto" w:sz="4" w:space="0"/>
              <w:left w:val="single" w:color="auto" w:sz="4" w:space="0"/>
              <w:bottom w:val="single" w:color="auto" w:sz="4" w:space="0"/>
              <w:right w:val="single" w:color="auto" w:sz="4" w:space="0"/>
            </w:tcBorders>
            <w:shd w:val="clear" w:color="auto" w:fill="auto"/>
            <w:vAlign w:val="center"/>
          </w:tcPr>
          <w:p w14:paraId="601D2B42">
            <w:pPr>
              <w:keepNext w:val="0"/>
              <w:keepLines w:val="0"/>
              <w:widowControl/>
              <w:suppressLineNumbers w:val="0"/>
              <w:spacing w:before="0" w:beforeAutospacing="0" w:after="0" w:afterAutospacing="0" w:line="206" w:lineRule="atLeast"/>
              <w:ind w:left="0" w:right="0"/>
              <w:jc w:val="center"/>
              <w:rPr>
                <w:b/>
                <w:bCs/>
                <w:color w:val="000000"/>
                <w:sz w:val="18"/>
                <w:szCs w:val="18"/>
              </w:rPr>
            </w:pPr>
            <w:r>
              <w:rPr>
                <w:rFonts w:ascii="宋体" w:hAnsi="宋体" w:eastAsia="宋体" w:cs="宋体"/>
                <w:b/>
                <w:bCs/>
                <w:color w:val="000000"/>
                <w:kern w:val="0"/>
                <w:sz w:val="18"/>
                <w:szCs w:val="18"/>
                <w:lang w:val="en-US" w:eastAsia="zh-CN" w:bidi="ar"/>
              </w:rPr>
              <w:t>树高＜10m（幼树 / 未成熟树）</w:t>
            </w:r>
          </w:p>
        </w:tc>
        <w:tc>
          <w:tcPr>
            <w:tcW w:w="874" w:type="pct"/>
            <w:tcBorders>
              <w:top w:val="single" w:color="auto" w:sz="4" w:space="0"/>
              <w:left w:val="single" w:color="auto" w:sz="4" w:space="0"/>
              <w:bottom w:val="single" w:color="auto" w:sz="4" w:space="0"/>
              <w:right w:val="single" w:color="auto" w:sz="4" w:space="0"/>
            </w:tcBorders>
            <w:shd w:val="clear" w:color="auto" w:fill="auto"/>
            <w:vAlign w:val="center"/>
          </w:tcPr>
          <w:p w14:paraId="49D5003E">
            <w:pPr>
              <w:keepNext w:val="0"/>
              <w:keepLines w:val="0"/>
              <w:widowControl/>
              <w:suppressLineNumbers w:val="0"/>
              <w:spacing w:before="0" w:beforeAutospacing="0" w:after="0" w:afterAutospacing="0" w:line="206" w:lineRule="atLeast"/>
              <w:ind w:left="0" w:right="0"/>
              <w:jc w:val="center"/>
              <w:rPr>
                <w:b/>
                <w:bCs/>
                <w:color w:val="000000"/>
                <w:sz w:val="18"/>
                <w:szCs w:val="18"/>
              </w:rPr>
            </w:pPr>
            <w:r>
              <w:rPr>
                <w:rFonts w:ascii="宋体" w:hAnsi="宋体" w:eastAsia="宋体" w:cs="宋体"/>
                <w:b/>
                <w:bCs/>
                <w:color w:val="000000"/>
                <w:kern w:val="0"/>
                <w:sz w:val="18"/>
                <w:szCs w:val="18"/>
                <w:lang w:val="en-US" w:eastAsia="zh-CN" w:bidi="ar"/>
              </w:rPr>
              <w:t>标准对应要求</w:t>
            </w:r>
          </w:p>
        </w:tc>
      </w:tr>
      <w:tr w14:paraId="7E15EF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trPr>
        <w:tc>
          <w:tcPr>
            <w:tcW w:w="323" w:type="pct"/>
            <w:tcBorders>
              <w:top w:val="single" w:color="auto" w:sz="4" w:space="0"/>
              <w:left w:val="single" w:color="auto" w:sz="4" w:space="0"/>
              <w:bottom w:val="single" w:color="auto" w:sz="4" w:space="0"/>
              <w:right w:val="single" w:color="auto" w:sz="4" w:space="0"/>
            </w:tcBorders>
            <w:shd w:val="clear" w:color="auto" w:fill="auto"/>
            <w:vAlign w:val="center"/>
          </w:tcPr>
          <w:p w14:paraId="2E411B68">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核心营养成分</w:t>
            </w:r>
          </w:p>
        </w:tc>
        <w:tc>
          <w:tcPr>
            <w:tcW w:w="1913" w:type="pct"/>
            <w:tcBorders>
              <w:top w:val="single" w:color="auto" w:sz="4" w:space="0"/>
              <w:left w:val="single" w:color="auto" w:sz="4" w:space="0"/>
              <w:bottom w:val="single" w:color="auto" w:sz="4" w:space="0"/>
              <w:right w:val="single" w:color="auto" w:sz="4" w:space="0"/>
            </w:tcBorders>
            <w:shd w:val="clear" w:color="auto" w:fill="auto"/>
            <w:vAlign w:val="center"/>
          </w:tcPr>
          <w:p w14:paraId="4F97A92C">
            <w:pPr>
              <w:keepNext w:val="0"/>
              <w:keepLines w:val="0"/>
              <w:widowControl/>
              <w:suppressLineNumbers w:val="0"/>
              <w:spacing w:before="0" w:beforeAutospacing="0" w:after="0" w:afterAutospacing="0" w:line="206" w:lineRule="atLeast"/>
              <w:ind w:left="0" w:right="0"/>
              <w:jc w:val="both"/>
              <w:rPr>
                <w:rFonts w:ascii="宋体" w:hAnsi="宋体" w:eastAsia="宋体" w:cs="宋体"/>
                <w:color w:val="000000"/>
                <w:kern w:val="0"/>
                <w:sz w:val="18"/>
                <w:szCs w:val="18"/>
                <w:lang w:val="en-US" w:eastAsia="zh-CN" w:bidi="ar"/>
              </w:rPr>
            </w:pPr>
            <w:r>
              <w:rPr>
                <w:rFonts w:ascii="宋体" w:hAnsi="宋体" w:eastAsia="宋体" w:cs="宋体"/>
                <w:color w:val="000000"/>
                <w:kern w:val="0"/>
                <w:sz w:val="18"/>
                <w:szCs w:val="18"/>
                <w:lang w:val="en-US" w:eastAsia="zh-CN" w:bidi="ar"/>
              </w:rPr>
              <w:t>1. 淀粉含量≥78g/100g（达标），直链淀粉≥60%（冲调稳定性核心）；</w:t>
            </w:r>
          </w:p>
          <w:p w14:paraId="70A712C9">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2. 钙 20～80mg/100g、铁 0.8～25mg/100g、总黄酮 30～100mg/100g（均满足 “富含” 量化指标）</w:t>
            </w:r>
          </w:p>
        </w:tc>
        <w:tc>
          <w:tcPr>
            <w:tcW w:w="1811" w:type="pct"/>
            <w:tcBorders>
              <w:top w:val="single" w:color="auto" w:sz="4" w:space="0"/>
              <w:left w:val="single" w:color="auto" w:sz="4" w:space="0"/>
              <w:bottom w:val="single" w:color="auto" w:sz="4" w:space="0"/>
              <w:right w:val="single" w:color="auto" w:sz="4" w:space="0"/>
            </w:tcBorders>
            <w:shd w:val="clear" w:color="auto" w:fill="auto"/>
            <w:vAlign w:val="center"/>
          </w:tcPr>
          <w:p w14:paraId="611CA2A5">
            <w:pPr>
              <w:keepNext w:val="0"/>
              <w:keepLines w:val="0"/>
              <w:widowControl/>
              <w:suppressLineNumbers w:val="0"/>
              <w:spacing w:before="0" w:beforeAutospacing="0" w:after="0" w:afterAutospacing="0" w:line="206" w:lineRule="atLeast"/>
              <w:ind w:left="0" w:right="0"/>
              <w:jc w:val="both"/>
              <w:rPr>
                <w:rFonts w:ascii="宋体" w:hAnsi="宋体" w:eastAsia="宋体" w:cs="宋体"/>
                <w:color w:val="000000"/>
                <w:kern w:val="0"/>
                <w:sz w:val="18"/>
                <w:szCs w:val="18"/>
                <w:lang w:val="en-US" w:eastAsia="zh-CN" w:bidi="ar"/>
              </w:rPr>
            </w:pPr>
            <w:r>
              <w:rPr>
                <w:rFonts w:ascii="宋体" w:hAnsi="宋体" w:eastAsia="宋体" w:cs="宋体"/>
                <w:color w:val="000000"/>
                <w:kern w:val="0"/>
                <w:sz w:val="18"/>
                <w:szCs w:val="18"/>
                <w:lang w:val="en-US" w:eastAsia="zh-CN" w:bidi="ar"/>
              </w:rPr>
              <w:t>1. 淀粉含量 65～75g/100g（未达标），直链淀粉 35%～50%（低于标准下限）；</w:t>
            </w:r>
          </w:p>
          <w:p w14:paraId="72E68921">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2. 钙 5～15mg/100g、铁 0.3～0.7mg/100g、总黄酮 10～25mg/100g（未达 “富含” 标准）</w:t>
            </w:r>
          </w:p>
        </w:tc>
        <w:tc>
          <w:tcPr>
            <w:tcW w:w="874" w:type="pct"/>
            <w:tcBorders>
              <w:top w:val="single" w:color="auto" w:sz="4" w:space="0"/>
              <w:left w:val="single" w:color="auto" w:sz="4" w:space="0"/>
              <w:bottom w:val="single" w:color="auto" w:sz="4" w:space="0"/>
              <w:right w:val="single" w:color="auto" w:sz="4" w:space="0"/>
            </w:tcBorders>
            <w:shd w:val="clear" w:color="auto" w:fill="auto"/>
            <w:vAlign w:val="center"/>
          </w:tcPr>
          <w:p w14:paraId="1AB2F2F4">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理化指标表 2（淀粉、直链淀粉、微量元素、总黄酮）</w:t>
            </w:r>
          </w:p>
        </w:tc>
      </w:tr>
      <w:tr w14:paraId="63AD7A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trPr>
        <w:tc>
          <w:tcPr>
            <w:tcW w:w="323" w:type="pct"/>
            <w:tcBorders>
              <w:top w:val="single" w:color="auto" w:sz="4" w:space="0"/>
              <w:left w:val="single" w:color="auto" w:sz="4" w:space="0"/>
              <w:bottom w:val="single" w:color="auto" w:sz="4" w:space="0"/>
              <w:right w:val="single" w:color="auto" w:sz="4" w:space="0"/>
            </w:tcBorders>
            <w:shd w:val="clear" w:color="auto" w:fill="auto"/>
            <w:vAlign w:val="center"/>
          </w:tcPr>
          <w:p w14:paraId="4EE4FEDF">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感官 - 色泽</w:t>
            </w:r>
          </w:p>
        </w:tc>
        <w:tc>
          <w:tcPr>
            <w:tcW w:w="1913" w:type="pct"/>
            <w:tcBorders>
              <w:top w:val="single" w:color="auto" w:sz="4" w:space="0"/>
              <w:left w:val="single" w:color="auto" w:sz="4" w:space="0"/>
              <w:bottom w:val="single" w:color="auto" w:sz="4" w:space="0"/>
              <w:right w:val="single" w:color="auto" w:sz="4" w:space="0"/>
            </w:tcBorders>
            <w:shd w:val="clear" w:color="auto" w:fill="auto"/>
            <w:vAlign w:val="center"/>
          </w:tcPr>
          <w:p w14:paraId="34772B2C">
            <w:pPr>
              <w:keepNext w:val="0"/>
              <w:keepLines w:val="0"/>
              <w:widowControl/>
              <w:suppressLineNumbers w:val="0"/>
              <w:spacing w:before="0" w:beforeAutospacing="0" w:after="0" w:afterAutospacing="0" w:line="206" w:lineRule="atLeast"/>
              <w:ind w:left="0" w:right="0"/>
              <w:jc w:val="both"/>
              <w:rPr>
                <w:rFonts w:ascii="宋体" w:hAnsi="宋体" w:eastAsia="宋体" w:cs="宋体"/>
                <w:color w:val="000000"/>
                <w:kern w:val="0"/>
                <w:sz w:val="18"/>
                <w:szCs w:val="18"/>
                <w:lang w:val="en-US" w:eastAsia="zh-CN" w:bidi="ar"/>
              </w:rPr>
            </w:pPr>
            <w:r>
              <w:rPr>
                <w:rFonts w:ascii="宋体" w:hAnsi="宋体" w:eastAsia="宋体" w:cs="宋体"/>
                <w:color w:val="000000"/>
                <w:kern w:val="0"/>
                <w:sz w:val="18"/>
                <w:szCs w:val="18"/>
                <w:lang w:val="en-US" w:eastAsia="zh-CN" w:bidi="ar"/>
              </w:rPr>
              <w:t>1. 粉末偏红 / 粉红色，色泽均匀（符合标准感官要求）；</w:t>
            </w:r>
          </w:p>
          <w:p w14:paraId="0D61C782">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2. 冲调后深琥珀色 / 浅咖啡色（特征色泽明显）</w:t>
            </w:r>
          </w:p>
        </w:tc>
        <w:tc>
          <w:tcPr>
            <w:tcW w:w="1811" w:type="pct"/>
            <w:tcBorders>
              <w:top w:val="single" w:color="auto" w:sz="4" w:space="0"/>
              <w:left w:val="single" w:color="auto" w:sz="4" w:space="0"/>
              <w:bottom w:val="single" w:color="auto" w:sz="4" w:space="0"/>
              <w:right w:val="single" w:color="auto" w:sz="4" w:space="0"/>
            </w:tcBorders>
            <w:shd w:val="clear" w:color="auto" w:fill="auto"/>
            <w:vAlign w:val="center"/>
          </w:tcPr>
          <w:p w14:paraId="7B39760E">
            <w:pPr>
              <w:keepNext w:val="0"/>
              <w:keepLines w:val="0"/>
              <w:widowControl/>
              <w:suppressLineNumbers w:val="0"/>
              <w:spacing w:before="0" w:beforeAutospacing="0" w:after="0" w:afterAutospacing="0" w:line="206" w:lineRule="atLeast"/>
              <w:ind w:left="0" w:right="0"/>
              <w:jc w:val="both"/>
              <w:rPr>
                <w:rFonts w:ascii="宋体" w:hAnsi="宋体" w:eastAsia="宋体" w:cs="宋体"/>
                <w:color w:val="000000"/>
                <w:kern w:val="0"/>
                <w:sz w:val="18"/>
                <w:szCs w:val="18"/>
                <w:lang w:val="en-US" w:eastAsia="zh-CN" w:bidi="ar"/>
              </w:rPr>
            </w:pPr>
            <w:r>
              <w:rPr>
                <w:rFonts w:ascii="宋体" w:hAnsi="宋体" w:eastAsia="宋体" w:cs="宋体"/>
                <w:color w:val="000000"/>
                <w:kern w:val="0"/>
                <w:sz w:val="18"/>
                <w:szCs w:val="18"/>
                <w:lang w:val="en-US" w:eastAsia="zh-CN" w:bidi="ar"/>
              </w:rPr>
              <w:t>1. 粉末呈浅粉色 / 白色，色泽不均；</w:t>
            </w:r>
          </w:p>
          <w:p w14:paraId="4BBB7F0D">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2. 冲调后呈淡黄色 / 乳白色</w:t>
            </w:r>
          </w:p>
        </w:tc>
        <w:tc>
          <w:tcPr>
            <w:tcW w:w="874" w:type="pct"/>
            <w:tcBorders>
              <w:top w:val="single" w:color="auto" w:sz="4" w:space="0"/>
              <w:left w:val="single" w:color="auto" w:sz="4" w:space="0"/>
              <w:bottom w:val="single" w:color="auto" w:sz="4" w:space="0"/>
              <w:right w:val="single" w:color="auto" w:sz="4" w:space="0"/>
            </w:tcBorders>
            <w:shd w:val="clear" w:color="auto" w:fill="auto"/>
            <w:vAlign w:val="center"/>
          </w:tcPr>
          <w:p w14:paraId="754AA1A0">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感官表 1（色泽要求）</w:t>
            </w:r>
          </w:p>
        </w:tc>
      </w:tr>
      <w:tr w14:paraId="7660D7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trPr>
        <w:tc>
          <w:tcPr>
            <w:tcW w:w="323" w:type="pct"/>
            <w:tcBorders>
              <w:top w:val="single" w:color="auto" w:sz="4" w:space="0"/>
              <w:left w:val="single" w:color="auto" w:sz="4" w:space="0"/>
              <w:bottom w:val="single" w:color="auto" w:sz="4" w:space="0"/>
              <w:right w:val="single" w:color="auto" w:sz="4" w:space="0"/>
            </w:tcBorders>
            <w:shd w:val="clear" w:color="auto" w:fill="auto"/>
            <w:vAlign w:val="center"/>
          </w:tcPr>
          <w:p w14:paraId="546DEF7B">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感官 - 组织形态</w:t>
            </w:r>
          </w:p>
        </w:tc>
        <w:tc>
          <w:tcPr>
            <w:tcW w:w="1913" w:type="pct"/>
            <w:tcBorders>
              <w:top w:val="single" w:color="auto" w:sz="4" w:space="0"/>
              <w:left w:val="single" w:color="auto" w:sz="4" w:space="0"/>
              <w:bottom w:val="single" w:color="auto" w:sz="4" w:space="0"/>
              <w:right w:val="single" w:color="auto" w:sz="4" w:space="0"/>
            </w:tcBorders>
            <w:shd w:val="clear" w:color="auto" w:fill="auto"/>
            <w:vAlign w:val="center"/>
          </w:tcPr>
          <w:p w14:paraId="272FE108">
            <w:pPr>
              <w:keepNext w:val="0"/>
              <w:keepLines w:val="0"/>
              <w:widowControl/>
              <w:suppressLineNumbers w:val="0"/>
              <w:spacing w:before="0" w:beforeAutospacing="0" w:after="0" w:afterAutospacing="0" w:line="206" w:lineRule="atLeast"/>
              <w:ind w:left="0" w:right="0"/>
              <w:jc w:val="both"/>
              <w:rPr>
                <w:rFonts w:ascii="宋体" w:hAnsi="宋体" w:eastAsia="宋体" w:cs="宋体"/>
                <w:color w:val="000000"/>
                <w:kern w:val="0"/>
                <w:sz w:val="18"/>
                <w:szCs w:val="18"/>
                <w:lang w:val="en-US" w:eastAsia="zh-CN" w:bidi="ar"/>
              </w:rPr>
            </w:pPr>
            <w:r>
              <w:rPr>
                <w:rFonts w:ascii="宋体" w:hAnsi="宋体" w:eastAsia="宋体" w:cs="宋体"/>
                <w:color w:val="000000"/>
                <w:kern w:val="0"/>
                <w:sz w:val="18"/>
                <w:szCs w:val="18"/>
                <w:lang w:val="en-US" w:eastAsia="zh-CN" w:bidi="ar"/>
              </w:rPr>
              <w:t>1. 粉末细腻，无结块（符合标准）；</w:t>
            </w:r>
          </w:p>
          <w:p w14:paraId="54E0968B">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2. 冲调后</w:t>
            </w:r>
            <w:r>
              <w:rPr>
                <w:rFonts w:hint="eastAsia" w:ascii="宋体" w:hAnsi="宋体" w:eastAsia="宋体" w:cs="宋体"/>
                <w:color w:val="000000"/>
                <w:kern w:val="0"/>
                <w:sz w:val="18"/>
                <w:szCs w:val="18"/>
                <w:lang w:val="en-US" w:eastAsia="zh-CN" w:bidi="ar"/>
              </w:rPr>
              <w:t>黏稠</w:t>
            </w:r>
            <w:r>
              <w:rPr>
                <w:rFonts w:ascii="宋体" w:hAnsi="宋体" w:eastAsia="宋体" w:cs="宋体"/>
                <w:color w:val="000000"/>
                <w:kern w:val="0"/>
                <w:sz w:val="18"/>
                <w:szCs w:val="18"/>
                <w:lang w:val="en-US" w:eastAsia="zh-CN" w:bidi="ar"/>
              </w:rPr>
              <w:t>均匀、有光泽（胶状体稳定性强）</w:t>
            </w:r>
          </w:p>
        </w:tc>
        <w:tc>
          <w:tcPr>
            <w:tcW w:w="1811" w:type="pct"/>
            <w:tcBorders>
              <w:top w:val="single" w:color="auto" w:sz="4" w:space="0"/>
              <w:left w:val="single" w:color="auto" w:sz="4" w:space="0"/>
              <w:bottom w:val="single" w:color="auto" w:sz="4" w:space="0"/>
              <w:right w:val="single" w:color="auto" w:sz="4" w:space="0"/>
            </w:tcBorders>
            <w:shd w:val="clear" w:color="auto" w:fill="auto"/>
            <w:vAlign w:val="center"/>
          </w:tcPr>
          <w:p w14:paraId="03F9AB4A">
            <w:pPr>
              <w:keepNext w:val="0"/>
              <w:keepLines w:val="0"/>
              <w:widowControl/>
              <w:suppressLineNumbers w:val="0"/>
              <w:spacing w:before="0" w:beforeAutospacing="0" w:after="0" w:afterAutospacing="0" w:line="206" w:lineRule="atLeast"/>
              <w:ind w:left="0" w:right="0"/>
              <w:jc w:val="both"/>
              <w:rPr>
                <w:rFonts w:ascii="宋体" w:hAnsi="宋体" w:eastAsia="宋体" w:cs="宋体"/>
                <w:color w:val="000000"/>
                <w:kern w:val="0"/>
                <w:sz w:val="18"/>
                <w:szCs w:val="18"/>
                <w:lang w:val="en-US" w:eastAsia="zh-CN" w:bidi="ar"/>
              </w:rPr>
            </w:pPr>
            <w:r>
              <w:rPr>
                <w:rFonts w:ascii="宋体" w:hAnsi="宋体" w:eastAsia="宋体" w:cs="宋体"/>
                <w:color w:val="000000"/>
                <w:kern w:val="0"/>
                <w:sz w:val="18"/>
                <w:szCs w:val="18"/>
                <w:lang w:val="en-US" w:eastAsia="zh-CN" w:bidi="ar"/>
              </w:rPr>
              <w:t>1. 粉末粗糙，易结块（纤维含量高）；</w:t>
            </w:r>
          </w:p>
          <w:p w14:paraId="57EA9A58">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2. 冲调后分层、结块，无光泽（胶状稳定性差）</w:t>
            </w:r>
          </w:p>
        </w:tc>
        <w:tc>
          <w:tcPr>
            <w:tcW w:w="874" w:type="pct"/>
            <w:tcBorders>
              <w:top w:val="single" w:color="auto" w:sz="4" w:space="0"/>
              <w:left w:val="single" w:color="auto" w:sz="4" w:space="0"/>
              <w:bottom w:val="single" w:color="auto" w:sz="4" w:space="0"/>
              <w:right w:val="single" w:color="auto" w:sz="4" w:space="0"/>
            </w:tcBorders>
            <w:shd w:val="clear" w:color="auto" w:fill="auto"/>
            <w:vAlign w:val="center"/>
          </w:tcPr>
          <w:p w14:paraId="0B48C864">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感官表 1（组织形态要求）</w:t>
            </w:r>
          </w:p>
        </w:tc>
      </w:tr>
      <w:tr w14:paraId="30B511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trPr>
        <w:tc>
          <w:tcPr>
            <w:tcW w:w="323" w:type="pct"/>
            <w:tcBorders>
              <w:top w:val="single" w:color="auto" w:sz="4" w:space="0"/>
              <w:left w:val="single" w:color="auto" w:sz="4" w:space="0"/>
              <w:bottom w:val="single" w:color="auto" w:sz="4" w:space="0"/>
              <w:right w:val="single" w:color="auto" w:sz="4" w:space="0"/>
            </w:tcBorders>
            <w:shd w:val="clear" w:color="auto" w:fill="auto"/>
            <w:vAlign w:val="center"/>
          </w:tcPr>
          <w:p w14:paraId="2A193FAE">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感官 - 气味与滋味</w:t>
            </w:r>
          </w:p>
        </w:tc>
        <w:tc>
          <w:tcPr>
            <w:tcW w:w="1913" w:type="pct"/>
            <w:tcBorders>
              <w:top w:val="single" w:color="auto" w:sz="4" w:space="0"/>
              <w:left w:val="single" w:color="auto" w:sz="4" w:space="0"/>
              <w:bottom w:val="single" w:color="auto" w:sz="4" w:space="0"/>
              <w:right w:val="single" w:color="auto" w:sz="4" w:space="0"/>
            </w:tcBorders>
            <w:shd w:val="clear" w:color="auto" w:fill="auto"/>
            <w:vAlign w:val="center"/>
          </w:tcPr>
          <w:p w14:paraId="0EB7133E">
            <w:pPr>
              <w:keepNext w:val="0"/>
              <w:keepLines w:val="0"/>
              <w:widowControl/>
              <w:suppressLineNumbers w:val="0"/>
              <w:spacing w:before="0" w:beforeAutospacing="0" w:after="0" w:afterAutospacing="0" w:line="206" w:lineRule="atLeast"/>
              <w:ind w:left="0" w:right="0"/>
              <w:jc w:val="both"/>
              <w:rPr>
                <w:rFonts w:ascii="宋体" w:hAnsi="宋体" w:eastAsia="宋体" w:cs="宋体"/>
                <w:color w:val="000000"/>
                <w:kern w:val="0"/>
                <w:sz w:val="18"/>
                <w:szCs w:val="18"/>
                <w:lang w:val="en-US" w:eastAsia="zh-CN" w:bidi="ar"/>
              </w:rPr>
            </w:pPr>
            <w:r>
              <w:rPr>
                <w:rFonts w:ascii="宋体" w:hAnsi="宋体" w:eastAsia="宋体" w:cs="宋体"/>
                <w:color w:val="000000"/>
                <w:kern w:val="0"/>
                <w:sz w:val="18"/>
                <w:szCs w:val="18"/>
                <w:lang w:val="en-US" w:eastAsia="zh-CN" w:bidi="ar"/>
              </w:rPr>
              <w:t>1. 天然坚果 / 谷物清香明显；</w:t>
            </w:r>
          </w:p>
          <w:p w14:paraId="3B3C6C30">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2. 回味微甘（符合标准风味特征）</w:t>
            </w:r>
          </w:p>
        </w:tc>
        <w:tc>
          <w:tcPr>
            <w:tcW w:w="1811" w:type="pct"/>
            <w:tcBorders>
              <w:top w:val="single" w:color="auto" w:sz="4" w:space="0"/>
              <w:left w:val="single" w:color="auto" w:sz="4" w:space="0"/>
              <w:bottom w:val="single" w:color="auto" w:sz="4" w:space="0"/>
              <w:right w:val="single" w:color="auto" w:sz="4" w:space="0"/>
            </w:tcBorders>
            <w:shd w:val="clear" w:color="auto" w:fill="auto"/>
            <w:vAlign w:val="center"/>
          </w:tcPr>
          <w:p w14:paraId="5A67A751">
            <w:pPr>
              <w:keepNext w:val="0"/>
              <w:keepLines w:val="0"/>
              <w:widowControl/>
              <w:suppressLineNumbers w:val="0"/>
              <w:spacing w:before="0" w:beforeAutospacing="0" w:after="0" w:afterAutospacing="0" w:line="206" w:lineRule="atLeast"/>
              <w:ind w:left="0" w:right="0"/>
              <w:jc w:val="both"/>
              <w:rPr>
                <w:rFonts w:ascii="宋体" w:hAnsi="宋体" w:eastAsia="宋体" w:cs="宋体"/>
                <w:color w:val="000000"/>
                <w:kern w:val="0"/>
                <w:sz w:val="18"/>
                <w:szCs w:val="18"/>
                <w:lang w:val="en-US" w:eastAsia="zh-CN" w:bidi="ar"/>
              </w:rPr>
            </w:pPr>
            <w:r>
              <w:rPr>
                <w:rFonts w:ascii="宋体" w:hAnsi="宋体" w:eastAsia="宋体" w:cs="宋体"/>
                <w:color w:val="000000"/>
                <w:kern w:val="0"/>
                <w:sz w:val="18"/>
                <w:szCs w:val="18"/>
                <w:lang w:val="en-US" w:eastAsia="zh-CN" w:bidi="ar"/>
              </w:rPr>
              <w:t>1. 无明显天然香气，部分带青涩味；</w:t>
            </w:r>
          </w:p>
          <w:p w14:paraId="736C771F">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2. 滋味平淡，无回甘（风味不达标）</w:t>
            </w:r>
          </w:p>
        </w:tc>
        <w:tc>
          <w:tcPr>
            <w:tcW w:w="874" w:type="pct"/>
            <w:tcBorders>
              <w:top w:val="single" w:color="auto" w:sz="4" w:space="0"/>
              <w:left w:val="single" w:color="auto" w:sz="4" w:space="0"/>
              <w:bottom w:val="single" w:color="auto" w:sz="4" w:space="0"/>
              <w:right w:val="single" w:color="auto" w:sz="4" w:space="0"/>
            </w:tcBorders>
            <w:shd w:val="clear" w:color="auto" w:fill="auto"/>
            <w:vAlign w:val="center"/>
          </w:tcPr>
          <w:p w14:paraId="152FB07F">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感官表 1（气味、滋味要求）</w:t>
            </w:r>
          </w:p>
        </w:tc>
      </w:tr>
      <w:tr w14:paraId="341CE9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trPr>
        <w:tc>
          <w:tcPr>
            <w:tcW w:w="323" w:type="pct"/>
            <w:tcBorders>
              <w:top w:val="single" w:color="auto" w:sz="4" w:space="0"/>
              <w:left w:val="single" w:color="auto" w:sz="4" w:space="0"/>
              <w:bottom w:val="single" w:color="auto" w:sz="4" w:space="0"/>
              <w:right w:val="single" w:color="auto" w:sz="4" w:space="0"/>
            </w:tcBorders>
            <w:shd w:val="clear" w:color="auto" w:fill="auto"/>
            <w:vAlign w:val="center"/>
          </w:tcPr>
          <w:p w14:paraId="24171ABE">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加工适配性</w:t>
            </w:r>
          </w:p>
        </w:tc>
        <w:tc>
          <w:tcPr>
            <w:tcW w:w="1913" w:type="pct"/>
            <w:tcBorders>
              <w:top w:val="single" w:color="auto" w:sz="4" w:space="0"/>
              <w:left w:val="single" w:color="auto" w:sz="4" w:space="0"/>
              <w:bottom w:val="single" w:color="auto" w:sz="4" w:space="0"/>
              <w:right w:val="single" w:color="auto" w:sz="4" w:space="0"/>
            </w:tcBorders>
            <w:shd w:val="clear" w:color="auto" w:fill="auto"/>
            <w:vAlign w:val="center"/>
          </w:tcPr>
          <w:p w14:paraId="36677583">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髓芯纤维含量≤5%，磨粉后通过率（100 目筛）≥95%（满足 “细腻无结块” 加工需求）</w:t>
            </w:r>
          </w:p>
        </w:tc>
        <w:tc>
          <w:tcPr>
            <w:tcW w:w="1811" w:type="pct"/>
            <w:tcBorders>
              <w:top w:val="single" w:color="auto" w:sz="4" w:space="0"/>
              <w:left w:val="single" w:color="auto" w:sz="4" w:space="0"/>
              <w:bottom w:val="single" w:color="auto" w:sz="4" w:space="0"/>
              <w:right w:val="single" w:color="auto" w:sz="4" w:space="0"/>
            </w:tcBorders>
            <w:shd w:val="clear" w:color="auto" w:fill="auto"/>
            <w:vAlign w:val="center"/>
          </w:tcPr>
          <w:p w14:paraId="78A74F25">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髓芯纤维含量≥12%，磨粉后通过率（100 目筛）≤80%（加工后易残留粗颗粒）</w:t>
            </w:r>
          </w:p>
        </w:tc>
        <w:tc>
          <w:tcPr>
            <w:tcW w:w="874" w:type="pct"/>
            <w:tcBorders>
              <w:top w:val="single" w:color="auto" w:sz="4" w:space="0"/>
              <w:left w:val="single" w:color="auto" w:sz="4" w:space="0"/>
              <w:bottom w:val="single" w:color="auto" w:sz="4" w:space="0"/>
              <w:right w:val="single" w:color="auto" w:sz="4" w:space="0"/>
            </w:tcBorders>
            <w:shd w:val="clear" w:color="auto" w:fill="auto"/>
            <w:vAlign w:val="center"/>
          </w:tcPr>
          <w:p w14:paraId="7514B227">
            <w:pPr>
              <w:keepNext w:val="0"/>
              <w:keepLines w:val="0"/>
              <w:widowControl/>
              <w:suppressLineNumbers w:val="0"/>
              <w:spacing w:before="0" w:beforeAutospacing="0" w:after="0" w:afterAutospacing="0" w:line="206" w:lineRule="atLeast"/>
              <w:ind w:left="0" w:right="0"/>
              <w:jc w:val="both"/>
              <w:rPr>
                <w:color w:val="000000"/>
                <w:sz w:val="18"/>
                <w:szCs w:val="18"/>
              </w:rPr>
            </w:pPr>
            <w:r>
              <w:rPr>
                <w:rFonts w:ascii="宋体" w:hAnsi="宋体" w:eastAsia="宋体" w:cs="宋体"/>
                <w:color w:val="000000"/>
                <w:kern w:val="0"/>
                <w:sz w:val="18"/>
                <w:szCs w:val="18"/>
                <w:lang w:val="en-US" w:eastAsia="zh-CN" w:bidi="ar"/>
              </w:rPr>
              <w:t>感官表 1（组织形态）+ 工艺要求</w:t>
            </w:r>
          </w:p>
        </w:tc>
      </w:tr>
    </w:tbl>
    <w:p w14:paraId="612ABC9A">
      <w:pPr>
        <w:spacing w:line="560" w:lineRule="exact"/>
        <w:ind w:firstLine="640" w:firstLineChars="200"/>
        <w:outlineLvl w:val="1"/>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2.2感官</w:t>
      </w:r>
    </w:p>
    <w:p w14:paraId="7FAE9F93">
      <w:pPr>
        <w:spacing w:line="560" w:lineRule="exact"/>
        <w:ind w:firstLine="640" w:firstLineChars="200"/>
        <w:outlineLvl w:val="1"/>
        <w:rPr>
          <w:rFonts w:hint="default" w:ascii="Times New Roman" w:hAnsi="Times New Roman" w:eastAsia="仿宋_GB2312" w:cstheme="minorBidi"/>
          <w:color w:val="auto"/>
          <w:kern w:val="2"/>
          <w:sz w:val="32"/>
          <w:szCs w:val="32"/>
          <w:lang w:val="en-US" w:eastAsia="zh-CN" w:bidi="ar-SA"/>
        </w:rPr>
      </w:pPr>
      <w:r>
        <w:rPr>
          <w:rFonts w:hint="default" w:ascii="Times New Roman" w:hAnsi="Times New Roman" w:eastAsia="仿宋_GB2312" w:cstheme="minorBidi"/>
          <w:color w:val="auto"/>
          <w:kern w:val="2"/>
          <w:sz w:val="32"/>
          <w:szCs w:val="32"/>
          <w:lang w:val="en-US" w:eastAsia="zh-CN" w:bidi="ar-SA"/>
        </w:rPr>
        <w:t>各项感官要求</w:t>
      </w:r>
      <w:r>
        <w:rPr>
          <w:rFonts w:hint="eastAsia" w:ascii="Times New Roman" w:hAnsi="Times New Roman" w:eastAsia="仿宋_GB2312" w:cstheme="minorBidi"/>
          <w:color w:val="auto"/>
          <w:kern w:val="2"/>
          <w:sz w:val="32"/>
          <w:szCs w:val="32"/>
          <w:lang w:val="en-US" w:eastAsia="zh-CN" w:bidi="ar-SA"/>
        </w:rPr>
        <w:t>主要根据产品特性而定：</w:t>
      </w:r>
    </w:p>
    <w:p w14:paraId="47C8B69B">
      <w:pPr>
        <w:spacing w:line="560" w:lineRule="exact"/>
        <w:ind w:firstLine="640" w:firstLineChars="200"/>
        <w:outlineLvl w:val="1"/>
        <w:rPr>
          <w:rFonts w:hint="default" w:ascii="Times New Roman" w:hAnsi="Times New Roman" w:eastAsia="仿宋_GB2312" w:cstheme="minorBidi"/>
          <w:color w:val="auto"/>
          <w:kern w:val="2"/>
          <w:sz w:val="32"/>
          <w:szCs w:val="32"/>
          <w:lang w:val="en-US" w:eastAsia="zh-CN" w:bidi="ar-SA"/>
        </w:rPr>
      </w:pPr>
      <w:r>
        <w:rPr>
          <w:rFonts w:hint="default" w:ascii="Times New Roman" w:hAnsi="Times New Roman" w:eastAsia="仿宋_GB2312" w:cstheme="minorBidi"/>
          <w:color w:val="auto"/>
          <w:kern w:val="2"/>
          <w:sz w:val="32"/>
          <w:szCs w:val="32"/>
          <w:lang w:val="en-US" w:eastAsia="zh-CN" w:bidi="ar-SA"/>
        </w:rPr>
        <w:t>色泽要求：原料为棕榈科桄榔树髓心，天然含类胡萝卜素、黄酮等色素，导致粉末呈偏红 / 粉红色；冲调后色素溶解、淀粉糊化，色泽加深为深琥珀色 / 浅咖啡色，符合天然植物淀粉的色素变化规律，也是区分于藕粉（纯白）、玉米淀粉（乳白）的关键特征。</w:t>
      </w:r>
    </w:p>
    <w:p w14:paraId="54700629">
      <w:pPr>
        <w:spacing w:line="560" w:lineRule="exact"/>
        <w:ind w:firstLine="640" w:firstLineChars="200"/>
        <w:outlineLvl w:val="1"/>
        <w:rPr>
          <w:rFonts w:hint="default" w:ascii="Times New Roman" w:hAnsi="Times New Roman" w:eastAsia="仿宋_GB2312" w:cstheme="minorBidi"/>
          <w:color w:val="auto"/>
          <w:kern w:val="2"/>
          <w:sz w:val="32"/>
          <w:szCs w:val="32"/>
          <w:lang w:val="en-US" w:eastAsia="zh-CN" w:bidi="ar-SA"/>
        </w:rPr>
      </w:pPr>
      <w:r>
        <w:rPr>
          <w:rFonts w:hint="default" w:ascii="Times New Roman" w:hAnsi="Times New Roman" w:eastAsia="仿宋_GB2312" w:cstheme="minorBidi"/>
          <w:color w:val="auto"/>
          <w:kern w:val="2"/>
          <w:sz w:val="32"/>
          <w:szCs w:val="32"/>
          <w:lang w:val="en-US" w:eastAsia="zh-CN" w:bidi="ar-SA"/>
        </w:rPr>
        <w:t>组织形态要求：采用 “砍碎、舂烂、磨粉、沉淀、晒干” 传统工艺，髓芯纤维少、淀粉纯度高（≥78g/100g），故粉末细腻无结块；直链淀粉≥60%，冲调后糊化稳定性强，形成</w:t>
      </w:r>
      <w:r>
        <w:rPr>
          <w:rFonts w:hint="eastAsia" w:ascii="Times New Roman" w:hAnsi="Times New Roman" w:eastAsia="仿宋_GB2312" w:cstheme="minorBidi"/>
          <w:color w:val="auto"/>
          <w:kern w:val="2"/>
          <w:sz w:val="32"/>
          <w:szCs w:val="32"/>
          <w:lang w:val="en-US" w:eastAsia="zh-CN" w:bidi="ar-SA"/>
        </w:rPr>
        <w:t>黏稠</w:t>
      </w:r>
      <w:r>
        <w:rPr>
          <w:rFonts w:hint="default" w:ascii="Times New Roman" w:hAnsi="Times New Roman" w:eastAsia="仿宋_GB2312" w:cstheme="minorBidi"/>
          <w:color w:val="auto"/>
          <w:kern w:val="2"/>
          <w:sz w:val="32"/>
          <w:szCs w:val="32"/>
          <w:lang w:val="en-US" w:eastAsia="zh-CN" w:bidi="ar-SA"/>
        </w:rPr>
        <w:t>均匀的胶状体，匹配标准理化指标对淀粉含量和直链淀粉的要求。</w:t>
      </w:r>
    </w:p>
    <w:p w14:paraId="1E09EB9F">
      <w:pPr>
        <w:spacing w:line="560" w:lineRule="exact"/>
        <w:ind w:firstLine="640" w:firstLineChars="200"/>
        <w:outlineLvl w:val="1"/>
        <w:rPr>
          <w:rFonts w:hint="default" w:ascii="Times New Roman" w:hAnsi="Times New Roman" w:eastAsia="仿宋_GB2312" w:cstheme="minorBidi"/>
          <w:color w:val="auto"/>
          <w:kern w:val="2"/>
          <w:sz w:val="32"/>
          <w:szCs w:val="32"/>
          <w:lang w:val="en-US" w:eastAsia="zh-CN" w:bidi="ar-SA"/>
        </w:rPr>
      </w:pPr>
      <w:r>
        <w:rPr>
          <w:rFonts w:hint="default" w:ascii="Times New Roman" w:hAnsi="Times New Roman" w:eastAsia="仿宋_GB2312" w:cstheme="minorBidi"/>
          <w:color w:val="auto"/>
          <w:kern w:val="2"/>
          <w:sz w:val="32"/>
          <w:szCs w:val="32"/>
          <w:lang w:val="en-US" w:eastAsia="zh-CN" w:bidi="ar-SA"/>
        </w:rPr>
        <w:t>气味要求：桄榔树髓心含天然挥发油、芳香类物质，加工中未添加香精，保留坚果 / 谷物类清香；冲调时高温激发挥发性成分，香气更明显，符合 “天然地方特色食品” 的定位，无人工添加异味。</w:t>
      </w:r>
    </w:p>
    <w:p w14:paraId="53DE9808">
      <w:pPr>
        <w:spacing w:line="560" w:lineRule="exact"/>
        <w:ind w:firstLine="640" w:firstLineChars="200"/>
        <w:outlineLvl w:val="1"/>
        <w:rPr>
          <w:rFonts w:hint="default" w:ascii="Times New Roman" w:hAnsi="Times New Roman" w:eastAsia="仿宋_GB2312" w:cstheme="minorBidi"/>
          <w:color w:val="auto"/>
          <w:kern w:val="2"/>
          <w:sz w:val="32"/>
          <w:szCs w:val="32"/>
          <w:lang w:val="en-US" w:eastAsia="zh-CN" w:bidi="ar-SA"/>
        </w:rPr>
      </w:pPr>
      <w:r>
        <w:rPr>
          <w:rFonts w:hint="default" w:ascii="Times New Roman" w:hAnsi="Times New Roman" w:eastAsia="仿宋_GB2312" w:cstheme="minorBidi"/>
          <w:color w:val="auto"/>
          <w:kern w:val="2"/>
          <w:sz w:val="32"/>
          <w:szCs w:val="32"/>
          <w:lang w:val="en-US" w:eastAsia="zh-CN" w:bidi="ar-SA"/>
        </w:rPr>
        <w:t>滋味要求：髓芯含少量天然糖类和黄酮类物质，故回味微甘；淀粉结构细腻（磨粉后 100 目筛通过率≥95%），冲调后易糊化，入口顺滑易化，既贴合传统食用体验，也与原料加工的细腻度相关。</w:t>
      </w:r>
    </w:p>
    <w:p w14:paraId="68CEB03E">
      <w:pPr>
        <w:spacing w:line="560" w:lineRule="exact"/>
        <w:ind w:firstLine="640" w:firstLineChars="200"/>
        <w:outlineLvl w:val="1"/>
        <w:rPr>
          <w:rFonts w:hint="default" w:ascii="Times New Roman" w:hAnsi="Times New Roman" w:eastAsia="仿宋_GB2312" w:cstheme="minorBidi"/>
          <w:color w:val="auto"/>
          <w:kern w:val="2"/>
          <w:sz w:val="32"/>
          <w:szCs w:val="32"/>
          <w:lang w:val="en-US" w:eastAsia="zh-CN" w:bidi="ar-SA"/>
        </w:rPr>
      </w:pPr>
      <w:r>
        <w:rPr>
          <w:rFonts w:hint="default" w:ascii="Times New Roman" w:hAnsi="Times New Roman" w:eastAsia="仿宋_GB2312" w:cstheme="minorBidi"/>
          <w:color w:val="auto"/>
          <w:kern w:val="2"/>
          <w:sz w:val="32"/>
          <w:szCs w:val="32"/>
          <w:lang w:val="en-US" w:eastAsia="zh-CN" w:bidi="ar-SA"/>
        </w:rPr>
        <w:t>杂质要求：原料为树干髓心（天然洁净组织），且加工经沉淀、筛选步骤，同时符合 GB 14881 生产卫生规范，从原料和工艺上保障无可见外来杂质，契合食品安全基础要求。</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49"/>
        <w:gridCol w:w="2949"/>
        <w:gridCol w:w="2950"/>
      </w:tblGrid>
      <w:tr w14:paraId="4FAE2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9" w:type="dxa"/>
            <w:shd w:val="clear"/>
            <w:vAlign w:val="top"/>
          </w:tcPr>
          <w:p w14:paraId="5F8EFD58">
            <w:pPr>
              <w:keepNext w:val="0"/>
              <w:keepLines w:val="0"/>
              <w:suppressLineNumbers w:val="0"/>
              <w:spacing w:before="0" w:beforeAutospacing="0" w:after="0" w:afterAutospacing="0" w:line="560" w:lineRule="exact"/>
              <w:ind w:left="0" w:leftChars="0" w:right="0" w:rightChars="0"/>
              <w:outlineLvl w:val="1"/>
              <w:rPr>
                <w:rFonts w:hint="default" w:ascii="Times New Roman" w:hAnsi="Times New Roman" w:eastAsia="仿宋_GB2312" w:cstheme="minorBidi"/>
                <w:color w:val="auto"/>
                <w:kern w:val="2"/>
                <w:sz w:val="32"/>
                <w:szCs w:val="32"/>
                <w:vertAlign w:val="baseline"/>
                <w:lang w:val="en-US" w:eastAsia="zh-CN" w:bidi="ar-SA"/>
              </w:rPr>
            </w:pPr>
            <w:r>
              <w:rPr>
                <w:rFonts w:hint="default" w:ascii="Times New Roman" w:hAnsi="Times New Roman" w:eastAsia="仿宋_GB2312" w:cstheme="minorBidi"/>
                <w:color w:val="auto"/>
                <w:kern w:val="2"/>
                <w:sz w:val="32"/>
                <w:szCs w:val="32"/>
                <w:vertAlign w:val="baseline"/>
                <w:lang w:val="en-US" w:eastAsia="zh-CN" w:bidi="ar-SA"/>
              </w:rPr>
              <w:drawing>
                <wp:anchor distT="0" distB="0" distL="114300" distR="114300" simplePos="0" relativeHeight="251666432" behindDoc="0" locked="0" layoutInCell="1" allowOverlap="1">
                  <wp:simplePos x="0" y="0"/>
                  <wp:positionH relativeFrom="column">
                    <wp:posOffset>41910</wp:posOffset>
                  </wp:positionH>
                  <wp:positionV relativeFrom="paragraph">
                    <wp:posOffset>16510</wp:posOffset>
                  </wp:positionV>
                  <wp:extent cx="1734820" cy="1982470"/>
                  <wp:effectExtent l="0" t="0" r="17780" b="17780"/>
                  <wp:wrapSquare wrapText="bothSides"/>
                  <wp:docPr id="5" name="图片 5" descr="16783173-a7e7-4322-9082-29ae74a18f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6783173-a7e7-4322-9082-29ae74a18f2b"/>
                          <pic:cNvPicPr>
                            <a:picLocks noChangeAspect="1"/>
                          </pic:cNvPicPr>
                        </pic:nvPicPr>
                        <pic:blipFill>
                          <a:blip r:embed="rId8"/>
                          <a:stretch>
                            <a:fillRect/>
                          </a:stretch>
                        </pic:blipFill>
                        <pic:spPr>
                          <a:xfrm>
                            <a:off x="0" y="0"/>
                            <a:ext cx="1734820" cy="1982470"/>
                          </a:xfrm>
                          <a:prstGeom prst="rect">
                            <a:avLst/>
                          </a:prstGeom>
                        </pic:spPr>
                      </pic:pic>
                    </a:graphicData>
                  </a:graphic>
                </wp:anchor>
              </w:drawing>
            </w:r>
          </w:p>
        </w:tc>
        <w:tc>
          <w:tcPr>
            <w:tcW w:w="2949" w:type="dxa"/>
            <w:shd w:val="clear"/>
            <w:vAlign w:val="top"/>
          </w:tcPr>
          <w:p w14:paraId="43D131BB">
            <w:pPr>
              <w:keepNext w:val="0"/>
              <w:keepLines w:val="0"/>
              <w:suppressLineNumbers w:val="0"/>
              <w:spacing w:before="0" w:beforeAutospacing="0" w:after="0" w:afterAutospacing="0" w:line="560" w:lineRule="exact"/>
              <w:ind w:left="0" w:leftChars="0" w:right="0" w:rightChars="0"/>
              <w:outlineLvl w:val="1"/>
              <w:rPr>
                <w:rFonts w:hint="default" w:ascii="Times New Roman" w:hAnsi="Times New Roman" w:eastAsia="仿宋_GB2312" w:cstheme="minorBidi"/>
                <w:color w:val="auto"/>
                <w:kern w:val="2"/>
                <w:sz w:val="32"/>
                <w:szCs w:val="32"/>
                <w:vertAlign w:val="baseline"/>
                <w:lang w:val="en-US" w:eastAsia="zh-CN" w:bidi="ar-SA"/>
              </w:rPr>
            </w:pPr>
            <w:r>
              <w:rPr>
                <w:rFonts w:hint="default" w:ascii="Times New Roman" w:hAnsi="Times New Roman" w:eastAsia="仿宋_GB2312" w:cstheme="minorBidi"/>
                <w:color w:val="auto"/>
                <w:kern w:val="2"/>
                <w:sz w:val="32"/>
                <w:szCs w:val="32"/>
                <w:vertAlign w:val="baseline"/>
                <w:lang w:val="en-US" w:eastAsia="zh-CN" w:bidi="ar-SA"/>
              </w:rPr>
              <w:drawing>
                <wp:anchor distT="0" distB="0" distL="114300" distR="114300" simplePos="0" relativeHeight="251667456" behindDoc="0" locked="0" layoutInCell="1" allowOverlap="1">
                  <wp:simplePos x="0" y="0"/>
                  <wp:positionH relativeFrom="column">
                    <wp:posOffset>-15240</wp:posOffset>
                  </wp:positionH>
                  <wp:positionV relativeFrom="paragraph">
                    <wp:posOffset>51435</wp:posOffset>
                  </wp:positionV>
                  <wp:extent cx="1734185" cy="1908175"/>
                  <wp:effectExtent l="0" t="0" r="18415" b="15875"/>
                  <wp:wrapSquare wrapText="bothSides"/>
                  <wp:docPr id="6" name="图片 6" descr="03e35d9c-9c02-4422-b14c-a37daee6b9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03e35d9c-9c02-4422-b14c-a37daee6b9ce"/>
                          <pic:cNvPicPr>
                            <a:picLocks noChangeAspect="1"/>
                          </pic:cNvPicPr>
                        </pic:nvPicPr>
                        <pic:blipFill>
                          <a:blip r:embed="rId9"/>
                          <a:stretch>
                            <a:fillRect/>
                          </a:stretch>
                        </pic:blipFill>
                        <pic:spPr>
                          <a:xfrm>
                            <a:off x="0" y="0"/>
                            <a:ext cx="1734185" cy="1908175"/>
                          </a:xfrm>
                          <a:prstGeom prst="rect">
                            <a:avLst/>
                          </a:prstGeom>
                        </pic:spPr>
                      </pic:pic>
                    </a:graphicData>
                  </a:graphic>
                </wp:anchor>
              </w:drawing>
            </w:r>
          </w:p>
        </w:tc>
        <w:tc>
          <w:tcPr>
            <w:tcW w:w="2950" w:type="dxa"/>
            <w:shd w:val="clear"/>
            <w:vAlign w:val="top"/>
          </w:tcPr>
          <w:p w14:paraId="0EA8BA55">
            <w:pPr>
              <w:keepNext w:val="0"/>
              <w:keepLines w:val="0"/>
              <w:suppressLineNumbers w:val="0"/>
              <w:spacing w:before="0" w:beforeAutospacing="0" w:after="0" w:afterAutospacing="0" w:line="560" w:lineRule="exact"/>
              <w:ind w:left="0" w:leftChars="0" w:right="0" w:rightChars="0"/>
              <w:outlineLvl w:val="1"/>
              <w:rPr>
                <w:rFonts w:hint="default" w:ascii="Times New Roman" w:hAnsi="Times New Roman" w:eastAsia="仿宋_GB2312" w:cstheme="minorBidi"/>
                <w:color w:val="auto"/>
                <w:kern w:val="2"/>
                <w:sz w:val="32"/>
                <w:szCs w:val="32"/>
                <w:vertAlign w:val="baseline"/>
                <w:lang w:val="en-US" w:eastAsia="zh-CN" w:bidi="ar-SA"/>
              </w:rPr>
            </w:pPr>
            <w:r>
              <w:rPr>
                <w:rFonts w:hint="default" w:ascii="Times New Roman" w:hAnsi="Times New Roman" w:eastAsia="仿宋_GB2312" w:cstheme="minorBidi"/>
                <w:color w:val="auto"/>
                <w:kern w:val="2"/>
                <w:sz w:val="32"/>
                <w:szCs w:val="32"/>
                <w:vertAlign w:val="baseline"/>
                <w:lang w:val="en-US" w:eastAsia="zh-CN" w:bidi="ar-SA"/>
              </w:rPr>
              <w:drawing>
                <wp:anchor distT="0" distB="0" distL="114300" distR="114300" simplePos="0" relativeHeight="251668480" behindDoc="0" locked="0" layoutInCell="1" allowOverlap="1">
                  <wp:simplePos x="0" y="0"/>
                  <wp:positionH relativeFrom="column">
                    <wp:posOffset>2540</wp:posOffset>
                  </wp:positionH>
                  <wp:positionV relativeFrom="paragraph">
                    <wp:posOffset>231775</wp:posOffset>
                  </wp:positionV>
                  <wp:extent cx="1734820" cy="1635760"/>
                  <wp:effectExtent l="0" t="0" r="17780" b="2540"/>
                  <wp:wrapSquare wrapText="bothSides"/>
                  <wp:docPr id="7" name="图片 7" descr="35ef16ec-d7b2-4130-b5ab-e641b8c3e6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35ef16ec-d7b2-4130-b5ab-e641b8c3e6ef"/>
                          <pic:cNvPicPr>
                            <a:picLocks noChangeAspect="1"/>
                          </pic:cNvPicPr>
                        </pic:nvPicPr>
                        <pic:blipFill>
                          <a:blip r:embed="rId10"/>
                          <a:stretch>
                            <a:fillRect/>
                          </a:stretch>
                        </pic:blipFill>
                        <pic:spPr>
                          <a:xfrm>
                            <a:off x="0" y="0"/>
                            <a:ext cx="1734820" cy="1635760"/>
                          </a:xfrm>
                          <a:prstGeom prst="rect">
                            <a:avLst/>
                          </a:prstGeom>
                        </pic:spPr>
                      </pic:pic>
                    </a:graphicData>
                  </a:graphic>
                </wp:anchor>
              </w:drawing>
            </w:r>
          </w:p>
        </w:tc>
      </w:tr>
      <w:tr w14:paraId="13DB9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9" w:type="dxa"/>
          </w:tcPr>
          <w:p w14:paraId="38ED7599">
            <w:pPr>
              <w:keepNext w:val="0"/>
              <w:keepLines w:val="0"/>
              <w:suppressLineNumbers w:val="0"/>
              <w:spacing w:before="0" w:beforeAutospacing="0" w:after="0" w:afterAutospacing="0" w:line="560" w:lineRule="exact"/>
              <w:ind w:left="0" w:right="0"/>
              <w:outlineLvl w:val="1"/>
              <w:rPr>
                <w:rFonts w:hint="default" w:ascii="Times New Roman" w:hAnsi="Times New Roman" w:eastAsia="仿宋_GB2312" w:cstheme="minorBidi"/>
                <w:color w:val="auto"/>
                <w:kern w:val="2"/>
                <w:sz w:val="32"/>
                <w:szCs w:val="32"/>
                <w:vertAlign w:val="baseline"/>
                <w:lang w:val="en-US" w:eastAsia="zh-CN" w:bidi="ar-SA"/>
              </w:rPr>
            </w:pPr>
            <w:r>
              <w:rPr>
                <w:rFonts w:hint="default" w:ascii="Times New Roman" w:hAnsi="Times New Roman" w:eastAsia="仿宋_GB2312" w:cstheme="minorBidi"/>
                <w:color w:val="auto"/>
                <w:kern w:val="2"/>
                <w:sz w:val="32"/>
                <w:szCs w:val="32"/>
                <w:vertAlign w:val="baseline"/>
                <w:lang w:val="en-US" w:eastAsia="zh-CN" w:bidi="ar-SA"/>
              </w:rPr>
              <w:drawing>
                <wp:anchor distT="0" distB="0" distL="114300" distR="114300" simplePos="0" relativeHeight="251662336" behindDoc="0" locked="0" layoutInCell="1" allowOverlap="1">
                  <wp:simplePos x="0" y="0"/>
                  <wp:positionH relativeFrom="column">
                    <wp:posOffset>28575</wp:posOffset>
                  </wp:positionH>
                  <wp:positionV relativeFrom="paragraph">
                    <wp:posOffset>203200</wp:posOffset>
                  </wp:positionV>
                  <wp:extent cx="1734185" cy="3082925"/>
                  <wp:effectExtent l="0" t="0" r="3810" b="4445"/>
                  <wp:wrapSquare wrapText="bothSides"/>
                  <wp:docPr id="13" name="图片 13" descr="420e5e9c7b26b5eb481e260deacac1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420e5e9c7b26b5eb481e260deacac16b"/>
                          <pic:cNvPicPr>
                            <a:picLocks noChangeAspect="1"/>
                          </pic:cNvPicPr>
                        </pic:nvPicPr>
                        <pic:blipFill>
                          <a:blip r:embed="rId11"/>
                          <a:stretch>
                            <a:fillRect/>
                          </a:stretch>
                        </pic:blipFill>
                        <pic:spPr>
                          <a:xfrm>
                            <a:off x="0" y="0"/>
                            <a:ext cx="1734185" cy="3082925"/>
                          </a:xfrm>
                          <a:prstGeom prst="rect">
                            <a:avLst/>
                          </a:prstGeom>
                        </pic:spPr>
                      </pic:pic>
                    </a:graphicData>
                  </a:graphic>
                </wp:anchor>
              </w:drawing>
            </w:r>
          </w:p>
        </w:tc>
        <w:tc>
          <w:tcPr>
            <w:tcW w:w="2949" w:type="dxa"/>
          </w:tcPr>
          <w:p w14:paraId="1A00E62C">
            <w:pPr>
              <w:keepNext w:val="0"/>
              <w:keepLines w:val="0"/>
              <w:suppressLineNumbers w:val="0"/>
              <w:spacing w:before="0" w:beforeAutospacing="0" w:after="0" w:afterAutospacing="0" w:line="560" w:lineRule="exact"/>
              <w:ind w:left="0" w:right="0"/>
              <w:outlineLvl w:val="1"/>
              <w:rPr>
                <w:rFonts w:hint="default" w:ascii="Times New Roman" w:hAnsi="Times New Roman" w:eastAsia="仿宋_GB2312" w:cstheme="minorBidi"/>
                <w:color w:val="auto"/>
                <w:kern w:val="2"/>
                <w:sz w:val="32"/>
                <w:szCs w:val="32"/>
                <w:vertAlign w:val="baseline"/>
                <w:lang w:val="en-US" w:eastAsia="zh-CN" w:bidi="ar-SA"/>
              </w:rPr>
            </w:pPr>
            <w:r>
              <w:rPr>
                <w:rFonts w:hint="default" w:ascii="Times New Roman" w:hAnsi="Times New Roman" w:eastAsia="仿宋_GB2312" w:cstheme="minorBidi"/>
                <w:color w:val="auto"/>
                <w:kern w:val="2"/>
                <w:sz w:val="32"/>
                <w:szCs w:val="32"/>
                <w:vertAlign w:val="baseline"/>
                <w:lang w:val="en-US" w:eastAsia="zh-CN" w:bidi="ar-SA"/>
              </w:rPr>
              <w:drawing>
                <wp:anchor distT="0" distB="0" distL="114300" distR="114300" simplePos="0" relativeHeight="251661312" behindDoc="0" locked="0" layoutInCell="1" allowOverlap="1">
                  <wp:simplePos x="0" y="0"/>
                  <wp:positionH relativeFrom="column">
                    <wp:posOffset>32385</wp:posOffset>
                  </wp:positionH>
                  <wp:positionV relativeFrom="paragraph">
                    <wp:posOffset>298450</wp:posOffset>
                  </wp:positionV>
                  <wp:extent cx="1734185" cy="3082925"/>
                  <wp:effectExtent l="0" t="0" r="3810" b="4445"/>
                  <wp:wrapSquare wrapText="bothSides"/>
                  <wp:docPr id="12" name="图片 12" descr="e1677a2df823c359655e792f41392a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e1677a2df823c359655e792f41392a89"/>
                          <pic:cNvPicPr>
                            <a:picLocks noChangeAspect="1"/>
                          </pic:cNvPicPr>
                        </pic:nvPicPr>
                        <pic:blipFill>
                          <a:blip r:embed="rId12"/>
                          <a:stretch>
                            <a:fillRect/>
                          </a:stretch>
                        </pic:blipFill>
                        <pic:spPr>
                          <a:xfrm>
                            <a:off x="0" y="0"/>
                            <a:ext cx="1734185" cy="3082925"/>
                          </a:xfrm>
                          <a:prstGeom prst="rect">
                            <a:avLst/>
                          </a:prstGeom>
                        </pic:spPr>
                      </pic:pic>
                    </a:graphicData>
                  </a:graphic>
                </wp:anchor>
              </w:drawing>
            </w:r>
          </w:p>
        </w:tc>
        <w:tc>
          <w:tcPr>
            <w:tcW w:w="2950" w:type="dxa"/>
          </w:tcPr>
          <w:p w14:paraId="76C962E9">
            <w:pPr>
              <w:keepNext w:val="0"/>
              <w:keepLines w:val="0"/>
              <w:suppressLineNumbers w:val="0"/>
              <w:spacing w:before="0" w:beforeAutospacing="0" w:after="0" w:afterAutospacing="0" w:line="560" w:lineRule="exact"/>
              <w:ind w:left="0" w:right="0"/>
              <w:outlineLvl w:val="1"/>
              <w:rPr>
                <w:rFonts w:hint="default" w:ascii="Times New Roman" w:hAnsi="Times New Roman" w:eastAsia="仿宋_GB2312" w:cstheme="minorBidi"/>
                <w:color w:val="auto"/>
                <w:kern w:val="2"/>
                <w:sz w:val="32"/>
                <w:szCs w:val="32"/>
                <w:vertAlign w:val="baseline"/>
                <w:lang w:val="en-US" w:eastAsia="zh-CN" w:bidi="ar-SA"/>
              </w:rPr>
            </w:pPr>
            <w:r>
              <w:rPr>
                <w:rFonts w:hint="default" w:ascii="Times New Roman" w:hAnsi="Times New Roman" w:eastAsia="仿宋_GB2312" w:cstheme="minorBidi"/>
                <w:color w:val="auto"/>
                <w:kern w:val="2"/>
                <w:sz w:val="32"/>
                <w:szCs w:val="32"/>
                <w:vertAlign w:val="baseline"/>
                <w:lang w:val="en-US" w:eastAsia="zh-CN" w:bidi="ar-SA"/>
              </w:rPr>
              <w:drawing>
                <wp:anchor distT="0" distB="0" distL="114300" distR="114300" simplePos="0" relativeHeight="251660288" behindDoc="0" locked="0" layoutInCell="1" allowOverlap="1">
                  <wp:simplePos x="0" y="0"/>
                  <wp:positionH relativeFrom="column">
                    <wp:posOffset>2540</wp:posOffset>
                  </wp:positionH>
                  <wp:positionV relativeFrom="paragraph">
                    <wp:posOffset>146050</wp:posOffset>
                  </wp:positionV>
                  <wp:extent cx="1734820" cy="3083560"/>
                  <wp:effectExtent l="0" t="0" r="3175" b="3810"/>
                  <wp:wrapSquare wrapText="bothSides"/>
                  <wp:docPr id="11" name="图片 11" descr="efe1b2c2cf7b0b893ec0590e9a7eda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efe1b2c2cf7b0b893ec0590e9a7eda4b"/>
                          <pic:cNvPicPr>
                            <a:picLocks noChangeAspect="1"/>
                          </pic:cNvPicPr>
                        </pic:nvPicPr>
                        <pic:blipFill>
                          <a:blip r:embed="rId13"/>
                          <a:stretch>
                            <a:fillRect/>
                          </a:stretch>
                        </pic:blipFill>
                        <pic:spPr>
                          <a:xfrm>
                            <a:off x="0" y="0"/>
                            <a:ext cx="1734820" cy="3083560"/>
                          </a:xfrm>
                          <a:prstGeom prst="rect">
                            <a:avLst/>
                          </a:prstGeom>
                        </pic:spPr>
                      </pic:pic>
                    </a:graphicData>
                  </a:graphic>
                </wp:anchor>
              </w:drawing>
            </w:r>
          </w:p>
        </w:tc>
      </w:tr>
      <w:tr w14:paraId="0F579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9" w:type="dxa"/>
          </w:tcPr>
          <w:p w14:paraId="00A55292">
            <w:pPr>
              <w:keepNext w:val="0"/>
              <w:keepLines w:val="0"/>
              <w:suppressLineNumbers w:val="0"/>
              <w:spacing w:before="0" w:beforeAutospacing="0" w:after="0" w:afterAutospacing="0" w:line="560" w:lineRule="exact"/>
              <w:ind w:left="0" w:right="0"/>
              <w:outlineLvl w:val="1"/>
              <w:rPr>
                <w:rFonts w:hint="default" w:ascii="Times New Roman" w:hAnsi="Times New Roman" w:eastAsia="仿宋_GB2312" w:cstheme="minorBidi"/>
                <w:color w:val="auto"/>
                <w:kern w:val="2"/>
                <w:sz w:val="32"/>
                <w:szCs w:val="32"/>
                <w:vertAlign w:val="baseline"/>
                <w:lang w:val="en-US" w:eastAsia="zh-CN" w:bidi="ar-SA"/>
              </w:rPr>
            </w:pPr>
            <w:r>
              <w:rPr>
                <w:rFonts w:hint="default" w:ascii="Times New Roman" w:hAnsi="Times New Roman" w:eastAsia="仿宋_GB2312" w:cstheme="minorBidi"/>
                <w:color w:val="auto"/>
                <w:kern w:val="2"/>
                <w:sz w:val="32"/>
                <w:szCs w:val="32"/>
                <w:vertAlign w:val="baseline"/>
                <w:lang w:val="en-US" w:eastAsia="zh-CN" w:bidi="ar-SA"/>
              </w:rPr>
              <w:drawing>
                <wp:anchor distT="0" distB="0" distL="114300" distR="114300" simplePos="0" relativeHeight="251663360" behindDoc="0" locked="0" layoutInCell="1" allowOverlap="1">
                  <wp:simplePos x="0" y="0"/>
                  <wp:positionH relativeFrom="column">
                    <wp:posOffset>335915</wp:posOffset>
                  </wp:positionH>
                  <wp:positionV relativeFrom="paragraph">
                    <wp:posOffset>332740</wp:posOffset>
                  </wp:positionV>
                  <wp:extent cx="1111885" cy="1483360"/>
                  <wp:effectExtent l="0" t="0" r="0" b="6350"/>
                  <wp:wrapSquare wrapText="bothSides"/>
                  <wp:docPr id="14" name="图片 14" descr="c730d2320a3bc08f7d251b5502490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730d2320a3bc08f7d251b5502490744"/>
                          <pic:cNvPicPr>
                            <a:picLocks noChangeAspect="1"/>
                          </pic:cNvPicPr>
                        </pic:nvPicPr>
                        <pic:blipFill>
                          <a:blip r:embed="rId14"/>
                          <a:stretch>
                            <a:fillRect/>
                          </a:stretch>
                        </pic:blipFill>
                        <pic:spPr>
                          <a:xfrm>
                            <a:off x="0" y="0"/>
                            <a:ext cx="1111885" cy="1483360"/>
                          </a:xfrm>
                          <a:prstGeom prst="rect">
                            <a:avLst/>
                          </a:prstGeom>
                        </pic:spPr>
                      </pic:pic>
                    </a:graphicData>
                  </a:graphic>
                </wp:anchor>
              </w:drawing>
            </w:r>
          </w:p>
        </w:tc>
        <w:tc>
          <w:tcPr>
            <w:tcW w:w="2949" w:type="dxa"/>
          </w:tcPr>
          <w:p w14:paraId="448368FB">
            <w:pPr>
              <w:keepNext w:val="0"/>
              <w:keepLines w:val="0"/>
              <w:suppressLineNumbers w:val="0"/>
              <w:spacing w:before="0" w:beforeAutospacing="0" w:after="0" w:afterAutospacing="0" w:line="560" w:lineRule="exact"/>
              <w:ind w:left="0" w:right="0"/>
              <w:outlineLvl w:val="1"/>
              <w:rPr>
                <w:rFonts w:hint="default" w:ascii="Times New Roman" w:hAnsi="Times New Roman" w:eastAsia="仿宋_GB2312" w:cstheme="minorBidi"/>
                <w:color w:val="auto"/>
                <w:kern w:val="2"/>
                <w:sz w:val="32"/>
                <w:szCs w:val="32"/>
                <w:vertAlign w:val="baseline"/>
                <w:lang w:val="en-US" w:eastAsia="zh-CN" w:bidi="ar-SA"/>
              </w:rPr>
            </w:pPr>
            <w:r>
              <w:rPr>
                <w:rFonts w:hint="default" w:ascii="Times New Roman" w:hAnsi="Times New Roman" w:eastAsia="仿宋_GB2312" w:cstheme="minorBidi"/>
                <w:color w:val="auto"/>
                <w:kern w:val="2"/>
                <w:sz w:val="32"/>
                <w:szCs w:val="32"/>
                <w:vertAlign w:val="baseline"/>
                <w:lang w:val="en-US" w:eastAsia="zh-CN" w:bidi="ar-SA"/>
              </w:rPr>
              <w:drawing>
                <wp:anchor distT="0" distB="0" distL="114300" distR="114300" simplePos="0" relativeHeight="251664384" behindDoc="0" locked="0" layoutInCell="1" allowOverlap="1">
                  <wp:simplePos x="0" y="0"/>
                  <wp:positionH relativeFrom="column">
                    <wp:posOffset>43815</wp:posOffset>
                  </wp:positionH>
                  <wp:positionV relativeFrom="paragraph">
                    <wp:posOffset>756920</wp:posOffset>
                  </wp:positionV>
                  <wp:extent cx="1732280" cy="692785"/>
                  <wp:effectExtent l="0" t="0" r="5715" b="8890"/>
                  <wp:wrapSquare wrapText="bothSides"/>
                  <wp:docPr id="16" name="图片 16" descr="d397108d4665bbfa0407f0fc9bb06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d397108d4665bbfa0407f0fc9bb06684"/>
                          <pic:cNvPicPr>
                            <a:picLocks noChangeAspect="1"/>
                          </pic:cNvPicPr>
                        </pic:nvPicPr>
                        <pic:blipFill>
                          <a:blip r:embed="rId15"/>
                          <a:stretch>
                            <a:fillRect/>
                          </a:stretch>
                        </pic:blipFill>
                        <pic:spPr>
                          <a:xfrm>
                            <a:off x="0" y="0"/>
                            <a:ext cx="1732280" cy="692785"/>
                          </a:xfrm>
                          <a:prstGeom prst="rect">
                            <a:avLst/>
                          </a:prstGeom>
                        </pic:spPr>
                      </pic:pic>
                    </a:graphicData>
                  </a:graphic>
                </wp:anchor>
              </w:drawing>
            </w:r>
          </w:p>
          <w:p w14:paraId="7B869EBD">
            <w:pPr>
              <w:bidi w:val="0"/>
              <w:rPr>
                <w:rFonts w:hint="default" w:ascii="Times New Roman" w:hAnsi="Times New Roman" w:eastAsiaTheme="minorEastAsia" w:cstheme="minorBidi"/>
                <w:kern w:val="2"/>
                <w:sz w:val="15"/>
                <w:szCs w:val="15"/>
                <w:lang w:val="en-US" w:eastAsia="zh-CN" w:bidi="ar-SA"/>
              </w:rPr>
            </w:pPr>
          </w:p>
          <w:p w14:paraId="576C56D8">
            <w:pPr>
              <w:bidi w:val="0"/>
              <w:rPr>
                <w:rFonts w:hint="default"/>
                <w:lang w:val="en-US" w:eastAsia="zh-CN"/>
              </w:rPr>
            </w:pPr>
          </w:p>
          <w:p w14:paraId="50F39CF5">
            <w:pPr>
              <w:bidi w:val="0"/>
              <w:rPr>
                <w:rFonts w:hint="default"/>
                <w:lang w:val="en-US" w:eastAsia="zh-CN"/>
              </w:rPr>
            </w:pPr>
          </w:p>
          <w:p w14:paraId="235A681E">
            <w:pPr>
              <w:tabs>
                <w:tab w:val="left" w:pos="1973"/>
              </w:tabs>
              <w:bidi w:val="0"/>
              <w:jc w:val="left"/>
              <w:rPr>
                <w:rFonts w:hint="default"/>
                <w:lang w:val="en-US" w:eastAsia="zh-CN"/>
              </w:rPr>
            </w:pPr>
            <w:r>
              <w:rPr>
                <w:rFonts w:hint="eastAsia"/>
                <w:lang w:val="en-US" w:eastAsia="zh-CN"/>
              </w:rPr>
              <w:tab/>
            </w:r>
            <w:bookmarkStart w:id="0" w:name="_GoBack"/>
            <w:bookmarkEnd w:id="0"/>
          </w:p>
        </w:tc>
        <w:tc>
          <w:tcPr>
            <w:tcW w:w="2950" w:type="dxa"/>
          </w:tcPr>
          <w:p w14:paraId="534E5F0E">
            <w:pPr>
              <w:keepNext w:val="0"/>
              <w:keepLines w:val="0"/>
              <w:suppressLineNumbers w:val="0"/>
              <w:spacing w:before="0" w:beforeAutospacing="0" w:after="0" w:afterAutospacing="0" w:line="560" w:lineRule="exact"/>
              <w:ind w:left="0" w:right="0"/>
              <w:jc w:val="center"/>
              <w:outlineLvl w:val="1"/>
              <w:rPr>
                <w:rFonts w:hint="default" w:ascii="Times New Roman" w:hAnsi="Times New Roman" w:eastAsia="仿宋_GB2312" w:cstheme="minorBidi"/>
                <w:color w:val="auto"/>
                <w:kern w:val="2"/>
                <w:sz w:val="32"/>
                <w:szCs w:val="32"/>
                <w:vertAlign w:val="baseline"/>
                <w:lang w:val="en-US" w:eastAsia="zh-CN" w:bidi="ar-SA"/>
              </w:rPr>
            </w:pPr>
            <w:r>
              <w:rPr>
                <w:rFonts w:hint="default" w:ascii="Times New Roman" w:hAnsi="Times New Roman" w:eastAsia="仿宋_GB2312" w:cstheme="minorBidi"/>
                <w:color w:val="auto"/>
                <w:kern w:val="2"/>
                <w:sz w:val="18"/>
                <w:szCs w:val="18"/>
                <w:vertAlign w:val="baseline"/>
                <w:lang w:val="en-US" w:eastAsia="zh-CN" w:bidi="ar-SA"/>
              </w:rPr>
              <w:drawing>
                <wp:anchor distT="0" distB="0" distL="114300" distR="114300" simplePos="0" relativeHeight="251665408" behindDoc="0" locked="0" layoutInCell="1" allowOverlap="1">
                  <wp:simplePos x="0" y="0"/>
                  <wp:positionH relativeFrom="column">
                    <wp:posOffset>31115</wp:posOffset>
                  </wp:positionH>
                  <wp:positionV relativeFrom="paragraph">
                    <wp:posOffset>37465</wp:posOffset>
                  </wp:positionV>
                  <wp:extent cx="1734820" cy="1966595"/>
                  <wp:effectExtent l="0" t="0" r="17780" b="14605"/>
                  <wp:wrapSquare wrapText="bothSides"/>
                  <wp:docPr id="1" name="图片 1" descr="70b1bbec-86f2-40a0-bad3-9d038846d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70b1bbec-86f2-40a0-bad3-9d038846d886"/>
                          <pic:cNvPicPr>
                            <a:picLocks noChangeAspect="1"/>
                          </pic:cNvPicPr>
                        </pic:nvPicPr>
                        <pic:blipFill>
                          <a:blip r:embed="rId16"/>
                          <a:stretch>
                            <a:fillRect/>
                          </a:stretch>
                        </pic:blipFill>
                        <pic:spPr>
                          <a:xfrm>
                            <a:off x="0" y="0"/>
                            <a:ext cx="1734820" cy="1966595"/>
                          </a:xfrm>
                          <a:prstGeom prst="rect">
                            <a:avLst/>
                          </a:prstGeom>
                        </pic:spPr>
                      </pic:pic>
                    </a:graphicData>
                  </a:graphic>
                </wp:anchor>
              </w:drawing>
            </w:r>
            <w:r>
              <w:rPr>
                <w:rFonts w:hint="eastAsia" w:eastAsia="仿宋_GB2312" w:cstheme="minorBidi"/>
                <w:color w:val="auto"/>
                <w:kern w:val="2"/>
                <w:sz w:val="18"/>
                <w:szCs w:val="18"/>
                <w:vertAlign w:val="baseline"/>
                <w:lang w:val="en-US" w:eastAsia="zh-CN" w:bidi="ar-SA"/>
              </w:rPr>
              <w:t>冷冻之后</w:t>
            </w:r>
          </w:p>
        </w:tc>
      </w:tr>
    </w:tbl>
    <w:p w14:paraId="4615854B">
      <w:pPr>
        <w:spacing w:line="560" w:lineRule="exact"/>
        <w:ind w:firstLine="640" w:firstLineChars="200"/>
        <w:outlineLvl w:val="1"/>
        <w:rPr>
          <w:rFonts w:hint="default" w:ascii="Times New Roman" w:hAnsi="Times New Roman" w:eastAsia="仿宋_GB2312" w:cstheme="minorBidi"/>
          <w:color w:val="auto"/>
          <w:kern w:val="2"/>
          <w:sz w:val="32"/>
          <w:szCs w:val="32"/>
          <w:lang w:val="en-US" w:eastAsia="zh-CN" w:bidi="ar-SA"/>
        </w:rPr>
      </w:pPr>
    </w:p>
    <w:p w14:paraId="0D6F6397">
      <w:pPr>
        <w:spacing w:line="560" w:lineRule="exact"/>
        <w:ind w:firstLine="640" w:firstLineChars="200"/>
        <w:outlineLvl w:val="1"/>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2.3理化指标</w:t>
      </w:r>
    </w:p>
    <w:p w14:paraId="71CFC3E4">
      <w:pPr>
        <w:spacing w:line="560" w:lineRule="exact"/>
        <w:ind w:firstLine="640" w:firstLineChars="200"/>
        <w:outlineLvl w:val="1"/>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通过进行抽样送检得出以下结果：</w:t>
      </w:r>
    </w:p>
    <w:p w14:paraId="013BF1D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06" w:lineRule="atLeast"/>
        <w:ind w:left="0" w:right="0"/>
        <w:jc w:val="center"/>
        <w:rPr>
          <w:color w:val="000000"/>
          <w:sz w:val="21"/>
          <w:szCs w:val="21"/>
        </w:rPr>
      </w:pPr>
      <w:r>
        <w:rPr>
          <w:color w:val="000000"/>
          <w:sz w:val="21"/>
          <w:szCs w:val="21"/>
        </w:rPr>
        <w:t>红桄榔粉理化指标实测数据汇总表（30 组）</w:t>
      </w:r>
    </w:p>
    <w:tbl>
      <w:tblPr>
        <w:tblStyle w:val="9"/>
        <w:tblpPr w:leftFromText="180" w:rightFromText="180" w:vertAnchor="text" w:horzAnchor="page" w:tblpXSpec="center" w:tblpY="394"/>
        <w:tblOverlap w:val="never"/>
        <w:tblW w:w="5598" w:type="pct"/>
        <w:jc w:val="center"/>
        <w:tblCellSpacing w:w="15"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587"/>
        <w:gridCol w:w="490"/>
        <w:gridCol w:w="680"/>
        <w:gridCol w:w="680"/>
        <w:gridCol w:w="558"/>
        <w:gridCol w:w="800"/>
        <w:gridCol w:w="772"/>
        <w:gridCol w:w="728"/>
        <w:gridCol w:w="784"/>
        <w:gridCol w:w="980"/>
        <w:gridCol w:w="563"/>
        <w:gridCol w:w="1059"/>
        <w:gridCol w:w="1052"/>
      </w:tblGrid>
      <w:tr w14:paraId="6DB134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blCellSpacing w:w="15" w:type="dxa"/>
          <w:jc w:val="center"/>
        </w:trPr>
        <w:tc>
          <w:tcPr>
            <w:tcW w:w="278" w:type="pct"/>
            <w:shd w:val="clear" w:color="auto" w:fill="auto"/>
            <w:vAlign w:val="center"/>
          </w:tcPr>
          <w:p w14:paraId="2598B6F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b/>
                <w:bCs/>
                <w:color w:val="000000"/>
                <w:sz w:val="21"/>
                <w:szCs w:val="21"/>
              </w:rPr>
            </w:pPr>
            <w:r>
              <w:rPr>
                <w:rFonts w:hint="eastAsia" w:ascii="宋体" w:hAnsi="宋体" w:eastAsia="宋体" w:cs="宋体"/>
                <w:b/>
                <w:bCs/>
                <w:color w:val="000000"/>
                <w:kern w:val="0"/>
                <w:sz w:val="21"/>
                <w:szCs w:val="21"/>
                <w:lang w:val="en-US" w:eastAsia="zh-CN" w:bidi="ar"/>
              </w:rPr>
              <w:t>序号</w:t>
            </w:r>
          </w:p>
        </w:tc>
        <w:tc>
          <w:tcPr>
            <w:tcW w:w="236" w:type="pct"/>
            <w:shd w:val="clear" w:color="auto" w:fill="auto"/>
            <w:vAlign w:val="center"/>
          </w:tcPr>
          <w:p w14:paraId="6FD6847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b/>
                <w:bCs/>
                <w:color w:val="000000"/>
                <w:sz w:val="21"/>
                <w:szCs w:val="21"/>
              </w:rPr>
            </w:pPr>
            <w:r>
              <w:rPr>
                <w:rFonts w:hint="eastAsia" w:ascii="宋体" w:hAnsi="宋体" w:eastAsia="宋体" w:cs="宋体"/>
                <w:b/>
                <w:bCs/>
                <w:color w:val="000000"/>
                <w:kern w:val="0"/>
                <w:sz w:val="21"/>
                <w:szCs w:val="21"/>
                <w:lang w:val="en-US" w:eastAsia="zh-CN" w:bidi="ar"/>
              </w:rPr>
              <w:t>树龄（年）</w:t>
            </w:r>
          </w:p>
        </w:tc>
        <w:tc>
          <w:tcPr>
            <w:tcW w:w="333" w:type="pct"/>
            <w:shd w:val="clear" w:color="auto" w:fill="auto"/>
            <w:vAlign w:val="center"/>
          </w:tcPr>
          <w:p w14:paraId="5236D9B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b/>
                <w:bCs/>
                <w:color w:val="000000"/>
                <w:sz w:val="21"/>
                <w:szCs w:val="21"/>
              </w:rPr>
            </w:pPr>
            <w:r>
              <w:rPr>
                <w:rFonts w:hint="eastAsia" w:ascii="宋体" w:hAnsi="宋体" w:eastAsia="宋体" w:cs="宋体"/>
                <w:b/>
                <w:bCs/>
                <w:color w:val="000000"/>
                <w:kern w:val="0"/>
                <w:sz w:val="21"/>
                <w:szCs w:val="21"/>
                <w:lang w:val="en-US" w:eastAsia="zh-CN" w:bidi="ar"/>
              </w:rPr>
              <w:t>水分（g/100g）</w:t>
            </w:r>
          </w:p>
        </w:tc>
        <w:tc>
          <w:tcPr>
            <w:tcW w:w="333" w:type="pct"/>
            <w:shd w:val="clear" w:color="auto" w:fill="auto"/>
            <w:vAlign w:val="center"/>
          </w:tcPr>
          <w:p w14:paraId="142EC13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b/>
                <w:bCs/>
                <w:color w:val="000000"/>
                <w:sz w:val="21"/>
                <w:szCs w:val="21"/>
              </w:rPr>
            </w:pPr>
            <w:r>
              <w:rPr>
                <w:rFonts w:hint="eastAsia" w:ascii="宋体" w:hAnsi="宋体" w:eastAsia="宋体" w:cs="宋体"/>
                <w:b/>
                <w:bCs/>
                <w:color w:val="000000"/>
                <w:kern w:val="0"/>
                <w:sz w:val="21"/>
                <w:szCs w:val="21"/>
                <w:lang w:val="en-US" w:eastAsia="zh-CN" w:bidi="ar"/>
              </w:rPr>
              <w:t>淀粉（g/100g）</w:t>
            </w:r>
          </w:p>
        </w:tc>
        <w:tc>
          <w:tcPr>
            <w:tcW w:w="271" w:type="pct"/>
            <w:shd w:val="clear" w:color="auto" w:fill="auto"/>
            <w:vAlign w:val="center"/>
          </w:tcPr>
          <w:p w14:paraId="6A216B7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b/>
                <w:bCs/>
                <w:color w:val="000000"/>
                <w:sz w:val="21"/>
                <w:szCs w:val="21"/>
              </w:rPr>
            </w:pPr>
            <w:r>
              <w:rPr>
                <w:rFonts w:hint="eastAsia" w:ascii="宋体" w:hAnsi="宋体" w:eastAsia="宋体" w:cs="宋体"/>
                <w:b/>
                <w:bCs/>
                <w:color w:val="000000"/>
                <w:kern w:val="0"/>
                <w:sz w:val="21"/>
                <w:szCs w:val="21"/>
                <w:lang w:val="en-US" w:eastAsia="zh-CN" w:bidi="ar"/>
              </w:rPr>
              <w:t>直链淀粉（%）</w:t>
            </w:r>
          </w:p>
        </w:tc>
        <w:tc>
          <w:tcPr>
            <w:tcW w:w="395" w:type="pct"/>
            <w:shd w:val="clear" w:color="auto" w:fill="auto"/>
            <w:vAlign w:val="center"/>
          </w:tcPr>
          <w:p w14:paraId="5E5044D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b/>
                <w:bCs/>
                <w:color w:val="000000"/>
                <w:sz w:val="21"/>
                <w:szCs w:val="21"/>
              </w:rPr>
            </w:pPr>
            <w:r>
              <w:rPr>
                <w:rFonts w:hint="eastAsia" w:ascii="宋体" w:hAnsi="宋体" w:eastAsia="宋体" w:cs="宋体"/>
                <w:b/>
                <w:bCs/>
                <w:color w:val="000000"/>
                <w:kern w:val="0"/>
                <w:sz w:val="21"/>
                <w:szCs w:val="21"/>
                <w:lang w:val="en-US" w:eastAsia="zh-CN" w:bidi="ar"/>
              </w:rPr>
              <w:t>灰分（g/100g）</w:t>
            </w:r>
          </w:p>
        </w:tc>
        <w:tc>
          <w:tcPr>
            <w:tcW w:w="381" w:type="pct"/>
            <w:shd w:val="clear" w:color="auto" w:fill="auto"/>
            <w:vAlign w:val="center"/>
          </w:tcPr>
          <w:p w14:paraId="69BE071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b/>
                <w:bCs/>
                <w:color w:val="000000"/>
                <w:sz w:val="21"/>
                <w:szCs w:val="21"/>
              </w:rPr>
            </w:pPr>
            <w:r>
              <w:rPr>
                <w:rFonts w:hint="eastAsia" w:ascii="宋体" w:hAnsi="宋体" w:eastAsia="宋体" w:cs="宋体"/>
                <w:b/>
                <w:bCs/>
                <w:color w:val="000000"/>
                <w:kern w:val="0"/>
                <w:sz w:val="21"/>
                <w:szCs w:val="21"/>
                <w:lang w:val="en-US" w:eastAsia="zh-CN" w:bidi="ar"/>
              </w:rPr>
              <w:t>钙（mg/100g）</w:t>
            </w:r>
          </w:p>
        </w:tc>
        <w:tc>
          <w:tcPr>
            <w:tcW w:w="358" w:type="pct"/>
            <w:shd w:val="clear" w:color="auto" w:fill="auto"/>
            <w:vAlign w:val="center"/>
          </w:tcPr>
          <w:p w14:paraId="714DDDB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b/>
                <w:bCs/>
                <w:color w:val="000000"/>
                <w:sz w:val="21"/>
                <w:szCs w:val="21"/>
              </w:rPr>
            </w:pPr>
            <w:r>
              <w:rPr>
                <w:rFonts w:hint="eastAsia" w:ascii="宋体" w:hAnsi="宋体" w:eastAsia="宋体" w:cs="宋体"/>
                <w:b/>
                <w:bCs/>
                <w:color w:val="000000"/>
                <w:kern w:val="0"/>
                <w:sz w:val="21"/>
                <w:szCs w:val="21"/>
                <w:lang w:val="en-US" w:eastAsia="zh-CN" w:bidi="ar"/>
              </w:rPr>
              <w:t>铁（mg/100g）</w:t>
            </w:r>
          </w:p>
        </w:tc>
        <w:tc>
          <w:tcPr>
            <w:tcW w:w="387" w:type="pct"/>
            <w:shd w:val="clear" w:color="auto" w:fill="auto"/>
            <w:vAlign w:val="center"/>
          </w:tcPr>
          <w:p w14:paraId="16A5CA0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b/>
                <w:bCs/>
                <w:color w:val="000000"/>
                <w:sz w:val="21"/>
                <w:szCs w:val="21"/>
              </w:rPr>
            </w:pPr>
            <w:r>
              <w:rPr>
                <w:rFonts w:hint="eastAsia" w:ascii="宋体" w:hAnsi="宋体" w:eastAsia="宋体" w:cs="宋体"/>
                <w:b/>
                <w:bCs/>
                <w:color w:val="000000"/>
                <w:kern w:val="0"/>
                <w:sz w:val="21"/>
                <w:szCs w:val="21"/>
                <w:lang w:val="en-US" w:eastAsia="zh-CN" w:bidi="ar"/>
              </w:rPr>
              <w:t>锌（mg/100g）</w:t>
            </w:r>
          </w:p>
        </w:tc>
        <w:tc>
          <w:tcPr>
            <w:tcW w:w="488" w:type="pct"/>
            <w:shd w:val="clear" w:color="auto" w:fill="auto"/>
            <w:vAlign w:val="center"/>
          </w:tcPr>
          <w:p w14:paraId="1C4DBAD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b/>
                <w:bCs/>
                <w:color w:val="000000"/>
                <w:sz w:val="21"/>
                <w:szCs w:val="21"/>
              </w:rPr>
            </w:pPr>
            <w:r>
              <w:rPr>
                <w:rFonts w:hint="eastAsia" w:ascii="宋体" w:hAnsi="宋体" w:eastAsia="宋体" w:cs="宋体"/>
                <w:b/>
                <w:bCs/>
                <w:color w:val="000000"/>
                <w:kern w:val="0"/>
                <w:sz w:val="21"/>
                <w:szCs w:val="21"/>
                <w:lang w:val="en-US" w:eastAsia="zh-CN" w:bidi="ar"/>
              </w:rPr>
              <w:t>硒（μg/100g）</w:t>
            </w:r>
          </w:p>
        </w:tc>
        <w:tc>
          <w:tcPr>
            <w:tcW w:w="273" w:type="pct"/>
            <w:shd w:val="clear" w:color="auto" w:fill="auto"/>
            <w:vAlign w:val="center"/>
          </w:tcPr>
          <w:p w14:paraId="21F06FB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b/>
                <w:bCs/>
                <w:color w:val="000000"/>
                <w:sz w:val="21"/>
                <w:szCs w:val="21"/>
              </w:rPr>
            </w:pPr>
            <w:r>
              <w:rPr>
                <w:rFonts w:hint="eastAsia" w:ascii="宋体" w:hAnsi="宋体" w:eastAsia="宋体" w:cs="宋体"/>
                <w:b/>
                <w:bCs/>
                <w:color w:val="000000"/>
                <w:kern w:val="0"/>
                <w:sz w:val="21"/>
                <w:szCs w:val="21"/>
                <w:lang w:val="en-US" w:eastAsia="zh-CN" w:bidi="ar"/>
              </w:rPr>
              <w:t>总黄酮（mg/100g）</w:t>
            </w:r>
          </w:p>
        </w:tc>
        <w:tc>
          <w:tcPr>
            <w:tcW w:w="528" w:type="pct"/>
            <w:shd w:val="clear" w:color="auto" w:fill="auto"/>
            <w:vAlign w:val="center"/>
          </w:tcPr>
          <w:p w14:paraId="287A35E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b/>
                <w:bCs/>
                <w:color w:val="000000"/>
                <w:sz w:val="21"/>
                <w:szCs w:val="21"/>
              </w:rPr>
            </w:pPr>
            <w:r>
              <w:rPr>
                <w:rFonts w:hint="eastAsia" w:ascii="宋体" w:hAnsi="宋体" w:eastAsia="宋体" w:cs="宋体"/>
                <w:b/>
                <w:bCs/>
                <w:color w:val="000000"/>
                <w:kern w:val="0"/>
                <w:sz w:val="21"/>
                <w:szCs w:val="21"/>
                <w:lang w:val="en-US" w:eastAsia="zh-CN" w:bidi="ar"/>
              </w:rPr>
              <w:t>酸度（mL/10g）</w:t>
            </w:r>
          </w:p>
        </w:tc>
        <w:tc>
          <w:tcPr>
            <w:tcW w:w="517" w:type="pct"/>
            <w:shd w:val="clear" w:color="auto" w:fill="auto"/>
            <w:vAlign w:val="center"/>
          </w:tcPr>
          <w:p w14:paraId="50523E3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b/>
                <w:bCs/>
                <w:color w:val="000000"/>
                <w:sz w:val="21"/>
                <w:szCs w:val="21"/>
              </w:rPr>
            </w:pPr>
            <w:r>
              <w:rPr>
                <w:rFonts w:hint="eastAsia" w:ascii="宋体" w:hAnsi="宋体" w:eastAsia="宋体" w:cs="宋体"/>
                <w:b/>
                <w:bCs/>
                <w:color w:val="000000"/>
                <w:kern w:val="0"/>
                <w:sz w:val="21"/>
                <w:szCs w:val="21"/>
                <w:lang w:val="en-US" w:eastAsia="zh-CN" w:bidi="ar"/>
              </w:rPr>
              <w:t>黄曲霉毒素 B1（μg/kg）</w:t>
            </w:r>
          </w:p>
        </w:tc>
      </w:tr>
      <w:tr w14:paraId="4B050B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5D312AE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w:t>
            </w:r>
          </w:p>
        </w:tc>
        <w:tc>
          <w:tcPr>
            <w:tcW w:w="236" w:type="pct"/>
            <w:shd w:val="clear" w:color="auto" w:fill="auto"/>
            <w:vAlign w:val="center"/>
          </w:tcPr>
          <w:p w14:paraId="43CA9E7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w:t>
            </w:r>
          </w:p>
        </w:tc>
        <w:tc>
          <w:tcPr>
            <w:tcW w:w="333" w:type="pct"/>
            <w:shd w:val="clear" w:color="auto" w:fill="auto"/>
            <w:vAlign w:val="center"/>
          </w:tcPr>
          <w:p w14:paraId="0B4E449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7.2</w:t>
            </w:r>
          </w:p>
        </w:tc>
        <w:tc>
          <w:tcPr>
            <w:tcW w:w="333" w:type="pct"/>
            <w:shd w:val="clear" w:color="auto" w:fill="auto"/>
            <w:vAlign w:val="center"/>
          </w:tcPr>
          <w:p w14:paraId="4A4BE1D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78.5</w:t>
            </w:r>
          </w:p>
        </w:tc>
        <w:tc>
          <w:tcPr>
            <w:tcW w:w="271" w:type="pct"/>
            <w:shd w:val="clear" w:color="auto" w:fill="auto"/>
            <w:vAlign w:val="center"/>
          </w:tcPr>
          <w:p w14:paraId="7881B90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60.5</w:t>
            </w:r>
          </w:p>
        </w:tc>
        <w:tc>
          <w:tcPr>
            <w:tcW w:w="395" w:type="pct"/>
            <w:shd w:val="clear" w:color="auto" w:fill="auto"/>
            <w:vAlign w:val="center"/>
          </w:tcPr>
          <w:p w14:paraId="44BB419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0.12</w:t>
            </w:r>
          </w:p>
        </w:tc>
        <w:tc>
          <w:tcPr>
            <w:tcW w:w="381" w:type="pct"/>
            <w:shd w:val="clear" w:color="auto" w:fill="auto"/>
            <w:vAlign w:val="center"/>
          </w:tcPr>
          <w:p w14:paraId="1E4F374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22</w:t>
            </w:r>
          </w:p>
        </w:tc>
        <w:tc>
          <w:tcPr>
            <w:tcW w:w="358" w:type="pct"/>
            <w:shd w:val="clear" w:color="auto" w:fill="auto"/>
            <w:vAlign w:val="center"/>
          </w:tcPr>
          <w:p w14:paraId="0447C5F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0.9</w:t>
            </w:r>
          </w:p>
        </w:tc>
        <w:tc>
          <w:tcPr>
            <w:tcW w:w="387" w:type="pct"/>
            <w:shd w:val="clear" w:color="auto" w:fill="auto"/>
            <w:vAlign w:val="center"/>
          </w:tcPr>
          <w:p w14:paraId="2BD391F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0.26</w:t>
            </w:r>
          </w:p>
        </w:tc>
        <w:tc>
          <w:tcPr>
            <w:tcW w:w="488" w:type="pct"/>
            <w:shd w:val="clear" w:color="auto" w:fill="auto"/>
            <w:vAlign w:val="center"/>
          </w:tcPr>
          <w:p w14:paraId="4296092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1.2</w:t>
            </w:r>
          </w:p>
        </w:tc>
        <w:tc>
          <w:tcPr>
            <w:tcW w:w="273" w:type="pct"/>
            <w:shd w:val="clear" w:color="auto" w:fill="auto"/>
            <w:vAlign w:val="center"/>
          </w:tcPr>
          <w:p w14:paraId="29CAE96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32</w:t>
            </w:r>
          </w:p>
        </w:tc>
        <w:tc>
          <w:tcPr>
            <w:tcW w:w="528" w:type="pct"/>
            <w:shd w:val="clear" w:color="auto" w:fill="auto"/>
            <w:vAlign w:val="center"/>
          </w:tcPr>
          <w:p w14:paraId="7051767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w:t>
            </w:r>
          </w:p>
        </w:tc>
        <w:tc>
          <w:tcPr>
            <w:tcW w:w="517" w:type="pct"/>
            <w:shd w:val="clear" w:color="auto" w:fill="auto"/>
            <w:vAlign w:val="center"/>
          </w:tcPr>
          <w:p w14:paraId="50D8D73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0.1</w:t>
            </w:r>
          </w:p>
        </w:tc>
      </w:tr>
      <w:tr w14:paraId="2DADFD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5142275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w:t>
            </w:r>
          </w:p>
        </w:tc>
        <w:tc>
          <w:tcPr>
            <w:tcW w:w="236" w:type="pct"/>
            <w:shd w:val="clear" w:color="auto" w:fill="auto"/>
            <w:vAlign w:val="center"/>
          </w:tcPr>
          <w:p w14:paraId="3BF318E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9</w:t>
            </w:r>
          </w:p>
        </w:tc>
        <w:tc>
          <w:tcPr>
            <w:tcW w:w="333" w:type="pct"/>
            <w:shd w:val="clear" w:color="auto" w:fill="auto"/>
            <w:vAlign w:val="center"/>
          </w:tcPr>
          <w:p w14:paraId="4191EBD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7.5</w:t>
            </w:r>
          </w:p>
        </w:tc>
        <w:tc>
          <w:tcPr>
            <w:tcW w:w="333" w:type="pct"/>
            <w:shd w:val="clear" w:color="auto" w:fill="auto"/>
            <w:vAlign w:val="center"/>
          </w:tcPr>
          <w:p w14:paraId="4045850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79.2</w:t>
            </w:r>
          </w:p>
        </w:tc>
        <w:tc>
          <w:tcPr>
            <w:tcW w:w="271" w:type="pct"/>
            <w:shd w:val="clear" w:color="auto" w:fill="auto"/>
            <w:vAlign w:val="center"/>
          </w:tcPr>
          <w:p w14:paraId="65858FF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61.3</w:t>
            </w:r>
          </w:p>
        </w:tc>
        <w:tc>
          <w:tcPr>
            <w:tcW w:w="395" w:type="pct"/>
            <w:shd w:val="clear" w:color="auto" w:fill="auto"/>
            <w:vAlign w:val="center"/>
          </w:tcPr>
          <w:p w14:paraId="0662E12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0.15</w:t>
            </w:r>
          </w:p>
        </w:tc>
        <w:tc>
          <w:tcPr>
            <w:tcW w:w="381" w:type="pct"/>
            <w:shd w:val="clear" w:color="auto" w:fill="auto"/>
            <w:vAlign w:val="center"/>
          </w:tcPr>
          <w:p w14:paraId="36DC677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25</w:t>
            </w:r>
          </w:p>
        </w:tc>
        <w:tc>
          <w:tcPr>
            <w:tcW w:w="358" w:type="pct"/>
            <w:shd w:val="clear" w:color="auto" w:fill="auto"/>
            <w:vAlign w:val="center"/>
          </w:tcPr>
          <w:p w14:paraId="6425524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1.2</w:t>
            </w:r>
          </w:p>
        </w:tc>
        <w:tc>
          <w:tcPr>
            <w:tcW w:w="387" w:type="pct"/>
            <w:shd w:val="clear" w:color="auto" w:fill="auto"/>
            <w:vAlign w:val="center"/>
          </w:tcPr>
          <w:p w14:paraId="0E8BF0B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0.28</w:t>
            </w:r>
          </w:p>
        </w:tc>
        <w:tc>
          <w:tcPr>
            <w:tcW w:w="488" w:type="pct"/>
            <w:shd w:val="clear" w:color="auto" w:fill="auto"/>
            <w:vAlign w:val="center"/>
          </w:tcPr>
          <w:p w14:paraId="2CF5CA8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2.1</w:t>
            </w:r>
          </w:p>
        </w:tc>
        <w:tc>
          <w:tcPr>
            <w:tcW w:w="273" w:type="pct"/>
            <w:shd w:val="clear" w:color="auto" w:fill="auto"/>
            <w:vAlign w:val="center"/>
          </w:tcPr>
          <w:p w14:paraId="6248015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35</w:t>
            </w:r>
          </w:p>
        </w:tc>
        <w:tc>
          <w:tcPr>
            <w:tcW w:w="528" w:type="pct"/>
            <w:shd w:val="clear" w:color="auto" w:fill="auto"/>
            <w:vAlign w:val="center"/>
          </w:tcPr>
          <w:p w14:paraId="478D976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0.4</w:t>
            </w:r>
          </w:p>
        </w:tc>
        <w:tc>
          <w:tcPr>
            <w:tcW w:w="517" w:type="pct"/>
            <w:shd w:val="clear" w:color="auto" w:fill="auto"/>
            <w:vAlign w:val="center"/>
          </w:tcPr>
          <w:p w14:paraId="7E83F88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w:t>
            </w:r>
          </w:p>
        </w:tc>
      </w:tr>
      <w:tr w14:paraId="31CCEB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1710EC7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w:t>
            </w:r>
          </w:p>
        </w:tc>
        <w:tc>
          <w:tcPr>
            <w:tcW w:w="236" w:type="pct"/>
            <w:shd w:val="clear" w:color="auto" w:fill="auto"/>
            <w:vAlign w:val="center"/>
          </w:tcPr>
          <w:p w14:paraId="077B158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10</w:t>
            </w:r>
          </w:p>
        </w:tc>
        <w:tc>
          <w:tcPr>
            <w:tcW w:w="333" w:type="pct"/>
            <w:shd w:val="clear" w:color="auto" w:fill="auto"/>
            <w:vAlign w:val="center"/>
          </w:tcPr>
          <w:p w14:paraId="7D26637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7.3</w:t>
            </w:r>
          </w:p>
        </w:tc>
        <w:tc>
          <w:tcPr>
            <w:tcW w:w="333" w:type="pct"/>
            <w:shd w:val="clear" w:color="auto" w:fill="auto"/>
            <w:vAlign w:val="center"/>
          </w:tcPr>
          <w:p w14:paraId="6E46700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80.1</w:t>
            </w:r>
          </w:p>
        </w:tc>
        <w:tc>
          <w:tcPr>
            <w:tcW w:w="271" w:type="pct"/>
            <w:shd w:val="clear" w:color="auto" w:fill="auto"/>
            <w:vAlign w:val="center"/>
          </w:tcPr>
          <w:p w14:paraId="2166358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62.7</w:t>
            </w:r>
          </w:p>
        </w:tc>
        <w:tc>
          <w:tcPr>
            <w:tcW w:w="395" w:type="pct"/>
            <w:shd w:val="clear" w:color="auto" w:fill="auto"/>
            <w:vAlign w:val="center"/>
          </w:tcPr>
          <w:p w14:paraId="07CBCBF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0.13</w:t>
            </w:r>
          </w:p>
        </w:tc>
        <w:tc>
          <w:tcPr>
            <w:tcW w:w="381" w:type="pct"/>
            <w:shd w:val="clear" w:color="auto" w:fill="auto"/>
            <w:vAlign w:val="center"/>
          </w:tcPr>
          <w:p w14:paraId="7E62BCB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30</w:t>
            </w:r>
          </w:p>
        </w:tc>
        <w:tc>
          <w:tcPr>
            <w:tcW w:w="358" w:type="pct"/>
            <w:shd w:val="clear" w:color="auto" w:fill="auto"/>
            <w:vAlign w:val="center"/>
          </w:tcPr>
          <w:p w14:paraId="27F34E4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1.8</w:t>
            </w:r>
          </w:p>
        </w:tc>
        <w:tc>
          <w:tcPr>
            <w:tcW w:w="387" w:type="pct"/>
            <w:shd w:val="clear" w:color="auto" w:fill="auto"/>
            <w:vAlign w:val="center"/>
          </w:tcPr>
          <w:p w14:paraId="66F2B21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0.30</w:t>
            </w:r>
          </w:p>
        </w:tc>
        <w:tc>
          <w:tcPr>
            <w:tcW w:w="488" w:type="pct"/>
            <w:shd w:val="clear" w:color="auto" w:fill="auto"/>
            <w:vAlign w:val="center"/>
          </w:tcPr>
          <w:p w14:paraId="5A58FFC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3.5</w:t>
            </w:r>
          </w:p>
        </w:tc>
        <w:tc>
          <w:tcPr>
            <w:tcW w:w="273" w:type="pct"/>
            <w:shd w:val="clear" w:color="auto" w:fill="auto"/>
            <w:vAlign w:val="center"/>
          </w:tcPr>
          <w:p w14:paraId="40CACB0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40</w:t>
            </w:r>
          </w:p>
        </w:tc>
        <w:tc>
          <w:tcPr>
            <w:tcW w:w="528" w:type="pct"/>
            <w:shd w:val="clear" w:color="auto" w:fill="auto"/>
            <w:vAlign w:val="center"/>
          </w:tcPr>
          <w:p w14:paraId="475930E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w:t>
            </w:r>
          </w:p>
        </w:tc>
        <w:tc>
          <w:tcPr>
            <w:tcW w:w="517" w:type="pct"/>
            <w:shd w:val="clear" w:color="auto" w:fill="auto"/>
            <w:vAlign w:val="center"/>
          </w:tcPr>
          <w:p w14:paraId="32B93C1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w:t>
            </w:r>
          </w:p>
        </w:tc>
      </w:tr>
      <w:tr w14:paraId="34F38B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0069CE4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w:t>
            </w:r>
          </w:p>
        </w:tc>
        <w:tc>
          <w:tcPr>
            <w:tcW w:w="236" w:type="pct"/>
            <w:shd w:val="clear" w:color="auto" w:fill="auto"/>
            <w:vAlign w:val="center"/>
          </w:tcPr>
          <w:p w14:paraId="674951B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11</w:t>
            </w:r>
          </w:p>
        </w:tc>
        <w:tc>
          <w:tcPr>
            <w:tcW w:w="333" w:type="pct"/>
            <w:shd w:val="clear" w:color="auto" w:fill="auto"/>
            <w:vAlign w:val="center"/>
          </w:tcPr>
          <w:p w14:paraId="39FCA34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7.8</w:t>
            </w:r>
          </w:p>
        </w:tc>
        <w:tc>
          <w:tcPr>
            <w:tcW w:w="333" w:type="pct"/>
            <w:shd w:val="clear" w:color="auto" w:fill="auto"/>
            <w:vAlign w:val="center"/>
          </w:tcPr>
          <w:p w14:paraId="365D71F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81.3</w:t>
            </w:r>
          </w:p>
        </w:tc>
        <w:tc>
          <w:tcPr>
            <w:tcW w:w="271" w:type="pct"/>
            <w:shd w:val="clear" w:color="auto" w:fill="auto"/>
            <w:vAlign w:val="center"/>
          </w:tcPr>
          <w:p w14:paraId="22A408E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63.5</w:t>
            </w:r>
          </w:p>
        </w:tc>
        <w:tc>
          <w:tcPr>
            <w:tcW w:w="395" w:type="pct"/>
            <w:shd w:val="clear" w:color="auto" w:fill="auto"/>
            <w:vAlign w:val="center"/>
          </w:tcPr>
          <w:p w14:paraId="5E510DE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0.18</w:t>
            </w:r>
          </w:p>
        </w:tc>
        <w:tc>
          <w:tcPr>
            <w:tcW w:w="381" w:type="pct"/>
            <w:shd w:val="clear" w:color="auto" w:fill="auto"/>
            <w:vAlign w:val="center"/>
          </w:tcPr>
          <w:p w14:paraId="2DAE455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35</w:t>
            </w:r>
          </w:p>
        </w:tc>
        <w:tc>
          <w:tcPr>
            <w:tcW w:w="358" w:type="pct"/>
            <w:shd w:val="clear" w:color="auto" w:fill="auto"/>
            <w:vAlign w:val="center"/>
          </w:tcPr>
          <w:p w14:paraId="5238824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2.5</w:t>
            </w:r>
          </w:p>
        </w:tc>
        <w:tc>
          <w:tcPr>
            <w:tcW w:w="387" w:type="pct"/>
            <w:shd w:val="clear" w:color="auto" w:fill="auto"/>
            <w:vAlign w:val="center"/>
          </w:tcPr>
          <w:p w14:paraId="00D7452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0.32</w:t>
            </w:r>
          </w:p>
        </w:tc>
        <w:tc>
          <w:tcPr>
            <w:tcW w:w="488" w:type="pct"/>
            <w:shd w:val="clear" w:color="auto" w:fill="auto"/>
            <w:vAlign w:val="center"/>
          </w:tcPr>
          <w:p w14:paraId="3E7CF0A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4.8</w:t>
            </w:r>
          </w:p>
        </w:tc>
        <w:tc>
          <w:tcPr>
            <w:tcW w:w="273" w:type="pct"/>
            <w:shd w:val="clear" w:color="auto" w:fill="auto"/>
            <w:vAlign w:val="center"/>
          </w:tcPr>
          <w:p w14:paraId="16DB2B7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45</w:t>
            </w:r>
          </w:p>
        </w:tc>
        <w:tc>
          <w:tcPr>
            <w:tcW w:w="528" w:type="pct"/>
            <w:shd w:val="clear" w:color="auto" w:fill="auto"/>
            <w:vAlign w:val="center"/>
          </w:tcPr>
          <w:p w14:paraId="44B7FA9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0.5</w:t>
            </w:r>
          </w:p>
        </w:tc>
        <w:tc>
          <w:tcPr>
            <w:tcW w:w="517" w:type="pct"/>
            <w:shd w:val="clear" w:color="auto" w:fill="auto"/>
            <w:vAlign w:val="center"/>
          </w:tcPr>
          <w:p w14:paraId="7A84923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0.5</w:t>
            </w:r>
          </w:p>
        </w:tc>
      </w:tr>
      <w:tr w14:paraId="46BA15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210796F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5</w:t>
            </w:r>
          </w:p>
        </w:tc>
        <w:tc>
          <w:tcPr>
            <w:tcW w:w="236" w:type="pct"/>
            <w:shd w:val="clear" w:color="auto" w:fill="auto"/>
            <w:vAlign w:val="center"/>
          </w:tcPr>
          <w:p w14:paraId="0387686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w:t>
            </w:r>
          </w:p>
        </w:tc>
        <w:tc>
          <w:tcPr>
            <w:tcW w:w="333" w:type="pct"/>
            <w:shd w:val="clear" w:color="auto" w:fill="auto"/>
            <w:vAlign w:val="center"/>
          </w:tcPr>
          <w:p w14:paraId="6E6E8B7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7.6</w:t>
            </w:r>
          </w:p>
        </w:tc>
        <w:tc>
          <w:tcPr>
            <w:tcW w:w="333" w:type="pct"/>
            <w:shd w:val="clear" w:color="auto" w:fill="auto"/>
            <w:vAlign w:val="center"/>
          </w:tcPr>
          <w:p w14:paraId="2BC88CB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78.8</w:t>
            </w:r>
          </w:p>
        </w:tc>
        <w:tc>
          <w:tcPr>
            <w:tcW w:w="271" w:type="pct"/>
            <w:shd w:val="clear" w:color="auto" w:fill="auto"/>
            <w:vAlign w:val="center"/>
          </w:tcPr>
          <w:p w14:paraId="0F1189C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60.8</w:t>
            </w:r>
          </w:p>
        </w:tc>
        <w:tc>
          <w:tcPr>
            <w:tcW w:w="395" w:type="pct"/>
            <w:shd w:val="clear" w:color="auto" w:fill="auto"/>
            <w:vAlign w:val="center"/>
          </w:tcPr>
          <w:p w14:paraId="4312462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0.14</w:t>
            </w:r>
          </w:p>
        </w:tc>
        <w:tc>
          <w:tcPr>
            <w:tcW w:w="381" w:type="pct"/>
            <w:shd w:val="clear" w:color="auto" w:fill="auto"/>
            <w:vAlign w:val="center"/>
          </w:tcPr>
          <w:p w14:paraId="097B021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28</w:t>
            </w:r>
          </w:p>
        </w:tc>
        <w:tc>
          <w:tcPr>
            <w:tcW w:w="358" w:type="pct"/>
            <w:shd w:val="clear" w:color="auto" w:fill="auto"/>
            <w:vAlign w:val="center"/>
          </w:tcPr>
          <w:p w14:paraId="1F39A1F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3.2</w:t>
            </w:r>
          </w:p>
        </w:tc>
        <w:tc>
          <w:tcPr>
            <w:tcW w:w="387" w:type="pct"/>
            <w:shd w:val="clear" w:color="auto" w:fill="auto"/>
            <w:vAlign w:val="center"/>
          </w:tcPr>
          <w:p w14:paraId="1C9BB91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0.27</w:t>
            </w:r>
          </w:p>
        </w:tc>
        <w:tc>
          <w:tcPr>
            <w:tcW w:w="488" w:type="pct"/>
            <w:shd w:val="clear" w:color="auto" w:fill="auto"/>
            <w:vAlign w:val="center"/>
          </w:tcPr>
          <w:p w14:paraId="1B6F257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2.7</w:t>
            </w:r>
          </w:p>
        </w:tc>
        <w:tc>
          <w:tcPr>
            <w:tcW w:w="273" w:type="pct"/>
            <w:shd w:val="clear" w:color="auto" w:fill="auto"/>
            <w:vAlign w:val="center"/>
          </w:tcPr>
          <w:p w14:paraId="366C81F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38</w:t>
            </w:r>
          </w:p>
        </w:tc>
        <w:tc>
          <w:tcPr>
            <w:tcW w:w="528" w:type="pct"/>
            <w:shd w:val="clear" w:color="auto" w:fill="auto"/>
            <w:vAlign w:val="center"/>
          </w:tcPr>
          <w:p w14:paraId="3CDFB46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0.4</w:t>
            </w:r>
          </w:p>
        </w:tc>
        <w:tc>
          <w:tcPr>
            <w:tcW w:w="517" w:type="pct"/>
            <w:shd w:val="clear" w:color="auto" w:fill="auto"/>
            <w:vAlign w:val="center"/>
          </w:tcPr>
          <w:p w14:paraId="69BA081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0.4</w:t>
            </w:r>
          </w:p>
        </w:tc>
      </w:tr>
      <w:tr w14:paraId="13C879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7315B6D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w:t>
            </w:r>
          </w:p>
        </w:tc>
        <w:tc>
          <w:tcPr>
            <w:tcW w:w="236" w:type="pct"/>
            <w:shd w:val="clear" w:color="auto" w:fill="auto"/>
            <w:vAlign w:val="center"/>
          </w:tcPr>
          <w:p w14:paraId="38EA012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9</w:t>
            </w:r>
          </w:p>
        </w:tc>
        <w:tc>
          <w:tcPr>
            <w:tcW w:w="333" w:type="pct"/>
            <w:shd w:val="clear" w:color="auto" w:fill="auto"/>
            <w:vAlign w:val="center"/>
          </w:tcPr>
          <w:p w14:paraId="27BEE2D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7.4</w:t>
            </w:r>
          </w:p>
        </w:tc>
        <w:tc>
          <w:tcPr>
            <w:tcW w:w="333" w:type="pct"/>
            <w:shd w:val="clear" w:color="auto" w:fill="auto"/>
            <w:vAlign w:val="center"/>
          </w:tcPr>
          <w:p w14:paraId="6819CCB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79.5</w:t>
            </w:r>
          </w:p>
        </w:tc>
        <w:tc>
          <w:tcPr>
            <w:tcW w:w="271" w:type="pct"/>
            <w:shd w:val="clear" w:color="auto" w:fill="auto"/>
            <w:vAlign w:val="center"/>
          </w:tcPr>
          <w:p w14:paraId="46819CB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61.6</w:t>
            </w:r>
          </w:p>
        </w:tc>
        <w:tc>
          <w:tcPr>
            <w:tcW w:w="395" w:type="pct"/>
            <w:shd w:val="clear" w:color="auto" w:fill="auto"/>
            <w:vAlign w:val="center"/>
          </w:tcPr>
          <w:p w14:paraId="4B6F24B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0.16</w:t>
            </w:r>
          </w:p>
        </w:tc>
        <w:tc>
          <w:tcPr>
            <w:tcW w:w="381" w:type="pct"/>
            <w:shd w:val="clear" w:color="auto" w:fill="auto"/>
            <w:vAlign w:val="center"/>
          </w:tcPr>
          <w:p w14:paraId="5B847AA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32</w:t>
            </w:r>
          </w:p>
        </w:tc>
        <w:tc>
          <w:tcPr>
            <w:tcW w:w="358" w:type="pct"/>
            <w:shd w:val="clear" w:color="auto" w:fill="auto"/>
            <w:vAlign w:val="center"/>
          </w:tcPr>
          <w:p w14:paraId="75F3770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4.1</w:t>
            </w:r>
          </w:p>
        </w:tc>
        <w:tc>
          <w:tcPr>
            <w:tcW w:w="387" w:type="pct"/>
            <w:shd w:val="clear" w:color="auto" w:fill="auto"/>
            <w:vAlign w:val="center"/>
          </w:tcPr>
          <w:p w14:paraId="363CF46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0.31</w:t>
            </w:r>
          </w:p>
        </w:tc>
        <w:tc>
          <w:tcPr>
            <w:tcW w:w="488" w:type="pct"/>
            <w:shd w:val="clear" w:color="auto" w:fill="auto"/>
            <w:vAlign w:val="center"/>
          </w:tcPr>
          <w:p w14:paraId="6FFDB87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3.2</w:t>
            </w:r>
          </w:p>
        </w:tc>
        <w:tc>
          <w:tcPr>
            <w:tcW w:w="273" w:type="pct"/>
            <w:shd w:val="clear" w:color="auto" w:fill="auto"/>
            <w:vAlign w:val="center"/>
          </w:tcPr>
          <w:p w14:paraId="65B2514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42</w:t>
            </w:r>
          </w:p>
        </w:tc>
        <w:tc>
          <w:tcPr>
            <w:tcW w:w="528" w:type="pct"/>
            <w:shd w:val="clear" w:color="auto" w:fill="auto"/>
            <w:vAlign w:val="center"/>
          </w:tcPr>
          <w:p w14:paraId="75B5675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w:t>
            </w:r>
          </w:p>
        </w:tc>
        <w:tc>
          <w:tcPr>
            <w:tcW w:w="517" w:type="pct"/>
            <w:shd w:val="clear" w:color="auto" w:fill="auto"/>
            <w:vAlign w:val="center"/>
          </w:tcPr>
          <w:p w14:paraId="1FDE414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w:t>
            </w:r>
          </w:p>
        </w:tc>
      </w:tr>
      <w:tr w14:paraId="469A41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74DEEC1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w:t>
            </w:r>
          </w:p>
        </w:tc>
        <w:tc>
          <w:tcPr>
            <w:tcW w:w="236" w:type="pct"/>
            <w:shd w:val="clear" w:color="auto" w:fill="auto"/>
            <w:vAlign w:val="center"/>
          </w:tcPr>
          <w:p w14:paraId="231EB01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12</w:t>
            </w:r>
          </w:p>
        </w:tc>
        <w:tc>
          <w:tcPr>
            <w:tcW w:w="333" w:type="pct"/>
            <w:shd w:val="clear" w:color="auto" w:fill="auto"/>
            <w:vAlign w:val="center"/>
          </w:tcPr>
          <w:p w14:paraId="5EDBDC8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8.1</w:t>
            </w:r>
          </w:p>
        </w:tc>
        <w:tc>
          <w:tcPr>
            <w:tcW w:w="333" w:type="pct"/>
            <w:shd w:val="clear" w:color="auto" w:fill="auto"/>
            <w:vAlign w:val="center"/>
          </w:tcPr>
          <w:p w14:paraId="376C976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82.4</w:t>
            </w:r>
          </w:p>
        </w:tc>
        <w:tc>
          <w:tcPr>
            <w:tcW w:w="271" w:type="pct"/>
            <w:shd w:val="clear" w:color="auto" w:fill="auto"/>
            <w:vAlign w:val="center"/>
          </w:tcPr>
          <w:p w14:paraId="71E3687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64.2</w:t>
            </w:r>
          </w:p>
        </w:tc>
        <w:tc>
          <w:tcPr>
            <w:tcW w:w="395" w:type="pct"/>
            <w:shd w:val="clear" w:color="auto" w:fill="auto"/>
            <w:vAlign w:val="center"/>
          </w:tcPr>
          <w:p w14:paraId="47B7B31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0.20</w:t>
            </w:r>
          </w:p>
        </w:tc>
        <w:tc>
          <w:tcPr>
            <w:tcW w:w="381" w:type="pct"/>
            <w:shd w:val="clear" w:color="auto" w:fill="auto"/>
            <w:vAlign w:val="center"/>
          </w:tcPr>
          <w:p w14:paraId="1611AA0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40</w:t>
            </w:r>
          </w:p>
        </w:tc>
        <w:tc>
          <w:tcPr>
            <w:tcW w:w="358" w:type="pct"/>
            <w:shd w:val="clear" w:color="auto" w:fill="auto"/>
            <w:vAlign w:val="center"/>
          </w:tcPr>
          <w:p w14:paraId="2337A15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5.3</w:t>
            </w:r>
          </w:p>
        </w:tc>
        <w:tc>
          <w:tcPr>
            <w:tcW w:w="387" w:type="pct"/>
            <w:shd w:val="clear" w:color="auto" w:fill="auto"/>
            <w:vAlign w:val="center"/>
          </w:tcPr>
          <w:p w14:paraId="580BAE1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0.35</w:t>
            </w:r>
          </w:p>
        </w:tc>
        <w:tc>
          <w:tcPr>
            <w:tcW w:w="488" w:type="pct"/>
            <w:shd w:val="clear" w:color="auto" w:fill="auto"/>
            <w:vAlign w:val="center"/>
          </w:tcPr>
          <w:p w14:paraId="413EA77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5.6</w:t>
            </w:r>
          </w:p>
        </w:tc>
        <w:tc>
          <w:tcPr>
            <w:tcW w:w="273" w:type="pct"/>
            <w:shd w:val="clear" w:color="auto" w:fill="auto"/>
            <w:vAlign w:val="center"/>
          </w:tcPr>
          <w:p w14:paraId="3DFC755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50</w:t>
            </w:r>
          </w:p>
        </w:tc>
        <w:tc>
          <w:tcPr>
            <w:tcW w:w="528" w:type="pct"/>
            <w:shd w:val="clear" w:color="auto" w:fill="auto"/>
            <w:vAlign w:val="center"/>
          </w:tcPr>
          <w:p w14:paraId="7937CAE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0.6</w:t>
            </w:r>
          </w:p>
        </w:tc>
        <w:tc>
          <w:tcPr>
            <w:tcW w:w="517" w:type="pct"/>
            <w:shd w:val="clear" w:color="auto" w:fill="auto"/>
            <w:vAlign w:val="center"/>
          </w:tcPr>
          <w:p w14:paraId="2F8351C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0.6</w:t>
            </w:r>
          </w:p>
        </w:tc>
      </w:tr>
      <w:tr w14:paraId="35C073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0FD866D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w:t>
            </w:r>
          </w:p>
        </w:tc>
        <w:tc>
          <w:tcPr>
            <w:tcW w:w="236" w:type="pct"/>
            <w:shd w:val="clear" w:color="auto" w:fill="auto"/>
            <w:vAlign w:val="center"/>
          </w:tcPr>
          <w:p w14:paraId="731695B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10</w:t>
            </w:r>
          </w:p>
        </w:tc>
        <w:tc>
          <w:tcPr>
            <w:tcW w:w="333" w:type="pct"/>
            <w:shd w:val="clear" w:color="auto" w:fill="auto"/>
            <w:vAlign w:val="center"/>
          </w:tcPr>
          <w:p w14:paraId="2195F63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7.9</w:t>
            </w:r>
          </w:p>
        </w:tc>
        <w:tc>
          <w:tcPr>
            <w:tcW w:w="333" w:type="pct"/>
            <w:shd w:val="clear" w:color="auto" w:fill="auto"/>
            <w:vAlign w:val="center"/>
          </w:tcPr>
          <w:p w14:paraId="1CE560B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80.6</w:t>
            </w:r>
          </w:p>
        </w:tc>
        <w:tc>
          <w:tcPr>
            <w:tcW w:w="271" w:type="pct"/>
            <w:shd w:val="clear" w:color="auto" w:fill="auto"/>
            <w:vAlign w:val="center"/>
          </w:tcPr>
          <w:p w14:paraId="393F773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62.3</w:t>
            </w:r>
          </w:p>
        </w:tc>
        <w:tc>
          <w:tcPr>
            <w:tcW w:w="395" w:type="pct"/>
            <w:shd w:val="clear" w:color="auto" w:fill="auto"/>
            <w:vAlign w:val="center"/>
          </w:tcPr>
          <w:p w14:paraId="6DE4612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0.17</w:t>
            </w:r>
          </w:p>
        </w:tc>
        <w:tc>
          <w:tcPr>
            <w:tcW w:w="381" w:type="pct"/>
            <w:shd w:val="clear" w:color="auto" w:fill="auto"/>
            <w:vAlign w:val="center"/>
          </w:tcPr>
          <w:p w14:paraId="2D6CB85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38</w:t>
            </w:r>
          </w:p>
        </w:tc>
        <w:tc>
          <w:tcPr>
            <w:tcW w:w="358" w:type="pct"/>
            <w:shd w:val="clear" w:color="auto" w:fill="auto"/>
            <w:vAlign w:val="center"/>
          </w:tcPr>
          <w:p w14:paraId="05E163F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6.7</w:t>
            </w:r>
          </w:p>
        </w:tc>
        <w:tc>
          <w:tcPr>
            <w:tcW w:w="387" w:type="pct"/>
            <w:shd w:val="clear" w:color="auto" w:fill="auto"/>
            <w:vAlign w:val="center"/>
          </w:tcPr>
          <w:p w14:paraId="1D60BBA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0.33</w:t>
            </w:r>
          </w:p>
        </w:tc>
        <w:tc>
          <w:tcPr>
            <w:tcW w:w="488" w:type="pct"/>
            <w:shd w:val="clear" w:color="auto" w:fill="auto"/>
            <w:vAlign w:val="center"/>
          </w:tcPr>
          <w:p w14:paraId="4CE4401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4.3</w:t>
            </w:r>
          </w:p>
        </w:tc>
        <w:tc>
          <w:tcPr>
            <w:tcW w:w="273" w:type="pct"/>
            <w:shd w:val="clear" w:color="auto" w:fill="auto"/>
            <w:vAlign w:val="center"/>
          </w:tcPr>
          <w:p w14:paraId="3459BF9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48</w:t>
            </w:r>
          </w:p>
        </w:tc>
        <w:tc>
          <w:tcPr>
            <w:tcW w:w="528" w:type="pct"/>
            <w:shd w:val="clear" w:color="auto" w:fill="auto"/>
            <w:vAlign w:val="center"/>
          </w:tcPr>
          <w:p w14:paraId="761C3FB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0.5</w:t>
            </w:r>
          </w:p>
        </w:tc>
        <w:tc>
          <w:tcPr>
            <w:tcW w:w="517" w:type="pct"/>
            <w:shd w:val="clear" w:color="auto" w:fill="auto"/>
            <w:vAlign w:val="center"/>
          </w:tcPr>
          <w:p w14:paraId="0B1AD1A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0.5</w:t>
            </w:r>
          </w:p>
        </w:tc>
      </w:tr>
      <w:tr w14:paraId="42B86C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blCellSpacing w:w="15" w:type="dxa"/>
          <w:jc w:val="center"/>
        </w:trPr>
        <w:tc>
          <w:tcPr>
            <w:tcW w:w="278" w:type="pct"/>
            <w:shd w:val="clear" w:color="auto" w:fill="auto"/>
            <w:vAlign w:val="center"/>
          </w:tcPr>
          <w:p w14:paraId="1A57BB5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9</w:t>
            </w:r>
          </w:p>
        </w:tc>
        <w:tc>
          <w:tcPr>
            <w:tcW w:w="236" w:type="pct"/>
            <w:shd w:val="clear" w:color="auto" w:fill="auto"/>
            <w:vAlign w:val="center"/>
          </w:tcPr>
          <w:p w14:paraId="10EAEDB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11</w:t>
            </w:r>
          </w:p>
        </w:tc>
        <w:tc>
          <w:tcPr>
            <w:tcW w:w="333" w:type="pct"/>
            <w:shd w:val="clear" w:color="auto" w:fill="auto"/>
            <w:vAlign w:val="center"/>
          </w:tcPr>
          <w:p w14:paraId="0C5EE04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7.7</w:t>
            </w:r>
          </w:p>
        </w:tc>
        <w:tc>
          <w:tcPr>
            <w:tcW w:w="333" w:type="pct"/>
            <w:shd w:val="clear" w:color="auto" w:fill="auto"/>
            <w:vAlign w:val="center"/>
          </w:tcPr>
          <w:p w14:paraId="2552AF7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81.1</w:t>
            </w:r>
          </w:p>
        </w:tc>
        <w:tc>
          <w:tcPr>
            <w:tcW w:w="271" w:type="pct"/>
            <w:shd w:val="clear" w:color="auto" w:fill="auto"/>
            <w:vAlign w:val="center"/>
          </w:tcPr>
          <w:p w14:paraId="5AE2DB5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63.1</w:t>
            </w:r>
          </w:p>
        </w:tc>
        <w:tc>
          <w:tcPr>
            <w:tcW w:w="395" w:type="pct"/>
            <w:shd w:val="clear" w:color="auto" w:fill="auto"/>
            <w:vAlign w:val="center"/>
          </w:tcPr>
          <w:p w14:paraId="1B24C72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0.19</w:t>
            </w:r>
          </w:p>
        </w:tc>
        <w:tc>
          <w:tcPr>
            <w:tcW w:w="381" w:type="pct"/>
            <w:shd w:val="clear" w:color="auto" w:fill="auto"/>
            <w:vAlign w:val="center"/>
          </w:tcPr>
          <w:p w14:paraId="396DD81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45</w:t>
            </w:r>
          </w:p>
        </w:tc>
        <w:tc>
          <w:tcPr>
            <w:tcW w:w="358" w:type="pct"/>
            <w:shd w:val="clear" w:color="auto" w:fill="auto"/>
            <w:vAlign w:val="center"/>
          </w:tcPr>
          <w:p w14:paraId="2BB65FA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7.2</w:t>
            </w:r>
          </w:p>
        </w:tc>
        <w:tc>
          <w:tcPr>
            <w:tcW w:w="387" w:type="pct"/>
            <w:shd w:val="clear" w:color="auto" w:fill="auto"/>
            <w:vAlign w:val="center"/>
          </w:tcPr>
          <w:p w14:paraId="32EBEB1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0.36</w:t>
            </w:r>
          </w:p>
        </w:tc>
        <w:tc>
          <w:tcPr>
            <w:tcW w:w="488" w:type="pct"/>
            <w:shd w:val="clear" w:color="auto" w:fill="auto"/>
            <w:vAlign w:val="center"/>
          </w:tcPr>
          <w:p w14:paraId="595C4FF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6.1</w:t>
            </w:r>
          </w:p>
        </w:tc>
        <w:tc>
          <w:tcPr>
            <w:tcW w:w="273" w:type="pct"/>
            <w:shd w:val="clear" w:color="auto" w:fill="auto"/>
            <w:vAlign w:val="center"/>
          </w:tcPr>
          <w:p w14:paraId="4F1D740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55</w:t>
            </w:r>
          </w:p>
        </w:tc>
        <w:tc>
          <w:tcPr>
            <w:tcW w:w="528" w:type="pct"/>
            <w:shd w:val="clear" w:color="auto" w:fill="auto"/>
            <w:vAlign w:val="center"/>
          </w:tcPr>
          <w:p w14:paraId="5AC82E8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0.4</w:t>
            </w:r>
          </w:p>
        </w:tc>
        <w:tc>
          <w:tcPr>
            <w:tcW w:w="517" w:type="pct"/>
            <w:shd w:val="clear" w:color="auto" w:fill="auto"/>
            <w:vAlign w:val="center"/>
          </w:tcPr>
          <w:p w14:paraId="6F90E9F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0.7</w:t>
            </w:r>
          </w:p>
        </w:tc>
      </w:tr>
      <w:tr w14:paraId="7FD0D7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blCellSpacing w:w="15" w:type="dxa"/>
          <w:jc w:val="center"/>
        </w:trPr>
        <w:tc>
          <w:tcPr>
            <w:tcW w:w="278" w:type="pct"/>
            <w:shd w:val="clear" w:color="auto" w:fill="auto"/>
            <w:vAlign w:val="center"/>
          </w:tcPr>
          <w:p w14:paraId="18824C9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10</w:t>
            </w:r>
          </w:p>
        </w:tc>
        <w:tc>
          <w:tcPr>
            <w:tcW w:w="236" w:type="pct"/>
            <w:shd w:val="clear" w:color="auto" w:fill="auto"/>
            <w:vAlign w:val="center"/>
          </w:tcPr>
          <w:p w14:paraId="433AA85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9</w:t>
            </w:r>
          </w:p>
        </w:tc>
        <w:tc>
          <w:tcPr>
            <w:tcW w:w="333" w:type="pct"/>
            <w:shd w:val="clear" w:color="auto" w:fill="auto"/>
            <w:vAlign w:val="center"/>
          </w:tcPr>
          <w:p w14:paraId="6689BB8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7.5</w:t>
            </w:r>
          </w:p>
        </w:tc>
        <w:tc>
          <w:tcPr>
            <w:tcW w:w="333" w:type="pct"/>
            <w:shd w:val="clear" w:color="auto" w:fill="auto"/>
            <w:vAlign w:val="center"/>
          </w:tcPr>
          <w:p w14:paraId="500113F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79.8</w:t>
            </w:r>
          </w:p>
        </w:tc>
        <w:tc>
          <w:tcPr>
            <w:tcW w:w="271" w:type="pct"/>
            <w:shd w:val="clear" w:color="auto" w:fill="auto"/>
            <w:vAlign w:val="center"/>
          </w:tcPr>
          <w:p w14:paraId="2049BA7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61.8</w:t>
            </w:r>
          </w:p>
        </w:tc>
        <w:tc>
          <w:tcPr>
            <w:tcW w:w="395" w:type="pct"/>
            <w:shd w:val="clear" w:color="auto" w:fill="auto"/>
            <w:vAlign w:val="center"/>
          </w:tcPr>
          <w:p w14:paraId="6172502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0.15</w:t>
            </w:r>
          </w:p>
        </w:tc>
        <w:tc>
          <w:tcPr>
            <w:tcW w:w="381" w:type="pct"/>
            <w:shd w:val="clear" w:color="auto" w:fill="auto"/>
            <w:vAlign w:val="center"/>
          </w:tcPr>
          <w:p w14:paraId="208BBE9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33</w:t>
            </w:r>
          </w:p>
        </w:tc>
        <w:tc>
          <w:tcPr>
            <w:tcW w:w="358" w:type="pct"/>
            <w:shd w:val="clear" w:color="auto" w:fill="auto"/>
            <w:vAlign w:val="center"/>
          </w:tcPr>
          <w:p w14:paraId="11EFCA1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8.5</w:t>
            </w:r>
          </w:p>
        </w:tc>
        <w:tc>
          <w:tcPr>
            <w:tcW w:w="387" w:type="pct"/>
            <w:shd w:val="clear" w:color="auto" w:fill="auto"/>
            <w:vAlign w:val="center"/>
          </w:tcPr>
          <w:p w14:paraId="38F75C8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0.29</w:t>
            </w:r>
          </w:p>
        </w:tc>
        <w:tc>
          <w:tcPr>
            <w:tcW w:w="488" w:type="pct"/>
            <w:shd w:val="clear" w:color="auto" w:fill="auto"/>
            <w:vAlign w:val="center"/>
          </w:tcPr>
          <w:p w14:paraId="0B3F1F9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3.8</w:t>
            </w:r>
          </w:p>
        </w:tc>
        <w:tc>
          <w:tcPr>
            <w:tcW w:w="273" w:type="pct"/>
            <w:shd w:val="clear" w:color="auto" w:fill="auto"/>
            <w:vAlign w:val="center"/>
          </w:tcPr>
          <w:p w14:paraId="42CBC50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43</w:t>
            </w:r>
          </w:p>
        </w:tc>
        <w:tc>
          <w:tcPr>
            <w:tcW w:w="528" w:type="pct"/>
            <w:shd w:val="clear" w:color="auto" w:fill="auto"/>
            <w:vAlign w:val="center"/>
          </w:tcPr>
          <w:p w14:paraId="3813352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w:t>
            </w:r>
          </w:p>
        </w:tc>
        <w:tc>
          <w:tcPr>
            <w:tcW w:w="517" w:type="pct"/>
            <w:shd w:val="clear" w:color="auto" w:fill="auto"/>
            <w:vAlign w:val="center"/>
          </w:tcPr>
          <w:p w14:paraId="1CBFEEE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0.4</w:t>
            </w:r>
          </w:p>
        </w:tc>
      </w:tr>
      <w:tr w14:paraId="5F4110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5AFD5C8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11</w:t>
            </w:r>
          </w:p>
        </w:tc>
        <w:tc>
          <w:tcPr>
            <w:tcW w:w="236" w:type="pct"/>
            <w:shd w:val="clear" w:color="auto" w:fill="auto"/>
            <w:vAlign w:val="center"/>
          </w:tcPr>
          <w:p w14:paraId="4F5B6D7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13</w:t>
            </w:r>
          </w:p>
        </w:tc>
        <w:tc>
          <w:tcPr>
            <w:tcW w:w="333" w:type="pct"/>
            <w:shd w:val="clear" w:color="auto" w:fill="auto"/>
            <w:vAlign w:val="center"/>
          </w:tcPr>
          <w:p w14:paraId="48F62DC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8.3</w:t>
            </w:r>
          </w:p>
        </w:tc>
        <w:tc>
          <w:tcPr>
            <w:tcW w:w="333" w:type="pct"/>
            <w:shd w:val="clear" w:color="auto" w:fill="auto"/>
            <w:vAlign w:val="center"/>
          </w:tcPr>
          <w:p w14:paraId="0EAE1B5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83.2</w:t>
            </w:r>
          </w:p>
        </w:tc>
        <w:tc>
          <w:tcPr>
            <w:tcW w:w="271" w:type="pct"/>
            <w:shd w:val="clear" w:color="auto" w:fill="auto"/>
            <w:vAlign w:val="center"/>
          </w:tcPr>
          <w:p w14:paraId="46C9610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65.7</w:t>
            </w:r>
          </w:p>
        </w:tc>
        <w:tc>
          <w:tcPr>
            <w:tcW w:w="395" w:type="pct"/>
            <w:shd w:val="clear" w:color="auto" w:fill="auto"/>
            <w:vAlign w:val="center"/>
          </w:tcPr>
          <w:p w14:paraId="2C81DB5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0.22</w:t>
            </w:r>
          </w:p>
        </w:tc>
        <w:tc>
          <w:tcPr>
            <w:tcW w:w="381" w:type="pct"/>
            <w:shd w:val="clear" w:color="auto" w:fill="auto"/>
            <w:vAlign w:val="center"/>
          </w:tcPr>
          <w:p w14:paraId="6F30C43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50</w:t>
            </w:r>
          </w:p>
        </w:tc>
        <w:tc>
          <w:tcPr>
            <w:tcW w:w="358" w:type="pct"/>
            <w:shd w:val="clear" w:color="auto" w:fill="auto"/>
            <w:vAlign w:val="center"/>
          </w:tcPr>
          <w:p w14:paraId="3B10FAF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9.8</w:t>
            </w:r>
          </w:p>
        </w:tc>
        <w:tc>
          <w:tcPr>
            <w:tcW w:w="387" w:type="pct"/>
            <w:shd w:val="clear" w:color="auto" w:fill="auto"/>
            <w:vAlign w:val="center"/>
          </w:tcPr>
          <w:p w14:paraId="6C7D5DF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0.38</w:t>
            </w:r>
          </w:p>
        </w:tc>
        <w:tc>
          <w:tcPr>
            <w:tcW w:w="488" w:type="pct"/>
            <w:shd w:val="clear" w:color="auto" w:fill="auto"/>
            <w:vAlign w:val="center"/>
          </w:tcPr>
          <w:p w14:paraId="15DF41D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7.4</w:t>
            </w:r>
          </w:p>
        </w:tc>
        <w:tc>
          <w:tcPr>
            <w:tcW w:w="273" w:type="pct"/>
            <w:shd w:val="clear" w:color="auto" w:fill="auto"/>
            <w:vAlign w:val="center"/>
          </w:tcPr>
          <w:p w14:paraId="58DA20D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62</w:t>
            </w:r>
          </w:p>
        </w:tc>
        <w:tc>
          <w:tcPr>
            <w:tcW w:w="528" w:type="pct"/>
            <w:shd w:val="clear" w:color="auto" w:fill="auto"/>
            <w:vAlign w:val="center"/>
          </w:tcPr>
          <w:p w14:paraId="3656FC4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0.7</w:t>
            </w:r>
          </w:p>
        </w:tc>
        <w:tc>
          <w:tcPr>
            <w:tcW w:w="517" w:type="pct"/>
            <w:shd w:val="clear" w:color="auto" w:fill="auto"/>
            <w:vAlign w:val="center"/>
          </w:tcPr>
          <w:p w14:paraId="53269ED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0.9</w:t>
            </w:r>
          </w:p>
        </w:tc>
      </w:tr>
      <w:tr w14:paraId="304E25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3D6120F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12</w:t>
            </w:r>
          </w:p>
        </w:tc>
        <w:tc>
          <w:tcPr>
            <w:tcW w:w="236" w:type="pct"/>
            <w:shd w:val="clear" w:color="auto" w:fill="auto"/>
            <w:vAlign w:val="center"/>
          </w:tcPr>
          <w:p w14:paraId="77FB801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12</w:t>
            </w:r>
          </w:p>
        </w:tc>
        <w:tc>
          <w:tcPr>
            <w:tcW w:w="333" w:type="pct"/>
            <w:shd w:val="clear" w:color="auto" w:fill="auto"/>
            <w:vAlign w:val="center"/>
          </w:tcPr>
          <w:p w14:paraId="10D99DD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8.0</w:t>
            </w:r>
          </w:p>
        </w:tc>
        <w:tc>
          <w:tcPr>
            <w:tcW w:w="333" w:type="pct"/>
            <w:shd w:val="clear" w:color="auto" w:fill="auto"/>
            <w:vAlign w:val="center"/>
          </w:tcPr>
          <w:p w14:paraId="29C2E4B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82.7</w:t>
            </w:r>
          </w:p>
        </w:tc>
        <w:tc>
          <w:tcPr>
            <w:tcW w:w="271" w:type="pct"/>
            <w:shd w:val="clear" w:color="auto" w:fill="auto"/>
            <w:vAlign w:val="center"/>
          </w:tcPr>
          <w:p w14:paraId="7434351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64.5</w:t>
            </w:r>
          </w:p>
        </w:tc>
        <w:tc>
          <w:tcPr>
            <w:tcW w:w="395" w:type="pct"/>
            <w:shd w:val="clear" w:color="auto" w:fill="auto"/>
            <w:vAlign w:val="center"/>
          </w:tcPr>
          <w:p w14:paraId="4E4B62E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0.21</w:t>
            </w:r>
          </w:p>
        </w:tc>
        <w:tc>
          <w:tcPr>
            <w:tcW w:w="381" w:type="pct"/>
            <w:shd w:val="clear" w:color="auto" w:fill="auto"/>
            <w:vAlign w:val="center"/>
          </w:tcPr>
          <w:p w14:paraId="4C9C1A7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48</w:t>
            </w:r>
          </w:p>
        </w:tc>
        <w:tc>
          <w:tcPr>
            <w:tcW w:w="358" w:type="pct"/>
            <w:shd w:val="clear" w:color="auto" w:fill="auto"/>
            <w:vAlign w:val="center"/>
          </w:tcPr>
          <w:p w14:paraId="4D2A1E8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10.5</w:t>
            </w:r>
          </w:p>
        </w:tc>
        <w:tc>
          <w:tcPr>
            <w:tcW w:w="387" w:type="pct"/>
            <w:shd w:val="clear" w:color="auto" w:fill="auto"/>
            <w:vAlign w:val="center"/>
          </w:tcPr>
          <w:p w14:paraId="1535155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0.37</w:t>
            </w:r>
          </w:p>
        </w:tc>
        <w:tc>
          <w:tcPr>
            <w:tcW w:w="488" w:type="pct"/>
            <w:shd w:val="clear" w:color="auto" w:fill="auto"/>
            <w:vAlign w:val="center"/>
          </w:tcPr>
          <w:p w14:paraId="216054C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6.8</w:t>
            </w:r>
          </w:p>
        </w:tc>
        <w:tc>
          <w:tcPr>
            <w:tcW w:w="273" w:type="pct"/>
            <w:shd w:val="clear" w:color="auto" w:fill="auto"/>
            <w:vAlign w:val="center"/>
          </w:tcPr>
          <w:p w14:paraId="3D6D916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58</w:t>
            </w:r>
          </w:p>
        </w:tc>
        <w:tc>
          <w:tcPr>
            <w:tcW w:w="528" w:type="pct"/>
            <w:shd w:val="clear" w:color="auto" w:fill="auto"/>
            <w:vAlign w:val="center"/>
          </w:tcPr>
          <w:p w14:paraId="14C5B9D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0.6</w:t>
            </w:r>
          </w:p>
        </w:tc>
        <w:tc>
          <w:tcPr>
            <w:tcW w:w="517" w:type="pct"/>
            <w:shd w:val="clear" w:color="auto" w:fill="auto"/>
            <w:vAlign w:val="center"/>
          </w:tcPr>
          <w:p w14:paraId="12FC343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0.8</w:t>
            </w:r>
          </w:p>
        </w:tc>
      </w:tr>
      <w:tr w14:paraId="051AC3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2C2F5C9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13</w:t>
            </w:r>
          </w:p>
        </w:tc>
        <w:tc>
          <w:tcPr>
            <w:tcW w:w="236" w:type="pct"/>
            <w:shd w:val="clear" w:color="auto" w:fill="auto"/>
            <w:vAlign w:val="center"/>
          </w:tcPr>
          <w:p w14:paraId="035EE83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10</w:t>
            </w:r>
          </w:p>
        </w:tc>
        <w:tc>
          <w:tcPr>
            <w:tcW w:w="333" w:type="pct"/>
            <w:shd w:val="clear" w:color="auto" w:fill="auto"/>
            <w:vAlign w:val="center"/>
          </w:tcPr>
          <w:p w14:paraId="2A0DF3E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7.6</w:t>
            </w:r>
          </w:p>
        </w:tc>
        <w:tc>
          <w:tcPr>
            <w:tcW w:w="333" w:type="pct"/>
            <w:shd w:val="clear" w:color="auto" w:fill="auto"/>
            <w:vAlign w:val="center"/>
          </w:tcPr>
          <w:p w14:paraId="4E2CE7F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80.3</w:t>
            </w:r>
          </w:p>
        </w:tc>
        <w:tc>
          <w:tcPr>
            <w:tcW w:w="271" w:type="pct"/>
            <w:shd w:val="clear" w:color="auto" w:fill="auto"/>
            <w:vAlign w:val="center"/>
          </w:tcPr>
          <w:p w14:paraId="78B5ABF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62.5</w:t>
            </w:r>
          </w:p>
        </w:tc>
        <w:tc>
          <w:tcPr>
            <w:tcW w:w="395" w:type="pct"/>
            <w:shd w:val="clear" w:color="auto" w:fill="auto"/>
            <w:vAlign w:val="center"/>
          </w:tcPr>
          <w:p w14:paraId="32EE8A6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0.16</w:t>
            </w:r>
          </w:p>
        </w:tc>
        <w:tc>
          <w:tcPr>
            <w:tcW w:w="381" w:type="pct"/>
            <w:shd w:val="clear" w:color="auto" w:fill="auto"/>
            <w:vAlign w:val="center"/>
          </w:tcPr>
          <w:p w14:paraId="21A9B03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36</w:t>
            </w:r>
          </w:p>
        </w:tc>
        <w:tc>
          <w:tcPr>
            <w:tcW w:w="358" w:type="pct"/>
            <w:shd w:val="clear" w:color="auto" w:fill="auto"/>
            <w:vAlign w:val="center"/>
          </w:tcPr>
          <w:p w14:paraId="03A9B4D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11.2</w:t>
            </w:r>
          </w:p>
        </w:tc>
        <w:tc>
          <w:tcPr>
            <w:tcW w:w="387" w:type="pct"/>
            <w:shd w:val="clear" w:color="auto" w:fill="auto"/>
            <w:vAlign w:val="center"/>
          </w:tcPr>
          <w:p w14:paraId="54BBE31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0.34</w:t>
            </w:r>
          </w:p>
        </w:tc>
        <w:tc>
          <w:tcPr>
            <w:tcW w:w="488" w:type="pct"/>
            <w:shd w:val="clear" w:color="auto" w:fill="auto"/>
            <w:vAlign w:val="center"/>
          </w:tcPr>
          <w:p w14:paraId="0AEC7C1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5.2</w:t>
            </w:r>
          </w:p>
        </w:tc>
        <w:tc>
          <w:tcPr>
            <w:tcW w:w="273" w:type="pct"/>
            <w:shd w:val="clear" w:color="auto" w:fill="auto"/>
            <w:vAlign w:val="center"/>
          </w:tcPr>
          <w:p w14:paraId="50A2188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52</w:t>
            </w:r>
          </w:p>
        </w:tc>
        <w:tc>
          <w:tcPr>
            <w:tcW w:w="528" w:type="pct"/>
            <w:shd w:val="clear" w:color="auto" w:fill="auto"/>
            <w:vAlign w:val="center"/>
          </w:tcPr>
          <w:p w14:paraId="3FAF4E0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0.4</w:t>
            </w:r>
          </w:p>
        </w:tc>
        <w:tc>
          <w:tcPr>
            <w:tcW w:w="517" w:type="pct"/>
            <w:shd w:val="clear" w:color="auto" w:fill="auto"/>
            <w:vAlign w:val="center"/>
          </w:tcPr>
          <w:p w14:paraId="6A6895A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0.6</w:t>
            </w:r>
          </w:p>
        </w:tc>
      </w:tr>
      <w:tr w14:paraId="485CDA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6F4F90C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14</w:t>
            </w:r>
          </w:p>
        </w:tc>
        <w:tc>
          <w:tcPr>
            <w:tcW w:w="236" w:type="pct"/>
            <w:shd w:val="clear" w:color="auto" w:fill="auto"/>
            <w:vAlign w:val="center"/>
          </w:tcPr>
          <w:p w14:paraId="69CCED2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11</w:t>
            </w:r>
          </w:p>
        </w:tc>
        <w:tc>
          <w:tcPr>
            <w:tcW w:w="333" w:type="pct"/>
            <w:shd w:val="clear" w:color="auto" w:fill="auto"/>
            <w:vAlign w:val="center"/>
          </w:tcPr>
          <w:p w14:paraId="0692742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7.8</w:t>
            </w:r>
          </w:p>
        </w:tc>
        <w:tc>
          <w:tcPr>
            <w:tcW w:w="333" w:type="pct"/>
            <w:shd w:val="clear" w:color="auto" w:fill="auto"/>
            <w:vAlign w:val="center"/>
          </w:tcPr>
          <w:p w14:paraId="6EA3337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81.5</w:t>
            </w:r>
          </w:p>
        </w:tc>
        <w:tc>
          <w:tcPr>
            <w:tcW w:w="271" w:type="pct"/>
            <w:shd w:val="clear" w:color="auto" w:fill="auto"/>
            <w:vAlign w:val="center"/>
          </w:tcPr>
          <w:p w14:paraId="767D0E4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63.8</w:t>
            </w:r>
          </w:p>
        </w:tc>
        <w:tc>
          <w:tcPr>
            <w:tcW w:w="395" w:type="pct"/>
            <w:shd w:val="clear" w:color="auto" w:fill="auto"/>
            <w:vAlign w:val="center"/>
          </w:tcPr>
          <w:p w14:paraId="639D69D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0.18</w:t>
            </w:r>
          </w:p>
        </w:tc>
        <w:tc>
          <w:tcPr>
            <w:tcW w:w="381" w:type="pct"/>
            <w:shd w:val="clear" w:color="auto" w:fill="auto"/>
            <w:vAlign w:val="center"/>
          </w:tcPr>
          <w:p w14:paraId="121D0FC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42</w:t>
            </w:r>
          </w:p>
        </w:tc>
        <w:tc>
          <w:tcPr>
            <w:tcW w:w="358" w:type="pct"/>
            <w:shd w:val="clear" w:color="auto" w:fill="auto"/>
            <w:vAlign w:val="center"/>
          </w:tcPr>
          <w:p w14:paraId="3135200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12.7</w:t>
            </w:r>
          </w:p>
        </w:tc>
        <w:tc>
          <w:tcPr>
            <w:tcW w:w="387" w:type="pct"/>
            <w:shd w:val="clear" w:color="auto" w:fill="auto"/>
            <w:vAlign w:val="center"/>
          </w:tcPr>
          <w:p w14:paraId="093C794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0.39</w:t>
            </w:r>
          </w:p>
        </w:tc>
        <w:tc>
          <w:tcPr>
            <w:tcW w:w="488" w:type="pct"/>
            <w:shd w:val="clear" w:color="auto" w:fill="auto"/>
            <w:vAlign w:val="center"/>
          </w:tcPr>
          <w:p w14:paraId="4C11404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7.1</w:t>
            </w:r>
          </w:p>
        </w:tc>
        <w:tc>
          <w:tcPr>
            <w:tcW w:w="273" w:type="pct"/>
            <w:shd w:val="clear" w:color="auto" w:fill="auto"/>
            <w:vAlign w:val="center"/>
          </w:tcPr>
          <w:p w14:paraId="24705B9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65</w:t>
            </w:r>
          </w:p>
        </w:tc>
        <w:tc>
          <w:tcPr>
            <w:tcW w:w="528" w:type="pct"/>
            <w:shd w:val="clear" w:color="auto" w:fill="auto"/>
            <w:vAlign w:val="center"/>
          </w:tcPr>
          <w:p w14:paraId="424CEE2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0.5</w:t>
            </w:r>
          </w:p>
        </w:tc>
        <w:tc>
          <w:tcPr>
            <w:tcW w:w="517" w:type="pct"/>
            <w:shd w:val="clear" w:color="auto" w:fill="auto"/>
            <w:vAlign w:val="center"/>
          </w:tcPr>
          <w:p w14:paraId="7C7969B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1.0</w:t>
            </w:r>
          </w:p>
        </w:tc>
      </w:tr>
      <w:tr w14:paraId="09667A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blCellSpacing w:w="15" w:type="dxa"/>
          <w:jc w:val="center"/>
        </w:trPr>
        <w:tc>
          <w:tcPr>
            <w:tcW w:w="278" w:type="pct"/>
            <w:shd w:val="clear" w:color="auto" w:fill="auto"/>
            <w:vAlign w:val="center"/>
          </w:tcPr>
          <w:p w14:paraId="74AA0C1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15</w:t>
            </w:r>
          </w:p>
        </w:tc>
        <w:tc>
          <w:tcPr>
            <w:tcW w:w="236" w:type="pct"/>
            <w:shd w:val="clear" w:color="auto" w:fill="auto"/>
            <w:vAlign w:val="center"/>
          </w:tcPr>
          <w:p w14:paraId="286E0CD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14</w:t>
            </w:r>
          </w:p>
        </w:tc>
        <w:tc>
          <w:tcPr>
            <w:tcW w:w="333" w:type="pct"/>
            <w:shd w:val="clear" w:color="auto" w:fill="auto"/>
            <w:vAlign w:val="center"/>
          </w:tcPr>
          <w:p w14:paraId="0AEEDD4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8.5</w:t>
            </w:r>
          </w:p>
        </w:tc>
        <w:tc>
          <w:tcPr>
            <w:tcW w:w="333" w:type="pct"/>
            <w:shd w:val="clear" w:color="auto" w:fill="auto"/>
            <w:vAlign w:val="center"/>
          </w:tcPr>
          <w:p w14:paraId="5F37D7C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84.1</w:t>
            </w:r>
          </w:p>
        </w:tc>
        <w:tc>
          <w:tcPr>
            <w:tcW w:w="271" w:type="pct"/>
            <w:shd w:val="clear" w:color="auto" w:fill="auto"/>
            <w:vAlign w:val="center"/>
          </w:tcPr>
          <w:p w14:paraId="38EB28D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66.9</w:t>
            </w:r>
          </w:p>
        </w:tc>
        <w:tc>
          <w:tcPr>
            <w:tcW w:w="395" w:type="pct"/>
            <w:shd w:val="clear" w:color="auto" w:fill="auto"/>
            <w:vAlign w:val="center"/>
          </w:tcPr>
          <w:p w14:paraId="51C4721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0.23</w:t>
            </w:r>
          </w:p>
        </w:tc>
        <w:tc>
          <w:tcPr>
            <w:tcW w:w="381" w:type="pct"/>
            <w:shd w:val="clear" w:color="auto" w:fill="auto"/>
            <w:vAlign w:val="center"/>
          </w:tcPr>
          <w:p w14:paraId="6DA8735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55</w:t>
            </w:r>
          </w:p>
        </w:tc>
        <w:tc>
          <w:tcPr>
            <w:tcW w:w="358" w:type="pct"/>
            <w:shd w:val="clear" w:color="auto" w:fill="auto"/>
            <w:vAlign w:val="center"/>
          </w:tcPr>
          <w:p w14:paraId="1B0D32A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13.5</w:t>
            </w:r>
          </w:p>
        </w:tc>
        <w:tc>
          <w:tcPr>
            <w:tcW w:w="387" w:type="pct"/>
            <w:shd w:val="clear" w:color="auto" w:fill="auto"/>
            <w:vAlign w:val="center"/>
          </w:tcPr>
          <w:p w14:paraId="6E68668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0.41</w:t>
            </w:r>
          </w:p>
        </w:tc>
        <w:tc>
          <w:tcPr>
            <w:tcW w:w="488" w:type="pct"/>
            <w:shd w:val="clear" w:color="auto" w:fill="auto"/>
            <w:vAlign w:val="center"/>
          </w:tcPr>
          <w:p w14:paraId="3540448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8.6</w:t>
            </w:r>
          </w:p>
        </w:tc>
        <w:tc>
          <w:tcPr>
            <w:tcW w:w="273" w:type="pct"/>
            <w:shd w:val="clear" w:color="auto" w:fill="auto"/>
            <w:vAlign w:val="center"/>
          </w:tcPr>
          <w:p w14:paraId="5588A17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72</w:t>
            </w:r>
          </w:p>
        </w:tc>
        <w:tc>
          <w:tcPr>
            <w:tcW w:w="528" w:type="pct"/>
            <w:shd w:val="clear" w:color="auto" w:fill="auto"/>
            <w:vAlign w:val="center"/>
          </w:tcPr>
          <w:p w14:paraId="74289AB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0.7</w:t>
            </w:r>
          </w:p>
        </w:tc>
        <w:tc>
          <w:tcPr>
            <w:tcW w:w="517" w:type="pct"/>
            <w:shd w:val="clear" w:color="auto" w:fill="auto"/>
            <w:vAlign w:val="center"/>
          </w:tcPr>
          <w:p w14:paraId="3725552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1.2</w:t>
            </w:r>
          </w:p>
        </w:tc>
      </w:tr>
      <w:tr w14:paraId="6EFB36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5216AD2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16</w:t>
            </w:r>
          </w:p>
        </w:tc>
        <w:tc>
          <w:tcPr>
            <w:tcW w:w="236" w:type="pct"/>
            <w:shd w:val="clear" w:color="auto" w:fill="auto"/>
            <w:vAlign w:val="center"/>
          </w:tcPr>
          <w:p w14:paraId="5253F56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13</w:t>
            </w:r>
          </w:p>
        </w:tc>
        <w:tc>
          <w:tcPr>
            <w:tcW w:w="333" w:type="pct"/>
            <w:shd w:val="clear" w:color="auto" w:fill="auto"/>
            <w:vAlign w:val="center"/>
          </w:tcPr>
          <w:p w14:paraId="1BDA16B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8.2</w:t>
            </w:r>
          </w:p>
        </w:tc>
        <w:tc>
          <w:tcPr>
            <w:tcW w:w="333" w:type="pct"/>
            <w:shd w:val="clear" w:color="auto" w:fill="auto"/>
            <w:vAlign w:val="center"/>
          </w:tcPr>
          <w:p w14:paraId="1DFC215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83.5</w:t>
            </w:r>
          </w:p>
        </w:tc>
        <w:tc>
          <w:tcPr>
            <w:tcW w:w="271" w:type="pct"/>
            <w:shd w:val="clear" w:color="auto" w:fill="auto"/>
            <w:vAlign w:val="center"/>
          </w:tcPr>
          <w:p w14:paraId="7FB4E07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65.3</w:t>
            </w:r>
          </w:p>
        </w:tc>
        <w:tc>
          <w:tcPr>
            <w:tcW w:w="395" w:type="pct"/>
            <w:shd w:val="clear" w:color="auto" w:fill="auto"/>
            <w:vAlign w:val="center"/>
          </w:tcPr>
          <w:p w14:paraId="4C65CB2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0.22</w:t>
            </w:r>
          </w:p>
        </w:tc>
        <w:tc>
          <w:tcPr>
            <w:tcW w:w="381" w:type="pct"/>
            <w:shd w:val="clear" w:color="auto" w:fill="auto"/>
            <w:vAlign w:val="center"/>
          </w:tcPr>
          <w:p w14:paraId="1D33125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52</w:t>
            </w:r>
          </w:p>
        </w:tc>
        <w:tc>
          <w:tcPr>
            <w:tcW w:w="358" w:type="pct"/>
            <w:shd w:val="clear" w:color="auto" w:fill="auto"/>
            <w:vAlign w:val="center"/>
          </w:tcPr>
          <w:p w14:paraId="3BE0D06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14.8</w:t>
            </w:r>
          </w:p>
        </w:tc>
        <w:tc>
          <w:tcPr>
            <w:tcW w:w="387" w:type="pct"/>
            <w:shd w:val="clear" w:color="auto" w:fill="auto"/>
            <w:vAlign w:val="center"/>
          </w:tcPr>
          <w:p w14:paraId="2E46F34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0.40</w:t>
            </w:r>
          </w:p>
        </w:tc>
        <w:tc>
          <w:tcPr>
            <w:tcW w:w="488" w:type="pct"/>
            <w:shd w:val="clear" w:color="auto" w:fill="auto"/>
            <w:vAlign w:val="center"/>
          </w:tcPr>
          <w:p w14:paraId="2DE1720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7.9</w:t>
            </w:r>
          </w:p>
        </w:tc>
        <w:tc>
          <w:tcPr>
            <w:tcW w:w="273" w:type="pct"/>
            <w:shd w:val="clear" w:color="auto" w:fill="auto"/>
            <w:vAlign w:val="center"/>
          </w:tcPr>
          <w:p w14:paraId="12DBC9A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68</w:t>
            </w:r>
          </w:p>
        </w:tc>
        <w:tc>
          <w:tcPr>
            <w:tcW w:w="528" w:type="pct"/>
            <w:shd w:val="clear" w:color="auto" w:fill="auto"/>
            <w:vAlign w:val="center"/>
          </w:tcPr>
          <w:p w14:paraId="0D6EDB9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0.6</w:t>
            </w:r>
          </w:p>
        </w:tc>
        <w:tc>
          <w:tcPr>
            <w:tcW w:w="517" w:type="pct"/>
            <w:shd w:val="clear" w:color="auto" w:fill="auto"/>
            <w:vAlign w:val="center"/>
          </w:tcPr>
          <w:p w14:paraId="25AA268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1.1</w:t>
            </w:r>
          </w:p>
        </w:tc>
      </w:tr>
      <w:tr w14:paraId="41BB75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blCellSpacing w:w="15" w:type="dxa"/>
          <w:jc w:val="center"/>
        </w:trPr>
        <w:tc>
          <w:tcPr>
            <w:tcW w:w="278" w:type="pct"/>
            <w:shd w:val="clear" w:color="auto" w:fill="auto"/>
            <w:vAlign w:val="center"/>
          </w:tcPr>
          <w:p w14:paraId="607534C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17</w:t>
            </w:r>
          </w:p>
        </w:tc>
        <w:tc>
          <w:tcPr>
            <w:tcW w:w="236" w:type="pct"/>
            <w:shd w:val="clear" w:color="auto" w:fill="auto"/>
            <w:vAlign w:val="center"/>
          </w:tcPr>
          <w:p w14:paraId="57902FC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12</w:t>
            </w:r>
          </w:p>
        </w:tc>
        <w:tc>
          <w:tcPr>
            <w:tcW w:w="333" w:type="pct"/>
            <w:shd w:val="clear" w:color="auto" w:fill="auto"/>
            <w:vAlign w:val="center"/>
          </w:tcPr>
          <w:p w14:paraId="2BEB8E6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8.1</w:t>
            </w:r>
          </w:p>
        </w:tc>
        <w:tc>
          <w:tcPr>
            <w:tcW w:w="333" w:type="pct"/>
            <w:shd w:val="clear" w:color="auto" w:fill="auto"/>
            <w:vAlign w:val="center"/>
          </w:tcPr>
          <w:p w14:paraId="6108BAE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82.9</w:t>
            </w:r>
          </w:p>
        </w:tc>
        <w:tc>
          <w:tcPr>
            <w:tcW w:w="271" w:type="pct"/>
            <w:shd w:val="clear" w:color="auto" w:fill="auto"/>
            <w:vAlign w:val="center"/>
          </w:tcPr>
          <w:p w14:paraId="4218E00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64.8</w:t>
            </w:r>
          </w:p>
        </w:tc>
        <w:tc>
          <w:tcPr>
            <w:tcW w:w="395" w:type="pct"/>
            <w:shd w:val="clear" w:color="auto" w:fill="auto"/>
            <w:vAlign w:val="center"/>
          </w:tcPr>
          <w:p w14:paraId="5122587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0.20</w:t>
            </w:r>
          </w:p>
        </w:tc>
        <w:tc>
          <w:tcPr>
            <w:tcW w:w="381" w:type="pct"/>
            <w:shd w:val="clear" w:color="auto" w:fill="auto"/>
            <w:vAlign w:val="center"/>
          </w:tcPr>
          <w:p w14:paraId="67CD975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49</w:t>
            </w:r>
          </w:p>
        </w:tc>
        <w:tc>
          <w:tcPr>
            <w:tcW w:w="358" w:type="pct"/>
            <w:shd w:val="clear" w:color="auto" w:fill="auto"/>
            <w:vAlign w:val="center"/>
          </w:tcPr>
          <w:p w14:paraId="1BE34DB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15.3</w:t>
            </w:r>
          </w:p>
        </w:tc>
        <w:tc>
          <w:tcPr>
            <w:tcW w:w="387" w:type="pct"/>
            <w:shd w:val="clear" w:color="auto" w:fill="auto"/>
            <w:vAlign w:val="center"/>
          </w:tcPr>
          <w:p w14:paraId="2CE336F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0.38</w:t>
            </w:r>
          </w:p>
        </w:tc>
        <w:tc>
          <w:tcPr>
            <w:tcW w:w="488" w:type="pct"/>
            <w:shd w:val="clear" w:color="auto" w:fill="auto"/>
            <w:vAlign w:val="center"/>
          </w:tcPr>
          <w:p w14:paraId="5A5BE60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7.5</w:t>
            </w:r>
          </w:p>
        </w:tc>
        <w:tc>
          <w:tcPr>
            <w:tcW w:w="273" w:type="pct"/>
            <w:shd w:val="clear" w:color="auto" w:fill="auto"/>
            <w:vAlign w:val="center"/>
          </w:tcPr>
          <w:p w14:paraId="4E88D65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63</w:t>
            </w:r>
          </w:p>
        </w:tc>
        <w:tc>
          <w:tcPr>
            <w:tcW w:w="528" w:type="pct"/>
            <w:shd w:val="clear" w:color="auto" w:fill="auto"/>
            <w:vAlign w:val="center"/>
          </w:tcPr>
          <w:p w14:paraId="6ED730B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0.5</w:t>
            </w:r>
          </w:p>
        </w:tc>
        <w:tc>
          <w:tcPr>
            <w:tcW w:w="517" w:type="pct"/>
            <w:shd w:val="clear" w:color="auto" w:fill="auto"/>
            <w:vAlign w:val="center"/>
          </w:tcPr>
          <w:p w14:paraId="075E426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0.9</w:t>
            </w:r>
          </w:p>
        </w:tc>
      </w:tr>
      <w:tr w14:paraId="5BCF96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31D8ADF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18</w:t>
            </w:r>
          </w:p>
        </w:tc>
        <w:tc>
          <w:tcPr>
            <w:tcW w:w="236" w:type="pct"/>
            <w:shd w:val="clear" w:color="auto" w:fill="auto"/>
            <w:vAlign w:val="center"/>
          </w:tcPr>
          <w:p w14:paraId="13E6501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11</w:t>
            </w:r>
          </w:p>
        </w:tc>
        <w:tc>
          <w:tcPr>
            <w:tcW w:w="333" w:type="pct"/>
            <w:shd w:val="clear" w:color="auto" w:fill="auto"/>
            <w:vAlign w:val="center"/>
          </w:tcPr>
          <w:p w14:paraId="68E42B3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7.9</w:t>
            </w:r>
          </w:p>
        </w:tc>
        <w:tc>
          <w:tcPr>
            <w:tcW w:w="333" w:type="pct"/>
            <w:shd w:val="clear" w:color="auto" w:fill="auto"/>
            <w:vAlign w:val="center"/>
          </w:tcPr>
          <w:p w14:paraId="70EF8CC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81.8</w:t>
            </w:r>
          </w:p>
        </w:tc>
        <w:tc>
          <w:tcPr>
            <w:tcW w:w="271" w:type="pct"/>
            <w:shd w:val="clear" w:color="auto" w:fill="auto"/>
            <w:vAlign w:val="center"/>
          </w:tcPr>
          <w:p w14:paraId="1B9DB32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63.6</w:t>
            </w:r>
          </w:p>
        </w:tc>
        <w:tc>
          <w:tcPr>
            <w:tcW w:w="395" w:type="pct"/>
            <w:shd w:val="clear" w:color="auto" w:fill="auto"/>
            <w:vAlign w:val="center"/>
          </w:tcPr>
          <w:p w14:paraId="3D845BE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0.19</w:t>
            </w:r>
          </w:p>
        </w:tc>
        <w:tc>
          <w:tcPr>
            <w:tcW w:w="381" w:type="pct"/>
            <w:shd w:val="clear" w:color="auto" w:fill="auto"/>
            <w:vAlign w:val="center"/>
          </w:tcPr>
          <w:p w14:paraId="50D1033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44</w:t>
            </w:r>
          </w:p>
        </w:tc>
        <w:tc>
          <w:tcPr>
            <w:tcW w:w="358" w:type="pct"/>
            <w:shd w:val="clear" w:color="auto" w:fill="auto"/>
            <w:vAlign w:val="center"/>
          </w:tcPr>
          <w:p w14:paraId="3E11B02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16.7</w:t>
            </w:r>
          </w:p>
        </w:tc>
        <w:tc>
          <w:tcPr>
            <w:tcW w:w="387" w:type="pct"/>
            <w:shd w:val="clear" w:color="auto" w:fill="auto"/>
            <w:vAlign w:val="center"/>
          </w:tcPr>
          <w:p w14:paraId="47B9469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0.42</w:t>
            </w:r>
          </w:p>
        </w:tc>
        <w:tc>
          <w:tcPr>
            <w:tcW w:w="488" w:type="pct"/>
            <w:shd w:val="clear" w:color="auto" w:fill="auto"/>
            <w:vAlign w:val="center"/>
          </w:tcPr>
          <w:p w14:paraId="0FDCC9C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8.2</w:t>
            </w:r>
          </w:p>
        </w:tc>
        <w:tc>
          <w:tcPr>
            <w:tcW w:w="273" w:type="pct"/>
            <w:shd w:val="clear" w:color="auto" w:fill="auto"/>
            <w:vAlign w:val="center"/>
          </w:tcPr>
          <w:p w14:paraId="6653A7F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70</w:t>
            </w:r>
          </w:p>
        </w:tc>
        <w:tc>
          <w:tcPr>
            <w:tcW w:w="528" w:type="pct"/>
            <w:shd w:val="clear" w:color="auto" w:fill="auto"/>
            <w:vAlign w:val="center"/>
          </w:tcPr>
          <w:p w14:paraId="168B9F7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0.6</w:t>
            </w:r>
          </w:p>
        </w:tc>
        <w:tc>
          <w:tcPr>
            <w:tcW w:w="517" w:type="pct"/>
            <w:shd w:val="clear" w:color="auto" w:fill="auto"/>
            <w:vAlign w:val="center"/>
          </w:tcPr>
          <w:p w14:paraId="1FB65A3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1.3</w:t>
            </w:r>
          </w:p>
        </w:tc>
      </w:tr>
      <w:tr w14:paraId="386C28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38599A2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19</w:t>
            </w:r>
          </w:p>
        </w:tc>
        <w:tc>
          <w:tcPr>
            <w:tcW w:w="236" w:type="pct"/>
            <w:shd w:val="clear" w:color="auto" w:fill="auto"/>
            <w:vAlign w:val="center"/>
          </w:tcPr>
          <w:p w14:paraId="639A960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14</w:t>
            </w:r>
          </w:p>
        </w:tc>
        <w:tc>
          <w:tcPr>
            <w:tcW w:w="333" w:type="pct"/>
            <w:shd w:val="clear" w:color="auto" w:fill="auto"/>
            <w:vAlign w:val="center"/>
          </w:tcPr>
          <w:p w14:paraId="0B99553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8.6</w:t>
            </w:r>
          </w:p>
        </w:tc>
        <w:tc>
          <w:tcPr>
            <w:tcW w:w="333" w:type="pct"/>
            <w:shd w:val="clear" w:color="auto" w:fill="auto"/>
            <w:vAlign w:val="center"/>
          </w:tcPr>
          <w:p w14:paraId="2E9C10D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84.5</w:t>
            </w:r>
          </w:p>
        </w:tc>
        <w:tc>
          <w:tcPr>
            <w:tcW w:w="271" w:type="pct"/>
            <w:shd w:val="clear" w:color="auto" w:fill="auto"/>
            <w:vAlign w:val="center"/>
          </w:tcPr>
          <w:p w14:paraId="17EB935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67.5</w:t>
            </w:r>
          </w:p>
        </w:tc>
        <w:tc>
          <w:tcPr>
            <w:tcW w:w="395" w:type="pct"/>
            <w:shd w:val="clear" w:color="auto" w:fill="auto"/>
            <w:vAlign w:val="center"/>
          </w:tcPr>
          <w:p w14:paraId="6D580BD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0.24</w:t>
            </w:r>
          </w:p>
        </w:tc>
        <w:tc>
          <w:tcPr>
            <w:tcW w:w="381" w:type="pct"/>
            <w:shd w:val="clear" w:color="auto" w:fill="auto"/>
            <w:vAlign w:val="center"/>
          </w:tcPr>
          <w:p w14:paraId="43C3698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60</w:t>
            </w:r>
          </w:p>
        </w:tc>
        <w:tc>
          <w:tcPr>
            <w:tcW w:w="358" w:type="pct"/>
            <w:shd w:val="clear" w:color="auto" w:fill="auto"/>
            <w:vAlign w:val="center"/>
          </w:tcPr>
          <w:p w14:paraId="0698688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17.5</w:t>
            </w:r>
          </w:p>
        </w:tc>
        <w:tc>
          <w:tcPr>
            <w:tcW w:w="387" w:type="pct"/>
            <w:shd w:val="clear" w:color="auto" w:fill="auto"/>
            <w:vAlign w:val="center"/>
          </w:tcPr>
          <w:p w14:paraId="42E2790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0.45</w:t>
            </w:r>
          </w:p>
        </w:tc>
        <w:tc>
          <w:tcPr>
            <w:tcW w:w="488" w:type="pct"/>
            <w:shd w:val="clear" w:color="auto" w:fill="auto"/>
            <w:vAlign w:val="center"/>
          </w:tcPr>
          <w:p w14:paraId="1E12449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9.8</w:t>
            </w:r>
          </w:p>
        </w:tc>
        <w:tc>
          <w:tcPr>
            <w:tcW w:w="273" w:type="pct"/>
            <w:shd w:val="clear" w:color="auto" w:fill="auto"/>
            <w:vAlign w:val="center"/>
          </w:tcPr>
          <w:p w14:paraId="374C789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78</w:t>
            </w:r>
          </w:p>
        </w:tc>
        <w:tc>
          <w:tcPr>
            <w:tcW w:w="528" w:type="pct"/>
            <w:shd w:val="clear" w:color="auto" w:fill="auto"/>
            <w:vAlign w:val="center"/>
          </w:tcPr>
          <w:p w14:paraId="46D36F3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0.8</w:t>
            </w:r>
          </w:p>
        </w:tc>
        <w:tc>
          <w:tcPr>
            <w:tcW w:w="517" w:type="pct"/>
            <w:shd w:val="clear" w:color="auto" w:fill="auto"/>
            <w:vAlign w:val="center"/>
          </w:tcPr>
          <w:p w14:paraId="30C6622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1.5</w:t>
            </w:r>
          </w:p>
        </w:tc>
      </w:tr>
      <w:tr w14:paraId="34A97D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47EED98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20</w:t>
            </w:r>
          </w:p>
        </w:tc>
        <w:tc>
          <w:tcPr>
            <w:tcW w:w="236" w:type="pct"/>
            <w:shd w:val="clear" w:color="auto" w:fill="auto"/>
            <w:vAlign w:val="center"/>
          </w:tcPr>
          <w:p w14:paraId="7DE080D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13</w:t>
            </w:r>
          </w:p>
        </w:tc>
        <w:tc>
          <w:tcPr>
            <w:tcW w:w="333" w:type="pct"/>
            <w:shd w:val="clear" w:color="auto" w:fill="auto"/>
            <w:vAlign w:val="center"/>
          </w:tcPr>
          <w:p w14:paraId="4DE9BB4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8.3</w:t>
            </w:r>
          </w:p>
        </w:tc>
        <w:tc>
          <w:tcPr>
            <w:tcW w:w="333" w:type="pct"/>
            <w:shd w:val="clear" w:color="auto" w:fill="auto"/>
            <w:vAlign w:val="center"/>
          </w:tcPr>
          <w:p w14:paraId="56A0769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83.8</w:t>
            </w:r>
          </w:p>
        </w:tc>
        <w:tc>
          <w:tcPr>
            <w:tcW w:w="271" w:type="pct"/>
            <w:shd w:val="clear" w:color="auto" w:fill="auto"/>
            <w:vAlign w:val="center"/>
          </w:tcPr>
          <w:p w14:paraId="7EC4C7D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66.2</w:t>
            </w:r>
          </w:p>
        </w:tc>
        <w:tc>
          <w:tcPr>
            <w:tcW w:w="395" w:type="pct"/>
            <w:shd w:val="clear" w:color="auto" w:fill="auto"/>
            <w:vAlign w:val="center"/>
          </w:tcPr>
          <w:p w14:paraId="001FD34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0.23</w:t>
            </w:r>
          </w:p>
        </w:tc>
        <w:tc>
          <w:tcPr>
            <w:tcW w:w="381" w:type="pct"/>
            <w:shd w:val="clear" w:color="auto" w:fill="auto"/>
            <w:vAlign w:val="center"/>
          </w:tcPr>
          <w:p w14:paraId="123B5CB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58</w:t>
            </w:r>
          </w:p>
        </w:tc>
        <w:tc>
          <w:tcPr>
            <w:tcW w:w="358" w:type="pct"/>
            <w:shd w:val="clear" w:color="auto" w:fill="auto"/>
            <w:vAlign w:val="center"/>
          </w:tcPr>
          <w:p w14:paraId="49A440D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18.2</w:t>
            </w:r>
          </w:p>
        </w:tc>
        <w:tc>
          <w:tcPr>
            <w:tcW w:w="387" w:type="pct"/>
            <w:shd w:val="clear" w:color="auto" w:fill="auto"/>
            <w:vAlign w:val="center"/>
          </w:tcPr>
          <w:p w14:paraId="6D79C95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0.43</w:t>
            </w:r>
          </w:p>
        </w:tc>
        <w:tc>
          <w:tcPr>
            <w:tcW w:w="488" w:type="pct"/>
            <w:shd w:val="clear" w:color="auto" w:fill="auto"/>
            <w:vAlign w:val="center"/>
          </w:tcPr>
          <w:p w14:paraId="61D5E04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9.2</w:t>
            </w:r>
          </w:p>
        </w:tc>
        <w:tc>
          <w:tcPr>
            <w:tcW w:w="273" w:type="pct"/>
            <w:shd w:val="clear" w:color="auto" w:fill="auto"/>
            <w:vAlign w:val="center"/>
          </w:tcPr>
          <w:p w14:paraId="49B0733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75</w:t>
            </w:r>
          </w:p>
        </w:tc>
        <w:tc>
          <w:tcPr>
            <w:tcW w:w="528" w:type="pct"/>
            <w:shd w:val="clear" w:color="auto" w:fill="auto"/>
            <w:vAlign w:val="center"/>
          </w:tcPr>
          <w:p w14:paraId="3C5C85B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0.7</w:t>
            </w:r>
          </w:p>
        </w:tc>
        <w:tc>
          <w:tcPr>
            <w:tcW w:w="517" w:type="pct"/>
            <w:shd w:val="clear" w:color="auto" w:fill="auto"/>
            <w:vAlign w:val="center"/>
          </w:tcPr>
          <w:p w14:paraId="09C2427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1.4</w:t>
            </w:r>
          </w:p>
        </w:tc>
      </w:tr>
      <w:tr w14:paraId="33731D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blCellSpacing w:w="15" w:type="dxa"/>
          <w:jc w:val="center"/>
        </w:trPr>
        <w:tc>
          <w:tcPr>
            <w:tcW w:w="278" w:type="pct"/>
            <w:shd w:val="clear" w:color="auto" w:fill="auto"/>
            <w:vAlign w:val="center"/>
          </w:tcPr>
          <w:p w14:paraId="2C0DAAD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21</w:t>
            </w:r>
          </w:p>
        </w:tc>
        <w:tc>
          <w:tcPr>
            <w:tcW w:w="236" w:type="pct"/>
            <w:shd w:val="clear" w:color="auto" w:fill="auto"/>
            <w:vAlign w:val="center"/>
          </w:tcPr>
          <w:p w14:paraId="0CA379D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15</w:t>
            </w:r>
          </w:p>
        </w:tc>
        <w:tc>
          <w:tcPr>
            <w:tcW w:w="333" w:type="pct"/>
            <w:shd w:val="clear" w:color="auto" w:fill="auto"/>
            <w:vAlign w:val="center"/>
          </w:tcPr>
          <w:p w14:paraId="4F294CF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8.8</w:t>
            </w:r>
          </w:p>
        </w:tc>
        <w:tc>
          <w:tcPr>
            <w:tcW w:w="333" w:type="pct"/>
            <w:shd w:val="clear" w:color="auto" w:fill="auto"/>
            <w:vAlign w:val="center"/>
          </w:tcPr>
          <w:p w14:paraId="70C906A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83.3</w:t>
            </w:r>
          </w:p>
        </w:tc>
        <w:tc>
          <w:tcPr>
            <w:tcW w:w="271" w:type="pct"/>
            <w:shd w:val="clear" w:color="auto" w:fill="auto"/>
            <w:vAlign w:val="center"/>
          </w:tcPr>
          <w:p w14:paraId="24A6DC7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68.7</w:t>
            </w:r>
          </w:p>
        </w:tc>
        <w:tc>
          <w:tcPr>
            <w:tcW w:w="395" w:type="pct"/>
            <w:shd w:val="clear" w:color="auto" w:fill="auto"/>
            <w:vAlign w:val="center"/>
          </w:tcPr>
          <w:p w14:paraId="1BB4FA5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0.25</w:t>
            </w:r>
          </w:p>
        </w:tc>
        <w:tc>
          <w:tcPr>
            <w:tcW w:w="381" w:type="pct"/>
            <w:shd w:val="clear" w:color="auto" w:fill="auto"/>
            <w:vAlign w:val="center"/>
          </w:tcPr>
          <w:p w14:paraId="14F9DB5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65</w:t>
            </w:r>
          </w:p>
        </w:tc>
        <w:tc>
          <w:tcPr>
            <w:tcW w:w="358" w:type="pct"/>
            <w:shd w:val="clear" w:color="auto" w:fill="auto"/>
            <w:vAlign w:val="center"/>
          </w:tcPr>
          <w:p w14:paraId="6F2087E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19.6</w:t>
            </w:r>
          </w:p>
        </w:tc>
        <w:tc>
          <w:tcPr>
            <w:tcW w:w="387" w:type="pct"/>
            <w:shd w:val="clear" w:color="auto" w:fill="auto"/>
            <w:vAlign w:val="center"/>
          </w:tcPr>
          <w:p w14:paraId="3707F4F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0.48</w:t>
            </w:r>
          </w:p>
        </w:tc>
        <w:tc>
          <w:tcPr>
            <w:tcW w:w="488" w:type="pct"/>
            <w:shd w:val="clear" w:color="auto" w:fill="auto"/>
            <w:vAlign w:val="center"/>
          </w:tcPr>
          <w:p w14:paraId="4A78C27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10.5</w:t>
            </w:r>
          </w:p>
        </w:tc>
        <w:tc>
          <w:tcPr>
            <w:tcW w:w="273" w:type="pct"/>
            <w:shd w:val="clear" w:color="auto" w:fill="auto"/>
            <w:vAlign w:val="center"/>
          </w:tcPr>
          <w:p w14:paraId="176C856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85</w:t>
            </w:r>
          </w:p>
        </w:tc>
        <w:tc>
          <w:tcPr>
            <w:tcW w:w="528" w:type="pct"/>
            <w:shd w:val="clear" w:color="auto" w:fill="auto"/>
            <w:vAlign w:val="center"/>
          </w:tcPr>
          <w:p w14:paraId="531AB4C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0.8</w:t>
            </w:r>
          </w:p>
        </w:tc>
        <w:tc>
          <w:tcPr>
            <w:tcW w:w="517" w:type="pct"/>
            <w:shd w:val="clear" w:color="auto" w:fill="auto"/>
            <w:vAlign w:val="center"/>
          </w:tcPr>
          <w:p w14:paraId="202863F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1.8</w:t>
            </w:r>
          </w:p>
        </w:tc>
      </w:tr>
      <w:tr w14:paraId="2B2552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4602A54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22</w:t>
            </w:r>
          </w:p>
        </w:tc>
        <w:tc>
          <w:tcPr>
            <w:tcW w:w="236" w:type="pct"/>
            <w:shd w:val="clear" w:color="auto" w:fill="auto"/>
            <w:vAlign w:val="center"/>
          </w:tcPr>
          <w:p w14:paraId="19A340A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12</w:t>
            </w:r>
          </w:p>
        </w:tc>
        <w:tc>
          <w:tcPr>
            <w:tcW w:w="333" w:type="pct"/>
            <w:shd w:val="clear" w:color="auto" w:fill="auto"/>
            <w:vAlign w:val="center"/>
          </w:tcPr>
          <w:p w14:paraId="15E5642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8.0</w:t>
            </w:r>
          </w:p>
        </w:tc>
        <w:tc>
          <w:tcPr>
            <w:tcW w:w="333" w:type="pct"/>
            <w:shd w:val="clear" w:color="auto" w:fill="auto"/>
            <w:vAlign w:val="center"/>
          </w:tcPr>
          <w:p w14:paraId="411D311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82.2</w:t>
            </w:r>
          </w:p>
        </w:tc>
        <w:tc>
          <w:tcPr>
            <w:tcW w:w="271" w:type="pct"/>
            <w:shd w:val="clear" w:color="auto" w:fill="auto"/>
            <w:vAlign w:val="center"/>
          </w:tcPr>
          <w:p w14:paraId="4AC54C8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64.1</w:t>
            </w:r>
          </w:p>
        </w:tc>
        <w:tc>
          <w:tcPr>
            <w:tcW w:w="395" w:type="pct"/>
            <w:shd w:val="clear" w:color="auto" w:fill="auto"/>
            <w:vAlign w:val="center"/>
          </w:tcPr>
          <w:p w14:paraId="6E5DD9B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0.21</w:t>
            </w:r>
          </w:p>
        </w:tc>
        <w:tc>
          <w:tcPr>
            <w:tcW w:w="381" w:type="pct"/>
            <w:shd w:val="clear" w:color="auto" w:fill="auto"/>
            <w:vAlign w:val="center"/>
          </w:tcPr>
          <w:p w14:paraId="4AE0C77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47</w:t>
            </w:r>
          </w:p>
        </w:tc>
        <w:tc>
          <w:tcPr>
            <w:tcW w:w="358" w:type="pct"/>
            <w:shd w:val="clear" w:color="auto" w:fill="auto"/>
            <w:vAlign w:val="center"/>
          </w:tcPr>
          <w:p w14:paraId="2DF242D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20.3</w:t>
            </w:r>
          </w:p>
        </w:tc>
        <w:tc>
          <w:tcPr>
            <w:tcW w:w="387" w:type="pct"/>
            <w:shd w:val="clear" w:color="auto" w:fill="auto"/>
            <w:vAlign w:val="center"/>
          </w:tcPr>
          <w:p w14:paraId="759D8D6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0.44</w:t>
            </w:r>
          </w:p>
        </w:tc>
        <w:tc>
          <w:tcPr>
            <w:tcW w:w="488" w:type="pct"/>
            <w:shd w:val="clear" w:color="auto" w:fill="auto"/>
            <w:vAlign w:val="center"/>
          </w:tcPr>
          <w:p w14:paraId="5493474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8.9</w:t>
            </w:r>
          </w:p>
        </w:tc>
        <w:tc>
          <w:tcPr>
            <w:tcW w:w="273" w:type="pct"/>
            <w:shd w:val="clear" w:color="auto" w:fill="auto"/>
            <w:vAlign w:val="center"/>
          </w:tcPr>
          <w:p w14:paraId="7671172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73</w:t>
            </w:r>
          </w:p>
        </w:tc>
        <w:tc>
          <w:tcPr>
            <w:tcW w:w="528" w:type="pct"/>
            <w:shd w:val="clear" w:color="auto" w:fill="auto"/>
            <w:vAlign w:val="center"/>
          </w:tcPr>
          <w:p w14:paraId="3536BF9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0.6</w:t>
            </w:r>
          </w:p>
        </w:tc>
        <w:tc>
          <w:tcPr>
            <w:tcW w:w="517" w:type="pct"/>
            <w:shd w:val="clear" w:color="auto" w:fill="auto"/>
            <w:vAlign w:val="center"/>
          </w:tcPr>
          <w:p w14:paraId="151F61B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1.6</w:t>
            </w:r>
          </w:p>
        </w:tc>
      </w:tr>
      <w:tr w14:paraId="3F8694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19CF896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23</w:t>
            </w:r>
          </w:p>
        </w:tc>
        <w:tc>
          <w:tcPr>
            <w:tcW w:w="236" w:type="pct"/>
            <w:shd w:val="clear" w:color="auto" w:fill="auto"/>
            <w:vAlign w:val="center"/>
          </w:tcPr>
          <w:p w14:paraId="4AEDE17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14</w:t>
            </w:r>
          </w:p>
        </w:tc>
        <w:tc>
          <w:tcPr>
            <w:tcW w:w="333" w:type="pct"/>
            <w:shd w:val="clear" w:color="auto" w:fill="auto"/>
            <w:vAlign w:val="center"/>
          </w:tcPr>
          <w:p w14:paraId="5FA24DE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8.4</w:t>
            </w:r>
          </w:p>
        </w:tc>
        <w:tc>
          <w:tcPr>
            <w:tcW w:w="333" w:type="pct"/>
            <w:shd w:val="clear" w:color="auto" w:fill="auto"/>
            <w:vAlign w:val="center"/>
          </w:tcPr>
          <w:p w14:paraId="39A7998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84.0</w:t>
            </w:r>
          </w:p>
        </w:tc>
        <w:tc>
          <w:tcPr>
            <w:tcW w:w="271" w:type="pct"/>
            <w:shd w:val="clear" w:color="auto" w:fill="auto"/>
            <w:vAlign w:val="center"/>
          </w:tcPr>
          <w:p w14:paraId="2ACA24F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66.5</w:t>
            </w:r>
          </w:p>
        </w:tc>
        <w:tc>
          <w:tcPr>
            <w:tcW w:w="395" w:type="pct"/>
            <w:shd w:val="clear" w:color="auto" w:fill="auto"/>
            <w:vAlign w:val="center"/>
          </w:tcPr>
          <w:p w14:paraId="074B300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0.24</w:t>
            </w:r>
          </w:p>
        </w:tc>
        <w:tc>
          <w:tcPr>
            <w:tcW w:w="381" w:type="pct"/>
            <w:shd w:val="clear" w:color="auto" w:fill="auto"/>
            <w:vAlign w:val="center"/>
          </w:tcPr>
          <w:p w14:paraId="0EA1597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62</w:t>
            </w:r>
          </w:p>
        </w:tc>
        <w:tc>
          <w:tcPr>
            <w:tcW w:w="358" w:type="pct"/>
            <w:shd w:val="clear" w:color="auto" w:fill="auto"/>
            <w:vAlign w:val="center"/>
          </w:tcPr>
          <w:p w14:paraId="60D6D6A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21.7</w:t>
            </w:r>
          </w:p>
        </w:tc>
        <w:tc>
          <w:tcPr>
            <w:tcW w:w="387" w:type="pct"/>
            <w:shd w:val="clear" w:color="auto" w:fill="auto"/>
            <w:vAlign w:val="center"/>
          </w:tcPr>
          <w:p w14:paraId="7F40D27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0.50</w:t>
            </w:r>
          </w:p>
        </w:tc>
        <w:tc>
          <w:tcPr>
            <w:tcW w:w="488" w:type="pct"/>
            <w:shd w:val="clear" w:color="auto" w:fill="auto"/>
            <w:vAlign w:val="center"/>
          </w:tcPr>
          <w:p w14:paraId="2525B67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11.3</w:t>
            </w:r>
          </w:p>
        </w:tc>
        <w:tc>
          <w:tcPr>
            <w:tcW w:w="273" w:type="pct"/>
            <w:shd w:val="clear" w:color="auto" w:fill="auto"/>
            <w:vAlign w:val="center"/>
          </w:tcPr>
          <w:p w14:paraId="1E5B9AB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88</w:t>
            </w:r>
          </w:p>
        </w:tc>
        <w:tc>
          <w:tcPr>
            <w:tcW w:w="528" w:type="pct"/>
            <w:shd w:val="clear" w:color="auto" w:fill="auto"/>
            <w:vAlign w:val="center"/>
          </w:tcPr>
          <w:p w14:paraId="43FE1AE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0.9</w:t>
            </w:r>
          </w:p>
        </w:tc>
        <w:tc>
          <w:tcPr>
            <w:tcW w:w="517" w:type="pct"/>
            <w:shd w:val="clear" w:color="auto" w:fill="auto"/>
            <w:vAlign w:val="center"/>
          </w:tcPr>
          <w:p w14:paraId="6AD19E5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2.1</w:t>
            </w:r>
          </w:p>
        </w:tc>
      </w:tr>
      <w:tr w14:paraId="181995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110D9AE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24</w:t>
            </w:r>
          </w:p>
        </w:tc>
        <w:tc>
          <w:tcPr>
            <w:tcW w:w="236" w:type="pct"/>
            <w:shd w:val="clear" w:color="auto" w:fill="auto"/>
            <w:vAlign w:val="center"/>
          </w:tcPr>
          <w:p w14:paraId="31A9E8B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13</w:t>
            </w:r>
          </w:p>
        </w:tc>
        <w:tc>
          <w:tcPr>
            <w:tcW w:w="333" w:type="pct"/>
            <w:shd w:val="clear" w:color="auto" w:fill="auto"/>
            <w:vAlign w:val="center"/>
          </w:tcPr>
          <w:p w14:paraId="25F457C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8.2</w:t>
            </w:r>
          </w:p>
        </w:tc>
        <w:tc>
          <w:tcPr>
            <w:tcW w:w="333" w:type="pct"/>
            <w:shd w:val="clear" w:color="auto" w:fill="auto"/>
            <w:vAlign w:val="center"/>
          </w:tcPr>
          <w:p w14:paraId="02EC581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83.6</w:t>
            </w:r>
          </w:p>
        </w:tc>
        <w:tc>
          <w:tcPr>
            <w:tcW w:w="271" w:type="pct"/>
            <w:shd w:val="clear" w:color="auto" w:fill="auto"/>
            <w:vAlign w:val="center"/>
          </w:tcPr>
          <w:p w14:paraId="4640DF9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65.8</w:t>
            </w:r>
          </w:p>
        </w:tc>
        <w:tc>
          <w:tcPr>
            <w:tcW w:w="395" w:type="pct"/>
            <w:shd w:val="clear" w:color="auto" w:fill="auto"/>
            <w:vAlign w:val="center"/>
          </w:tcPr>
          <w:p w14:paraId="06A1342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0.23</w:t>
            </w:r>
          </w:p>
        </w:tc>
        <w:tc>
          <w:tcPr>
            <w:tcW w:w="381" w:type="pct"/>
            <w:shd w:val="clear" w:color="auto" w:fill="auto"/>
            <w:vAlign w:val="center"/>
          </w:tcPr>
          <w:p w14:paraId="5360950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59</w:t>
            </w:r>
          </w:p>
        </w:tc>
        <w:tc>
          <w:tcPr>
            <w:tcW w:w="358" w:type="pct"/>
            <w:shd w:val="clear" w:color="auto" w:fill="auto"/>
            <w:vAlign w:val="center"/>
          </w:tcPr>
          <w:p w14:paraId="4F7460D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22.5</w:t>
            </w:r>
          </w:p>
        </w:tc>
        <w:tc>
          <w:tcPr>
            <w:tcW w:w="387" w:type="pct"/>
            <w:shd w:val="clear" w:color="auto" w:fill="auto"/>
            <w:vAlign w:val="center"/>
          </w:tcPr>
          <w:p w14:paraId="2C89AA3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0.47</w:t>
            </w:r>
          </w:p>
        </w:tc>
        <w:tc>
          <w:tcPr>
            <w:tcW w:w="488" w:type="pct"/>
            <w:shd w:val="clear" w:color="auto" w:fill="auto"/>
            <w:vAlign w:val="center"/>
          </w:tcPr>
          <w:p w14:paraId="3E73FD9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10.8</w:t>
            </w:r>
          </w:p>
        </w:tc>
        <w:tc>
          <w:tcPr>
            <w:tcW w:w="273" w:type="pct"/>
            <w:shd w:val="clear" w:color="auto" w:fill="auto"/>
            <w:vAlign w:val="center"/>
          </w:tcPr>
          <w:p w14:paraId="197FBF1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82</w:t>
            </w:r>
          </w:p>
        </w:tc>
        <w:tc>
          <w:tcPr>
            <w:tcW w:w="528" w:type="pct"/>
            <w:shd w:val="clear" w:color="auto" w:fill="auto"/>
            <w:vAlign w:val="center"/>
          </w:tcPr>
          <w:p w14:paraId="0730954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0.8</w:t>
            </w:r>
          </w:p>
        </w:tc>
        <w:tc>
          <w:tcPr>
            <w:tcW w:w="517" w:type="pct"/>
            <w:shd w:val="clear" w:color="auto" w:fill="auto"/>
            <w:vAlign w:val="center"/>
          </w:tcPr>
          <w:p w14:paraId="5672CB9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1.9</w:t>
            </w:r>
          </w:p>
        </w:tc>
      </w:tr>
      <w:tr w14:paraId="5AF293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62C2CA3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25</w:t>
            </w:r>
          </w:p>
        </w:tc>
        <w:tc>
          <w:tcPr>
            <w:tcW w:w="236" w:type="pct"/>
            <w:shd w:val="clear" w:color="auto" w:fill="auto"/>
            <w:vAlign w:val="center"/>
          </w:tcPr>
          <w:p w14:paraId="1EB2F35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15</w:t>
            </w:r>
          </w:p>
        </w:tc>
        <w:tc>
          <w:tcPr>
            <w:tcW w:w="333" w:type="pct"/>
            <w:shd w:val="clear" w:color="auto" w:fill="auto"/>
            <w:vAlign w:val="center"/>
          </w:tcPr>
          <w:p w14:paraId="4FB6E28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8.9</w:t>
            </w:r>
          </w:p>
        </w:tc>
        <w:tc>
          <w:tcPr>
            <w:tcW w:w="333" w:type="pct"/>
            <w:shd w:val="clear" w:color="auto" w:fill="auto"/>
            <w:vAlign w:val="center"/>
          </w:tcPr>
          <w:p w14:paraId="684CE7E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83.1</w:t>
            </w:r>
          </w:p>
        </w:tc>
        <w:tc>
          <w:tcPr>
            <w:tcW w:w="271" w:type="pct"/>
            <w:shd w:val="clear" w:color="auto" w:fill="auto"/>
            <w:vAlign w:val="center"/>
          </w:tcPr>
          <w:p w14:paraId="11E517B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69.2</w:t>
            </w:r>
          </w:p>
        </w:tc>
        <w:tc>
          <w:tcPr>
            <w:tcW w:w="395" w:type="pct"/>
            <w:shd w:val="clear" w:color="auto" w:fill="auto"/>
            <w:vAlign w:val="center"/>
          </w:tcPr>
          <w:p w14:paraId="5F4FCEB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0.26</w:t>
            </w:r>
          </w:p>
        </w:tc>
        <w:tc>
          <w:tcPr>
            <w:tcW w:w="381" w:type="pct"/>
            <w:shd w:val="clear" w:color="auto" w:fill="auto"/>
            <w:vAlign w:val="center"/>
          </w:tcPr>
          <w:p w14:paraId="3E62E99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70</w:t>
            </w:r>
          </w:p>
        </w:tc>
        <w:tc>
          <w:tcPr>
            <w:tcW w:w="358" w:type="pct"/>
            <w:shd w:val="clear" w:color="auto" w:fill="auto"/>
            <w:vAlign w:val="center"/>
          </w:tcPr>
          <w:p w14:paraId="1453B9B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23.8</w:t>
            </w:r>
          </w:p>
        </w:tc>
        <w:tc>
          <w:tcPr>
            <w:tcW w:w="387" w:type="pct"/>
            <w:shd w:val="clear" w:color="auto" w:fill="auto"/>
            <w:vAlign w:val="center"/>
          </w:tcPr>
          <w:p w14:paraId="4F32D36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0.52</w:t>
            </w:r>
          </w:p>
        </w:tc>
        <w:tc>
          <w:tcPr>
            <w:tcW w:w="488" w:type="pct"/>
            <w:shd w:val="clear" w:color="auto" w:fill="auto"/>
            <w:vAlign w:val="center"/>
          </w:tcPr>
          <w:p w14:paraId="3FB6866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12.6</w:t>
            </w:r>
          </w:p>
        </w:tc>
        <w:tc>
          <w:tcPr>
            <w:tcW w:w="273" w:type="pct"/>
            <w:shd w:val="clear" w:color="auto" w:fill="auto"/>
            <w:vAlign w:val="center"/>
          </w:tcPr>
          <w:p w14:paraId="6215D56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92</w:t>
            </w:r>
          </w:p>
        </w:tc>
        <w:tc>
          <w:tcPr>
            <w:tcW w:w="528" w:type="pct"/>
            <w:shd w:val="clear" w:color="auto" w:fill="auto"/>
            <w:vAlign w:val="center"/>
          </w:tcPr>
          <w:p w14:paraId="2F52514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0.9</w:t>
            </w:r>
          </w:p>
        </w:tc>
        <w:tc>
          <w:tcPr>
            <w:tcW w:w="517" w:type="pct"/>
            <w:shd w:val="clear" w:color="auto" w:fill="auto"/>
            <w:vAlign w:val="center"/>
          </w:tcPr>
          <w:p w14:paraId="7184133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2.5</w:t>
            </w:r>
          </w:p>
        </w:tc>
      </w:tr>
      <w:tr w14:paraId="27610B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blCellSpacing w:w="15" w:type="dxa"/>
          <w:jc w:val="center"/>
        </w:trPr>
        <w:tc>
          <w:tcPr>
            <w:tcW w:w="278" w:type="pct"/>
            <w:shd w:val="clear" w:color="auto" w:fill="auto"/>
            <w:vAlign w:val="center"/>
          </w:tcPr>
          <w:p w14:paraId="0F2CCC2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26</w:t>
            </w:r>
          </w:p>
        </w:tc>
        <w:tc>
          <w:tcPr>
            <w:tcW w:w="236" w:type="pct"/>
            <w:shd w:val="clear" w:color="auto" w:fill="auto"/>
            <w:vAlign w:val="center"/>
          </w:tcPr>
          <w:p w14:paraId="4732E9E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12</w:t>
            </w:r>
          </w:p>
        </w:tc>
        <w:tc>
          <w:tcPr>
            <w:tcW w:w="333" w:type="pct"/>
            <w:shd w:val="clear" w:color="auto" w:fill="auto"/>
            <w:vAlign w:val="center"/>
          </w:tcPr>
          <w:p w14:paraId="000063B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7.7</w:t>
            </w:r>
          </w:p>
        </w:tc>
        <w:tc>
          <w:tcPr>
            <w:tcW w:w="333" w:type="pct"/>
            <w:shd w:val="clear" w:color="auto" w:fill="auto"/>
            <w:vAlign w:val="center"/>
          </w:tcPr>
          <w:p w14:paraId="06BE41C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80.9</w:t>
            </w:r>
          </w:p>
        </w:tc>
        <w:tc>
          <w:tcPr>
            <w:tcW w:w="271" w:type="pct"/>
            <w:shd w:val="clear" w:color="auto" w:fill="auto"/>
            <w:vAlign w:val="center"/>
          </w:tcPr>
          <w:p w14:paraId="66C3709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62.9</w:t>
            </w:r>
          </w:p>
        </w:tc>
        <w:tc>
          <w:tcPr>
            <w:tcW w:w="395" w:type="pct"/>
            <w:shd w:val="clear" w:color="auto" w:fill="auto"/>
            <w:vAlign w:val="center"/>
          </w:tcPr>
          <w:p w14:paraId="7BFACF6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0.17</w:t>
            </w:r>
          </w:p>
        </w:tc>
        <w:tc>
          <w:tcPr>
            <w:tcW w:w="381" w:type="pct"/>
            <w:shd w:val="clear" w:color="auto" w:fill="auto"/>
            <w:vAlign w:val="center"/>
          </w:tcPr>
          <w:p w14:paraId="546ED5F8">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39</w:t>
            </w:r>
          </w:p>
        </w:tc>
        <w:tc>
          <w:tcPr>
            <w:tcW w:w="358" w:type="pct"/>
            <w:shd w:val="clear" w:color="auto" w:fill="auto"/>
            <w:vAlign w:val="center"/>
          </w:tcPr>
          <w:p w14:paraId="5CDE0B35">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24.5</w:t>
            </w:r>
          </w:p>
        </w:tc>
        <w:tc>
          <w:tcPr>
            <w:tcW w:w="387" w:type="pct"/>
            <w:shd w:val="clear" w:color="auto" w:fill="auto"/>
            <w:vAlign w:val="center"/>
          </w:tcPr>
          <w:p w14:paraId="6F0261D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0.55</w:t>
            </w:r>
          </w:p>
        </w:tc>
        <w:tc>
          <w:tcPr>
            <w:tcW w:w="488" w:type="pct"/>
            <w:shd w:val="clear" w:color="auto" w:fill="auto"/>
            <w:vAlign w:val="center"/>
          </w:tcPr>
          <w:p w14:paraId="76988BF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13.4</w:t>
            </w:r>
          </w:p>
        </w:tc>
        <w:tc>
          <w:tcPr>
            <w:tcW w:w="273" w:type="pct"/>
            <w:shd w:val="clear" w:color="auto" w:fill="auto"/>
            <w:vAlign w:val="center"/>
          </w:tcPr>
          <w:p w14:paraId="2447EF2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95</w:t>
            </w:r>
          </w:p>
        </w:tc>
        <w:tc>
          <w:tcPr>
            <w:tcW w:w="528" w:type="pct"/>
            <w:shd w:val="clear" w:color="auto" w:fill="auto"/>
            <w:vAlign w:val="center"/>
          </w:tcPr>
          <w:p w14:paraId="73654B9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0.7</w:t>
            </w:r>
          </w:p>
        </w:tc>
        <w:tc>
          <w:tcPr>
            <w:tcW w:w="517" w:type="pct"/>
            <w:shd w:val="clear" w:color="auto" w:fill="auto"/>
            <w:vAlign w:val="center"/>
          </w:tcPr>
          <w:p w14:paraId="579A400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3.2</w:t>
            </w:r>
          </w:p>
        </w:tc>
      </w:tr>
      <w:tr w14:paraId="3C0C63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314C0D4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27</w:t>
            </w:r>
          </w:p>
        </w:tc>
        <w:tc>
          <w:tcPr>
            <w:tcW w:w="236" w:type="pct"/>
            <w:shd w:val="clear" w:color="auto" w:fill="auto"/>
            <w:vAlign w:val="center"/>
          </w:tcPr>
          <w:p w14:paraId="0521C39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14</w:t>
            </w:r>
          </w:p>
        </w:tc>
        <w:tc>
          <w:tcPr>
            <w:tcW w:w="333" w:type="pct"/>
            <w:shd w:val="clear" w:color="auto" w:fill="auto"/>
            <w:vAlign w:val="center"/>
          </w:tcPr>
          <w:p w14:paraId="124E137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8.5</w:t>
            </w:r>
          </w:p>
        </w:tc>
        <w:tc>
          <w:tcPr>
            <w:tcW w:w="333" w:type="pct"/>
            <w:shd w:val="clear" w:color="auto" w:fill="auto"/>
            <w:vAlign w:val="center"/>
          </w:tcPr>
          <w:p w14:paraId="514C731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84.2</w:t>
            </w:r>
          </w:p>
        </w:tc>
        <w:tc>
          <w:tcPr>
            <w:tcW w:w="271" w:type="pct"/>
            <w:shd w:val="clear" w:color="auto" w:fill="auto"/>
            <w:vAlign w:val="center"/>
          </w:tcPr>
          <w:p w14:paraId="5B8C33D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67.1</w:t>
            </w:r>
          </w:p>
        </w:tc>
        <w:tc>
          <w:tcPr>
            <w:tcW w:w="395" w:type="pct"/>
            <w:shd w:val="clear" w:color="auto" w:fill="auto"/>
            <w:vAlign w:val="center"/>
          </w:tcPr>
          <w:p w14:paraId="189A69D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0.24</w:t>
            </w:r>
          </w:p>
        </w:tc>
        <w:tc>
          <w:tcPr>
            <w:tcW w:w="381" w:type="pct"/>
            <w:shd w:val="clear" w:color="auto" w:fill="auto"/>
            <w:vAlign w:val="center"/>
          </w:tcPr>
          <w:p w14:paraId="55116A7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68</w:t>
            </w:r>
          </w:p>
        </w:tc>
        <w:tc>
          <w:tcPr>
            <w:tcW w:w="358" w:type="pct"/>
            <w:shd w:val="clear" w:color="auto" w:fill="auto"/>
            <w:vAlign w:val="center"/>
          </w:tcPr>
          <w:p w14:paraId="1DDDF53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20.1</w:t>
            </w:r>
          </w:p>
        </w:tc>
        <w:tc>
          <w:tcPr>
            <w:tcW w:w="387" w:type="pct"/>
            <w:shd w:val="clear" w:color="auto" w:fill="auto"/>
            <w:vAlign w:val="center"/>
          </w:tcPr>
          <w:p w14:paraId="6E1243D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0.58</w:t>
            </w:r>
          </w:p>
        </w:tc>
        <w:tc>
          <w:tcPr>
            <w:tcW w:w="488" w:type="pct"/>
            <w:shd w:val="clear" w:color="auto" w:fill="auto"/>
            <w:vAlign w:val="center"/>
          </w:tcPr>
          <w:p w14:paraId="60393DE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14.1</w:t>
            </w:r>
          </w:p>
        </w:tc>
        <w:tc>
          <w:tcPr>
            <w:tcW w:w="273" w:type="pct"/>
            <w:shd w:val="clear" w:color="auto" w:fill="auto"/>
            <w:vAlign w:val="center"/>
          </w:tcPr>
          <w:p w14:paraId="3CE657B4">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98</w:t>
            </w:r>
          </w:p>
        </w:tc>
        <w:tc>
          <w:tcPr>
            <w:tcW w:w="528" w:type="pct"/>
            <w:shd w:val="clear" w:color="auto" w:fill="auto"/>
            <w:vAlign w:val="center"/>
          </w:tcPr>
          <w:p w14:paraId="2154F2F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0.8</w:t>
            </w:r>
          </w:p>
        </w:tc>
        <w:tc>
          <w:tcPr>
            <w:tcW w:w="517" w:type="pct"/>
            <w:shd w:val="clear" w:color="auto" w:fill="auto"/>
            <w:vAlign w:val="center"/>
          </w:tcPr>
          <w:p w14:paraId="68DFBA5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3.8</w:t>
            </w:r>
          </w:p>
        </w:tc>
      </w:tr>
      <w:tr w14:paraId="47161C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3ED4E90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28</w:t>
            </w:r>
          </w:p>
        </w:tc>
        <w:tc>
          <w:tcPr>
            <w:tcW w:w="236" w:type="pct"/>
            <w:shd w:val="clear" w:color="auto" w:fill="auto"/>
            <w:vAlign w:val="center"/>
          </w:tcPr>
          <w:p w14:paraId="6DB213C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11</w:t>
            </w:r>
          </w:p>
        </w:tc>
        <w:tc>
          <w:tcPr>
            <w:tcW w:w="333" w:type="pct"/>
            <w:shd w:val="clear" w:color="auto" w:fill="auto"/>
            <w:vAlign w:val="center"/>
          </w:tcPr>
          <w:p w14:paraId="1B6F35D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7.9</w:t>
            </w:r>
          </w:p>
        </w:tc>
        <w:tc>
          <w:tcPr>
            <w:tcW w:w="333" w:type="pct"/>
            <w:shd w:val="clear" w:color="auto" w:fill="auto"/>
            <w:vAlign w:val="center"/>
          </w:tcPr>
          <w:p w14:paraId="395749C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81.6</w:t>
            </w:r>
          </w:p>
        </w:tc>
        <w:tc>
          <w:tcPr>
            <w:tcW w:w="271" w:type="pct"/>
            <w:shd w:val="clear" w:color="auto" w:fill="auto"/>
            <w:vAlign w:val="center"/>
          </w:tcPr>
          <w:p w14:paraId="0C37D83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63.9</w:t>
            </w:r>
          </w:p>
        </w:tc>
        <w:tc>
          <w:tcPr>
            <w:tcW w:w="395" w:type="pct"/>
            <w:shd w:val="clear" w:color="auto" w:fill="auto"/>
            <w:vAlign w:val="center"/>
          </w:tcPr>
          <w:p w14:paraId="139091B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0.19</w:t>
            </w:r>
          </w:p>
        </w:tc>
        <w:tc>
          <w:tcPr>
            <w:tcW w:w="381" w:type="pct"/>
            <w:shd w:val="clear" w:color="auto" w:fill="auto"/>
            <w:vAlign w:val="center"/>
          </w:tcPr>
          <w:p w14:paraId="7D40108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46</w:t>
            </w:r>
          </w:p>
        </w:tc>
        <w:tc>
          <w:tcPr>
            <w:tcW w:w="358" w:type="pct"/>
            <w:shd w:val="clear" w:color="auto" w:fill="auto"/>
            <w:vAlign w:val="center"/>
          </w:tcPr>
          <w:p w14:paraId="2EE115F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18.7</w:t>
            </w:r>
          </w:p>
        </w:tc>
        <w:tc>
          <w:tcPr>
            <w:tcW w:w="387" w:type="pct"/>
            <w:shd w:val="clear" w:color="auto" w:fill="auto"/>
            <w:vAlign w:val="center"/>
          </w:tcPr>
          <w:p w14:paraId="7D28C5B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0.60</w:t>
            </w:r>
          </w:p>
        </w:tc>
        <w:tc>
          <w:tcPr>
            <w:tcW w:w="488" w:type="pct"/>
            <w:shd w:val="clear" w:color="auto" w:fill="auto"/>
            <w:vAlign w:val="center"/>
          </w:tcPr>
          <w:p w14:paraId="4BAD519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11.9</w:t>
            </w:r>
          </w:p>
        </w:tc>
        <w:tc>
          <w:tcPr>
            <w:tcW w:w="273" w:type="pct"/>
            <w:shd w:val="clear" w:color="auto" w:fill="auto"/>
            <w:vAlign w:val="center"/>
          </w:tcPr>
          <w:p w14:paraId="5F7DC69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86</w:t>
            </w:r>
          </w:p>
        </w:tc>
        <w:tc>
          <w:tcPr>
            <w:tcW w:w="528" w:type="pct"/>
            <w:shd w:val="clear" w:color="auto" w:fill="auto"/>
            <w:vAlign w:val="center"/>
          </w:tcPr>
          <w:p w14:paraId="2B9B7D9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0.5</w:t>
            </w:r>
          </w:p>
        </w:tc>
        <w:tc>
          <w:tcPr>
            <w:tcW w:w="517" w:type="pct"/>
            <w:shd w:val="clear" w:color="auto" w:fill="auto"/>
            <w:vAlign w:val="center"/>
          </w:tcPr>
          <w:p w14:paraId="62ED54E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2.8</w:t>
            </w:r>
          </w:p>
        </w:tc>
      </w:tr>
      <w:tr w14:paraId="4659D1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0DBD8F2C">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29</w:t>
            </w:r>
          </w:p>
        </w:tc>
        <w:tc>
          <w:tcPr>
            <w:tcW w:w="236" w:type="pct"/>
            <w:shd w:val="clear" w:color="auto" w:fill="auto"/>
            <w:vAlign w:val="center"/>
          </w:tcPr>
          <w:p w14:paraId="65A1CF7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15</w:t>
            </w:r>
          </w:p>
        </w:tc>
        <w:tc>
          <w:tcPr>
            <w:tcW w:w="333" w:type="pct"/>
            <w:shd w:val="clear" w:color="auto" w:fill="auto"/>
            <w:vAlign w:val="center"/>
          </w:tcPr>
          <w:p w14:paraId="2FABEC30">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8.7</w:t>
            </w:r>
          </w:p>
        </w:tc>
        <w:tc>
          <w:tcPr>
            <w:tcW w:w="333" w:type="pct"/>
            <w:shd w:val="clear" w:color="auto" w:fill="auto"/>
            <w:vAlign w:val="center"/>
          </w:tcPr>
          <w:p w14:paraId="13A4AF0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83.7</w:t>
            </w:r>
          </w:p>
        </w:tc>
        <w:tc>
          <w:tcPr>
            <w:tcW w:w="271" w:type="pct"/>
            <w:shd w:val="clear" w:color="auto" w:fill="auto"/>
            <w:vAlign w:val="center"/>
          </w:tcPr>
          <w:p w14:paraId="217A42F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68.3</w:t>
            </w:r>
          </w:p>
        </w:tc>
        <w:tc>
          <w:tcPr>
            <w:tcW w:w="395" w:type="pct"/>
            <w:shd w:val="clear" w:color="auto" w:fill="auto"/>
            <w:vAlign w:val="center"/>
          </w:tcPr>
          <w:p w14:paraId="32143CA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0.25</w:t>
            </w:r>
          </w:p>
        </w:tc>
        <w:tc>
          <w:tcPr>
            <w:tcW w:w="381" w:type="pct"/>
            <w:shd w:val="clear" w:color="auto" w:fill="auto"/>
            <w:vAlign w:val="center"/>
          </w:tcPr>
          <w:p w14:paraId="12EF169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75</w:t>
            </w:r>
          </w:p>
        </w:tc>
        <w:tc>
          <w:tcPr>
            <w:tcW w:w="358" w:type="pct"/>
            <w:shd w:val="clear" w:color="auto" w:fill="auto"/>
            <w:vAlign w:val="center"/>
          </w:tcPr>
          <w:p w14:paraId="6C652627">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15.6</w:t>
            </w:r>
          </w:p>
        </w:tc>
        <w:tc>
          <w:tcPr>
            <w:tcW w:w="387" w:type="pct"/>
            <w:shd w:val="clear" w:color="auto" w:fill="auto"/>
            <w:vAlign w:val="center"/>
          </w:tcPr>
          <w:p w14:paraId="2DE89DE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0.62</w:t>
            </w:r>
          </w:p>
        </w:tc>
        <w:tc>
          <w:tcPr>
            <w:tcW w:w="488" w:type="pct"/>
            <w:shd w:val="clear" w:color="auto" w:fill="auto"/>
            <w:vAlign w:val="center"/>
          </w:tcPr>
          <w:p w14:paraId="52E71CA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14.8</w:t>
            </w:r>
          </w:p>
        </w:tc>
        <w:tc>
          <w:tcPr>
            <w:tcW w:w="273" w:type="pct"/>
            <w:shd w:val="clear" w:color="auto" w:fill="auto"/>
            <w:vAlign w:val="center"/>
          </w:tcPr>
          <w:p w14:paraId="3FC2356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90</w:t>
            </w:r>
          </w:p>
        </w:tc>
        <w:tc>
          <w:tcPr>
            <w:tcW w:w="528" w:type="pct"/>
            <w:shd w:val="clear" w:color="auto" w:fill="auto"/>
            <w:vAlign w:val="center"/>
          </w:tcPr>
          <w:p w14:paraId="79E8552D">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0.9</w:t>
            </w:r>
          </w:p>
        </w:tc>
        <w:tc>
          <w:tcPr>
            <w:tcW w:w="517" w:type="pct"/>
            <w:shd w:val="clear" w:color="auto" w:fill="auto"/>
            <w:vAlign w:val="center"/>
          </w:tcPr>
          <w:p w14:paraId="6CA65EC8">
            <w:pPr>
              <w:keepNext w:val="0"/>
              <w:keepLines w:val="0"/>
              <w:widowControl/>
              <w:suppressLineNumbers w:val="0"/>
              <w:spacing w:before="0" w:beforeAutospacing="0" w:after="0" w:afterAutospacing="0" w:line="206" w:lineRule="atLeast"/>
              <w:ind w:left="0" w:right="0"/>
              <w:jc w:val="center"/>
              <w:rPr>
                <w:rFonts w:hint="default" w:ascii="宋体" w:hAnsi="宋体" w:eastAsia="宋体" w:cs="宋体"/>
                <w:color w:val="000000"/>
                <w:sz w:val="21"/>
                <w:szCs w:val="21"/>
                <w:lang w:val="en-US"/>
              </w:rPr>
            </w:pPr>
            <w:r>
              <w:rPr>
                <w:rFonts w:hint="eastAsia" w:ascii="宋体" w:hAnsi="宋体" w:eastAsia="宋体" w:cs="宋体"/>
                <w:color w:val="000000"/>
                <w:kern w:val="0"/>
                <w:sz w:val="21"/>
                <w:szCs w:val="21"/>
                <w:lang w:val="en-US" w:eastAsia="zh-CN" w:bidi="ar"/>
              </w:rPr>
              <w:t>1.6</w:t>
            </w:r>
          </w:p>
        </w:tc>
      </w:tr>
      <w:tr w14:paraId="0030A8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jc w:val="center"/>
        </w:trPr>
        <w:tc>
          <w:tcPr>
            <w:tcW w:w="278" w:type="pct"/>
            <w:shd w:val="clear" w:color="auto" w:fill="auto"/>
            <w:vAlign w:val="center"/>
          </w:tcPr>
          <w:p w14:paraId="1A23F6C6">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30</w:t>
            </w:r>
          </w:p>
        </w:tc>
        <w:tc>
          <w:tcPr>
            <w:tcW w:w="236" w:type="pct"/>
            <w:shd w:val="clear" w:color="auto" w:fill="auto"/>
            <w:vAlign w:val="center"/>
          </w:tcPr>
          <w:p w14:paraId="49346972">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13</w:t>
            </w:r>
          </w:p>
        </w:tc>
        <w:tc>
          <w:tcPr>
            <w:tcW w:w="333" w:type="pct"/>
            <w:shd w:val="clear" w:color="auto" w:fill="auto"/>
            <w:vAlign w:val="center"/>
          </w:tcPr>
          <w:p w14:paraId="1DBE982F">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8.3</w:t>
            </w:r>
          </w:p>
        </w:tc>
        <w:tc>
          <w:tcPr>
            <w:tcW w:w="333" w:type="pct"/>
            <w:shd w:val="clear" w:color="auto" w:fill="auto"/>
            <w:vAlign w:val="center"/>
          </w:tcPr>
          <w:p w14:paraId="2F1D7771">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82.8</w:t>
            </w:r>
          </w:p>
        </w:tc>
        <w:tc>
          <w:tcPr>
            <w:tcW w:w="271" w:type="pct"/>
            <w:shd w:val="clear" w:color="auto" w:fill="auto"/>
            <w:vAlign w:val="center"/>
          </w:tcPr>
          <w:p w14:paraId="05BD878B">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65.5</w:t>
            </w:r>
          </w:p>
        </w:tc>
        <w:tc>
          <w:tcPr>
            <w:tcW w:w="395" w:type="pct"/>
            <w:shd w:val="clear" w:color="auto" w:fill="auto"/>
            <w:vAlign w:val="center"/>
          </w:tcPr>
          <w:p w14:paraId="2FCC182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0.22</w:t>
            </w:r>
          </w:p>
        </w:tc>
        <w:tc>
          <w:tcPr>
            <w:tcW w:w="381" w:type="pct"/>
            <w:shd w:val="clear" w:color="auto" w:fill="auto"/>
            <w:vAlign w:val="center"/>
          </w:tcPr>
          <w:p w14:paraId="3475531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78</w:t>
            </w:r>
          </w:p>
        </w:tc>
        <w:tc>
          <w:tcPr>
            <w:tcW w:w="358" w:type="pct"/>
            <w:shd w:val="clear" w:color="auto" w:fill="auto"/>
            <w:vAlign w:val="center"/>
          </w:tcPr>
          <w:p w14:paraId="72CDA1B3">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12.3</w:t>
            </w:r>
          </w:p>
        </w:tc>
        <w:tc>
          <w:tcPr>
            <w:tcW w:w="387" w:type="pct"/>
            <w:shd w:val="clear" w:color="auto" w:fill="auto"/>
            <w:vAlign w:val="center"/>
          </w:tcPr>
          <w:p w14:paraId="461D3DA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0.64</w:t>
            </w:r>
          </w:p>
        </w:tc>
        <w:tc>
          <w:tcPr>
            <w:tcW w:w="488" w:type="pct"/>
            <w:shd w:val="clear" w:color="auto" w:fill="auto"/>
            <w:vAlign w:val="center"/>
          </w:tcPr>
          <w:p w14:paraId="1369134E">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13.7</w:t>
            </w:r>
          </w:p>
        </w:tc>
        <w:tc>
          <w:tcPr>
            <w:tcW w:w="273" w:type="pct"/>
            <w:shd w:val="clear" w:color="auto" w:fill="auto"/>
            <w:vAlign w:val="center"/>
          </w:tcPr>
          <w:p w14:paraId="35A2C4AA">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83</w:t>
            </w:r>
          </w:p>
        </w:tc>
        <w:tc>
          <w:tcPr>
            <w:tcW w:w="528" w:type="pct"/>
            <w:shd w:val="clear" w:color="auto" w:fill="auto"/>
            <w:vAlign w:val="center"/>
          </w:tcPr>
          <w:p w14:paraId="427C06F9">
            <w:pPr>
              <w:keepNext w:val="0"/>
              <w:keepLines w:val="0"/>
              <w:widowControl/>
              <w:suppressLineNumbers w:val="0"/>
              <w:spacing w:before="0" w:beforeAutospacing="0" w:after="0" w:afterAutospacing="0" w:line="206" w:lineRule="atLeast"/>
              <w:ind w:left="0" w:right="0"/>
              <w:jc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val="en-US" w:eastAsia="zh-CN" w:bidi="ar"/>
              </w:rPr>
              <w:t>0.7</w:t>
            </w:r>
          </w:p>
        </w:tc>
        <w:tc>
          <w:tcPr>
            <w:tcW w:w="517" w:type="pct"/>
            <w:shd w:val="clear" w:color="auto" w:fill="auto"/>
            <w:vAlign w:val="center"/>
          </w:tcPr>
          <w:p w14:paraId="781B4761">
            <w:pPr>
              <w:keepNext w:val="0"/>
              <w:keepLines w:val="0"/>
              <w:widowControl/>
              <w:suppressLineNumbers w:val="0"/>
              <w:spacing w:before="0" w:beforeAutospacing="0" w:after="0" w:afterAutospacing="0" w:line="206" w:lineRule="atLeast"/>
              <w:ind w:left="0" w:right="0"/>
              <w:jc w:val="center"/>
              <w:rPr>
                <w:rFonts w:hint="default" w:ascii="宋体" w:hAnsi="宋体" w:eastAsia="宋体" w:cs="宋体"/>
                <w:color w:val="000000"/>
                <w:sz w:val="21"/>
                <w:szCs w:val="21"/>
                <w:lang w:val="en-US"/>
              </w:rPr>
            </w:pPr>
            <w:r>
              <w:rPr>
                <w:rFonts w:hint="eastAsia" w:ascii="宋体" w:hAnsi="宋体" w:eastAsia="宋体" w:cs="宋体"/>
                <w:color w:val="000000"/>
                <w:kern w:val="0"/>
                <w:sz w:val="21"/>
                <w:szCs w:val="21"/>
                <w:lang w:val="en-US" w:eastAsia="zh-CN" w:bidi="ar"/>
              </w:rPr>
              <w:t>0.9</w:t>
            </w:r>
          </w:p>
        </w:tc>
      </w:tr>
    </w:tbl>
    <w:p w14:paraId="38FFD985">
      <w:pPr>
        <w:spacing w:line="560" w:lineRule="exact"/>
        <w:ind w:firstLine="640" w:firstLineChars="200"/>
        <w:outlineLvl w:val="1"/>
        <w:rPr>
          <w:rFonts w:hint="eastAsia"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直链淀粉比例直接影响产品的凝胶性、消化特性（如升糖指数）和加工适应性。</w:t>
      </w:r>
      <w:r>
        <w:rPr>
          <w:rFonts w:hint="eastAsia" w:eastAsia="仿宋_GB2312" w:cstheme="minorBidi"/>
          <w:color w:val="auto"/>
          <w:kern w:val="2"/>
          <w:sz w:val="32"/>
          <w:szCs w:val="32"/>
          <w:lang w:val="en-US" w:eastAsia="zh-CN" w:bidi="ar-SA"/>
        </w:rPr>
        <w:t>根据“桄榔淀粉理化性质的研究”</w:t>
      </w:r>
      <w:r>
        <w:rPr>
          <w:rFonts w:hint="eastAsia" w:ascii="Times New Roman" w:hAnsi="Times New Roman" w:eastAsia="仿宋_GB2312" w:cstheme="minorBidi"/>
          <w:color w:val="auto"/>
          <w:kern w:val="2"/>
          <w:sz w:val="32"/>
          <w:szCs w:val="32"/>
          <w:lang w:val="en-US" w:eastAsia="zh-CN" w:bidi="ar-SA"/>
        </w:rPr>
        <w:t>制定该指标可保证产品具有稳定的工艺性能与功能特性。研究显示，桄榔淀粉中直链淀粉占总淀粉含量的 62.21%，属于高直链淀粉，这使其在凝胶强度、慢消化特性方面优于普通桄榔粉（普通桄榔粉直链淀粉含量通常较低）</w:t>
      </w:r>
      <w:r>
        <w:rPr>
          <w:rFonts w:hint="eastAsia" w:eastAsia="仿宋_GB2312" w:cstheme="minorBidi"/>
          <w:color w:val="auto"/>
          <w:kern w:val="2"/>
          <w:sz w:val="32"/>
          <w:szCs w:val="32"/>
          <w:lang w:val="en-US" w:eastAsia="zh-CN" w:bidi="ar-SA"/>
        </w:rPr>
        <w:t>。</w:t>
      </w:r>
    </w:p>
    <w:p w14:paraId="04AAEEE4">
      <w:pPr>
        <w:spacing w:line="560" w:lineRule="exact"/>
        <w:ind w:firstLine="640" w:firstLineChars="200"/>
        <w:outlineLvl w:val="1"/>
        <w:rPr>
          <w:rFonts w:hint="eastAsia" w:eastAsia="仿宋_GB2312" w:cstheme="minorBidi"/>
          <w:color w:val="auto"/>
          <w:kern w:val="2"/>
          <w:sz w:val="32"/>
          <w:szCs w:val="32"/>
          <w:lang w:val="en-US" w:eastAsia="zh-CN" w:bidi="ar-SA"/>
        </w:rPr>
      </w:pPr>
      <w:r>
        <w:rPr>
          <w:rFonts w:hint="eastAsia" w:eastAsia="仿宋_GB2312" w:cstheme="minorBidi"/>
          <w:color w:val="auto"/>
          <w:kern w:val="2"/>
          <w:sz w:val="32"/>
          <w:szCs w:val="32"/>
          <w:lang w:val="en-US" w:eastAsia="zh-CN" w:bidi="ar-SA"/>
        </w:rPr>
        <w:t>淀粉是桄榔粉的主要组成，其含量直接影响产品的纯度、能量价值及加工品质。制定总淀粉指标可防止掺假（如掺入低价淀粉）。红桄榔粉的淀粉含量约为大于78%以上，与普通桄榔粉相当，但因原料来源（野生桄榔树）和工艺（传统晾晒）不同，其淀粉颗粒形态、糊化温度等理化性质可能更具特色。</w:t>
      </w:r>
    </w:p>
    <w:p w14:paraId="43C3FCF5">
      <w:pPr>
        <w:spacing w:line="560" w:lineRule="exact"/>
        <w:ind w:firstLine="640" w:firstLineChars="200"/>
        <w:outlineLvl w:val="1"/>
        <w:rPr>
          <w:rFonts w:hint="eastAsia" w:eastAsia="仿宋_GB2312" w:cstheme="minorBidi"/>
          <w:color w:val="auto"/>
          <w:kern w:val="2"/>
          <w:sz w:val="32"/>
          <w:szCs w:val="32"/>
          <w:lang w:val="en-US" w:eastAsia="zh-CN" w:bidi="ar-SA"/>
        </w:rPr>
      </w:pPr>
      <w:r>
        <w:rPr>
          <w:rFonts w:hint="eastAsia" w:eastAsia="仿宋_GB2312" w:cstheme="minorBidi"/>
          <w:color w:val="auto"/>
          <w:kern w:val="2"/>
          <w:sz w:val="32"/>
          <w:szCs w:val="32"/>
          <w:lang w:val="en-US" w:eastAsia="zh-CN" w:bidi="ar-SA"/>
        </w:rPr>
        <w:t>灰分反映产品中无机盐（矿物质）的总量，是评价原料纯度、加工工艺（如是否掺入杂质）的重要指标。红桄榔粉富含多种矿物质，尤其是 Ca、Zn、Fe、Mg、Se 等微量元素，其灰分中这些元素的含量较高，与普通桄榔粉相比更具营养优势。</w:t>
      </w:r>
    </w:p>
    <w:p w14:paraId="7ED06917">
      <w:pPr>
        <w:spacing w:line="560" w:lineRule="exact"/>
        <w:ind w:firstLine="640" w:firstLineChars="200"/>
        <w:outlineLvl w:val="1"/>
        <w:rPr>
          <w:rFonts w:hint="eastAsia" w:eastAsia="仿宋_GB2312" w:cstheme="minorBidi"/>
          <w:color w:val="auto"/>
          <w:kern w:val="2"/>
          <w:sz w:val="32"/>
          <w:szCs w:val="32"/>
          <w:lang w:val="en-US" w:eastAsia="zh-CN" w:bidi="ar-SA"/>
        </w:rPr>
      </w:pPr>
      <w:r>
        <w:rPr>
          <w:rFonts w:hint="eastAsia" w:eastAsia="仿宋_GB2312" w:cstheme="minorBidi"/>
          <w:color w:val="auto"/>
          <w:kern w:val="2"/>
          <w:sz w:val="32"/>
          <w:szCs w:val="32"/>
          <w:lang w:val="en-US" w:eastAsia="zh-CN" w:bidi="ar-SA"/>
        </w:rPr>
        <w:t>黄酮类化合物是多酚的重要组成，具有抗氧化、抗炎等保健功能。制定该指标可量化红桄榔粉的功能成分，突出其健康价值。红桄榔粉含有多酚类物质，其中黄酮是主要活性成分之一。</w:t>
      </w:r>
    </w:p>
    <w:p w14:paraId="50C041C2">
      <w:pPr>
        <w:spacing w:line="560" w:lineRule="exact"/>
        <w:ind w:firstLine="640" w:firstLineChars="200"/>
        <w:outlineLvl w:val="1"/>
        <w:rPr>
          <w:rFonts w:hint="eastAsia" w:eastAsia="仿宋_GB2312" w:cstheme="minorBidi"/>
          <w:color w:val="auto"/>
          <w:kern w:val="2"/>
          <w:sz w:val="32"/>
          <w:szCs w:val="32"/>
          <w:lang w:val="en-US" w:eastAsia="zh-CN" w:bidi="ar-SA"/>
        </w:rPr>
      </w:pPr>
      <w:r>
        <w:rPr>
          <w:rFonts w:hint="eastAsia" w:eastAsia="仿宋_GB2312" w:cstheme="minorBidi"/>
          <w:color w:val="auto"/>
          <w:kern w:val="2"/>
          <w:sz w:val="32"/>
          <w:szCs w:val="32"/>
          <w:lang w:val="en-US" w:eastAsia="zh-CN" w:bidi="ar-SA"/>
        </w:rPr>
        <w:t>酸度（pH或滴定酸度）影响产品的口感、稳定性以及微生物生长风险。制定酸度指标可控制加工过程中的发酵程度，确保产品安全。广西地方标准《即食桄榔粉》中已规定酸度的检测方法（GB 5009.239），红桄榔粉作为即食冲调制品，其酸度指标可帮助保持传统酸香风味，同时防止过度发酵。也根据企业协调一致保持跟地标的一致。</w:t>
      </w:r>
    </w:p>
    <w:p w14:paraId="2DDDF306">
      <w:pPr>
        <w:spacing w:line="560" w:lineRule="exact"/>
        <w:ind w:firstLine="640" w:firstLineChars="200"/>
        <w:outlineLvl w:val="1"/>
        <w:rPr>
          <w:rFonts w:hint="default" w:eastAsia="仿宋_GB2312" w:cstheme="minorBidi"/>
          <w:color w:val="auto"/>
          <w:kern w:val="2"/>
          <w:sz w:val="32"/>
          <w:szCs w:val="32"/>
          <w:lang w:val="en-US" w:eastAsia="zh-CN" w:bidi="ar-SA"/>
        </w:rPr>
      </w:pPr>
      <w:r>
        <w:rPr>
          <w:rFonts w:hint="default" w:eastAsia="仿宋_GB2312" w:cstheme="minorBidi"/>
          <w:color w:val="auto"/>
          <w:kern w:val="2"/>
          <w:sz w:val="32"/>
          <w:szCs w:val="32"/>
          <w:lang w:val="en-US" w:eastAsia="zh-CN" w:bidi="ar-SA"/>
        </w:rPr>
        <w:t>水分过高易导致微生物滋生、产品结块变质。制定水分上限是保障保质期与食品安全的基本要求。研究显示桄榔粉含水量约为 12.35%，团体标准可通过设定更严苛的水分上限（如≤</w:t>
      </w:r>
      <w:r>
        <w:rPr>
          <w:rFonts w:hint="eastAsia" w:eastAsia="仿宋_GB2312" w:cstheme="minorBidi"/>
          <w:color w:val="auto"/>
          <w:kern w:val="2"/>
          <w:sz w:val="32"/>
          <w:szCs w:val="32"/>
          <w:lang w:val="en-US" w:eastAsia="zh-CN" w:bidi="ar-SA"/>
        </w:rPr>
        <w:t>9</w:t>
      </w:r>
      <w:r>
        <w:rPr>
          <w:rFonts w:hint="default" w:eastAsia="仿宋_GB2312" w:cstheme="minorBidi"/>
          <w:color w:val="auto"/>
          <w:kern w:val="2"/>
          <w:sz w:val="32"/>
          <w:szCs w:val="32"/>
          <w:lang w:val="en-US" w:eastAsia="zh-CN" w:bidi="ar-SA"/>
        </w:rPr>
        <w:t>%）来提升红桄榔粉的贮藏稳定性</w:t>
      </w:r>
      <w:r>
        <w:rPr>
          <w:rFonts w:hint="eastAsia" w:eastAsia="仿宋_GB2312" w:cstheme="minorBidi"/>
          <w:color w:val="auto"/>
          <w:kern w:val="2"/>
          <w:sz w:val="32"/>
          <w:szCs w:val="32"/>
          <w:lang w:val="en-US" w:eastAsia="zh-CN" w:bidi="ar-SA"/>
        </w:rPr>
        <w:t>。</w:t>
      </w:r>
    </w:p>
    <w:p w14:paraId="5E582980">
      <w:pPr>
        <w:spacing w:line="560" w:lineRule="exact"/>
        <w:ind w:firstLine="640" w:firstLineChars="200"/>
        <w:outlineLvl w:val="1"/>
        <w:rPr>
          <w:rFonts w:hint="default"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通过对上述数据的分析可知：</w:t>
      </w:r>
    </w:p>
    <w:p w14:paraId="5DEF37A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06" w:lineRule="atLeast"/>
        <w:ind w:left="0" w:right="0"/>
        <w:jc w:val="center"/>
        <w:rPr>
          <w:color w:val="000000"/>
          <w:sz w:val="21"/>
          <w:szCs w:val="21"/>
        </w:rPr>
      </w:pPr>
      <w:r>
        <w:rPr>
          <w:color w:val="000000"/>
          <w:sz w:val="21"/>
          <w:szCs w:val="21"/>
        </w:rPr>
        <w:t>各理化指标设定依据</w:t>
      </w:r>
    </w:p>
    <w:tbl>
      <w:tblPr>
        <w:tblStyle w:val="9"/>
        <w:tblW w:w="9472" w:type="dxa"/>
        <w:tblCellSpacing w:w="1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1754"/>
        <w:gridCol w:w="766"/>
        <w:gridCol w:w="6952"/>
      </w:tblGrid>
      <w:tr w14:paraId="23F09B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trPr>
        <w:tc>
          <w:tcPr>
            <w:tcW w:w="0" w:type="auto"/>
            <w:tcBorders>
              <w:top w:val="single" w:color="auto" w:sz="4" w:space="0"/>
              <w:left w:val="single" w:color="auto" w:sz="0" w:space="0"/>
              <w:bottom w:val="single" w:color="auto" w:sz="4" w:space="0"/>
              <w:right w:val="single" w:color="auto" w:sz="4" w:space="0"/>
            </w:tcBorders>
            <w:shd w:val="clear" w:color="auto" w:fill="auto"/>
            <w:vAlign w:val="center"/>
          </w:tcPr>
          <w:p w14:paraId="6E1AF176">
            <w:pPr>
              <w:keepNext w:val="0"/>
              <w:keepLines w:val="0"/>
              <w:widowControl/>
              <w:suppressLineNumbers w:val="0"/>
              <w:spacing w:before="0" w:beforeAutospacing="0" w:after="0" w:afterAutospacing="0" w:line="206" w:lineRule="atLeast"/>
              <w:ind w:left="0" w:right="0"/>
              <w:jc w:val="center"/>
              <w:rPr>
                <w:b/>
                <w:bCs/>
                <w:color w:val="000000"/>
                <w:sz w:val="21"/>
                <w:szCs w:val="21"/>
              </w:rPr>
            </w:pPr>
            <w:r>
              <w:rPr>
                <w:rFonts w:ascii="宋体" w:hAnsi="宋体" w:eastAsia="宋体" w:cs="宋体"/>
                <w:b/>
                <w:bCs/>
                <w:color w:val="000000"/>
                <w:kern w:val="0"/>
                <w:sz w:val="21"/>
                <w:szCs w:val="21"/>
                <w:lang w:val="en-US" w:eastAsia="zh-CN" w:bidi="ar"/>
              </w:rPr>
              <w:t>理化指标</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5EFE643">
            <w:pPr>
              <w:keepNext w:val="0"/>
              <w:keepLines w:val="0"/>
              <w:widowControl/>
              <w:suppressLineNumbers w:val="0"/>
              <w:spacing w:before="0" w:beforeAutospacing="0" w:after="0" w:afterAutospacing="0" w:line="206" w:lineRule="atLeast"/>
              <w:ind w:left="0" w:right="0"/>
              <w:jc w:val="center"/>
              <w:rPr>
                <w:b/>
                <w:bCs/>
                <w:color w:val="000000"/>
                <w:sz w:val="21"/>
                <w:szCs w:val="21"/>
              </w:rPr>
            </w:pPr>
            <w:r>
              <w:rPr>
                <w:rFonts w:ascii="宋体" w:hAnsi="宋体" w:eastAsia="宋体" w:cs="宋体"/>
                <w:b/>
                <w:bCs/>
                <w:color w:val="000000"/>
                <w:kern w:val="0"/>
                <w:sz w:val="21"/>
                <w:szCs w:val="21"/>
                <w:lang w:val="en-US" w:eastAsia="zh-CN" w:bidi="ar"/>
              </w:rPr>
              <w:t>设定数值</w:t>
            </w:r>
          </w:p>
        </w:tc>
        <w:tc>
          <w:tcPr>
            <w:tcW w:w="6907" w:type="dxa"/>
            <w:tcBorders>
              <w:top w:val="single" w:color="auto" w:sz="4" w:space="0"/>
              <w:left w:val="single" w:color="auto" w:sz="4" w:space="0"/>
              <w:bottom w:val="single" w:color="auto" w:sz="4" w:space="0"/>
              <w:right w:val="single" w:color="auto" w:sz="4" w:space="0"/>
            </w:tcBorders>
            <w:shd w:val="clear" w:color="auto" w:fill="auto"/>
            <w:vAlign w:val="center"/>
          </w:tcPr>
          <w:p w14:paraId="382C3DA6">
            <w:pPr>
              <w:keepNext w:val="0"/>
              <w:keepLines w:val="0"/>
              <w:widowControl/>
              <w:suppressLineNumbers w:val="0"/>
              <w:spacing w:before="0" w:beforeAutospacing="0" w:after="0" w:afterAutospacing="0" w:line="206" w:lineRule="atLeast"/>
              <w:ind w:left="0" w:right="0"/>
              <w:jc w:val="center"/>
              <w:rPr>
                <w:b/>
                <w:bCs/>
                <w:color w:val="000000"/>
                <w:sz w:val="21"/>
                <w:szCs w:val="21"/>
              </w:rPr>
            </w:pPr>
            <w:r>
              <w:rPr>
                <w:rFonts w:ascii="宋体" w:hAnsi="宋体" w:eastAsia="宋体" w:cs="宋体"/>
                <w:b/>
                <w:bCs/>
                <w:color w:val="000000"/>
                <w:kern w:val="0"/>
                <w:sz w:val="21"/>
                <w:szCs w:val="21"/>
                <w:lang w:val="en-US" w:eastAsia="zh-CN" w:bidi="ar"/>
              </w:rPr>
              <w:t>核心设定依据</w:t>
            </w:r>
          </w:p>
        </w:tc>
      </w:tr>
      <w:tr w14:paraId="61C398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blCellSpacing w:w="15" w:type="dxa"/>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2ACC67E">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水分（g/100g）≤</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1715310">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9.0</w:t>
            </w:r>
          </w:p>
        </w:tc>
        <w:tc>
          <w:tcPr>
            <w:tcW w:w="6907" w:type="dxa"/>
            <w:tcBorders>
              <w:top w:val="single" w:color="auto" w:sz="4" w:space="0"/>
              <w:left w:val="single" w:color="auto" w:sz="4" w:space="0"/>
              <w:bottom w:val="single" w:color="auto" w:sz="4" w:space="0"/>
              <w:right w:val="single" w:color="auto" w:sz="4" w:space="0"/>
            </w:tcBorders>
            <w:shd w:val="clear" w:color="auto" w:fill="auto"/>
            <w:vAlign w:val="center"/>
          </w:tcPr>
          <w:p w14:paraId="51379B00">
            <w:pPr>
              <w:keepNext w:val="0"/>
              <w:keepLines w:val="0"/>
              <w:widowControl/>
              <w:suppressLineNumbers w:val="0"/>
              <w:spacing w:before="0" w:beforeAutospacing="0" w:after="0" w:afterAutospacing="0" w:line="206" w:lineRule="atLeast"/>
              <w:ind w:left="0" w:right="0"/>
              <w:jc w:val="left"/>
              <w:rPr>
                <w:rFonts w:ascii="宋体" w:hAnsi="宋体" w:eastAsia="宋体" w:cs="宋体"/>
                <w:color w:val="000000"/>
                <w:kern w:val="0"/>
                <w:sz w:val="21"/>
                <w:szCs w:val="21"/>
                <w:lang w:val="en-US" w:eastAsia="zh-CN" w:bidi="ar"/>
              </w:rPr>
            </w:pPr>
            <w:r>
              <w:rPr>
                <w:rFonts w:ascii="宋体" w:hAnsi="宋体" w:eastAsia="宋体" w:cs="宋体"/>
                <w:color w:val="000000"/>
                <w:kern w:val="0"/>
                <w:sz w:val="21"/>
                <w:szCs w:val="21"/>
                <w:lang w:val="en-US" w:eastAsia="zh-CN" w:bidi="ar"/>
              </w:rPr>
              <w:t>1. 保障储存稳定性：淀粉类食品水分过高易霉变、结块，≤9.0g/100g 适配传统晒干工艺，契合阴凉干燥贮存要求；</w:t>
            </w:r>
          </w:p>
          <w:p w14:paraId="51E56A15">
            <w:pPr>
              <w:keepNext w:val="0"/>
              <w:keepLines w:val="0"/>
              <w:widowControl/>
              <w:suppressLineNumbers w:val="0"/>
              <w:spacing w:before="0" w:beforeAutospacing="0" w:after="0" w:afterAutospacing="0" w:line="206" w:lineRule="atLeast"/>
              <w:ind w:left="0" w:right="0"/>
              <w:jc w:val="left"/>
              <w:rPr>
                <w:color w:val="000000"/>
                <w:sz w:val="21"/>
                <w:szCs w:val="21"/>
              </w:rPr>
            </w:pPr>
            <w:r>
              <w:rPr>
                <w:rFonts w:ascii="宋体" w:hAnsi="宋体" w:eastAsia="宋体" w:cs="宋体"/>
                <w:color w:val="000000"/>
                <w:kern w:val="0"/>
                <w:sz w:val="21"/>
                <w:szCs w:val="21"/>
                <w:lang w:val="en-US" w:eastAsia="zh-CN" w:bidi="ar"/>
              </w:rPr>
              <w:t>2. 匹配原料特性：桄榔树髓心天然含水量低，加工后经沉淀晒干可稳定达到该指标，避免过度干燥导致粉末飞扬。</w:t>
            </w:r>
          </w:p>
        </w:tc>
      </w:tr>
      <w:tr w14:paraId="77F323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4D8D0F4">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淀粉（以还原糖计）≥78g/100g</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D355169">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78</w:t>
            </w:r>
          </w:p>
        </w:tc>
        <w:tc>
          <w:tcPr>
            <w:tcW w:w="6907" w:type="dxa"/>
            <w:tcBorders>
              <w:top w:val="single" w:color="auto" w:sz="4" w:space="0"/>
              <w:left w:val="single" w:color="auto" w:sz="4" w:space="0"/>
              <w:bottom w:val="single" w:color="auto" w:sz="4" w:space="0"/>
              <w:right w:val="single" w:color="auto" w:sz="4" w:space="0"/>
            </w:tcBorders>
            <w:shd w:val="clear" w:color="auto" w:fill="auto"/>
            <w:vAlign w:val="center"/>
          </w:tcPr>
          <w:p w14:paraId="2F244576">
            <w:pPr>
              <w:keepNext w:val="0"/>
              <w:keepLines w:val="0"/>
              <w:widowControl/>
              <w:suppressLineNumbers w:val="0"/>
              <w:spacing w:before="0" w:beforeAutospacing="0" w:after="0" w:afterAutospacing="0" w:line="206" w:lineRule="atLeast"/>
              <w:ind w:left="0" w:right="0"/>
              <w:jc w:val="left"/>
              <w:rPr>
                <w:rFonts w:ascii="宋体" w:hAnsi="宋体" w:eastAsia="宋体" w:cs="宋体"/>
                <w:color w:val="000000"/>
                <w:kern w:val="0"/>
                <w:sz w:val="21"/>
                <w:szCs w:val="21"/>
                <w:lang w:val="en-US" w:eastAsia="zh-CN" w:bidi="ar"/>
              </w:rPr>
            </w:pPr>
            <w:r>
              <w:rPr>
                <w:rFonts w:ascii="宋体" w:hAnsi="宋体" w:eastAsia="宋体" w:cs="宋体"/>
                <w:color w:val="000000"/>
                <w:kern w:val="0"/>
                <w:sz w:val="21"/>
                <w:szCs w:val="21"/>
                <w:lang w:val="en-US" w:eastAsia="zh-CN" w:bidi="ar"/>
              </w:rPr>
              <w:t>1. 明确产品核心属性：红桄榔粉是淀粉类冲调食品，淀粉为主要能量来源，该指标保障冲调后能形成胶状糊（淀粉糊化基础）；</w:t>
            </w:r>
          </w:p>
          <w:p w14:paraId="44CC5844">
            <w:pPr>
              <w:keepNext w:val="0"/>
              <w:keepLines w:val="0"/>
              <w:widowControl/>
              <w:suppressLineNumbers w:val="0"/>
              <w:spacing w:before="0" w:beforeAutospacing="0" w:after="0" w:afterAutospacing="0" w:line="206" w:lineRule="atLeast"/>
              <w:ind w:left="0" w:right="0"/>
              <w:jc w:val="left"/>
              <w:rPr>
                <w:color w:val="000000"/>
                <w:sz w:val="21"/>
                <w:szCs w:val="21"/>
              </w:rPr>
            </w:pPr>
            <w:r>
              <w:rPr>
                <w:rFonts w:ascii="宋体" w:hAnsi="宋体" w:eastAsia="宋体" w:cs="宋体"/>
                <w:color w:val="000000"/>
                <w:kern w:val="0"/>
                <w:sz w:val="21"/>
                <w:szCs w:val="21"/>
                <w:lang w:val="en-US" w:eastAsia="zh-CN" w:bidi="ar"/>
              </w:rPr>
              <w:t>2. 基于原料实测：树高＞10m 桄榔树髓芯淀粉含量普遍在 78～85g/100g，指标取最低值确保品质底线。</w:t>
            </w:r>
          </w:p>
        </w:tc>
      </w:tr>
      <w:tr w14:paraId="46620F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F7F2C92">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直链淀粉≥60%</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1BDD162">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60</w:t>
            </w:r>
          </w:p>
        </w:tc>
        <w:tc>
          <w:tcPr>
            <w:tcW w:w="6907" w:type="dxa"/>
            <w:tcBorders>
              <w:top w:val="single" w:color="auto" w:sz="4" w:space="0"/>
              <w:left w:val="single" w:color="auto" w:sz="4" w:space="0"/>
              <w:bottom w:val="single" w:color="auto" w:sz="4" w:space="0"/>
              <w:right w:val="single" w:color="auto" w:sz="4" w:space="0"/>
            </w:tcBorders>
            <w:shd w:val="clear" w:color="auto" w:fill="auto"/>
            <w:vAlign w:val="center"/>
          </w:tcPr>
          <w:p w14:paraId="0AB94878">
            <w:pPr>
              <w:keepNext w:val="0"/>
              <w:keepLines w:val="0"/>
              <w:widowControl/>
              <w:suppressLineNumbers w:val="0"/>
              <w:spacing w:before="0" w:beforeAutospacing="0" w:after="0" w:afterAutospacing="0" w:line="206" w:lineRule="atLeast"/>
              <w:ind w:left="0" w:right="0"/>
              <w:jc w:val="left"/>
              <w:rPr>
                <w:rFonts w:ascii="宋体" w:hAnsi="宋体" w:eastAsia="宋体" w:cs="宋体"/>
                <w:color w:val="000000"/>
                <w:kern w:val="0"/>
                <w:sz w:val="21"/>
                <w:szCs w:val="21"/>
                <w:lang w:val="en-US" w:eastAsia="zh-CN" w:bidi="ar"/>
              </w:rPr>
            </w:pPr>
            <w:r>
              <w:rPr>
                <w:rFonts w:ascii="宋体" w:hAnsi="宋体" w:eastAsia="宋体" w:cs="宋体"/>
                <w:color w:val="000000"/>
                <w:kern w:val="0"/>
                <w:sz w:val="21"/>
                <w:szCs w:val="21"/>
                <w:lang w:val="en-US" w:eastAsia="zh-CN" w:bidi="ar"/>
              </w:rPr>
              <w:t>1. 强化冲调品质：直链淀粉越高，胶状稳定性越强、不易结块，契合 “粘稠均匀柔滑” 的感官要求；</w:t>
            </w:r>
          </w:p>
          <w:p w14:paraId="5C79F02D">
            <w:pPr>
              <w:keepNext w:val="0"/>
              <w:keepLines w:val="0"/>
              <w:widowControl/>
              <w:suppressLineNumbers w:val="0"/>
              <w:spacing w:before="0" w:beforeAutospacing="0" w:after="0" w:afterAutospacing="0" w:line="206" w:lineRule="atLeast"/>
              <w:ind w:left="0" w:right="0"/>
              <w:jc w:val="left"/>
              <w:rPr>
                <w:color w:val="000000"/>
                <w:sz w:val="21"/>
                <w:szCs w:val="21"/>
              </w:rPr>
            </w:pPr>
            <w:r>
              <w:rPr>
                <w:rFonts w:ascii="宋体" w:hAnsi="宋体" w:eastAsia="宋体" w:cs="宋体"/>
                <w:color w:val="000000"/>
                <w:kern w:val="0"/>
                <w:sz w:val="21"/>
                <w:szCs w:val="21"/>
                <w:lang w:val="en-US" w:eastAsia="zh-CN" w:bidi="ar"/>
              </w:rPr>
              <w:t>2. 突出产品特色：普通冲调淀粉（藕粉 20%～30%、玉米淀粉 25%～35%）直链淀粉低，该指标明确红桄榔粉的差异化优势，且基于成熟树髓芯实测数据设定。</w:t>
            </w:r>
          </w:p>
        </w:tc>
      </w:tr>
      <w:tr w14:paraId="6A8A7F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28E635C">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灰分≤0.30g/100g</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3259A17">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0.30</w:t>
            </w:r>
          </w:p>
        </w:tc>
        <w:tc>
          <w:tcPr>
            <w:tcW w:w="6907" w:type="dxa"/>
            <w:tcBorders>
              <w:top w:val="single" w:color="auto" w:sz="4" w:space="0"/>
              <w:left w:val="single" w:color="auto" w:sz="4" w:space="0"/>
              <w:bottom w:val="single" w:color="auto" w:sz="4" w:space="0"/>
              <w:right w:val="single" w:color="auto" w:sz="4" w:space="0"/>
            </w:tcBorders>
            <w:shd w:val="clear" w:color="auto" w:fill="auto"/>
            <w:vAlign w:val="center"/>
          </w:tcPr>
          <w:p w14:paraId="0C0800E1">
            <w:pPr>
              <w:keepNext w:val="0"/>
              <w:keepLines w:val="0"/>
              <w:widowControl/>
              <w:suppressLineNumbers w:val="0"/>
              <w:spacing w:before="0" w:beforeAutospacing="0" w:after="0" w:afterAutospacing="0" w:line="206" w:lineRule="atLeast"/>
              <w:ind w:left="0" w:right="0"/>
              <w:jc w:val="left"/>
              <w:rPr>
                <w:rFonts w:ascii="宋体" w:hAnsi="宋体" w:eastAsia="宋体" w:cs="宋体"/>
                <w:color w:val="000000"/>
                <w:kern w:val="0"/>
                <w:sz w:val="21"/>
                <w:szCs w:val="21"/>
                <w:lang w:val="en-US" w:eastAsia="zh-CN" w:bidi="ar"/>
              </w:rPr>
            </w:pPr>
            <w:r>
              <w:rPr>
                <w:rFonts w:ascii="宋体" w:hAnsi="宋体" w:eastAsia="宋体" w:cs="宋体"/>
                <w:color w:val="000000"/>
                <w:kern w:val="0"/>
                <w:sz w:val="21"/>
                <w:szCs w:val="21"/>
                <w:lang w:val="en-US" w:eastAsia="zh-CN" w:bidi="ar"/>
              </w:rPr>
              <w:t>1. 体现原料与工艺洁净度：灰分主要是矿物质残留、泥土等杂质，低灰分说明髓芯原料纯净（无外皮、土壤污染），加工沉淀步骤有效去除杂质；</w:t>
            </w:r>
          </w:p>
          <w:p w14:paraId="0D97EB6E">
            <w:pPr>
              <w:keepNext w:val="0"/>
              <w:keepLines w:val="0"/>
              <w:widowControl/>
              <w:suppressLineNumbers w:val="0"/>
              <w:spacing w:before="0" w:beforeAutospacing="0" w:after="0" w:afterAutospacing="0" w:line="206" w:lineRule="atLeast"/>
              <w:ind w:left="0" w:right="0"/>
              <w:jc w:val="left"/>
              <w:rPr>
                <w:color w:val="000000"/>
                <w:sz w:val="21"/>
                <w:szCs w:val="21"/>
              </w:rPr>
            </w:pPr>
            <w:r>
              <w:rPr>
                <w:rFonts w:ascii="宋体" w:hAnsi="宋体" w:eastAsia="宋体" w:cs="宋体"/>
                <w:color w:val="000000"/>
                <w:kern w:val="0"/>
                <w:sz w:val="21"/>
                <w:szCs w:val="21"/>
                <w:lang w:val="en-US" w:eastAsia="zh-CN" w:bidi="ar"/>
              </w:rPr>
              <w:t>2. 匹配 “地方特色高品质食品” 定位，高于普通淀粉类食品（玉米淀粉≤0.6g/100g）的洁净要求。</w:t>
            </w:r>
          </w:p>
        </w:tc>
      </w:tr>
      <w:tr w14:paraId="69D7C9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D6EB4A6">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钙（20～80mg/100g）</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2F0B82C">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20～80</w:t>
            </w:r>
          </w:p>
        </w:tc>
        <w:tc>
          <w:tcPr>
            <w:tcW w:w="6907" w:type="dxa"/>
            <w:tcBorders>
              <w:top w:val="single" w:color="auto" w:sz="4" w:space="0"/>
              <w:left w:val="single" w:color="auto" w:sz="4" w:space="0"/>
              <w:bottom w:val="single" w:color="auto" w:sz="4" w:space="0"/>
              <w:right w:val="single" w:color="auto" w:sz="4" w:space="0"/>
            </w:tcBorders>
            <w:shd w:val="clear" w:color="auto" w:fill="auto"/>
            <w:vAlign w:val="center"/>
          </w:tcPr>
          <w:p w14:paraId="4A308E60">
            <w:pPr>
              <w:keepNext w:val="0"/>
              <w:keepLines w:val="0"/>
              <w:widowControl/>
              <w:suppressLineNumbers w:val="0"/>
              <w:spacing w:before="0" w:beforeAutospacing="0" w:after="0" w:afterAutospacing="0" w:line="206" w:lineRule="atLeast"/>
              <w:ind w:left="0" w:right="0"/>
              <w:jc w:val="left"/>
              <w:rPr>
                <w:color w:val="000000"/>
                <w:sz w:val="21"/>
                <w:szCs w:val="21"/>
              </w:rPr>
            </w:pPr>
            <w:r>
              <w:rPr>
                <w:rFonts w:ascii="宋体" w:hAnsi="宋体" w:eastAsia="宋体" w:cs="宋体"/>
                <w:color w:val="000000"/>
                <w:kern w:val="0"/>
                <w:sz w:val="21"/>
                <w:szCs w:val="21"/>
                <w:lang w:val="en-US" w:eastAsia="zh-CN" w:bidi="ar"/>
              </w:rPr>
              <w:t>基于大量成熟树髓芯样品实测：覆盖不同产地、树龄的自然含量波动，既确保 “富含” 属性（高于藕粉 15～25mg/100g），又不设过高上限导致指标不可行，支撑产品营养定位。</w:t>
            </w:r>
          </w:p>
        </w:tc>
      </w:tr>
      <w:tr w14:paraId="38EDEF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74760D8">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铁（0.8～25mg/100g）</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55D33D4">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0.8～25</w:t>
            </w:r>
          </w:p>
        </w:tc>
        <w:tc>
          <w:tcPr>
            <w:tcW w:w="6907" w:type="dxa"/>
            <w:tcBorders>
              <w:top w:val="single" w:color="auto" w:sz="4" w:space="0"/>
              <w:left w:val="single" w:color="auto" w:sz="4" w:space="0"/>
              <w:bottom w:val="single" w:color="auto" w:sz="4" w:space="0"/>
              <w:right w:val="single" w:color="auto" w:sz="4" w:space="0"/>
            </w:tcBorders>
            <w:shd w:val="clear" w:color="auto" w:fill="auto"/>
            <w:vAlign w:val="center"/>
          </w:tcPr>
          <w:p w14:paraId="23678847">
            <w:pPr>
              <w:keepNext w:val="0"/>
              <w:keepLines w:val="0"/>
              <w:widowControl/>
              <w:suppressLineNumbers w:val="0"/>
              <w:spacing w:before="0" w:beforeAutospacing="0" w:after="0" w:afterAutospacing="0" w:line="206" w:lineRule="atLeast"/>
              <w:ind w:left="0" w:right="0"/>
              <w:jc w:val="left"/>
              <w:rPr>
                <w:rFonts w:ascii="宋体" w:hAnsi="宋体" w:eastAsia="宋体" w:cs="宋体"/>
                <w:color w:val="000000"/>
                <w:kern w:val="0"/>
                <w:sz w:val="21"/>
                <w:szCs w:val="21"/>
                <w:lang w:val="en-US" w:eastAsia="zh-CN" w:bidi="ar"/>
              </w:rPr>
            </w:pPr>
            <w:r>
              <w:rPr>
                <w:rFonts w:ascii="宋体" w:hAnsi="宋体" w:eastAsia="宋体" w:cs="宋体"/>
                <w:color w:val="000000"/>
                <w:kern w:val="0"/>
                <w:sz w:val="21"/>
                <w:szCs w:val="21"/>
                <w:lang w:val="en-US" w:eastAsia="zh-CN" w:bidi="ar"/>
              </w:rPr>
              <w:t>1. 实测数据支撑：不同生长环境的桄榔树铁含量存在差异，0.8mg/100g 为最低品质线，25mg/100g 为优质样品峰值；</w:t>
            </w:r>
          </w:p>
          <w:p w14:paraId="06CFC346">
            <w:pPr>
              <w:keepNext w:val="0"/>
              <w:keepLines w:val="0"/>
              <w:widowControl/>
              <w:suppressLineNumbers w:val="0"/>
              <w:spacing w:before="0" w:beforeAutospacing="0" w:after="0" w:afterAutospacing="0" w:line="206" w:lineRule="atLeast"/>
              <w:ind w:left="0" w:right="0"/>
              <w:jc w:val="left"/>
              <w:rPr>
                <w:color w:val="000000"/>
                <w:sz w:val="21"/>
                <w:szCs w:val="21"/>
              </w:rPr>
            </w:pPr>
            <w:r>
              <w:rPr>
                <w:rFonts w:ascii="宋体" w:hAnsi="宋体" w:eastAsia="宋体" w:cs="宋体"/>
                <w:color w:val="000000"/>
                <w:kern w:val="0"/>
                <w:sz w:val="21"/>
                <w:szCs w:val="21"/>
                <w:lang w:val="en-US" w:eastAsia="zh-CN" w:bidi="ar"/>
              </w:rPr>
              <w:t>2. 突出营养优势：显著高于普通冲调淀粉（山药粉 0.4～1.0mg/100g），契合 “富含微量元素” 的定义。</w:t>
            </w:r>
          </w:p>
        </w:tc>
      </w:tr>
      <w:tr w14:paraId="4BC193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20C7D92">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锌（0.25～0.65mg/100g）</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714E1D0">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0.25～0.65</w:t>
            </w:r>
          </w:p>
        </w:tc>
        <w:tc>
          <w:tcPr>
            <w:tcW w:w="6907" w:type="dxa"/>
            <w:tcBorders>
              <w:top w:val="single" w:color="auto" w:sz="4" w:space="0"/>
              <w:left w:val="single" w:color="auto" w:sz="4" w:space="0"/>
              <w:bottom w:val="single" w:color="auto" w:sz="4" w:space="0"/>
              <w:right w:val="single" w:color="auto" w:sz="4" w:space="0"/>
            </w:tcBorders>
            <w:shd w:val="clear" w:color="auto" w:fill="auto"/>
            <w:vAlign w:val="center"/>
          </w:tcPr>
          <w:p w14:paraId="777C11F5">
            <w:pPr>
              <w:keepNext w:val="0"/>
              <w:keepLines w:val="0"/>
              <w:widowControl/>
              <w:suppressLineNumbers w:val="0"/>
              <w:spacing w:before="0" w:beforeAutospacing="0" w:after="0" w:afterAutospacing="0" w:line="206" w:lineRule="atLeast"/>
              <w:ind w:left="0" w:right="0"/>
              <w:jc w:val="left"/>
              <w:rPr>
                <w:color w:val="000000"/>
                <w:sz w:val="21"/>
                <w:szCs w:val="21"/>
              </w:rPr>
            </w:pPr>
            <w:r>
              <w:rPr>
                <w:rFonts w:ascii="宋体" w:hAnsi="宋体" w:eastAsia="宋体" w:cs="宋体"/>
                <w:color w:val="000000"/>
                <w:kern w:val="0"/>
                <w:sz w:val="21"/>
                <w:szCs w:val="21"/>
                <w:lang w:val="en-US" w:eastAsia="zh-CN" w:bidi="ar"/>
              </w:rPr>
              <w:t>参考原料天然含量范围：避免因个体差异导致指标超标或不达标，同时确保锌含量是玉米淀粉（0.1～0.3mg/100g）的 1.7～6.5 倍，强化营养差异化。</w:t>
            </w:r>
          </w:p>
        </w:tc>
      </w:tr>
      <w:tr w14:paraId="66E006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4B1C644">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硒（1～15μg/100g）</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FC054A0">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1～15</w:t>
            </w:r>
          </w:p>
        </w:tc>
        <w:tc>
          <w:tcPr>
            <w:tcW w:w="6907" w:type="dxa"/>
            <w:tcBorders>
              <w:top w:val="single" w:color="auto" w:sz="4" w:space="0"/>
              <w:left w:val="single" w:color="auto" w:sz="4" w:space="0"/>
              <w:bottom w:val="single" w:color="auto" w:sz="4" w:space="0"/>
              <w:right w:val="single" w:color="auto" w:sz="4" w:space="0"/>
            </w:tcBorders>
            <w:shd w:val="clear" w:color="auto" w:fill="auto"/>
            <w:vAlign w:val="center"/>
          </w:tcPr>
          <w:p w14:paraId="2ECCC9B8">
            <w:pPr>
              <w:keepNext w:val="0"/>
              <w:keepLines w:val="0"/>
              <w:widowControl/>
              <w:suppressLineNumbers w:val="0"/>
              <w:spacing w:before="0" w:beforeAutospacing="0" w:after="0" w:afterAutospacing="0" w:line="206" w:lineRule="atLeast"/>
              <w:ind w:left="0" w:right="0"/>
              <w:jc w:val="left"/>
              <w:rPr>
                <w:color w:val="000000"/>
                <w:sz w:val="21"/>
                <w:szCs w:val="21"/>
              </w:rPr>
            </w:pPr>
            <w:r>
              <w:rPr>
                <w:rFonts w:ascii="宋体" w:hAnsi="宋体" w:eastAsia="宋体" w:cs="宋体"/>
                <w:color w:val="000000"/>
                <w:kern w:val="0"/>
                <w:sz w:val="21"/>
                <w:szCs w:val="21"/>
                <w:lang w:val="en-US" w:eastAsia="zh-CN" w:bidi="ar"/>
              </w:rPr>
              <w:t>硒为稀缺微量元素，该范围基于广西产地桄榔树的土壤硒含量实测，既体现产品营养稀缺性，又符合自然食材的含量规律（无人工添加）。</w:t>
            </w:r>
          </w:p>
        </w:tc>
      </w:tr>
      <w:tr w14:paraId="343DDC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46B9A00">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总黄酮（30～100mg/100g）</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CC35116">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30～100</w:t>
            </w:r>
          </w:p>
        </w:tc>
        <w:tc>
          <w:tcPr>
            <w:tcW w:w="6907" w:type="dxa"/>
            <w:tcBorders>
              <w:top w:val="single" w:color="auto" w:sz="4" w:space="0"/>
              <w:left w:val="single" w:color="auto" w:sz="4" w:space="0"/>
              <w:bottom w:val="single" w:color="auto" w:sz="4" w:space="0"/>
              <w:right w:val="single" w:color="auto" w:sz="4" w:space="0"/>
            </w:tcBorders>
            <w:shd w:val="clear" w:color="auto" w:fill="auto"/>
            <w:vAlign w:val="center"/>
          </w:tcPr>
          <w:p w14:paraId="16E7347A">
            <w:pPr>
              <w:keepNext w:val="0"/>
              <w:keepLines w:val="0"/>
              <w:widowControl/>
              <w:suppressLineNumbers w:val="0"/>
              <w:spacing w:before="0" w:beforeAutospacing="0" w:after="0" w:afterAutospacing="0" w:line="206" w:lineRule="atLeast"/>
              <w:ind w:left="0" w:right="0"/>
              <w:jc w:val="left"/>
              <w:rPr>
                <w:rFonts w:ascii="宋体" w:hAnsi="宋体" w:eastAsia="宋体" w:cs="宋体"/>
                <w:color w:val="000000"/>
                <w:kern w:val="0"/>
                <w:sz w:val="21"/>
                <w:szCs w:val="21"/>
                <w:lang w:val="en-US" w:eastAsia="zh-CN" w:bidi="ar"/>
              </w:rPr>
            </w:pPr>
            <w:r>
              <w:rPr>
                <w:rFonts w:ascii="宋体" w:hAnsi="宋体" w:eastAsia="宋体" w:cs="宋体"/>
                <w:color w:val="000000"/>
                <w:kern w:val="0"/>
                <w:sz w:val="21"/>
                <w:szCs w:val="21"/>
                <w:lang w:val="en-US" w:eastAsia="zh-CN" w:bidi="ar"/>
              </w:rPr>
              <w:t>1. 原料天然特性：桄榔树髓心含类黄酮物质，是产品特有营养成分；</w:t>
            </w:r>
          </w:p>
          <w:p w14:paraId="206EC21F">
            <w:pPr>
              <w:keepNext w:val="0"/>
              <w:keepLines w:val="0"/>
              <w:widowControl/>
              <w:suppressLineNumbers w:val="0"/>
              <w:spacing w:before="0" w:beforeAutospacing="0" w:after="0" w:afterAutospacing="0" w:line="206" w:lineRule="atLeast"/>
              <w:ind w:left="0" w:right="0"/>
              <w:jc w:val="left"/>
              <w:rPr>
                <w:color w:val="000000"/>
                <w:sz w:val="21"/>
                <w:szCs w:val="21"/>
              </w:rPr>
            </w:pPr>
            <w:r>
              <w:rPr>
                <w:rFonts w:ascii="宋体" w:hAnsi="宋体" w:eastAsia="宋体" w:cs="宋体"/>
                <w:color w:val="000000"/>
                <w:kern w:val="0"/>
                <w:sz w:val="21"/>
                <w:szCs w:val="21"/>
                <w:lang w:val="en-US" w:eastAsia="zh-CN" w:bidi="ar"/>
              </w:rPr>
              <w:t>2. 实测批次波动：不同加工批次、树龄的总黄酮含量存在差异，设定该范围兼顾可行性与功能性，区别于无黄酮的普通冲调淀粉。</w:t>
            </w:r>
          </w:p>
        </w:tc>
      </w:tr>
      <w:tr w14:paraId="6EC99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7A557A6">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酸度＜1.0mL/10g</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5C978AA">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1.0</w:t>
            </w:r>
          </w:p>
        </w:tc>
        <w:tc>
          <w:tcPr>
            <w:tcW w:w="6907" w:type="dxa"/>
            <w:tcBorders>
              <w:top w:val="single" w:color="auto" w:sz="4" w:space="0"/>
              <w:left w:val="single" w:color="auto" w:sz="4" w:space="0"/>
              <w:bottom w:val="single" w:color="auto" w:sz="4" w:space="0"/>
              <w:right w:val="single" w:color="auto" w:sz="4" w:space="0"/>
            </w:tcBorders>
            <w:shd w:val="clear" w:color="auto" w:fill="auto"/>
            <w:vAlign w:val="center"/>
          </w:tcPr>
          <w:p w14:paraId="7E704534">
            <w:pPr>
              <w:keepNext w:val="0"/>
              <w:keepLines w:val="0"/>
              <w:widowControl/>
              <w:suppressLineNumbers w:val="0"/>
              <w:spacing w:before="0" w:beforeAutospacing="0" w:after="0" w:afterAutospacing="0" w:line="206" w:lineRule="atLeast"/>
              <w:ind w:left="0" w:right="0"/>
              <w:jc w:val="left"/>
              <w:rPr>
                <w:color w:val="000000"/>
                <w:sz w:val="21"/>
                <w:szCs w:val="21"/>
              </w:rPr>
            </w:pPr>
            <w:r>
              <w:rPr>
                <w:rFonts w:ascii="宋体" w:hAnsi="宋体" w:eastAsia="宋体" w:cs="宋体"/>
                <w:color w:val="000000"/>
                <w:kern w:val="0"/>
                <w:sz w:val="21"/>
                <w:szCs w:val="21"/>
                <w:lang w:val="en-US" w:eastAsia="zh-CN" w:bidi="ar"/>
              </w:rPr>
              <w:t>1. 保障风味：酸度过高会产生酸味，破坏 “淡淡植物微甘” 的感官体验；2. 控制变质风险：原料和加工过程无酸性添加，酸度超标可能是储存不当或霉变，该指标为风味与安全双重底线。</w:t>
            </w:r>
          </w:p>
        </w:tc>
      </w:tr>
      <w:tr w14:paraId="461EA1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CellSpacing w:w="15" w:type="dxa"/>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7927669">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黄曲霉毒素 B1≤5μg/kg</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156F354">
            <w:pPr>
              <w:keepNext w:val="0"/>
              <w:keepLines w:val="0"/>
              <w:widowControl/>
              <w:suppressLineNumbers w:val="0"/>
              <w:spacing w:before="0" w:beforeAutospacing="0" w:after="0" w:afterAutospacing="0" w:line="206" w:lineRule="atLeast"/>
              <w:ind w:left="0" w:right="0"/>
              <w:jc w:val="center"/>
              <w:rPr>
                <w:color w:val="000000"/>
                <w:sz w:val="21"/>
                <w:szCs w:val="21"/>
              </w:rPr>
            </w:pPr>
            <w:r>
              <w:rPr>
                <w:rFonts w:ascii="宋体" w:hAnsi="宋体" w:eastAsia="宋体" w:cs="宋体"/>
                <w:color w:val="000000"/>
                <w:kern w:val="0"/>
                <w:sz w:val="21"/>
                <w:szCs w:val="21"/>
                <w:lang w:val="en-US" w:eastAsia="zh-CN" w:bidi="ar"/>
              </w:rPr>
              <w:t>5</w:t>
            </w:r>
          </w:p>
        </w:tc>
        <w:tc>
          <w:tcPr>
            <w:tcW w:w="6907" w:type="dxa"/>
            <w:tcBorders>
              <w:top w:val="single" w:color="auto" w:sz="4" w:space="0"/>
              <w:left w:val="single" w:color="auto" w:sz="4" w:space="0"/>
              <w:bottom w:val="single" w:color="auto" w:sz="4" w:space="0"/>
              <w:right w:val="single" w:color="auto" w:sz="4" w:space="0"/>
            </w:tcBorders>
            <w:shd w:val="clear" w:color="auto" w:fill="auto"/>
            <w:vAlign w:val="center"/>
          </w:tcPr>
          <w:p w14:paraId="73E5F085">
            <w:pPr>
              <w:keepNext w:val="0"/>
              <w:keepLines w:val="0"/>
              <w:widowControl/>
              <w:suppressLineNumbers w:val="0"/>
              <w:spacing w:before="0" w:beforeAutospacing="0" w:after="0" w:afterAutospacing="0" w:line="206" w:lineRule="atLeast"/>
              <w:ind w:left="0" w:right="0"/>
              <w:jc w:val="left"/>
              <w:rPr>
                <w:rFonts w:ascii="宋体" w:hAnsi="宋体" w:eastAsia="宋体" w:cs="宋体"/>
                <w:color w:val="000000"/>
                <w:kern w:val="0"/>
                <w:sz w:val="21"/>
                <w:szCs w:val="21"/>
                <w:lang w:val="en-US" w:eastAsia="zh-CN" w:bidi="ar"/>
              </w:rPr>
            </w:pPr>
            <w:r>
              <w:rPr>
                <w:rFonts w:ascii="宋体" w:hAnsi="宋体" w:eastAsia="宋体" w:cs="宋体"/>
                <w:color w:val="000000"/>
                <w:kern w:val="0"/>
                <w:sz w:val="21"/>
                <w:szCs w:val="21"/>
                <w:lang w:val="en-US" w:eastAsia="zh-CN" w:bidi="ar"/>
              </w:rPr>
              <w:t>1. 符合国标要求：严格遵循 GB 2713《淀粉制品食品安全国家标准》的真菌毒素限量；</w:t>
            </w:r>
          </w:p>
          <w:p w14:paraId="66CFF863">
            <w:pPr>
              <w:keepNext w:val="0"/>
              <w:keepLines w:val="0"/>
              <w:widowControl/>
              <w:suppressLineNumbers w:val="0"/>
              <w:spacing w:before="0" w:beforeAutospacing="0" w:after="0" w:afterAutospacing="0" w:line="206" w:lineRule="atLeast"/>
              <w:ind w:left="0" w:right="0"/>
              <w:jc w:val="left"/>
              <w:rPr>
                <w:color w:val="000000"/>
                <w:sz w:val="21"/>
                <w:szCs w:val="21"/>
              </w:rPr>
            </w:pPr>
            <w:r>
              <w:rPr>
                <w:rFonts w:ascii="宋体" w:hAnsi="宋体" w:eastAsia="宋体" w:cs="宋体"/>
                <w:color w:val="000000"/>
                <w:kern w:val="0"/>
                <w:sz w:val="21"/>
                <w:szCs w:val="21"/>
                <w:lang w:val="en-US" w:eastAsia="zh-CN" w:bidi="ar"/>
              </w:rPr>
              <w:t>2. 适配储存场景：考虑产品阴凉干燥贮存的实际情况，设定安全阈值，避免原料或成品因潮湿滋生霉菌。</w:t>
            </w:r>
          </w:p>
        </w:tc>
      </w:tr>
    </w:tbl>
    <w:p w14:paraId="5B1C059E">
      <w:pPr>
        <w:spacing w:line="560" w:lineRule="exact"/>
        <w:ind w:firstLine="643" w:firstLineChars="200"/>
        <w:outlineLvl w:val="1"/>
        <w:rPr>
          <w:rFonts w:hint="eastAsia" w:ascii="仿宋_GB2312" w:eastAsia="仿宋_GB2312"/>
          <w:b/>
          <w:bCs/>
          <w:color w:val="auto"/>
          <w:sz w:val="32"/>
          <w:szCs w:val="32"/>
          <w:lang w:val="en-US" w:eastAsia="zh-CN"/>
        </w:rPr>
      </w:pPr>
      <w:r>
        <w:rPr>
          <w:rFonts w:hint="eastAsia" w:ascii="仿宋_GB2312" w:eastAsia="仿宋_GB2312"/>
          <w:b/>
          <w:bCs/>
          <w:color w:val="auto"/>
          <w:sz w:val="32"/>
          <w:szCs w:val="32"/>
        </w:rPr>
        <w:t>（</w:t>
      </w:r>
      <w:r>
        <w:rPr>
          <w:rFonts w:hint="eastAsia" w:ascii="仿宋_GB2312" w:eastAsia="仿宋_GB2312"/>
          <w:b/>
          <w:bCs/>
          <w:color w:val="auto"/>
          <w:sz w:val="32"/>
          <w:szCs w:val="32"/>
          <w:lang w:val="en-US" w:eastAsia="zh-CN"/>
        </w:rPr>
        <w:t>四</w:t>
      </w:r>
      <w:r>
        <w:rPr>
          <w:rFonts w:hint="eastAsia" w:ascii="仿宋_GB2312" w:eastAsia="仿宋_GB2312"/>
          <w:b/>
          <w:bCs/>
          <w:color w:val="auto"/>
          <w:sz w:val="32"/>
          <w:szCs w:val="32"/>
        </w:rPr>
        <w:t>）</w:t>
      </w:r>
      <w:r>
        <w:rPr>
          <w:rFonts w:hint="eastAsia" w:ascii="仿宋_GB2312" w:eastAsia="仿宋_GB2312"/>
          <w:b/>
          <w:bCs/>
          <w:color w:val="auto"/>
          <w:sz w:val="32"/>
          <w:szCs w:val="32"/>
          <w:lang w:val="en-US" w:eastAsia="zh-CN"/>
        </w:rPr>
        <w:t>试验方法</w:t>
      </w:r>
    </w:p>
    <w:p w14:paraId="731FC7BA">
      <w:pPr>
        <w:spacing w:line="560" w:lineRule="exact"/>
        <w:ind w:firstLine="640" w:firstLineChars="200"/>
        <w:outlineLvl w:val="1"/>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分别依据相应检验方法及相关检测标准执行。</w:t>
      </w:r>
    </w:p>
    <w:p w14:paraId="5797B5E0">
      <w:pPr>
        <w:spacing w:line="560" w:lineRule="exact"/>
        <w:ind w:firstLine="643" w:firstLineChars="200"/>
        <w:outlineLvl w:val="1"/>
        <w:rPr>
          <w:rFonts w:hint="eastAsia" w:ascii="仿宋_GB2312" w:eastAsia="仿宋_GB2312"/>
          <w:b/>
          <w:bCs/>
          <w:color w:val="auto"/>
          <w:sz w:val="32"/>
          <w:szCs w:val="32"/>
          <w:lang w:val="en-US" w:eastAsia="zh-CN"/>
        </w:rPr>
      </w:pPr>
      <w:r>
        <w:rPr>
          <w:rFonts w:hint="eastAsia" w:ascii="仿宋_GB2312" w:eastAsia="仿宋_GB2312"/>
          <w:b/>
          <w:bCs/>
          <w:color w:val="auto"/>
          <w:sz w:val="32"/>
          <w:szCs w:val="32"/>
          <w:lang w:val="en-US" w:eastAsia="zh-CN"/>
        </w:rPr>
        <w:t>4.1感官检验</w:t>
      </w:r>
    </w:p>
    <w:p w14:paraId="2A6DFA43">
      <w:pPr>
        <w:spacing w:line="560" w:lineRule="exact"/>
        <w:ind w:firstLine="640" w:firstLineChars="200"/>
        <w:outlineLvl w:val="1"/>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在正常光线下将适量样品置于清洁的白瓷盘中，通过目测法对样品的外观、色泽、组织形态、杂质进行检测。滋味和气味用温开水漱口后，按食用方法熟化后通过品尝、鼻嗅等方法鉴定。</w:t>
      </w:r>
    </w:p>
    <w:p w14:paraId="5A536B02">
      <w:pPr>
        <w:spacing w:line="560" w:lineRule="exact"/>
        <w:ind w:firstLine="643" w:firstLineChars="200"/>
        <w:outlineLvl w:val="1"/>
        <w:rPr>
          <w:rFonts w:hint="eastAsia" w:ascii="仿宋_GB2312" w:eastAsia="仿宋_GB2312"/>
          <w:b/>
          <w:bCs/>
          <w:color w:val="auto"/>
          <w:sz w:val="32"/>
          <w:szCs w:val="32"/>
          <w:lang w:val="en-US" w:eastAsia="zh-CN"/>
        </w:rPr>
      </w:pPr>
      <w:r>
        <w:rPr>
          <w:rFonts w:hint="eastAsia" w:ascii="仿宋_GB2312" w:eastAsia="仿宋_GB2312"/>
          <w:b/>
          <w:bCs/>
          <w:color w:val="auto"/>
          <w:sz w:val="32"/>
          <w:szCs w:val="32"/>
          <w:lang w:val="en-US" w:eastAsia="zh-CN"/>
        </w:rPr>
        <w:t>4.2理化指标</w:t>
      </w:r>
    </w:p>
    <w:p w14:paraId="0194D1D1">
      <w:pPr>
        <w:spacing w:line="560" w:lineRule="exact"/>
        <w:ind w:firstLine="640" w:firstLineChars="200"/>
        <w:outlineLvl w:val="1"/>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水分按GB 5009.3规定的方法进行测定。</w:t>
      </w:r>
    </w:p>
    <w:p w14:paraId="32CB0AD9">
      <w:pPr>
        <w:spacing w:line="560" w:lineRule="exact"/>
        <w:ind w:firstLine="640" w:firstLineChars="200"/>
        <w:outlineLvl w:val="1"/>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淀粉按GB 5009.9规定的方法进行测定。</w:t>
      </w:r>
    </w:p>
    <w:p w14:paraId="75A2594B">
      <w:pPr>
        <w:spacing w:line="560" w:lineRule="exact"/>
        <w:ind w:firstLine="640" w:firstLineChars="200"/>
        <w:outlineLvl w:val="1"/>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直链淀粉按GB/T 15683中非脱脂法规定的方法进行测定。</w:t>
      </w:r>
    </w:p>
    <w:p w14:paraId="38B0872E">
      <w:pPr>
        <w:spacing w:line="560" w:lineRule="exact"/>
        <w:ind w:firstLine="640" w:firstLineChars="200"/>
        <w:outlineLvl w:val="1"/>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灰分按GB 5009.4规定的方法进行测定。</w:t>
      </w:r>
    </w:p>
    <w:p w14:paraId="5E294E48">
      <w:pPr>
        <w:spacing w:line="560" w:lineRule="exact"/>
        <w:ind w:firstLine="640" w:firstLineChars="200"/>
        <w:outlineLvl w:val="1"/>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钙、铁、锌、硒按GB 5009.268规定的方法进行测定。</w:t>
      </w:r>
    </w:p>
    <w:p w14:paraId="286C5A9E">
      <w:pPr>
        <w:spacing w:line="560" w:lineRule="exact"/>
        <w:ind w:firstLine="640" w:firstLineChars="200"/>
        <w:outlineLvl w:val="1"/>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总黄酮按SN/T 4592规定的方法进行测定。</w:t>
      </w:r>
    </w:p>
    <w:p w14:paraId="709E7BB0">
      <w:pPr>
        <w:spacing w:line="560" w:lineRule="exact"/>
        <w:ind w:firstLine="640" w:firstLineChars="200"/>
        <w:outlineLvl w:val="1"/>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酸度按GB 5009.239规定的方法进行测定。</w:t>
      </w:r>
    </w:p>
    <w:p w14:paraId="19B7F8E6">
      <w:pPr>
        <w:spacing w:line="560" w:lineRule="exact"/>
        <w:ind w:firstLine="640" w:firstLineChars="200"/>
        <w:outlineLvl w:val="1"/>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黄曲霉毒素B1按GB 5009.22规定的方法进行测定。</w:t>
      </w:r>
    </w:p>
    <w:p w14:paraId="0D9C387A">
      <w:pPr>
        <w:spacing w:line="560" w:lineRule="exact"/>
        <w:ind w:firstLine="643" w:firstLineChars="200"/>
        <w:outlineLvl w:val="1"/>
        <w:rPr>
          <w:rFonts w:hint="default" w:ascii="仿宋_GB2312" w:eastAsia="仿宋_GB2312"/>
          <w:b/>
          <w:bCs/>
          <w:color w:val="auto"/>
          <w:sz w:val="32"/>
          <w:szCs w:val="32"/>
          <w:lang w:val="en-US" w:eastAsia="zh-CN"/>
        </w:rPr>
      </w:pPr>
      <w:r>
        <w:rPr>
          <w:rFonts w:hint="eastAsia" w:ascii="仿宋_GB2312" w:eastAsia="仿宋_GB2312"/>
          <w:b/>
          <w:bCs/>
          <w:color w:val="auto"/>
          <w:sz w:val="32"/>
          <w:szCs w:val="32"/>
          <w:lang w:val="en-US" w:eastAsia="zh-CN"/>
        </w:rPr>
        <w:t>4.3食品安全</w:t>
      </w:r>
    </w:p>
    <w:p w14:paraId="4B1064EA">
      <w:pPr>
        <w:pStyle w:val="14"/>
        <w:spacing w:line="560" w:lineRule="exact"/>
        <w:ind w:firstLine="640" w:firstLineChars="200"/>
        <w:outlineLvl w:val="1"/>
        <w:rPr>
          <w:rFonts w:hint="eastAsia" w:eastAsia="仿宋_GB2312"/>
          <w:color w:val="auto"/>
        </w:rPr>
      </w:pPr>
      <w:r>
        <w:rPr>
          <w:rFonts w:hint="eastAsia" w:eastAsia="仿宋_GB2312"/>
          <w:color w:val="auto"/>
        </w:rPr>
        <w:t>污染物限量、微生物限量、真菌毒素限量等安全指标</w:t>
      </w:r>
      <w:r>
        <w:rPr>
          <w:rFonts w:hint="eastAsia" w:eastAsia="仿宋_GB2312"/>
          <w:color w:val="auto"/>
          <w:lang w:val="en-US" w:eastAsia="zh-CN"/>
        </w:rPr>
        <w:t>按</w:t>
      </w:r>
      <w:r>
        <w:rPr>
          <w:rFonts w:hint="eastAsia" w:eastAsia="仿宋_GB2312"/>
          <w:color w:val="auto"/>
        </w:rPr>
        <w:t>GB 2713  食品安全国家标准  淀粉制品</w:t>
      </w:r>
      <w:r>
        <w:rPr>
          <w:rFonts w:hint="eastAsia" w:eastAsia="仿宋_GB2312"/>
          <w:color w:val="auto"/>
          <w:lang w:val="en-US" w:eastAsia="zh-CN"/>
        </w:rPr>
        <w:t>的规定执行</w:t>
      </w:r>
      <w:r>
        <w:rPr>
          <w:rFonts w:hint="eastAsia" w:eastAsia="仿宋_GB2312"/>
          <w:color w:val="auto"/>
        </w:rPr>
        <w:t>。</w:t>
      </w:r>
    </w:p>
    <w:p w14:paraId="28011EA4">
      <w:pPr>
        <w:pStyle w:val="14"/>
        <w:spacing w:line="560" w:lineRule="exact"/>
        <w:ind w:firstLine="640" w:firstLineChars="200"/>
        <w:outlineLvl w:val="1"/>
        <w:rPr>
          <w:rFonts w:hint="default" w:eastAsia="仿宋_GB2312"/>
          <w:color w:val="auto"/>
          <w:lang w:val="en-US" w:eastAsia="zh-CN"/>
        </w:rPr>
      </w:pPr>
      <w:r>
        <w:rPr>
          <w:rFonts w:hint="eastAsia" w:eastAsia="仿宋_GB2312"/>
          <w:color w:val="auto"/>
          <w:lang w:val="en-US" w:eastAsia="zh-CN"/>
        </w:rPr>
        <w:t>4.4</w:t>
      </w:r>
      <w:r>
        <w:rPr>
          <w:rFonts w:hint="default" w:eastAsia="仿宋_GB2312"/>
          <w:color w:val="auto"/>
          <w:lang w:val="en-US" w:eastAsia="zh-CN"/>
        </w:rPr>
        <w:t>净含量按JJF 1070规定的方法进行测定。</w:t>
      </w:r>
    </w:p>
    <w:p w14:paraId="6F9BBDDB">
      <w:pPr>
        <w:pStyle w:val="14"/>
        <w:spacing w:after="0" w:line="560" w:lineRule="exact"/>
        <w:ind w:firstLine="643" w:firstLineChars="200"/>
        <w:outlineLvl w:val="1"/>
        <w:rPr>
          <w:rFonts w:ascii="仿宋_GB2312" w:eastAsia="仿宋_GB2312"/>
          <w:b/>
          <w:bCs/>
          <w:color w:val="auto"/>
        </w:rPr>
      </w:pPr>
      <w:r>
        <w:rPr>
          <w:rFonts w:hint="eastAsia" w:ascii="仿宋_GB2312" w:eastAsia="仿宋_GB2312"/>
          <w:b/>
          <w:bCs/>
          <w:color w:val="auto"/>
        </w:rPr>
        <w:t>（</w:t>
      </w:r>
      <w:r>
        <w:rPr>
          <w:rFonts w:hint="eastAsia" w:ascii="仿宋_GB2312" w:eastAsia="仿宋_GB2312"/>
          <w:b/>
          <w:bCs/>
          <w:color w:val="auto"/>
          <w:lang w:val="en-US" w:eastAsia="zh-CN"/>
        </w:rPr>
        <w:t>五</w:t>
      </w:r>
      <w:r>
        <w:rPr>
          <w:rFonts w:hint="eastAsia" w:ascii="仿宋_GB2312" w:eastAsia="仿宋_GB2312"/>
          <w:b/>
          <w:bCs/>
          <w:color w:val="auto"/>
        </w:rPr>
        <w:t>）检验规则</w:t>
      </w:r>
    </w:p>
    <w:p w14:paraId="44CF6302">
      <w:pPr>
        <w:pStyle w:val="14"/>
        <w:spacing w:after="0" w:line="560" w:lineRule="exact"/>
        <w:ind w:firstLine="640" w:firstLineChars="200"/>
        <w:rPr>
          <w:rFonts w:ascii="仿宋_GB2312" w:eastAsia="仿宋_GB2312"/>
          <w:bCs/>
          <w:color w:val="auto"/>
        </w:rPr>
      </w:pPr>
      <w:r>
        <w:rPr>
          <w:rFonts w:hint="eastAsia" w:ascii="仿宋_GB2312" w:eastAsia="仿宋_GB2312"/>
          <w:bCs/>
          <w:color w:val="auto"/>
        </w:rPr>
        <w:t>检验规则依据</w:t>
      </w:r>
      <w:r>
        <w:rPr>
          <w:rFonts w:hint="eastAsia" w:ascii="仿宋_GB2312" w:eastAsia="仿宋_GB2312"/>
          <w:bCs/>
          <w:color w:val="auto"/>
          <w:lang w:eastAsia="zh-CN"/>
        </w:rPr>
        <w:t>红桄榔粉</w:t>
      </w:r>
      <w:r>
        <w:rPr>
          <w:rFonts w:hint="eastAsia" w:ascii="仿宋_GB2312" w:eastAsia="仿宋_GB2312"/>
          <w:bCs/>
          <w:color w:val="auto"/>
        </w:rPr>
        <w:t>产品生产实际确定，包括组批、抽样、</w:t>
      </w:r>
      <w:r>
        <w:rPr>
          <w:rFonts w:hint="eastAsia" w:ascii="仿宋_GB2312" w:eastAsia="仿宋_GB2312"/>
          <w:bCs/>
          <w:color w:val="auto"/>
          <w:lang w:val="en-US" w:eastAsia="zh-CN"/>
        </w:rPr>
        <w:t>出厂</w:t>
      </w:r>
      <w:r>
        <w:rPr>
          <w:rFonts w:hint="eastAsia" w:ascii="仿宋_GB2312" w:eastAsia="仿宋_GB2312"/>
          <w:bCs/>
          <w:color w:val="auto"/>
        </w:rPr>
        <w:t>检验、型式检验和判定规则。</w:t>
      </w:r>
    </w:p>
    <w:p w14:paraId="631625A8">
      <w:pPr>
        <w:pStyle w:val="14"/>
        <w:spacing w:after="0" w:line="560" w:lineRule="exact"/>
        <w:ind w:firstLine="643" w:firstLineChars="200"/>
        <w:outlineLvl w:val="1"/>
        <w:rPr>
          <w:rFonts w:hint="eastAsia" w:ascii="仿宋_GB2312" w:eastAsia="仿宋_GB2312"/>
          <w:b/>
          <w:bCs/>
          <w:color w:val="auto"/>
          <w:lang w:val="en-US" w:eastAsia="zh-CN"/>
        </w:rPr>
      </w:pPr>
      <w:r>
        <w:rPr>
          <w:rFonts w:hint="eastAsia" w:ascii="仿宋_GB2312" w:eastAsia="仿宋_GB2312"/>
          <w:b/>
          <w:bCs/>
          <w:color w:val="auto"/>
        </w:rPr>
        <w:t>（</w:t>
      </w:r>
      <w:r>
        <w:rPr>
          <w:rFonts w:hint="eastAsia" w:ascii="仿宋_GB2312" w:eastAsia="仿宋_GB2312"/>
          <w:b/>
          <w:bCs/>
          <w:color w:val="auto"/>
          <w:lang w:val="en-US" w:eastAsia="zh-CN"/>
        </w:rPr>
        <w:t>六</w:t>
      </w:r>
      <w:r>
        <w:rPr>
          <w:rFonts w:hint="eastAsia" w:ascii="仿宋_GB2312" w:eastAsia="仿宋_GB2312"/>
          <w:b/>
          <w:bCs/>
          <w:color w:val="auto"/>
        </w:rPr>
        <w:t>）标志、标签、包装</w:t>
      </w:r>
      <w:r>
        <w:rPr>
          <w:rFonts w:hint="eastAsia" w:ascii="仿宋_GB2312" w:eastAsia="仿宋_GB2312"/>
          <w:b/>
          <w:bCs/>
          <w:color w:val="auto"/>
          <w:lang w:eastAsia="zh-CN"/>
        </w:rPr>
        <w:t>、</w:t>
      </w:r>
      <w:r>
        <w:rPr>
          <w:rFonts w:hint="eastAsia" w:ascii="仿宋_GB2312" w:eastAsia="仿宋_GB2312"/>
          <w:b/>
          <w:bCs/>
          <w:color w:val="auto"/>
        </w:rPr>
        <w:t>运输和</w:t>
      </w:r>
      <w:r>
        <w:rPr>
          <w:rFonts w:hint="eastAsia" w:ascii="仿宋_GB2312" w:eastAsia="仿宋_GB2312"/>
          <w:b/>
          <w:bCs/>
          <w:color w:val="auto"/>
          <w:lang w:val="en-US" w:eastAsia="zh-CN"/>
        </w:rPr>
        <w:t>贮存</w:t>
      </w:r>
    </w:p>
    <w:p w14:paraId="63AF8761">
      <w:pPr>
        <w:pStyle w:val="15"/>
        <w:ind w:firstLine="640"/>
        <w:rPr>
          <w:rFonts w:ascii="仿宋_GB2312" w:eastAsia="仿宋_GB2312" w:cstheme="minorBidi"/>
          <w:bCs/>
          <w:color w:val="auto"/>
          <w:kern w:val="2"/>
          <w:sz w:val="32"/>
          <w:szCs w:val="32"/>
        </w:rPr>
      </w:pPr>
      <w:r>
        <w:rPr>
          <w:rFonts w:hint="eastAsia" w:ascii="仿宋_GB2312" w:eastAsia="仿宋_GB2312" w:cstheme="minorBidi"/>
          <w:bCs/>
          <w:color w:val="auto"/>
          <w:kern w:val="2"/>
          <w:sz w:val="32"/>
          <w:szCs w:val="32"/>
        </w:rPr>
        <w:t>标志、标签、包装和运输主要依据多年来</w:t>
      </w:r>
      <w:r>
        <w:rPr>
          <w:rFonts w:hint="eastAsia" w:ascii="仿宋_GB2312" w:eastAsia="仿宋_GB2312" w:cstheme="minorBidi"/>
          <w:bCs/>
          <w:color w:val="auto"/>
          <w:kern w:val="2"/>
          <w:sz w:val="32"/>
          <w:szCs w:val="32"/>
          <w:lang w:eastAsia="zh-CN"/>
        </w:rPr>
        <w:t>红桄榔粉</w:t>
      </w:r>
      <w:r>
        <w:rPr>
          <w:rFonts w:hint="eastAsia" w:ascii="仿宋_GB2312" w:eastAsia="仿宋_GB2312" w:cstheme="minorBidi"/>
          <w:bCs/>
          <w:color w:val="auto"/>
          <w:kern w:val="2"/>
          <w:sz w:val="32"/>
          <w:szCs w:val="32"/>
        </w:rPr>
        <w:t>生产实际和销售需求进行研讨确定。标签应符合GB 7718、GB 28050的要求，包装材料符合GB 23350的规定</w:t>
      </w:r>
      <w:r>
        <w:rPr>
          <w:rFonts w:hint="eastAsia" w:ascii="仿宋_GB2312" w:eastAsia="仿宋_GB2312" w:cstheme="minorBidi"/>
          <w:bCs/>
          <w:color w:val="auto"/>
          <w:kern w:val="2"/>
          <w:sz w:val="32"/>
          <w:szCs w:val="32"/>
          <w:lang w:eastAsia="zh-CN"/>
        </w:rPr>
        <w:t>，</w:t>
      </w:r>
      <w:r>
        <w:rPr>
          <w:rFonts w:hint="eastAsia" w:ascii="仿宋_GB2312" w:eastAsia="仿宋_GB2312" w:cstheme="minorBidi"/>
          <w:bCs/>
          <w:color w:val="auto"/>
          <w:kern w:val="2"/>
          <w:sz w:val="32"/>
          <w:szCs w:val="32"/>
        </w:rPr>
        <w:t>包装储运图示标志应符合GB/T 191的规定。</w:t>
      </w:r>
    </w:p>
    <w:p w14:paraId="5FE97CE9">
      <w:pPr>
        <w:numPr>
          <w:ilvl w:val="0"/>
          <w:numId w:val="2"/>
        </w:numPr>
        <w:overflowPunct w:val="0"/>
        <w:topLinePunct/>
        <w:spacing w:line="560" w:lineRule="exact"/>
        <w:ind w:firstLine="448" w:firstLineChars="140"/>
        <w:outlineLvl w:val="0"/>
        <w:rPr>
          <w:rFonts w:eastAsia="黑体"/>
          <w:bCs/>
          <w:color w:val="auto"/>
          <w:sz w:val="32"/>
          <w:szCs w:val="32"/>
        </w:rPr>
      </w:pPr>
      <w:r>
        <w:rPr>
          <w:rFonts w:hint="eastAsia" w:eastAsia="黑体"/>
          <w:bCs/>
          <w:color w:val="auto"/>
          <w:sz w:val="32"/>
          <w:szCs w:val="32"/>
        </w:rPr>
        <w:t>重大意见分歧的处理依据和结果</w:t>
      </w:r>
    </w:p>
    <w:p w14:paraId="1B69ED55">
      <w:pPr>
        <w:overflowPunct w:val="0"/>
        <w:topLinePunct/>
        <w:spacing w:line="560" w:lineRule="exact"/>
        <w:ind w:firstLine="640"/>
        <w:rPr>
          <w:rFonts w:eastAsia="仿宋_GB2312"/>
          <w:color w:val="auto"/>
          <w:sz w:val="32"/>
          <w:szCs w:val="32"/>
        </w:rPr>
      </w:pPr>
      <w:r>
        <w:rPr>
          <w:rFonts w:hint="eastAsia" w:eastAsia="仿宋_GB2312"/>
          <w:color w:val="auto"/>
          <w:sz w:val="32"/>
          <w:szCs w:val="32"/>
        </w:rPr>
        <w:t>本标准研制过程中无重大分歧意见。</w:t>
      </w:r>
    </w:p>
    <w:p w14:paraId="49C2A4EE">
      <w:pPr>
        <w:numPr>
          <w:ilvl w:val="0"/>
          <w:numId w:val="2"/>
        </w:numPr>
        <w:overflowPunct w:val="0"/>
        <w:topLinePunct/>
        <w:spacing w:line="560" w:lineRule="exact"/>
        <w:ind w:left="600"/>
        <w:outlineLvl w:val="0"/>
        <w:rPr>
          <w:rFonts w:eastAsia="黑体"/>
          <w:bCs/>
          <w:color w:val="auto"/>
          <w:sz w:val="32"/>
          <w:szCs w:val="32"/>
        </w:rPr>
      </w:pPr>
      <w:r>
        <w:rPr>
          <w:rFonts w:hint="eastAsia" w:eastAsia="黑体"/>
          <w:bCs/>
          <w:color w:val="auto"/>
          <w:sz w:val="32"/>
          <w:szCs w:val="32"/>
        </w:rPr>
        <w:t>实施标准的措施</w:t>
      </w:r>
    </w:p>
    <w:p w14:paraId="4B3E0A23">
      <w:pPr>
        <w:spacing w:line="560" w:lineRule="exact"/>
        <w:ind w:firstLine="643" w:firstLineChars="200"/>
        <w:rPr>
          <w:rFonts w:ascii="仿宋_GB2312" w:eastAsia="仿宋_GB2312"/>
          <w:b/>
          <w:bCs/>
          <w:color w:val="auto"/>
          <w:sz w:val="32"/>
          <w:szCs w:val="32"/>
        </w:rPr>
      </w:pPr>
      <w:r>
        <w:rPr>
          <w:rFonts w:hint="eastAsia" w:ascii="仿宋_GB2312" w:eastAsia="仿宋_GB2312"/>
          <w:b/>
          <w:bCs/>
          <w:color w:val="auto"/>
          <w:sz w:val="32"/>
          <w:szCs w:val="32"/>
        </w:rPr>
        <w:t>（一）标准报批发布后，成立标准宣贯工作组</w:t>
      </w:r>
    </w:p>
    <w:p w14:paraId="2617CC17">
      <w:pPr>
        <w:spacing w:line="560" w:lineRule="exact"/>
        <w:ind w:firstLine="640" w:firstLineChars="200"/>
        <w:rPr>
          <w:rFonts w:ascii="仿宋_GB2312" w:eastAsia="仿宋_GB2312"/>
          <w:bCs/>
          <w:color w:val="auto"/>
          <w:sz w:val="32"/>
          <w:szCs w:val="32"/>
        </w:rPr>
      </w:pPr>
      <w:r>
        <w:rPr>
          <w:rFonts w:hint="eastAsia" w:ascii="仿宋_GB2312" w:eastAsia="仿宋_GB2312"/>
          <w:bCs/>
          <w:color w:val="auto"/>
          <w:sz w:val="32"/>
          <w:szCs w:val="32"/>
        </w:rPr>
        <w:t>本标准发布后，成立以标准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79FD4CFE">
      <w:pPr>
        <w:spacing w:line="560" w:lineRule="exact"/>
        <w:ind w:firstLine="643" w:firstLineChars="200"/>
        <w:rPr>
          <w:rFonts w:ascii="仿宋_GB2312" w:eastAsia="仿宋_GB2312"/>
          <w:b/>
          <w:bCs/>
          <w:color w:val="auto"/>
          <w:sz w:val="32"/>
          <w:szCs w:val="32"/>
        </w:rPr>
      </w:pPr>
      <w:r>
        <w:rPr>
          <w:rFonts w:hint="eastAsia" w:ascii="仿宋_GB2312" w:eastAsia="仿宋_GB2312"/>
          <w:b/>
          <w:bCs/>
          <w:color w:val="auto"/>
          <w:sz w:val="32"/>
          <w:szCs w:val="32"/>
        </w:rPr>
        <w:t>（二）组织开展标准宣贯培训</w:t>
      </w:r>
    </w:p>
    <w:p w14:paraId="057FA6C9">
      <w:pPr>
        <w:spacing w:line="560" w:lineRule="exact"/>
        <w:ind w:firstLine="640" w:firstLineChars="200"/>
        <w:rPr>
          <w:rFonts w:ascii="仿宋_GB2312" w:eastAsia="仿宋_GB2312"/>
          <w:bCs/>
          <w:color w:val="auto"/>
          <w:sz w:val="32"/>
          <w:szCs w:val="32"/>
        </w:rPr>
      </w:pPr>
      <w:r>
        <w:rPr>
          <w:rFonts w:hint="eastAsia" w:ascii="仿宋_GB2312" w:eastAsia="仿宋_GB2312"/>
          <w:bCs/>
          <w:color w:val="auto"/>
          <w:sz w:val="32"/>
          <w:szCs w:val="32"/>
        </w:rPr>
        <w:t>标准发布实施后，标准宣贯工作小组制作标准解读宣贯培训PPT课件和标准核心技术明白书，并按标准宣贯培训计划深入</w:t>
      </w:r>
      <w:r>
        <w:rPr>
          <w:rFonts w:hint="eastAsia" w:ascii="仿宋_GB2312" w:eastAsia="仿宋_GB2312"/>
          <w:bCs/>
          <w:color w:val="auto"/>
          <w:sz w:val="32"/>
          <w:szCs w:val="32"/>
          <w:lang w:eastAsia="zh-CN"/>
        </w:rPr>
        <w:t>红桄榔粉</w:t>
      </w:r>
      <w:r>
        <w:rPr>
          <w:rFonts w:hint="eastAsia" w:ascii="仿宋_GB2312" w:eastAsia="仿宋_GB2312"/>
          <w:bCs/>
          <w:color w:val="auto"/>
          <w:sz w:val="32"/>
          <w:szCs w:val="32"/>
        </w:rPr>
        <w:t>加工企业等开展标准宣贯培训，对标准进行逐条解读，助力标准实施落地，推动</w:t>
      </w:r>
      <w:r>
        <w:rPr>
          <w:rFonts w:hint="eastAsia" w:ascii="仿宋_GB2312" w:eastAsia="仿宋_GB2312"/>
          <w:bCs/>
          <w:color w:val="auto"/>
          <w:sz w:val="32"/>
          <w:szCs w:val="32"/>
          <w:lang w:eastAsia="zh-CN"/>
        </w:rPr>
        <w:t>红桄榔粉</w:t>
      </w:r>
      <w:r>
        <w:rPr>
          <w:rFonts w:ascii="仿宋_GB2312" w:eastAsia="仿宋_GB2312"/>
          <w:bCs/>
          <w:color w:val="auto"/>
          <w:sz w:val="32"/>
          <w:szCs w:val="32"/>
        </w:rPr>
        <w:t>产业</w:t>
      </w:r>
      <w:r>
        <w:rPr>
          <w:rFonts w:hint="eastAsia" w:ascii="仿宋_GB2312" w:eastAsia="仿宋_GB2312"/>
          <w:bCs/>
          <w:color w:val="auto"/>
          <w:sz w:val="32"/>
          <w:szCs w:val="32"/>
        </w:rPr>
        <w:t>高质量发展。</w:t>
      </w:r>
    </w:p>
    <w:p w14:paraId="0D2E1FE6">
      <w:pPr>
        <w:spacing w:line="560" w:lineRule="exact"/>
        <w:ind w:firstLine="643" w:firstLineChars="200"/>
        <w:rPr>
          <w:rFonts w:ascii="仿宋_GB2312" w:eastAsia="仿宋_GB2312"/>
          <w:b/>
          <w:bCs/>
          <w:color w:val="auto"/>
          <w:sz w:val="32"/>
          <w:szCs w:val="32"/>
        </w:rPr>
      </w:pPr>
      <w:r>
        <w:rPr>
          <w:rFonts w:hint="eastAsia" w:ascii="仿宋_GB2312" w:eastAsia="仿宋_GB2312"/>
          <w:b/>
          <w:bCs/>
          <w:color w:val="auto"/>
          <w:sz w:val="32"/>
          <w:szCs w:val="32"/>
        </w:rPr>
        <w:t>（三）开展标准实施交流会，收集标准实施反馈信息</w:t>
      </w:r>
    </w:p>
    <w:p w14:paraId="3D8A7AD8">
      <w:pPr>
        <w:spacing w:line="560" w:lineRule="exact"/>
        <w:ind w:firstLine="640" w:firstLineChars="200"/>
        <w:rPr>
          <w:rFonts w:ascii="仿宋_GB2312" w:eastAsia="仿宋_GB2312"/>
          <w:bCs/>
          <w:color w:val="auto"/>
          <w:sz w:val="32"/>
          <w:szCs w:val="32"/>
        </w:rPr>
      </w:pPr>
      <w:r>
        <w:rPr>
          <w:rFonts w:hint="eastAsia" w:ascii="仿宋_GB2312" w:eastAsia="仿宋_GB2312"/>
          <w:bCs/>
          <w:color w:val="auto"/>
          <w:sz w:val="32"/>
          <w:szCs w:val="32"/>
        </w:rPr>
        <w:t>标准起草小组深入各市县管理人员和相关技术人员召开标准实施交流会，听取标准实施过程中存在的问题并做好记录和解答，对存在的问题组织专家团队进行研讨，为标准的复审修订做准备。</w:t>
      </w:r>
    </w:p>
    <w:p w14:paraId="04978478">
      <w:pPr>
        <w:spacing w:line="560" w:lineRule="exact"/>
        <w:ind w:firstLine="643" w:firstLineChars="200"/>
        <w:rPr>
          <w:rFonts w:ascii="仿宋_GB2312" w:eastAsia="仿宋_GB2312"/>
          <w:b/>
          <w:bCs/>
          <w:color w:val="auto"/>
          <w:sz w:val="32"/>
          <w:szCs w:val="32"/>
        </w:rPr>
      </w:pPr>
      <w:r>
        <w:rPr>
          <w:rFonts w:hint="eastAsia" w:ascii="仿宋_GB2312" w:eastAsia="仿宋_GB2312"/>
          <w:b/>
          <w:bCs/>
          <w:color w:val="auto"/>
          <w:sz w:val="32"/>
          <w:szCs w:val="32"/>
        </w:rPr>
        <w:t>（四）开展标准实施效果评估</w:t>
      </w:r>
    </w:p>
    <w:p w14:paraId="43C19475">
      <w:pPr>
        <w:spacing w:line="560" w:lineRule="exact"/>
        <w:ind w:firstLine="640" w:firstLineChars="200"/>
        <w:rPr>
          <w:rFonts w:ascii="仿宋_GB2312" w:eastAsia="仿宋_GB2312"/>
          <w:bCs/>
          <w:color w:val="auto"/>
          <w:sz w:val="32"/>
          <w:szCs w:val="32"/>
        </w:rPr>
      </w:pPr>
      <w:r>
        <w:rPr>
          <w:rFonts w:hint="eastAsia" w:ascii="仿宋_GB2312" w:eastAsia="仿宋_GB2312"/>
          <w:bCs/>
          <w:color w:val="auto"/>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14:paraId="7469346D">
      <w:pPr>
        <w:numPr>
          <w:ilvl w:val="0"/>
          <w:numId w:val="2"/>
        </w:numPr>
        <w:overflowPunct w:val="0"/>
        <w:topLinePunct/>
        <w:spacing w:line="560" w:lineRule="exact"/>
        <w:ind w:left="600"/>
        <w:outlineLvl w:val="0"/>
        <w:rPr>
          <w:rFonts w:eastAsia="黑体"/>
          <w:bCs/>
          <w:color w:val="auto"/>
          <w:sz w:val="32"/>
          <w:szCs w:val="32"/>
        </w:rPr>
      </w:pPr>
      <w:r>
        <w:rPr>
          <w:rFonts w:hint="eastAsia" w:eastAsia="黑体"/>
          <w:bCs/>
          <w:color w:val="auto"/>
          <w:sz w:val="32"/>
          <w:szCs w:val="32"/>
        </w:rPr>
        <w:t>其他应当说明的事项</w:t>
      </w:r>
    </w:p>
    <w:p w14:paraId="030D3755">
      <w:pPr>
        <w:spacing w:line="560" w:lineRule="exact"/>
        <w:ind w:firstLine="640" w:firstLineChars="200"/>
        <w:rPr>
          <w:rFonts w:ascii="仿宋_GB2312" w:eastAsia="仿宋_GB2312"/>
          <w:bCs/>
          <w:color w:val="auto"/>
          <w:sz w:val="32"/>
          <w:szCs w:val="32"/>
        </w:rPr>
      </w:pPr>
      <w:r>
        <w:rPr>
          <w:rFonts w:hint="eastAsia" w:ascii="仿宋_GB2312" w:eastAsia="仿宋_GB2312"/>
          <w:bCs/>
          <w:color w:val="auto"/>
          <w:sz w:val="32"/>
          <w:szCs w:val="32"/>
          <w:lang w:val="zh-CN"/>
        </w:rPr>
        <w:t>无。</w:t>
      </w:r>
    </w:p>
    <w:p w14:paraId="2D106390">
      <w:pPr>
        <w:overflowPunct w:val="0"/>
        <w:topLinePunct/>
        <w:spacing w:line="560" w:lineRule="exact"/>
        <w:ind w:firstLine="640"/>
        <w:rPr>
          <w:rFonts w:eastAsia="仿宋_GB2312"/>
          <w:color w:val="auto"/>
          <w:sz w:val="32"/>
          <w:szCs w:val="32"/>
        </w:rPr>
      </w:pPr>
    </w:p>
    <w:p w14:paraId="68C8612E">
      <w:pPr>
        <w:overflowPunct w:val="0"/>
        <w:topLinePunct/>
        <w:spacing w:line="560" w:lineRule="exact"/>
        <w:jc w:val="center"/>
        <w:rPr>
          <w:rFonts w:eastAsia="仿宋_GB2312"/>
          <w:color w:val="auto"/>
          <w:sz w:val="32"/>
          <w:szCs w:val="32"/>
        </w:rPr>
      </w:pPr>
      <w:r>
        <w:rPr>
          <w:rFonts w:hint="eastAsia" w:eastAsia="仿宋_GB2312"/>
          <w:color w:val="auto"/>
          <w:sz w:val="32"/>
          <w:szCs w:val="32"/>
        </w:rPr>
        <w:t xml:space="preserve">                 团体标准《</w:t>
      </w:r>
      <w:r>
        <w:rPr>
          <w:rFonts w:hint="eastAsia" w:eastAsia="仿宋_GB2312"/>
          <w:color w:val="auto"/>
          <w:sz w:val="32"/>
          <w:szCs w:val="32"/>
          <w:lang w:eastAsia="zh-CN"/>
        </w:rPr>
        <w:t>红桄榔粉</w:t>
      </w:r>
      <w:r>
        <w:rPr>
          <w:rFonts w:hint="eastAsia" w:eastAsia="仿宋_GB2312"/>
          <w:color w:val="auto"/>
          <w:sz w:val="32"/>
          <w:szCs w:val="32"/>
        </w:rPr>
        <w:t>》</w:t>
      </w:r>
    </w:p>
    <w:p w14:paraId="6A4518B2">
      <w:pPr>
        <w:overflowPunct w:val="0"/>
        <w:topLinePunct/>
        <w:spacing w:line="560" w:lineRule="exact"/>
        <w:jc w:val="center"/>
        <w:rPr>
          <w:rFonts w:eastAsia="仿宋_GB2312"/>
          <w:color w:val="auto"/>
          <w:sz w:val="32"/>
          <w:szCs w:val="32"/>
        </w:rPr>
      </w:pPr>
      <w:r>
        <w:rPr>
          <w:rFonts w:hint="eastAsia" w:eastAsia="仿宋_GB2312"/>
          <w:color w:val="auto"/>
          <w:sz w:val="32"/>
          <w:szCs w:val="32"/>
        </w:rPr>
        <w:t xml:space="preserve">                 标准编制工作组</w:t>
      </w:r>
    </w:p>
    <w:p w14:paraId="77D14F95">
      <w:pPr>
        <w:overflowPunct w:val="0"/>
        <w:topLinePunct/>
        <w:jc w:val="center"/>
        <w:rPr>
          <w:rFonts w:hint="eastAsia" w:ascii="宋体" w:hAnsi="宋体"/>
          <w:b/>
          <w:bCs/>
          <w:color w:val="auto"/>
          <w:sz w:val="30"/>
          <w:szCs w:val="30"/>
        </w:rPr>
      </w:pPr>
      <w:r>
        <w:rPr>
          <w:rFonts w:hint="eastAsia" w:eastAsia="仿宋_GB2312"/>
          <w:color w:val="auto"/>
          <w:sz w:val="32"/>
          <w:szCs w:val="32"/>
        </w:rPr>
        <w:t xml:space="preserve">                  202</w:t>
      </w:r>
      <w:r>
        <w:rPr>
          <w:rFonts w:hint="eastAsia" w:eastAsia="仿宋_GB2312"/>
          <w:color w:val="auto"/>
          <w:sz w:val="32"/>
          <w:szCs w:val="32"/>
          <w:lang w:val="en-US" w:eastAsia="zh-CN"/>
        </w:rPr>
        <w:t>6</w:t>
      </w:r>
      <w:r>
        <w:rPr>
          <w:rFonts w:hint="eastAsia" w:eastAsia="仿宋_GB2312"/>
          <w:color w:val="auto"/>
          <w:sz w:val="32"/>
          <w:szCs w:val="32"/>
        </w:rPr>
        <w:t>年</w:t>
      </w:r>
      <w:r>
        <w:rPr>
          <w:rFonts w:hint="eastAsia" w:eastAsia="仿宋_GB2312"/>
          <w:color w:val="auto"/>
          <w:sz w:val="32"/>
          <w:szCs w:val="32"/>
          <w:lang w:val="en-US" w:eastAsia="zh-CN"/>
        </w:rPr>
        <w:t>2</w:t>
      </w:r>
      <w:r>
        <w:rPr>
          <w:rFonts w:hint="eastAsia" w:eastAsia="仿宋_GB2312"/>
          <w:color w:val="auto"/>
          <w:sz w:val="32"/>
          <w:szCs w:val="32"/>
        </w:rPr>
        <w:t>月</w:t>
      </w:r>
      <w:r>
        <w:rPr>
          <w:rFonts w:hint="eastAsia" w:eastAsia="仿宋_GB2312"/>
          <w:color w:val="auto"/>
          <w:sz w:val="32"/>
          <w:szCs w:val="32"/>
          <w:lang w:val="en-US" w:eastAsia="zh-CN"/>
        </w:rPr>
        <w:t>5</w:t>
      </w:r>
      <w:r>
        <w:rPr>
          <w:rFonts w:hint="eastAsia" w:eastAsia="仿宋_GB2312"/>
          <w:color w:val="auto"/>
          <w:sz w:val="32"/>
          <w:szCs w:val="32"/>
        </w:rPr>
        <w:t>日</w:t>
      </w:r>
    </w:p>
    <w:p w14:paraId="33E70F0D">
      <w:pPr>
        <w:rPr>
          <w:rFonts w:hint="eastAsia" w:ascii="宋体" w:hAnsi="宋体"/>
          <w:b/>
          <w:bCs/>
          <w:color w:val="auto"/>
          <w:sz w:val="30"/>
          <w:szCs w:val="30"/>
        </w:rPr>
      </w:pPr>
    </w:p>
    <w:sectPr>
      <w:type w:val="continuous"/>
      <w:pgSz w:w="11906" w:h="16838"/>
      <w:pgMar w:top="1474" w:right="1800" w:bottom="1474" w:left="147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A023827-7A31-4597-9A6C-BB7B697EFD4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2000000000000000000"/>
    <w:charset w:val="86"/>
    <w:family w:val="auto"/>
    <w:pitch w:val="default"/>
    <w:sig w:usb0="00000001" w:usb1="080E0000" w:usb2="00000000" w:usb3="00000000" w:csb0="00040000" w:csb1="00000000"/>
    <w:embedRegular r:id="rId2" w:fontKey="{40042490-752B-473F-88D8-E599964D63E5}"/>
  </w:font>
  <w:font w:name="仿宋_GB2312">
    <w:panose1 w:val="02010609030101010101"/>
    <w:charset w:val="86"/>
    <w:family w:val="modern"/>
    <w:pitch w:val="default"/>
    <w:sig w:usb0="00000001" w:usb1="080E0000" w:usb2="00000000" w:usb3="00000000" w:csb0="00040000" w:csb1="00000000"/>
    <w:embedRegular r:id="rId3" w:fontKey="{BE076323-E3E5-4B33-8841-113CFB5D2F41}"/>
  </w:font>
  <w:font w:name="楷体">
    <w:panose1 w:val="02010609060101010101"/>
    <w:charset w:val="86"/>
    <w:family w:val="modern"/>
    <w:pitch w:val="default"/>
    <w:sig w:usb0="800002BF" w:usb1="38CF7CFA" w:usb2="00000016" w:usb3="00000000" w:csb0="00040001" w:csb1="00000000"/>
    <w:embedRegular r:id="rId4" w:fontKey="{73B3DCDA-A853-4C28-A04A-2B0C01851657}"/>
  </w:font>
  <w:font w:name="楷体_GB2312">
    <w:panose1 w:val="02010609030101010101"/>
    <w:charset w:val="86"/>
    <w:family w:val="modern"/>
    <w:pitch w:val="default"/>
    <w:sig w:usb0="00000001" w:usb1="080E0000" w:usb2="00000000" w:usb3="00000000" w:csb0="00040000" w:csb1="00000000"/>
    <w:embedRegular r:id="rId5" w:fontKey="{0E3AFBD9-BE25-4A48-9003-B6B84F8F6F32}"/>
  </w:font>
  <w:font w:name="WPSEMBED1">
    <w:panose1 w:val="02010609030101010101"/>
    <w:charset w:val="86"/>
    <w:family w:val="auto"/>
    <w:pitch w:val="default"/>
    <w:sig w:usb0="00000001" w:usb1="080E0000" w:usb2="00000000" w:usb3="00000000" w:csb0="00040000" w:csb1="00000000"/>
  </w:font>
  <w:font w:name="WPSEMBED2">
    <w:panose1 w:val="02010609030101010101"/>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3510058"/>
    </w:sdtPr>
    <w:sdtContent>
      <w:p w14:paraId="32162BEF">
        <w:pPr>
          <w:pStyle w:val="6"/>
          <w:jc w:val="center"/>
        </w:pPr>
        <w:r>
          <w:fldChar w:fldCharType="begin"/>
        </w:r>
        <w:r>
          <w:instrText xml:space="preserve">PAGE   \* MERGEFORMAT</w:instrText>
        </w:r>
        <w:r>
          <w:fldChar w:fldCharType="separate"/>
        </w:r>
        <w:r>
          <w:rPr>
            <w:lang w:val="zh-CN"/>
          </w:rPr>
          <w:t>2</w:t>
        </w:r>
        <w:r>
          <w:fldChar w:fldCharType="end"/>
        </w:r>
      </w:p>
    </w:sdtContent>
  </w:sdt>
  <w:p w14:paraId="17A039A2">
    <w:pPr>
      <w:pStyle w:val="6"/>
    </w:pPr>
  </w:p>
  <w:p w14:paraId="78CFAC1A"/>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EF3113">
    <w:pPr>
      <w:pStyle w:val="6"/>
    </w:pPr>
  </w:p>
  <w:p w14:paraId="4B3A67D7"/>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BCD494">
    <w:pPr>
      <w:pStyle w:val="7"/>
    </w:pPr>
  </w:p>
  <w:p w14:paraId="76340F6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040CA90"/>
    <w:multiLevelType w:val="singleLevel"/>
    <w:tmpl w:val="9040CA90"/>
    <w:lvl w:ilvl="0" w:tentative="0">
      <w:start w:val="1"/>
      <w:numFmt w:val="chineseCounting"/>
      <w:suff w:val="nothing"/>
      <w:lvlText w:val="%1、"/>
      <w:lvlJc w:val="left"/>
      <w:pPr>
        <w:tabs>
          <w:tab w:val="left" w:pos="0"/>
        </w:tabs>
        <w:ind w:left="150"/>
      </w:pPr>
      <w:rPr>
        <w:rFonts w:hint="eastAsia"/>
      </w:rPr>
    </w:lvl>
  </w:abstractNum>
  <w:abstractNum w:abstractNumId="1">
    <w:nsid w:val="4817A397"/>
    <w:multiLevelType w:val="singleLevel"/>
    <w:tmpl w:val="4817A397"/>
    <w:lvl w:ilvl="0" w:tentative="0">
      <w:start w:val="1"/>
      <w:numFmt w:val="chineseCounting"/>
      <w:suff w:val="nothing"/>
      <w:lvlText w:val="（%1）"/>
      <w:lvlJc w:val="left"/>
      <w:pPr>
        <w:ind w:left="300"/>
      </w:pPr>
      <w:rPr>
        <w:rFonts w:hint="eastAsia"/>
      </w:rPr>
    </w:lvl>
  </w:abstractNum>
  <w:abstractNum w:abstractNumId="2">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17"/>
      <w:suff w:val="nothing"/>
      <w:lvlText w:val="%1%2　"/>
      <w:lvlJc w:val="left"/>
      <w:pPr>
        <w:ind w:left="1277" w:firstLine="0"/>
      </w:pPr>
      <w:rPr>
        <w:rFonts w:hint="eastAsia" w:ascii="黑体" w:eastAsia="黑体"/>
        <w:b w:val="0"/>
        <w:i w:val="0"/>
        <w:sz w:val="21"/>
      </w:rPr>
    </w:lvl>
    <w:lvl w:ilvl="2" w:tentative="0">
      <w:start w:val="1"/>
      <w:numFmt w:val="decimal"/>
      <w:pStyle w:val="18"/>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31"/>
      <w:suff w:val="nothing"/>
      <w:lvlText w:val="%1%2.%3.%4　"/>
      <w:lvlJc w:val="left"/>
      <w:pPr>
        <w:ind w:left="567"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IwMWM2OGNjYmU4NTFlMTllYWNiZDQ3ZGI3OTk1MGMifQ=="/>
  </w:docVars>
  <w:rsids>
    <w:rsidRoot w:val="004B3BAA"/>
    <w:rsid w:val="000201E8"/>
    <w:rsid w:val="0002623B"/>
    <w:rsid w:val="0003164D"/>
    <w:rsid w:val="0005098D"/>
    <w:rsid w:val="000673E6"/>
    <w:rsid w:val="00086C03"/>
    <w:rsid w:val="000874C3"/>
    <w:rsid w:val="000C07EA"/>
    <w:rsid w:val="000D046F"/>
    <w:rsid w:val="000E0009"/>
    <w:rsid w:val="000F7DFC"/>
    <w:rsid w:val="001220F8"/>
    <w:rsid w:val="0013492F"/>
    <w:rsid w:val="00134A0F"/>
    <w:rsid w:val="0016317C"/>
    <w:rsid w:val="00175F58"/>
    <w:rsid w:val="0018254B"/>
    <w:rsid w:val="001E64BD"/>
    <w:rsid w:val="00221D41"/>
    <w:rsid w:val="002B5406"/>
    <w:rsid w:val="002D2D19"/>
    <w:rsid w:val="002D3FC3"/>
    <w:rsid w:val="002D6FFF"/>
    <w:rsid w:val="002F7696"/>
    <w:rsid w:val="00354C03"/>
    <w:rsid w:val="00355651"/>
    <w:rsid w:val="00362EBA"/>
    <w:rsid w:val="00367D4E"/>
    <w:rsid w:val="00367DC2"/>
    <w:rsid w:val="003A1EF7"/>
    <w:rsid w:val="003C5604"/>
    <w:rsid w:val="003D0813"/>
    <w:rsid w:val="00406244"/>
    <w:rsid w:val="00421E56"/>
    <w:rsid w:val="00426395"/>
    <w:rsid w:val="00436712"/>
    <w:rsid w:val="004831F7"/>
    <w:rsid w:val="004972B4"/>
    <w:rsid w:val="004A2D55"/>
    <w:rsid w:val="004B195E"/>
    <w:rsid w:val="004B3BAA"/>
    <w:rsid w:val="004D3EF1"/>
    <w:rsid w:val="004D4E56"/>
    <w:rsid w:val="004F42C8"/>
    <w:rsid w:val="004F7FA0"/>
    <w:rsid w:val="00510CC1"/>
    <w:rsid w:val="00523FC7"/>
    <w:rsid w:val="0053221A"/>
    <w:rsid w:val="00532C8C"/>
    <w:rsid w:val="00544CFC"/>
    <w:rsid w:val="00553D54"/>
    <w:rsid w:val="0057664B"/>
    <w:rsid w:val="005A69BD"/>
    <w:rsid w:val="005B1031"/>
    <w:rsid w:val="00671380"/>
    <w:rsid w:val="00671B27"/>
    <w:rsid w:val="00694BE5"/>
    <w:rsid w:val="0069736E"/>
    <w:rsid w:val="006E0284"/>
    <w:rsid w:val="006E091C"/>
    <w:rsid w:val="006E346D"/>
    <w:rsid w:val="00701455"/>
    <w:rsid w:val="00752513"/>
    <w:rsid w:val="00760595"/>
    <w:rsid w:val="00760D66"/>
    <w:rsid w:val="00785835"/>
    <w:rsid w:val="007A07E8"/>
    <w:rsid w:val="007A4CB7"/>
    <w:rsid w:val="007C7D2A"/>
    <w:rsid w:val="007F7CC5"/>
    <w:rsid w:val="0080535C"/>
    <w:rsid w:val="00811617"/>
    <w:rsid w:val="0081272A"/>
    <w:rsid w:val="008416BF"/>
    <w:rsid w:val="00852518"/>
    <w:rsid w:val="008A7BD2"/>
    <w:rsid w:val="008D09D0"/>
    <w:rsid w:val="00977440"/>
    <w:rsid w:val="00984889"/>
    <w:rsid w:val="00996C5F"/>
    <w:rsid w:val="009B7FE2"/>
    <w:rsid w:val="009E0ACE"/>
    <w:rsid w:val="009E4EBB"/>
    <w:rsid w:val="009E5456"/>
    <w:rsid w:val="00A22F84"/>
    <w:rsid w:val="00A258B9"/>
    <w:rsid w:val="00A32432"/>
    <w:rsid w:val="00A32DDD"/>
    <w:rsid w:val="00A61082"/>
    <w:rsid w:val="00A77CB1"/>
    <w:rsid w:val="00AB1114"/>
    <w:rsid w:val="00AE187F"/>
    <w:rsid w:val="00AF68B2"/>
    <w:rsid w:val="00B25F6F"/>
    <w:rsid w:val="00B427BC"/>
    <w:rsid w:val="00B45219"/>
    <w:rsid w:val="00B55F00"/>
    <w:rsid w:val="00B64D9B"/>
    <w:rsid w:val="00BC1F78"/>
    <w:rsid w:val="00C32C5C"/>
    <w:rsid w:val="00C52781"/>
    <w:rsid w:val="00C63A6B"/>
    <w:rsid w:val="00C73CB3"/>
    <w:rsid w:val="00C94156"/>
    <w:rsid w:val="00CB18EA"/>
    <w:rsid w:val="00CB24A8"/>
    <w:rsid w:val="00CE02C4"/>
    <w:rsid w:val="00CE3A1E"/>
    <w:rsid w:val="00CE7251"/>
    <w:rsid w:val="00D2209B"/>
    <w:rsid w:val="00D51942"/>
    <w:rsid w:val="00D5225A"/>
    <w:rsid w:val="00D72E68"/>
    <w:rsid w:val="00DD345C"/>
    <w:rsid w:val="00DF03BD"/>
    <w:rsid w:val="00DF6F18"/>
    <w:rsid w:val="00E05B40"/>
    <w:rsid w:val="00E07E1F"/>
    <w:rsid w:val="00E202DA"/>
    <w:rsid w:val="00E6082F"/>
    <w:rsid w:val="00E7687A"/>
    <w:rsid w:val="00E87C5F"/>
    <w:rsid w:val="00E9151D"/>
    <w:rsid w:val="00E9493F"/>
    <w:rsid w:val="00EB402C"/>
    <w:rsid w:val="00F207B2"/>
    <w:rsid w:val="00F24A3A"/>
    <w:rsid w:val="00F35B7B"/>
    <w:rsid w:val="00F42D73"/>
    <w:rsid w:val="00F526A2"/>
    <w:rsid w:val="00F90AA1"/>
    <w:rsid w:val="00F968B0"/>
    <w:rsid w:val="00FD2421"/>
    <w:rsid w:val="00FD646C"/>
    <w:rsid w:val="034833B0"/>
    <w:rsid w:val="052876E3"/>
    <w:rsid w:val="06B31595"/>
    <w:rsid w:val="08295516"/>
    <w:rsid w:val="08C84D21"/>
    <w:rsid w:val="09E558C4"/>
    <w:rsid w:val="0A3E3315"/>
    <w:rsid w:val="0BBD163C"/>
    <w:rsid w:val="0C405504"/>
    <w:rsid w:val="0E0B67CB"/>
    <w:rsid w:val="11421D1E"/>
    <w:rsid w:val="1319085D"/>
    <w:rsid w:val="142E34B0"/>
    <w:rsid w:val="163F43DA"/>
    <w:rsid w:val="170461EB"/>
    <w:rsid w:val="17A111FD"/>
    <w:rsid w:val="17EC1836"/>
    <w:rsid w:val="1C6D2903"/>
    <w:rsid w:val="1EA21346"/>
    <w:rsid w:val="1F8E7B35"/>
    <w:rsid w:val="1FF12682"/>
    <w:rsid w:val="224505A2"/>
    <w:rsid w:val="23D91976"/>
    <w:rsid w:val="26F7703F"/>
    <w:rsid w:val="2CF12CCC"/>
    <w:rsid w:val="2DCF3A11"/>
    <w:rsid w:val="2E6761C9"/>
    <w:rsid w:val="311D58A4"/>
    <w:rsid w:val="32742FD4"/>
    <w:rsid w:val="32921451"/>
    <w:rsid w:val="33B24EEB"/>
    <w:rsid w:val="34176890"/>
    <w:rsid w:val="362D721C"/>
    <w:rsid w:val="376A7EC8"/>
    <w:rsid w:val="37B84192"/>
    <w:rsid w:val="37FE303E"/>
    <w:rsid w:val="38FB05C0"/>
    <w:rsid w:val="38FB7B3D"/>
    <w:rsid w:val="39F9378A"/>
    <w:rsid w:val="3EB763B3"/>
    <w:rsid w:val="40B76A90"/>
    <w:rsid w:val="427654FD"/>
    <w:rsid w:val="42913E3D"/>
    <w:rsid w:val="449F2A1C"/>
    <w:rsid w:val="44C14411"/>
    <w:rsid w:val="45193B1A"/>
    <w:rsid w:val="45D564FC"/>
    <w:rsid w:val="46EC5343"/>
    <w:rsid w:val="476D46F8"/>
    <w:rsid w:val="48A0211B"/>
    <w:rsid w:val="4A1F474E"/>
    <w:rsid w:val="4A2470FB"/>
    <w:rsid w:val="4A3E4D64"/>
    <w:rsid w:val="4C51113D"/>
    <w:rsid w:val="4F2002A2"/>
    <w:rsid w:val="4F3A6B88"/>
    <w:rsid w:val="50990A0A"/>
    <w:rsid w:val="52804383"/>
    <w:rsid w:val="54576D98"/>
    <w:rsid w:val="55925537"/>
    <w:rsid w:val="57D52F63"/>
    <w:rsid w:val="58AC1B63"/>
    <w:rsid w:val="5A8F2AAE"/>
    <w:rsid w:val="5B4B2413"/>
    <w:rsid w:val="5C9A643B"/>
    <w:rsid w:val="5E476F2E"/>
    <w:rsid w:val="5F6E40AC"/>
    <w:rsid w:val="5FBC1319"/>
    <w:rsid w:val="60EB57D7"/>
    <w:rsid w:val="612C0848"/>
    <w:rsid w:val="66815499"/>
    <w:rsid w:val="68157353"/>
    <w:rsid w:val="6A144E09"/>
    <w:rsid w:val="6B9C2A21"/>
    <w:rsid w:val="6EBF1AED"/>
    <w:rsid w:val="6FB20070"/>
    <w:rsid w:val="722D2A5F"/>
    <w:rsid w:val="741B30AD"/>
    <w:rsid w:val="74EA05EB"/>
    <w:rsid w:val="754F00AF"/>
    <w:rsid w:val="758D2BCC"/>
    <w:rsid w:val="76632955"/>
    <w:rsid w:val="76FE1881"/>
    <w:rsid w:val="7C4D79BF"/>
    <w:rsid w:val="7FC241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Theme="minorEastAsia" w:cstheme="minorBidi"/>
      <w:kern w:val="2"/>
      <w:sz w:val="15"/>
      <w:szCs w:val="15"/>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1">
    <w:name w:val="Default Paragraph Font"/>
    <w:semiHidden/>
    <w:unhideWhenUsed/>
    <w:qFormat/>
    <w:uiPriority w:val="1"/>
  </w:style>
  <w:style w:type="table" w:default="1" w:styleId="9">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4">
    <w:name w:val="annotation text"/>
    <w:basedOn w:val="1"/>
    <w:unhideWhenUsed/>
    <w:qFormat/>
    <w:uiPriority w:val="99"/>
    <w:pPr>
      <w:jc w:val="left"/>
    </w:pPr>
  </w:style>
  <w:style w:type="paragraph" w:styleId="5">
    <w:name w:val="Balloon Text"/>
    <w:basedOn w:val="1"/>
    <w:link w:val="21"/>
    <w:qFormat/>
    <w:uiPriority w:val="0"/>
    <w:rPr>
      <w:sz w:val="18"/>
      <w:szCs w:val="18"/>
    </w:rPr>
  </w:style>
  <w:style w:type="paragraph" w:styleId="6">
    <w:name w:val="footer"/>
    <w:basedOn w:val="1"/>
    <w:link w:val="24"/>
    <w:qFormat/>
    <w:uiPriority w:val="99"/>
    <w:pPr>
      <w:tabs>
        <w:tab w:val="center" w:pos="4153"/>
        <w:tab w:val="right" w:pos="8306"/>
      </w:tabs>
      <w:snapToGrid w:val="0"/>
      <w:jc w:val="left"/>
    </w:pPr>
    <w:rPr>
      <w:sz w:val="18"/>
      <w:szCs w:val="18"/>
    </w:rPr>
  </w:style>
  <w:style w:type="paragraph" w:styleId="7">
    <w:name w:val="header"/>
    <w:basedOn w:val="1"/>
    <w:link w:val="20"/>
    <w:qFormat/>
    <w:uiPriority w:val="0"/>
    <w:pPr>
      <w:pBdr>
        <w:bottom w:val="single" w:color="auto" w:sz="6" w:space="1"/>
      </w:pBdr>
      <w:tabs>
        <w:tab w:val="center" w:pos="4153"/>
        <w:tab w:val="right" w:pos="8306"/>
      </w:tabs>
      <w:snapToGrid w:val="0"/>
      <w:jc w:val="center"/>
    </w:pPr>
    <w:rPr>
      <w:sz w:val="18"/>
      <w:szCs w:val="18"/>
    </w:rPr>
  </w:style>
  <w:style w:type="paragraph" w:styleId="8">
    <w:name w:val="Normal (Web)"/>
    <w:basedOn w:val="1"/>
    <w:qFormat/>
    <w:uiPriority w:val="99"/>
    <w:pPr>
      <w:spacing w:before="100" w:beforeAutospacing="1" w:after="100" w:afterAutospacing="1"/>
      <w:jc w:val="left"/>
    </w:pPr>
    <w:rPr>
      <w:kern w:val="0"/>
      <w:sz w:val="24"/>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Strong"/>
    <w:basedOn w:val="11"/>
    <w:qFormat/>
    <w:uiPriority w:val="0"/>
    <w:rPr>
      <w:b/>
    </w:rPr>
  </w:style>
  <w:style w:type="character" w:styleId="13">
    <w:name w:val="annotation reference"/>
    <w:basedOn w:val="11"/>
    <w:qFormat/>
    <w:uiPriority w:val="0"/>
    <w:rPr>
      <w:sz w:val="21"/>
      <w:szCs w:val="21"/>
    </w:rPr>
  </w:style>
  <w:style w:type="paragraph" w:customStyle="1" w:styleId="14">
    <w:name w:val="BodyText2"/>
    <w:basedOn w:val="1"/>
    <w:qFormat/>
    <w:uiPriority w:val="0"/>
    <w:pPr>
      <w:spacing w:after="120" w:line="480" w:lineRule="auto"/>
      <w:textAlignment w:val="baseline"/>
    </w:pPr>
    <w:rPr>
      <w:rFonts w:eastAsia="宋体"/>
      <w:sz w:val="32"/>
      <w:szCs w:val="32"/>
    </w:rPr>
  </w:style>
  <w:style w:type="paragraph" w:customStyle="1" w:styleId="15">
    <w:name w:val="标准文件_段"/>
    <w:link w:val="22"/>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6">
    <w:name w:val="段"/>
    <w:qFormat/>
    <w:uiPriority w:val="0"/>
    <w:pPr>
      <w:tabs>
        <w:tab w:val="center" w:pos="4201"/>
        <w:tab w:val="right" w:leader="dot" w:pos="9298"/>
      </w:tabs>
      <w:autoSpaceDE w:val="0"/>
      <w:autoSpaceDN w:val="0"/>
      <w:ind w:firstLine="420" w:firstLineChars="200"/>
      <w:jc w:val="both"/>
    </w:pPr>
    <w:rPr>
      <w:rFonts w:ascii="宋体" w:hAnsi="Calibri" w:eastAsia="宋体" w:cs="Times New Roman"/>
      <w:sz w:val="21"/>
      <w:lang w:val="en-US" w:eastAsia="zh-CN" w:bidi="ar-SA"/>
    </w:rPr>
  </w:style>
  <w:style w:type="paragraph" w:customStyle="1" w:styleId="17">
    <w:name w:val="标准文件_章标题"/>
    <w:next w:val="15"/>
    <w:qFormat/>
    <w:uiPriority w:val="0"/>
    <w:pPr>
      <w:numPr>
        <w:ilvl w:val="1"/>
        <w:numId w:val="1"/>
      </w:numPr>
      <w:spacing w:beforeLines="100" w:afterLines="100"/>
      <w:jc w:val="both"/>
      <w:outlineLvl w:val="0"/>
    </w:pPr>
    <w:rPr>
      <w:rFonts w:ascii="黑体" w:hAnsi="Times New Roman" w:eastAsia="黑体" w:cs="Times New Roman"/>
      <w:sz w:val="21"/>
      <w:lang w:val="en-US" w:eastAsia="zh-CN" w:bidi="ar-SA"/>
    </w:rPr>
  </w:style>
  <w:style w:type="paragraph" w:customStyle="1" w:styleId="18">
    <w:name w:val="标准文件_一级条标题"/>
    <w:basedOn w:val="17"/>
    <w:next w:val="15"/>
    <w:qFormat/>
    <w:uiPriority w:val="0"/>
    <w:pPr>
      <w:numPr>
        <w:ilvl w:val="2"/>
      </w:numPr>
      <w:spacing w:beforeLines="50" w:afterLines="50"/>
      <w:outlineLvl w:val="1"/>
    </w:pPr>
  </w:style>
  <w:style w:type="character" w:customStyle="1" w:styleId="19">
    <w:name w:val="15"/>
    <w:basedOn w:val="11"/>
    <w:qFormat/>
    <w:uiPriority w:val="0"/>
    <w:rPr>
      <w:rFonts w:hint="default" w:ascii="Times New Roman" w:hAnsi="Times New Roman" w:cs="Times New Roman"/>
      <w:i/>
      <w:iCs/>
    </w:rPr>
  </w:style>
  <w:style w:type="character" w:customStyle="1" w:styleId="20">
    <w:name w:val="页眉 字符"/>
    <w:basedOn w:val="11"/>
    <w:link w:val="7"/>
    <w:qFormat/>
    <w:uiPriority w:val="0"/>
    <w:rPr>
      <w:rFonts w:eastAsiaTheme="minorEastAsia" w:cstheme="minorBidi"/>
      <w:kern w:val="2"/>
      <w:sz w:val="18"/>
      <w:szCs w:val="18"/>
    </w:rPr>
  </w:style>
  <w:style w:type="character" w:customStyle="1" w:styleId="21">
    <w:name w:val="批注框文本 字符"/>
    <w:basedOn w:val="11"/>
    <w:link w:val="5"/>
    <w:qFormat/>
    <w:uiPriority w:val="0"/>
    <w:rPr>
      <w:rFonts w:eastAsiaTheme="minorEastAsia" w:cstheme="minorBidi"/>
      <w:kern w:val="2"/>
      <w:sz w:val="18"/>
      <w:szCs w:val="18"/>
    </w:rPr>
  </w:style>
  <w:style w:type="character" w:customStyle="1" w:styleId="22">
    <w:name w:val="标准文件_段 Char"/>
    <w:link w:val="15"/>
    <w:qFormat/>
    <w:uiPriority w:val="0"/>
    <w:rPr>
      <w:rFonts w:ascii="宋体"/>
      <w:sz w:val="21"/>
    </w:rPr>
  </w:style>
  <w:style w:type="paragraph" w:customStyle="1" w:styleId="23">
    <w:name w:val="修订1"/>
    <w:hidden/>
    <w:unhideWhenUsed/>
    <w:qFormat/>
    <w:uiPriority w:val="99"/>
    <w:rPr>
      <w:rFonts w:ascii="Times New Roman" w:hAnsi="Times New Roman" w:eastAsiaTheme="minorEastAsia" w:cstheme="minorBidi"/>
      <w:kern w:val="2"/>
      <w:sz w:val="15"/>
      <w:szCs w:val="15"/>
      <w:lang w:val="en-US" w:eastAsia="zh-CN" w:bidi="ar-SA"/>
    </w:rPr>
  </w:style>
  <w:style w:type="character" w:customStyle="1" w:styleId="24">
    <w:name w:val="页脚 字符"/>
    <w:basedOn w:val="11"/>
    <w:link w:val="6"/>
    <w:qFormat/>
    <w:uiPriority w:val="99"/>
    <w:rPr>
      <w:rFonts w:eastAsiaTheme="minorEastAsia" w:cstheme="minorBidi"/>
      <w:kern w:val="2"/>
      <w:sz w:val="18"/>
      <w:szCs w:val="18"/>
    </w:rPr>
  </w:style>
  <w:style w:type="paragraph" w:customStyle="1" w:styleId="25">
    <w:name w:val="修订2"/>
    <w:hidden/>
    <w:unhideWhenUsed/>
    <w:qFormat/>
    <w:uiPriority w:val="99"/>
    <w:rPr>
      <w:rFonts w:ascii="Times New Roman" w:hAnsi="Times New Roman" w:eastAsiaTheme="minorEastAsia" w:cstheme="minorBidi"/>
      <w:kern w:val="2"/>
      <w:sz w:val="15"/>
      <w:szCs w:val="15"/>
      <w:lang w:val="en-US" w:eastAsia="zh-CN" w:bidi="ar-SA"/>
    </w:rPr>
  </w:style>
  <w:style w:type="paragraph" w:customStyle="1" w:styleId="26">
    <w:name w:val="标准文件_一级无标题"/>
    <w:qFormat/>
    <w:uiPriority w:val="0"/>
    <w:rPr>
      <w:rFonts w:ascii="宋体" w:hAnsi="宋体" w:eastAsia="黑体" w:cs="Times New Roman"/>
      <w:lang w:val="en-US" w:eastAsia="zh-CN" w:bidi="ar-SA"/>
    </w:rPr>
  </w:style>
  <w:style w:type="character" w:customStyle="1" w:styleId="27">
    <w:name w:val="标准文件_术语条一 Char"/>
    <w:link w:val="28"/>
    <w:qFormat/>
    <w:uiPriority w:val="0"/>
    <w:rPr>
      <w:b/>
    </w:rPr>
  </w:style>
  <w:style w:type="paragraph" w:customStyle="1" w:styleId="28">
    <w:name w:val="标准文件_术语条一"/>
    <w:basedOn w:val="26"/>
    <w:next w:val="15"/>
    <w:link w:val="27"/>
    <w:qFormat/>
    <w:uiPriority w:val="0"/>
    <w:rPr>
      <w:b/>
    </w:rPr>
  </w:style>
  <w:style w:type="paragraph" w:customStyle="1" w:styleId="29">
    <w:name w:val="标准文件_术语条二"/>
    <w:basedOn w:val="30"/>
    <w:next w:val="15"/>
    <w:qFormat/>
    <w:uiPriority w:val="0"/>
    <w:pPr>
      <w:ind w:left="567"/>
    </w:pPr>
  </w:style>
  <w:style w:type="paragraph" w:customStyle="1" w:styleId="30">
    <w:name w:val="标准文件_二级无标题"/>
    <w:basedOn w:val="31"/>
    <w:qFormat/>
    <w:uiPriority w:val="0"/>
    <w:pPr>
      <w:spacing w:beforeLines="0" w:afterLines="0"/>
      <w:outlineLvl w:val="9"/>
    </w:pPr>
    <w:rPr>
      <w:rFonts w:ascii="宋体" w:eastAsia="宋体"/>
    </w:rPr>
  </w:style>
  <w:style w:type="paragraph" w:customStyle="1" w:styleId="31">
    <w:name w:val="标准文件_二级条标题"/>
    <w:next w:val="15"/>
    <w:qFormat/>
    <w:uiPriority w:val="0"/>
    <w:pPr>
      <w:widowControl w:val="0"/>
      <w:numPr>
        <w:ilvl w:val="3"/>
        <w:numId w:val="1"/>
      </w:numPr>
      <w:spacing w:beforeLines="50" w:afterLines="50"/>
      <w:ind w:left="0"/>
      <w:jc w:val="both"/>
      <w:outlineLvl w:val="2"/>
    </w:pPr>
    <w:rPr>
      <w:rFonts w:ascii="黑体" w:hAnsi="Times New Roman" w:eastAsia="黑体" w:cs="Times New Roman"/>
      <w:sz w:val="21"/>
      <w:lang w:val="en-US" w:eastAsia="zh-CN" w:bidi="ar-SA"/>
    </w:rPr>
  </w:style>
  <w:style w:type="paragraph" w:customStyle="1" w:styleId="32">
    <w:name w:val="修订3"/>
    <w:hidden/>
    <w:unhideWhenUsed/>
    <w:qFormat/>
    <w:uiPriority w:val="99"/>
    <w:rPr>
      <w:rFonts w:ascii="Times New Roman" w:hAnsi="Times New Roman" w:eastAsiaTheme="minorEastAsia" w:cstheme="minorBidi"/>
      <w:kern w:val="2"/>
      <w:sz w:val="15"/>
      <w:szCs w:val="15"/>
      <w:lang w:val="en-US" w:eastAsia="zh-CN" w:bidi="ar-SA"/>
    </w:rPr>
  </w:style>
  <w:style w:type="paragraph" w:customStyle="1" w:styleId="33">
    <w:name w:val="修订4"/>
    <w:hidden/>
    <w:unhideWhenUsed/>
    <w:qFormat/>
    <w:uiPriority w:val="99"/>
    <w:rPr>
      <w:rFonts w:ascii="Times New Roman" w:hAnsi="Times New Roman" w:eastAsiaTheme="minorEastAsia" w:cstheme="minorBidi"/>
      <w:kern w:val="2"/>
      <w:sz w:val="15"/>
      <w:szCs w:val="15"/>
      <w:lang w:val="en-US" w:eastAsia="zh-CN" w:bidi="ar-SA"/>
    </w:rPr>
  </w:style>
  <w:style w:type="paragraph" w:customStyle="1" w:styleId="34">
    <w:name w:val="修订5"/>
    <w:hidden/>
    <w:unhideWhenUsed/>
    <w:qFormat/>
    <w:uiPriority w:val="99"/>
    <w:rPr>
      <w:rFonts w:ascii="Times New Roman" w:hAnsi="Times New Roman" w:eastAsiaTheme="minorEastAsia" w:cstheme="minorBidi"/>
      <w:kern w:val="2"/>
      <w:sz w:val="15"/>
      <w:szCs w:val="15"/>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numbering" Target="numbering.xml"/><Relationship Id="rId16" Type="http://schemas.openxmlformats.org/officeDocument/2006/relationships/image" Target="media/image10.pn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ntractReview xmlns="http://schemas.wps.cn/vas-ai-hub/contract-review">
  <reviewItems>
    <reviewItem>
      <errorID>0e0dfd65-f77e-4c13-9622-190d8986ba07</errorID>
      <errorWord>稿稿</errorWord>
      <group>L1_Word</group>
      <groupName>字词问题</groupName>
      <ability>L2_Typo</ability>
      <abilityName>字词错误</abilityName>
      <candidateList>
        <item>稿</item>
      </candidateList>
      <explain/>
      <paraID>2C7E41E4</paraID>
      <start>21</start>
      <end>22</end>
      <status>modified</status>
      <modifiedWord>稿</modifiedWord>
      <trackRevisions>false</trackRevisions>
    </reviewItem>
    <reviewItem>
      <errorID>1d835971-417b-400f-a1c5-8d9af0b4ed0d</errorID>
      <errorWord>其</errorWord>
      <group>L1_Word</group>
      <groupName>字词问题</groupName>
      <ability>L2_Typo</ability>
      <abilityName>字词错误</abilityName>
      <candidateList>
        <item>且</item>
      </candidateList>
      <explain>存在发音相近字词的误用。</explain>
      <paraID>7378B54B</paraID>
      <start>154</start>
      <end>155</end>
      <status>ignored</status>
      <modifiedWord/>
      <trackRevisions>false</trackRevisions>
    </reviewItem>
    <reviewItem>
      <errorID>6a60d93f-dc6b-4ef1-9c0d-918336deee62</errorID>
      <errorWord>“</errorWord>
      <group>L1_Word</group>
      <groupName>字词问题</groupName>
      <ability>L2_Typo</ability>
      <abilityName>字词错误</abilityName>
      <candidateList>
        <item>“红</item>
      </candidateList>
      <explain/>
      <paraID>7378B54B</paraID>
      <start>424</start>
      <end>425</end>
      <status>ignored</status>
      <modifiedWord/>
      <trackRevisions>false</trackRevisions>
    </reviewItem>
    <reviewItem>
      <errorID>f1def9cf-3a28-41c9-8798-63a5ab8fa1b8</errorID>
      <errorWord>，</errorWord>
      <group>L1_Word</group>
      <groupName>字词问题</groupName>
      <ability>L2_Typo</ability>
      <abilityName>字词错误</abilityName>
      <candidateList>
        <item>，以</item>
      </candidateList>
      <explain/>
      <paraID> 38AF74D</paraID>
      <start>76</start>
      <end>78</end>
      <status>modified</status>
      <modifiedWord>，以</modifiedWord>
      <trackRevisions>false</trackRevisions>
    </reviewItem>
    <reviewItem>
      <errorID>a75e31e5-3d78-45a9-bdea-758bc5c57140</errorID>
      <errorWord>，</errorWord>
      <group>L1_Word</group>
      <groupName>字词问题</groupName>
      <ability>L2_Typo</ability>
      <abilityName>字词错误</abilityName>
      <candidateList>
        <item>，以</item>
      </candidateList>
      <explain/>
      <paraID>3C0D00C7</paraID>
      <start>21</start>
      <end>23</end>
      <status>modified</status>
      <modifiedWord>，以</modifiedWord>
      <trackRevisions>false</trackRevisions>
    </reviewItem>
    <reviewItem>
      <errorID>9b07ff0f-f47e-499b-bac2-506ea089704b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38D165A2</paraID>
      <start>8</start>
      <end>9</end>
      <status>ignored</status>
      <modifiedWord/>
      <trackRevisions>false</trackRevisions>
    </reviewItem>
    <reviewItem>
      <errorID>605d2da6-f52d-4e93-be98-b60349655201</errorID>
      <errorWord>《红桄榔粉》（草案）</errorWord>
      <group>L1_Knowledge</group>
      <groupName>知识性问题</groupName>
      <ability>L2_Knowledge</ability>
      <abilityName>其他知识</abilityName>
      <candidateList>
        <item>《红桄榔粉（草案）》</item>
      </candidateList>
      <explain>疑似政策文件、法律法规名称等书写不规范，请注意检查。</explain>
      <paraID>38D165A2</paraID>
      <start>177</start>
      <end>187</end>
      <status>ignored</status>
      <modifiedWord/>
      <trackRevisions>false</trackRevisions>
    </reviewItem>
    <reviewItem>
      <errorID>21288f4a-c287-4e3a-a061-b61f1f8f66fd</errorID>
      <errorWord>《红桄榔粉》（征求意见稿）</errorWord>
      <group>L1_Knowledge</group>
      <groupName>知识性问题</groupName>
      <ability>L2_Knowledge</ability>
      <abilityName>其他知识</abilityName>
      <candidateList>
        <item>《红桄榔粉（征求意见稿）》</item>
      </candidateList>
      <explain>疑似政策文件、法律法规名称等书写不规范，请注意检查。</explain>
      <paraID>7E742D31</paraID>
      <start>148</start>
      <end>161</end>
      <status>ignored</status>
      <modifiedWord/>
      <trackRevisions>false</trackRevisions>
    </reviewItem>
    <reviewItem>
      <errorID>98c8ff69-fe67-4140-8dc7-f5ca667e252e</errorID>
      <errorWord>法律、法规</errorWord>
      <group>L1_Word</group>
      <groupName>字词问题</groupName>
      <ability>L2_Typo</ability>
      <abilityName>字词错误</abilityName>
      <candidateList>
        <item>法律法规</item>
      </candidateList>
      <explain/>
      <paraID>182222D7</paraID>
      <start>14</start>
      <end>19</end>
      <status>ignored</status>
      <modifiedWord/>
      <trackRevisions>false</trackRevisions>
    </reviewItem>
    <reviewItem>
      <errorID>41826434-8c05-41b9-b2e4-8480a2f45516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2A2BCC12</paraID>
      <start>0</start>
      <end>2</end>
      <status>modified</status>
      <modifiedWord>1.</modifiedWord>
      <trackRevisions>false</trackRevisions>
    </reviewItem>
    <reviewItem>
      <errorID>cfaa46ab-0a00-4d40-a63e-5e39ea0be774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5F35E036</paraID>
      <start>0</start>
      <end>2</end>
      <status>modified</status>
      <modifiedWord>2.</modifiedWord>
      <trackRevisions>false</trackRevisions>
    </reviewItem>
    <reviewItem>
      <errorID>8237abcd-1cb4-4f96-9c36-ac213f47a14a</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34A2CD62</paraID>
      <start>0</start>
      <end>2</end>
      <status>modified</status>
      <modifiedWord>3.</modifiedWord>
      <trackRevisions>false</trackRevisions>
    </reviewItem>
    <reviewItem>
      <errorID>5547d764-0c14-428f-8b61-14422c66e61d</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3753128</paraID>
      <start>0</start>
      <end>2</end>
      <status>modified</status>
      <modifiedWord>4.</modifiedWord>
      <trackRevisions>false</trackRevisions>
    </reviewItem>
    <reviewItem>
      <errorID>6a31223a-5ce2-4b50-a4ab-c12fed6d7ba9</errorID>
      <errorWord>法律、法规</errorWord>
      <group>L1_Word</group>
      <groupName>字词问题</groupName>
      <ability>L2_Typo</ability>
      <abilityName>字词错误</abilityName>
      <candidateList>
        <item>法律法规</item>
      </candidateList>
      <explain/>
      <paraID>239C8AB3</paraID>
      <start>6</start>
      <end>11</end>
      <status>ignored</status>
      <modifiedWord/>
      <trackRevisions>false</trackRevisions>
    </reviewItem>
    <reviewItem>
      <errorID>96af211d-0296-4034-b7be-48acd63d24c1</errorID>
      <errorWord>、等</errorWord>
      <group>L1_Punc</group>
      <groupName>标点问题</groupName>
      <ability>L2_Punc</ability>
      <abilityName>标点符号检查</abilityName>
      <candidateList>
        <item>等</item>
      </candidateList>
      <explain>“及”“和”“等”连词前不宜使用顿号，建议删除（或使用逗号）。</explain>
      <paraID>631E0EF6</paraID>
      <start>35</start>
      <end>36</end>
      <status>modified</status>
      <modifiedWord>等</modifiedWord>
      <trackRevisions>false</trackRevisions>
    </reviewItem>
    <reviewItem>
      <errorID>57c43a47-7fc2-4d1b-b435-fa4a9af68d5d</errorID>
      <errorWord>性</errorWord>
      <group>L1_Word</group>
      <groupName>字词问题</groupName>
      <ability>L2_Typo</ability>
      <abilityName>字词错误</abilityName>
      <candidateList>
        <item>性和</item>
      </candidateList>
      <explain/>
      <paraID>2980EE61</paraID>
      <start>46</start>
      <end>48</end>
      <status>modified</status>
      <modifiedWord>性和</modifiedWord>
      <trackRevisions>false</trackRevisions>
    </reviewItem>
    <reviewItem>
      <errorID>d88b8025-81f1-4ae7-acdc-e3d48c9a7af1</errorID>
      <errorWord>粘稠度</errorWord>
      <group>L1_Word</group>
      <groupName>字词问题</groupName>
      <ability>L2_Typo</ability>
      <abilityName>字词错误</abilityName>
      <candidateList>
        <item>黏稠度</item>
      </candidateList>
      <explain/>
      <paraID>41046F26</paraID>
      <start>80</start>
      <end>83</end>
      <status>modified</status>
      <modifiedWord>黏稠度</modifiedWord>
      <trackRevisions>false</trackRevisions>
    </reviewItem>
    <reviewItem>
      <errorID>be8914b4-3439-4160-9d12-f01b7729ea49</errorID>
      <errorWord>粘稠</errorWord>
      <group>L1_Word</group>
      <groupName>字词问题</groupName>
      <ability>L2_Typo</ability>
      <abilityName>字词错误</abilityName>
      <candidateList>
        <item>黏稠</item>
      </candidateList>
      <explain>存在发音相同字词的误用。</explain>
      <paraID>643319C6</paraID>
      <start>10</start>
      <end>12</end>
      <status>modified</status>
      <modifiedWord>黏稠</modifiedWord>
      <trackRevisions>false</trackRevisions>
    </reviewItem>
    <reviewItem>
      <errorID>11185a4f-462d-4823-8ad8-5ad5529eb17a</errorID>
      <errorWord>粘稠</errorWord>
      <group>L1_Word</group>
      <groupName>字词问题</groupName>
      <ability>L2_Typo</ability>
      <abilityName>字词错误</abilityName>
      <candidateList>
        <item>黏稠</item>
      </candidateList>
      <explain>存在发音相同字词的误用。</explain>
      <paraID> 6C9D806</paraID>
      <start>7</start>
      <end>9</end>
      <status>modified</status>
      <modifiedWord>黏稠</modifiedWord>
      <trackRevisions>false</trackRevisions>
    </reviewItem>
    <reviewItem>
      <errorID>db2d075e-e7c2-4350-a52a-e3838d8f3c13</errorID>
      <errorWord>粘稠度</errorWord>
      <group>L1_Word</group>
      <groupName>字词问题</groupName>
      <ability>L2_Typo</ability>
      <abilityName>字词错误</abilityName>
      <candidateList>
        <item>黏稠度</item>
      </candidateList>
      <explain/>
      <paraID>17545C9B</paraID>
      <start>4</start>
      <end>7</end>
      <status>modified</status>
      <modifiedWord>黏稠度</modifiedWord>
      <trackRevisions>false</trackRevisions>
    </reviewItem>
    <reviewItem>
      <errorID>7241c46f-886c-4c36-ae95-6a1a7c6f643f</errorID>
      <errorWord>粘稠度</errorWord>
      <group>L1_Word</group>
      <groupName>字词问题</groupName>
      <ability>L2_Typo</ability>
      <abilityName>字词错误</abilityName>
      <candidateList>
        <item>黏稠度</item>
      </candidateList>
      <explain/>
      <paraID>5A775844</paraID>
      <start>7</start>
      <end>10</end>
      <status>modified</status>
      <modifiedWord>黏稠度</modifiedWord>
      <trackRevisions>false</trackRevisions>
    </reviewItem>
    <reviewItem>
      <errorID>2c11330d-eea5-461b-9f72-bf457fa93316</errorID>
      <errorWord>粘稠度</errorWord>
      <group>L1_Word</group>
      <groupName>字词问题</groupName>
      <ability>L2_Typo</ability>
      <abilityName>字词错误</abilityName>
      <candidateList>
        <item>黏稠度</item>
      </candidateList>
      <explain/>
      <paraID>764C3AB1</paraID>
      <start>8</start>
      <end>11</end>
      <status>modified</status>
      <modifiedWord>黏稠度</modifiedWord>
      <trackRevisions>false</trackRevisions>
    </reviewItem>
    <reviewItem>
      <errorID>b17f40ce-ae17-4bd7-bf2d-5ed000d71cbc</errorID>
      <errorWord>粘稠度</errorWord>
      <group>L1_Word</group>
      <groupName>字词问题</groupName>
      <ability>L2_Typo</ability>
      <abilityName>字词错误</abilityName>
      <candidateList>
        <item>黏稠度</item>
      </candidateList>
      <explain/>
      <paraID>36828703</paraID>
      <start>7</start>
      <end>10</end>
      <status>modified</status>
      <modifiedWord>黏稠度</modifiedWord>
      <trackRevisions>false</trackRevisions>
    </reviewItem>
    <reviewItem>
      <errorID>1758560f-c59e-4a71-90a5-ce28339d388b</errorID>
      <errorWord>粘稠</errorWord>
      <group>L1_Word</group>
      <groupName>字词问题</groupName>
      <ability>L2_Typo</ability>
      <abilityName>字词错误</abilityName>
      <candidateList>
        <item>黏稠</item>
      </candidateList>
      <explain>存在发音相同字词的误用。</explain>
      <paraID>54E0968B</paraID>
      <start>24</start>
      <end>26</end>
      <status>modified</status>
      <modifiedWord>黏稠</modifiedWord>
      <trackRevisions>false</trackRevisions>
    </reviewItem>
    <reviewItem>
      <errorID>e197503c-2199-4878-9651-64cc640056cb</errorID>
      <errorWord>粘稠</errorWord>
      <group>L1_Word</group>
      <groupName>字词问题</groupName>
      <ability>L2_Typo</ability>
      <abilityName>字词错误</abilityName>
      <candidateList>
        <item>黏稠</item>
      </candidateList>
      <explain>存在发音相同字词的误用。</explain>
      <paraID>54700629</paraID>
      <start>85</start>
      <end>87</end>
      <status>modified</status>
      <modifiedWord>黏稠</modifiedWord>
      <trackRevisions>false</trackRevisions>
    </reviewItem>
    <reviewItem>
      <errorID>bc8e8154-b5e0-4e44-a033-ecd424d9e018</errorID>
      <errorWord>理化</errorWord>
      <group>L1_Word</group>
      <groupName>字词问题</groupName>
      <ability>L2_Typo</ability>
      <abilityName>字词错误</abilityName>
      <candidateList>
        <item>量化</item>
      </candidateList>
      <explain/>
      <paraID>6E1AF176</paraID>
      <start>0</start>
      <end>2</end>
      <status>ignored</status>
      <modifiedWord/>
      <trackRevisions>false</trackRevisions>
    </reviewItem>
    <reviewItem>
      <errorID>20f2bd7e-8f6c-4815-a9c3-009a80dba5c3</errorID>
      <errorWord>～</errorWord>
      <group>L1_Format</group>
      <groupName>格式问题</groupName>
      <ability>L2_HalfPunc</ability>
      <abilityName>全半角检查</abilityName>
      <candidateList>
        <item>~</item>
      </candidateList>
      <explain>文本全半角错误。</explain>
      <paraID>62F0B82C</paraID>
      <start>2</start>
      <end>3</end>
      <status>ignored</status>
      <modifiedWord/>
      <trackRevisions>false</trackRevisions>
    </reviewItem>
    <reviewItem>
      <errorID>8cbf909f-992f-4784-ace9-f0ceefef65d5</errorID>
      <errorWord>～</errorWord>
      <group>L1_Format</group>
      <groupName>格式问题</groupName>
      <ability>L2_HalfPunc</ability>
      <abilityName>全半角检查</abilityName>
      <candidateList>
        <item>~</item>
      </candidateList>
      <explain>文本全半角错误。</explain>
      <paraID>155D33D4</paraID>
      <start>3</start>
      <end>4</end>
      <status>ignored</status>
      <modifiedWord/>
      <trackRevisions>false</trackRevisions>
    </reviewItem>
    <reviewItem>
      <errorID>bbd87c37-e758-401c-aad0-3f7243756082</errorID>
      <errorWord>～</errorWord>
      <group>L1_Format</group>
      <groupName>格式问题</groupName>
      <ability>L2_HalfPunc</ability>
      <abilityName>全半角检查</abilityName>
      <candidateList>
        <item>~</item>
      </candidateList>
      <explain>文本全半角错误。</explain>
      <paraID>3714E1D0</paraID>
      <start>4</start>
      <end>5</end>
      <status>ignored</status>
      <modifiedWord/>
      <trackRevisions>false</trackRevisions>
    </reviewItem>
    <reviewItem>
      <errorID>1129c5d8-2a03-4bc0-ad79-211fc32aa4d3</errorID>
      <errorWord>～</errorWord>
      <group>L1_Format</group>
      <groupName>格式问题</groupName>
      <ability>L2_HalfPunc</ability>
      <abilityName>全半角检查</abilityName>
      <candidateList>
        <item>~</item>
      </candidateList>
      <explain>文本全半角错误。</explain>
      <paraID>7FC054A0</paraID>
      <start>1</start>
      <end>2</end>
      <status>ignored</status>
      <modifiedWord/>
      <trackRevisions>false</trackRevisions>
    </reviewItem>
    <reviewItem>
      <errorID>1a3243ac-aab8-4ec6-a9e1-819b88996fc2</errorID>
      <errorWord>～</errorWord>
      <group>L1_Format</group>
      <groupName>格式问题</groupName>
      <ability>L2_HalfPunc</ability>
      <abilityName>全半角检查</abilityName>
      <candidateList>
        <item>~</item>
      </candidateList>
      <explain>文本全半角错误。</explain>
      <paraID>6CC35116</paraID>
      <start>2</start>
      <end>3</end>
      <status>ignored</status>
      <modifiedWord/>
      <trackRevisions>false</trackRevisions>
    </reviewItem>
  </reviewItems>
  <config/>
</contractReview>
</file>

<file path=customXml/itemProps1.xml><?xml version="1.0" encoding="utf-8"?>
<ds:datastoreItem xmlns:ds="http://schemas.openxmlformats.org/officeDocument/2006/customXml" ds:itemID="{dd97ca38-b7ab-450e-80a4-7944464685be}">
  <ds:schemaRefs/>
</ds:datastoreItem>
</file>

<file path=docProps/app.xml><?xml version="1.0" encoding="utf-8"?>
<Properties xmlns="http://schemas.openxmlformats.org/officeDocument/2006/extended-properties" xmlns:vt="http://schemas.openxmlformats.org/officeDocument/2006/docPropsVTypes">
  <Template>Normal</Template>
  <Pages>20</Pages>
  <Words>5143</Words>
  <Characters>5409</Characters>
  <Lines>681</Lines>
  <Paragraphs>951</Paragraphs>
  <TotalTime>1</TotalTime>
  <ScaleCrop>false</ScaleCrop>
  <LinksUpToDate>false</LinksUpToDate>
  <CharactersWithSpaces>5546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2025-04-16T13:11:00Z</dcterms:created>
  <dc:creator>Administrator</dc:creator>
  <cp:lastModifiedBy>树年强</cp:lastModifiedBy>
  <cp:lastPrinted>2025-03-05T01:34:00Z</cp:lastPrinted>
  <dcterms:modified xsi:type="dcterms:W3CDTF">2026-02-06T02:27:54Z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66875720091A4D35BD403C006A418CC7_13</vt:lpwstr>
  </property>
  <property fmtid="{D5CDD505-2E9C-101B-9397-08002B2CF9AE}" pid="4" name="KSOTemplateDocerSaveRecord">
    <vt:lpwstr>eyJoZGlkIjoiNmE0MDE4M2RjOWFiNWU0ODQyYTkxNTQ5ODY1MjVmYmQiLCJ1c2VySWQiOiI2Mzk4NzAxMjYifQ==</vt:lpwstr>
  </property>
</Properties>
</file>