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ordWrap w:val="0"/>
        <w:spacing w:line="360" w:lineRule="auto"/>
        <w:jc w:val="center"/>
        <w:rPr>
          <w:rFonts w:hint="eastAsia" w:ascii="Times New Roman" w:hAnsi="Times New Roman" w:eastAsia="黑体" w:cs="黑体"/>
          <w:b w:val="0"/>
          <w:bCs w:val="0"/>
          <w:color w:val="auto"/>
          <w:kern w:val="0"/>
          <w:sz w:val="36"/>
          <w:szCs w:val="36"/>
          <w:highlight w:val="none"/>
          <w:lang w:val="en-US" w:eastAsia="zh-CN"/>
        </w:rPr>
      </w:pPr>
      <w:r>
        <w:rPr>
          <w:rFonts w:hint="eastAsia" w:ascii="Times New Roman" w:hAnsi="Times New Roman" w:eastAsia="黑体" w:cs="黑体"/>
          <w:b w:val="0"/>
          <w:bCs w:val="0"/>
          <w:color w:val="auto"/>
          <w:kern w:val="0"/>
          <w:sz w:val="36"/>
          <w:szCs w:val="36"/>
          <w:highlight w:val="none"/>
          <w:lang w:val="en-US" w:eastAsia="zh-CN"/>
        </w:rPr>
        <w:t>团体标准《辐射事故应急演习评估导则》</w:t>
      </w:r>
    </w:p>
    <w:p>
      <w:pPr>
        <w:wordWrap w:val="0"/>
        <w:spacing w:line="360" w:lineRule="auto"/>
        <w:jc w:val="center"/>
        <w:rPr>
          <w:rFonts w:hint="eastAsia" w:ascii="Times New Roman" w:hAnsi="Times New Roman" w:eastAsia="黑体" w:cs="黑体"/>
          <w:b w:val="0"/>
          <w:bCs w:val="0"/>
          <w:color w:val="auto"/>
          <w:kern w:val="0"/>
          <w:sz w:val="36"/>
          <w:szCs w:val="36"/>
          <w:highlight w:val="none"/>
        </w:rPr>
      </w:pPr>
      <w:r>
        <w:rPr>
          <w:rFonts w:hint="eastAsia" w:ascii="Times New Roman" w:hAnsi="Times New Roman" w:eastAsia="黑体" w:cs="黑体"/>
          <w:b w:val="0"/>
          <w:bCs w:val="0"/>
          <w:color w:val="auto"/>
          <w:kern w:val="0"/>
          <w:sz w:val="36"/>
          <w:szCs w:val="36"/>
          <w:highlight w:val="none"/>
          <w:lang w:val="en-US" w:eastAsia="zh-CN"/>
        </w:rPr>
        <w:t>（征求意见稿）</w:t>
      </w:r>
      <w:r>
        <w:rPr>
          <w:rFonts w:hint="eastAsia" w:ascii="Times New Roman" w:hAnsi="Times New Roman" w:eastAsia="黑体" w:cs="黑体"/>
          <w:b w:val="0"/>
          <w:bCs w:val="0"/>
          <w:color w:val="auto"/>
          <w:kern w:val="0"/>
          <w:sz w:val="36"/>
          <w:szCs w:val="36"/>
          <w:highlight w:val="none"/>
        </w:rPr>
        <w:t>编制说明</w:t>
      </w:r>
    </w:p>
    <w:p>
      <w:pPr>
        <w:wordWrap w:val="0"/>
        <w:spacing w:line="360" w:lineRule="auto"/>
        <w:jc w:val="center"/>
      </w:pPr>
      <w:bookmarkStart w:id="0" w:name="_Toc26896"/>
      <w:bookmarkStart w:id="1" w:name="_Toc22706"/>
      <w:bookmarkStart w:id="2" w:name="_Toc22690"/>
    </w:p>
    <w:p>
      <w:pPr>
        <w:pStyle w:val="3"/>
        <w:pageBreakBefore w:val="0"/>
        <w:numPr>
          <w:ilvl w:val="0"/>
          <w:numId w:val="0"/>
        </w:numPr>
        <w:kinsoku/>
        <w:wordWrap/>
        <w:overflowPunct/>
        <w:topLinePunct w:val="0"/>
        <w:bidi w:val="0"/>
        <w:snapToGrid/>
        <w:spacing w:line="600" w:lineRule="exact"/>
        <w:ind w:leftChars="0"/>
        <w:textAlignment w:val="auto"/>
        <w:rPr>
          <w:rFonts w:hint="default" w:ascii="Times New Roman" w:hAnsi="Times New Roman" w:cs="Times New Roman"/>
          <w:bCs/>
          <w:color w:val="auto"/>
          <w:sz w:val="32"/>
          <w:szCs w:val="32"/>
          <w:highlight w:val="none"/>
          <w:lang w:val="en-US" w:eastAsia="zh-CN"/>
        </w:rPr>
      </w:pPr>
      <w:r>
        <w:rPr>
          <w:rFonts w:hint="eastAsia" w:ascii="Times New Roman" w:hAnsi="Times New Roman" w:cs="Times New Roman"/>
          <w:bCs/>
          <w:color w:val="auto"/>
          <w:sz w:val="32"/>
          <w:szCs w:val="32"/>
          <w:highlight w:val="none"/>
          <w:lang w:val="en-US" w:eastAsia="zh-CN"/>
        </w:rPr>
        <w:t>一、</w:t>
      </w:r>
      <w:r>
        <w:rPr>
          <w:rFonts w:hint="default" w:ascii="Times New Roman" w:hAnsi="Times New Roman" w:cs="Times New Roman"/>
          <w:bCs/>
          <w:color w:val="auto"/>
          <w:sz w:val="32"/>
          <w:szCs w:val="32"/>
          <w:highlight w:val="none"/>
          <w:lang w:val="en-US" w:eastAsia="zh-CN"/>
        </w:rPr>
        <w:t>任务来源</w:t>
      </w:r>
      <w:bookmarkEnd w:id="0"/>
      <w:bookmarkEnd w:id="1"/>
      <w:bookmarkEnd w:id="2"/>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default" w:ascii="Times New Roman" w:hAnsi="Times New Roman" w:eastAsia="仿宋_GB2312" w:cs="Times New Roman"/>
          <w:sz w:val="28"/>
          <w:szCs w:val="32"/>
          <w:lang w:val="zh-CN"/>
        </w:rPr>
      </w:pPr>
      <w:r>
        <w:rPr>
          <w:rFonts w:hint="default" w:ascii="Times New Roman" w:hAnsi="Times New Roman" w:eastAsia="仿宋_GB2312" w:cs="Times New Roman"/>
          <w:sz w:val="28"/>
          <w:szCs w:val="32"/>
          <w:lang w:val="zh-CN"/>
        </w:rPr>
        <mc:AlternateContent>
          <mc:Choice Requires="wps">
            <w:drawing>
              <wp:anchor distT="0" distB="0" distL="114300" distR="114300" simplePos="0" relativeHeight="251659264" behindDoc="0" locked="0" layoutInCell="0" allowOverlap="1">
                <wp:simplePos x="0" y="0"/>
                <wp:positionH relativeFrom="column">
                  <wp:posOffset>0</wp:posOffset>
                </wp:positionH>
                <wp:positionV relativeFrom="paragraph">
                  <wp:posOffset>99060</wp:posOffset>
                </wp:positionV>
                <wp:extent cx="635" cy="0"/>
                <wp:effectExtent l="0" t="0" r="0" b="0"/>
                <wp:wrapNone/>
                <wp:docPr id="1" name="_x0000_s1026"/>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0pt;margin-top:7.8pt;height:0pt;width:0.05pt;z-index:251659264;mso-width-relative:page;mso-height-relative:page;" filled="f" stroked="t" coordsize="21600,21600" o:allowincell="f" o:gfxdata="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DVoM1l0AAAAAMBAAAPAAAAAAAAAAEAIAAA&#10;ACIAAABkcnMvZG93bnJldi54bWxQSwECFAAUAAAACACHTuJA9+b0N9sBAADbAwAADgAAAAAAAAAB&#10;ACAAAAAfAQAAZHJzL2Uyb0RvYy54bWxQSwUGAAAAAAYABgBZAQAAbAUAAA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zh-CN"/>
        </w:rPr>
        <mc:AlternateContent>
          <mc:Choice Requires="wps">
            <w:drawing>
              <wp:anchor distT="0" distB="0" distL="114300" distR="114300" simplePos="0" relativeHeight="251660288" behindDoc="0" locked="0" layoutInCell="0" allowOverlap="1">
                <wp:simplePos x="0" y="0"/>
                <wp:positionH relativeFrom="column">
                  <wp:posOffset>0</wp:posOffset>
                </wp:positionH>
                <wp:positionV relativeFrom="paragraph">
                  <wp:posOffset>99060</wp:posOffset>
                </wp:positionV>
                <wp:extent cx="635" cy="0"/>
                <wp:effectExtent l="0" t="0" r="0" b="0"/>
                <wp:wrapNone/>
                <wp:docPr id="2" name="_x0000_s1027"/>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7" o:spid="_x0000_s1026" o:spt="20" style="position:absolute;left:0pt;margin-left:0pt;margin-top:7.8pt;height:0pt;width:0.05pt;z-index:251660288;mso-width-relative:page;mso-height-relative:page;" filled="f" stroked="t" coordsize="21600,21600" o:allowincell="f" o:gfxdata="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1aDNZdAAAAADAQAADwAAAAAAAAABACAA&#10;AAAiAAAAZHJzL2Rvd25yZXYueG1sUEsBAhQAFAAAAAgAh07iQBu+Fi/cAQAA2wMAAA4AAAAAAAAA&#10;AQAgAAAAHwEAAGRycy9lMm9Eb2MueG1sUEsFBgAAAAAGAAYAWQEAAG0FAAAA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zh-CN"/>
        </w:rPr>
        <mc:AlternateContent>
          <mc:Choice Requires="wps">
            <w:drawing>
              <wp:anchor distT="0" distB="0" distL="114300" distR="114300" simplePos="0" relativeHeight="251661312" behindDoc="0" locked="0" layoutInCell="0" allowOverlap="1">
                <wp:simplePos x="0" y="0"/>
                <wp:positionH relativeFrom="column">
                  <wp:posOffset>0</wp:posOffset>
                </wp:positionH>
                <wp:positionV relativeFrom="paragraph">
                  <wp:posOffset>99060</wp:posOffset>
                </wp:positionV>
                <wp:extent cx="635" cy="0"/>
                <wp:effectExtent l="0" t="0" r="0" b="0"/>
                <wp:wrapNone/>
                <wp:docPr id="3" name="_x0000_s1028"/>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8" o:spid="_x0000_s1026" o:spt="20" style="position:absolute;left:0pt;margin-left:0pt;margin-top:7.8pt;height:0pt;width:0.05pt;z-index:251661312;mso-width-relative:page;mso-height-relative:page;" filled="f" stroked="t" coordsize="21600,21600" o:allowincell="f" o:gfxdata="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1aDNZdAAAAADAQAADwAAAAAAAAABACAA&#10;AAAiAAAAZHJzL2Rvd25yZXYueG1sUEsBAhQAFAAAAAgAh07iQIttlmvcAQAA2wMAAA4AAAAAAAAA&#10;AQAgAAAAHwEAAGRycy9lMm9Eb2MueG1sUEsFBgAAAAAGAAYAWQEAAG0FAAAAAA==&#10;">
                <v:fill on="f" focussize="0,0"/>
                <v:stroke color="#000000" joinstyle="round"/>
                <v:imagedata o:title=""/>
                <o:lock v:ext="edit" aspectratio="f"/>
              </v:line>
            </w:pict>
          </mc:Fallback>
        </mc:AlternateContent>
      </w:r>
      <w:r>
        <w:rPr>
          <w:rFonts w:hint="eastAsia" w:ascii="Times New Roman" w:hAnsi="Times New Roman" w:eastAsia="仿宋_GB2312" w:cs="Times New Roman"/>
          <w:sz w:val="28"/>
          <w:szCs w:val="32"/>
          <w:lang w:val="en-US" w:eastAsia="zh-CN"/>
        </w:rPr>
        <w:t>根据</w:t>
      </w:r>
      <w:r>
        <w:rPr>
          <w:rFonts w:hint="default" w:ascii="Times New Roman" w:hAnsi="Times New Roman" w:eastAsia="仿宋_GB2312" w:cs="Times New Roman"/>
          <w:sz w:val="28"/>
          <w:szCs w:val="32"/>
          <w:lang w:val="zh-CN"/>
        </w:rPr>
        <w:t>《</w:t>
      </w:r>
      <w:r>
        <w:rPr>
          <w:rFonts w:hint="default" w:ascii="Times New Roman" w:hAnsi="Times New Roman" w:eastAsia="仿宋_GB2312" w:cs="Times New Roman"/>
          <w:sz w:val="28"/>
          <w:szCs w:val="32"/>
          <w:lang w:val="en-US"/>
        </w:rPr>
        <mc:AlternateContent>
          <mc:Choice Requires="wps">
            <w:drawing>
              <wp:anchor distT="0" distB="0" distL="114300" distR="114300" simplePos="0" relativeHeight="251662336" behindDoc="0" locked="0" layoutInCell="0" allowOverlap="1">
                <wp:simplePos x="0" y="0"/>
                <wp:positionH relativeFrom="column">
                  <wp:posOffset>0</wp:posOffset>
                </wp:positionH>
                <wp:positionV relativeFrom="paragraph">
                  <wp:posOffset>99060</wp:posOffset>
                </wp:positionV>
                <wp:extent cx="635" cy="0"/>
                <wp:effectExtent l="0" t="0" r="0" b="0"/>
                <wp:wrapNone/>
                <wp:docPr id="4" name="直线 5"/>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5" o:spid="_x0000_s1026" o:spt="20" style="position:absolute;left:0pt;margin-left:0pt;margin-top:7.8pt;height:0pt;width:0.05pt;z-index:251662336;mso-width-relative:page;mso-height-relative:page;" filled="f" stroked="t" coordsize="21600,21600" o:allowincell="f" o:gfxdata="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WgzWXQAAAAAwEAAA8AAAAA&#10;AAAAAQAgAAAAIgAAAGRycy9kb3ducmV2LnhtbFBLAQIUABQAAAAIAIdO4kBt/mn14wEAANcDAAAO&#10;AAAAAAAAAAEAIAAAAB8BAABkcnMvZTJvRG9jLnhtbFBLBQYAAAAABgAGAFkBAAB0BQAAA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en-US"/>
        </w:rPr>
        <mc:AlternateContent>
          <mc:Choice Requires="wps">
            <w:drawing>
              <wp:anchor distT="0" distB="0" distL="114300" distR="114300" simplePos="0" relativeHeight="251663360" behindDoc="0" locked="0" layoutInCell="0" allowOverlap="1">
                <wp:simplePos x="0" y="0"/>
                <wp:positionH relativeFrom="column">
                  <wp:posOffset>0</wp:posOffset>
                </wp:positionH>
                <wp:positionV relativeFrom="paragraph">
                  <wp:posOffset>99060</wp:posOffset>
                </wp:positionV>
                <wp:extent cx="635" cy="0"/>
                <wp:effectExtent l="0" t="0" r="0" b="0"/>
                <wp:wrapNone/>
                <wp:docPr id="5" name="直线 6"/>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6" o:spid="_x0000_s1026" o:spt="20" style="position:absolute;left:0pt;margin-left:0pt;margin-top:7.8pt;height:0pt;width:0.05pt;z-index:251663360;mso-width-relative:page;mso-height-relative:page;" filled="f" stroked="t" coordsize="21600,21600" o:allowincell="f" o:gfxdata="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1aDNZdAAAAADAQAADwAAAAAA&#10;AAABACAAAAAiAAAAZHJzL2Rvd25yZXYueG1sUEsBAhQAFAAAAAgAh07iQKJwm4fiAQAA1wMAAA4A&#10;AAAAAAAAAQAgAAAAHwEAAGRycy9lMm9Eb2MueG1sUEsFBgAAAAAGAAYAWQEAAHMFAAAA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en-US"/>
        </w:rPr>
        <mc:AlternateContent>
          <mc:Choice Requires="wps">
            <w:drawing>
              <wp:anchor distT="0" distB="0" distL="114300" distR="114300" simplePos="0" relativeHeight="251664384" behindDoc="0" locked="0" layoutInCell="0" allowOverlap="1">
                <wp:simplePos x="0" y="0"/>
                <wp:positionH relativeFrom="column">
                  <wp:posOffset>0</wp:posOffset>
                </wp:positionH>
                <wp:positionV relativeFrom="paragraph">
                  <wp:posOffset>99060</wp:posOffset>
                </wp:positionV>
                <wp:extent cx="635" cy="0"/>
                <wp:effectExtent l="0" t="0" r="0" b="0"/>
                <wp:wrapNone/>
                <wp:docPr id="6" name="直线 7"/>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7" o:spid="_x0000_s1026" o:spt="20" style="position:absolute;left:0pt;margin-left:0pt;margin-top:7.8pt;height:0pt;width:0.05pt;z-index:251664384;mso-width-relative:page;mso-height-relative:page;" filled="f" stroked="t" coordsize="21600,21600" o:allowincell="f" o:gfxdata="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WgzWXQAAAAAwEAAA8AAAAA&#10;AAAAAQAgAAAAIgAAAGRycy9kb3ducmV2LnhtbFBLAQIUABQAAAAIAIdO4kDkKNQl4wEAANcDAAAO&#10;AAAAAAAAAAEAIAAAAB8BAABkcnMvZTJvRG9jLnhtbFBLBQYAAAAABgAGAFkBAAB0BQAAA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en-US" w:eastAsia="zh-CN"/>
        </w:rPr>
        <w:t>广西标准化协会</w:t>
      </w:r>
      <w:r>
        <w:rPr>
          <w:rFonts w:hint="default" w:ascii="Times New Roman" w:hAnsi="Times New Roman" w:eastAsia="仿宋_GB2312" w:cs="Times New Roman"/>
          <w:sz w:val="28"/>
          <w:szCs w:val="32"/>
          <w:lang w:val="zh-CN"/>
        </w:rPr>
        <w:t>关于</w:t>
      </w:r>
      <w:r>
        <w:rPr>
          <w:rFonts w:hint="default" w:ascii="Times New Roman" w:hAnsi="Times New Roman" w:eastAsia="仿宋_GB2312" w:cs="Times New Roman"/>
          <w:sz w:val="28"/>
          <w:szCs w:val="32"/>
          <w:lang w:val="zh-CN" w:eastAsia="zh-CN"/>
        </w:rPr>
        <w:t>下达</w:t>
      </w:r>
      <w:r>
        <w:rPr>
          <w:rFonts w:hint="default" w:ascii="Times New Roman" w:hAnsi="Times New Roman" w:eastAsia="仿宋_GB2312" w:cs="Times New Roman"/>
          <w:sz w:val="28"/>
          <w:szCs w:val="32"/>
          <w:lang w:val="en-US" w:eastAsia="zh-CN"/>
        </w:rPr>
        <w:t>202</w:t>
      </w:r>
      <w:r>
        <w:rPr>
          <w:rFonts w:hint="eastAsia" w:ascii="Times New Roman" w:hAnsi="Times New Roman" w:eastAsia="仿宋_GB2312" w:cs="Times New Roman"/>
          <w:sz w:val="28"/>
          <w:szCs w:val="32"/>
          <w:lang w:val="en-US" w:eastAsia="zh-CN"/>
        </w:rPr>
        <w:t>5</w:t>
      </w:r>
      <w:r>
        <w:rPr>
          <w:rFonts w:hint="default" w:ascii="Times New Roman" w:hAnsi="Times New Roman" w:eastAsia="仿宋_GB2312" w:cs="Times New Roman"/>
          <w:sz w:val="28"/>
          <w:szCs w:val="32"/>
          <w:lang w:val="zh-CN" w:eastAsia="zh-CN"/>
        </w:rPr>
        <w:t>年</w:t>
      </w:r>
      <w:r>
        <w:rPr>
          <w:rFonts w:hint="eastAsia" w:ascii="Times New Roman" w:hAnsi="Times New Roman" w:eastAsia="仿宋_GB2312" w:cs="Times New Roman"/>
          <w:sz w:val="28"/>
          <w:szCs w:val="32"/>
          <w:lang w:val="en-US" w:eastAsia="zh-CN"/>
        </w:rPr>
        <w:t>第二十四</w:t>
      </w:r>
      <w:r>
        <w:rPr>
          <w:rFonts w:hint="default" w:ascii="Times New Roman" w:hAnsi="Times New Roman" w:eastAsia="仿宋_GB2312" w:cs="Times New Roman"/>
          <w:sz w:val="28"/>
          <w:szCs w:val="32"/>
          <w:lang w:val="zh-CN" w:eastAsia="zh-CN"/>
        </w:rPr>
        <w:t>批团体标准制修订项目计划的通知》（</w:t>
      </w:r>
      <w:r>
        <w:rPr>
          <w:rFonts w:hint="default" w:ascii="Times New Roman" w:hAnsi="Times New Roman" w:eastAsia="仿宋_GB2312" w:cs="Times New Roman"/>
          <w:sz w:val="28"/>
          <w:szCs w:val="32"/>
          <w:lang w:val="en-US" w:eastAsia="zh-CN"/>
        </w:rPr>
        <w:t>桂标协</w:t>
      </w:r>
      <w:r>
        <w:rPr>
          <w:rFonts w:hint="default" w:ascii="Times New Roman" w:hAnsi="Times New Roman" w:eastAsia="仿宋_GB2312" w:cs="Times New Roman"/>
          <w:sz w:val="28"/>
          <w:szCs w:val="32"/>
          <w:lang w:val="zh-CN" w:eastAsia="zh-CN"/>
        </w:rPr>
        <w:t>〔202</w:t>
      </w:r>
      <w:r>
        <w:rPr>
          <w:rFonts w:hint="eastAsia" w:ascii="Times New Roman" w:hAnsi="Times New Roman" w:eastAsia="仿宋_GB2312" w:cs="Times New Roman"/>
          <w:sz w:val="28"/>
          <w:szCs w:val="32"/>
          <w:lang w:val="en-US" w:eastAsia="zh-CN"/>
        </w:rPr>
        <w:t>5</w:t>
      </w:r>
      <w:r>
        <w:rPr>
          <w:rFonts w:hint="default" w:ascii="Times New Roman" w:hAnsi="Times New Roman" w:eastAsia="仿宋_GB2312" w:cs="Times New Roman"/>
          <w:sz w:val="28"/>
          <w:szCs w:val="32"/>
          <w:lang w:val="zh-CN" w:eastAsia="zh-CN"/>
        </w:rPr>
        <w:t>〕</w:t>
      </w:r>
      <w:r>
        <w:rPr>
          <w:rFonts w:hint="eastAsia" w:ascii="Times New Roman" w:hAnsi="Times New Roman" w:eastAsia="仿宋_GB2312" w:cs="Times New Roman"/>
          <w:sz w:val="28"/>
          <w:szCs w:val="32"/>
          <w:lang w:val="en-US" w:eastAsia="zh-CN"/>
        </w:rPr>
        <w:t>209</w:t>
      </w:r>
      <w:r>
        <w:rPr>
          <w:rFonts w:hint="default" w:ascii="Times New Roman" w:hAnsi="Times New Roman" w:eastAsia="仿宋_GB2312" w:cs="Times New Roman"/>
          <w:sz w:val="28"/>
          <w:szCs w:val="32"/>
          <w:lang w:val="en-US" w:eastAsia="zh-CN"/>
        </w:rPr>
        <w:t>号</w:t>
      </w:r>
      <w:r>
        <w:rPr>
          <w:rFonts w:hint="default" w:ascii="Times New Roman" w:hAnsi="Times New Roman" w:eastAsia="仿宋_GB2312" w:cs="Times New Roman"/>
          <w:sz w:val="28"/>
          <w:szCs w:val="32"/>
          <w:lang w:val="zh-CN" w:eastAsia="zh-CN"/>
        </w:rPr>
        <w:t>）</w:t>
      </w:r>
      <w:r>
        <w:rPr>
          <w:rFonts w:hint="eastAsia" w:ascii="Times New Roman" w:hAnsi="Times New Roman" w:eastAsia="仿宋_GB2312" w:cs="Times New Roman"/>
          <w:sz w:val="28"/>
          <w:szCs w:val="32"/>
          <w:lang w:val="en-US" w:eastAsia="zh-CN"/>
        </w:rPr>
        <w:t>文件精神</w:t>
      </w:r>
      <w:r>
        <w:rPr>
          <w:rFonts w:hint="eastAsia" w:ascii="Times New Roman" w:hAnsi="Times New Roman" w:eastAsia="仿宋_GB2312" w:cs="Times New Roman"/>
          <w:sz w:val="28"/>
          <w:szCs w:val="32"/>
          <w:lang w:val="zh-CN" w:eastAsia="zh-CN"/>
        </w:rPr>
        <w:t>，</w:t>
      </w:r>
      <w:r>
        <w:rPr>
          <w:rFonts w:hint="default" w:ascii="Times New Roman" w:hAnsi="Times New Roman" w:eastAsia="仿宋_GB2312" w:cs="Times New Roman"/>
          <w:sz w:val="28"/>
          <w:szCs w:val="32"/>
          <w:lang w:val="zh-CN" w:eastAsia="zh-CN"/>
        </w:rPr>
        <w:t>由</w:t>
      </w:r>
      <w:r>
        <w:rPr>
          <w:rFonts w:hint="eastAsia" w:ascii="Times New Roman" w:hAnsi="Times New Roman" w:eastAsia="仿宋_GB2312" w:cs="Times New Roman"/>
          <w:sz w:val="28"/>
          <w:szCs w:val="32"/>
          <w:lang w:val="zh-CN" w:eastAsia="zh-CN"/>
        </w:rPr>
        <w:t>广西壮族自治区辐射环境监督管理站</w:t>
      </w:r>
      <w:r>
        <w:rPr>
          <w:rFonts w:hint="default" w:ascii="Times New Roman" w:hAnsi="Times New Roman" w:eastAsia="仿宋_GB2312" w:cs="Times New Roman"/>
          <w:sz w:val="28"/>
          <w:szCs w:val="32"/>
          <w:lang w:val="zh-CN" w:eastAsia="zh-CN"/>
        </w:rPr>
        <w:t>提出，</w:t>
      </w:r>
      <w:r>
        <w:rPr>
          <w:rFonts w:hint="eastAsia" w:ascii="Times New Roman" w:hAnsi="Times New Roman" w:eastAsia="仿宋_GB2312" w:cs="Times New Roman"/>
          <w:sz w:val="28"/>
          <w:szCs w:val="32"/>
          <w:lang w:val="zh-CN" w:eastAsia="zh-CN"/>
        </w:rPr>
        <w:t>广西壮族自治区辐射环境监督管理站</w:t>
      </w:r>
      <w:r>
        <w:rPr>
          <w:rFonts w:hint="default" w:ascii="Times New Roman" w:hAnsi="Times New Roman" w:eastAsia="仿宋_GB2312" w:cs="Times New Roman"/>
          <w:sz w:val="28"/>
          <w:szCs w:val="32"/>
          <w:lang w:val="zh-CN" w:eastAsia="zh-CN"/>
        </w:rPr>
        <w:t>、北海市环境应急和固体废物管理站、广西防城港核电有限公司</w:t>
      </w:r>
      <w:r>
        <w:rPr>
          <w:rFonts w:hint="default" w:ascii="Times New Roman" w:hAnsi="Times New Roman" w:eastAsia="仿宋_GB2312" w:cs="Times New Roman"/>
          <w:sz w:val="28"/>
          <w:szCs w:val="32"/>
          <w:lang w:val="zh-CN"/>
        </w:rPr>
        <w:t>共同起草</w:t>
      </w:r>
      <w:r>
        <w:rPr>
          <w:rFonts w:hint="eastAsia" w:ascii="Times New Roman" w:hAnsi="Times New Roman" w:eastAsia="仿宋_GB2312" w:cs="Times New Roman"/>
          <w:sz w:val="28"/>
          <w:szCs w:val="32"/>
          <w:lang w:val="en-US" w:eastAsia="zh-CN"/>
        </w:rPr>
        <w:t>了</w:t>
      </w:r>
      <w:r>
        <w:rPr>
          <w:rFonts w:hint="eastAsia" w:ascii="Times New Roman" w:hAnsi="Times New Roman" w:eastAsia="仿宋_GB2312" w:cs="Times New Roman"/>
          <w:sz w:val="28"/>
          <w:szCs w:val="32"/>
          <w:lang w:val="zh-CN"/>
        </w:rPr>
        <w:t>《辐射事故应急演习评估导则》</w:t>
      </w:r>
      <w:r>
        <w:rPr>
          <w:rFonts w:hint="default" w:ascii="Times New Roman" w:hAnsi="Times New Roman" w:eastAsia="仿宋_GB2312" w:cs="Times New Roman"/>
          <w:sz w:val="28"/>
          <w:szCs w:val="32"/>
          <w:lang w:val="zh-CN"/>
        </w:rPr>
        <w:t>（项目编号：202</w:t>
      </w:r>
      <w:r>
        <w:rPr>
          <w:rFonts w:hint="eastAsia" w:ascii="Times New Roman" w:hAnsi="Times New Roman" w:eastAsia="仿宋_GB2312" w:cs="Times New Roman"/>
          <w:sz w:val="28"/>
          <w:szCs w:val="32"/>
          <w:lang w:val="en-US" w:eastAsia="zh-CN"/>
        </w:rPr>
        <w:t>5</w:t>
      </w:r>
      <w:r>
        <w:rPr>
          <w:rFonts w:hint="default" w:ascii="Times New Roman" w:hAnsi="Times New Roman" w:eastAsia="仿宋_GB2312" w:cs="Times New Roman"/>
          <w:sz w:val="28"/>
          <w:szCs w:val="32"/>
          <w:lang w:val="zh-CN"/>
        </w:rPr>
        <w:t>-</w:t>
      </w:r>
      <w:r>
        <w:rPr>
          <w:rFonts w:hint="eastAsia" w:ascii="Times New Roman" w:hAnsi="Times New Roman" w:eastAsia="仿宋_GB2312" w:cs="Times New Roman"/>
          <w:sz w:val="28"/>
          <w:szCs w:val="32"/>
          <w:lang w:val="en-US" w:eastAsia="zh-CN"/>
        </w:rPr>
        <w:t>2410</w:t>
      </w:r>
      <w:r>
        <w:rPr>
          <w:rFonts w:hint="default" w:ascii="Times New Roman" w:hAnsi="Times New Roman" w:eastAsia="仿宋_GB2312" w:cs="Times New Roman"/>
          <w:sz w:val="28"/>
          <w:szCs w:val="32"/>
          <w:lang w:val="zh-CN"/>
        </w:rPr>
        <w:t>）</w:t>
      </w:r>
      <w:r>
        <w:rPr>
          <w:rFonts w:hint="default" w:ascii="Times New Roman" w:hAnsi="Times New Roman" w:eastAsia="仿宋_GB2312" w:cs="Times New Roman"/>
          <w:sz w:val="28"/>
          <w:szCs w:val="32"/>
          <w:lang w:val="zh-CN"/>
        </w:rPr>
        <mc:AlternateContent>
          <mc:Choice Requires="wps">
            <w:drawing>
              <wp:anchor distT="0" distB="0" distL="114300" distR="114300" simplePos="0" relativeHeight="251665408" behindDoc="0" locked="0" layoutInCell="0" allowOverlap="1">
                <wp:simplePos x="0" y="0"/>
                <wp:positionH relativeFrom="column">
                  <wp:posOffset>152400</wp:posOffset>
                </wp:positionH>
                <wp:positionV relativeFrom="paragraph">
                  <wp:posOffset>251460</wp:posOffset>
                </wp:positionV>
                <wp:extent cx="635" cy="0"/>
                <wp:effectExtent l="0" t="0" r="0" b="0"/>
                <wp:wrapNone/>
                <wp:docPr id="7" name="直线 15"/>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15" o:spid="_x0000_s1026" o:spt="20" style="position:absolute;left:0pt;margin-left:12pt;margin-top:19.8pt;height:0pt;width:0.05pt;z-index:251665408;mso-width-relative:page;mso-height-relative:page;" filled="f" stroked="t" coordsize="21600,21600" o:allowincell="f" o:gfxdata="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4ty5dNQAAAAHAQAA&#10;DwAAAAAAAAABACAAAAAiAAAAZHJzL2Rvd25yZXYueG1sUEsBAhQAFAAAAAgAh07iQDTolIzkAQAA&#10;2AMAAA4AAAAAAAAAAQAgAAAAIwEAAGRycy9lMm9Eb2MueG1sUEsFBgAAAAAGAAYAWQEAAHkFAAAA&#10;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zh-CN"/>
        </w:rPr>
        <mc:AlternateContent>
          <mc:Choice Requires="wps">
            <w:drawing>
              <wp:anchor distT="0" distB="0" distL="114300" distR="114300" simplePos="0" relativeHeight="251666432" behindDoc="0" locked="0" layoutInCell="0" allowOverlap="1">
                <wp:simplePos x="0" y="0"/>
                <wp:positionH relativeFrom="column">
                  <wp:posOffset>152400</wp:posOffset>
                </wp:positionH>
                <wp:positionV relativeFrom="paragraph">
                  <wp:posOffset>251460</wp:posOffset>
                </wp:positionV>
                <wp:extent cx="635" cy="0"/>
                <wp:effectExtent l="0" t="0" r="0" b="0"/>
                <wp:wrapNone/>
                <wp:docPr id="8" name="直线 16"/>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16" o:spid="_x0000_s1026" o:spt="20" style="position:absolute;left:0pt;margin-left:12pt;margin-top:19.8pt;height:0pt;width:0.05pt;z-index:251666432;mso-width-relative:page;mso-height-relative:page;" filled="f" stroked="t" coordsize="21600,21600" o:allowincell="f" o:gfxdata="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4ty5dNQAAAAHAQAA&#10;DwAAAAAAAAABACAAAAAiAAAAZHJzL2Rvd25yZXYueG1sUEsBAhQAFAAAAAgAh07iQG+aVcDkAQAA&#10;2AMAAA4AAAAAAAAAAQAgAAAAIwEAAGRycy9lMm9Eb2MueG1sUEsFBgAAAAAGAAYAWQEAAHkFAAAA&#10;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zh-CN"/>
        </w:rPr>
        <mc:AlternateContent>
          <mc:Choice Requires="wps">
            <w:drawing>
              <wp:anchor distT="0" distB="0" distL="114300" distR="114300" simplePos="0" relativeHeight="251667456" behindDoc="0" locked="0" layoutInCell="0" allowOverlap="1">
                <wp:simplePos x="0" y="0"/>
                <wp:positionH relativeFrom="column">
                  <wp:posOffset>152400</wp:posOffset>
                </wp:positionH>
                <wp:positionV relativeFrom="paragraph">
                  <wp:posOffset>251460</wp:posOffset>
                </wp:positionV>
                <wp:extent cx="635" cy="0"/>
                <wp:effectExtent l="0" t="0" r="0" b="0"/>
                <wp:wrapNone/>
                <wp:docPr id="9" name="直线 17"/>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17" o:spid="_x0000_s1026" o:spt="20" style="position:absolute;left:0pt;margin-left:12pt;margin-top:19.8pt;height:0pt;width:0.05pt;z-index:251667456;mso-width-relative:page;mso-height-relative:page;" filled="f" stroked="t" coordsize="21600,21600" o:allowincell="f" o:gfxdata="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Di3Ll01AAAAAcBAAAP&#10;AAAAAAAAAAEAIAAAACIAAABkcnMvZG93bnJldi54bWxQSwECFAAUAAAACACHTuJAcJ7EPOMBAADY&#10;AwAADgAAAAAAAAABACAAAAAjAQAAZHJzL2Uyb0RvYy54bWxQSwUGAAAAAAYABgBZAQAAeAUAAA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zh-CN"/>
        </w:rPr>
        <w:t>。</w:t>
      </w:r>
    </w:p>
    <w:p>
      <w:pPr>
        <w:ind w:firstLine="560" w:firstLineChars="200"/>
        <w:rPr>
          <w:rFonts w:hint="eastAsia" w:ascii="Times New Roman" w:hAnsi="Times New Roman" w:eastAsia="仿宋_GB2312"/>
          <w:sz w:val="28"/>
          <w:szCs w:val="28"/>
          <w:lang w:eastAsia="zh-CN"/>
        </w:rPr>
      </w:pPr>
      <w:r>
        <w:rPr>
          <w:rFonts w:hint="eastAsia" w:ascii="Times New Roman" w:hAnsi="Times New Roman" w:eastAsia="仿宋_GB2312"/>
          <w:sz w:val="28"/>
          <w:szCs w:val="28"/>
          <w:lang w:eastAsia="zh-CN"/>
        </w:rPr>
        <w:t>为高质量编制团体标准《</w:t>
      </w:r>
      <w:r>
        <w:rPr>
          <w:rFonts w:hint="eastAsia" w:ascii="Times New Roman" w:hAnsi="Times New Roman" w:eastAsia="仿宋_GB2312"/>
          <w:sz w:val="28"/>
          <w:szCs w:val="28"/>
          <w:lang w:val="en-US" w:eastAsia="zh-CN"/>
        </w:rPr>
        <w:t>核电厂核事故场外应急执行程序编制指南</w:t>
      </w:r>
      <w:r>
        <w:rPr>
          <w:rFonts w:hint="eastAsia" w:ascii="Times New Roman" w:hAnsi="Times New Roman" w:eastAsia="仿宋_GB2312"/>
          <w:sz w:val="28"/>
          <w:szCs w:val="28"/>
          <w:lang w:eastAsia="zh-CN"/>
        </w:rPr>
        <w:t>》，由起草单位成立标准编制工作组并进行如下分工：</w:t>
      </w:r>
    </w:p>
    <w:tbl>
      <w:tblPr>
        <w:tblStyle w:val="17"/>
        <w:tblpPr w:leftFromText="180" w:rightFromText="180" w:vertAnchor="text" w:horzAnchor="page" w:tblpX="1792" w:tblpY="613"/>
        <w:tblOverlap w:val="never"/>
        <w:tblW w:w="788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0"/>
        <w:gridCol w:w="1395"/>
        <w:gridCol w:w="1485"/>
        <w:gridCol w:w="2269"/>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noWrap w:val="0"/>
            <w:vAlign w:val="center"/>
          </w:tcPr>
          <w:p>
            <w:pPr>
              <w:jc w:val="center"/>
              <w:rPr>
                <w:rFonts w:hint="eastAsia" w:ascii="仿宋_GB2312" w:hAnsi="仿宋_GB2312" w:eastAsia="仿宋_GB2312" w:cs="仿宋_GB2312"/>
                <w:b/>
                <w:szCs w:val="21"/>
              </w:rPr>
            </w:pPr>
            <w:r>
              <w:rPr>
                <w:rFonts w:hint="eastAsia" w:ascii="仿宋_GB2312" w:hAnsi="仿宋_GB2312" w:eastAsia="仿宋_GB2312" w:cs="仿宋_GB2312"/>
                <w:b/>
                <w:spacing w:val="-6"/>
                <w:szCs w:val="21"/>
              </w:rPr>
              <w:t>姓名</w:t>
            </w:r>
          </w:p>
        </w:tc>
        <w:tc>
          <w:tcPr>
            <w:tcW w:w="1395" w:type="dxa"/>
            <w:noWrap w:val="0"/>
            <w:vAlign w:val="center"/>
          </w:tcPr>
          <w:p>
            <w:pPr>
              <w:jc w:val="center"/>
              <w:rPr>
                <w:rFonts w:hint="eastAsia" w:ascii="仿宋_GB2312" w:hAnsi="仿宋_GB2312" w:eastAsia="仿宋_GB2312" w:cs="仿宋_GB2312"/>
                <w:b/>
                <w:szCs w:val="21"/>
              </w:rPr>
            </w:pPr>
            <w:r>
              <w:rPr>
                <w:rFonts w:hint="eastAsia" w:ascii="仿宋_GB2312" w:hAnsi="仿宋_GB2312" w:eastAsia="仿宋_GB2312" w:cs="仿宋_GB2312"/>
                <w:b/>
                <w:spacing w:val="-6"/>
                <w:szCs w:val="21"/>
              </w:rPr>
              <w:t>职务/职称</w:t>
            </w:r>
          </w:p>
        </w:tc>
        <w:tc>
          <w:tcPr>
            <w:tcW w:w="1485" w:type="dxa"/>
            <w:noWrap w:val="0"/>
            <w:vAlign w:val="center"/>
          </w:tcPr>
          <w:p>
            <w:pPr>
              <w:jc w:val="center"/>
              <w:rPr>
                <w:rFonts w:hint="eastAsia" w:ascii="仿宋_GB2312" w:hAnsi="仿宋_GB2312" w:eastAsia="仿宋_GB2312" w:cs="仿宋_GB2312"/>
                <w:b/>
                <w:szCs w:val="21"/>
              </w:rPr>
            </w:pPr>
            <w:r>
              <w:rPr>
                <w:rFonts w:hint="eastAsia" w:ascii="仿宋_GB2312" w:hAnsi="仿宋_GB2312" w:eastAsia="仿宋_GB2312" w:cs="仿宋_GB2312"/>
                <w:b/>
                <w:spacing w:val="-6"/>
                <w:szCs w:val="21"/>
              </w:rPr>
              <w:t>从事专业</w:t>
            </w:r>
          </w:p>
        </w:tc>
        <w:tc>
          <w:tcPr>
            <w:tcW w:w="2269" w:type="dxa"/>
            <w:noWrap w:val="0"/>
            <w:vAlign w:val="center"/>
          </w:tcPr>
          <w:p>
            <w:pPr>
              <w:jc w:val="center"/>
              <w:rPr>
                <w:rFonts w:hint="eastAsia" w:ascii="仿宋_GB2312" w:hAnsi="仿宋_GB2312" w:eastAsia="仿宋_GB2312" w:cs="仿宋_GB2312"/>
                <w:b/>
                <w:szCs w:val="21"/>
              </w:rPr>
            </w:pPr>
            <w:r>
              <w:rPr>
                <w:rFonts w:hint="eastAsia" w:ascii="仿宋_GB2312" w:hAnsi="仿宋_GB2312" w:eastAsia="仿宋_GB2312" w:cs="仿宋_GB2312"/>
                <w:b/>
                <w:spacing w:val="-6"/>
                <w:szCs w:val="21"/>
              </w:rPr>
              <w:t>工作单位</w:t>
            </w:r>
          </w:p>
        </w:tc>
        <w:tc>
          <w:tcPr>
            <w:tcW w:w="1843" w:type="dxa"/>
            <w:noWrap w:val="0"/>
            <w:vAlign w:val="center"/>
          </w:tcPr>
          <w:p>
            <w:pPr>
              <w:jc w:val="center"/>
              <w:rPr>
                <w:rFonts w:hint="eastAsia" w:ascii="仿宋_GB2312" w:hAnsi="仿宋_GB2312" w:eastAsia="仿宋_GB2312" w:cs="仿宋_GB2312"/>
                <w:b/>
                <w:szCs w:val="21"/>
              </w:rPr>
            </w:pPr>
            <w:r>
              <w:rPr>
                <w:rFonts w:hint="eastAsia" w:ascii="仿宋_GB2312" w:hAnsi="仿宋_GB2312" w:eastAsia="仿宋_GB2312" w:cs="仿宋_GB2312"/>
                <w:b/>
                <w:spacing w:val="-6"/>
                <w:szCs w:val="21"/>
              </w:rPr>
              <w:t>责任分工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Cs w:val="21"/>
                <w:lang w:val="en-US" w:eastAsia="zh-CN"/>
              </w:rPr>
              <w:t>张巍</w:t>
            </w:r>
          </w:p>
        </w:tc>
        <w:tc>
          <w:tcPr>
            <w:tcW w:w="1395"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Cs w:val="21"/>
                <w:lang w:val="en-US" w:eastAsia="zh-CN"/>
              </w:rPr>
              <w:t>工程师</w:t>
            </w:r>
          </w:p>
        </w:tc>
        <w:tc>
          <w:tcPr>
            <w:tcW w:w="1485"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辐射环境监测，核与辐射应急管理</w:t>
            </w:r>
          </w:p>
        </w:tc>
        <w:tc>
          <w:tcPr>
            <w:tcW w:w="2269"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广西壮族自治区辐射环境监督管理站</w:t>
            </w:r>
          </w:p>
        </w:tc>
        <w:tc>
          <w:tcPr>
            <w:tcW w:w="1843"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项目设计、立项申报、组织撰写、专家咨询与评审、验收、发布等。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kern w:val="2"/>
                <w:sz w:val="21"/>
                <w:szCs w:val="21"/>
                <w:lang w:val="en-US" w:eastAsia="zh-CN" w:bidi="ar-SA"/>
              </w:rPr>
              <w:t>李玮衡</w:t>
            </w:r>
          </w:p>
        </w:tc>
        <w:tc>
          <w:tcPr>
            <w:tcW w:w="139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kern w:val="2"/>
                <w:sz w:val="21"/>
                <w:szCs w:val="21"/>
                <w:lang w:val="en-US" w:eastAsia="zh-CN" w:bidi="ar-SA"/>
              </w:rPr>
              <w:t>工程师</w:t>
            </w:r>
          </w:p>
        </w:tc>
        <w:tc>
          <w:tcPr>
            <w:tcW w:w="1485"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辐射环境监测，核与辐射应急管理</w:t>
            </w:r>
          </w:p>
        </w:tc>
        <w:tc>
          <w:tcPr>
            <w:tcW w:w="2269"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广西壮族自治区辐射环境监督管理站</w:t>
            </w:r>
          </w:p>
        </w:tc>
        <w:tc>
          <w:tcPr>
            <w:tcW w:w="1843" w:type="dxa"/>
            <w:noWrap w:val="0"/>
            <w:vAlign w:val="center"/>
          </w:tcPr>
          <w:p>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指导项目设计、立项申报、组织撰写、验收、发布等。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Cs w:val="21"/>
                <w:lang w:val="en-US" w:eastAsia="zh-CN"/>
              </w:rPr>
              <w:t>崔伦</w:t>
            </w:r>
          </w:p>
        </w:tc>
        <w:tc>
          <w:tcPr>
            <w:tcW w:w="1395"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Cs w:val="21"/>
                <w:lang w:val="en-US" w:eastAsia="zh-CN"/>
              </w:rPr>
              <w:t>工程师</w:t>
            </w:r>
          </w:p>
        </w:tc>
        <w:tc>
          <w:tcPr>
            <w:tcW w:w="1485"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辐射环境监测</w:t>
            </w:r>
          </w:p>
        </w:tc>
        <w:tc>
          <w:tcPr>
            <w:tcW w:w="2269"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广西壮族自治区辐射环境监督管理站</w:t>
            </w:r>
          </w:p>
        </w:tc>
        <w:tc>
          <w:tcPr>
            <w:tcW w:w="1843" w:type="dxa"/>
            <w:noWrap w:val="0"/>
            <w:vAlign w:val="center"/>
          </w:tcPr>
          <w:p>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调研、数据资料收集、标准起草、撰写。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毛位新</w:t>
            </w:r>
          </w:p>
        </w:tc>
        <w:tc>
          <w:tcPr>
            <w:tcW w:w="1395"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高级工程师</w:t>
            </w:r>
          </w:p>
        </w:tc>
        <w:tc>
          <w:tcPr>
            <w:tcW w:w="1485"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辐射环境监测，核与辐射应急管理</w:t>
            </w:r>
          </w:p>
        </w:tc>
        <w:tc>
          <w:tcPr>
            <w:tcW w:w="2269"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广西壮族自治区辐射环境监督管理站</w:t>
            </w:r>
          </w:p>
        </w:tc>
        <w:tc>
          <w:tcPr>
            <w:tcW w:w="1843" w:type="dxa"/>
            <w:noWrap w:val="0"/>
            <w:vAlign w:val="center"/>
          </w:tcPr>
          <w:p>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指导项目设计、立项申报、参与撰写等。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覃珂</w:t>
            </w:r>
          </w:p>
        </w:tc>
        <w:tc>
          <w:tcPr>
            <w:tcW w:w="139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工程师</w:t>
            </w:r>
          </w:p>
        </w:tc>
        <w:tc>
          <w:tcPr>
            <w:tcW w:w="148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kern w:val="2"/>
                <w:sz w:val="21"/>
                <w:szCs w:val="21"/>
                <w:lang w:val="en-US" w:eastAsia="zh-CN" w:bidi="ar-SA"/>
              </w:rPr>
              <w:t>辐射环境监测，核与辐射应急管理</w:t>
            </w:r>
          </w:p>
        </w:tc>
        <w:tc>
          <w:tcPr>
            <w:tcW w:w="2269"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kern w:val="2"/>
                <w:sz w:val="21"/>
                <w:szCs w:val="21"/>
                <w:lang w:val="en-US" w:eastAsia="zh-CN" w:bidi="ar-SA"/>
              </w:rPr>
              <w:t>广西壮族自治区辐射环境监督管理站</w:t>
            </w:r>
          </w:p>
        </w:tc>
        <w:tc>
          <w:tcPr>
            <w:tcW w:w="1843" w:type="dxa"/>
            <w:noWrap w:val="0"/>
            <w:vAlign w:val="center"/>
          </w:tcPr>
          <w:p>
            <w:pPr>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指导项目设计、立项申报、参与撰写等。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崔晓蓬</w:t>
            </w:r>
          </w:p>
        </w:tc>
        <w:tc>
          <w:tcPr>
            <w:tcW w:w="139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工程师</w:t>
            </w:r>
          </w:p>
        </w:tc>
        <w:tc>
          <w:tcPr>
            <w:tcW w:w="1485"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辐射环境监测</w:t>
            </w:r>
          </w:p>
        </w:tc>
        <w:tc>
          <w:tcPr>
            <w:tcW w:w="2269"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广西壮族自治区辐射环境监督管理站</w:t>
            </w:r>
          </w:p>
        </w:tc>
        <w:tc>
          <w:tcPr>
            <w:tcW w:w="1843" w:type="dxa"/>
            <w:noWrap w:val="0"/>
            <w:vAlign w:val="center"/>
          </w:tcPr>
          <w:p>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数据资料收集、标准起草、撰写。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noWrap w:val="0"/>
            <w:vAlign w:val="center"/>
          </w:tcPr>
          <w:p>
            <w:pPr>
              <w:jc w:val="center"/>
              <w:rPr>
                <w:rFonts w:hint="default"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颜琳</w:t>
            </w:r>
          </w:p>
        </w:tc>
        <w:tc>
          <w:tcPr>
            <w:tcW w:w="139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工程师</w:t>
            </w:r>
          </w:p>
        </w:tc>
        <w:tc>
          <w:tcPr>
            <w:tcW w:w="1485"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辐射环境监测</w:t>
            </w:r>
          </w:p>
        </w:tc>
        <w:tc>
          <w:tcPr>
            <w:tcW w:w="2269"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广西壮族自治区辐射环境监督管理站</w:t>
            </w:r>
          </w:p>
        </w:tc>
        <w:tc>
          <w:tcPr>
            <w:tcW w:w="1843" w:type="dxa"/>
            <w:noWrap w:val="0"/>
            <w:vAlign w:val="center"/>
          </w:tcPr>
          <w:p>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数据资料收集、标准起草、撰写。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李秀媚</w:t>
            </w:r>
          </w:p>
        </w:tc>
        <w:tc>
          <w:tcPr>
            <w:tcW w:w="1395" w:type="dxa"/>
            <w:noWrap w:val="0"/>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szCs w:val="21"/>
                <w:lang w:val="en-US" w:eastAsia="zh-CN"/>
              </w:rPr>
              <w:t>工程师</w:t>
            </w:r>
          </w:p>
        </w:tc>
        <w:tc>
          <w:tcPr>
            <w:tcW w:w="148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kern w:val="2"/>
                <w:sz w:val="21"/>
                <w:szCs w:val="21"/>
                <w:lang w:val="en-US" w:eastAsia="zh-CN" w:bidi="ar-SA"/>
              </w:rPr>
              <w:t>辐射环境监测</w:t>
            </w:r>
          </w:p>
        </w:tc>
        <w:tc>
          <w:tcPr>
            <w:tcW w:w="2269"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广西壮族自治区辐射环境监督管理站</w:t>
            </w:r>
          </w:p>
        </w:tc>
        <w:tc>
          <w:tcPr>
            <w:tcW w:w="1843"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调研、数据资料收集、标准起草、撰写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聂家乐</w:t>
            </w:r>
          </w:p>
        </w:tc>
        <w:tc>
          <w:tcPr>
            <w:tcW w:w="139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工程师</w:t>
            </w:r>
          </w:p>
        </w:tc>
        <w:tc>
          <w:tcPr>
            <w:tcW w:w="148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kern w:val="2"/>
                <w:sz w:val="21"/>
                <w:szCs w:val="21"/>
                <w:lang w:val="en-US" w:eastAsia="zh-CN" w:bidi="ar-SA"/>
              </w:rPr>
              <w:t>辐射环境监测，核与辐射应急管理</w:t>
            </w:r>
          </w:p>
        </w:tc>
        <w:tc>
          <w:tcPr>
            <w:tcW w:w="2269" w:type="dxa"/>
            <w:noWrap w:val="0"/>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kern w:val="2"/>
                <w:sz w:val="21"/>
                <w:szCs w:val="21"/>
                <w:lang w:val="en-US" w:eastAsia="zh-CN" w:bidi="ar-SA"/>
              </w:rPr>
              <w:t>广西壮族自治区辐射环境监督管理站</w:t>
            </w:r>
          </w:p>
        </w:tc>
        <w:tc>
          <w:tcPr>
            <w:tcW w:w="1843" w:type="dxa"/>
            <w:noWrap w:val="0"/>
            <w:vAlign w:val="center"/>
          </w:tcPr>
          <w:p>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调研、数据资料收集、标准起草、撰写。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noWrap w:val="0"/>
            <w:vAlign w:val="center"/>
          </w:tcPr>
          <w:p>
            <w:pPr>
              <w:jc w:val="center"/>
              <w:rPr>
                <w:rFonts w:hint="default"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谢慧</w:t>
            </w:r>
          </w:p>
        </w:tc>
        <w:tc>
          <w:tcPr>
            <w:tcW w:w="139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工程师</w:t>
            </w:r>
          </w:p>
        </w:tc>
        <w:tc>
          <w:tcPr>
            <w:tcW w:w="1485"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辐射环境监测，核与辐射应急管理</w:t>
            </w:r>
          </w:p>
        </w:tc>
        <w:tc>
          <w:tcPr>
            <w:tcW w:w="2269"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广西壮族自治区辐射环境监督管理站</w:t>
            </w:r>
          </w:p>
        </w:tc>
        <w:tc>
          <w:tcPr>
            <w:tcW w:w="1843" w:type="dxa"/>
            <w:noWrap w:val="0"/>
            <w:vAlign w:val="center"/>
          </w:tcPr>
          <w:p>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调研、数据资料收集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noWrap w:val="0"/>
            <w:vAlign w:val="center"/>
          </w:tcPr>
          <w:p>
            <w:pPr>
              <w:jc w:val="center"/>
              <w:rPr>
                <w:rFonts w:hint="default"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梁庭银</w:t>
            </w:r>
          </w:p>
        </w:tc>
        <w:tc>
          <w:tcPr>
            <w:tcW w:w="1395"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Cs w:val="21"/>
                <w:lang w:val="en-US" w:eastAsia="zh-CN"/>
              </w:rPr>
              <w:t>工程师</w:t>
            </w:r>
          </w:p>
        </w:tc>
        <w:tc>
          <w:tcPr>
            <w:tcW w:w="1485"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辐射环境监测，核与辐射应急管理</w:t>
            </w:r>
          </w:p>
        </w:tc>
        <w:tc>
          <w:tcPr>
            <w:tcW w:w="2269"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广西壮族自治区辐射环境监督管理站</w:t>
            </w:r>
          </w:p>
        </w:tc>
        <w:tc>
          <w:tcPr>
            <w:tcW w:w="1843"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调研、数据资料收集、标准起草、撰写。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noWrap w:val="0"/>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szCs w:val="21"/>
                <w:lang w:val="en-US" w:eastAsia="zh-CN"/>
              </w:rPr>
              <w:t>陈善聪</w:t>
            </w:r>
          </w:p>
        </w:tc>
        <w:tc>
          <w:tcPr>
            <w:tcW w:w="139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kern w:val="2"/>
                <w:sz w:val="21"/>
                <w:szCs w:val="21"/>
                <w:lang w:val="en-US" w:eastAsia="zh-CN" w:bidi="ar-SA"/>
              </w:rPr>
              <w:t>工程师</w:t>
            </w:r>
          </w:p>
        </w:tc>
        <w:tc>
          <w:tcPr>
            <w:tcW w:w="148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环境应急、核与辐射安全管理</w:t>
            </w:r>
          </w:p>
        </w:tc>
        <w:tc>
          <w:tcPr>
            <w:tcW w:w="2269" w:type="dxa"/>
            <w:noWrap w:val="0"/>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szCs w:val="21"/>
                <w:lang w:val="en-US" w:eastAsia="zh-CN"/>
              </w:rPr>
              <w:t>北海市环境应急和固体废物管理中心</w:t>
            </w:r>
          </w:p>
        </w:tc>
        <w:tc>
          <w:tcPr>
            <w:tcW w:w="1843" w:type="dxa"/>
            <w:noWrap w:val="0"/>
            <w:vAlign w:val="center"/>
          </w:tcPr>
          <w:p>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数据资料收集、标准起草、撰写。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庞芝剑</w:t>
            </w:r>
          </w:p>
        </w:tc>
        <w:tc>
          <w:tcPr>
            <w:tcW w:w="139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高级工程师</w:t>
            </w:r>
          </w:p>
        </w:tc>
        <w:tc>
          <w:tcPr>
            <w:tcW w:w="148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环境应急、固体废物管理、核与辐射安全管理</w:t>
            </w:r>
          </w:p>
        </w:tc>
        <w:tc>
          <w:tcPr>
            <w:tcW w:w="2269"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北海市环境应急和固体废物管理中心</w:t>
            </w:r>
          </w:p>
        </w:tc>
        <w:tc>
          <w:tcPr>
            <w:tcW w:w="1843" w:type="dxa"/>
            <w:noWrap w:val="0"/>
            <w:vAlign w:val="center"/>
          </w:tcPr>
          <w:p>
            <w:pPr>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数据资料收集、标准起草、撰写。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麦超华</w:t>
            </w:r>
          </w:p>
        </w:tc>
        <w:tc>
          <w:tcPr>
            <w:tcW w:w="139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工程师</w:t>
            </w:r>
          </w:p>
        </w:tc>
        <w:tc>
          <w:tcPr>
            <w:tcW w:w="1485" w:type="dxa"/>
            <w:noWrap w:val="0"/>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szCs w:val="21"/>
                <w:lang w:val="en-US" w:eastAsia="zh-CN"/>
              </w:rPr>
              <w:t>环境应急、核与辐射安全管理</w:t>
            </w:r>
          </w:p>
        </w:tc>
        <w:tc>
          <w:tcPr>
            <w:tcW w:w="2269" w:type="dxa"/>
            <w:noWrap w:val="0"/>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szCs w:val="21"/>
                <w:lang w:val="en-US" w:eastAsia="zh-CN"/>
              </w:rPr>
              <w:t>北海市环境应急和固体废物管理中心</w:t>
            </w:r>
          </w:p>
        </w:tc>
        <w:tc>
          <w:tcPr>
            <w:tcW w:w="1843" w:type="dxa"/>
            <w:noWrap w:val="0"/>
            <w:vAlign w:val="center"/>
          </w:tcPr>
          <w:p>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参与编制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noWrap w:val="0"/>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szCs w:val="21"/>
                <w:lang w:val="en-US" w:eastAsia="zh-CN"/>
              </w:rPr>
              <w:t>李倍裕</w:t>
            </w:r>
          </w:p>
        </w:tc>
        <w:tc>
          <w:tcPr>
            <w:tcW w:w="139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工程师</w:t>
            </w:r>
          </w:p>
        </w:tc>
        <w:tc>
          <w:tcPr>
            <w:tcW w:w="148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固体废物管理、核与辐射安全管理</w:t>
            </w:r>
          </w:p>
        </w:tc>
        <w:tc>
          <w:tcPr>
            <w:tcW w:w="2269"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Cs w:val="21"/>
                <w:lang w:val="en-US" w:eastAsia="zh-CN"/>
              </w:rPr>
              <w:t>北海市环境应急和固体废物管理中心</w:t>
            </w:r>
          </w:p>
        </w:tc>
        <w:tc>
          <w:tcPr>
            <w:tcW w:w="1843"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指导项目设计、立项申报、组织撰写、验收、发布等。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eastAsia="zh-CN"/>
              </w:rPr>
              <w:t>李秀水</w:t>
            </w:r>
          </w:p>
        </w:tc>
        <w:tc>
          <w:tcPr>
            <w:tcW w:w="139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高级工程师</w:t>
            </w:r>
          </w:p>
        </w:tc>
        <w:tc>
          <w:tcPr>
            <w:tcW w:w="1485"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应急管理</w:t>
            </w:r>
          </w:p>
        </w:tc>
        <w:tc>
          <w:tcPr>
            <w:tcW w:w="2269" w:type="dxa"/>
            <w:noWrap w:val="0"/>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szCs w:val="21"/>
                <w:lang w:val="en-US" w:eastAsia="zh-CN"/>
              </w:rPr>
              <w:t>广西防城港核电有限公司</w:t>
            </w:r>
          </w:p>
        </w:tc>
        <w:tc>
          <w:tcPr>
            <w:tcW w:w="1843" w:type="dxa"/>
            <w:noWrap w:val="0"/>
            <w:vAlign w:val="center"/>
          </w:tcPr>
          <w:p>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参与编制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noWrap w:val="0"/>
            <w:vAlign w:val="center"/>
          </w:tcPr>
          <w:p>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王璨琛</w:t>
            </w:r>
          </w:p>
        </w:tc>
        <w:tc>
          <w:tcPr>
            <w:tcW w:w="1395"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工程师</w:t>
            </w:r>
          </w:p>
        </w:tc>
        <w:tc>
          <w:tcPr>
            <w:tcW w:w="1485"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应急管理</w:t>
            </w:r>
          </w:p>
        </w:tc>
        <w:tc>
          <w:tcPr>
            <w:tcW w:w="2269"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广西防城港核电有限公司</w:t>
            </w:r>
          </w:p>
        </w:tc>
        <w:tc>
          <w:tcPr>
            <w:tcW w:w="1843"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参与编制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Cs w:val="21"/>
                <w:lang w:eastAsia="zh-CN"/>
              </w:rPr>
              <w:t>冯纪源</w:t>
            </w:r>
          </w:p>
        </w:tc>
        <w:tc>
          <w:tcPr>
            <w:tcW w:w="1395"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Cs w:val="21"/>
                <w:lang w:val="en-US" w:eastAsia="zh-CN"/>
              </w:rPr>
              <w:t>工程师</w:t>
            </w:r>
          </w:p>
        </w:tc>
        <w:tc>
          <w:tcPr>
            <w:tcW w:w="1485"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Cs w:val="21"/>
                <w:lang w:val="en-US" w:eastAsia="zh-CN"/>
              </w:rPr>
              <w:t>应急管理</w:t>
            </w:r>
          </w:p>
        </w:tc>
        <w:tc>
          <w:tcPr>
            <w:tcW w:w="2269"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广西防城港核电有限公司</w:t>
            </w:r>
          </w:p>
        </w:tc>
        <w:tc>
          <w:tcPr>
            <w:tcW w:w="1843" w:type="dxa"/>
            <w:noWrap w:val="0"/>
            <w:vAlign w:val="center"/>
          </w:tcPr>
          <w:p>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参与编制</w:t>
            </w:r>
          </w:p>
        </w:tc>
      </w:tr>
    </w:tbl>
    <w:p>
      <w:pPr>
        <w:pStyle w:val="2"/>
        <w:rPr>
          <w:rFonts w:hint="default"/>
          <w:lang w:val="zh-CN"/>
        </w:rPr>
      </w:pPr>
    </w:p>
    <w:p>
      <w:pPr>
        <w:pStyle w:val="3"/>
        <w:pageBreakBefore w:val="0"/>
        <w:numPr>
          <w:ilvl w:val="0"/>
          <w:numId w:val="0"/>
        </w:numPr>
        <w:kinsoku/>
        <w:wordWrap/>
        <w:overflowPunct/>
        <w:topLinePunct w:val="0"/>
        <w:bidi w:val="0"/>
        <w:snapToGrid/>
        <w:spacing w:line="600" w:lineRule="exact"/>
        <w:ind w:leftChars="0"/>
        <w:textAlignment w:val="auto"/>
        <w:rPr>
          <w:rFonts w:hint="default" w:ascii="Times New Roman" w:hAnsi="Times New Roman" w:cs="Times New Roman"/>
          <w:bCs/>
          <w:color w:val="auto"/>
          <w:sz w:val="32"/>
          <w:szCs w:val="32"/>
          <w:highlight w:val="none"/>
          <w:lang w:val="en-US" w:eastAsia="zh-CN"/>
        </w:rPr>
      </w:pPr>
      <w:bookmarkStart w:id="3" w:name="_Toc23410"/>
      <w:bookmarkStart w:id="4" w:name="_Toc20093"/>
      <w:bookmarkStart w:id="5" w:name="_Toc12651"/>
      <w:r>
        <w:rPr>
          <w:rFonts w:hint="eastAsia" w:ascii="Times New Roman" w:hAnsi="Times New Roman" w:cs="Times New Roman"/>
          <w:bCs/>
          <w:color w:val="auto"/>
          <w:sz w:val="32"/>
          <w:szCs w:val="32"/>
          <w:highlight w:val="none"/>
          <w:lang w:val="en-US" w:eastAsia="zh-CN"/>
        </w:rPr>
        <w:t>二、</w:t>
      </w:r>
      <w:r>
        <w:rPr>
          <w:rFonts w:hint="default" w:ascii="Times New Roman" w:hAnsi="Times New Roman" w:cs="Times New Roman"/>
          <w:bCs/>
          <w:color w:val="auto"/>
          <w:sz w:val="32"/>
          <w:szCs w:val="32"/>
          <w:highlight w:val="none"/>
          <w:lang w:val="en-US" w:eastAsia="zh-CN"/>
        </w:rPr>
        <w:t>项目背景及目的意义</w:t>
      </w:r>
      <w:bookmarkEnd w:id="3"/>
      <w:bookmarkEnd w:id="4"/>
      <w:bookmarkEnd w:id="5"/>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eastAsia" w:ascii="Times New Roman" w:hAnsi="Times New Roman" w:eastAsia="仿宋_GB2312" w:cs="Times New Roman"/>
          <w:sz w:val="28"/>
          <w:szCs w:val="32"/>
          <w:lang w:val="en-US" w:eastAsia="zh-CN"/>
        </w:rPr>
      </w:pPr>
      <w:bookmarkStart w:id="6" w:name="_Toc4328"/>
      <w:r>
        <w:rPr>
          <w:rFonts w:hint="eastAsia" w:ascii="Times New Roman" w:hAnsi="Times New Roman" w:eastAsia="仿宋_GB2312" w:cs="Times New Roman"/>
          <w:sz w:val="28"/>
          <w:szCs w:val="32"/>
          <w:lang w:val="en-US" w:eastAsia="zh-CN"/>
        </w:rPr>
        <w:t>核安全是国家安全领域重要组成部分，确保核与辐射安全是和平利用核能和核技术的前提，核技术利用单位是事故责任主体、各级政府是事故应急的主体，企事业单位辐射事故应急是防止或减轻事故对公众和环境影响，控制事故影响范围的重要措施，辐射事故演习是提升辐射事故应急能力的重要手段。《生态环境部辐射事故应急预案》、《广西壮族自治区辐射事故应急预案》，以及各设区市辐射事故应急预案均明确规定了各级辐射事故应急组织及核技术利用单位应定期开展辐射事故应急专项、综合演习。为加强各设区市辐射事故应急能力建设，提升应急人员能力，切实落实预案要求，2022年广西壮族自治区生态环境厅印发实施《广西壮族自治区辐射事故应急演习管理规定（试行）》，进一步明确了将在全区14个设区市开展辐射事故应急演习轮演轮训，由广西壮族自治区辐射环境监督管理站开展演习绩效考核工作。近两年柳州、桂林、贵港、贺州等4市举办了市级辐射事故应急综合演习，南宁市和贵港市举办了辐射事故应急专项演习，有力加强了辐射安全管理工作，同时通过演习绩效考核，发现了各市应急能力建设中存在的薄弱环节，各市根据评估意见进一步整改后，通过演习、评估、改进三者有效衔接有力的推动了设区市辐射事故应急能力建设。</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然而目前国家、自治区未形成对演习评估进行可量化、可参考的绩效考核指导意见或内容，对演习的绩效考核仍然为主观判断，缺乏客观、科学的评价体系，因此通过演习绩效考核提出的辐射事故应急能力建设的意见更多的在宏观层面，存在针对性不足、操作性不强的问题。客观、科学的评价体系在于精准评价辐射监测、应急处置、医疗救护、安全保卫等各方面的辐射事故应急能力，发现薄弱环节，根据应急需求，提出针对性、建设性的改进意见。</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本标准主要在于指导核技术利用单位、各级辐射事故应急成员单位根据辐射事故应急预案、演习方案，进行全面、系统、科学的开展辐射事故应急演习的绩效目标设计、考核等工作，提升辐射事故演习的质效，从而真正检验预案的有效性，锻炼和提升应急队伍，增加辐射事故应急能力建设。</w:t>
      </w:r>
    </w:p>
    <w:p>
      <w:pPr>
        <w:pStyle w:val="3"/>
        <w:pageBreakBefore w:val="0"/>
        <w:numPr>
          <w:ilvl w:val="0"/>
          <w:numId w:val="0"/>
        </w:numPr>
        <w:kinsoku/>
        <w:wordWrap/>
        <w:overflowPunct/>
        <w:topLinePunct w:val="0"/>
        <w:bidi w:val="0"/>
        <w:snapToGrid/>
        <w:spacing w:line="600" w:lineRule="exact"/>
        <w:ind w:leftChars="0"/>
        <w:textAlignment w:val="auto"/>
        <w:rPr>
          <w:rFonts w:hint="eastAsia" w:ascii="Times New Roman" w:hAnsi="Times New Roman" w:cs="Times New Roman"/>
          <w:bCs/>
          <w:color w:val="auto"/>
          <w:sz w:val="32"/>
          <w:szCs w:val="32"/>
          <w:highlight w:val="none"/>
          <w:lang w:val="en-US" w:eastAsia="zh-CN"/>
        </w:rPr>
      </w:pPr>
      <w:bookmarkStart w:id="7" w:name="_Toc28592"/>
      <w:bookmarkStart w:id="8" w:name="_Toc31040"/>
      <w:r>
        <w:rPr>
          <w:rFonts w:hint="eastAsia" w:ascii="Times New Roman" w:hAnsi="Times New Roman" w:cs="Times New Roman"/>
          <w:bCs/>
          <w:color w:val="auto"/>
          <w:sz w:val="32"/>
          <w:szCs w:val="32"/>
          <w:highlight w:val="none"/>
          <w:lang w:val="en-US" w:eastAsia="zh-CN"/>
        </w:rPr>
        <w:t>三、项目</w:t>
      </w:r>
      <w:r>
        <w:rPr>
          <w:rFonts w:hint="default" w:ascii="Times New Roman" w:hAnsi="Times New Roman" w:cs="Times New Roman"/>
          <w:bCs/>
          <w:color w:val="auto"/>
          <w:sz w:val="32"/>
          <w:szCs w:val="32"/>
          <w:highlight w:val="none"/>
          <w:lang w:val="en-US" w:eastAsia="zh-CN"/>
        </w:rPr>
        <w:t>编制过程</w:t>
      </w:r>
      <w:bookmarkEnd w:id="6"/>
      <w:bookmarkEnd w:id="7"/>
      <w:bookmarkEnd w:id="8"/>
    </w:p>
    <w:p>
      <w:pPr>
        <w:ind w:firstLine="640" w:firstLineChars="200"/>
        <w:outlineLvl w:val="1"/>
        <w:rPr>
          <w:rFonts w:hint="default" w:ascii="Times New Roman" w:hAnsi="Times New Roman" w:eastAsia="楷体_GB2312" w:cs="Times New Roman"/>
          <w:sz w:val="32"/>
          <w:szCs w:val="32"/>
        </w:rPr>
      </w:pPr>
      <w:bookmarkStart w:id="9" w:name="_Toc16249"/>
      <w:bookmarkStart w:id="10" w:name="_Toc27703"/>
      <w:bookmarkStart w:id="11" w:name="_Toc21410"/>
      <w:r>
        <w:rPr>
          <w:rFonts w:hint="default" w:ascii="Times New Roman" w:hAnsi="Times New Roman" w:eastAsia="楷体_GB2312" w:cs="Times New Roman"/>
          <w:sz w:val="32"/>
          <w:szCs w:val="32"/>
        </w:rPr>
        <w:t>（一）</w:t>
      </w:r>
      <w:r>
        <w:rPr>
          <w:rFonts w:hint="default" w:ascii="Times New Roman" w:hAnsi="Times New Roman" w:eastAsia="楷体_GB2312" w:cs="Times New Roman"/>
          <w:sz w:val="32"/>
          <w:szCs w:val="32"/>
          <w:lang w:val="en-US" w:eastAsia="zh-CN"/>
        </w:rPr>
        <w:t>成立</w:t>
      </w:r>
      <w:r>
        <w:rPr>
          <w:rFonts w:hint="default" w:ascii="Times New Roman" w:hAnsi="Times New Roman" w:eastAsia="楷体_GB2312" w:cs="Times New Roman"/>
          <w:sz w:val="32"/>
          <w:szCs w:val="32"/>
        </w:rPr>
        <w:t>标准</w:t>
      </w:r>
      <w:r>
        <w:rPr>
          <w:rFonts w:hint="default" w:ascii="Times New Roman" w:hAnsi="Times New Roman" w:eastAsia="楷体_GB2312" w:cs="Times New Roman"/>
          <w:sz w:val="32"/>
          <w:szCs w:val="32"/>
          <w:lang w:val="en-US" w:eastAsia="zh-CN"/>
        </w:rPr>
        <w:t>编制工作</w:t>
      </w:r>
      <w:r>
        <w:rPr>
          <w:rFonts w:hint="default" w:ascii="Times New Roman" w:hAnsi="Times New Roman" w:eastAsia="楷体_GB2312" w:cs="Times New Roman"/>
          <w:sz w:val="32"/>
          <w:szCs w:val="32"/>
        </w:rPr>
        <w:t>组</w:t>
      </w:r>
      <w:bookmarkEnd w:id="9"/>
      <w:bookmarkEnd w:id="10"/>
      <w:bookmarkEnd w:id="11"/>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eastAsia" w:ascii="Times New Roman" w:hAnsi="Times New Roman" w:eastAsia="仿宋_GB2312" w:cs="Times New Roman"/>
          <w:sz w:val="28"/>
          <w:szCs w:val="32"/>
          <w:lang w:val="en-US" w:eastAsia="zh-CN"/>
        </w:rPr>
      </w:pPr>
      <w:r>
        <w:rPr>
          <w:rFonts w:hint="default" w:ascii="Times New Roman" w:hAnsi="Times New Roman" w:eastAsia="仿宋_GB2312" w:cs="Times New Roman"/>
          <w:sz w:val="28"/>
          <w:szCs w:val="32"/>
          <w:lang w:val="en-US" w:eastAsia="zh-CN"/>
        </w:rPr>
        <w:t>团体标准</w:t>
      </w:r>
      <w:r>
        <w:rPr>
          <w:rFonts w:hint="eastAsia" w:ascii="Times New Roman" w:hAnsi="Times New Roman" w:eastAsia="仿宋_GB2312" w:cs="Times New Roman"/>
          <w:sz w:val="28"/>
          <w:szCs w:val="32"/>
          <w:lang w:val="en-US" w:eastAsia="zh-CN"/>
        </w:rPr>
        <w:t>《</w:t>
      </w:r>
      <w:r>
        <w:rPr>
          <w:rFonts w:hint="eastAsia" w:ascii="Times New Roman" w:hAnsi="Times New Roman" w:eastAsia="仿宋_GB2312" w:cs="Times New Roman"/>
          <w:sz w:val="28"/>
          <w:szCs w:val="32"/>
          <w:lang w:val="zh-CN" w:eastAsia="zh-CN"/>
        </w:rPr>
        <w:t>辐射事故应急演习评估导则</w:t>
      </w:r>
      <w:r>
        <w:rPr>
          <w:rFonts w:hint="eastAsia" w:ascii="Times New Roman" w:hAnsi="Times New Roman" w:eastAsia="仿宋_GB2312" w:cs="Times New Roman"/>
          <w:sz w:val="28"/>
          <w:szCs w:val="32"/>
          <w:lang w:val="en-US" w:eastAsia="zh-CN"/>
        </w:rPr>
        <w:t>》</w:t>
      </w:r>
      <w:r>
        <w:rPr>
          <w:rFonts w:hint="default" w:ascii="Times New Roman" w:hAnsi="Times New Roman" w:eastAsia="仿宋_GB2312" w:cs="Times New Roman"/>
          <w:sz w:val="28"/>
          <w:szCs w:val="32"/>
          <w:lang w:val="en-US" w:eastAsia="zh-CN"/>
        </w:rPr>
        <w:t>项目任务下达后，</w:t>
      </w:r>
      <w:r>
        <w:rPr>
          <w:rFonts w:hint="eastAsia" w:ascii="Times New Roman" w:hAnsi="Times New Roman" w:eastAsia="仿宋_GB2312" w:cs="Times New Roman"/>
          <w:sz w:val="28"/>
          <w:szCs w:val="32"/>
          <w:lang w:val="en-US" w:eastAsia="zh-CN"/>
        </w:rPr>
        <w:t>随即</w:t>
      </w:r>
      <w:r>
        <w:rPr>
          <w:rFonts w:hint="default" w:ascii="Times New Roman" w:hAnsi="Times New Roman" w:eastAsia="仿宋_GB2312" w:cs="Times New Roman"/>
          <w:sz w:val="28"/>
          <w:szCs w:val="32"/>
          <w:lang w:val="en-US" w:eastAsia="zh-CN"/>
        </w:rPr>
        <w:t>成立了标准编制工作组，制定标准编写方案，明确任务职责，确定工作技术路线，开展标准研制工作</w:t>
      </w:r>
      <w:r>
        <w:rPr>
          <w:rFonts w:hint="eastAsia" w:ascii="Times New Roman" w:hAnsi="Times New Roman" w:eastAsia="仿宋_GB2312" w:cs="Times New Roman"/>
          <w:sz w:val="28"/>
          <w:szCs w:val="32"/>
          <w:lang w:val="en-US" w:eastAsia="zh-CN"/>
        </w:rPr>
        <w:t>。</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default" w:ascii="Times New Roman" w:hAnsi="Times New Roman" w:eastAsia="仿宋_GB2312" w:cs="Times New Roman"/>
          <w:sz w:val="28"/>
          <w:szCs w:val="32"/>
          <w:lang w:val="zh-CN" w:eastAsia="zh-CN"/>
        </w:rPr>
      </w:pPr>
      <w:r>
        <w:rPr>
          <w:rFonts w:hint="default" w:ascii="Times New Roman" w:hAnsi="Times New Roman" w:eastAsia="仿宋_GB2312" w:cs="Times New Roman"/>
          <w:b/>
          <w:bCs/>
          <w:sz w:val="28"/>
          <w:szCs w:val="32"/>
          <w:lang w:val="en-US" w:eastAsia="zh-CN"/>
        </w:rPr>
        <w:t>本标准牵头组织制定单位</w:t>
      </w:r>
      <w:r>
        <w:rPr>
          <w:rFonts w:hint="eastAsia" w:ascii="Times New Roman" w:hAnsi="Times New Roman" w:eastAsia="仿宋_GB2312" w:cs="Times New Roman"/>
          <w:b/>
          <w:bCs/>
          <w:sz w:val="28"/>
          <w:szCs w:val="32"/>
          <w:lang w:val="en-US" w:eastAsia="zh-CN"/>
        </w:rPr>
        <w:t>：</w:t>
      </w:r>
      <w:r>
        <w:rPr>
          <w:rFonts w:hint="eastAsia" w:ascii="Times New Roman" w:hAnsi="Times New Roman" w:eastAsia="仿宋_GB2312" w:cs="Times New Roman"/>
          <w:sz w:val="28"/>
          <w:szCs w:val="32"/>
          <w:lang w:val="zh-CN" w:eastAsia="zh-CN"/>
        </w:rPr>
        <w:t>广西壮族自治区辐射环境监督管理站</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default" w:ascii="Times New Roman" w:hAnsi="Times New Roman" w:eastAsia="仿宋_GB2312" w:cs="Times New Roman"/>
          <w:sz w:val="28"/>
          <w:szCs w:val="32"/>
          <w:lang w:val="zh-CN" w:eastAsia="zh-CN"/>
        </w:rPr>
      </w:pPr>
      <w:r>
        <w:rPr>
          <w:rFonts w:hint="default" w:ascii="Times New Roman" w:hAnsi="Times New Roman" w:eastAsia="仿宋_GB2312" w:cs="Times New Roman"/>
          <w:b/>
          <w:bCs/>
          <w:sz w:val="28"/>
          <w:szCs w:val="32"/>
          <w:lang w:val="zh-CN" w:eastAsia="zh-CN"/>
        </w:rPr>
        <w:t>本标准起草单位：</w:t>
      </w:r>
      <w:r>
        <w:rPr>
          <w:rFonts w:hint="eastAsia" w:ascii="Times New Roman" w:hAnsi="Times New Roman" w:eastAsia="仿宋_GB2312" w:cs="Times New Roman"/>
          <w:sz w:val="28"/>
          <w:szCs w:val="32"/>
          <w:lang w:val="zh-CN" w:eastAsia="zh-CN"/>
        </w:rPr>
        <w:t>广西壮族自治区辐射环境监督管理站、</w:t>
      </w:r>
      <w:r>
        <w:rPr>
          <w:rFonts w:hint="default" w:ascii="Times New Roman" w:hAnsi="Times New Roman" w:eastAsia="仿宋_GB2312" w:cs="Times New Roman"/>
          <w:sz w:val="28"/>
          <w:szCs w:val="32"/>
          <w:lang w:val="zh-CN" w:eastAsia="zh-CN"/>
        </w:rPr>
        <w:t>北海市环境应急和固体废物管理站、广西防城港核电有限公司</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default" w:ascii="Times New Roman" w:hAnsi="Times New Roman" w:eastAsia="仿宋_GB2312" w:cs="Times New Roman"/>
          <w:b/>
          <w:bCs/>
          <w:sz w:val="28"/>
          <w:szCs w:val="32"/>
          <w:lang w:val="en-US" w:eastAsia="zh-CN"/>
        </w:rPr>
      </w:pPr>
      <w:r>
        <w:rPr>
          <w:rFonts w:hint="default" w:ascii="Times New Roman" w:hAnsi="Times New Roman" w:eastAsia="仿宋_GB2312" w:cs="Times New Roman"/>
          <w:b/>
          <w:bCs/>
          <w:sz w:val="28"/>
          <w:szCs w:val="32"/>
          <w:lang w:val="en-US" w:eastAsia="zh-CN"/>
        </w:rPr>
        <w:t>标准主要起草人：</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标准</w:t>
      </w:r>
      <w:r>
        <w:rPr>
          <w:rFonts w:hint="default" w:ascii="Times New Roman" w:hAnsi="Times New Roman" w:eastAsia="仿宋_GB2312" w:cs="Times New Roman"/>
          <w:sz w:val="28"/>
          <w:szCs w:val="32"/>
          <w:lang w:val="en-US" w:eastAsia="zh-CN"/>
        </w:rPr>
        <w:t>编制工作组下设三个组，分别是资料收集组、草案编写组、标准实施组。</w:t>
      </w:r>
      <w:r>
        <w:rPr>
          <w:rFonts w:hint="eastAsia" w:ascii="Times New Roman" w:hAnsi="Times New Roman" w:eastAsia="仿宋_GB2312" w:cs="Times New Roman"/>
          <w:sz w:val="28"/>
          <w:szCs w:val="32"/>
          <w:lang w:val="en-US" w:eastAsia="zh-CN"/>
        </w:rPr>
        <w:t xml:space="preserve">  </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default" w:ascii="Times New Roman" w:hAnsi="Times New Roman" w:eastAsia="仿宋_GB2312" w:cs="Times New Roman"/>
          <w:sz w:val="28"/>
          <w:szCs w:val="32"/>
          <w:lang w:val="en-US" w:eastAsia="zh-CN"/>
        </w:rPr>
      </w:pPr>
      <w:r>
        <w:rPr>
          <w:rFonts w:hint="default" w:ascii="Times New Roman" w:hAnsi="Times New Roman" w:eastAsia="仿宋_GB2312" w:cs="Times New Roman"/>
          <w:sz w:val="28"/>
          <w:szCs w:val="32"/>
          <w:lang w:val="en-US" w:eastAsia="zh-CN"/>
        </w:rPr>
        <w:t>资料收集组负责</w:t>
      </w:r>
      <w:r>
        <w:rPr>
          <w:rFonts w:hint="eastAsia" w:ascii="Times New Roman" w:hAnsi="Times New Roman" w:eastAsia="仿宋_GB2312" w:cs="Times New Roman"/>
          <w:sz w:val="28"/>
          <w:szCs w:val="32"/>
          <w:lang w:val="en-US" w:eastAsia="zh-CN"/>
        </w:rPr>
        <w:t>查阅国内有关</w:t>
      </w:r>
      <w:r>
        <w:rPr>
          <w:rFonts w:hint="eastAsia" w:ascii="Times New Roman" w:hAnsi="Times New Roman" w:eastAsia="仿宋_GB2312" w:cs="Times New Roman"/>
          <w:sz w:val="28"/>
          <w:szCs w:val="32"/>
          <w:lang w:val="zh-CN" w:eastAsia="zh-CN"/>
        </w:rPr>
        <w:t>辐射事故应急演习评估</w:t>
      </w:r>
      <w:r>
        <w:rPr>
          <w:rFonts w:hint="eastAsia" w:ascii="Times New Roman" w:hAnsi="Times New Roman" w:eastAsia="仿宋_GB2312" w:cs="Times New Roman"/>
          <w:sz w:val="28"/>
          <w:szCs w:val="32"/>
          <w:lang w:val="en-US" w:eastAsia="zh-CN"/>
        </w:rPr>
        <w:t>相关</w:t>
      </w:r>
      <w:r>
        <w:rPr>
          <w:rFonts w:hint="default" w:ascii="Times New Roman" w:hAnsi="Times New Roman" w:eastAsia="仿宋_GB2312" w:cs="Times New Roman"/>
          <w:sz w:val="28"/>
          <w:szCs w:val="32"/>
          <w:lang w:val="en-US" w:eastAsia="zh-CN"/>
        </w:rPr>
        <w:t>法律法规、标准规范及技术指导文件，并对相关文献资料进行全面检索、梳理与分析。</w:t>
      </w:r>
      <w:r>
        <w:rPr>
          <w:rFonts w:hint="eastAsia" w:ascii="Times New Roman" w:hAnsi="Times New Roman" w:eastAsia="仿宋_GB2312" w:cs="Times New Roman"/>
          <w:sz w:val="28"/>
          <w:szCs w:val="32"/>
          <w:lang w:val="en-US" w:eastAsia="zh-CN"/>
        </w:rPr>
        <w:t>到区内从事核技术利用的有关单位实地调研，了解</w:t>
      </w:r>
      <w:r>
        <w:rPr>
          <w:rFonts w:hint="eastAsia" w:ascii="Times New Roman" w:hAnsi="Times New Roman" w:eastAsia="仿宋_GB2312" w:cs="Times New Roman"/>
          <w:sz w:val="28"/>
          <w:szCs w:val="32"/>
          <w:lang w:val="zh-CN" w:eastAsia="zh-CN"/>
        </w:rPr>
        <w:t>辐射事故应急演习评估</w:t>
      </w:r>
      <w:r>
        <w:rPr>
          <w:rFonts w:hint="eastAsia" w:ascii="Times New Roman" w:hAnsi="Times New Roman" w:eastAsia="仿宋_GB2312" w:cs="Times New Roman"/>
          <w:sz w:val="28"/>
          <w:szCs w:val="32"/>
          <w:lang w:val="en-US" w:eastAsia="zh-CN"/>
        </w:rPr>
        <w:t>成效及存在问题</w:t>
      </w:r>
      <w:r>
        <w:rPr>
          <w:rFonts w:hint="default" w:ascii="Times New Roman" w:hAnsi="Times New Roman" w:eastAsia="仿宋_GB2312" w:cs="Times New Roman"/>
          <w:sz w:val="28"/>
          <w:szCs w:val="32"/>
          <w:lang w:val="en-US" w:eastAsia="zh-CN"/>
        </w:rPr>
        <w:t>。</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default" w:ascii="Times New Roman" w:hAnsi="Times New Roman" w:eastAsia="仿宋_GB2312" w:cs="Times New Roman"/>
          <w:sz w:val="28"/>
          <w:szCs w:val="32"/>
          <w:lang w:val="en-US" w:eastAsia="zh-CN"/>
        </w:rPr>
      </w:pPr>
      <w:r>
        <w:rPr>
          <w:rFonts w:hint="default" w:ascii="Times New Roman" w:hAnsi="Times New Roman" w:eastAsia="仿宋_GB2312" w:cs="Times New Roman"/>
          <w:sz w:val="28"/>
          <w:szCs w:val="32"/>
          <w:lang w:val="en-US" w:eastAsia="zh-CN"/>
        </w:rPr>
        <w:t>草案编写组负责</w:t>
      </w:r>
      <w:r>
        <w:rPr>
          <w:rFonts w:hint="eastAsia" w:ascii="Times New Roman" w:hAnsi="Times New Roman" w:eastAsia="仿宋_GB2312" w:cs="Times New Roman"/>
          <w:sz w:val="28"/>
          <w:szCs w:val="32"/>
          <w:lang w:val="en-US" w:eastAsia="zh-CN"/>
        </w:rPr>
        <w:t>起草</w:t>
      </w:r>
      <w:r>
        <w:rPr>
          <w:rFonts w:hint="default" w:ascii="Times New Roman" w:hAnsi="Times New Roman" w:eastAsia="仿宋_GB2312" w:cs="Times New Roman"/>
          <w:sz w:val="28"/>
          <w:szCs w:val="32"/>
          <w:lang w:val="en-US" w:eastAsia="zh-CN"/>
        </w:rPr>
        <w:t>编写标准草案、征求意见稿</w:t>
      </w:r>
      <w:r>
        <w:rPr>
          <w:rFonts w:hint="eastAsia" w:ascii="Times New Roman" w:hAnsi="Times New Roman" w:eastAsia="仿宋_GB2312" w:cs="Times New Roman"/>
          <w:sz w:val="28"/>
          <w:szCs w:val="32"/>
          <w:lang w:val="en-US" w:eastAsia="zh-CN"/>
        </w:rPr>
        <w:t>、</w:t>
      </w:r>
      <w:r>
        <w:rPr>
          <w:rFonts w:hint="default" w:ascii="Times New Roman" w:hAnsi="Times New Roman" w:eastAsia="仿宋_GB2312" w:cs="Times New Roman"/>
          <w:sz w:val="28"/>
          <w:szCs w:val="32"/>
          <w:lang w:val="en-US" w:eastAsia="zh-CN"/>
        </w:rPr>
        <w:t>编制说明、送审稿</w:t>
      </w:r>
      <w:r>
        <w:rPr>
          <w:rFonts w:hint="eastAsia" w:ascii="Times New Roman" w:hAnsi="Times New Roman" w:eastAsia="仿宋_GB2312" w:cs="Times New Roman"/>
          <w:sz w:val="28"/>
          <w:szCs w:val="32"/>
          <w:lang w:val="en-US" w:eastAsia="zh-CN"/>
        </w:rPr>
        <w:t>等文件</w:t>
      </w:r>
      <w:r>
        <w:rPr>
          <w:rFonts w:hint="default" w:ascii="Times New Roman" w:hAnsi="Times New Roman" w:eastAsia="仿宋_GB2312" w:cs="Times New Roman"/>
          <w:sz w:val="28"/>
          <w:szCs w:val="32"/>
          <w:lang w:val="en-US" w:eastAsia="zh-CN"/>
        </w:rPr>
        <w:t>工作，包括</w:t>
      </w:r>
      <w:r>
        <w:rPr>
          <w:rFonts w:hint="eastAsia" w:ascii="Times New Roman" w:hAnsi="Times New Roman" w:eastAsia="仿宋_GB2312" w:cs="Times New Roman"/>
          <w:sz w:val="28"/>
          <w:szCs w:val="32"/>
          <w:lang w:val="en-US" w:eastAsia="zh-CN"/>
        </w:rPr>
        <w:t>召开会议征求意见、</w:t>
      </w:r>
      <w:r>
        <w:rPr>
          <w:rFonts w:hint="default" w:ascii="Times New Roman" w:hAnsi="Times New Roman" w:eastAsia="仿宋_GB2312" w:cs="Times New Roman"/>
          <w:sz w:val="28"/>
          <w:szCs w:val="32"/>
          <w:lang w:val="en-US" w:eastAsia="zh-CN"/>
        </w:rPr>
        <w:t>网上征求意见</w:t>
      </w:r>
      <w:r>
        <w:rPr>
          <w:rFonts w:hint="eastAsia" w:ascii="Times New Roman" w:hAnsi="Times New Roman" w:eastAsia="仿宋_GB2312" w:cs="Times New Roman"/>
          <w:sz w:val="28"/>
          <w:szCs w:val="32"/>
          <w:lang w:val="en-US" w:eastAsia="zh-CN"/>
        </w:rPr>
        <w:t>、召开会议审定</w:t>
      </w:r>
      <w:r>
        <w:rPr>
          <w:rFonts w:hint="default" w:ascii="Times New Roman" w:hAnsi="Times New Roman" w:eastAsia="仿宋_GB2312" w:cs="Times New Roman"/>
          <w:sz w:val="28"/>
          <w:szCs w:val="32"/>
          <w:lang w:val="en-US" w:eastAsia="zh-CN"/>
        </w:rPr>
        <w:t>以及标准的</w:t>
      </w:r>
      <w:r>
        <w:rPr>
          <w:rFonts w:hint="eastAsia" w:ascii="Times New Roman" w:hAnsi="Times New Roman" w:eastAsia="仿宋_GB2312" w:cs="Times New Roman"/>
          <w:sz w:val="28"/>
          <w:szCs w:val="32"/>
          <w:lang w:val="en-US" w:eastAsia="zh-CN"/>
        </w:rPr>
        <w:t>修订</w:t>
      </w:r>
      <w:r>
        <w:rPr>
          <w:rFonts w:hint="default" w:ascii="Times New Roman" w:hAnsi="Times New Roman" w:eastAsia="仿宋_GB2312" w:cs="Times New Roman"/>
          <w:sz w:val="28"/>
          <w:szCs w:val="32"/>
          <w:lang w:val="en-US" w:eastAsia="zh-CN"/>
        </w:rPr>
        <w:t>和完善。</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default" w:ascii="Times New Roman" w:hAnsi="Times New Roman" w:eastAsia="仿宋_GB2312" w:cs="Times New Roman"/>
          <w:sz w:val="28"/>
          <w:szCs w:val="32"/>
          <w:lang w:val="en-US" w:eastAsia="zh-CN"/>
        </w:rPr>
      </w:pPr>
      <w:r>
        <w:rPr>
          <w:rFonts w:hint="default" w:ascii="Times New Roman" w:hAnsi="Times New Roman" w:eastAsia="仿宋_GB2312" w:cs="Times New Roman"/>
          <w:sz w:val="28"/>
          <w:szCs w:val="32"/>
          <w:lang w:val="en-US" w:eastAsia="zh-CN"/>
        </w:rPr>
        <w:t>标准实施组负责</w:t>
      </w:r>
      <w:r>
        <w:rPr>
          <w:rFonts w:hint="eastAsia" w:ascii="Times New Roman" w:hAnsi="Times New Roman" w:eastAsia="仿宋_GB2312" w:cs="Times New Roman"/>
          <w:sz w:val="28"/>
          <w:szCs w:val="32"/>
          <w:lang w:val="en-US" w:eastAsia="zh-CN"/>
        </w:rPr>
        <w:t>在团体</w:t>
      </w:r>
      <w:r>
        <w:rPr>
          <w:rFonts w:hint="default" w:ascii="Times New Roman" w:hAnsi="Times New Roman" w:eastAsia="仿宋_GB2312" w:cs="Times New Roman"/>
          <w:sz w:val="28"/>
          <w:szCs w:val="32"/>
          <w:lang w:val="en-US" w:eastAsia="zh-CN"/>
        </w:rPr>
        <w:t>标准发布后</w:t>
      </w:r>
      <w:r>
        <w:rPr>
          <w:rFonts w:hint="eastAsia" w:ascii="Times New Roman" w:hAnsi="Times New Roman" w:eastAsia="仿宋_GB2312" w:cs="Times New Roman"/>
          <w:sz w:val="28"/>
          <w:szCs w:val="32"/>
          <w:lang w:val="en-US" w:eastAsia="zh-CN"/>
        </w:rPr>
        <w:t>，开展团体</w:t>
      </w:r>
      <w:r>
        <w:rPr>
          <w:rFonts w:hint="default" w:ascii="Times New Roman" w:hAnsi="Times New Roman" w:eastAsia="仿宋_GB2312" w:cs="Times New Roman"/>
          <w:sz w:val="28"/>
          <w:szCs w:val="32"/>
          <w:lang w:val="en-US" w:eastAsia="zh-CN"/>
        </w:rPr>
        <w:t>标准宣贯培训</w:t>
      </w:r>
      <w:r>
        <w:rPr>
          <w:rFonts w:hint="eastAsia" w:ascii="Times New Roman" w:hAnsi="Times New Roman" w:eastAsia="仿宋_GB2312" w:cs="Times New Roman"/>
          <w:sz w:val="28"/>
          <w:szCs w:val="32"/>
          <w:lang w:val="en-US" w:eastAsia="zh-CN"/>
        </w:rPr>
        <w:t>、</w:t>
      </w:r>
      <w:r>
        <w:rPr>
          <w:rFonts w:hint="default" w:ascii="Times New Roman" w:hAnsi="Times New Roman" w:eastAsia="仿宋_GB2312" w:cs="Times New Roman"/>
          <w:sz w:val="28"/>
          <w:szCs w:val="32"/>
          <w:lang w:val="en-US" w:eastAsia="zh-CN"/>
        </w:rPr>
        <w:t>详细解读</w:t>
      </w:r>
      <w:r>
        <w:rPr>
          <w:rFonts w:hint="eastAsia" w:ascii="Times New Roman" w:hAnsi="Times New Roman" w:eastAsia="仿宋_GB2312" w:cs="Times New Roman"/>
          <w:sz w:val="28"/>
          <w:szCs w:val="32"/>
          <w:lang w:val="en-US" w:eastAsia="zh-CN"/>
        </w:rPr>
        <w:t>等工作，对</w:t>
      </w:r>
      <w:r>
        <w:rPr>
          <w:rFonts w:hint="default" w:ascii="Times New Roman" w:hAnsi="Times New Roman" w:eastAsia="仿宋_GB2312" w:cs="Times New Roman"/>
          <w:sz w:val="28"/>
          <w:szCs w:val="32"/>
          <w:lang w:val="en-US" w:eastAsia="zh-CN"/>
        </w:rPr>
        <w:t>相关</w:t>
      </w:r>
      <w:r>
        <w:rPr>
          <w:rFonts w:hint="eastAsia" w:ascii="Times New Roman" w:hAnsi="Times New Roman" w:eastAsia="仿宋_GB2312" w:cs="Times New Roman"/>
          <w:sz w:val="28"/>
          <w:szCs w:val="32"/>
          <w:lang w:val="en-US" w:eastAsia="zh-CN"/>
        </w:rPr>
        <w:t>应急演习评估机构和应急演习评估工作</w:t>
      </w:r>
      <w:r>
        <w:rPr>
          <w:rFonts w:hint="default" w:ascii="Times New Roman" w:hAnsi="Times New Roman" w:eastAsia="仿宋_GB2312" w:cs="Times New Roman"/>
          <w:sz w:val="28"/>
          <w:szCs w:val="32"/>
          <w:lang w:val="en-US" w:eastAsia="zh-CN"/>
        </w:rPr>
        <w:t>人员</w:t>
      </w:r>
      <w:r>
        <w:rPr>
          <w:rFonts w:hint="eastAsia" w:ascii="Times New Roman" w:hAnsi="Times New Roman" w:eastAsia="仿宋_GB2312" w:cs="Times New Roman"/>
          <w:sz w:val="28"/>
          <w:szCs w:val="32"/>
          <w:lang w:val="en-US" w:eastAsia="zh-CN"/>
        </w:rPr>
        <w:t>开展辐射事故应急演习评估培训</w:t>
      </w:r>
      <w:r>
        <w:rPr>
          <w:rFonts w:hint="default" w:ascii="Times New Roman" w:hAnsi="Times New Roman" w:eastAsia="仿宋_GB2312" w:cs="Times New Roman"/>
          <w:sz w:val="28"/>
          <w:szCs w:val="32"/>
          <w:lang w:val="en-US" w:eastAsia="zh-CN"/>
        </w:rPr>
        <w:t>，</w:t>
      </w:r>
      <w:r>
        <w:rPr>
          <w:rFonts w:hint="eastAsia" w:ascii="Times New Roman" w:hAnsi="Times New Roman" w:eastAsia="仿宋_GB2312" w:cs="Times New Roman"/>
          <w:sz w:val="28"/>
          <w:szCs w:val="32"/>
          <w:lang w:val="en-US" w:eastAsia="zh-CN"/>
        </w:rPr>
        <w:t>参照导则开展评估工作</w:t>
      </w:r>
      <w:r>
        <w:rPr>
          <w:rFonts w:hint="default" w:ascii="Times New Roman" w:hAnsi="Times New Roman" w:eastAsia="仿宋_GB2312" w:cs="Times New Roman"/>
          <w:sz w:val="28"/>
          <w:szCs w:val="32"/>
          <w:lang w:val="en-US" w:eastAsia="zh-CN"/>
        </w:rPr>
        <w:t>，并对标准实施情况进行分析总结，不断修正</w:t>
      </w:r>
      <w:r>
        <w:rPr>
          <w:rFonts w:hint="eastAsia" w:ascii="Times New Roman" w:hAnsi="Times New Roman" w:eastAsia="仿宋_GB2312" w:cs="Times New Roman"/>
          <w:sz w:val="28"/>
          <w:szCs w:val="32"/>
          <w:lang w:val="en-US" w:eastAsia="zh-CN"/>
        </w:rPr>
        <w:t>完善</w:t>
      </w:r>
      <w:r>
        <w:rPr>
          <w:rFonts w:hint="default" w:ascii="Times New Roman" w:hAnsi="Times New Roman" w:eastAsia="仿宋_GB2312" w:cs="Times New Roman"/>
          <w:sz w:val="28"/>
          <w:szCs w:val="32"/>
          <w:lang w:val="en-US" w:eastAsia="zh-CN"/>
        </w:rPr>
        <w:t>团体标准。</w:t>
      </w:r>
    </w:p>
    <w:p>
      <w:pPr>
        <w:ind w:firstLine="640" w:firstLineChars="200"/>
        <w:outlineLvl w:val="1"/>
        <w:rPr>
          <w:rFonts w:hint="default" w:ascii="Times New Roman" w:hAnsi="Times New Roman" w:eastAsia="楷体_GB2312" w:cs="Times New Roman"/>
          <w:sz w:val="32"/>
          <w:szCs w:val="32"/>
        </w:rPr>
      </w:pPr>
      <w:bookmarkStart w:id="12" w:name="_Toc32386"/>
      <w:bookmarkStart w:id="13" w:name="_Toc30087"/>
      <w:bookmarkStart w:id="14" w:name="_Toc2250"/>
      <w:r>
        <w:rPr>
          <w:rFonts w:hint="eastAsia" w:ascii="Times New Roman" w:hAnsi="Times New Roman" w:eastAsia="楷体_GB2312" w:cs="Times New Roman"/>
          <w:sz w:val="32"/>
          <w:szCs w:val="32"/>
          <w:lang w:eastAsia="zh-CN"/>
        </w:rPr>
        <w:t>（</w:t>
      </w:r>
      <w:r>
        <w:rPr>
          <w:rFonts w:hint="eastAsia" w:ascii="Times New Roman" w:hAnsi="Times New Roman" w:eastAsia="楷体_GB2312" w:cs="Times New Roman"/>
          <w:sz w:val="32"/>
          <w:szCs w:val="32"/>
          <w:lang w:val="en-US" w:eastAsia="zh-CN"/>
        </w:rPr>
        <w:t>二</w:t>
      </w:r>
      <w:r>
        <w:rPr>
          <w:rFonts w:hint="eastAsia" w:ascii="Times New Roman" w:hAnsi="Times New Roman" w:eastAsia="楷体_GB2312" w:cs="Times New Roman"/>
          <w:sz w:val="32"/>
          <w:szCs w:val="32"/>
          <w:lang w:eastAsia="zh-CN"/>
        </w:rPr>
        <w:t>）</w:t>
      </w:r>
      <w:r>
        <w:rPr>
          <w:rFonts w:hint="default" w:ascii="Times New Roman" w:hAnsi="Times New Roman" w:eastAsia="楷体_GB2312" w:cs="Times New Roman"/>
          <w:sz w:val="32"/>
          <w:szCs w:val="32"/>
        </w:rPr>
        <w:t>收集整理文献资料</w:t>
      </w:r>
      <w:bookmarkEnd w:id="12"/>
      <w:bookmarkEnd w:id="13"/>
      <w:bookmarkEnd w:id="14"/>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default" w:ascii="Times New Roman" w:hAnsi="Times New Roman" w:eastAsia="仿宋_GB2312" w:cs="Times New Roman"/>
          <w:sz w:val="28"/>
          <w:szCs w:val="32"/>
          <w:lang w:val="en-US" w:eastAsia="zh-CN"/>
        </w:rPr>
      </w:pPr>
      <w:r>
        <w:rPr>
          <w:rFonts w:hint="default" w:ascii="Times New Roman" w:hAnsi="Times New Roman" w:eastAsia="仿宋_GB2312" w:cs="Times New Roman"/>
          <w:sz w:val="28"/>
          <w:szCs w:val="32"/>
          <w:lang w:val="en-US" w:eastAsia="zh-CN"/>
        </w:rPr>
        <w:t>标准编制工作组收集了</w:t>
      </w:r>
      <w:r>
        <w:rPr>
          <w:rFonts w:hint="eastAsia" w:ascii="Times New Roman" w:hAnsi="Times New Roman" w:eastAsia="仿宋_GB2312" w:cs="Times New Roman"/>
          <w:sz w:val="28"/>
          <w:szCs w:val="32"/>
          <w:lang w:val="zh-CN" w:eastAsia="zh-CN"/>
        </w:rPr>
        <w:t>辐射事故应急演习评估</w:t>
      </w:r>
      <w:r>
        <w:rPr>
          <w:rFonts w:hint="default" w:ascii="Times New Roman" w:hAnsi="Times New Roman" w:eastAsia="仿宋_GB2312" w:cs="Times New Roman"/>
          <w:sz w:val="28"/>
          <w:szCs w:val="32"/>
          <w:lang w:val="zh-CN" w:eastAsia="zh-CN"/>
        </w:rPr>
        <w:t>的</w:t>
      </w:r>
      <w:r>
        <w:rPr>
          <w:rFonts w:hint="default" w:ascii="Times New Roman" w:hAnsi="Times New Roman" w:eastAsia="仿宋_GB2312" w:cs="Times New Roman"/>
          <w:sz w:val="28"/>
          <w:szCs w:val="32"/>
          <w:lang w:val="en-US" w:eastAsia="zh-CN"/>
        </w:rPr>
        <w:t>相关标准，具体列出如下：</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default"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[1] GB 18871-2002 电离辐射防护与辐射源安全基本标准。</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default"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 xml:space="preserve">[2] HJ1155-2020 </w:t>
      </w:r>
      <w:r>
        <w:rPr>
          <w:rFonts w:hint="eastAsia" w:ascii="Times New Roman" w:hAnsi="Times New Roman" w:eastAsia="仿宋_GB2312" w:cs="Times New Roman"/>
          <w:sz w:val="28"/>
          <w:szCs w:val="32"/>
          <w:lang w:val="en-US" w:eastAsia="zh-CN"/>
        </w:rPr>
        <w:fldChar w:fldCharType="begin"/>
      </w:r>
      <w:r>
        <w:rPr>
          <w:rFonts w:hint="eastAsia" w:ascii="Times New Roman" w:hAnsi="Times New Roman" w:eastAsia="仿宋_GB2312" w:cs="Times New Roman"/>
          <w:sz w:val="28"/>
          <w:szCs w:val="32"/>
          <w:lang w:val="en-US" w:eastAsia="zh-CN"/>
        </w:rPr>
        <w:instrText xml:space="preserve"> HYPERLINK "https://www.mee.gov.cn/ywgz/fgbz/bz/bzwb/hxxhj/xgbz/202101/W020210104678182410759.pdf" </w:instrText>
      </w:r>
      <w:r>
        <w:rPr>
          <w:rFonts w:hint="eastAsia" w:ascii="Times New Roman" w:hAnsi="Times New Roman" w:eastAsia="仿宋_GB2312" w:cs="Times New Roman"/>
          <w:sz w:val="28"/>
          <w:szCs w:val="32"/>
          <w:lang w:val="en-US" w:eastAsia="zh-CN"/>
        </w:rPr>
        <w:fldChar w:fldCharType="separate"/>
      </w:r>
      <w:r>
        <w:rPr>
          <w:rFonts w:hint="eastAsia" w:ascii="Times New Roman" w:hAnsi="Times New Roman" w:eastAsia="仿宋_GB2312" w:cs="Times New Roman"/>
          <w:sz w:val="28"/>
          <w:szCs w:val="32"/>
          <w:lang w:val="en-US" w:eastAsia="zh-CN"/>
        </w:rPr>
        <w:t>辐射事故应急监测技术规范</w:t>
      </w:r>
      <w:r>
        <w:rPr>
          <w:rFonts w:hint="eastAsia" w:ascii="Times New Roman" w:hAnsi="Times New Roman" w:eastAsia="仿宋_GB2312" w:cs="Times New Roman"/>
          <w:sz w:val="28"/>
          <w:szCs w:val="32"/>
          <w:lang w:val="en-US" w:eastAsia="zh-CN"/>
        </w:rPr>
        <w:fldChar w:fldCharType="end"/>
      </w:r>
      <w:r>
        <w:rPr>
          <w:rFonts w:hint="eastAsia" w:ascii="Times New Roman" w:hAnsi="Times New Roman" w:eastAsia="仿宋_GB2312" w:cs="Times New Roman"/>
          <w:sz w:val="28"/>
          <w:szCs w:val="32"/>
          <w:lang w:val="en-US" w:eastAsia="zh-CN"/>
        </w:rPr>
        <w:t>。</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default"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[3] DB15/T 3488—2024 辐射事故应急演练评估指南。</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[4] DB62/T 4536-2022  核技术利用单位辐射事故应急演练基本规范。</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[5] AQ/T 9009-2015 生产安全事故应急演练评估规范。</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[6] 《辐射事故应急演习的新实践及建议》[J].中国辐射卫生，2020,29(05):570-574。.</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default"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[7] 王瑞英,杨端节,李雯婷,等.辐射事故应急演习准备与实施的规范化[J].中国辐射卫生,2022,31(01):79-84.</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[8] 房江奇,杨金政,安政伟,等.石家庄市辐射事故应急演习与思考[J].中国辐射卫生,2021,30(05):602-606+610.</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[9] 张彦,杨端节,乔清党,等.省级辐射事故应急演习存在问题及对策研究[J].中国辐射卫生,2020,29(03):288-291。</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[10] 生态环境部核与辐射安全中心,广西壮族自治区辐射环境监督管理站,内蒙古自治区辐射环境监督站.辐射事故应急演习情景库[M].中国环境出版集团:201908:171。</w:t>
      </w:r>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default" w:ascii="Times New Roman" w:hAnsi="Times New Roman" w:eastAsia="仿宋_GB2312" w:cs="Times New Roman"/>
          <w:sz w:val="28"/>
          <w:szCs w:val="32"/>
          <w:lang w:val="en-US" w:eastAsia="zh-CN"/>
        </w:rPr>
      </w:pPr>
      <w:r>
        <w:rPr>
          <w:rFonts w:hint="eastAsia" w:ascii="Times New Roman" w:hAnsi="Times New Roman" w:eastAsia="仿宋_GB2312" w:cs="Times New Roman"/>
          <w:color w:val="FF0000"/>
          <w:sz w:val="28"/>
          <w:szCs w:val="32"/>
          <w:lang w:val="en-US" w:eastAsia="zh-CN"/>
        </w:rPr>
        <w:t>[11]《广西壮族自治区辐射事故应急演习管理规定（试行）》桂环发〔2022〕40号，广西壮族自治区生态环境厅。</w:t>
      </w:r>
    </w:p>
    <w:p>
      <w:pPr>
        <w:ind w:firstLine="640" w:firstLineChars="200"/>
        <w:outlineLvl w:val="1"/>
        <w:rPr>
          <w:rFonts w:hint="default" w:ascii="Times New Roman" w:hAnsi="Times New Roman" w:eastAsia="楷体_GB2312" w:cs="Times New Roman"/>
          <w:sz w:val="32"/>
          <w:szCs w:val="32"/>
          <w:lang w:eastAsia="zh-CN"/>
        </w:rPr>
      </w:pPr>
      <w:bookmarkStart w:id="15" w:name="_Toc9470"/>
      <w:bookmarkStart w:id="16" w:name="_Toc26794"/>
      <w:bookmarkStart w:id="17" w:name="_Toc31341"/>
      <w:r>
        <w:rPr>
          <w:rFonts w:hint="default" w:ascii="Times New Roman" w:hAnsi="Times New Roman" w:eastAsia="楷体_GB2312" w:cs="Times New Roman"/>
          <w:sz w:val="32"/>
          <w:szCs w:val="32"/>
          <w:lang w:eastAsia="zh-CN"/>
        </w:rPr>
        <w:t>（三）研讨确定标准主体内容</w:t>
      </w:r>
      <w:bookmarkEnd w:id="15"/>
      <w:bookmarkEnd w:id="16"/>
      <w:bookmarkEnd w:id="17"/>
    </w:p>
    <w:p>
      <w:pPr>
        <w:keepNext w:val="0"/>
        <w:keepLines w:val="0"/>
        <w:pageBreakBefore w:val="0"/>
        <w:widowControl w:val="0"/>
        <w:kinsoku/>
        <w:wordWrap/>
        <w:overflowPunct w:val="0"/>
        <w:topLinePunct/>
        <w:autoSpaceDE/>
        <w:autoSpaceDN/>
        <w:bidi w:val="0"/>
        <w:adjustRightInd/>
        <w:snapToGrid/>
        <w:spacing w:line="560" w:lineRule="exact"/>
        <w:ind w:firstLine="641" w:firstLineChars="0"/>
        <w:textAlignment w:val="auto"/>
        <w:rPr>
          <w:rFonts w:hint="default" w:ascii="Times New Roman" w:hAnsi="Times New Roman" w:eastAsia="仿宋_GB2312" w:cs="Times New Roman"/>
          <w:sz w:val="28"/>
          <w:szCs w:val="32"/>
          <w:lang w:val="zh-CN" w:eastAsia="zh-CN"/>
        </w:rPr>
      </w:pPr>
      <w:r>
        <w:rPr>
          <w:rFonts w:hint="default" w:ascii="Times New Roman" w:hAnsi="Times New Roman" w:eastAsia="仿宋_GB2312" w:cs="Times New Roman"/>
          <w:sz w:val="28"/>
          <w:szCs w:val="32"/>
          <w:lang w:val="en-US" w:eastAsia="zh-CN"/>
        </w:rPr>
        <w:t>标准编制工作组对收集的资料整理研究后，召开了标准编制工作会议，对标准的整体框架结构进行了研究，并对标准的关键性内容进行了初步探讨。经过研究，</w:t>
      </w:r>
      <w:r>
        <w:rPr>
          <w:rFonts w:hint="eastAsia" w:ascii="Times New Roman" w:hAnsi="Times New Roman" w:eastAsia="仿宋_GB2312" w:cs="Times New Roman"/>
          <w:sz w:val="28"/>
          <w:szCs w:val="32"/>
          <w:lang w:val="en-US" w:eastAsia="zh-CN"/>
        </w:rPr>
        <w:t>认为标准应根据演习类型的不同明确不同进行评估，</w:t>
      </w:r>
      <w:r>
        <w:rPr>
          <w:rFonts w:hint="default" w:ascii="Times New Roman" w:hAnsi="Times New Roman" w:eastAsia="仿宋_GB2312" w:cs="Times New Roman"/>
          <w:sz w:val="28"/>
          <w:szCs w:val="32"/>
          <w:lang w:val="en-US" w:eastAsia="zh-CN"/>
        </w:rPr>
        <w:t>标准的主体内容确定为术语和定义，总则</w:t>
      </w:r>
      <w:r>
        <w:rPr>
          <w:rFonts w:hint="eastAsia" w:ascii="Times New Roman" w:hAnsi="Times New Roman" w:eastAsia="仿宋_GB2312" w:cs="Times New Roman"/>
          <w:sz w:val="28"/>
          <w:szCs w:val="32"/>
          <w:lang w:val="en-US" w:eastAsia="zh-CN"/>
        </w:rPr>
        <w:t>、</w:t>
      </w:r>
      <w:r>
        <w:rPr>
          <w:rFonts w:hint="default" w:ascii="Times New Roman" w:hAnsi="Times New Roman" w:eastAsia="仿宋_GB2312" w:cs="Times New Roman"/>
          <w:sz w:val="28"/>
          <w:szCs w:val="32"/>
          <w:lang w:val="en-US" w:eastAsia="zh-CN"/>
        </w:rPr>
        <w:t>评估准备</w:t>
      </w:r>
      <w:r>
        <w:rPr>
          <w:rFonts w:hint="eastAsia" w:ascii="Times New Roman" w:hAnsi="Times New Roman" w:eastAsia="仿宋_GB2312" w:cs="Times New Roman"/>
          <w:sz w:val="28"/>
          <w:szCs w:val="32"/>
          <w:lang w:val="en-US" w:eastAsia="zh-CN"/>
        </w:rPr>
        <w:t>、演习分类、</w:t>
      </w:r>
      <w:r>
        <w:rPr>
          <w:rFonts w:hint="default" w:ascii="Times New Roman" w:hAnsi="Times New Roman" w:eastAsia="仿宋_GB2312" w:cs="Times New Roman"/>
          <w:sz w:val="28"/>
          <w:szCs w:val="32"/>
          <w:lang w:val="en-US" w:eastAsia="zh-CN"/>
        </w:rPr>
        <w:t>评估实施和评估总结。</w:t>
      </w:r>
    </w:p>
    <w:p>
      <w:pPr>
        <w:ind w:firstLine="640" w:firstLineChars="200"/>
        <w:outlineLvl w:val="1"/>
        <w:rPr>
          <w:rFonts w:hint="default" w:ascii="Times New Roman" w:hAnsi="Times New Roman" w:eastAsia="楷体_GB2312" w:cs="Times New Roman"/>
          <w:sz w:val="32"/>
          <w:szCs w:val="32"/>
          <w:lang w:val="en-US" w:eastAsia="zh-CN"/>
        </w:rPr>
      </w:pPr>
      <w:bookmarkStart w:id="18" w:name="_Toc20233"/>
      <w:bookmarkStart w:id="19" w:name="_Toc16968"/>
      <w:bookmarkStart w:id="20" w:name="_Toc252"/>
      <w:r>
        <w:rPr>
          <w:rFonts w:hint="default" w:ascii="Times New Roman" w:hAnsi="Times New Roman" w:eastAsia="楷体_GB2312" w:cs="Times New Roman"/>
          <w:sz w:val="32"/>
          <w:szCs w:val="32"/>
          <w:lang w:eastAsia="zh-CN"/>
        </w:rPr>
        <w:t>（四）调研、形成文本草案、征求意见稿</w:t>
      </w:r>
      <w:bookmarkEnd w:id="18"/>
      <w:bookmarkEnd w:id="19"/>
      <w:bookmarkEnd w:id="20"/>
    </w:p>
    <w:p>
      <w:pPr>
        <w:spacing w:line="500" w:lineRule="exact"/>
        <w:ind w:firstLine="560" w:firstLineChars="200"/>
        <w:rPr>
          <w:rFonts w:hint="default" w:ascii="Times New Roman" w:hAnsi="Times New Roman" w:eastAsia="仿宋_GB2312" w:cs="Times New Roman"/>
          <w:sz w:val="28"/>
          <w:szCs w:val="32"/>
          <w:lang w:val="en-US" w:eastAsia="zh-CN"/>
        </w:rPr>
      </w:pPr>
      <w:r>
        <w:rPr>
          <w:rFonts w:hint="default" w:ascii="Times New Roman" w:hAnsi="Times New Roman" w:eastAsia="仿宋_GB2312" w:cs="Times New Roman"/>
          <w:sz w:val="28"/>
          <w:szCs w:val="32"/>
          <w:lang w:val="en-US" w:eastAsia="zh-CN"/>
        </w:rPr>
        <w:t>202</w:t>
      </w:r>
      <w:r>
        <w:rPr>
          <w:rFonts w:hint="eastAsia" w:ascii="Times New Roman" w:hAnsi="Times New Roman" w:eastAsia="仿宋_GB2312" w:cs="Times New Roman"/>
          <w:sz w:val="28"/>
          <w:szCs w:val="32"/>
          <w:lang w:val="en-US" w:eastAsia="zh-CN"/>
        </w:rPr>
        <w:t>2</w:t>
      </w:r>
      <w:r>
        <w:rPr>
          <w:rFonts w:hint="default" w:ascii="Times New Roman" w:hAnsi="Times New Roman" w:eastAsia="仿宋_GB2312" w:cs="Times New Roman"/>
          <w:sz w:val="28"/>
          <w:szCs w:val="32"/>
          <w:lang w:val="en-US" w:eastAsia="zh-CN"/>
        </w:rPr>
        <w:t>年</w:t>
      </w:r>
      <w:r>
        <w:rPr>
          <w:rFonts w:hint="eastAsia" w:ascii="Times New Roman" w:hAnsi="Times New Roman" w:eastAsia="仿宋_GB2312" w:cs="Times New Roman"/>
          <w:sz w:val="28"/>
          <w:szCs w:val="32"/>
          <w:lang w:val="en-US" w:eastAsia="zh-CN"/>
        </w:rPr>
        <w:t>—</w:t>
      </w:r>
      <w:r>
        <w:rPr>
          <w:rFonts w:hint="default" w:ascii="Times New Roman" w:hAnsi="Times New Roman" w:eastAsia="仿宋_GB2312" w:cs="Times New Roman"/>
          <w:sz w:val="28"/>
          <w:szCs w:val="32"/>
          <w:lang w:val="en-US" w:eastAsia="zh-CN"/>
        </w:rPr>
        <w:t>202</w:t>
      </w:r>
      <w:r>
        <w:rPr>
          <w:rFonts w:hint="eastAsia" w:ascii="Times New Roman" w:hAnsi="Times New Roman" w:eastAsia="仿宋_GB2312" w:cs="Times New Roman"/>
          <w:sz w:val="28"/>
          <w:szCs w:val="32"/>
          <w:lang w:val="en-US" w:eastAsia="zh-CN"/>
        </w:rPr>
        <w:t>5年</w:t>
      </w:r>
      <w:r>
        <w:rPr>
          <w:rFonts w:hint="default" w:ascii="Times New Roman" w:hAnsi="Times New Roman" w:eastAsia="仿宋_GB2312" w:cs="Times New Roman"/>
          <w:sz w:val="28"/>
          <w:szCs w:val="32"/>
          <w:lang w:val="en-US" w:eastAsia="zh-CN"/>
        </w:rPr>
        <w:t>，标准</w:t>
      </w:r>
      <w:r>
        <w:rPr>
          <w:rFonts w:hint="eastAsia" w:ascii="Times New Roman" w:hAnsi="Times New Roman" w:eastAsia="仿宋_GB2312" w:cs="Times New Roman"/>
          <w:sz w:val="28"/>
          <w:szCs w:val="32"/>
          <w:lang w:val="en-US" w:eastAsia="zh-CN"/>
        </w:rPr>
        <w:t>编制组</w:t>
      </w:r>
      <w:r>
        <w:rPr>
          <w:rFonts w:hint="default" w:ascii="Times New Roman" w:hAnsi="Times New Roman" w:eastAsia="仿宋_GB2312" w:cs="Times New Roman"/>
          <w:sz w:val="28"/>
          <w:szCs w:val="32"/>
          <w:lang w:val="en-US" w:eastAsia="zh-CN"/>
        </w:rPr>
        <w:t>进行了广泛调研工作</w:t>
      </w:r>
      <w:r>
        <w:rPr>
          <w:rFonts w:hint="eastAsia" w:ascii="Times New Roman" w:hAnsi="Times New Roman" w:eastAsia="仿宋_GB2312" w:cs="Times New Roman"/>
          <w:sz w:val="28"/>
          <w:szCs w:val="32"/>
          <w:lang w:val="en-US" w:eastAsia="zh-CN"/>
        </w:rPr>
        <w:t>。通过对国内相关辐射事故应急演习方面的法律法规、标准规范和技术指导文件进行全面查阅与整理，同时深入调研各级生态环境主管部门及核技术利用单位负责应急演习的相关工作人员，</w:t>
      </w:r>
      <w:r>
        <w:rPr>
          <w:rFonts w:hint="default" w:ascii="Times New Roman" w:hAnsi="Times New Roman" w:eastAsia="仿宋_GB2312" w:cs="Times New Roman"/>
          <w:sz w:val="28"/>
          <w:szCs w:val="32"/>
          <w:lang w:val="en-US" w:eastAsia="zh-CN"/>
        </w:rPr>
        <w:t>结合2022年以来自治区辐射站在《广西壮族自治区辐射事故应急演习管理规定（试行）》指导下组织开展的多轮演习绩效评估实践经验</w:t>
      </w:r>
      <w:r>
        <w:rPr>
          <w:rFonts w:hint="eastAsia" w:ascii="Times New Roman" w:hAnsi="Times New Roman" w:eastAsia="仿宋_GB2312" w:cs="Times New Roman"/>
          <w:sz w:val="28"/>
          <w:szCs w:val="32"/>
          <w:lang w:val="en-US" w:eastAsia="zh-CN"/>
        </w:rPr>
        <w:t>（</w:t>
      </w:r>
      <w:r>
        <w:rPr>
          <w:rFonts w:hint="default" w:ascii="Times New Roman" w:hAnsi="Times New Roman" w:eastAsia="仿宋_GB2312" w:cs="Times New Roman"/>
          <w:sz w:val="28"/>
          <w:szCs w:val="32"/>
          <w:lang w:val="en-US" w:eastAsia="zh-CN"/>
        </w:rPr>
        <w:t>2023至2024年期间对柳州市、贺州市、桂林市、贵港市</w:t>
      </w:r>
      <w:r>
        <w:rPr>
          <w:rFonts w:hint="eastAsia" w:ascii="Times New Roman" w:hAnsi="Times New Roman" w:eastAsia="仿宋_GB2312" w:cs="Times New Roman"/>
          <w:sz w:val="28"/>
          <w:szCs w:val="32"/>
          <w:lang w:val="en-US" w:eastAsia="zh-CN"/>
        </w:rPr>
        <w:t>四地市</w:t>
      </w:r>
      <w:r>
        <w:rPr>
          <w:rFonts w:hint="default" w:ascii="Times New Roman" w:hAnsi="Times New Roman" w:eastAsia="仿宋_GB2312" w:cs="Times New Roman"/>
          <w:sz w:val="28"/>
          <w:szCs w:val="32"/>
          <w:lang w:val="en-US" w:eastAsia="zh-CN"/>
        </w:rPr>
        <w:t>开展的综合性演练及南宁市专项演练</w:t>
      </w:r>
      <w:r>
        <w:rPr>
          <w:rFonts w:hint="eastAsia" w:ascii="Times New Roman" w:hAnsi="Times New Roman" w:eastAsia="仿宋_GB2312" w:cs="Times New Roman"/>
          <w:sz w:val="28"/>
          <w:szCs w:val="32"/>
          <w:lang w:val="en-US" w:eastAsia="zh-CN"/>
        </w:rPr>
        <w:t>）</w:t>
      </w:r>
      <w:r>
        <w:rPr>
          <w:rFonts w:hint="default" w:ascii="Times New Roman" w:hAnsi="Times New Roman" w:eastAsia="仿宋_GB2312" w:cs="Times New Roman"/>
          <w:sz w:val="28"/>
          <w:szCs w:val="32"/>
          <w:lang w:val="en-US" w:eastAsia="zh-CN"/>
        </w:rPr>
        <w:t>，编制组全面总结了演习目标分解、量化指标体系构建、考核流程设置等方面的有益经验，进一步验证了绩效考核方案的科学性、实用性和有效性。经</w:t>
      </w:r>
      <w:r>
        <w:rPr>
          <w:rFonts w:hint="eastAsia" w:ascii="Times New Roman" w:hAnsi="Times New Roman" w:eastAsia="仿宋_GB2312" w:cs="Times New Roman"/>
          <w:sz w:val="28"/>
          <w:szCs w:val="32"/>
          <w:lang w:val="en-US" w:eastAsia="zh-CN"/>
        </w:rPr>
        <w:t>标准</w:t>
      </w:r>
      <w:r>
        <w:rPr>
          <w:rFonts w:hint="default" w:ascii="Times New Roman" w:hAnsi="Times New Roman" w:eastAsia="仿宋_GB2312" w:cs="Times New Roman"/>
          <w:sz w:val="28"/>
          <w:szCs w:val="32"/>
          <w:lang w:val="en-US" w:eastAsia="zh-CN"/>
        </w:rPr>
        <w:t>编制组反复讨论</w:t>
      </w:r>
      <w:r>
        <w:rPr>
          <w:rFonts w:hint="eastAsia" w:ascii="Times New Roman" w:hAnsi="Times New Roman" w:eastAsia="仿宋_GB2312" w:cs="Times New Roman"/>
          <w:sz w:val="28"/>
          <w:szCs w:val="32"/>
          <w:lang w:val="en-US" w:eastAsia="zh-CN"/>
        </w:rPr>
        <w:t>研究</w:t>
      </w:r>
      <w:r>
        <w:rPr>
          <w:rFonts w:hint="default" w:ascii="Times New Roman" w:hAnsi="Times New Roman" w:eastAsia="仿宋_GB2312" w:cs="Times New Roman"/>
          <w:sz w:val="28"/>
          <w:szCs w:val="32"/>
          <w:lang w:val="en-US" w:eastAsia="zh-CN"/>
        </w:rPr>
        <w:t>，</w:t>
      </w:r>
      <w:r>
        <w:rPr>
          <w:rFonts w:hint="eastAsia" w:ascii="Times New Roman" w:hAnsi="Times New Roman" w:eastAsia="仿宋_GB2312" w:cs="Times New Roman"/>
          <w:sz w:val="28"/>
          <w:szCs w:val="32"/>
          <w:lang w:val="en-US" w:eastAsia="zh-CN"/>
        </w:rPr>
        <w:t>确立</w:t>
      </w:r>
      <w:r>
        <w:rPr>
          <w:rFonts w:hint="default" w:ascii="Times New Roman" w:hAnsi="Times New Roman" w:eastAsia="仿宋_GB2312" w:cs="Times New Roman"/>
          <w:sz w:val="28"/>
          <w:szCs w:val="32"/>
          <w:lang w:val="en-US" w:eastAsia="zh-CN"/>
        </w:rPr>
        <w:t>了标准基本构架，</w:t>
      </w:r>
      <w:r>
        <w:rPr>
          <w:rFonts w:hint="eastAsia" w:ascii="Times New Roman" w:hAnsi="Times New Roman" w:eastAsia="仿宋_GB2312" w:cs="Times New Roman"/>
          <w:sz w:val="28"/>
          <w:szCs w:val="32"/>
          <w:lang w:val="en-US" w:eastAsia="zh-CN"/>
        </w:rPr>
        <w:t>完成</w:t>
      </w:r>
      <w:r>
        <w:rPr>
          <w:rFonts w:hint="default" w:ascii="Times New Roman" w:hAnsi="Times New Roman" w:eastAsia="仿宋_GB2312" w:cs="Times New Roman"/>
          <w:sz w:val="28"/>
          <w:szCs w:val="32"/>
          <w:lang w:val="en-US" w:eastAsia="zh-CN"/>
        </w:rPr>
        <w:t>主要内容</w:t>
      </w:r>
      <w:r>
        <w:rPr>
          <w:rFonts w:hint="eastAsia" w:ascii="Times New Roman" w:hAnsi="Times New Roman" w:eastAsia="仿宋_GB2312" w:cs="Times New Roman"/>
          <w:sz w:val="28"/>
          <w:szCs w:val="32"/>
          <w:lang w:val="en-US" w:eastAsia="zh-CN"/>
        </w:rPr>
        <w:t>商讨研究，</w:t>
      </w:r>
      <w:r>
        <w:rPr>
          <w:rFonts w:hint="default" w:ascii="Times New Roman" w:hAnsi="Times New Roman" w:eastAsia="仿宋_GB2312" w:cs="Times New Roman"/>
          <w:sz w:val="28"/>
          <w:szCs w:val="32"/>
          <w:lang w:val="en-US" w:eastAsia="zh-CN"/>
        </w:rPr>
        <w:t>并对项目工作进行部署和安排。</w:t>
      </w:r>
      <w:r>
        <w:rPr>
          <w:rFonts w:hint="eastAsia" w:ascii="Times New Roman" w:hAnsi="Times New Roman" w:eastAsia="仿宋_GB2312" w:cs="Times New Roman"/>
          <w:sz w:val="28"/>
          <w:szCs w:val="32"/>
          <w:lang w:val="en-US" w:eastAsia="zh-CN"/>
        </w:rPr>
        <w:t xml:space="preserve">    </w:t>
      </w:r>
    </w:p>
    <w:p>
      <w:pPr>
        <w:spacing w:line="500" w:lineRule="exact"/>
        <w:ind w:firstLine="560" w:firstLineChars="200"/>
        <w:rPr>
          <w:rFonts w:hint="default" w:ascii="Times New Roman" w:hAnsi="Times New Roman" w:eastAsia="仿宋_GB2312" w:cs="Times New Roman"/>
          <w:sz w:val="28"/>
          <w:szCs w:val="32"/>
          <w:lang w:val="en-US" w:eastAsia="zh-CN"/>
        </w:rPr>
      </w:pPr>
      <w:r>
        <w:rPr>
          <w:rFonts w:hint="default" w:ascii="Times New Roman" w:hAnsi="Times New Roman" w:eastAsia="仿宋_GB2312" w:cs="Times New Roman"/>
          <w:sz w:val="28"/>
          <w:szCs w:val="32"/>
          <w:lang w:val="en-US" w:eastAsia="zh-CN"/>
        </w:rPr>
        <w:t>202</w:t>
      </w:r>
      <w:r>
        <w:rPr>
          <w:rFonts w:hint="eastAsia" w:ascii="Times New Roman" w:hAnsi="Times New Roman" w:eastAsia="仿宋_GB2312" w:cs="Times New Roman"/>
          <w:sz w:val="28"/>
          <w:szCs w:val="32"/>
          <w:lang w:val="en-US" w:eastAsia="zh-CN"/>
        </w:rPr>
        <w:t>5</w:t>
      </w:r>
      <w:r>
        <w:rPr>
          <w:rFonts w:hint="default" w:ascii="Times New Roman" w:hAnsi="Times New Roman" w:eastAsia="仿宋_GB2312" w:cs="Times New Roman"/>
          <w:sz w:val="28"/>
          <w:szCs w:val="32"/>
          <w:lang w:val="en-US" w:eastAsia="zh-CN"/>
        </w:rPr>
        <w:t>年</w:t>
      </w:r>
      <w:r>
        <w:rPr>
          <w:rFonts w:hint="eastAsia" w:ascii="Times New Roman" w:hAnsi="Times New Roman" w:eastAsia="仿宋_GB2312" w:cs="Times New Roman"/>
          <w:sz w:val="28"/>
          <w:szCs w:val="32"/>
          <w:lang w:val="en-US" w:eastAsia="zh-CN"/>
        </w:rPr>
        <w:t>7</w:t>
      </w:r>
      <w:r>
        <w:rPr>
          <w:rFonts w:hint="default" w:ascii="Times New Roman" w:hAnsi="Times New Roman" w:eastAsia="仿宋_GB2312" w:cs="Times New Roman"/>
          <w:sz w:val="28"/>
          <w:szCs w:val="32"/>
          <w:lang w:val="en-US" w:eastAsia="zh-CN"/>
        </w:rPr>
        <w:t>月</w:t>
      </w:r>
      <w:r>
        <w:rPr>
          <w:rFonts w:hint="eastAsia" w:ascii="Times New Roman" w:hAnsi="Times New Roman" w:eastAsia="仿宋_GB2312" w:cs="Times New Roman"/>
          <w:sz w:val="28"/>
          <w:szCs w:val="32"/>
          <w:lang w:val="en-US" w:eastAsia="zh-CN"/>
        </w:rPr>
        <w:t>—9月</w:t>
      </w:r>
      <w:r>
        <w:rPr>
          <w:rFonts w:hint="default" w:ascii="Times New Roman" w:hAnsi="Times New Roman" w:eastAsia="仿宋_GB2312" w:cs="Times New Roman"/>
          <w:sz w:val="28"/>
          <w:szCs w:val="32"/>
          <w:lang w:val="en-US" w:eastAsia="zh-CN"/>
        </w:rPr>
        <w:t>，根据</w:t>
      </w:r>
      <w:r>
        <w:rPr>
          <w:rFonts w:hint="default" w:ascii="Times New Roman" w:hAnsi="Times New Roman" w:eastAsia="仿宋_GB2312" w:cs="Times New Roman"/>
          <w:sz w:val="28"/>
          <w:szCs w:val="32"/>
          <w:lang w:val="zh-CN" w:eastAsia="zh-CN"/>
        </w:rPr>
        <w:t>《</w:t>
      </w:r>
      <w:r>
        <w:rPr>
          <w:rFonts w:hint="default" w:ascii="Times New Roman" w:hAnsi="Times New Roman" w:eastAsia="仿宋_GB2312" w:cs="Times New Roman"/>
          <w:sz w:val="28"/>
          <w:szCs w:val="32"/>
          <w:lang w:val="en-US" w:eastAsia="zh-CN"/>
        </w:rPr>
        <mc:AlternateContent>
          <mc:Choice Requires="wps">
            <w:drawing>
              <wp:anchor distT="0" distB="0" distL="114300" distR="114300" simplePos="0" relativeHeight="251674624" behindDoc="0" locked="0" layoutInCell="0" allowOverlap="1">
                <wp:simplePos x="0" y="0"/>
                <wp:positionH relativeFrom="column">
                  <wp:posOffset>304800</wp:posOffset>
                </wp:positionH>
                <wp:positionV relativeFrom="paragraph">
                  <wp:posOffset>403860</wp:posOffset>
                </wp:positionV>
                <wp:extent cx="635" cy="0"/>
                <wp:effectExtent l="0" t="0" r="0" b="0"/>
                <wp:wrapNone/>
                <wp:docPr id="16" name="直线 286"/>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286" o:spid="_x0000_s1026" o:spt="20" style="position:absolute;left:0pt;margin-left:24pt;margin-top:31.8pt;height:0pt;width:0.05pt;z-index:251674624;mso-width-relative:page;mso-height-relative:page;" filled="f" stroked="t" coordsize="21600,21600" o:allowincell="f" o:gfxdata="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qsQMG1QAAAAcB&#10;AAAPAAAAAAAAAAEAIAAAACIAAABkcnMvZG93bnJldi54bWxQSwECFAAUAAAACACHTuJAaaBv4eUB&#10;AADaAwAADgAAAAAAAAABACAAAAAkAQAAZHJzL2Uyb0RvYy54bWxQSwUGAAAAAAYABgBZAQAAewUA&#10;AA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en-US" w:eastAsia="zh-CN"/>
        </w:rPr>
        <mc:AlternateContent>
          <mc:Choice Requires="wps">
            <w:drawing>
              <wp:anchor distT="0" distB="0" distL="114300" distR="114300" simplePos="0" relativeHeight="251675648" behindDoc="0" locked="0" layoutInCell="0" allowOverlap="1">
                <wp:simplePos x="0" y="0"/>
                <wp:positionH relativeFrom="column">
                  <wp:posOffset>304800</wp:posOffset>
                </wp:positionH>
                <wp:positionV relativeFrom="paragraph">
                  <wp:posOffset>403860</wp:posOffset>
                </wp:positionV>
                <wp:extent cx="635" cy="0"/>
                <wp:effectExtent l="0" t="0" r="0" b="0"/>
                <wp:wrapNone/>
                <wp:docPr id="17" name="直线 287"/>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287" o:spid="_x0000_s1026" o:spt="20" style="position:absolute;left:0pt;margin-left:24pt;margin-top:31.8pt;height:0pt;width:0.05pt;z-index:251675648;mso-width-relative:page;mso-height-relative:page;" filled="f" stroked="t" coordsize="21600,21600" o:allowincell="f" o:gfxdata="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6rEDBtUAAAAH&#10;AQAADwAAAAAAAAABACAAAAAiAAAAZHJzL2Rvd25yZXYueG1sUEsBAhQAFAAAAAgAh07iQK57UNrm&#10;AQAA2gMAAA4AAAAAAAAAAQAgAAAAJAEAAGRycy9lMm9Eb2MueG1sUEsFBgAAAAAGAAYAWQEAAHwF&#10;AAAA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en-US" w:eastAsia="zh-CN"/>
        </w:rPr>
        <mc:AlternateContent>
          <mc:Choice Requires="wps">
            <w:drawing>
              <wp:anchor distT="0" distB="0" distL="114300" distR="114300" simplePos="0" relativeHeight="251676672" behindDoc="0" locked="0" layoutInCell="0" allowOverlap="1">
                <wp:simplePos x="0" y="0"/>
                <wp:positionH relativeFrom="column">
                  <wp:posOffset>304800</wp:posOffset>
                </wp:positionH>
                <wp:positionV relativeFrom="paragraph">
                  <wp:posOffset>403860</wp:posOffset>
                </wp:positionV>
                <wp:extent cx="635" cy="0"/>
                <wp:effectExtent l="0" t="0" r="0" b="0"/>
                <wp:wrapNone/>
                <wp:docPr id="18" name="直线 288"/>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288" o:spid="_x0000_s1026" o:spt="20" style="position:absolute;left:0pt;margin-left:24pt;margin-top:31.8pt;height:0pt;width:0.05pt;z-index:251676672;mso-width-relative:page;mso-height-relative:page;" filled="f" stroked="t" coordsize="21600,21600" o:allowincell="f" o:gfxdata="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qsQMG1QAAAAcB&#10;AAAPAAAAAAAAAAEAIAAAACIAAABkcnMvZG93bnJldi54bWxQSwECFAAUAAAACACHTuJAgqBgeeUB&#10;AADaAwAADgAAAAAAAAABACAAAAAkAQAAZHJzL2Uyb0RvYy54bWxQSwUGAAAAAAYABgBZAQAAewUA&#10;AA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en-US" w:eastAsia="zh-CN"/>
        </w:rPr>
        <w:t>广西标准化协会</w:t>
      </w:r>
      <w:r>
        <w:rPr>
          <w:rFonts w:hint="default" w:ascii="Times New Roman" w:hAnsi="Times New Roman" w:eastAsia="仿宋_GB2312" w:cs="Times New Roman"/>
          <w:sz w:val="28"/>
          <w:szCs w:val="32"/>
          <w:lang w:val="zh-CN" w:eastAsia="zh-CN"/>
        </w:rPr>
        <w:t>关于下达</w:t>
      </w:r>
      <w:r>
        <w:rPr>
          <w:rFonts w:hint="default" w:ascii="Times New Roman" w:hAnsi="Times New Roman" w:eastAsia="仿宋_GB2312" w:cs="Times New Roman"/>
          <w:sz w:val="28"/>
          <w:szCs w:val="32"/>
          <w:lang w:val="en-US" w:eastAsia="zh-CN"/>
        </w:rPr>
        <w:t>202</w:t>
      </w:r>
      <w:r>
        <w:rPr>
          <w:rFonts w:hint="eastAsia" w:ascii="Times New Roman" w:hAnsi="Times New Roman" w:eastAsia="仿宋_GB2312" w:cs="Times New Roman"/>
          <w:sz w:val="28"/>
          <w:szCs w:val="32"/>
          <w:lang w:val="en-US" w:eastAsia="zh-CN"/>
        </w:rPr>
        <w:t>5</w:t>
      </w:r>
      <w:r>
        <w:rPr>
          <w:rFonts w:hint="default" w:ascii="Times New Roman" w:hAnsi="Times New Roman" w:eastAsia="仿宋_GB2312" w:cs="Times New Roman"/>
          <w:sz w:val="28"/>
          <w:szCs w:val="32"/>
          <w:lang w:val="zh-CN" w:eastAsia="zh-CN"/>
        </w:rPr>
        <w:t>年</w:t>
      </w:r>
      <w:r>
        <w:rPr>
          <w:rFonts w:hint="eastAsia" w:ascii="Times New Roman" w:hAnsi="Times New Roman" w:eastAsia="仿宋_GB2312" w:cs="Times New Roman"/>
          <w:sz w:val="28"/>
          <w:szCs w:val="32"/>
          <w:lang w:val="en-US" w:eastAsia="zh-CN"/>
        </w:rPr>
        <w:t>第二十四</w:t>
      </w:r>
      <w:r>
        <w:rPr>
          <w:rFonts w:hint="default" w:ascii="Times New Roman" w:hAnsi="Times New Roman" w:eastAsia="仿宋_GB2312" w:cs="Times New Roman"/>
          <w:sz w:val="28"/>
          <w:szCs w:val="32"/>
          <w:lang w:val="zh-CN" w:eastAsia="zh-CN"/>
        </w:rPr>
        <w:t>批团体标准制修订项目计划的通知</w:t>
      </w:r>
      <w:r>
        <w:rPr>
          <w:rFonts w:hint="default" w:ascii="Times New Roman" w:hAnsi="Times New Roman" w:eastAsia="仿宋_GB2312" w:cs="Times New Roman"/>
          <w:sz w:val="28"/>
          <w:szCs w:val="32"/>
          <w:lang w:val="en-US" w:eastAsia="zh-CN"/>
        </w:rPr>
        <mc:AlternateContent>
          <mc:Choice Requires="wps">
            <w:drawing>
              <wp:anchor distT="0" distB="0" distL="114300" distR="114300" simplePos="0" relativeHeight="251671552" behindDoc="0" locked="0" layoutInCell="0" allowOverlap="1">
                <wp:simplePos x="0" y="0"/>
                <wp:positionH relativeFrom="column">
                  <wp:posOffset>152400</wp:posOffset>
                </wp:positionH>
                <wp:positionV relativeFrom="paragraph">
                  <wp:posOffset>251460</wp:posOffset>
                </wp:positionV>
                <wp:extent cx="635" cy="0"/>
                <wp:effectExtent l="0" t="0" r="0" b="0"/>
                <wp:wrapNone/>
                <wp:docPr id="13" name="直线 283"/>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283" o:spid="_x0000_s1026" o:spt="20" style="position:absolute;left:0pt;margin-left:12pt;margin-top:19.8pt;height:0pt;width:0.05pt;z-index:251671552;mso-width-relative:page;mso-height-relative:page;" filled="f" stroked="t" coordsize="21600,21600" o:allowincell="f" o:gfxdata="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i3Ll01AAAAAcB&#10;AAAPAAAAAAAAAAEAIAAAACIAAABkcnMvZG93bnJldi54bWxQSwECFAAUAAAACACHTuJAshSvNuYB&#10;AADaAwAADgAAAAAAAAABACAAAAAjAQAAZHJzL2Uyb0RvYy54bWxQSwUGAAAAAAYABgBZAQAAewUA&#10;AA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en-US" w:eastAsia="zh-CN"/>
        </w:rPr>
        <mc:AlternateContent>
          <mc:Choice Requires="wps">
            <w:drawing>
              <wp:anchor distT="0" distB="0" distL="114300" distR="114300" simplePos="0" relativeHeight="251672576" behindDoc="0" locked="0" layoutInCell="0" allowOverlap="1">
                <wp:simplePos x="0" y="0"/>
                <wp:positionH relativeFrom="column">
                  <wp:posOffset>152400</wp:posOffset>
                </wp:positionH>
                <wp:positionV relativeFrom="paragraph">
                  <wp:posOffset>251460</wp:posOffset>
                </wp:positionV>
                <wp:extent cx="635" cy="0"/>
                <wp:effectExtent l="0" t="0" r="0" b="0"/>
                <wp:wrapNone/>
                <wp:docPr id="14" name="直线 284"/>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284" o:spid="_x0000_s1026" o:spt="20" style="position:absolute;left:0pt;margin-left:12pt;margin-top:19.8pt;height:0pt;width:0.05pt;z-index:251672576;mso-width-relative:page;mso-height-relative:page;" filled="f" stroked="t" coordsize="21600,21600" o:allowincell="f" o:gfxdata="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i3Ll01AAAAAcB&#10;AAAPAAAAAAAAAAEAIAAAACIAAABkcnMvZG93bnJldi54bWxQSwECFAAUAAAACACHTuJA5xcQl+YB&#10;AADaAwAADgAAAAAAAAABACAAAAAjAQAAZHJzL2Uyb0RvYy54bWxQSwUGAAAAAAYABgBZAQAAewUA&#10;AA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en-US" w:eastAsia="zh-CN"/>
        </w:rPr>
        <mc:AlternateContent>
          <mc:Choice Requires="wps">
            <w:drawing>
              <wp:anchor distT="0" distB="0" distL="114300" distR="114300" simplePos="0" relativeHeight="251673600" behindDoc="0" locked="0" layoutInCell="0" allowOverlap="1">
                <wp:simplePos x="0" y="0"/>
                <wp:positionH relativeFrom="column">
                  <wp:posOffset>152400</wp:posOffset>
                </wp:positionH>
                <wp:positionV relativeFrom="paragraph">
                  <wp:posOffset>251460</wp:posOffset>
                </wp:positionV>
                <wp:extent cx="635" cy="0"/>
                <wp:effectExtent l="0" t="0" r="0" b="0"/>
                <wp:wrapNone/>
                <wp:docPr id="15" name="直线 285"/>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285" o:spid="_x0000_s1026" o:spt="20" style="position:absolute;left:0pt;margin-left:12pt;margin-top:19.8pt;height:0pt;width:0.05pt;z-index:251673600;mso-width-relative:page;mso-height-relative:page;" filled="f" stroked="t" coordsize="21600,21600" o:allowincell="f" o:gfxdata="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OLcuXTUAAAABwEA&#10;AA8AAAAAAAAAAQAgAAAAIgAAAGRycy9kb3ducmV2LnhtbFBLAQIUABQAAAAIAIdO4kAgzC+s5QEA&#10;ANoDAAAOAAAAAAAAAAEAIAAAACMBAABkcnMvZTJvRG9jLnhtbFBLBQYAAAAABgAGAFkBAAB6BQAA&#10;A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en-US" w:eastAsia="zh-CN"/>
        </w:rPr>
        <mc:AlternateContent>
          <mc:Choice Requires="wps">
            <w:drawing>
              <wp:anchor distT="0" distB="0" distL="114300" distR="114300" simplePos="0" relativeHeight="251668480" behindDoc="0" locked="0" layoutInCell="0" allowOverlap="1">
                <wp:simplePos x="0" y="0"/>
                <wp:positionH relativeFrom="column">
                  <wp:posOffset>0</wp:posOffset>
                </wp:positionH>
                <wp:positionV relativeFrom="paragraph">
                  <wp:posOffset>99060</wp:posOffset>
                </wp:positionV>
                <wp:extent cx="635" cy="0"/>
                <wp:effectExtent l="0" t="0" r="0" b="0"/>
                <wp:wrapNone/>
                <wp:docPr id="10" name="直线 277"/>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277" o:spid="_x0000_s1026" o:spt="20" style="position:absolute;left:0pt;margin-left:0pt;margin-top:7.8pt;height:0pt;width:0.05pt;z-index:251668480;mso-width-relative:page;mso-height-relative:page;" filled="f" stroked="t" coordsize="21600,21600" o:allowincell="f" o:gfxdata="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1aDNZdAAAAADAQAADwAA&#10;AAAAAAABACAAAAAiAAAAZHJzL2Rvd25yZXYueG1sUEsBAhQAFAAAAAgAh07iQKIdwRHlAQAA2gMA&#10;AA4AAAAAAAAAAQAgAAAAHwEAAGRycy9lMm9Eb2MueG1sUEsFBgAAAAAGAAYAWQEAAHYFAAAA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en-US" w:eastAsia="zh-CN"/>
        </w:rPr>
        <mc:AlternateContent>
          <mc:Choice Requires="wps">
            <w:drawing>
              <wp:anchor distT="0" distB="0" distL="114300" distR="114300" simplePos="0" relativeHeight="251669504" behindDoc="0" locked="0" layoutInCell="0" allowOverlap="1">
                <wp:simplePos x="0" y="0"/>
                <wp:positionH relativeFrom="column">
                  <wp:posOffset>0</wp:posOffset>
                </wp:positionH>
                <wp:positionV relativeFrom="paragraph">
                  <wp:posOffset>99060</wp:posOffset>
                </wp:positionV>
                <wp:extent cx="635" cy="0"/>
                <wp:effectExtent l="0" t="0" r="0" b="0"/>
                <wp:wrapNone/>
                <wp:docPr id="11" name="直线 278"/>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278" o:spid="_x0000_s1026" o:spt="20" style="position:absolute;left:0pt;margin-left:0pt;margin-top:7.8pt;height:0pt;width:0.05pt;z-index:251669504;mso-width-relative:page;mso-height-relative:page;" filled="f" stroked="t" coordsize="21600,21600" o:allowincell="f" o:gfxdata="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NWgzWXQAAAAAwEAAA8A&#10;AAAAAAAAAQAgAAAAIgAAAGRycy9kb3ducmV2LnhtbFBLAQIUABQAAAAIAIdO4kD3fQOC5gEAANoD&#10;AAAOAAAAAAAAAAEAIAAAAB8BAABkcnMvZTJvRG9jLnhtbFBLBQYAAAAABgAGAFkBAAB3BQAAA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en-US" w:eastAsia="zh-CN"/>
        </w:rPr>
        <mc:AlternateContent>
          <mc:Choice Requires="wps">
            <w:drawing>
              <wp:anchor distT="0" distB="0" distL="114300" distR="114300" simplePos="0" relativeHeight="251670528" behindDoc="0" locked="0" layoutInCell="0" allowOverlap="1">
                <wp:simplePos x="0" y="0"/>
                <wp:positionH relativeFrom="column">
                  <wp:posOffset>0</wp:posOffset>
                </wp:positionH>
                <wp:positionV relativeFrom="paragraph">
                  <wp:posOffset>99060</wp:posOffset>
                </wp:positionV>
                <wp:extent cx="635" cy="0"/>
                <wp:effectExtent l="0" t="0" r="0" b="0"/>
                <wp:wrapNone/>
                <wp:docPr id="12" name="直线 279"/>
                <wp:cNvGraphicFramePr/>
                <a:graphic xmlns:a="http://schemas.openxmlformats.org/drawingml/2006/main">
                  <a:graphicData uri="http://schemas.microsoft.com/office/word/2010/wordprocessingShape">
                    <wps:wsp>
                      <wps:cNvSpPr/>
                      <wps:spPr>
                        <a:xfrm>
                          <a:off x="0" y="0"/>
                          <a:ext cx="63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279" o:spid="_x0000_s1026" o:spt="20" style="position:absolute;left:0pt;margin-left:0pt;margin-top:7.8pt;height:0pt;width:0.05pt;z-index:251670528;mso-width-relative:page;mso-height-relative:page;" filled="f" stroked="t" coordsize="21600,21600" o:allowincell="f" o:gfxdata="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NWgzWXQAAAAAwEAAA8A&#10;AAAAAAAAAQAgAAAAIgAAAGRycy9kb3ducmV2LnhtbFBLAQIUABQAAAAIAIdO4kAV91c45gEAANoD&#10;AAAOAAAAAAAAAAEAIAAAAB8BAABkcnMvZTJvRG9jLnhtbFBLBQYAAAAABgAGAFkBAAB3BQAAAAA=&#10;">
                <v:fill on="f" focussize="0,0"/>
                <v:stroke color="#000000" joinstyle="round"/>
                <v:imagedata o:title=""/>
                <o:lock v:ext="edit" aspectratio="f"/>
              </v:line>
            </w:pict>
          </mc:Fallback>
        </mc:AlternateContent>
      </w:r>
      <w:r>
        <w:rPr>
          <w:rFonts w:hint="default" w:ascii="Times New Roman" w:hAnsi="Times New Roman" w:eastAsia="仿宋_GB2312" w:cs="Times New Roman"/>
          <w:sz w:val="28"/>
          <w:szCs w:val="32"/>
          <w:lang w:val="zh-CN" w:eastAsia="zh-CN"/>
        </w:rPr>
        <w:t>》</w:t>
      </w:r>
      <w:r>
        <w:rPr>
          <w:rFonts w:hint="default" w:ascii="Times New Roman" w:hAnsi="Times New Roman" w:eastAsia="仿宋_GB2312" w:cs="Times New Roman"/>
          <w:sz w:val="28"/>
          <w:szCs w:val="32"/>
          <w:lang w:val="en-US" w:eastAsia="zh-CN"/>
        </w:rPr>
        <w:t>，</w:t>
      </w:r>
      <w:r>
        <w:rPr>
          <w:rFonts w:hint="eastAsia" w:ascii="Times New Roman" w:hAnsi="Times New Roman" w:eastAsia="仿宋_GB2312" w:cs="Times New Roman"/>
          <w:sz w:val="28"/>
          <w:szCs w:val="32"/>
          <w:lang w:val="en-US" w:eastAsia="zh-CN"/>
        </w:rPr>
        <w:t>团体标准《辐射事故应急演习评估导则》</w:t>
      </w:r>
      <w:r>
        <w:rPr>
          <w:rFonts w:hint="default" w:ascii="Times New Roman" w:hAnsi="Times New Roman" w:eastAsia="仿宋_GB2312" w:cs="Times New Roman"/>
          <w:sz w:val="28"/>
          <w:szCs w:val="32"/>
          <w:lang w:val="en-US" w:eastAsia="zh-CN"/>
        </w:rPr>
        <w:t>获立项批准，标准</w:t>
      </w:r>
      <w:r>
        <w:rPr>
          <w:rFonts w:hint="eastAsia" w:ascii="Times New Roman" w:hAnsi="Times New Roman" w:eastAsia="仿宋_GB2312" w:cs="Times New Roman"/>
          <w:sz w:val="28"/>
          <w:szCs w:val="32"/>
          <w:lang w:val="en-US" w:eastAsia="zh-CN"/>
        </w:rPr>
        <w:t>编制组</w:t>
      </w:r>
      <w:r>
        <w:rPr>
          <w:rFonts w:hint="default" w:ascii="Times New Roman" w:hAnsi="Times New Roman" w:eastAsia="仿宋_GB2312" w:cs="Times New Roman"/>
          <w:sz w:val="28"/>
          <w:szCs w:val="32"/>
          <w:lang w:val="en-US" w:eastAsia="zh-CN"/>
        </w:rPr>
        <w:t>在前期工作的基础之上，整合</w:t>
      </w:r>
      <w:r>
        <w:rPr>
          <w:rFonts w:hint="eastAsia" w:ascii="Times New Roman" w:hAnsi="Times New Roman" w:eastAsia="仿宋_GB2312" w:cs="Times New Roman"/>
          <w:sz w:val="28"/>
          <w:szCs w:val="32"/>
          <w:lang w:val="en-US" w:eastAsia="zh-CN"/>
        </w:rPr>
        <w:t>辐射事故应急演习评估</w:t>
      </w:r>
      <w:r>
        <w:rPr>
          <w:rFonts w:hint="default" w:ascii="Times New Roman" w:hAnsi="Times New Roman" w:eastAsia="仿宋_GB2312" w:cs="Times New Roman"/>
          <w:sz w:val="28"/>
          <w:szCs w:val="32"/>
          <w:lang w:val="en-US" w:eastAsia="zh-CN"/>
        </w:rPr>
        <w:t>参考资料</w:t>
      </w:r>
      <w:r>
        <w:rPr>
          <w:rFonts w:hint="eastAsia" w:ascii="Times New Roman" w:hAnsi="Times New Roman" w:eastAsia="仿宋_GB2312" w:cs="Times New Roman"/>
          <w:sz w:val="28"/>
          <w:szCs w:val="32"/>
          <w:lang w:val="en-US" w:eastAsia="zh-CN"/>
        </w:rPr>
        <w:t>及评估经验</w:t>
      </w:r>
      <w:r>
        <w:rPr>
          <w:rFonts w:hint="default" w:ascii="Times New Roman" w:hAnsi="Times New Roman" w:eastAsia="仿宋_GB2312" w:cs="Times New Roman"/>
          <w:sz w:val="28"/>
          <w:szCs w:val="32"/>
          <w:lang w:val="en-US" w:eastAsia="zh-CN"/>
        </w:rPr>
        <w:t>，</w:t>
      </w:r>
      <w:r>
        <w:rPr>
          <w:rFonts w:hint="eastAsia" w:ascii="Times New Roman" w:hAnsi="Times New Roman" w:eastAsia="仿宋_GB2312" w:cs="Times New Roman"/>
          <w:sz w:val="28"/>
          <w:szCs w:val="32"/>
          <w:lang w:val="en-US" w:eastAsia="zh-CN"/>
        </w:rPr>
        <w:t>凝练出辐射事故应急演习评估的工作特点和特色评价指标需求，</w:t>
      </w:r>
      <w:r>
        <w:rPr>
          <w:rFonts w:hint="default" w:ascii="Times New Roman" w:hAnsi="Times New Roman" w:eastAsia="仿宋_GB2312" w:cs="Times New Roman"/>
          <w:sz w:val="28"/>
          <w:szCs w:val="32"/>
          <w:lang w:val="en-US" w:eastAsia="zh-CN"/>
        </w:rPr>
        <w:t>理清逻辑脉络按照简化、统一等原则编制完成团体标准</w:t>
      </w:r>
      <w:r>
        <w:rPr>
          <w:rFonts w:hint="eastAsia" w:ascii="Times New Roman" w:hAnsi="Times New Roman" w:eastAsia="仿宋_GB2312" w:cs="Times New Roman"/>
          <w:sz w:val="28"/>
          <w:szCs w:val="32"/>
          <w:lang w:val="en-US" w:eastAsia="zh-CN"/>
        </w:rPr>
        <w:t>《辐射事故应急演习评估导则》</w:t>
      </w:r>
      <w:r>
        <w:rPr>
          <w:rFonts w:hint="default" w:ascii="Times New Roman" w:hAnsi="Times New Roman" w:eastAsia="仿宋_GB2312" w:cs="Times New Roman"/>
          <w:sz w:val="28"/>
          <w:szCs w:val="32"/>
          <w:lang w:val="en-US" w:eastAsia="zh-CN"/>
        </w:rPr>
        <w:t>（</w:t>
      </w:r>
      <w:r>
        <w:rPr>
          <w:rFonts w:hint="eastAsia" w:ascii="Times New Roman" w:hAnsi="Times New Roman" w:eastAsia="仿宋_GB2312" w:cs="Times New Roman"/>
          <w:sz w:val="28"/>
          <w:szCs w:val="32"/>
          <w:lang w:val="en-US" w:eastAsia="zh-CN"/>
        </w:rPr>
        <w:t>草案</w:t>
      </w:r>
      <w:r>
        <w:rPr>
          <w:rFonts w:hint="default" w:ascii="Times New Roman" w:hAnsi="Times New Roman" w:eastAsia="仿宋_GB2312" w:cs="Times New Roman"/>
          <w:sz w:val="28"/>
          <w:szCs w:val="32"/>
          <w:lang w:val="en-US" w:eastAsia="zh-CN"/>
        </w:rPr>
        <w:t>）。</w:t>
      </w:r>
    </w:p>
    <w:p>
      <w:pPr>
        <w:spacing w:line="500" w:lineRule="exact"/>
        <w:ind w:firstLine="560" w:firstLineChars="200"/>
        <w:rPr>
          <w:rFonts w:hint="default" w:ascii="Times New Roman" w:hAnsi="Times New Roman" w:eastAsia="仿宋_GB2312" w:cs="Times New Roman"/>
          <w:sz w:val="28"/>
          <w:szCs w:val="32"/>
          <w:lang w:val="en-US" w:eastAsia="zh-CN"/>
        </w:rPr>
      </w:pPr>
      <w:r>
        <w:rPr>
          <w:rFonts w:hint="default" w:ascii="Times New Roman" w:hAnsi="Times New Roman" w:eastAsia="仿宋_GB2312" w:cs="Times New Roman"/>
          <w:sz w:val="28"/>
          <w:szCs w:val="32"/>
          <w:lang w:val="en-US" w:eastAsia="zh-CN"/>
        </w:rPr>
        <w:t>202</w:t>
      </w:r>
      <w:r>
        <w:rPr>
          <w:rFonts w:hint="eastAsia" w:ascii="Times New Roman" w:hAnsi="Times New Roman" w:eastAsia="仿宋_GB2312" w:cs="Times New Roman"/>
          <w:sz w:val="28"/>
          <w:szCs w:val="32"/>
          <w:lang w:val="en-US" w:eastAsia="zh-CN"/>
        </w:rPr>
        <w:t>5</w:t>
      </w:r>
      <w:r>
        <w:rPr>
          <w:rFonts w:hint="default" w:ascii="Times New Roman" w:hAnsi="Times New Roman" w:eastAsia="仿宋_GB2312" w:cs="Times New Roman"/>
          <w:sz w:val="28"/>
          <w:szCs w:val="32"/>
          <w:lang w:val="en-US" w:eastAsia="zh-CN"/>
        </w:rPr>
        <w:t>年</w:t>
      </w:r>
      <w:r>
        <w:rPr>
          <w:rFonts w:hint="eastAsia" w:ascii="Times New Roman" w:hAnsi="Times New Roman" w:eastAsia="仿宋_GB2312" w:cs="Times New Roman"/>
          <w:sz w:val="28"/>
          <w:szCs w:val="32"/>
          <w:lang w:val="en-US" w:eastAsia="zh-CN"/>
        </w:rPr>
        <w:t>9月</w:t>
      </w:r>
      <w:r>
        <w:rPr>
          <w:rFonts w:hint="default" w:ascii="Times New Roman" w:hAnsi="Times New Roman" w:eastAsia="仿宋_GB2312" w:cs="Times New Roman"/>
          <w:sz w:val="28"/>
          <w:szCs w:val="32"/>
          <w:lang w:val="en-US" w:eastAsia="zh-CN"/>
        </w:rPr>
        <w:t>，标准编制工作组组织内部相关领域专家对团体标准《</w:t>
      </w:r>
      <w:r>
        <w:rPr>
          <w:rFonts w:hint="eastAsia" w:ascii="Times New Roman" w:hAnsi="Times New Roman" w:eastAsia="仿宋_GB2312" w:cs="Times New Roman"/>
          <w:sz w:val="28"/>
          <w:szCs w:val="32"/>
          <w:lang w:val="en-US" w:eastAsia="zh-CN"/>
        </w:rPr>
        <w:t>辐射事故应急演习评估导则</w:t>
      </w:r>
      <w:r>
        <w:rPr>
          <w:rFonts w:hint="default" w:ascii="Times New Roman" w:hAnsi="Times New Roman" w:eastAsia="仿宋_GB2312" w:cs="Times New Roman"/>
          <w:sz w:val="28"/>
          <w:szCs w:val="32"/>
          <w:lang w:val="en-US" w:eastAsia="zh-CN"/>
        </w:rPr>
        <w:t>》（草案）进行征求意见。经过多次讨论、研究</w:t>
      </w:r>
      <w:r>
        <w:rPr>
          <w:rFonts w:hint="eastAsia" w:ascii="Times New Roman" w:hAnsi="Times New Roman" w:eastAsia="仿宋_GB2312" w:cs="Times New Roman"/>
          <w:sz w:val="28"/>
          <w:szCs w:val="32"/>
          <w:lang w:val="en-US" w:eastAsia="zh-CN"/>
        </w:rPr>
        <w:t>和修订完善</w:t>
      </w:r>
      <w:r>
        <w:rPr>
          <w:rFonts w:hint="default" w:ascii="Times New Roman" w:hAnsi="Times New Roman" w:eastAsia="仿宋_GB2312" w:cs="Times New Roman"/>
          <w:sz w:val="28"/>
          <w:szCs w:val="32"/>
          <w:lang w:val="en-US" w:eastAsia="zh-CN"/>
        </w:rPr>
        <w:t>，最终形成团体标准《</w:t>
      </w:r>
      <w:r>
        <w:rPr>
          <w:rFonts w:hint="eastAsia" w:ascii="Times New Roman" w:hAnsi="Times New Roman" w:eastAsia="仿宋_GB2312" w:cs="Times New Roman"/>
          <w:sz w:val="28"/>
          <w:szCs w:val="32"/>
          <w:lang w:val="en-US" w:eastAsia="zh-CN"/>
        </w:rPr>
        <w:t>辐射事故应急演习评估导则</w:t>
      </w:r>
      <w:r>
        <w:rPr>
          <w:rFonts w:hint="default" w:ascii="Times New Roman" w:hAnsi="Times New Roman" w:eastAsia="仿宋_GB2312" w:cs="Times New Roman"/>
          <w:sz w:val="28"/>
          <w:szCs w:val="32"/>
          <w:lang w:val="en-US" w:eastAsia="zh-CN"/>
        </w:rPr>
        <w:t>》（征求意见稿）和编制说明。</w:t>
      </w:r>
    </w:p>
    <w:p>
      <w:pPr>
        <w:pStyle w:val="3"/>
        <w:pageBreakBefore w:val="0"/>
        <w:numPr>
          <w:ilvl w:val="0"/>
          <w:numId w:val="0"/>
        </w:numPr>
        <w:kinsoku/>
        <w:wordWrap/>
        <w:overflowPunct/>
        <w:topLinePunct w:val="0"/>
        <w:bidi w:val="0"/>
        <w:snapToGrid/>
        <w:spacing w:line="600" w:lineRule="exact"/>
        <w:ind w:leftChars="0"/>
        <w:textAlignment w:val="auto"/>
        <w:rPr>
          <w:rFonts w:hint="default" w:ascii="Times New Roman" w:hAnsi="Times New Roman" w:cs="Times New Roman"/>
          <w:bCs/>
          <w:color w:val="auto"/>
          <w:sz w:val="32"/>
          <w:szCs w:val="32"/>
          <w:highlight w:val="none"/>
          <w:lang w:val="zh-CN" w:eastAsia="zh-CN"/>
        </w:rPr>
      </w:pPr>
      <w:r>
        <w:rPr>
          <w:rFonts w:hint="eastAsia" w:ascii="Times New Roman" w:hAnsi="Times New Roman" w:cs="Times New Roman"/>
          <w:bCs/>
          <w:color w:val="auto"/>
          <w:sz w:val="32"/>
          <w:szCs w:val="32"/>
          <w:highlight w:val="none"/>
          <w:lang w:val="zh-CN" w:eastAsia="zh-CN"/>
        </w:rPr>
        <w:t>四、</w:t>
      </w:r>
      <w:r>
        <w:rPr>
          <w:rFonts w:hint="default" w:ascii="Times New Roman" w:hAnsi="Times New Roman" w:cs="Times New Roman"/>
          <w:bCs/>
          <w:color w:val="auto"/>
          <w:sz w:val="32"/>
          <w:szCs w:val="32"/>
          <w:highlight w:val="none"/>
          <w:lang w:val="zh-CN" w:eastAsia="zh-CN"/>
        </w:rPr>
        <w:t>制定标准的原则和依据，与现行法律、法规的关系，与有关国家标准、行业标准的协调情况</w:t>
      </w:r>
    </w:p>
    <w:p>
      <w:pPr>
        <w:ind w:firstLine="640" w:firstLineChars="200"/>
        <w:outlineLvl w:val="1"/>
        <w:rPr>
          <w:rFonts w:hint="default" w:ascii="Times New Roman" w:hAnsi="Times New Roman" w:eastAsia="楷体_GB2312" w:cs="Times New Roman"/>
          <w:sz w:val="32"/>
          <w:szCs w:val="32"/>
          <w:lang w:eastAsia="zh-CN"/>
        </w:rPr>
      </w:pPr>
      <w:r>
        <w:rPr>
          <w:rFonts w:hint="default" w:ascii="Times New Roman" w:hAnsi="Times New Roman" w:eastAsia="楷体_GB2312" w:cs="Times New Roman"/>
          <w:sz w:val="32"/>
          <w:szCs w:val="32"/>
          <w:lang w:eastAsia="zh-CN"/>
        </w:rPr>
        <w:t>（一）编制原则</w:t>
      </w:r>
    </w:p>
    <w:p>
      <w:pPr>
        <w:pStyle w:val="4"/>
        <w:pageBreakBefore w:val="0"/>
        <w:kinsoku/>
        <w:wordWrap/>
        <w:overflowPunct/>
        <w:topLinePunct w:val="0"/>
        <w:bidi w:val="0"/>
        <w:snapToGrid/>
        <w:spacing w:line="600" w:lineRule="exact"/>
        <w:textAlignment w:val="auto"/>
        <w:rPr>
          <w:rFonts w:hint="default" w:ascii="Times New Roman" w:hAnsi="Times New Roman" w:eastAsia="仿宋_GB2312" w:cs="Times New Roman"/>
          <w:b w:val="0"/>
          <w:bCs w:val="0"/>
          <w:kern w:val="2"/>
          <w:sz w:val="28"/>
          <w:szCs w:val="32"/>
          <w:lang w:val="en-US" w:eastAsia="zh-CN" w:bidi="ar-SA"/>
        </w:rPr>
      </w:pPr>
      <w:bookmarkStart w:id="21" w:name="_Toc5877"/>
      <w:bookmarkStart w:id="22" w:name="_Toc8552"/>
      <w:bookmarkStart w:id="23" w:name="_Toc6829"/>
      <w:r>
        <w:rPr>
          <w:rFonts w:hint="eastAsia" w:ascii="Times New Roman" w:hAnsi="Times New Roman" w:eastAsia="仿宋_GB2312" w:cs="Times New Roman"/>
          <w:b w:val="0"/>
          <w:bCs w:val="0"/>
          <w:kern w:val="2"/>
          <w:sz w:val="28"/>
          <w:szCs w:val="32"/>
          <w:lang w:val="en-US" w:eastAsia="zh-CN" w:bidi="ar-SA"/>
        </w:rPr>
        <w:t>1.</w:t>
      </w:r>
      <w:r>
        <w:rPr>
          <w:rFonts w:hint="default" w:ascii="Times New Roman" w:hAnsi="Times New Roman" w:eastAsia="仿宋_GB2312" w:cs="Times New Roman"/>
          <w:b w:val="0"/>
          <w:bCs w:val="0"/>
          <w:kern w:val="2"/>
          <w:sz w:val="28"/>
          <w:szCs w:val="32"/>
          <w:lang w:val="en-US" w:eastAsia="zh-CN" w:bidi="ar-SA"/>
        </w:rPr>
        <w:t>实用性原则</w:t>
      </w:r>
      <w:bookmarkEnd w:id="21"/>
      <w:bookmarkEnd w:id="22"/>
      <w:bookmarkEnd w:id="23"/>
    </w:p>
    <w:p>
      <w:pPr>
        <w:spacing w:line="500" w:lineRule="exact"/>
        <w:ind w:firstLine="560" w:firstLineChars="200"/>
        <w:rPr>
          <w:rFonts w:hint="default" w:ascii="Times New Roman" w:hAnsi="Times New Roman" w:eastAsia="仿宋_GB2312" w:cs="Times New Roman"/>
          <w:sz w:val="28"/>
          <w:szCs w:val="32"/>
          <w:lang w:val="en-US" w:eastAsia="zh-CN"/>
        </w:rPr>
      </w:pPr>
      <w:r>
        <w:rPr>
          <w:rFonts w:hint="eastAsia" w:ascii="Calibri" w:hAnsi="Calibri" w:eastAsia="仿宋_GB2312" w:cs="Times New Roman"/>
          <w:kern w:val="0"/>
          <w:sz w:val="28"/>
          <w:szCs w:val="24"/>
        </w:rPr>
        <w:t>本标准是在充分收集相关资料和文献，</w:t>
      </w:r>
      <w:r>
        <w:rPr>
          <w:rFonts w:ascii="Calibri" w:hAnsi="Calibri" w:eastAsia="仿宋_GB2312" w:cs="Times New Roman"/>
          <w:kern w:val="0"/>
          <w:sz w:val="28"/>
          <w:szCs w:val="24"/>
        </w:rPr>
        <w:t>以规范</w:t>
      </w:r>
      <w:r>
        <w:rPr>
          <w:rFonts w:hint="eastAsia" w:ascii="Calibri" w:hAnsi="Calibri" w:eastAsia="仿宋_GB2312" w:cs="Times New Roman"/>
          <w:kern w:val="0"/>
          <w:sz w:val="28"/>
          <w:szCs w:val="24"/>
          <w:lang w:val="en-US" w:eastAsia="zh-CN"/>
        </w:rPr>
        <w:t>辐射事故应急演习评估工作，结合广西壮族自治区辐射环境监督管理站多年来组织省级辐射事故应急综合演习、专项演习、单项演练的经验，以及组织开展市级辐射事故应急演习评估的工作经验而总结起草的。</w:t>
      </w:r>
      <w:r>
        <w:rPr>
          <w:rFonts w:hint="eastAsia" w:ascii="Calibri" w:hAnsi="Calibri" w:eastAsia="仿宋_GB2312" w:cs="Times New Roman"/>
          <w:kern w:val="0"/>
          <w:sz w:val="28"/>
          <w:szCs w:val="24"/>
        </w:rPr>
        <w:t>符合当前</w:t>
      </w:r>
      <w:r>
        <w:rPr>
          <w:rFonts w:hint="eastAsia" w:ascii="Calibri" w:hAnsi="Calibri" w:eastAsia="仿宋_GB2312" w:cs="Times New Roman"/>
          <w:kern w:val="0"/>
          <w:sz w:val="28"/>
          <w:szCs w:val="24"/>
          <w:lang w:val="en-US" w:eastAsia="zh-CN"/>
        </w:rPr>
        <w:t>辐射事故应急演习评估的</w:t>
      </w:r>
      <w:r>
        <w:rPr>
          <w:rFonts w:hint="eastAsia" w:ascii="Calibri" w:hAnsi="Calibri" w:eastAsia="仿宋_GB2312" w:cs="Times New Roman"/>
          <w:kern w:val="0"/>
          <w:sz w:val="28"/>
          <w:szCs w:val="24"/>
        </w:rPr>
        <w:t>实际需求，有利于</w:t>
      </w:r>
      <w:r>
        <w:rPr>
          <w:rFonts w:hint="eastAsia" w:ascii="Calibri" w:hAnsi="Calibri" w:eastAsia="仿宋_GB2312" w:cs="Times New Roman"/>
          <w:kern w:val="0"/>
          <w:sz w:val="28"/>
          <w:szCs w:val="24"/>
          <w:lang w:val="en-US" w:eastAsia="zh-CN"/>
        </w:rPr>
        <w:t>辐射事故应急演习评估</w:t>
      </w:r>
      <w:r>
        <w:rPr>
          <w:rFonts w:hint="eastAsia" w:ascii="Calibri" w:hAnsi="Calibri" w:eastAsia="仿宋_GB2312" w:cs="Times New Roman"/>
          <w:kern w:val="0"/>
          <w:sz w:val="28"/>
          <w:szCs w:val="24"/>
        </w:rPr>
        <w:t>的规范化</w:t>
      </w:r>
      <w:r>
        <w:rPr>
          <w:rFonts w:hint="eastAsia" w:ascii="Calibri" w:hAnsi="Calibri" w:eastAsia="仿宋_GB2312" w:cs="Times New Roman"/>
          <w:kern w:val="0"/>
          <w:sz w:val="28"/>
          <w:szCs w:val="24"/>
          <w:lang w:eastAsia="zh-CN"/>
        </w:rPr>
        <w:t>、</w:t>
      </w:r>
      <w:r>
        <w:rPr>
          <w:rFonts w:hint="eastAsia" w:ascii="Calibri" w:hAnsi="Calibri" w:eastAsia="仿宋_GB2312" w:cs="Times New Roman"/>
          <w:kern w:val="0"/>
          <w:sz w:val="28"/>
          <w:szCs w:val="24"/>
          <w:lang w:val="en-US" w:eastAsia="zh-CN"/>
        </w:rPr>
        <w:t>科学化</w:t>
      </w:r>
      <w:r>
        <w:rPr>
          <w:rFonts w:hint="eastAsia" w:ascii="Calibri" w:hAnsi="Calibri" w:eastAsia="仿宋_GB2312" w:cs="Times New Roman"/>
          <w:kern w:val="0"/>
          <w:sz w:val="28"/>
          <w:szCs w:val="24"/>
        </w:rPr>
        <w:t>。</w:t>
      </w:r>
    </w:p>
    <w:p>
      <w:pPr>
        <w:pStyle w:val="4"/>
        <w:pageBreakBefore w:val="0"/>
        <w:kinsoku/>
        <w:wordWrap/>
        <w:overflowPunct/>
        <w:topLinePunct w:val="0"/>
        <w:bidi w:val="0"/>
        <w:snapToGrid/>
        <w:spacing w:line="600" w:lineRule="exact"/>
        <w:textAlignment w:val="auto"/>
        <w:rPr>
          <w:rFonts w:hint="default" w:ascii="Times New Roman" w:hAnsi="Times New Roman" w:eastAsia="仿宋_GB2312" w:cs="Times New Roman"/>
          <w:b w:val="0"/>
          <w:bCs w:val="0"/>
          <w:kern w:val="2"/>
          <w:sz w:val="28"/>
          <w:szCs w:val="32"/>
          <w:lang w:val="en-US" w:eastAsia="zh-CN" w:bidi="ar-SA"/>
        </w:rPr>
      </w:pPr>
      <w:bookmarkStart w:id="24" w:name="_Toc32244"/>
      <w:bookmarkStart w:id="25" w:name="_Toc6448"/>
      <w:bookmarkStart w:id="26" w:name="_Toc15289"/>
      <w:r>
        <w:rPr>
          <w:rFonts w:hint="eastAsia" w:ascii="Times New Roman" w:hAnsi="Times New Roman" w:eastAsia="仿宋_GB2312" w:cs="Times New Roman"/>
          <w:b w:val="0"/>
          <w:bCs w:val="0"/>
          <w:kern w:val="2"/>
          <w:sz w:val="28"/>
          <w:szCs w:val="32"/>
          <w:lang w:val="en-US" w:eastAsia="zh-CN" w:bidi="ar-SA"/>
        </w:rPr>
        <w:t>2.</w:t>
      </w:r>
      <w:r>
        <w:rPr>
          <w:rFonts w:hint="default" w:ascii="Times New Roman" w:hAnsi="Times New Roman" w:eastAsia="仿宋_GB2312" w:cs="Times New Roman"/>
          <w:b w:val="0"/>
          <w:bCs w:val="0"/>
          <w:kern w:val="2"/>
          <w:sz w:val="28"/>
          <w:szCs w:val="32"/>
          <w:lang w:val="en-US" w:eastAsia="zh-CN" w:bidi="ar-SA"/>
        </w:rPr>
        <w:t>协调性原则</w:t>
      </w:r>
      <w:bookmarkEnd w:id="24"/>
      <w:bookmarkEnd w:id="25"/>
      <w:bookmarkEnd w:id="26"/>
    </w:p>
    <w:p>
      <w:pPr>
        <w:spacing w:line="500" w:lineRule="exact"/>
        <w:ind w:firstLine="560" w:firstLineChars="200"/>
        <w:rPr>
          <w:rFonts w:hint="default" w:ascii="Times New Roman" w:hAnsi="Times New Roman" w:eastAsia="仿宋_GB2312" w:cs="Times New Roman"/>
          <w:sz w:val="28"/>
          <w:szCs w:val="32"/>
          <w:lang w:val="en-US" w:eastAsia="zh-CN"/>
        </w:rPr>
      </w:pPr>
      <w:r>
        <w:rPr>
          <w:rFonts w:hint="default" w:ascii="Times New Roman" w:hAnsi="Times New Roman" w:eastAsia="仿宋_GB2312" w:cs="Times New Roman"/>
          <w:sz w:val="28"/>
          <w:szCs w:val="32"/>
          <w:lang w:val="en-US" w:eastAsia="zh-CN"/>
        </w:rPr>
        <w:t>本文件编写过程中</w:t>
      </w:r>
      <w:r>
        <w:rPr>
          <w:rFonts w:hint="eastAsia" w:ascii="Times New Roman" w:hAnsi="Times New Roman" w:eastAsia="仿宋_GB2312" w:cs="Times New Roman"/>
          <w:sz w:val="28"/>
          <w:szCs w:val="32"/>
          <w:lang w:val="en-US" w:eastAsia="zh-CN"/>
        </w:rPr>
        <w:t>充分关注</w:t>
      </w:r>
      <w:r>
        <w:rPr>
          <w:rFonts w:hint="default" w:ascii="Times New Roman" w:hAnsi="Times New Roman" w:eastAsia="仿宋_GB2312" w:cs="Times New Roman"/>
          <w:sz w:val="28"/>
          <w:szCs w:val="32"/>
          <w:lang w:val="en-US" w:eastAsia="zh-CN"/>
        </w:rPr>
        <w:t>了</w:t>
      </w:r>
      <w:r>
        <w:rPr>
          <w:rFonts w:hint="eastAsia" w:ascii="Times New Roman" w:hAnsi="Times New Roman" w:eastAsia="仿宋_GB2312" w:cs="Times New Roman"/>
          <w:sz w:val="28"/>
          <w:szCs w:val="32"/>
          <w:lang w:val="en-US" w:eastAsia="zh-CN"/>
        </w:rPr>
        <w:t>辐射事故应急演习评估要求与</w:t>
      </w:r>
      <w:r>
        <w:rPr>
          <w:rFonts w:hint="default" w:ascii="Times New Roman" w:hAnsi="Times New Roman" w:eastAsia="仿宋_GB2312" w:cs="Times New Roman"/>
          <w:sz w:val="28"/>
          <w:szCs w:val="32"/>
          <w:lang w:val="en-US" w:eastAsia="zh-CN"/>
        </w:rPr>
        <w:t>法律法规的协调问题，在内容上与现行法律法规、标准协调一致。</w:t>
      </w:r>
    </w:p>
    <w:p>
      <w:pPr>
        <w:pStyle w:val="4"/>
        <w:pageBreakBefore w:val="0"/>
        <w:kinsoku/>
        <w:wordWrap/>
        <w:overflowPunct/>
        <w:topLinePunct w:val="0"/>
        <w:bidi w:val="0"/>
        <w:snapToGrid/>
        <w:spacing w:line="600" w:lineRule="exact"/>
        <w:textAlignment w:val="auto"/>
        <w:rPr>
          <w:rFonts w:hint="default" w:ascii="Times New Roman" w:hAnsi="Times New Roman" w:eastAsia="仿宋_GB2312" w:cs="Times New Roman"/>
          <w:b w:val="0"/>
          <w:bCs w:val="0"/>
          <w:kern w:val="2"/>
          <w:sz w:val="28"/>
          <w:szCs w:val="32"/>
          <w:lang w:val="en-US" w:eastAsia="zh-CN" w:bidi="ar-SA"/>
        </w:rPr>
      </w:pPr>
      <w:bookmarkStart w:id="27" w:name="_Toc22521"/>
      <w:bookmarkStart w:id="28" w:name="_Toc4500"/>
      <w:bookmarkStart w:id="29" w:name="_Toc22236"/>
      <w:r>
        <w:rPr>
          <w:rFonts w:hint="eastAsia" w:ascii="Times New Roman" w:hAnsi="Times New Roman" w:eastAsia="仿宋_GB2312" w:cs="Times New Roman"/>
          <w:b w:val="0"/>
          <w:bCs w:val="0"/>
          <w:kern w:val="2"/>
          <w:sz w:val="28"/>
          <w:szCs w:val="32"/>
          <w:lang w:val="en-US" w:eastAsia="zh-CN" w:bidi="ar-SA"/>
        </w:rPr>
        <w:t>3.</w:t>
      </w:r>
      <w:r>
        <w:rPr>
          <w:rFonts w:hint="default" w:ascii="Times New Roman" w:hAnsi="Times New Roman" w:eastAsia="仿宋_GB2312" w:cs="Times New Roman"/>
          <w:b w:val="0"/>
          <w:bCs w:val="0"/>
          <w:kern w:val="2"/>
          <w:sz w:val="28"/>
          <w:szCs w:val="32"/>
          <w:lang w:val="en-US" w:eastAsia="zh-CN" w:bidi="ar-SA"/>
        </w:rPr>
        <w:t>规范性原则</w:t>
      </w:r>
      <w:bookmarkEnd w:id="27"/>
      <w:bookmarkEnd w:id="28"/>
      <w:bookmarkEnd w:id="29"/>
    </w:p>
    <w:p>
      <w:pPr>
        <w:spacing w:line="500" w:lineRule="exact"/>
        <w:ind w:firstLine="560" w:firstLineChars="200"/>
        <w:rPr>
          <w:rFonts w:hint="default" w:ascii="Times New Roman" w:hAnsi="Times New Roman" w:eastAsia="仿宋_GB2312" w:cs="Times New Roman"/>
          <w:sz w:val="28"/>
          <w:szCs w:val="32"/>
          <w:lang w:val="en-US" w:eastAsia="zh-CN"/>
        </w:rPr>
      </w:pPr>
      <w:r>
        <w:rPr>
          <w:rFonts w:hint="default" w:ascii="Times New Roman" w:hAnsi="Times New Roman" w:eastAsia="仿宋_GB2312" w:cs="Times New Roman"/>
          <w:sz w:val="28"/>
          <w:szCs w:val="32"/>
          <w:lang w:val="en-US" w:eastAsia="zh-CN"/>
        </w:rPr>
        <w:t>本文件严格按照GB/T 1.1—2020《标准化工作导则 第1部分：标准的结构和编写》的要求和规定编写本标准内容，保证标准编写质量。</w:t>
      </w:r>
    </w:p>
    <w:p>
      <w:pPr>
        <w:pStyle w:val="4"/>
        <w:pageBreakBefore w:val="0"/>
        <w:kinsoku/>
        <w:wordWrap/>
        <w:overflowPunct/>
        <w:topLinePunct w:val="0"/>
        <w:bidi w:val="0"/>
        <w:snapToGrid/>
        <w:spacing w:line="600" w:lineRule="exact"/>
        <w:textAlignment w:val="auto"/>
        <w:rPr>
          <w:rFonts w:hint="default" w:ascii="Times New Roman" w:hAnsi="Times New Roman" w:eastAsia="仿宋_GB2312" w:cs="Times New Roman"/>
          <w:b w:val="0"/>
          <w:bCs w:val="0"/>
          <w:kern w:val="2"/>
          <w:sz w:val="28"/>
          <w:szCs w:val="32"/>
          <w:lang w:val="en-US" w:eastAsia="zh-CN" w:bidi="ar-SA"/>
        </w:rPr>
      </w:pPr>
      <w:bookmarkStart w:id="30" w:name="_Toc14679"/>
      <w:bookmarkStart w:id="31" w:name="_Toc12735"/>
      <w:bookmarkStart w:id="32" w:name="_Toc1202"/>
      <w:r>
        <w:rPr>
          <w:rFonts w:hint="eastAsia" w:ascii="Times New Roman" w:hAnsi="Times New Roman" w:eastAsia="仿宋_GB2312" w:cs="Times New Roman"/>
          <w:b w:val="0"/>
          <w:bCs w:val="0"/>
          <w:kern w:val="2"/>
          <w:sz w:val="28"/>
          <w:szCs w:val="32"/>
          <w:lang w:val="en-US" w:eastAsia="zh-CN" w:bidi="ar-SA"/>
        </w:rPr>
        <w:t>4.</w:t>
      </w:r>
      <w:r>
        <w:rPr>
          <w:rFonts w:hint="default" w:ascii="Times New Roman" w:hAnsi="Times New Roman" w:eastAsia="仿宋_GB2312" w:cs="Times New Roman"/>
          <w:b w:val="0"/>
          <w:bCs w:val="0"/>
          <w:kern w:val="2"/>
          <w:sz w:val="28"/>
          <w:szCs w:val="32"/>
          <w:lang w:val="en-US" w:eastAsia="zh-CN" w:bidi="ar-SA"/>
        </w:rPr>
        <w:t>前瞻性原则</w:t>
      </w:r>
      <w:bookmarkEnd w:id="30"/>
      <w:bookmarkEnd w:id="31"/>
      <w:bookmarkEnd w:id="32"/>
    </w:p>
    <w:p>
      <w:pPr>
        <w:spacing w:line="500" w:lineRule="exact"/>
        <w:ind w:firstLine="560" w:firstLineChars="200"/>
        <w:rPr>
          <w:rFonts w:hint="default"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本文件在兼顾当前辐射事故应急演习现实情况的同时，还考虑到了辐射事故应急演习评估的需要，在标准中体现了个别特色性、前瞻性和先进性条款，作为对辐射事故应急演习评估的指导。</w:t>
      </w:r>
    </w:p>
    <w:p>
      <w:pPr>
        <w:pStyle w:val="3"/>
        <w:pageBreakBefore w:val="0"/>
        <w:kinsoku/>
        <w:wordWrap/>
        <w:overflowPunct/>
        <w:topLinePunct w:val="0"/>
        <w:bidi w:val="0"/>
        <w:snapToGrid/>
        <w:spacing w:line="600" w:lineRule="exact"/>
        <w:textAlignment w:val="auto"/>
        <w:rPr>
          <w:rFonts w:hint="default" w:ascii="Times New Roman" w:hAnsi="Times New Roman"/>
          <w:color w:val="auto"/>
          <w:highlight w:val="none"/>
          <w:lang w:eastAsia="zh-CN"/>
        </w:rPr>
      </w:pPr>
      <w:r>
        <w:rPr>
          <w:rFonts w:hint="eastAsia" w:ascii="Times New Roman" w:hAnsi="Times New Roman" w:eastAsia="仿宋" w:cs="Times New Roman"/>
          <w:color w:val="auto"/>
          <w:sz w:val="28"/>
          <w:szCs w:val="28"/>
          <w:highlight w:val="none"/>
          <w:lang w:val="en-US" w:eastAsia="zh-CN"/>
        </w:rPr>
        <w:t xml:space="preserve"> </w:t>
      </w:r>
      <w:r>
        <w:rPr>
          <w:rFonts w:hint="eastAsia" w:ascii="Times New Roman" w:hAnsi="Times New Roman" w:eastAsia="楷体_GB2312" w:cs="Times New Roman"/>
          <w:bCs w:val="0"/>
          <w:kern w:val="2"/>
          <w:sz w:val="32"/>
          <w:szCs w:val="32"/>
          <w:lang w:val="en-US" w:eastAsia="zh-CN" w:bidi="ar-SA"/>
        </w:rPr>
        <w:t xml:space="preserve"> </w:t>
      </w:r>
      <w:bookmarkStart w:id="33" w:name="_Toc15931730"/>
      <w:bookmarkStart w:id="34" w:name="_Toc15630"/>
      <w:bookmarkStart w:id="35" w:name="_Toc2526"/>
      <w:bookmarkStart w:id="36" w:name="_Toc30390"/>
      <w:r>
        <w:rPr>
          <w:rFonts w:hint="default" w:ascii="Times New Roman" w:hAnsi="Times New Roman" w:eastAsia="楷体_GB2312" w:cs="Times New Roman"/>
          <w:bCs w:val="0"/>
          <w:kern w:val="2"/>
          <w:sz w:val="32"/>
          <w:szCs w:val="32"/>
          <w:lang w:val="en-US" w:eastAsia="zh-CN" w:bidi="ar-SA"/>
        </w:rPr>
        <w:t>（</w:t>
      </w:r>
      <w:r>
        <w:rPr>
          <w:rFonts w:hint="eastAsia" w:ascii="Times New Roman" w:hAnsi="Times New Roman" w:eastAsia="楷体_GB2312" w:cs="Times New Roman"/>
          <w:bCs w:val="0"/>
          <w:kern w:val="2"/>
          <w:sz w:val="32"/>
          <w:szCs w:val="32"/>
          <w:lang w:val="en-US" w:eastAsia="zh-CN" w:bidi="ar-SA"/>
        </w:rPr>
        <w:t>二</w:t>
      </w:r>
      <w:r>
        <w:rPr>
          <w:rFonts w:hint="default" w:ascii="Times New Roman" w:hAnsi="Times New Roman" w:eastAsia="楷体_GB2312" w:cs="Times New Roman"/>
          <w:bCs w:val="0"/>
          <w:kern w:val="2"/>
          <w:sz w:val="32"/>
          <w:szCs w:val="32"/>
          <w:lang w:val="en-US" w:eastAsia="zh-CN" w:bidi="ar-SA"/>
        </w:rPr>
        <w:t>）编制依据</w:t>
      </w:r>
      <w:bookmarkEnd w:id="33"/>
      <w:bookmarkEnd w:id="34"/>
      <w:bookmarkEnd w:id="35"/>
      <w:bookmarkEnd w:id="36"/>
    </w:p>
    <w:p>
      <w:pPr>
        <w:spacing w:line="500" w:lineRule="exact"/>
        <w:ind w:firstLine="560" w:firstLineChars="200"/>
        <w:rPr>
          <w:rFonts w:hint="eastAsia" w:ascii="Times New Roman" w:hAnsi="Times New Roman" w:eastAsia="仿宋_GB2312" w:cs="Times New Roman"/>
          <w:sz w:val="28"/>
          <w:szCs w:val="32"/>
          <w:lang w:val="en-US" w:eastAsia="zh-CN"/>
        </w:rPr>
      </w:pPr>
      <w:bookmarkStart w:id="37" w:name="_Toc32320"/>
      <w:bookmarkStart w:id="38" w:name="_Toc24668"/>
      <w:bookmarkStart w:id="39" w:name="_Toc32559"/>
      <w:r>
        <w:rPr>
          <w:rFonts w:hint="eastAsia" w:ascii="Times New Roman" w:hAnsi="Times New Roman" w:eastAsia="仿宋_GB2312" w:cs="Times New Roman"/>
          <w:sz w:val="28"/>
          <w:szCs w:val="32"/>
          <w:lang w:val="en-US" w:eastAsia="zh-CN"/>
        </w:rPr>
        <w:t>本标准严格按照GB/T 1.1—2020《标准化工作导则  第1部分：标准化文件的结构和起草规则》的规则起草，标准主要内容主要参考《广西壮族自治区辐射事故应急预案》中组织机构职责及任务，《辐射事故应急监测技术规范》HJ 1155-2020等相关标准文件，并结合起草单位多年的相关演习评估经验和多次参与地市级演习绩效评估实践经验总结进行起草。</w:t>
      </w:r>
    </w:p>
    <w:p>
      <w:pPr>
        <w:spacing w:line="500" w:lineRule="exact"/>
        <w:ind w:firstLine="560" w:firstLineChars="200"/>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广西壮族自治区辐射环境监督管理站（以下简称辐射站）是自治区生态环境厅直属事业单位，负责全区核与辐射监测，为全区提供核与辐射事故应急技术支持的单位。主持和修订了《广西壮族自治区辐射事故应急预案》，主持制定了《广西壮族自治区辐射事故应急演习管理规定（试行）》，组织实施了3次省级辐射事故应急演习，4次专项辐射事故应急演习，8次指导设区市开展辐射事故应急演习，并进行评估。为做好辐射事故应急演习评估工作，编制了演习评估手册，并应用于演习。北海市环境应急和固体废物管理站是北海市生态环境局直属单位，负责北海市核与辐射安全管理工作，组织开展了2次辐射事故应急演习，并通过了自治区生态环境厅的考核。广西防城港核电有限公司按照国家要求，目前已开展了近6次综合辐射事故应急演习，并均通过生态环境部专家组考核评估。多年来，成员单位组织实施的各类辐射事故应急演习，为本标准中演习评估准备、评估实施、评估总结等关键条款的制定，提供了翔实可靠的依据。</w:t>
      </w:r>
    </w:p>
    <w:p>
      <w:pPr>
        <w:pStyle w:val="2"/>
        <w:widowControl w:val="0"/>
        <w:pBdr>
          <w:top w:val="single" w:color="auto" w:sz="4" w:space="1"/>
          <w:left w:val="single" w:color="auto" w:sz="4" w:space="4"/>
          <w:bottom w:val="single" w:color="auto" w:sz="4" w:space="1"/>
          <w:right w:val="single" w:color="auto" w:sz="4" w:space="4"/>
          <w:between w:val="none" w:color="auto" w:sz="0" w:space="0"/>
        </w:pBdr>
        <w:spacing w:after="120" w:line="480" w:lineRule="auto"/>
        <w:jc w:val="both"/>
        <w:textAlignment w:val="baseline"/>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drawing>
          <wp:inline distT="0" distB="0" distL="114300" distR="114300">
            <wp:extent cx="2590800" cy="1727835"/>
            <wp:effectExtent l="0" t="0" r="0" b="5715"/>
            <wp:docPr id="19" name="图片 4" descr="IMG_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descr="IMG_2189"/>
                    <pic:cNvPicPr>
                      <a:picLocks noChangeAspect="1"/>
                    </pic:cNvPicPr>
                  </pic:nvPicPr>
                  <pic:blipFill>
                    <a:blip r:embed="rId5"/>
                    <a:stretch>
                      <a:fillRect/>
                    </a:stretch>
                  </pic:blipFill>
                  <pic:spPr>
                    <a:xfrm>
                      <a:off x="0" y="0"/>
                      <a:ext cx="2590800" cy="1727835"/>
                    </a:xfrm>
                    <a:prstGeom prst="rect">
                      <a:avLst/>
                    </a:prstGeom>
                    <a:noFill/>
                    <a:ln>
                      <a:noFill/>
                    </a:ln>
                  </pic:spPr>
                </pic:pic>
              </a:graphicData>
            </a:graphic>
          </wp:inline>
        </w:drawing>
      </w:r>
      <w:r>
        <w:rPr>
          <w:rFonts w:hint="eastAsia" w:ascii="Times New Roman" w:hAnsi="Times New Roman" w:eastAsia="仿宋_GB2312" w:cs="Times New Roman"/>
          <w:sz w:val="28"/>
          <w:szCs w:val="32"/>
          <w:lang w:val="en-US" w:eastAsia="zh-CN"/>
        </w:rPr>
        <w:drawing>
          <wp:inline distT="0" distB="0" distL="114300" distR="114300">
            <wp:extent cx="2294890" cy="1727835"/>
            <wp:effectExtent l="0" t="0" r="10160" b="5715"/>
            <wp:docPr id="20" name="图片 7" descr="9118fed70804bfce3354af7e0a74f7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descr="9118fed70804bfce3354af7e0a74f7b1"/>
                    <pic:cNvPicPr>
                      <a:picLocks noChangeAspect="1"/>
                    </pic:cNvPicPr>
                  </pic:nvPicPr>
                  <pic:blipFill>
                    <a:blip r:embed="rId6"/>
                    <a:stretch>
                      <a:fillRect/>
                    </a:stretch>
                  </pic:blipFill>
                  <pic:spPr>
                    <a:xfrm>
                      <a:off x="0" y="0"/>
                      <a:ext cx="2294890" cy="1727835"/>
                    </a:xfrm>
                    <a:prstGeom prst="rect">
                      <a:avLst/>
                    </a:prstGeom>
                    <a:noFill/>
                    <a:ln>
                      <a:noFill/>
                    </a:ln>
                  </pic:spPr>
                </pic:pic>
              </a:graphicData>
            </a:graphic>
          </wp:inline>
        </w:drawing>
      </w:r>
    </w:p>
    <w:p>
      <w:pPr>
        <w:pStyle w:val="2"/>
        <w:jc w:val="center"/>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图1  辐射事故应急演习</w:t>
      </w:r>
    </w:p>
    <w:p>
      <w:pPr>
        <w:pStyle w:val="2"/>
        <w:jc w:val="both"/>
        <w:rPr>
          <w:rFonts w:hint="default" w:ascii="Times New Roman" w:hAnsi="Times New Roman" w:eastAsia="仿宋_GB2312" w:cs="Times New Roman"/>
          <w:sz w:val="28"/>
          <w:szCs w:val="32"/>
          <w:lang w:val="en-US" w:eastAsia="zh-CN"/>
        </w:rPr>
      </w:pPr>
      <w:r>
        <w:rPr>
          <w:rFonts w:hint="default" w:ascii="Times New Roman" w:hAnsi="Times New Roman" w:eastAsia="仿宋_GB2312" w:cs="Times New Roman"/>
          <w:sz w:val="28"/>
          <w:szCs w:val="32"/>
          <w:lang w:val="en-US" w:eastAsia="zh-CN"/>
        </w:rPr>
        <w:drawing>
          <wp:inline distT="0" distB="0" distL="114300" distR="114300">
            <wp:extent cx="2592070" cy="1727835"/>
            <wp:effectExtent l="0" t="0" r="17780" b="5715"/>
            <wp:docPr id="21" name="图片 5" descr="IMG_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descr="IMG_2350"/>
                    <pic:cNvPicPr>
                      <a:picLocks noChangeAspect="1"/>
                    </pic:cNvPicPr>
                  </pic:nvPicPr>
                  <pic:blipFill>
                    <a:blip r:embed="rId7"/>
                    <a:stretch>
                      <a:fillRect/>
                    </a:stretch>
                  </pic:blipFill>
                  <pic:spPr>
                    <a:xfrm>
                      <a:off x="0" y="0"/>
                      <a:ext cx="2592070" cy="1727835"/>
                    </a:xfrm>
                    <a:prstGeom prst="rect">
                      <a:avLst/>
                    </a:prstGeom>
                    <a:noFill/>
                    <a:ln>
                      <a:noFill/>
                    </a:ln>
                  </pic:spPr>
                </pic:pic>
              </a:graphicData>
            </a:graphic>
          </wp:inline>
        </w:drawing>
      </w:r>
      <w:r>
        <w:rPr>
          <w:rFonts w:hint="default" w:ascii="Times New Roman" w:hAnsi="Times New Roman" w:eastAsia="仿宋_GB2312" w:cs="Times New Roman"/>
          <w:sz w:val="28"/>
          <w:szCs w:val="32"/>
          <w:lang w:val="en-US" w:eastAsia="zh-CN"/>
        </w:rPr>
        <w:drawing>
          <wp:inline distT="0" distB="0" distL="114300" distR="114300">
            <wp:extent cx="2592070" cy="1727835"/>
            <wp:effectExtent l="0" t="0" r="17780" b="5715"/>
            <wp:docPr id="22" name="图片 6" descr="BZ2I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descr="BZ2I4060"/>
                    <pic:cNvPicPr>
                      <a:picLocks noChangeAspect="1"/>
                    </pic:cNvPicPr>
                  </pic:nvPicPr>
                  <pic:blipFill>
                    <a:blip r:embed="rId8"/>
                    <a:stretch>
                      <a:fillRect/>
                    </a:stretch>
                  </pic:blipFill>
                  <pic:spPr>
                    <a:xfrm>
                      <a:off x="0" y="0"/>
                      <a:ext cx="2592070" cy="1727835"/>
                    </a:xfrm>
                    <a:prstGeom prst="rect">
                      <a:avLst/>
                    </a:prstGeom>
                    <a:noFill/>
                    <a:ln>
                      <a:noFill/>
                    </a:ln>
                  </pic:spPr>
                </pic:pic>
              </a:graphicData>
            </a:graphic>
          </wp:inline>
        </w:drawing>
      </w:r>
    </w:p>
    <w:p>
      <w:pPr>
        <w:pStyle w:val="2"/>
        <w:jc w:val="center"/>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图2  辐射事故应急演习评估</w:t>
      </w:r>
    </w:p>
    <w:p>
      <w:pPr>
        <w:pStyle w:val="2"/>
        <w:jc w:val="both"/>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drawing>
          <wp:inline distT="0" distB="0" distL="114300" distR="114300">
            <wp:extent cx="2527300" cy="3599815"/>
            <wp:effectExtent l="0" t="0" r="6350" b="635"/>
            <wp:docPr id="23" name="图片 10" descr="1c1a81c5760c87202a405e58a46de2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descr="1c1a81c5760c87202a405e58a46de2e4"/>
                    <pic:cNvPicPr>
                      <a:picLocks noChangeAspect="1"/>
                    </pic:cNvPicPr>
                  </pic:nvPicPr>
                  <pic:blipFill>
                    <a:blip r:embed="rId9"/>
                    <a:stretch>
                      <a:fillRect/>
                    </a:stretch>
                  </pic:blipFill>
                  <pic:spPr>
                    <a:xfrm>
                      <a:off x="0" y="0"/>
                      <a:ext cx="2527300" cy="3599815"/>
                    </a:xfrm>
                    <a:prstGeom prst="rect">
                      <a:avLst/>
                    </a:prstGeom>
                    <a:noFill/>
                    <a:ln>
                      <a:noFill/>
                    </a:ln>
                  </pic:spPr>
                </pic:pic>
              </a:graphicData>
            </a:graphic>
          </wp:inline>
        </w:drawing>
      </w:r>
      <w:r>
        <w:rPr>
          <w:rFonts w:hint="eastAsia" w:ascii="Times New Roman" w:hAnsi="Times New Roman" w:eastAsia="仿宋_GB2312" w:cs="Times New Roman"/>
          <w:sz w:val="28"/>
          <w:szCs w:val="32"/>
          <w:lang w:val="en-US" w:eastAsia="zh-CN"/>
        </w:rPr>
        <w:drawing>
          <wp:inline distT="0" distB="0" distL="114300" distR="114300">
            <wp:extent cx="2532380" cy="3599815"/>
            <wp:effectExtent l="0" t="0" r="1270" b="635"/>
            <wp:docPr id="24" name="图片 11" descr="6766bc7f124b954acda15a6723d0c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descr="6766bc7f124b954acda15a6723d0c286"/>
                    <pic:cNvPicPr>
                      <a:picLocks noChangeAspect="1"/>
                    </pic:cNvPicPr>
                  </pic:nvPicPr>
                  <pic:blipFill>
                    <a:blip r:embed="rId10"/>
                    <a:stretch>
                      <a:fillRect/>
                    </a:stretch>
                  </pic:blipFill>
                  <pic:spPr>
                    <a:xfrm>
                      <a:off x="0" y="0"/>
                      <a:ext cx="2532380" cy="3599815"/>
                    </a:xfrm>
                    <a:prstGeom prst="rect">
                      <a:avLst/>
                    </a:prstGeom>
                    <a:noFill/>
                    <a:ln>
                      <a:noFill/>
                    </a:ln>
                  </pic:spPr>
                </pic:pic>
              </a:graphicData>
            </a:graphic>
          </wp:inline>
        </w:drawing>
      </w:r>
    </w:p>
    <w:p>
      <w:pPr>
        <w:pStyle w:val="2"/>
        <w:jc w:val="center"/>
        <w:rPr>
          <w:rFonts w:hint="default"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图3  演习评估表</w:t>
      </w:r>
    </w:p>
    <w:bookmarkEnd w:id="37"/>
    <w:bookmarkEnd w:id="38"/>
    <w:bookmarkEnd w:id="39"/>
    <w:p>
      <w:pPr>
        <w:pStyle w:val="4"/>
        <w:pageBreakBefore w:val="0"/>
        <w:numPr>
          <w:ilvl w:val="0"/>
          <w:numId w:val="6"/>
        </w:numPr>
        <w:kinsoku/>
        <w:wordWrap/>
        <w:overflowPunct/>
        <w:topLinePunct w:val="0"/>
        <w:bidi w:val="0"/>
        <w:snapToGrid/>
        <w:spacing w:line="600" w:lineRule="exact"/>
        <w:textAlignment w:val="auto"/>
        <w:rPr>
          <w:rFonts w:hint="default" w:ascii="Times New Roman" w:hAnsi="Times New Roman" w:eastAsia="楷体_GB2312" w:cs="Times New Roman"/>
          <w:b w:val="0"/>
          <w:bCs w:val="0"/>
          <w:kern w:val="2"/>
          <w:sz w:val="32"/>
          <w:szCs w:val="32"/>
          <w:lang w:val="en-US" w:eastAsia="zh-CN" w:bidi="ar-SA"/>
        </w:rPr>
      </w:pPr>
      <w:r>
        <w:rPr>
          <w:rFonts w:hint="default" w:ascii="Times New Roman" w:hAnsi="Times New Roman" w:eastAsia="楷体_GB2312" w:cs="Times New Roman"/>
          <w:b w:val="0"/>
          <w:bCs w:val="0"/>
          <w:kern w:val="2"/>
          <w:sz w:val="32"/>
          <w:szCs w:val="32"/>
          <w:lang w:val="en-US" w:eastAsia="zh-CN" w:bidi="ar-SA"/>
        </w:rPr>
        <w:t>与现行法律、法规的关系，与有关国家标准、行业标准的协调情况</w:t>
      </w:r>
    </w:p>
    <w:p>
      <w:pPr>
        <w:spacing w:line="500" w:lineRule="exact"/>
        <w:ind w:firstLine="560" w:firstLineChars="200"/>
        <w:rPr>
          <w:rFonts w:hint="default" w:ascii="Times New Roman" w:hAnsi="Times New Roman" w:eastAsia="仿宋_GB2312" w:cs="Times New Roman"/>
          <w:sz w:val="28"/>
          <w:szCs w:val="32"/>
          <w:lang w:val="en-US" w:eastAsia="zh-CN"/>
        </w:rPr>
      </w:pPr>
      <w:r>
        <w:rPr>
          <w:rFonts w:hint="default" w:ascii="Times New Roman" w:hAnsi="Times New Roman" w:eastAsia="仿宋_GB2312" w:cs="Times New Roman"/>
          <w:sz w:val="28"/>
          <w:szCs w:val="32"/>
          <w:lang w:val="en-US" w:eastAsia="zh-CN"/>
        </w:rPr>
        <w:t>本编制工作组承诺本标准内容与各项指标不违反相关法律法规要求，且不低于国家强制性标准、推荐性国家标准和行业标准要求。</w:t>
      </w:r>
    </w:p>
    <w:p>
      <w:pPr>
        <w:spacing w:line="500" w:lineRule="exact"/>
        <w:ind w:firstLine="560" w:firstLineChars="200"/>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经查阅，目前国内与辐射事故应急演习评估相关的国家、行业、地方以及团体标准有：DB15/T 3488—2024 《辐射事故应急演练评估指南》、DB62/T 4536-2022 《核技术利用单位辐射事故应急演练基本规范》。其中：</w:t>
      </w:r>
    </w:p>
    <w:p>
      <w:pPr>
        <w:spacing w:line="500" w:lineRule="exact"/>
        <w:ind w:firstLine="560" w:firstLineChars="200"/>
        <w:rPr>
          <w:rFonts w:hint="default" w:ascii="Times New Roman" w:hAnsi="Times New Roman" w:eastAsia="仿宋_GB2312" w:cs="Times New Roman"/>
          <w:sz w:val="28"/>
          <w:szCs w:val="32"/>
          <w:lang w:val="en-US" w:eastAsia="zh-CN"/>
        </w:rPr>
      </w:pPr>
      <w:r>
        <w:rPr>
          <w:rFonts w:hint="default" w:ascii="Times New Roman" w:hAnsi="Times New Roman" w:eastAsia="仿宋_GB2312" w:cs="Times New Roman"/>
          <w:sz w:val="28"/>
          <w:szCs w:val="32"/>
          <w:lang w:val="en-US" w:eastAsia="zh-CN"/>
        </w:rPr>
        <w:t>1.DB15/T 3488—2024 《辐射事故应急演练评估指南》  对评估程序、评估准备、评估实施、评估总结，附录评估内容等进行了规定，对评估组组成、评估标准、评估方案、评估反馈等作了较为详细的规定。本标准也将基于实际工作中评估程序、评估准备、评估实施、评估总结的程序对演习评估进行规范，不同点在于，一是根据演习类型明确评估方式，结合单项演练、专项演练、综合演习等不同类型演习的特点，明确演习评估的组织方式、以及评估内容。二是制定清单式评估内容，根据演习类型，制定不同的评估清单，便于理解和使用。三是量化指标，根据演习中各环节重要程度，设置合理的分值。</w:t>
      </w:r>
    </w:p>
    <w:p>
      <w:pPr>
        <w:spacing w:line="500" w:lineRule="exact"/>
        <w:ind w:firstLine="560" w:firstLineChars="200"/>
        <w:rPr>
          <w:rFonts w:hint="default" w:ascii="Times New Roman" w:hAnsi="Times New Roman" w:eastAsia="仿宋_GB2312" w:cs="Times New Roman"/>
          <w:sz w:val="28"/>
          <w:szCs w:val="32"/>
          <w:lang w:val="en-US" w:eastAsia="zh-CN"/>
        </w:rPr>
      </w:pPr>
      <w:r>
        <w:rPr>
          <w:rFonts w:hint="default" w:ascii="Times New Roman" w:hAnsi="Times New Roman" w:eastAsia="仿宋_GB2312" w:cs="Times New Roman"/>
          <w:sz w:val="28"/>
          <w:szCs w:val="32"/>
          <w:lang w:val="en-US" w:eastAsia="zh-CN"/>
        </w:rPr>
        <w:t>2.DB62/T 4536-2022 《核技术利用单位辐射事故应急演练基本规范》为辐射事故应急演习技术标准，只在7.3.10和8.2章节中提出需要开展演习评估的要求，并未明确具体评估内容，与本次拟立项的标准不存在任何内容的重复。</w:t>
      </w:r>
    </w:p>
    <w:p>
      <w:pPr>
        <w:spacing w:line="500" w:lineRule="exact"/>
        <w:ind w:firstLine="560" w:firstLineChars="200"/>
        <w:rPr>
          <w:rFonts w:hint="default"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3.GB/T 17680.12-2025 《核电厂应急准备与响应准则 第12部分：核应急演习的策划、准备、实施与评估》对核电厂核事故场内外应急演习的策划、准备、实施和评估进行了原则性的规定。本标准针对的是辐射事故应急（如放射源丢失、被盗，放射性物品运输事故，铀矿冶污染事故等）演习的评估，两个标准的对象完全不同，因此规定的内容不同。</w:t>
      </w:r>
    </w:p>
    <w:p>
      <w:pPr>
        <w:spacing w:line="500" w:lineRule="exact"/>
        <w:ind w:firstLine="560" w:firstLineChars="200"/>
        <w:rPr>
          <w:rFonts w:hint="default"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4.WS/T 636-2018 《核和辐射事故医学应急演练导则》规定了医疗卫生机构在核和辐射事故应急演习中的基本要求和工作程序，标准只适用于医学应急演练。本标准与其不同点在于对于所有参与辐射事故应急的组织均适用，可以用于对参与演习的生态环境、医疗卫生、公安、应急管理等部门的应急响应进行评估考核。</w:t>
      </w:r>
    </w:p>
    <w:p>
      <w:pPr>
        <w:spacing w:line="500" w:lineRule="exact"/>
        <w:ind w:firstLine="560" w:firstLineChars="200"/>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本标准基于演习评估程序和演习类型不同对演习评估目标设计、</w:t>
      </w:r>
      <w:r>
        <w:rPr>
          <w:rFonts w:hint="eastAsia" w:ascii="Times New Roman" w:hAnsi="Times New Roman" w:eastAsia="仿宋_GB2312" w:cs="Times New Roman"/>
          <w:sz w:val="28"/>
          <w:szCs w:val="32"/>
          <w:lang w:val="en-US" w:eastAsia="zh-CN"/>
        </w:rPr>
        <w:t>评估</w:t>
      </w:r>
      <w:r>
        <w:rPr>
          <w:rFonts w:hint="eastAsia" w:ascii="Times New Roman" w:hAnsi="Times New Roman" w:eastAsia="仿宋_GB2312" w:cs="Times New Roman"/>
          <w:sz w:val="28"/>
          <w:szCs w:val="32"/>
          <w:lang w:val="en-US" w:eastAsia="zh-CN"/>
        </w:rPr>
        <w:t>内容、</w:t>
      </w:r>
      <w:r>
        <w:rPr>
          <w:rFonts w:hint="eastAsia" w:ascii="Times New Roman" w:hAnsi="Times New Roman" w:eastAsia="仿宋_GB2312" w:cs="Times New Roman"/>
          <w:sz w:val="28"/>
          <w:szCs w:val="32"/>
          <w:lang w:val="en-US" w:eastAsia="zh-CN"/>
        </w:rPr>
        <w:t>评估</w:t>
      </w:r>
      <w:r>
        <w:rPr>
          <w:rFonts w:hint="eastAsia" w:ascii="Times New Roman" w:hAnsi="Times New Roman" w:eastAsia="仿宋_GB2312" w:cs="Times New Roman"/>
          <w:sz w:val="28"/>
          <w:szCs w:val="32"/>
          <w:lang w:val="en-US" w:eastAsia="zh-CN"/>
        </w:rPr>
        <w:t>程序等进行规范，不同点在于，一是根据演习类型明确</w:t>
      </w:r>
      <w:r>
        <w:rPr>
          <w:rFonts w:hint="eastAsia" w:ascii="Times New Roman" w:hAnsi="Times New Roman" w:eastAsia="仿宋_GB2312" w:cs="Times New Roman"/>
          <w:sz w:val="28"/>
          <w:szCs w:val="32"/>
          <w:lang w:val="en-US" w:eastAsia="zh-CN"/>
        </w:rPr>
        <w:t>评估</w:t>
      </w:r>
      <w:r>
        <w:rPr>
          <w:rFonts w:hint="eastAsia" w:ascii="Times New Roman" w:hAnsi="Times New Roman" w:eastAsia="仿宋_GB2312" w:cs="Times New Roman"/>
          <w:sz w:val="28"/>
          <w:szCs w:val="32"/>
          <w:lang w:val="en-US" w:eastAsia="zh-CN"/>
        </w:rPr>
        <w:t>方式，结合单项演练、专项演练、综合演习等不同类型演习的特点，明确演习</w:t>
      </w:r>
      <w:r>
        <w:rPr>
          <w:rFonts w:hint="eastAsia" w:ascii="Times New Roman" w:hAnsi="Times New Roman" w:eastAsia="仿宋_GB2312" w:cs="Times New Roman"/>
          <w:sz w:val="28"/>
          <w:szCs w:val="32"/>
          <w:lang w:val="en-US" w:eastAsia="zh-CN"/>
        </w:rPr>
        <w:t>评估</w:t>
      </w:r>
      <w:r>
        <w:rPr>
          <w:rFonts w:hint="eastAsia" w:ascii="Times New Roman" w:hAnsi="Times New Roman" w:eastAsia="仿宋_GB2312" w:cs="Times New Roman"/>
          <w:sz w:val="28"/>
          <w:szCs w:val="32"/>
          <w:lang w:val="en-US" w:eastAsia="zh-CN"/>
        </w:rPr>
        <w:t>的组织方式、以及</w:t>
      </w:r>
      <w:r>
        <w:rPr>
          <w:rFonts w:hint="eastAsia" w:ascii="Times New Roman" w:hAnsi="Times New Roman" w:eastAsia="仿宋_GB2312" w:cs="Times New Roman"/>
          <w:sz w:val="28"/>
          <w:szCs w:val="32"/>
          <w:lang w:val="en-US" w:eastAsia="zh-CN"/>
        </w:rPr>
        <w:t>评估</w:t>
      </w:r>
      <w:r>
        <w:rPr>
          <w:rFonts w:hint="eastAsia" w:ascii="Times New Roman" w:hAnsi="Times New Roman" w:eastAsia="仿宋_GB2312" w:cs="Times New Roman"/>
          <w:sz w:val="28"/>
          <w:szCs w:val="32"/>
          <w:lang w:val="en-US" w:eastAsia="zh-CN"/>
        </w:rPr>
        <w:t>内容。二是制定清单式</w:t>
      </w:r>
      <w:r>
        <w:rPr>
          <w:rFonts w:hint="eastAsia" w:ascii="Times New Roman" w:hAnsi="Times New Roman" w:eastAsia="仿宋_GB2312" w:cs="Times New Roman"/>
          <w:sz w:val="28"/>
          <w:szCs w:val="32"/>
          <w:lang w:val="en-US" w:eastAsia="zh-CN"/>
        </w:rPr>
        <w:t>评估</w:t>
      </w:r>
      <w:r>
        <w:rPr>
          <w:rFonts w:hint="eastAsia" w:ascii="Times New Roman" w:hAnsi="Times New Roman" w:eastAsia="仿宋_GB2312" w:cs="Times New Roman"/>
          <w:sz w:val="28"/>
          <w:szCs w:val="32"/>
          <w:lang w:val="en-US" w:eastAsia="zh-CN"/>
        </w:rPr>
        <w:t>内容，根据演习类型，制定不同的</w:t>
      </w:r>
      <w:r>
        <w:rPr>
          <w:rFonts w:hint="eastAsia" w:ascii="Times New Roman" w:hAnsi="Times New Roman" w:eastAsia="仿宋_GB2312" w:cs="Times New Roman"/>
          <w:sz w:val="28"/>
          <w:szCs w:val="32"/>
          <w:lang w:val="en-US" w:eastAsia="zh-CN"/>
        </w:rPr>
        <w:t>评估</w:t>
      </w:r>
      <w:r>
        <w:rPr>
          <w:rFonts w:hint="eastAsia" w:ascii="Times New Roman" w:hAnsi="Times New Roman" w:eastAsia="仿宋_GB2312" w:cs="Times New Roman"/>
          <w:sz w:val="28"/>
          <w:szCs w:val="32"/>
          <w:lang w:val="en-US" w:eastAsia="zh-CN"/>
        </w:rPr>
        <w:t>清单，便于理解和使用。三是量化指标，根据演习中各环节重要程度，设置合理的分值。通过以上各方面技术要求的规范，将有利于开展标准化辐射事故应急演习和</w:t>
      </w:r>
      <w:r>
        <w:rPr>
          <w:rFonts w:hint="eastAsia" w:ascii="Times New Roman" w:hAnsi="Times New Roman" w:eastAsia="仿宋_GB2312" w:cs="Times New Roman"/>
          <w:sz w:val="28"/>
          <w:szCs w:val="32"/>
          <w:lang w:val="en-US" w:eastAsia="zh-CN"/>
        </w:rPr>
        <w:t>评估</w:t>
      </w:r>
      <w:r>
        <w:rPr>
          <w:rFonts w:hint="eastAsia" w:ascii="Times New Roman" w:hAnsi="Times New Roman" w:eastAsia="仿宋_GB2312" w:cs="Times New Roman"/>
          <w:sz w:val="28"/>
          <w:szCs w:val="32"/>
          <w:lang w:val="en-US" w:eastAsia="zh-CN"/>
        </w:rPr>
        <w:t>工作，真正起到辐射事故演习的作用。</w:t>
      </w:r>
    </w:p>
    <w:p>
      <w:pPr>
        <w:pStyle w:val="3"/>
        <w:pageBreakBefore w:val="0"/>
        <w:numPr>
          <w:ilvl w:val="0"/>
          <w:numId w:val="0"/>
        </w:numPr>
        <w:kinsoku/>
        <w:wordWrap/>
        <w:overflowPunct/>
        <w:topLinePunct w:val="0"/>
        <w:bidi w:val="0"/>
        <w:snapToGrid/>
        <w:spacing w:line="600" w:lineRule="exact"/>
        <w:ind w:leftChars="0"/>
        <w:textAlignment w:val="auto"/>
        <w:rPr>
          <w:rFonts w:hint="default" w:ascii="Times New Roman" w:hAnsi="Times New Roman" w:cs="Times New Roman"/>
          <w:bCs/>
          <w:color w:val="auto"/>
          <w:sz w:val="32"/>
          <w:szCs w:val="32"/>
          <w:highlight w:val="none"/>
          <w:lang w:val="en-US" w:eastAsia="zh-CN"/>
        </w:rPr>
      </w:pPr>
      <w:r>
        <w:rPr>
          <w:rFonts w:hint="eastAsia" w:ascii="Times New Roman" w:hAnsi="Times New Roman" w:cs="Times New Roman"/>
          <w:bCs/>
          <w:color w:val="auto"/>
          <w:sz w:val="32"/>
          <w:szCs w:val="32"/>
          <w:highlight w:val="none"/>
          <w:lang w:val="en-US" w:eastAsia="zh-CN"/>
        </w:rPr>
        <w:t>五、标准主要内容及依据来源</w:t>
      </w:r>
    </w:p>
    <w:p>
      <w:pPr>
        <w:spacing w:line="500" w:lineRule="exact"/>
        <w:ind w:firstLine="560" w:firstLineChars="200"/>
        <w:rPr>
          <w:rFonts w:hint="default"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本标准前期依托广西壮族自治区辐射环境监督管理站组织的2014年、2019年、2022年省级辐射事故应急演习，防城港核电有限公司、</w:t>
      </w:r>
      <w:r>
        <w:rPr>
          <w:rFonts w:hint="default" w:ascii="Times New Roman" w:hAnsi="Times New Roman" w:eastAsia="仿宋_GB2312" w:cs="Times New Roman"/>
          <w:sz w:val="28"/>
          <w:szCs w:val="32"/>
          <w:lang w:val="zh-CN" w:eastAsia="zh-CN"/>
        </w:rPr>
        <w:t>北海市环境应急和固体废物管理站</w:t>
      </w:r>
      <w:r>
        <w:rPr>
          <w:rFonts w:hint="eastAsia" w:ascii="Times New Roman" w:hAnsi="Times New Roman" w:eastAsia="仿宋_GB2312" w:cs="Times New Roman"/>
          <w:sz w:val="28"/>
          <w:szCs w:val="32"/>
          <w:lang w:val="en-US" w:eastAsia="zh-CN"/>
        </w:rPr>
        <w:t>组织的辐射事故应急演习，以及论文《辐射事故应急演习的新实践及建议》。技术指标主要来源于广西壮族自治区辐射环境监督管理站和防城港核电有限公司联合组成的辐射事故应急管理研究团队对辐射事故的情景设计、事故组成、应急响应、辐射监测、污染处置等</w:t>
      </w:r>
      <w:r>
        <w:rPr>
          <w:rFonts w:hint="eastAsia" w:ascii="Times New Roman" w:hAnsi="Times New Roman" w:eastAsia="仿宋_GB2312"/>
          <w:color w:val="000000"/>
          <w:sz w:val="28"/>
          <w:szCs w:val="28"/>
        </w:rPr>
        <w:t>进行了系统研究以及积累的经验进行全面汇总和系统的分析总结，同时参考了大量的国内文献资料，</w:t>
      </w:r>
      <w:r>
        <w:rPr>
          <w:rFonts w:hint="eastAsia" w:ascii="Times New Roman" w:hAnsi="Times New Roman" w:eastAsia="仿宋_GB2312"/>
          <w:color w:val="000000"/>
          <w:sz w:val="28"/>
          <w:szCs w:val="28"/>
          <w:lang w:val="en-US" w:eastAsia="zh-CN"/>
        </w:rPr>
        <w:t>了解了辐射事故应急演习的不同类型、参与组织，掌握了评估前、评估实施、评估后、评估人员等关键环境和因素。</w:t>
      </w:r>
    </w:p>
    <w:p>
      <w:pPr>
        <w:spacing w:line="500" w:lineRule="exact"/>
        <w:ind w:firstLine="560" w:firstLineChars="200"/>
        <w:rPr>
          <w:rFonts w:hint="default"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主要章节内容包括：术语和定义、总则、评估准备、评估实施、评估总结等内容。具体内容来源依据说明如下：</w:t>
      </w:r>
    </w:p>
    <w:p>
      <w:pPr>
        <w:ind w:firstLine="640" w:firstLineChars="200"/>
        <w:outlineLvl w:val="1"/>
        <w:rPr>
          <w:rFonts w:hint="default" w:ascii="Times New Roman" w:hAnsi="Times New Roman" w:eastAsia="楷体_GB2312" w:cs="Times New Roman"/>
          <w:sz w:val="32"/>
          <w:szCs w:val="32"/>
          <w:lang w:val="en-US" w:eastAsia="zh-CN"/>
        </w:rPr>
      </w:pPr>
      <w:r>
        <w:rPr>
          <w:rFonts w:hint="eastAsia" w:ascii="Times New Roman" w:hAnsi="Times New Roman" w:eastAsia="楷体_GB2312" w:cs="Times New Roman"/>
          <w:sz w:val="32"/>
          <w:szCs w:val="32"/>
          <w:lang w:val="en-US" w:eastAsia="zh-CN"/>
        </w:rPr>
        <w:t>（一）</w:t>
      </w:r>
      <w:r>
        <w:rPr>
          <w:rFonts w:hint="default" w:ascii="Times New Roman" w:hAnsi="Times New Roman" w:eastAsia="楷体_GB2312" w:cs="Times New Roman"/>
          <w:sz w:val="32"/>
          <w:szCs w:val="32"/>
          <w:lang w:val="en-US" w:eastAsia="zh-CN"/>
        </w:rPr>
        <w:t>术语和定义</w:t>
      </w:r>
    </w:p>
    <w:p>
      <w:pPr>
        <w:spacing w:line="500" w:lineRule="exact"/>
        <w:ind w:firstLine="560" w:firstLineChars="200"/>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（1）</w:t>
      </w:r>
      <w:r>
        <w:rPr>
          <w:rFonts w:hint="eastAsia" w:ascii="Times New Roman" w:hAnsi="Times New Roman" w:eastAsia="仿宋_GB2312" w:cs="Times New Roman"/>
          <w:b/>
          <w:bCs/>
          <w:sz w:val="28"/>
          <w:szCs w:val="32"/>
          <w:lang w:val="en-US" w:eastAsia="zh-CN"/>
        </w:rPr>
        <w:t>辐射事故：</w:t>
      </w:r>
      <w:r>
        <w:rPr>
          <w:rFonts w:hint="eastAsia" w:ascii="Times New Roman" w:hAnsi="Times New Roman" w:eastAsia="仿宋_GB2312" w:cs="Times New Roman"/>
          <w:sz w:val="28"/>
          <w:szCs w:val="32"/>
          <w:lang w:val="en-US" w:eastAsia="zh-CN"/>
        </w:rPr>
        <w:t>是指放射源丢失、被盗、失控，或者放射性同位素和射线装置失控导致人员受到意外的异常照射。</w:t>
      </w:r>
    </w:p>
    <w:p>
      <w:pPr>
        <w:spacing w:line="500" w:lineRule="exact"/>
        <w:ind w:firstLine="560" w:firstLineChars="200"/>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直接引用于</w:t>
      </w:r>
      <w:r>
        <w:rPr>
          <w:rFonts w:hint="default" w:ascii="Times New Roman" w:hAnsi="Times New Roman" w:eastAsia="仿宋_GB2312" w:cs="Times New Roman"/>
          <w:sz w:val="28"/>
          <w:szCs w:val="32"/>
          <w:lang w:val="en-US" w:eastAsia="zh-CN"/>
        </w:rPr>
        <w:t>《辐射事故应急监测技术规范》</w:t>
      </w:r>
      <w:r>
        <w:rPr>
          <w:rFonts w:hint="eastAsia" w:ascii="Times New Roman" w:hAnsi="Times New Roman" w:eastAsia="仿宋_GB2312" w:cs="Times New Roman"/>
          <w:sz w:val="28"/>
          <w:szCs w:val="32"/>
          <w:lang w:val="en-US" w:eastAsia="zh-CN"/>
        </w:rPr>
        <w:t xml:space="preserve">（HJ 1155-2020）中术语“3.1 </w:t>
      </w:r>
      <w:r>
        <w:rPr>
          <w:rFonts w:hint="default" w:ascii="Times New Roman" w:hAnsi="Times New Roman" w:eastAsia="仿宋_GB2312" w:cs="Times New Roman"/>
          <w:sz w:val="28"/>
          <w:szCs w:val="32"/>
          <w:lang w:val="en-US" w:eastAsia="zh-CN"/>
        </w:rPr>
        <w:t>辐射事故</w:t>
      </w:r>
      <w:r>
        <w:rPr>
          <w:rFonts w:hint="eastAsia" w:ascii="Times New Roman" w:hAnsi="Times New Roman" w:eastAsia="仿宋_GB2312" w:cs="Times New Roman"/>
          <w:sz w:val="28"/>
          <w:szCs w:val="32"/>
          <w:lang w:val="en-US" w:eastAsia="zh-CN"/>
        </w:rPr>
        <w:t>”</w:t>
      </w:r>
      <w:bookmarkStart w:id="40" w:name="_Hlk127369261"/>
      <w:r>
        <w:rPr>
          <w:rFonts w:hint="eastAsia" w:ascii="Times New Roman" w:hAnsi="Times New Roman" w:eastAsia="仿宋_GB2312" w:cs="Times New Roman"/>
          <w:sz w:val="28"/>
          <w:szCs w:val="32"/>
          <w:lang w:val="en-US" w:eastAsia="zh-CN"/>
        </w:rPr>
        <w:t>。</w:t>
      </w:r>
    </w:p>
    <w:bookmarkEnd w:id="40"/>
    <w:p>
      <w:pPr>
        <w:spacing w:line="500" w:lineRule="exact"/>
        <w:ind w:firstLine="560" w:firstLineChars="200"/>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（2）</w:t>
      </w:r>
      <w:r>
        <w:rPr>
          <w:rFonts w:hint="eastAsia" w:ascii="Times New Roman" w:hAnsi="Times New Roman" w:eastAsia="仿宋_GB2312" w:cs="Times New Roman"/>
          <w:b/>
          <w:bCs/>
          <w:sz w:val="28"/>
          <w:szCs w:val="32"/>
          <w:lang w:val="en-US" w:eastAsia="zh-CN"/>
        </w:rPr>
        <w:t>应急响应（行动）：</w:t>
      </w:r>
      <w:r>
        <w:rPr>
          <w:rFonts w:hint="eastAsia" w:ascii="Times New Roman" w:hAnsi="Times New Roman" w:eastAsia="仿宋_GB2312" w:cs="Times New Roman"/>
          <w:sz w:val="28"/>
          <w:szCs w:val="32"/>
          <w:lang w:val="en-US" w:eastAsia="zh-CN"/>
        </w:rPr>
        <w:t>为控制或者减轻辐射应急状态的后果而采取的紧急行动。</w:t>
      </w:r>
    </w:p>
    <w:p>
      <w:pPr>
        <w:spacing w:line="500" w:lineRule="exact"/>
        <w:ind w:firstLine="560" w:firstLineChars="200"/>
        <w:rPr>
          <w:rFonts w:hint="eastAsia" w:ascii="Times New Roman" w:hAnsi="Times New Roman" w:eastAsia="仿宋_GB2312" w:cs="Times New Roman"/>
          <w:sz w:val="28"/>
          <w:szCs w:val="32"/>
          <w:lang w:val="en-US" w:eastAsia="zh-CN"/>
        </w:rPr>
      </w:pPr>
      <w:r>
        <w:rPr>
          <w:rFonts w:hint="eastAsia" w:ascii="Times New Roman" w:hAnsi="Times New Roman" w:eastAsia="仿宋_GB2312"/>
          <w:color w:val="000000"/>
          <w:sz w:val="28"/>
          <w:szCs w:val="28"/>
          <w:lang w:val="en-US" w:eastAsia="zh-CN"/>
        </w:rPr>
        <w:t>直接引用于</w:t>
      </w:r>
      <w:r>
        <w:rPr>
          <w:rFonts w:hint="eastAsia" w:ascii="Times New Roman" w:hAnsi="Times New Roman" w:eastAsia="仿宋_GB2312"/>
          <w:b w:val="0"/>
          <w:bCs w:val="0"/>
          <w:color w:val="000000"/>
          <w:sz w:val="28"/>
          <w:szCs w:val="28"/>
          <w:lang w:val="en-US" w:eastAsia="zh-CN"/>
        </w:rPr>
        <w:t>《核动力厂核事环境应急监测技术规范》HJ 1128-2020中术语。</w:t>
      </w:r>
    </w:p>
    <w:p>
      <w:pPr>
        <w:spacing w:line="500" w:lineRule="exact"/>
        <w:ind w:firstLine="560" w:firstLineChars="200"/>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（3）</w:t>
      </w:r>
      <w:r>
        <w:rPr>
          <w:rFonts w:hint="eastAsia" w:ascii="Times New Roman" w:hAnsi="Times New Roman" w:eastAsia="仿宋_GB2312" w:cs="Times New Roman"/>
          <w:b/>
          <w:bCs/>
          <w:sz w:val="28"/>
          <w:szCs w:val="32"/>
          <w:lang w:val="en-US" w:eastAsia="zh-CN"/>
        </w:rPr>
        <w:t>应急演习：</w:t>
      </w:r>
      <w:r>
        <w:rPr>
          <w:rFonts w:hint="eastAsia" w:ascii="Times New Roman" w:hAnsi="Times New Roman" w:eastAsia="仿宋_GB2312" w:cs="Times New Roman"/>
          <w:sz w:val="28"/>
          <w:szCs w:val="32"/>
          <w:lang w:val="en-US" w:eastAsia="zh-CN"/>
        </w:rPr>
        <w:t>为检验应急计划的有效性、应急准备的完善性、应急能力的适应性和应急人员的协同性所进行的一种模拟应急响应的实践活动。</w:t>
      </w:r>
    </w:p>
    <w:p>
      <w:pPr>
        <w:spacing w:line="500" w:lineRule="exact"/>
        <w:ind w:firstLine="560" w:firstLineChars="200"/>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主要参照《生产经营单位生产安全事故应急预案编制导则》（GB/T 29639-2020）中“3.3 应急演练 针对可能发生的事故情景,依据应急预案模拟开展的应急活动”。结合本标准实际情况，增加对应急计划的时效性及应急准备的完善性进行定义。</w:t>
      </w:r>
    </w:p>
    <w:p>
      <w:pPr>
        <w:spacing w:line="500" w:lineRule="exact"/>
        <w:ind w:firstLine="560" w:firstLineChars="200"/>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（4）</w:t>
      </w:r>
      <w:r>
        <w:rPr>
          <w:rFonts w:hint="eastAsia" w:ascii="Times New Roman" w:hAnsi="Times New Roman" w:eastAsia="仿宋_GB2312" w:cs="Times New Roman"/>
          <w:b/>
          <w:bCs/>
          <w:sz w:val="28"/>
          <w:szCs w:val="32"/>
          <w:lang w:val="en-US" w:eastAsia="zh-CN"/>
        </w:rPr>
        <w:t>演习情景：</w:t>
      </w:r>
      <w:r>
        <w:rPr>
          <w:rFonts w:hint="eastAsia" w:ascii="Times New Roman" w:hAnsi="Times New Roman" w:eastAsia="仿宋_GB2312" w:cs="Times New Roman"/>
          <w:sz w:val="28"/>
          <w:szCs w:val="32"/>
          <w:lang w:val="en-US" w:eastAsia="zh-CN"/>
        </w:rPr>
        <w:t>为组织和进行演习，对设想的事件序列和对事故序列中事件的预期行动响应所作的有关描述。这种事件序列描述了应急响应的模拟事件、事故。</w:t>
      </w:r>
    </w:p>
    <w:p>
      <w:pPr>
        <w:spacing w:line="500" w:lineRule="exact"/>
        <w:ind w:firstLine="560" w:firstLineChars="200"/>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主要参照《生产安全事故应急演练评估规范》（AQ/T 9009-2015）中“3.3 演练情景 根据应急演练的目标要求，按照事故发生与演变的规律，事先假设的事故发生发展过程，描述事故发生的时间、地点、状态特征、波及范围、周边环境、可能的后果以及随时间的演变进程等内容”。结合项目组多年经验，增加对</w:t>
      </w:r>
      <w:r>
        <w:rPr>
          <w:rFonts w:hint="default" w:ascii="Times New Roman" w:hAnsi="Times New Roman" w:eastAsia="仿宋_GB2312" w:cs="Times New Roman"/>
          <w:sz w:val="28"/>
          <w:szCs w:val="32"/>
          <w:lang w:val="en-US" w:eastAsia="zh-CN"/>
        </w:rPr>
        <w:t>预期行动响应</w:t>
      </w:r>
      <w:r>
        <w:rPr>
          <w:rFonts w:hint="eastAsia" w:ascii="Times New Roman" w:hAnsi="Times New Roman" w:eastAsia="仿宋_GB2312" w:cs="Times New Roman"/>
          <w:sz w:val="28"/>
          <w:szCs w:val="32"/>
          <w:lang w:val="en-US" w:eastAsia="zh-CN"/>
        </w:rPr>
        <w:t>进行定义。</w:t>
      </w:r>
    </w:p>
    <w:p>
      <w:pPr>
        <w:spacing w:line="500" w:lineRule="exact"/>
        <w:ind w:firstLine="560" w:firstLineChars="200"/>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（5）</w:t>
      </w:r>
      <w:r>
        <w:rPr>
          <w:rFonts w:hint="default" w:ascii="Times New Roman" w:hAnsi="Times New Roman" w:eastAsia="仿宋_GB2312" w:cs="Times New Roman"/>
          <w:b/>
          <w:bCs/>
          <w:sz w:val="28"/>
          <w:szCs w:val="32"/>
          <w:lang w:val="en-US" w:eastAsia="zh-CN"/>
        </w:rPr>
        <w:t>评估人员</w:t>
      </w:r>
      <w:r>
        <w:rPr>
          <w:rFonts w:hint="eastAsia" w:ascii="Times New Roman" w:hAnsi="Times New Roman" w:eastAsia="仿宋_GB2312" w:cs="Times New Roman"/>
          <w:b/>
          <w:bCs/>
          <w:sz w:val="28"/>
          <w:szCs w:val="32"/>
          <w:lang w:val="en-US" w:eastAsia="zh-CN"/>
        </w:rPr>
        <w:t>：</w:t>
      </w:r>
      <w:r>
        <w:rPr>
          <w:rFonts w:hint="eastAsia" w:ascii="Times New Roman" w:hAnsi="Times New Roman" w:eastAsia="仿宋_GB2312" w:cs="Times New Roman"/>
          <w:sz w:val="28"/>
          <w:szCs w:val="32"/>
          <w:lang w:val="en-US" w:eastAsia="zh-CN"/>
        </w:rPr>
        <w:t>根据需求由评价机构聘请的，承担评价任务、出具评价结论，并承担相应责任的专家。</w:t>
      </w:r>
    </w:p>
    <w:p>
      <w:pPr>
        <w:spacing w:line="500" w:lineRule="exact"/>
        <w:ind w:firstLine="560" w:firstLineChars="200"/>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主要参照地方标准《辐射事故应急演练评估指南》（DB15/T 3488-2024）中“3.3 评估员 不参与演练活动，对演练进行独立评估并且实施评判的人员”。</w:t>
      </w:r>
    </w:p>
    <w:p>
      <w:pPr>
        <w:spacing w:line="500" w:lineRule="exact"/>
        <w:ind w:firstLine="560" w:firstLineChars="200"/>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（6）</w:t>
      </w:r>
      <w:r>
        <w:rPr>
          <w:rFonts w:hint="eastAsia" w:ascii="Times New Roman" w:hAnsi="Times New Roman" w:eastAsia="仿宋_GB2312" w:cs="Times New Roman"/>
          <w:b/>
          <w:bCs/>
          <w:sz w:val="28"/>
          <w:szCs w:val="32"/>
          <w:lang w:val="en-US" w:eastAsia="zh-CN"/>
        </w:rPr>
        <w:t>导调人员：</w:t>
      </w:r>
      <w:r>
        <w:rPr>
          <w:rFonts w:hint="eastAsia" w:ascii="Times New Roman" w:hAnsi="Times New Roman" w:eastAsia="仿宋_GB2312" w:cs="Times New Roman"/>
          <w:sz w:val="28"/>
          <w:szCs w:val="32"/>
          <w:lang w:val="en-US" w:eastAsia="zh-CN"/>
        </w:rPr>
        <w:t>根据演习方案和现场情况，引导和控制应急演习进程的人员。</w:t>
      </w:r>
    </w:p>
    <w:p>
      <w:pPr>
        <w:spacing w:line="500" w:lineRule="exact"/>
        <w:ind w:firstLine="560" w:firstLineChars="200"/>
        <w:rPr>
          <w:rFonts w:hint="default" w:ascii="Times New Roman" w:hAnsi="Times New Roman" w:eastAsia="仿宋_GB2312" w:cs="Times New Roman"/>
          <w:sz w:val="28"/>
          <w:szCs w:val="32"/>
          <w:lang w:val="en-US" w:eastAsia="zh-CN"/>
        </w:rPr>
      </w:pPr>
      <w:r>
        <w:rPr>
          <w:rFonts w:hint="eastAsia" w:ascii="Times New Roman" w:hAnsi="Times New Roman" w:eastAsia="仿宋_GB2312" w:cs="Times New Roman"/>
          <w:color w:val="auto"/>
          <w:sz w:val="28"/>
          <w:szCs w:val="32"/>
          <w:lang w:val="en-US" w:eastAsia="zh-CN"/>
        </w:rPr>
        <w:t>主要参照《广西壮族自治区辐射事故应急演习管理规定（试行）》（</w:t>
      </w:r>
      <w:r>
        <w:rPr>
          <w:rFonts w:hint="eastAsia" w:ascii="仿宋" w:hAnsi="仿宋" w:eastAsia="仿宋" w:cs="仿宋"/>
          <w:color w:val="auto"/>
          <w:sz w:val="28"/>
          <w:szCs w:val="32"/>
          <w:lang w:val="en-US" w:eastAsia="zh-CN"/>
        </w:rPr>
        <w:t>〔</w:t>
      </w:r>
      <w:r>
        <w:rPr>
          <w:rFonts w:hint="eastAsia" w:ascii="Times New Roman" w:hAnsi="Times New Roman" w:eastAsia="仿宋_GB2312" w:cs="Times New Roman"/>
          <w:color w:val="auto"/>
          <w:sz w:val="28"/>
          <w:szCs w:val="32"/>
          <w:lang w:val="en-US" w:eastAsia="zh-CN"/>
        </w:rPr>
        <w:t>2022</w:t>
      </w:r>
      <w:r>
        <w:rPr>
          <w:rFonts w:hint="eastAsia" w:ascii="仿宋" w:hAnsi="仿宋" w:eastAsia="仿宋" w:cs="仿宋"/>
          <w:color w:val="auto"/>
          <w:sz w:val="28"/>
          <w:szCs w:val="32"/>
          <w:lang w:val="en-US" w:eastAsia="zh-CN"/>
        </w:rPr>
        <w:t>〕</w:t>
      </w:r>
      <w:r>
        <w:rPr>
          <w:rFonts w:hint="eastAsia" w:ascii="Times New Roman" w:hAnsi="Times New Roman" w:eastAsia="仿宋_GB2312" w:cs="Times New Roman"/>
          <w:color w:val="auto"/>
          <w:sz w:val="28"/>
          <w:szCs w:val="32"/>
          <w:lang w:val="en-US" w:eastAsia="zh-CN"/>
        </w:rPr>
        <w:t>40号）中对演习的组织与实施，</w:t>
      </w:r>
      <w:r>
        <w:rPr>
          <w:rFonts w:hint="eastAsia" w:ascii="Times New Roman" w:hAnsi="Times New Roman" w:eastAsia="仿宋_GB2312" w:cs="Times New Roman"/>
          <w:sz w:val="28"/>
          <w:szCs w:val="32"/>
          <w:lang w:val="en-US" w:eastAsia="zh-CN"/>
        </w:rPr>
        <w:t>结合项目组多年组织演习的经验进行了表述。</w:t>
      </w:r>
    </w:p>
    <w:p>
      <w:pPr>
        <w:spacing w:line="500" w:lineRule="exact"/>
        <w:ind w:firstLine="560" w:firstLineChars="200"/>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（7）</w:t>
      </w:r>
      <w:r>
        <w:rPr>
          <w:rFonts w:hint="eastAsia" w:ascii="Times New Roman" w:hAnsi="Times New Roman" w:eastAsia="仿宋_GB2312" w:cs="Times New Roman"/>
          <w:b/>
          <w:bCs/>
          <w:sz w:val="28"/>
          <w:szCs w:val="32"/>
          <w:lang w:val="en-US" w:eastAsia="zh-CN"/>
        </w:rPr>
        <w:t>演习评估：</w:t>
      </w:r>
      <w:r>
        <w:rPr>
          <w:rFonts w:hint="eastAsia" w:ascii="Times New Roman" w:hAnsi="Times New Roman" w:eastAsia="仿宋_GB2312" w:cs="Times New Roman"/>
          <w:sz w:val="28"/>
          <w:szCs w:val="32"/>
          <w:lang w:val="en-US" w:eastAsia="zh-CN"/>
        </w:rPr>
        <w:t>围绕演习目标和要求，对参演人员表现、演习准备及组织实施过程做出客观评价，并编写演习评估报告的过程。</w:t>
      </w:r>
    </w:p>
    <w:p>
      <w:pPr>
        <w:spacing w:line="500" w:lineRule="exact"/>
        <w:ind w:firstLine="560" w:firstLineChars="200"/>
        <w:rPr>
          <w:rFonts w:hint="default"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主要参照地方标准《辐射事故应急演练评估指南》（DB15/T 3488-2024）中“3.7 应急演练评估”，同时</w:t>
      </w:r>
      <w:r>
        <w:rPr>
          <w:rFonts w:hint="eastAsia" w:ascii="Times New Roman" w:hAnsi="Times New Roman" w:eastAsia="仿宋_GB2312" w:cs="Times New Roman"/>
          <w:sz w:val="28"/>
          <w:szCs w:val="32"/>
          <w:lang w:val="en-US" w:eastAsia="zh-CN"/>
        </w:rPr>
        <w:t>结合</w:t>
      </w:r>
      <w:r>
        <w:rPr>
          <w:rFonts w:hint="eastAsia" w:ascii="Times New Roman" w:hAnsi="Times New Roman" w:eastAsia="仿宋_GB2312" w:cs="Times New Roman"/>
          <w:sz w:val="28"/>
          <w:szCs w:val="32"/>
          <w:lang w:val="en-US" w:eastAsia="zh-CN"/>
        </w:rPr>
        <w:t>项目组多年组织演习的经验进行了表述</w:t>
      </w:r>
    </w:p>
    <w:p>
      <w:pPr>
        <w:ind w:firstLine="640" w:firstLineChars="200"/>
        <w:outlineLvl w:val="1"/>
        <w:rPr>
          <w:rFonts w:hint="eastAsia" w:ascii="Times New Roman" w:hAnsi="Times New Roman" w:eastAsia="仿宋_GB2312" w:cs="Times New Roman"/>
          <w:sz w:val="28"/>
          <w:szCs w:val="32"/>
          <w:lang w:val="en-US" w:eastAsia="zh-CN"/>
        </w:rPr>
      </w:pPr>
      <w:r>
        <w:rPr>
          <w:rFonts w:hint="eastAsia" w:ascii="Times New Roman" w:hAnsi="Times New Roman" w:eastAsia="楷体_GB2312" w:cs="Times New Roman"/>
          <w:sz w:val="32"/>
          <w:szCs w:val="32"/>
          <w:lang w:val="en-US" w:eastAsia="zh-CN"/>
        </w:rPr>
        <w:t>（二）总则</w:t>
      </w:r>
    </w:p>
    <w:p>
      <w:pPr>
        <w:pStyle w:val="4"/>
        <w:pageBreakBefore w:val="0"/>
        <w:kinsoku/>
        <w:wordWrap/>
        <w:overflowPunct/>
        <w:topLinePunct w:val="0"/>
        <w:bidi w:val="0"/>
        <w:snapToGrid/>
        <w:spacing w:line="600" w:lineRule="exact"/>
        <w:textAlignment w:val="auto"/>
        <w:rPr>
          <w:rFonts w:hint="eastAsia" w:ascii="Times New Roman" w:hAnsi="Times New Roman" w:eastAsia="仿宋_GB2312" w:cs="Times New Roman"/>
          <w:b w:val="0"/>
          <w:bCs w:val="0"/>
          <w:kern w:val="2"/>
          <w:sz w:val="28"/>
          <w:szCs w:val="32"/>
          <w:lang w:val="en-US" w:eastAsia="zh-CN" w:bidi="ar-SA"/>
        </w:rPr>
      </w:pPr>
      <w:r>
        <w:rPr>
          <w:rFonts w:hint="eastAsia" w:ascii="Times New Roman" w:hAnsi="Times New Roman" w:eastAsia="仿宋_GB2312" w:cs="Times New Roman"/>
          <w:b w:val="0"/>
          <w:bCs w:val="0"/>
          <w:kern w:val="2"/>
          <w:sz w:val="28"/>
          <w:szCs w:val="32"/>
          <w:lang w:val="en-US" w:eastAsia="zh-CN" w:bidi="ar-SA"/>
        </w:rPr>
        <w:t>（1）评估目的</w:t>
      </w:r>
    </w:p>
    <w:p>
      <w:pPr>
        <w:spacing w:line="500" w:lineRule="exact"/>
        <w:ind w:firstLine="560" w:firstLineChars="200"/>
        <w:rPr>
          <w:rFonts w:hint="eastAsia" w:ascii="Times New Roman" w:hAnsi="Times New Roman" w:eastAsia="仿宋_GB2312" w:cs="Times New Roman"/>
          <w:color w:val="auto"/>
          <w:sz w:val="28"/>
          <w:szCs w:val="32"/>
          <w:lang w:val="en-US" w:eastAsia="zh-CN"/>
        </w:rPr>
      </w:pPr>
      <w:r>
        <w:rPr>
          <w:rFonts w:hint="eastAsia" w:ascii="Times New Roman" w:hAnsi="Times New Roman" w:eastAsia="仿宋_GB2312" w:cs="Times New Roman"/>
          <w:sz w:val="28"/>
          <w:szCs w:val="32"/>
          <w:lang w:val="en-US" w:eastAsia="zh-CN"/>
        </w:rPr>
        <w:t>通过评估发现辐射事故应急组织、事故报告、应急队伍、设施设备、应急保障、事故处置等方面存在的问题，并提出改进意见，以进一步提升辐射事故应急能力，紧紧围绕演习目的展开。</w:t>
      </w:r>
      <w:r>
        <w:rPr>
          <w:rFonts w:hint="eastAsia" w:ascii="Times New Roman" w:hAnsi="Times New Roman" w:eastAsia="仿宋_GB2312" w:cs="Times New Roman"/>
          <w:color w:val="C00000"/>
          <w:sz w:val="28"/>
          <w:szCs w:val="32"/>
          <w:lang w:val="en-US" w:eastAsia="zh-CN"/>
        </w:rPr>
        <w:t>主要参考了《广西壮族自治区辐射事故应急演习管理规定（试行）》（</w:t>
      </w:r>
      <w:r>
        <w:rPr>
          <w:rFonts w:hint="eastAsia" w:ascii="仿宋" w:hAnsi="仿宋" w:eastAsia="仿宋" w:cs="仿宋"/>
          <w:color w:val="C00000"/>
          <w:sz w:val="28"/>
          <w:szCs w:val="32"/>
          <w:lang w:val="en-US" w:eastAsia="zh-CN"/>
        </w:rPr>
        <w:t>〔</w:t>
      </w:r>
      <w:r>
        <w:rPr>
          <w:rFonts w:hint="eastAsia" w:ascii="Times New Roman" w:hAnsi="Times New Roman" w:eastAsia="仿宋_GB2312" w:cs="Times New Roman"/>
          <w:color w:val="C00000"/>
          <w:sz w:val="28"/>
          <w:szCs w:val="32"/>
          <w:lang w:val="en-US" w:eastAsia="zh-CN"/>
        </w:rPr>
        <w:t>2022</w:t>
      </w:r>
      <w:r>
        <w:rPr>
          <w:rFonts w:hint="eastAsia" w:ascii="仿宋" w:hAnsi="仿宋" w:eastAsia="仿宋" w:cs="仿宋"/>
          <w:color w:val="C00000"/>
          <w:sz w:val="28"/>
          <w:szCs w:val="32"/>
          <w:lang w:val="en-US" w:eastAsia="zh-CN"/>
        </w:rPr>
        <w:t>〕</w:t>
      </w:r>
      <w:r>
        <w:rPr>
          <w:rFonts w:hint="eastAsia" w:ascii="Times New Roman" w:hAnsi="Times New Roman" w:eastAsia="仿宋_GB2312" w:cs="Times New Roman"/>
          <w:color w:val="C00000"/>
          <w:sz w:val="28"/>
          <w:szCs w:val="32"/>
          <w:lang w:val="en-US" w:eastAsia="zh-CN"/>
        </w:rPr>
        <w:t>40号）的第二章演习目的，结合辐射事故应急预案规定的各成员单位应急职责进行总结的。</w:t>
      </w:r>
    </w:p>
    <w:p>
      <w:pPr>
        <w:pStyle w:val="2"/>
        <w:widowControl w:val="0"/>
        <w:pBdr>
          <w:top w:val="single" w:color="auto" w:sz="4" w:space="1"/>
          <w:left w:val="single" w:color="auto" w:sz="4" w:space="4"/>
          <w:bottom w:val="single" w:color="auto" w:sz="4" w:space="1"/>
          <w:right w:val="single" w:color="auto" w:sz="4" w:space="4"/>
          <w:between w:val="none" w:color="auto" w:sz="0" w:space="0"/>
        </w:pBdr>
        <w:spacing w:after="120" w:line="480" w:lineRule="auto"/>
        <w:jc w:val="both"/>
        <w:textAlignment w:val="baseline"/>
        <w:rPr>
          <w:rFonts w:hint="eastAsia"/>
          <w:lang w:val="en-US" w:eastAsia="zh-CN"/>
        </w:rPr>
      </w:pPr>
      <w:r>
        <w:rPr>
          <w:rFonts w:hint="eastAsia"/>
          <w:lang w:val="en-US" w:eastAsia="zh-CN"/>
        </w:rPr>
        <w:drawing>
          <wp:inline distT="0" distB="0" distL="114300" distR="114300">
            <wp:extent cx="2562860" cy="2879725"/>
            <wp:effectExtent l="0" t="0" r="8890" b="15875"/>
            <wp:docPr id="25" name="图片 47" descr="正文_P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7" descr="正文_Page1"/>
                    <pic:cNvPicPr>
                      <a:picLocks noChangeAspect="1"/>
                    </pic:cNvPicPr>
                  </pic:nvPicPr>
                  <pic:blipFill>
                    <a:blip r:embed="rId11"/>
                    <a:srcRect t="20567"/>
                    <a:stretch>
                      <a:fillRect/>
                    </a:stretch>
                  </pic:blipFill>
                  <pic:spPr>
                    <a:xfrm>
                      <a:off x="0" y="0"/>
                      <a:ext cx="2562860" cy="2879725"/>
                    </a:xfrm>
                    <a:prstGeom prst="rect">
                      <a:avLst/>
                    </a:prstGeom>
                    <a:noFill/>
                    <a:ln>
                      <a:noFill/>
                    </a:ln>
                  </pic:spPr>
                </pic:pic>
              </a:graphicData>
            </a:graphic>
          </wp:inline>
        </w:drawing>
      </w:r>
      <w:r>
        <w:rPr>
          <w:rFonts w:hint="eastAsia"/>
          <w:lang w:val="en-US" w:eastAsia="zh-CN"/>
        </w:rPr>
        <w:drawing>
          <wp:inline distT="0" distB="0" distL="114300" distR="114300">
            <wp:extent cx="2545080" cy="3599815"/>
            <wp:effectExtent l="0" t="0" r="7620" b="635"/>
            <wp:docPr id="48" name="图片 48" descr="正文1_P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正文1_Page2"/>
                    <pic:cNvPicPr>
                      <a:picLocks noChangeAspect="1"/>
                    </pic:cNvPicPr>
                  </pic:nvPicPr>
                  <pic:blipFill>
                    <a:blip r:embed="rId12"/>
                    <a:stretch>
                      <a:fillRect/>
                    </a:stretch>
                  </pic:blipFill>
                  <pic:spPr>
                    <a:xfrm>
                      <a:off x="0" y="0"/>
                      <a:ext cx="2545080" cy="3599815"/>
                    </a:xfrm>
                    <a:prstGeom prst="rect">
                      <a:avLst/>
                    </a:prstGeom>
                  </pic:spPr>
                </pic:pic>
              </a:graphicData>
            </a:graphic>
          </wp:inline>
        </w:drawing>
      </w:r>
    </w:p>
    <w:p>
      <w:pPr>
        <w:pStyle w:val="2"/>
        <w:jc w:val="center"/>
        <w:rPr>
          <w:rFonts w:hint="default"/>
          <w:color w:val="C00000"/>
          <w:lang w:val="en-US" w:eastAsia="zh-CN"/>
        </w:rPr>
      </w:pPr>
      <w:r>
        <w:rPr>
          <w:rFonts w:hint="eastAsia"/>
          <w:color w:val="C00000"/>
          <w:sz w:val="28"/>
          <w:szCs w:val="28"/>
          <w:lang w:val="en-US" w:eastAsia="zh-CN"/>
        </w:rPr>
        <w:t xml:space="preserve">图5 </w:t>
      </w:r>
      <w:r>
        <w:rPr>
          <w:rFonts w:hint="eastAsia" w:ascii="Times New Roman" w:hAnsi="Times New Roman" w:eastAsia="仿宋_GB2312" w:cs="Times New Roman"/>
          <w:color w:val="C00000"/>
          <w:sz w:val="28"/>
          <w:szCs w:val="28"/>
          <w:lang w:val="en-US" w:eastAsia="zh-CN"/>
        </w:rPr>
        <w:t>《</w:t>
      </w:r>
      <w:r>
        <w:rPr>
          <w:rFonts w:hint="eastAsia" w:ascii="Times New Roman" w:hAnsi="Times New Roman" w:eastAsia="仿宋_GB2312" w:cs="Times New Roman"/>
          <w:color w:val="C00000"/>
          <w:sz w:val="28"/>
          <w:szCs w:val="32"/>
          <w:lang w:val="en-US" w:eastAsia="zh-CN"/>
        </w:rPr>
        <w:t>广西壮族自治区辐射事故应急演习管理规定（试行）》</w:t>
      </w:r>
    </w:p>
    <w:p>
      <w:pPr>
        <w:pStyle w:val="4"/>
        <w:pageBreakBefore w:val="0"/>
        <w:kinsoku/>
        <w:wordWrap/>
        <w:overflowPunct/>
        <w:topLinePunct w:val="0"/>
        <w:bidi w:val="0"/>
        <w:snapToGrid/>
        <w:spacing w:line="600" w:lineRule="exact"/>
        <w:textAlignment w:val="auto"/>
        <w:rPr>
          <w:rFonts w:hint="eastAsia" w:ascii="Times New Roman" w:hAnsi="Times New Roman" w:eastAsia="仿宋_GB2312" w:cs="Times New Roman"/>
          <w:b w:val="0"/>
          <w:bCs w:val="0"/>
          <w:kern w:val="2"/>
          <w:sz w:val="28"/>
          <w:szCs w:val="32"/>
          <w:lang w:val="en-US" w:eastAsia="zh-CN" w:bidi="ar-SA"/>
        </w:rPr>
      </w:pPr>
      <w:r>
        <w:rPr>
          <w:rFonts w:hint="eastAsia" w:ascii="Times New Roman" w:hAnsi="Times New Roman" w:eastAsia="仿宋_GB2312" w:cs="Times New Roman"/>
          <w:b w:val="0"/>
          <w:bCs w:val="0"/>
          <w:kern w:val="2"/>
          <w:sz w:val="28"/>
          <w:szCs w:val="32"/>
          <w:lang w:val="en-US" w:eastAsia="zh-CN" w:bidi="ar-SA"/>
        </w:rPr>
        <w:t>（2）评估依据</w:t>
      </w:r>
    </w:p>
    <w:p>
      <w:pPr>
        <w:spacing w:line="500" w:lineRule="exact"/>
        <w:ind w:firstLine="560" w:firstLineChars="200"/>
        <w:rPr>
          <w:rFonts w:hint="eastAsia" w:ascii="Times New Roman" w:hAnsi="Times New Roman" w:eastAsia="仿宋_GB2312" w:cs="Times New Roman"/>
          <w:sz w:val="28"/>
          <w:szCs w:val="32"/>
          <w:lang w:val="en-US" w:eastAsia="zh-CN"/>
        </w:rPr>
      </w:pPr>
      <w:r>
        <w:rPr>
          <w:rFonts w:hint="eastAsia" w:ascii="Times New Roman" w:hAnsi="Times New Roman" w:eastAsia="仿宋_GB2312" w:cs="Times New Roman"/>
          <w:sz w:val="28"/>
          <w:szCs w:val="32"/>
          <w:lang w:val="en-US" w:eastAsia="zh-CN"/>
        </w:rPr>
        <w:t>评估演习的主要依据有：国家法律法规，自治区、市、企业辐射事故应急预案，以及相关国家标准和技术规范。</w:t>
      </w:r>
      <w:r>
        <w:rPr>
          <w:rFonts w:hint="eastAsia" w:ascii="Times New Roman" w:hAnsi="Times New Roman" w:eastAsia="仿宋_GB2312" w:cs="Times New Roman"/>
          <w:color w:val="auto"/>
          <w:sz w:val="28"/>
          <w:szCs w:val="32"/>
          <w:lang w:val="en-US" w:eastAsia="zh-CN"/>
        </w:rPr>
        <w:t>主要参考了《广西壮族自治区辐射事故应急演习管理规定（试行）》（</w:t>
      </w:r>
      <w:r>
        <w:rPr>
          <w:rFonts w:hint="eastAsia" w:ascii="仿宋" w:hAnsi="仿宋" w:eastAsia="仿宋" w:cs="仿宋"/>
          <w:color w:val="auto"/>
          <w:sz w:val="28"/>
          <w:szCs w:val="32"/>
          <w:lang w:val="en-US" w:eastAsia="zh-CN"/>
        </w:rPr>
        <w:t>〔</w:t>
      </w:r>
      <w:r>
        <w:rPr>
          <w:rFonts w:hint="eastAsia" w:ascii="Times New Roman" w:hAnsi="Times New Roman" w:eastAsia="仿宋_GB2312" w:cs="Times New Roman"/>
          <w:color w:val="auto"/>
          <w:sz w:val="28"/>
          <w:szCs w:val="32"/>
          <w:lang w:val="en-US" w:eastAsia="zh-CN"/>
        </w:rPr>
        <w:t>2022</w:t>
      </w:r>
      <w:r>
        <w:rPr>
          <w:rFonts w:hint="eastAsia" w:ascii="仿宋" w:hAnsi="仿宋" w:eastAsia="仿宋" w:cs="仿宋"/>
          <w:color w:val="auto"/>
          <w:sz w:val="28"/>
          <w:szCs w:val="32"/>
          <w:lang w:val="en-US" w:eastAsia="zh-CN"/>
        </w:rPr>
        <w:t>〕</w:t>
      </w:r>
      <w:r>
        <w:rPr>
          <w:rFonts w:hint="eastAsia" w:ascii="Times New Roman" w:hAnsi="Times New Roman" w:eastAsia="仿宋_GB2312" w:cs="Times New Roman"/>
          <w:color w:val="auto"/>
          <w:sz w:val="28"/>
          <w:szCs w:val="32"/>
          <w:lang w:val="en-US" w:eastAsia="zh-CN"/>
        </w:rPr>
        <w:t>40号）中关于演习组织所需要的材料，以及参考了</w:t>
      </w:r>
      <w:bookmarkStart w:id="41" w:name="OLE_LINK1"/>
      <w:r>
        <w:rPr>
          <w:rFonts w:hint="eastAsia" w:ascii="Times New Roman" w:hAnsi="Times New Roman" w:eastAsia="仿宋_GB2312" w:cs="Times New Roman"/>
          <w:sz w:val="28"/>
          <w:szCs w:val="32"/>
          <w:lang w:val="en-US" w:eastAsia="zh-CN"/>
        </w:rPr>
        <w:t>《辐射事故应急演练评估指南》（DB15/T 3488-2024）</w:t>
      </w:r>
      <w:bookmarkEnd w:id="41"/>
      <w:r>
        <w:rPr>
          <w:rFonts w:hint="eastAsia" w:ascii="Times New Roman" w:hAnsi="Times New Roman" w:eastAsia="仿宋_GB2312" w:cs="Times New Roman"/>
          <w:sz w:val="28"/>
          <w:szCs w:val="32"/>
          <w:lang w:val="en-US" w:eastAsia="zh-CN"/>
        </w:rPr>
        <w:t>。</w:t>
      </w:r>
    </w:p>
    <w:p>
      <w:pPr>
        <w:pStyle w:val="2"/>
        <w:jc w:val="center"/>
        <w:rPr>
          <w:bdr w:val="single" w:color="000000" w:sz="4" w:space="0"/>
        </w:rPr>
      </w:pPr>
      <w:r>
        <w:rPr>
          <w:bdr w:val="single" w:color="000000" w:sz="4" w:space="0"/>
        </w:rPr>
        <w:drawing>
          <wp:inline distT="0" distB="0" distL="114300" distR="114300">
            <wp:extent cx="4480560" cy="2952115"/>
            <wp:effectExtent l="0" t="0" r="15240" b="635"/>
            <wp:docPr id="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6"/>
                    <pic:cNvPicPr>
                      <a:picLocks noChangeAspect="1"/>
                    </pic:cNvPicPr>
                  </pic:nvPicPr>
                  <pic:blipFill>
                    <a:blip r:embed="rId13"/>
                    <a:stretch>
                      <a:fillRect/>
                    </a:stretch>
                  </pic:blipFill>
                  <pic:spPr>
                    <a:xfrm>
                      <a:off x="0" y="0"/>
                      <a:ext cx="4480560" cy="2952115"/>
                    </a:xfrm>
                    <a:prstGeom prst="rect">
                      <a:avLst/>
                    </a:prstGeom>
                    <a:noFill/>
                    <a:ln>
                      <a:noFill/>
                    </a:ln>
                  </pic:spPr>
                </pic:pic>
              </a:graphicData>
            </a:graphic>
          </wp:inline>
        </w:drawing>
      </w:r>
    </w:p>
    <w:p>
      <w:pPr>
        <w:bidi w:val="0"/>
        <w:jc w:val="center"/>
        <w:rPr>
          <w:rFonts w:hint="default" w:eastAsia="宋体"/>
          <w:bdr w:val="single" w:color="000000" w:sz="4" w:space="0"/>
          <w:lang w:val="en-US" w:eastAsia="zh-CN"/>
        </w:rPr>
      </w:pPr>
      <w:r>
        <w:rPr>
          <w:rFonts w:hint="eastAsia"/>
          <w:color w:val="C00000"/>
          <w:sz w:val="28"/>
          <w:szCs w:val="28"/>
          <w:lang w:val="en-US" w:eastAsia="zh-CN"/>
        </w:rPr>
        <w:t xml:space="preserve">图6  </w:t>
      </w:r>
      <w:r>
        <w:rPr>
          <w:rFonts w:hint="eastAsia" w:ascii="Times New Roman" w:hAnsi="Times New Roman" w:eastAsia="仿宋_GB2312" w:cs="Times New Roman"/>
          <w:color w:val="C00000"/>
          <w:sz w:val="28"/>
          <w:szCs w:val="32"/>
          <w:lang w:val="en-US" w:eastAsia="zh-CN"/>
        </w:rPr>
        <w:t>《辐射事故应急演练评估指南》（DB15/T 3488-2024）</w:t>
      </w:r>
    </w:p>
    <w:p>
      <w:pPr>
        <w:pStyle w:val="4"/>
        <w:pageBreakBefore w:val="0"/>
        <w:kinsoku/>
        <w:wordWrap/>
        <w:overflowPunct/>
        <w:topLinePunct w:val="0"/>
        <w:bidi w:val="0"/>
        <w:snapToGrid/>
        <w:spacing w:line="600" w:lineRule="exact"/>
        <w:textAlignment w:val="auto"/>
        <w:rPr>
          <w:rFonts w:hint="eastAsia" w:ascii="Times New Roman" w:hAnsi="Times New Roman" w:eastAsia="仿宋_GB2312" w:cs="Times New Roman"/>
          <w:b w:val="0"/>
          <w:bCs w:val="0"/>
          <w:kern w:val="2"/>
          <w:sz w:val="28"/>
          <w:szCs w:val="32"/>
          <w:lang w:val="en-US" w:eastAsia="zh-CN" w:bidi="ar-SA"/>
        </w:rPr>
      </w:pPr>
      <w:r>
        <w:rPr>
          <w:rFonts w:hint="eastAsia" w:ascii="Times New Roman" w:hAnsi="Times New Roman" w:eastAsia="仿宋_GB2312" w:cs="Times New Roman"/>
          <w:b w:val="0"/>
          <w:bCs w:val="0"/>
          <w:kern w:val="2"/>
          <w:sz w:val="28"/>
          <w:szCs w:val="32"/>
          <w:lang w:val="en-US" w:eastAsia="zh-CN" w:bidi="ar-SA"/>
        </w:rPr>
        <w:t>（3）评估程序</w:t>
      </w:r>
    </w:p>
    <w:p>
      <w:pPr>
        <w:spacing w:line="500" w:lineRule="exact"/>
        <w:ind w:firstLine="560" w:firstLineChars="200"/>
        <w:rPr>
          <w:rFonts w:hint="eastAsia" w:ascii="Times New Roman" w:hAnsi="Times New Roman" w:eastAsia="仿宋_GB2312" w:cs="Times New Roman"/>
          <w:color w:val="auto"/>
          <w:sz w:val="28"/>
          <w:szCs w:val="32"/>
          <w:lang w:val="en-US" w:eastAsia="zh-CN"/>
        </w:rPr>
      </w:pPr>
      <w:r>
        <w:rPr>
          <w:rFonts w:hint="eastAsia" w:ascii="Times New Roman" w:hAnsi="Times New Roman" w:eastAsia="仿宋_GB2312" w:cs="Times New Roman"/>
          <w:sz w:val="28"/>
          <w:szCs w:val="32"/>
          <w:lang w:val="en-US" w:eastAsia="zh-CN"/>
        </w:rPr>
        <w:t>将辐射事故应急演习评估主要分为评估准备、评估实施、评估总结三个阶段。</w:t>
      </w:r>
      <w:r>
        <w:rPr>
          <w:rFonts w:hint="eastAsia" w:ascii="Times New Roman" w:hAnsi="Times New Roman" w:eastAsia="仿宋_GB2312" w:cs="Times New Roman"/>
          <w:color w:val="C00000"/>
          <w:sz w:val="28"/>
          <w:szCs w:val="32"/>
          <w:lang w:val="en-US" w:eastAsia="zh-CN"/>
        </w:rPr>
        <w:t>主要参考了广西辐射站在组织对柳州、贺州、桂林等5个设区市辐射事故应急演习评估工作，以及生态环境部组织对广西3次省级辐射事故应急演习评估工作，评估组织单位在演习前会收集演习方案、脚本、预案等文件，邀请评估专家、召开评估前会议等工作，演习当天会跟随演习单位前往各演习点开展不同应急行动的评估工作，并记录演习情况，演习结束后，评估组织单位会再次召开总结会，通报演习实施情况。</w:t>
      </w:r>
    </w:p>
    <w:p>
      <w:pPr>
        <w:pStyle w:val="4"/>
        <w:pageBreakBefore w:val="0"/>
        <w:kinsoku/>
        <w:wordWrap/>
        <w:overflowPunct/>
        <w:topLinePunct w:val="0"/>
        <w:bidi w:val="0"/>
        <w:snapToGrid/>
        <w:spacing w:line="600" w:lineRule="exact"/>
        <w:textAlignment w:val="auto"/>
        <w:rPr>
          <w:rFonts w:hint="eastAsia" w:ascii="Times New Roman" w:hAnsi="Times New Roman" w:eastAsia="仿宋_GB2312" w:cs="Times New Roman"/>
          <w:b w:val="0"/>
          <w:bCs w:val="0"/>
          <w:kern w:val="2"/>
          <w:sz w:val="28"/>
          <w:szCs w:val="32"/>
          <w:lang w:val="en-US" w:eastAsia="zh-CN" w:bidi="ar-SA"/>
        </w:rPr>
      </w:pPr>
      <w:r>
        <w:rPr>
          <w:rFonts w:hint="eastAsia" w:ascii="Times New Roman" w:hAnsi="Times New Roman" w:eastAsia="仿宋_GB2312" w:cs="Times New Roman"/>
          <w:b w:val="0"/>
          <w:bCs w:val="0"/>
          <w:kern w:val="2"/>
          <w:sz w:val="28"/>
          <w:szCs w:val="32"/>
          <w:lang w:val="en-US" w:eastAsia="zh-CN" w:bidi="ar-SA"/>
        </w:rPr>
        <w:t>（4）评估原则</w:t>
      </w:r>
    </w:p>
    <w:p>
      <w:pPr>
        <w:spacing w:line="500" w:lineRule="exact"/>
        <w:ind w:firstLine="560" w:firstLineChars="200"/>
        <w:rPr>
          <w:rFonts w:hint="eastAsia" w:ascii="Times New Roman" w:hAnsi="Times New Roman" w:eastAsia="仿宋_GB2312" w:cs="Times New Roman"/>
          <w:color w:val="C00000"/>
          <w:sz w:val="28"/>
          <w:szCs w:val="32"/>
          <w:lang w:val="en-US" w:eastAsia="zh-CN"/>
        </w:rPr>
      </w:pPr>
      <w:r>
        <w:rPr>
          <w:rFonts w:hint="eastAsia" w:ascii="Times New Roman" w:hAnsi="Times New Roman" w:eastAsia="仿宋_GB2312" w:cs="Times New Roman"/>
          <w:sz w:val="28"/>
          <w:szCs w:val="32"/>
          <w:lang w:val="en-US" w:eastAsia="zh-CN"/>
        </w:rPr>
        <w:t>评估工作的开展遵循要素一致、关注重点要素和科学评估三项基本原则。强调评估内容应与演习类型相适应，评估要素范围明确涵盖事故报告、应急启动、应急组织、辐射监测、事故处置、安全防护、医疗救护、人员防护、应急保障及应急终止等一项或多项内容。并且依据相关评估标准，针对不同演习类型将评估内容细化成客观、公平、公正的评估表</w:t>
      </w:r>
      <w:r>
        <w:rPr>
          <w:rFonts w:hint="eastAsia" w:ascii="Times New Roman" w:hAnsi="Times New Roman" w:eastAsia="仿宋_GB2312" w:cs="Times New Roman"/>
          <w:color w:val="C00000"/>
          <w:sz w:val="28"/>
          <w:szCs w:val="32"/>
          <w:lang w:val="en-US" w:eastAsia="zh-CN"/>
        </w:rPr>
        <w:t>。</w:t>
      </w:r>
      <w:r>
        <w:rPr>
          <w:rFonts w:hint="eastAsia" w:ascii="Times New Roman" w:hAnsi="Times New Roman" w:eastAsia="仿宋_GB2312" w:cs="Times New Roman"/>
          <w:color w:val="C00000"/>
          <w:sz w:val="28"/>
          <w:szCs w:val="32"/>
          <w:lang w:val="en-US" w:eastAsia="zh-CN"/>
        </w:rPr>
        <w:t>主要参考了《广西壮族自治区辐射事故应急演习管理规定（试行）》（</w:t>
      </w:r>
      <w:r>
        <w:rPr>
          <w:rFonts w:hint="eastAsia" w:ascii="仿宋" w:hAnsi="仿宋" w:eastAsia="仿宋" w:cs="仿宋"/>
          <w:color w:val="C00000"/>
          <w:sz w:val="28"/>
          <w:szCs w:val="32"/>
          <w:lang w:val="en-US" w:eastAsia="zh-CN"/>
        </w:rPr>
        <w:t>〔</w:t>
      </w:r>
      <w:r>
        <w:rPr>
          <w:rFonts w:hint="eastAsia" w:ascii="Times New Roman" w:hAnsi="Times New Roman" w:eastAsia="仿宋_GB2312" w:cs="Times New Roman"/>
          <w:color w:val="C00000"/>
          <w:sz w:val="28"/>
          <w:szCs w:val="32"/>
          <w:lang w:val="en-US" w:eastAsia="zh-CN"/>
        </w:rPr>
        <w:t>2022</w:t>
      </w:r>
      <w:r>
        <w:rPr>
          <w:rFonts w:hint="eastAsia" w:ascii="仿宋" w:hAnsi="仿宋" w:eastAsia="仿宋" w:cs="仿宋"/>
          <w:color w:val="C00000"/>
          <w:sz w:val="28"/>
          <w:szCs w:val="32"/>
          <w:lang w:val="en-US" w:eastAsia="zh-CN"/>
        </w:rPr>
        <w:t>〕</w:t>
      </w:r>
      <w:r>
        <w:rPr>
          <w:rFonts w:hint="eastAsia" w:ascii="Times New Roman" w:hAnsi="Times New Roman" w:eastAsia="仿宋_GB2312" w:cs="Times New Roman"/>
          <w:color w:val="C00000"/>
          <w:sz w:val="28"/>
          <w:szCs w:val="32"/>
          <w:lang w:val="en-US" w:eastAsia="zh-CN"/>
        </w:rPr>
        <w:t>40号）中第六章演习评估、总结、改进中要求的内容，以及《广西壮族自治区辐射事故应急预案》中组织体系、应急行动等，并结合项目组在设计评估手册时主要围绕应急预案中应急组织体系、应急响应行动等进行指标设置、评估量化设计等经验。</w:t>
      </w:r>
    </w:p>
    <w:p>
      <w:pPr>
        <w:pStyle w:val="2"/>
        <w:widowControl w:val="0"/>
        <w:pBdr>
          <w:top w:val="none" w:color="auto" w:sz="0" w:space="1"/>
          <w:left w:val="none" w:color="auto" w:sz="0" w:space="4"/>
          <w:bottom w:val="none" w:color="auto" w:sz="0" w:space="1"/>
          <w:right w:val="none" w:color="auto" w:sz="0" w:space="4"/>
          <w:between w:val="none" w:color="auto" w:sz="0" w:space="0"/>
        </w:pBdr>
        <w:spacing w:after="120" w:line="480" w:lineRule="auto"/>
        <w:jc w:val="center"/>
        <w:textAlignment w:val="baseline"/>
      </w:pPr>
      <w:r>
        <w:drawing>
          <wp:inline distT="0" distB="0" distL="114300" distR="114300">
            <wp:extent cx="2640330" cy="3599815"/>
            <wp:effectExtent l="9525" t="9525" r="17145" b="10160"/>
            <wp:docPr id="3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3"/>
                    <pic:cNvPicPr>
                      <a:picLocks noChangeAspect="1"/>
                    </pic:cNvPicPr>
                  </pic:nvPicPr>
                  <pic:blipFill>
                    <a:blip r:embed="rId14"/>
                    <a:stretch>
                      <a:fillRect/>
                    </a:stretch>
                  </pic:blipFill>
                  <pic:spPr>
                    <a:xfrm>
                      <a:off x="0" y="0"/>
                      <a:ext cx="2640330" cy="3599815"/>
                    </a:xfrm>
                    <a:prstGeom prst="rect">
                      <a:avLst/>
                    </a:prstGeom>
                    <a:noFill/>
                    <a:ln w="9525" cap="flat" cmpd="sng">
                      <a:solidFill>
                        <a:srgbClr val="000000"/>
                      </a:solidFill>
                      <a:prstDash val="solid"/>
                      <a:miter/>
                      <a:headEnd type="none" w="med" len="med"/>
                      <a:tailEnd type="none" w="med" len="med"/>
                    </a:ln>
                  </pic:spPr>
                </pic:pic>
              </a:graphicData>
            </a:graphic>
          </wp:inline>
        </w:drawing>
      </w:r>
    </w:p>
    <w:p>
      <w:pPr>
        <w:bidi w:val="0"/>
        <w:jc w:val="center"/>
        <w:rPr>
          <w:rFonts w:hint="eastAsia" w:ascii="仿宋" w:hAnsi="仿宋" w:eastAsia="仿宋" w:cs="仿宋"/>
          <w:color w:val="C00000"/>
          <w:sz w:val="28"/>
          <w:szCs w:val="28"/>
          <w:lang w:val="en-US" w:eastAsia="zh-CN"/>
        </w:rPr>
      </w:pPr>
      <w:r>
        <w:rPr>
          <w:rFonts w:hint="eastAsia" w:ascii="仿宋" w:hAnsi="仿宋" w:eastAsia="仿宋" w:cs="仿宋"/>
          <w:color w:val="C00000"/>
          <w:sz w:val="28"/>
          <w:szCs w:val="28"/>
          <w:lang w:val="en-US" w:eastAsia="zh-CN"/>
        </w:rPr>
        <w:t>图7  应急预案中应急响应流程图</w:t>
      </w:r>
    </w:p>
    <w:p>
      <w:pPr>
        <w:pStyle w:val="2"/>
        <w:jc w:val="center"/>
        <w:rPr>
          <w:rFonts w:hint="default" w:ascii="仿宋" w:hAnsi="仿宋" w:eastAsia="仿宋" w:cs="Times New Roman"/>
          <w:sz w:val="32"/>
          <w:szCs w:val="32"/>
          <w:lang w:val="en-US" w:eastAsia="zh-CN"/>
        </w:rPr>
      </w:pPr>
      <w:r>
        <w:rPr>
          <w:rFonts w:ascii="仿宋" w:hAnsi="仿宋" w:eastAsia="仿宋" w:cs="Times New Roman"/>
          <w:sz w:val="32"/>
          <w:szCs w:val="32"/>
        </w:rPr>
        <w:object>
          <v:shape id="_x0000_i1046" o:spt="75" type="#_x0000_t75" style="height:204.95pt;width:414.6pt;" o:ole="t" filled="f" o:preferrelative="t" stroked="t" coordsize="21600,21600">
            <v:path/>
            <v:fill on="f" focussize="0,0"/>
            <v:stroke joinstyle="miter"/>
            <v:imagedata r:id="rId16" o:title=""/>
            <o:lock v:ext="edit" aspectratio="f"/>
            <w10:wrap type="none"/>
            <w10:anchorlock/>
          </v:shape>
          <o:OLEObject Type="Embed" ProgID="Visio.Drawing.15" ShapeID="_x0000_i1046" DrawAspect="Content" ObjectID="_1468075725" r:id="rId15">
            <o:LockedField>false</o:LockedField>
          </o:OLEObject>
        </w:object>
      </w:r>
      <w:r>
        <w:rPr>
          <w:rFonts w:hint="eastAsia" w:ascii="仿宋" w:hAnsi="仿宋" w:eastAsia="仿宋" w:cs="Times New Roman"/>
          <w:color w:val="C00000"/>
          <w:sz w:val="32"/>
          <w:szCs w:val="32"/>
          <w:lang w:val="en-US" w:eastAsia="zh-CN"/>
        </w:rPr>
        <w:t>图8  应急预案中应急组织体系图</w:t>
      </w:r>
    </w:p>
    <w:p>
      <w:pPr>
        <w:ind w:firstLine="640" w:firstLineChars="200"/>
        <w:outlineLvl w:val="1"/>
        <w:rPr>
          <w:rFonts w:hint="default" w:ascii="Times New Roman" w:hAnsi="Times New Roman" w:eastAsia="楷体_GB2312" w:cs="Times New Roman"/>
          <w:sz w:val="32"/>
          <w:szCs w:val="32"/>
          <w:lang w:val="en-US" w:eastAsia="zh-CN"/>
        </w:rPr>
      </w:pPr>
      <w:r>
        <w:rPr>
          <w:rFonts w:hint="eastAsia" w:ascii="Times New Roman" w:hAnsi="Times New Roman" w:eastAsia="楷体_GB2312" w:cs="Times New Roman"/>
          <w:sz w:val="32"/>
          <w:szCs w:val="32"/>
          <w:lang w:val="en-US" w:eastAsia="zh-CN"/>
        </w:rPr>
        <w:t>（三）演习类型</w:t>
      </w:r>
    </w:p>
    <w:p>
      <w:pPr>
        <w:spacing w:line="500" w:lineRule="exact"/>
        <w:ind w:firstLine="560" w:firstLineChars="200"/>
        <w:rPr>
          <w:rFonts w:hint="eastAsia" w:ascii="Times New Roman" w:hAnsi="Times New Roman" w:eastAsia="仿宋_GB2312" w:cs="Times New Roman"/>
          <w:color w:val="C00000"/>
          <w:sz w:val="28"/>
          <w:szCs w:val="32"/>
          <w:lang w:val="en-US" w:eastAsia="zh-CN"/>
        </w:rPr>
      </w:pPr>
      <w:r>
        <w:rPr>
          <w:rFonts w:hint="eastAsia" w:ascii="Times New Roman" w:hAnsi="Times New Roman" w:eastAsia="仿宋_GB2312" w:cs="Times New Roman"/>
          <w:color w:val="auto"/>
          <w:sz w:val="28"/>
          <w:szCs w:val="32"/>
          <w:lang w:val="en-US" w:eastAsia="zh-CN"/>
        </w:rPr>
        <w:t>本标准将演习划分为单项演练、专项演练、综合演习。</w:t>
      </w:r>
      <w:r>
        <w:rPr>
          <w:rFonts w:hint="eastAsia" w:ascii="Times New Roman" w:hAnsi="Times New Roman" w:eastAsia="仿宋_GB2312" w:cs="Times New Roman"/>
          <w:color w:val="C00000"/>
          <w:sz w:val="28"/>
          <w:szCs w:val="32"/>
          <w:lang w:val="en-US" w:eastAsia="zh-CN"/>
        </w:rPr>
        <w:t>主要依据《广西壮族自治区辐射事故应急演习管理规定（试行）》（〔2022〕40号）将演习分为专项演练、综合演习两类，</w:t>
      </w:r>
      <w:r>
        <w:rPr>
          <w:rFonts w:hint="eastAsia" w:ascii="Times New Roman" w:hAnsi="Times New Roman" w:eastAsia="仿宋_GB2312" w:cs="Times New Roman"/>
          <w:color w:val="C00000"/>
          <w:sz w:val="28"/>
          <w:szCs w:val="32"/>
          <w:lang w:val="en-US" w:eastAsia="zh-CN"/>
        </w:rPr>
        <w:t>单项演练是考虑到各单位开展如辐射监测、污染处置、舆情搜索等具体某一小项应急行动而增加的。</w:t>
      </w:r>
      <w:r>
        <w:rPr>
          <w:rFonts w:hint="eastAsia" w:ascii="Times New Roman" w:hAnsi="Times New Roman" w:eastAsia="仿宋_GB2312" w:cs="Times New Roman"/>
          <w:color w:val="C00000"/>
          <w:sz w:val="28"/>
          <w:szCs w:val="32"/>
          <w:lang w:val="en-US" w:eastAsia="zh-CN"/>
        </w:rPr>
        <w:t>各类演习内容主要参考了《广西壮族自治区辐射事故应急预案》中规定的应急响应行动。</w:t>
      </w:r>
    </w:p>
    <w:p>
      <w:pPr>
        <w:pStyle w:val="2"/>
        <w:jc w:val="center"/>
        <w:rPr>
          <w:rFonts w:hint="default"/>
          <w:lang w:val="en-US" w:eastAsia="zh-CN"/>
        </w:rPr>
      </w:pPr>
      <w:r>
        <w:rPr>
          <w:rFonts w:hint="default"/>
          <w:lang w:val="en-US" w:eastAsia="zh-CN"/>
        </w:rPr>
        <w:drawing>
          <wp:inline distT="0" distB="0" distL="114300" distR="114300">
            <wp:extent cx="2545080" cy="3599815"/>
            <wp:effectExtent l="9525" t="9525" r="17145" b="10160"/>
            <wp:docPr id="31" name="图片 25" descr="正文1_P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5" descr="正文1_Page2"/>
                    <pic:cNvPicPr>
                      <a:picLocks noChangeAspect="1"/>
                    </pic:cNvPicPr>
                  </pic:nvPicPr>
                  <pic:blipFill>
                    <a:blip r:embed="rId12"/>
                    <a:stretch>
                      <a:fillRect/>
                    </a:stretch>
                  </pic:blipFill>
                  <pic:spPr>
                    <a:xfrm>
                      <a:off x="0" y="0"/>
                      <a:ext cx="2545080" cy="3599815"/>
                    </a:xfrm>
                    <a:prstGeom prst="rect">
                      <a:avLst/>
                    </a:prstGeom>
                    <a:noFill/>
                    <a:ln w="9525" cap="flat" cmpd="sng">
                      <a:solidFill>
                        <a:srgbClr val="000000"/>
                      </a:solidFill>
                      <a:prstDash val="solid"/>
                      <a:miter/>
                      <a:headEnd type="none" w="med" len="med"/>
                      <a:tailEnd type="none" w="med" len="med"/>
                    </a:ln>
                  </pic:spPr>
                </pic:pic>
              </a:graphicData>
            </a:graphic>
          </wp:inline>
        </w:drawing>
      </w:r>
    </w:p>
    <w:p>
      <w:pPr>
        <w:bidi w:val="0"/>
        <w:jc w:val="center"/>
        <w:rPr>
          <w:rFonts w:hint="eastAsia" w:ascii="仿宋" w:hAnsi="仿宋" w:eastAsia="仿宋" w:cs="仿宋"/>
          <w:color w:val="C00000"/>
          <w:sz w:val="28"/>
          <w:szCs w:val="28"/>
          <w:lang w:val="en-US" w:eastAsia="zh-CN"/>
        </w:rPr>
      </w:pPr>
      <w:r>
        <w:rPr>
          <w:rFonts w:hint="eastAsia" w:ascii="仿宋" w:hAnsi="仿宋" w:eastAsia="仿宋" w:cs="仿宋"/>
          <w:color w:val="C00000"/>
          <w:sz w:val="28"/>
          <w:szCs w:val="28"/>
          <w:lang w:val="en-US" w:eastAsia="zh-CN"/>
        </w:rPr>
        <w:t>图9  演习管理规定（试行）中演习分类</w:t>
      </w:r>
    </w:p>
    <w:p>
      <w:pPr>
        <w:bidi w:val="0"/>
        <w:jc w:val="cente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114300" distR="114300">
            <wp:extent cx="4225290" cy="3168015"/>
            <wp:effectExtent l="0" t="0" r="3810" b="13335"/>
            <wp:docPr id="32" name="图片 26" descr="7f4e89d0b45173fe8c0101f12bcb6c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6" descr="7f4e89d0b45173fe8c0101f12bcb6c17"/>
                    <pic:cNvPicPr>
                      <a:picLocks noChangeAspect="1"/>
                    </pic:cNvPicPr>
                  </pic:nvPicPr>
                  <pic:blipFill>
                    <a:blip r:embed="rId17"/>
                    <a:stretch>
                      <a:fillRect/>
                    </a:stretch>
                  </pic:blipFill>
                  <pic:spPr>
                    <a:xfrm>
                      <a:off x="0" y="0"/>
                      <a:ext cx="4225290" cy="3168015"/>
                    </a:xfrm>
                    <a:prstGeom prst="rect">
                      <a:avLst/>
                    </a:prstGeom>
                    <a:noFill/>
                    <a:ln>
                      <a:noFill/>
                    </a:ln>
                  </pic:spPr>
                </pic:pic>
              </a:graphicData>
            </a:graphic>
          </wp:inline>
        </w:drawing>
      </w:r>
    </w:p>
    <w:p>
      <w:pPr>
        <w:bidi w:val="0"/>
        <w:jc w:val="center"/>
        <w:rPr>
          <w:rFonts w:hint="eastAsia" w:ascii="仿宋" w:hAnsi="仿宋" w:eastAsia="仿宋" w:cs="仿宋"/>
          <w:color w:val="C00000"/>
          <w:sz w:val="28"/>
          <w:szCs w:val="28"/>
          <w:lang w:val="en-US" w:eastAsia="zh-CN"/>
        </w:rPr>
      </w:pPr>
      <w:r>
        <w:rPr>
          <w:rFonts w:hint="eastAsia" w:ascii="仿宋" w:hAnsi="仿宋" w:eastAsia="仿宋" w:cs="仿宋"/>
          <w:color w:val="C00000"/>
          <w:sz w:val="28"/>
          <w:szCs w:val="28"/>
          <w:lang w:val="en-US" w:eastAsia="zh-CN"/>
        </w:rPr>
        <w:t>图10  广西辐射站自行组织的辐射监测单项演练</w:t>
      </w:r>
    </w:p>
    <w:p>
      <w:pPr>
        <w:ind w:firstLine="640" w:firstLineChars="200"/>
        <w:outlineLvl w:val="1"/>
        <w:rPr>
          <w:rFonts w:hint="default" w:ascii="Times New Roman" w:hAnsi="Times New Roman" w:eastAsia="楷体_GB2312" w:cs="Times New Roman"/>
          <w:sz w:val="32"/>
          <w:szCs w:val="32"/>
          <w:lang w:val="en-US" w:eastAsia="zh-CN"/>
        </w:rPr>
      </w:pPr>
      <w:r>
        <w:rPr>
          <w:rFonts w:hint="eastAsia" w:ascii="Times New Roman" w:hAnsi="Times New Roman" w:eastAsia="楷体_GB2312" w:cs="Times New Roman"/>
          <w:sz w:val="32"/>
          <w:szCs w:val="32"/>
          <w:lang w:val="en-US" w:eastAsia="zh-CN"/>
        </w:rPr>
        <w:t>（四）评估准备</w:t>
      </w:r>
    </w:p>
    <w:p>
      <w:pPr>
        <w:pStyle w:val="29"/>
        <w:ind w:firstLine="420"/>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_GB2312" w:cs="Times New Roman"/>
          <w:color w:val="auto"/>
          <w:sz w:val="28"/>
          <w:szCs w:val="32"/>
          <w:lang w:val="en-US" w:eastAsia="zh-CN"/>
        </w:rPr>
        <w:t>主要开展评估组的组织、资料收集、评估实施方案编制等，包括选择合适的评估人员，收集用于评估时参阅的预案、脚本等，并制定详细的评估方案，明确各自职责。</w:t>
      </w:r>
    </w:p>
    <w:p>
      <w:pPr>
        <w:pStyle w:val="29"/>
        <w:numPr>
          <w:ilvl w:val="0"/>
          <w:numId w:val="7"/>
        </w:numPr>
        <w:ind w:firstLine="420"/>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成立演习评估组织</w:t>
      </w:r>
    </w:p>
    <w:p>
      <w:pPr>
        <w:pStyle w:val="29"/>
        <w:ind w:firstLine="420"/>
        <w:rPr>
          <w:rFonts w:hint="eastAsia" w:ascii="Times New Roman" w:hAnsi="Times New Roman" w:eastAsia="仿宋_GB2312" w:cs="Times New Roman"/>
          <w:color w:val="auto"/>
          <w:sz w:val="28"/>
          <w:szCs w:val="32"/>
          <w:lang w:val="en-US" w:eastAsia="zh-CN"/>
        </w:rPr>
      </w:pPr>
      <w:r>
        <w:rPr>
          <w:rFonts w:hint="eastAsia" w:ascii="Times New Roman" w:hAnsi="Times New Roman" w:eastAsia="仿宋_GB2312" w:cs="Times New Roman"/>
          <w:color w:val="auto"/>
          <w:sz w:val="28"/>
          <w:szCs w:val="32"/>
          <w:lang w:val="en-US" w:eastAsia="zh-CN"/>
        </w:rPr>
        <w:t>明确评估组组成，演习有辐射环境监测、污染处置等专业技术工作，因此明确主要以专业技术人员为主的评估人员。</w:t>
      </w:r>
      <w:r>
        <w:rPr>
          <w:rFonts w:hint="eastAsia" w:ascii="Times New Roman" w:hAnsi="Times New Roman" w:eastAsia="仿宋_GB2312" w:cs="Times New Roman"/>
          <w:color w:val="C00000"/>
          <w:sz w:val="28"/>
          <w:szCs w:val="32"/>
          <w:lang w:val="en-US" w:eastAsia="zh-CN"/>
        </w:rPr>
        <w:t>主要参考《广西壮族自治区辐射事故应急演习管理规定（试行）》（〔2022〕40号）中第六章演习评估、总结及改进，参考了《辐射事故应急演练评估指南》（DB15/T 3488-2024），以及项目团队在对柳州、桂林、贺州等5个设区市辐射事故应急演习评估中的邀请了辐射监测、污染处置、舆情应对等方面的专家进行现场评估。在广西辐射站组织的单项演习中，邀请了辐射监测、应急管理等方面的专家现在进行了观摩和评估</w:t>
      </w:r>
      <w:r>
        <w:rPr>
          <w:rFonts w:hint="eastAsia" w:ascii="Times New Roman" w:hAnsi="Times New Roman" w:eastAsia="仿宋" w:cs="Times New Roman"/>
          <w:b w:val="0"/>
          <w:bCs w:val="0"/>
          <w:color w:val="C00000"/>
          <w:kern w:val="0"/>
          <w:sz w:val="28"/>
          <w:szCs w:val="28"/>
          <w:highlight w:val="none"/>
          <w:lang w:val="en-US" w:eastAsia="zh-CN" w:bidi="ar-SA"/>
        </w:rPr>
        <w:t>。</w:t>
      </w:r>
    </w:p>
    <w:p>
      <w:pPr>
        <w:pStyle w:val="29"/>
        <w:keepNext w:val="0"/>
        <w:keepLines w:val="0"/>
        <w:pageBreakBefore w:val="0"/>
        <w:widowControl/>
        <w:numPr>
          <w:ilvl w:val="0"/>
          <w:numId w:val="0"/>
        </w:numPr>
        <w:kinsoku/>
        <w:wordWrap/>
        <w:overflowPunct/>
        <w:topLinePunct w:val="0"/>
        <w:autoSpaceDE w:val="0"/>
        <w:autoSpaceDN w:val="0"/>
        <w:bidi w:val="0"/>
        <w:adjustRightInd/>
        <w:snapToGrid/>
        <w:ind w:firstLine="560" w:firstLineChars="200"/>
        <w:textAlignment w:val="auto"/>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（2）资料收集</w:t>
      </w:r>
    </w:p>
    <w:p>
      <w:pPr>
        <w:pStyle w:val="29"/>
        <w:ind w:firstLine="420"/>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_GB2312" w:cs="Times New Roman"/>
          <w:color w:val="auto"/>
          <w:sz w:val="28"/>
          <w:szCs w:val="32"/>
          <w:lang w:val="en-US" w:eastAsia="zh-CN"/>
        </w:rPr>
        <w:t>在开展评估工作前，评估组须向演习组织方全面收集应急预案、演习方案、演习脚本及配套文书，便于评估人员制定评估方案和准则。</w:t>
      </w:r>
      <w:r>
        <w:rPr>
          <w:rFonts w:hint="eastAsia" w:ascii="Times New Roman" w:hAnsi="Times New Roman" w:eastAsia="仿宋_GB2312" w:cs="Times New Roman"/>
          <w:color w:val="C00000"/>
          <w:sz w:val="28"/>
          <w:szCs w:val="32"/>
          <w:lang w:val="en-US" w:eastAsia="zh-CN"/>
        </w:rPr>
        <w:t>主要参考了广西辐射站在对柳州、桂林、贺州等5个设区市辐射事故应急演习评估中的收集了预案、演习方案、脚本等对演习进行了评估，广西辐射站组织的单项演习中主要是根据演习方案方案和监测技术规范进行评估</w:t>
      </w:r>
      <w:r>
        <w:rPr>
          <w:rFonts w:hint="eastAsia" w:ascii="Times New Roman" w:hAnsi="Times New Roman" w:eastAsia="仿宋" w:cs="Times New Roman"/>
          <w:b w:val="0"/>
          <w:bCs w:val="0"/>
          <w:color w:val="C00000"/>
          <w:kern w:val="0"/>
          <w:sz w:val="28"/>
          <w:szCs w:val="28"/>
          <w:highlight w:val="none"/>
          <w:lang w:val="en-US" w:eastAsia="zh-CN" w:bidi="ar-SA"/>
        </w:rPr>
        <w:t>。</w:t>
      </w:r>
    </w:p>
    <w:p>
      <w:pPr>
        <w:pStyle w:val="29"/>
        <w:ind w:left="0" w:leftChars="0" w:firstLine="0" w:firstLineChars="0"/>
        <w:jc w:val="center"/>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drawing>
          <wp:inline distT="0" distB="0" distL="114300" distR="114300">
            <wp:extent cx="2332990" cy="3599815"/>
            <wp:effectExtent l="9525" t="9525" r="19685" b="1016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9"/>
                    <pic:cNvPicPr>
                      <a:picLocks noChangeAspect="1"/>
                    </pic:cNvPicPr>
                  </pic:nvPicPr>
                  <pic:blipFill>
                    <a:blip r:embed="rId18"/>
                    <a:stretch>
                      <a:fillRect/>
                    </a:stretch>
                  </pic:blipFill>
                  <pic:spPr>
                    <a:xfrm>
                      <a:off x="0" y="0"/>
                      <a:ext cx="2332990" cy="3599815"/>
                    </a:xfrm>
                    <a:prstGeom prst="rect">
                      <a:avLst/>
                    </a:prstGeom>
                    <a:noFill/>
                    <a:ln w="9525" cap="flat" cmpd="sng">
                      <a:solidFill>
                        <a:srgbClr val="000000"/>
                      </a:solidFill>
                      <a:prstDash val="solid"/>
                      <a:miter/>
                      <a:headEnd type="none" w="med" len="med"/>
                      <a:tailEnd type="none" w="med" len="med"/>
                    </a:ln>
                  </pic:spPr>
                </pic:pic>
              </a:graphicData>
            </a:graphic>
          </wp:inline>
        </w:drawing>
      </w:r>
    </w:p>
    <w:p>
      <w:pPr>
        <w:pStyle w:val="29"/>
        <w:ind w:left="0" w:leftChars="0" w:firstLine="0" w:firstLineChars="0"/>
        <w:jc w:val="center"/>
        <w:rPr>
          <w:rFonts w:hint="default" w:ascii="Times New Roman" w:hAnsi="Times New Roman" w:eastAsia="仿宋" w:cs="Times New Roman"/>
          <w:b w:val="0"/>
          <w:bCs w:val="0"/>
          <w:color w:val="C00000"/>
          <w:kern w:val="0"/>
          <w:sz w:val="28"/>
          <w:szCs w:val="28"/>
          <w:highlight w:val="none"/>
          <w:lang w:val="en-US" w:eastAsia="zh-CN" w:bidi="ar-SA"/>
        </w:rPr>
      </w:pPr>
      <w:r>
        <w:rPr>
          <w:rFonts w:hint="eastAsia" w:ascii="Times New Roman" w:hAnsi="Times New Roman" w:eastAsia="仿宋" w:cs="Times New Roman"/>
          <w:b w:val="0"/>
          <w:bCs w:val="0"/>
          <w:color w:val="C00000"/>
          <w:kern w:val="0"/>
          <w:sz w:val="28"/>
          <w:szCs w:val="28"/>
          <w:highlight w:val="none"/>
          <w:lang w:val="en-US" w:eastAsia="zh-CN" w:bidi="ar-SA"/>
        </w:rPr>
        <w:t>图11  柳州市辐射事故演习方案</w:t>
      </w:r>
    </w:p>
    <w:p>
      <w:pPr>
        <w:pStyle w:val="29"/>
        <w:ind w:left="0" w:leftChars="0" w:firstLine="0" w:firstLineChars="0"/>
        <w:rPr>
          <w:rFonts w:hint="eastAsia" w:ascii="Times New Roman" w:hAnsi="Times New Roman" w:eastAsia="仿宋" w:cs="Times New Roman"/>
          <w:b w:val="0"/>
          <w:bCs w:val="0"/>
          <w:color w:val="auto"/>
          <w:kern w:val="0"/>
          <w:sz w:val="28"/>
          <w:szCs w:val="28"/>
          <w:highlight w:val="none"/>
          <w:lang w:val="en-US" w:eastAsia="zh-CN" w:bidi="ar-SA"/>
        </w:rPr>
      </w:pPr>
      <w:r>
        <w:drawing>
          <wp:inline distT="0" distB="0" distL="114300" distR="114300">
            <wp:extent cx="5267960" cy="3138170"/>
            <wp:effectExtent l="9525" t="9525" r="18415" b="14605"/>
            <wp:docPr id="3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8"/>
                    <pic:cNvPicPr>
                      <a:picLocks noChangeAspect="1"/>
                    </pic:cNvPicPr>
                  </pic:nvPicPr>
                  <pic:blipFill>
                    <a:blip r:embed="rId19"/>
                    <a:stretch>
                      <a:fillRect/>
                    </a:stretch>
                  </pic:blipFill>
                  <pic:spPr>
                    <a:xfrm>
                      <a:off x="0" y="0"/>
                      <a:ext cx="5267960" cy="3138170"/>
                    </a:xfrm>
                    <a:prstGeom prst="rect">
                      <a:avLst/>
                    </a:prstGeom>
                    <a:noFill/>
                    <a:ln w="9525" cap="flat" cmpd="sng">
                      <a:solidFill>
                        <a:srgbClr val="000000"/>
                      </a:solidFill>
                      <a:prstDash val="solid"/>
                      <a:miter/>
                      <a:headEnd type="none" w="med" len="med"/>
                      <a:tailEnd type="none" w="med" len="med"/>
                    </a:ln>
                  </pic:spPr>
                </pic:pic>
              </a:graphicData>
            </a:graphic>
          </wp:inline>
        </w:drawing>
      </w:r>
    </w:p>
    <w:p>
      <w:pPr>
        <w:pStyle w:val="29"/>
        <w:ind w:left="0" w:leftChars="0" w:firstLine="0" w:firstLineChars="0"/>
        <w:jc w:val="center"/>
        <w:rPr>
          <w:rFonts w:hint="default" w:ascii="Times New Roman" w:hAnsi="Times New Roman" w:eastAsia="仿宋" w:cs="Times New Roman"/>
          <w:b w:val="0"/>
          <w:bCs w:val="0"/>
          <w:color w:val="C00000"/>
          <w:kern w:val="0"/>
          <w:sz w:val="28"/>
          <w:szCs w:val="28"/>
          <w:highlight w:val="none"/>
          <w:lang w:val="en-US" w:eastAsia="zh-CN" w:bidi="ar-SA"/>
        </w:rPr>
      </w:pPr>
      <w:r>
        <w:rPr>
          <w:rFonts w:hint="eastAsia" w:ascii="Times New Roman" w:hAnsi="Times New Roman" w:eastAsia="仿宋" w:cs="Times New Roman"/>
          <w:b w:val="0"/>
          <w:bCs w:val="0"/>
          <w:color w:val="C00000"/>
          <w:kern w:val="0"/>
          <w:sz w:val="28"/>
          <w:szCs w:val="28"/>
          <w:highlight w:val="none"/>
          <w:lang w:val="en-US" w:eastAsia="zh-CN" w:bidi="ar-SA"/>
        </w:rPr>
        <w:t>图12  贺州市辐射事故应急演习脚本</w:t>
      </w:r>
    </w:p>
    <w:p>
      <w:pPr>
        <w:pStyle w:val="29"/>
        <w:ind w:left="0" w:leftChars="0" w:firstLine="0" w:firstLineChars="0"/>
        <w:jc w:val="center"/>
      </w:pPr>
      <w:r>
        <w:drawing>
          <wp:inline distT="0" distB="0" distL="114300" distR="114300">
            <wp:extent cx="2486660" cy="3599815"/>
            <wp:effectExtent l="9525" t="9525" r="18415" b="10160"/>
            <wp:docPr id="3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0"/>
                    <pic:cNvPicPr>
                      <a:picLocks noChangeAspect="1"/>
                    </pic:cNvPicPr>
                  </pic:nvPicPr>
                  <pic:blipFill>
                    <a:blip r:embed="rId20"/>
                    <a:stretch>
                      <a:fillRect/>
                    </a:stretch>
                  </pic:blipFill>
                  <pic:spPr>
                    <a:xfrm>
                      <a:off x="0" y="0"/>
                      <a:ext cx="2486660" cy="3599815"/>
                    </a:xfrm>
                    <a:prstGeom prst="rect">
                      <a:avLst/>
                    </a:prstGeom>
                    <a:noFill/>
                    <a:ln w="9525" cap="flat" cmpd="sng">
                      <a:solidFill>
                        <a:srgbClr val="000000"/>
                      </a:solidFill>
                      <a:prstDash val="solid"/>
                      <a:miter/>
                      <a:headEnd type="none" w="med" len="med"/>
                      <a:tailEnd type="none" w="med" len="med"/>
                    </a:ln>
                  </pic:spPr>
                </pic:pic>
              </a:graphicData>
            </a:graphic>
          </wp:inline>
        </w:drawing>
      </w:r>
    </w:p>
    <w:p>
      <w:pPr>
        <w:bidi w:val="0"/>
        <w:jc w:val="center"/>
        <w:rPr>
          <w:rFonts w:hint="eastAsia" w:ascii="仿宋" w:hAnsi="仿宋" w:eastAsia="仿宋" w:cs="仿宋"/>
          <w:color w:val="C00000"/>
          <w:sz w:val="28"/>
          <w:szCs w:val="28"/>
          <w:lang w:val="en-US" w:eastAsia="zh-CN"/>
        </w:rPr>
      </w:pPr>
      <w:r>
        <w:rPr>
          <w:rFonts w:hint="eastAsia" w:ascii="仿宋" w:hAnsi="仿宋" w:eastAsia="仿宋" w:cs="仿宋"/>
          <w:color w:val="C00000"/>
          <w:sz w:val="28"/>
          <w:szCs w:val="28"/>
          <w:lang w:val="en-US" w:eastAsia="zh-CN"/>
        </w:rPr>
        <w:t>图13  单项演练方案</w:t>
      </w:r>
    </w:p>
    <w:p>
      <w:pPr>
        <w:pStyle w:val="29"/>
        <w:ind w:firstLine="420"/>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（3）评估实施方案</w:t>
      </w:r>
    </w:p>
    <w:p>
      <w:pPr>
        <w:pStyle w:val="29"/>
        <w:ind w:firstLine="420"/>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评估实施方案的编制，主要包含包含五个核心部分，一是要求针对不同演习类型对事故情况、事故发生时间地点、应急响应情况进行概述；二是阐述演习评估的主要目的，验证预案的适用性与应急体系的有效性；三是详细描述评估的具体内容，以确保评估工作范围清晰、全面；四是明确评估人员职责分工，评估地点、评估意见的汇总和编制等工作；五是提供演习评估所需文件资料。明确评估工作所需要的所有材料清单，包括不仅限于评估表、演习方案、演习脚本、应急预案等。</w:t>
      </w:r>
      <w:r>
        <w:rPr>
          <w:rFonts w:hint="eastAsia" w:ascii="Times New Roman" w:hAnsi="Times New Roman" w:eastAsia="仿宋" w:cs="Times New Roman"/>
          <w:b w:val="0"/>
          <w:bCs w:val="0"/>
          <w:color w:val="C00000"/>
          <w:kern w:val="0"/>
          <w:sz w:val="28"/>
          <w:szCs w:val="28"/>
          <w:highlight w:val="none"/>
          <w:lang w:val="en-US" w:eastAsia="zh-CN" w:bidi="ar-SA"/>
        </w:rPr>
        <w:t>主要</w:t>
      </w:r>
      <w:r>
        <w:rPr>
          <w:rFonts w:hint="eastAsia" w:ascii="Times New Roman" w:hAnsi="Times New Roman" w:eastAsia="仿宋_GB2312" w:cs="Times New Roman"/>
          <w:color w:val="C00000"/>
          <w:sz w:val="28"/>
          <w:szCs w:val="32"/>
          <w:lang w:val="en-US" w:eastAsia="zh-CN"/>
        </w:rPr>
        <w:t>参考了《辐射事故应急演练评估指南》（DB15/T 3488-2024），以及广西辐射站在对柳州、桂林、贺州等5个设区市辐射事故应急演习评估中编制的评估方案，演习总评估人员根据方案开展了评估前会议、资料调阅、评估后会议、现场评估、评估总结等</w:t>
      </w:r>
      <w:r>
        <w:rPr>
          <w:rFonts w:hint="eastAsia" w:ascii="Times New Roman" w:hAnsi="Times New Roman" w:eastAsia="仿宋" w:cs="Times New Roman"/>
          <w:b w:val="0"/>
          <w:bCs w:val="0"/>
          <w:color w:val="C00000"/>
          <w:kern w:val="0"/>
          <w:sz w:val="28"/>
          <w:szCs w:val="28"/>
          <w:highlight w:val="none"/>
          <w:lang w:val="en-US" w:eastAsia="zh-CN" w:bidi="ar-SA"/>
        </w:rPr>
        <w:t>。</w:t>
      </w:r>
    </w:p>
    <w:p>
      <w:pPr>
        <w:pStyle w:val="29"/>
        <w:pBdr>
          <w:top w:val="single" w:color="auto" w:sz="4" w:space="1"/>
          <w:left w:val="single" w:color="auto" w:sz="4" w:space="4"/>
          <w:bottom w:val="single" w:color="auto" w:sz="4" w:space="1"/>
          <w:right w:val="single" w:color="auto" w:sz="4" w:space="4"/>
          <w:between w:val="none" w:color="auto" w:sz="0" w:space="0"/>
        </w:pBdr>
        <w:autoSpaceDE w:val="0"/>
        <w:autoSpaceDN w:val="0"/>
        <w:ind w:left="0" w:leftChars="0" w:firstLine="0" w:firstLineChars="0"/>
        <w:jc w:val="both"/>
      </w:pPr>
      <w:r>
        <w:drawing>
          <wp:inline distT="0" distB="0" distL="114300" distR="114300">
            <wp:extent cx="2503170" cy="3599815"/>
            <wp:effectExtent l="0" t="0" r="11430" b="635"/>
            <wp:docPr id="3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1"/>
                    <pic:cNvPicPr>
                      <a:picLocks noChangeAspect="1"/>
                    </pic:cNvPicPr>
                  </pic:nvPicPr>
                  <pic:blipFill>
                    <a:blip r:embed="rId21"/>
                    <a:stretch>
                      <a:fillRect/>
                    </a:stretch>
                  </pic:blipFill>
                  <pic:spPr>
                    <a:xfrm>
                      <a:off x="0" y="0"/>
                      <a:ext cx="2503170" cy="3599815"/>
                    </a:xfrm>
                    <a:prstGeom prst="rect">
                      <a:avLst/>
                    </a:prstGeom>
                    <a:noFill/>
                    <a:ln>
                      <a:noFill/>
                    </a:ln>
                  </pic:spPr>
                </pic:pic>
              </a:graphicData>
            </a:graphic>
          </wp:inline>
        </w:drawing>
      </w:r>
      <w:r>
        <w:drawing>
          <wp:inline distT="0" distB="0" distL="114300" distR="114300">
            <wp:extent cx="2545715" cy="3599815"/>
            <wp:effectExtent l="0" t="0" r="6985" b="635"/>
            <wp:docPr id="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3"/>
                    <pic:cNvPicPr>
                      <a:picLocks noChangeAspect="1"/>
                    </pic:cNvPicPr>
                  </pic:nvPicPr>
                  <pic:blipFill>
                    <a:blip r:embed="rId22"/>
                    <a:stretch>
                      <a:fillRect/>
                    </a:stretch>
                  </pic:blipFill>
                  <pic:spPr>
                    <a:xfrm>
                      <a:off x="0" y="0"/>
                      <a:ext cx="2545715" cy="3599815"/>
                    </a:xfrm>
                    <a:prstGeom prst="rect">
                      <a:avLst/>
                    </a:prstGeom>
                    <a:noFill/>
                    <a:ln>
                      <a:noFill/>
                    </a:ln>
                  </pic:spPr>
                </pic:pic>
              </a:graphicData>
            </a:graphic>
          </wp:inline>
        </w:drawing>
      </w:r>
    </w:p>
    <w:p>
      <w:pPr>
        <w:pStyle w:val="29"/>
        <w:pBdr>
          <w:top w:val="single" w:color="auto" w:sz="4" w:space="1"/>
          <w:left w:val="single" w:color="auto" w:sz="4" w:space="4"/>
          <w:bottom w:val="single" w:color="auto" w:sz="4" w:space="1"/>
          <w:right w:val="single" w:color="auto" w:sz="4" w:space="4"/>
          <w:between w:val="none" w:color="auto" w:sz="0" w:space="0"/>
        </w:pBdr>
        <w:autoSpaceDE w:val="0"/>
        <w:autoSpaceDN w:val="0"/>
        <w:ind w:left="0" w:leftChars="0" w:firstLine="0" w:firstLineChars="0"/>
        <w:jc w:val="both"/>
        <w:rPr>
          <w:rFonts w:hint="eastAsia"/>
          <w:lang w:val="en-US" w:eastAsia="zh-CN"/>
        </w:rPr>
      </w:pPr>
      <w:r>
        <w:drawing>
          <wp:inline distT="0" distB="0" distL="114300" distR="114300">
            <wp:extent cx="2573655" cy="3599815"/>
            <wp:effectExtent l="0" t="0" r="17145" b="635"/>
            <wp:docPr id="3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4"/>
                    <pic:cNvPicPr>
                      <a:picLocks noChangeAspect="1"/>
                    </pic:cNvPicPr>
                  </pic:nvPicPr>
                  <pic:blipFill>
                    <a:blip r:embed="rId23"/>
                    <a:stretch>
                      <a:fillRect/>
                    </a:stretch>
                  </pic:blipFill>
                  <pic:spPr>
                    <a:xfrm>
                      <a:off x="0" y="0"/>
                      <a:ext cx="2573655" cy="3599815"/>
                    </a:xfrm>
                    <a:prstGeom prst="rect">
                      <a:avLst/>
                    </a:prstGeom>
                    <a:noFill/>
                    <a:ln>
                      <a:noFill/>
                    </a:ln>
                  </pic:spPr>
                </pic:pic>
              </a:graphicData>
            </a:graphic>
          </wp:inline>
        </w:drawing>
      </w:r>
      <w:r>
        <w:drawing>
          <wp:inline distT="0" distB="0" distL="114300" distR="114300">
            <wp:extent cx="2486025" cy="3599815"/>
            <wp:effectExtent l="0" t="0" r="9525" b="635"/>
            <wp:docPr id="3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5"/>
                    <pic:cNvPicPr>
                      <a:picLocks noChangeAspect="1"/>
                    </pic:cNvPicPr>
                  </pic:nvPicPr>
                  <pic:blipFill>
                    <a:blip r:embed="rId24"/>
                    <a:stretch>
                      <a:fillRect/>
                    </a:stretch>
                  </pic:blipFill>
                  <pic:spPr>
                    <a:xfrm>
                      <a:off x="0" y="0"/>
                      <a:ext cx="2486025" cy="3599815"/>
                    </a:xfrm>
                    <a:prstGeom prst="rect">
                      <a:avLst/>
                    </a:prstGeom>
                    <a:noFill/>
                    <a:ln>
                      <a:noFill/>
                    </a:ln>
                  </pic:spPr>
                </pic:pic>
              </a:graphicData>
            </a:graphic>
          </wp:inline>
        </w:drawing>
      </w:r>
    </w:p>
    <w:p>
      <w:pPr>
        <w:jc w:val="center"/>
        <w:outlineLvl w:val="1"/>
        <w:rPr>
          <w:rFonts w:hint="eastAsia" w:ascii="仿宋" w:hAnsi="仿宋" w:eastAsia="仿宋" w:cs="仿宋"/>
          <w:color w:val="C00000"/>
          <w:sz w:val="32"/>
          <w:szCs w:val="32"/>
          <w:lang w:val="en-US" w:eastAsia="zh-CN"/>
        </w:rPr>
      </w:pPr>
      <w:r>
        <w:rPr>
          <w:rFonts w:hint="eastAsia" w:ascii="仿宋" w:hAnsi="仿宋" w:eastAsia="仿宋" w:cs="仿宋"/>
          <w:color w:val="C00000"/>
          <w:sz w:val="32"/>
          <w:szCs w:val="32"/>
          <w:lang w:val="en-US" w:eastAsia="zh-CN"/>
        </w:rPr>
        <w:t>图14  广西辐射站制定的贺州市演习评估方案</w:t>
      </w:r>
    </w:p>
    <w:p>
      <w:pPr>
        <w:ind w:firstLine="640" w:firstLineChars="200"/>
        <w:outlineLvl w:val="1"/>
        <w:rPr>
          <w:rFonts w:hint="eastAsia" w:ascii="Times New Roman" w:hAnsi="Times New Roman" w:eastAsia="楷体_GB2312" w:cs="Times New Roman"/>
          <w:sz w:val="32"/>
          <w:szCs w:val="32"/>
          <w:lang w:val="en-US" w:eastAsia="zh-CN"/>
        </w:rPr>
      </w:pPr>
      <w:r>
        <w:rPr>
          <w:rFonts w:hint="eastAsia" w:ascii="Times New Roman" w:hAnsi="Times New Roman" w:eastAsia="楷体_GB2312" w:cs="Times New Roman"/>
          <w:sz w:val="32"/>
          <w:szCs w:val="32"/>
          <w:lang w:val="en-US" w:eastAsia="zh-CN"/>
        </w:rPr>
        <w:t>（五）评估实施</w:t>
      </w:r>
    </w:p>
    <w:p>
      <w:pPr>
        <w:pStyle w:val="29"/>
        <w:ind w:firstLine="420"/>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（1）评估前会议</w:t>
      </w:r>
    </w:p>
    <w:p>
      <w:pPr>
        <w:pStyle w:val="29"/>
        <w:ind w:firstLine="420"/>
        <w:rPr>
          <w:rFonts w:hint="eastAsia" w:ascii="Times New Roman" w:hAnsi="Times New Roman" w:eastAsia="仿宋_GB2312" w:cs="Times New Roman"/>
          <w:color w:val="auto"/>
          <w:sz w:val="28"/>
          <w:szCs w:val="32"/>
          <w:lang w:val="en-US" w:eastAsia="zh-CN"/>
        </w:rPr>
      </w:pPr>
      <w:r>
        <w:rPr>
          <w:rFonts w:hint="eastAsia" w:ascii="Times New Roman" w:hAnsi="Times New Roman" w:eastAsia="仿宋" w:cs="Times New Roman"/>
          <w:b w:val="0"/>
          <w:bCs w:val="0"/>
          <w:color w:val="auto"/>
          <w:kern w:val="0"/>
          <w:sz w:val="28"/>
          <w:szCs w:val="28"/>
          <w:highlight w:val="none"/>
          <w:lang w:val="en-US" w:eastAsia="zh-CN" w:bidi="ar-SA"/>
        </w:rPr>
        <w:t>基于演习评估工作的开展情况，</w:t>
      </w:r>
      <w:r>
        <w:rPr>
          <w:rFonts w:hint="eastAsia" w:ascii="Times New Roman" w:hAnsi="Times New Roman" w:eastAsia="仿宋" w:cs="Times New Roman"/>
          <w:b w:val="0"/>
          <w:bCs w:val="0"/>
          <w:color w:val="auto"/>
          <w:kern w:val="0"/>
          <w:sz w:val="28"/>
          <w:szCs w:val="28"/>
          <w:highlight w:val="none"/>
          <w:lang w:val="en-US" w:eastAsia="zh-CN" w:bidi="ar-SA"/>
        </w:rPr>
        <w:t>评估前应组织召开会议，明确演习评估内容，做好职责分工等工作。</w:t>
      </w:r>
      <w:r>
        <w:rPr>
          <w:rFonts w:hint="eastAsia" w:ascii="Times New Roman" w:hAnsi="Times New Roman" w:eastAsia="仿宋_GB2312" w:cs="Times New Roman"/>
          <w:color w:val="C00000"/>
          <w:sz w:val="28"/>
          <w:szCs w:val="32"/>
          <w:lang w:val="en-US" w:eastAsia="zh-CN"/>
        </w:rPr>
        <w:t>主要参考了《广西壮族自治区辐射事故应急演习管理规定（试行）》（〔2022〕40号）中第六章演习评估、总结及改进，广西辐射站在对柳州、桂林、贺州等5个设区市辐射事故应急演习评估时组织评估人员开碰头会，详细介绍了评估要点、评估人预案分工、评估意见编写等工作，以及生态环境部对广西辐射站、防城港核电公司组织的演习进行评估时其通常会在演习前一天组织所有评估专家开会讨论评估方案和明确评估事项。</w:t>
      </w:r>
    </w:p>
    <w:p>
      <w:pPr>
        <w:pStyle w:val="29"/>
        <w:ind w:left="0" w:leftChars="0" w:firstLine="0" w:firstLineChars="0"/>
        <w:rPr>
          <w:rFonts w:hint="eastAsia" w:ascii="Times New Roman" w:hAnsi="Times New Roman" w:eastAsia="仿宋_GB2312" w:cs="Times New Roman"/>
          <w:color w:val="auto"/>
          <w:sz w:val="28"/>
          <w:szCs w:val="32"/>
          <w:lang w:val="en-US" w:eastAsia="zh-CN"/>
        </w:rPr>
      </w:pPr>
      <w:r>
        <w:rPr>
          <w:rFonts w:hint="eastAsia" w:ascii="Times New Roman" w:hAnsi="Times New Roman" w:eastAsia="仿宋_GB2312" w:cs="Times New Roman"/>
          <w:color w:val="auto"/>
          <w:sz w:val="28"/>
          <w:szCs w:val="32"/>
          <w:lang w:val="en-US" w:eastAsia="zh-CN"/>
        </w:rPr>
        <w:drawing>
          <wp:inline distT="0" distB="0" distL="114300" distR="114300">
            <wp:extent cx="5250180" cy="3500120"/>
            <wp:effectExtent l="0" t="0" r="7620" b="5080"/>
            <wp:docPr id="40" name="图片 36" descr="IMG_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6" descr="IMG_2370"/>
                    <pic:cNvPicPr>
                      <a:picLocks noChangeAspect="1"/>
                    </pic:cNvPicPr>
                  </pic:nvPicPr>
                  <pic:blipFill>
                    <a:blip r:embed="rId25"/>
                    <a:stretch>
                      <a:fillRect/>
                    </a:stretch>
                  </pic:blipFill>
                  <pic:spPr>
                    <a:xfrm>
                      <a:off x="0" y="0"/>
                      <a:ext cx="5250180" cy="3500120"/>
                    </a:xfrm>
                    <a:prstGeom prst="rect">
                      <a:avLst/>
                    </a:prstGeom>
                    <a:noFill/>
                    <a:ln>
                      <a:noFill/>
                    </a:ln>
                  </pic:spPr>
                </pic:pic>
              </a:graphicData>
            </a:graphic>
          </wp:inline>
        </w:drawing>
      </w:r>
    </w:p>
    <w:p>
      <w:pPr>
        <w:pStyle w:val="29"/>
        <w:ind w:left="0" w:leftChars="0" w:firstLine="0" w:firstLineChars="0"/>
        <w:jc w:val="center"/>
        <w:rPr>
          <w:rFonts w:hint="default" w:ascii="Times New Roman" w:hAnsi="Times New Roman" w:eastAsia="仿宋_GB2312" w:cs="Times New Roman"/>
          <w:color w:val="auto"/>
          <w:sz w:val="28"/>
          <w:szCs w:val="32"/>
          <w:lang w:val="en-US" w:eastAsia="zh-CN"/>
        </w:rPr>
      </w:pPr>
      <w:r>
        <w:rPr>
          <w:rFonts w:hint="eastAsia" w:ascii="Times New Roman" w:hAnsi="Times New Roman" w:eastAsia="仿宋_GB2312" w:cs="Times New Roman"/>
          <w:color w:val="C00000"/>
          <w:sz w:val="28"/>
          <w:szCs w:val="32"/>
          <w:lang w:val="en-US" w:eastAsia="zh-CN"/>
        </w:rPr>
        <w:t>图15  2019年省级辐射事故演习评估前会议</w:t>
      </w:r>
    </w:p>
    <w:p>
      <w:pPr>
        <w:pStyle w:val="29"/>
        <w:ind w:left="0" w:leftChars="0" w:firstLine="560" w:firstLineChars="200"/>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（2）评估前的准备</w:t>
      </w:r>
    </w:p>
    <w:p>
      <w:pPr>
        <w:pStyle w:val="29"/>
        <w:ind w:left="0" w:leftChars="0" w:firstLine="560" w:firstLineChars="200"/>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明确评估组人员在实施评估前应根据分工，熟悉相关资料，掌握相关知识等。</w:t>
      </w:r>
      <w:r>
        <w:rPr>
          <w:rFonts w:hint="eastAsia" w:ascii="Times New Roman" w:hAnsi="Times New Roman" w:eastAsia="仿宋" w:cs="Times New Roman"/>
          <w:b w:val="0"/>
          <w:bCs w:val="0"/>
          <w:color w:val="C00000"/>
          <w:kern w:val="0"/>
          <w:sz w:val="28"/>
          <w:szCs w:val="28"/>
          <w:highlight w:val="none"/>
          <w:lang w:val="en-US" w:eastAsia="zh-CN" w:bidi="ar-SA"/>
        </w:rPr>
        <w:t>主要参考的是</w:t>
      </w:r>
      <w:r>
        <w:rPr>
          <w:rFonts w:hint="eastAsia" w:ascii="Times New Roman" w:hAnsi="Times New Roman" w:eastAsia="仿宋_GB2312" w:cs="Times New Roman"/>
          <w:color w:val="C00000"/>
          <w:sz w:val="28"/>
          <w:szCs w:val="32"/>
          <w:lang w:val="en-US" w:eastAsia="zh-CN"/>
        </w:rPr>
        <w:t>项目团队在对柳州、桂林、贺州等5个设区市辐射事故应急演习评估时牵头单位组织所有评估人员研阅演习相关材料，以及生态环境部对广西辐射站、防城港核电公司组织的演习评估时要求提供脚本、预案、演习方案、应急预案、监测方案、处置方案等文件资料等工作经验总结。</w:t>
      </w:r>
    </w:p>
    <w:p>
      <w:pPr>
        <w:pStyle w:val="29"/>
        <w:ind w:left="0" w:leftChars="0" w:firstLine="560" w:firstLineChars="200"/>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（3）评估实施方法</w:t>
      </w:r>
    </w:p>
    <w:p>
      <w:pPr>
        <w:pStyle w:val="29"/>
        <w:ind w:left="0" w:leftChars="0" w:firstLine="560" w:firstLineChars="200"/>
        <w:rPr>
          <w:rFonts w:hint="eastAsia" w:ascii="Times New Roman" w:hAnsi="Times New Roman" w:eastAsia="仿宋_GB2312" w:cs="Times New Roman"/>
          <w:color w:val="auto"/>
          <w:sz w:val="28"/>
          <w:szCs w:val="32"/>
          <w:lang w:val="en-US" w:eastAsia="zh-CN"/>
        </w:rPr>
      </w:pPr>
      <w:r>
        <w:rPr>
          <w:rFonts w:hint="eastAsia" w:ascii="Times New Roman" w:hAnsi="Times New Roman" w:eastAsia="仿宋" w:cs="Times New Roman"/>
          <w:b w:val="0"/>
          <w:bCs w:val="0"/>
          <w:color w:val="auto"/>
          <w:kern w:val="0"/>
          <w:sz w:val="28"/>
          <w:szCs w:val="28"/>
          <w:highlight w:val="none"/>
          <w:lang w:val="en-US" w:eastAsia="zh-CN" w:bidi="ar-SA"/>
        </w:rPr>
        <w:t>指导评估人员如何开展评估工作，演习正式开始前评估人员按照评估方案的分工，根据演习情景设计在规定的地点开展评估工作。演习过程中，评估人员应基于评估内容，重点观察并记录参演人员的应急响应行动规范性、科学性、合理性等。演习结束后，评估人员可通过询问参演人员、检查相关设备等方式，进一步了解应急措施的执行细节与效果，并将所获信息详细填入评估表中。</w:t>
      </w:r>
      <w:r>
        <w:rPr>
          <w:rFonts w:hint="eastAsia" w:ascii="Times New Roman" w:hAnsi="Times New Roman" w:eastAsia="仿宋_GB2312" w:cs="Times New Roman"/>
          <w:color w:val="C00000"/>
          <w:sz w:val="28"/>
          <w:szCs w:val="32"/>
          <w:lang w:val="en-US" w:eastAsia="zh-CN"/>
        </w:rPr>
        <w:t>主要参考了广西辐射站对柳州、贺州等5个设区市辐射事故应急演习评估时，评估人员在指挥部坐在后排，通过演练内容、画面内容，以及监测方案、处置方案、新闻发布稿等纸质文件来评估演习内容是否与预案和各单位职责一致，以及演习现场评估人员紧跟监测组、处置组，观察其监测动作、仪器操作、处置程序等是否与规范相符，演习结束后才与演习人员进行交流；参考了生态环境部在2014年、2019年、2022年等省级辐射事故应急演习中在指挥部、演习现场安排人开展评估的方法和方式。</w:t>
      </w:r>
    </w:p>
    <w:p>
      <w:pPr>
        <w:pStyle w:val="29"/>
        <w:ind w:left="0" w:leftChars="0" w:firstLine="0" w:firstLineChars="0"/>
        <w:rPr>
          <w:rFonts w:hint="eastAsia" w:ascii="Times New Roman" w:hAnsi="Times New Roman" w:eastAsia="仿宋_GB2312" w:cs="Times New Roman"/>
          <w:color w:val="auto"/>
          <w:sz w:val="28"/>
          <w:szCs w:val="32"/>
          <w:lang w:val="en-US" w:eastAsia="zh-CN"/>
        </w:rPr>
      </w:pPr>
      <w:r>
        <w:rPr>
          <w:rFonts w:hint="eastAsia" w:ascii="Times New Roman" w:hAnsi="Times New Roman" w:eastAsia="仿宋_GB2312" w:cs="Times New Roman"/>
          <w:color w:val="auto"/>
          <w:sz w:val="28"/>
          <w:szCs w:val="32"/>
          <w:lang w:val="en-US" w:eastAsia="zh-CN"/>
        </w:rPr>
        <w:drawing>
          <wp:inline distT="0" distB="0" distL="114300" distR="114300">
            <wp:extent cx="4914265" cy="3275965"/>
            <wp:effectExtent l="0" t="0" r="635" b="635"/>
            <wp:docPr id="41" name="图片 38" descr="IMG_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8" descr="IMG_2287"/>
                    <pic:cNvPicPr>
                      <a:picLocks noChangeAspect="1"/>
                    </pic:cNvPicPr>
                  </pic:nvPicPr>
                  <pic:blipFill>
                    <a:blip r:embed="rId26"/>
                    <a:stretch>
                      <a:fillRect/>
                    </a:stretch>
                  </pic:blipFill>
                  <pic:spPr>
                    <a:xfrm>
                      <a:off x="0" y="0"/>
                      <a:ext cx="4914265" cy="3275965"/>
                    </a:xfrm>
                    <a:prstGeom prst="rect">
                      <a:avLst/>
                    </a:prstGeom>
                    <a:noFill/>
                    <a:ln>
                      <a:noFill/>
                    </a:ln>
                  </pic:spPr>
                </pic:pic>
              </a:graphicData>
            </a:graphic>
          </wp:inline>
        </w:drawing>
      </w:r>
    </w:p>
    <w:p>
      <w:pPr>
        <w:pStyle w:val="29"/>
        <w:ind w:left="0" w:leftChars="0" w:firstLine="0" w:firstLineChars="0"/>
        <w:jc w:val="center"/>
        <w:rPr>
          <w:rFonts w:hint="default" w:ascii="Times New Roman" w:hAnsi="Times New Roman" w:eastAsia="仿宋_GB2312" w:cs="Times New Roman"/>
          <w:color w:val="C00000"/>
          <w:sz w:val="28"/>
          <w:szCs w:val="32"/>
          <w:lang w:val="en-US" w:eastAsia="zh-CN"/>
        </w:rPr>
      </w:pPr>
      <w:r>
        <w:rPr>
          <w:rFonts w:hint="eastAsia" w:ascii="Times New Roman" w:hAnsi="Times New Roman" w:eastAsia="仿宋_GB2312" w:cs="Times New Roman"/>
          <w:color w:val="C00000"/>
          <w:sz w:val="28"/>
          <w:szCs w:val="32"/>
          <w:lang w:val="en-US" w:eastAsia="zh-CN"/>
        </w:rPr>
        <w:t>图16  2019年省级辐射事故演习评估人员观察演习人员操作图</w:t>
      </w:r>
    </w:p>
    <w:p>
      <w:pPr>
        <w:pStyle w:val="29"/>
        <w:ind w:left="0" w:leftChars="0" w:firstLine="0" w:firstLineChars="0"/>
        <w:rPr>
          <w:rFonts w:hint="eastAsia" w:ascii="Times New Roman" w:hAnsi="Times New Roman" w:eastAsia="仿宋_GB2312" w:cs="Times New Roman"/>
          <w:color w:val="auto"/>
          <w:sz w:val="28"/>
          <w:szCs w:val="32"/>
          <w:lang w:val="en-US" w:eastAsia="zh-CN"/>
        </w:rPr>
      </w:pPr>
      <w:r>
        <w:rPr>
          <w:rFonts w:hint="eastAsia" w:ascii="Times New Roman" w:hAnsi="Times New Roman" w:eastAsia="仿宋_GB2312" w:cs="Times New Roman"/>
          <w:color w:val="auto"/>
          <w:sz w:val="28"/>
          <w:szCs w:val="32"/>
          <w:lang w:val="en-US" w:eastAsia="zh-CN"/>
        </w:rPr>
        <w:drawing>
          <wp:inline distT="0" distB="0" distL="114300" distR="114300">
            <wp:extent cx="5262880" cy="3962400"/>
            <wp:effectExtent l="0" t="0" r="13970" b="0"/>
            <wp:docPr id="42" name="图片 39" descr="c24a26a158eb46e8022a887c0770d2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9" descr="c24a26a158eb46e8022a887c0770d26a"/>
                    <pic:cNvPicPr>
                      <a:picLocks noChangeAspect="1"/>
                    </pic:cNvPicPr>
                  </pic:nvPicPr>
                  <pic:blipFill>
                    <a:blip r:embed="rId27"/>
                    <a:stretch>
                      <a:fillRect/>
                    </a:stretch>
                  </pic:blipFill>
                  <pic:spPr>
                    <a:xfrm>
                      <a:off x="0" y="0"/>
                      <a:ext cx="5262880" cy="3962400"/>
                    </a:xfrm>
                    <a:prstGeom prst="rect">
                      <a:avLst/>
                    </a:prstGeom>
                    <a:noFill/>
                    <a:ln>
                      <a:noFill/>
                    </a:ln>
                  </pic:spPr>
                </pic:pic>
              </a:graphicData>
            </a:graphic>
          </wp:inline>
        </w:drawing>
      </w:r>
    </w:p>
    <w:p>
      <w:pPr>
        <w:pStyle w:val="29"/>
        <w:ind w:left="0" w:leftChars="0" w:firstLine="0" w:firstLineChars="0"/>
        <w:jc w:val="center"/>
        <w:rPr>
          <w:rFonts w:hint="eastAsia" w:ascii="Times New Roman" w:hAnsi="Times New Roman" w:eastAsia="仿宋_GB2312" w:cs="Times New Roman"/>
          <w:color w:val="C00000"/>
          <w:sz w:val="28"/>
          <w:szCs w:val="32"/>
          <w:lang w:val="en-US" w:eastAsia="zh-CN"/>
        </w:rPr>
      </w:pPr>
      <w:r>
        <w:rPr>
          <w:rFonts w:hint="eastAsia" w:ascii="Times New Roman" w:hAnsi="Times New Roman" w:eastAsia="仿宋_GB2312" w:cs="Times New Roman"/>
          <w:color w:val="C00000"/>
          <w:sz w:val="28"/>
          <w:szCs w:val="32"/>
          <w:lang w:val="en-US" w:eastAsia="zh-CN"/>
        </w:rPr>
        <w:t>图17  北海市辐射事故应急演习评估人员观察监测行动图</w:t>
      </w:r>
    </w:p>
    <w:p>
      <w:pPr>
        <w:pStyle w:val="29"/>
        <w:ind w:left="0" w:leftChars="0" w:firstLine="0" w:firstLineChars="0"/>
        <w:jc w:val="center"/>
        <w:rPr>
          <w:rFonts w:hint="default" w:ascii="Times New Roman" w:hAnsi="Times New Roman" w:eastAsia="仿宋_GB2312" w:cs="Times New Roman"/>
          <w:color w:val="auto"/>
          <w:sz w:val="28"/>
          <w:szCs w:val="32"/>
          <w:lang w:val="en-US" w:eastAsia="zh-CN"/>
        </w:rPr>
      </w:pPr>
      <w:r>
        <w:rPr>
          <w:rFonts w:hint="default" w:ascii="Times New Roman" w:hAnsi="Times New Roman" w:eastAsia="仿宋_GB2312" w:cs="Times New Roman"/>
          <w:color w:val="auto"/>
          <w:sz w:val="28"/>
          <w:szCs w:val="32"/>
          <w:lang w:val="en-US" w:eastAsia="zh-CN"/>
        </w:rPr>
        <w:drawing>
          <wp:inline distT="0" distB="0" distL="114300" distR="114300">
            <wp:extent cx="5250180" cy="3500120"/>
            <wp:effectExtent l="0" t="0" r="7620" b="5080"/>
            <wp:docPr id="43" name="图片 41" descr="IMG_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1" descr="IMG_2341"/>
                    <pic:cNvPicPr>
                      <a:picLocks noChangeAspect="1"/>
                    </pic:cNvPicPr>
                  </pic:nvPicPr>
                  <pic:blipFill>
                    <a:blip r:embed="rId28"/>
                    <a:stretch>
                      <a:fillRect/>
                    </a:stretch>
                  </pic:blipFill>
                  <pic:spPr>
                    <a:xfrm>
                      <a:off x="0" y="0"/>
                      <a:ext cx="5250180" cy="3500120"/>
                    </a:xfrm>
                    <a:prstGeom prst="rect">
                      <a:avLst/>
                    </a:prstGeom>
                    <a:noFill/>
                    <a:ln>
                      <a:noFill/>
                    </a:ln>
                  </pic:spPr>
                </pic:pic>
              </a:graphicData>
            </a:graphic>
          </wp:inline>
        </w:drawing>
      </w:r>
    </w:p>
    <w:p>
      <w:pPr>
        <w:pStyle w:val="29"/>
        <w:ind w:left="0" w:leftChars="0" w:firstLine="0" w:firstLineChars="0"/>
        <w:jc w:val="center"/>
        <w:rPr>
          <w:rFonts w:hint="default" w:ascii="Times New Roman" w:hAnsi="Times New Roman" w:eastAsia="仿宋" w:cs="Times New Roman"/>
          <w:b w:val="0"/>
          <w:bCs w:val="0"/>
          <w:color w:val="C00000"/>
          <w:kern w:val="0"/>
          <w:sz w:val="28"/>
          <w:szCs w:val="28"/>
          <w:highlight w:val="none"/>
          <w:lang w:val="en-US" w:eastAsia="zh-CN" w:bidi="ar-SA"/>
        </w:rPr>
      </w:pPr>
      <w:r>
        <w:rPr>
          <w:rFonts w:hint="eastAsia" w:ascii="Times New Roman" w:hAnsi="Times New Roman" w:eastAsia="仿宋" w:cs="Times New Roman"/>
          <w:b w:val="0"/>
          <w:bCs w:val="0"/>
          <w:color w:val="C00000"/>
          <w:kern w:val="0"/>
          <w:sz w:val="28"/>
          <w:szCs w:val="28"/>
          <w:highlight w:val="none"/>
          <w:lang w:val="en-US" w:eastAsia="zh-CN" w:bidi="ar-SA"/>
        </w:rPr>
        <w:t xml:space="preserve">图18  </w:t>
      </w:r>
      <w:r>
        <w:rPr>
          <w:rFonts w:hint="eastAsia" w:ascii="Times New Roman" w:hAnsi="Times New Roman" w:eastAsia="仿宋_GB2312" w:cs="Times New Roman"/>
          <w:color w:val="C00000"/>
          <w:sz w:val="28"/>
          <w:szCs w:val="32"/>
          <w:lang w:val="en-US" w:eastAsia="zh-CN"/>
        </w:rPr>
        <w:t xml:space="preserve"> 2019年省级辐射事故演习评估人员观察污染处置程序</w:t>
      </w:r>
    </w:p>
    <w:p>
      <w:pPr>
        <w:pStyle w:val="29"/>
        <w:ind w:left="0" w:leftChars="0" w:firstLine="560" w:firstLineChars="200"/>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（4）评估后会议</w:t>
      </w:r>
    </w:p>
    <w:p>
      <w:pPr>
        <w:pStyle w:val="29"/>
        <w:ind w:left="0" w:leftChars="0" w:firstLine="560" w:firstLineChars="200"/>
        <w:rPr>
          <w:rFonts w:hint="default" w:ascii="Times New Roman" w:hAnsi="Times New Roman" w:eastAsia="仿宋" w:cs="Times New Roman"/>
          <w:b w:val="0"/>
          <w:bCs w:val="0"/>
          <w:color w:val="FF0000"/>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评估工作结束后，评估组需组织召开评估后会议，梳理评估表，汇总评估意见，系统总结评估结果并形成结论。</w:t>
      </w:r>
      <w:r>
        <w:rPr>
          <w:rFonts w:hint="eastAsia" w:ascii="Times New Roman" w:hAnsi="Times New Roman" w:eastAsia="仿宋" w:cs="Times New Roman"/>
          <w:b w:val="0"/>
          <w:bCs w:val="0"/>
          <w:color w:val="C00000"/>
          <w:kern w:val="0"/>
          <w:sz w:val="28"/>
          <w:szCs w:val="28"/>
          <w:highlight w:val="none"/>
          <w:lang w:val="en-US" w:eastAsia="zh-CN" w:bidi="ar-SA"/>
        </w:rPr>
        <w:t>主要参考了</w:t>
      </w:r>
      <w:r>
        <w:rPr>
          <w:rFonts w:hint="eastAsia" w:ascii="Times New Roman" w:hAnsi="Times New Roman" w:eastAsia="仿宋_GB2312" w:cs="Times New Roman"/>
          <w:color w:val="C00000"/>
          <w:sz w:val="28"/>
          <w:szCs w:val="32"/>
          <w:lang w:val="en-US" w:eastAsia="zh-CN"/>
        </w:rPr>
        <w:t>广西辐射站对柳州、贺州等5个设区市辐射事故应急演习评估经验，主要是评估人员召开内部会议整理、汇中形成统一的评估意见，防止出现错误或意见中未用词不当；也参考了生态环境部在2014年、2019年、2022年等省级辐射事故应急演习中会召开会议形成统一评估意见并与演习组织进行交流和汇报。</w:t>
      </w:r>
    </w:p>
    <w:p>
      <w:pPr>
        <w:ind w:firstLine="640" w:firstLineChars="200"/>
        <w:outlineLvl w:val="1"/>
        <w:rPr>
          <w:rFonts w:hint="default" w:ascii="Times New Roman" w:hAnsi="Times New Roman" w:eastAsia="楷体_GB2312" w:cs="Times New Roman"/>
          <w:sz w:val="32"/>
          <w:szCs w:val="32"/>
          <w:lang w:val="en-US" w:eastAsia="zh-CN"/>
        </w:rPr>
      </w:pPr>
      <w:r>
        <w:rPr>
          <w:rFonts w:hint="eastAsia" w:ascii="Times New Roman" w:hAnsi="Times New Roman" w:eastAsia="楷体_GB2312" w:cs="Times New Roman"/>
          <w:sz w:val="32"/>
          <w:szCs w:val="32"/>
          <w:lang w:val="en-US" w:eastAsia="zh-CN"/>
        </w:rPr>
        <w:t>（六）评估总结</w:t>
      </w:r>
    </w:p>
    <w:p>
      <w:pPr>
        <w:pStyle w:val="70"/>
        <w:keepNext w:val="0"/>
        <w:keepLines w:val="0"/>
        <w:pageBreakBefore w:val="0"/>
        <w:widowControl/>
        <w:numPr>
          <w:ilvl w:val="2"/>
          <w:numId w:val="0"/>
        </w:numPr>
        <w:tabs>
          <w:tab w:val="left" w:pos="420"/>
        </w:tabs>
        <w:kinsoku/>
        <w:wordWrap/>
        <w:overflowPunct/>
        <w:topLinePunct w:val="0"/>
        <w:autoSpaceDE/>
        <w:autoSpaceDN/>
        <w:bidi w:val="0"/>
        <w:adjustRightInd/>
        <w:snapToGrid/>
        <w:spacing w:before="0" w:beforeLines="0" w:after="0" w:afterLines="0"/>
        <w:ind w:leftChars="0" w:right="0" w:rightChars="0" w:firstLine="560" w:firstLineChars="200"/>
        <w:textAlignment w:val="auto"/>
        <w:outlineLvl w:val="9"/>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（1）单项演练</w:t>
      </w:r>
    </w:p>
    <w:p>
      <w:pPr>
        <w:pStyle w:val="70"/>
        <w:keepNext w:val="0"/>
        <w:keepLines w:val="0"/>
        <w:pageBreakBefore w:val="0"/>
        <w:widowControl/>
        <w:numPr>
          <w:ilvl w:val="2"/>
          <w:numId w:val="0"/>
        </w:numPr>
        <w:tabs>
          <w:tab w:val="left" w:pos="420"/>
        </w:tabs>
        <w:kinsoku/>
        <w:wordWrap/>
        <w:overflowPunct/>
        <w:topLinePunct w:val="0"/>
        <w:autoSpaceDE/>
        <w:autoSpaceDN/>
        <w:bidi w:val="0"/>
        <w:adjustRightInd/>
        <w:snapToGrid/>
        <w:spacing w:before="0" w:beforeLines="0" w:after="0" w:afterLines="0"/>
        <w:ind w:leftChars="0" w:right="0" w:rightChars="0" w:firstLine="560" w:firstLineChars="200"/>
        <w:textAlignment w:val="auto"/>
        <w:outlineLvl w:val="9"/>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演练相对简单，为更加有利于工作的改进，</w:t>
      </w:r>
      <w:r>
        <w:rPr>
          <w:rFonts w:hint="eastAsia" w:ascii="Times New Roman" w:hAnsi="Times New Roman" w:eastAsia="仿宋" w:cs="Times New Roman"/>
          <w:b w:val="0"/>
          <w:bCs w:val="0"/>
          <w:color w:val="auto"/>
          <w:kern w:val="0"/>
          <w:sz w:val="28"/>
          <w:szCs w:val="28"/>
          <w:highlight w:val="none"/>
          <w:lang w:val="en-US" w:eastAsia="zh-CN" w:bidi="ar-SA"/>
        </w:rPr>
        <w:t>评估人员可以在现场与演练人员进行总结和分析，详细交流演练中存在的不足，可以通过现场演示的方式进行指导。主要参考了</w:t>
      </w:r>
      <w:r>
        <w:rPr>
          <w:rFonts w:hint="eastAsia" w:ascii="Times New Roman" w:hAnsi="Times New Roman" w:eastAsia="仿宋_GB2312" w:cs="Times New Roman"/>
          <w:color w:val="auto"/>
          <w:sz w:val="28"/>
          <w:szCs w:val="32"/>
          <w:lang w:val="en-US" w:eastAsia="zh-CN"/>
        </w:rPr>
        <w:t>《广西壮族自治区辐射事故应急演习管理规定（试行）》（〔2022〕40号）中提出应形成总结报告。根据不同演习类型，本标准提出了不同的评估总结方式和内容，以及辐射站、防城港核电有限公司自行组织单项演习时编制的自评估报告等经验总结。</w:t>
      </w:r>
    </w:p>
    <w:p>
      <w:pPr>
        <w:pStyle w:val="29"/>
        <w:keepNext w:val="0"/>
        <w:keepLines w:val="0"/>
        <w:pageBreakBefore w:val="0"/>
        <w:widowControl/>
        <w:kinsoku/>
        <w:wordWrap/>
        <w:overflowPunct/>
        <w:topLinePunct w:val="0"/>
        <w:bidi w:val="0"/>
        <w:adjustRightInd/>
        <w:snapToGrid/>
        <w:ind w:left="0" w:leftChars="0" w:firstLine="560" w:firstLineChars="200"/>
        <w:textAlignment w:val="auto"/>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（2）专项演练和综合演习</w:t>
      </w:r>
    </w:p>
    <w:p>
      <w:pPr>
        <w:pStyle w:val="29"/>
        <w:keepNext w:val="0"/>
        <w:keepLines w:val="0"/>
        <w:pageBreakBefore w:val="0"/>
        <w:widowControl/>
        <w:kinsoku/>
        <w:wordWrap/>
        <w:overflowPunct/>
        <w:topLinePunct w:val="0"/>
        <w:bidi w:val="0"/>
        <w:adjustRightInd/>
        <w:snapToGrid/>
        <w:ind w:left="0" w:leftChars="0" w:firstLine="560" w:firstLineChars="200"/>
        <w:textAlignment w:val="auto"/>
        <w:rPr>
          <w:rFonts w:hint="default" w:ascii="Times New Roman" w:hAnsi="Times New Roman" w:eastAsia="仿宋_GB2312" w:cs="Times New Roman"/>
          <w:color w:val="C00000"/>
          <w:sz w:val="28"/>
          <w:szCs w:val="32"/>
          <w:lang w:val="en-US" w:eastAsia="zh-CN"/>
        </w:rPr>
      </w:pPr>
      <w:r>
        <w:rPr>
          <w:rFonts w:hint="eastAsia" w:ascii="Times New Roman" w:hAnsi="Times New Roman" w:eastAsia="仿宋" w:cs="Times New Roman"/>
          <w:b w:val="0"/>
          <w:bCs w:val="0"/>
          <w:color w:val="auto"/>
          <w:kern w:val="0"/>
          <w:sz w:val="28"/>
          <w:szCs w:val="28"/>
          <w:highlight w:val="none"/>
          <w:lang w:val="en-US" w:eastAsia="zh-CN" w:bidi="ar-SA"/>
        </w:rPr>
        <w:t>专项演练和综合演习规模相对较大，评估内容较多，因此规定演习评估报告编制要</w:t>
      </w:r>
      <w:r>
        <w:rPr>
          <w:rFonts w:hint="default" w:ascii="Times New Roman" w:hAnsi="Times New Roman" w:eastAsia="仿宋" w:cs="Times New Roman"/>
          <w:b w:val="0"/>
          <w:bCs w:val="0"/>
          <w:color w:val="auto"/>
          <w:kern w:val="0"/>
          <w:sz w:val="28"/>
          <w:szCs w:val="28"/>
          <w:highlight w:val="none"/>
          <w:lang w:val="en-US" w:eastAsia="zh-CN" w:bidi="ar-SA"/>
        </w:rPr>
        <w:t>根据评估意见、现场评估表及相关资料</w:t>
      </w:r>
      <w:r>
        <w:rPr>
          <w:rFonts w:hint="eastAsia" w:ascii="Times New Roman" w:hAnsi="Times New Roman" w:eastAsia="仿宋" w:cs="Times New Roman"/>
          <w:b w:val="0"/>
          <w:bCs w:val="0"/>
          <w:color w:val="auto"/>
          <w:kern w:val="0"/>
          <w:sz w:val="28"/>
          <w:szCs w:val="28"/>
          <w:highlight w:val="none"/>
          <w:lang w:val="en-US" w:eastAsia="zh-CN" w:bidi="ar-SA"/>
        </w:rPr>
        <w:t>进行全面的客观评价</w:t>
      </w:r>
      <w:r>
        <w:rPr>
          <w:rFonts w:hint="default" w:ascii="Times New Roman" w:hAnsi="Times New Roman" w:eastAsia="仿宋" w:cs="Times New Roman"/>
          <w:b w:val="0"/>
          <w:bCs w:val="0"/>
          <w:color w:val="auto"/>
          <w:kern w:val="0"/>
          <w:sz w:val="28"/>
          <w:szCs w:val="28"/>
          <w:highlight w:val="none"/>
          <w:lang w:val="en-US" w:eastAsia="zh-CN" w:bidi="ar-SA"/>
        </w:rPr>
        <w:t>，</w:t>
      </w:r>
      <w:r>
        <w:rPr>
          <w:rFonts w:hint="eastAsia" w:ascii="Times New Roman" w:hAnsi="Times New Roman" w:eastAsia="仿宋" w:cs="Times New Roman"/>
          <w:b w:val="0"/>
          <w:bCs w:val="0"/>
          <w:color w:val="auto"/>
          <w:kern w:val="0"/>
          <w:sz w:val="28"/>
          <w:szCs w:val="28"/>
          <w:highlight w:val="none"/>
          <w:lang w:val="en-US" w:eastAsia="zh-CN" w:bidi="ar-SA"/>
        </w:rPr>
        <w:t>明确</w:t>
      </w:r>
      <w:r>
        <w:rPr>
          <w:rFonts w:hint="default" w:ascii="Times New Roman" w:hAnsi="Times New Roman" w:eastAsia="仿宋" w:cs="Times New Roman"/>
          <w:b w:val="0"/>
          <w:bCs w:val="0"/>
          <w:color w:val="auto"/>
          <w:kern w:val="0"/>
          <w:sz w:val="28"/>
          <w:szCs w:val="28"/>
          <w:highlight w:val="none"/>
          <w:lang w:val="en-US" w:eastAsia="zh-CN" w:bidi="ar-SA"/>
        </w:rPr>
        <w:t>报告</w:t>
      </w:r>
      <w:r>
        <w:rPr>
          <w:rFonts w:hint="eastAsia" w:ascii="Times New Roman" w:hAnsi="Times New Roman" w:eastAsia="仿宋" w:cs="Times New Roman"/>
          <w:b w:val="0"/>
          <w:bCs w:val="0"/>
          <w:color w:val="auto"/>
          <w:kern w:val="0"/>
          <w:sz w:val="28"/>
          <w:szCs w:val="28"/>
          <w:highlight w:val="none"/>
          <w:lang w:val="en-US" w:eastAsia="zh-CN" w:bidi="ar-SA"/>
        </w:rPr>
        <w:t>内容主要包括演习基本情况、演习评估过程、演习总体情况分析、改进意见和建议及评估结论五大环节。</w:t>
      </w:r>
      <w:r>
        <w:rPr>
          <w:rFonts w:hint="eastAsia" w:ascii="Times New Roman" w:hAnsi="Times New Roman" w:eastAsia="仿宋" w:cs="Times New Roman"/>
          <w:b w:val="0"/>
          <w:bCs w:val="0"/>
          <w:color w:val="C00000"/>
          <w:kern w:val="0"/>
          <w:sz w:val="28"/>
          <w:szCs w:val="28"/>
          <w:highlight w:val="none"/>
          <w:lang w:val="en-US" w:eastAsia="zh-CN" w:bidi="ar-SA"/>
        </w:rPr>
        <w:t>主要参考了广西辐射站根据生态环境部下达的2014、2019、2022年等3次省级辐射事故应急综合演习评估总结，全面总结了演习基本情况、演习组织、演习亮点、演习中的不足，以及需要改进的地方。</w:t>
      </w:r>
    </w:p>
    <w:p>
      <w:pPr>
        <w:pStyle w:val="29"/>
        <w:keepNext w:val="0"/>
        <w:keepLines w:val="0"/>
        <w:pageBreakBefore w:val="0"/>
        <w:widowControl/>
        <w:kinsoku/>
        <w:wordWrap/>
        <w:overflowPunct/>
        <w:topLinePunct w:val="0"/>
        <w:bidi w:val="0"/>
        <w:adjustRightInd/>
        <w:snapToGrid/>
        <w:ind w:left="0" w:leftChars="0" w:firstLine="0" w:firstLineChars="0"/>
        <w:textAlignment w:val="auto"/>
        <w:rPr>
          <w:rFonts w:hint="eastAsia" w:ascii="Times New Roman" w:hAnsi="Times New Roman" w:eastAsia="仿宋_GB2312" w:cs="Times New Roman"/>
          <w:color w:val="auto"/>
          <w:sz w:val="28"/>
          <w:szCs w:val="32"/>
          <w:lang w:val="en-US" w:eastAsia="zh-CN"/>
        </w:rPr>
      </w:pPr>
      <w:r>
        <w:rPr>
          <w:rFonts w:hint="eastAsia" w:ascii="Times New Roman" w:hAnsi="Times New Roman" w:eastAsia="仿宋_GB2312" w:cs="Times New Roman"/>
          <w:color w:val="auto"/>
          <w:sz w:val="28"/>
          <w:szCs w:val="32"/>
          <w:lang w:val="en-US" w:eastAsia="zh-CN"/>
        </w:rPr>
        <w:drawing>
          <wp:inline distT="0" distB="0" distL="114300" distR="114300">
            <wp:extent cx="2546985" cy="3599815"/>
            <wp:effectExtent l="9525" t="9525" r="15240" b="10160"/>
            <wp:docPr id="44" name="图片 43" descr="关于印送《“平安广西-2022”辐射事故应急综合演习评估意见》的函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3" descr="关于印送《“平安广西-2022”辐射事故应急综合演习评估意见》的函_页面_2"/>
                    <pic:cNvPicPr>
                      <a:picLocks noChangeAspect="1"/>
                    </pic:cNvPicPr>
                  </pic:nvPicPr>
                  <pic:blipFill>
                    <a:blip r:embed="rId29"/>
                    <a:stretch>
                      <a:fillRect/>
                    </a:stretch>
                  </pic:blipFill>
                  <pic:spPr>
                    <a:xfrm>
                      <a:off x="0" y="0"/>
                      <a:ext cx="2546985" cy="3599815"/>
                    </a:xfrm>
                    <a:prstGeom prst="rect">
                      <a:avLst/>
                    </a:prstGeom>
                    <a:noFill/>
                    <a:ln w="9525" cap="flat" cmpd="sng">
                      <a:solidFill>
                        <a:srgbClr val="000000"/>
                      </a:solidFill>
                      <a:prstDash val="solid"/>
                      <a:miter/>
                      <a:headEnd type="none" w="med" len="med"/>
                      <a:tailEnd type="none" w="med" len="med"/>
                    </a:ln>
                  </pic:spPr>
                </pic:pic>
              </a:graphicData>
            </a:graphic>
          </wp:inline>
        </w:drawing>
      </w:r>
      <w:r>
        <w:rPr>
          <w:rFonts w:hint="eastAsia" w:ascii="Times New Roman" w:hAnsi="Times New Roman" w:eastAsia="仿宋_GB2312" w:cs="Times New Roman"/>
          <w:color w:val="auto"/>
          <w:sz w:val="28"/>
          <w:szCs w:val="32"/>
          <w:lang w:val="en-US" w:eastAsia="zh-CN"/>
        </w:rPr>
        <w:drawing>
          <wp:inline distT="0" distB="0" distL="114300" distR="114300">
            <wp:extent cx="2549525" cy="3599815"/>
            <wp:effectExtent l="9525" t="9525" r="12700" b="10160"/>
            <wp:docPr id="45" name="图片 44" descr="关于印送《“平安广西-2022”辐射事故应急综合演习评估意见》的函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descr="关于印送《“平安广西-2022”辐射事故应急综合演习评估意见》的函_页面_3"/>
                    <pic:cNvPicPr>
                      <a:picLocks noChangeAspect="1"/>
                    </pic:cNvPicPr>
                  </pic:nvPicPr>
                  <pic:blipFill>
                    <a:blip r:embed="rId30"/>
                    <a:stretch>
                      <a:fillRect/>
                    </a:stretch>
                  </pic:blipFill>
                  <pic:spPr>
                    <a:xfrm>
                      <a:off x="0" y="0"/>
                      <a:ext cx="2549525" cy="3599815"/>
                    </a:xfrm>
                    <a:prstGeom prst="rect">
                      <a:avLst/>
                    </a:prstGeom>
                    <a:noFill/>
                    <a:ln w="9525" cap="flat" cmpd="sng">
                      <a:solidFill>
                        <a:srgbClr val="000000"/>
                      </a:solidFill>
                      <a:prstDash val="solid"/>
                      <a:miter/>
                      <a:headEnd type="none" w="med" len="med"/>
                      <a:tailEnd type="none" w="med" len="med"/>
                    </a:ln>
                  </pic:spPr>
                </pic:pic>
              </a:graphicData>
            </a:graphic>
          </wp:inline>
        </w:drawing>
      </w:r>
    </w:p>
    <w:p>
      <w:pPr>
        <w:pStyle w:val="29"/>
        <w:keepNext w:val="0"/>
        <w:keepLines w:val="0"/>
        <w:pageBreakBefore w:val="0"/>
        <w:widowControl/>
        <w:kinsoku/>
        <w:wordWrap/>
        <w:overflowPunct/>
        <w:topLinePunct w:val="0"/>
        <w:bidi w:val="0"/>
        <w:adjustRightInd/>
        <w:snapToGrid/>
        <w:ind w:left="0" w:leftChars="0" w:firstLine="0" w:firstLineChars="0"/>
        <w:jc w:val="center"/>
        <w:textAlignment w:val="auto"/>
        <w:rPr>
          <w:rFonts w:hint="default" w:ascii="Times New Roman" w:hAnsi="Times New Roman" w:eastAsia="仿宋_GB2312" w:cs="Times New Roman"/>
          <w:color w:val="auto"/>
          <w:sz w:val="28"/>
          <w:szCs w:val="32"/>
          <w:lang w:val="en-US" w:eastAsia="zh-CN"/>
        </w:rPr>
      </w:pPr>
      <w:r>
        <w:rPr>
          <w:rFonts w:hint="default" w:ascii="Times New Roman" w:hAnsi="Times New Roman" w:eastAsia="仿宋_GB2312" w:cs="Times New Roman"/>
          <w:color w:val="auto"/>
          <w:sz w:val="28"/>
          <w:szCs w:val="32"/>
          <w:lang w:val="en-US" w:eastAsia="zh-CN"/>
        </w:rPr>
        <w:drawing>
          <wp:inline distT="0" distB="0" distL="114300" distR="114300">
            <wp:extent cx="2546985" cy="3599815"/>
            <wp:effectExtent l="9525" t="9525" r="15240" b="10160"/>
            <wp:docPr id="46" name="图片 46" descr="关于印送《“平安广西-2022”辐射事故应急综合演习评估意见》的函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关于印送《“平安广西-2022”辐射事故应急综合演习评估意见》的函_页面_4"/>
                    <pic:cNvPicPr>
                      <a:picLocks noChangeAspect="1"/>
                    </pic:cNvPicPr>
                  </pic:nvPicPr>
                  <pic:blipFill>
                    <a:blip r:embed="rId31"/>
                    <a:stretch>
                      <a:fillRect/>
                    </a:stretch>
                  </pic:blipFill>
                  <pic:spPr>
                    <a:xfrm>
                      <a:off x="0" y="0"/>
                      <a:ext cx="2546985" cy="3599815"/>
                    </a:xfrm>
                    <a:prstGeom prst="rect">
                      <a:avLst/>
                    </a:prstGeom>
                    <a:noFill/>
                    <a:ln w="9525" cap="flat" cmpd="sng">
                      <a:solidFill>
                        <a:srgbClr val="000000"/>
                      </a:solidFill>
                      <a:prstDash val="solid"/>
                      <a:miter/>
                      <a:headEnd type="none" w="med" len="med"/>
                      <a:tailEnd type="none" w="med" len="med"/>
                    </a:ln>
                  </pic:spPr>
                </pic:pic>
              </a:graphicData>
            </a:graphic>
          </wp:inline>
        </w:drawing>
      </w:r>
    </w:p>
    <w:p>
      <w:pPr>
        <w:pStyle w:val="29"/>
        <w:keepNext w:val="0"/>
        <w:keepLines w:val="0"/>
        <w:pageBreakBefore w:val="0"/>
        <w:widowControl/>
        <w:kinsoku/>
        <w:wordWrap/>
        <w:overflowPunct/>
        <w:topLinePunct w:val="0"/>
        <w:bidi w:val="0"/>
        <w:adjustRightInd/>
        <w:snapToGrid/>
        <w:ind w:left="0" w:leftChars="0" w:firstLine="0" w:firstLineChars="0"/>
        <w:jc w:val="center"/>
        <w:textAlignment w:val="auto"/>
        <w:rPr>
          <w:rFonts w:hint="default" w:ascii="Times New Roman" w:hAnsi="Times New Roman" w:eastAsia="仿宋_GB2312" w:cs="Times New Roman"/>
          <w:color w:val="C00000"/>
          <w:sz w:val="28"/>
          <w:szCs w:val="32"/>
          <w:lang w:val="en-US" w:eastAsia="zh-CN"/>
        </w:rPr>
      </w:pPr>
      <w:r>
        <w:rPr>
          <w:rFonts w:hint="eastAsia" w:ascii="Times New Roman" w:hAnsi="Times New Roman" w:eastAsia="仿宋_GB2312" w:cs="Times New Roman"/>
          <w:color w:val="C00000"/>
          <w:sz w:val="28"/>
          <w:szCs w:val="32"/>
          <w:lang w:val="en-US" w:eastAsia="zh-CN"/>
        </w:rPr>
        <w:t>图19  2022年省级辐射事故应急演习评估意见</w:t>
      </w:r>
    </w:p>
    <w:p>
      <w:pPr>
        <w:pStyle w:val="29"/>
        <w:keepNext w:val="0"/>
        <w:keepLines w:val="0"/>
        <w:pageBreakBefore w:val="0"/>
        <w:widowControl/>
        <w:kinsoku/>
        <w:wordWrap/>
        <w:overflowPunct/>
        <w:topLinePunct w:val="0"/>
        <w:bidi w:val="0"/>
        <w:adjustRightInd/>
        <w:snapToGrid/>
        <w:ind w:left="0" w:leftChars="0" w:firstLine="560" w:firstLineChars="200"/>
        <w:textAlignment w:val="auto"/>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（3）持续改进</w:t>
      </w:r>
    </w:p>
    <w:p>
      <w:pPr>
        <w:pStyle w:val="29"/>
        <w:keepNext w:val="0"/>
        <w:keepLines w:val="0"/>
        <w:pageBreakBefore w:val="0"/>
        <w:widowControl/>
        <w:kinsoku/>
        <w:wordWrap/>
        <w:overflowPunct/>
        <w:topLinePunct w:val="0"/>
        <w:bidi w:val="0"/>
        <w:adjustRightInd/>
        <w:snapToGrid/>
        <w:ind w:left="0" w:leftChars="0" w:firstLine="560" w:firstLineChars="200"/>
        <w:textAlignment w:val="auto"/>
        <w:rPr>
          <w:rFonts w:hint="default"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评估的目的之一是发现问题，并提出改进意见。因此规定</w:t>
      </w:r>
      <w:r>
        <w:rPr>
          <w:rFonts w:hint="default" w:ascii="Times New Roman" w:hAnsi="Times New Roman" w:eastAsia="仿宋" w:cs="Times New Roman"/>
          <w:b w:val="0"/>
          <w:bCs w:val="0"/>
          <w:color w:val="auto"/>
          <w:kern w:val="0"/>
          <w:sz w:val="28"/>
          <w:szCs w:val="28"/>
          <w:highlight w:val="none"/>
          <w:lang w:val="en-US" w:eastAsia="zh-CN" w:bidi="ar-SA"/>
        </w:rPr>
        <w:t>演习组织单位及参演单位应针对评估报告中指出的问题与不足</w:t>
      </w:r>
      <w:r>
        <w:rPr>
          <w:rFonts w:hint="eastAsia" w:ascii="Times New Roman" w:hAnsi="Times New Roman" w:eastAsia="仿宋" w:cs="Times New Roman"/>
          <w:b w:val="0"/>
          <w:bCs w:val="0"/>
          <w:color w:val="auto"/>
          <w:kern w:val="0"/>
          <w:sz w:val="28"/>
          <w:szCs w:val="28"/>
          <w:highlight w:val="none"/>
          <w:lang w:val="en-US" w:eastAsia="zh-CN" w:bidi="ar-SA"/>
        </w:rPr>
        <w:t>，</w:t>
      </w:r>
      <w:r>
        <w:rPr>
          <w:rFonts w:hint="default" w:ascii="Times New Roman" w:hAnsi="Times New Roman" w:eastAsia="仿宋" w:cs="Times New Roman"/>
          <w:b w:val="0"/>
          <w:bCs w:val="0"/>
          <w:color w:val="auto"/>
          <w:kern w:val="0"/>
          <w:sz w:val="28"/>
          <w:szCs w:val="28"/>
          <w:highlight w:val="none"/>
          <w:lang w:val="en-US" w:eastAsia="zh-CN" w:bidi="ar-SA"/>
        </w:rPr>
        <w:t>制定整改计划与措施，明确完成时限，持续跟踪整改进度。</w:t>
      </w:r>
      <w:r>
        <w:rPr>
          <w:rFonts w:hint="eastAsia" w:ascii="Times New Roman" w:hAnsi="Times New Roman" w:eastAsia="仿宋" w:cs="Times New Roman"/>
          <w:b w:val="0"/>
          <w:bCs w:val="0"/>
          <w:color w:val="auto"/>
          <w:kern w:val="0"/>
          <w:sz w:val="28"/>
          <w:szCs w:val="28"/>
          <w:highlight w:val="none"/>
          <w:lang w:val="en-US" w:eastAsia="zh-CN" w:bidi="ar-SA"/>
        </w:rPr>
        <w:t>主要参考了《广西壮族自治区辐射事故应急预案》中提出的能力保持要求，明确提出应根据演习意见进行改进，以及项目组成员单位开展完应急演习后，均按照评估组的评估意见进行了辐射监测、污染处置等方面的改进过程中形成的经验。</w:t>
      </w:r>
    </w:p>
    <w:p>
      <w:pPr>
        <w:pStyle w:val="29"/>
        <w:keepNext w:val="0"/>
        <w:keepLines w:val="0"/>
        <w:pageBreakBefore w:val="0"/>
        <w:widowControl/>
        <w:kinsoku/>
        <w:wordWrap/>
        <w:overflowPunct/>
        <w:topLinePunct w:val="0"/>
        <w:bidi w:val="0"/>
        <w:adjustRightInd/>
        <w:snapToGrid/>
        <w:ind w:left="0" w:leftChars="0" w:firstLine="560" w:firstLineChars="200"/>
        <w:textAlignment w:val="auto"/>
        <w:rPr>
          <w:rFonts w:hint="eastAsia"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（4）评估档案</w:t>
      </w:r>
    </w:p>
    <w:p>
      <w:pPr>
        <w:pStyle w:val="29"/>
        <w:keepNext w:val="0"/>
        <w:keepLines w:val="0"/>
        <w:pageBreakBefore w:val="0"/>
        <w:widowControl/>
        <w:kinsoku/>
        <w:wordWrap/>
        <w:overflowPunct/>
        <w:topLinePunct w:val="0"/>
        <w:bidi w:val="0"/>
        <w:adjustRightInd/>
        <w:snapToGrid/>
        <w:ind w:left="0" w:leftChars="0" w:firstLine="560" w:firstLineChars="200"/>
        <w:textAlignment w:val="auto"/>
        <w:rPr>
          <w:rFonts w:hint="eastAsia" w:ascii="Times New Roman" w:hAnsi="Times New Roman" w:eastAsia="仿宋_GB2312" w:cs="Times New Roman"/>
          <w:color w:val="auto"/>
          <w:sz w:val="28"/>
          <w:szCs w:val="32"/>
          <w:lang w:val="en-US" w:eastAsia="zh-CN"/>
        </w:rPr>
      </w:pPr>
      <w:r>
        <w:rPr>
          <w:rFonts w:hint="eastAsia" w:ascii="Times New Roman" w:hAnsi="Times New Roman" w:eastAsia="仿宋" w:cs="Times New Roman"/>
          <w:b w:val="0"/>
          <w:bCs w:val="0"/>
          <w:color w:val="auto"/>
          <w:kern w:val="0"/>
          <w:sz w:val="28"/>
          <w:szCs w:val="28"/>
          <w:highlight w:val="none"/>
          <w:lang w:val="en-US" w:eastAsia="zh-CN" w:bidi="ar-SA"/>
        </w:rPr>
        <w:t>规定</w:t>
      </w:r>
      <w:r>
        <w:rPr>
          <w:rFonts w:hint="default" w:ascii="Times New Roman" w:hAnsi="Times New Roman" w:eastAsia="仿宋" w:cs="Times New Roman"/>
          <w:b w:val="0"/>
          <w:bCs w:val="0"/>
          <w:color w:val="auto"/>
          <w:kern w:val="0"/>
          <w:sz w:val="28"/>
          <w:szCs w:val="28"/>
          <w:highlight w:val="none"/>
          <w:lang w:val="en-US" w:eastAsia="zh-CN" w:bidi="ar-SA"/>
        </w:rPr>
        <w:t>演习组织单位与评估组应</w:t>
      </w:r>
      <w:r>
        <w:rPr>
          <w:rFonts w:hint="eastAsia" w:ascii="Times New Roman" w:hAnsi="Times New Roman" w:eastAsia="仿宋" w:cs="Times New Roman"/>
          <w:b w:val="0"/>
          <w:bCs w:val="0"/>
          <w:color w:val="auto"/>
          <w:kern w:val="0"/>
          <w:sz w:val="28"/>
          <w:szCs w:val="28"/>
          <w:highlight w:val="none"/>
          <w:lang w:val="en-US" w:eastAsia="zh-CN" w:bidi="ar-SA"/>
        </w:rPr>
        <w:t>在</w:t>
      </w:r>
      <w:r>
        <w:rPr>
          <w:rFonts w:hint="default" w:ascii="Times New Roman" w:hAnsi="Times New Roman" w:eastAsia="仿宋" w:cs="Times New Roman"/>
          <w:b w:val="0"/>
          <w:bCs w:val="0"/>
          <w:color w:val="auto"/>
          <w:kern w:val="0"/>
          <w:sz w:val="28"/>
          <w:szCs w:val="28"/>
          <w:highlight w:val="none"/>
          <w:lang w:val="en-US" w:eastAsia="zh-CN" w:bidi="ar-SA"/>
        </w:rPr>
        <w:t>评估结束后整理演习方案、演习脚本、评估报告、评估表等相关文件，建立完整档案并妥善保存。</w:t>
      </w:r>
      <w:r>
        <w:rPr>
          <w:rFonts w:hint="eastAsia" w:ascii="Times New Roman" w:hAnsi="Times New Roman" w:eastAsia="仿宋" w:cs="Times New Roman"/>
          <w:b w:val="0"/>
          <w:bCs w:val="0"/>
          <w:color w:val="C00000"/>
          <w:kern w:val="0"/>
          <w:sz w:val="28"/>
          <w:szCs w:val="28"/>
          <w:highlight w:val="none"/>
          <w:lang w:val="en-US" w:eastAsia="zh-CN" w:bidi="ar-SA"/>
        </w:rPr>
        <w:t>主要参考了</w:t>
      </w:r>
      <w:r>
        <w:rPr>
          <w:rFonts w:hint="eastAsia" w:ascii="Times New Roman" w:hAnsi="Times New Roman" w:eastAsia="仿宋_GB2312" w:cs="Times New Roman"/>
          <w:color w:val="C00000"/>
          <w:sz w:val="28"/>
          <w:szCs w:val="32"/>
          <w:lang w:val="en-US" w:eastAsia="zh-CN"/>
        </w:rPr>
        <w:t>《广西壮族自治区辐射事故应急演习管理规定（试行）》（〔2022〕40号）中提出的应将演习资料全部归档，以及《广西壮族自治区辐射事故应急预案》中应急文件管理提出的加强对辐射事故应急文件的分类、保存和</w:t>
      </w:r>
      <w:r>
        <w:rPr>
          <w:rFonts w:hint="eastAsia" w:ascii="Times New Roman" w:hAnsi="Times New Roman" w:eastAsia="仿宋_GB2312" w:cs="Times New Roman"/>
          <w:color w:val="C00000"/>
          <w:sz w:val="28"/>
          <w:szCs w:val="32"/>
          <w:lang w:val="en-US" w:eastAsia="zh-CN"/>
        </w:rPr>
        <w:tab/>
        <w:t>归档管理。</w:t>
      </w:r>
    </w:p>
    <w:p>
      <w:pPr>
        <w:pStyle w:val="29"/>
        <w:keepNext w:val="0"/>
        <w:keepLines w:val="0"/>
        <w:pageBreakBefore w:val="0"/>
        <w:widowControl/>
        <w:kinsoku/>
        <w:wordWrap/>
        <w:overflowPunct/>
        <w:topLinePunct w:val="0"/>
        <w:bidi w:val="0"/>
        <w:adjustRightInd/>
        <w:snapToGrid/>
        <w:ind w:left="0" w:leftChars="0" w:firstLine="0" w:firstLineChars="0"/>
        <w:textAlignment w:val="auto"/>
        <w:rPr>
          <w:rFonts w:hint="eastAsia" w:ascii="Times New Roman" w:hAnsi="Times New Roman" w:eastAsia="仿宋_GB2312" w:cs="Times New Roman"/>
          <w:color w:val="auto"/>
          <w:sz w:val="28"/>
          <w:szCs w:val="32"/>
          <w:lang w:val="en-US" w:eastAsia="zh-CN"/>
        </w:rPr>
      </w:pPr>
      <w:r>
        <w:drawing>
          <wp:inline distT="0" distB="0" distL="114300" distR="114300">
            <wp:extent cx="5273040" cy="4234180"/>
            <wp:effectExtent l="12700" t="12700" r="29210" b="20320"/>
            <wp:docPr id="4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pic:cNvPicPr>
                      <a:picLocks noChangeAspect="1"/>
                    </pic:cNvPicPr>
                  </pic:nvPicPr>
                  <pic:blipFill>
                    <a:blip r:embed="rId32"/>
                    <a:stretch>
                      <a:fillRect/>
                    </a:stretch>
                  </pic:blipFill>
                  <pic:spPr>
                    <a:xfrm>
                      <a:off x="0" y="0"/>
                      <a:ext cx="5273040" cy="4234180"/>
                    </a:xfrm>
                    <a:prstGeom prst="rect">
                      <a:avLst/>
                    </a:prstGeom>
                    <a:noFill/>
                    <a:ln w="12700" cmpd="sng">
                      <a:solidFill>
                        <a:schemeClr val="accent1">
                          <a:shade val="50000"/>
                        </a:schemeClr>
                      </a:solidFill>
                      <a:prstDash val="solid"/>
                    </a:ln>
                  </pic:spPr>
                </pic:pic>
              </a:graphicData>
            </a:graphic>
          </wp:inline>
        </w:drawing>
      </w:r>
    </w:p>
    <w:p>
      <w:pPr>
        <w:pStyle w:val="29"/>
        <w:keepNext w:val="0"/>
        <w:keepLines w:val="0"/>
        <w:pageBreakBefore w:val="0"/>
        <w:widowControl/>
        <w:kinsoku/>
        <w:wordWrap/>
        <w:overflowPunct/>
        <w:topLinePunct w:val="0"/>
        <w:bidi w:val="0"/>
        <w:adjustRightInd/>
        <w:snapToGrid/>
        <w:ind w:left="0" w:leftChars="0" w:firstLine="0" w:firstLineChars="0"/>
        <w:jc w:val="center"/>
        <w:textAlignment w:val="auto"/>
        <w:rPr>
          <w:rFonts w:hint="default" w:ascii="Times New Roman" w:hAnsi="Times New Roman" w:eastAsia="仿宋_GB2312" w:cs="Times New Roman"/>
          <w:color w:val="C00000"/>
          <w:sz w:val="28"/>
          <w:szCs w:val="32"/>
          <w:lang w:val="en-US" w:eastAsia="zh-CN"/>
        </w:rPr>
      </w:pPr>
      <w:r>
        <w:rPr>
          <w:rFonts w:hint="eastAsia" w:ascii="Times New Roman" w:hAnsi="Times New Roman" w:eastAsia="仿宋_GB2312" w:cs="Times New Roman"/>
          <w:color w:val="C00000"/>
          <w:sz w:val="28"/>
          <w:szCs w:val="32"/>
          <w:lang w:val="en-US" w:eastAsia="zh-CN"/>
        </w:rPr>
        <w:t>图20  广西壮族自治区辐射事故应急预案中文件管理要求</w:t>
      </w:r>
    </w:p>
    <w:p>
      <w:pPr>
        <w:ind w:firstLine="640" w:firstLineChars="200"/>
        <w:outlineLvl w:val="1"/>
        <w:rPr>
          <w:rFonts w:hint="eastAsia" w:ascii="Times New Roman" w:hAnsi="Times New Roman" w:eastAsia="楷体_GB2312" w:cs="Times New Roman"/>
          <w:sz w:val="32"/>
          <w:szCs w:val="32"/>
          <w:lang w:val="en-US" w:eastAsia="zh-CN"/>
        </w:rPr>
      </w:pPr>
      <w:r>
        <w:rPr>
          <w:rFonts w:hint="eastAsia" w:ascii="Times New Roman" w:hAnsi="Times New Roman" w:eastAsia="楷体_GB2312" w:cs="Times New Roman"/>
          <w:sz w:val="32"/>
          <w:szCs w:val="32"/>
          <w:lang w:val="en-US" w:eastAsia="zh-CN"/>
        </w:rPr>
        <w:t>（七）附录</w:t>
      </w:r>
      <w:bookmarkStart w:id="49" w:name="_GoBack"/>
      <w:bookmarkEnd w:id="49"/>
    </w:p>
    <w:p>
      <w:pPr>
        <w:pStyle w:val="29"/>
        <w:keepNext w:val="0"/>
        <w:keepLines w:val="0"/>
        <w:pageBreakBefore w:val="0"/>
        <w:widowControl/>
        <w:kinsoku/>
        <w:wordWrap/>
        <w:overflowPunct/>
        <w:topLinePunct w:val="0"/>
        <w:bidi w:val="0"/>
        <w:adjustRightInd/>
        <w:snapToGrid/>
        <w:ind w:left="0" w:leftChars="0" w:firstLine="560" w:firstLineChars="200"/>
        <w:textAlignment w:val="auto"/>
        <w:rPr>
          <w:rFonts w:hint="default" w:ascii="Times New Roman" w:hAnsi="Times New Roman" w:eastAsia="仿宋" w:cs="Times New Roman"/>
          <w:b w:val="0"/>
          <w:bCs w:val="0"/>
          <w:color w:val="auto"/>
          <w:kern w:val="0"/>
          <w:sz w:val="28"/>
          <w:szCs w:val="28"/>
          <w:highlight w:val="none"/>
          <w:lang w:val="en-US" w:eastAsia="zh-CN" w:bidi="ar-SA"/>
        </w:rPr>
      </w:pPr>
      <w:r>
        <w:rPr>
          <w:rFonts w:hint="eastAsia" w:ascii="Times New Roman" w:hAnsi="Times New Roman" w:eastAsia="仿宋" w:cs="Times New Roman"/>
          <w:b w:val="0"/>
          <w:bCs w:val="0"/>
          <w:color w:val="auto"/>
          <w:kern w:val="0"/>
          <w:sz w:val="28"/>
          <w:szCs w:val="28"/>
          <w:highlight w:val="none"/>
          <w:lang w:val="en-US" w:eastAsia="zh-CN" w:bidi="ar-SA"/>
        </w:rPr>
        <w:t>附录A为资料性附录，编制了用于演习的评估表。主要参考了《广西壮族自治区辐射事故应急预案》、《辐射事故应急监测技术规范》等文件关于应急演习的要求，以及结合辐射站编制的演习评估手册。</w:t>
      </w:r>
    </w:p>
    <w:p>
      <w:pPr>
        <w:pStyle w:val="3"/>
        <w:pageBreakBefore w:val="0"/>
        <w:numPr>
          <w:ilvl w:val="0"/>
          <w:numId w:val="0"/>
        </w:numPr>
        <w:kinsoku/>
        <w:wordWrap/>
        <w:overflowPunct/>
        <w:topLinePunct w:val="0"/>
        <w:bidi w:val="0"/>
        <w:snapToGrid/>
        <w:spacing w:line="600" w:lineRule="exact"/>
        <w:ind w:leftChars="0"/>
        <w:textAlignment w:val="auto"/>
        <w:rPr>
          <w:rFonts w:hint="default" w:ascii="Times New Roman" w:hAnsi="Times New Roman" w:cs="Times New Roman"/>
          <w:bCs/>
          <w:color w:val="auto"/>
          <w:sz w:val="32"/>
          <w:szCs w:val="32"/>
          <w:highlight w:val="none"/>
          <w:lang w:val="zh-CN" w:eastAsia="zh-CN"/>
        </w:rPr>
      </w:pPr>
      <w:bookmarkStart w:id="42" w:name="_Toc9124"/>
      <w:bookmarkStart w:id="43" w:name="_Toc23779"/>
      <w:bookmarkStart w:id="44" w:name="_Toc5360"/>
      <w:r>
        <w:rPr>
          <w:rFonts w:hint="eastAsia" w:ascii="Times New Roman" w:hAnsi="Times New Roman" w:cs="Times New Roman"/>
          <w:bCs/>
          <w:color w:val="auto"/>
          <w:sz w:val="32"/>
          <w:szCs w:val="32"/>
          <w:highlight w:val="none"/>
          <w:lang w:val="en-US" w:eastAsia="zh-CN"/>
        </w:rPr>
        <w:t>六</w:t>
      </w:r>
      <w:r>
        <w:rPr>
          <w:rFonts w:hint="default" w:ascii="Times New Roman" w:hAnsi="Times New Roman" w:cs="Times New Roman"/>
          <w:bCs/>
          <w:color w:val="auto"/>
          <w:sz w:val="32"/>
          <w:szCs w:val="32"/>
          <w:highlight w:val="none"/>
          <w:lang w:val="en-US" w:eastAsia="zh-CN"/>
        </w:rPr>
        <w:t>、</w:t>
      </w:r>
      <w:bookmarkEnd w:id="42"/>
      <w:bookmarkEnd w:id="43"/>
      <w:bookmarkEnd w:id="44"/>
      <w:r>
        <w:rPr>
          <w:rFonts w:hint="default" w:ascii="Times New Roman" w:hAnsi="Times New Roman" w:cs="Times New Roman"/>
          <w:bCs/>
          <w:color w:val="auto"/>
          <w:sz w:val="32"/>
          <w:szCs w:val="32"/>
          <w:highlight w:val="none"/>
          <w:lang w:val="zh-CN" w:eastAsia="zh-CN"/>
        </w:rPr>
        <w:t>重大分歧意见的处理经过和依据</w:t>
      </w:r>
    </w:p>
    <w:p>
      <w:pPr>
        <w:keepNext w:val="0"/>
        <w:keepLines w:val="0"/>
        <w:pageBreakBefore w:val="0"/>
        <w:kinsoku/>
        <w:wordWrap/>
        <w:overflowPunct/>
        <w:topLinePunct w:val="0"/>
        <w:bidi w:val="0"/>
        <w:snapToGrid/>
        <w:spacing w:line="600" w:lineRule="exact"/>
        <w:ind w:firstLine="560" w:firstLineChars="200"/>
        <w:textAlignment w:val="auto"/>
        <w:rPr>
          <w:rFonts w:hint="default" w:ascii="Times New Roman" w:hAnsi="Times New Roman" w:eastAsia="仿宋" w:cs="Times New Roman"/>
          <w:color w:val="auto"/>
          <w:sz w:val="28"/>
          <w:szCs w:val="28"/>
          <w:highlight w:val="none"/>
        </w:rPr>
      </w:pPr>
      <w:r>
        <w:rPr>
          <w:rFonts w:hint="default" w:ascii="Times New Roman" w:hAnsi="Times New Roman" w:eastAsia="仿宋" w:cs="Times New Roman"/>
          <w:color w:val="auto"/>
          <w:sz w:val="28"/>
          <w:szCs w:val="28"/>
          <w:highlight w:val="none"/>
        </w:rPr>
        <w:t>本标准研制过程中无重大分歧意见。</w:t>
      </w:r>
    </w:p>
    <w:p>
      <w:pPr>
        <w:spacing w:before="240" w:after="60"/>
        <w:outlineLvl w:val="0"/>
        <w:rPr>
          <w:rFonts w:hint="eastAsia" w:ascii="黑体" w:hAnsi="宋体" w:eastAsia="黑体" w:cs="黑体"/>
          <w:bCs/>
          <w:sz w:val="28"/>
          <w:szCs w:val="28"/>
        </w:rPr>
      </w:pPr>
      <w:r>
        <w:rPr>
          <w:rFonts w:hint="eastAsia" w:ascii="黑体" w:hAnsi="宋体" w:eastAsia="黑体" w:cs="黑体"/>
          <w:bCs/>
          <w:sz w:val="28"/>
          <w:szCs w:val="28"/>
          <w:lang w:bidi="ar"/>
        </w:rPr>
        <w:t>七、贯彻标准的措施和建议</w:t>
      </w:r>
    </w:p>
    <w:p>
      <w:pPr>
        <w:spacing w:line="560" w:lineRule="exact"/>
        <w:ind w:firstLine="560" w:firstLineChars="200"/>
        <w:rPr>
          <w:rFonts w:hint="eastAsia" w:ascii="仿宋" w:hAnsi="仿宋" w:eastAsia="仿宋" w:cs="仿宋"/>
          <w:kern w:val="0"/>
          <w:sz w:val="24"/>
          <w:szCs w:val="28"/>
        </w:rPr>
      </w:pPr>
      <w:r>
        <w:rPr>
          <w:rFonts w:hint="eastAsia" w:ascii="仿宋_GB2312" w:hAnsi="宋体" w:eastAsia="仿宋_GB2312" w:cs="Calibri"/>
          <w:sz w:val="28"/>
          <w:szCs w:val="28"/>
        </w:rPr>
        <w:t>（一）标准报批发布后，成立标准宣贯工作组</w:t>
      </w:r>
    </w:p>
    <w:p>
      <w:pPr>
        <w:spacing w:line="560" w:lineRule="exact"/>
        <w:ind w:firstLine="560" w:firstLineChars="200"/>
        <w:rPr>
          <w:rFonts w:hint="eastAsia" w:ascii="仿宋_GB2312" w:hAnsi="宋体" w:eastAsia="仿宋_GB2312" w:cs="Calibri"/>
          <w:sz w:val="28"/>
          <w:szCs w:val="28"/>
        </w:rPr>
      </w:pPr>
      <w:r>
        <w:rPr>
          <w:rFonts w:hint="eastAsia" w:ascii="仿宋_GB2312" w:hAnsi="宋体" w:eastAsia="仿宋_GB2312" w:cs="Calibri"/>
          <w:sz w:val="28"/>
          <w:szCs w:val="28"/>
        </w:rPr>
        <w:t>本标准发布后，成立以主要起草人为成员的标准宣贯工作组，主要负责标准的宣贯实施</w:t>
      </w:r>
      <w:r>
        <w:rPr>
          <w:rFonts w:hint="eastAsia" w:ascii="仿宋_GB2312" w:hAnsi="宋体" w:eastAsia="仿宋_GB2312" w:cs="Calibri"/>
          <w:sz w:val="28"/>
          <w:szCs w:val="28"/>
          <w:lang w:eastAsia="zh-CN"/>
        </w:rPr>
        <w:t>评价</w:t>
      </w:r>
      <w:r>
        <w:rPr>
          <w:rFonts w:hint="eastAsia" w:ascii="仿宋_GB2312" w:hAnsi="宋体" w:eastAsia="仿宋_GB2312" w:cs="Calibri"/>
          <w:sz w:val="28"/>
          <w:szCs w:val="28"/>
        </w:rPr>
        <w:t>计划制定、标准实施交流会策划、标准实施信息反馈收集和标准实施效果评估等工作，并根据标准实施信息反馈和标准实施效果评估情况，及时组织标准复审修订。</w:t>
      </w:r>
    </w:p>
    <w:p>
      <w:pPr>
        <w:spacing w:line="560" w:lineRule="exact"/>
        <w:ind w:firstLine="560" w:firstLineChars="200"/>
        <w:rPr>
          <w:rFonts w:hint="eastAsia" w:ascii="仿宋_GB2312" w:hAnsi="宋体" w:eastAsia="仿宋_GB2312" w:cs="Calibri"/>
          <w:sz w:val="28"/>
          <w:szCs w:val="28"/>
          <w:lang w:eastAsia="zh-CN"/>
        </w:rPr>
      </w:pPr>
      <w:r>
        <w:rPr>
          <w:rFonts w:hint="eastAsia" w:ascii="仿宋_GB2312" w:hAnsi="宋体" w:eastAsia="仿宋_GB2312" w:cs="Calibri"/>
          <w:sz w:val="28"/>
          <w:szCs w:val="28"/>
        </w:rPr>
        <w:t>（二）组织开展标准宣贯</w:t>
      </w:r>
      <w:r>
        <w:rPr>
          <w:rFonts w:hint="eastAsia" w:ascii="仿宋_GB2312" w:hAnsi="宋体" w:eastAsia="仿宋_GB2312" w:cs="Calibri"/>
          <w:sz w:val="28"/>
          <w:szCs w:val="28"/>
          <w:lang w:eastAsia="zh-CN"/>
        </w:rPr>
        <w:t>评价</w:t>
      </w:r>
    </w:p>
    <w:p>
      <w:pPr>
        <w:spacing w:line="560" w:lineRule="exact"/>
        <w:ind w:firstLine="560" w:firstLineChars="200"/>
        <w:rPr>
          <w:rFonts w:hint="eastAsia" w:ascii="仿宋_GB2312" w:hAnsi="宋体" w:eastAsia="仿宋_GB2312" w:cs="Calibri"/>
          <w:sz w:val="28"/>
          <w:szCs w:val="28"/>
        </w:rPr>
      </w:pPr>
      <w:r>
        <w:rPr>
          <w:rFonts w:hint="eastAsia" w:ascii="仿宋_GB2312" w:hAnsi="宋体" w:eastAsia="仿宋_GB2312" w:cs="Calibri"/>
          <w:sz w:val="28"/>
          <w:szCs w:val="28"/>
        </w:rPr>
        <w:t>标准发布实施后，标准宣贯工作小组制作标准解读宣贯</w:t>
      </w:r>
      <w:r>
        <w:rPr>
          <w:rFonts w:hint="eastAsia" w:ascii="仿宋_GB2312" w:hAnsi="宋体" w:eastAsia="仿宋_GB2312" w:cs="Calibri"/>
          <w:sz w:val="28"/>
          <w:szCs w:val="28"/>
          <w:lang w:eastAsia="zh-CN"/>
        </w:rPr>
        <w:t>评价</w:t>
      </w:r>
      <w:r>
        <w:rPr>
          <w:rFonts w:hint="eastAsia" w:ascii="仿宋_GB2312" w:hAnsi="宋体" w:eastAsia="仿宋_GB2312" w:cs="Calibri"/>
          <w:sz w:val="28"/>
          <w:szCs w:val="28"/>
        </w:rPr>
        <w:t>PPT课件和标准核心技术明白书，并按标准宣贯</w:t>
      </w:r>
      <w:r>
        <w:rPr>
          <w:rFonts w:hint="eastAsia" w:ascii="仿宋_GB2312" w:hAnsi="宋体" w:eastAsia="仿宋_GB2312" w:cs="Calibri"/>
          <w:sz w:val="28"/>
          <w:szCs w:val="28"/>
          <w:lang w:eastAsia="zh-CN"/>
        </w:rPr>
        <w:t>评价</w:t>
      </w:r>
      <w:r>
        <w:rPr>
          <w:rFonts w:hint="eastAsia" w:ascii="仿宋_GB2312" w:hAnsi="宋体" w:eastAsia="仿宋_GB2312" w:cs="Calibri"/>
          <w:sz w:val="28"/>
          <w:szCs w:val="28"/>
        </w:rPr>
        <w:t>计划深入各有关</w:t>
      </w:r>
      <w:r>
        <w:rPr>
          <w:rFonts w:hint="eastAsia" w:ascii="仿宋_GB2312" w:hAnsi="宋体" w:eastAsia="仿宋_GB2312" w:cs="Calibri"/>
          <w:sz w:val="28"/>
          <w:szCs w:val="28"/>
          <w:lang w:eastAsia="zh-CN"/>
        </w:rPr>
        <w:t>单位</w:t>
      </w:r>
      <w:r>
        <w:rPr>
          <w:rFonts w:hint="eastAsia" w:ascii="仿宋_GB2312" w:hAnsi="宋体" w:eastAsia="仿宋_GB2312" w:cs="Calibri"/>
          <w:sz w:val="28"/>
          <w:szCs w:val="28"/>
        </w:rPr>
        <w:t>开展标准宣贯</w:t>
      </w:r>
      <w:r>
        <w:rPr>
          <w:rFonts w:hint="eastAsia" w:ascii="仿宋_GB2312" w:hAnsi="宋体" w:eastAsia="仿宋_GB2312" w:cs="Calibri"/>
          <w:sz w:val="28"/>
          <w:szCs w:val="28"/>
          <w:lang w:eastAsia="zh-CN"/>
        </w:rPr>
        <w:t>评价</w:t>
      </w:r>
      <w:r>
        <w:rPr>
          <w:rFonts w:hint="eastAsia" w:ascii="仿宋_GB2312" w:hAnsi="宋体" w:eastAsia="仿宋_GB2312" w:cs="Calibri"/>
          <w:sz w:val="28"/>
          <w:szCs w:val="28"/>
        </w:rPr>
        <w:t>，对标准进行逐条解读，让</w:t>
      </w:r>
      <w:r>
        <w:rPr>
          <w:rFonts w:hint="eastAsia" w:ascii="仿宋_GB2312" w:hAnsi="宋体" w:eastAsia="仿宋_GB2312" w:cs="Calibri"/>
          <w:sz w:val="28"/>
          <w:szCs w:val="28"/>
          <w:lang w:eastAsia="zh-CN"/>
        </w:rPr>
        <w:t>技术人员</w:t>
      </w:r>
      <w:r>
        <w:rPr>
          <w:rFonts w:hint="eastAsia" w:ascii="仿宋_GB2312" w:hAnsi="宋体" w:eastAsia="仿宋_GB2312" w:cs="Calibri"/>
          <w:sz w:val="28"/>
          <w:szCs w:val="28"/>
        </w:rPr>
        <w:t>掌握标准核心护理内容，助力标准实施落地。</w:t>
      </w:r>
    </w:p>
    <w:p>
      <w:pPr>
        <w:spacing w:line="560" w:lineRule="exact"/>
        <w:ind w:firstLine="560" w:firstLineChars="200"/>
        <w:rPr>
          <w:rFonts w:hint="eastAsia" w:ascii="仿宋_GB2312" w:hAnsi="宋体" w:eastAsia="仿宋_GB2312" w:cs="Calibri"/>
          <w:sz w:val="28"/>
          <w:szCs w:val="28"/>
        </w:rPr>
      </w:pPr>
      <w:r>
        <w:rPr>
          <w:rFonts w:hint="eastAsia" w:ascii="仿宋_GB2312" w:hAnsi="宋体" w:eastAsia="仿宋_GB2312" w:cs="Calibri"/>
          <w:sz w:val="28"/>
          <w:szCs w:val="28"/>
        </w:rPr>
        <w:t>（三）开展标准实施交流会，收集标准实施反馈信息</w:t>
      </w:r>
    </w:p>
    <w:p>
      <w:pPr>
        <w:spacing w:line="560" w:lineRule="exact"/>
        <w:ind w:firstLine="560" w:firstLineChars="200"/>
        <w:rPr>
          <w:rFonts w:hint="eastAsia" w:ascii="仿宋_GB2312" w:hAnsi="宋体" w:eastAsia="仿宋_GB2312" w:cs="Calibri"/>
          <w:sz w:val="28"/>
          <w:szCs w:val="28"/>
        </w:rPr>
      </w:pPr>
      <w:r>
        <w:rPr>
          <w:rFonts w:hint="eastAsia" w:ascii="仿宋_GB2312" w:hAnsi="宋体" w:eastAsia="仿宋_GB2312" w:cs="Calibri"/>
          <w:sz w:val="28"/>
          <w:szCs w:val="28"/>
        </w:rPr>
        <w:t>标准起草小组深入各有关</w:t>
      </w:r>
      <w:r>
        <w:rPr>
          <w:rFonts w:hint="eastAsia" w:ascii="仿宋_GB2312" w:hAnsi="宋体" w:eastAsia="仿宋_GB2312" w:cs="Calibri"/>
          <w:sz w:val="28"/>
          <w:szCs w:val="28"/>
          <w:lang w:eastAsia="zh-CN"/>
        </w:rPr>
        <w:t>单位</w:t>
      </w:r>
      <w:r>
        <w:rPr>
          <w:rFonts w:hint="eastAsia" w:ascii="仿宋_GB2312" w:hAnsi="宋体" w:eastAsia="仿宋_GB2312" w:cs="Calibri"/>
          <w:sz w:val="28"/>
          <w:szCs w:val="28"/>
        </w:rPr>
        <w:t>机构组织</w:t>
      </w:r>
      <w:r>
        <w:rPr>
          <w:rFonts w:hint="eastAsia" w:ascii="仿宋_GB2312" w:hAnsi="宋体" w:eastAsia="仿宋_GB2312" w:cs="Calibri"/>
          <w:sz w:val="28"/>
          <w:szCs w:val="28"/>
          <w:lang w:eastAsia="zh-CN"/>
        </w:rPr>
        <w:t>技术人员</w:t>
      </w:r>
      <w:r>
        <w:rPr>
          <w:rFonts w:hint="eastAsia" w:ascii="仿宋_GB2312" w:hAnsi="宋体" w:eastAsia="仿宋_GB2312" w:cs="Calibri"/>
          <w:sz w:val="28"/>
          <w:szCs w:val="28"/>
        </w:rPr>
        <w:t>召开标准实施交流会，听取标准实施过程中存在的问题并做好记录和解答，对存在的问题组织专家团队进行研讨，为标准的复审修订做准备。</w:t>
      </w:r>
    </w:p>
    <w:p>
      <w:pPr>
        <w:spacing w:line="560" w:lineRule="exact"/>
        <w:ind w:firstLine="560" w:firstLineChars="200"/>
        <w:rPr>
          <w:rFonts w:hint="eastAsia" w:ascii="仿宋_GB2312" w:hAnsi="宋体" w:eastAsia="仿宋_GB2312" w:cs="Calibri"/>
          <w:sz w:val="28"/>
          <w:szCs w:val="28"/>
        </w:rPr>
      </w:pPr>
      <w:r>
        <w:rPr>
          <w:rFonts w:hint="eastAsia" w:ascii="仿宋_GB2312" w:hAnsi="宋体" w:eastAsia="仿宋_GB2312" w:cs="Calibri"/>
          <w:sz w:val="28"/>
          <w:szCs w:val="28"/>
        </w:rPr>
        <w:t>（四）开展标准实施效果评估</w:t>
      </w:r>
    </w:p>
    <w:p>
      <w:pPr>
        <w:pStyle w:val="2"/>
        <w:keepNext w:val="0"/>
        <w:keepLines w:val="0"/>
        <w:pageBreakBefore w:val="0"/>
        <w:widowControl w:val="0"/>
        <w:kinsoku/>
        <w:wordWrap/>
        <w:overflowPunct/>
        <w:topLinePunct w:val="0"/>
        <w:autoSpaceDE/>
        <w:autoSpaceDN/>
        <w:bidi w:val="0"/>
        <w:adjustRightInd/>
        <w:snapToGrid/>
        <w:ind w:firstLine="560" w:firstLineChars="200"/>
        <w:textAlignment w:val="baseline"/>
        <w:rPr>
          <w:rFonts w:hint="default" w:ascii="Times New Roman" w:hAnsi="Times New Roman" w:eastAsia="仿宋" w:cs="Times New Roman"/>
          <w:color w:val="auto"/>
          <w:sz w:val="28"/>
          <w:szCs w:val="28"/>
          <w:highlight w:val="none"/>
          <w:lang w:val="zh-CN"/>
        </w:rPr>
      </w:pPr>
      <w:r>
        <w:rPr>
          <w:rFonts w:hint="eastAsia" w:ascii="仿宋_GB2312" w:hAnsi="宋体" w:eastAsia="仿宋_GB2312" w:cs="Calibri"/>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pPr>
        <w:pStyle w:val="3"/>
        <w:pageBreakBefore w:val="0"/>
        <w:numPr>
          <w:ilvl w:val="0"/>
          <w:numId w:val="0"/>
        </w:numPr>
        <w:kinsoku/>
        <w:wordWrap/>
        <w:overflowPunct/>
        <w:topLinePunct w:val="0"/>
        <w:bidi w:val="0"/>
        <w:snapToGrid/>
        <w:spacing w:line="600" w:lineRule="exact"/>
        <w:ind w:leftChars="0"/>
        <w:textAlignment w:val="auto"/>
        <w:rPr>
          <w:rFonts w:hint="default" w:ascii="Times New Roman" w:hAnsi="Times New Roman" w:cs="Times New Roman"/>
          <w:bCs/>
          <w:color w:val="auto"/>
          <w:sz w:val="32"/>
          <w:szCs w:val="32"/>
          <w:highlight w:val="none"/>
          <w:lang w:val="en-US" w:eastAsia="zh-CN"/>
        </w:rPr>
      </w:pPr>
      <w:bookmarkStart w:id="45" w:name="_Toc7338"/>
      <w:bookmarkStart w:id="46" w:name="_Toc21230"/>
      <w:bookmarkStart w:id="47" w:name="_Toc7981"/>
      <w:r>
        <w:rPr>
          <w:rFonts w:hint="eastAsia" w:ascii="Times New Roman" w:hAnsi="Times New Roman" w:cs="Times New Roman"/>
          <w:bCs/>
          <w:color w:val="auto"/>
          <w:sz w:val="32"/>
          <w:szCs w:val="32"/>
          <w:highlight w:val="none"/>
          <w:lang w:val="en-US" w:eastAsia="zh-CN"/>
        </w:rPr>
        <w:t>八、</w:t>
      </w:r>
      <w:bookmarkEnd w:id="45"/>
      <w:bookmarkEnd w:id="46"/>
      <w:bookmarkEnd w:id="47"/>
      <w:r>
        <w:rPr>
          <w:rFonts w:hint="eastAsia" w:ascii="Times New Roman" w:hAnsi="Times New Roman" w:cs="Times New Roman"/>
          <w:bCs/>
          <w:color w:val="auto"/>
          <w:sz w:val="32"/>
          <w:szCs w:val="32"/>
          <w:highlight w:val="none"/>
          <w:lang w:val="en-US" w:eastAsia="zh-CN"/>
        </w:rPr>
        <w:t>其他应当说明的事项</w:t>
      </w:r>
    </w:p>
    <w:p>
      <w:pPr>
        <w:keepNext w:val="0"/>
        <w:keepLines w:val="0"/>
        <w:pageBreakBefore w:val="0"/>
        <w:kinsoku/>
        <w:wordWrap/>
        <w:overflowPunct/>
        <w:topLinePunct w:val="0"/>
        <w:bidi w:val="0"/>
        <w:snapToGrid/>
        <w:spacing w:line="600" w:lineRule="exact"/>
        <w:ind w:firstLine="560" w:firstLineChars="200"/>
        <w:textAlignment w:val="auto"/>
        <w:rPr>
          <w:rFonts w:hint="default" w:ascii="Times New Roman" w:hAnsi="Times New Roman" w:eastAsia="仿宋" w:cs="Times New Roman"/>
          <w:color w:val="auto"/>
          <w:sz w:val="28"/>
          <w:szCs w:val="28"/>
          <w:highlight w:val="none"/>
        </w:rPr>
      </w:pPr>
      <w:r>
        <w:rPr>
          <w:rFonts w:hint="eastAsia" w:ascii="Times New Roman" w:hAnsi="Times New Roman" w:eastAsia="仿宋" w:cs="Times New Roman"/>
          <w:color w:val="auto"/>
          <w:sz w:val="28"/>
          <w:szCs w:val="28"/>
          <w:highlight w:val="none"/>
          <w:lang w:val="en-US" w:eastAsia="zh-CN"/>
        </w:rPr>
        <w:t>无</w:t>
      </w:r>
      <w:r>
        <w:rPr>
          <w:rFonts w:hint="default" w:ascii="Times New Roman" w:hAnsi="Times New Roman" w:eastAsia="仿宋" w:cs="Times New Roman"/>
          <w:color w:val="auto"/>
          <w:sz w:val="28"/>
          <w:szCs w:val="28"/>
          <w:highlight w:val="none"/>
        </w:rPr>
        <w:t>。</w:t>
      </w:r>
    </w:p>
    <w:p>
      <w:pPr>
        <w:pStyle w:val="53"/>
        <w:keepNext w:val="0"/>
        <w:keepLines w:val="0"/>
        <w:pageBreakBefore w:val="0"/>
        <w:kinsoku/>
        <w:wordWrap/>
        <w:overflowPunct/>
        <w:topLinePunct w:val="0"/>
        <w:bidi w:val="0"/>
        <w:snapToGrid/>
        <w:spacing w:line="600" w:lineRule="exact"/>
        <w:ind w:firstLine="560"/>
        <w:textAlignment w:val="auto"/>
        <w:rPr>
          <w:rFonts w:ascii="Times New Roman" w:hAnsi="Times New Roman" w:cs="Times New Roman"/>
          <w:color w:val="auto"/>
          <w:kern w:val="0"/>
          <w:sz w:val="28"/>
          <w:szCs w:val="28"/>
          <w:highlight w:val="none"/>
        </w:rPr>
      </w:pPr>
    </w:p>
    <w:p>
      <w:pPr>
        <w:keepNext w:val="0"/>
        <w:keepLines w:val="0"/>
        <w:pageBreakBefore w:val="0"/>
        <w:kinsoku/>
        <w:wordWrap/>
        <w:overflowPunct/>
        <w:topLinePunct w:val="0"/>
        <w:bidi w:val="0"/>
        <w:snapToGrid/>
        <w:spacing w:line="600" w:lineRule="exact"/>
        <w:jc w:val="right"/>
        <w:textAlignment w:val="auto"/>
        <w:rPr>
          <w:rFonts w:ascii="Times New Roman" w:hAnsi="Times New Roman" w:cs="Times New Roman"/>
          <w:color w:val="auto"/>
          <w:sz w:val="28"/>
          <w:szCs w:val="28"/>
          <w:highlight w:val="none"/>
        </w:rPr>
      </w:pPr>
      <w:bookmarkStart w:id="48" w:name="_Toc4478"/>
      <w:r>
        <w:rPr>
          <w:rFonts w:hint="default" w:ascii="Times New Roman" w:hAnsi="Times New Roman" w:eastAsia="仿宋" w:cs="Times New Roman"/>
          <w:color w:val="auto"/>
          <w:sz w:val="28"/>
          <w:szCs w:val="28"/>
          <w:highlight w:val="none"/>
        </w:rPr>
        <w:t>团体标准《</w:t>
      </w:r>
      <w:r>
        <w:rPr>
          <w:rFonts w:hint="eastAsia" w:ascii="Times New Roman" w:hAnsi="Times New Roman" w:eastAsia="仿宋" w:cs="Times New Roman"/>
          <w:color w:val="auto"/>
          <w:sz w:val="28"/>
          <w:szCs w:val="28"/>
          <w:highlight w:val="none"/>
          <w:lang w:val="zh-CN" w:eastAsia="zh-CN"/>
        </w:rPr>
        <w:t>辐射事故应急演习评估导则</w:t>
      </w:r>
      <w:r>
        <w:rPr>
          <w:rFonts w:hint="default" w:ascii="Times New Roman" w:hAnsi="Times New Roman" w:eastAsia="仿宋" w:cs="Times New Roman"/>
          <w:color w:val="auto"/>
          <w:sz w:val="28"/>
          <w:szCs w:val="28"/>
          <w:highlight w:val="none"/>
        </w:rPr>
        <w:t>》</w:t>
      </w:r>
    </w:p>
    <w:p>
      <w:pPr>
        <w:keepNext w:val="0"/>
        <w:keepLines w:val="0"/>
        <w:pageBreakBefore w:val="0"/>
        <w:kinsoku/>
        <w:wordWrap/>
        <w:overflowPunct/>
        <w:topLinePunct w:val="0"/>
        <w:bidi w:val="0"/>
        <w:snapToGrid/>
        <w:spacing w:line="600" w:lineRule="exact"/>
        <w:textAlignment w:val="auto"/>
        <w:rPr>
          <w:rFonts w:hint="default" w:ascii="Times New Roman" w:hAnsi="Times New Roman" w:eastAsia="仿宋" w:cs="Times New Roman"/>
          <w:color w:val="auto"/>
          <w:sz w:val="28"/>
          <w:szCs w:val="28"/>
          <w:highlight w:val="none"/>
        </w:rPr>
      </w:pPr>
      <w:r>
        <w:rPr>
          <w:rFonts w:ascii="Times New Roman" w:hAnsi="Times New Roman" w:cs="Times New Roman"/>
          <w:color w:val="auto"/>
          <w:sz w:val="28"/>
          <w:szCs w:val="28"/>
          <w:highlight w:val="none"/>
        </w:rPr>
        <w:t xml:space="preserve">                               </w:t>
      </w:r>
      <w:r>
        <w:rPr>
          <w:rFonts w:hint="default" w:ascii="Times New Roman" w:hAnsi="Times New Roman" w:eastAsia="仿宋" w:cs="Times New Roman"/>
          <w:color w:val="auto"/>
          <w:sz w:val="28"/>
          <w:szCs w:val="28"/>
          <w:highlight w:val="none"/>
        </w:rPr>
        <w:t xml:space="preserve">   标准编制工作组</w:t>
      </w:r>
    </w:p>
    <w:p>
      <w:pPr>
        <w:keepNext w:val="0"/>
        <w:keepLines w:val="0"/>
        <w:pageBreakBefore w:val="0"/>
        <w:kinsoku/>
        <w:wordWrap/>
        <w:overflowPunct/>
        <w:topLinePunct w:val="0"/>
        <w:bidi w:val="0"/>
        <w:snapToGrid/>
        <w:spacing w:line="600" w:lineRule="exact"/>
        <w:textAlignment w:val="auto"/>
        <w:rPr>
          <w:rFonts w:hint="default" w:ascii="Times New Roman" w:hAnsi="Times New Roman" w:eastAsia="仿宋" w:cs="Times New Roman"/>
          <w:color w:val="auto"/>
          <w:kern w:val="0"/>
          <w:sz w:val="28"/>
          <w:szCs w:val="28"/>
          <w:highlight w:val="none"/>
          <w:lang w:val="en-US" w:eastAsia="zh-CN"/>
        </w:rPr>
      </w:pPr>
      <w:r>
        <w:rPr>
          <w:rFonts w:ascii="Times New Roman" w:hAnsi="Times New Roman" w:cs="Times New Roman"/>
          <w:color w:val="auto"/>
          <w:sz w:val="28"/>
          <w:szCs w:val="28"/>
          <w:highlight w:val="none"/>
        </w:rPr>
        <w:t xml:space="preserve">                             </w:t>
      </w:r>
      <w:r>
        <w:rPr>
          <w:rFonts w:hint="eastAsia" w:ascii="Times New Roman" w:hAnsi="Times New Roman" w:cs="Times New Roman"/>
          <w:color w:val="auto"/>
          <w:sz w:val="28"/>
          <w:szCs w:val="28"/>
          <w:highlight w:val="none"/>
          <w:lang w:val="en-US" w:eastAsia="zh-CN"/>
        </w:rPr>
        <w:t xml:space="preserve">  </w:t>
      </w:r>
      <w:r>
        <w:rPr>
          <w:rFonts w:ascii="Times New Roman" w:hAnsi="Times New Roman" w:cs="Times New Roman"/>
          <w:color w:val="auto"/>
          <w:sz w:val="28"/>
          <w:szCs w:val="28"/>
          <w:highlight w:val="none"/>
        </w:rPr>
        <w:t xml:space="preserve">  </w:t>
      </w:r>
      <w:r>
        <w:rPr>
          <w:rFonts w:hint="default" w:ascii="Times New Roman" w:hAnsi="Times New Roman" w:eastAsia="仿宋" w:cs="Times New Roman"/>
          <w:color w:val="auto"/>
          <w:sz w:val="28"/>
          <w:szCs w:val="28"/>
          <w:highlight w:val="none"/>
        </w:rPr>
        <w:t xml:space="preserve">   20</w:t>
      </w:r>
      <w:r>
        <w:rPr>
          <w:rFonts w:hint="default" w:ascii="Times New Roman" w:hAnsi="Times New Roman" w:eastAsia="仿宋" w:cs="Times New Roman"/>
          <w:color w:val="auto"/>
          <w:sz w:val="28"/>
          <w:szCs w:val="28"/>
          <w:highlight w:val="none"/>
          <w:lang w:val="en-US" w:eastAsia="zh-CN"/>
        </w:rPr>
        <w:t>2</w:t>
      </w:r>
      <w:r>
        <w:rPr>
          <w:rFonts w:hint="eastAsia" w:ascii="Times New Roman" w:hAnsi="Times New Roman" w:eastAsia="仿宋" w:cs="Times New Roman"/>
          <w:color w:val="auto"/>
          <w:sz w:val="28"/>
          <w:szCs w:val="28"/>
          <w:highlight w:val="none"/>
          <w:lang w:val="en-US" w:eastAsia="zh-CN"/>
        </w:rPr>
        <w:t>6</w:t>
      </w:r>
      <w:r>
        <w:rPr>
          <w:rFonts w:hint="default" w:ascii="Times New Roman" w:hAnsi="Times New Roman" w:eastAsia="仿宋" w:cs="Times New Roman"/>
          <w:color w:val="auto"/>
          <w:sz w:val="28"/>
          <w:szCs w:val="28"/>
          <w:highlight w:val="none"/>
        </w:rPr>
        <w:t>年</w:t>
      </w:r>
      <w:r>
        <w:rPr>
          <w:rFonts w:hint="eastAsia" w:ascii="Times New Roman" w:hAnsi="Times New Roman" w:eastAsia="仿宋" w:cs="Times New Roman"/>
          <w:color w:val="auto"/>
          <w:sz w:val="28"/>
          <w:szCs w:val="28"/>
          <w:highlight w:val="none"/>
          <w:lang w:val="en-US" w:eastAsia="zh-CN"/>
        </w:rPr>
        <w:t>2</w:t>
      </w:r>
      <w:r>
        <w:rPr>
          <w:rFonts w:hint="default" w:ascii="Times New Roman" w:hAnsi="Times New Roman" w:eastAsia="仿宋" w:cs="Times New Roman"/>
          <w:color w:val="auto"/>
          <w:sz w:val="28"/>
          <w:szCs w:val="28"/>
          <w:highlight w:val="none"/>
        </w:rPr>
        <w:t>月</w:t>
      </w:r>
      <w:bookmarkEnd w:id="48"/>
      <w:r>
        <w:rPr>
          <w:rFonts w:hint="eastAsia" w:ascii="Times New Roman" w:hAnsi="Times New Roman" w:eastAsia="仿宋" w:cs="Times New Roman"/>
          <w:color w:val="auto"/>
          <w:sz w:val="28"/>
          <w:szCs w:val="28"/>
          <w:highlight w:val="none"/>
          <w:lang w:val="en-US" w:eastAsia="zh-CN"/>
        </w:rPr>
        <w:t>28日</w:t>
      </w:r>
    </w:p>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楷体_GB2312">
    <w:panose1 w:val="02010609030101010101"/>
    <w:charset w:val="86"/>
    <w:family w:val="auto"/>
    <w:pitch w:val="default"/>
    <w:sig w:usb0="00000001"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 w:name="Noto Sans CJK JP Regular">
    <w:altName w:val="Arial"/>
    <w:panose1 w:val="00000000000000000000"/>
    <w:charset w:val="00"/>
    <w:family w:val="swiss"/>
    <w:pitch w:val="default"/>
    <w:sig w:usb0="00000000" w:usb1="00000000" w:usb2="00000000" w:usb3="00000000" w:csb0="00040001" w:csb1="00000000"/>
  </w:font>
  <w:font w:name="仿宋_GB2312">
    <w:panose1 w:val="02010609030101010101"/>
    <w:charset w:val="86"/>
    <w:family w:val="modern"/>
    <w:pitch w:val="default"/>
    <w:sig w:usb0="00000001" w:usb1="080E0000" w:usb2="00000000" w:usb3="00000000" w:csb0="00040000" w:csb1="00000000"/>
  </w:font>
  <w:font w:name="Courier New">
    <w:panose1 w:val="02070309020205020404"/>
    <w:charset w:val="00"/>
    <w:family w:val="modern"/>
    <w:pitch w:val="default"/>
    <w:sig w:usb0="E0002EFF" w:usb1="C0007843" w:usb2="00000009" w:usb3="00000000" w:csb0="400001FF" w:csb1="FFFF0000"/>
  </w:font>
  <w:font w:name="Sim Sun">
    <w:altName w:val="宋体"/>
    <w:panose1 w:val="00000000000000000000"/>
    <w:charset w:val="86"/>
    <w:family w:val="auto"/>
    <w:pitch w:val="default"/>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wps:txbx>
                    <wps:bodyPr vert="horz" wrap="none" lIns="0" tIns="0" rIns="0" bIns="0" anchor="t" anchorCtr="0" upright="0">
                      <a:spAutoFit/>
                    </wps:bodyPr>
                  </wps:wsp>
                </a:graphicData>
              </a:graphic>
            </wp:anchor>
          </w:drawing>
        </mc:Choice>
        <mc:Fallback>
          <w:pict>
            <v:shape id="文本框 8"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OqXm5zwAAAAUBAAAPAAAAAAAAAAEA&#10;IAAAACIAAABkcnMvZG93bnJldi54bWxQSwECFAAUAAAACACHTuJAPEZMw98BAAC/AwAADgAAAAAA&#10;AAABACAAAAAeAQAAZHJzL2Uyb0RvYy54bWxQSwUGAAAAAAYABgBZAQAAbwUAAAAA&#10;">
              <v:fill on="f" focussize="0,0"/>
              <v:stroke on="f"/>
              <v:imagedata o:title=""/>
              <o:lock v:ext="edit" aspectratio="f"/>
              <v:textbox inset="0mm,0mm,0mm,0mm" style="mso-fit-shape-to-text:t;">
                <w:txbxContent>
                  <w:p>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4EA3122"/>
    <w:multiLevelType w:val="singleLevel"/>
    <w:tmpl w:val="C4EA3122"/>
    <w:lvl w:ilvl="0" w:tentative="0">
      <w:start w:val="1"/>
      <w:numFmt w:val="decimal"/>
      <w:suff w:val="nothing"/>
      <w:lvlText w:val="（%1）"/>
      <w:lvlJc w:val="left"/>
    </w:lvl>
  </w:abstractNum>
  <w:abstractNum w:abstractNumId="1">
    <w:nsid w:val="1FC91163"/>
    <w:multiLevelType w:val="multilevel"/>
    <w:tmpl w:val="1FC91163"/>
    <w:lvl w:ilvl="0" w:tentative="0">
      <w:start w:val="1"/>
      <w:numFmt w:val="decimal"/>
      <w:pStyle w:val="59"/>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40"/>
      <w:suff w:val="nothing"/>
      <w:lvlText w:val="%1.%2　"/>
      <w:lvlJc w:val="left"/>
      <w:pPr>
        <w:ind w:left="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43"/>
      <w:suff w:val="nothing"/>
      <w:lvlText w:val="%1.%2.%3　"/>
      <w:lvlJc w:val="left"/>
      <w:pPr>
        <w:ind w:left="0" w:firstLine="0"/>
      </w:pPr>
      <w:rPr>
        <w:rFonts w:hint="eastAsia" w:ascii="黑体" w:hAnsi="Times New Roman" w:eastAsia="黑体"/>
        <w:b w:val="0"/>
        <w:i w:val="0"/>
        <w:sz w:val="21"/>
      </w:rPr>
    </w:lvl>
    <w:lvl w:ilvl="3" w:tentative="0">
      <w:start w:val="1"/>
      <w:numFmt w:val="decimal"/>
      <w:pStyle w:val="48"/>
      <w:suff w:val="nothing"/>
      <w:lvlText w:val="%1.%2.%3.%4　"/>
      <w:lvlJc w:val="left"/>
      <w:pPr>
        <w:ind w:left="0" w:firstLine="0"/>
      </w:pPr>
      <w:rPr>
        <w:rFonts w:hint="eastAsia" w:ascii="黑体" w:hAnsi="Times New Roman" w:eastAsia="黑体"/>
        <w:b w:val="0"/>
        <w:i w:val="0"/>
        <w:sz w:val="21"/>
      </w:rPr>
    </w:lvl>
    <w:lvl w:ilvl="4" w:tentative="0">
      <w:start w:val="1"/>
      <w:numFmt w:val="decimal"/>
      <w:pStyle w:val="41"/>
      <w:suff w:val="nothing"/>
      <w:lvlText w:val="%1.%2.%3.%4.%5　"/>
      <w:lvlJc w:val="left"/>
      <w:pPr>
        <w:ind w:left="840" w:firstLine="0"/>
      </w:pPr>
      <w:rPr>
        <w:rFonts w:hint="eastAsia" w:ascii="黑体" w:hAnsi="Times New Roman" w:eastAsia="黑体"/>
        <w:b w:val="0"/>
        <w:i w:val="0"/>
        <w:sz w:val="21"/>
      </w:rPr>
    </w:lvl>
    <w:lvl w:ilvl="5" w:tentative="0">
      <w:start w:val="1"/>
      <w:numFmt w:val="decimal"/>
      <w:pStyle w:val="56"/>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
    <w:nsid w:val="23A83C6E"/>
    <w:multiLevelType w:val="singleLevel"/>
    <w:tmpl w:val="23A83C6E"/>
    <w:lvl w:ilvl="0" w:tentative="0">
      <w:start w:val="3"/>
      <w:numFmt w:val="chineseCounting"/>
      <w:suff w:val="nothing"/>
      <w:lvlText w:val="（%1）"/>
      <w:lvlJc w:val="left"/>
      <w:rPr>
        <w:rFonts w:hint="eastAsia"/>
      </w:rPr>
    </w:lvl>
  </w:abstractNum>
  <w:abstractNum w:abstractNumId="3">
    <w:nsid w:val="2C5917C3"/>
    <w:multiLevelType w:val="multilevel"/>
    <w:tmpl w:val="2C5917C3"/>
    <w:lvl w:ilvl="0" w:tentative="0">
      <w:start w:val="1"/>
      <w:numFmt w:val="none"/>
      <w:pStyle w:val="64"/>
      <w:lvlText w:val="%1——"/>
      <w:lvlJc w:val="left"/>
      <w:pPr>
        <w:tabs>
          <w:tab w:val="left" w:pos="851"/>
        </w:tabs>
        <w:ind w:left="851" w:hanging="426"/>
      </w:pPr>
      <w:rPr>
        <w:rFonts w:hint="eastAsia" w:ascii="宋体" w:hAnsi="Times New Roman" w:eastAsia="宋体"/>
        <w:b w:val="0"/>
        <w:i w:val="0"/>
        <w:sz w:val="21"/>
      </w:rPr>
    </w:lvl>
    <w:lvl w:ilvl="1" w:tentative="0">
      <w:start w:val="1"/>
      <w:numFmt w:val="none"/>
      <w:lvlText w:val=""/>
      <w:lvlJc w:val="left"/>
      <w:pPr>
        <w:ind w:left="851" w:hanging="431"/>
      </w:pPr>
      <w:rPr>
        <w:rFonts w:hint="default" w:ascii="Symbol" w:hAnsi="Symbol"/>
        <w:sz w:val="21"/>
      </w:rPr>
    </w:lvl>
    <w:lvl w:ilvl="2" w:tentative="0">
      <w:start w:val="1"/>
      <w:numFmt w:val="bullet"/>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4">
    <w:nsid w:val="657D3FBC"/>
    <w:multiLevelType w:val="multilevel"/>
    <w:tmpl w:val="657D3FBC"/>
    <w:lvl w:ilvl="0" w:tentative="0">
      <w:start w:val="1"/>
      <w:numFmt w:val="upperLetter"/>
      <w:pStyle w:val="61"/>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47"/>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pStyle w:val="46"/>
      <w:suff w:val="nothing"/>
      <w:lvlText w:val="%1.%2.%3　"/>
      <w:lvlJc w:val="left"/>
      <w:pPr>
        <w:ind w:left="0" w:firstLine="0"/>
      </w:pPr>
      <w:rPr>
        <w:rFonts w:hint="eastAsia" w:ascii="黑体" w:hAnsi="Times New Roman" w:eastAsia="黑体"/>
        <w:b w:val="0"/>
        <w:i w:val="0"/>
        <w:sz w:val="21"/>
      </w:rPr>
    </w:lvl>
    <w:lvl w:ilvl="3" w:tentative="0">
      <w:start w:val="1"/>
      <w:numFmt w:val="decimal"/>
      <w:pStyle w:val="50"/>
      <w:suff w:val="nothing"/>
      <w:lvlText w:val="%1.%2.%3.%4　"/>
      <w:lvlJc w:val="left"/>
      <w:pPr>
        <w:ind w:left="0" w:firstLine="0"/>
      </w:pPr>
      <w:rPr>
        <w:rFonts w:hint="eastAsia" w:ascii="黑体" w:hAnsi="Times New Roman" w:eastAsia="黑体"/>
        <w:b w:val="0"/>
        <w:i w:val="0"/>
        <w:sz w:val="21"/>
      </w:rPr>
    </w:lvl>
    <w:lvl w:ilvl="4" w:tentative="0">
      <w:start w:val="1"/>
      <w:numFmt w:val="decimal"/>
      <w:pStyle w:val="51"/>
      <w:suff w:val="nothing"/>
      <w:lvlText w:val="%1.%2.%3.%4.%5　"/>
      <w:lvlJc w:val="left"/>
      <w:pPr>
        <w:ind w:left="0" w:firstLine="0"/>
      </w:pPr>
      <w:rPr>
        <w:rFonts w:hint="eastAsia" w:ascii="黑体" w:hAnsi="Times New Roman" w:eastAsia="黑体"/>
        <w:b w:val="0"/>
        <w:i w:val="0"/>
        <w:sz w:val="21"/>
      </w:rPr>
    </w:lvl>
    <w:lvl w:ilvl="5" w:tentative="0">
      <w:start w:val="1"/>
      <w:numFmt w:val="decimal"/>
      <w:pStyle w:val="52"/>
      <w:suff w:val="nothing"/>
      <w:lvlText w:val="%1.%2.%3.%4.%5.%6　"/>
      <w:lvlJc w:val="left"/>
      <w:pPr>
        <w:ind w:left="0" w:firstLine="0"/>
      </w:pPr>
      <w:rPr>
        <w:rFonts w:hint="eastAsia" w:ascii="黑体" w:hAnsi="Times New Roman" w:eastAsia="黑体"/>
        <w:b w:val="0"/>
        <w:i w:val="0"/>
        <w:sz w:val="21"/>
      </w:rPr>
    </w:lvl>
    <w:lvl w:ilvl="6" w:tentative="0">
      <w:start w:val="1"/>
      <w:numFmt w:val="decimal"/>
      <w:pStyle w:val="57"/>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5">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1134"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25"/>
      <w:suff w:val="nothing"/>
      <w:lvlText w:val="%1%2.%3.%4　"/>
      <w:lvlJc w:val="left"/>
      <w:pPr>
        <w:ind w:left="3969"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7314ADCB"/>
    <w:multiLevelType w:val="multilevel"/>
    <w:tmpl w:val="7314ADCB"/>
    <w:lvl w:ilvl="0" w:tentative="0">
      <w:start w:val="1"/>
      <w:numFmt w:val="none"/>
      <w:suff w:val="nothing"/>
      <w:lvlText w:val="%1"/>
      <w:lvlJc w:val="left"/>
      <w:pPr>
        <w:tabs>
          <w:tab w:val="left" w:pos="0"/>
        </w:tabs>
        <w:ind w:left="0" w:firstLine="0"/>
      </w:pPr>
    </w:lvl>
    <w:lvl w:ilvl="1" w:tentative="0">
      <w:start w:val="1"/>
      <w:numFmt w:val="decimal"/>
      <w:pStyle w:val="27"/>
      <w:suff w:val="nothing"/>
      <w:lvlText w:val="%1%2　"/>
      <w:lvlJc w:val="left"/>
      <w:pPr>
        <w:tabs>
          <w:tab w:val="left" w:pos="0"/>
        </w:tabs>
        <w:ind w:left="142" w:firstLine="0"/>
      </w:pPr>
      <w:rPr>
        <w:rFonts w:hint="eastAsia" w:ascii="黑体" w:hAnsi="Times New Roman" w:eastAsia="黑体" w:cs="黑体"/>
        <w:b w:val="0"/>
        <w:sz w:val="21"/>
      </w:rPr>
    </w:lvl>
    <w:lvl w:ilvl="2" w:tentative="0">
      <w:start w:val="1"/>
      <w:numFmt w:val="decimal"/>
      <w:pStyle w:val="28"/>
      <w:suff w:val="nothing"/>
      <w:lvlText w:val="%1%2.%3　"/>
      <w:lvlJc w:val="left"/>
      <w:pPr>
        <w:tabs>
          <w:tab w:val="left" w:pos="0"/>
        </w:tabs>
        <w:ind w:left="284" w:firstLine="0"/>
      </w:pPr>
      <w:rPr>
        <w:rFonts w:hint="eastAsia" w:ascii="黑体" w:hAnsi="Times New Roman" w:eastAsia="黑体" w:cs="Times New Roman"/>
        <w:b w:val="0"/>
        <w:bCs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tabs>
          <w:tab w:val="left" w:pos="0"/>
        </w:tabs>
        <w:ind w:left="851" w:firstLine="0"/>
      </w:pPr>
      <w:rPr>
        <w:rFonts w:hint="eastAsia" w:ascii="黑体" w:hAnsi="Times New Roman" w:eastAsia="黑体" w:cs="黑体"/>
        <w:b w:val="0"/>
        <w:sz w:val="21"/>
      </w:rPr>
    </w:lvl>
    <w:lvl w:ilvl="4" w:tentative="0">
      <w:start w:val="1"/>
      <w:numFmt w:val="decimal"/>
      <w:suff w:val="nothing"/>
      <w:lvlText w:val="%1%2.%3.%4.%5　"/>
      <w:lvlJc w:val="left"/>
      <w:pPr>
        <w:tabs>
          <w:tab w:val="left" w:pos="0"/>
        </w:tabs>
        <w:ind w:left="709" w:firstLine="0"/>
      </w:pPr>
      <w:rPr>
        <w:rFonts w:hint="eastAsia" w:ascii="黑体" w:hAnsi="Times New Roman" w:eastAsia="黑体" w:cs="黑体"/>
        <w:b w:val="0"/>
        <w:sz w:val="21"/>
      </w:rPr>
    </w:lvl>
    <w:lvl w:ilvl="5" w:tentative="0">
      <w:start w:val="1"/>
      <w:numFmt w:val="decimal"/>
      <w:suff w:val="nothing"/>
      <w:lvlText w:val="%1%2.%3.%4.%5.%6　"/>
      <w:lvlJc w:val="left"/>
      <w:pPr>
        <w:tabs>
          <w:tab w:val="left" w:pos="0"/>
        </w:tabs>
        <w:ind w:left="0" w:firstLine="0"/>
      </w:pPr>
      <w:rPr>
        <w:rFonts w:hint="eastAsia" w:ascii="黑体" w:hAnsi="Times New Roman" w:eastAsia="黑体" w:cs="黑体"/>
        <w:b w:val="0"/>
        <w:sz w:val="21"/>
      </w:rPr>
    </w:lvl>
    <w:lvl w:ilvl="6" w:tentative="0">
      <w:start w:val="1"/>
      <w:numFmt w:val="decimal"/>
      <w:suff w:val="nothing"/>
      <w:lvlText w:val="%1%2.%3.%4.%5.%6.%7　"/>
      <w:lvlJc w:val="left"/>
      <w:pPr>
        <w:tabs>
          <w:tab w:val="left" w:pos="0"/>
        </w:tabs>
        <w:ind w:left="0" w:firstLine="0"/>
      </w:pPr>
      <w:rPr>
        <w:rFonts w:hint="eastAsia" w:ascii="黑体" w:hAnsi="Times New Roman" w:eastAsia="黑体" w:cs="黑体"/>
        <w:b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num w:numId="1">
    <w:abstractNumId w:val="5"/>
  </w:num>
  <w:num w:numId="2">
    <w:abstractNumId w:val="6"/>
  </w:num>
  <w:num w:numId="3">
    <w:abstractNumId w:val="1"/>
  </w:num>
  <w:num w:numId="4">
    <w:abstractNumId w:val="4"/>
  </w:num>
  <w:num w:numId="5">
    <w:abstractNumId w:val="3"/>
  </w:num>
  <w:num w:numId="6">
    <w:abstractNumId w:val="2"/>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4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EzYjA0N2E2ZjQwODQ3NjMyMzZiYzc4Zjc5MmY0MmMifQ=="/>
  </w:docVars>
  <w:rsids>
    <w:rsidRoot w:val="006D69C4"/>
    <w:rsid w:val="00010DC7"/>
    <w:rsid w:val="00011A01"/>
    <w:rsid w:val="00015A4C"/>
    <w:rsid w:val="0002639E"/>
    <w:rsid w:val="00030216"/>
    <w:rsid w:val="00040673"/>
    <w:rsid w:val="000575CB"/>
    <w:rsid w:val="00067198"/>
    <w:rsid w:val="000B0F63"/>
    <w:rsid w:val="000B61BD"/>
    <w:rsid w:val="000C6C8D"/>
    <w:rsid w:val="000C7F1A"/>
    <w:rsid w:val="000D1C3A"/>
    <w:rsid w:val="000E1E0E"/>
    <w:rsid w:val="000E4267"/>
    <w:rsid w:val="000F0248"/>
    <w:rsid w:val="000F05CF"/>
    <w:rsid w:val="000F1DB5"/>
    <w:rsid w:val="000F662B"/>
    <w:rsid w:val="00106F17"/>
    <w:rsid w:val="0011216C"/>
    <w:rsid w:val="00126A30"/>
    <w:rsid w:val="0013732D"/>
    <w:rsid w:val="00147C7D"/>
    <w:rsid w:val="00151434"/>
    <w:rsid w:val="00153C50"/>
    <w:rsid w:val="00157952"/>
    <w:rsid w:val="00164143"/>
    <w:rsid w:val="00167CA0"/>
    <w:rsid w:val="00171FB7"/>
    <w:rsid w:val="00172F71"/>
    <w:rsid w:val="001832F7"/>
    <w:rsid w:val="001A054A"/>
    <w:rsid w:val="001B2F50"/>
    <w:rsid w:val="001B305C"/>
    <w:rsid w:val="001B54C0"/>
    <w:rsid w:val="001B5E84"/>
    <w:rsid w:val="001C0F7D"/>
    <w:rsid w:val="001C216B"/>
    <w:rsid w:val="001D7E57"/>
    <w:rsid w:val="001E52AA"/>
    <w:rsid w:val="001E67A8"/>
    <w:rsid w:val="001F15BF"/>
    <w:rsid w:val="001F428D"/>
    <w:rsid w:val="001F4A83"/>
    <w:rsid w:val="0020585D"/>
    <w:rsid w:val="00224621"/>
    <w:rsid w:val="002477A2"/>
    <w:rsid w:val="00265A98"/>
    <w:rsid w:val="00267652"/>
    <w:rsid w:val="002712EC"/>
    <w:rsid w:val="00277B4E"/>
    <w:rsid w:val="00285B52"/>
    <w:rsid w:val="00294C06"/>
    <w:rsid w:val="0029509C"/>
    <w:rsid w:val="00295185"/>
    <w:rsid w:val="002B6794"/>
    <w:rsid w:val="002C5188"/>
    <w:rsid w:val="002D3496"/>
    <w:rsid w:val="002D396D"/>
    <w:rsid w:val="002E6EFA"/>
    <w:rsid w:val="002F3A54"/>
    <w:rsid w:val="002F6A76"/>
    <w:rsid w:val="00311C39"/>
    <w:rsid w:val="00330AF9"/>
    <w:rsid w:val="00336AF7"/>
    <w:rsid w:val="00340594"/>
    <w:rsid w:val="00341947"/>
    <w:rsid w:val="003432BC"/>
    <w:rsid w:val="00353AEE"/>
    <w:rsid w:val="0035646A"/>
    <w:rsid w:val="00384B17"/>
    <w:rsid w:val="00391B0B"/>
    <w:rsid w:val="00396AC4"/>
    <w:rsid w:val="003A38D0"/>
    <w:rsid w:val="003B4202"/>
    <w:rsid w:val="003C5BD5"/>
    <w:rsid w:val="003E300A"/>
    <w:rsid w:val="003F2A8F"/>
    <w:rsid w:val="00413A59"/>
    <w:rsid w:val="004231A8"/>
    <w:rsid w:val="0042411B"/>
    <w:rsid w:val="0042607C"/>
    <w:rsid w:val="004412C5"/>
    <w:rsid w:val="00455177"/>
    <w:rsid w:val="0046709A"/>
    <w:rsid w:val="004763E1"/>
    <w:rsid w:val="004852AE"/>
    <w:rsid w:val="00492767"/>
    <w:rsid w:val="004A05BA"/>
    <w:rsid w:val="004A23DD"/>
    <w:rsid w:val="004A5742"/>
    <w:rsid w:val="004B30BA"/>
    <w:rsid w:val="004C1FC8"/>
    <w:rsid w:val="004C28AC"/>
    <w:rsid w:val="004C6539"/>
    <w:rsid w:val="004C67AE"/>
    <w:rsid w:val="004D342F"/>
    <w:rsid w:val="004D762D"/>
    <w:rsid w:val="004E32A6"/>
    <w:rsid w:val="004E3488"/>
    <w:rsid w:val="004E3568"/>
    <w:rsid w:val="004E3CDB"/>
    <w:rsid w:val="004E500D"/>
    <w:rsid w:val="004E6A14"/>
    <w:rsid w:val="004E7BBF"/>
    <w:rsid w:val="004F7847"/>
    <w:rsid w:val="00502E7C"/>
    <w:rsid w:val="005030C3"/>
    <w:rsid w:val="00505261"/>
    <w:rsid w:val="00510830"/>
    <w:rsid w:val="00516D52"/>
    <w:rsid w:val="0053323C"/>
    <w:rsid w:val="0054527B"/>
    <w:rsid w:val="00547215"/>
    <w:rsid w:val="00572240"/>
    <w:rsid w:val="005811F4"/>
    <w:rsid w:val="00591D79"/>
    <w:rsid w:val="005A32B4"/>
    <w:rsid w:val="005B12EE"/>
    <w:rsid w:val="005B4D32"/>
    <w:rsid w:val="005E42FC"/>
    <w:rsid w:val="005E6601"/>
    <w:rsid w:val="005F1CE3"/>
    <w:rsid w:val="00601697"/>
    <w:rsid w:val="006027C3"/>
    <w:rsid w:val="0060410F"/>
    <w:rsid w:val="006158FC"/>
    <w:rsid w:val="00616AEB"/>
    <w:rsid w:val="00617CCA"/>
    <w:rsid w:val="006261B3"/>
    <w:rsid w:val="006342D8"/>
    <w:rsid w:val="00634A25"/>
    <w:rsid w:val="006378F5"/>
    <w:rsid w:val="0064440E"/>
    <w:rsid w:val="00644CB7"/>
    <w:rsid w:val="006547B1"/>
    <w:rsid w:val="00661B0A"/>
    <w:rsid w:val="00663EC5"/>
    <w:rsid w:val="00675EC5"/>
    <w:rsid w:val="00676DE4"/>
    <w:rsid w:val="006824C6"/>
    <w:rsid w:val="00685F97"/>
    <w:rsid w:val="00695905"/>
    <w:rsid w:val="006A2F7D"/>
    <w:rsid w:val="006D5759"/>
    <w:rsid w:val="006D69C4"/>
    <w:rsid w:val="006E6B79"/>
    <w:rsid w:val="006E7C1D"/>
    <w:rsid w:val="0070014E"/>
    <w:rsid w:val="0070563C"/>
    <w:rsid w:val="00715FB8"/>
    <w:rsid w:val="00716198"/>
    <w:rsid w:val="00717DCF"/>
    <w:rsid w:val="00723822"/>
    <w:rsid w:val="00742623"/>
    <w:rsid w:val="0074557D"/>
    <w:rsid w:val="00773335"/>
    <w:rsid w:val="007762D2"/>
    <w:rsid w:val="00780898"/>
    <w:rsid w:val="0078210E"/>
    <w:rsid w:val="00795E08"/>
    <w:rsid w:val="007A43FF"/>
    <w:rsid w:val="007A4F52"/>
    <w:rsid w:val="007C0642"/>
    <w:rsid w:val="007C19F2"/>
    <w:rsid w:val="007C1A42"/>
    <w:rsid w:val="007D07A2"/>
    <w:rsid w:val="007F39A4"/>
    <w:rsid w:val="007F65E5"/>
    <w:rsid w:val="00820B5E"/>
    <w:rsid w:val="00850925"/>
    <w:rsid w:val="00857BAD"/>
    <w:rsid w:val="00873D13"/>
    <w:rsid w:val="008A3621"/>
    <w:rsid w:val="008A5070"/>
    <w:rsid w:val="008B03AF"/>
    <w:rsid w:val="008B0B35"/>
    <w:rsid w:val="008B3C2A"/>
    <w:rsid w:val="008D4288"/>
    <w:rsid w:val="008E694A"/>
    <w:rsid w:val="008F6349"/>
    <w:rsid w:val="00903B70"/>
    <w:rsid w:val="00915A91"/>
    <w:rsid w:val="00915FCC"/>
    <w:rsid w:val="00926D40"/>
    <w:rsid w:val="00927B4C"/>
    <w:rsid w:val="009435CC"/>
    <w:rsid w:val="009522CD"/>
    <w:rsid w:val="0096107C"/>
    <w:rsid w:val="00964E81"/>
    <w:rsid w:val="0096772B"/>
    <w:rsid w:val="009949F0"/>
    <w:rsid w:val="00996566"/>
    <w:rsid w:val="009970AA"/>
    <w:rsid w:val="009A6DB3"/>
    <w:rsid w:val="009C239F"/>
    <w:rsid w:val="009E5DC3"/>
    <w:rsid w:val="009E6454"/>
    <w:rsid w:val="009F0A05"/>
    <w:rsid w:val="00A04BBF"/>
    <w:rsid w:val="00A36DEA"/>
    <w:rsid w:val="00A3781A"/>
    <w:rsid w:val="00A41F64"/>
    <w:rsid w:val="00A60AB6"/>
    <w:rsid w:val="00A616C5"/>
    <w:rsid w:val="00A907F1"/>
    <w:rsid w:val="00A9226F"/>
    <w:rsid w:val="00A97209"/>
    <w:rsid w:val="00AB2368"/>
    <w:rsid w:val="00AC3A29"/>
    <w:rsid w:val="00AD4315"/>
    <w:rsid w:val="00AD7337"/>
    <w:rsid w:val="00AD7958"/>
    <w:rsid w:val="00AE0569"/>
    <w:rsid w:val="00AE47A2"/>
    <w:rsid w:val="00AF0CF4"/>
    <w:rsid w:val="00AF726C"/>
    <w:rsid w:val="00B072CE"/>
    <w:rsid w:val="00B11579"/>
    <w:rsid w:val="00B11AB9"/>
    <w:rsid w:val="00B13764"/>
    <w:rsid w:val="00B13F01"/>
    <w:rsid w:val="00B165A2"/>
    <w:rsid w:val="00B20124"/>
    <w:rsid w:val="00B351EB"/>
    <w:rsid w:val="00B40940"/>
    <w:rsid w:val="00B4439D"/>
    <w:rsid w:val="00B53616"/>
    <w:rsid w:val="00B55C55"/>
    <w:rsid w:val="00B7309A"/>
    <w:rsid w:val="00BA6164"/>
    <w:rsid w:val="00BB0115"/>
    <w:rsid w:val="00BB0940"/>
    <w:rsid w:val="00BB4725"/>
    <w:rsid w:val="00BC4FB2"/>
    <w:rsid w:val="00BC6086"/>
    <w:rsid w:val="00BD249A"/>
    <w:rsid w:val="00BD3D38"/>
    <w:rsid w:val="00BD5B30"/>
    <w:rsid w:val="00BE1EF8"/>
    <w:rsid w:val="00BE7971"/>
    <w:rsid w:val="00BF4ABE"/>
    <w:rsid w:val="00C06FA6"/>
    <w:rsid w:val="00C22782"/>
    <w:rsid w:val="00C27592"/>
    <w:rsid w:val="00C42B39"/>
    <w:rsid w:val="00C5524D"/>
    <w:rsid w:val="00C64B7C"/>
    <w:rsid w:val="00C65D59"/>
    <w:rsid w:val="00C74BFB"/>
    <w:rsid w:val="00C7675F"/>
    <w:rsid w:val="00C7717F"/>
    <w:rsid w:val="00C84834"/>
    <w:rsid w:val="00CB018F"/>
    <w:rsid w:val="00CB7464"/>
    <w:rsid w:val="00CC5A10"/>
    <w:rsid w:val="00CD4013"/>
    <w:rsid w:val="00CD60BE"/>
    <w:rsid w:val="00CE7649"/>
    <w:rsid w:val="00CF4358"/>
    <w:rsid w:val="00D35339"/>
    <w:rsid w:val="00D36AA0"/>
    <w:rsid w:val="00D370D4"/>
    <w:rsid w:val="00D544CC"/>
    <w:rsid w:val="00D62C21"/>
    <w:rsid w:val="00D80D65"/>
    <w:rsid w:val="00D82CA3"/>
    <w:rsid w:val="00D85E0B"/>
    <w:rsid w:val="00D90C96"/>
    <w:rsid w:val="00D9581E"/>
    <w:rsid w:val="00D97324"/>
    <w:rsid w:val="00DA3F3C"/>
    <w:rsid w:val="00DB595C"/>
    <w:rsid w:val="00DB70F7"/>
    <w:rsid w:val="00DE30B6"/>
    <w:rsid w:val="00DF5F1D"/>
    <w:rsid w:val="00E216E4"/>
    <w:rsid w:val="00E22EB3"/>
    <w:rsid w:val="00E256B3"/>
    <w:rsid w:val="00E32E04"/>
    <w:rsid w:val="00E40880"/>
    <w:rsid w:val="00E65E2C"/>
    <w:rsid w:val="00E83C95"/>
    <w:rsid w:val="00E87606"/>
    <w:rsid w:val="00E9403F"/>
    <w:rsid w:val="00E97DBC"/>
    <w:rsid w:val="00EA1508"/>
    <w:rsid w:val="00EA1A14"/>
    <w:rsid w:val="00EB05AF"/>
    <w:rsid w:val="00EB3736"/>
    <w:rsid w:val="00EB521A"/>
    <w:rsid w:val="00EC6CDB"/>
    <w:rsid w:val="00EE7CD4"/>
    <w:rsid w:val="00F04610"/>
    <w:rsid w:val="00F05C6F"/>
    <w:rsid w:val="00F12081"/>
    <w:rsid w:val="00F46071"/>
    <w:rsid w:val="00F5376D"/>
    <w:rsid w:val="00F6510B"/>
    <w:rsid w:val="00F66FC4"/>
    <w:rsid w:val="00F845B7"/>
    <w:rsid w:val="00F901B8"/>
    <w:rsid w:val="00FC63B6"/>
    <w:rsid w:val="00FD3994"/>
    <w:rsid w:val="00FE3E95"/>
    <w:rsid w:val="00FF06EC"/>
    <w:rsid w:val="00FF1908"/>
    <w:rsid w:val="00FF1D3F"/>
    <w:rsid w:val="00FF585F"/>
    <w:rsid w:val="019F44C1"/>
    <w:rsid w:val="01B91486"/>
    <w:rsid w:val="01F22550"/>
    <w:rsid w:val="020A360C"/>
    <w:rsid w:val="029476F7"/>
    <w:rsid w:val="02BF6B5E"/>
    <w:rsid w:val="030B1166"/>
    <w:rsid w:val="0328670B"/>
    <w:rsid w:val="035E1422"/>
    <w:rsid w:val="03AC1227"/>
    <w:rsid w:val="03E70DB3"/>
    <w:rsid w:val="03E70FD8"/>
    <w:rsid w:val="04776834"/>
    <w:rsid w:val="04A2573B"/>
    <w:rsid w:val="05286C94"/>
    <w:rsid w:val="054839F6"/>
    <w:rsid w:val="05594D74"/>
    <w:rsid w:val="05776166"/>
    <w:rsid w:val="0589701F"/>
    <w:rsid w:val="05F86E6F"/>
    <w:rsid w:val="06524906"/>
    <w:rsid w:val="06D3561E"/>
    <w:rsid w:val="0753780A"/>
    <w:rsid w:val="077C1812"/>
    <w:rsid w:val="07866B35"/>
    <w:rsid w:val="07A25825"/>
    <w:rsid w:val="08195910"/>
    <w:rsid w:val="085048C6"/>
    <w:rsid w:val="09D516AE"/>
    <w:rsid w:val="09DF565B"/>
    <w:rsid w:val="09ED6904"/>
    <w:rsid w:val="0A486323"/>
    <w:rsid w:val="0A60616F"/>
    <w:rsid w:val="0A6A168C"/>
    <w:rsid w:val="0B1911BA"/>
    <w:rsid w:val="0BE26DF4"/>
    <w:rsid w:val="0C655ADA"/>
    <w:rsid w:val="0CC47E46"/>
    <w:rsid w:val="0D3355BC"/>
    <w:rsid w:val="0D442020"/>
    <w:rsid w:val="0DB30465"/>
    <w:rsid w:val="0DE25842"/>
    <w:rsid w:val="0DE80EF4"/>
    <w:rsid w:val="0E0E518E"/>
    <w:rsid w:val="0E843B4F"/>
    <w:rsid w:val="0EAA6508"/>
    <w:rsid w:val="0F0319BD"/>
    <w:rsid w:val="0F184CC0"/>
    <w:rsid w:val="0F6519AC"/>
    <w:rsid w:val="0F9C2C10"/>
    <w:rsid w:val="0FB34DBB"/>
    <w:rsid w:val="0FB97EDF"/>
    <w:rsid w:val="0FC5254C"/>
    <w:rsid w:val="0FE30BA6"/>
    <w:rsid w:val="10047B2F"/>
    <w:rsid w:val="10764CA4"/>
    <w:rsid w:val="10882FA5"/>
    <w:rsid w:val="10897827"/>
    <w:rsid w:val="115D4884"/>
    <w:rsid w:val="11793641"/>
    <w:rsid w:val="129A390C"/>
    <w:rsid w:val="12EF7472"/>
    <w:rsid w:val="138D6AA8"/>
    <w:rsid w:val="1444211C"/>
    <w:rsid w:val="147657F2"/>
    <w:rsid w:val="149A51C6"/>
    <w:rsid w:val="14C54C19"/>
    <w:rsid w:val="14C64A14"/>
    <w:rsid w:val="1557566D"/>
    <w:rsid w:val="1582093B"/>
    <w:rsid w:val="15E20ACE"/>
    <w:rsid w:val="16331C29"/>
    <w:rsid w:val="16337E88"/>
    <w:rsid w:val="164A2F06"/>
    <w:rsid w:val="16AD03F2"/>
    <w:rsid w:val="16BF4489"/>
    <w:rsid w:val="17A821AF"/>
    <w:rsid w:val="17ED609A"/>
    <w:rsid w:val="1821324F"/>
    <w:rsid w:val="187624A9"/>
    <w:rsid w:val="189A61B2"/>
    <w:rsid w:val="18AB2A89"/>
    <w:rsid w:val="18AF07E8"/>
    <w:rsid w:val="191C1DC4"/>
    <w:rsid w:val="19375EE1"/>
    <w:rsid w:val="199E32DB"/>
    <w:rsid w:val="19E24D9F"/>
    <w:rsid w:val="19FC0F54"/>
    <w:rsid w:val="1A0D3789"/>
    <w:rsid w:val="1A140EE6"/>
    <w:rsid w:val="1A971C6A"/>
    <w:rsid w:val="1B214CEF"/>
    <w:rsid w:val="1B4617A8"/>
    <w:rsid w:val="1BFB31F6"/>
    <w:rsid w:val="1C341C8D"/>
    <w:rsid w:val="1C44310F"/>
    <w:rsid w:val="1C74011D"/>
    <w:rsid w:val="1C7D0EAF"/>
    <w:rsid w:val="1C8F284D"/>
    <w:rsid w:val="1C97407D"/>
    <w:rsid w:val="1CB40DF8"/>
    <w:rsid w:val="1D0A2A4A"/>
    <w:rsid w:val="1D1E7305"/>
    <w:rsid w:val="1D7911AE"/>
    <w:rsid w:val="1D8E18EA"/>
    <w:rsid w:val="1DD84B76"/>
    <w:rsid w:val="1EC31AC8"/>
    <w:rsid w:val="1EDB746D"/>
    <w:rsid w:val="1EFB6F04"/>
    <w:rsid w:val="1F066947"/>
    <w:rsid w:val="1FAA4CC5"/>
    <w:rsid w:val="204625E2"/>
    <w:rsid w:val="20762CF6"/>
    <w:rsid w:val="20D611FB"/>
    <w:rsid w:val="20FF67E4"/>
    <w:rsid w:val="2103610C"/>
    <w:rsid w:val="21244086"/>
    <w:rsid w:val="21477079"/>
    <w:rsid w:val="215F146E"/>
    <w:rsid w:val="216D5B2C"/>
    <w:rsid w:val="21725D08"/>
    <w:rsid w:val="21747AFA"/>
    <w:rsid w:val="22AE641C"/>
    <w:rsid w:val="22C219E8"/>
    <w:rsid w:val="22FE4169"/>
    <w:rsid w:val="2354696F"/>
    <w:rsid w:val="235C4E36"/>
    <w:rsid w:val="237455E1"/>
    <w:rsid w:val="23D137BD"/>
    <w:rsid w:val="246006AA"/>
    <w:rsid w:val="248B007B"/>
    <w:rsid w:val="24C7758A"/>
    <w:rsid w:val="250C6474"/>
    <w:rsid w:val="25897AC4"/>
    <w:rsid w:val="25BB7896"/>
    <w:rsid w:val="25C052C2"/>
    <w:rsid w:val="26275359"/>
    <w:rsid w:val="272749BD"/>
    <w:rsid w:val="277047AD"/>
    <w:rsid w:val="277925D8"/>
    <w:rsid w:val="27C50248"/>
    <w:rsid w:val="2852419D"/>
    <w:rsid w:val="28965FB5"/>
    <w:rsid w:val="292416EA"/>
    <w:rsid w:val="296A5FA4"/>
    <w:rsid w:val="296B6907"/>
    <w:rsid w:val="2A24600D"/>
    <w:rsid w:val="2AAA2D2C"/>
    <w:rsid w:val="2AEB407A"/>
    <w:rsid w:val="2AF66044"/>
    <w:rsid w:val="2B2366D9"/>
    <w:rsid w:val="2B2D09A1"/>
    <w:rsid w:val="2B441B42"/>
    <w:rsid w:val="2BEF61A7"/>
    <w:rsid w:val="2C5801F0"/>
    <w:rsid w:val="2C7F39CF"/>
    <w:rsid w:val="2C847EF5"/>
    <w:rsid w:val="2C8F6E97"/>
    <w:rsid w:val="2CAE7E10"/>
    <w:rsid w:val="2CF33A75"/>
    <w:rsid w:val="2D507B2B"/>
    <w:rsid w:val="2E370111"/>
    <w:rsid w:val="2E516C54"/>
    <w:rsid w:val="2E5551FB"/>
    <w:rsid w:val="2E565C93"/>
    <w:rsid w:val="2E736E2F"/>
    <w:rsid w:val="2F5555E0"/>
    <w:rsid w:val="30656641"/>
    <w:rsid w:val="309061AB"/>
    <w:rsid w:val="318A2BFA"/>
    <w:rsid w:val="318B00E3"/>
    <w:rsid w:val="31EF3498"/>
    <w:rsid w:val="329E454C"/>
    <w:rsid w:val="335768E6"/>
    <w:rsid w:val="337409AC"/>
    <w:rsid w:val="33C00BEB"/>
    <w:rsid w:val="33C034A5"/>
    <w:rsid w:val="33C44F61"/>
    <w:rsid w:val="34D10B40"/>
    <w:rsid w:val="34F56C7B"/>
    <w:rsid w:val="35CB2DE9"/>
    <w:rsid w:val="363F2AB1"/>
    <w:rsid w:val="36730BB2"/>
    <w:rsid w:val="36E04C7F"/>
    <w:rsid w:val="378853A9"/>
    <w:rsid w:val="37F44A07"/>
    <w:rsid w:val="37F5496C"/>
    <w:rsid w:val="383D7D60"/>
    <w:rsid w:val="38AC2262"/>
    <w:rsid w:val="392B1453"/>
    <w:rsid w:val="3A296D28"/>
    <w:rsid w:val="3A9E1E26"/>
    <w:rsid w:val="3B1F5365"/>
    <w:rsid w:val="3B2856B2"/>
    <w:rsid w:val="3BA260BA"/>
    <w:rsid w:val="3C187B0E"/>
    <w:rsid w:val="3C293567"/>
    <w:rsid w:val="3CCD21CE"/>
    <w:rsid w:val="3CF94AF8"/>
    <w:rsid w:val="3D127F47"/>
    <w:rsid w:val="3D1B6E26"/>
    <w:rsid w:val="3D242B47"/>
    <w:rsid w:val="3D280D2D"/>
    <w:rsid w:val="3D4C16AB"/>
    <w:rsid w:val="3DF37550"/>
    <w:rsid w:val="3E283348"/>
    <w:rsid w:val="3EE76D68"/>
    <w:rsid w:val="3F180D9F"/>
    <w:rsid w:val="3F3851E8"/>
    <w:rsid w:val="4017283D"/>
    <w:rsid w:val="405F2483"/>
    <w:rsid w:val="410B071B"/>
    <w:rsid w:val="41405083"/>
    <w:rsid w:val="41815F34"/>
    <w:rsid w:val="41B15FCC"/>
    <w:rsid w:val="41D40599"/>
    <w:rsid w:val="41F978AA"/>
    <w:rsid w:val="42B94266"/>
    <w:rsid w:val="43430651"/>
    <w:rsid w:val="436708FB"/>
    <w:rsid w:val="43F413E1"/>
    <w:rsid w:val="440E2DAA"/>
    <w:rsid w:val="44375F48"/>
    <w:rsid w:val="44473A17"/>
    <w:rsid w:val="448B1972"/>
    <w:rsid w:val="44BA5BD1"/>
    <w:rsid w:val="45280972"/>
    <w:rsid w:val="45646EF8"/>
    <w:rsid w:val="45834899"/>
    <w:rsid w:val="45FE550D"/>
    <w:rsid w:val="46665867"/>
    <w:rsid w:val="468F3B16"/>
    <w:rsid w:val="47F170D7"/>
    <w:rsid w:val="48501B8B"/>
    <w:rsid w:val="485B6C46"/>
    <w:rsid w:val="49260D69"/>
    <w:rsid w:val="4957740E"/>
    <w:rsid w:val="49945CF4"/>
    <w:rsid w:val="49F72A5B"/>
    <w:rsid w:val="4A1C2405"/>
    <w:rsid w:val="4B496369"/>
    <w:rsid w:val="4B7502D2"/>
    <w:rsid w:val="4BDA17C7"/>
    <w:rsid w:val="4C1B61B3"/>
    <w:rsid w:val="4C6E2D4A"/>
    <w:rsid w:val="4C7E2F03"/>
    <w:rsid w:val="4CDC05DA"/>
    <w:rsid w:val="4CFE316B"/>
    <w:rsid w:val="4D097632"/>
    <w:rsid w:val="4D5E68D6"/>
    <w:rsid w:val="4D616064"/>
    <w:rsid w:val="4E0062C6"/>
    <w:rsid w:val="4E8B3EE9"/>
    <w:rsid w:val="4ECD038A"/>
    <w:rsid w:val="4FCF5C3B"/>
    <w:rsid w:val="4FE64371"/>
    <w:rsid w:val="5024451A"/>
    <w:rsid w:val="503C12E1"/>
    <w:rsid w:val="50517AB5"/>
    <w:rsid w:val="512C2F2E"/>
    <w:rsid w:val="5150055F"/>
    <w:rsid w:val="524F1B76"/>
    <w:rsid w:val="52CE3F1B"/>
    <w:rsid w:val="53132832"/>
    <w:rsid w:val="535F5DF2"/>
    <w:rsid w:val="54434869"/>
    <w:rsid w:val="54E139AC"/>
    <w:rsid w:val="55416C8F"/>
    <w:rsid w:val="55440FB5"/>
    <w:rsid w:val="555F705C"/>
    <w:rsid w:val="55AA2AFB"/>
    <w:rsid w:val="561623FF"/>
    <w:rsid w:val="565A053D"/>
    <w:rsid w:val="5711692C"/>
    <w:rsid w:val="573B1AEB"/>
    <w:rsid w:val="58A27F7A"/>
    <w:rsid w:val="58AB240F"/>
    <w:rsid w:val="58ED113D"/>
    <w:rsid w:val="58ED16CF"/>
    <w:rsid w:val="59050C34"/>
    <w:rsid w:val="5912279C"/>
    <w:rsid w:val="59B55BFA"/>
    <w:rsid w:val="5A0358BF"/>
    <w:rsid w:val="5A571F17"/>
    <w:rsid w:val="5A6B0C7E"/>
    <w:rsid w:val="5A780BB6"/>
    <w:rsid w:val="5A8E1D7E"/>
    <w:rsid w:val="5A946402"/>
    <w:rsid w:val="5A95648D"/>
    <w:rsid w:val="5AA9354E"/>
    <w:rsid w:val="5AC169EB"/>
    <w:rsid w:val="5ACB3235"/>
    <w:rsid w:val="5AD84127"/>
    <w:rsid w:val="5B8027F4"/>
    <w:rsid w:val="5BE34B31"/>
    <w:rsid w:val="5BFB2BFE"/>
    <w:rsid w:val="5C5D48E3"/>
    <w:rsid w:val="5D572713"/>
    <w:rsid w:val="5D68116E"/>
    <w:rsid w:val="5D6A375C"/>
    <w:rsid w:val="5E54034D"/>
    <w:rsid w:val="5E5D506F"/>
    <w:rsid w:val="5E6F357C"/>
    <w:rsid w:val="5E72326C"/>
    <w:rsid w:val="5EF71AC5"/>
    <w:rsid w:val="5F5155F9"/>
    <w:rsid w:val="5F537C96"/>
    <w:rsid w:val="5FBE5B9F"/>
    <w:rsid w:val="6035746F"/>
    <w:rsid w:val="606F72DB"/>
    <w:rsid w:val="60870181"/>
    <w:rsid w:val="60E55313"/>
    <w:rsid w:val="6124608B"/>
    <w:rsid w:val="6155027F"/>
    <w:rsid w:val="61D27B22"/>
    <w:rsid w:val="620C4E73"/>
    <w:rsid w:val="622D4D58"/>
    <w:rsid w:val="6283708F"/>
    <w:rsid w:val="62E03C1E"/>
    <w:rsid w:val="63046836"/>
    <w:rsid w:val="631D1346"/>
    <w:rsid w:val="634419C9"/>
    <w:rsid w:val="63C32F59"/>
    <w:rsid w:val="63D21EFE"/>
    <w:rsid w:val="63F673C3"/>
    <w:rsid w:val="64595009"/>
    <w:rsid w:val="645C36D2"/>
    <w:rsid w:val="6595789C"/>
    <w:rsid w:val="661243D1"/>
    <w:rsid w:val="661B7C73"/>
    <w:rsid w:val="66853208"/>
    <w:rsid w:val="669A4EEA"/>
    <w:rsid w:val="66A40982"/>
    <w:rsid w:val="66AA0336"/>
    <w:rsid w:val="66AA6CFD"/>
    <w:rsid w:val="66D541C8"/>
    <w:rsid w:val="66E831DC"/>
    <w:rsid w:val="676F45EB"/>
    <w:rsid w:val="67782996"/>
    <w:rsid w:val="679A54AC"/>
    <w:rsid w:val="67DC4947"/>
    <w:rsid w:val="68093B71"/>
    <w:rsid w:val="68102139"/>
    <w:rsid w:val="6919094D"/>
    <w:rsid w:val="693B41FE"/>
    <w:rsid w:val="693E784B"/>
    <w:rsid w:val="69801C11"/>
    <w:rsid w:val="69E96195"/>
    <w:rsid w:val="6A69224F"/>
    <w:rsid w:val="6AE34B39"/>
    <w:rsid w:val="6BE20961"/>
    <w:rsid w:val="6C0D009B"/>
    <w:rsid w:val="6DD10452"/>
    <w:rsid w:val="6DD36374"/>
    <w:rsid w:val="6DEF6DA7"/>
    <w:rsid w:val="6E7A1627"/>
    <w:rsid w:val="6E81609F"/>
    <w:rsid w:val="6E8335FE"/>
    <w:rsid w:val="6E833643"/>
    <w:rsid w:val="6E997430"/>
    <w:rsid w:val="6E9C4B53"/>
    <w:rsid w:val="6EB100E5"/>
    <w:rsid w:val="6ECF651E"/>
    <w:rsid w:val="6EEF55A8"/>
    <w:rsid w:val="6EF73066"/>
    <w:rsid w:val="6F643A1F"/>
    <w:rsid w:val="6FE51AB2"/>
    <w:rsid w:val="6FE64737"/>
    <w:rsid w:val="70054AB7"/>
    <w:rsid w:val="702E4D93"/>
    <w:rsid w:val="703379DD"/>
    <w:rsid w:val="704F1BFA"/>
    <w:rsid w:val="7067610E"/>
    <w:rsid w:val="706B0CFB"/>
    <w:rsid w:val="706F1BA6"/>
    <w:rsid w:val="70BD6D4B"/>
    <w:rsid w:val="70CA400C"/>
    <w:rsid w:val="71DB43E3"/>
    <w:rsid w:val="72CC324E"/>
    <w:rsid w:val="73603D5C"/>
    <w:rsid w:val="73AB58C7"/>
    <w:rsid w:val="745D11FC"/>
    <w:rsid w:val="7479116C"/>
    <w:rsid w:val="74944C90"/>
    <w:rsid w:val="74F120D7"/>
    <w:rsid w:val="75171343"/>
    <w:rsid w:val="75750CA0"/>
    <w:rsid w:val="757E0AB6"/>
    <w:rsid w:val="75B20520"/>
    <w:rsid w:val="75D62736"/>
    <w:rsid w:val="75D75370"/>
    <w:rsid w:val="75DC6B59"/>
    <w:rsid w:val="76040ECA"/>
    <w:rsid w:val="761A15BC"/>
    <w:rsid w:val="763942BD"/>
    <w:rsid w:val="7653679B"/>
    <w:rsid w:val="76815DA3"/>
    <w:rsid w:val="76C83CDB"/>
    <w:rsid w:val="76D40088"/>
    <w:rsid w:val="76ED0618"/>
    <w:rsid w:val="77FF289B"/>
    <w:rsid w:val="784257E6"/>
    <w:rsid w:val="785D4C63"/>
    <w:rsid w:val="78661CF6"/>
    <w:rsid w:val="793772F9"/>
    <w:rsid w:val="797777F3"/>
    <w:rsid w:val="79824EB1"/>
    <w:rsid w:val="79826DF5"/>
    <w:rsid w:val="79AF0757"/>
    <w:rsid w:val="79F248F4"/>
    <w:rsid w:val="7A2D7347"/>
    <w:rsid w:val="7A34548D"/>
    <w:rsid w:val="7AFB1E31"/>
    <w:rsid w:val="7B3755CF"/>
    <w:rsid w:val="7BCE6C35"/>
    <w:rsid w:val="7C625655"/>
    <w:rsid w:val="7CBA5B9C"/>
    <w:rsid w:val="7CCA78DF"/>
    <w:rsid w:val="7CDF6ECE"/>
    <w:rsid w:val="7CF71A90"/>
    <w:rsid w:val="7D143CB8"/>
    <w:rsid w:val="7D524746"/>
    <w:rsid w:val="7D8B70AB"/>
    <w:rsid w:val="7D986669"/>
    <w:rsid w:val="7DCB6D23"/>
    <w:rsid w:val="7DE14F1D"/>
    <w:rsid w:val="7DE70059"/>
    <w:rsid w:val="7DFB3B32"/>
    <w:rsid w:val="7EAA17E6"/>
    <w:rsid w:val="7F254B62"/>
    <w:rsid w:val="7F6D27E0"/>
    <w:rsid w:val="7F7648A5"/>
    <w:rsid w:val="7FAB53A7"/>
    <w:rsid w:val="7FAF208D"/>
    <w:rsid w:val="7FE747EF"/>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name="Plain Text"/>
    <w:lsdException w:unhideWhenUsed="0" w:uiPriority="0" w:semiHidden="0" w:name="E-mail Signature"/>
    <w:lsdException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kern w:val="2"/>
      <w:sz w:val="21"/>
      <w:szCs w:val="22"/>
      <w:lang w:val="en-US" w:eastAsia="zh-CN" w:bidi="ar-SA"/>
    </w:rPr>
  </w:style>
  <w:style w:type="paragraph" w:styleId="3">
    <w:name w:val="heading 1"/>
    <w:basedOn w:val="1"/>
    <w:next w:val="1"/>
    <w:link w:val="30"/>
    <w:qFormat/>
    <w:uiPriority w:val="9"/>
    <w:pPr>
      <w:widowControl/>
      <w:spacing w:beforeAutospacing="0" w:afterAutospacing="0" w:line="600" w:lineRule="exact"/>
      <w:jc w:val="left"/>
      <w:outlineLvl w:val="0"/>
    </w:pPr>
    <w:rPr>
      <w:rFonts w:ascii="Times New Roman" w:hAnsi="Times New Roman" w:eastAsia="黑体"/>
      <w:bCs/>
      <w:kern w:val="36"/>
      <w:sz w:val="32"/>
      <w:szCs w:val="48"/>
    </w:rPr>
  </w:style>
  <w:style w:type="paragraph" w:styleId="4">
    <w:name w:val="heading 2"/>
    <w:basedOn w:val="1"/>
    <w:next w:val="1"/>
    <w:qFormat/>
    <w:uiPriority w:val="9"/>
    <w:pPr>
      <w:keepNext/>
      <w:keepLines/>
      <w:spacing w:line="600" w:lineRule="exact"/>
      <w:jc w:val="left"/>
      <w:outlineLvl w:val="1"/>
    </w:pPr>
    <w:rPr>
      <w:rFonts w:ascii="Times New Roman" w:hAnsi="Times New Roman" w:eastAsia="楷体" w:cs="Times New Roman"/>
      <w:b/>
      <w:bCs/>
      <w:sz w:val="32"/>
      <w:szCs w:val="32"/>
    </w:rPr>
  </w:style>
  <w:style w:type="paragraph" w:styleId="5">
    <w:name w:val="heading 3"/>
    <w:basedOn w:val="1"/>
    <w:next w:val="1"/>
    <w:unhideWhenUsed/>
    <w:qFormat/>
    <w:uiPriority w:val="0"/>
    <w:pPr>
      <w:spacing w:beforeAutospacing="0" w:afterAutospacing="0" w:line="600" w:lineRule="exact"/>
      <w:jc w:val="left"/>
      <w:outlineLvl w:val="2"/>
    </w:pPr>
    <w:rPr>
      <w:rFonts w:hint="eastAsia" w:ascii="Times New Roman" w:hAnsi="Times New Roman" w:eastAsia="仿宋"/>
      <w:b/>
      <w:kern w:val="0"/>
      <w:sz w:val="32"/>
      <w:szCs w:val="27"/>
    </w:rPr>
  </w:style>
  <w:style w:type="paragraph" w:styleId="6">
    <w:name w:val="heading 4"/>
    <w:basedOn w:val="1"/>
    <w:next w:val="7"/>
    <w:unhideWhenUsed/>
    <w:qFormat/>
    <w:uiPriority w:val="0"/>
    <w:pPr>
      <w:spacing w:before="100" w:beforeAutospacing="1" w:after="100" w:afterAutospacing="1"/>
      <w:jc w:val="left"/>
      <w:outlineLvl w:val="3"/>
    </w:pPr>
    <w:rPr>
      <w:rFonts w:hint="eastAsia" w:ascii="宋体" w:hAnsi="宋体" w:eastAsia="宋体" w:cs="宋体"/>
      <w:b/>
      <w:bCs/>
      <w:kern w:val="0"/>
      <w:sz w:val="24"/>
      <w:szCs w:val="24"/>
      <w:lang w:val="en-US" w:eastAsia="zh-CN" w:bidi="ar"/>
    </w:rPr>
  </w:style>
  <w:style w:type="character" w:default="1" w:styleId="19">
    <w:name w:val="Default Paragraph Font"/>
    <w:semiHidden/>
    <w:uiPriority w:val="0"/>
  </w:style>
  <w:style w:type="table" w:default="1" w:styleId="17">
    <w:name w:val="Normal Table"/>
    <w:semiHidden/>
    <w:uiPriority w:val="0"/>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Style w:val="17"/>
      <w:tblCellMar>
        <w:top w:w="0" w:type="dxa"/>
        <w:left w:w="108" w:type="dxa"/>
        <w:bottom w:w="0" w:type="dxa"/>
        <w:right w:w="108" w:type="dxa"/>
      </w:tblCellMar>
    </w:tblPr>
  </w:style>
  <w:style w:type="paragraph" w:customStyle="1" w:styleId="2">
    <w:name w:val="BodyText2"/>
    <w:basedOn w:val="1"/>
    <w:qFormat/>
    <w:uiPriority w:val="0"/>
    <w:pPr>
      <w:spacing w:after="120" w:line="480" w:lineRule="auto"/>
      <w:textAlignment w:val="baseline"/>
    </w:pPr>
    <w:rPr>
      <w:sz w:val="32"/>
      <w:szCs w:val="32"/>
    </w:rPr>
  </w:style>
  <w:style w:type="paragraph" w:styleId="7">
    <w:name w:val="Body Text"/>
    <w:basedOn w:val="1"/>
    <w:qFormat/>
    <w:uiPriority w:val="0"/>
    <w:pPr>
      <w:autoSpaceDE w:val="0"/>
      <w:autoSpaceDN w:val="0"/>
      <w:spacing w:line="312" w:lineRule="exact"/>
      <w:ind w:left="1418"/>
      <w:jc w:val="left"/>
    </w:pPr>
    <w:rPr>
      <w:rFonts w:ascii="Noto Sans CJK JP Regular" w:hAnsi="Noto Sans CJK JP Regular" w:eastAsia="Times New Roman" w:cs="Noto Sans CJK JP Regular"/>
      <w:kern w:val="0"/>
      <w:szCs w:val="21"/>
      <w:lang w:val="zh-CN"/>
    </w:rPr>
  </w:style>
  <w:style w:type="paragraph" w:styleId="8">
    <w:name w:val="annotation text"/>
    <w:basedOn w:val="1"/>
    <w:uiPriority w:val="0"/>
    <w:pPr>
      <w:jc w:val="left"/>
    </w:pPr>
  </w:style>
  <w:style w:type="paragraph" w:styleId="9">
    <w:name w:val="Body Text Indent"/>
    <w:basedOn w:val="1"/>
    <w:uiPriority w:val="0"/>
    <w:pPr>
      <w:ind w:firstLine="640" w:firstLineChars="200"/>
    </w:pPr>
    <w:rPr>
      <w:rFonts w:ascii="仿宋_GB2312" w:hAnsi="宋体" w:eastAsia="仿宋_GB2312"/>
      <w:bCs/>
      <w:color w:val="000000"/>
      <w:sz w:val="32"/>
      <w:szCs w:val="32"/>
    </w:rPr>
  </w:style>
  <w:style w:type="paragraph" w:styleId="10">
    <w:name w:val="Plain Text"/>
    <w:basedOn w:val="1"/>
    <w:semiHidden/>
    <w:uiPriority w:val="0"/>
    <w:rPr>
      <w:rFonts w:ascii="宋体" w:hAnsi="Courier New" w:cs="Courier New"/>
      <w:szCs w:val="21"/>
    </w:rPr>
  </w:style>
  <w:style w:type="paragraph" w:styleId="11">
    <w:name w:val="Balloon Text"/>
    <w:basedOn w:val="1"/>
    <w:link w:val="31"/>
    <w:uiPriority w:val="0"/>
    <w:rPr>
      <w:sz w:val="18"/>
      <w:szCs w:val="18"/>
    </w:rPr>
  </w:style>
  <w:style w:type="paragraph" w:styleId="12">
    <w:name w:val="footer"/>
    <w:basedOn w:val="1"/>
    <w:uiPriority w:val="0"/>
    <w:pPr>
      <w:tabs>
        <w:tab w:val="center" w:pos="4153"/>
        <w:tab w:val="right" w:pos="8306"/>
      </w:tabs>
      <w:snapToGrid w:val="0"/>
      <w:jc w:val="left"/>
    </w:pPr>
    <w:rPr>
      <w:sz w:val="18"/>
      <w:szCs w:val="18"/>
    </w:rPr>
  </w:style>
  <w:style w:type="paragraph" w:styleId="13">
    <w:name w:val="header"/>
    <w:basedOn w:val="1"/>
    <w:uiPriority w:val="0"/>
    <w:pPr>
      <w:pBdr>
        <w:bottom w:val="single" w:color="auto" w:sz="6" w:space="1"/>
      </w:pBdr>
      <w:tabs>
        <w:tab w:val="center" w:pos="4153"/>
        <w:tab w:val="right" w:pos="8306"/>
      </w:tabs>
      <w:snapToGrid w:val="0"/>
      <w:jc w:val="center"/>
    </w:pPr>
    <w:rPr>
      <w:sz w:val="18"/>
      <w:szCs w:val="18"/>
    </w:rPr>
  </w:style>
  <w:style w:type="paragraph" w:styleId="14">
    <w:name w:val="toc 1"/>
    <w:basedOn w:val="1"/>
    <w:next w:val="1"/>
    <w:uiPriority w:val="0"/>
  </w:style>
  <w:style w:type="paragraph" w:styleId="15">
    <w:name w:val="toc 2"/>
    <w:basedOn w:val="1"/>
    <w:next w:val="1"/>
    <w:uiPriority w:val="0"/>
    <w:pPr>
      <w:ind w:left="420" w:leftChars="200"/>
    </w:pPr>
  </w:style>
  <w:style w:type="paragraph" w:styleId="16">
    <w:name w:val="Normal (Web)"/>
    <w:basedOn w:val="1"/>
    <w:uiPriority w:val="99"/>
    <w:pPr>
      <w:widowControl/>
      <w:spacing w:before="100" w:beforeAutospacing="1" w:after="100" w:afterAutospacing="1" w:line="360" w:lineRule="atLeast"/>
      <w:jc w:val="left"/>
    </w:pPr>
    <w:rPr>
      <w:rFonts w:ascii="宋体" w:hAnsi="宋体"/>
      <w:kern w:val="0"/>
      <w:szCs w:val="21"/>
      <w:lang/>
    </w:rPr>
  </w:style>
  <w:style w:type="table" w:styleId="18">
    <w:name w:val="Table Grid"/>
    <w:basedOn w:val="17"/>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Style w:val="17"/>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0">
    <w:name w:val="Strong"/>
    <w:basedOn w:val="19"/>
    <w:qFormat/>
    <w:uiPriority w:val="22"/>
    <w:rPr>
      <w:b/>
      <w:bCs/>
    </w:rPr>
  </w:style>
  <w:style w:type="character" w:styleId="21">
    <w:name w:val="page number"/>
    <w:basedOn w:val="19"/>
    <w:uiPriority w:val="0"/>
  </w:style>
  <w:style w:type="character" w:styleId="22">
    <w:name w:val="Emphasis"/>
    <w:qFormat/>
    <w:uiPriority w:val="0"/>
    <w:rPr>
      <w:color w:val="CC0000"/>
    </w:rPr>
  </w:style>
  <w:style w:type="character" w:styleId="23">
    <w:name w:val="Hyperlink"/>
    <w:uiPriority w:val="0"/>
    <w:rPr>
      <w:color w:val="0000FF"/>
      <w:u w:val="single"/>
    </w:rPr>
  </w:style>
  <w:style w:type="paragraph" w:customStyle="1" w:styleId="24">
    <w:name w:val="标准文件_二级无标题"/>
    <w:basedOn w:val="25"/>
    <w:qFormat/>
    <w:uiPriority w:val="0"/>
    <w:pPr>
      <w:spacing w:before="0" w:beforeLines="0" w:after="0" w:afterLines="0"/>
      <w:outlineLvl w:val="9"/>
    </w:pPr>
    <w:rPr>
      <w:rFonts w:ascii="宋体" w:eastAsia="宋体"/>
    </w:rPr>
  </w:style>
  <w:style w:type="paragraph" w:customStyle="1" w:styleId="25">
    <w:name w:val="标准文件_二级条标题"/>
    <w:next w:val="26"/>
    <w:qFormat/>
    <w:uiPriority w:val="0"/>
    <w:pPr>
      <w:widowControl w:val="0"/>
      <w:numPr>
        <w:ilvl w:val="3"/>
        <w:numId w:val="1"/>
      </w:numPr>
      <w:spacing w:before="50" w:beforeLines="50" w:after="50" w:afterLines="50"/>
      <w:ind w:left="0"/>
      <w:jc w:val="both"/>
      <w:outlineLvl w:val="2"/>
    </w:pPr>
    <w:rPr>
      <w:rFonts w:ascii="黑体" w:hAnsi="Times New Roman" w:eastAsia="黑体" w:cs="Times New Roman"/>
      <w:sz w:val="21"/>
      <w:lang w:val="en-US" w:eastAsia="zh-CN" w:bidi="ar-SA"/>
    </w:rPr>
  </w:style>
  <w:style w:type="paragraph" w:customStyle="1" w:styleId="26">
    <w:name w:val="标准文件_段落"/>
    <w:qFormat/>
    <w:uiPriority w:val="0"/>
    <w:pPr>
      <w:ind w:firstLine="420" w:firstLineChars="200"/>
    </w:pPr>
    <w:rPr>
      <w:rFonts w:ascii="宋体" w:hAnsi="宋体" w:eastAsia="宋体" w:cs="Times New Roman"/>
      <w:kern w:val="2"/>
      <w:sz w:val="21"/>
      <w:szCs w:val="21"/>
      <w:lang w:val="en-US" w:eastAsia="zh-CN" w:bidi="ar-SA"/>
    </w:rPr>
  </w:style>
  <w:style w:type="paragraph" w:customStyle="1" w:styleId="27">
    <w:name w:val="标准文件_章标题"/>
    <w:basedOn w:val="1"/>
    <w:next w:val="26"/>
    <w:uiPriority w:val="0"/>
    <w:pPr>
      <w:keepNext w:val="0"/>
      <w:keepLines w:val="0"/>
      <w:widowControl/>
      <w:numPr>
        <w:ilvl w:val="1"/>
        <w:numId w:val="2"/>
      </w:numPr>
      <w:suppressLineNumbers w:val="0"/>
      <w:adjustRightInd/>
      <w:spacing w:before="100" w:beforeLines="100" w:beforeAutospacing="0" w:after="100" w:afterLines="100" w:afterAutospacing="0" w:line="240" w:lineRule="auto"/>
      <w:ind w:left="0" w:right="0" w:firstLine="0"/>
      <w:jc w:val="both"/>
      <w:outlineLvl w:val="0"/>
    </w:pPr>
    <w:rPr>
      <w:rFonts w:hint="eastAsia" w:ascii="黑体" w:hAnsi="Times New Roman" w:eastAsia="黑体" w:cs="Times New Roman"/>
      <w:kern w:val="0"/>
      <w:sz w:val="21"/>
      <w:szCs w:val="20"/>
      <w:lang w:val="en-US" w:eastAsia="zh-CN" w:bidi="ar"/>
    </w:rPr>
  </w:style>
  <w:style w:type="paragraph" w:customStyle="1" w:styleId="28">
    <w:name w:val="标准文件_一级条标题"/>
    <w:basedOn w:val="27"/>
    <w:next w:val="29"/>
    <w:qFormat/>
    <w:uiPriority w:val="0"/>
    <w:pPr>
      <w:numPr>
        <w:ilvl w:val="2"/>
      </w:numPr>
      <w:spacing w:before="50" w:beforeLines="50" w:after="50" w:afterLines="50"/>
      <w:outlineLvl w:val="1"/>
    </w:pPr>
  </w:style>
  <w:style w:type="paragraph" w:customStyle="1" w:styleId="29">
    <w:name w:val="标准文件_段"/>
    <w:link w:val="32"/>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0">
    <w:name w:val="标题 1字符"/>
    <w:link w:val="3"/>
    <w:uiPriority w:val="9"/>
    <w:rPr>
      <w:rFonts w:ascii="Times New Roman" w:hAnsi="Times New Roman" w:eastAsia="黑体" w:cs="宋体"/>
      <w:bCs/>
      <w:kern w:val="36"/>
      <w:sz w:val="32"/>
      <w:szCs w:val="48"/>
    </w:rPr>
  </w:style>
  <w:style w:type="character" w:customStyle="1" w:styleId="31">
    <w:name w:val="批注框文本字符"/>
    <w:link w:val="11"/>
    <w:uiPriority w:val="0"/>
    <w:rPr>
      <w:rFonts w:ascii="Calibri" w:hAnsi="Calibri"/>
      <w:kern w:val="2"/>
      <w:sz w:val="18"/>
      <w:szCs w:val="18"/>
    </w:rPr>
  </w:style>
  <w:style w:type="character" w:customStyle="1" w:styleId="32">
    <w:name w:val="标准文件_段 Char1"/>
    <w:link w:val="29"/>
    <w:uiPriority w:val="0"/>
    <w:rPr>
      <w:rFonts w:ascii="宋体" w:hAnsi="Times New Roman" w:eastAsia="宋体" w:cs="Times New Roman"/>
      <w:sz w:val="21"/>
      <w:lang w:val="en-US" w:eastAsia="zh-CN" w:bidi="ar-SA"/>
    </w:rPr>
  </w:style>
  <w:style w:type="character" w:customStyle="1" w:styleId="33">
    <w:name w:val="段 Char"/>
    <w:uiPriority w:val="0"/>
    <w:rPr>
      <w:rFonts w:ascii="宋体" w:eastAsia="宋体"/>
      <w:sz w:val="21"/>
      <w:lang w:val="en-US" w:eastAsia="zh-CN" w:bidi="ar-SA"/>
    </w:rPr>
  </w:style>
  <w:style w:type="character" w:customStyle="1" w:styleId="34">
    <w:name w:val="ordinary-span-edit2"/>
    <w:basedOn w:val="19"/>
    <w:uiPriority w:val="0"/>
  </w:style>
  <w:style w:type="character" w:customStyle="1" w:styleId="35">
    <w:name w:val="high-light-bg4"/>
    <w:basedOn w:val="19"/>
    <w:uiPriority w:val="0"/>
  </w:style>
  <w:style w:type="character" w:customStyle="1" w:styleId="36">
    <w:name w:val="标准文件_段 Char"/>
    <w:basedOn w:val="19"/>
    <w:uiPriority w:val="0"/>
    <w:rPr>
      <w:rFonts w:hint="eastAsia" w:ascii="宋体" w:hAnsi="Times New Roman" w:eastAsia="宋体" w:cs="宋体"/>
      <w:sz w:val="21"/>
    </w:rPr>
  </w:style>
  <w:style w:type="character" w:customStyle="1" w:styleId="37">
    <w:name w:val="layui-this"/>
    <w:basedOn w:val="19"/>
    <w:uiPriority w:val="0"/>
    <w:rPr>
      <w:bdr w:val="single" w:color="EEEEEE" w:sz="4" w:space="0"/>
      <w:shd w:val="clear" w:color="auto" w:fill="FFFFFF"/>
    </w:rPr>
  </w:style>
  <w:style w:type="character" w:customStyle="1" w:styleId="38">
    <w:name w:val="selected"/>
    <w:basedOn w:val="19"/>
    <w:uiPriority w:val="0"/>
  </w:style>
  <w:style w:type="character" w:customStyle="1" w:styleId="39">
    <w:name w:val="first-child"/>
    <w:basedOn w:val="19"/>
    <w:uiPriority w:val="0"/>
  </w:style>
  <w:style w:type="paragraph" w:customStyle="1" w:styleId="40">
    <w:name w:val="一级条标题"/>
    <w:next w:val="1"/>
    <w:uiPriority w:val="0"/>
    <w:pPr>
      <w:numPr>
        <w:ilvl w:val="1"/>
        <w:numId w:val="3"/>
      </w:numPr>
      <w:spacing w:before="156" w:beforeLines="50" w:after="156" w:afterLines="50"/>
      <w:outlineLvl w:val="2"/>
    </w:pPr>
    <w:rPr>
      <w:rFonts w:ascii="黑体" w:eastAsia="黑体"/>
      <w:sz w:val="21"/>
      <w:szCs w:val="21"/>
      <w:lang w:val="en-US" w:eastAsia="zh-CN" w:bidi="ar-SA"/>
    </w:rPr>
  </w:style>
  <w:style w:type="paragraph" w:customStyle="1" w:styleId="41">
    <w:name w:val="四级条标题"/>
    <w:basedOn w:val="42"/>
    <w:next w:val="44"/>
    <w:uiPriority w:val="0"/>
    <w:pPr>
      <w:numPr>
        <w:ilvl w:val="4"/>
        <w:numId w:val="3"/>
      </w:numPr>
      <w:outlineLvl w:val="5"/>
    </w:pPr>
  </w:style>
  <w:style w:type="paragraph" w:customStyle="1" w:styleId="42">
    <w:name w:val="三级条标题"/>
    <w:basedOn w:val="43"/>
    <w:next w:val="44"/>
    <w:uiPriority w:val="0"/>
    <w:pPr>
      <w:numPr>
        <w:ilvl w:val="3"/>
        <w:numId w:val="3"/>
      </w:numPr>
      <w:outlineLvl w:val="4"/>
    </w:pPr>
  </w:style>
  <w:style w:type="paragraph" w:customStyle="1" w:styleId="43">
    <w:name w:val="二级条标题"/>
    <w:basedOn w:val="40"/>
    <w:next w:val="1"/>
    <w:uiPriority w:val="0"/>
    <w:pPr>
      <w:numPr>
        <w:ilvl w:val="2"/>
        <w:numId w:val="3"/>
      </w:numPr>
      <w:spacing w:before="50" w:after="50"/>
      <w:outlineLvl w:val="3"/>
    </w:pPr>
  </w:style>
  <w:style w:type="paragraph" w:customStyle="1" w:styleId="44">
    <w:name w:val="段"/>
    <w:uiPriority w:val="0"/>
    <w:pPr>
      <w:tabs>
        <w:tab w:val="center" w:pos="4201"/>
        <w:tab w:val="right" w:leader="dot" w:pos="9298"/>
      </w:tabs>
      <w:autoSpaceDE w:val="0"/>
      <w:autoSpaceDN w:val="0"/>
      <w:ind w:firstLine="420" w:firstLineChars="200"/>
      <w:jc w:val="both"/>
    </w:pPr>
    <w:rPr>
      <w:rFonts w:ascii="宋体"/>
      <w:sz w:val="21"/>
      <w:lang w:val="en-US" w:eastAsia="zh-CN" w:bidi="ar-SA"/>
    </w:rPr>
  </w:style>
  <w:style w:type="paragraph" w:customStyle="1" w:styleId="45">
    <w:name w:val="标准书脚_奇数页"/>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46">
    <w:name w:val="附录一级条标题"/>
    <w:basedOn w:val="47"/>
    <w:next w:val="44"/>
    <w:uiPriority w:val="0"/>
    <w:pPr>
      <w:numPr>
        <w:ilvl w:val="2"/>
        <w:numId w:val="4"/>
      </w:numPr>
      <w:tabs>
        <w:tab w:val="left" w:pos="360"/>
      </w:tabs>
      <w:autoSpaceDN w:val="0"/>
      <w:spacing w:before="50" w:beforeLines="50" w:after="50" w:afterLines="50"/>
      <w:outlineLvl w:val="2"/>
    </w:pPr>
  </w:style>
  <w:style w:type="paragraph" w:customStyle="1" w:styleId="47">
    <w:name w:val="附录章标题"/>
    <w:next w:val="44"/>
    <w:uiPriority w:val="0"/>
    <w:pPr>
      <w:numPr>
        <w:ilvl w:val="1"/>
        <w:numId w:val="4"/>
      </w:numPr>
      <w:tabs>
        <w:tab w:val="left" w:pos="360"/>
      </w:tabs>
      <w:wordWrap w:val="0"/>
      <w:overflowPunct w:val="0"/>
      <w:autoSpaceDE w:val="0"/>
      <w:spacing w:before="100" w:beforeLines="100" w:after="100" w:afterLines="100"/>
      <w:jc w:val="both"/>
      <w:textAlignment w:val="baseline"/>
      <w:outlineLvl w:val="1"/>
    </w:pPr>
    <w:rPr>
      <w:rFonts w:ascii="黑体" w:eastAsia="黑体"/>
      <w:kern w:val="21"/>
      <w:sz w:val="21"/>
      <w:lang w:val="en-US" w:eastAsia="zh-CN" w:bidi="ar-SA"/>
    </w:rPr>
  </w:style>
  <w:style w:type="paragraph" w:customStyle="1" w:styleId="48">
    <w:name w:val="三级无"/>
    <w:basedOn w:val="42"/>
    <w:uiPriority w:val="0"/>
    <w:pPr>
      <w:numPr>
        <w:ilvl w:val="3"/>
      </w:numPr>
      <w:spacing w:before="0" w:beforeLines="0" w:after="0" w:afterLines="0"/>
      <w:ind w:left="0"/>
    </w:pPr>
    <w:rPr>
      <w:rFonts w:ascii="宋体" w:eastAsia="宋体"/>
    </w:rPr>
  </w:style>
  <w:style w:type="paragraph" w:customStyle="1" w:styleId="49">
    <w:name w:val="p0"/>
    <w:basedOn w:val="1"/>
    <w:uiPriority w:val="0"/>
    <w:pPr>
      <w:widowControl/>
    </w:pPr>
    <w:rPr>
      <w:kern w:val="0"/>
      <w:szCs w:val="21"/>
    </w:rPr>
  </w:style>
  <w:style w:type="paragraph" w:customStyle="1" w:styleId="50">
    <w:name w:val="附录二级条标题"/>
    <w:basedOn w:val="1"/>
    <w:next w:val="44"/>
    <w:uiPriority w:val="0"/>
    <w:pPr>
      <w:widowControl/>
      <w:numPr>
        <w:ilvl w:val="3"/>
        <w:numId w:val="4"/>
      </w:numPr>
      <w:tabs>
        <w:tab w:val="left" w:pos="360"/>
      </w:tabs>
      <w:wordWrap w:val="0"/>
      <w:overflowPunct w:val="0"/>
      <w:autoSpaceDE w:val="0"/>
      <w:autoSpaceDN w:val="0"/>
      <w:spacing w:before="50" w:beforeLines="50" w:after="50" w:afterLines="50"/>
      <w:textAlignment w:val="baseline"/>
      <w:outlineLvl w:val="3"/>
    </w:pPr>
    <w:rPr>
      <w:rFonts w:ascii="黑体" w:hAnsi="Times New Roman" w:eastAsia="黑体"/>
      <w:kern w:val="21"/>
      <w:szCs w:val="20"/>
    </w:rPr>
  </w:style>
  <w:style w:type="paragraph" w:customStyle="1" w:styleId="51">
    <w:name w:val="附录三级条标题"/>
    <w:basedOn w:val="50"/>
    <w:next w:val="44"/>
    <w:uiPriority w:val="0"/>
    <w:pPr>
      <w:numPr>
        <w:ilvl w:val="4"/>
        <w:numId w:val="4"/>
      </w:numPr>
      <w:outlineLvl w:val="4"/>
    </w:pPr>
  </w:style>
  <w:style w:type="paragraph" w:customStyle="1" w:styleId="52">
    <w:name w:val="附录四级条标题"/>
    <w:basedOn w:val="51"/>
    <w:next w:val="44"/>
    <w:uiPriority w:val="0"/>
    <w:pPr>
      <w:numPr>
        <w:ilvl w:val="5"/>
        <w:numId w:val="4"/>
      </w:numPr>
      <w:outlineLvl w:val="5"/>
    </w:pPr>
  </w:style>
  <w:style w:type="paragraph" w:customStyle="1" w:styleId="53">
    <w:name w:val="报告正文"/>
    <w:basedOn w:val="1"/>
    <w:qFormat/>
    <w:uiPriority w:val="0"/>
    <w:pPr>
      <w:tabs>
        <w:tab w:val="left" w:pos="0"/>
      </w:tabs>
      <w:spacing w:line="360" w:lineRule="auto"/>
      <w:ind w:firstLine="200" w:firstLineChars="200"/>
    </w:pPr>
    <w:rPr>
      <w:color w:val="000000"/>
      <w:sz w:val="24"/>
    </w:rPr>
  </w:style>
  <w:style w:type="paragraph" w:customStyle="1" w:styleId="54">
    <w:name w:val="二级无"/>
    <w:basedOn w:val="43"/>
    <w:uiPriority w:val="0"/>
    <w:pPr>
      <w:spacing w:before="0" w:beforeLines="0" w:after="0" w:afterLines="0"/>
      <w:ind w:left="0" w:firstLine="0"/>
    </w:pPr>
    <w:rPr>
      <w:rFonts w:ascii="宋体" w:eastAsia="宋体"/>
    </w:rPr>
  </w:style>
  <w:style w:type="paragraph" w:customStyle="1" w:styleId="55">
    <w:name w:val="封面标准号1"/>
    <w:uiPriority w:val="0"/>
    <w:pPr>
      <w:widowControl w:val="0"/>
      <w:kinsoku w:val="0"/>
      <w:overflowPunct w:val="0"/>
      <w:autoSpaceDE w:val="0"/>
      <w:autoSpaceDN w:val="0"/>
      <w:spacing w:before="308"/>
      <w:jc w:val="right"/>
      <w:textAlignment w:val="center"/>
    </w:pPr>
    <w:rPr>
      <w:sz w:val="28"/>
      <w:lang w:val="en-US" w:eastAsia="zh-CN" w:bidi="ar-SA"/>
    </w:rPr>
  </w:style>
  <w:style w:type="paragraph" w:customStyle="1" w:styleId="56">
    <w:name w:val="五级条标题"/>
    <w:basedOn w:val="41"/>
    <w:next w:val="44"/>
    <w:uiPriority w:val="0"/>
    <w:pPr>
      <w:numPr>
        <w:ilvl w:val="5"/>
        <w:numId w:val="3"/>
      </w:numPr>
      <w:outlineLvl w:val="6"/>
    </w:pPr>
  </w:style>
  <w:style w:type="paragraph" w:customStyle="1" w:styleId="57">
    <w:name w:val="附录五级条标题"/>
    <w:basedOn w:val="52"/>
    <w:next w:val="44"/>
    <w:uiPriority w:val="0"/>
    <w:pPr>
      <w:numPr>
        <w:ilvl w:val="6"/>
        <w:numId w:val="4"/>
      </w:numPr>
      <w:outlineLvl w:val="6"/>
    </w:pPr>
  </w:style>
  <w:style w:type="paragraph" w:customStyle="1" w:styleId="58">
    <w:name w:val="Default1"/>
    <w:qFormat/>
    <w:uiPriority w:val="0"/>
    <w:pPr>
      <w:widowControl w:val="0"/>
      <w:autoSpaceDE w:val="0"/>
      <w:autoSpaceDN w:val="0"/>
      <w:adjustRightInd w:val="0"/>
      <w:spacing w:line="360" w:lineRule="auto"/>
      <w:jc w:val="both"/>
    </w:pPr>
    <w:rPr>
      <w:rFonts w:ascii="宋体" w:hAnsi="Calibri" w:eastAsia="宋体" w:cs="宋体"/>
      <w:color w:val="000000"/>
      <w:sz w:val="24"/>
      <w:szCs w:val="24"/>
      <w:lang w:val="en-US" w:eastAsia="zh-CN" w:bidi="ar-SA"/>
    </w:rPr>
  </w:style>
  <w:style w:type="paragraph" w:customStyle="1" w:styleId="59">
    <w:name w:val="章标题"/>
    <w:next w:val="44"/>
    <w:uiPriority w:val="0"/>
    <w:pPr>
      <w:numPr>
        <w:ilvl w:val="0"/>
        <w:numId w:val="3"/>
      </w:numPr>
      <w:spacing w:before="312" w:beforeLines="100" w:after="312" w:afterLines="100"/>
      <w:jc w:val="both"/>
      <w:outlineLvl w:val="1"/>
    </w:pPr>
    <w:rPr>
      <w:rFonts w:ascii="黑体" w:eastAsia="黑体"/>
      <w:sz w:val="21"/>
      <w:lang w:val="en-US" w:eastAsia="zh-CN" w:bidi="ar-SA"/>
    </w:rPr>
  </w:style>
  <w:style w:type="paragraph" w:customStyle="1" w:styleId="60">
    <w:name w:val="WPSOffice手动目录 1"/>
    <w:uiPriority w:val="0"/>
    <w:pPr>
      <w:ind w:leftChars="0"/>
    </w:pPr>
    <w:rPr>
      <w:sz w:val="20"/>
      <w:szCs w:val="20"/>
    </w:rPr>
  </w:style>
  <w:style w:type="paragraph" w:customStyle="1" w:styleId="61">
    <w:name w:val="附录标识"/>
    <w:basedOn w:val="1"/>
    <w:next w:val="44"/>
    <w:uiPriority w:val="0"/>
    <w:pPr>
      <w:keepNext/>
      <w:widowControl/>
      <w:numPr>
        <w:ilvl w:val="0"/>
        <w:numId w:val="4"/>
      </w:numPr>
      <w:shd w:val="clear" w:color="FFFFFF" w:fill="FFFFFF"/>
      <w:tabs>
        <w:tab w:val="left" w:pos="360"/>
        <w:tab w:val="left" w:pos="6405"/>
      </w:tabs>
      <w:spacing w:before="640" w:after="280"/>
      <w:jc w:val="center"/>
      <w:outlineLvl w:val="0"/>
    </w:pPr>
    <w:rPr>
      <w:rFonts w:ascii="黑体" w:hAnsi="Times New Roman" w:eastAsia="黑体"/>
      <w:kern w:val="0"/>
      <w:szCs w:val="20"/>
    </w:rPr>
  </w:style>
  <w:style w:type="paragraph" w:customStyle="1" w:styleId="62">
    <w:name w:val="标准书眉_奇数页"/>
    <w:next w:val="1"/>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63">
    <w:name w:val=".y.."/>
    <w:basedOn w:val="1"/>
    <w:next w:val="1"/>
    <w:uiPriority w:val="0"/>
    <w:pPr>
      <w:autoSpaceDE w:val="0"/>
      <w:autoSpaceDN w:val="0"/>
      <w:adjustRightInd w:val="0"/>
      <w:jc w:val="left"/>
    </w:pPr>
    <w:rPr>
      <w:rFonts w:ascii="Sim Sun" w:hAnsi="Times New Roman" w:eastAsia="Sim Sun"/>
      <w:kern w:val="0"/>
      <w:sz w:val="24"/>
      <w:szCs w:val="24"/>
    </w:rPr>
  </w:style>
  <w:style w:type="paragraph" w:customStyle="1" w:styleId="64">
    <w:name w:val="标准文件_一级项"/>
    <w:qFormat/>
    <w:uiPriority w:val="0"/>
    <w:pPr>
      <w:numPr>
        <w:ilvl w:val="0"/>
        <w:numId w:val="5"/>
      </w:numPr>
    </w:pPr>
    <w:rPr>
      <w:rFonts w:ascii="宋体" w:hAnsi="Times New Roman" w:eastAsia="宋体" w:cs="Times New Roman"/>
      <w:sz w:val="21"/>
      <w:lang w:val="en-US" w:eastAsia="zh-CN" w:bidi="ar-SA"/>
    </w:rPr>
  </w:style>
  <w:style w:type="paragraph" w:customStyle="1" w:styleId="65">
    <w:name w:val="标准文件_表格"/>
    <w:basedOn w:val="29"/>
    <w:qFormat/>
    <w:uiPriority w:val="0"/>
    <w:pPr>
      <w:ind w:firstLine="0" w:firstLineChars="0"/>
      <w:jc w:val="center"/>
    </w:pPr>
    <w:rPr>
      <w:sz w:val="18"/>
    </w:rPr>
  </w:style>
  <w:style w:type="paragraph" w:customStyle="1" w:styleId="66">
    <w:name w:val="WPSOffice手动目录 2"/>
    <w:uiPriority w:val="0"/>
    <w:pPr>
      <w:ind w:leftChars="200"/>
    </w:pPr>
    <w:rPr>
      <w:sz w:val="20"/>
      <w:szCs w:val="20"/>
    </w:rPr>
  </w:style>
  <w:style w:type="paragraph" w:styleId="67">
    <w:name w:val="List Paragraph"/>
    <w:basedOn w:val="1"/>
    <w:qFormat/>
    <w:uiPriority w:val="34"/>
    <w:pPr>
      <w:ind w:firstLine="420" w:firstLineChars="200"/>
    </w:pPr>
    <w:rPr>
      <w:szCs w:val="22"/>
    </w:rPr>
  </w:style>
  <w:style w:type="paragraph" w:customStyle="1" w:styleId="68">
    <w:name w:val="目次、标准名称标题"/>
    <w:basedOn w:val="1"/>
    <w:next w:val="44"/>
    <w:uiPriority w:val="0"/>
    <w:pPr>
      <w:keepNext/>
      <w:pageBreakBefore/>
      <w:widowControl/>
      <w:shd w:val="clear" w:color="FFFFFF" w:fill="FFFFFF"/>
      <w:spacing w:before="640" w:after="560" w:line="460" w:lineRule="exact"/>
      <w:jc w:val="center"/>
      <w:outlineLvl w:val="0"/>
    </w:pPr>
    <w:rPr>
      <w:rFonts w:ascii="黑体" w:hAnsi="Times New Roman" w:eastAsia="黑体"/>
      <w:kern w:val="0"/>
      <w:sz w:val="32"/>
      <w:szCs w:val="20"/>
    </w:rPr>
  </w:style>
  <w:style w:type="paragraph" w:customStyle="1" w:styleId="69">
    <w:name w:val="标准文件_术语条一"/>
    <w:basedOn w:val="70"/>
    <w:next w:val="29"/>
    <w:qFormat/>
    <w:uiPriority w:val="0"/>
    <w:pPr>
      <w:tabs>
        <w:tab w:val="left" w:pos="0"/>
      </w:tabs>
    </w:pPr>
  </w:style>
  <w:style w:type="paragraph" w:customStyle="1" w:styleId="70">
    <w:name w:val="标准文件_一级无标题"/>
    <w:basedOn w:val="28"/>
    <w:qFormat/>
    <w:uiPriority w:val="0"/>
    <w:pPr>
      <w:spacing w:before="0" w:beforeLines="0" w:after="0" w:afterLines="0"/>
      <w:outlineLvl w:val="9"/>
    </w:pPr>
    <w:rPr>
      <w:rFonts w:ascii="宋体" w:eastAsia="宋体"/>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5" Type="http://schemas.openxmlformats.org/officeDocument/2006/relationships/fontTable" Target="fontTable.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27.pn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footer" Target="foot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jpeg"/><Relationship Id="rId16" Type="http://schemas.openxmlformats.org/officeDocument/2006/relationships/image" Target="media/image11.emf"/><Relationship Id="rId15" Type="http://schemas.openxmlformats.org/officeDocument/2006/relationships/oleObject" Target="embeddings/oleObject1.bin"/><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Template>
  <Company>Microsoft</Company>
  <Pages>13</Pages>
  <Words>6580</Words>
  <Characters>6851</Characters>
  <Lines>90</Lines>
  <Paragraphs>25</Paragraphs>
  <TotalTime>1</TotalTime>
  <ScaleCrop>false</ScaleCrop>
  <LinksUpToDate>false</LinksUpToDate>
  <CharactersWithSpaces>6985</CharactersWithSpaces>
  <Application>WPS Office_11.8.2.11734_F1E327BC-269C-435d-A152-05C5408002CA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2020-03-06T08:42:00Z</dcterms:created>
  <dc:creator>雷海玲</dc:creator>
  <cp:lastModifiedBy>沉默</cp:lastModifiedBy>
  <cp:lastPrinted>2018-07-05T07:18:00Z</cp:lastPrinted>
  <dcterms:modified xsi:type="dcterms:W3CDTF">2026-02-28T01:29:05Z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2052-11.8.2.11734</vt:lpwstr>
  </property>
  <property fmtid="{D5CDD505-2E9C-101B-9397-08002B2CF9AE}" pid="3" name="ICV">
    <vt:lpwstr>0CFD9D3AFCDC486498920C173DC9CD55</vt:lpwstr>
  </property>
  <property fmtid="{D5CDD505-2E9C-101B-9397-08002B2CF9AE}" pid="4" name="KSOTemplateDocerSaveRecord">
    <vt:lpwstr>eyJoZGlkIjoiZDVkZDE3NDM5ZjZjZDkxMzdkNmM3MjdiYjYwZGM0YWMiLCJ1c2VySWQiOiI4MTE2NjcxNjEifQ==</vt:lpwstr>
  </property>
</Properties>
</file>