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1168" w:rsidRPr="00A92248" w:rsidRDefault="00FE6FF4">
      <w:pPr>
        <w:jc w:val="center"/>
        <w:rPr>
          <w:rFonts w:ascii="方正小标宋简体" w:eastAsia="方正小标宋简体" w:cs="仿宋_GB2312"/>
          <w:bCs/>
          <w:color w:val="000000" w:themeColor="text1"/>
          <w:sz w:val="44"/>
          <w:szCs w:val="44"/>
        </w:rPr>
      </w:pPr>
      <w:bookmarkStart w:id="0" w:name="_GoBack"/>
      <w:r w:rsidRPr="00A92248">
        <w:rPr>
          <w:rFonts w:ascii="方正小标宋简体" w:eastAsia="方正小标宋简体" w:cs="仿宋_GB2312" w:hint="eastAsia"/>
          <w:bCs/>
          <w:color w:val="000000" w:themeColor="text1"/>
          <w:sz w:val="44"/>
          <w:szCs w:val="44"/>
        </w:rPr>
        <w:t>团体标准《“桂十味”肉桂质量等级》</w:t>
      </w:r>
    </w:p>
    <w:p w:rsidR="008B1168" w:rsidRPr="00A92248" w:rsidRDefault="00FE6FF4">
      <w:pPr>
        <w:jc w:val="center"/>
        <w:rPr>
          <w:rFonts w:ascii="方正小标宋简体" w:eastAsia="方正小标宋简体" w:cs="仿宋_GB2312"/>
          <w:bCs/>
          <w:color w:val="000000" w:themeColor="text1"/>
          <w:sz w:val="44"/>
          <w:szCs w:val="44"/>
        </w:rPr>
      </w:pPr>
      <w:r w:rsidRPr="00A92248">
        <w:rPr>
          <w:rFonts w:ascii="方正小标宋简体" w:eastAsia="方正小标宋简体" w:cs="仿宋_GB2312" w:hint="eastAsia"/>
          <w:bCs/>
          <w:color w:val="000000" w:themeColor="text1"/>
          <w:sz w:val="44"/>
          <w:szCs w:val="44"/>
        </w:rPr>
        <w:t>（征求意见稿）编制说明</w:t>
      </w:r>
    </w:p>
    <w:p w:rsidR="008B1168" w:rsidRPr="00A92248" w:rsidRDefault="008B1168">
      <w:pPr>
        <w:ind w:firstLine="378"/>
        <w:jc w:val="center"/>
        <w:rPr>
          <w:rFonts w:ascii="方正小标宋简体" w:eastAsia="方正小标宋简体" w:cs="仿宋_GB2312"/>
          <w:bCs/>
          <w:color w:val="000000" w:themeColor="text1"/>
          <w:sz w:val="18"/>
          <w:szCs w:val="18"/>
        </w:rPr>
      </w:pPr>
    </w:p>
    <w:p w:rsidR="008B1168" w:rsidRPr="00A92248" w:rsidRDefault="00FE6FF4">
      <w:pPr>
        <w:pStyle w:val="aff2"/>
        <w:ind w:firstLineChars="200" w:firstLine="640"/>
        <w:jc w:val="left"/>
        <w:rPr>
          <w:rFonts w:ascii="黑体" w:eastAsia="黑体" w:hAnsi="黑体"/>
          <w:b w:val="0"/>
          <w:color w:val="000000" w:themeColor="text1"/>
        </w:rPr>
      </w:pPr>
      <w:r w:rsidRPr="00A92248">
        <w:rPr>
          <w:rFonts w:ascii="黑体" w:eastAsia="黑体" w:hAnsi="黑体" w:hint="eastAsia"/>
          <w:b w:val="0"/>
          <w:color w:val="000000" w:themeColor="text1"/>
        </w:rPr>
        <w:t>一、任务来源、起草单位、</w:t>
      </w:r>
      <w:r w:rsidRPr="00A92248">
        <w:rPr>
          <w:rFonts w:ascii="黑体" w:eastAsia="黑体" w:hAnsi="黑体"/>
          <w:b w:val="0"/>
          <w:color w:val="000000" w:themeColor="text1"/>
        </w:rPr>
        <w:t>主要起草人</w:t>
      </w:r>
    </w:p>
    <w:p w:rsidR="008B1168" w:rsidRPr="00A92248" w:rsidRDefault="00FE6FF4">
      <w:pPr>
        <w:spacing w:afterLines="50" w:after="120"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根据《广西标准化协会关于下达202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年第一批团体标准制修订项目计划的通知》（桂标协〔202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25</w:t>
      </w:r>
      <w:r w:rsidRPr="00A92248">
        <w:rPr>
          <w:rFonts w:ascii="仿宋_GB2312" w:eastAsia="仿宋_GB2312" w:hint="eastAsia"/>
          <w:color w:val="000000" w:themeColor="text1"/>
          <w:sz w:val="32"/>
          <w:szCs w:val="32"/>
        </w:rPr>
        <w:t>号）文件精神，由广西壮族自治区药品检验研究院提出，广西壮族自治区药品检验研究院、广西中医药大学、南宁市食品药品检验所、梧州市食品药品检验所、玉林市食品药品检验检测中心、广西仙茱中药科技有限公司、桂林三金药业股份有限公司、广西仙茱制药有限公司、广西强寿药业集团有限公司、广西维威制药有限公司、广西河丰药业有限责任公司、广西柳州百草堂中药饮片厂有限责任公司、桂林莱茵生物科技股份有限公司、广西紫云轩中药科技有限公司、桂林吉福思罗汉果生物技术股份有限公司、广西草本源中药饮片有限公司、广西贵港市绿之源种养发展有限公司中药饮片厂、广西宝康源药业有限公司、广西岭南御泰药业有限公司、广西德润堂中药科技有限公司等单位共同起草的团体标准《</w:t>
      </w:r>
      <w:r w:rsidRPr="00A92248">
        <w:rPr>
          <w:rFonts w:ascii="仿宋_GB2312" w:eastAsia="仿宋_GB2312" w:hint="eastAsia"/>
          <w:bCs/>
          <w:color w:val="000000" w:themeColor="text1"/>
          <w:sz w:val="32"/>
          <w:szCs w:val="32"/>
        </w:rPr>
        <w:t>“桂十味”肉桂质量等级</w:t>
      </w:r>
      <w:r w:rsidRPr="00A92248">
        <w:rPr>
          <w:rFonts w:ascii="仿宋_GB2312" w:eastAsia="仿宋_GB2312" w:hint="eastAsia"/>
          <w:color w:val="000000" w:themeColor="text1"/>
          <w:sz w:val="32"/>
          <w:szCs w:val="32"/>
        </w:rPr>
        <w:t>》（项目编号：202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0109</w:t>
      </w:r>
      <w:r w:rsidRPr="00A92248">
        <w:rPr>
          <w:rFonts w:ascii="仿宋_GB2312" w:eastAsia="仿宋_GB2312" w:hint="eastAsia"/>
          <w:color w:val="000000" w:themeColor="text1"/>
          <w:sz w:val="32"/>
          <w:szCs w:val="32"/>
        </w:rPr>
        <w:t>）已获批立项。</w:t>
      </w:r>
    </w:p>
    <w:p w:rsidR="008B1168" w:rsidRPr="00A92248" w:rsidRDefault="00FE6FF4">
      <w:pPr>
        <w:spacing w:afterLines="50" w:after="120"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为高质量编制团体标准《</w:t>
      </w:r>
      <w:r w:rsidRPr="00A92248">
        <w:rPr>
          <w:rFonts w:ascii="仿宋_GB2312" w:eastAsia="仿宋_GB2312" w:hint="eastAsia"/>
          <w:bCs/>
          <w:color w:val="000000" w:themeColor="text1"/>
          <w:sz w:val="32"/>
          <w:szCs w:val="32"/>
        </w:rPr>
        <w:t>“</w:t>
      </w:r>
      <w:r w:rsidRPr="00A92248">
        <w:rPr>
          <w:rFonts w:ascii="仿宋_GB2312" w:eastAsia="仿宋_GB2312" w:hint="eastAsia"/>
          <w:color w:val="000000" w:themeColor="text1"/>
          <w:sz w:val="32"/>
          <w:szCs w:val="32"/>
        </w:rPr>
        <w:t>桂十味”肉桂质量等级》，由起草单位成立标准编制工作组并进行如下分工：</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60"/>
        <w:gridCol w:w="1578"/>
        <w:gridCol w:w="2169"/>
        <w:gridCol w:w="2793"/>
      </w:tblGrid>
      <w:tr w:rsidR="00A92248" w:rsidRPr="00A92248">
        <w:trPr>
          <w:trHeight w:val="450"/>
          <w:tblHeader/>
          <w:jc w:val="center"/>
        </w:trPr>
        <w:tc>
          <w:tcPr>
            <w:tcW w:w="602" w:type="pct"/>
            <w:vAlign w:val="center"/>
          </w:tcPr>
          <w:p w:rsidR="008B1168" w:rsidRPr="00A92248" w:rsidRDefault="00FE6FF4">
            <w:pPr>
              <w:jc w:val="center"/>
              <w:rPr>
                <w:rFonts w:ascii="仿宋_GB2312" w:eastAsia="仿宋_GB2312" w:hAnsi="Times New Roman"/>
                <w:b/>
                <w:color w:val="000000" w:themeColor="text1"/>
                <w:sz w:val="24"/>
              </w:rPr>
            </w:pPr>
            <w:r w:rsidRPr="00A92248">
              <w:rPr>
                <w:rFonts w:ascii="仿宋_GB2312" w:eastAsia="仿宋_GB2312" w:hAnsi="Times New Roman" w:hint="eastAsia"/>
                <w:b/>
                <w:color w:val="000000" w:themeColor="text1"/>
                <w:sz w:val="24"/>
              </w:rPr>
              <w:t>姓名</w:t>
            </w:r>
          </w:p>
        </w:tc>
        <w:tc>
          <w:tcPr>
            <w:tcW w:w="890" w:type="pct"/>
            <w:vAlign w:val="center"/>
          </w:tcPr>
          <w:p w:rsidR="008B1168" w:rsidRPr="00A92248" w:rsidRDefault="00FE6FF4">
            <w:pPr>
              <w:jc w:val="center"/>
              <w:rPr>
                <w:rFonts w:ascii="仿宋_GB2312" w:eastAsia="仿宋_GB2312" w:hAnsi="Times New Roman"/>
                <w:b/>
                <w:color w:val="000000" w:themeColor="text1"/>
                <w:sz w:val="24"/>
              </w:rPr>
            </w:pPr>
            <w:r w:rsidRPr="00A92248">
              <w:rPr>
                <w:rFonts w:ascii="仿宋_GB2312" w:eastAsia="仿宋_GB2312" w:hAnsi="Times New Roman" w:hint="eastAsia"/>
                <w:b/>
                <w:color w:val="000000" w:themeColor="text1"/>
                <w:sz w:val="24"/>
              </w:rPr>
              <w:t>职务/职称</w:t>
            </w:r>
          </w:p>
        </w:tc>
        <w:tc>
          <w:tcPr>
            <w:tcW w:w="846" w:type="pct"/>
            <w:vAlign w:val="center"/>
          </w:tcPr>
          <w:p w:rsidR="008B1168" w:rsidRPr="00A92248" w:rsidRDefault="00FE6FF4">
            <w:pPr>
              <w:jc w:val="center"/>
              <w:rPr>
                <w:rFonts w:ascii="仿宋_GB2312" w:eastAsia="仿宋_GB2312" w:hAnsi="Times New Roman"/>
                <w:b/>
                <w:color w:val="000000" w:themeColor="text1"/>
                <w:sz w:val="24"/>
              </w:rPr>
            </w:pPr>
            <w:r w:rsidRPr="00A92248">
              <w:rPr>
                <w:rFonts w:ascii="仿宋_GB2312" w:eastAsia="仿宋_GB2312" w:hAnsi="Times New Roman" w:hint="eastAsia"/>
                <w:b/>
                <w:color w:val="000000" w:themeColor="text1"/>
                <w:sz w:val="24"/>
              </w:rPr>
              <w:t>从事专业</w:t>
            </w:r>
          </w:p>
        </w:tc>
        <w:tc>
          <w:tcPr>
            <w:tcW w:w="1163" w:type="pct"/>
            <w:vAlign w:val="center"/>
          </w:tcPr>
          <w:p w:rsidR="008B1168" w:rsidRPr="00A92248" w:rsidRDefault="00FE6FF4">
            <w:pPr>
              <w:jc w:val="center"/>
              <w:rPr>
                <w:rFonts w:ascii="仿宋_GB2312" w:eastAsia="仿宋_GB2312" w:hAnsi="Times New Roman"/>
                <w:b/>
                <w:color w:val="000000" w:themeColor="text1"/>
                <w:sz w:val="24"/>
              </w:rPr>
            </w:pPr>
            <w:r w:rsidRPr="00A92248">
              <w:rPr>
                <w:rFonts w:ascii="仿宋_GB2312" w:eastAsia="仿宋_GB2312" w:hAnsi="Times New Roman" w:hint="eastAsia"/>
                <w:b/>
                <w:color w:val="000000" w:themeColor="text1"/>
                <w:sz w:val="24"/>
              </w:rPr>
              <w:t>工作单位</w:t>
            </w:r>
          </w:p>
        </w:tc>
        <w:tc>
          <w:tcPr>
            <w:tcW w:w="1498" w:type="pct"/>
            <w:vAlign w:val="center"/>
          </w:tcPr>
          <w:p w:rsidR="008B1168" w:rsidRPr="00A92248" w:rsidRDefault="00FE6FF4">
            <w:pPr>
              <w:jc w:val="center"/>
              <w:rPr>
                <w:rFonts w:ascii="仿宋_GB2312" w:eastAsia="仿宋_GB2312" w:hAnsi="Times New Roman"/>
                <w:b/>
                <w:color w:val="000000" w:themeColor="text1"/>
                <w:sz w:val="24"/>
              </w:rPr>
            </w:pPr>
            <w:r w:rsidRPr="00A92248">
              <w:rPr>
                <w:rFonts w:ascii="仿宋_GB2312" w:eastAsia="仿宋_GB2312" w:hAnsi="Times New Roman" w:hint="eastAsia"/>
                <w:b/>
                <w:color w:val="000000" w:themeColor="text1"/>
                <w:sz w:val="24"/>
              </w:rPr>
              <w:t>责任分工</w:t>
            </w:r>
          </w:p>
        </w:tc>
      </w:tr>
      <w:tr w:rsidR="00A92248" w:rsidRPr="00A92248">
        <w:trPr>
          <w:trHeight w:val="850"/>
          <w:jc w:val="center"/>
        </w:trPr>
        <w:tc>
          <w:tcPr>
            <w:tcW w:w="602" w:type="pct"/>
            <w:vAlign w:val="center"/>
          </w:tcPr>
          <w:p w:rsidR="008B1168" w:rsidRPr="00A92248" w:rsidRDefault="006E153A" w:rsidP="006E153A">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黄博</w:t>
            </w:r>
          </w:p>
        </w:tc>
        <w:tc>
          <w:tcPr>
            <w:tcW w:w="890" w:type="pct"/>
            <w:vAlign w:val="center"/>
          </w:tcPr>
          <w:p w:rsidR="008B1168" w:rsidRPr="00A92248" w:rsidRDefault="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8B1168" w:rsidRPr="00A92248" w:rsidRDefault="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8B1168" w:rsidRPr="00A92248" w:rsidRDefault="00E15500">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广西壮族自治区药品检验研究院</w:t>
            </w:r>
          </w:p>
        </w:tc>
        <w:tc>
          <w:tcPr>
            <w:tcW w:w="1498" w:type="pct"/>
            <w:vAlign w:val="center"/>
          </w:tcPr>
          <w:p w:rsidR="008B1168" w:rsidRPr="00A92248" w:rsidRDefault="00FE6FF4">
            <w:pPr>
              <w:suppressAutoHyphens/>
              <w:rPr>
                <w:rFonts w:ascii="仿宋_GB2312" w:eastAsia="仿宋_GB2312" w:hAnsi="仿宋_GB2312" w:cs="仿宋_GB2312"/>
                <w:bCs/>
                <w:color w:val="000000" w:themeColor="text1"/>
                <w:sz w:val="24"/>
              </w:rPr>
            </w:pPr>
            <w:r w:rsidRPr="00A92248">
              <w:rPr>
                <w:rFonts w:ascii="仿宋_GB2312" w:eastAsia="仿宋_GB2312" w:hAnsi="仿宋_GB2312" w:cs="仿宋_GB2312" w:hint="eastAsia"/>
                <w:bCs/>
                <w:color w:val="000000" w:themeColor="text1"/>
                <w:sz w:val="24"/>
              </w:rPr>
              <w:t>统筹标准编制工作，组织人员进行规范发布后的宣贯培训。</w:t>
            </w:r>
          </w:p>
        </w:tc>
      </w:tr>
      <w:tr w:rsidR="00A92248" w:rsidRPr="00A92248">
        <w:trPr>
          <w:trHeight w:val="850"/>
          <w:jc w:val="center"/>
        </w:trPr>
        <w:tc>
          <w:tcPr>
            <w:tcW w:w="602"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黄清泉</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广西壮族自治区药品检验研究院</w:t>
            </w:r>
          </w:p>
        </w:tc>
        <w:tc>
          <w:tcPr>
            <w:tcW w:w="1498" w:type="pct"/>
            <w:vAlign w:val="center"/>
          </w:tcPr>
          <w:p w:rsidR="00986A89" w:rsidRPr="00A92248" w:rsidRDefault="00986A89" w:rsidP="00986A89">
            <w:pPr>
              <w:suppressAutoHyphens/>
              <w:rPr>
                <w:rFonts w:ascii="仿宋_GB2312" w:eastAsia="仿宋_GB2312" w:hAnsi="仿宋_GB2312" w:cs="仿宋_GB2312"/>
                <w:bCs/>
                <w:color w:val="000000" w:themeColor="text1"/>
                <w:sz w:val="24"/>
              </w:rPr>
            </w:pPr>
            <w:r w:rsidRPr="00A92248">
              <w:rPr>
                <w:rFonts w:ascii="仿宋_GB2312" w:eastAsia="仿宋_GB2312" w:hAnsi="仿宋_GB2312" w:cs="仿宋_GB2312" w:hint="eastAsia"/>
                <w:bCs/>
                <w:color w:val="000000" w:themeColor="text1"/>
                <w:sz w:val="24"/>
              </w:rPr>
              <w:t>指导标准文本及编制说明编写，质量控制。</w:t>
            </w:r>
          </w:p>
        </w:tc>
      </w:tr>
      <w:tr w:rsidR="00A92248" w:rsidRPr="00A92248" w:rsidTr="00986A89">
        <w:trPr>
          <w:trHeight w:val="995"/>
          <w:jc w:val="center"/>
        </w:trPr>
        <w:tc>
          <w:tcPr>
            <w:tcW w:w="602" w:type="pct"/>
            <w:vAlign w:val="center"/>
          </w:tcPr>
          <w:p w:rsidR="00986A89" w:rsidRPr="00A92248" w:rsidRDefault="00986A89" w:rsidP="00986A89">
            <w:pPr>
              <w:suppressAutoHyphens/>
              <w:jc w:val="center"/>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lastRenderedPageBreak/>
              <w:t>郑晓霞</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对标准实施情况进行总结分析，不断对标准提出修正意见。</w:t>
            </w:r>
          </w:p>
        </w:tc>
      </w:tr>
      <w:tr w:rsidR="00A92248" w:rsidRPr="00A92248" w:rsidTr="00986A89">
        <w:trPr>
          <w:trHeight w:val="995"/>
          <w:jc w:val="center"/>
        </w:trPr>
        <w:tc>
          <w:tcPr>
            <w:tcW w:w="602" w:type="pct"/>
            <w:vAlign w:val="center"/>
          </w:tcPr>
          <w:p w:rsidR="00986A89" w:rsidRPr="00A92248" w:rsidRDefault="00986A89" w:rsidP="00986A89">
            <w:pPr>
              <w:suppressAutoHyphens/>
              <w:jc w:val="center"/>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罗轶</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负责起草标准草案，征求意见稿和标准编制说明，送审稿及编制说明的编写工作。</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张佳毅</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负责起草标准草案，征求意见稿和标准编制说明，送审稿及编制说明的编写工作。</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朱雪妍</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负责起草标准草案，征求意见稿和标准编制说明，送审稿及编制说明的编写工作。</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刘喜婵</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广西中医药大学</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负责起草标准草案，征求意见稿和标准编制说明，送审稿及编制说明的编写工作。</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李根兰</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向涛</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广西壮族自治区药品检验研究院</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刘国石</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南宁市食品药品检验所</w:t>
            </w:r>
          </w:p>
        </w:tc>
        <w:tc>
          <w:tcPr>
            <w:tcW w:w="1498"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刘吉成</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南宁市食品药品检验所</w:t>
            </w:r>
          </w:p>
        </w:tc>
        <w:tc>
          <w:tcPr>
            <w:tcW w:w="1498" w:type="pct"/>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覃蓝</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梧州市食品药品检验所</w:t>
            </w:r>
          </w:p>
        </w:tc>
        <w:tc>
          <w:tcPr>
            <w:tcW w:w="1498" w:type="pct"/>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娄艳</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梧州市食品药品检验所</w:t>
            </w:r>
          </w:p>
        </w:tc>
        <w:tc>
          <w:tcPr>
            <w:tcW w:w="1498" w:type="pct"/>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周天祥</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玉林市食品药品检验检测中心</w:t>
            </w:r>
          </w:p>
        </w:tc>
        <w:tc>
          <w:tcPr>
            <w:tcW w:w="1498" w:type="pct"/>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lastRenderedPageBreak/>
              <w:t>卢森华</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玉林市食品药品检验检测中心</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黄文丽</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广西仙茱中药科技有限公司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李永芳</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桂林三金药业股份有限公司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庄婷婷</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桂林三金药业股份有限公司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蓝晓庆</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广西仙茱制药有限公司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黄静广</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广西仙茱制药有限公司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陆桂枝</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广西维威制药有限公司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邱平</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广西维威制药有限公司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胡盛</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广西河丰药业有限责任公司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唐勇华</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广西河丰药业有限责任公司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李云乾</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广西柳州百草堂中药饮片厂有限责任公司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唐平果</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广西柳州百草堂中药饮片厂有限责任公司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李永芳</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桂林莱茵生物科技股份有限公司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lastRenderedPageBreak/>
              <w:t>庄婷婷</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桂林莱茵生物科技股份有限公司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欧阳小光</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广西紫云轩中药科技有限公司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王玉莹</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广西紫云轩中药科技有限公司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黎杏玉</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桂林吉福思罗汉果生物技术股份有限公司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梁振华</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桂林吉福思罗汉果生物技术股份有限公司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施艳娟</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广西草本源中药饮片有限公司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江永媛</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广西草本源中药饮片有限公司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梁琦</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广西贵港市绿之源种养发展有限公司中药饮片厂</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黄猛</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广西贵港市绿之源种养发展有限公司中药饮片厂</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陈海</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广西宝康源药业有限公司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马鸣骏</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广西宝康源药业有限公司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潘少杰</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广西岭南御泰药业有限公司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邱庄云</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广西岭南御泰药业有限公司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lastRenderedPageBreak/>
              <w:t>覃体汉</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广西德润堂中药科技有限公司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r w:rsidR="00A92248" w:rsidRPr="00A92248" w:rsidTr="00986A89">
        <w:trPr>
          <w:trHeight w:val="995"/>
          <w:jc w:val="center"/>
        </w:trPr>
        <w:tc>
          <w:tcPr>
            <w:tcW w:w="602"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周玉珍</w:t>
            </w:r>
          </w:p>
        </w:tc>
        <w:tc>
          <w:tcPr>
            <w:tcW w:w="890" w:type="pct"/>
            <w:vAlign w:val="center"/>
          </w:tcPr>
          <w:p w:rsidR="00986A89" w:rsidRPr="00A92248" w:rsidRDefault="00986A89" w:rsidP="00986A89">
            <w:pPr>
              <w:jc w:val="center"/>
              <w:textAlignment w:val="baseline"/>
              <w:rPr>
                <w:rFonts w:ascii="仿宋_GB2312" w:eastAsia="仿宋_GB2312" w:hAnsi="仿宋"/>
                <w:color w:val="000000" w:themeColor="text1"/>
                <w:sz w:val="24"/>
                <w:szCs w:val="32"/>
              </w:rPr>
            </w:pPr>
            <w:r w:rsidRPr="00A92248">
              <w:rPr>
                <w:rFonts w:ascii="仿宋_GB2312" w:eastAsia="仿宋_GB2312" w:hAnsi="仿宋" w:hint="eastAsia"/>
                <w:color w:val="000000" w:themeColor="text1"/>
                <w:sz w:val="24"/>
                <w:szCs w:val="32"/>
              </w:rPr>
              <w:t>/</w:t>
            </w:r>
          </w:p>
        </w:tc>
        <w:tc>
          <w:tcPr>
            <w:tcW w:w="846" w:type="pct"/>
            <w:vAlign w:val="center"/>
          </w:tcPr>
          <w:p w:rsidR="00986A89" w:rsidRPr="00A92248" w:rsidRDefault="00986A89" w:rsidP="00986A89">
            <w:pPr>
              <w:jc w:val="center"/>
              <w:rPr>
                <w:color w:val="000000" w:themeColor="text1"/>
              </w:rPr>
            </w:pPr>
            <w:r w:rsidRPr="00A92248">
              <w:rPr>
                <w:rFonts w:ascii="仿宋_GB2312" w:eastAsia="仿宋_GB2312" w:hAnsi="仿宋" w:hint="eastAsia"/>
                <w:color w:val="000000" w:themeColor="text1"/>
                <w:sz w:val="24"/>
                <w:szCs w:val="32"/>
              </w:rPr>
              <w:t>检验</w:t>
            </w:r>
            <w:r w:rsidRPr="00A92248">
              <w:rPr>
                <w:rFonts w:ascii="仿宋_GB2312" w:eastAsia="仿宋_GB2312" w:hAnsi="仿宋"/>
                <w:color w:val="000000" w:themeColor="text1"/>
                <w:sz w:val="24"/>
                <w:szCs w:val="32"/>
              </w:rPr>
              <w:t>检测</w:t>
            </w:r>
          </w:p>
        </w:tc>
        <w:tc>
          <w:tcPr>
            <w:tcW w:w="1163" w:type="pct"/>
            <w:vAlign w:val="center"/>
          </w:tcPr>
          <w:p w:rsidR="00986A89" w:rsidRPr="00A92248" w:rsidRDefault="00986A89" w:rsidP="00986A89">
            <w:pPr>
              <w:suppressAutoHyphens/>
              <w:rPr>
                <w:rFonts w:ascii="仿宋_GB2312" w:eastAsia="仿宋_GB2312" w:hAnsi="Times New Roman" w:cs="Times New Roman"/>
                <w:bCs/>
                <w:color w:val="000000" w:themeColor="text1"/>
                <w:sz w:val="24"/>
              </w:rPr>
            </w:pPr>
            <w:r w:rsidRPr="00A92248">
              <w:rPr>
                <w:rFonts w:ascii="仿宋_GB2312" w:eastAsia="仿宋_GB2312" w:hAnsi="Times New Roman" w:cs="Times New Roman" w:hint="eastAsia"/>
                <w:bCs/>
                <w:color w:val="000000" w:themeColor="text1"/>
                <w:sz w:val="24"/>
              </w:rPr>
              <w:t>广西德润堂中药科技有限公司</w:t>
            </w:r>
          </w:p>
        </w:tc>
        <w:tc>
          <w:tcPr>
            <w:tcW w:w="1498" w:type="pct"/>
          </w:tcPr>
          <w:p w:rsidR="00986A89" w:rsidRPr="00A92248" w:rsidRDefault="00986A89" w:rsidP="00986A89">
            <w:pPr>
              <w:rPr>
                <w:color w:val="000000" w:themeColor="text1"/>
              </w:rPr>
            </w:pPr>
            <w:r w:rsidRPr="00A92248">
              <w:rPr>
                <w:rFonts w:ascii="仿宋_GB2312" w:eastAsia="仿宋_GB2312" w:hAnsi="Times New Roman" w:cs="Times New Roman" w:hint="eastAsia"/>
                <w:bCs/>
                <w:color w:val="000000" w:themeColor="text1"/>
                <w:sz w:val="24"/>
              </w:rPr>
              <w:t>查询、收集和整理资料，协助标准文本及编制说明的编写、实施。</w:t>
            </w:r>
          </w:p>
        </w:tc>
      </w:tr>
    </w:tbl>
    <w:p w:rsidR="008B1168" w:rsidRPr="00A92248" w:rsidRDefault="00FE6FF4">
      <w:pPr>
        <w:pStyle w:val="aff2"/>
        <w:ind w:firstLineChars="200" w:firstLine="640"/>
        <w:jc w:val="left"/>
        <w:rPr>
          <w:rFonts w:ascii="黑体" w:eastAsia="黑体" w:hAnsi="黑体"/>
          <w:b w:val="0"/>
          <w:color w:val="000000" w:themeColor="text1"/>
        </w:rPr>
      </w:pPr>
      <w:r w:rsidRPr="00A92248">
        <w:rPr>
          <w:rFonts w:ascii="黑体" w:eastAsia="黑体" w:hAnsi="黑体" w:hint="eastAsia"/>
          <w:b w:val="0"/>
          <w:color w:val="000000" w:themeColor="text1"/>
        </w:rPr>
        <w:t>二、制定标准的必要性和意义</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肉桂作为“桂十味”道地药材之一，在药用、食用等领域应用广泛。在食品领域，它是重要的香料，广泛用于烘焙食品、饮品、肉制品等的调味，为产品增添独特风味。在中医药临床上，肉桂具有补火助阳、引火归元、散寒止痛、温通经脉等功效，被大量应用于多种经典方剂中。我国是全球最大的肉桂种植与生产国之一，广东、广西是肉桂贸易和出口的重要集散地。广西肉桂产量约占全国的90%，种植历史悠久，资源优势明显。广西自治区中医药管理局正在积极推动以“桂十味”为品牌的区域特色中药材品种的打造，这十味道地药材包括肉桂、罗汉果、八角、广西莪术、龙眼肉、山豆根、鸡血藤、鸡骨草、两面针和广地龙。广西中药材产业发展迅速，《广西“十四五”中药材种植业高质量发展专项规划》提出，到2025年全区中药材产业种植规模稳定在600万亩左右，中药材种植及初加工产值达到500亿元以上。肉桂作为“桂十味”重要品种，产业规模不断扩大，市场前景广阔。随着人们对健康养生的重视，对肉桂及其相关产品的需求持续增加。例如，肉桂在保健品、化妆品等领域的应用不断拓展，对肉桂质量提出了更高要求。然而，由于市场上肉桂质量等级混乱，消费者难以辨别优劣，优质肉桂产品的市场供应无法得到有效保障。通过制定统一的质量等级标准，能够让市场上的肉桂产品质量有清晰的分级，满足不同消费者群体对于肉桂产品的多样</w:t>
      </w:r>
      <w:r w:rsidRPr="00A92248">
        <w:rPr>
          <w:rFonts w:ascii="仿宋_GB2312" w:eastAsia="仿宋_GB2312" w:hint="eastAsia"/>
          <w:color w:val="000000" w:themeColor="text1"/>
          <w:sz w:val="32"/>
          <w:szCs w:val="32"/>
        </w:rPr>
        <w:lastRenderedPageBreak/>
        <w:t>化需求，无论是追求高品质的高端市场，还是对价格敏感的大众市场，都能依据标准找到符合自身需求的产品，进而促进肉桂市场的健康、有序发展。</w:t>
      </w:r>
    </w:p>
    <w:p w:rsidR="008B1168" w:rsidRPr="00A92248" w:rsidRDefault="00FE6FF4">
      <w:pPr>
        <w:spacing w:line="520" w:lineRule="exact"/>
        <w:ind w:firstLineChars="200" w:firstLine="640"/>
        <w:rPr>
          <w:rFonts w:ascii="仿宋_GB2312" w:eastAsia="仿宋_GB2312"/>
          <w:color w:val="000000" w:themeColor="text1"/>
          <w:sz w:val="28"/>
          <w:szCs w:val="28"/>
        </w:rPr>
      </w:pPr>
      <w:r w:rsidRPr="00A92248">
        <w:rPr>
          <w:rFonts w:ascii="仿宋_GB2312" w:eastAsia="仿宋_GB2312" w:hint="eastAsia"/>
          <w:color w:val="000000" w:themeColor="text1"/>
          <w:sz w:val="32"/>
          <w:szCs w:val="32"/>
        </w:rPr>
        <w:t>通过制定团体标准《“桂十味”肉桂质量等级》，以标准为抓手，统一规范不同等级“桂十味”肉桂质量要求，提高“桂十味”肉桂的质量和市场竞争力，发挥“桂十味”品牌效应，促进肉桂产业规范化和可持续发展，对推动广西中医药产业高质量发展具有重要意义。</w:t>
      </w:r>
    </w:p>
    <w:p w:rsidR="008B1168" w:rsidRPr="00A92248" w:rsidRDefault="00FE6FF4">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三、主要起草过程</w:t>
      </w:r>
    </w:p>
    <w:p w:rsidR="008B1168" w:rsidRPr="00A92248" w:rsidRDefault="00FE6FF4">
      <w:pPr>
        <w:spacing w:line="560" w:lineRule="exact"/>
        <w:ind w:firstLineChars="200" w:firstLine="643"/>
        <w:rPr>
          <w:rFonts w:ascii="楷体" w:eastAsia="楷体" w:hAnsi="楷体" w:cs="楷体"/>
          <w:b/>
          <w:color w:val="000000" w:themeColor="text1"/>
          <w:sz w:val="32"/>
          <w:szCs w:val="32"/>
        </w:rPr>
      </w:pPr>
      <w:r w:rsidRPr="00A92248">
        <w:rPr>
          <w:rFonts w:ascii="楷体" w:eastAsia="楷体" w:hAnsi="楷体" w:cs="楷体" w:hint="eastAsia"/>
          <w:b/>
          <w:color w:val="000000" w:themeColor="text1"/>
          <w:sz w:val="32"/>
          <w:szCs w:val="32"/>
        </w:rPr>
        <w:t>（一）成立标准编制工作组</w:t>
      </w:r>
    </w:p>
    <w:p w:rsidR="008B1168" w:rsidRPr="00A92248" w:rsidRDefault="00FE6FF4">
      <w:pPr>
        <w:spacing w:line="520" w:lineRule="exact"/>
        <w:ind w:firstLineChars="200" w:firstLine="640"/>
        <w:jc w:val="left"/>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团体标准《“桂十味”肉桂质量等级》项目任务下达后，广西壮族自治区药品检验研究院、广西中医药大学、南宁市食品药品检验所、梧州市食品药品检验所、玉林市食品药品检验检测中心、广西仙茱中药科技有限公司、桂林三金药业股份有限公司、广西仙茱制药有限公司、广西强寿药业集团有限公司、广西维威制药有限公司、广西河丰药业有限责任公司、广西柳州百草堂中药饮片厂有限责任公司、桂林莱茵生物科技股份有限公司、广西紫云轩中药科技有限公司、桂林吉福思罗汉果生物技术股份有限公司、广西草本源中药饮片有限公司、广西贵港市绿之源种养发展有限公司中药饮片厂、广西宝康源药业有限公司、广西岭南御泰药业有限公司、广西德润堂中药科技有限公司等单位成立了标准编制工作组，制定了起草编写方案与进度安排，明确任务职责，确定工作技术路线，开展标准研制工作。具体标准编制工作由起草单位相关人员配合完成。</w:t>
      </w:r>
    </w:p>
    <w:p w:rsidR="008B1168" w:rsidRPr="00A92248" w:rsidRDefault="00FE6FF4">
      <w:pPr>
        <w:spacing w:line="520" w:lineRule="exact"/>
        <w:ind w:firstLineChars="200" w:firstLine="640"/>
        <w:jc w:val="left"/>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为了明确标准编制的任务职责，确定工作技术路线，开展标准研制工作。编制工作组下设三个组，分别是资料收集组、草案</w:t>
      </w:r>
      <w:r w:rsidRPr="00A92248">
        <w:rPr>
          <w:rFonts w:ascii="仿宋_GB2312" w:eastAsia="仿宋_GB2312" w:hint="eastAsia"/>
          <w:color w:val="000000" w:themeColor="text1"/>
          <w:sz w:val="32"/>
          <w:szCs w:val="32"/>
        </w:rPr>
        <w:lastRenderedPageBreak/>
        <w:t>编写组、标准实施组。</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资料收集组负责国内外有关“桂十味”肉桂相关文献资料的查询、收集和整理工作，查阅前期对“桂十味”肉桂的有关研究情况和目前科学界关于“桂十味”肉桂的研究进展。</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草案编写组负责起草标准草案及后续征求意见稿和标准编制说明、送审稿及编制说明等编写工作，包括后期召开征求意见会、网上征求意见，以及标准的不断修改和完善。</w:t>
      </w:r>
    </w:p>
    <w:p w:rsidR="008B1168" w:rsidRPr="00A92248" w:rsidRDefault="00FE6FF4">
      <w:pPr>
        <w:spacing w:line="520" w:lineRule="exact"/>
        <w:ind w:firstLineChars="200" w:firstLine="640"/>
        <w:jc w:val="left"/>
        <w:rPr>
          <w:rFonts w:ascii="仿宋_GB2312" w:eastAsia="仿宋_GB2312" w:cs="仿宋_GB2312"/>
          <w:color w:val="000000" w:themeColor="text1"/>
          <w:sz w:val="28"/>
          <w:szCs w:val="28"/>
        </w:rPr>
      </w:pPr>
      <w:r w:rsidRPr="00A92248">
        <w:rPr>
          <w:rFonts w:ascii="仿宋_GB2312" w:eastAsia="仿宋_GB2312" w:hint="eastAsia"/>
          <w:color w:val="000000" w:themeColor="text1"/>
          <w:sz w:val="32"/>
          <w:szCs w:val="32"/>
        </w:rPr>
        <w:t>标准实施组负责团体标准《“桂十味”肉桂质量等级》发布后，组织相关单位开展标准宣贯培训会，对标准进行详细解读，让相关人员了解标准，并根据标准对“桂十味”肉桂进行规范化操作，并对标准实施情况进行总结分析，不断对标准提出修正意见。</w:t>
      </w:r>
    </w:p>
    <w:p w:rsidR="008B1168" w:rsidRPr="00A92248" w:rsidRDefault="00FE6FF4">
      <w:pPr>
        <w:spacing w:line="560" w:lineRule="exact"/>
        <w:ind w:firstLineChars="200" w:firstLine="643"/>
        <w:rPr>
          <w:rFonts w:ascii="楷体" w:eastAsia="楷体" w:hAnsi="楷体" w:cs="楷体"/>
          <w:b/>
          <w:color w:val="000000" w:themeColor="text1"/>
          <w:sz w:val="32"/>
          <w:szCs w:val="32"/>
        </w:rPr>
      </w:pPr>
      <w:r w:rsidRPr="00A92248">
        <w:rPr>
          <w:rFonts w:ascii="楷体" w:eastAsia="楷体" w:hAnsi="楷体" w:cs="楷体" w:hint="eastAsia"/>
          <w:b/>
          <w:color w:val="000000" w:themeColor="text1"/>
          <w:sz w:val="32"/>
          <w:szCs w:val="32"/>
        </w:rPr>
        <w:t>（二）收集整理文献资料</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标准编制工作组收集了国内有关“肉桂”产品的相关资料。主要有：</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《GB/T 42780-2023 肉桂产品质量等级》</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《DB45/T 227-2022  地理标志产品 广西肉桂》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《DB4453/T 11-2022  地理标志产品 罗定肉桂》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《T/ZQIE 005—2023  地理标志证明商标 高要肉桂》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《T/CACM 1021.66—2018  中药材商品规格等级 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《T/CACM 1020.120—2019  道地药材 第120部分：肉桂》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《中华人民共和国药典第一部（202</w:t>
      </w:r>
      <w:r w:rsidRPr="00A92248">
        <w:rPr>
          <w:rFonts w:ascii="仿宋_GB2312" w:eastAsia="仿宋_GB2312"/>
          <w:color w:val="000000" w:themeColor="text1"/>
          <w:sz w:val="32"/>
          <w:szCs w:val="32"/>
        </w:rPr>
        <w:t>5</w:t>
      </w:r>
      <w:r w:rsidRPr="00A92248">
        <w:rPr>
          <w:rFonts w:ascii="仿宋_GB2312" w:eastAsia="仿宋_GB2312" w:hint="eastAsia"/>
          <w:color w:val="000000" w:themeColor="text1"/>
          <w:sz w:val="32"/>
          <w:szCs w:val="32"/>
        </w:rPr>
        <w:t>年版）》</w:t>
      </w:r>
    </w:p>
    <w:p w:rsidR="008B1168" w:rsidRPr="00A92248" w:rsidRDefault="00FE6FF4">
      <w:pPr>
        <w:spacing w:line="560" w:lineRule="exact"/>
        <w:ind w:firstLineChars="200" w:firstLine="643"/>
        <w:rPr>
          <w:rFonts w:ascii="楷体" w:eastAsia="楷体" w:hAnsi="楷体" w:cs="楷体"/>
          <w:b/>
          <w:color w:val="000000" w:themeColor="text1"/>
          <w:sz w:val="32"/>
          <w:szCs w:val="32"/>
        </w:rPr>
      </w:pPr>
      <w:r w:rsidRPr="00A92248">
        <w:rPr>
          <w:rFonts w:ascii="楷体" w:eastAsia="楷体" w:hAnsi="楷体" w:cs="楷体" w:hint="eastAsia"/>
          <w:b/>
          <w:color w:val="000000" w:themeColor="text1"/>
          <w:sz w:val="32"/>
          <w:szCs w:val="32"/>
        </w:rPr>
        <w:t>（三）研讨确定标准特色</w:t>
      </w:r>
      <w:r w:rsidRPr="00A92248">
        <w:rPr>
          <w:rFonts w:ascii="楷体" w:eastAsia="楷体" w:hAnsi="楷体" w:cs="楷体"/>
          <w:b/>
          <w:color w:val="000000" w:themeColor="text1"/>
          <w:sz w:val="32"/>
          <w:szCs w:val="32"/>
        </w:rPr>
        <w:t>、</w:t>
      </w:r>
      <w:r w:rsidRPr="00A92248">
        <w:rPr>
          <w:rFonts w:ascii="楷体" w:eastAsia="楷体" w:hAnsi="楷体" w:cs="楷体" w:hint="eastAsia"/>
          <w:b/>
          <w:color w:val="000000" w:themeColor="text1"/>
          <w:sz w:val="32"/>
          <w:szCs w:val="32"/>
        </w:rPr>
        <w:t>创新点和主体内容</w:t>
      </w:r>
    </w:p>
    <w:p w:rsidR="008B1168" w:rsidRPr="00A92248" w:rsidRDefault="00FE6FF4">
      <w:pPr>
        <w:pStyle w:val="afff"/>
        <w:rPr>
          <w:rFonts w:ascii="仿宋_GB2312" w:eastAsia="仿宋_GB2312" w:hAnsi="Calibri"/>
          <w:color w:val="000000" w:themeColor="text1"/>
        </w:rPr>
      </w:pPr>
      <w:r w:rsidRPr="00A92248">
        <w:rPr>
          <w:rFonts w:ascii="仿宋_GB2312" w:eastAsia="仿宋_GB2312" w:hAnsi="Calibri" w:hint="eastAsia"/>
          <w:color w:val="000000" w:themeColor="text1"/>
        </w:rPr>
        <w:t>标准编制工作组在对收集的资料进行整理研究之后，标准编制工作组召开了标准编制会议，对标准的整体框架结构进行了研</w:t>
      </w:r>
      <w:r w:rsidRPr="00A92248">
        <w:rPr>
          <w:rFonts w:ascii="仿宋_GB2312" w:eastAsia="仿宋_GB2312" w:hAnsi="Calibri" w:hint="eastAsia"/>
          <w:color w:val="000000" w:themeColor="text1"/>
        </w:rPr>
        <w:lastRenderedPageBreak/>
        <w:t>究，并对标准的关键性内容进行了初步探讨。经过研究，标准特色、创新点和主体内容如下</w:t>
      </w:r>
      <w:r w:rsidRPr="00A92248">
        <w:rPr>
          <w:rFonts w:ascii="仿宋_GB2312" w:eastAsia="仿宋_GB2312" w:hAnsi="Calibri"/>
          <w:color w:val="000000" w:themeColor="text1"/>
        </w:rPr>
        <w:t>：</w:t>
      </w:r>
    </w:p>
    <w:p w:rsidR="008B1168" w:rsidRPr="00A92248" w:rsidRDefault="00FE6FF4">
      <w:pPr>
        <w:pStyle w:val="afff"/>
        <w:rPr>
          <w:rFonts w:ascii="仿宋_GB2312" w:eastAsia="仿宋_GB2312" w:hAnsi="Calibri"/>
          <w:color w:val="000000" w:themeColor="text1"/>
        </w:rPr>
      </w:pPr>
      <w:r w:rsidRPr="00A92248">
        <w:rPr>
          <w:rFonts w:ascii="仿宋_GB2312" w:eastAsia="仿宋_GB2312" w:hAnsi="Calibri"/>
          <w:color w:val="000000" w:themeColor="text1"/>
        </w:rPr>
        <w:t>1.</w:t>
      </w:r>
      <w:r w:rsidRPr="00A92248">
        <w:rPr>
          <w:rFonts w:ascii="仿宋_GB2312" w:eastAsia="仿宋_GB2312" w:hAnsi="Calibri" w:hint="eastAsia"/>
          <w:color w:val="000000" w:themeColor="text1"/>
        </w:rPr>
        <w:t>特色、创新点</w:t>
      </w:r>
    </w:p>
    <w:p w:rsidR="008B1168" w:rsidRPr="00A92248" w:rsidRDefault="00FE6FF4">
      <w:pPr>
        <w:pStyle w:val="afff"/>
        <w:rPr>
          <w:rFonts w:ascii="仿宋_GB2312" w:eastAsia="仿宋_GB2312" w:hAnsi="Calibri"/>
          <w:color w:val="000000" w:themeColor="text1"/>
          <w:highlight w:val="yellow"/>
        </w:rPr>
      </w:pPr>
      <w:r w:rsidRPr="00A92248">
        <w:rPr>
          <w:rFonts w:ascii="仿宋_GB2312" w:eastAsia="仿宋_GB2312" w:hAnsi="Calibri" w:hint="eastAsia"/>
          <w:color w:val="000000" w:themeColor="text1"/>
        </w:rPr>
        <w:t>利用生物学</w:t>
      </w:r>
      <w:r w:rsidRPr="00A92248">
        <w:rPr>
          <w:rFonts w:ascii="仿宋_GB2312" w:eastAsia="仿宋_GB2312" w:hAnsi="Calibri"/>
          <w:color w:val="000000" w:themeColor="text1"/>
        </w:rPr>
        <w:t>及</w:t>
      </w:r>
      <w:r w:rsidRPr="00A92248">
        <w:rPr>
          <w:rFonts w:ascii="仿宋_GB2312" w:eastAsia="仿宋_GB2312" w:hAnsi="Calibri" w:hint="eastAsia"/>
          <w:color w:val="000000" w:themeColor="text1"/>
        </w:rPr>
        <w:t>化学检测分析，对比广西不同产区（如防城、平南等核心道地产区）与非道地产区肉桂的基因序列、活性成分（肉桂醛、肉桂酸等）及特征代谢物差异，筛选出能精准表征 “桂十味” 肉桂道地性的专属质量标志物，作为等级划分的核心定性指标。通过挖掘壮瑶药中对肉桂药用价值，结合现代药理实验验证传统功效对应的物质基础，将“传统经验指标”转化为可量化的检测指标，实现传统智慧与现代标准的结合。</w:t>
      </w:r>
    </w:p>
    <w:p w:rsidR="008B1168" w:rsidRPr="00A92248" w:rsidRDefault="00FE6FF4">
      <w:pPr>
        <w:pStyle w:val="afff"/>
        <w:rPr>
          <w:rFonts w:ascii="仿宋_GB2312" w:eastAsia="仿宋_GB2312" w:hAnsi="Calibri"/>
          <w:color w:val="000000" w:themeColor="text1"/>
        </w:rPr>
      </w:pPr>
      <w:r w:rsidRPr="00A92248">
        <w:rPr>
          <w:rFonts w:ascii="仿宋_GB2312" w:eastAsia="仿宋_GB2312" w:hAnsi="Calibri"/>
          <w:color w:val="000000" w:themeColor="text1"/>
        </w:rPr>
        <w:t>2.</w:t>
      </w:r>
      <w:r w:rsidRPr="00A92248">
        <w:rPr>
          <w:rFonts w:ascii="仿宋_GB2312" w:eastAsia="仿宋_GB2312" w:hAnsi="Calibri" w:hint="eastAsia"/>
          <w:color w:val="000000" w:themeColor="text1"/>
        </w:rPr>
        <w:t>主体内容</w:t>
      </w:r>
    </w:p>
    <w:p w:rsidR="008B1168" w:rsidRPr="00A92248" w:rsidRDefault="00FE6FF4">
      <w:pPr>
        <w:pStyle w:val="afff"/>
        <w:rPr>
          <w:rFonts w:ascii="仿宋_GB2312" w:eastAsia="仿宋_GB2312"/>
          <w:color w:val="000000" w:themeColor="text1"/>
        </w:rPr>
      </w:pPr>
      <w:r w:rsidRPr="00A92248">
        <w:rPr>
          <w:rFonts w:ascii="仿宋_GB2312" w:eastAsia="仿宋_GB2312" w:hAnsi="Calibri" w:hint="eastAsia"/>
          <w:color w:val="000000" w:themeColor="text1"/>
        </w:rPr>
        <w:t>主体内容包括</w:t>
      </w:r>
      <w:r w:rsidRPr="00A92248">
        <w:rPr>
          <w:rFonts w:ascii="仿宋_GB2312" w:eastAsia="仿宋_GB2312" w:hint="eastAsia"/>
          <w:color w:val="000000" w:themeColor="text1"/>
        </w:rPr>
        <w:t>“桂十味”肉桂的质量要求以及标志、标签、包装、贮存、运输和保质期等内容，相应的检验方法和检验规则。</w:t>
      </w:r>
    </w:p>
    <w:p w:rsidR="008B1168" w:rsidRPr="00A92248" w:rsidRDefault="00FE6FF4">
      <w:pPr>
        <w:spacing w:line="560" w:lineRule="exact"/>
        <w:ind w:firstLineChars="200" w:firstLine="643"/>
        <w:rPr>
          <w:rFonts w:ascii="楷体" w:eastAsia="楷体" w:hAnsi="楷体" w:cs="楷体"/>
          <w:b/>
          <w:color w:val="000000" w:themeColor="text1"/>
          <w:sz w:val="32"/>
          <w:szCs w:val="32"/>
        </w:rPr>
      </w:pPr>
      <w:r w:rsidRPr="00A92248">
        <w:rPr>
          <w:rFonts w:ascii="楷体" w:eastAsia="楷体" w:hAnsi="楷体" w:cs="楷体" w:hint="eastAsia"/>
          <w:b/>
          <w:color w:val="000000" w:themeColor="text1"/>
          <w:sz w:val="32"/>
          <w:szCs w:val="32"/>
        </w:rPr>
        <w:t>（四）调研及形成草案、征求意见稿</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202</w:t>
      </w:r>
      <w:r w:rsidRPr="00A92248">
        <w:rPr>
          <w:rFonts w:ascii="仿宋_GB2312" w:eastAsia="仿宋_GB2312"/>
          <w:color w:val="000000" w:themeColor="text1"/>
          <w:sz w:val="32"/>
          <w:szCs w:val="32"/>
        </w:rPr>
        <w:t>5</w:t>
      </w:r>
      <w:r w:rsidRPr="00A92248">
        <w:rPr>
          <w:rFonts w:ascii="仿宋_GB2312" w:eastAsia="仿宋_GB2312" w:hint="eastAsia"/>
          <w:color w:val="000000" w:themeColor="text1"/>
          <w:sz w:val="32"/>
          <w:szCs w:val="32"/>
        </w:rPr>
        <w:t>年</w:t>
      </w:r>
      <w:r w:rsidRPr="00A92248">
        <w:rPr>
          <w:rFonts w:ascii="仿宋_GB2312" w:eastAsia="仿宋_GB2312"/>
          <w:color w:val="000000" w:themeColor="text1"/>
          <w:sz w:val="32"/>
          <w:szCs w:val="32"/>
        </w:rPr>
        <w:t>11</w:t>
      </w:r>
      <w:r w:rsidRPr="00A92248">
        <w:rPr>
          <w:rFonts w:ascii="仿宋_GB2312" w:eastAsia="仿宋_GB2312" w:hint="eastAsia"/>
          <w:color w:val="000000" w:themeColor="text1"/>
          <w:sz w:val="32"/>
          <w:szCs w:val="32"/>
        </w:rPr>
        <w:t>月～</w:t>
      </w:r>
      <w:r w:rsidRPr="00A92248">
        <w:rPr>
          <w:rFonts w:ascii="仿宋_GB2312" w:eastAsia="仿宋_GB2312"/>
          <w:color w:val="000000" w:themeColor="text1"/>
          <w:sz w:val="32"/>
          <w:szCs w:val="32"/>
        </w:rPr>
        <w:t>12</w:t>
      </w:r>
      <w:r w:rsidRPr="00A92248">
        <w:rPr>
          <w:rFonts w:ascii="仿宋_GB2312" w:eastAsia="仿宋_GB2312" w:hint="eastAsia"/>
          <w:color w:val="000000" w:themeColor="text1"/>
          <w:sz w:val="32"/>
          <w:szCs w:val="32"/>
        </w:rPr>
        <w:t>月，标准编制工作组查阅了大量的国内文献资料，经编制组反复讨论，对“桂十味”肉桂的实践情况进行系统总结，形成了标准的基本构架，对主要内容进行了讨论并对项目的工作进行了部署和安排。</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年</w:t>
      </w:r>
      <w:r w:rsidRPr="00A92248">
        <w:rPr>
          <w:rFonts w:ascii="仿宋_GB2312" w:eastAsia="仿宋_GB2312"/>
          <w:color w:val="000000" w:themeColor="text1"/>
          <w:sz w:val="32"/>
          <w:szCs w:val="32"/>
        </w:rPr>
        <w:t>1</w:t>
      </w:r>
      <w:r w:rsidRPr="00A92248">
        <w:rPr>
          <w:rFonts w:ascii="仿宋_GB2312" w:eastAsia="仿宋_GB2312" w:hint="eastAsia"/>
          <w:color w:val="000000" w:themeColor="text1"/>
          <w:sz w:val="32"/>
          <w:szCs w:val="32"/>
        </w:rPr>
        <w:t>月～</w:t>
      </w:r>
      <w:r w:rsidRPr="00A92248">
        <w:rPr>
          <w:rFonts w:ascii="仿宋_GB2312" w:eastAsia="仿宋_GB2312"/>
          <w:color w:val="000000" w:themeColor="text1"/>
          <w:sz w:val="32"/>
          <w:szCs w:val="32"/>
        </w:rPr>
        <w:t>2</w:t>
      </w:r>
      <w:r w:rsidRPr="00A92248">
        <w:rPr>
          <w:rFonts w:ascii="仿宋_GB2312" w:eastAsia="仿宋_GB2312" w:hint="eastAsia"/>
          <w:color w:val="000000" w:themeColor="text1"/>
          <w:sz w:val="32"/>
          <w:szCs w:val="32"/>
        </w:rPr>
        <w:t>月，在前期工作的基础之上，通过理清逻辑脉络，整合已有参考资料中有关“桂十味”肉桂的要求，并在目前“桂十味”肉桂实际操作的基础上，按照简化、统一等原则编制完成团体标准《“桂十味”肉桂质量等级》（草案）。</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年</w:t>
      </w:r>
      <w:r w:rsidRPr="00A92248">
        <w:rPr>
          <w:rFonts w:ascii="仿宋_GB2312" w:eastAsia="仿宋_GB2312"/>
          <w:color w:val="000000" w:themeColor="text1"/>
          <w:sz w:val="32"/>
          <w:szCs w:val="32"/>
        </w:rPr>
        <w:t>3</w:t>
      </w:r>
      <w:r w:rsidRPr="00A92248">
        <w:rPr>
          <w:rFonts w:ascii="仿宋_GB2312" w:eastAsia="仿宋_GB2312" w:hint="eastAsia"/>
          <w:color w:val="000000" w:themeColor="text1"/>
          <w:sz w:val="32"/>
          <w:szCs w:val="32"/>
        </w:rPr>
        <w:t>月，标准编制工作组征求</w:t>
      </w:r>
      <w:r w:rsidRPr="00A92248">
        <w:rPr>
          <w:rFonts w:ascii="仿宋_GB2312" w:eastAsia="仿宋_GB2312"/>
          <w:color w:val="000000" w:themeColor="text1"/>
          <w:sz w:val="32"/>
          <w:szCs w:val="32"/>
        </w:rPr>
        <w:t>到了</w:t>
      </w:r>
      <w:r w:rsidRPr="00A92248">
        <w:rPr>
          <w:rFonts w:ascii="仿宋_GB2312" w:eastAsia="仿宋_GB2312" w:hint="eastAsia"/>
          <w:color w:val="000000" w:themeColor="text1"/>
          <w:sz w:val="32"/>
          <w:szCs w:val="32"/>
        </w:rPr>
        <w:t>广西壮族自治区药品检验研究院、广西中医药大学、南宁市食品药品检验所、梧州市食品药品检验所、玉林市食品药品检验检测中心、广西仙茱中药科技有限公司、桂林三金药业股份有限公司、广西仙茱制药有限</w:t>
      </w:r>
      <w:r w:rsidRPr="00A92248">
        <w:rPr>
          <w:rFonts w:ascii="仿宋_GB2312" w:eastAsia="仿宋_GB2312" w:hint="eastAsia"/>
          <w:color w:val="000000" w:themeColor="text1"/>
          <w:sz w:val="32"/>
          <w:szCs w:val="32"/>
        </w:rPr>
        <w:lastRenderedPageBreak/>
        <w:t>公司、广西强寿药业集团有限公司、广西维威制药有限公司、广西河丰药业有限责任公司、广西柳州百草堂中药饮片厂有限责任公司、桂林莱茵生物科技股份有限公司、广西紫云轩中药科技有限公司、桂林吉福思罗汉果生物技术股份有限公司、广西草本源中药饮片有限公司、广西贵港市绿之源种养发展有限公司中药饮片厂、广西宝康源药业有限公司、广西岭南御泰药业有限公司、广西德润堂中药科技有限公司等单位的内部意见，通过收集反馈的意见，标准编制工作组多次召开会议，对标准草案进行了反复修改和研究讨论，明确“桂十味”肉桂的要点，掌握了“桂十味”肉桂的基本情况以及要求，最终形成了</w:t>
      </w:r>
      <w:bookmarkStart w:id="1" w:name="_Hlk120181503"/>
      <w:r w:rsidRPr="00A92248">
        <w:rPr>
          <w:rFonts w:ascii="仿宋_GB2312" w:eastAsia="仿宋_GB2312" w:hint="eastAsia"/>
          <w:color w:val="000000" w:themeColor="text1"/>
          <w:sz w:val="32"/>
          <w:szCs w:val="32"/>
        </w:rPr>
        <w:t>团体标准《“桂十味”肉桂质量等级》（征求意见稿）及其编制说明。</w:t>
      </w:r>
      <w:bookmarkEnd w:id="1"/>
    </w:p>
    <w:p w:rsidR="008B1168" w:rsidRPr="00A92248" w:rsidRDefault="00FE6FF4">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四、制定标准的原则和依据，与现行法律、法规的关系，与有关国家标准、行业标准的协调情况</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（一）编制原则</w:t>
      </w:r>
    </w:p>
    <w:p w:rsidR="008B1168" w:rsidRPr="00A92248" w:rsidRDefault="00FE6FF4">
      <w:pPr>
        <w:spacing w:line="560" w:lineRule="exact"/>
        <w:ind w:firstLineChars="200" w:firstLine="643"/>
        <w:rPr>
          <w:rFonts w:ascii="仿宋_GB2312" w:eastAsia="仿宋_GB2312" w:hAnsi="楷体" w:cs="Times New Roman"/>
          <w:b/>
          <w:color w:val="000000" w:themeColor="text1"/>
          <w:sz w:val="32"/>
          <w:szCs w:val="32"/>
        </w:rPr>
      </w:pPr>
      <w:r w:rsidRPr="00A92248">
        <w:rPr>
          <w:rFonts w:ascii="仿宋_GB2312" w:eastAsia="仿宋_GB2312" w:hAnsi="楷体" w:cs="Times New Roman" w:hint="eastAsia"/>
          <w:b/>
          <w:color w:val="000000" w:themeColor="text1"/>
          <w:sz w:val="32"/>
          <w:szCs w:val="32"/>
        </w:rPr>
        <w:t>1、实用性原则</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是在充分收集国内外相关资料和文献、调研分析“桂十味”肉桂现状，结合起草单位前期研究工作取得的研究成果及积累的实践经验，并借鉴国内“桂十味”肉桂进行总结起草的，符合工作实际，有利于“桂十味”肉桂的实施与推广，具有可操作性和实用性。</w:t>
      </w:r>
    </w:p>
    <w:p w:rsidR="008B1168" w:rsidRPr="00A92248" w:rsidRDefault="00FE6FF4">
      <w:pPr>
        <w:spacing w:line="560" w:lineRule="exact"/>
        <w:ind w:firstLineChars="200" w:firstLine="643"/>
        <w:rPr>
          <w:rFonts w:ascii="仿宋_GB2312" w:eastAsia="仿宋_GB2312" w:hAnsi="楷体" w:cs="Times New Roman"/>
          <w:b/>
          <w:color w:val="000000" w:themeColor="text1"/>
          <w:sz w:val="32"/>
          <w:szCs w:val="32"/>
        </w:rPr>
      </w:pPr>
      <w:r w:rsidRPr="00A92248">
        <w:rPr>
          <w:rFonts w:ascii="仿宋_GB2312" w:eastAsia="仿宋_GB2312" w:hAnsi="楷体" w:cs="Times New Roman" w:hint="eastAsia"/>
          <w:b/>
          <w:color w:val="000000" w:themeColor="text1"/>
          <w:sz w:val="32"/>
          <w:szCs w:val="32"/>
        </w:rPr>
        <w:t>2、协调性原则</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本文件编写过程中注意了与“桂十味”肉桂相关法律法规的协调问题，在内容上与现行法律法规、标准协调一致。</w:t>
      </w:r>
    </w:p>
    <w:p w:rsidR="008B1168" w:rsidRPr="00A92248" w:rsidRDefault="00FE6FF4">
      <w:pPr>
        <w:spacing w:line="560" w:lineRule="exact"/>
        <w:ind w:firstLineChars="200" w:firstLine="643"/>
        <w:rPr>
          <w:rFonts w:ascii="仿宋_GB2312" w:eastAsia="仿宋_GB2312" w:hAnsi="楷体" w:cs="Times New Roman"/>
          <w:b/>
          <w:color w:val="000000" w:themeColor="text1"/>
          <w:sz w:val="32"/>
          <w:szCs w:val="32"/>
        </w:rPr>
      </w:pPr>
      <w:r w:rsidRPr="00A92248">
        <w:rPr>
          <w:rFonts w:ascii="仿宋_GB2312" w:eastAsia="仿宋_GB2312" w:hAnsi="楷体" w:cs="Times New Roman" w:hint="eastAsia"/>
          <w:b/>
          <w:color w:val="000000" w:themeColor="text1"/>
          <w:sz w:val="32"/>
          <w:szCs w:val="32"/>
        </w:rPr>
        <w:t>3、规范性原则</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本文件严格按照GB/T 1.1—2020《标准化工作规范  第1部</w:t>
      </w:r>
      <w:r w:rsidRPr="00A92248">
        <w:rPr>
          <w:rFonts w:ascii="仿宋_GB2312" w:eastAsia="仿宋_GB2312" w:hint="eastAsia"/>
          <w:color w:val="000000" w:themeColor="text1"/>
          <w:sz w:val="32"/>
          <w:szCs w:val="32"/>
        </w:rPr>
        <w:lastRenderedPageBreak/>
        <w:t>分：标准化文件的结构和起草规则》编写本标准的内容，保证标准的编写质量。</w:t>
      </w:r>
    </w:p>
    <w:p w:rsidR="008B1168" w:rsidRPr="00A92248" w:rsidRDefault="00FE6FF4">
      <w:pPr>
        <w:spacing w:line="560" w:lineRule="exact"/>
        <w:ind w:firstLineChars="200" w:firstLine="643"/>
        <w:rPr>
          <w:rFonts w:ascii="仿宋_GB2312" w:eastAsia="仿宋_GB2312" w:hAnsi="楷体" w:cs="Times New Roman"/>
          <w:b/>
          <w:color w:val="000000" w:themeColor="text1"/>
          <w:sz w:val="32"/>
          <w:szCs w:val="32"/>
        </w:rPr>
      </w:pPr>
      <w:r w:rsidRPr="00A92248">
        <w:rPr>
          <w:rFonts w:ascii="仿宋_GB2312" w:eastAsia="仿宋_GB2312" w:hAnsi="楷体" w:cs="Times New Roman" w:hint="eastAsia"/>
          <w:b/>
          <w:color w:val="000000" w:themeColor="text1"/>
          <w:sz w:val="32"/>
          <w:szCs w:val="32"/>
        </w:rPr>
        <w:t>4、前瞻性原则</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本文件在兼顾当前“桂十味”肉桂现实情况的同时，还考虑到了“桂十味”肉桂的需要，在标准中体现了个别特色性、前瞻性和先进性条款，作为对“桂十味”肉桂的指导。</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（二）编制依据</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本标准严格按照GB/T 1.1—2020《标准化工作规范  第1部分：标准化文件的结构和起草规则》的规则起草，标准主要内容依据起草单位在“桂十味”肉桂过程中的实践经验确定。</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（三）与现行法律、法规的关系，与有关国家标准、行业标准的协调情况</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本标准与相关法律法规、强制性标准协调一致，无冲突。</w:t>
      </w:r>
    </w:p>
    <w:p w:rsidR="008B1168" w:rsidRPr="00A92248" w:rsidRDefault="00FE6FF4">
      <w:pPr>
        <w:spacing w:line="520" w:lineRule="exact"/>
        <w:ind w:firstLineChars="200" w:firstLine="640"/>
        <w:rPr>
          <w:rFonts w:ascii="Times New Roman" w:eastAsia="仿宋_GB2312" w:hAnsi="Times New Roman" w:cs="Times New Roman"/>
          <w:color w:val="000000" w:themeColor="text1"/>
          <w:sz w:val="32"/>
          <w:szCs w:val="32"/>
        </w:rPr>
      </w:pPr>
      <w:r w:rsidRPr="00A92248">
        <w:rPr>
          <w:rFonts w:ascii="仿宋_GB2312" w:eastAsia="仿宋_GB2312" w:hint="eastAsia"/>
          <w:color w:val="000000" w:themeColor="text1"/>
          <w:sz w:val="32"/>
          <w:szCs w:val="32"/>
        </w:rPr>
        <w:t>经查阅，截至目前，国内</w:t>
      </w:r>
      <w:r w:rsidRPr="00A92248">
        <w:rPr>
          <w:rFonts w:ascii="Times New Roman" w:eastAsia="仿宋_GB2312" w:hAnsi="Times New Roman" w:cs="Times New Roman" w:hint="eastAsia"/>
          <w:color w:val="000000" w:themeColor="text1"/>
          <w:sz w:val="32"/>
          <w:szCs w:val="32"/>
        </w:rPr>
        <w:t>与“肉桂”产品相关的标准有：《</w:t>
      </w:r>
      <w:r w:rsidRPr="00A92248">
        <w:rPr>
          <w:rFonts w:ascii="Times New Roman" w:eastAsia="仿宋_GB2312" w:hAnsi="Times New Roman" w:cs="Times New Roman" w:hint="eastAsia"/>
          <w:color w:val="000000" w:themeColor="text1"/>
          <w:sz w:val="32"/>
          <w:szCs w:val="32"/>
        </w:rPr>
        <w:t xml:space="preserve">GB/T 42780-2023 </w:t>
      </w:r>
      <w:r w:rsidRPr="00A92248">
        <w:rPr>
          <w:rFonts w:ascii="Times New Roman" w:eastAsia="仿宋_GB2312" w:hAnsi="Times New Roman" w:cs="Times New Roman" w:hint="eastAsia"/>
          <w:color w:val="000000" w:themeColor="text1"/>
          <w:sz w:val="32"/>
          <w:szCs w:val="32"/>
        </w:rPr>
        <w:t>肉桂产品质量等级》《</w:t>
      </w:r>
      <w:r w:rsidRPr="00A92248">
        <w:rPr>
          <w:rFonts w:ascii="Times New Roman" w:eastAsia="仿宋_GB2312" w:hAnsi="Times New Roman" w:cs="Times New Roman" w:hint="eastAsia"/>
          <w:color w:val="000000" w:themeColor="text1"/>
          <w:sz w:val="32"/>
          <w:szCs w:val="32"/>
        </w:rPr>
        <w:t>DB45/T 227-2022</w:t>
      </w:r>
      <w:r w:rsidRPr="00A92248">
        <w:rPr>
          <w:rFonts w:ascii="Times New Roman" w:eastAsia="仿宋_GB2312" w:hAnsi="Times New Roman" w:cs="Times New Roman"/>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地理标志产品</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广西肉桂》《</w:t>
      </w:r>
      <w:r w:rsidRPr="00A92248">
        <w:rPr>
          <w:rFonts w:ascii="Times New Roman" w:eastAsia="仿宋_GB2312" w:hAnsi="Times New Roman" w:cs="Times New Roman" w:hint="eastAsia"/>
          <w:color w:val="000000" w:themeColor="text1"/>
          <w:sz w:val="32"/>
          <w:szCs w:val="32"/>
        </w:rPr>
        <w:t xml:space="preserve">DB4453/T 11-2022  </w:t>
      </w:r>
      <w:r w:rsidRPr="00A92248">
        <w:rPr>
          <w:rFonts w:ascii="Times New Roman" w:eastAsia="仿宋_GB2312" w:hAnsi="Times New Roman" w:cs="Times New Roman" w:hint="eastAsia"/>
          <w:color w:val="000000" w:themeColor="text1"/>
          <w:sz w:val="32"/>
          <w:szCs w:val="32"/>
        </w:rPr>
        <w:t>地理标志产品</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罗定肉桂》《</w:t>
      </w:r>
      <w:r w:rsidRPr="00A92248">
        <w:rPr>
          <w:rFonts w:ascii="Times New Roman" w:eastAsia="仿宋_GB2312" w:hAnsi="Times New Roman" w:cs="Times New Roman" w:hint="eastAsia"/>
          <w:color w:val="000000" w:themeColor="text1"/>
          <w:sz w:val="32"/>
          <w:szCs w:val="32"/>
        </w:rPr>
        <w:t>T/ZQIE 005</w:t>
      </w: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2023</w:t>
      </w:r>
      <w:r w:rsidRPr="00A92248">
        <w:rPr>
          <w:rFonts w:ascii="Times New Roman" w:eastAsia="仿宋_GB2312" w:hAnsi="Times New Roman" w:cs="Times New Roman"/>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地理标志证明商标</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高要肉桂》《</w:t>
      </w:r>
      <w:r w:rsidRPr="00A92248">
        <w:rPr>
          <w:rFonts w:ascii="Times New Roman" w:eastAsia="仿宋_GB2312" w:hAnsi="Times New Roman" w:cs="Times New Roman" w:hint="eastAsia"/>
          <w:color w:val="000000" w:themeColor="text1"/>
          <w:sz w:val="32"/>
          <w:szCs w:val="32"/>
        </w:rPr>
        <w:t>T/CACM 1021.66</w:t>
      </w: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2018</w:t>
      </w:r>
      <w:r w:rsidRPr="00A92248">
        <w:rPr>
          <w:rFonts w:ascii="Times New Roman" w:eastAsia="仿宋_GB2312" w:hAnsi="Times New Roman" w:cs="Times New Roman"/>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中药材商品规格等级</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肉桂》《</w:t>
      </w:r>
      <w:r w:rsidRPr="00A92248">
        <w:rPr>
          <w:rFonts w:ascii="Times New Roman" w:eastAsia="仿宋_GB2312" w:hAnsi="Times New Roman" w:cs="Times New Roman" w:hint="eastAsia"/>
          <w:color w:val="000000" w:themeColor="text1"/>
          <w:sz w:val="32"/>
          <w:szCs w:val="32"/>
        </w:rPr>
        <w:t>T/CACM 1020.120</w:t>
      </w: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2019</w:t>
      </w:r>
      <w:r w:rsidRPr="00A92248">
        <w:rPr>
          <w:rFonts w:ascii="Times New Roman" w:eastAsia="仿宋_GB2312" w:hAnsi="Times New Roman" w:cs="Times New Roman"/>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道地药材</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第</w:t>
      </w:r>
      <w:r w:rsidRPr="00A92248">
        <w:rPr>
          <w:rFonts w:ascii="Times New Roman" w:eastAsia="仿宋_GB2312" w:hAnsi="Times New Roman" w:cs="Times New Roman" w:hint="eastAsia"/>
          <w:color w:val="000000" w:themeColor="text1"/>
          <w:sz w:val="32"/>
          <w:szCs w:val="32"/>
        </w:rPr>
        <w:t>120</w:t>
      </w:r>
      <w:r w:rsidRPr="00A92248">
        <w:rPr>
          <w:rFonts w:ascii="Times New Roman" w:eastAsia="仿宋_GB2312" w:hAnsi="Times New Roman" w:cs="Times New Roman" w:hint="eastAsia"/>
          <w:color w:val="000000" w:themeColor="text1"/>
          <w:sz w:val="32"/>
          <w:szCs w:val="32"/>
        </w:rPr>
        <w:t>部分：肉桂》。其中：</w:t>
      </w:r>
    </w:p>
    <w:p w:rsidR="008B1168" w:rsidRPr="00A92248" w:rsidRDefault="00FE6FF4">
      <w:pPr>
        <w:spacing w:line="520" w:lineRule="exact"/>
        <w:ind w:firstLineChars="200" w:firstLine="640"/>
        <w:rPr>
          <w:rFonts w:ascii="Times New Roman" w:eastAsia="仿宋_GB2312" w:hAnsi="Times New Roman" w:cs="Times New Roman"/>
          <w:color w:val="000000" w:themeColor="text1"/>
          <w:sz w:val="32"/>
          <w:szCs w:val="32"/>
        </w:rPr>
      </w:pP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 xml:space="preserve">GB/T 42780-2023 </w:t>
      </w:r>
      <w:r w:rsidRPr="00A92248">
        <w:rPr>
          <w:rFonts w:ascii="Times New Roman" w:eastAsia="仿宋_GB2312" w:hAnsi="Times New Roman" w:cs="Times New Roman" w:hint="eastAsia"/>
          <w:color w:val="000000" w:themeColor="text1"/>
          <w:sz w:val="32"/>
          <w:szCs w:val="32"/>
        </w:rPr>
        <w:t>肉桂产品质量等级》界定了肉桂产品的相关术语和定义，规定了肉桂产品的要求、检验规则、包装、标签、标志、运输和贮存，并描述了检验方法。适用于我国生产的板桂、桂通、烟仔桂、桂碎、桂枝的质量等级评定。</w:t>
      </w:r>
    </w:p>
    <w:p w:rsidR="008B1168" w:rsidRPr="00A92248" w:rsidRDefault="00FE6FF4">
      <w:pPr>
        <w:spacing w:line="520" w:lineRule="exact"/>
        <w:ind w:firstLineChars="200" w:firstLine="640"/>
        <w:rPr>
          <w:rFonts w:ascii="Times New Roman" w:eastAsia="仿宋_GB2312" w:hAnsi="Times New Roman" w:cs="Times New Roman"/>
          <w:color w:val="000000" w:themeColor="text1"/>
          <w:sz w:val="32"/>
          <w:szCs w:val="32"/>
        </w:rPr>
      </w:pP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 xml:space="preserve">DB45/T 227-2022  </w:t>
      </w:r>
      <w:r w:rsidRPr="00A92248">
        <w:rPr>
          <w:rFonts w:ascii="Times New Roman" w:eastAsia="仿宋_GB2312" w:hAnsi="Times New Roman" w:cs="Times New Roman" w:hint="eastAsia"/>
          <w:color w:val="000000" w:themeColor="text1"/>
          <w:sz w:val="32"/>
          <w:szCs w:val="32"/>
        </w:rPr>
        <w:t>地理标志产品</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广西肉桂》规定了地理标志产品广西肉桂的术语和定义、地理标志保护范围、种植要求、产品加工工艺流程、质量要求、安全卫生要求、测定方法、检验</w:t>
      </w:r>
      <w:r w:rsidRPr="00A92248">
        <w:rPr>
          <w:rFonts w:ascii="Times New Roman" w:eastAsia="仿宋_GB2312" w:hAnsi="Times New Roman" w:cs="Times New Roman" w:hint="eastAsia"/>
          <w:color w:val="000000" w:themeColor="text1"/>
          <w:sz w:val="32"/>
          <w:szCs w:val="32"/>
        </w:rPr>
        <w:lastRenderedPageBreak/>
        <w:t>规则及标志、标签，包装、贮存和运输。适用于原国家质量监督检验检疫总局</w:t>
      </w:r>
      <w:r w:rsidRPr="00A92248">
        <w:rPr>
          <w:rFonts w:ascii="Times New Roman" w:eastAsia="仿宋_GB2312" w:hAnsi="Times New Roman" w:cs="Times New Roman" w:hint="eastAsia"/>
          <w:color w:val="000000" w:themeColor="text1"/>
          <w:sz w:val="32"/>
          <w:szCs w:val="32"/>
        </w:rPr>
        <w:t>2008</w:t>
      </w:r>
      <w:r w:rsidRPr="00A92248">
        <w:rPr>
          <w:rFonts w:ascii="Times New Roman" w:eastAsia="仿宋_GB2312" w:hAnsi="Times New Roman" w:cs="Times New Roman" w:hint="eastAsia"/>
          <w:color w:val="000000" w:themeColor="text1"/>
          <w:sz w:val="32"/>
          <w:szCs w:val="32"/>
        </w:rPr>
        <w:t>年第</w:t>
      </w:r>
      <w:r w:rsidRPr="00A92248">
        <w:rPr>
          <w:rFonts w:ascii="Times New Roman" w:eastAsia="仿宋_GB2312" w:hAnsi="Times New Roman" w:cs="Times New Roman" w:hint="eastAsia"/>
          <w:color w:val="000000" w:themeColor="text1"/>
          <w:sz w:val="32"/>
          <w:szCs w:val="32"/>
        </w:rPr>
        <w:t>104</w:t>
      </w:r>
      <w:r w:rsidRPr="00A92248">
        <w:rPr>
          <w:rFonts w:ascii="Times New Roman" w:eastAsia="仿宋_GB2312" w:hAnsi="Times New Roman" w:cs="Times New Roman" w:hint="eastAsia"/>
          <w:color w:val="000000" w:themeColor="text1"/>
          <w:sz w:val="32"/>
          <w:szCs w:val="32"/>
        </w:rPr>
        <w:t>号公告根据《地理标志产品保护规定》批准保护的广西肉桂。</w:t>
      </w:r>
    </w:p>
    <w:p w:rsidR="008B1168" w:rsidRPr="00A92248" w:rsidRDefault="00FE6FF4">
      <w:pPr>
        <w:spacing w:line="520" w:lineRule="exact"/>
        <w:ind w:firstLineChars="200" w:firstLine="640"/>
        <w:rPr>
          <w:rFonts w:ascii="Times New Roman" w:eastAsia="仿宋_GB2312" w:hAnsi="Times New Roman" w:cs="Times New Roman"/>
          <w:color w:val="000000" w:themeColor="text1"/>
          <w:sz w:val="32"/>
          <w:szCs w:val="32"/>
        </w:rPr>
      </w:pP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 xml:space="preserve">DB4453/T 11-2022  </w:t>
      </w:r>
      <w:r w:rsidRPr="00A92248">
        <w:rPr>
          <w:rFonts w:ascii="Times New Roman" w:eastAsia="仿宋_GB2312" w:hAnsi="Times New Roman" w:cs="Times New Roman" w:hint="eastAsia"/>
          <w:color w:val="000000" w:themeColor="text1"/>
          <w:sz w:val="32"/>
          <w:szCs w:val="32"/>
        </w:rPr>
        <w:t>地理标志产品</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罗定肉桂》规定了地理标志产品罗定肉桂的保护范围、种植技术、工艺要求、质量要求、检验方法、检验规则、标签、标志、包装、运输和贮存等要求。适用于原国家质量监督检验检疫总局</w:t>
      </w:r>
      <w:r w:rsidRPr="00A92248">
        <w:rPr>
          <w:rFonts w:ascii="Times New Roman" w:eastAsia="仿宋_GB2312" w:hAnsi="Times New Roman" w:cs="Times New Roman" w:hint="eastAsia"/>
          <w:color w:val="000000" w:themeColor="text1"/>
          <w:sz w:val="32"/>
          <w:szCs w:val="32"/>
        </w:rPr>
        <w:t>2008</w:t>
      </w:r>
      <w:r w:rsidRPr="00A92248">
        <w:rPr>
          <w:rFonts w:ascii="Times New Roman" w:eastAsia="仿宋_GB2312" w:hAnsi="Times New Roman" w:cs="Times New Roman" w:hint="eastAsia"/>
          <w:color w:val="000000" w:themeColor="text1"/>
          <w:sz w:val="32"/>
          <w:szCs w:val="32"/>
        </w:rPr>
        <w:t>年第</w:t>
      </w:r>
      <w:r w:rsidRPr="00A92248">
        <w:rPr>
          <w:rFonts w:ascii="Times New Roman" w:eastAsia="仿宋_GB2312" w:hAnsi="Times New Roman" w:cs="Times New Roman" w:hint="eastAsia"/>
          <w:color w:val="000000" w:themeColor="text1"/>
          <w:sz w:val="32"/>
          <w:szCs w:val="32"/>
        </w:rPr>
        <w:t>58</w:t>
      </w:r>
      <w:r w:rsidRPr="00A92248">
        <w:rPr>
          <w:rFonts w:ascii="Times New Roman" w:eastAsia="仿宋_GB2312" w:hAnsi="Times New Roman" w:cs="Times New Roman" w:hint="eastAsia"/>
          <w:color w:val="000000" w:themeColor="text1"/>
          <w:sz w:val="32"/>
          <w:szCs w:val="32"/>
        </w:rPr>
        <w:t>号公告批准保护的罗定肉桂的生产和销售。</w:t>
      </w:r>
    </w:p>
    <w:p w:rsidR="008B1168" w:rsidRPr="00A92248" w:rsidRDefault="00FE6FF4">
      <w:pPr>
        <w:spacing w:line="520" w:lineRule="exact"/>
        <w:ind w:firstLineChars="200" w:firstLine="640"/>
        <w:rPr>
          <w:rFonts w:ascii="Times New Roman" w:eastAsia="仿宋_GB2312" w:hAnsi="Times New Roman" w:cs="Times New Roman"/>
          <w:color w:val="000000" w:themeColor="text1"/>
          <w:sz w:val="32"/>
          <w:szCs w:val="32"/>
        </w:rPr>
      </w:pP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T/ZQIE 005</w:t>
      </w: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 xml:space="preserve">2023  </w:t>
      </w:r>
      <w:r w:rsidRPr="00A92248">
        <w:rPr>
          <w:rFonts w:ascii="Times New Roman" w:eastAsia="仿宋_GB2312" w:hAnsi="Times New Roman" w:cs="Times New Roman" w:hint="eastAsia"/>
          <w:color w:val="000000" w:themeColor="text1"/>
          <w:sz w:val="32"/>
          <w:szCs w:val="32"/>
        </w:rPr>
        <w:t>地理标志证明商标</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高要肉桂》规定了地理标志证明商标高要肉桂的保护范围、种植技术要求、产品要求、试验方法、检验规则、标签、标志、包装、运输与贮存。适用于地理标志证明商标管理部门批准保护的地理标志证明商标高要肉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T/CACM 1021.66</w:t>
      </w:r>
      <w:r w:rsidRPr="00A92248">
        <w:rPr>
          <w:rFonts w:ascii="Times New Roman" w:eastAsia="仿宋_GB2312" w:hAnsi="Times New Roman" w:cs="Times New Roman" w:hint="eastAsia"/>
          <w:color w:val="000000" w:themeColor="text1"/>
          <w:sz w:val="32"/>
          <w:szCs w:val="32"/>
        </w:rPr>
        <w:t>—</w:t>
      </w:r>
      <w:r w:rsidRPr="00A92248">
        <w:rPr>
          <w:rFonts w:ascii="Times New Roman" w:eastAsia="仿宋_GB2312" w:hAnsi="Times New Roman" w:cs="Times New Roman" w:hint="eastAsia"/>
          <w:color w:val="000000" w:themeColor="text1"/>
          <w:sz w:val="32"/>
          <w:szCs w:val="32"/>
        </w:rPr>
        <w:t xml:space="preserve">2018  </w:t>
      </w:r>
      <w:r w:rsidRPr="00A92248">
        <w:rPr>
          <w:rFonts w:ascii="Times New Roman" w:eastAsia="仿宋_GB2312" w:hAnsi="Times New Roman" w:cs="Times New Roman" w:hint="eastAsia"/>
          <w:color w:val="000000" w:themeColor="text1"/>
          <w:sz w:val="32"/>
          <w:szCs w:val="32"/>
        </w:rPr>
        <w:t>中药材商品规格等级</w:t>
      </w:r>
      <w:r w:rsidRPr="00A92248">
        <w:rPr>
          <w:rFonts w:ascii="Times New Roman" w:eastAsia="仿宋_GB2312" w:hAnsi="Times New Roman" w:cs="Times New Roman" w:hint="eastAsia"/>
          <w:color w:val="000000" w:themeColor="text1"/>
          <w:sz w:val="32"/>
          <w:szCs w:val="32"/>
        </w:rPr>
        <w:t xml:space="preserve"> </w:t>
      </w:r>
      <w:r w:rsidRPr="00A92248">
        <w:rPr>
          <w:rFonts w:ascii="Times New Roman" w:eastAsia="仿宋_GB2312" w:hAnsi="Times New Roman" w:cs="Times New Roman" w:hint="eastAsia"/>
          <w:color w:val="000000" w:themeColor="text1"/>
          <w:sz w:val="32"/>
          <w:szCs w:val="32"/>
        </w:rPr>
        <w:t>肉桂》规定了肉桂的商品规格等级。适用于肉桂材生产、流通以及使用过程中的商品规格等级评价。</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《T/CACM 1020.120—2019  道地药材 第120部分：肉桂》规定了道地药材肉桂的来源及形态、历史沿革、道地产区及生境特征、质量特征。适用于中华人民共和国境内道地药材肉桂的生产、销售、鉴定及使用。</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综上所述，现行的国家标准《GB/T 42780-2023 肉桂产品质量等级》，是面向全国肉桂产品的普适性规范，旨在建立一个广泛适用的质量评定框架，确保全国范围内肉桂产品的基本质量水平。而各地方标准如《DB45/T 227-2022 地理标志产品 广西肉桂》侧重于保护特定地区的地理标志产品，强调产品的地域特色与特定生产规范。团体标准如《T/CACM 1021.66—2018 中药材</w:t>
      </w:r>
      <w:r w:rsidRPr="00A92248">
        <w:rPr>
          <w:rFonts w:ascii="仿宋_GB2312" w:eastAsia="仿宋_GB2312" w:hint="eastAsia"/>
          <w:color w:val="000000" w:themeColor="text1"/>
          <w:sz w:val="32"/>
          <w:szCs w:val="32"/>
        </w:rPr>
        <w:lastRenderedPageBreak/>
        <w:t>商品规格等级 肉桂》等，虽在一定程度上反映了行业协会等团体对肉桂产品的质量关注，但这些已有标准在针对“桂十味”肉桂这一特定品牌产品时，存在覆盖不精准的问题。</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桂十味”肉桂在产品特性上与一般肉桂产品存在差异，其香气、风味等方面具有独特优势。例如，对于肉桂中挥发油的含量要求，通用标准可能只规定了一个宽泛的合格范围，但“桂十味”肉桂由于其优良品质，可能需要更高的挥发油含量标准来体现其品质优越性。“桂十味”作为广西极具地方特色和产业发展潜力的品牌，需要一个专门为其量身定制的标准，突出其独特的品牌价值与质量要求。</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本标准的内容与现行的法律法规及强制性标准无冲突，本文件相关指标不低于强制性国家标准的相关技术要求，标准的编写符合GB/T 1.1—2020的要求。</w:t>
      </w:r>
    </w:p>
    <w:p w:rsidR="008B1168" w:rsidRPr="00A92248" w:rsidRDefault="00FE6FF4">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五、主要条款的说明</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1.肉桂</w:t>
      </w:r>
      <w:r w:rsidRPr="00A92248">
        <w:rPr>
          <w:rFonts w:ascii="仿宋_GB2312" w:eastAsia="仿宋_GB2312"/>
          <w:color w:val="000000" w:themeColor="text1"/>
          <w:sz w:val="32"/>
          <w:szCs w:val="32"/>
        </w:rPr>
        <w:t>药材质量指标确定</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（1）样品</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肉桂药材购买于5个主要产地以上共92批，经广西壮族自治区药品检验研究院主管药师鉴定为樟科植物肉桂Cinnamomum cassia Presl的干燥树皮。其样品信息见表</w:t>
      </w:r>
      <w:r w:rsidRPr="00A92248">
        <w:rPr>
          <w:rFonts w:ascii="仿宋_GB2312" w:eastAsia="仿宋_GB2312"/>
          <w:color w:val="000000" w:themeColor="text1"/>
          <w:sz w:val="32"/>
          <w:szCs w:val="32"/>
        </w:rPr>
        <w:t>1</w:t>
      </w:r>
      <w:r w:rsidRPr="00A92248">
        <w:rPr>
          <w:rFonts w:ascii="仿宋_GB2312" w:eastAsia="仿宋_GB2312" w:hint="eastAsia"/>
          <w:color w:val="000000" w:themeColor="text1"/>
          <w:sz w:val="32"/>
          <w:szCs w:val="32"/>
        </w:rPr>
        <w:t>。</w:t>
      </w:r>
    </w:p>
    <w:p w:rsidR="008B1168" w:rsidRPr="00A92248" w:rsidRDefault="00FE6FF4">
      <w:pPr>
        <w:spacing w:line="520" w:lineRule="exact"/>
        <w:ind w:firstLineChars="200" w:firstLine="480"/>
        <w:jc w:val="center"/>
        <w:rPr>
          <w:rFonts w:ascii="仿宋_GB2312" w:eastAsia="仿宋_GB2312"/>
          <w:color w:val="000000" w:themeColor="text1"/>
          <w:sz w:val="24"/>
          <w:szCs w:val="32"/>
        </w:rPr>
      </w:pPr>
      <w:r w:rsidRPr="00A92248">
        <w:rPr>
          <w:rFonts w:ascii="仿宋_GB2312" w:eastAsia="仿宋_GB2312" w:hint="eastAsia"/>
          <w:color w:val="000000" w:themeColor="text1"/>
          <w:sz w:val="24"/>
          <w:szCs w:val="32"/>
        </w:rPr>
        <w:t>表1肉桂样品信息</w:t>
      </w:r>
    </w:p>
    <w:tbl>
      <w:tblPr>
        <w:tblStyle w:val="aff6"/>
        <w:tblW w:w="5000" w:type="pct"/>
        <w:jc w:val="center"/>
        <w:tblBorders>
          <w:top w:val="single" w:sz="12" w:space="0" w:color="auto"/>
          <w:bottom w:val="single" w:sz="12" w:space="0" w:color="auto"/>
        </w:tblBorders>
        <w:tblLook w:val="04A0" w:firstRow="1" w:lastRow="0" w:firstColumn="1" w:lastColumn="0" w:noHBand="0" w:noVBand="1"/>
      </w:tblPr>
      <w:tblGrid>
        <w:gridCol w:w="1117"/>
        <w:gridCol w:w="3686"/>
        <w:gridCol w:w="2345"/>
        <w:gridCol w:w="2026"/>
      </w:tblGrid>
      <w:tr w:rsidR="00A92248" w:rsidRPr="00A92248">
        <w:trPr>
          <w:tblHeader/>
          <w:jc w:val="center"/>
        </w:trPr>
        <w:tc>
          <w:tcPr>
            <w:tcW w:w="608" w:type="pct"/>
            <w:tcBorders>
              <w:top w:val="single" w:sz="12" w:space="0" w:color="auto"/>
              <w:bottom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样品</w:t>
            </w:r>
          </w:p>
        </w:tc>
        <w:tc>
          <w:tcPr>
            <w:tcW w:w="2009" w:type="pct"/>
            <w:tcBorders>
              <w:top w:val="single" w:sz="12" w:space="0" w:color="auto"/>
              <w:bottom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名称</w:t>
            </w:r>
          </w:p>
        </w:tc>
        <w:tc>
          <w:tcPr>
            <w:tcW w:w="1278" w:type="pct"/>
            <w:tcBorders>
              <w:top w:val="single" w:sz="12" w:space="0" w:color="auto"/>
              <w:bottom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产地</w:t>
            </w:r>
          </w:p>
        </w:tc>
        <w:tc>
          <w:tcPr>
            <w:tcW w:w="1104" w:type="pct"/>
            <w:tcBorders>
              <w:top w:val="single" w:sz="12" w:space="0" w:color="auto"/>
              <w:bottom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r w:rsidRPr="00A92248">
              <w:rPr>
                <w:rFonts w:ascii="Times New Roman" w:hAnsi="Times New Roman" w:hint="eastAsia"/>
                <w:color w:val="000000" w:themeColor="text1"/>
              </w:rPr>
              <w:t>/</w:t>
            </w:r>
            <w:r w:rsidRPr="00A92248">
              <w:rPr>
                <w:rFonts w:ascii="Times New Roman" w:hAnsi="Times New Roman" w:hint="eastAsia"/>
                <w:color w:val="000000" w:themeColor="text1"/>
              </w:rPr>
              <w:t>未剥皮</w:t>
            </w:r>
          </w:p>
        </w:tc>
      </w:tr>
      <w:tr w:rsidR="00A92248" w:rsidRPr="00A92248">
        <w:trPr>
          <w:jc w:val="center"/>
        </w:trPr>
        <w:tc>
          <w:tcPr>
            <w:tcW w:w="608" w:type="pct"/>
            <w:tcBorders>
              <w:top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w:t>
            </w:r>
          </w:p>
        </w:tc>
        <w:tc>
          <w:tcPr>
            <w:tcW w:w="2009" w:type="pct"/>
            <w:tcBorders>
              <w:top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tcBorders>
              <w:top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tcBorders>
              <w:top w:val="single" w:sz="4" w:space="0" w:color="auto"/>
            </w:tcBorders>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桂板</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桂碎</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桂板</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刮皮通（小）</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小通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小通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lastRenderedPageBreak/>
              <w:t>12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小通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越南油桂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越南油桂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19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8</w:t>
            </w:r>
            <w:r w:rsidRPr="00A92248">
              <w:rPr>
                <w:rFonts w:ascii="Times New Roman" w:hAnsi="Times New Roman" w:hint="eastAsia"/>
                <w:color w:val="000000" w:themeColor="text1"/>
              </w:rPr>
              <w:t>公分烟桂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越南桂节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桂板</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清化桂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越南</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桂碎</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29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山桂（野生）</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云南蒙自市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山桂（碎）</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云南蒙自市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山桂（野生）</w:t>
            </w:r>
            <w:r w:rsidRPr="00A92248">
              <w:rPr>
                <w:rFonts w:ascii="Times New Roman" w:hAnsi="Times New Roman" w:hint="eastAsia"/>
                <w:color w:val="000000" w:themeColor="text1"/>
              </w:rPr>
              <w:t xml:space="preserve"> </w:t>
            </w:r>
            <w:r w:rsidRPr="00A92248">
              <w:rPr>
                <w:rFonts w:ascii="Times New Roman" w:hAnsi="Times New Roman" w:hint="eastAsia"/>
                <w:color w:val="000000" w:themeColor="text1"/>
              </w:rPr>
              <w:t>烟桂（刮皮）</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缅甸</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小通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广西防城港市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桂丝</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39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桂块</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中通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小通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刮皮通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桂丝</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烟桂</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云南蒙自市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49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大通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DD1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GL1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GL2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GL3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GL5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GL7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GX10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GX9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广东云浮市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JZ1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lastRenderedPageBreak/>
              <w:t>JZ3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JZ4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JZ9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LS1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广西梧州市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MZ8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广东罗定市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RD2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SN4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广东肇庆市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SS1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SS2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SS8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ST1</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ST2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ST3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ST4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ST5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TB3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广东罗定市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TB5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广东罗定市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TL10</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TL2</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TL6</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TL8</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TL9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XD5</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XD9</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XL4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广东罗定市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XL7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广东罗定市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ZL3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ZL7</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ZT3</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广西玉林市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r w:rsidR="00A92248" w:rsidRPr="00A92248">
        <w:trPr>
          <w:jc w:val="center"/>
        </w:trPr>
        <w:tc>
          <w:tcPr>
            <w:tcW w:w="60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ZT4</w:t>
            </w:r>
          </w:p>
        </w:tc>
        <w:tc>
          <w:tcPr>
            <w:tcW w:w="2009"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桂通</w:t>
            </w:r>
          </w:p>
        </w:tc>
        <w:tc>
          <w:tcPr>
            <w:tcW w:w="1278"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广西贵港市</w:t>
            </w:r>
          </w:p>
        </w:tc>
        <w:tc>
          <w:tcPr>
            <w:tcW w:w="1104" w:type="pct"/>
            <w:vAlign w:val="center"/>
          </w:tcPr>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未剥皮</w:t>
            </w:r>
          </w:p>
        </w:tc>
      </w:tr>
    </w:tbl>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（2）性状</w:t>
      </w:r>
      <w:r w:rsidRPr="00A92248">
        <w:rPr>
          <w:rFonts w:ascii="仿宋_GB2312" w:eastAsia="仿宋_GB2312"/>
          <w:color w:val="000000" w:themeColor="text1"/>
          <w:sz w:val="32"/>
          <w:szCs w:val="32"/>
        </w:rPr>
        <w:t>鉴定</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按《中华人民共和国药典第四部（2025年版）》药材和饮片检定通则对肉桂药材性状进行鉴别，采用眼观、手摸、鼻嗅、口尝等感官方法，观察肉桂样品的形状，大小，根、茎、叶表面特征，断面特征，质地，气，味等。根据《中华人民共和国药典第四部（2025年版）》关于肉桂药材的性状描述“呈槽状或卷筒状，长30～40cm，宽或直径3～10cm，厚0.2～0.8cm。外表面灰棕色，稍粗糙，有不规则的细皱纹和横向突起的皮孔，有的可见灰白色的斑纹；内表面红棕色，略平坦，有细纵纹，划之显油痕。质硬</w:t>
      </w:r>
      <w:r w:rsidRPr="00A92248">
        <w:rPr>
          <w:rFonts w:ascii="仿宋_GB2312" w:eastAsia="仿宋_GB2312" w:hint="eastAsia"/>
          <w:color w:val="000000" w:themeColor="text1"/>
          <w:sz w:val="32"/>
          <w:szCs w:val="32"/>
        </w:rPr>
        <w:lastRenderedPageBreak/>
        <w:t>而脆，易折断，断面不平坦，外层棕色而较粗糙，内层红棕色而油润，两层间有1条黄棕色的线纹。气香浓烈，味甜、辣。”通过对82批次肉桂样品性状的观察，所购买的肉桂药材性状均符合国家药典标准，部分样品见图1。</w:t>
      </w:r>
    </w:p>
    <w:p w:rsidR="008B1168" w:rsidRPr="00A92248" w:rsidRDefault="008B1168">
      <w:pPr>
        <w:ind w:firstLineChars="200" w:firstLine="420"/>
        <w:jc w:val="left"/>
        <w:rPr>
          <w:rFonts w:ascii="Times New Roman" w:hAnsi="Times New Roman" w:cs="Arial"/>
          <w:color w:val="000000" w:themeColor="text1"/>
        </w:rPr>
      </w:pPr>
    </w:p>
    <w:tbl>
      <w:tblPr>
        <w:tblStyle w:val="aff6"/>
        <w:tblW w:w="0" w:type="auto"/>
        <w:tblInd w:w="360" w:type="dxa"/>
        <w:tblBorders>
          <w:top w:val="none" w:sz="0" w:space="0" w:color="auto"/>
          <w:bottom w:val="none" w:sz="0" w:space="0" w:color="auto"/>
        </w:tblBorders>
        <w:tblLook w:val="04A0" w:firstRow="1" w:lastRow="0" w:firstColumn="1" w:lastColumn="0" w:noHBand="0" w:noVBand="1"/>
      </w:tblPr>
      <w:tblGrid>
        <w:gridCol w:w="4536"/>
        <w:gridCol w:w="4261"/>
      </w:tblGrid>
      <w:tr w:rsidR="00A92248" w:rsidRPr="00A92248">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7775" cy="1676400"/>
                  <wp:effectExtent l="0" t="0" r="0" b="0"/>
                  <wp:docPr id="474825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25267"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517775" cy="1676400"/>
                          </a:xfrm>
                          <a:prstGeom prst="rect">
                            <a:avLst/>
                          </a:prstGeom>
                          <a:noFill/>
                        </pic:spPr>
                      </pic:pic>
                    </a:graphicData>
                  </a:graphic>
                </wp:inline>
              </w:drawing>
            </w:r>
          </w:p>
        </w:tc>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24125" cy="1682750"/>
                  <wp:effectExtent l="0" t="0" r="9525" b="0"/>
                  <wp:docPr id="10469212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2120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524125" cy="1682750"/>
                          </a:xfrm>
                          <a:prstGeom prst="rect">
                            <a:avLst/>
                          </a:prstGeom>
                          <a:noFill/>
                        </pic:spPr>
                      </pic:pic>
                    </a:graphicData>
                  </a:graphic>
                </wp:inline>
              </w:drawing>
            </w:r>
          </w:p>
        </w:tc>
      </w:tr>
      <w:tr w:rsidR="00A92248" w:rsidRPr="00A92248">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7775" cy="1682750"/>
                  <wp:effectExtent l="0" t="0" r="0" b="0"/>
                  <wp:docPr id="11035400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40038"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517775" cy="1682750"/>
                          </a:xfrm>
                          <a:prstGeom prst="rect">
                            <a:avLst/>
                          </a:prstGeom>
                          <a:noFill/>
                        </pic:spPr>
                      </pic:pic>
                    </a:graphicData>
                  </a:graphic>
                </wp:inline>
              </w:drawing>
            </w:r>
          </w:p>
        </w:tc>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7775" cy="1682750"/>
                  <wp:effectExtent l="0" t="0" r="0" b="0"/>
                  <wp:docPr id="5851245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24571"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517775" cy="1682750"/>
                          </a:xfrm>
                          <a:prstGeom prst="rect">
                            <a:avLst/>
                          </a:prstGeom>
                          <a:noFill/>
                        </pic:spPr>
                      </pic:pic>
                    </a:graphicData>
                  </a:graphic>
                </wp:inline>
              </w:drawing>
            </w:r>
          </w:p>
        </w:tc>
      </w:tr>
      <w:tr w:rsidR="00A92248" w:rsidRPr="00A92248">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7775" cy="1676400"/>
                  <wp:effectExtent l="0" t="0" r="0" b="0"/>
                  <wp:docPr id="1372852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52140"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517775" cy="1676400"/>
                          </a:xfrm>
                          <a:prstGeom prst="rect">
                            <a:avLst/>
                          </a:prstGeom>
                          <a:noFill/>
                        </pic:spPr>
                      </pic:pic>
                    </a:graphicData>
                  </a:graphic>
                </wp:inline>
              </w:drawing>
            </w:r>
          </w:p>
        </w:tc>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7775" cy="1676400"/>
                  <wp:effectExtent l="0" t="0" r="0" b="0"/>
                  <wp:docPr id="20647787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778709"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517775" cy="1676400"/>
                          </a:xfrm>
                          <a:prstGeom prst="rect">
                            <a:avLst/>
                          </a:prstGeom>
                          <a:noFill/>
                        </pic:spPr>
                      </pic:pic>
                    </a:graphicData>
                  </a:graphic>
                </wp:inline>
              </w:drawing>
            </w:r>
          </w:p>
        </w:tc>
      </w:tr>
      <w:tr w:rsidR="00A92248" w:rsidRPr="00A92248">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639695" cy="1762125"/>
                  <wp:effectExtent l="0" t="0" r="8255" b="9525"/>
                  <wp:docPr id="6177216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21683"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39695" cy="1762125"/>
                          </a:xfrm>
                          <a:prstGeom prst="rect">
                            <a:avLst/>
                          </a:prstGeom>
                          <a:noFill/>
                        </pic:spPr>
                      </pic:pic>
                    </a:graphicData>
                  </a:graphic>
                </wp:inline>
              </w:drawing>
            </w:r>
          </w:p>
        </w:tc>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512060" cy="1676400"/>
                  <wp:effectExtent l="0" t="0" r="2540" b="0"/>
                  <wp:docPr id="4673405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40560" name="图片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12060" cy="1676400"/>
                          </a:xfrm>
                          <a:prstGeom prst="rect">
                            <a:avLst/>
                          </a:prstGeom>
                          <a:noFill/>
                        </pic:spPr>
                      </pic:pic>
                    </a:graphicData>
                  </a:graphic>
                </wp:inline>
              </w:drawing>
            </w:r>
          </w:p>
        </w:tc>
      </w:tr>
      <w:tr w:rsidR="00A92248" w:rsidRPr="00A92248">
        <w:tc>
          <w:tcPr>
            <w:tcW w:w="4261" w:type="dxa"/>
          </w:tcPr>
          <w:p w:rsidR="008B1168" w:rsidRPr="00A92248" w:rsidRDefault="00FE6FF4">
            <w:pPr>
              <w:rPr>
                <w:rFonts w:ascii="Times New Roman" w:hAnsi="Times New Roman" w:cs="Arial"/>
                <w:color w:val="000000" w:themeColor="text1"/>
              </w:rPr>
            </w:pPr>
            <w:r w:rsidRPr="00A92248">
              <w:rPr>
                <w:rFonts w:ascii="Times New Roman" w:hAnsi="Times New Roman" w:cs="Arial"/>
                <w:noProof/>
                <w:color w:val="000000" w:themeColor="text1"/>
              </w:rPr>
              <w:lastRenderedPageBreak/>
              <w:drawing>
                <wp:inline distT="0" distB="0" distL="0" distR="0">
                  <wp:extent cx="2737485" cy="1823085"/>
                  <wp:effectExtent l="0" t="0" r="5715" b="5715"/>
                  <wp:docPr id="2416058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05817" name="图片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7485" cy="1823085"/>
                          </a:xfrm>
                          <a:prstGeom prst="rect">
                            <a:avLst/>
                          </a:prstGeom>
                          <a:noFill/>
                        </pic:spPr>
                      </pic:pic>
                    </a:graphicData>
                  </a:graphic>
                </wp:inline>
              </w:drawing>
            </w:r>
          </w:p>
        </w:tc>
        <w:tc>
          <w:tcPr>
            <w:tcW w:w="4261" w:type="dxa"/>
            <w:vAlign w:val="center"/>
          </w:tcPr>
          <w:p w:rsidR="008B1168" w:rsidRPr="00A92248" w:rsidRDefault="00FE6FF4">
            <w:pPr>
              <w:keepNext/>
              <w:jc w:val="center"/>
              <w:rPr>
                <w:rFonts w:ascii="Times New Roman" w:hAnsi="Times New Roman" w:cs="Arial"/>
                <w:color w:val="000000" w:themeColor="text1"/>
              </w:rPr>
            </w:pPr>
            <w:r w:rsidRPr="00A92248">
              <w:rPr>
                <w:rFonts w:ascii="Times New Roman" w:hAnsi="Times New Roman" w:cs="Arial"/>
                <w:noProof/>
                <w:color w:val="000000" w:themeColor="text1"/>
              </w:rPr>
              <w:drawing>
                <wp:inline distT="0" distB="0" distL="0" distR="0">
                  <wp:extent cx="2374265" cy="1583055"/>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4494" cy="1602900"/>
                          </a:xfrm>
                          <a:prstGeom prst="rect">
                            <a:avLst/>
                          </a:prstGeom>
                        </pic:spPr>
                      </pic:pic>
                    </a:graphicData>
                  </a:graphic>
                </wp:inline>
              </w:drawing>
            </w:r>
          </w:p>
        </w:tc>
      </w:tr>
    </w:tbl>
    <w:p w:rsidR="008B1168" w:rsidRPr="00A92248" w:rsidRDefault="00FE6FF4">
      <w:pPr>
        <w:spacing w:line="520" w:lineRule="exact"/>
        <w:ind w:firstLineChars="200" w:firstLine="480"/>
        <w:jc w:val="center"/>
        <w:rPr>
          <w:rFonts w:ascii="仿宋_GB2312" w:eastAsia="仿宋_GB2312"/>
          <w:color w:val="000000" w:themeColor="text1"/>
          <w:sz w:val="24"/>
          <w:szCs w:val="32"/>
        </w:rPr>
      </w:pPr>
      <w:r w:rsidRPr="00A92248">
        <w:rPr>
          <w:rFonts w:ascii="仿宋_GB2312" w:eastAsia="仿宋_GB2312" w:hint="eastAsia"/>
          <w:color w:val="000000" w:themeColor="text1"/>
          <w:sz w:val="24"/>
          <w:szCs w:val="32"/>
        </w:rPr>
        <w:t>图1  肉桂性状</w:t>
      </w:r>
      <w:r w:rsidRPr="00A92248">
        <w:rPr>
          <w:rFonts w:ascii="仿宋_GB2312" w:eastAsia="仿宋_GB2312"/>
          <w:color w:val="000000" w:themeColor="text1"/>
          <w:sz w:val="24"/>
          <w:szCs w:val="32"/>
        </w:rPr>
        <w:t>图</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3</w:t>
      </w:r>
      <w:r w:rsidRPr="00A92248">
        <w:rPr>
          <w:rFonts w:ascii="仿宋_GB2312" w:eastAsia="仿宋_GB2312" w:hint="eastAsia"/>
          <w:color w:val="000000" w:themeColor="text1"/>
          <w:sz w:val="32"/>
          <w:szCs w:val="32"/>
        </w:rPr>
        <w:t>）厚度测定</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桂板：取两横边中间位置的平均值；桂通、烟桂：测量直径的两端，取两端的平均值（用游标卡尺测量，准确至0.1mm）。测定结果见表</w:t>
      </w:r>
      <w:r w:rsidRPr="00A92248">
        <w:rPr>
          <w:rFonts w:ascii="仿宋_GB2312" w:eastAsia="仿宋_GB2312"/>
          <w:color w:val="000000" w:themeColor="text1"/>
          <w:sz w:val="32"/>
          <w:szCs w:val="32"/>
        </w:rPr>
        <w:t>2</w:t>
      </w:r>
      <w:r w:rsidRPr="00A92248">
        <w:rPr>
          <w:rFonts w:ascii="仿宋_GB2312" w:eastAsia="仿宋_GB2312" w:hint="eastAsia"/>
          <w:color w:val="000000" w:themeColor="text1"/>
          <w:sz w:val="32"/>
          <w:szCs w:val="32"/>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（4）乙醇浸出物测定</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参照202</w:t>
      </w:r>
      <w:r w:rsidRPr="00A92248">
        <w:rPr>
          <w:rFonts w:ascii="仿宋_GB2312" w:eastAsia="仿宋_GB2312"/>
          <w:color w:val="000000" w:themeColor="text1"/>
          <w:sz w:val="32"/>
          <w:szCs w:val="32"/>
        </w:rPr>
        <w:t>5</w:t>
      </w:r>
      <w:r w:rsidRPr="00A92248">
        <w:rPr>
          <w:rFonts w:ascii="仿宋_GB2312" w:eastAsia="仿宋_GB2312" w:hint="eastAsia"/>
          <w:color w:val="000000" w:themeColor="text1"/>
          <w:sz w:val="32"/>
          <w:szCs w:val="32"/>
        </w:rPr>
        <w:t>年版《中国药典》四部通则2201醇溶性浸出物测定法，采用热浸法对肉桂样品进行测定，以乙醇为溶剂，测定结果见表</w:t>
      </w:r>
      <w:r w:rsidRPr="00A92248">
        <w:rPr>
          <w:rFonts w:ascii="仿宋_GB2312" w:eastAsia="仿宋_GB2312"/>
          <w:color w:val="000000" w:themeColor="text1"/>
          <w:sz w:val="32"/>
          <w:szCs w:val="32"/>
        </w:rPr>
        <w:t>2</w:t>
      </w:r>
      <w:r w:rsidRPr="00A92248">
        <w:rPr>
          <w:rFonts w:ascii="仿宋_GB2312" w:eastAsia="仿宋_GB2312" w:hint="eastAsia"/>
          <w:color w:val="000000" w:themeColor="text1"/>
          <w:sz w:val="32"/>
          <w:szCs w:val="32"/>
        </w:rPr>
        <w:t>。肉桂样品的浸出物范围为8.11%-28.93%。</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（5）挥发油测定</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采用202</w:t>
      </w:r>
      <w:r w:rsidRPr="00A92248">
        <w:rPr>
          <w:rFonts w:ascii="仿宋_GB2312" w:eastAsia="仿宋_GB2312"/>
          <w:color w:val="000000" w:themeColor="text1"/>
          <w:sz w:val="32"/>
          <w:szCs w:val="32"/>
        </w:rPr>
        <w:t>5</w:t>
      </w:r>
      <w:r w:rsidRPr="00A92248">
        <w:rPr>
          <w:rFonts w:ascii="仿宋_GB2312" w:eastAsia="仿宋_GB2312" w:hint="eastAsia"/>
          <w:color w:val="000000" w:themeColor="text1"/>
          <w:sz w:val="32"/>
          <w:szCs w:val="32"/>
        </w:rPr>
        <w:t>年版《中国药典》四部通则2204 乙法进行测定。测定结果见表</w:t>
      </w:r>
      <w:r w:rsidRPr="00A92248">
        <w:rPr>
          <w:rFonts w:ascii="仿宋_GB2312" w:eastAsia="仿宋_GB2312"/>
          <w:color w:val="000000" w:themeColor="text1"/>
          <w:sz w:val="32"/>
          <w:szCs w:val="32"/>
        </w:rPr>
        <w:t>2</w:t>
      </w:r>
      <w:r w:rsidRPr="00A92248">
        <w:rPr>
          <w:rFonts w:ascii="仿宋_GB2312" w:eastAsia="仿宋_GB2312" w:hint="eastAsia"/>
          <w:color w:val="000000" w:themeColor="text1"/>
          <w:sz w:val="32"/>
          <w:szCs w:val="32"/>
        </w:rPr>
        <w:t>，收集的129批肉桂中29、30、31、TB5低于2020年版《中国药典》规定的1.2%(ml/g)，其余样品挥发油范围为1.42%(ml/g)-9.25%(ml/g)。</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（6）内在质量</w:t>
      </w:r>
      <w:r w:rsidRPr="00A92248">
        <w:rPr>
          <w:rFonts w:ascii="仿宋_GB2312" w:eastAsia="仿宋_GB2312"/>
          <w:color w:val="000000" w:themeColor="text1"/>
          <w:sz w:val="32"/>
          <w:szCs w:val="32"/>
        </w:rPr>
        <w:t>的筛选</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为探究肉桂外观性状与内在质量的关联性，筛选可有效表征肉桂品质、适用于质量等级控制的核心指标，本研究预先选取10批代表性肉桂样品，测定其厚度、水分、总灰分、乙醇浸出物、挥发油，以及原儿茶酸、原儿茶醛、表儿茶素、原花青素 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、对羟基肉桂酸、3 - 羟基肉桂酸、香豆素、肉桂酸、桂皮醛、2'- 甲氧基肉桂醛等多个内在成分含量，基于测定结果开展双变量相关</w:t>
      </w:r>
      <w:r w:rsidRPr="00A92248">
        <w:rPr>
          <w:rFonts w:ascii="仿宋_GB2312" w:eastAsia="仿宋_GB2312" w:hint="eastAsia"/>
          <w:color w:val="000000" w:themeColor="text1"/>
          <w:sz w:val="32"/>
          <w:szCs w:val="32"/>
        </w:rPr>
        <w:lastRenderedPageBreak/>
        <w:t>性分析，探究各指标间的关联规律。同时综合考量各指标实测含量特征、对照品市场可及性，以及指标与肉桂品质的关联度等因素，剔除无明显关联、对照品获取困难或含量过低无表征意义的指标，最终筛选出肉桂质量等级控制的核心指标，为后续构建科学的质量等级评价体系奠定基础。</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通过辨别药材的形状、大小、色泽、表面特征、质地、断面特征及气味等来辨别药材的真伪和评判药材的优劣，即“辨状论质”。传统观念认为肉桂以皮厚、油性大、气香浓烈为佳，中药材治疗疾病与其内在质量直接联系，直观外在特征优劣不足以直接表明其内在质量优劣，从而说明治疗疾病是否有效。通过建立外观性状与内在质量的相关性，评价内在性状特征与其内在质量相关程度，以此表明传统鉴别肉桂药材经验的科学性，以便进一步建立肉桂质量评价体系。前期采用Origin 2024软件，对肉桂的厚度、浸出物、四个含量测定指标、挥发油含量进行双变量相关性分析，见图 2。相关系数（r）反映关联强度，p值反映关联可靠性：p≤0.05为显著相关，p≤0.01为极显著相关；r&gt;0为正相关，r&lt;0为负相关；|r|&gt;0.7为强相关。结果表明肉桂厚度与原花青素B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、肉桂酸等相关性极显著、与浸出物、挥发油等相关性显著，其中与浸出物、原花青素B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等呈负相关，与挥发油、肉桂酸等呈正相关。充分说明肉桂内在质量与厚度密切相关，故进行质量评价时，需外观性状结合内在质量分析。</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结合肉桂外观性状与内在质量双变量相关性分析结果、供试品色谱图谱特征，同时综合色谱峰响应、对照品市场可及性及成分生物活性等多维度考量，最终筛选原花青素B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、肉桂酸、桂皮醛、乙醇浸出物、挥发油为肉桂质量评价核心指标。图2显示，肉桂核心外观指标厚度与原花青素B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、肉桂酸呈极显著相关，与</w:t>
      </w:r>
      <w:r w:rsidRPr="00A92248">
        <w:rPr>
          <w:rFonts w:ascii="仿宋_GB2312" w:eastAsia="仿宋_GB2312" w:hint="eastAsia"/>
          <w:color w:val="000000" w:themeColor="text1"/>
          <w:sz w:val="32"/>
          <w:szCs w:val="32"/>
        </w:rPr>
        <w:lastRenderedPageBreak/>
        <w:t>乙醇浸出物、挥发油呈显著相关，桂皮醛作为肉桂标志性挥发油成分，与挥发油含量密切关联，五者可协同表征肉桂外观性状与内在质量的关联性，有效反映不同等级药材的品质差异。</w:t>
      </w:r>
    </w:p>
    <w:p w:rsidR="008B1168" w:rsidRPr="00A92248" w:rsidRDefault="00FE6FF4">
      <w:pPr>
        <w:ind w:firstLineChars="200" w:firstLine="420"/>
        <w:jc w:val="center"/>
        <w:rPr>
          <w:color w:val="000000" w:themeColor="text1"/>
        </w:rPr>
      </w:pPr>
      <w:r w:rsidRPr="00A92248">
        <w:rPr>
          <w:noProof/>
          <w:color w:val="000000" w:themeColor="text1"/>
        </w:rPr>
        <w:drawing>
          <wp:inline distT="0" distB="0" distL="0" distR="0">
            <wp:extent cx="5273675" cy="3975100"/>
            <wp:effectExtent l="0" t="0" r="317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3675" cy="3975100"/>
                    </a:xfrm>
                    <a:prstGeom prst="rect">
                      <a:avLst/>
                    </a:prstGeom>
                    <a:noFill/>
                  </pic:spPr>
                </pic:pic>
              </a:graphicData>
            </a:graphic>
          </wp:inline>
        </w:drawing>
      </w:r>
    </w:p>
    <w:p w:rsidR="008B1168" w:rsidRPr="00A92248" w:rsidRDefault="00FE6FF4">
      <w:pPr>
        <w:spacing w:line="520" w:lineRule="exact"/>
        <w:ind w:firstLineChars="200" w:firstLine="480"/>
        <w:jc w:val="center"/>
        <w:rPr>
          <w:rFonts w:ascii="仿宋_GB2312" w:eastAsia="仿宋_GB2312"/>
          <w:color w:val="000000" w:themeColor="text1"/>
          <w:sz w:val="24"/>
          <w:szCs w:val="32"/>
        </w:rPr>
      </w:pPr>
      <w:r w:rsidRPr="00A92248">
        <w:rPr>
          <w:rFonts w:ascii="仿宋_GB2312" w:eastAsia="仿宋_GB2312" w:hint="eastAsia"/>
          <w:color w:val="000000" w:themeColor="text1"/>
          <w:sz w:val="24"/>
          <w:szCs w:val="32"/>
        </w:rPr>
        <w:t xml:space="preserve">图2 </w:t>
      </w:r>
      <w:r w:rsidRPr="00A92248">
        <w:rPr>
          <w:rFonts w:ascii="仿宋_GB2312" w:eastAsia="仿宋_GB2312"/>
          <w:color w:val="000000" w:themeColor="text1"/>
          <w:sz w:val="24"/>
          <w:szCs w:val="32"/>
        </w:rPr>
        <w:t xml:space="preserve"> </w:t>
      </w:r>
      <w:r w:rsidRPr="00A92248">
        <w:rPr>
          <w:rFonts w:ascii="仿宋_GB2312" w:eastAsia="仿宋_GB2312" w:hint="eastAsia"/>
          <w:color w:val="000000" w:themeColor="text1"/>
          <w:sz w:val="24"/>
          <w:szCs w:val="32"/>
        </w:rPr>
        <w:t>肉桂药材质量指标相关性分析结果</w:t>
      </w:r>
    </w:p>
    <w:p w:rsidR="008B1168" w:rsidRPr="00A92248" w:rsidRDefault="00FE6FF4">
      <w:pPr>
        <w:spacing w:line="520" w:lineRule="exact"/>
        <w:ind w:firstLineChars="200" w:firstLine="480"/>
        <w:jc w:val="center"/>
        <w:rPr>
          <w:rFonts w:ascii="仿宋_GB2312" w:eastAsia="仿宋_GB2312"/>
          <w:color w:val="000000" w:themeColor="text1"/>
          <w:sz w:val="24"/>
          <w:szCs w:val="32"/>
        </w:rPr>
      </w:pPr>
      <w:r w:rsidRPr="00A92248">
        <w:rPr>
          <w:rFonts w:ascii="仿宋_GB2312" w:eastAsia="仿宋_GB2312" w:hint="eastAsia"/>
          <w:color w:val="000000" w:themeColor="text1"/>
          <w:sz w:val="24"/>
          <w:szCs w:val="32"/>
        </w:rPr>
        <w:t>表2  肉桂水分、总灰分、乙醇浸出物、挥发油、多指标含量测定结果</w:t>
      </w:r>
    </w:p>
    <w:tbl>
      <w:tblPr>
        <w:tblW w:w="0" w:type="auto"/>
        <w:jc w:val="center"/>
        <w:tblBorders>
          <w:top w:val="single" w:sz="12" w:space="0" w:color="auto"/>
          <w:bottom w:val="single" w:sz="12" w:space="0" w:color="auto"/>
        </w:tblBorders>
        <w:tblLayout w:type="fixed"/>
        <w:tblLook w:val="04A0" w:firstRow="1" w:lastRow="0" w:firstColumn="1" w:lastColumn="0" w:noHBand="0" w:noVBand="1"/>
      </w:tblPr>
      <w:tblGrid>
        <w:gridCol w:w="855"/>
        <w:gridCol w:w="993"/>
        <w:gridCol w:w="993"/>
        <w:gridCol w:w="1134"/>
        <w:gridCol w:w="1134"/>
        <w:gridCol w:w="992"/>
        <w:gridCol w:w="1182"/>
        <w:gridCol w:w="1152"/>
        <w:gridCol w:w="1152"/>
      </w:tblGrid>
      <w:tr w:rsidR="00A92248" w:rsidRPr="00A92248">
        <w:trPr>
          <w:trHeight w:val="540"/>
          <w:tblHeader/>
          <w:jc w:val="center"/>
        </w:trPr>
        <w:tc>
          <w:tcPr>
            <w:tcW w:w="855"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b/>
                <w:bCs/>
                <w:color w:val="000000" w:themeColor="text1"/>
                <w:kern w:val="0"/>
              </w:rPr>
            </w:pPr>
            <w:bookmarkStart w:id="2" w:name="_Hlk222840626"/>
            <w:r w:rsidRPr="00A92248">
              <w:rPr>
                <w:rFonts w:ascii="Times New Roman" w:hAnsi="Times New Roman" w:cs="宋体" w:hint="eastAsia"/>
                <w:b/>
                <w:bCs/>
                <w:color w:val="000000" w:themeColor="text1"/>
                <w:kern w:val="0"/>
              </w:rPr>
              <w:t>样品</w:t>
            </w:r>
          </w:p>
        </w:tc>
        <w:tc>
          <w:tcPr>
            <w:tcW w:w="993" w:type="dxa"/>
            <w:tcBorders>
              <w:top w:val="single" w:sz="12" w:space="0" w:color="auto"/>
              <w:bottom w:val="single" w:sz="4" w:space="0" w:color="auto"/>
            </w:tcBorders>
            <w:shd w:val="clear" w:color="auto" w:fill="auto"/>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水分（</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c>
          <w:tcPr>
            <w:tcW w:w="993" w:type="dxa"/>
            <w:tcBorders>
              <w:top w:val="single" w:sz="12" w:space="0" w:color="auto"/>
              <w:bottom w:val="single" w:sz="4" w:space="0" w:color="auto"/>
            </w:tcBorders>
            <w:shd w:val="clear" w:color="auto" w:fill="auto"/>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总灰分（</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c>
          <w:tcPr>
            <w:tcW w:w="1134"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乙醇浸出物（</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c>
          <w:tcPr>
            <w:tcW w:w="1134"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挥发油</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ml/g)</w:t>
            </w:r>
          </w:p>
        </w:tc>
        <w:tc>
          <w:tcPr>
            <w:tcW w:w="992"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厚度（</w:t>
            </w:r>
            <w:r w:rsidRPr="00A92248">
              <w:rPr>
                <w:rFonts w:ascii="Times New Roman" w:hAnsi="Times New Roman" w:cs="宋体" w:hint="eastAsia"/>
                <w:color w:val="000000" w:themeColor="text1"/>
                <w:kern w:val="0"/>
              </w:rPr>
              <w:t>mm)</w:t>
            </w:r>
          </w:p>
        </w:tc>
        <w:tc>
          <w:tcPr>
            <w:tcW w:w="1182"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原花青素</w:t>
            </w:r>
            <w:r w:rsidRPr="00A92248">
              <w:rPr>
                <w:rFonts w:ascii="Times New Roman" w:hAnsi="Times New Roman" w:cs="宋体" w:hint="eastAsia"/>
                <w:color w:val="000000" w:themeColor="text1"/>
                <w:kern w:val="0"/>
              </w:rPr>
              <w:t>B</w:t>
            </w:r>
            <w:r w:rsidRPr="00A92248">
              <w:rPr>
                <w:rFonts w:ascii="Times New Roman" w:hAnsi="Times New Roman" w:cs="宋体" w:hint="eastAsia"/>
                <w:color w:val="000000" w:themeColor="text1"/>
                <w:kern w:val="0"/>
                <w:vertAlign w:val="subscript"/>
              </w:rPr>
              <w:t>2</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c>
          <w:tcPr>
            <w:tcW w:w="1152"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桂皮醛（</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c>
          <w:tcPr>
            <w:tcW w:w="1152" w:type="dxa"/>
            <w:tcBorders>
              <w:top w:val="single" w:sz="12" w:space="0" w:color="auto"/>
              <w:bottom w:val="single" w:sz="4" w:space="0" w:color="auto"/>
            </w:tcBorders>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肉桂酸（</w:t>
            </w:r>
            <w:r w:rsidRPr="00A92248">
              <w:rPr>
                <w:rFonts w:ascii="Times New Roman" w:hAnsi="Times New Roman" w:cs="宋体" w:hint="eastAsia"/>
                <w:color w:val="000000" w:themeColor="text1"/>
                <w:kern w:val="0"/>
              </w:rPr>
              <w:t>%</w:t>
            </w:r>
            <w:r w:rsidRPr="00A92248">
              <w:rPr>
                <w:rFonts w:ascii="Times New Roman" w:hAnsi="Times New Roman" w:cs="宋体" w:hint="eastAsia"/>
                <w:color w:val="000000" w:themeColor="text1"/>
                <w:kern w:val="0"/>
              </w:rPr>
              <w:t>）</w:t>
            </w:r>
          </w:p>
        </w:tc>
      </w:tr>
      <w:bookmarkEnd w:id="2"/>
      <w:tr w:rsidR="00A92248" w:rsidRPr="00A92248">
        <w:trPr>
          <w:trHeight w:val="270"/>
          <w:jc w:val="center"/>
        </w:trPr>
        <w:tc>
          <w:tcPr>
            <w:tcW w:w="855"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w:t>
            </w:r>
          </w:p>
        </w:tc>
        <w:tc>
          <w:tcPr>
            <w:tcW w:w="993"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8.2</w:t>
            </w:r>
          </w:p>
        </w:tc>
        <w:tc>
          <w:tcPr>
            <w:tcW w:w="993"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w:t>
            </w:r>
          </w:p>
        </w:tc>
        <w:tc>
          <w:tcPr>
            <w:tcW w:w="1134"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13.1</w:t>
            </w:r>
          </w:p>
        </w:tc>
        <w:tc>
          <w:tcPr>
            <w:tcW w:w="1134"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w:t>
            </w:r>
          </w:p>
        </w:tc>
        <w:tc>
          <w:tcPr>
            <w:tcW w:w="992"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3.05</w:t>
            </w:r>
          </w:p>
        </w:tc>
        <w:tc>
          <w:tcPr>
            <w:tcW w:w="1182"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0.165</w:t>
            </w:r>
          </w:p>
        </w:tc>
        <w:tc>
          <w:tcPr>
            <w:tcW w:w="1152"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2.674</w:t>
            </w:r>
          </w:p>
        </w:tc>
        <w:tc>
          <w:tcPr>
            <w:tcW w:w="1152" w:type="dxa"/>
            <w:tcBorders>
              <w:top w:val="single" w:sz="4" w:space="0" w:color="auto"/>
            </w:tcBorders>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4.4</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0.285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3.410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0.110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2.667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0.175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1.11</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0.306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2.946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3.01</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0.198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4.179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3.927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0.069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0.232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3.534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0.125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0.313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1.970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0.238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2.681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0.193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2.860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0.000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3.702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0.236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2.591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0.083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2.866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0.258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2.855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6.8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0.078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3.802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0.191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18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5.700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0.353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lastRenderedPageBreak/>
              <w:t>19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0.162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2.039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0.115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3.639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0.117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3.780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0.191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0.161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0.411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0.212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r w:rsidRPr="00A92248">
              <w:rPr>
                <w:rFonts w:ascii="Times New Roman" w:hAnsi="Times New Roman" w:cs="宋体"/>
                <w:color w:val="000000" w:themeColor="text1"/>
                <w:kern w:val="0"/>
              </w:rPr>
              <w:t>0</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0.071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2.768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0.174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5.35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2.798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3.211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0.061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4.216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0.289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28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0.240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3.046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0.214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0.238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3.219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0.197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0.093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2.384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0.292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2.590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0.091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2.28</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0.509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3.166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0.122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3.379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0.126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0.550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3.648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39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0.217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3.609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0.089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2.968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0.164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0.311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2.593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0.321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2.398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0.368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2.993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6.2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4.095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47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0.115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3.326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0.188</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3.31</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0.156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1.011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0.016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0.379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2.447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3.060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6.2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0.500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3.526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0.100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GL1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0.507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2.027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GL2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2.77</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0.145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3.179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GL3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0.373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2.345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GL5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6.2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0.240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4.075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GL7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0.428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2.278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ST1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0.342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1.732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ST2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0.806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2.834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ST3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3.12</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0.604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2.071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ST4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2.39</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0.360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1.505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ST5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0.561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3.149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0.058</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4.9</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2.98</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1.108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2.421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4.9</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2.91</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1.094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3.470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0.077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1.159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3.099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0.065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TL10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0.803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2.137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DD1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0.645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4.371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0.000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XD9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1.59</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0.578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2.701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ZT3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0.443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3.569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SN4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7.9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0.567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3.998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XD5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3.9</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1.49</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0.953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3.155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JZ4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6.8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1.38</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0.634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3.191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LS1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1.193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2.500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XL4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16.7</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0.519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3.001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ZL7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5.3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1.39</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0.871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4.424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lastRenderedPageBreak/>
              <w:t>XL7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0.535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3.445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JZ1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0.263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3.276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0.055</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MZ8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0.605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2.242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SS8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1.38</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0.478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2.462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JZ9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13.8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0.217</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3.018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0.061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11.6</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1.24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0.821</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3.123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TB3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2.1</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0.528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1.849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0.029</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SS2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9.7</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1.11</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0.400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3.880</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ZT4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7.8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3.5</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0.504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2.744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0.000</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JZ3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0.572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2.753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0.033</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SS1</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1.46</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0.442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3.315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0.044</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ZL3</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8.5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3.0</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15.1</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0.724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2.238</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0.031</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GX5</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9.8</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3.8</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1.65</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0.405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2.822</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RD2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10.2</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16.2</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4.2</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1.18</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0.236</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4.369</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0.072</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GX10</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11.4</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16.9</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2.0</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1.4</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0.623</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2.354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0.026</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180" w:lineRule="exact"/>
              <w:jc w:val="center"/>
              <w:rPr>
                <w:rFonts w:ascii="Times New Roman" w:hAnsi="Times New Roman" w:cs="宋体"/>
                <w:b/>
                <w:bCs/>
                <w:color w:val="000000" w:themeColor="text1"/>
                <w:kern w:val="0"/>
              </w:rPr>
            </w:pPr>
            <w:r w:rsidRPr="00A92248">
              <w:rPr>
                <w:rFonts w:ascii="Times New Roman" w:hAnsi="Times New Roman" w:cs="宋体" w:hint="eastAsia"/>
                <w:b/>
                <w:bCs/>
                <w:color w:val="000000" w:themeColor="text1"/>
                <w:kern w:val="0"/>
              </w:rPr>
              <w:t>TL9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9.9</w:t>
            </w:r>
          </w:p>
        </w:tc>
        <w:tc>
          <w:tcPr>
            <w:tcW w:w="993"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19.8</w:t>
            </w:r>
          </w:p>
        </w:tc>
        <w:tc>
          <w:tcPr>
            <w:tcW w:w="1134"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3.4</w:t>
            </w:r>
          </w:p>
        </w:tc>
        <w:tc>
          <w:tcPr>
            <w:tcW w:w="99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1.73</w:t>
            </w:r>
          </w:p>
        </w:tc>
        <w:tc>
          <w:tcPr>
            <w:tcW w:w="118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0.725</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2.824</w:t>
            </w:r>
          </w:p>
        </w:tc>
        <w:tc>
          <w:tcPr>
            <w:tcW w:w="1152" w:type="dxa"/>
            <w:shd w:val="clear" w:color="auto" w:fill="auto"/>
            <w:noWrap/>
            <w:vAlign w:val="center"/>
          </w:tcPr>
          <w:p w:rsidR="008B1168" w:rsidRPr="00A92248" w:rsidRDefault="00FE6FF4">
            <w:pPr>
              <w:widowControl/>
              <w:spacing w:line="18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0.037</w:t>
            </w:r>
          </w:p>
        </w:tc>
      </w:tr>
      <w:tr w:rsidR="00A92248" w:rsidRPr="00A92248">
        <w:trPr>
          <w:trHeight w:val="270"/>
          <w:jc w:val="center"/>
        </w:trPr>
        <w:tc>
          <w:tcPr>
            <w:tcW w:w="855"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均值</w:t>
            </w:r>
          </w:p>
        </w:tc>
        <w:tc>
          <w:tcPr>
            <w:tcW w:w="993"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9.926</w:t>
            </w:r>
          </w:p>
        </w:tc>
        <w:tc>
          <w:tcPr>
            <w:tcW w:w="993"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3.105</w:t>
            </w:r>
          </w:p>
        </w:tc>
        <w:tc>
          <w:tcPr>
            <w:tcW w:w="1134"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17.263</w:t>
            </w:r>
          </w:p>
        </w:tc>
        <w:tc>
          <w:tcPr>
            <w:tcW w:w="1134"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3.6</w:t>
            </w:r>
          </w:p>
        </w:tc>
        <w:tc>
          <w:tcPr>
            <w:tcW w:w="992"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2.57</w:t>
            </w:r>
          </w:p>
        </w:tc>
        <w:tc>
          <w:tcPr>
            <w:tcW w:w="1182"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0.386</w:t>
            </w:r>
          </w:p>
        </w:tc>
        <w:tc>
          <w:tcPr>
            <w:tcW w:w="1152"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2.995</w:t>
            </w:r>
          </w:p>
        </w:tc>
        <w:tc>
          <w:tcPr>
            <w:tcW w:w="1152" w:type="dxa"/>
            <w:shd w:val="clear" w:color="auto" w:fill="auto"/>
            <w:noWrap/>
            <w:vAlign w:val="center"/>
          </w:tcPr>
          <w:p w:rsidR="008B1168" w:rsidRPr="00A92248" w:rsidRDefault="00FE6FF4">
            <w:pPr>
              <w:widowControl/>
              <w:spacing w:line="240" w:lineRule="exact"/>
              <w:jc w:val="center"/>
              <w:rPr>
                <w:rFonts w:ascii="Times New Roman" w:hAnsi="Times New Roman" w:cs="宋体"/>
                <w:color w:val="000000" w:themeColor="text1"/>
                <w:kern w:val="0"/>
              </w:rPr>
            </w:pPr>
            <w:r w:rsidRPr="00A92248">
              <w:rPr>
                <w:rFonts w:ascii="Times New Roman" w:hAnsi="Times New Roman" w:cs="宋体" w:hint="eastAsia"/>
                <w:color w:val="000000" w:themeColor="text1"/>
                <w:kern w:val="0"/>
              </w:rPr>
              <w:t>0.097</w:t>
            </w:r>
          </w:p>
        </w:tc>
      </w:tr>
    </w:tbl>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本研究收集到越南、广西、广东等不同产地的肉桂样品共92批，覆盖中通、桂板、烟桂等多种类型及剥皮、未剥皮不同加工状态，确保了样品的代表性与多样性。在此基础上，参照 2020 年版《中国药典》相关通则，完成了92批肉桂样品的性状鉴定、厚度测定，以及水分（仅GX3超15%限量）、总灰分（49、16 等6批超5.0%限量）、挥发油（29、30等4批低于1.2%(ml/g)限量）、乙醇浸出物的检测，明确了不同样品在常规质量指标上的差异。另外，由于本研究欲建立肉桂的多指标含量同时测定的方法，未采用药典中肉桂的桂皮醛含量测定的方法，因此本部分内容不对样品中的肉桂醛含量合格与否做判定。将超出水分、总灰分、低于挥发油限定的样品GX3、49、16、TL8、41、26、15、29、30、31、TB5共11批样品剔除，剩余81批合格样品纳入后续研究。基于上述已获取的多维度质量数据，后续将进一步分析外观性状与内在质量指标的关联性，结合化学计量学方法构建综合评价模型，进而实现对肉桂药材质量等级的科学划分，为完善肉桂质量评价体系奠定基础。</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lastRenderedPageBreak/>
        <w:t>根据表2。</w:t>
      </w:r>
      <w:r w:rsidRPr="00A92248">
        <w:rPr>
          <w:rFonts w:ascii="仿宋_GB2312" w:eastAsia="仿宋_GB2312"/>
          <w:color w:val="000000" w:themeColor="text1"/>
          <w:sz w:val="32"/>
          <w:szCs w:val="32"/>
        </w:rPr>
        <w:t>厚度</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3.0mm</w:t>
      </w:r>
      <w:r w:rsidRPr="00A92248">
        <w:rPr>
          <w:rFonts w:ascii="仿宋_GB2312" w:eastAsia="仿宋_GB2312" w:hint="eastAsia"/>
          <w:color w:val="000000" w:themeColor="text1"/>
          <w:sz w:val="32"/>
          <w:szCs w:val="32"/>
        </w:rPr>
        <w:t>的样品有</w:t>
      </w:r>
      <w:r w:rsidRPr="00A92248">
        <w:rPr>
          <w:rFonts w:ascii="仿宋_GB2312" w:eastAsia="仿宋_GB2312"/>
          <w:color w:val="000000" w:themeColor="text1"/>
          <w:sz w:val="32"/>
          <w:szCs w:val="32"/>
        </w:rPr>
        <w:t>27</w:t>
      </w:r>
      <w:r w:rsidRPr="00A92248">
        <w:rPr>
          <w:rFonts w:ascii="仿宋_GB2312" w:eastAsia="仿宋_GB2312" w:hint="eastAsia"/>
          <w:color w:val="000000" w:themeColor="text1"/>
          <w:sz w:val="32"/>
          <w:szCs w:val="32"/>
        </w:rPr>
        <w:t>个，占合格样本总数的</w:t>
      </w:r>
      <w:r w:rsidRPr="00A92248">
        <w:rPr>
          <w:rFonts w:ascii="仿宋_GB2312" w:eastAsia="仿宋_GB2312"/>
          <w:color w:val="000000" w:themeColor="text1"/>
          <w:sz w:val="32"/>
          <w:szCs w:val="32"/>
        </w:rPr>
        <w:t>33.33</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厚皮优质品，占比约 1/3，高端品生长年限要求</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定</w:t>
      </w:r>
      <w:r w:rsidRPr="00A92248">
        <w:rPr>
          <w:rFonts w:ascii="仿宋_GB2312" w:eastAsia="仿宋_GB2312" w:hint="eastAsia"/>
          <w:color w:val="000000" w:themeColor="text1"/>
          <w:sz w:val="32"/>
          <w:szCs w:val="32"/>
        </w:rPr>
        <w:t>为</w:t>
      </w:r>
      <w:r w:rsidRPr="00A92248">
        <w:rPr>
          <w:rFonts w:ascii="仿宋_GB2312" w:eastAsia="仿宋_GB2312"/>
          <w:color w:val="000000" w:themeColor="text1"/>
          <w:sz w:val="32"/>
          <w:szCs w:val="32"/>
        </w:rPr>
        <w:t>特级</w:t>
      </w:r>
      <w:r w:rsidRPr="00A92248">
        <w:rPr>
          <w:rFonts w:ascii="仿宋_GB2312" w:eastAsia="仿宋_GB2312" w:hint="eastAsia"/>
          <w:color w:val="000000" w:themeColor="text1"/>
          <w:sz w:val="32"/>
          <w:szCs w:val="32"/>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color w:val="000000" w:themeColor="text1"/>
          <w:sz w:val="32"/>
          <w:szCs w:val="32"/>
        </w:rPr>
        <w:t>厚度</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2.0mm</w:t>
      </w:r>
      <w:r w:rsidRPr="00A92248">
        <w:rPr>
          <w:rFonts w:ascii="仿宋_GB2312" w:eastAsia="仿宋_GB2312" w:hint="eastAsia"/>
          <w:color w:val="000000" w:themeColor="text1"/>
          <w:sz w:val="32"/>
          <w:szCs w:val="32"/>
        </w:rPr>
        <w:t>的样品有</w:t>
      </w:r>
      <w:r w:rsidRPr="00A92248">
        <w:rPr>
          <w:rFonts w:ascii="仿宋_GB2312" w:eastAsia="仿宋_GB2312"/>
          <w:color w:val="000000" w:themeColor="text1"/>
          <w:sz w:val="32"/>
          <w:szCs w:val="32"/>
        </w:rPr>
        <w:t>60</w:t>
      </w:r>
      <w:r w:rsidRPr="00A92248">
        <w:rPr>
          <w:rFonts w:ascii="仿宋_GB2312" w:eastAsia="仿宋_GB2312" w:hint="eastAsia"/>
          <w:color w:val="000000" w:themeColor="text1"/>
          <w:sz w:val="32"/>
          <w:szCs w:val="32"/>
        </w:rPr>
        <w:t>个，占合格样本总数的</w:t>
      </w:r>
      <w:r w:rsidRPr="00A92248">
        <w:rPr>
          <w:rFonts w:ascii="仿宋_GB2312" w:eastAsia="仿宋_GB2312"/>
          <w:color w:val="000000" w:themeColor="text1"/>
          <w:sz w:val="32"/>
          <w:szCs w:val="32"/>
        </w:rPr>
        <w:t>74.07</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主流厚度区间，占比超 70%，产业核心品质厚皮标准</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定</w:t>
      </w:r>
      <w:r w:rsidRPr="00A92248">
        <w:rPr>
          <w:rFonts w:ascii="仿宋_GB2312" w:eastAsia="仿宋_GB2312" w:hint="eastAsia"/>
          <w:color w:val="000000" w:themeColor="text1"/>
          <w:sz w:val="32"/>
          <w:szCs w:val="32"/>
        </w:rPr>
        <w:t>为一</w:t>
      </w:r>
      <w:r w:rsidRPr="00A92248">
        <w:rPr>
          <w:rFonts w:ascii="仿宋_GB2312" w:eastAsia="仿宋_GB2312"/>
          <w:color w:val="000000" w:themeColor="text1"/>
          <w:sz w:val="32"/>
          <w:szCs w:val="32"/>
        </w:rPr>
        <w:t>级</w:t>
      </w:r>
      <w:r w:rsidRPr="00A92248">
        <w:rPr>
          <w:rFonts w:ascii="仿宋_GB2312" w:eastAsia="仿宋_GB2312" w:hint="eastAsia"/>
          <w:color w:val="000000" w:themeColor="text1"/>
          <w:sz w:val="32"/>
          <w:szCs w:val="32"/>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color w:val="000000" w:themeColor="text1"/>
          <w:sz w:val="32"/>
          <w:szCs w:val="32"/>
        </w:rPr>
        <w:t>厚度</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1.0mm</w:t>
      </w:r>
      <w:r w:rsidRPr="00A92248">
        <w:rPr>
          <w:rFonts w:ascii="仿宋_GB2312" w:eastAsia="仿宋_GB2312" w:hint="eastAsia"/>
          <w:color w:val="000000" w:themeColor="text1"/>
          <w:sz w:val="32"/>
          <w:szCs w:val="32"/>
        </w:rPr>
        <w:t>的样品有</w:t>
      </w:r>
      <w:r w:rsidRPr="00A92248">
        <w:rPr>
          <w:rFonts w:ascii="仿宋_GB2312" w:eastAsia="仿宋_GB2312"/>
          <w:color w:val="000000" w:themeColor="text1"/>
          <w:sz w:val="32"/>
          <w:szCs w:val="32"/>
        </w:rPr>
        <w:t>81</w:t>
      </w:r>
      <w:r w:rsidRPr="00A92248">
        <w:rPr>
          <w:rFonts w:ascii="仿宋_GB2312" w:eastAsia="仿宋_GB2312" w:hint="eastAsia"/>
          <w:color w:val="000000" w:themeColor="text1"/>
          <w:sz w:val="32"/>
          <w:szCs w:val="32"/>
        </w:rPr>
        <w:t>个，占合格样本总数的</w:t>
      </w:r>
      <w:r w:rsidRPr="00A92248">
        <w:rPr>
          <w:rFonts w:ascii="仿宋_GB2312" w:eastAsia="仿宋_GB2312"/>
          <w:color w:val="000000" w:themeColor="text1"/>
          <w:sz w:val="32"/>
          <w:szCs w:val="32"/>
        </w:rPr>
        <w:t>100</w:t>
      </w:r>
      <w:r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厚度与挥发油总量正相关，特级设定</w:t>
      </w:r>
      <w:r w:rsidR="00965BAE" w:rsidRPr="00A92248">
        <w:rPr>
          <w:rFonts w:ascii="仿宋_GB2312" w:eastAsia="仿宋_GB2312" w:hint="eastAsia"/>
          <w:color w:val="000000" w:themeColor="text1"/>
          <w:sz w:val="32"/>
          <w:szCs w:val="32"/>
        </w:rPr>
        <w:t>≥</w:t>
      </w:r>
      <w:r w:rsidR="00965BAE" w:rsidRPr="00A92248">
        <w:rPr>
          <w:rFonts w:ascii="仿宋_GB2312" w:eastAsia="仿宋_GB2312"/>
          <w:color w:val="000000" w:themeColor="text1"/>
          <w:sz w:val="32"/>
          <w:szCs w:val="32"/>
        </w:rPr>
        <w:t>3.0mm</w:t>
      </w:r>
      <w:r w:rsidRPr="00A92248">
        <w:rPr>
          <w:rFonts w:ascii="仿宋_GB2312" w:eastAsia="仿宋_GB2312"/>
          <w:color w:val="000000" w:themeColor="text1"/>
          <w:sz w:val="32"/>
          <w:szCs w:val="32"/>
        </w:rPr>
        <w:t>贴合高端品</w:t>
      </w:r>
      <w:r w:rsidR="0038771B" w:rsidRPr="00A92248">
        <w:rPr>
          <w:rFonts w:ascii="仿宋_GB2312" w:eastAsia="仿宋_GB2312" w:hint="eastAsia"/>
          <w:color w:val="000000" w:themeColor="text1"/>
          <w:sz w:val="32"/>
          <w:szCs w:val="32"/>
        </w:rPr>
        <w:t>“</w:t>
      </w:r>
      <w:r w:rsidR="0038771B" w:rsidRPr="00A92248">
        <w:rPr>
          <w:rFonts w:ascii="仿宋_GB2312" w:eastAsia="仿宋_GB2312"/>
          <w:color w:val="000000" w:themeColor="text1"/>
          <w:sz w:val="32"/>
          <w:szCs w:val="32"/>
        </w:rPr>
        <w:t>厚皮油足</w:t>
      </w:r>
      <w:r w:rsidR="0038771B" w:rsidRPr="00A92248">
        <w:rPr>
          <w:rFonts w:ascii="仿宋_GB2312" w:eastAsia="仿宋_GB2312" w:hint="eastAsia"/>
          <w:color w:val="000000" w:themeColor="text1"/>
          <w:sz w:val="32"/>
          <w:szCs w:val="32"/>
        </w:rPr>
        <w:t>”</w:t>
      </w:r>
      <w:r w:rsidRPr="00A92248">
        <w:rPr>
          <w:rFonts w:ascii="仿宋_GB2312" w:eastAsia="仿宋_GB2312"/>
          <w:color w:val="000000" w:themeColor="text1"/>
          <w:sz w:val="32"/>
          <w:szCs w:val="32"/>
        </w:rPr>
        <w:t>的品质认知，二级覆盖所有薄皮样本</w:t>
      </w:r>
      <w:r w:rsidRPr="00A92248">
        <w:rPr>
          <w:rFonts w:ascii="仿宋_GB2312" w:eastAsia="仿宋_GB2312" w:hint="eastAsia"/>
          <w:color w:val="000000" w:themeColor="text1"/>
          <w:sz w:val="32"/>
          <w:szCs w:val="32"/>
        </w:rPr>
        <w:t>。</w:t>
      </w:r>
    </w:p>
    <w:p w:rsidR="008B1168" w:rsidRPr="00A92248" w:rsidRDefault="00FE6FF4">
      <w:pPr>
        <w:numPr>
          <w:ilvl w:val="0"/>
          <w:numId w:val="8"/>
        </w:num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肉桂药材的质量等级标准评价研究</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2.1肉桂药材综合评价指数的建立</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2.1.1肉桂药材质量PCA客观赋权及内在质量复合常数A的建立</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应用Origin 2024软件对82批肉桂药材样品的挥发油、桂皮醛、乙醇浸出物、肉桂酸、原花青素B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含量测定结果进行PCA分析，得到3个主成分，其中主成分1、主成分2、主成分3的初始特征值分别为2.159、1.482、0.625，方差解释率分别为43.174%、29.641%、12.495%，肉桂酸在主成分1具有较高的载荷，桂皮醛在主成分2具有较高的载荷，乙醇浸出物在主成分3具有较高的载荷（表3、表4），按照（1）（2）（3）式计算特征向量和指标权重，结果见表5。计算得到挥发油、桂皮醛、乙醇浸出物、肉桂酸、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含量的权重分别为0.239、0.179、0.150、0.223、0.210。</w:t>
      </w:r>
    </w:p>
    <w:p w:rsidR="008B1168" w:rsidRPr="00A92248" w:rsidRDefault="000C4A98">
      <w:pPr>
        <w:pStyle w:val="afff8"/>
        <w:jc w:val="center"/>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e</m:t>
            </m:r>
          </m:e>
          <m:sub>
            <m:r>
              <w:rPr>
                <w:rFonts w:ascii="Cambria Math" w:hAnsi="Cambria Math"/>
                <w:color w:val="000000" w:themeColor="text1"/>
              </w:rPr>
              <m:t>ik</m:t>
            </m:r>
          </m:sub>
        </m:sSub>
        <m:r>
          <w:rPr>
            <w:rFonts w:ascii="Cambria Math" w:hAnsi="Cambria Math"/>
            <w:color w:val="000000" w:themeColor="text1"/>
          </w:rPr>
          <m: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ik</m:t>
                </m:r>
              </m:sub>
            </m:sSub>
          </m:num>
          <m:den>
            <m:sSub>
              <m:sSubPr>
                <m:ctrlPr>
                  <w:rPr>
                    <w:rFonts w:ascii="Cambria Math" w:hAnsi="Cambria Math"/>
                    <w:i/>
                    <w:color w:val="000000" w:themeColor="text1"/>
                  </w:rPr>
                </m:ctrlPr>
              </m:sSubPr>
              <m:e>
                <m:rad>
                  <m:radPr>
                    <m:degHide m:val="1"/>
                    <m:ctrlPr>
                      <w:rPr>
                        <w:rFonts w:ascii="Cambria Math" w:hAnsi="Cambria Math"/>
                        <w:i/>
                        <w:color w:val="000000" w:themeColor="text1"/>
                      </w:rPr>
                    </m:ctrlPr>
                  </m:radPr>
                  <m:deg/>
                  <m:e>
                    <m:r>
                      <m:rPr>
                        <m:sty m:val="p"/>
                      </m:rPr>
                      <w:rPr>
                        <w:rFonts w:ascii="Cambria Math" w:hAnsi="Cambria Math" w:hint="eastAsia"/>
                        <w:color w:val="000000" w:themeColor="text1"/>
                      </w:rPr>
                      <w:sym w:font="Symbol" w:char="F06C"/>
                    </m:r>
                  </m:e>
                </m:rad>
              </m:e>
              <m:sub>
                <m:r>
                  <w:rPr>
                    <w:rFonts w:ascii="Cambria Math" w:hAnsi="Cambria Math"/>
                    <w:color w:val="000000" w:themeColor="text1"/>
                  </w:rPr>
                  <m:t>ik</m:t>
                </m:r>
              </m:sub>
            </m:sSub>
          </m:den>
        </m:f>
      </m:oMath>
      <w:r w:rsidR="00FE6FF4" w:rsidRPr="00A92248">
        <w:rPr>
          <w:rFonts w:hint="eastAsia"/>
          <w:color w:val="000000" w:themeColor="text1"/>
        </w:rPr>
        <w:t xml:space="preserve"> </w:t>
      </w:r>
      <w:r w:rsidR="00FE6FF4" w:rsidRPr="00A92248">
        <w:rPr>
          <w:color w:val="000000" w:themeColor="text1"/>
        </w:rPr>
        <w:t xml:space="preserve">              </w:t>
      </w:r>
      <w:r w:rsidR="00FE6FF4" w:rsidRPr="00A92248">
        <w:rPr>
          <w:rFonts w:hint="eastAsia"/>
          <w:color w:val="000000" w:themeColor="text1"/>
        </w:rPr>
        <w:t>（</w:t>
      </w:r>
      <w:r w:rsidR="00FE6FF4" w:rsidRPr="00A92248">
        <w:rPr>
          <w:rFonts w:hint="eastAsia"/>
          <w:color w:val="000000" w:themeColor="text1"/>
        </w:rPr>
        <w:t>1</w:t>
      </w:r>
      <w:r w:rsidR="00FE6FF4" w:rsidRPr="00A92248">
        <w:rPr>
          <w:rFonts w:hint="eastAsia"/>
          <w:color w:val="000000" w:themeColor="text1"/>
        </w:rPr>
        <w:t>）</w:t>
      </w:r>
    </w:p>
    <w:p w:rsidR="008B1168" w:rsidRPr="00A92248" w:rsidRDefault="000C4A98">
      <w:pPr>
        <w:pStyle w:val="afff8"/>
        <w:jc w:val="center"/>
        <w:rPr>
          <w:color w:val="000000" w:themeColor="text1"/>
        </w:rPr>
      </w:pPr>
      <m:oMath>
        <m:sSub>
          <m:sSubPr>
            <m:ctrlPr>
              <w:rPr>
                <w:rFonts w:ascii="Cambria Math" w:hAnsi="Cambria Math"/>
                <w:color w:val="000000" w:themeColor="text1"/>
              </w:rPr>
            </m:ctrlPr>
          </m:sSubPr>
          <m:e>
            <m:r>
              <w:rPr>
                <w:rFonts w:ascii="Cambria Math" w:hAnsi="Cambria Math" w:hint="eastAsia"/>
                <w:color w:val="000000" w:themeColor="text1"/>
              </w:rPr>
              <m:t>s</m:t>
            </m:r>
          </m:e>
          <m:sub>
            <m:r>
              <w:rPr>
                <w:rFonts w:ascii="Cambria Math" w:hAnsi="Cambria Math" w:hint="eastAsia"/>
                <w:color w:val="000000" w:themeColor="text1"/>
              </w:rPr>
              <m:t>i</m:t>
            </m:r>
          </m:sub>
        </m:sSub>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f</m:t>
            </m:r>
          </m:den>
        </m:f>
        <m:nary>
          <m:naryPr>
            <m:chr m:val="∑"/>
            <m:limLoc m:val="subSup"/>
            <m:ctrlPr>
              <w:rPr>
                <w:rFonts w:ascii="Cambria Math" w:hAnsi="Cambria Math"/>
                <w:color w:val="000000" w:themeColor="text1"/>
              </w:rPr>
            </m:ctrlPr>
          </m:naryPr>
          <m:sub>
            <m:r>
              <w:rPr>
                <w:rFonts w:ascii="Cambria Math" w:hAnsi="Cambria Math"/>
                <w:color w:val="000000" w:themeColor="text1"/>
              </w:rPr>
              <m:t>1</m:t>
            </m:r>
          </m:sub>
          <m:sup>
            <m:r>
              <w:rPr>
                <w:rFonts w:ascii="Cambria Math" w:hAnsi="Cambria Math"/>
                <w:color w:val="000000" w:themeColor="text1"/>
              </w:rPr>
              <m:t>3</m:t>
            </m:r>
          </m:sup>
          <m:e>
            <m:r>
              <w:rPr>
                <w:rFonts w:ascii="Cambria Math" w:hAnsi="Cambria Math"/>
                <w:color w:val="000000" w:themeColor="text1"/>
              </w:rPr>
              <m:t>(</m:t>
            </m:r>
            <m:d>
              <m:dPr>
                <m:begChr m:val="|"/>
                <m:endChr m:val="|"/>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e</m:t>
                    </m:r>
                  </m:e>
                  <m:sub>
                    <m:r>
                      <w:rPr>
                        <w:rFonts w:ascii="Cambria Math" w:hAnsi="Cambria Math"/>
                        <w:color w:val="000000" w:themeColor="text1"/>
                      </w:rPr>
                      <m:t>ik</m:t>
                    </m:r>
                  </m:sub>
                </m:sSub>
                <m:ctrlPr>
                  <w:rPr>
                    <w:rFonts w:ascii="Cambria Math" w:hAnsi="Cambria Math"/>
                    <w:i/>
                    <w:color w:val="000000" w:themeColor="text1"/>
                  </w:rPr>
                </m:ctrlPr>
              </m:e>
            </m:d>
          </m:e>
        </m:nary>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k</m:t>
            </m:r>
          </m:sub>
        </m:sSub>
        <m:r>
          <w:rPr>
            <w:rFonts w:ascii="Cambria Math" w:hAnsi="Cambria Math"/>
            <w:color w:val="000000" w:themeColor="text1"/>
          </w:rPr>
          <m:t>)</m:t>
        </m:r>
      </m:oMath>
      <w:r w:rsidR="00FE6FF4" w:rsidRPr="00A92248">
        <w:rPr>
          <w:rFonts w:hint="eastAsia"/>
          <w:color w:val="000000" w:themeColor="text1"/>
        </w:rPr>
        <w:t xml:space="preserve"> </w:t>
      </w:r>
      <w:r w:rsidR="00FE6FF4" w:rsidRPr="00A92248">
        <w:rPr>
          <w:color w:val="000000" w:themeColor="text1"/>
        </w:rPr>
        <w:t xml:space="preserve">       </w:t>
      </w:r>
      <w:r w:rsidR="00FE6FF4" w:rsidRPr="00A92248">
        <w:rPr>
          <w:rFonts w:hint="eastAsia"/>
          <w:color w:val="000000" w:themeColor="text1"/>
        </w:rPr>
        <w:t>（</w:t>
      </w:r>
      <w:r w:rsidR="00FE6FF4" w:rsidRPr="00A92248">
        <w:rPr>
          <w:rFonts w:hint="eastAsia"/>
          <w:color w:val="000000" w:themeColor="text1"/>
        </w:rPr>
        <w:t>2</w:t>
      </w:r>
      <w:r w:rsidR="00FE6FF4" w:rsidRPr="00A92248">
        <w:rPr>
          <w:rFonts w:hint="eastAsia"/>
          <w:color w:val="000000" w:themeColor="text1"/>
        </w:rPr>
        <w:t>）</w:t>
      </w:r>
    </w:p>
    <w:p w:rsidR="008B1168" w:rsidRPr="00A92248" w:rsidRDefault="000C4A98">
      <w:pPr>
        <w:pStyle w:val="afff8"/>
        <w:jc w:val="center"/>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W</m:t>
            </m:r>
          </m:e>
          <m:sub>
            <m:r>
              <w:rPr>
                <w:rFonts w:ascii="Cambria Math" w:hAnsi="Cambria Math"/>
                <w:color w:val="000000" w:themeColor="text1"/>
              </w:rPr>
              <m:t>i</m:t>
            </m:r>
          </m:sub>
        </m:sSub>
        <m:r>
          <w:rPr>
            <w:rFonts w:ascii="Cambria Math" w:hAnsi="Cambria Math"/>
            <w:color w:val="000000" w:themeColor="text1"/>
          </w:rPr>
          <m: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num>
          <m:den>
            <m:nary>
              <m:naryPr>
                <m:chr m:val="∑"/>
                <m:limLoc m:val="subSup"/>
                <m:ctrlPr>
                  <w:rPr>
                    <w:rFonts w:ascii="Cambria Math" w:hAnsi="Cambria Math"/>
                    <w:i/>
                    <w:color w:val="000000" w:themeColor="text1"/>
                  </w:rPr>
                </m:ctrlPr>
              </m:naryPr>
              <m:sub>
                <m:r>
                  <w:rPr>
                    <w:rFonts w:ascii="Cambria Math" w:hAnsi="Cambria Math"/>
                    <w:color w:val="000000" w:themeColor="text1"/>
                  </w:rPr>
                  <m:t>1</m:t>
                </m:r>
              </m:sub>
              <m:sup>
                <m:r>
                  <w:rPr>
                    <w:rFonts w:ascii="Cambria Math" w:hAnsi="Cambria Math"/>
                    <w:color w:val="000000" w:themeColor="text1"/>
                  </w:rPr>
                  <m:t>5</m:t>
                </m:r>
              </m:sup>
              <m:e>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e>
            </m:nary>
          </m:den>
        </m:f>
      </m:oMath>
      <w:r w:rsidR="00FE6FF4" w:rsidRPr="00A92248">
        <w:rPr>
          <w:rFonts w:hint="eastAsia"/>
          <w:color w:val="000000" w:themeColor="text1"/>
        </w:rPr>
        <w:t xml:space="preserve"> </w:t>
      </w:r>
      <w:r w:rsidR="00FE6FF4" w:rsidRPr="00A92248">
        <w:rPr>
          <w:color w:val="000000" w:themeColor="text1"/>
        </w:rPr>
        <w:t xml:space="preserve">               </w:t>
      </w:r>
      <w:r w:rsidR="00FE6FF4" w:rsidRPr="00A92248">
        <w:rPr>
          <w:rFonts w:hint="eastAsia"/>
          <w:color w:val="000000" w:themeColor="text1"/>
        </w:rPr>
        <w:t>（</w:t>
      </w:r>
      <w:r w:rsidR="00FE6FF4" w:rsidRPr="00A92248">
        <w:rPr>
          <w:rFonts w:hint="eastAsia"/>
          <w:color w:val="000000" w:themeColor="text1"/>
        </w:rPr>
        <w:t>3</w:t>
      </w:r>
      <w:r w:rsidR="00FE6FF4" w:rsidRPr="00A92248">
        <w:rPr>
          <w:rFonts w:hint="eastAsia"/>
          <w:color w:val="000000" w:themeColor="text1"/>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(其中，e</w:t>
      </w:r>
      <w:r w:rsidRPr="00A92248">
        <w:rPr>
          <w:rFonts w:ascii="仿宋_GB2312" w:eastAsia="仿宋_GB2312" w:hint="eastAsia"/>
          <w:color w:val="000000" w:themeColor="text1"/>
          <w:sz w:val="32"/>
          <w:szCs w:val="32"/>
          <w:vertAlign w:val="subscript"/>
        </w:rPr>
        <w:t>ik</w:t>
      </w:r>
      <w:r w:rsidRPr="00A92248">
        <w:rPr>
          <w:rFonts w:ascii="仿宋_GB2312" w:eastAsia="仿宋_GB2312" w:hint="eastAsia"/>
          <w:color w:val="000000" w:themeColor="text1"/>
          <w:sz w:val="32"/>
          <w:szCs w:val="32"/>
        </w:rPr>
        <w:t>表示第i个指标变量在第k个主成分的特征向量，α</w:t>
      </w:r>
      <w:r w:rsidRPr="00A92248">
        <w:rPr>
          <w:rFonts w:ascii="仿宋_GB2312" w:eastAsia="仿宋_GB2312" w:hint="eastAsia"/>
          <w:color w:val="000000" w:themeColor="text1"/>
          <w:sz w:val="32"/>
          <w:szCs w:val="32"/>
          <w:vertAlign w:val="subscript"/>
        </w:rPr>
        <w:t>ik</w:t>
      </w:r>
      <w:r w:rsidRPr="00A92248">
        <w:rPr>
          <w:rFonts w:ascii="仿宋_GB2312" w:eastAsia="仿宋_GB2312" w:hint="eastAsia"/>
          <w:color w:val="000000" w:themeColor="text1"/>
          <w:sz w:val="32"/>
          <w:szCs w:val="32"/>
        </w:rPr>
        <w:t>表示第i个指标变量在第k个主成分旋转后的因子载荷，s</w:t>
      </w:r>
      <w:r w:rsidRPr="00A92248">
        <w:rPr>
          <w:rFonts w:ascii="仿宋_GB2312" w:eastAsia="仿宋_GB2312" w:hint="eastAsia"/>
          <w:color w:val="000000" w:themeColor="text1"/>
          <w:sz w:val="32"/>
          <w:szCs w:val="32"/>
          <w:vertAlign w:val="subscript"/>
        </w:rPr>
        <w:t>i</w:t>
      </w:r>
      <w:r w:rsidRPr="00A92248">
        <w:rPr>
          <w:rFonts w:ascii="仿宋_GB2312" w:eastAsia="仿宋_GB2312" w:hint="eastAsia"/>
          <w:color w:val="000000" w:themeColor="text1"/>
          <w:sz w:val="32"/>
          <w:szCs w:val="32"/>
        </w:rPr>
        <w:lastRenderedPageBreak/>
        <w:t>表示第i个指标的得分系数，表示3个主成分的累计总解释率，f</w:t>
      </w:r>
      <w:r w:rsidRPr="00A92248">
        <w:rPr>
          <w:rFonts w:ascii="仿宋_GB2312" w:eastAsia="仿宋_GB2312" w:hint="eastAsia"/>
          <w:color w:val="000000" w:themeColor="text1"/>
          <w:sz w:val="32"/>
          <w:szCs w:val="32"/>
          <w:vertAlign w:val="subscript"/>
        </w:rPr>
        <w:t>k</w:t>
      </w:r>
      <w:r w:rsidRPr="00A92248">
        <w:rPr>
          <w:rFonts w:ascii="仿宋_GB2312" w:eastAsia="仿宋_GB2312" w:hint="eastAsia"/>
          <w:color w:val="000000" w:themeColor="text1"/>
          <w:sz w:val="32"/>
          <w:szCs w:val="32"/>
        </w:rPr>
        <w:t>在第k个主成分上的累计解释率，W</w:t>
      </w:r>
      <w:r w:rsidRPr="00A92248">
        <w:rPr>
          <w:rFonts w:ascii="仿宋_GB2312" w:eastAsia="仿宋_GB2312" w:hint="eastAsia"/>
          <w:color w:val="000000" w:themeColor="text1"/>
          <w:sz w:val="32"/>
          <w:szCs w:val="32"/>
          <w:vertAlign w:val="subscript"/>
        </w:rPr>
        <w:t>i</w:t>
      </w:r>
      <w:r w:rsidRPr="00A92248">
        <w:rPr>
          <w:rFonts w:ascii="仿宋_GB2312" w:eastAsia="仿宋_GB2312" w:hint="eastAsia"/>
          <w:color w:val="000000" w:themeColor="text1"/>
          <w:sz w:val="32"/>
          <w:szCs w:val="32"/>
        </w:rPr>
        <w:t>表示第i个成分的权重。)</w:t>
      </w:r>
    </w:p>
    <w:p w:rsidR="008B1168" w:rsidRPr="00A92248" w:rsidRDefault="008B1168">
      <w:pPr>
        <w:spacing w:line="520" w:lineRule="exact"/>
        <w:ind w:firstLineChars="200" w:firstLine="640"/>
        <w:rPr>
          <w:rFonts w:ascii="仿宋_GB2312" w:eastAsia="仿宋_GB2312"/>
          <w:color w:val="000000" w:themeColor="text1"/>
          <w:sz w:val="32"/>
          <w:szCs w:val="32"/>
        </w:rPr>
      </w:pPr>
    </w:p>
    <w:p w:rsidR="008B1168" w:rsidRPr="00A92248" w:rsidRDefault="00FE6FF4">
      <w:pPr>
        <w:pStyle w:val="af1"/>
        <w:keepNext/>
        <w:ind w:firstLine="420"/>
        <w:rPr>
          <w:rFonts w:ascii="Times New Roman" w:hAnsi="Times New Roman"/>
          <w:color w:val="000000" w:themeColor="text1"/>
        </w:rPr>
      </w:pPr>
      <w:bookmarkStart w:id="3" w:name="_Ref215497129"/>
      <w:r w:rsidRPr="00A92248">
        <w:rPr>
          <w:rFonts w:ascii="Times New Roman" w:hAnsi="Times New Roman" w:hint="eastAsia"/>
          <w:color w:val="000000" w:themeColor="text1"/>
        </w:rPr>
        <w:t>表</w:t>
      </w:r>
      <w:bookmarkEnd w:id="3"/>
      <w:r w:rsidRPr="00A92248">
        <w:rPr>
          <w:rFonts w:ascii="Times New Roman" w:hAnsi="Times New Roman" w:hint="eastAsia"/>
          <w:color w:val="000000" w:themeColor="text1"/>
        </w:rPr>
        <w:t>3</w:t>
      </w:r>
      <w:r w:rsidRPr="00A92248">
        <w:rPr>
          <w:rFonts w:ascii="Times New Roman" w:hAnsi="Times New Roman"/>
          <w:color w:val="000000" w:themeColor="text1"/>
        </w:rPr>
        <w:t xml:space="preserve"> </w:t>
      </w:r>
      <w:r w:rsidRPr="00A92248">
        <w:rPr>
          <w:rFonts w:ascii="Times New Roman" w:hAnsi="Times New Roman" w:hint="eastAsia"/>
          <w:color w:val="000000" w:themeColor="text1"/>
        </w:rPr>
        <w:t>特征值与方差解释率</w:t>
      </w:r>
    </w:p>
    <w:tbl>
      <w:tblPr>
        <w:tblStyle w:val="aff6"/>
        <w:tblW w:w="0" w:type="auto"/>
        <w:jc w:val="center"/>
        <w:tblBorders>
          <w:top w:val="single" w:sz="12" w:space="0" w:color="auto"/>
          <w:bottom w:val="single" w:sz="12" w:space="0" w:color="auto"/>
        </w:tblBorders>
        <w:tblLook w:val="04A0" w:firstRow="1" w:lastRow="0" w:firstColumn="1" w:lastColumn="0" w:noHBand="0" w:noVBand="1"/>
      </w:tblPr>
      <w:tblGrid>
        <w:gridCol w:w="780"/>
        <w:gridCol w:w="824"/>
        <w:gridCol w:w="842"/>
        <w:gridCol w:w="842"/>
        <w:gridCol w:w="824"/>
        <w:gridCol w:w="842"/>
        <w:gridCol w:w="842"/>
      </w:tblGrid>
      <w:tr w:rsidR="00A92248" w:rsidRPr="00A92248">
        <w:trPr>
          <w:jc w:val="center"/>
        </w:trPr>
        <w:tc>
          <w:tcPr>
            <w:tcW w:w="780" w:type="dxa"/>
            <w:vMerge w:val="restart"/>
            <w:tcBorders>
              <w:top w:val="single" w:sz="12" w:space="0" w:color="auto"/>
              <w:bottom w:val="nil"/>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成分</w:t>
            </w:r>
          </w:p>
        </w:tc>
        <w:tc>
          <w:tcPr>
            <w:tcW w:w="2508" w:type="dxa"/>
            <w:gridSpan w:val="3"/>
            <w:tcBorders>
              <w:top w:val="single" w:sz="12"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sym w:font="Symbol" w:char="F06C"/>
            </w:r>
          </w:p>
        </w:tc>
        <w:tc>
          <w:tcPr>
            <w:tcW w:w="2508" w:type="dxa"/>
            <w:gridSpan w:val="3"/>
            <w:tcBorders>
              <w:top w:val="single" w:sz="12"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提取载荷平方和</w:t>
            </w:r>
          </w:p>
        </w:tc>
      </w:tr>
      <w:tr w:rsidR="00A92248" w:rsidRPr="00A92248">
        <w:trPr>
          <w:jc w:val="center"/>
        </w:trPr>
        <w:tc>
          <w:tcPr>
            <w:tcW w:w="780" w:type="dxa"/>
            <w:vMerge/>
            <w:tcBorders>
              <w:top w:val="nil"/>
              <w:bottom w:val="single" w:sz="4" w:space="0" w:color="auto"/>
            </w:tcBorders>
            <w:vAlign w:val="center"/>
          </w:tcPr>
          <w:p w:rsidR="008B1168" w:rsidRPr="00A92248" w:rsidRDefault="008B1168">
            <w:pPr>
              <w:pStyle w:val="afff8"/>
              <w:ind w:firstLineChars="0" w:firstLine="0"/>
              <w:jc w:val="center"/>
              <w:rPr>
                <w:color w:val="000000" w:themeColor="text1"/>
              </w:rPr>
            </w:pPr>
          </w:p>
        </w:tc>
        <w:tc>
          <w:tcPr>
            <w:tcW w:w="824"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总计</w:t>
            </w:r>
          </w:p>
        </w:tc>
        <w:tc>
          <w:tcPr>
            <w:tcW w:w="842"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方差百分比</w:t>
            </w:r>
          </w:p>
        </w:tc>
        <w:tc>
          <w:tcPr>
            <w:tcW w:w="842" w:type="dxa"/>
            <w:tcBorders>
              <w:top w:val="single" w:sz="4" w:space="0" w:color="auto"/>
              <w:bottom w:val="single" w:sz="4" w:space="0" w:color="auto"/>
            </w:tcBorders>
            <w:vAlign w:val="center"/>
          </w:tcPr>
          <w:p w:rsidR="008B1168" w:rsidRPr="00A92248" w:rsidRDefault="00FE6FF4">
            <w:pPr>
              <w:pStyle w:val="afff8"/>
              <w:ind w:firstLineChars="0" w:firstLine="0"/>
              <w:rPr>
                <w:color w:val="000000" w:themeColor="text1"/>
              </w:rPr>
            </w:pPr>
            <w:r w:rsidRPr="00A92248">
              <w:rPr>
                <w:rFonts w:hint="eastAsia"/>
                <w:color w:val="000000" w:themeColor="text1"/>
              </w:rPr>
              <w:t>累积</w:t>
            </w:r>
            <w:r w:rsidRPr="00A92248">
              <w:rPr>
                <w:rFonts w:hint="eastAsia"/>
                <w:color w:val="000000" w:themeColor="text1"/>
              </w:rPr>
              <w:t>%</w:t>
            </w:r>
          </w:p>
        </w:tc>
        <w:tc>
          <w:tcPr>
            <w:tcW w:w="824"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总计</w:t>
            </w:r>
          </w:p>
        </w:tc>
        <w:tc>
          <w:tcPr>
            <w:tcW w:w="842"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方差百分比</w:t>
            </w:r>
          </w:p>
        </w:tc>
        <w:tc>
          <w:tcPr>
            <w:tcW w:w="842"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累积</w:t>
            </w:r>
            <w:r w:rsidRPr="00A92248">
              <w:rPr>
                <w:rFonts w:hint="eastAsia"/>
                <w:color w:val="000000" w:themeColor="text1"/>
              </w:rPr>
              <w:t>%</w:t>
            </w:r>
          </w:p>
        </w:tc>
      </w:tr>
      <w:tr w:rsidR="00A92248" w:rsidRPr="00A92248">
        <w:trPr>
          <w:jc w:val="center"/>
        </w:trPr>
        <w:tc>
          <w:tcPr>
            <w:tcW w:w="780"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1</w:t>
            </w:r>
          </w:p>
        </w:tc>
        <w:tc>
          <w:tcPr>
            <w:tcW w:w="824"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2.159</w:t>
            </w:r>
          </w:p>
        </w:tc>
        <w:tc>
          <w:tcPr>
            <w:tcW w:w="842"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43.174</w:t>
            </w:r>
          </w:p>
        </w:tc>
        <w:tc>
          <w:tcPr>
            <w:tcW w:w="842"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43.174</w:t>
            </w:r>
          </w:p>
        </w:tc>
        <w:tc>
          <w:tcPr>
            <w:tcW w:w="824"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2.159</w:t>
            </w:r>
          </w:p>
        </w:tc>
        <w:tc>
          <w:tcPr>
            <w:tcW w:w="842"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43.174</w:t>
            </w:r>
          </w:p>
        </w:tc>
        <w:tc>
          <w:tcPr>
            <w:tcW w:w="842"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43.174</w:t>
            </w:r>
          </w:p>
        </w:tc>
      </w:tr>
      <w:tr w:rsidR="00A92248" w:rsidRPr="00A92248">
        <w:trPr>
          <w:jc w:val="center"/>
        </w:trPr>
        <w:tc>
          <w:tcPr>
            <w:tcW w:w="780"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2</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1.482</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29.641</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72.815</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1.482</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29.641</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72.815</w:t>
            </w:r>
          </w:p>
        </w:tc>
      </w:tr>
      <w:tr w:rsidR="00A92248" w:rsidRPr="00A92248">
        <w:trPr>
          <w:jc w:val="center"/>
        </w:trPr>
        <w:tc>
          <w:tcPr>
            <w:tcW w:w="780"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3</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0.625</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12.495</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85.31</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0.625</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12.495</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85.31</w:t>
            </w:r>
          </w:p>
        </w:tc>
      </w:tr>
      <w:tr w:rsidR="00A92248" w:rsidRPr="00A92248">
        <w:trPr>
          <w:jc w:val="center"/>
        </w:trPr>
        <w:tc>
          <w:tcPr>
            <w:tcW w:w="780"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4</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0.438</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8.758</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94.068</w:t>
            </w:r>
          </w:p>
        </w:tc>
        <w:tc>
          <w:tcPr>
            <w:tcW w:w="824" w:type="dxa"/>
            <w:vAlign w:val="center"/>
          </w:tcPr>
          <w:p w:rsidR="008B1168" w:rsidRPr="00A92248" w:rsidRDefault="008B1168">
            <w:pPr>
              <w:pStyle w:val="afff8"/>
              <w:ind w:firstLineChars="0" w:firstLine="0"/>
              <w:jc w:val="center"/>
              <w:rPr>
                <w:color w:val="000000" w:themeColor="text1"/>
              </w:rPr>
            </w:pPr>
          </w:p>
        </w:tc>
        <w:tc>
          <w:tcPr>
            <w:tcW w:w="842" w:type="dxa"/>
            <w:vAlign w:val="center"/>
          </w:tcPr>
          <w:p w:rsidR="008B1168" w:rsidRPr="00A92248" w:rsidRDefault="008B1168">
            <w:pPr>
              <w:pStyle w:val="afff8"/>
              <w:ind w:firstLineChars="0" w:firstLine="0"/>
              <w:jc w:val="center"/>
              <w:rPr>
                <w:color w:val="000000" w:themeColor="text1"/>
              </w:rPr>
            </w:pPr>
          </w:p>
        </w:tc>
        <w:tc>
          <w:tcPr>
            <w:tcW w:w="842" w:type="dxa"/>
            <w:vAlign w:val="center"/>
          </w:tcPr>
          <w:p w:rsidR="008B1168" w:rsidRPr="00A92248" w:rsidRDefault="008B1168">
            <w:pPr>
              <w:pStyle w:val="afff8"/>
              <w:ind w:firstLineChars="0" w:firstLine="0"/>
              <w:jc w:val="center"/>
              <w:rPr>
                <w:color w:val="000000" w:themeColor="text1"/>
              </w:rPr>
            </w:pPr>
          </w:p>
        </w:tc>
      </w:tr>
      <w:tr w:rsidR="008B1168" w:rsidRPr="00A92248">
        <w:trPr>
          <w:jc w:val="center"/>
        </w:trPr>
        <w:tc>
          <w:tcPr>
            <w:tcW w:w="780"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5</w:t>
            </w:r>
          </w:p>
        </w:tc>
        <w:tc>
          <w:tcPr>
            <w:tcW w:w="824"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0.297</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5.932</w:t>
            </w:r>
          </w:p>
        </w:tc>
        <w:tc>
          <w:tcPr>
            <w:tcW w:w="842" w:type="dxa"/>
            <w:vAlign w:val="center"/>
          </w:tcPr>
          <w:p w:rsidR="008B1168" w:rsidRPr="00A92248" w:rsidRDefault="00FE6FF4">
            <w:pPr>
              <w:pStyle w:val="afff8"/>
              <w:ind w:firstLineChars="0" w:firstLine="0"/>
              <w:jc w:val="center"/>
              <w:rPr>
                <w:color w:val="000000" w:themeColor="text1"/>
              </w:rPr>
            </w:pPr>
            <w:r w:rsidRPr="00A92248">
              <w:rPr>
                <w:color w:val="000000" w:themeColor="text1"/>
              </w:rPr>
              <w:t>100</w:t>
            </w:r>
          </w:p>
        </w:tc>
        <w:tc>
          <w:tcPr>
            <w:tcW w:w="824" w:type="dxa"/>
            <w:vAlign w:val="center"/>
          </w:tcPr>
          <w:p w:rsidR="008B1168" w:rsidRPr="00A92248" w:rsidRDefault="008B1168">
            <w:pPr>
              <w:pStyle w:val="afff8"/>
              <w:ind w:firstLineChars="0" w:firstLine="0"/>
              <w:jc w:val="center"/>
              <w:rPr>
                <w:color w:val="000000" w:themeColor="text1"/>
              </w:rPr>
            </w:pPr>
          </w:p>
        </w:tc>
        <w:tc>
          <w:tcPr>
            <w:tcW w:w="842" w:type="dxa"/>
            <w:vAlign w:val="center"/>
          </w:tcPr>
          <w:p w:rsidR="008B1168" w:rsidRPr="00A92248" w:rsidRDefault="008B1168">
            <w:pPr>
              <w:pStyle w:val="afff8"/>
              <w:ind w:firstLineChars="0" w:firstLine="0"/>
              <w:jc w:val="center"/>
              <w:rPr>
                <w:color w:val="000000" w:themeColor="text1"/>
              </w:rPr>
            </w:pPr>
          </w:p>
        </w:tc>
        <w:tc>
          <w:tcPr>
            <w:tcW w:w="842" w:type="dxa"/>
            <w:vAlign w:val="center"/>
          </w:tcPr>
          <w:p w:rsidR="008B1168" w:rsidRPr="00A92248" w:rsidRDefault="008B1168">
            <w:pPr>
              <w:pStyle w:val="afff8"/>
              <w:ind w:firstLineChars="0" w:firstLine="0"/>
              <w:jc w:val="center"/>
              <w:rPr>
                <w:color w:val="000000" w:themeColor="text1"/>
              </w:rPr>
            </w:pPr>
          </w:p>
        </w:tc>
      </w:tr>
    </w:tbl>
    <w:p w:rsidR="008B1168" w:rsidRPr="00A92248" w:rsidRDefault="008B1168">
      <w:pPr>
        <w:pStyle w:val="afff8"/>
        <w:rPr>
          <w:color w:val="000000" w:themeColor="text1"/>
        </w:rPr>
      </w:pPr>
    </w:p>
    <w:p w:rsidR="008B1168" w:rsidRPr="00A92248" w:rsidRDefault="008B1168">
      <w:pPr>
        <w:pStyle w:val="afff8"/>
        <w:rPr>
          <w:color w:val="000000" w:themeColor="text1"/>
        </w:rPr>
      </w:pPr>
    </w:p>
    <w:p w:rsidR="008B1168" w:rsidRPr="00A92248" w:rsidRDefault="00FE6FF4">
      <w:pPr>
        <w:pStyle w:val="af1"/>
        <w:keepNext/>
        <w:ind w:firstLine="420"/>
        <w:rPr>
          <w:rFonts w:ascii="Times New Roman" w:hAnsi="Times New Roman"/>
          <w:color w:val="000000" w:themeColor="text1"/>
        </w:rPr>
      </w:pPr>
      <w:bookmarkStart w:id="4" w:name="_Ref215497132"/>
      <w:r w:rsidRPr="00A92248">
        <w:rPr>
          <w:rFonts w:ascii="Times New Roman" w:hAnsi="Times New Roman" w:hint="eastAsia"/>
          <w:color w:val="000000" w:themeColor="text1"/>
        </w:rPr>
        <w:t>表</w:t>
      </w:r>
      <w:bookmarkEnd w:id="4"/>
      <w:r w:rsidRPr="00A92248">
        <w:rPr>
          <w:rFonts w:ascii="Times New Roman" w:hAnsi="Times New Roman" w:hint="eastAsia"/>
          <w:color w:val="000000" w:themeColor="text1"/>
        </w:rPr>
        <w:t>4</w:t>
      </w:r>
      <w:r w:rsidRPr="00A92248">
        <w:rPr>
          <w:rFonts w:ascii="Times New Roman" w:hAnsi="Times New Roman"/>
          <w:color w:val="000000" w:themeColor="text1"/>
        </w:rPr>
        <w:t xml:space="preserve"> </w:t>
      </w:r>
      <w:r w:rsidRPr="00A92248">
        <w:rPr>
          <w:rFonts w:ascii="Times New Roman" w:hAnsi="Times New Roman" w:hint="eastAsia"/>
          <w:color w:val="000000" w:themeColor="text1"/>
        </w:rPr>
        <w:t>旋转后的因子载荷阵</w:t>
      </w:r>
    </w:p>
    <w:tbl>
      <w:tblPr>
        <w:tblStyle w:val="aff6"/>
        <w:tblW w:w="0" w:type="auto"/>
        <w:jc w:val="center"/>
        <w:tblBorders>
          <w:top w:val="single" w:sz="12" w:space="0" w:color="auto"/>
          <w:bottom w:val="single" w:sz="12" w:space="0" w:color="auto"/>
        </w:tblBorders>
        <w:tblLook w:val="04A0" w:firstRow="1" w:lastRow="0" w:firstColumn="1" w:lastColumn="0" w:noHBand="0" w:noVBand="1"/>
      </w:tblPr>
      <w:tblGrid>
        <w:gridCol w:w="2130"/>
        <w:gridCol w:w="2130"/>
        <w:gridCol w:w="2131"/>
        <w:gridCol w:w="2131"/>
      </w:tblGrid>
      <w:tr w:rsidR="00A92248" w:rsidRPr="00A92248">
        <w:trPr>
          <w:jc w:val="center"/>
        </w:trPr>
        <w:tc>
          <w:tcPr>
            <w:tcW w:w="2130" w:type="dxa"/>
            <w:vMerge w:val="restart"/>
            <w:tcBorders>
              <w:top w:val="single" w:sz="12" w:space="0" w:color="auto"/>
            </w:tcBorders>
            <w:vAlign w:val="center"/>
          </w:tcPr>
          <w:p w:rsidR="008B1168" w:rsidRPr="00A92248" w:rsidRDefault="00FE6FF4">
            <w:pPr>
              <w:pStyle w:val="afff8"/>
              <w:jc w:val="center"/>
              <w:rPr>
                <w:color w:val="000000" w:themeColor="text1"/>
              </w:rPr>
            </w:pPr>
            <w:r w:rsidRPr="00A92248">
              <w:rPr>
                <w:rFonts w:hint="eastAsia"/>
                <w:color w:val="000000" w:themeColor="text1"/>
              </w:rPr>
              <w:t>指标</w:t>
            </w:r>
          </w:p>
        </w:tc>
        <w:tc>
          <w:tcPr>
            <w:tcW w:w="6392" w:type="dxa"/>
            <w:gridSpan w:val="3"/>
            <w:tcBorders>
              <w:top w:val="single" w:sz="12"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主成分</w:t>
            </w:r>
          </w:p>
        </w:tc>
      </w:tr>
      <w:tr w:rsidR="00A92248" w:rsidRPr="00A92248">
        <w:trPr>
          <w:jc w:val="center"/>
        </w:trPr>
        <w:tc>
          <w:tcPr>
            <w:tcW w:w="2130" w:type="dxa"/>
            <w:vMerge/>
            <w:tcBorders>
              <w:bottom w:val="single" w:sz="4" w:space="0" w:color="auto"/>
            </w:tcBorders>
            <w:vAlign w:val="center"/>
          </w:tcPr>
          <w:p w:rsidR="008B1168" w:rsidRPr="00A92248" w:rsidRDefault="008B1168">
            <w:pPr>
              <w:pStyle w:val="afff8"/>
              <w:ind w:firstLineChars="0" w:firstLine="0"/>
              <w:jc w:val="center"/>
              <w:rPr>
                <w:color w:val="000000" w:themeColor="text1"/>
              </w:rPr>
            </w:pPr>
          </w:p>
        </w:tc>
        <w:tc>
          <w:tcPr>
            <w:tcW w:w="2130"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1</w:t>
            </w:r>
          </w:p>
        </w:tc>
        <w:tc>
          <w:tcPr>
            <w:tcW w:w="2131"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2</w:t>
            </w:r>
          </w:p>
        </w:tc>
        <w:tc>
          <w:tcPr>
            <w:tcW w:w="2131" w:type="dxa"/>
            <w:tcBorders>
              <w:top w:val="single" w:sz="4" w:space="0" w:color="auto"/>
              <w:bottom w:val="single" w:sz="4" w:space="0" w:color="auto"/>
            </w:tcBorders>
            <w:vAlign w:val="center"/>
          </w:tcPr>
          <w:p w:rsidR="008B1168" w:rsidRPr="00A92248" w:rsidRDefault="00FE6FF4">
            <w:pPr>
              <w:pStyle w:val="afff8"/>
              <w:ind w:firstLineChars="0" w:firstLine="0"/>
              <w:jc w:val="center"/>
              <w:rPr>
                <w:color w:val="000000" w:themeColor="text1"/>
              </w:rPr>
            </w:pPr>
            <w:r w:rsidRPr="00A92248">
              <w:rPr>
                <w:color w:val="000000" w:themeColor="text1"/>
              </w:rPr>
              <w:t>3</w:t>
            </w:r>
          </w:p>
        </w:tc>
      </w:tr>
      <w:tr w:rsidR="00A92248" w:rsidRPr="00A92248">
        <w:trPr>
          <w:jc w:val="center"/>
        </w:trPr>
        <w:tc>
          <w:tcPr>
            <w:tcW w:w="2130"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肉桂酸</w:t>
            </w:r>
          </w:p>
        </w:tc>
        <w:tc>
          <w:tcPr>
            <w:tcW w:w="2130"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0.873</w:t>
            </w:r>
          </w:p>
        </w:tc>
        <w:tc>
          <w:tcPr>
            <w:tcW w:w="2131"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0.214</w:t>
            </w:r>
          </w:p>
        </w:tc>
        <w:tc>
          <w:tcPr>
            <w:tcW w:w="2131" w:type="dxa"/>
            <w:tcBorders>
              <w:top w:val="single" w:sz="4" w:space="0" w:color="auto"/>
            </w:tcBorders>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-0.103</w:t>
            </w:r>
          </w:p>
        </w:tc>
      </w:tr>
      <w:tr w:rsidR="00A92248" w:rsidRPr="00A92248">
        <w:trPr>
          <w:jc w:val="center"/>
        </w:trPr>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原花青素</w:t>
            </w:r>
            <w:r w:rsidRPr="00A92248">
              <w:rPr>
                <w:rFonts w:hint="eastAsia"/>
                <w:color w:val="000000" w:themeColor="text1"/>
              </w:rPr>
              <w:t>B</w:t>
            </w:r>
            <w:r w:rsidRPr="00A92248">
              <w:rPr>
                <w:rFonts w:hint="eastAsia"/>
                <w:color w:val="000000" w:themeColor="text1"/>
                <w:vertAlign w:val="subscript"/>
              </w:rPr>
              <w:t>2</w:t>
            </w:r>
          </w:p>
        </w:tc>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-0.752</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-0.015</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0.51</w:t>
            </w:r>
          </w:p>
        </w:tc>
      </w:tr>
      <w:tr w:rsidR="00A92248" w:rsidRPr="00A92248">
        <w:trPr>
          <w:jc w:val="center"/>
        </w:trPr>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桂皮醛</w:t>
            </w:r>
          </w:p>
        </w:tc>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0.028</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0.952</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-0.13</w:t>
            </w:r>
          </w:p>
        </w:tc>
      </w:tr>
      <w:tr w:rsidR="00A92248" w:rsidRPr="00A92248">
        <w:trPr>
          <w:jc w:val="center"/>
        </w:trPr>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挥发油</w:t>
            </w:r>
          </w:p>
        </w:tc>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0.404</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0.707</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0.358</w:t>
            </w:r>
          </w:p>
        </w:tc>
      </w:tr>
      <w:tr w:rsidR="008B1168" w:rsidRPr="00A92248">
        <w:trPr>
          <w:jc w:val="center"/>
        </w:trPr>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乙醇浸出物</w:t>
            </w:r>
          </w:p>
        </w:tc>
        <w:tc>
          <w:tcPr>
            <w:tcW w:w="2130"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-0.234</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0.016</w:t>
            </w:r>
          </w:p>
        </w:tc>
        <w:tc>
          <w:tcPr>
            <w:tcW w:w="2131" w:type="dxa"/>
            <w:vAlign w:val="center"/>
          </w:tcPr>
          <w:p w:rsidR="008B1168" w:rsidRPr="00A92248" w:rsidRDefault="00FE6FF4">
            <w:pPr>
              <w:pStyle w:val="afff8"/>
              <w:ind w:firstLineChars="0" w:firstLine="0"/>
              <w:jc w:val="center"/>
              <w:rPr>
                <w:color w:val="000000" w:themeColor="text1"/>
              </w:rPr>
            </w:pPr>
            <w:r w:rsidRPr="00A92248">
              <w:rPr>
                <w:rFonts w:hint="eastAsia"/>
                <w:color w:val="000000" w:themeColor="text1"/>
              </w:rPr>
              <w:t>0.923</w:t>
            </w:r>
          </w:p>
        </w:tc>
      </w:tr>
    </w:tbl>
    <w:p w:rsidR="008B1168" w:rsidRPr="00A92248" w:rsidRDefault="008B1168">
      <w:pPr>
        <w:pStyle w:val="afff8"/>
        <w:rPr>
          <w:color w:val="000000" w:themeColor="text1"/>
        </w:rPr>
      </w:pPr>
    </w:p>
    <w:p w:rsidR="008B1168" w:rsidRPr="00A92248" w:rsidRDefault="00FE6FF4">
      <w:pPr>
        <w:pStyle w:val="af1"/>
        <w:keepNext/>
        <w:ind w:firstLine="420"/>
        <w:rPr>
          <w:rFonts w:ascii="Times New Roman" w:hAnsi="Times New Roman"/>
          <w:color w:val="000000" w:themeColor="text1"/>
        </w:rPr>
      </w:pPr>
      <w:bookmarkStart w:id="5" w:name="_Ref215478765"/>
      <w:r w:rsidRPr="00A92248">
        <w:rPr>
          <w:rFonts w:ascii="Times New Roman" w:hAnsi="Times New Roman" w:hint="eastAsia"/>
          <w:color w:val="000000" w:themeColor="text1"/>
        </w:rPr>
        <w:t>表</w:t>
      </w:r>
      <w:bookmarkEnd w:id="5"/>
      <w:r w:rsidRPr="00A92248">
        <w:rPr>
          <w:rFonts w:ascii="Times New Roman" w:hAnsi="Times New Roman" w:hint="eastAsia"/>
          <w:color w:val="000000" w:themeColor="text1"/>
        </w:rPr>
        <w:t>5</w:t>
      </w:r>
      <w:r w:rsidRPr="00A92248">
        <w:rPr>
          <w:rFonts w:ascii="Times New Roman" w:hAnsi="Times New Roman"/>
          <w:color w:val="000000" w:themeColor="text1"/>
        </w:rPr>
        <w:t xml:space="preserve"> </w:t>
      </w:r>
      <w:r w:rsidRPr="00A92248">
        <w:rPr>
          <w:rFonts w:ascii="Times New Roman" w:hAnsi="Times New Roman" w:hint="eastAsia"/>
          <w:color w:val="000000" w:themeColor="text1"/>
        </w:rPr>
        <w:t>特征向量和指标权重</w:t>
      </w:r>
    </w:p>
    <w:tbl>
      <w:tblPr>
        <w:tblW w:w="7065" w:type="dxa"/>
        <w:jc w:val="center"/>
        <w:tblBorders>
          <w:top w:val="single" w:sz="12" w:space="0" w:color="auto"/>
          <w:bottom w:val="single" w:sz="12" w:space="0" w:color="auto"/>
        </w:tblBorders>
        <w:tblLook w:val="04A0" w:firstRow="1" w:lastRow="0" w:firstColumn="1" w:lastColumn="0" w:noHBand="0" w:noVBand="1"/>
      </w:tblPr>
      <w:tblGrid>
        <w:gridCol w:w="1410"/>
        <w:gridCol w:w="1080"/>
        <w:gridCol w:w="1080"/>
        <w:gridCol w:w="1080"/>
        <w:gridCol w:w="1162"/>
        <w:gridCol w:w="1253"/>
      </w:tblGrid>
      <w:tr w:rsidR="00A92248" w:rsidRPr="00A92248">
        <w:trPr>
          <w:trHeight w:val="285"/>
          <w:jc w:val="center"/>
        </w:trPr>
        <w:tc>
          <w:tcPr>
            <w:tcW w:w="1410" w:type="dxa"/>
            <w:tcBorders>
              <w:top w:val="single" w:sz="12" w:space="0" w:color="auto"/>
              <w:bottom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指标</w:t>
            </w:r>
          </w:p>
        </w:tc>
        <w:tc>
          <w:tcPr>
            <w:tcW w:w="1080" w:type="dxa"/>
            <w:tcBorders>
              <w:top w:val="single" w:sz="12" w:space="0" w:color="auto"/>
              <w:bottom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color w:val="000000" w:themeColor="text1"/>
                <w:kern w:val="0"/>
                <w:szCs w:val="21"/>
              </w:rPr>
              <w:t>主成分</w:t>
            </w:r>
            <w:r w:rsidRPr="00A92248">
              <w:rPr>
                <w:rFonts w:ascii="Times New Roman" w:hAnsi="Times New Roman" w:cs="Times New Roman"/>
                <w:color w:val="000000" w:themeColor="text1"/>
                <w:kern w:val="0"/>
                <w:szCs w:val="21"/>
              </w:rPr>
              <w:t>1</w:t>
            </w:r>
          </w:p>
        </w:tc>
        <w:tc>
          <w:tcPr>
            <w:tcW w:w="1080" w:type="dxa"/>
            <w:tcBorders>
              <w:top w:val="single" w:sz="12" w:space="0" w:color="auto"/>
              <w:bottom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color w:val="000000" w:themeColor="text1"/>
                <w:kern w:val="0"/>
                <w:szCs w:val="21"/>
              </w:rPr>
              <w:t>主成分</w:t>
            </w:r>
            <w:r w:rsidRPr="00A92248">
              <w:rPr>
                <w:rFonts w:ascii="Times New Roman" w:hAnsi="Times New Roman" w:cs="Times New Roman"/>
                <w:color w:val="000000" w:themeColor="text1"/>
                <w:kern w:val="0"/>
                <w:szCs w:val="21"/>
              </w:rPr>
              <w:t>2</w:t>
            </w:r>
          </w:p>
        </w:tc>
        <w:tc>
          <w:tcPr>
            <w:tcW w:w="1080" w:type="dxa"/>
            <w:tcBorders>
              <w:top w:val="single" w:sz="12" w:space="0" w:color="auto"/>
              <w:bottom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color w:val="000000" w:themeColor="text1"/>
                <w:kern w:val="0"/>
                <w:szCs w:val="21"/>
              </w:rPr>
              <w:t>主成分</w:t>
            </w:r>
            <w:r w:rsidRPr="00A92248">
              <w:rPr>
                <w:rFonts w:ascii="Times New Roman" w:hAnsi="Times New Roman" w:cs="Times New Roman"/>
                <w:color w:val="000000" w:themeColor="text1"/>
                <w:kern w:val="0"/>
                <w:szCs w:val="21"/>
              </w:rPr>
              <w:t>3</w:t>
            </w:r>
          </w:p>
        </w:tc>
        <w:tc>
          <w:tcPr>
            <w:tcW w:w="1162" w:type="dxa"/>
            <w:tcBorders>
              <w:top w:val="single" w:sz="12" w:space="0" w:color="auto"/>
              <w:bottom w:val="single" w:sz="4" w:space="0" w:color="auto"/>
            </w:tcBorders>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得分系数</w:t>
            </w:r>
          </w:p>
        </w:tc>
        <w:tc>
          <w:tcPr>
            <w:tcW w:w="1253" w:type="dxa"/>
            <w:tcBorders>
              <w:top w:val="single" w:sz="12" w:space="0" w:color="auto"/>
              <w:bottom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权重</w:t>
            </w:r>
          </w:p>
        </w:tc>
      </w:tr>
      <w:tr w:rsidR="00A92248" w:rsidRPr="00A92248">
        <w:trPr>
          <w:trHeight w:val="270"/>
          <w:jc w:val="center"/>
        </w:trPr>
        <w:tc>
          <w:tcPr>
            <w:tcW w:w="1410" w:type="dxa"/>
            <w:tcBorders>
              <w:top w:val="single" w:sz="4" w:space="0" w:color="auto"/>
            </w:tcBorders>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肉桂酸</w:t>
            </w:r>
          </w:p>
        </w:tc>
        <w:tc>
          <w:tcPr>
            <w:tcW w:w="1080" w:type="dxa"/>
            <w:tcBorders>
              <w:top w:val="single" w:sz="4" w:space="0" w:color="auto"/>
            </w:tcBorders>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0.594</w:t>
            </w:r>
          </w:p>
        </w:tc>
        <w:tc>
          <w:tcPr>
            <w:tcW w:w="1080" w:type="dxa"/>
            <w:tcBorders>
              <w:top w:val="single" w:sz="4" w:space="0" w:color="auto"/>
            </w:tcBorders>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0.176</w:t>
            </w:r>
          </w:p>
        </w:tc>
        <w:tc>
          <w:tcPr>
            <w:tcW w:w="1080" w:type="dxa"/>
            <w:tcBorders>
              <w:top w:val="single" w:sz="4" w:space="0" w:color="auto"/>
            </w:tcBorders>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-0.130</w:t>
            </w:r>
          </w:p>
        </w:tc>
        <w:tc>
          <w:tcPr>
            <w:tcW w:w="1162" w:type="dxa"/>
            <w:tcBorders>
              <w:top w:val="single" w:sz="4" w:space="0" w:color="auto"/>
            </w:tcBorders>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0.381</w:t>
            </w:r>
          </w:p>
        </w:tc>
        <w:tc>
          <w:tcPr>
            <w:tcW w:w="1253" w:type="dxa"/>
            <w:tcBorders>
              <w:top w:val="single" w:sz="4" w:space="0" w:color="auto"/>
            </w:tcBorders>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0.223</w:t>
            </w:r>
          </w:p>
        </w:tc>
      </w:tr>
      <w:tr w:rsidR="00A92248" w:rsidRPr="00A92248">
        <w:trPr>
          <w:trHeight w:val="345"/>
          <w:jc w:val="center"/>
        </w:trPr>
        <w:tc>
          <w:tcPr>
            <w:tcW w:w="1410" w:type="dxa"/>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color w:val="000000" w:themeColor="text1"/>
                <w:kern w:val="0"/>
                <w:szCs w:val="21"/>
              </w:rPr>
              <w:t>原花青素</w:t>
            </w:r>
            <w:r w:rsidRPr="00A92248">
              <w:rPr>
                <w:rFonts w:ascii="Times New Roman" w:hAnsi="Times New Roman" w:cs="Times New Roman"/>
                <w:color w:val="000000" w:themeColor="text1"/>
                <w:kern w:val="0"/>
                <w:szCs w:val="21"/>
              </w:rPr>
              <w:t>B</w:t>
            </w:r>
            <w:r w:rsidRPr="00A92248">
              <w:rPr>
                <w:rFonts w:ascii="Times New Roman" w:hAnsi="Times New Roman" w:cs="Times New Roman"/>
                <w:color w:val="000000" w:themeColor="text1"/>
                <w:kern w:val="0"/>
                <w:szCs w:val="21"/>
                <w:vertAlign w:val="subscript"/>
              </w:rPr>
              <w:t>2</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-0.512</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-0.012</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0.645</w:t>
            </w:r>
          </w:p>
        </w:tc>
        <w:tc>
          <w:tcPr>
            <w:tcW w:w="1162" w:type="dxa"/>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0.358</w:t>
            </w:r>
          </w:p>
        </w:tc>
        <w:tc>
          <w:tcPr>
            <w:tcW w:w="1253"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0.210</w:t>
            </w:r>
          </w:p>
        </w:tc>
      </w:tr>
      <w:tr w:rsidR="00A92248" w:rsidRPr="00A92248">
        <w:trPr>
          <w:trHeight w:val="270"/>
          <w:jc w:val="center"/>
        </w:trPr>
        <w:tc>
          <w:tcPr>
            <w:tcW w:w="1410" w:type="dxa"/>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桂皮醛</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0.019</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0.782</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-0.164</w:t>
            </w:r>
          </w:p>
        </w:tc>
        <w:tc>
          <w:tcPr>
            <w:tcW w:w="1162" w:type="dxa"/>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0.305</w:t>
            </w:r>
          </w:p>
        </w:tc>
        <w:tc>
          <w:tcPr>
            <w:tcW w:w="1253"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0.179</w:t>
            </w:r>
          </w:p>
        </w:tc>
      </w:tr>
      <w:tr w:rsidR="00A92248" w:rsidRPr="00A92248">
        <w:trPr>
          <w:trHeight w:val="270"/>
          <w:jc w:val="center"/>
        </w:trPr>
        <w:tc>
          <w:tcPr>
            <w:tcW w:w="1410" w:type="dxa"/>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挥发油</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0.275</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0.581</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0.453</w:t>
            </w:r>
          </w:p>
        </w:tc>
        <w:tc>
          <w:tcPr>
            <w:tcW w:w="1162" w:type="dxa"/>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0.407</w:t>
            </w:r>
          </w:p>
        </w:tc>
        <w:tc>
          <w:tcPr>
            <w:tcW w:w="1253"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0.239</w:t>
            </w:r>
          </w:p>
        </w:tc>
      </w:tr>
      <w:tr w:rsidR="00A92248" w:rsidRPr="00A92248">
        <w:trPr>
          <w:trHeight w:val="285"/>
          <w:jc w:val="center"/>
        </w:trPr>
        <w:tc>
          <w:tcPr>
            <w:tcW w:w="1410" w:type="dxa"/>
            <w:vAlign w:val="center"/>
          </w:tcPr>
          <w:p w:rsidR="008B1168" w:rsidRPr="00A92248" w:rsidRDefault="00FE6FF4">
            <w:pPr>
              <w:widowControl/>
              <w:jc w:val="center"/>
              <w:rPr>
                <w:rFonts w:ascii="Times New Roman" w:hAnsi="Times New Roman" w:cs="宋体"/>
                <w:color w:val="000000" w:themeColor="text1"/>
                <w:kern w:val="0"/>
                <w:szCs w:val="21"/>
              </w:rPr>
            </w:pPr>
            <w:r w:rsidRPr="00A92248">
              <w:rPr>
                <w:rFonts w:ascii="Times New Roman" w:hAnsi="Times New Roman" w:cs="宋体" w:hint="eastAsia"/>
                <w:color w:val="000000" w:themeColor="text1"/>
                <w:kern w:val="0"/>
                <w:szCs w:val="21"/>
              </w:rPr>
              <w:t>乙醇浸出物</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-0.159</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0.013</w:t>
            </w:r>
          </w:p>
        </w:tc>
        <w:tc>
          <w:tcPr>
            <w:tcW w:w="1080"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1.168</w:t>
            </w:r>
          </w:p>
        </w:tc>
        <w:tc>
          <w:tcPr>
            <w:tcW w:w="1162" w:type="dxa"/>
            <w:noWrap/>
            <w:vAlign w:val="center"/>
          </w:tcPr>
          <w:p w:rsidR="008B1168" w:rsidRPr="00A92248" w:rsidRDefault="00FE6FF4">
            <w:pPr>
              <w:widowControl/>
              <w:jc w:val="center"/>
              <w:rPr>
                <w:rFonts w:ascii="Times New Roman" w:hAnsi="Times New Roman" w:cs="宋体"/>
                <w:color w:val="000000" w:themeColor="text1"/>
                <w:kern w:val="0"/>
                <w:sz w:val="22"/>
              </w:rPr>
            </w:pPr>
            <w:r w:rsidRPr="00A92248">
              <w:rPr>
                <w:rFonts w:ascii="Times New Roman" w:hAnsi="Times New Roman" w:cs="宋体" w:hint="eastAsia"/>
                <w:color w:val="000000" w:themeColor="text1"/>
                <w:kern w:val="0"/>
                <w:sz w:val="22"/>
              </w:rPr>
              <w:t>0.256</w:t>
            </w:r>
          </w:p>
        </w:tc>
        <w:tc>
          <w:tcPr>
            <w:tcW w:w="1253" w:type="dxa"/>
            <w:vAlign w:val="center"/>
          </w:tcPr>
          <w:p w:rsidR="008B1168" w:rsidRPr="00A92248" w:rsidRDefault="00FE6FF4">
            <w:pPr>
              <w:widowControl/>
              <w:jc w:val="center"/>
              <w:rPr>
                <w:rFonts w:ascii="Times New Roman" w:hAnsi="Times New Roman" w:cs="Times New Roman"/>
                <w:color w:val="000000" w:themeColor="text1"/>
                <w:kern w:val="0"/>
                <w:szCs w:val="21"/>
              </w:rPr>
            </w:pPr>
            <w:r w:rsidRPr="00A92248">
              <w:rPr>
                <w:rFonts w:ascii="Times New Roman" w:hAnsi="Times New Roman" w:cs="Times New Roman"/>
                <w:color w:val="000000" w:themeColor="text1"/>
                <w:kern w:val="0"/>
                <w:szCs w:val="21"/>
              </w:rPr>
              <w:t>0.150</w:t>
            </w:r>
          </w:p>
        </w:tc>
      </w:tr>
    </w:tbl>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根据各指标权重系数的计算结果，将数据除以各指标值平均值的80%进行标准化处理，消除量纲，可得肉桂药材内在质量常数A，计算公式为：</w:t>
      </w:r>
    </w:p>
    <w:p w:rsidR="008B1168" w:rsidRPr="00A92248" w:rsidRDefault="00FE6FF4">
      <w:pPr>
        <w:pStyle w:val="afff8"/>
        <w:rPr>
          <w:color w:val="000000" w:themeColor="text1"/>
        </w:rPr>
      </w:pPr>
      <w:r w:rsidRPr="00A92248">
        <w:rPr>
          <w:rFonts w:hint="eastAsia"/>
          <w:color w:val="000000" w:themeColor="text1"/>
        </w:rPr>
        <w:t>A</w:t>
      </w:r>
      <w:r w:rsidRPr="00A92248">
        <w:rPr>
          <w:color w:val="000000" w:themeColor="text1"/>
        </w:rPr>
        <w:t>=0.223</w:t>
      </w:r>
      <m:oMath>
        <m:r>
          <m:rPr>
            <m:sty m:val="p"/>
          </m:rPr>
          <w:rPr>
            <w:rFonts w:ascii="Cambria Math" w:hAnsi="Cambria Math"/>
            <w:color w:val="000000" w:themeColor="text1"/>
          </w:rPr>
          <m:t xml:space="preserve"> </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肉桂酸</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肉桂酸</m:t>
                </m:r>
              </m:sub>
            </m:sSub>
          </m:den>
        </m:f>
      </m:oMath>
      <w:r w:rsidRPr="00A92248">
        <w:rPr>
          <w:rFonts w:hint="eastAsia"/>
          <w:color w:val="000000" w:themeColor="text1"/>
        </w:rPr>
        <w:t>+</w:t>
      </w:r>
      <w:r w:rsidRPr="00A92248">
        <w:rPr>
          <w:color w:val="000000" w:themeColor="text1"/>
        </w:rPr>
        <w:t>0.210</w:t>
      </w:r>
      <m:oMath>
        <m:r>
          <m:rPr>
            <m:sty m:val="p"/>
          </m:rPr>
          <w:rPr>
            <w:rFonts w:ascii="Cambria Math" w:hAnsi="Cambria Math"/>
            <w:color w:val="000000" w:themeColor="text1"/>
          </w:rPr>
          <m:t xml:space="preserve"> </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原花青素</m:t>
                </m:r>
                <m:r>
                  <w:rPr>
                    <w:rFonts w:ascii="Cambria Math" w:hAnsi="Cambria Math"/>
                    <w:color w:val="000000" w:themeColor="text1"/>
                  </w:rPr>
                  <m:t>B2</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原花青素</m:t>
                </m:r>
                <m:r>
                  <w:rPr>
                    <w:rFonts w:ascii="Cambria Math" w:hAnsi="Cambria Math"/>
                    <w:color w:val="000000" w:themeColor="text1"/>
                  </w:rPr>
                  <m:t>B2</m:t>
                </m:r>
              </m:sub>
            </m:sSub>
          </m:den>
        </m:f>
      </m:oMath>
      <w:r w:rsidRPr="00A92248">
        <w:rPr>
          <w:rFonts w:hint="eastAsia"/>
          <w:color w:val="000000" w:themeColor="text1"/>
        </w:rPr>
        <w:t>+</w:t>
      </w:r>
      <w:r w:rsidRPr="00A92248">
        <w:rPr>
          <w:color w:val="000000" w:themeColor="text1"/>
        </w:rPr>
        <w:t xml:space="preserve">0.179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桂皮醛</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桂皮醛</m:t>
                </m:r>
              </m:sub>
            </m:sSub>
          </m:den>
        </m:f>
      </m:oMath>
      <w:r w:rsidRPr="00A92248">
        <w:rPr>
          <w:rFonts w:hint="eastAsia"/>
          <w:color w:val="000000" w:themeColor="text1"/>
        </w:rPr>
        <w:t xml:space="preserve"> +</w:t>
      </w:r>
      <w:r w:rsidRPr="00A92248">
        <w:rPr>
          <w:color w:val="000000" w:themeColor="text1"/>
        </w:rPr>
        <w:t xml:space="preserve">0.239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挥发油</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挥发油</m:t>
                </m:r>
              </m:sub>
            </m:sSub>
          </m:den>
        </m:f>
      </m:oMath>
      <w:r w:rsidRPr="00A92248">
        <w:rPr>
          <w:rFonts w:hint="eastAsia"/>
          <w:color w:val="000000" w:themeColor="text1"/>
        </w:rPr>
        <w:t xml:space="preserve"> +</w:t>
      </w:r>
      <w:r w:rsidRPr="00A92248">
        <w:rPr>
          <w:color w:val="000000" w:themeColor="text1"/>
        </w:rPr>
        <w:t>0.150</w:t>
      </w:r>
      <m:oMath>
        <m:r>
          <m:rPr>
            <m:sty m:val="p"/>
          </m:rPr>
          <w:rPr>
            <w:rFonts w:ascii="Cambria Math" w:hAnsi="Cambria Math"/>
            <w:color w:val="000000" w:themeColor="text1"/>
          </w:rPr>
          <m:t xml:space="preserve"> </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乙醇浸出物</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乙醇浸出物</m:t>
                </m:r>
              </m:sub>
            </m:sSub>
          </m:den>
        </m:f>
      </m:oMath>
      <w:r w:rsidRPr="00A92248">
        <w:rPr>
          <w:rFonts w:hint="eastAsia"/>
          <w:color w:val="000000" w:themeColor="text1"/>
        </w:rPr>
        <w:t xml:space="preserve">     </w:t>
      </w:r>
      <w:r w:rsidRPr="00A92248">
        <w:rPr>
          <w:rFonts w:hint="eastAsia"/>
          <w:color w:val="000000" w:themeColor="text1"/>
        </w:rPr>
        <w:t>（</w:t>
      </w:r>
      <w:r w:rsidRPr="00A92248">
        <w:rPr>
          <w:rFonts w:hint="eastAsia"/>
          <w:color w:val="000000" w:themeColor="text1"/>
        </w:rPr>
        <w:t>4</w:t>
      </w:r>
      <w:r w:rsidRPr="00A92248">
        <w:rPr>
          <w:rFonts w:hint="eastAsia"/>
          <w:color w:val="000000" w:themeColor="text1"/>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其中，A</w:t>
      </w:r>
      <w:r w:rsidRPr="00A92248">
        <w:rPr>
          <w:rFonts w:ascii="仿宋_GB2312" w:eastAsia="仿宋_GB2312" w:hint="eastAsia"/>
          <w:color w:val="000000" w:themeColor="text1"/>
          <w:sz w:val="32"/>
          <w:szCs w:val="32"/>
          <w:vertAlign w:val="subscript"/>
        </w:rPr>
        <w:t>肉桂酸</w:t>
      </w:r>
      <w:r w:rsidRPr="00A92248">
        <w:rPr>
          <w:rFonts w:ascii="仿宋_GB2312" w:eastAsia="仿宋_GB2312" w:hint="eastAsia"/>
          <w:color w:val="000000" w:themeColor="text1"/>
          <w:sz w:val="32"/>
          <w:szCs w:val="32"/>
        </w:rPr>
        <w:t>、A</w:t>
      </w:r>
      <w:r w:rsidRPr="00A92248">
        <w:rPr>
          <w:rFonts w:ascii="仿宋_GB2312" w:eastAsia="仿宋_GB2312" w:hint="eastAsia"/>
          <w:color w:val="000000" w:themeColor="text1"/>
          <w:sz w:val="32"/>
          <w:szCs w:val="32"/>
          <w:vertAlign w:val="subscript"/>
        </w:rPr>
        <w:t>原花青素B2</w:t>
      </w:r>
      <w:r w:rsidRPr="00A92248">
        <w:rPr>
          <w:rFonts w:ascii="仿宋_GB2312" w:eastAsia="仿宋_GB2312" w:hint="eastAsia"/>
          <w:color w:val="000000" w:themeColor="text1"/>
          <w:sz w:val="32"/>
          <w:szCs w:val="32"/>
        </w:rPr>
        <w:t>、A</w:t>
      </w:r>
      <w:r w:rsidRPr="00A92248">
        <w:rPr>
          <w:rFonts w:ascii="仿宋_GB2312" w:eastAsia="仿宋_GB2312" w:hint="eastAsia"/>
          <w:color w:val="000000" w:themeColor="text1"/>
          <w:sz w:val="32"/>
          <w:szCs w:val="32"/>
          <w:vertAlign w:val="subscript"/>
        </w:rPr>
        <w:t>桂皮醛</w:t>
      </w:r>
      <w:r w:rsidRPr="00A92248">
        <w:rPr>
          <w:rFonts w:ascii="仿宋_GB2312" w:eastAsia="仿宋_GB2312" w:hint="eastAsia"/>
          <w:color w:val="000000" w:themeColor="text1"/>
          <w:sz w:val="32"/>
          <w:szCs w:val="32"/>
        </w:rPr>
        <w:t>、A</w:t>
      </w:r>
      <w:r w:rsidRPr="00A92248">
        <w:rPr>
          <w:rFonts w:ascii="仿宋_GB2312" w:eastAsia="仿宋_GB2312" w:hint="eastAsia"/>
          <w:color w:val="000000" w:themeColor="text1"/>
          <w:sz w:val="32"/>
          <w:szCs w:val="32"/>
          <w:vertAlign w:val="subscript"/>
        </w:rPr>
        <w:t>挥发油</w:t>
      </w:r>
      <w:r w:rsidRPr="00A92248">
        <w:rPr>
          <w:rFonts w:ascii="仿宋_GB2312" w:eastAsia="仿宋_GB2312" w:hint="eastAsia"/>
          <w:color w:val="000000" w:themeColor="text1"/>
          <w:sz w:val="32"/>
          <w:szCs w:val="32"/>
        </w:rPr>
        <w:t>、A</w:t>
      </w:r>
      <w:r w:rsidRPr="00A92248">
        <w:rPr>
          <w:rFonts w:ascii="仿宋_GB2312" w:eastAsia="仿宋_GB2312" w:hint="eastAsia"/>
          <w:color w:val="000000" w:themeColor="text1"/>
          <w:sz w:val="32"/>
          <w:szCs w:val="32"/>
          <w:vertAlign w:val="subscript"/>
        </w:rPr>
        <w:t>乙醇浸出物</w:t>
      </w:r>
      <w:r w:rsidRPr="00A92248">
        <w:rPr>
          <w:rFonts w:ascii="仿宋_GB2312" w:eastAsia="仿宋_GB2312" w:hint="eastAsia"/>
          <w:color w:val="000000" w:themeColor="text1"/>
          <w:sz w:val="32"/>
          <w:szCs w:val="32"/>
        </w:rPr>
        <w:t>分别表示各指标实际测得值；I表示</w:t>
      </w:r>
      <w:bookmarkStart w:id="6" w:name="OLE_LINK17"/>
      <w:bookmarkStart w:id="7" w:name="OLE_LINK16"/>
      <w:r w:rsidRPr="00A92248">
        <w:rPr>
          <w:rFonts w:ascii="仿宋_GB2312" w:eastAsia="仿宋_GB2312" w:hint="eastAsia"/>
          <w:color w:val="000000" w:themeColor="text1"/>
          <w:sz w:val="32"/>
          <w:szCs w:val="32"/>
        </w:rPr>
        <w:t>所测得肉桂药材各指标平均值的80%。</w:t>
      </w:r>
      <w:bookmarkEnd w:id="6"/>
      <w:bookmarkEnd w:id="7"/>
    </w:p>
    <w:p w:rsidR="008B1168" w:rsidRPr="00A92248" w:rsidRDefault="00FE6FF4">
      <w:pPr>
        <w:pStyle w:val="afff8"/>
        <w:ind w:firstLine="640"/>
        <w:rPr>
          <w:color w:val="000000" w:themeColor="text1"/>
        </w:rPr>
      </w:pPr>
      <w:r w:rsidRPr="00A92248">
        <w:rPr>
          <w:rFonts w:ascii="仿宋_GB2312" w:eastAsia="仿宋_GB2312" w:hAnsi="Calibri" w:cs="Calibri" w:hint="eastAsia"/>
          <w:color w:val="000000" w:themeColor="text1"/>
          <w:sz w:val="32"/>
          <w:szCs w:val="32"/>
        </w:rPr>
        <w:t>即：</w:t>
      </w:r>
      <w:r w:rsidRPr="00A92248">
        <w:rPr>
          <w:rFonts w:hint="eastAsia"/>
          <w:color w:val="000000" w:themeColor="text1"/>
        </w:rPr>
        <w:t>A=</w:t>
      </w:r>
      <w:r w:rsidRPr="00A92248">
        <w:rPr>
          <w:color w:val="000000" w:themeColor="text1"/>
        </w:rPr>
        <w:t>2.865</w:t>
      </w:r>
      <w:r w:rsidRPr="00A92248">
        <w:rPr>
          <w:rFonts w:hint="eastAsia"/>
          <w:color w:val="000000" w:themeColor="text1"/>
        </w:rPr>
        <w:t xml:space="preserve"> A</w:t>
      </w:r>
      <w:r w:rsidRPr="00A92248">
        <w:rPr>
          <w:rFonts w:hint="eastAsia"/>
          <w:color w:val="000000" w:themeColor="text1"/>
          <w:vertAlign w:val="subscript"/>
        </w:rPr>
        <w:t>肉桂酸</w:t>
      </w:r>
      <w:r w:rsidRPr="00A92248">
        <w:rPr>
          <w:rFonts w:hint="eastAsia"/>
          <w:color w:val="000000" w:themeColor="text1"/>
        </w:rPr>
        <w:t>+</w:t>
      </w:r>
      <w:r w:rsidRPr="00A92248">
        <w:rPr>
          <w:color w:val="000000" w:themeColor="text1"/>
        </w:rPr>
        <w:t>0.680</w:t>
      </w:r>
      <w:r w:rsidRPr="00A92248">
        <w:rPr>
          <w:rFonts w:hint="eastAsia"/>
          <w:color w:val="000000" w:themeColor="text1"/>
        </w:rPr>
        <w:t xml:space="preserve"> A</w:t>
      </w:r>
      <w:r w:rsidRPr="00A92248">
        <w:rPr>
          <w:rFonts w:hint="eastAsia"/>
          <w:color w:val="000000" w:themeColor="text1"/>
          <w:vertAlign w:val="subscript"/>
        </w:rPr>
        <w:t>原花青素</w:t>
      </w:r>
      <w:r w:rsidRPr="00A92248">
        <w:rPr>
          <w:rFonts w:hint="eastAsia"/>
          <w:color w:val="000000" w:themeColor="text1"/>
          <w:vertAlign w:val="subscript"/>
        </w:rPr>
        <w:t>B</w:t>
      </w:r>
      <w:r w:rsidRPr="00A92248">
        <w:rPr>
          <w:color w:val="000000" w:themeColor="text1"/>
          <w:vertAlign w:val="subscript"/>
        </w:rPr>
        <w:t>2</w:t>
      </w:r>
      <w:r w:rsidRPr="00A92248">
        <w:rPr>
          <w:color w:val="000000" w:themeColor="text1"/>
        </w:rPr>
        <w:t>+0.075</w:t>
      </w:r>
      <w:r w:rsidRPr="00A92248">
        <w:rPr>
          <w:rFonts w:hint="eastAsia"/>
          <w:color w:val="000000" w:themeColor="text1"/>
        </w:rPr>
        <w:t xml:space="preserve"> A</w:t>
      </w:r>
      <w:r w:rsidRPr="00A92248">
        <w:rPr>
          <w:rFonts w:hint="eastAsia"/>
          <w:color w:val="000000" w:themeColor="text1"/>
          <w:vertAlign w:val="subscript"/>
        </w:rPr>
        <w:t>桂皮醛</w:t>
      </w:r>
      <w:r w:rsidRPr="00A92248">
        <w:rPr>
          <w:rFonts w:hint="eastAsia"/>
          <w:color w:val="000000" w:themeColor="text1"/>
        </w:rPr>
        <w:t>+</w:t>
      </w:r>
      <w:r w:rsidRPr="00A92248">
        <w:rPr>
          <w:color w:val="000000" w:themeColor="text1"/>
        </w:rPr>
        <w:t>0.082</w:t>
      </w:r>
      <w:r w:rsidRPr="00A92248">
        <w:rPr>
          <w:rFonts w:hint="eastAsia"/>
          <w:color w:val="000000" w:themeColor="text1"/>
        </w:rPr>
        <w:t xml:space="preserve"> A</w:t>
      </w:r>
      <w:r w:rsidRPr="00A92248">
        <w:rPr>
          <w:rFonts w:hint="eastAsia"/>
          <w:color w:val="000000" w:themeColor="text1"/>
          <w:vertAlign w:val="subscript"/>
        </w:rPr>
        <w:t>挥发油</w:t>
      </w:r>
      <w:r w:rsidRPr="00A92248">
        <w:rPr>
          <w:rFonts w:hint="eastAsia"/>
          <w:color w:val="000000" w:themeColor="text1"/>
        </w:rPr>
        <w:t>+</w:t>
      </w:r>
      <w:r w:rsidRPr="00A92248">
        <w:rPr>
          <w:color w:val="000000" w:themeColor="text1"/>
        </w:rPr>
        <w:t xml:space="preserve">0.011 </w:t>
      </w:r>
      <w:r w:rsidRPr="00A92248">
        <w:rPr>
          <w:rFonts w:hint="eastAsia"/>
          <w:color w:val="000000" w:themeColor="text1"/>
        </w:rPr>
        <w:t>A</w:t>
      </w:r>
      <w:r w:rsidRPr="00A92248">
        <w:rPr>
          <w:rFonts w:hint="eastAsia"/>
          <w:color w:val="000000" w:themeColor="text1"/>
          <w:vertAlign w:val="subscript"/>
        </w:rPr>
        <w:t>乙醇浸出物</w:t>
      </w:r>
      <w:r w:rsidRPr="00A92248">
        <w:rPr>
          <w:rFonts w:hint="eastAsia"/>
          <w:color w:val="000000" w:themeColor="text1"/>
          <w:vertAlign w:val="subscript"/>
        </w:rPr>
        <w:t xml:space="preserve">      </w:t>
      </w:r>
      <w:r w:rsidRPr="00A92248">
        <w:rPr>
          <w:rFonts w:hint="eastAsia"/>
          <w:color w:val="000000" w:themeColor="text1"/>
        </w:rPr>
        <w:t>（</w:t>
      </w:r>
      <w:r w:rsidRPr="00A92248">
        <w:rPr>
          <w:rFonts w:hint="eastAsia"/>
          <w:color w:val="000000" w:themeColor="text1"/>
        </w:rPr>
        <w:t>5</w:t>
      </w:r>
      <w:r w:rsidRPr="00A92248">
        <w:rPr>
          <w:rFonts w:hint="eastAsia"/>
          <w:color w:val="000000" w:themeColor="text1"/>
        </w:rPr>
        <w:t>）</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2.1.2肉桂药材质量综合评价指数Q的建立</w:t>
      </w:r>
    </w:p>
    <w:p w:rsidR="008B1168" w:rsidRPr="00A92248" w:rsidRDefault="00FE6FF4">
      <w:pPr>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参考中药材品控相关参考文献，采用二维模型确立肉桂药材</w:t>
      </w:r>
      <w:r w:rsidRPr="00A92248">
        <w:rPr>
          <w:rFonts w:ascii="仿宋_GB2312" w:eastAsia="仿宋_GB2312" w:hint="eastAsia"/>
          <w:color w:val="000000" w:themeColor="text1"/>
          <w:sz w:val="32"/>
          <w:szCs w:val="32"/>
        </w:rPr>
        <w:lastRenderedPageBreak/>
        <w:t>综合评价指数，如图 4。结合外观性状指标与内在质量符合常数，确定二维平面直角坐标系中的点（X，Y），X为厚度H(</w:t>
      </w:r>
      <m:oMath>
        <m:r>
          <m:rPr>
            <m:sty m:val="p"/>
          </m:rPr>
          <w:rPr>
            <w:rFonts w:ascii="Cambria Math" w:hAnsi="Cambria Math"/>
            <w:color w:val="000000" w:themeColor="text1"/>
          </w:rPr>
          <m:t>H=</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hint="eastAsia"/>
                    <w:color w:val="000000" w:themeColor="text1"/>
                  </w:rPr>
                  <m:t>厚度</m:t>
                </m:r>
              </m:sub>
            </m:sSub>
          </m:num>
          <m:den>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hint="eastAsia"/>
                    <w:color w:val="000000" w:themeColor="text1"/>
                  </w:rPr>
                  <m:t>厚度</m:t>
                </m:r>
              </m:sub>
            </m:sSub>
          </m:den>
        </m:f>
      </m:oMath>
      <w:r w:rsidRPr="00A92248">
        <w:rPr>
          <w:rFonts w:ascii="仿宋_GB2312" w:eastAsia="仿宋_GB2312" w:hint="eastAsia"/>
          <w:color w:val="000000" w:themeColor="text1"/>
          <w:sz w:val="32"/>
          <w:szCs w:val="32"/>
        </w:rPr>
        <w:t>，其中，A厚度表示实际测得值，I厚度表示实际测得值平均值的80%)，Y为内在质量复合常数A</w:t>
      </w:r>
      <w:r w:rsidRPr="00A92248">
        <w:rPr>
          <w:rFonts w:ascii="仿宋_GB2312" w:eastAsia="仿宋_GB2312" w:hint="eastAsia"/>
          <w:color w:val="000000" w:themeColor="text1"/>
          <w:sz w:val="32"/>
          <w:szCs w:val="32"/>
          <w:vertAlign w:val="subscript"/>
        </w:rPr>
        <w:t>总</w:t>
      </w:r>
      <w:r w:rsidRPr="00A92248">
        <w:rPr>
          <w:rFonts w:ascii="仿宋_GB2312" w:eastAsia="仿宋_GB2312" w:hint="eastAsia"/>
          <w:color w:val="000000" w:themeColor="text1"/>
          <w:sz w:val="32"/>
          <w:szCs w:val="32"/>
        </w:rPr>
        <w:t>，计算该点到原点的距离，即得厚皮药材综合评价指数Q，计算公式如下：</w:t>
      </w:r>
    </w:p>
    <w:p w:rsidR="008B1168" w:rsidRPr="00A92248" w:rsidRDefault="00FE6FF4">
      <w:pPr>
        <w:jc w:val="center"/>
        <w:rPr>
          <w:rFonts w:ascii="Times New Roman" w:hAnsi="Times New Roman"/>
          <w:color w:val="000000" w:themeColor="text1"/>
        </w:rPr>
      </w:pPr>
      <w:r w:rsidRPr="00A92248">
        <w:rPr>
          <w:rFonts w:ascii="Times New Roman" w:hAnsi="Times New Roman" w:hint="eastAsia"/>
          <w:color w:val="000000" w:themeColor="text1"/>
        </w:rPr>
        <w:t>Q</w:t>
      </w:r>
      <w:r w:rsidRPr="00A92248">
        <w:rPr>
          <w:rFonts w:ascii="Times New Roman" w:hAnsi="Times New Roman"/>
          <w:color w:val="000000" w:themeColor="text1"/>
        </w:rPr>
        <w:t>=</w:t>
      </w:r>
      <m:oMath>
        <m:rad>
          <m:radPr>
            <m:degHide m:val="1"/>
            <m:ctrlPr>
              <w:rPr>
                <w:rFonts w:ascii="Cambria Math" w:hAnsi="Cambria Math"/>
                <w:color w:val="000000" w:themeColor="text1"/>
              </w:rPr>
            </m:ctrlPr>
          </m:radPr>
          <m:deg/>
          <m:e>
            <m:sSup>
              <m:sSupPr>
                <m:ctrlPr>
                  <w:rPr>
                    <w:rFonts w:ascii="Cambria Math" w:hAnsi="Cambria Math"/>
                    <w:i/>
                    <w:color w:val="000000" w:themeColor="text1"/>
                  </w:rPr>
                </m:ctrlPr>
              </m:sSupPr>
              <m:e>
                <m:r>
                  <w:rPr>
                    <w:rFonts w:ascii="Cambria Math" w:hAnsi="Cambria Math"/>
                    <w:color w:val="000000" w:themeColor="text1"/>
                  </w:rPr>
                  <m:t>H</m:t>
                </m:r>
              </m:e>
              <m:sup>
                <m:r>
                  <w:rPr>
                    <w:rFonts w:ascii="Cambria Math" w:hAns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A</m:t>
                </m:r>
              </m:e>
              <m:sup>
                <m:r>
                  <w:rPr>
                    <w:rFonts w:ascii="Cambria Math" w:hAnsi="Cambria Math"/>
                    <w:color w:val="000000" w:themeColor="text1"/>
                  </w:rPr>
                  <m:t>2</m:t>
                </m:r>
              </m:sup>
            </m:sSup>
          </m:e>
        </m:rad>
      </m:oMath>
      <w:r w:rsidRPr="00A92248">
        <w:rPr>
          <w:rFonts w:ascii="Times New Roman" w:hAnsi="Times New Roman" w:hint="eastAsia"/>
          <w:color w:val="000000" w:themeColor="text1"/>
        </w:rPr>
        <w:t xml:space="preserve"> </w:t>
      </w:r>
      <w:r w:rsidRPr="00A92248">
        <w:rPr>
          <w:rFonts w:ascii="Times New Roman" w:hAnsi="Times New Roman"/>
          <w:color w:val="000000" w:themeColor="text1"/>
        </w:rPr>
        <w:t xml:space="preserve">        </w:t>
      </w:r>
      <w:r w:rsidRPr="00A92248">
        <w:rPr>
          <w:rFonts w:ascii="Times New Roman" w:hAnsi="Times New Roman" w:hint="eastAsia"/>
          <w:color w:val="000000" w:themeColor="text1"/>
        </w:rPr>
        <w:t>（</w:t>
      </w:r>
      <w:r w:rsidRPr="00A92248">
        <w:rPr>
          <w:rFonts w:ascii="Times New Roman" w:hAnsi="Times New Roman" w:hint="eastAsia"/>
          <w:color w:val="000000" w:themeColor="text1"/>
        </w:rPr>
        <w:t>6</w:t>
      </w:r>
      <w:r w:rsidRPr="00A92248">
        <w:rPr>
          <w:rFonts w:ascii="Times New Roman" w:hAnsi="Times New Roman" w:hint="eastAsia"/>
          <w:color w:val="000000" w:themeColor="text1"/>
        </w:rPr>
        <w:t>）</w:t>
      </w:r>
    </w:p>
    <w:p w:rsidR="008B1168" w:rsidRPr="00A92248" w:rsidRDefault="00FE6FF4">
      <w:pPr>
        <w:jc w:val="center"/>
        <w:rPr>
          <w:rFonts w:ascii="仿宋_GB2312" w:eastAsia="仿宋_GB2312"/>
          <w:color w:val="000000" w:themeColor="text1"/>
          <w:sz w:val="32"/>
          <w:szCs w:val="32"/>
        </w:rPr>
      </w:pPr>
      <w:r w:rsidRPr="00A92248">
        <w:rPr>
          <w:rFonts w:ascii="Times New Roman" w:hAnsi="Times New Roman"/>
          <w:noProof/>
          <w:color w:val="000000" w:themeColor="text1"/>
        </w:rPr>
        <w:drawing>
          <wp:inline distT="0" distB="0" distL="0" distR="0">
            <wp:extent cx="2261870" cy="2009775"/>
            <wp:effectExtent l="0" t="0" r="508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2261870" cy="2009775"/>
                    </a:xfrm>
                    <a:prstGeom prst="rect">
                      <a:avLst/>
                    </a:prstGeom>
                  </pic:spPr>
                </pic:pic>
              </a:graphicData>
            </a:graphic>
          </wp:inline>
        </w:drawing>
      </w:r>
    </w:p>
    <w:p w:rsidR="008B1168" w:rsidRPr="00A92248" w:rsidRDefault="00FE6FF4">
      <w:pPr>
        <w:pStyle w:val="af1"/>
        <w:ind w:firstLine="420"/>
        <w:rPr>
          <w:rFonts w:ascii="Times New Roman" w:hAnsi="Times New Roman"/>
          <w:color w:val="000000" w:themeColor="text1"/>
        </w:rPr>
      </w:pPr>
      <w:bookmarkStart w:id="8" w:name="_Ref215480738"/>
      <w:r w:rsidRPr="00A92248">
        <w:rPr>
          <w:rFonts w:ascii="Times New Roman" w:hAnsi="Times New Roman" w:hint="eastAsia"/>
          <w:color w:val="000000" w:themeColor="text1"/>
        </w:rPr>
        <w:t>图</w:t>
      </w:r>
      <w:bookmarkEnd w:id="8"/>
      <w:r w:rsidRPr="00A92248">
        <w:rPr>
          <w:rFonts w:ascii="Times New Roman" w:hAnsi="Times New Roman" w:hint="eastAsia"/>
          <w:color w:val="000000" w:themeColor="text1"/>
        </w:rPr>
        <w:t>3</w:t>
      </w:r>
      <w:r w:rsidRPr="00A92248">
        <w:rPr>
          <w:rFonts w:ascii="Times New Roman" w:hAnsi="Times New Roman"/>
          <w:color w:val="000000" w:themeColor="text1"/>
        </w:rPr>
        <w:t xml:space="preserve"> </w:t>
      </w:r>
      <w:r w:rsidRPr="00A92248">
        <w:rPr>
          <w:rFonts w:ascii="Times New Roman" w:hAnsi="Times New Roman" w:hint="eastAsia"/>
          <w:color w:val="000000" w:themeColor="text1"/>
        </w:rPr>
        <w:t>肉桂药材质量综合评价指数</w:t>
      </w:r>
      <w:r w:rsidRPr="00A92248">
        <w:rPr>
          <w:rFonts w:ascii="Times New Roman" w:hAnsi="Times New Roman" w:hint="eastAsia"/>
          <w:color w:val="000000" w:themeColor="text1"/>
        </w:rPr>
        <w:t>Q</w:t>
      </w:r>
      <w:r w:rsidRPr="00A92248">
        <w:rPr>
          <w:rFonts w:ascii="Times New Roman" w:hAnsi="Times New Roman" w:hint="eastAsia"/>
          <w:color w:val="000000" w:themeColor="text1"/>
        </w:rPr>
        <w:t>模型</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2.1.3基于综合评价指数的肉桂药材等级划分</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根据以上方法，标准化处理厚度、挥发油、乙醇浸出物、肉桂酸、桂皮醛、原花青素B</w:t>
      </w:r>
      <w:r w:rsidRPr="00A92248">
        <w:rPr>
          <w:rFonts w:ascii="仿宋_GB2312" w:eastAsia="仿宋_GB2312" w:hint="eastAsia"/>
          <w:color w:val="000000" w:themeColor="text1"/>
          <w:sz w:val="32"/>
          <w:szCs w:val="32"/>
          <w:vertAlign w:val="subscript"/>
        </w:rPr>
        <w:t>2</w:t>
      </w:r>
      <w:r w:rsidRPr="00A92248">
        <w:rPr>
          <w:rFonts w:ascii="仿宋_GB2312" w:eastAsia="仿宋_GB2312" w:hint="eastAsia"/>
          <w:color w:val="000000" w:themeColor="text1"/>
          <w:sz w:val="32"/>
          <w:szCs w:val="32"/>
        </w:rPr>
        <w:t>数据，计算81批肉桂药材内在质量复合常数A，综合评价指数Q。质量常数评价体系中一般将Q排名前20%的样品划分为特级品，排名20%-50%的样品划分为一级品，排名小于50%划分为二级品，结果见表6。81样品中特级样品（Q≥3.58）16批，一级样品（Q≥2.92）24批，二级样品（Q＜2.92）41批。</w:t>
      </w:r>
    </w:p>
    <w:p w:rsidR="008B1168" w:rsidRPr="00A92248" w:rsidRDefault="00FE6FF4">
      <w:pPr>
        <w:spacing w:line="520" w:lineRule="exact"/>
        <w:ind w:firstLineChars="200" w:firstLine="420"/>
        <w:jc w:val="center"/>
        <w:rPr>
          <w:rFonts w:ascii="Times New Roman" w:hAnsi="Times New Roman" w:cstheme="majorBidi"/>
          <w:color w:val="000000" w:themeColor="text1"/>
          <w:szCs w:val="20"/>
        </w:rPr>
      </w:pPr>
      <w:r w:rsidRPr="00A92248">
        <w:rPr>
          <w:rFonts w:ascii="Times New Roman" w:hAnsi="Times New Roman" w:cstheme="majorBidi" w:hint="eastAsia"/>
          <w:color w:val="000000" w:themeColor="text1"/>
          <w:szCs w:val="20"/>
        </w:rPr>
        <w:t>表</w:t>
      </w:r>
      <w:r w:rsidRPr="00A92248">
        <w:rPr>
          <w:rFonts w:ascii="Times New Roman" w:hAnsi="Times New Roman" w:cstheme="majorBidi" w:hint="eastAsia"/>
          <w:color w:val="000000" w:themeColor="text1"/>
          <w:szCs w:val="20"/>
        </w:rPr>
        <w:t xml:space="preserve">6  </w:t>
      </w:r>
      <w:r w:rsidRPr="00A92248">
        <w:rPr>
          <w:rFonts w:ascii="Times New Roman" w:hAnsi="Times New Roman" w:cstheme="majorBidi" w:hint="eastAsia"/>
          <w:color w:val="000000" w:themeColor="text1"/>
          <w:szCs w:val="20"/>
        </w:rPr>
        <w:t>肉桂药材内在复合指数、综合评价指数、等级评价结果</w:t>
      </w:r>
    </w:p>
    <w:tbl>
      <w:tblPr>
        <w:tblW w:w="0" w:type="auto"/>
        <w:jc w:val="center"/>
        <w:tblLook w:val="04A0" w:firstRow="1" w:lastRow="0" w:firstColumn="1" w:lastColumn="0" w:noHBand="0" w:noVBand="1"/>
      </w:tblPr>
      <w:tblGrid>
        <w:gridCol w:w="656"/>
        <w:gridCol w:w="1296"/>
        <w:gridCol w:w="531"/>
        <w:gridCol w:w="531"/>
        <w:gridCol w:w="576"/>
      </w:tblGrid>
      <w:tr w:rsidR="00A92248" w:rsidRPr="00A92248">
        <w:trPr>
          <w:trHeight w:val="90"/>
          <w:tblHeader/>
          <w:jc w:val="center"/>
        </w:trPr>
        <w:tc>
          <w:tcPr>
            <w:tcW w:w="0" w:type="auto"/>
            <w:tcBorders>
              <w:top w:val="single" w:sz="12" w:space="0" w:color="000000"/>
              <w:left w:val="nil"/>
              <w:bottom w:val="single" w:sz="8" w:space="0" w:color="000000"/>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样品</w:t>
            </w:r>
          </w:p>
        </w:tc>
        <w:tc>
          <w:tcPr>
            <w:tcW w:w="0" w:type="auto"/>
            <w:tcBorders>
              <w:top w:val="single" w:sz="12" w:space="0" w:color="000000"/>
              <w:left w:val="nil"/>
              <w:bottom w:val="single" w:sz="8" w:space="0" w:color="000000"/>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产地</w:t>
            </w:r>
          </w:p>
        </w:tc>
        <w:tc>
          <w:tcPr>
            <w:tcW w:w="0" w:type="auto"/>
            <w:tcBorders>
              <w:top w:val="single" w:sz="12" w:space="0" w:color="000000"/>
              <w:left w:val="nil"/>
              <w:bottom w:val="single" w:sz="8" w:space="0" w:color="000000"/>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A</w:t>
            </w:r>
          </w:p>
        </w:tc>
        <w:tc>
          <w:tcPr>
            <w:tcW w:w="0" w:type="auto"/>
            <w:tcBorders>
              <w:top w:val="single" w:sz="12" w:space="0" w:color="000000"/>
              <w:left w:val="nil"/>
              <w:bottom w:val="single" w:sz="8" w:space="0" w:color="000000"/>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Q</w:t>
            </w:r>
          </w:p>
        </w:tc>
        <w:tc>
          <w:tcPr>
            <w:tcW w:w="0" w:type="auto"/>
            <w:tcBorders>
              <w:top w:val="single" w:sz="12" w:space="0" w:color="000000"/>
              <w:left w:val="nil"/>
              <w:bottom w:val="single" w:sz="8" w:space="0" w:color="000000"/>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等级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5.39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4.30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3.34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2.64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2.55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3.64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3.54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lastRenderedPageBreak/>
              <w:t>12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4.18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越南</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4.36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越南</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4.79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4.34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3.36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越南</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越南</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5.44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4.52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1.52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4.62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2.72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1.56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3.61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8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4.40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2.55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2.79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广西防城港市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4.29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2.79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3.55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2.36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2.59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2.71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云南蒙自市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2.48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DD1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GL1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2.94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GL2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2.92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GL3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3.01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GL5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GL7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0.78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GX10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3.12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GX9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广东云浮市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3.59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JZ1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2.09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JZ3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2.03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JZ4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JZ9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LS1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广西梧州市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2.12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MZ8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广东罗定市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RD2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SN4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广东肇庆市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SS1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SS2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SS8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lastRenderedPageBreak/>
              <w:t>ST1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0.79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4.43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特级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ST2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3.01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ST3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3.38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ST4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0.69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2.49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ST5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3.02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TB3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广东罗定市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0.98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2.09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TL10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3.27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1.40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1.86</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3.45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1.71</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3.19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一级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TL9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1.32</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2.18</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XD5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1.54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2.14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XD9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1.10</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XL4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广东罗定市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XL7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广东罗定市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1.14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1.97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ZL3</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1.04</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1.55</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ZL7</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1.69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2.19</w:t>
            </w:r>
          </w:p>
        </w:tc>
        <w:tc>
          <w:tcPr>
            <w:tcW w:w="0" w:type="auto"/>
            <w:tcBorders>
              <w:top w:val="nil"/>
              <w:left w:val="nil"/>
              <w:bottom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70"/>
          <w:jc w:val="center"/>
        </w:trPr>
        <w:tc>
          <w:tcPr>
            <w:tcW w:w="0" w:type="auto"/>
            <w:tcBorders>
              <w:top w:val="nil"/>
              <w:left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ZT3</w:t>
            </w:r>
          </w:p>
        </w:tc>
        <w:tc>
          <w:tcPr>
            <w:tcW w:w="0" w:type="auto"/>
            <w:tcBorders>
              <w:top w:val="nil"/>
              <w:left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广西玉林市</w:t>
            </w:r>
          </w:p>
        </w:tc>
        <w:tc>
          <w:tcPr>
            <w:tcW w:w="0" w:type="auto"/>
            <w:tcBorders>
              <w:top w:val="nil"/>
              <w:left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1.27</w:t>
            </w:r>
          </w:p>
        </w:tc>
        <w:tc>
          <w:tcPr>
            <w:tcW w:w="0" w:type="auto"/>
            <w:tcBorders>
              <w:top w:val="nil"/>
              <w:left w:val="nil"/>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2.05</w:t>
            </w:r>
          </w:p>
        </w:tc>
        <w:tc>
          <w:tcPr>
            <w:tcW w:w="0" w:type="auto"/>
            <w:tcBorders>
              <w:top w:val="nil"/>
              <w:left w:val="nil"/>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r w:rsidR="00A92248" w:rsidRPr="00A92248">
        <w:trPr>
          <w:trHeight w:val="285"/>
          <w:jc w:val="center"/>
        </w:trPr>
        <w:tc>
          <w:tcPr>
            <w:tcW w:w="0" w:type="auto"/>
            <w:tcBorders>
              <w:top w:val="nil"/>
              <w:left w:val="nil"/>
              <w:bottom w:val="single" w:sz="12" w:space="0" w:color="auto"/>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ZT4</w:t>
            </w:r>
          </w:p>
        </w:tc>
        <w:tc>
          <w:tcPr>
            <w:tcW w:w="0" w:type="auto"/>
            <w:tcBorders>
              <w:top w:val="nil"/>
              <w:left w:val="nil"/>
              <w:bottom w:val="single" w:sz="12" w:space="0" w:color="auto"/>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广西贵港市</w:t>
            </w:r>
          </w:p>
        </w:tc>
        <w:tc>
          <w:tcPr>
            <w:tcW w:w="0" w:type="auto"/>
            <w:tcBorders>
              <w:top w:val="nil"/>
              <w:left w:val="nil"/>
              <w:bottom w:val="single" w:sz="12" w:space="0" w:color="auto"/>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1.08</w:t>
            </w:r>
          </w:p>
        </w:tc>
        <w:tc>
          <w:tcPr>
            <w:tcW w:w="0" w:type="auto"/>
            <w:tcBorders>
              <w:top w:val="nil"/>
              <w:left w:val="nil"/>
              <w:bottom w:val="single" w:sz="12" w:space="0" w:color="auto"/>
              <w:right w:val="nil"/>
            </w:tcBorders>
            <w:noWrap/>
            <w:vAlign w:val="center"/>
          </w:tcPr>
          <w:p w:rsidR="008B1168" w:rsidRPr="00A92248" w:rsidRDefault="00FE6FF4">
            <w:pPr>
              <w:widowControl/>
              <w:jc w:val="center"/>
              <w:rPr>
                <w:rFonts w:ascii="Times New Roman" w:hAnsi="Times New Roman" w:cs="Times New Roman"/>
                <w:color w:val="000000" w:themeColor="text1"/>
                <w:kern w:val="0"/>
                <w:sz w:val="18"/>
                <w:szCs w:val="18"/>
              </w:rPr>
            </w:pPr>
            <w:r w:rsidRPr="00A92248">
              <w:rPr>
                <w:rFonts w:ascii="Times New Roman" w:hAnsi="Times New Roman" w:cs="Times New Roman"/>
                <w:color w:val="000000" w:themeColor="text1"/>
                <w:kern w:val="0"/>
                <w:sz w:val="18"/>
                <w:szCs w:val="18"/>
              </w:rPr>
              <w:t>1.77</w:t>
            </w:r>
          </w:p>
        </w:tc>
        <w:tc>
          <w:tcPr>
            <w:tcW w:w="0" w:type="auto"/>
            <w:tcBorders>
              <w:top w:val="nil"/>
              <w:left w:val="nil"/>
              <w:bottom w:val="single" w:sz="12" w:space="0" w:color="auto"/>
              <w:right w:val="nil"/>
            </w:tcBorders>
            <w:noWrap/>
            <w:vAlign w:val="center"/>
          </w:tcPr>
          <w:p w:rsidR="008B1168" w:rsidRPr="00A92248" w:rsidRDefault="00FE6FF4">
            <w:pPr>
              <w:widowControl/>
              <w:jc w:val="center"/>
              <w:rPr>
                <w:rFonts w:ascii="Times New Roman" w:hAnsi="Times New Roman" w:cs="宋体"/>
                <w:color w:val="000000" w:themeColor="text1"/>
                <w:kern w:val="0"/>
                <w:sz w:val="18"/>
                <w:szCs w:val="18"/>
              </w:rPr>
            </w:pPr>
            <w:r w:rsidRPr="00A92248">
              <w:rPr>
                <w:rFonts w:ascii="Times New Roman" w:hAnsi="Times New Roman" w:cs="宋体" w:hint="eastAsia"/>
                <w:color w:val="000000" w:themeColor="text1"/>
                <w:kern w:val="0"/>
                <w:sz w:val="18"/>
                <w:szCs w:val="18"/>
              </w:rPr>
              <w:t>二级</w:t>
            </w:r>
          </w:p>
        </w:tc>
      </w:tr>
    </w:tbl>
    <w:p w:rsidR="008B1168" w:rsidRPr="00A92248" w:rsidRDefault="00FE6FF4">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六、重大意见分歧的处理依据和结果</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本标准研制过程中无重大分歧意见。</w:t>
      </w:r>
    </w:p>
    <w:p w:rsidR="008B1168" w:rsidRPr="00A92248" w:rsidRDefault="00FE6FF4">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七、实施标准的措施</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（一）标准报批发布后，成立标准宣贯工作组</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（二）组织开展标准宣贯培训</w:t>
      </w:r>
    </w:p>
    <w:p w:rsidR="008B1168" w:rsidRPr="00A92248" w:rsidRDefault="00FE6FF4">
      <w:pPr>
        <w:spacing w:line="520" w:lineRule="exact"/>
        <w:ind w:firstLineChars="200" w:firstLine="640"/>
        <w:rPr>
          <w:rFonts w:ascii="仿宋" w:eastAsia="仿宋" w:hAnsi="仿宋"/>
          <w:color w:val="000000" w:themeColor="text1"/>
          <w:sz w:val="32"/>
          <w:szCs w:val="32"/>
        </w:rPr>
      </w:pPr>
      <w:r w:rsidRPr="00A92248">
        <w:rPr>
          <w:rFonts w:ascii="仿宋_GB2312" w:eastAsia="仿宋_GB2312" w:hint="eastAsia"/>
          <w:color w:val="000000" w:themeColor="text1"/>
          <w:sz w:val="32"/>
          <w:szCs w:val="32"/>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广西</w:t>
      </w:r>
      <w:r w:rsidRPr="00A92248">
        <w:rPr>
          <w:rFonts w:ascii="仿宋_GB2312" w:eastAsia="仿宋_GB2312"/>
          <w:color w:val="000000" w:themeColor="text1"/>
          <w:sz w:val="32"/>
          <w:szCs w:val="32"/>
        </w:rPr>
        <w:t>道地中药材产业</w:t>
      </w:r>
      <w:r w:rsidRPr="00A92248">
        <w:rPr>
          <w:rFonts w:ascii="仿宋_GB2312" w:eastAsia="仿宋_GB2312" w:hint="eastAsia"/>
          <w:color w:val="000000" w:themeColor="text1"/>
          <w:sz w:val="32"/>
          <w:szCs w:val="32"/>
        </w:rPr>
        <w:t>健康发展。</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（三）开展标准实施交流会，收集标准实施反馈信息</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lastRenderedPageBreak/>
        <w:t>标准起草小组深入各市县相关机构技术人员召开标准实施交流会，听取标准实施过程中存在的问题并做好记录和解答，对存在的问题组织专家团队进行研讨，为标准的复审修订做准备。</w:t>
      </w:r>
    </w:p>
    <w:p w:rsidR="008B1168" w:rsidRPr="00A92248" w:rsidRDefault="00FE6FF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A92248">
        <w:rPr>
          <w:rFonts w:ascii="Times New Roman" w:eastAsia="楷体" w:hAnsi="Times New Roman" w:cs="Times New Roman" w:hint="eastAsia"/>
          <w:b/>
          <w:bCs/>
          <w:color w:val="000000" w:themeColor="text1"/>
          <w:kern w:val="0"/>
          <w:sz w:val="32"/>
          <w:szCs w:val="32"/>
        </w:rPr>
        <w:t>（四）开展标准实施效果评估</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rsidR="008B1168" w:rsidRPr="00A92248" w:rsidRDefault="00FE6FF4">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A92248">
        <w:rPr>
          <w:rFonts w:ascii="Times New Roman" w:eastAsia="黑体" w:hAnsi="Times New Roman" w:cs="Times New Roman" w:hint="eastAsia"/>
          <w:color w:val="000000" w:themeColor="text1"/>
          <w:sz w:val="32"/>
          <w:szCs w:val="32"/>
        </w:rPr>
        <w:t>八、其他应当说明的事项</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无。</w:t>
      </w:r>
    </w:p>
    <w:p w:rsidR="008B1168" w:rsidRPr="00A92248" w:rsidRDefault="008B1168">
      <w:pPr>
        <w:pStyle w:val="-1"/>
        <w:rPr>
          <w:rFonts w:ascii="仿宋_GB2312" w:eastAsia="仿宋_GB2312"/>
          <w:color w:val="000000" w:themeColor="text1"/>
          <w:sz w:val="28"/>
          <w:szCs w:val="28"/>
        </w:rPr>
      </w:pPr>
    </w:p>
    <w:p w:rsidR="008B1168" w:rsidRPr="00A92248" w:rsidRDefault="008B1168">
      <w:pPr>
        <w:pStyle w:val="-1"/>
        <w:rPr>
          <w:rFonts w:ascii="仿宋_GB2312" w:eastAsia="仿宋_GB2312"/>
          <w:color w:val="000000" w:themeColor="text1"/>
          <w:sz w:val="28"/>
          <w:szCs w:val="28"/>
        </w:rPr>
      </w:pPr>
    </w:p>
    <w:p w:rsidR="008B1168" w:rsidRPr="00A92248" w:rsidRDefault="00FE6FF4">
      <w:pPr>
        <w:spacing w:line="520" w:lineRule="exact"/>
        <w:ind w:firstLineChars="200" w:firstLine="640"/>
        <w:jc w:val="right"/>
        <w:rPr>
          <w:rFonts w:ascii="仿宋_GB2312" w:eastAsia="仿宋_GB2312"/>
          <w:color w:val="000000" w:themeColor="text1"/>
          <w:sz w:val="32"/>
          <w:szCs w:val="32"/>
        </w:rPr>
      </w:pPr>
      <w:r w:rsidRPr="00A92248">
        <w:rPr>
          <w:rFonts w:ascii="仿宋_GB2312" w:eastAsia="仿宋_GB2312" w:hint="eastAsia"/>
          <w:color w:val="000000" w:themeColor="text1"/>
          <w:sz w:val="32"/>
          <w:szCs w:val="32"/>
        </w:rPr>
        <w:t>团体标准《“桂十味”肉桂质量等级》</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 w:eastAsia="仿宋" w:hAnsi="仿宋" w:hint="eastAsia"/>
          <w:color w:val="000000" w:themeColor="text1"/>
          <w:sz w:val="32"/>
          <w:szCs w:val="32"/>
        </w:rPr>
        <w:t xml:space="preserve">                             </w:t>
      </w:r>
      <w:r w:rsidRPr="00A92248">
        <w:rPr>
          <w:rFonts w:ascii="仿宋_GB2312" w:eastAsia="仿宋_GB2312" w:hint="eastAsia"/>
          <w:color w:val="000000" w:themeColor="text1"/>
          <w:sz w:val="32"/>
          <w:szCs w:val="32"/>
        </w:rPr>
        <w:t>标准编制工作组</w:t>
      </w:r>
    </w:p>
    <w:p w:rsidR="008B1168" w:rsidRPr="00A92248" w:rsidRDefault="00FE6FF4">
      <w:pPr>
        <w:spacing w:line="520" w:lineRule="exact"/>
        <w:ind w:firstLineChars="200" w:firstLine="640"/>
        <w:rPr>
          <w:rFonts w:ascii="仿宋_GB2312" w:eastAsia="仿宋_GB2312"/>
          <w:color w:val="000000" w:themeColor="text1"/>
          <w:sz w:val="32"/>
          <w:szCs w:val="32"/>
        </w:rPr>
      </w:pPr>
      <w:r w:rsidRPr="00A92248">
        <w:rPr>
          <w:rFonts w:ascii="仿宋" w:eastAsia="仿宋" w:hAnsi="仿宋" w:hint="eastAsia"/>
          <w:color w:val="000000" w:themeColor="text1"/>
          <w:sz w:val="32"/>
          <w:szCs w:val="32"/>
        </w:rPr>
        <w:t xml:space="preserve">                             </w:t>
      </w:r>
      <w:r w:rsidRPr="00A92248">
        <w:rPr>
          <w:rFonts w:ascii="仿宋_GB2312" w:eastAsia="仿宋_GB2312" w:hint="eastAsia"/>
          <w:color w:val="000000" w:themeColor="text1"/>
          <w:sz w:val="32"/>
          <w:szCs w:val="32"/>
        </w:rPr>
        <w:t>202</w:t>
      </w:r>
      <w:r w:rsidRPr="00A92248">
        <w:rPr>
          <w:rFonts w:ascii="仿宋_GB2312" w:eastAsia="仿宋_GB2312"/>
          <w:color w:val="000000" w:themeColor="text1"/>
          <w:sz w:val="32"/>
          <w:szCs w:val="32"/>
        </w:rPr>
        <w:t>6</w:t>
      </w:r>
      <w:r w:rsidRPr="00A92248">
        <w:rPr>
          <w:rFonts w:ascii="仿宋_GB2312" w:eastAsia="仿宋_GB2312" w:hint="eastAsia"/>
          <w:color w:val="000000" w:themeColor="text1"/>
          <w:sz w:val="32"/>
          <w:szCs w:val="32"/>
        </w:rPr>
        <w:t>年</w:t>
      </w:r>
      <w:r w:rsidRPr="00A92248">
        <w:rPr>
          <w:rFonts w:ascii="仿宋_GB2312" w:eastAsia="仿宋_GB2312"/>
          <w:color w:val="000000" w:themeColor="text1"/>
          <w:sz w:val="32"/>
          <w:szCs w:val="32"/>
        </w:rPr>
        <w:t>3</w:t>
      </w:r>
      <w:r w:rsidRPr="00A92248">
        <w:rPr>
          <w:rFonts w:ascii="仿宋_GB2312" w:eastAsia="仿宋_GB2312" w:hint="eastAsia"/>
          <w:color w:val="000000" w:themeColor="text1"/>
          <w:sz w:val="32"/>
          <w:szCs w:val="32"/>
        </w:rPr>
        <w:t>月</w:t>
      </w:r>
      <w:r w:rsidR="00A5298F" w:rsidRPr="00A92248">
        <w:rPr>
          <w:rFonts w:ascii="仿宋_GB2312" w:eastAsia="仿宋_GB2312"/>
          <w:color w:val="000000" w:themeColor="text1"/>
          <w:sz w:val="32"/>
          <w:szCs w:val="32"/>
        </w:rPr>
        <w:t>23</w:t>
      </w:r>
      <w:r w:rsidRPr="00A92248">
        <w:rPr>
          <w:rFonts w:ascii="仿宋_GB2312" w:eastAsia="仿宋_GB2312" w:hint="eastAsia"/>
          <w:color w:val="000000" w:themeColor="text1"/>
          <w:sz w:val="32"/>
          <w:szCs w:val="32"/>
        </w:rPr>
        <w:t>日</w:t>
      </w:r>
    </w:p>
    <w:bookmarkEnd w:id="0"/>
    <w:p w:rsidR="008B1168" w:rsidRPr="00A92248" w:rsidRDefault="008B1168">
      <w:pPr>
        <w:pStyle w:val="BodyText2"/>
        <w:jc w:val="center"/>
        <w:rPr>
          <w:color w:val="000000" w:themeColor="text1"/>
        </w:rPr>
      </w:pPr>
    </w:p>
    <w:sectPr w:rsidR="008B1168" w:rsidRPr="00A92248">
      <w:footerReference w:type="default" r:id="rId21"/>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4A98" w:rsidRDefault="000C4A98">
      <w:r>
        <w:separator/>
      </w:r>
    </w:p>
  </w:endnote>
  <w:endnote w:type="continuationSeparator" w:id="0">
    <w:p w:rsidR="000C4A98" w:rsidRDefault="000C4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06D44ABE-92C0-41B6-B0FB-28459CF72C82}"/>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embedRegular r:id="rId2" w:subsetted="1" w:fontKey="{74119AF9-1BA0-425B-B604-84A19C35BC68}"/>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3" w:subsetted="1" w:fontKey="{32DD17D7-2F37-47E3-8FE9-E55528AE083E}"/>
    <w:embedBold r:id="rId4" w:subsetted="1" w:fontKey="{9DC2F86C-616D-4BD8-8120-53616F4E3802}"/>
  </w:font>
  <w:font w:name="楷体">
    <w:panose1 w:val="02010609060101010101"/>
    <w:charset w:val="86"/>
    <w:family w:val="modern"/>
    <w:pitch w:val="fixed"/>
    <w:sig w:usb0="800002BF" w:usb1="38CF7CFA" w:usb2="00000016" w:usb3="00000000" w:csb0="00040001" w:csb1="00000000"/>
    <w:embedBold r:id="rId5" w:subsetted="1" w:fontKey="{F6652A43-ED3A-4ADE-A028-59332CD0D667}"/>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embedRegular r:id="rId6" w:subsetted="1" w:fontKey="{A0CFD4B3-449A-440B-A18E-0A46401971FE}"/>
    <w:embedItalic r:id="rId7" w:subsetted="1" w:fontKey="{13498F45-CB5A-41EC-9EC4-5B45876E88B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62BD" w:rsidRDefault="00A962BD">
    <w:pPr>
      <w:pStyle w:val="afa"/>
      <w:ind w:firstLine="378"/>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A962BD" w:rsidRDefault="00A962BD">
                          <w:pPr>
                            <w:pStyle w:val="afa"/>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A92248">
                            <w:rPr>
                              <w:rFonts w:ascii="宋体" w:hAnsi="宋体"/>
                              <w:noProof/>
                              <w:sz w:val="21"/>
                            </w:rPr>
                            <w:t>15</w:t>
                          </w:r>
                          <w:r>
                            <w:rPr>
                              <w:rFonts w:ascii="宋体" w:hAnsi="宋体" w:hint="eastAsia"/>
                              <w:sz w:val="21"/>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A962BD" w:rsidRDefault="00A962BD">
                    <w:pPr>
                      <w:pStyle w:val="afa"/>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A92248">
                      <w:rPr>
                        <w:rFonts w:ascii="宋体" w:hAnsi="宋体"/>
                        <w:noProof/>
                        <w:sz w:val="21"/>
                      </w:rPr>
                      <w:t>15</w:t>
                    </w:r>
                    <w:r>
                      <w:rPr>
                        <w:rFonts w:ascii="宋体" w:hAnsi="宋体" w:hint="eastAsia"/>
                        <w:sz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4A98" w:rsidRDefault="000C4A98">
      <w:r>
        <w:separator/>
      </w:r>
    </w:p>
  </w:footnote>
  <w:footnote w:type="continuationSeparator" w:id="0">
    <w:p w:rsidR="000C4A98" w:rsidRDefault="000C4A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B83D74ED"/>
    <w:multiLevelType w:val="singleLevel"/>
    <w:tmpl w:val="B83D74ED"/>
    <w:lvl w:ilvl="0">
      <w:start w:val="2"/>
      <w:numFmt w:val="chineseCounting"/>
      <w:suff w:val="nothing"/>
      <w:lvlText w:val="%1、"/>
      <w:lvlJc w:val="left"/>
      <w:rPr>
        <w:rFonts w:hint="eastAsia"/>
      </w:rPr>
    </w:lvl>
  </w:abstractNum>
  <w:abstractNum w:abstractNumId="2" w15:restartNumberingAfterBreak="0">
    <w:nsid w:val="02837933"/>
    <w:multiLevelType w:val="multilevel"/>
    <w:tmpl w:val="02837933"/>
    <w:lvl w:ilvl="0">
      <w:start w:val="1"/>
      <w:numFmt w:val="decimal"/>
      <w:pStyle w:val="a0"/>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3" w15:restartNumberingAfterBreak="0">
    <w:nsid w:val="0BDC1670"/>
    <w:multiLevelType w:val="multilevel"/>
    <w:tmpl w:val="0BDC1670"/>
    <w:lvl w:ilvl="0">
      <w:start w:val="1"/>
      <w:numFmt w:val="decimal"/>
      <w:pStyle w:val="a1"/>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2C5917C3"/>
    <w:multiLevelType w:val="multilevel"/>
    <w:tmpl w:val="2C5917C3"/>
    <w:lvl w:ilvl="0">
      <w:start w:val="1"/>
      <w:numFmt w:val="none"/>
      <w:pStyle w:val="a2"/>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3"/>
      <w:lvlText w:val="%1)"/>
      <w:lvlJc w:val="left"/>
      <w:pPr>
        <w:tabs>
          <w:tab w:val="left" w:pos="851"/>
        </w:tabs>
        <w:ind w:left="851" w:hanging="426"/>
      </w:pPr>
      <w:rPr>
        <w:rFonts w:ascii="宋体" w:eastAsia="宋体" w:hAnsi="Times New Roman" w:hint="eastAsia"/>
        <w:sz w:val="21"/>
      </w:rPr>
    </w:lvl>
    <w:lvl w:ilvl="1">
      <w:start w:val="1"/>
      <w:numFmt w:val="decimal"/>
      <w:pStyle w:val="a4"/>
      <w:lvlText w:val="%2)"/>
      <w:lvlJc w:val="left"/>
      <w:pPr>
        <w:tabs>
          <w:tab w:val="left" w:pos="1276"/>
        </w:tabs>
        <w:ind w:left="1276" w:hanging="425"/>
      </w:pPr>
      <w:rPr>
        <w:rFonts w:ascii="宋体" w:eastAsia="宋体" w:hAnsi="Times New Roman" w:hint="eastAsia"/>
        <w:sz w:val="21"/>
      </w:rPr>
    </w:lvl>
    <w:lvl w:ilvl="2">
      <w:start w:val="1"/>
      <w:numFmt w:val="decimal"/>
      <w:pStyle w:val="a5"/>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A9B6960"/>
    <w:multiLevelType w:val="multilevel"/>
    <w:tmpl w:val="5A9B6960"/>
    <w:lvl w:ilvl="0">
      <w:start w:val="1"/>
      <w:numFmt w:val="none"/>
      <w:pStyle w:val="a6"/>
      <w:suff w:val="nothing"/>
      <w:lvlText w:val="%1"/>
      <w:legacy w:legacy="1" w:legacySpace="0" w:legacyIndent="0"/>
      <w:lvlJc w:val="left"/>
      <w:pPr>
        <w:ind w:left="0" w:firstLine="0"/>
      </w:pPr>
      <w:rPr>
        <w:rFonts w:hint="eastAsia"/>
      </w:rPr>
    </w:lvl>
    <w:lvl w:ilvl="1">
      <w:start w:val="1"/>
      <w:numFmt w:val="decimal"/>
      <w:pStyle w:val="a7"/>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8"/>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9"/>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a"/>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b"/>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7"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c"/>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6"/>
  </w:num>
  <w:num w:numId="2">
    <w:abstractNumId w:val="0"/>
  </w:num>
  <w:num w:numId="3">
    <w:abstractNumId w:val="5"/>
  </w:num>
  <w:num w:numId="4">
    <w:abstractNumId w:val="4"/>
  </w:num>
  <w:num w:numId="5">
    <w:abstractNumId w:val="7"/>
  </w:num>
  <w:num w:numId="6">
    <w:abstractNumId w:val="3"/>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D9BF3AD6"/>
    <w:rsid w:val="E7FFD9D9"/>
    <w:rsid w:val="000026B4"/>
    <w:rsid w:val="00005F64"/>
    <w:rsid w:val="000068A2"/>
    <w:rsid w:val="00014983"/>
    <w:rsid w:val="00014F92"/>
    <w:rsid w:val="000171F6"/>
    <w:rsid w:val="000178C8"/>
    <w:rsid w:val="00021AEF"/>
    <w:rsid w:val="00024C52"/>
    <w:rsid w:val="000264DD"/>
    <w:rsid w:val="0004185E"/>
    <w:rsid w:val="00041CA7"/>
    <w:rsid w:val="000424C0"/>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5A3F"/>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4A98"/>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04F0"/>
    <w:rsid w:val="00100A93"/>
    <w:rsid w:val="00101040"/>
    <w:rsid w:val="00110AC2"/>
    <w:rsid w:val="001114EB"/>
    <w:rsid w:val="001121F0"/>
    <w:rsid w:val="001133E6"/>
    <w:rsid w:val="001133EF"/>
    <w:rsid w:val="001143BC"/>
    <w:rsid w:val="00116CEA"/>
    <w:rsid w:val="0012345E"/>
    <w:rsid w:val="001243EC"/>
    <w:rsid w:val="00132D8B"/>
    <w:rsid w:val="001334A1"/>
    <w:rsid w:val="00133F3E"/>
    <w:rsid w:val="0013596D"/>
    <w:rsid w:val="00141D5D"/>
    <w:rsid w:val="00141D9D"/>
    <w:rsid w:val="001437B3"/>
    <w:rsid w:val="00143DF9"/>
    <w:rsid w:val="00152CB3"/>
    <w:rsid w:val="001530FB"/>
    <w:rsid w:val="001548F8"/>
    <w:rsid w:val="001655CC"/>
    <w:rsid w:val="0018012C"/>
    <w:rsid w:val="001821C9"/>
    <w:rsid w:val="00183018"/>
    <w:rsid w:val="00190E01"/>
    <w:rsid w:val="00192A37"/>
    <w:rsid w:val="001968C3"/>
    <w:rsid w:val="001A3825"/>
    <w:rsid w:val="001A7570"/>
    <w:rsid w:val="001B0030"/>
    <w:rsid w:val="001B3580"/>
    <w:rsid w:val="001B6B04"/>
    <w:rsid w:val="001C21D4"/>
    <w:rsid w:val="001C4C8F"/>
    <w:rsid w:val="001C684B"/>
    <w:rsid w:val="001C7DE8"/>
    <w:rsid w:val="001D03FF"/>
    <w:rsid w:val="001D0584"/>
    <w:rsid w:val="001D3156"/>
    <w:rsid w:val="001D4971"/>
    <w:rsid w:val="001D5BCD"/>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160E9"/>
    <w:rsid w:val="002209F0"/>
    <w:rsid w:val="002210B4"/>
    <w:rsid w:val="00221DEA"/>
    <w:rsid w:val="0022236C"/>
    <w:rsid w:val="0022377B"/>
    <w:rsid w:val="002251A3"/>
    <w:rsid w:val="0022603A"/>
    <w:rsid w:val="00226607"/>
    <w:rsid w:val="002324B6"/>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55B40"/>
    <w:rsid w:val="00262001"/>
    <w:rsid w:val="00263E80"/>
    <w:rsid w:val="002679F0"/>
    <w:rsid w:val="00271E05"/>
    <w:rsid w:val="00280BDB"/>
    <w:rsid w:val="00281F39"/>
    <w:rsid w:val="00282A9A"/>
    <w:rsid w:val="00284768"/>
    <w:rsid w:val="0028500C"/>
    <w:rsid w:val="0028575C"/>
    <w:rsid w:val="002879F6"/>
    <w:rsid w:val="00291CD8"/>
    <w:rsid w:val="002920DE"/>
    <w:rsid w:val="00292F73"/>
    <w:rsid w:val="00293ACA"/>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306F"/>
    <w:rsid w:val="002D4342"/>
    <w:rsid w:val="002D5597"/>
    <w:rsid w:val="002D78FF"/>
    <w:rsid w:val="002E1B63"/>
    <w:rsid w:val="002E357A"/>
    <w:rsid w:val="002E3B58"/>
    <w:rsid w:val="002E41AE"/>
    <w:rsid w:val="002E4234"/>
    <w:rsid w:val="002E5273"/>
    <w:rsid w:val="002F03C6"/>
    <w:rsid w:val="002F0D8E"/>
    <w:rsid w:val="002F4C45"/>
    <w:rsid w:val="002F5C0C"/>
    <w:rsid w:val="003005B8"/>
    <w:rsid w:val="00300FDB"/>
    <w:rsid w:val="00302739"/>
    <w:rsid w:val="00302A1F"/>
    <w:rsid w:val="0030522C"/>
    <w:rsid w:val="00305E40"/>
    <w:rsid w:val="00310A68"/>
    <w:rsid w:val="0031223D"/>
    <w:rsid w:val="00312804"/>
    <w:rsid w:val="00313922"/>
    <w:rsid w:val="00315D1F"/>
    <w:rsid w:val="003160CF"/>
    <w:rsid w:val="00316571"/>
    <w:rsid w:val="00317091"/>
    <w:rsid w:val="00317530"/>
    <w:rsid w:val="00320CB4"/>
    <w:rsid w:val="00321E92"/>
    <w:rsid w:val="00322535"/>
    <w:rsid w:val="003259AF"/>
    <w:rsid w:val="00325F9F"/>
    <w:rsid w:val="0032620D"/>
    <w:rsid w:val="0033062D"/>
    <w:rsid w:val="003306DD"/>
    <w:rsid w:val="00330A4E"/>
    <w:rsid w:val="00332242"/>
    <w:rsid w:val="003329C7"/>
    <w:rsid w:val="003332BA"/>
    <w:rsid w:val="003348AA"/>
    <w:rsid w:val="00335A1B"/>
    <w:rsid w:val="00340D9B"/>
    <w:rsid w:val="00340FDE"/>
    <w:rsid w:val="003460F3"/>
    <w:rsid w:val="00346534"/>
    <w:rsid w:val="003479E3"/>
    <w:rsid w:val="00347EEF"/>
    <w:rsid w:val="003517E7"/>
    <w:rsid w:val="00351C4B"/>
    <w:rsid w:val="00357BDF"/>
    <w:rsid w:val="00360A67"/>
    <w:rsid w:val="00360BAF"/>
    <w:rsid w:val="00361596"/>
    <w:rsid w:val="00362C01"/>
    <w:rsid w:val="00367D5E"/>
    <w:rsid w:val="00371B5F"/>
    <w:rsid w:val="00372E66"/>
    <w:rsid w:val="00373160"/>
    <w:rsid w:val="00375933"/>
    <w:rsid w:val="0037633C"/>
    <w:rsid w:val="00382E35"/>
    <w:rsid w:val="00384168"/>
    <w:rsid w:val="003872E4"/>
    <w:rsid w:val="0038771B"/>
    <w:rsid w:val="00390AD8"/>
    <w:rsid w:val="00390C14"/>
    <w:rsid w:val="00391F54"/>
    <w:rsid w:val="00393447"/>
    <w:rsid w:val="00396F2C"/>
    <w:rsid w:val="003A3F27"/>
    <w:rsid w:val="003A49FF"/>
    <w:rsid w:val="003A4FC1"/>
    <w:rsid w:val="003A5862"/>
    <w:rsid w:val="003A694A"/>
    <w:rsid w:val="003B0042"/>
    <w:rsid w:val="003B45A7"/>
    <w:rsid w:val="003B4F42"/>
    <w:rsid w:val="003B4FCF"/>
    <w:rsid w:val="003B6088"/>
    <w:rsid w:val="003C0E61"/>
    <w:rsid w:val="003D3CB2"/>
    <w:rsid w:val="003D485E"/>
    <w:rsid w:val="003D5559"/>
    <w:rsid w:val="003D5741"/>
    <w:rsid w:val="003D7E9E"/>
    <w:rsid w:val="003E080C"/>
    <w:rsid w:val="003E2B4C"/>
    <w:rsid w:val="00400A69"/>
    <w:rsid w:val="00400B2B"/>
    <w:rsid w:val="00400F75"/>
    <w:rsid w:val="004012D1"/>
    <w:rsid w:val="00405301"/>
    <w:rsid w:val="00406CA3"/>
    <w:rsid w:val="00411EFB"/>
    <w:rsid w:val="0041392D"/>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60660"/>
    <w:rsid w:val="00460A36"/>
    <w:rsid w:val="004612C5"/>
    <w:rsid w:val="00461AA3"/>
    <w:rsid w:val="00462FF9"/>
    <w:rsid w:val="00471CEC"/>
    <w:rsid w:val="00473D8F"/>
    <w:rsid w:val="00474293"/>
    <w:rsid w:val="0047786D"/>
    <w:rsid w:val="004805DB"/>
    <w:rsid w:val="00480B2B"/>
    <w:rsid w:val="00484C21"/>
    <w:rsid w:val="0048511D"/>
    <w:rsid w:val="004875A9"/>
    <w:rsid w:val="00495AFE"/>
    <w:rsid w:val="00496185"/>
    <w:rsid w:val="00496EA4"/>
    <w:rsid w:val="004A18D9"/>
    <w:rsid w:val="004A2C3C"/>
    <w:rsid w:val="004A4C72"/>
    <w:rsid w:val="004A75FF"/>
    <w:rsid w:val="004B0877"/>
    <w:rsid w:val="004B4D68"/>
    <w:rsid w:val="004B55A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5020DE"/>
    <w:rsid w:val="005051BE"/>
    <w:rsid w:val="00506D43"/>
    <w:rsid w:val="00507297"/>
    <w:rsid w:val="00510DCF"/>
    <w:rsid w:val="00510F10"/>
    <w:rsid w:val="00511151"/>
    <w:rsid w:val="005124A3"/>
    <w:rsid w:val="00512A66"/>
    <w:rsid w:val="005150C9"/>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31F"/>
    <w:rsid w:val="00554B7D"/>
    <w:rsid w:val="00555B2D"/>
    <w:rsid w:val="00564A0C"/>
    <w:rsid w:val="00564F91"/>
    <w:rsid w:val="00565DC9"/>
    <w:rsid w:val="0056706B"/>
    <w:rsid w:val="00571433"/>
    <w:rsid w:val="00571BCB"/>
    <w:rsid w:val="005734DC"/>
    <w:rsid w:val="00573DE7"/>
    <w:rsid w:val="00575956"/>
    <w:rsid w:val="00575C51"/>
    <w:rsid w:val="005777D1"/>
    <w:rsid w:val="00583E03"/>
    <w:rsid w:val="005873FB"/>
    <w:rsid w:val="005910DC"/>
    <w:rsid w:val="00594F6B"/>
    <w:rsid w:val="0059544C"/>
    <w:rsid w:val="00597C52"/>
    <w:rsid w:val="00597C90"/>
    <w:rsid w:val="005A067E"/>
    <w:rsid w:val="005A4A0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903"/>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7D2"/>
    <w:rsid w:val="00617B08"/>
    <w:rsid w:val="006260BB"/>
    <w:rsid w:val="0062727F"/>
    <w:rsid w:val="00627AB4"/>
    <w:rsid w:val="00631D1E"/>
    <w:rsid w:val="006335ED"/>
    <w:rsid w:val="00633E53"/>
    <w:rsid w:val="006342DB"/>
    <w:rsid w:val="006343EC"/>
    <w:rsid w:val="0063539D"/>
    <w:rsid w:val="006371EA"/>
    <w:rsid w:val="00637F53"/>
    <w:rsid w:val="0064386F"/>
    <w:rsid w:val="00645C6F"/>
    <w:rsid w:val="006470F2"/>
    <w:rsid w:val="006477EC"/>
    <w:rsid w:val="00650F3D"/>
    <w:rsid w:val="00650FD7"/>
    <w:rsid w:val="006511A8"/>
    <w:rsid w:val="006526CC"/>
    <w:rsid w:val="00653597"/>
    <w:rsid w:val="00653CD9"/>
    <w:rsid w:val="00654C80"/>
    <w:rsid w:val="00660ECB"/>
    <w:rsid w:val="00661F06"/>
    <w:rsid w:val="00664AC8"/>
    <w:rsid w:val="0066650C"/>
    <w:rsid w:val="0066728E"/>
    <w:rsid w:val="0067031D"/>
    <w:rsid w:val="0067378F"/>
    <w:rsid w:val="0067489E"/>
    <w:rsid w:val="006773E1"/>
    <w:rsid w:val="0068211D"/>
    <w:rsid w:val="0068386A"/>
    <w:rsid w:val="00685738"/>
    <w:rsid w:val="00691000"/>
    <w:rsid w:val="00691524"/>
    <w:rsid w:val="00695D34"/>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153A"/>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7D22"/>
    <w:rsid w:val="00751236"/>
    <w:rsid w:val="00754349"/>
    <w:rsid w:val="00754D85"/>
    <w:rsid w:val="007557E4"/>
    <w:rsid w:val="00756356"/>
    <w:rsid w:val="00757FD8"/>
    <w:rsid w:val="00760113"/>
    <w:rsid w:val="007605F1"/>
    <w:rsid w:val="00763D7D"/>
    <w:rsid w:val="0076553F"/>
    <w:rsid w:val="00774434"/>
    <w:rsid w:val="007756AB"/>
    <w:rsid w:val="00777833"/>
    <w:rsid w:val="007805DF"/>
    <w:rsid w:val="007811F6"/>
    <w:rsid w:val="00781D6C"/>
    <w:rsid w:val="007845E1"/>
    <w:rsid w:val="00785759"/>
    <w:rsid w:val="007936EA"/>
    <w:rsid w:val="007940A9"/>
    <w:rsid w:val="007940BF"/>
    <w:rsid w:val="00795EA0"/>
    <w:rsid w:val="007A149B"/>
    <w:rsid w:val="007B1EA3"/>
    <w:rsid w:val="007B2894"/>
    <w:rsid w:val="007C08A9"/>
    <w:rsid w:val="007C244C"/>
    <w:rsid w:val="007C66E4"/>
    <w:rsid w:val="007D641F"/>
    <w:rsid w:val="007D725F"/>
    <w:rsid w:val="007E0B2D"/>
    <w:rsid w:val="007E18F0"/>
    <w:rsid w:val="007E608C"/>
    <w:rsid w:val="007F2B8D"/>
    <w:rsid w:val="007F3206"/>
    <w:rsid w:val="007F44C1"/>
    <w:rsid w:val="007F6D75"/>
    <w:rsid w:val="008003BA"/>
    <w:rsid w:val="00801A7F"/>
    <w:rsid w:val="0080563C"/>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1168"/>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088"/>
    <w:rsid w:val="009031D1"/>
    <w:rsid w:val="00905E4B"/>
    <w:rsid w:val="00907D3C"/>
    <w:rsid w:val="00913E57"/>
    <w:rsid w:val="00917DDE"/>
    <w:rsid w:val="00920F97"/>
    <w:rsid w:val="00921E53"/>
    <w:rsid w:val="0092324A"/>
    <w:rsid w:val="00923402"/>
    <w:rsid w:val="00923653"/>
    <w:rsid w:val="00924305"/>
    <w:rsid w:val="00926112"/>
    <w:rsid w:val="00926E1B"/>
    <w:rsid w:val="00927696"/>
    <w:rsid w:val="009312DF"/>
    <w:rsid w:val="009317D5"/>
    <w:rsid w:val="00932BA3"/>
    <w:rsid w:val="00933182"/>
    <w:rsid w:val="00933571"/>
    <w:rsid w:val="00940E07"/>
    <w:rsid w:val="009411E1"/>
    <w:rsid w:val="009425CD"/>
    <w:rsid w:val="00943727"/>
    <w:rsid w:val="009453F1"/>
    <w:rsid w:val="0094544E"/>
    <w:rsid w:val="00947EBA"/>
    <w:rsid w:val="00951D26"/>
    <w:rsid w:val="00952A6C"/>
    <w:rsid w:val="00953891"/>
    <w:rsid w:val="00954DC7"/>
    <w:rsid w:val="00954FD2"/>
    <w:rsid w:val="0096388F"/>
    <w:rsid w:val="00963992"/>
    <w:rsid w:val="00964B37"/>
    <w:rsid w:val="00965BAE"/>
    <w:rsid w:val="00966431"/>
    <w:rsid w:val="00966E03"/>
    <w:rsid w:val="009706A4"/>
    <w:rsid w:val="00970FC4"/>
    <w:rsid w:val="00971556"/>
    <w:rsid w:val="009718CC"/>
    <w:rsid w:val="009750C1"/>
    <w:rsid w:val="00975641"/>
    <w:rsid w:val="00977240"/>
    <w:rsid w:val="00985F7F"/>
    <w:rsid w:val="00986A89"/>
    <w:rsid w:val="00991C98"/>
    <w:rsid w:val="00994827"/>
    <w:rsid w:val="00997F40"/>
    <w:rsid w:val="009A0FFB"/>
    <w:rsid w:val="009A13B3"/>
    <w:rsid w:val="009A4141"/>
    <w:rsid w:val="009A5CFB"/>
    <w:rsid w:val="009A62C4"/>
    <w:rsid w:val="009B36FD"/>
    <w:rsid w:val="009B795D"/>
    <w:rsid w:val="009C0BDB"/>
    <w:rsid w:val="009C174F"/>
    <w:rsid w:val="009C21A2"/>
    <w:rsid w:val="009C2645"/>
    <w:rsid w:val="009C5B24"/>
    <w:rsid w:val="009C6874"/>
    <w:rsid w:val="009D1C9B"/>
    <w:rsid w:val="009D2D7E"/>
    <w:rsid w:val="009D438F"/>
    <w:rsid w:val="009D5100"/>
    <w:rsid w:val="009D6865"/>
    <w:rsid w:val="009D76EF"/>
    <w:rsid w:val="009E3161"/>
    <w:rsid w:val="009F0F09"/>
    <w:rsid w:val="009F20CA"/>
    <w:rsid w:val="009F33B1"/>
    <w:rsid w:val="009F7D99"/>
    <w:rsid w:val="00A0200B"/>
    <w:rsid w:val="00A03AAC"/>
    <w:rsid w:val="00A04173"/>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30314"/>
    <w:rsid w:val="00A324C0"/>
    <w:rsid w:val="00A356AD"/>
    <w:rsid w:val="00A365A2"/>
    <w:rsid w:val="00A37FDF"/>
    <w:rsid w:val="00A412E6"/>
    <w:rsid w:val="00A42C5E"/>
    <w:rsid w:val="00A4360A"/>
    <w:rsid w:val="00A43914"/>
    <w:rsid w:val="00A449BB"/>
    <w:rsid w:val="00A467C0"/>
    <w:rsid w:val="00A511A6"/>
    <w:rsid w:val="00A5298F"/>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2248"/>
    <w:rsid w:val="00A93EC6"/>
    <w:rsid w:val="00A94D0D"/>
    <w:rsid w:val="00A962BD"/>
    <w:rsid w:val="00AA112C"/>
    <w:rsid w:val="00AA4E65"/>
    <w:rsid w:val="00AA703E"/>
    <w:rsid w:val="00AB10F4"/>
    <w:rsid w:val="00AB565E"/>
    <w:rsid w:val="00AC1923"/>
    <w:rsid w:val="00AC3575"/>
    <w:rsid w:val="00AC4022"/>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02B7"/>
    <w:rsid w:val="00AF11A3"/>
    <w:rsid w:val="00AF1EF8"/>
    <w:rsid w:val="00B02088"/>
    <w:rsid w:val="00B0340D"/>
    <w:rsid w:val="00B03636"/>
    <w:rsid w:val="00B046DF"/>
    <w:rsid w:val="00B0506E"/>
    <w:rsid w:val="00B05BC1"/>
    <w:rsid w:val="00B07A8A"/>
    <w:rsid w:val="00B10DB8"/>
    <w:rsid w:val="00B11249"/>
    <w:rsid w:val="00B11CC1"/>
    <w:rsid w:val="00B122F4"/>
    <w:rsid w:val="00B13D72"/>
    <w:rsid w:val="00B144D3"/>
    <w:rsid w:val="00B1480E"/>
    <w:rsid w:val="00B213D1"/>
    <w:rsid w:val="00B233CC"/>
    <w:rsid w:val="00B23C80"/>
    <w:rsid w:val="00B24879"/>
    <w:rsid w:val="00B258C7"/>
    <w:rsid w:val="00B339D7"/>
    <w:rsid w:val="00B37157"/>
    <w:rsid w:val="00B37261"/>
    <w:rsid w:val="00B429E8"/>
    <w:rsid w:val="00B43752"/>
    <w:rsid w:val="00B50F8B"/>
    <w:rsid w:val="00B51AC2"/>
    <w:rsid w:val="00B51EC0"/>
    <w:rsid w:val="00B53F5C"/>
    <w:rsid w:val="00B54989"/>
    <w:rsid w:val="00B54E52"/>
    <w:rsid w:val="00B5537F"/>
    <w:rsid w:val="00B55800"/>
    <w:rsid w:val="00B56568"/>
    <w:rsid w:val="00B63784"/>
    <w:rsid w:val="00B64EEC"/>
    <w:rsid w:val="00B65AE9"/>
    <w:rsid w:val="00B66676"/>
    <w:rsid w:val="00B6740B"/>
    <w:rsid w:val="00B708B2"/>
    <w:rsid w:val="00B7298A"/>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5132"/>
    <w:rsid w:val="00BB6932"/>
    <w:rsid w:val="00BB7B52"/>
    <w:rsid w:val="00BC09B1"/>
    <w:rsid w:val="00BC0AE7"/>
    <w:rsid w:val="00BC0EBE"/>
    <w:rsid w:val="00BC1466"/>
    <w:rsid w:val="00BC2838"/>
    <w:rsid w:val="00BC75E3"/>
    <w:rsid w:val="00BD0462"/>
    <w:rsid w:val="00BD049A"/>
    <w:rsid w:val="00BD1C9B"/>
    <w:rsid w:val="00BD2990"/>
    <w:rsid w:val="00BD46AC"/>
    <w:rsid w:val="00BD50BC"/>
    <w:rsid w:val="00BD58F8"/>
    <w:rsid w:val="00BE05F0"/>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4604"/>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47FF"/>
    <w:rsid w:val="00CD641B"/>
    <w:rsid w:val="00CD7D4C"/>
    <w:rsid w:val="00CE3911"/>
    <w:rsid w:val="00CE4310"/>
    <w:rsid w:val="00CE618C"/>
    <w:rsid w:val="00CE6464"/>
    <w:rsid w:val="00CE7CD2"/>
    <w:rsid w:val="00CF1134"/>
    <w:rsid w:val="00CF2652"/>
    <w:rsid w:val="00CF4569"/>
    <w:rsid w:val="00D01B13"/>
    <w:rsid w:val="00D04182"/>
    <w:rsid w:val="00D0457A"/>
    <w:rsid w:val="00D04C1F"/>
    <w:rsid w:val="00D056CC"/>
    <w:rsid w:val="00D066C5"/>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55458"/>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7438"/>
    <w:rsid w:val="00DB0788"/>
    <w:rsid w:val="00DB7F6F"/>
    <w:rsid w:val="00DC55D0"/>
    <w:rsid w:val="00DC5BB0"/>
    <w:rsid w:val="00DD0BAD"/>
    <w:rsid w:val="00DD0DE2"/>
    <w:rsid w:val="00DD2CE2"/>
    <w:rsid w:val="00DD60DE"/>
    <w:rsid w:val="00DD642A"/>
    <w:rsid w:val="00DD71A7"/>
    <w:rsid w:val="00DE1406"/>
    <w:rsid w:val="00DE14F6"/>
    <w:rsid w:val="00DE19B2"/>
    <w:rsid w:val="00DE35BE"/>
    <w:rsid w:val="00DF2589"/>
    <w:rsid w:val="00DF360F"/>
    <w:rsid w:val="00DF36CA"/>
    <w:rsid w:val="00DF4FB8"/>
    <w:rsid w:val="00DF63E3"/>
    <w:rsid w:val="00DF7385"/>
    <w:rsid w:val="00E00473"/>
    <w:rsid w:val="00E02F0D"/>
    <w:rsid w:val="00E1061C"/>
    <w:rsid w:val="00E10692"/>
    <w:rsid w:val="00E14738"/>
    <w:rsid w:val="00E1479A"/>
    <w:rsid w:val="00E15500"/>
    <w:rsid w:val="00E15A16"/>
    <w:rsid w:val="00E206A3"/>
    <w:rsid w:val="00E20C64"/>
    <w:rsid w:val="00E24DB8"/>
    <w:rsid w:val="00E26EB0"/>
    <w:rsid w:val="00E27034"/>
    <w:rsid w:val="00E32D4B"/>
    <w:rsid w:val="00E33957"/>
    <w:rsid w:val="00E40749"/>
    <w:rsid w:val="00E41116"/>
    <w:rsid w:val="00E414EF"/>
    <w:rsid w:val="00E424DA"/>
    <w:rsid w:val="00E45390"/>
    <w:rsid w:val="00E455A5"/>
    <w:rsid w:val="00E555C5"/>
    <w:rsid w:val="00E56CCD"/>
    <w:rsid w:val="00E5722D"/>
    <w:rsid w:val="00E62643"/>
    <w:rsid w:val="00E62938"/>
    <w:rsid w:val="00E642D3"/>
    <w:rsid w:val="00E702F6"/>
    <w:rsid w:val="00E7387C"/>
    <w:rsid w:val="00E73C17"/>
    <w:rsid w:val="00E73E5F"/>
    <w:rsid w:val="00E768B8"/>
    <w:rsid w:val="00E778AE"/>
    <w:rsid w:val="00E77A0F"/>
    <w:rsid w:val="00E82D4E"/>
    <w:rsid w:val="00E835A1"/>
    <w:rsid w:val="00E83E2D"/>
    <w:rsid w:val="00E85084"/>
    <w:rsid w:val="00E85164"/>
    <w:rsid w:val="00E8739B"/>
    <w:rsid w:val="00E90652"/>
    <w:rsid w:val="00E948B4"/>
    <w:rsid w:val="00E95106"/>
    <w:rsid w:val="00E95C43"/>
    <w:rsid w:val="00E96570"/>
    <w:rsid w:val="00EA31DB"/>
    <w:rsid w:val="00EA3205"/>
    <w:rsid w:val="00EA42C6"/>
    <w:rsid w:val="00EA68E9"/>
    <w:rsid w:val="00EA7D7F"/>
    <w:rsid w:val="00EB3C38"/>
    <w:rsid w:val="00EC12A0"/>
    <w:rsid w:val="00EC1E5F"/>
    <w:rsid w:val="00EC27D3"/>
    <w:rsid w:val="00EC4D3E"/>
    <w:rsid w:val="00EC64A8"/>
    <w:rsid w:val="00EC78B7"/>
    <w:rsid w:val="00ED14BD"/>
    <w:rsid w:val="00ED24F1"/>
    <w:rsid w:val="00ED41E5"/>
    <w:rsid w:val="00ED49B5"/>
    <w:rsid w:val="00EE1BB8"/>
    <w:rsid w:val="00EE332B"/>
    <w:rsid w:val="00EE6C01"/>
    <w:rsid w:val="00EF1519"/>
    <w:rsid w:val="00EF2896"/>
    <w:rsid w:val="00EF2C61"/>
    <w:rsid w:val="00EF4610"/>
    <w:rsid w:val="00EF6CB2"/>
    <w:rsid w:val="00EF7939"/>
    <w:rsid w:val="00F01A5C"/>
    <w:rsid w:val="00F04DE2"/>
    <w:rsid w:val="00F076E3"/>
    <w:rsid w:val="00F11CFC"/>
    <w:rsid w:val="00F12C35"/>
    <w:rsid w:val="00F1463A"/>
    <w:rsid w:val="00F15936"/>
    <w:rsid w:val="00F20B68"/>
    <w:rsid w:val="00F23DBE"/>
    <w:rsid w:val="00F31085"/>
    <w:rsid w:val="00F31737"/>
    <w:rsid w:val="00F31DA2"/>
    <w:rsid w:val="00F329A7"/>
    <w:rsid w:val="00F40513"/>
    <w:rsid w:val="00F41C5C"/>
    <w:rsid w:val="00F424A9"/>
    <w:rsid w:val="00F4459F"/>
    <w:rsid w:val="00F508C7"/>
    <w:rsid w:val="00F52F72"/>
    <w:rsid w:val="00F5729F"/>
    <w:rsid w:val="00F60524"/>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B730C"/>
    <w:rsid w:val="00FC2464"/>
    <w:rsid w:val="00FC3224"/>
    <w:rsid w:val="00FC60C3"/>
    <w:rsid w:val="00FC6311"/>
    <w:rsid w:val="00FC7647"/>
    <w:rsid w:val="00FC7CE6"/>
    <w:rsid w:val="00FD0795"/>
    <w:rsid w:val="00FD0A4E"/>
    <w:rsid w:val="00FD3A37"/>
    <w:rsid w:val="00FD577E"/>
    <w:rsid w:val="00FD6497"/>
    <w:rsid w:val="00FD6A4A"/>
    <w:rsid w:val="00FD73BD"/>
    <w:rsid w:val="00FE14B4"/>
    <w:rsid w:val="00FE1EBE"/>
    <w:rsid w:val="00FE46CE"/>
    <w:rsid w:val="00FE4E43"/>
    <w:rsid w:val="00FE6FF4"/>
    <w:rsid w:val="00FF1103"/>
    <w:rsid w:val="00FF2EC3"/>
    <w:rsid w:val="00FF462C"/>
    <w:rsid w:val="00FF66DC"/>
    <w:rsid w:val="00FF7CD6"/>
    <w:rsid w:val="012A4E2C"/>
    <w:rsid w:val="02DC2156"/>
    <w:rsid w:val="03CC3F79"/>
    <w:rsid w:val="05CD222A"/>
    <w:rsid w:val="06084616"/>
    <w:rsid w:val="06A9292B"/>
    <w:rsid w:val="08EF7A39"/>
    <w:rsid w:val="0A5844F0"/>
    <w:rsid w:val="0A815BE9"/>
    <w:rsid w:val="0DFF0ECB"/>
    <w:rsid w:val="0EE41D10"/>
    <w:rsid w:val="104C6BC8"/>
    <w:rsid w:val="11386E78"/>
    <w:rsid w:val="11B73ED3"/>
    <w:rsid w:val="12277661"/>
    <w:rsid w:val="125C5D59"/>
    <w:rsid w:val="133D4C82"/>
    <w:rsid w:val="138D4967"/>
    <w:rsid w:val="13D12EE6"/>
    <w:rsid w:val="13EE1CEA"/>
    <w:rsid w:val="13F37300"/>
    <w:rsid w:val="156D7EAA"/>
    <w:rsid w:val="174D6D27"/>
    <w:rsid w:val="17B206C7"/>
    <w:rsid w:val="18CE5C46"/>
    <w:rsid w:val="1966347B"/>
    <w:rsid w:val="1A2A2D28"/>
    <w:rsid w:val="1B9C64CF"/>
    <w:rsid w:val="1E6C7E3E"/>
    <w:rsid w:val="1EB61656"/>
    <w:rsid w:val="20346CD6"/>
    <w:rsid w:val="2059568A"/>
    <w:rsid w:val="206E043A"/>
    <w:rsid w:val="21B75E11"/>
    <w:rsid w:val="2443573A"/>
    <w:rsid w:val="25496D80"/>
    <w:rsid w:val="27095D8A"/>
    <w:rsid w:val="277B51EB"/>
    <w:rsid w:val="279E6744"/>
    <w:rsid w:val="29EF532D"/>
    <w:rsid w:val="2BAD2B02"/>
    <w:rsid w:val="2E0C3040"/>
    <w:rsid w:val="2E40384E"/>
    <w:rsid w:val="2F083808"/>
    <w:rsid w:val="2F0B058C"/>
    <w:rsid w:val="2F7C5FA4"/>
    <w:rsid w:val="32BC1C5D"/>
    <w:rsid w:val="344833B2"/>
    <w:rsid w:val="38AC22C4"/>
    <w:rsid w:val="3D6C58AA"/>
    <w:rsid w:val="3E799816"/>
    <w:rsid w:val="403F2E01"/>
    <w:rsid w:val="431A1904"/>
    <w:rsid w:val="45413951"/>
    <w:rsid w:val="46E47FFF"/>
    <w:rsid w:val="4779601E"/>
    <w:rsid w:val="478F5844"/>
    <w:rsid w:val="493E1AE1"/>
    <w:rsid w:val="4B2238EC"/>
    <w:rsid w:val="4C627F0D"/>
    <w:rsid w:val="4C6C7CEB"/>
    <w:rsid w:val="4DDD59C1"/>
    <w:rsid w:val="4EAE0286"/>
    <w:rsid w:val="51FB0B52"/>
    <w:rsid w:val="531F075A"/>
    <w:rsid w:val="55D63DB0"/>
    <w:rsid w:val="56DA342C"/>
    <w:rsid w:val="57A01936"/>
    <w:rsid w:val="57A57FD6"/>
    <w:rsid w:val="57F01F2D"/>
    <w:rsid w:val="58D367F3"/>
    <w:rsid w:val="5928261F"/>
    <w:rsid w:val="592C1295"/>
    <w:rsid w:val="59DD74BB"/>
    <w:rsid w:val="5A8C449C"/>
    <w:rsid w:val="5B571FFB"/>
    <w:rsid w:val="5B637E94"/>
    <w:rsid w:val="5BFB00CD"/>
    <w:rsid w:val="5C452F47"/>
    <w:rsid w:val="5D086F45"/>
    <w:rsid w:val="5D4D6706"/>
    <w:rsid w:val="60252B89"/>
    <w:rsid w:val="616C2448"/>
    <w:rsid w:val="63DF2082"/>
    <w:rsid w:val="654A16B4"/>
    <w:rsid w:val="660559F5"/>
    <w:rsid w:val="660F1D12"/>
    <w:rsid w:val="67277FC8"/>
    <w:rsid w:val="677C2407"/>
    <w:rsid w:val="68C47A98"/>
    <w:rsid w:val="68C53F3C"/>
    <w:rsid w:val="6CC80E6D"/>
    <w:rsid w:val="6FB850CE"/>
    <w:rsid w:val="6FDD1529"/>
    <w:rsid w:val="710B6BAC"/>
    <w:rsid w:val="71CC633B"/>
    <w:rsid w:val="71F238C8"/>
    <w:rsid w:val="726D4A13"/>
    <w:rsid w:val="72BE6102"/>
    <w:rsid w:val="738A5B9F"/>
    <w:rsid w:val="741F6AAA"/>
    <w:rsid w:val="74A0585D"/>
    <w:rsid w:val="77A7157C"/>
    <w:rsid w:val="78B143BF"/>
    <w:rsid w:val="7A035425"/>
    <w:rsid w:val="7AB465B7"/>
    <w:rsid w:val="7AFEC822"/>
    <w:rsid w:val="7B215011"/>
    <w:rsid w:val="7B353B9A"/>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docId w15:val="{8A65B4C6-61E7-4A36-B40F-5706F740C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unhideWhenUsed="1" w:qFormat="1"/>
    <w:lsdException w:name="heading 5"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unhideWhenUsed="1" w:qFormat="1"/>
    <w:lsdException w:name="annotation text" w:unhideWhenUsed="1" w:qFormat="1"/>
    <w:lsdException w:name="header"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pPr>
      <w:widowControl w:val="0"/>
      <w:jc w:val="both"/>
    </w:pPr>
    <w:rPr>
      <w:rFonts w:ascii="Calibri" w:hAnsi="Calibri" w:cs="Calibri"/>
      <w:kern w:val="2"/>
      <w:sz w:val="21"/>
      <w:szCs w:val="24"/>
    </w:rPr>
  </w:style>
  <w:style w:type="paragraph" w:styleId="1">
    <w:name w:val="heading 1"/>
    <w:basedOn w:val="ad"/>
    <w:next w:val="ad"/>
    <w:link w:val="10"/>
    <w:qFormat/>
    <w:pPr>
      <w:keepNext/>
      <w:keepLines/>
      <w:spacing w:before="340" w:after="330" w:line="578" w:lineRule="auto"/>
      <w:outlineLvl w:val="0"/>
    </w:pPr>
    <w:rPr>
      <w:b/>
      <w:bCs/>
      <w:kern w:val="44"/>
      <w:sz w:val="44"/>
    </w:rPr>
  </w:style>
  <w:style w:type="paragraph" w:styleId="2">
    <w:name w:val="heading 2"/>
    <w:basedOn w:val="ad"/>
    <w:next w:val="ad"/>
    <w:link w:val="20"/>
    <w:uiPriority w:val="9"/>
    <w:qFormat/>
    <w:pPr>
      <w:keepNext/>
      <w:keepLines/>
      <w:spacing w:before="260" w:after="260" w:line="415" w:lineRule="auto"/>
      <w:outlineLvl w:val="1"/>
    </w:pPr>
    <w:rPr>
      <w:rFonts w:ascii="Times New Roman" w:eastAsia="黑体" w:hAnsi="Times New Roman"/>
      <w:b/>
      <w:sz w:val="32"/>
    </w:rPr>
  </w:style>
  <w:style w:type="paragraph" w:styleId="3">
    <w:name w:val="heading 3"/>
    <w:basedOn w:val="ad"/>
    <w:next w:val="ad"/>
    <w:link w:val="30"/>
    <w:uiPriority w:val="9"/>
    <w:qFormat/>
    <w:pPr>
      <w:keepNext/>
      <w:keepLines/>
      <w:spacing w:before="260" w:after="260" w:line="415" w:lineRule="auto"/>
      <w:outlineLvl w:val="2"/>
    </w:pPr>
    <w:rPr>
      <w:b/>
      <w:sz w:val="32"/>
    </w:rPr>
  </w:style>
  <w:style w:type="paragraph" w:styleId="4">
    <w:name w:val="heading 4"/>
    <w:basedOn w:val="ad"/>
    <w:next w:val="ad"/>
    <w:link w:val="40"/>
    <w:uiPriority w:val="9"/>
    <w:unhideWhenUsed/>
    <w:qFormat/>
    <w:pPr>
      <w:keepNext/>
      <w:keepLines/>
      <w:outlineLvl w:val="3"/>
    </w:pPr>
    <w:rPr>
      <w:rFonts w:ascii="Times New Roman" w:eastAsiaTheme="majorEastAsia" w:hAnsi="Times New Roman" w:cstheme="majorBidi"/>
      <w:b/>
      <w:bCs/>
      <w:szCs w:val="28"/>
    </w:rPr>
  </w:style>
  <w:style w:type="paragraph" w:styleId="5">
    <w:name w:val="heading 5"/>
    <w:basedOn w:val="ad"/>
    <w:next w:val="ad"/>
    <w:link w:val="50"/>
    <w:uiPriority w:val="9"/>
    <w:unhideWhenUsed/>
    <w:qFormat/>
    <w:pPr>
      <w:keepNext/>
      <w:keepLines/>
      <w:outlineLvl w:val="4"/>
    </w:pPr>
    <w:rPr>
      <w:rFonts w:ascii="Times New Roman" w:eastAsiaTheme="minorEastAsia" w:hAnsi="Times New Roman" w:cstheme="minorBidi"/>
      <w:b/>
      <w:bCs/>
      <w:szCs w:val="28"/>
    </w:rPr>
  </w:style>
  <w:style w:type="paragraph" w:styleId="7">
    <w:name w:val="heading 7"/>
    <w:basedOn w:val="ad"/>
    <w:next w:val="ad"/>
    <w:link w:val="70"/>
    <w:uiPriority w:val="9"/>
    <w:qFormat/>
    <w:pPr>
      <w:keepNext/>
      <w:keepLines/>
      <w:spacing w:before="240" w:after="64" w:line="320" w:lineRule="auto"/>
      <w:outlineLvl w:val="6"/>
    </w:pPr>
    <w:rPr>
      <w:b/>
      <w:bCs/>
      <w:sz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caption"/>
    <w:basedOn w:val="ad"/>
    <w:next w:val="ad"/>
    <w:unhideWhenUsed/>
    <w:qFormat/>
    <w:pPr>
      <w:widowControl/>
      <w:ind w:firstLineChars="200" w:firstLine="720"/>
      <w:jc w:val="center"/>
    </w:pPr>
    <w:rPr>
      <w:rFonts w:asciiTheme="majorHAnsi" w:hAnsiTheme="majorHAnsi" w:cstheme="majorBidi"/>
      <w:szCs w:val="20"/>
    </w:rPr>
  </w:style>
  <w:style w:type="paragraph" w:styleId="af2">
    <w:name w:val="annotation text"/>
    <w:basedOn w:val="ad"/>
    <w:link w:val="af3"/>
    <w:uiPriority w:val="99"/>
    <w:unhideWhenUsed/>
    <w:qFormat/>
    <w:pPr>
      <w:adjustRightInd w:val="0"/>
      <w:spacing w:line="400" w:lineRule="exact"/>
      <w:jc w:val="left"/>
    </w:pPr>
    <w:rPr>
      <w:szCs w:val="21"/>
    </w:rPr>
  </w:style>
  <w:style w:type="paragraph" w:styleId="af4">
    <w:name w:val="Date"/>
    <w:basedOn w:val="ad"/>
    <w:next w:val="ad"/>
    <w:link w:val="af5"/>
    <w:uiPriority w:val="99"/>
    <w:semiHidden/>
    <w:unhideWhenUsed/>
    <w:qFormat/>
    <w:pPr>
      <w:ind w:leftChars="2500" w:left="100"/>
    </w:pPr>
  </w:style>
  <w:style w:type="paragraph" w:styleId="af6">
    <w:name w:val="endnote text"/>
    <w:basedOn w:val="ad"/>
    <w:link w:val="af7"/>
    <w:uiPriority w:val="99"/>
    <w:semiHidden/>
    <w:unhideWhenUsed/>
    <w:qFormat/>
    <w:pPr>
      <w:snapToGrid w:val="0"/>
      <w:jc w:val="left"/>
    </w:pPr>
  </w:style>
  <w:style w:type="paragraph" w:styleId="af8">
    <w:name w:val="Balloon Text"/>
    <w:basedOn w:val="ad"/>
    <w:link w:val="af9"/>
    <w:uiPriority w:val="99"/>
    <w:unhideWhenUsed/>
    <w:qFormat/>
    <w:rPr>
      <w:sz w:val="18"/>
      <w:szCs w:val="18"/>
    </w:rPr>
  </w:style>
  <w:style w:type="paragraph" w:styleId="afa">
    <w:name w:val="footer"/>
    <w:basedOn w:val="ad"/>
    <w:link w:val="afb"/>
    <w:uiPriority w:val="99"/>
    <w:qFormat/>
    <w:pPr>
      <w:tabs>
        <w:tab w:val="center" w:pos="4153"/>
        <w:tab w:val="right" w:pos="8306"/>
      </w:tabs>
      <w:snapToGrid w:val="0"/>
      <w:jc w:val="left"/>
    </w:pPr>
    <w:rPr>
      <w:sz w:val="18"/>
      <w:szCs w:val="18"/>
    </w:rPr>
  </w:style>
  <w:style w:type="paragraph" w:styleId="afc">
    <w:name w:val="envelope return"/>
    <w:basedOn w:val="ad"/>
    <w:qFormat/>
    <w:pPr>
      <w:snapToGrid w:val="0"/>
    </w:pPr>
    <w:rPr>
      <w:rFonts w:ascii="Times New Roman" w:hAnsi="Times New Roman"/>
    </w:rPr>
  </w:style>
  <w:style w:type="paragraph" w:styleId="afd">
    <w:name w:val="header"/>
    <w:basedOn w:val="ad"/>
    <w:link w:val="afe"/>
    <w:uiPriority w:val="99"/>
    <w:qFormat/>
    <w:pPr>
      <w:pBdr>
        <w:bottom w:val="single" w:sz="6" w:space="1" w:color="auto"/>
      </w:pBdr>
      <w:tabs>
        <w:tab w:val="center" w:pos="4153"/>
        <w:tab w:val="right" w:pos="8306"/>
      </w:tabs>
      <w:snapToGrid w:val="0"/>
      <w:jc w:val="center"/>
    </w:pPr>
    <w:rPr>
      <w:sz w:val="18"/>
      <w:szCs w:val="18"/>
    </w:rPr>
  </w:style>
  <w:style w:type="paragraph" w:styleId="41">
    <w:name w:val="toc 4"/>
    <w:basedOn w:val="ad"/>
    <w:next w:val="ad"/>
    <w:uiPriority w:val="39"/>
    <w:unhideWhenUsed/>
    <w:qFormat/>
    <w:pPr>
      <w:tabs>
        <w:tab w:val="right" w:leader="dot" w:pos="9344"/>
      </w:tabs>
      <w:adjustRightInd w:val="0"/>
      <w:spacing w:line="300" w:lineRule="exact"/>
      <w:ind w:left="629"/>
    </w:pPr>
    <w:rPr>
      <w:rFonts w:ascii="宋体"/>
      <w:szCs w:val="21"/>
    </w:rPr>
  </w:style>
  <w:style w:type="paragraph" w:styleId="aff">
    <w:name w:val="footnote text"/>
    <w:basedOn w:val="ad"/>
    <w:link w:val="aff0"/>
    <w:unhideWhenUsed/>
    <w:qFormat/>
    <w:pPr>
      <w:snapToGrid w:val="0"/>
      <w:jc w:val="left"/>
    </w:pPr>
    <w:rPr>
      <w:rFonts w:asciiTheme="minorHAnsi" w:eastAsiaTheme="minorEastAsia" w:hAnsiTheme="minorHAnsi" w:cstheme="minorBidi"/>
      <w:sz w:val="18"/>
      <w:szCs w:val="18"/>
    </w:rPr>
  </w:style>
  <w:style w:type="paragraph" w:styleId="HTML">
    <w:name w:val="HTML Preformatted"/>
    <w:basedOn w:val="ad"/>
    <w:link w:val="HTML0"/>
    <w:autoRedefine/>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720"/>
      <w:jc w:val="left"/>
    </w:pPr>
    <w:rPr>
      <w:rFonts w:ascii="宋体" w:hAnsi="宋体" w:cs="Times New Roman" w:hint="eastAsia"/>
      <w:kern w:val="0"/>
      <w:sz w:val="24"/>
      <w:szCs w:val="21"/>
    </w:rPr>
  </w:style>
  <w:style w:type="paragraph" w:styleId="aff1">
    <w:name w:val="Normal (Web)"/>
    <w:basedOn w:val="ad"/>
    <w:uiPriority w:val="99"/>
    <w:semiHidden/>
    <w:unhideWhenUsed/>
    <w:qFormat/>
    <w:rPr>
      <w:sz w:val="24"/>
    </w:rPr>
  </w:style>
  <w:style w:type="paragraph" w:styleId="aff2">
    <w:name w:val="Title"/>
    <w:basedOn w:val="ad"/>
    <w:next w:val="ad"/>
    <w:link w:val="aff3"/>
    <w:qFormat/>
    <w:pPr>
      <w:spacing w:before="240" w:after="60"/>
      <w:jc w:val="center"/>
      <w:outlineLvl w:val="0"/>
    </w:pPr>
    <w:rPr>
      <w:rFonts w:asciiTheme="majorHAnsi" w:eastAsiaTheme="majorEastAsia" w:hAnsiTheme="majorHAnsi" w:cstheme="majorBidi"/>
      <w:b/>
      <w:bCs/>
      <w:sz w:val="32"/>
      <w:szCs w:val="32"/>
    </w:rPr>
  </w:style>
  <w:style w:type="paragraph" w:styleId="aff4">
    <w:name w:val="annotation subject"/>
    <w:basedOn w:val="af2"/>
    <w:next w:val="af2"/>
    <w:link w:val="aff5"/>
    <w:uiPriority w:val="99"/>
    <w:semiHidden/>
    <w:unhideWhenUsed/>
    <w:qFormat/>
    <w:pPr>
      <w:adjustRightInd/>
      <w:spacing w:line="240" w:lineRule="auto"/>
    </w:pPr>
    <w:rPr>
      <w:b/>
      <w:bCs/>
      <w:szCs w:val="24"/>
    </w:rPr>
  </w:style>
  <w:style w:type="table" w:styleId="aff6">
    <w:name w:val="Table Grid"/>
    <w:basedOn w:val="af"/>
    <w:qFormat/>
    <w:pPr>
      <w:widowControl w:val="0"/>
      <w:jc w:val="both"/>
    </w:pPr>
    <w:tblPr>
      <w:tblBorders>
        <w:top w:val="single" w:sz="4" w:space="0" w:color="auto"/>
        <w:bottom w:val="single" w:sz="4" w:space="0" w:color="auto"/>
      </w:tblBorders>
    </w:tblPr>
  </w:style>
  <w:style w:type="character" w:styleId="aff7">
    <w:name w:val="Strong"/>
    <w:basedOn w:val="ae"/>
    <w:uiPriority w:val="22"/>
    <w:qFormat/>
    <w:rPr>
      <w:b/>
    </w:rPr>
  </w:style>
  <w:style w:type="character" w:styleId="aff8">
    <w:name w:val="endnote reference"/>
    <w:basedOn w:val="ae"/>
    <w:uiPriority w:val="99"/>
    <w:semiHidden/>
    <w:unhideWhenUsed/>
    <w:qFormat/>
    <w:rPr>
      <w:vertAlign w:val="superscript"/>
    </w:rPr>
  </w:style>
  <w:style w:type="character" w:styleId="aff9">
    <w:name w:val="Emphasis"/>
    <w:basedOn w:val="ae"/>
    <w:uiPriority w:val="20"/>
    <w:qFormat/>
    <w:rPr>
      <w:i/>
      <w:iCs/>
    </w:rPr>
  </w:style>
  <w:style w:type="character" w:styleId="affa">
    <w:name w:val="line number"/>
    <w:qFormat/>
  </w:style>
  <w:style w:type="character" w:styleId="affb">
    <w:name w:val="Hyperlink"/>
    <w:uiPriority w:val="99"/>
    <w:qFormat/>
    <w:rPr>
      <w:rFonts w:ascii="宋体" w:eastAsia="宋体"/>
      <w:color w:val="auto"/>
      <w:spacing w:val="0"/>
      <w:w w:val="100"/>
      <w:position w:val="0"/>
      <w:sz w:val="21"/>
      <w:u w:val="none"/>
      <w:vertAlign w:val="baseline"/>
    </w:rPr>
  </w:style>
  <w:style w:type="character" w:styleId="affc">
    <w:name w:val="annotation reference"/>
    <w:uiPriority w:val="99"/>
    <w:qFormat/>
    <w:rPr>
      <w:sz w:val="21"/>
    </w:rPr>
  </w:style>
  <w:style w:type="character" w:styleId="affd">
    <w:name w:val="footnote reference"/>
    <w:qFormat/>
    <w:rPr>
      <w:vertAlign w:val="superscript"/>
    </w:rPr>
  </w:style>
  <w:style w:type="paragraph" w:customStyle="1" w:styleId="BodyText2">
    <w:name w:val="BodyText2"/>
    <w:basedOn w:val="ad"/>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3">
    <w:name w:val="批注文字 字符"/>
    <w:link w:val="af2"/>
    <w:uiPriority w:val="99"/>
    <w:semiHidden/>
    <w:qFormat/>
    <w:rPr>
      <w:rFonts w:ascii="Calibri" w:eastAsia="宋体" w:hAnsi="Calibri"/>
      <w:kern w:val="2"/>
      <w:sz w:val="21"/>
      <w:szCs w:val="21"/>
    </w:rPr>
  </w:style>
  <w:style w:type="character" w:customStyle="1" w:styleId="af9">
    <w:name w:val="批注框文本 字符"/>
    <w:link w:val="af8"/>
    <w:uiPriority w:val="99"/>
    <w:semiHidden/>
    <w:qFormat/>
    <w:rPr>
      <w:rFonts w:eastAsia="宋体"/>
      <w:kern w:val="2"/>
      <w:sz w:val="18"/>
      <w:szCs w:val="18"/>
    </w:rPr>
  </w:style>
  <w:style w:type="character" w:customStyle="1" w:styleId="afb">
    <w:name w:val="页脚 字符"/>
    <w:link w:val="afa"/>
    <w:uiPriority w:val="99"/>
    <w:qFormat/>
    <w:locked/>
    <w:rPr>
      <w:rFonts w:eastAsia="宋体"/>
      <w:kern w:val="2"/>
      <w:sz w:val="18"/>
      <w:szCs w:val="18"/>
    </w:rPr>
  </w:style>
  <w:style w:type="paragraph" w:customStyle="1" w:styleId="affe">
    <w:name w:val="其他标准称谓"/>
    <w:qFormat/>
    <w:pPr>
      <w:spacing w:line="0" w:lineRule="atLeast"/>
      <w:jc w:val="distribute"/>
    </w:pPr>
    <w:rPr>
      <w:rFonts w:ascii="黑体" w:eastAsia="黑体" w:hAnsi="Calibri" w:cs="Calibri"/>
      <w:sz w:val="52"/>
    </w:rPr>
  </w:style>
  <w:style w:type="paragraph" w:customStyle="1" w:styleId="11">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f">
    <w:name w:val="标准文件_段"/>
    <w:link w:val="Char"/>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
    <w:name w:val="标准文件_段 Char"/>
    <w:link w:val="afff"/>
    <w:qFormat/>
    <w:rPr>
      <w:rFonts w:ascii="仿宋" w:eastAsia="仿宋" w:hAnsi="仿宋" w:cs="Calibri"/>
      <w:kern w:val="2"/>
      <w:sz w:val="32"/>
      <w:szCs w:val="32"/>
    </w:rPr>
  </w:style>
  <w:style w:type="paragraph" w:customStyle="1" w:styleId="a7">
    <w:name w:val="标准文件_章标题"/>
    <w:next w:val="afff"/>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f0">
    <w:name w:val="标准文件_二级条标题"/>
    <w:next w:val="afff"/>
    <w:qFormat/>
    <w:pPr>
      <w:widowControl w:val="0"/>
      <w:spacing w:beforeLines="50" w:before="50" w:afterLines="50" w:after="50"/>
      <w:jc w:val="both"/>
      <w:outlineLvl w:val="2"/>
    </w:pPr>
    <w:rPr>
      <w:rFonts w:ascii="黑体" w:eastAsia="黑体" w:hAnsi="Calibri" w:cs="Calibri"/>
      <w:sz w:val="21"/>
    </w:rPr>
  </w:style>
  <w:style w:type="paragraph" w:customStyle="1" w:styleId="a8">
    <w:name w:val="标准文件_一级条标题"/>
    <w:basedOn w:val="a7"/>
    <w:next w:val="afff"/>
    <w:qFormat/>
    <w:pPr>
      <w:numPr>
        <w:ilvl w:val="2"/>
      </w:numPr>
      <w:spacing w:beforeLines="0" w:before="50" w:afterLines="0" w:after="50"/>
      <w:outlineLvl w:val="1"/>
    </w:pPr>
  </w:style>
  <w:style w:type="paragraph" w:customStyle="1" w:styleId="afff1">
    <w:name w:val="标准文件_三级条标题"/>
    <w:basedOn w:val="afff0"/>
    <w:next w:val="afff"/>
    <w:qFormat/>
    <w:pPr>
      <w:outlineLvl w:val="3"/>
    </w:pPr>
  </w:style>
  <w:style w:type="paragraph" w:customStyle="1" w:styleId="afff2">
    <w:name w:val="标准文件_四级条标题"/>
    <w:next w:val="afff"/>
    <w:qFormat/>
    <w:pPr>
      <w:widowControl w:val="0"/>
      <w:spacing w:beforeLines="50" w:before="50" w:afterLines="50" w:after="50"/>
      <w:jc w:val="both"/>
      <w:outlineLvl w:val="4"/>
    </w:pPr>
    <w:rPr>
      <w:rFonts w:ascii="黑体" w:eastAsia="黑体" w:hAnsi="Calibri" w:cs="Calibri"/>
      <w:sz w:val="21"/>
    </w:rPr>
  </w:style>
  <w:style w:type="paragraph" w:customStyle="1" w:styleId="ab">
    <w:name w:val="标准文件_五级条标题"/>
    <w:next w:val="afff0"/>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6">
    <w:name w:val="前言标题"/>
    <w:next w:val="ad"/>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a">
    <w:name w:val="标准文件_四级无标题"/>
    <w:basedOn w:val="afff2"/>
    <w:qFormat/>
    <w:pPr>
      <w:numPr>
        <w:ilvl w:val="5"/>
        <w:numId w:val="1"/>
      </w:numPr>
    </w:pPr>
    <w:rPr>
      <w:rFonts w:ascii="宋体" w:eastAsia="宋体"/>
      <w:szCs w:val="52"/>
    </w:rPr>
  </w:style>
  <w:style w:type="paragraph" w:customStyle="1" w:styleId="a9">
    <w:name w:val="标准文件_三级无标题"/>
    <w:basedOn w:val="afff1"/>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f3">
    <w:name w:val="段"/>
    <w:qFormat/>
    <w:pPr>
      <w:autoSpaceDE w:val="0"/>
      <w:autoSpaceDN w:val="0"/>
      <w:ind w:firstLineChars="200" w:firstLine="200"/>
      <w:jc w:val="both"/>
    </w:pPr>
    <w:rPr>
      <w:rFonts w:ascii="宋体" w:hAnsi="Calibri" w:cs="Calibri"/>
      <w:sz w:val="21"/>
    </w:rPr>
  </w:style>
  <w:style w:type="paragraph" w:customStyle="1" w:styleId="afff4">
    <w:name w:val="二级无"/>
    <w:basedOn w:val="ad"/>
    <w:qFormat/>
    <w:pPr>
      <w:widowControl/>
      <w:tabs>
        <w:tab w:val="left" w:pos="780"/>
      </w:tabs>
      <w:ind w:left="780" w:hanging="360"/>
      <w:jc w:val="left"/>
      <w:outlineLvl w:val="3"/>
    </w:pPr>
    <w:rPr>
      <w:rFonts w:ascii="宋体"/>
      <w:kern w:val="0"/>
      <w:szCs w:val="21"/>
    </w:rPr>
  </w:style>
  <w:style w:type="paragraph" w:customStyle="1" w:styleId="afff5">
    <w:name w:val="标准文件_二级无标题"/>
    <w:basedOn w:val="afff0"/>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d"/>
    <w:qFormat/>
  </w:style>
  <w:style w:type="paragraph" w:customStyle="1" w:styleId="a4">
    <w:name w:val="标准文件_数字编号列项（二级）"/>
    <w:qFormat/>
    <w:pPr>
      <w:numPr>
        <w:ilvl w:val="1"/>
        <w:numId w:val="3"/>
      </w:numPr>
      <w:jc w:val="both"/>
    </w:pPr>
    <w:rPr>
      <w:rFonts w:ascii="宋体" w:hAnsi="Calibri" w:cs="Calibri"/>
      <w:sz w:val="21"/>
    </w:rPr>
  </w:style>
  <w:style w:type="paragraph" w:customStyle="1" w:styleId="a5">
    <w:name w:val="标准文件_编号列项（三级）"/>
    <w:qFormat/>
    <w:pPr>
      <w:numPr>
        <w:ilvl w:val="2"/>
        <w:numId w:val="3"/>
      </w:numPr>
    </w:pPr>
    <w:rPr>
      <w:rFonts w:ascii="宋体" w:hAnsi="Calibri" w:cs="Calibri"/>
      <w:sz w:val="21"/>
    </w:rPr>
  </w:style>
  <w:style w:type="paragraph" w:customStyle="1" w:styleId="a3">
    <w:name w:val="标准文件_字母编号列项（一级）"/>
    <w:qFormat/>
    <w:pPr>
      <w:numPr>
        <w:numId w:val="3"/>
      </w:numPr>
      <w:jc w:val="both"/>
    </w:pPr>
    <w:rPr>
      <w:rFonts w:ascii="宋体" w:hAnsi="Calibri" w:cs="Calibri"/>
      <w:sz w:val="21"/>
    </w:rPr>
  </w:style>
  <w:style w:type="paragraph" w:customStyle="1" w:styleId="afff6">
    <w:name w:val="标准文件_术语条一"/>
    <w:basedOn w:val="ad"/>
    <w:next w:val="afff"/>
    <w:qFormat/>
    <w:pPr>
      <w:widowControl/>
    </w:pPr>
    <w:rPr>
      <w:rFonts w:ascii="宋体"/>
      <w:kern w:val="0"/>
      <w:szCs w:val="20"/>
    </w:rPr>
  </w:style>
  <w:style w:type="paragraph" w:customStyle="1" w:styleId="abstract">
    <w:name w:val="abstract"/>
    <w:basedOn w:val="ad"/>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d"/>
    <w:qFormat/>
    <w:pPr>
      <w:widowControl/>
      <w:spacing w:before="100" w:beforeAutospacing="1" w:after="100" w:afterAutospacing="1"/>
      <w:jc w:val="left"/>
    </w:pPr>
    <w:rPr>
      <w:rFonts w:ascii="宋体" w:hAnsi="宋体" w:cs="宋体"/>
      <w:kern w:val="0"/>
      <w:sz w:val="24"/>
    </w:rPr>
  </w:style>
  <w:style w:type="paragraph" w:styleId="afff7">
    <w:name w:val="No Spacing"/>
    <w:uiPriority w:val="99"/>
    <w:qFormat/>
    <w:pPr>
      <w:widowControl w:val="0"/>
      <w:jc w:val="both"/>
    </w:pPr>
    <w:rPr>
      <w:rFonts w:ascii="Calibri" w:hAnsi="Calibri"/>
      <w:kern w:val="2"/>
      <w:sz w:val="21"/>
      <w:szCs w:val="24"/>
    </w:rPr>
  </w:style>
  <w:style w:type="paragraph" w:customStyle="1" w:styleId="a2">
    <w:name w:val="标准文件_一级项"/>
    <w:qFormat/>
    <w:pPr>
      <w:numPr>
        <w:numId w:val="4"/>
      </w:numPr>
    </w:pPr>
    <w:rPr>
      <w:rFonts w:ascii="宋体"/>
      <w:sz w:val="21"/>
    </w:rPr>
  </w:style>
  <w:style w:type="paragraph" w:customStyle="1" w:styleId="ac">
    <w:name w:val="附录表标题"/>
    <w:basedOn w:val="ad"/>
    <w:next w:val="afff3"/>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f8">
    <w:name w:val="List Paragraph"/>
    <w:basedOn w:val="ad"/>
    <w:uiPriority w:val="99"/>
    <w:unhideWhenUsed/>
    <w:qFormat/>
    <w:pPr>
      <w:ind w:firstLineChars="200" w:firstLine="420"/>
    </w:pPr>
    <w:rPr>
      <w:rFonts w:ascii="Times New Roman" w:hAnsi="Times New Roman" w:cs="Times New Roman"/>
    </w:rPr>
  </w:style>
  <w:style w:type="character" w:customStyle="1" w:styleId="afe">
    <w:name w:val="页眉 字符"/>
    <w:basedOn w:val="ae"/>
    <w:link w:val="afd"/>
    <w:uiPriority w:val="99"/>
    <w:qFormat/>
    <w:rPr>
      <w:rFonts w:ascii="Calibri" w:hAnsi="Calibri" w:cs="Calibri"/>
      <w:kern w:val="2"/>
      <w:sz w:val="18"/>
      <w:szCs w:val="18"/>
    </w:rPr>
  </w:style>
  <w:style w:type="character" w:customStyle="1" w:styleId="aff5">
    <w:name w:val="批注主题 字符"/>
    <w:basedOn w:val="af3"/>
    <w:link w:val="aff4"/>
    <w:uiPriority w:val="99"/>
    <w:semiHidden/>
    <w:qFormat/>
    <w:rPr>
      <w:rFonts w:ascii="Calibri" w:eastAsia="宋体" w:hAnsi="Calibri" w:cs="Calibri"/>
      <w:b/>
      <w:bCs/>
      <w:kern w:val="2"/>
      <w:sz w:val="21"/>
      <w:szCs w:val="24"/>
    </w:rPr>
  </w:style>
  <w:style w:type="character" w:customStyle="1" w:styleId="af7">
    <w:name w:val="尾注文本 字符"/>
    <w:basedOn w:val="ae"/>
    <w:link w:val="af6"/>
    <w:uiPriority w:val="99"/>
    <w:semiHidden/>
    <w:qFormat/>
    <w:rPr>
      <w:rFonts w:ascii="Calibri" w:hAnsi="Calibri" w:cs="Calibri"/>
      <w:kern w:val="2"/>
      <w:sz w:val="21"/>
      <w:szCs w:val="24"/>
    </w:rPr>
  </w:style>
  <w:style w:type="paragraph" w:customStyle="1" w:styleId="a1">
    <w:name w:val="标准文件_方框数字列项"/>
    <w:basedOn w:val="afff"/>
    <w:qFormat/>
    <w:pPr>
      <w:numPr>
        <w:numId w:val="6"/>
      </w:numPr>
      <w:spacing w:line="240" w:lineRule="auto"/>
      <w:ind w:firstLineChars="0" w:firstLine="0"/>
    </w:pPr>
    <w:rPr>
      <w:rFonts w:ascii="宋体" w:eastAsia="宋体" w:hAnsi="Times New Roman" w:cs="Times New Roman"/>
      <w:kern w:val="0"/>
      <w:sz w:val="21"/>
      <w:szCs w:val="20"/>
    </w:rPr>
  </w:style>
  <w:style w:type="character" w:customStyle="1" w:styleId="af5">
    <w:name w:val="日期 字符"/>
    <w:basedOn w:val="ae"/>
    <w:link w:val="af4"/>
    <w:uiPriority w:val="99"/>
    <w:semiHidden/>
    <w:qFormat/>
    <w:rPr>
      <w:rFonts w:ascii="Calibri" w:hAnsi="Calibri" w:cs="Calibri"/>
      <w:kern w:val="2"/>
      <w:sz w:val="21"/>
      <w:szCs w:val="24"/>
    </w:rPr>
  </w:style>
  <w:style w:type="character" w:customStyle="1" w:styleId="aff3">
    <w:name w:val="标题 字符"/>
    <w:basedOn w:val="ae"/>
    <w:link w:val="aff2"/>
    <w:qFormat/>
    <w:rPr>
      <w:rFonts w:asciiTheme="majorHAnsi" w:eastAsiaTheme="majorEastAsia" w:hAnsiTheme="majorHAnsi" w:cstheme="majorBidi"/>
      <w:b/>
      <w:bCs/>
      <w:kern w:val="2"/>
      <w:sz w:val="32"/>
      <w:szCs w:val="32"/>
    </w:rPr>
  </w:style>
  <w:style w:type="table" w:customStyle="1" w:styleId="12">
    <w:name w:val="网格型1"/>
    <w:basedOn w:val="af"/>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标准文件_参考文献条目"/>
    <w:qFormat/>
    <w:pPr>
      <w:numPr>
        <w:numId w:val="7"/>
      </w:numPr>
    </w:pPr>
    <w:rPr>
      <w:rFonts w:ascii="宋体"/>
    </w:rPr>
  </w:style>
  <w:style w:type="character" w:customStyle="1" w:styleId="40">
    <w:name w:val="标题 4 字符"/>
    <w:basedOn w:val="ae"/>
    <w:link w:val="4"/>
    <w:uiPriority w:val="9"/>
    <w:qFormat/>
    <w:rPr>
      <w:rFonts w:eastAsiaTheme="majorEastAsia" w:cstheme="majorBidi"/>
      <w:b/>
      <w:bCs/>
      <w:kern w:val="2"/>
      <w:sz w:val="21"/>
      <w:szCs w:val="28"/>
    </w:rPr>
  </w:style>
  <w:style w:type="character" w:customStyle="1" w:styleId="50">
    <w:name w:val="标题 5 字符"/>
    <w:basedOn w:val="ae"/>
    <w:link w:val="5"/>
    <w:uiPriority w:val="9"/>
    <w:qFormat/>
    <w:rPr>
      <w:rFonts w:eastAsiaTheme="minorEastAsia" w:cstheme="minorBidi"/>
      <w:b/>
      <w:bCs/>
      <w:kern w:val="2"/>
      <w:sz w:val="21"/>
      <w:szCs w:val="28"/>
    </w:rPr>
  </w:style>
  <w:style w:type="character" w:customStyle="1" w:styleId="aff0">
    <w:name w:val="脚注文本 字符"/>
    <w:basedOn w:val="ae"/>
    <w:link w:val="aff"/>
    <w:qFormat/>
    <w:rPr>
      <w:rFonts w:asciiTheme="minorHAnsi" w:eastAsiaTheme="minorEastAsia" w:hAnsiTheme="minorHAnsi" w:cstheme="minorBidi"/>
      <w:kern w:val="2"/>
      <w:sz w:val="18"/>
      <w:szCs w:val="18"/>
    </w:rPr>
  </w:style>
  <w:style w:type="character" w:customStyle="1" w:styleId="HTML0">
    <w:name w:val="HTML 预设格式 字符"/>
    <w:basedOn w:val="ae"/>
    <w:link w:val="HTML"/>
    <w:qFormat/>
    <w:rPr>
      <w:rFonts w:ascii="宋体" w:hAnsi="宋体"/>
      <w:sz w:val="24"/>
      <w:szCs w:val="21"/>
    </w:rPr>
  </w:style>
  <w:style w:type="character" w:customStyle="1" w:styleId="10">
    <w:name w:val="标题 1 字符"/>
    <w:basedOn w:val="ae"/>
    <w:link w:val="1"/>
    <w:qFormat/>
    <w:rPr>
      <w:rFonts w:ascii="Calibri" w:hAnsi="Calibri" w:cs="Calibri"/>
      <w:b/>
      <w:bCs/>
      <w:kern w:val="44"/>
      <w:sz w:val="44"/>
      <w:szCs w:val="24"/>
    </w:rPr>
  </w:style>
  <w:style w:type="character" w:customStyle="1" w:styleId="20">
    <w:name w:val="标题 2 字符"/>
    <w:basedOn w:val="ae"/>
    <w:link w:val="2"/>
    <w:uiPriority w:val="9"/>
    <w:qFormat/>
    <w:rPr>
      <w:rFonts w:eastAsia="黑体" w:cs="Calibri"/>
      <w:b/>
      <w:kern w:val="2"/>
      <w:sz w:val="32"/>
      <w:szCs w:val="24"/>
    </w:rPr>
  </w:style>
  <w:style w:type="character" w:customStyle="1" w:styleId="30">
    <w:name w:val="标题 3 字符"/>
    <w:basedOn w:val="ae"/>
    <w:link w:val="3"/>
    <w:uiPriority w:val="9"/>
    <w:qFormat/>
    <w:rPr>
      <w:rFonts w:ascii="Calibri" w:hAnsi="Calibri" w:cs="Calibri"/>
      <w:b/>
      <w:kern w:val="2"/>
      <w:sz w:val="32"/>
      <w:szCs w:val="24"/>
    </w:rPr>
  </w:style>
  <w:style w:type="character" w:styleId="afff9">
    <w:name w:val="Placeholder Text"/>
    <w:basedOn w:val="ae"/>
    <w:uiPriority w:val="99"/>
    <w:semiHidden/>
    <w:qFormat/>
    <w:rPr>
      <w:color w:val="808080"/>
    </w:rPr>
  </w:style>
  <w:style w:type="character" w:customStyle="1" w:styleId="mord">
    <w:name w:val="mord"/>
    <w:basedOn w:val="ae"/>
    <w:qFormat/>
  </w:style>
  <w:style w:type="character" w:customStyle="1" w:styleId="mrel">
    <w:name w:val="mrel"/>
    <w:basedOn w:val="ae"/>
    <w:qFormat/>
  </w:style>
  <w:style w:type="character" w:customStyle="1" w:styleId="mopen">
    <w:name w:val="mopen"/>
    <w:basedOn w:val="ae"/>
    <w:qFormat/>
  </w:style>
  <w:style w:type="character" w:customStyle="1" w:styleId="mtight">
    <w:name w:val="mtight"/>
    <w:basedOn w:val="ae"/>
    <w:qFormat/>
  </w:style>
  <w:style w:type="character" w:customStyle="1" w:styleId="mclose">
    <w:name w:val="mclose"/>
    <w:basedOn w:val="ae"/>
    <w:qFormat/>
  </w:style>
  <w:style w:type="character" w:customStyle="1" w:styleId="mbin">
    <w:name w:val="mbin"/>
    <w:basedOn w:val="ae"/>
    <w:qFormat/>
  </w:style>
  <w:style w:type="character" w:customStyle="1" w:styleId="vlist-s">
    <w:name w:val="vlist-s"/>
    <w:basedOn w:val="ae"/>
    <w:qFormat/>
  </w:style>
  <w:style w:type="character" w:customStyle="1" w:styleId="text-go1otz">
    <w:name w:val="text-go1otz"/>
    <w:basedOn w:val="ae"/>
    <w:qFormat/>
  </w:style>
  <w:style w:type="character" w:customStyle="1" w:styleId="title-nlmw1o">
    <w:name w:val="title-nlmw1o"/>
    <w:basedOn w:val="ae"/>
    <w:qFormat/>
  </w:style>
  <w:style w:type="character" w:customStyle="1" w:styleId="container-rkuxqi">
    <w:name w:val="container-rkuxqi"/>
    <w:basedOn w:val="ae"/>
    <w:qFormat/>
  </w:style>
  <w:style w:type="character" w:customStyle="1" w:styleId="UnresolvedMention">
    <w:name w:val="Unresolved Mention"/>
    <w:basedOn w:val="ae"/>
    <w:uiPriority w:val="99"/>
    <w:semiHidden/>
    <w:unhideWhenUsed/>
    <w:qFormat/>
    <w:rPr>
      <w:color w:val="605E5C"/>
      <w:shd w:val="clear" w:color="auto" w:fill="E1DFDD"/>
    </w:rPr>
  </w:style>
  <w:style w:type="paragraph" w:customStyle="1" w:styleId="msonormal0">
    <w:name w:val="msonormal"/>
    <w:basedOn w:val="ad"/>
    <w:qFormat/>
    <w:pPr>
      <w:widowControl/>
      <w:spacing w:before="100" w:beforeAutospacing="1" w:after="100" w:afterAutospacing="1"/>
      <w:jc w:val="left"/>
    </w:pPr>
    <w:rPr>
      <w:rFonts w:ascii="宋体" w:hAnsi="宋体" w:cs="宋体"/>
      <w:kern w:val="0"/>
      <w:sz w:val="24"/>
    </w:rPr>
  </w:style>
  <w:style w:type="paragraph" w:customStyle="1" w:styleId="font0">
    <w:name w:val="font0"/>
    <w:basedOn w:val="ad"/>
    <w:qFormat/>
    <w:pPr>
      <w:widowControl/>
      <w:spacing w:before="100" w:beforeAutospacing="1" w:after="100" w:afterAutospacing="1"/>
      <w:jc w:val="left"/>
    </w:pPr>
    <w:rPr>
      <w:rFonts w:ascii="宋体" w:hAnsi="宋体" w:cs="宋体"/>
      <w:color w:val="000000"/>
      <w:kern w:val="0"/>
      <w:sz w:val="22"/>
      <w:szCs w:val="22"/>
    </w:rPr>
  </w:style>
  <w:style w:type="paragraph" w:customStyle="1" w:styleId="et2">
    <w:name w:val="et2"/>
    <w:basedOn w:val="ad"/>
    <w:qFormat/>
    <w:pPr>
      <w:widowControl/>
      <w:spacing w:before="100" w:beforeAutospacing="1" w:after="100" w:afterAutospacing="1"/>
      <w:jc w:val="center"/>
    </w:pPr>
    <w:rPr>
      <w:rFonts w:ascii="宋体" w:hAnsi="宋体" w:cs="宋体"/>
      <w:kern w:val="0"/>
      <w:sz w:val="24"/>
    </w:rPr>
  </w:style>
  <w:style w:type="paragraph" w:customStyle="1" w:styleId="et3">
    <w:name w:val="et3"/>
    <w:basedOn w:val="ad"/>
    <w:qFormat/>
    <w:pPr>
      <w:widowControl/>
      <w:spacing w:before="100" w:beforeAutospacing="1" w:after="100" w:afterAutospacing="1"/>
      <w:jc w:val="center"/>
    </w:pPr>
    <w:rPr>
      <w:rFonts w:ascii="宋体" w:hAnsi="宋体" w:cs="宋体"/>
      <w:kern w:val="0"/>
      <w:sz w:val="24"/>
    </w:rPr>
  </w:style>
  <w:style w:type="paragraph" w:customStyle="1" w:styleId="font1">
    <w:name w:val="font1"/>
    <w:basedOn w:val="ad"/>
    <w:qFormat/>
    <w:pPr>
      <w:widowControl/>
      <w:spacing w:before="100" w:beforeAutospacing="1" w:after="100" w:afterAutospacing="1"/>
      <w:jc w:val="left"/>
    </w:pPr>
    <w:rPr>
      <w:rFonts w:ascii="宋体" w:hAnsi="宋体" w:cs="宋体"/>
      <w:color w:val="000000"/>
      <w:kern w:val="0"/>
      <w:szCs w:val="21"/>
    </w:rPr>
  </w:style>
  <w:style w:type="paragraph" w:customStyle="1" w:styleId="font2">
    <w:name w:val="font2"/>
    <w:basedOn w:val="ad"/>
    <w:qFormat/>
    <w:pPr>
      <w:widowControl/>
      <w:spacing w:before="100" w:beforeAutospacing="1" w:after="100" w:afterAutospacing="1"/>
      <w:jc w:val="left"/>
    </w:pPr>
    <w:rPr>
      <w:rFonts w:ascii="Times New Roman" w:hAnsi="Times New Roman" w:cs="Times New Roman"/>
      <w:color w:val="000000"/>
      <w:kern w:val="0"/>
      <w:szCs w:val="21"/>
    </w:rPr>
  </w:style>
  <w:style w:type="paragraph" w:customStyle="1" w:styleId="font3">
    <w:name w:val="font3"/>
    <w:basedOn w:val="ad"/>
    <w:qFormat/>
    <w:pPr>
      <w:widowControl/>
      <w:spacing w:before="100" w:beforeAutospacing="1" w:after="100" w:afterAutospacing="1"/>
      <w:jc w:val="left"/>
    </w:pPr>
    <w:rPr>
      <w:rFonts w:ascii="Times New Roman" w:hAnsi="Times New Roman" w:cs="Times New Roman"/>
      <w:color w:val="000000"/>
      <w:kern w:val="0"/>
      <w:szCs w:val="21"/>
      <w:vertAlign w:val="subscript"/>
    </w:rPr>
  </w:style>
  <w:style w:type="paragraph" w:customStyle="1" w:styleId="et4">
    <w:name w:val="et4"/>
    <w:basedOn w:val="ad"/>
    <w:qFormat/>
    <w:pPr>
      <w:widowControl/>
      <w:pBdr>
        <w:top w:val="single" w:sz="12" w:space="0" w:color="000000"/>
        <w:bottom w:val="single" w:sz="8" w:space="0" w:color="000000"/>
      </w:pBdr>
      <w:spacing w:before="100" w:beforeAutospacing="1" w:after="100" w:afterAutospacing="1"/>
      <w:jc w:val="center"/>
    </w:pPr>
    <w:rPr>
      <w:rFonts w:ascii="宋体" w:hAnsi="宋体" w:cs="宋体"/>
      <w:kern w:val="0"/>
      <w:szCs w:val="21"/>
    </w:rPr>
  </w:style>
  <w:style w:type="paragraph" w:customStyle="1" w:styleId="et5">
    <w:name w:val="et5"/>
    <w:basedOn w:val="ad"/>
    <w:qFormat/>
    <w:pPr>
      <w:widowControl/>
      <w:pBdr>
        <w:top w:val="single" w:sz="12" w:space="0" w:color="000000"/>
        <w:bottom w:val="single" w:sz="8" w:space="0" w:color="000000"/>
      </w:pBdr>
      <w:spacing w:before="100" w:beforeAutospacing="1" w:after="100" w:afterAutospacing="1"/>
      <w:jc w:val="center"/>
    </w:pPr>
    <w:rPr>
      <w:rFonts w:ascii="宋体" w:hAnsi="宋体" w:cs="宋体"/>
      <w:kern w:val="0"/>
      <w:szCs w:val="21"/>
    </w:rPr>
  </w:style>
  <w:style w:type="paragraph" w:customStyle="1" w:styleId="et6">
    <w:name w:val="et6"/>
    <w:basedOn w:val="ad"/>
    <w:qFormat/>
    <w:pPr>
      <w:widowControl/>
      <w:pBdr>
        <w:top w:val="single" w:sz="12" w:space="0" w:color="000000"/>
        <w:bottom w:val="single" w:sz="8" w:space="0" w:color="000000"/>
      </w:pBdr>
      <w:spacing w:before="100" w:beforeAutospacing="1" w:after="100" w:afterAutospacing="1"/>
      <w:jc w:val="center"/>
    </w:pPr>
    <w:rPr>
      <w:rFonts w:ascii="宋体" w:hAnsi="宋体" w:cs="宋体"/>
      <w:kern w:val="0"/>
      <w:szCs w:val="21"/>
    </w:rPr>
  </w:style>
  <w:style w:type="paragraph" w:customStyle="1" w:styleId="et7">
    <w:name w:val="et7"/>
    <w:basedOn w:val="ad"/>
    <w:qFormat/>
    <w:pPr>
      <w:widowControl/>
      <w:pBdr>
        <w:top w:val="single" w:sz="12" w:space="0" w:color="000000"/>
        <w:bottom w:val="single" w:sz="8" w:space="0" w:color="000000"/>
      </w:pBdr>
      <w:spacing w:before="100" w:beforeAutospacing="1" w:after="100" w:afterAutospacing="1"/>
      <w:jc w:val="center"/>
    </w:pPr>
    <w:rPr>
      <w:rFonts w:ascii="Times New Roman" w:hAnsi="Times New Roman" w:cs="Times New Roman"/>
      <w:kern w:val="0"/>
      <w:szCs w:val="21"/>
    </w:rPr>
  </w:style>
  <w:style w:type="paragraph" w:customStyle="1" w:styleId="et8">
    <w:name w:val="et8"/>
    <w:basedOn w:val="ad"/>
    <w:qFormat/>
    <w:pPr>
      <w:widowControl/>
      <w:spacing w:before="100" w:beforeAutospacing="1" w:after="100" w:afterAutospacing="1"/>
      <w:jc w:val="center"/>
    </w:pPr>
    <w:rPr>
      <w:rFonts w:ascii="Times New Roman" w:hAnsi="Times New Roman" w:cs="Times New Roman"/>
      <w:kern w:val="0"/>
      <w:szCs w:val="21"/>
    </w:rPr>
  </w:style>
  <w:style w:type="paragraph" w:customStyle="1" w:styleId="et9">
    <w:name w:val="et9"/>
    <w:basedOn w:val="ad"/>
    <w:qFormat/>
    <w:pPr>
      <w:widowControl/>
      <w:spacing w:before="100" w:beforeAutospacing="1" w:after="100" w:afterAutospacing="1"/>
      <w:jc w:val="center"/>
    </w:pPr>
    <w:rPr>
      <w:rFonts w:ascii="Times New Roman" w:hAnsi="Times New Roman" w:cs="Times New Roman"/>
      <w:kern w:val="0"/>
      <w:szCs w:val="21"/>
    </w:rPr>
  </w:style>
  <w:style w:type="paragraph" w:customStyle="1" w:styleId="et10">
    <w:name w:val="et10"/>
    <w:basedOn w:val="ad"/>
    <w:qFormat/>
    <w:pPr>
      <w:widowControl/>
      <w:spacing w:before="100" w:beforeAutospacing="1" w:after="100" w:afterAutospacing="1"/>
      <w:jc w:val="center"/>
    </w:pPr>
    <w:rPr>
      <w:rFonts w:ascii="Times New Roman" w:hAnsi="Times New Roman" w:cs="Times New Roman"/>
      <w:kern w:val="0"/>
      <w:szCs w:val="21"/>
    </w:rPr>
  </w:style>
  <w:style w:type="paragraph" w:customStyle="1" w:styleId="et11">
    <w:name w:val="et11"/>
    <w:basedOn w:val="ad"/>
    <w:qFormat/>
    <w:pPr>
      <w:widowControl/>
      <w:pBdr>
        <w:bottom w:val="single" w:sz="12" w:space="0" w:color="000000"/>
      </w:pBdr>
      <w:spacing w:before="100" w:beforeAutospacing="1" w:after="100" w:afterAutospacing="1"/>
      <w:jc w:val="center"/>
    </w:pPr>
    <w:rPr>
      <w:rFonts w:ascii="宋体" w:hAnsi="宋体" w:cs="宋体"/>
      <w:kern w:val="0"/>
      <w:szCs w:val="21"/>
    </w:rPr>
  </w:style>
  <w:style w:type="paragraph" w:customStyle="1" w:styleId="et12">
    <w:name w:val="et12"/>
    <w:basedOn w:val="ad"/>
    <w:qFormat/>
    <w:pPr>
      <w:widowControl/>
      <w:pBdr>
        <w:bottom w:val="single" w:sz="12" w:space="0" w:color="000000"/>
      </w:pBdr>
      <w:spacing w:before="100" w:beforeAutospacing="1" w:after="100" w:afterAutospacing="1"/>
      <w:jc w:val="center"/>
    </w:pPr>
    <w:rPr>
      <w:rFonts w:ascii="Times New Roman" w:hAnsi="Times New Roman" w:cs="Times New Roman"/>
      <w:kern w:val="0"/>
      <w:szCs w:val="21"/>
    </w:rPr>
  </w:style>
  <w:style w:type="paragraph" w:customStyle="1" w:styleId="et13">
    <w:name w:val="et13"/>
    <w:basedOn w:val="ad"/>
    <w:qFormat/>
    <w:pPr>
      <w:widowControl/>
      <w:pBdr>
        <w:bottom w:val="single" w:sz="12" w:space="0" w:color="000000"/>
      </w:pBdr>
      <w:spacing w:before="100" w:beforeAutospacing="1" w:after="100" w:afterAutospacing="1"/>
      <w:jc w:val="center"/>
    </w:pPr>
    <w:rPr>
      <w:rFonts w:ascii="Times New Roman" w:hAnsi="Times New Roman" w:cs="Times New Roman"/>
      <w:kern w:val="0"/>
      <w:szCs w:val="21"/>
    </w:rPr>
  </w:style>
  <w:style w:type="character" w:customStyle="1" w:styleId="font21">
    <w:name w:val="font21"/>
    <w:basedOn w:val="ae"/>
    <w:qFormat/>
    <w:rPr>
      <w:rFonts w:ascii="Times New Roman" w:hAnsi="Times New Roman" w:cs="Times New Roman" w:hint="default"/>
      <w:color w:val="000000"/>
      <w:sz w:val="21"/>
      <w:szCs w:val="21"/>
      <w:u w:val="none"/>
    </w:rPr>
  </w:style>
  <w:style w:type="character" w:customStyle="1" w:styleId="font31">
    <w:name w:val="font31"/>
    <w:basedOn w:val="ae"/>
    <w:qFormat/>
    <w:rPr>
      <w:rFonts w:ascii="Times New Roman" w:hAnsi="Times New Roman" w:cs="Times New Roman" w:hint="default"/>
      <w:color w:val="000000"/>
      <w:sz w:val="21"/>
      <w:szCs w:val="21"/>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EB952D-8D38-419D-9374-2EC0D9732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26</Pages>
  <Words>3021</Words>
  <Characters>17220</Characters>
  <Application>Microsoft Office Word</Application>
  <DocSecurity>0</DocSecurity>
  <Lines>143</Lines>
  <Paragraphs>40</Paragraphs>
  <ScaleCrop>false</ScaleCrop>
  <Company>微软中国</Company>
  <LinksUpToDate>false</LinksUpToDate>
  <CharactersWithSpaces>20201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476</cp:revision>
  <cp:lastPrinted>2025-05-09T02:21:00Z</cp:lastPrinted>
  <dcterms:created xsi:type="dcterms:W3CDTF">2024-09-29T09:06:00Z</dcterms:created>
  <dcterms:modified xsi:type="dcterms:W3CDTF">2026-03-25T07:45:00Z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A922D90BF3B641DA8C66AE267C36FA1E_13</vt:lpwstr>
  </property>
  <property fmtid="{D5CDD505-2E9C-101B-9397-08002B2CF9AE}" pid="4" name="KSOTemplateDocerSaveRecord">
    <vt:lpwstr>eyJoZGlkIjoiZDllMzdjNjgwNDU3NjBmZDQ4Y2EzNzcwNGVkZjc2ZWYiLCJ1c2VySWQiOiI1NjkwODQ0OTAifQ==</vt:lpwstr>
  </property>
</Properties>
</file>