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宋体" w:eastAsia="方正小标宋简体"/>
          <w:sz w:val="44"/>
          <w:szCs w:val="32"/>
        </w:rPr>
      </w:pPr>
      <w:r>
        <w:rPr>
          <w:rFonts w:hint="eastAsia" w:ascii="方正小标宋简体" w:hAnsi="宋体" w:eastAsia="方正小标宋简体"/>
          <w:sz w:val="44"/>
          <w:szCs w:val="32"/>
        </w:rPr>
        <w:t>团体标准《甘蔗生物量观测指南》（征求意见稿）编制说明</w:t>
      </w:r>
    </w:p>
    <w:p>
      <w:pPr>
        <w:autoSpaceDE w:val="0"/>
        <w:autoSpaceDN w:val="0"/>
        <w:adjustRightInd w:val="0"/>
        <w:spacing w:line="560" w:lineRule="exact"/>
        <w:ind w:firstLine="640"/>
        <w:jc w:val="left"/>
        <w:rPr>
          <w:rFonts w:hint="eastAsia" w:ascii="黑体" w:hAnsi="黑体" w:eastAsia="黑体" w:cs="仿宋_GB2312"/>
          <w:szCs w:val="32"/>
        </w:rPr>
      </w:pPr>
    </w:p>
    <w:p>
      <w:pPr>
        <w:overflowPunct w:val="0"/>
        <w:topLinePunct/>
        <w:spacing w:line="560" w:lineRule="exact"/>
        <w:ind w:firstLine="640" w:firstLineChars="200"/>
        <w:outlineLvl w:val="0"/>
        <w:rPr>
          <w:rFonts w:ascii="Times New Roman" w:hAnsi="Times New Roman" w:eastAsia="黑体" w:cs="Times New Roman"/>
          <w:bCs/>
          <w:sz w:val="32"/>
          <w:szCs w:val="32"/>
        </w:rPr>
      </w:pPr>
      <w:r>
        <w:rPr>
          <w:rFonts w:hint="eastAsia" w:ascii="Times New Roman" w:hAnsi="Times New Roman" w:eastAsia="黑体" w:cs="Times New Roman"/>
          <w:bCs/>
          <w:sz w:val="32"/>
          <w:szCs w:val="32"/>
        </w:rPr>
        <w:t>一、任务来源、起草单位、主要起草人</w:t>
      </w:r>
    </w:p>
    <w:p>
      <w:pPr>
        <w:ind w:firstLine="640" w:firstLineChars="200"/>
        <w:outlineLvl w:val="1"/>
        <w:rPr>
          <w:rFonts w:ascii="Times New Roman" w:hAnsi="Times New Roman" w:eastAsia="楷体_GB2312" w:cs="Times New Roman"/>
          <w:sz w:val="32"/>
          <w:szCs w:val="32"/>
        </w:rPr>
      </w:pPr>
      <w:r>
        <w:rPr>
          <w:rFonts w:hint="eastAsia" w:ascii="Times New Roman" w:hAnsi="Times New Roman" w:eastAsia="楷体_GB2312" w:cs="Times New Roman"/>
          <w:sz w:val="32"/>
          <w:szCs w:val="32"/>
        </w:rPr>
        <w:t>（一）任务来源</w:t>
      </w:r>
    </w:p>
    <w:p>
      <w:pPr>
        <w:overflowPunct w:val="0"/>
        <w:topLinePunct/>
        <w:spacing w:line="560" w:lineRule="exact"/>
        <w:ind w:firstLine="64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本标准制定任务来源于2024年11月《广西标准化协会关于下达2024年第三十九批团体标准制修订项目计划的通知》（项目编号2024-3910），实施期限自2024年11月至2026年6月。</w:t>
      </w:r>
    </w:p>
    <w:p>
      <w:pPr>
        <w:overflowPunct w:val="0"/>
        <w:topLinePunct/>
        <w:spacing w:line="560" w:lineRule="exact"/>
        <w:ind w:firstLine="64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本标准技术内容主要依托：广西重点研发计划“广西糖料蔗碳汇气象评估关键技术与应用”(桂科AB22035069)、国家自然科学基金青年科学基金《高光谱遥感与地面观测数据结合的区域甘蔗糖分估算研究》（编号：42105175）的系统研究成果，整合了多年田间观测实践与多学科技术方法。</w:t>
      </w:r>
    </w:p>
    <w:p>
      <w:pPr>
        <w:ind w:firstLine="640" w:firstLineChars="200"/>
        <w:outlineLvl w:val="1"/>
        <w:rPr>
          <w:rFonts w:ascii="Times New Roman" w:hAnsi="Times New Roman" w:eastAsia="楷体_GB2312" w:cs="Times New Roman"/>
          <w:sz w:val="32"/>
          <w:szCs w:val="32"/>
        </w:rPr>
      </w:pPr>
      <w:r>
        <w:rPr>
          <w:rFonts w:hint="eastAsia" w:ascii="Times New Roman" w:hAnsi="Times New Roman" w:eastAsia="楷体_GB2312" w:cs="Times New Roman"/>
          <w:sz w:val="32"/>
          <w:szCs w:val="32"/>
        </w:rPr>
        <w:t>（二）起草单位和主要起草人</w:t>
      </w:r>
    </w:p>
    <w:p>
      <w:pPr>
        <w:ind w:firstLine="560" w:firstLineChars="20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本标准起草单位为：广西壮族自治区气象科学研究所、广西糖业集团农业开发有限公司、来宾市气象局、上思县气象局。</w:t>
      </w:r>
    </w:p>
    <w:p>
      <w:pPr>
        <w:ind w:firstLine="560" w:firstLineChars="20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起草团队长期从事甘蔗气象服务、农业遥感及碳汇研究，具备扎实的理论基础与丰富的田间观测实践经验，全面参与了本标准的需求调研、技术论证、草案编写及修订完善等工作。</w:t>
      </w:r>
    </w:p>
    <w:p>
      <w:pPr>
        <w:overflowPunct w:val="0"/>
        <w:topLinePunct/>
        <w:spacing w:line="560" w:lineRule="exact"/>
        <w:ind w:firstLine="64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协作单位、人员及分工如下表：</w:t>
      </w:r>
    </w:p>
    <w:p>
      <w:pPr>
        <w:pStyle w:val="2"/>
        <w:jc w:val="center"/>
        <w:rPr>
          <w:rFonts w:eastAsia="仿宋_GB2312" w:cs="Times New Roman"/>
          <w:color w:val="FF0000"/>
          <w:sz w:val="28"/>
        </w:rPr>
      </w:pPr>
      <w:r>
        <w:rPr>
          <w:rFonts w:hint="eastAsia" w:eastAsia="仿宋_GB2312" w:cs="Times New Roman"/>
          <w:sz w:val="28"/>
        </w:rPr>
        <w:t xml:space="preserve">表 </w:t>
      </w:r>
      <w:r>
        <w:rPr>
          <w:rFonts w:eastAsia="仿宋_GB2312" w:cs="Times New Roman"/>
          <w:sz w:val="28"/>
        </w:rPr>
        <w:t xml:space="preserve"> </w:t>
      </w:r>
      <w:r>
        <w:rPr>
          <w:rFonts w:hint="eastAsia" w:eastAsia="仿宋_GB2312" w:cs="Times New Roman"/>
          <w:sz w:val="28"/>
        </w:rPr>
        <w:t>标准编制组成员名单及分工</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3"/>
        <w:gridCol w:w="2371"/>
        <w:gridCol w:w="1316"/>
        <w:gridCol w:w="1318"/>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677" w:type="pct"/>
            <w:noWrap w:val="0"/>
            <w:vAlign w:val="center"/>
          </w:tcPr>
          <w:p>
            <w:pPr>
              <w:adjustRightInd w:val="0"/>
              <w:snapToGrid w:val="0"/>
              <w:jc w:val="center"/>
              <w:rPr>
                <w:rFonts w:hint="eastAsia" w:ascii="仿宋" w:hAnsi="仿宋" w:eastAsia="仿宋" w:cs="Times New Roman"/>
                <w:bCs/>
                <w:szCs w:val="21"/>
                <w:lang w:bidi="ar"/>
              </w:rPr>
            </w:pPr>
            <w:r>
              <w:rPr>
                <w:rFonts w:ascii="仿宋" w:hAnsi="仿宋" w:eastAsia="仿宋" w:cs="Times New Roman"/>
                <w:bCs/>
                <w:szCs w:val="21"/>
                <w:lang w:bidi="ar"/>
              </w:rPr>
              <w:t>姓  名</w:t>
            </w:r>
          </w:p>
        </w:tc>
        <w:tc>
          <w:tcPr>
            <w:tcW w:w="1391" w:type="pct"/>
            <w:noWrap w:val="0"/>
            <w:vAlign w:val="center"/>
          </w:tcPr>
          <w:p>
            <w:pPr>
              <w:adjustRightInd w:val="0"/>
              <w:snapToGrid w:val="0"/>
              <w:jc w:val="center"/>
              <w:rPr>
                <w:rFonts w:hint="eastAsia" w:ascii="仿宋" w:hAnsi="仿宋" w:eastAsia="仿宋" w:cs="Times New Roman"/>
                <w:bCs/>
                <w:szCs w:val="21"/>
                <w:lang w:bidi="ar"/>
              </w:rPr>
            </w:pPr>
            <w:r>
              <w:rPr>
                <w:rFonts w:ascii="仿宋" w:hAnsi="仿宋" w:eastAsia="仿宋" w:cs="Times New Roman"/>
                <w:bCs/>
                <w:szCs w:val="21"/>
                <w:lang w:bidi="ar"/>
              </w:rPr>
              <w:t>工作单位</w:t>
            </w:r>
          </w:p>
        </w:tc>
        <w:tc>
          <w:tcPr>
            <w:tcW w:w="772" w:type="pct"/>
            <w:noWrap w:val="0"/>
            <w:vAlign w:val="center"/>
          </w:tcPr>
          <w:p>
            <w:pPr>
              <w:adjustRightInd w:val="0"/>
              <w:snapToGrid w:val="0"/>
              <w:jc w:val="center"/>
              <w:rPr>
                <w:rFonts w:hint="eastAsia" w:ascii="仿宋" w:hAnsi="仿宋" w:eastAsia="仿宋" w:cs="Times New Roman"/>
                <w:bCs/>
                <w:szCs w:val="21"/>
                <w:lang w:bidi="ar"/>
              </w:rPr>
            </w:pPr>
            <w:r>
              <w:rPr>
                <w:rFonts w:hint="eastAsia" w:ascii="仿宋" w:hAnsi="仿宋" w:eastAsia="仿宋" w:cs="Times New Roman"/>
                <w:bCs/>
                <w:szCs w:val="21"/>
                <w:lang w:bidi="ar"/>
              </w:rPr>
              <w:t>职务</w:t>
            </w:r>
            <w:r>
              <w:rPr>
                <w:rFonts w:ascii="仿宋" w:hAnsi="仿宋" w:eastAsia="仿宋" w:cs="Times New Roman"/>
                <w:bCs/>
                <w:szCs w:val="21"/>
                <w:lang w:bidi="ar"/>
              </w:rPr>
              <w:t>/职称</w:t>
            </w:r>
          </w:p>
        </w:tc>
        <w:tc>
          <w:tcPr>
            <w:tcW w:w="773" w:type="pct"/>
            <w:noWrap w:val="0"/>
            <w:vAlign w:val="center"/>
          </w:tcPr>
          <w:p>
            <w:pPr>
              <w:adjustRightInd w:val="0"/>
              <w:snapToGrid w:val="0"/>
              <w:jc w:val="center"/>
              <w:rPr>
                <w:rFonts w:hint="eastAsia" w:ascii="仿宋" w:hAnsi="仿宋" w:eastAsia="仿宋" w:cs="Times New Roman"/>
                <w:szCs w:val="21"/>
              </w:rPr>
            </w:pPr>
            <w:r>
              <w:rPr>
                <w:rFonts w:ascii="仿宋" w:hAnsi="仿宋" w:eastAsia="仿宋" w:cs="Times New Roman"/>
                <w:bCs/>
                <w:szCs w:val="21"/>
                <w:lang w:bidi="ar"/>
              </w:rPr>
              <w:t>专业</w:t>
            </w:r>
          </w:p>
        </w:tc>
        <w:tc>
          <w:tcPr>
            <w:tcW w:w="1387" w:type="pct"/>
            <w:noWrap w:val="0"/>
            <w:vAlign w:val="center"/>
          </w:tcPr>
          <w:p>
            <w:pPr>
              <w:adjustRightInd w:val="0"/>
              <w:snapToGrid w:val="0"/>
              <w:jc w:val="center"/>
              <w:rPr>
                <w:rFonts w:hint="eastAsia" w:ascii="仿宋" w:hAnsi="仿宋" w:eastAsia="仿宋" w:cs="Times New Roman"/>
                <w:bCs/>
                <w:szCs w:val="21"/>
                <w:highlight w:val="none"/>
              </w:rPr>
            </w:pPr>
            <w:r>
              <w:rPr>
                <w:rFonts w:ascii="仿宋" w:hAnsi="仿宋" w:eastAsia="仿宋" w:cs="Times New Roman"/>
                <w:bCs/>
                <w:szCs w:val="21"/>
                <w:highlight w:val="none"/>
                <w:lang w:bidi="ar"/>
              </w:rPr>
              <w:t>主要负责工作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7" w:type="pct"/>
            <w:noWrap w:val="0"/>
            <w:vAlign w:val="center"/>
          </w:tcPr>
          <w:p>
            <w:pPr>
              <w:widowControl/>
              <w:adjustRightInd w:val="0"/>
              <w:snapToGrid w:val="0"/>
              <w:jc w:val="center"/>
              <w:textAlignment w:val="bottom"/>
              <w:rPr>
                <w:rFonts w:hint="default" w:ascii="仿宋" w:hAnsi="仿宋" w:eastAsia="仿宋" w:cs="仿宋_GB2312"/>
                <w:snapToGrid w:val="0"/>
                <w:kern w:val="0"/>
                <w:szCs w:val="21"/>
                <w:lang w:val="en-US" w:eastAsia="zh-CN"/>
              </w:rPr>
            </w:pPr>
            <w:bookmarkStart w:id="0" w:name="_Hlk215253451"/>
            <w:r>
              <w:rPr>
                <w:rFonts w:hint="eastAsia" w:ascii="仿宋" w:hAnsi="仿宋" w:eastAsia="仿宋" w:cs="仿宋_GB2312"/>
                <w:snapToGrid w:val="0"/>
                <w:kern w:val="0"/>
                <w:szCs w:val="21"/>
                <w:lang w:val="en-US" w:eastAsia="zh-CN"/>
              </w:rPr>
              <w:t>丁美花</w:t>
            </w:r>
          </w:p>
        </w:tc>
        <w:tc>
          <w:tcPr>
            <w:tcW w:w="1391"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广西壮族自治区气象科学研究所</w:t>
            </w:r>
          </w:p>
        </w:tc>
        <w:tc>
          <w:tcPr>
            <w:tcW w:w="772" w:type="pct"/>
            <w:noWrap w:val="0"/>
            <w:vAlign w:val="center"/>
          </w:tcPr>
          <w:p>
            <w:pPr>
              <w:widowControl/>
              <w:adjustRightInd w:val="0"/>
              <w:snapToGrid w:val="0"/>
              <w:jc w:val="center"/>
              <w:textAlignment w:val="bottom"/>
              <w:rPr>
                <w:rFonts w:hint="eastAsia" w:ascii="仿宋" w:hAnsi="仿宋" w:eastAsia="仿宋" w:cs="仿宋_GB2312"/>
                <w:szCs w:val="21"/>
                <w:lang w:val="en"/>
              </w:rPr>
            </w:pPr>
            <w:r>
              <w:rPr>
                <w:rFonts w:hint="eastAsia" w:ascii="仿宋" w:hAnsi="仿宋" w:eastAsia="仿宋" w:cs="宋体"/>
                <w:color w:val="000000"/>
                <w:kern w:val="0"/>
                <w:szCs w:val="21"/>
                <w:lang w:bidi="ar"/>
              </w:rPr>
              <w:t>正高级工程师</w:t>
            </w:r>
          </w:p>
        </w:tc>
        <w:tc>
          <w:tcPr>
            <w:tcW w:w="773"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气象学</w:t>
            </w:r>
          </w:p>
        </w:tc>
        <w:tc>
          <w:tcPr>
            <w:tcW w:w="1387" w:type="pct"/>
            <w:noWrap w:val="0"/>
            <w:vAlign w:val="center"/>
          </w:tcPr>
          <w:p>
            <w:pPr>
              <w:adjustRightInd w:val="0"/>
              <w:snapToGrid w:val="0"/>
              <w:jc w:val="center"/>
              <w:rPr>
                <w:rFonts w:hint="eastAsia" w:ascii="仿宋" w:hAnsi="仿宋" w:eastAsia="仿宋" w:cs="仿宋_GB2312"/>
                <w:szCs w:val="21"/>
                <w:highlight w:val="none"/>
                <w:lang w:bidi="ar"/>
              </w:rPr>
            </w:pPr>
            <w:r>
              <w:rPr>
                <w:rFonts w:hint="eastAsia" w:ascii="仿宋" w:hAnsi="仿宋" w:eastAsia="仿宋" w:cs="仿宋_GB2312"/>
                <w:szCs w:val="21"/>
                <w:highlight w:val="none"/>
                <w:lang w:bidi="ar"/>
              </w:rPr>
              <w:t>统筹主持标准编制工作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7"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蒋柱辉</w:t>
            </w:r>
          </w:p>
        </w:tc>
        <w:tc>
          <w:tcPr>
            <w:tcW w:w="1391"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广西糖业集团有限公司</w:t>
            </w:r>
          </w:p>
        </w:tc>
        <w:tc>
          <w:tcPr>
            <w:tcW w:w="772" w:type="pct"/>
            <w:noWrap w:val="0"/>
            <w:vAlign w:val="center"/>
          </w:tcPr>
          <w:p>
            <w:pPr>
              <w:widowControl/>
              <w:adjustRightInd w:val="0"/>
              <w:snapToGrid w:val="0"/>
              <w:jc w:val="center"/>
              <w:textAlignment w:val="bottom"/>
              <w:rPr>
                <w:rFonts w:hint="eastAsia" w:ascii="仿宋" w:hAnsi="仿宋" w:eastAsia="仿宋" w:cs="仿宋_GB2312"/>
                <w:szCs w:val="21"/>
              </w:rPr>
            </w:pPr>
            <w:r>
              <w:rPr>
                <w:rFonts w:hint="eastAsia" w:ascii="仿宋" w:hAnsi="仿宋" w:eastAsia="仿宋" w:cs="宋体"/>
                <w:color w:val="000000"/>
                <w:kern w:val="0"/>
                <w:szCs w:val="21"/>
                <w:lang w:bidi="ar"/>
              </w:rPr>
              <w:t>高级农艺师</w:t>
            </w:r>
          </w:p>
        </w:tc>
        <w:tc>
          <w:tcPr>
            <w:tcW w:w="773"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农务管理</w:t>
            </w:r>
          </w:p>
        </w:tc>
        <w:tc>
          <w:tcPr>
            <w:tcW w:w="1387" w:type="pct"/>
            <w:noWrap w:val="0"/>
            <w:vAlign w:val="center"/>
          </w:tcPr>
          <w:p>
            <w:pPr>
              <w:adjustRightInd w:val="0"/>
              <w:snapToGrid w:val="0"/>
              <w:jc w:val="center"/>
              <w:rPr>
                <w:rFonts w:hint="eastAsia" w:ascii="仿宋" w:hAnsi="仿宋" w:eastAsia="仿宋" w:cs="仿宋_GB2312"/>
                <w:szCs w:val="21"/>
                <w:highlight w:val="lightGray"/>
                <w:lang w:bidi="ar"/>
              </w:rPr>
            </w:pPr>
            <w:r>
              <w:rPr>
                <w:rFonts w:hint="eastAsia" w:ascii="仿宋" w:hAnsi="仿宋" w:eastAsia="仿宋" w:cs="Times New Roman"/>
                <w:szCs w:val="21"/>
                <w:highlight w:val="none"/>
                <w:lang w:bidi="ar"/>
              </w:rPr>
              <w:t>参与标准编制工作，组织人员进行标准发布后的</w:t>
            </w:r>
            <w:r>
              <w:rPr>
                <w:rFonts w:hint="eastAsia" w:eastAsia="仿宋"/>
                <w:b w:val="0"/>
                <w:bCs w:val="0"/>
                <w:sz w:val="24"/>
              </w:rPr>
              <w:t>宣贯培训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7"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陆思宇</w:t>
            </w:r>
          </w:p>
        </w:tc>
        <w:tc>
          <w:tcPr>
            <w:tcW w:w="1391"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广西壮族自治区气象科学研究所</w:t>
            </w:r>
          </w:p>
        </w:tc>
        <w:tc>
          <w:tcPr>
            <w:tcW w:w="772" w:type="pct"/>
            <w:noWrap w:val="0"/>
            <w:vAlign w:val="center"/>
          </w:tcPr>
          <w:p>
            <w:pPr>
              <w:widowControl/>
              <w:adjustRightInd w:val="0"/>
              <w:snapToGrid w:val="0"/>
              <w:jc w:val="center"/>
              <w:textAlignment w:val="bottom"/>
              <w:rPr>
                <w:rFonts w:hint="eastAsia" w:ascii="仿宋" w:hAnsi="仿宋" w:eastAsia="仿宋" w:cs="仿宋_GB2312"/>
                <w:szCs w:val="21"/>
              </w:rPr>
            </w:pPr>
            <w:r>
              <w:rPr>
                <w:rFonts w:hint="eastAsia" w:ascii="仿宋" w:hAnsi="仿宋" w:eastAsia="仿宋" w:cs="宋体"/>
                <w:color w:val="000000"/>
                <w:kern w:val="0"/>
                <w:szCs w:val="21"/>
                <w:lang w:bidi="ar"/>
              </w:rPr>
              <w:t>工程师</w:t>
            </w:r>
          </w:p>
        </w:tc>
        <w:tc>
          <w:tcPr>
            <w:tcW w:w="773" w:type="pct"/>
            <w:noWrap w:val="0"/>
            <w:vAlign w:val="center"/>
          </w:tcPr>
          <w:p>
            <w:pPr>
              <w:widowControl/>
              <w:adjustRightInd w:val="0"/>
              <w:snapToGrid w:val="0"/>
              <w:jc w:val="center"/>
              <w:textAlignment w:val="bottom"/>
              <w:rPr>
                <w:rFonts w:hint="default" w:ascii="仿宋" w:hAnsi="仿宋" w:eastAsia="仿宋" w:cs="仿宋_GB2312"/>
                <w:snapToGrid w:val="0"/>
                <w:kern w:val="0"/>
                <w:szCs w:val="21"/>
                <w:lang w:val="en-US" w:eastAsia="zh-CN"/>
              </w:rPr>
            </w:pPr>
            <w:r>
              <w:rPr>
                <w:rFonts w:hint="eastAsia" w:ascii="仿宋" w:hAnsi="仿宋" w:eastAsia="仿宋" w:cs="宋体"/>
                <w:color w:val="000000"/>
                <w:kern w:val="0"/>
                <w:szCs w:val="21"/>
                <w:lang w:bidi="ar"/>
              </w:rPr>
              <w:t>应用</w:t>
            </w:r>
            <w:r>
              <w:rPr>
                <w:rFonts w:hint="eastAsia" w:ascii="仿宋" w:hAnsi="仿宋" w:eastAsia="仿宋" w:cs="宋体"/>
                <w:color w:val="000000"/>
                <w:kern w:val="0"/>
                <w:szCs w:val="21"/>
                <w:lang w:val="en-US" w:eastAsia="zh-CN" w:bidi="ar"/>
              </w:rPr>
              <w:t>气象学</w:t>
            </w:r>
          </w:p>
        </w:tc>
        <w:tc>
          <w:tcPr>
            <w:tcW w:w="1387" w:type="pct"/>
            <w:noWrap w:val="0"/>
            <w:vAlign w:val="center"/>
          </w:tcPr>
          <w:p>
            <w:pPr>
              <w:adjustRightInd w:val="0"/>
              <w:snapToGrid w:val="0"/>
              <w:jc w:val="center"/>
              <w:rPr>
                <w:rFonts w:hint="eastAsia" w:ascii="仿宋" w:hAnsi="仿宋" w:eastAsia="仿宋" w:cs="仿宋_GB2312"/>
                <w:szCs w:val="21"/>
                <w:highlight w:val="lightGray"/>
                <w:lang w:bidi="ar"/>
              </w:rPr>
            </w:pPr>
            <w:r>
              <w:rPr>
                <w:rFonts w:hint="eastAsia" w:ascii="仿宋" w:hAnsi="仿宋" w:eastAsia="仿宋" w:cs="Times New Roman"/>
                <w:szCs w:val="21"/>
                <w:highlight w:val="none"/>
                <w:lang w:val="en-US" w:eastAsia="zh-CN" w:bidi="ar"/>
              </w:rPr>
              <w:t>骨干参与</w:t>
            </w:r>
            <w:r>
              <w:rPr>
                <w:rFonts w:hint="eastAsia" w:ascii="仿宋" w:hAnsi="仿宋" w:eastAsia="仿宋" w:cs="Times New Roman"/>
                <w:szCs w:val="21"/>
                <w:highlight w:val="none"/>
                <w:lang w:bidi="ar"/>
              </w:rPr>
              <w:t>标准文本及编制说明编写，组织开展标准征求意见会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7"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lang w:val="en"/>
              </w:rPr>
            </w:pPr>
            <w:r>
              <w:rPr>
                <w:rFonts w:hint="eastAsia" w:ascii="仿宋" w:hAnsi="仿宋" w:eastAsia="仿宋" w:cs="宋体"/>
                <w:color w:val="000000"/>
                <w:kern w:val="0"/>
                <w:szCs w:val="21"/>
                <w:lang w:val="en" w:bidi="ar"/>
              </w:rPr>
              <w:t>谭佳勇</w:t>
            </w:r>
          </w:p>
        </w:tc>
        <w:tc>
          <w:tcPr>
            <w:tcW w:w="1391"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河池市气象局</w:t>
            </w:r>
          </w:p>
        </w:tc>
        <w:tc>
          <w:tcPr>
            <w:tcW w:w="772" w:type="pct"/>
            <w:noWrap w:val="0"/>
            <w:vAlign w:val="center"/>
          </w:tcPr>
          <w:p>
            <w:pPr>
              <w:widowControl/>
              <w:adjustRightInd w:val="0"/>
              <w:snapToGrid w:val="0"/>
              <w:jc w:val="center"/>
              <w:textAlignment w:val="bottom"/>
              <w:rPr>
                <w:rFonts w:hint="eastAsia" w:ascii="仿宋" w:hAnsi="仿宋" w:eastAsia="仿宋" w:cs="仿宋_GB2312"/>
                <w:szCs w:val="21"/>
              </w:rPr>
            </w:pPr>
            <w:r>
              <w:rPr>
                <w:rFonts w:hint="eastAsia" w:ascii="仿宋" w:hAnsi="仿宋" w:eastAsia="仿宋" w:cs="宋体"/>
                <w:color w:val="000000"/>
                <w:kern w:val="0"/>
                <w:szCs w:val="21"/>
                <w:lang w:val="en-US" w:eastAsia="zh-CN" w:bidi="ar"/>
              </w:rPr>
              <w:t>高级</w:t>
            </w:r>
            <w:r>
              <w:rPr>
                <w:rFonts w:hint="eastAsia" w:ascii="仿宋" w:hAnsi="仿宋" w:eastAsia="仿宋" w:cs="宋体"/>
                <w:color w:val="000000"/>
                <w:kern w:val="0"/>
                <w:szCs w:val="21"/>
                <w:lang w:bidi="ar"/>
              </w:rPr>
              <w:t>工程师</w:t>
            </w:r>
          </w:p>
        </w:tc>
        <w:tc>
          <w:tcPr>
            <w:tcW w:w="773"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农业气象</w:t>
            </w:r>
          </w:p>
        </w:tc>
        <w:tc>
          <w:tcPr>
            <w:tcW w:w="1387" w:type="pct"/>
            <w:noWrap w:val="0"/>
            <w:vAlign w:val="center"/>
          </w:tcPr>
          <w:p>
            <w:pPr>
              <w:adjustRightInd w:val="0"/>
              <w:snapToGrid w:val="0"/>
              <w:jc w:val="center"/>
              <w:rPr>
                <w:rFonts w:hint="eastAsia" w:ascii="仿宋" w:hAnsi="仿宋" w:eastAsia="仿宋" w:cs="Times New Roman"/>
                <w:szCs w:val="21"/>
                <w:highlight w:val="lightGray"/>
                <w:lang w:eastAsia="zh-CN"/>
              </w:rPr>
            </w:pPr>
            <w:bookmarkStart w:id="1" w:name="OLE_LINK1"/>
            <w:r>
              <w:rPr>
                <w:rFonts w:hint="eastAsia" w:ascii="仿宋" w:hAnsi="仿宋" w:eastAsia="仿宋" w:cs="Times New Roman"/>
                <w:szCs w:val="21"/>
                <w:highlight w:val="none"/>
                <w:lang w:val="en-US" w:eastAsia="zh-CN" w:bidi="ar"/>
              </w:rPr>
              <w:t>参与</w:t>
            </w:r>
            <w:r>
              <w:rPr>
                <w:rFonts w:hint="eastAsia" w:ascii="仿宋" w:hAnsi="仿宋" w:eastAsia="仿宋" w:cs="Times New Roman"/>
                <w:szCs w:val="21"/>
                <w:highlight w:val="none"/>
                <w:lang w:bidi="ar"/>
              </w:rPr>
              <w:t>标准文本及编制说明编写</w:t>
            </w:r>
            <w:r>
              <w:rPr>
                <w:rFonts w:hint="eastAsia" w:ascii="仿宋" w:hAnsi="仿宋" w:eastAsia="仿宋" w:cs="Times New Roman"/>
                <w:szCs w:val="21"/>
                <w:highlight w:val="none"/>
                <w:lang w:eastAsia="zh-CN" w:bidi="ar"/>
              </w:rPr>
              <w:t>，对标准实施情况进行总结分析</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7"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陆永顺</w:t>
            </w:r>
          </w:p>
        </w:tc>
        <w:tc>
          <w:tcPr>
            <w:tcW w:w="1391"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上思县气象局</w:t>
            </w:r>
          </w:p>
        </w:tc>
        <w:tc>
          <w:tcPr>
            <w:tcW w:w="772" w:type="pct"/>
            <w:noWrap w:val="0"/>
            <w:vAlign w:val="center"/>
          </w:tcPr>
          <w:p>
            <w:pPr>
              <w:widowControl/>
              <w:adjustRightInd w:val="0"/>
              <w:snapToGrid w:val="0"/>
              <w:jc w:val="center"/>
              <w:textAlignment w:val="bottom"/>
              <w:rPr>
                <w:rFonts w:hint="eastAsia" w:ascii="仿宋" w:hAnsi="仿宋" w:eastAsia="仿宋" w:cs="仿宋_GB2312"/>
                <w:szCs w:val="21"/>
              </w:rPr>
            </w:pPr>
            <w:r>
              <w:rPr>
                <w:rFonts w:hint="eastAsia" w:ascii="仿宋" w:hAnsi="仿宋" w:eastAsia="仿宋" w:cs="宋体"/>
                <w:color w:val="000000"/>
                <w:kern w:val="0"/>
                <w:szCs w:val="21"/>
                <w:lang w:val="en-US" w:eastAsia="zh-CN" w:bidi="ar"/>
              </w:rPr>
              <w:t>助理</w:t>
            </w:r>
            <w:r>
              <w:rPr>
                <w:rFonts w:hint="eastAsia" w:ascii="仿宋" w:hAnsi="仿宋" w:eastAsia="仿宋" w:cs="宋体"/>
                <w:color w:val="000000"/>
                <w:kern w:val="0"/>
                <w:szCs w:val="21"/>
                <w:lang w:bidi="ar"/>
              </w:rPr>
              <w:t>工程师</w:t>
            </w:r>
          </w:p>
        </w:tc>
        <w:tc>
          <w:tcPr>
            <w:tcW w:w="773"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气象服务综合业务</w:t>
            </w:r>
          </w:p>
        </w:tc>
        <w:tc>
          <w:tcPr>
            <w:tcW w:w="1387" w:type="pct"/>
            <w:noWrap w:val="0"/>
            <w:vAlign w:val="center"/>
          </w:tcPr>
          <w:p>
            <w:pPr>
              <w:adjustRightInd w:val="0"/>
              <w:snapToGrid w:val="0"/>
              <w:jc w:val="center"/>
              <w:rPr>
                <w:rFonts w:ascii="仿宋" w:hAnsi="仿宋" w:eastAsia="仿宋" w:cs="Times New Roman"/>
                <w:szCs w:val="21"/>
                <w:highlight w:val="lightGray"/>
              </w:rPr>
            </w:pPr>
            <w:r>
              <w:rPr>
                <w:rFonts w:hint="eastAsia" w:ascii="仿宋" w:hAnsi="仿宋" w:eastAsia="仿宋" w:cs="Times New Roman"/>
                <w:szCs w:val="21"/>
                <w:highlight w:val="none"/>
                <w:lang w:val="en-US" w:eastAsia="zh-CN" w:bidi="ar"/>
              </w:rPr>
              <w:t>参与</w:t>
            </w:r>
            <w:r>
              <w:rPr>
                <w:rFonts w:hint="eastAsia" w:ascii="仿宋" w:hAnsi="仿宋" w:eastAsia="仿宋" w:cs="Times New Roman"/>
                <w:szCs w:val="21"/>
                <w:highlight w:val="none"/>
                <w:lang w:bidi="ar"/>
              </w:rPr>
              <w:t>标准文本及编制说明编写</w:t>
            </w:r>
            <w:r>
              <w:rPr>
                <w:rFonts w:hint="eastAsia" w:ascii="仿宋" w:hAnsi="仿宋" w:eastAsia="仿宋" w:cs="Times New Roman"/>
                <w:szCs w:val="21"/>
                <w:highlight w:val="none"/>
                <w:lang w:eastAsia="zh-CN" w:bidi="ar"/>
              </w:rPr>
              <w:t>，对标准实施情况进行总结分析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7"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陈燕丽</w:t>
            </w:r>
          </w:p>
        </w:tc>
        <w:tc>
          <w:tcPr>
            <w:tcW w:w="1391"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广西壮族自治区气象科学研究所</w:t>
            </w:r>
          </w:p>
        </w:tc>
        <w:tc>
          <w:tcPr>
            <w:tcW w:w="772" w:type="pct"/>
            <w:noWrap w:val="0"/>
            <w:vAlign w:val="center"/>
          </w:tcPr>
          <w:p>
            <w:pPr>
              <w:widowControl/>
              <w:adjustRightInd w:val="0"/>
              <w:snapToGrid w:val="0"/>
              <w:jc w:val="center"/>
              <w:textAlignment w:val="bottom"/>
              <w:rPr>
                <w:rFonts w:hint="eastAsia" w:ascii="仿宋" w:hAnsi="仿宋" w:eastAsia="仿宋" w:cs="仿宋_GB2312"/>
                <w:szCs w:val="21"/>
              </w:rPr>
            </w:pPr>
            <w:r>
              <w:rPr>
                <w:rFonts w:hint="eastAsia" w:ascii="仿宋" w:hAnsi="仿宋" w:eastAsia="仿宋" w:cs="宋体"/>
                <w:color w:val="000000"/>
                <w:kern w:val="0"/>
                <w:szCs w:val="21"/>
                <w:lang w:bidi="ar"/>
              </w:rPr>
              <w:t>正高级工程师</w:t>
            </w:r>
          </w:p>
        </w:tc>
        <w:tc>
          <w:tcPr>
            <w:tcW w:w="773"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遥感应用研究</w:t>
            </w:r>
          </w:p>
        </w:tc>
        <w:tc>
          <w:tcPr>
            <w:tcW w:w="1387" w:type="pct"/>
            <w:noWrap w:val="0"/>
            <w:vAlign w:val="center"/>
          </w:tcPr>
          <w:p>
            <w:pPr>
              <w:adjustRightInd w:val="0"/>
              <w:snapToGrid w:val="0"/>
              <w:jc w:val="center"/>
              <w:rPr>
                <w:rFonts w:hint="eastAsia" w:ascii="仿宋" w:hAnsi="仿宋" w:eastAsia="仿宋" w:cs="仿宋_GB2312"/>
                <w:szCs w:val="21"/>
                <w:highlight w:val="lightGray"/>
                <w:lang w:bidi="ar"/>
              </w:rPr>
            </w:pPr>
            <w:r>
              <w:rPr>
                <w:rFonts w:hint="eastAsia" w:ascii="仿宋" w:hAnsi="仿宋" w:eastAsia="仿宋" w:cs="Times New Roman"/>
                <w:szCs w:val="21"/>
                <w:highlight w:val="none"/>
                <w:lang w:val="en-US" w:eastAsia="zh-CN" w:bidi="ar"/>
              </w:rPr>
              <w:t>参与</w:t>
            </w:r>
            <w:r>
              <w:rPr>
                <w:rFonts w:hint="eastAsia" w:ascii="仿宋" w:hAnsi="仿宋" w:eastAsia="仿宋" w:cs="Times New Roman"/>
                <w:szCs w:val="21"/>
                <w:highlight w:val="none"/>
                <w:lang w:bidi="ar"/>
              </w:rPr>
              <w:t>标准文本及编制说明编写</w:t>
            </w:r>
            <w:r>
              <w:rPr>
                <w:rFonts w:hint="eastAsia" w:ascii="仿宋" w:hAnsi="仿宋" w:eastAsia="仿宋" w:cs="Times New Roman"/>
                <w:szCs w:val="21"/>
                <w:highlight w:val="none"/>
                <w:lang w:eastAsia="zh-CN" w:bidi="ar"/>
              </w:rPr>
              <w:t>，对标准实施情况进行总结分析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7"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刘武</w:t>
            </w:r>
          </w:p>
        </w:tc>
        <w:tc>
          <w:tcPr>
            <w:tcW w:w="1391"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来宾市兴宾区气象局</w:t>
            </w:r>
          </w:p>
        </w:tc>
        <w:tc>
          <w:tcPr>
            <w:tcW w:w="772" w:type="pct"/>
            <w:noWrap w:val="0"/>
            <w:vAlign w:val="center"/>
          </w:tcPr>
          <w:p>
            <w:pPr>
              <w:widowControl/>
              <w:adjustRightInd w:val="0"/>
              <w:snapToGrid w:val="0"/>
              <w:jc w:val="center"/>
              <w:textAlignment w:val="bottom"/>
              <w:rPr>
                <w:rFonts w:hint="eastAsia" w:ascii="仿宋" w:hAnsi="仿宋" w:eastAsia="仿宋" w:cs="仿宋_GB2312"/>
                <w:szCs w:val="21"/>
              </w:rPr>
            </w:pPr>
            <w:r>
              <w:rPr>
                <w:rFonts w:hint="eastAsia" w:ascii="仿宋" w:hAnsi="仿宋" w:eastAsia="仿宋" w:cs="宋体"/>
                <w:color w:val="000000"/>
                <w:kern w:val="0"/>
                <w:szCs w:val="21"/>
                <w:lang w:val="en-US" w:eastAsia="zh-CN" w:bidi="ar"/>
              </w:rPr>
              <w:t>高级</w:t>
            </w:r>
            <w:r>
              <w:rPr>
                <w:rFonts w:hint="eastAsia" w:ascii="仿宋" w:hAnsi="仿宋" w:eastAsia="仿宋" w:cs="宋体"/>
                <w:color w:val="000000"/>
                <w:kern w:val="0"/>
                <w:szCs w:val="21"/>
                <w:lang w:bidi="ar"/>
              </w:rPr>
              <w:t>工程师</w:t>
            </w:r>
          </w:p>
        </w:tc>
        <w:tc>
          <w:tcPr>
            <w:tcW w:w="773"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气象综合业务</w:t>
            </w:r>
          </w:p>
        </w:tc>
        <w:tc>
          <w:tcPr>
            <w:tcW w:w="1387" w:type="pct"/>
            <w:noWrap w:val="0"/>
            <w:vAlign w:val="center"/>
          </w:tcPr>
          <w:p>
            <w:pPr>
              <w:adjustRightInd w:val="0"/>
              <w:snapToGrid w:val="0"/>
              <w:jc w:val="center"/>
              <w:rPr>
                <w:rFonts w:hint="eastAsia" w:ascii="仿宋" w:hAnsi="仿宋" w:eastAsia="仿宋" w:cs="仿宋_GB2312"/>
                <w:szCs w:val="21"/>
                <w:highlight w:val="lightGray"/>
                <w:lang w:bidi="ar"/>
              </w:rPr>
            </w:pPr>
            <w:r>
              <w:rPr>
                <w:rFonts w:hint="eastAsia" w:ascii="仿宋" w:hAnsi="仿宋" w:eastAsia="仿宋" w:cs="Times New Roman"/>
                <w:szCs w:val="21"/>
                <w:highlight w:val="none"/>
                <w:lang w:val="en-US" w:eastAsia="zh-CN" w:bidi="ar"/>
              </w:rPr>
              <w:t>参与</w:t>
            </w:r>
            <w:r>
              <w:rPr>
                <w:rFonts w:hint="eastAsia" w:ascii="仿宋" w:hAnsi="仿宋" w:eastAsia="仿宋" w:cs="Times New Roman"/>
                <w:szCs w:val="21"/>
                <w:highlight w:val="none"/>
                <w:lang w:bidi="ar"/>
              </w:rPr>
              <w:t>标准文本及编制说明编写</w:t>
            </w:r>
            <w:r>
              <w:rPr>
                <w:rFonts w:hint="eastAsia" w:ascii="仿宋" w:hAnsi="仿宋" w:eastAsia="仿宋" w:cs="Times New Roman"/>
                <w:szCs w:val="21"/>
                <w:highlight w:val="none"/>
                <w:lang w:eastAsia="zh-CN" w:bidi="ar"/>
              </w:rPr>
              <w:t>，对标准实施情况进行总结分析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7"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王建东</w:t>
            </w:r>
          </w:p>
        </w:tc>
        <w:tc>
          <w:tcPr>
            <w:tcW w:w="1391"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rPr>
            </w:pPr>
            <w:r>
              <w:rPr>
                <w:rFonts w:hint="eastAsia" w:ascii="仿宋" w:hAnsi="仿宋" w:eastAsia="仿宋" w:cs="宋体"/>
                <w:color w:val="000000"/>
                <w:kern w:val="0"/>
                <w:szCs w:val="21"/>
                <w:lang w:bidi="ar"/>
              </w:rPr>
              <w:t>来宾市兴宾区气象局</w:t>
            </w:r>
          </w:p>
        </w:tc>
        <w:tc>
          <w:tcPr>
            <w:tcW w:w="772" w:type="pct"/>
            <w:noWrap w:val="0"/>
            <w:vAlign w:val="center"/>
          </w:tcPr>
          <w:p>
            <w:pPr>
              <w:widowControl/>
              <w:adjustRightInd w:val="0"/>
              <w:snapToGrid w:val="0"/>
              <w:jc w:val="center"/>
              <w:textAlignment w:val="bottom"/>
              <w:rPr>
                <w:rFonts w:hint="eastAsia" w:ascii="仿宋" w:hAnsi="仿宋" w:eastAsia="仿宋" w:cs="仿宋_GB2312"/>
                <w:szCs w:val="21"/>
              </w:rPr>
            </w:pPr>
            <w:r>
              <w:rPr>
                <w:rFonts w:hint="eastAsia" w:ascii="仿宋" w:hAnsi="仿宋" w:eastAsia="仿宋" w:cs="宋体"/>
                <w:color w:val="000000"/>
                <w:kern w:val="0"/>
                <w:szCs w:val="21"/>
                <w:lang w:bidi="ar"/>
              </w:rPr>
              <w:t>工程师</w:t>
            </w:r>
          </w:p>
        </w:tc>
        <w:tc>
          <w:tcPr>
            <w:tcW w:w="773" w:type="pct"/>
            <w:noWrap w:val="0"/>
            <w:vAlign w:val="center"/>
          </w:tcPr>
          <w:p>
            <w:pPr>
              <w:widowControl/>
              <w:adjustRightInd w:val="0"/>
              <w:snapToGrid w:val="0"/>
              <w:jc w:val="center"/>
              <w:textAlignment w:val="bottom"/>
              <w:rPr>
                <w:rFonts w:hint="eastAsia" w:ascii="仿宋" w:hAnsi="仿宋" w:eastAsia="仿宋" w:cs="仿宋_GB2312"/>
                <w:snapToGrid w:val="0"/>
                <w:kern w:val="0"/>
                <w:szCs w:val="21"/>
                <w:lang w:val="en-US" w:eastAsia="zh-CN"/>
              </w:rPr>
            </w:pPr>
            <w:r>
              <w:rPr>
                <w:rFonts w:hint="eastAsia" w:ascii="仿宋" w:hAnsi="仿宋" w:eastAsia="仿宋" w:cs="仿宋_GB2312"/>
                <w:snapToGrid w:val="0"/>
                <w:kern w:val="0"/>
                <w:szCs w:val="21"/>
              </w:rPr>
              <w:t>农业气象观测与</w:t>
            </w:r>
            <w:r>
              <w:rPr>
                <w:rFonts w:hint="eastAsia" w:ascii="仿宋" w:hAnsi="仿宋" w:eastAsia="仿宋" w:cs="仿宋_GB2312"/>
                <w:snapToGrid w:val="0"/>
                <w:kern w:val="0"/>
                <w:szCs w:val="21"/>
                <w:lang w:val="en-US" w:eastAsia="zh-CN"/>
              </w:rPr>
              <w:t>服务</w:t>
            </w:r>
          </w:p>
        </w:tc>
        <w:tc>
          <w:tcPr>
            <w:tcW w:w="1387" w:type="pct"/>
            <w:noWrap w:val="0"/>
            <w:vAlign w:val="center"/>
          </w:tcPr>
          <w:p>
            <w:pPr>
              <w:adjustRightInd w:val="0"/>
              <w:snapToGrid w:val="0"/>
              <w:jc w:val="center"/>
              <w:rPr>
                <w:rFonts w:hint="eastAsia" w:ascii="仿宋" w:hAnsi="仿宋" w:eastAsia="仿宋" w:cs="仿宋_GB2312"/>
                <w:szCs w:val="21"/>
                <w:highlight w:val="lightGray"/>
                <w:lang w:bidi="ar"/>
              </w:rPr>
            </w:pPr>
            <w:r>
              <w:rPr>
                <w:rFonts w:hint="eastAsia" w:ascii="仿宋" w:hAnsi="仿宋" w:eastAsia="仿宋" w:cs="Times New Roman"/>
                <w:szCs w:val="21"/>
                <w:highlight w:val="none"/>
                <w:lang w:val="en-US" w:eastAsia="zh-CN" w:bidi="ar"/>
              </w:rPr>
              <w:t>参与</w:t>
            </w:r>
            <w:r>
              <w:rPr>
                <w:rFonts w:hint="eastAsia" w:ascii="仿宋" w:hAnsi="仿宋" w:eastAsia="仿宋" w:cs="Times New Roman"/>
                <w:szCs w:val="21"/>
                <w:highlight w:val="none"/>
                <w:lang w:bidi="ar"/>
              </w:rPr>
              <w:t>标准文本及编制说明编写</w:t>
            </w:r>
            <w:r>
              <w:rPr>
                <w:rFonts w:hint="eastAsia" w:ascii="仿宋" w:hAnsi="仿宋" w:eastAsia="仿宋" w:cs="Times New Roman"/>
                <w:szCs w:val="21"/>
                <w:highlight w:val="none"/>
                <w:lang w:eastAsia="zh-CN" w:bidi="ar"/>
              </w:rPr>
              <w:t>，对标准实施情况进行总结分析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7"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黄立宁</w:t>
            </w:r>
          </w:p>
        </w:tc>
        <w:tc>
          <w:tcPr>
            <w:tcW w:w="1391"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广西糖业集团有限公司</w:t>
            </w:r>
          </w:p>
        </w:tc>
        <w:tc>
          <w:tcPr>
            <w:tcW w:w="772"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eastAsia="zh-CN" w:bidi="ar"/>
              </w:rPr>
            </w:pPr>
            <w:r>
              <w:rPr>
                <w:rFonts w:hint="eastAsia" w:ascii="仿宋" w:hAnsi="仿宋" w:eastAsia="仿宋" w:cs="宋体"/>
                <w:color w:val="000000"/>
                <w:kern w:val="0"/>
                <w:szCs w:val="21"/>
                <w:lang w:eastAsia="zh-CN" w:bidi="ar"/>
              </w:rPr>
              <w:t>助理农艺师</w:t>
            </w:r>
          </w:p>
        </w:tc>
        <w:tc>
          <w:tcPr>
            <w:tcW w:w="773"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val="en-US" w:eastAsia="zh-CN" w:bidi="ar"/>
              </w:rPr>
              <w:t>农学</w:t>
            </w:r>
          </w:p>
        </w:tc>
        <w:tc>
          <w:tcPr>
            <w:tcW w:w="1387" w:type="pct"/>
            <w:noWrap w:val="0"/>
            <w:vAlign w:val="center"/>
          </w:tcPr>
          <w:p>
            <w:pPr>
              <w:adjustRightInd w:val="0"/>
              <w:snapToGrid w:val="0"/>
              <w:jc w:val="center"/>
              <w:rPr>
                <w:rFonts w:ascii="仿宋" w:hAnsi="仿宋" w:eastAsia="仿宋" w:cs="Times New Roman"/>
                <w:szCs w:val="21"/>
                <w:highlight w:val="lightGray"/>
              </w:rPr>
            </w:pPr>
            <w:r>
              <w:rPr>
                <w:rFonts w:hint="eastAsia" w:ascii="仿宋" w:hAnsi="仿宋" w:eastAsia="仿宋" w:cs="Times New Roman"/>
                <w:szCs w:val="21"/>
                <w:highlight w:val="none"/>
                <w:lang w:val="en-US" w:eastAsia="zh-CN" w:bidi="ar"/>
              </w:rPr>
              <w:t>参与</w:t>
            </w:r>
            <w:r>
              <w:rPr>
                <w:rFonts w:hint="eastAsia" w:ascii="仿宋" w:hAnsi="仿宋" w:eastAsia="仿宋" w:cs="Times New Roman"/>
                <w:szCs w:val="21"/>
                <w:highlight w:val="none"/>
                <w:lang w:bidi="ar"/>
              </w:rPr>
              <w:t>标准文本及编制说明编写</w:t>
            </w:r>
            <w:r>
              <w:rPr>
                <w:rFonts w:hint="eastAsia" w:ascii="仿宋" w:hAnsi="仿宋" w:eastAsia="仿宋" w:cs="Times New Roman"/>
                <w:szCs w:val="21"/>
                <w:highlight w:val="none"/>
                <w:lang w:eastAsia="zh-CN" w:bidi="ar"/>
              </w:rPr>
              <w:t>，对标准实施情况进行总结分析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7"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伍才龙</w:t>
            </w:r>
          </w:p>
        </w:tc>
        <w:tc>
          <w:tcPr>
            <w:tcW w:w="1391"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广西糖业集团有限公司</w:t>
            </w:r>
          </w:p>
        </w:tc>
        <w:tc>
          <w:tcPr>
            <w:tcW w:w="772"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eastAsia="zh-CN" w:bidi="ar"/>
              </w:rPr>
              <w:t>农艺师</w:t>
            </w:r>
          </w:p>
        </w:tc>
        <w:tc>
          <w:tcPr>
            <w:tcW w:w="773"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val="en-US" w:eastAsia="zh-CN" w:bidi="ar"/>
              </w:rPr>
              <w:t>农学</w:t>
            </w:r>
          </w:p>
        </w:tc>
        <w:tc>
          <w:tcPr>
            <w:tcW w:w="1387" w:type="pct"/>
            <w:noWrap w:val="0"/>
            <w:vAlign w:val="center"/>
          </w:tcPr>
          <w:p>
            <w:pPr>
              <w:adjustRightInd w:val="0"/>
              <w:snapToGrid w:val="0"/>
              <w:jc w:val="center"/>
              <w:rPr>
                <w:rFonts w:hint="eastAsia" w:ascii="仿宋" w:hAnsi="仿宋" w:eastAsia="仿宋" w:cs="Times New Roman"/>
                <w:szCs w:val="21"/>
                <w:highlight w:val="lightGray"/>
                <w:lang w:bidi="ar"/>
              </w:rPr>
            </w:pPr>
            <w:r>
              <w:rPr>
                <w:rFonts w:hint="eastAsia" w:ascii="仿宋" w:hAnsi="仿宋" w:eastAsia="仿宋" w:cs="Times New Roman"/>
                <w:szCs w:val="21"/>
                <w:highlight w:val="none"/>
                <w:lang w:val="en-US" w:eastAsia="zh-CN" w:bidi="ar"/>
              </w:rPr>
              <w:t>参与</w:t>
            </w:r>
            <w:r>
              <w:rPr>
                <w:rFonts w:hint="eastAsia" w:ascii="仿宋" w:hAnsi="仿宋" w:eastAsia="仿宋" w:cs="Times New Roman"/>
                <w:szCs w:val="21"/>
                <w:highlight w:val="none"/>
                <w:lang w:bidi="ar"/>
              </w:rPr>
              <w:t>标准文本及编制说明编写</w:t>
            </w:r>
            <w:r>
              <w:rPr>
                <w:rFonts w:hint="eastAsia" w:ascii="仿宋" w:hAnsi="仿宋" w:eastAsia="仿宋" w:cs="Times New Roman"/>
                <w:szCs w:val="21"/>
                <w:highlight w:val="none"/>
                <w:lang w:eastAsia="zh-CN" w:bidi="ar"/>
              </w:rPr>
              <w:t>，对标准实施情况进行总结分析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7"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谭宗琨</w:t>
            </w:r>
          </w:p>
        </w:tc>
        <w:tc>
          <w:tcPr>
            <w:tcW w:w="1391"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广西壮族自治区气象科学研究所</w:t>
            </w:r>
          </w:p>
        </w:tc>
        <w:tc>
          <w:tcPr>
            <w:tcW w:w="772"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正高级工程师</w:t>
            </w:r>
          </w:p>
        </w:tc>
        <w:tc>
          <w:tcPr>
            <w:tcW w:w="773"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应用</w:t>
            </w:r>
            <w:r>
              <w:rPr>
                <w:rFonts w:hint="eastAsia" w:ascii="仿宋" w:hAnsi="仿宋" w:eastAsia="仿宋" w:cs="宋体"/>
                <w:color w:val="000000"/>
                <w:kern w:val="0"/>
                <w:szCs w:val="21"/>
                <w:lang w:val="en-US" w:eastAsia="zh-CN" w:bidi="ar"/>
              </w:rPr>
              <w:t>气象学</w:t>
            </w:r>
          </w:p>
        </w:tc>
        <w:tc>
          <w:tcPr>
            <w:tcW w:w="1387" w:type="pct"/>
            <w:noWrap w:val="0"/>
            <w:vAlign w:val="center"/>
          </w:tcPr>
          <w:p>
            <w:pPr>
              <w:adjustRightInd w:val="0"/>
              <w:snapToGrid w:val="0"/>
              <w:jc w:val="center"/>
              <w:rPr>
                <w:rFonts w:ascii="仿宋" w:hAnsi="仿宋" w:eastAsia="仿宋" w:cs="Times New Roman"/>
                <w:szCs w:val="21"/>
                <w:highlight w:val="lightGray"/>
              </w:rPr>
            </w:pPr>
            <w:r>
              <w:rPr>
                <w:rFonts w:hint="eastAsia" w:ascii="仿宋" w:hAnsi="仿宋" w:eastAsia="仿宋" w:cs="Times New Roman"/>
                <w:szCs w:val="21"/>
                <w:highlight w:val="none"/>
                <w:lang w:val="en-US" w:eastAsia="zh-CN" w:bidi="ar"/>
              </w:rPr>
              <w:t>参与</w:t>
            </w:r>
            <w:r>
              <w:rPr>
                <w:rFonts w:hint="eastAsia" w:ascii="仿宋" w:hAnsi="仿宋" w:eastAsia="仿宋" w:cs="Times New Roman"/>
                <w:szCs w:val="21"/>
                <w:highlight w:val="none"/>
                <w:lang w:bidi="ar"/>
              </w:rPr>
              <w:t>标准文本及编制说明编写</w:t>
            </w:r>
            <w:r>
              <w:rPr>
                <w:rFonts w:hint="eastAsia" w:ascii="仿宋" w:hAnsi="仿宋" w:eastAsia="仿宋" w:cs="Times New Roman"/>
                <w:szCs w:val="21"/>
                <w:highlight w:val="none"/>
                <w:lang w:eastAsia="zh-CN" w:bidi="ar"/>
              </w:rPr>
              <w:t>，对标准实施情况进行总结分析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7"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杨鑫</w:t>
            </w:r>
          </w:p>
        </w:tc>
        <w:tc>
          <w:tcPr>
            <w:tcW w:w="1391"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广西壮族自治区气象科学研究所</w:t>
            </w:r>
          </w:p>
        </w:tc>
        <w:tc>
          <w:tcPr>
            <w:tcW w:w="772"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val="en-US" w:eastAsia="zh-CN" w:bidi="ar"/>
              </w:rPr>
              <w:t>高级</w:t>
            </w:r>
            <w:r>
              <w:rPr>
                <w:rFonts w:hint="eastAsia" w:ascii="仿宋" w:hAnsi="仿宋" w:eastAsia="仿宋" w:cs="宋体"/>
                <w:color w:val="000000"/>
                <w:kern w:val="0"/>
                <w:szCs w:val="21"/>
                <w:lang w:bidi="ar"/>
              </w:rPr>
              <w:t>工程师</w:t>
            </w:r>
          </w:p>
        </w:tc>
        <w:tc>
          <w:tcPr>
            <w:tcW w:w="773"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环境遥感</w:t>
            </w:r>
          </w:p>
        </w:tc>
        <w:tc>
          <w:tcPr>
            <w:tcW w:w="1387" w:type="pct"/>
            <w:noWrap w:val="0"/>
            <w:vAlign w:val="center"/>
          </w:tcPr>
          <w:p>
            <w:pPr>
              <w:adjustRightInd w:val="0"/>
              <w:snapToGrid w:val="0"/>
              <w:jc w:val="center"/>
              <w:rPr>
                <w:rFonts w:hint="eastAsia" w:ascii="仿宋" w:hAnsi="仿宋" w:eastAsia="仿宋" w:cs="仿宋_GB2312"/>
                <w:szCs w:val="21"/>
                <w:highlight w:val="lightGray"/>
                <w:lang w:bidi="ar"/>
              </w:rPr>
            </w:pPr>
            <w:r>
              <w:rPr>
                <w:rFonts w:hint="eastAsia" w:ascii="仿宋" w:hAnsi="仿宋" w:eastAsia="仿宋" w:cs="Times New Roman"/>
                <w:szCs w:val="21"/>
                <w:highlight w:val="none"/>
                <w:lang w:val="en-US" w:eastAsia="zh-CN" w:bidi="ar"/>
              </w:rPr>
              <w:t>参与</w:t>
            </w:r>
            <w:r>
              <w:rPr>
                <w:rFonts w:hint="eastAsia" w:ascii="仿宋" w:hAnsi="仿宋" w:eastAsia="仿宋" w:cs="Times New Roman"/>
                <w:szCs w:val="21"/>
                <w:highlight w:val="none"/>
                <w:lang w:bidi="ar"/>
              </w:rPr>
              <w:t>标准文本及编制说明编写</w:t>
            </w:r>
            <w:r>
              <w:rPr>
                <w:rFonts w:hint="eastAsia" w:ascii="仿宋" w:hAnsi="仿宋" w:eastAsia="仿宋" w:cs="Times New Roman"/>
                <w:szCs w:val="21"/>
                <w:highlight w:val="none"/>
                <w:lang w:eastAsia="zh-CN" w:bidi="ar"/>
              </w:rPr>
              <w:t>，对标准实施情况进行总结分析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7"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孙明</w:t>
            </w:r>
          </w:p>
        </w:tc>
        <w:tc>
          <w:tcPr>
            <w:tcW w:w="1391"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广西壮族自治区气象科学研究所</w:t>
            </w:r>
          </w:p>
        </w:tc>
        <w:tc>
          <w:tcPr>
            <w:tcW w:w="772"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val="en-US" w:eastAsia="zh-CN" w:bidi="ar"/>
              </w:rPr>
              <w:t>高级</w:t>
            </w:r>
            <w:r>
              <w:rPr>
                <w:rFonts w:hint="eastAsia" w:ascii="仿宋" w:hAnsi="仿宋" w:eastAsia="仿宋" w:cs="宋体"/>
                <w:color w:val="000000"/>
                <w:kern w:val="0"/>
                <w:szCs w:val="21"/>
                <w:lang w:bidi="ar"/>
              </w:rPr>
              <w:t>工程师</w:t>
            </w:r>
          </w:p>
        </w:tc>
        <w:tc>
          <w:tcPr>
            <w:tcW w:w="773" w:type="pct"/>
            <w:noWrap w:val="0"/>
            <w:vAlign w:val="center"/>
          </w:tcPr>
          <w:p>
            <w:pPr>
              <w:widowControl/>
              <w:adjustRightInd w:val="0"/>
              <w:snapToGrid w:val="0"/>
              <w:jc w:val="center"/>
              <w:textAlignment w:val="bottom"/>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遥感技术应用与开发</w:t>
            </w:r>
          </w:p>
        </w:tc>
        <w:tc>
          <w:tcPr>
            <w:tcW w:w="1387" w:type="pct"/>
            <w:noWrap w:val="0"/>
            <w:vAlign w:val="center"/>
          </w:tcPr>
          <w:p>
            <w:pPr>
              <w:adjustRightInd w:val="0"/>
              <w:snapToGrid w:val="0"/>
              <w:jc w:val="center"/>
              <w:rPr>
                <w:rFonts w:hint="eastAsia" w:ascii="仿宋" w:hAnsi="仿宋" w:eastAsia="仿宋" w:cs="仿宋_GB2312"/>
                <w:szCs w:val="21"/>
                <w:highlight w:val="lightGray"/>
                <w:lang w:bidi="ar"/>
              </w:rPr>
            </w:pPr>
            <w:r>
              <w:rPr>
                <w:rFonts w:hint="eastAsia" w:ascii="仿宋" w:hAnsi="仿宋" w:eastAsia="仿宋" w:cs="Times New Roman"/>
                <w:szCs w:val="21"/>
                <w:highlight w:val="none"/>
                <w:lang w:val="en-US" w:eastAsia="zh-CN" w:bidi="ar"/>
              </w:rPr>
              <w:t>参与</w:t>
            </w:r>
            <w:r>
              <w:rPr>
                <w:rFonts w:hint="eastAsia" w:ascii="仿宋" w:hAnsi="仿宋" w:eastAsia="仿宋" w:cs="Times New Roman"/>
                <w:szCs w:val="21"/>
                <w:highlight w:val="none"/>
                <w:lang w:bidi="ar"/>
              </w:rPr>
              <w:t>标准文本及编制说明编写</w:t>
            </w:r>
            <w:r>
              <w:rPr>
                <w:rFonts w:hint="eastAsia" w:ascii="仿宋" w:hAnsi="仿宋" w:eastAsia="仿宋" w:cs="Times New Roman"/>
                <w:szCs w:val="21"/>
                <w:highlight w:val="none"/>
                <w:lang w:eastAsia="zh-CN" w:bidi="ar"/>
              </w:rPr>
              <w:t>，对标准实施情况进行总结分析</w:t>
            </w:r>
          </w:p>
        </w:tc>
      </w:tr>
      <w:bookmarkEnd w:id="0"/>
    </w:tbl>
    <w:p>
      <w:pPr>
        <w:overflowPunct w:val="0"/>
        <w:topLinePunct/>
        <w:spacing w:line="560" w:lineRule="exact"/>
        <w:ind w:firstLine="640" w:firstLineChars="200"/>
        <w:outlineLvl w:val="0"/>
        <w:rPr>
          <w:rFonts w:ascii="Times New Roman" w:hAnsi="Times New Roman" w:eastAsia="黑体" w:cs="Times New Roman"/>
          <w:bCs/>
          <w:sz w:val="32"/>
          <w:szCs w:val="32"/>
        </w:rPr>
      </w:pPr>
      <w:r>
        <w:rPr>
          <w:rFonts w:hint="eastAsia" w:ascii="Times New Roman" w:hAnsi="Times New Roman" w:eastAsia="黑体" w:cs="Times New Roman"/>
          <w:bCs/>
          <w:sz w:val="32"/>
          <w:szCs w:val="32"/>
        </w:rPr>
        <w:t>二、制定标准的必要性和意义</w:t>
      </w:r>
    </w:p>
    <w:p>
      <w:pPr>
        <w:ind w:firstLine="560" w:firstLineChars="20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甘蔗产业是我重要的糖料与生物质能源作物，其稳产高产关乎国家食糖安全。其生物量的精准观测是评估生长状况、预测产量、研究碳汇能力及优化生产管理的基石。当前，甘蔗生物量观测缺乏统一的技术规范，导致不同来源数据可比性差，制约了科研的深化与产业的精细化发展。制定本标准的必要性和重要性：</w:t>
      </w:r>
    </w:p>
    <w:p>
      <w:pPr>
        <w:ind w:firstLine="560" w:firstLineChars="20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（1）统一技术方法，确保生物量观测数据质量</w:t>
      </w:r>
    </w:p>
    <w:p>
      <w:pPr>
        <w:ind w:firstLine="560" w:firstLineChars="20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由于缺乏统一的观测标准，当前各地甘蔗生物量数据在时间和空间上存在显著差异，导致观测结果难以有效对比，削弱了甘蔗生产管理的科学性，还阻碍了产业的精细化发展。通过规范观测指标、方法与流程，确保不同地区、机构获取的生物量数据准确、一致、可比，为科学研究和生产决策提供可靠基础。</w:t>
      </w:r>
    </w:p>
    <w:p>
      <w:pPr>
        <w:ind w:firstLine="560" w:firstLineChars="20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（2）支撑科技创新与生产管理优化</w:t>
      </w:r>
    </w:p>
    <w:p>
      <w:pPr>
        <w:ind w:firstLine="560" w:firstLineChars="20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标准化的观测数据是构建和验证甘蔗生长模型、产量预测模型及碳汇评估模型的关键输入，能有效推动相关领域科技进步，并为优化施肥、灌溉等生产管理提供依据。</w:t>
      </w:r>
    </w:p>
    <w:p>
      <w:pPr>
        <w:ind w:firstLine="560" w:firstLineChars="20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（3）服务精准农业与遥感应用</w:t>
      </w:r>
    </w:p>
    <w:p>
      <w:pPr>
        <w:ind w:firstLine="560" w:firstLineChars="20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随着科技进步，卫星遥感和无人机等空天观测技术在农业中的应用日益普及。甘蔗生物量的标准化观测可为卫星遥感、无人机等空天信息技术的地面真实性检验提供标准化采样支持，提升遥感反演精度，助力智慧农业发展。</w:t>
      </w:r>
    </w:p>
    <w:p>
      <w:pPr>
        <w:ind w:firstLine="560" w:firstLineChars="20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（4）夯实碳汇监测与生态评估基础</w:t>
      </w:r>
    </w:p>
    <w:p>
      <w:pPr>
        <w:ind w:firstLine="560" w:firstLineChars="20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甘蔗作为重要的经济作物，同时也是碳汇的关键载体。生物量的标准化观测是核算农作物碳吸收量的核心参数，是评估农作物碳吸收量的基础工作之一。本标准为在缺少通量观测设备的广域蔗区开展标准化的甘蔗生物量地面观测提供了统一的方法学依据。</w:t>
      </w:r>
    </w:p>
    <w:p>
      <w:pPr>
        <w:ind w:firstLine="560" w:firstLineChars="20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（5）促进产业标准化与可持续发展</w:t>
      </w:r>
    </w:p>
    <w:p>
      <w:pPr>
        <w:ind w:firstLine="560" w:firstLineChars="20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规范的观测有助于准确评估甘蔗生产力，提升全产业链标准化水平，增强产业应对气候变化与市场风险的能力，服务于国家食糖安全与乡村振兴战略。</w:t>
      </w:r>
    </w:p>
    <w:p>
      <w:pPr>
        <w:ind w:firstLine="560" w:firstLineChars="20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（6）助力现代农业标准化建设</w:t>
      </w:r>
    </w:p>
    <w:p>
      <w:pPr>
        <w:overflowPunct w:val="0"/>
        <w:topLinePunct/>
        <w:spacing w:line="560" w:lineRule="exact"/>
        <w:ind w:firstLine="560" w:firstLineChars="200"/>
        <w:outlineLvl w:val="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通过制定统一的观测规范，整合行业技术要求，确保生产管理数据的科学性与可比性，为甘蔗产业的高质量发展提供技术支撑。</w:t>
      </w:r>
    </w:p>
    <w:p>
      <w:pPr>
        <w:overflowPunct w:val="0"/>
        <w:topLinePunct/>
        <w:spacing w:line="560" w:lineRule="exact"/>
        <w:ind w:firstLine="640" w:firstLineChars="200"/>
        <w:outlineLvl w:val="0"/>
        <w:rPr>
          <w:rFonts w:ascii="Times New Roman" w:hAnsi="Times New Roman" w:eastAsia="黑体" w:cs="Times New Roman"/>
          <w:bCs/>
          <w:sz w:val="32"/>
          <w:szCs w:val="32"/>
        </w:rPr>
      </w:pPr>
      <w:r>
        <w:rPr>
          <w:rFonts w:hint="eastAsia" w:ascii="Times New Roman" w:hAnsi="Times New Roman" w:eastAsia="黑体" w:cs="Times New Roman"/>
          <w:bCs/>
          <w:sz w:val="32"/>
          <w:szCs w:val="32"/>
        </w:rPr>
        <w:t>三、主要起草过程</w:t>
      </w:r>
    </w:p>
    <w:p>
      <w:pPr>
        <w:ind w:firstLine="640" w:firstLineChars="200"/>
        <w:outlineLvl w:val="1"/>
        <w:rPr>
          <w:rFonts w:ascii="Times New Roman" w:hAnsi="Times New Roman" w:eastAsia="楷体_GB2312" w:cs="Times New Roman"/>
          <w:sz w:val="32"/>
          <w:szCs w:val="32"/>
        </w:rPr>
      </w:pPr>
      <w:r>
        <w:rPr>
          <w:rFonts w:hint="eastAsia" w:ascii="Times New Roman" w:hAnsi="Times New Roman" w:eastAsia="楷体_GB2312" w:cs="Times New Roman"/>
          <w:sz w:val="32"/>
          <w:szCs w:val="32"/>
        </w:rPr>
        <w:t>（一）成立标准编制工作组</w:t>
      </w:r>
    </w:p>
    <w:p>
      <w:pPr>
        <w:ind w:firstLine="560" w:firstLineChars="20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团体标准《甘蔗生物量观测指南》项目任务下达后，广西壮族自治区气象科学研究所成立了标准编制工作组，起草单位制定了起草编写方案与进度安排，明确任务职责，确定工作技术路线，开展标准研制工作。具体标准编制工作由广西壮族自治区气象科学研究所、广西糖业集团农业开发有限公司、来宾市气象局、上思县气象局组成标准编制工作组完成。</w:t>
      </w:r>
    </w:p>
    <w:p>
      <w:pPr>
        <w:ind w:firstLine="560" w:firstLineChars="20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编制工作组下设二个组分别是资料收集组、草案编写组。资料收集组负责国内有关甘蔗生物量观测的文献资料的查询、收集和整理工作。</w:t>
      </w:r>
    </w:p>
    <w:p>
      <w:pPr>
        <w:ind w:firstLine="560" w:firstLineChars="20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草案编写组负责起草标准草案、征求意见稿和标准编制说明、送审稿及编制说明的编写工作，包括后期召开征求意见会、网上征求意见，以及标准的不断修改和完善。</w:t>
      </w:r>
    </w:p>
    <w:p>
      <w:pPr>
        <w:ind w:firstLine="640" w:firstLineChars="200"/>
        <w:outlineLvl w:val="1"/>
        <w:rPr>
          <w:rFonts w:ascii="Times New Roman" w:hAnsi="Times New Roman" w:eastAsia="楷体_GB2312" w:cs="Times New Roman"/>
          <w:sz w:val="32"/>
          <w:szCs w:val="32"/>
        </w:rPr>
      </w:pPr>
      <w:r>
        <w:rPr>
          <w:rFonts w:hint="eastAsia" w:ascii="Times New Roman" w:hAnsi="Times New Roman" w:eastAsia="楷体_GB2312" w:cs="Times New Roman"/>
          <w:sz w:val="32"/>
          <w:szCs w:val="32"/>
        </w:rPr>
        <w:t>（二）收集整理文献资料</w:t>
      </w:r>
    </w:p>
    <w:p>
      <w:pPr>
        <w:overflowPunct w:val="0"/>
        <w:topLinePunct/>
        <w:spacing w:line="560" w:lineRule="exact"/>
        <w:ind w:firstLine="640"/>
        <w:rPr>
          <w:rFonts w:hint="eastAsia" w:ascii="仿宋" w:hAnsi="仿宋" w:eastAsia="仿宋" w:cs="Times New Roman"/>
          <w:sz w:val="28"/>
          <w:szCs w:val="32"/>
        </w:rPr>
      </w:pPr>
      <w:r>
        <w:rPr>
          <w:rFonts w:hint="eastAsia" w:ascii="Times New Roman" w:hAnsi="Times New Roman" w:eastAsia="仿宋_GB2312" w:cs="Times New Roman"/>
          <w:sz w:val="28"/>
          <w:szCs w:val="32"/>
        </w:rPr>
        <w:t>标准编制工作组收集了国内有关生物量观测</w:t>
      </w:r>
      <w:r>
        <w:rPr>
          <w:rFonts w:hint="eastAsia" w:ascii="仿宋" w:hAnsi="仿宋" w:eastAsia="仿宋" w:cs="Times New Roman"/>
          <w:sz w:val="28"/>
          <w:szCs w:val="32"/>
        </w:rPr>
        <w:t>相关文献资料。</w:t>
      </w:r>
    </w:p>
    <w:p>
      <w:pPr>
        <w:overflowPunct w:val="0"/>
        <w:topLinePunct/>
        <w:spacing w:line="560" w:lineRule="exact"/>
        <w:ind w:firstLine="640"/>
        <w:rPr>
          <w:rFonts w:hint="eastAsia" w:ascii="仿宋" w:hAnsi="仿宋" w:eastAsia="仿宋" w:cs="Times New Roman"/>
          <w:sz w:val="28"/>
          <w:szCs w:val="32"/>
        </w:rPr>
      </w:pPr>
      <w:r>
        <w:rPr>
          <w:rFonts w:hint="eastAsia" w:ascii="仿宋" w:hAnsi="仿宋" w:eastAsia="仿宋" w:cs="Times New Roman"/>
          <w:sz w:val="28"/>
          <w:szCs w:val="32"/>
        </w:rPr>
        <w:t>GB/T 1.1《标准化工作导则》；</w:t>
      </w:r>
    </w:p>
    <w:p>
      <w:pPr>
        <w:overflowPunct w:val="0"/>
        <w:topLinePunct/>
        <w:spacing w:line="560" w:lineRule="exact"/>
        <w:ind w:firstLine="640"/>
        <w:rPr>
          <w:rFonts w:hint="eastAsia" w:ascii="仿宋" w:hAnsi="仿宋" w:eastAsia="仿宋" w:cs="Times New Roman"/>
          <w:sz w:val="28"/>
          <w:szCs w:val="32"/>
          <w:lang w:eastAsia="zh-CN"/>
        </w:rPr>
      </w:pPr>
      <w:r>
        <w:rPr>
          <w:rFonts w:hint="eastAsia" w:ascii="仿宋" w:hAnsi="仿宋" w:eastAsia="仿宋" w:cs="Times New Roman"/>
          <w:sz w:val="28"/>
          <w:szCs w:val="32"/>
          <w:lang w:eastAsia="zh-CN"/>
        </w:rPr>
        <w:t>《DB45/T 2178—2020 甘蔗产量现场测定操作规程》；</w:t>
      </w:r>
    </w:p>
    <w:p>
      <w:pPr>
        <w:overflowPunct w:val="0"/>
        <w:topLinePunct/>
        <w:spacing w:line="560" w:lineRule="exact"/>
        <w:ind w:firstLine="640"/>
        <w:rPr>
          <w:rFonts w:hint="eastAsia" w:ascii="仿宋" w:hAnsi="仿宋" w:eastAsia="仿宋" w:cs="Times New Roman"/>
          <w:sz w:val="28"/>
          <w:szCs w:val="32"/>
        </w:rPr>
      </w:pPr>
      <w:r>
        <w:rPr>
          <w:rFonts w:hint="eastAsia" w:ascii="仿宋" w:hAnsi="仿宋" w:eastAsia="仿宋" w:cs="Times New Roman"/>
          <w:sz w:val="28"/>
          <w:szCs w:val="32"/>
        </w:rPr>
        <w:t>《农业气象观测规范》（国家气象局，1993）；</w:t>
      </w:r>
    </w:p>
    <w:p>
      <w:pPr>
        <w:overflowPunct w:val="0"/>
        <w:topLinePunct/>
        <w:spacing w:line="560" w:lineRule="exact"/>
        <w:ind w:firstLine="640"/>
        <w:rPr>
          <w:rFonts w:hint="eastAsia" w:ascii="仿宋" w:hAnsi="仿宋" w:eastAsia="仿宋" w:cs="Times New Roman"/>
          <w:sz w:val="28"/>
          <w:szCs w:val="32"/>
          <w:lang w:eastAsia="zh-CN"/>
        </w:rPr>
      </w:pPr>
      <w:r>
        <w:rPr>
          <w:rFonts w:hint="eastAsia" w:ascii="仿宋" w:hAnsi="仿宋" w:eastAsia="仿宋" w:cs="Times New Roman"/>
          <w:sz w:val="28"/>
          <w:szCs w:val="32"/>
        </w:rPr>
        <w:t>《GB/T 33027—2016 森林生态系统长期定位观测方法》</w:t>
      </w:r>
      <w:r>
        <w:rPr>
          <w:rFonts w:hint="eastAsia" w:ascii="仿宋" w:hAnsi="仿宋" w:eastAsia="仿宋" w:cs="Times New Roman"/>
          <w:sz w:val="28"/>
          <w:szCs w:val="32"/>
          <w:lang w:eastAsia="zh-CN"/>
        </w:rPr>
        <w:t>。</w:t>
      </w:r>
    </w:p>
    <w:p>
      <w:pPr>
        <w:ind w:firstLine="640" w:firstLineChars="200"/>
        <w:outlineLvl w:val="1"/>
        <w:rPr>
          <w:rFonts w:ascii="Times New Roman" w:hAnsi="Times New Roman" w:eastAsia="楷体_GB2312" w:cs="Times New Roman"/>
          <w:sz w:val="32"/>
          <w:szCs w:val="32"/>
        </w:rPr>
      </w:pPr>
      <w:r>
        <w:rPr>
          <w:rFonts w:hint="eastAsia" w:ascii="Times New Roman" w:hAnsi="Times New Roman" w:eastAsia="楷体_GB2312" w:cs="Times New Roman"/>
          <w:sz w:val="32"/>
          <w:szCs w:val="32"/>
        </w:rPr>
        <w:t>（三）研讨确定标准特色、创新点及主体内容。</w:t>
      </w:r>
    </w:p>
    <w:p>
      <w:pPr>
        <w:overflowPunct w:val="0"/>
        <w:topLinePunct/>
        <w:spacing w:line="560" w:lineRule="exact"/>
        <w:ind w:firstLine="640"/>
        <w:rPr>
          <w:rFonts w:ascii="Times New Roman" w:hAnsi="Times New Roman" w:eastAsia="仿宋_GB2312" w:cs="Times New Roman"/>
          <w:sz w:val="28"/>
          <w:szCs w:val="32"/>
          <w:highlight w:val="none"/>
        </w:rPr>
      </w:pPr>
      <w:r>
        <w:rPr>
          <w:rFonts w:hint="eastAsia" w:ascii="Times New Roman" w:hAnsi="Times New Roman" w:eastAsia="仿宋_GB2312" w:cs="Times New Roman"/>
          <w:sz w:val="28"/>
          <w:szCs w:val="32"/>
          <w:highlight w:val="none"/>
        </w:rPr>
        <w:t>1、创新点</w:t>
      </w:r>
    </w:p>
    <w:p>
      <w:pPr>
        <w:overflowPunct w:val="0"/>
        <w:topLinePunct/>
        <w:spacing w:line="560" w:lineRule="exact"/>
        <w:ind w:firstLine="64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（1）系统规范甘蔗全生育期生物量观测技术方法</w:t>
      </w:r>
    </w:p>
    <w:p>
      <w:pPr>
        <w:overflowPunct w:val="0"/>
        <w:topLinePunct/>
        <w:spacing w:line="560" w:lineRule="exact"/>
        <w:ind w:firstLine="64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本标准围绕甘蔗生物量观测需求，系统规范了从苗期到工艺成熟期的观测技术方法，完善了现有以中后期测产为主的甘蔗生物量观测技术体系。</w:t>
      </w:r>
    </w:p>
    <w:p>
      <w:pPr>
        <w:overflowPunct w:val="0"/>
        <w:topLinePunct/>
        <w:spacing w:line="560" w:lineRule="exact"/>
        <w:ind w:firstLine="64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（2）构建涵盖凋落物的甘蔗生物量观测方法体系</w:t>
      </w:r>
    </w:p>
    <w:p>
      <w:pPr>
        <w:overflowPunct w:val="0"/>
        <w:topLinePunct/>
        <w:spacing w:line="560" w:lineRule="exact"/>
        <w:ind w:firstLine="64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本标准在规范甘蔗根、茎、叶生物量观测方法的基础上，将凋落物观测纳入技术体系，明确了凋落物样方设置、收集与干重测定方法，使甘蔗生物量评估更加完整。</w:t>
      </w:r>
    </w:p>
    <w:p>
      <w:pPr>
        <w:numPr>
          <w:ilvl w:val="0"/>
          <w:numId w:val="1"/>
        </w:numPr>
        <w:overflowPunct w:val="0"/>
        <w:topLinePunct/>
        <w:spacing w:line="560" w:lineRule="exact"/>
        <w:ind w:firstLine="640"/>
        <w:rPr>
          <w:rFonts w:hint="eastAsia" w:ascii="Times New Roman" w:hAnsi="Times New Roman" w:eastAsia="仿宋_GB2312" w:cs="Times New Roman"/>
          <w:sz w:val="28"/>
          <w:szCs w:val="32"/>
          <w:highlight w:val="none"/>
        </w:rPr>
      </w:pPr>
      <w:r>
        <w:rPr>
          <w:rFonts w:hint="eastAsia" w:ascii="Times New Roman" w:hAnsi="Times New Roman" w:eastAsia="仿宋_GB2312" w:cs="Times New Roman"/>
          <w:sz w:val="28"/>
          <w:szCs w:val="32"/>
          <w:highlight w:val="none"/>
        </w:rPr>
        <w:t>主体内容</w:t>
      </w:r>
    </w:p>
    <w:p>
      <w:pPr>
        <w:overflowPunct w:val="0"/>
        <w:topLinePunct/>
        <w:spacing w:line="560" w:lineRule="exact"/>
        <w:ind w:firstLine="64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标准编制工作组在系统收集国内外甘蔗生物量观测、农业气象观测、作物产量测定及碳汇评估等相关资料的基础上，召开多次标准研讨会，对标准的整体框架结构和关键技术内容进行深入研究和论证。结合广西甘蔗主产区多年田间观测试验成果，围绕“科学性、系统性和可操作性”的编制目标，对标准内容进行反复讨论和优化。</w:t>
      </w:r>
    </w:p>
    <w:p>
      <w:pPr>
        <w:overflowPunct w:val="0"/>
        <w:topLinePunct/>
        <w:spacing w:line="560" w:lineRule="exact"/>
        <w:ind w:firstLine="64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经研究确定，团体标准《甘蔗生物量观测指南》的主体内容包括：术语和定义、观测要求、甘蔗生物量观测方法、甘蔗凋落物观测方法及生物量修正等部分。标准重点规定不同观测目的下观测地段的选择原则与</w:t>
      </w:r>
      <w:r>
        <w:rPr>
          <w:rFonts w:hint="eastAsia" w:ascii="Times New Roman" w:hAnsi="Times New Roman" w:eastAsia="仿宋_GB2312" w:cs="Times New Roman"/>
          <w:sz w:val="28"/>
          <w:szCs w:val="32"/>
          <w:lang w:val="en-US" w:eastAsia="zh-CN"/>
        </w:rPr>
        <w:t>观测区、取样区</w:t>
      </w:r>
      <w:r>
        <w:rPr>
          <w:rFonts w:hint="eastAsia" w:ascii="Times New Roman" w:hAnsi="Times New Roman" w:eastAsia="仿宋_GB2312" w:cs="Times New Roman"/>
          <w:sz w:val="28"/>
          <w:szCs w:val="32"/>
        </w:rPr>
        <w:t>设置方法，明确甘蔗各生育期的观测项目与频次，系统规范株高、茎径、茎（株）数、生物量及凋落物的观测流程、数据计算方法和技术要求，为甘蔗生物量观测、产量预测、碳汇评估及遥感真实性检验提供统一、规范的技术依据。</w:t>
      </w:r>
    </w:p>
    <w:p>
      <w:pPr>
        <w:numPr>
          <w:ilvl w:val="0"/>
          <w:numId w:val="2"/>
        </w:numPr>
        <w:ind w:firstLine="640" w:firstLineChars="200"/>
        <w:outlineLvl w:val="1"/>
        <w:rPr>
          <w:rFonts w:hint="eastAsia" w:ascii="Times New Roman" w:hAnsi="Times New Roman" w:eastAsia="楷体_GB2312" w:cs="Times New Roman"/>
          <w:sz w:val="32"/>
          <w:szCs w:val="32"/>
          <w:highlight w:val="none"/>
        </w:rPr>
      </w:pPr>
      <w:r>
        <w:rPr>
          <w:rFonts w:hint="eastAsia" w:ascii="Times New Roman" w:hAnsi="Times New Roman" w:eastAsia="楷体_GB2312" w:cs="Times New Roman"/>
          <w:sz w:val="32"/>
          <w:szCs w:val="32"/>
          <w:highlight w:val="none"/>
        </w:rPr>
        <w:t>调研及形成草案、征求意见稿</w:t>
      </w:r>
    </w:p>
    <w:p>
      <w:pPr>
        <w:overflowPunct w:val="0"/>
        <w:topLinePunct/>
        <w:spacing w:line="560" w:lineRule="exact"/>
        <w:ind w:firstLine="64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2022</w:t>
      </w:r>
      <w:r>
        <w:rPr>
          <w:rFonts w:hint="eastAsia" w:ascii="Times New Roman" w:hAnsi="Times New Roman" w:eastAsia="仿宋_GB2312" w:cs="Times New Roman"/>
          <w:sz w:val="28"/>
          <w:szCs w:val="32"/>
          <w:lang w:val="en-US" w:eastAsia="zh-CN"/>
        </w:rPr>
        <w:t>-</w:t>
      </w:r>
      <w:r>
        <w:rPr>
          <w:rFonts w:hint="eastAsia" w:ascii="Times New Roman" w:hAnsi="Times New Roman" w:eastAsia="仿宋_GB2312" w:cs="Times New Roman"/>
          <w:sz w:val="28"/>
          <w:szCs w:val="32"/>
        </w:rPr>
        <w:t>202</w:t>
      </w:r>
      <w:r>
        <w:rPr>
          <w:rFonts w:hint="eastAsia" w:ascii="Times New Roman" w:hAnsi="Times New Roman" w:eastAsia="仿宋_GB2312" w:cs="Times New Roman"/>
          <w:sz w:val="28"/>
          <w:szCs w:val="32"/>
          <w:lang w:val="en-US" w:eastAsia="zh-CN"/>
        </w:rPr>
        <w:t>5</w:t>
      </w:r>
      <w:r>
        <w:rPr>
          <w:rFonts w:hint="eastAsia" w:ascii="Times New Roman" w:hAnsi="Times New Roman" w:eastAsia="仿宋_GB2312" w:cs="Times New Roman"/>
          <w:sz w:val="28"/>
          <w:szCs w:val="32"/>
        </w:rPr>
        <w:t>年，标准编制工作组依托广西重点研发计划“广西糖料蔗碳汇气象评估关键技术与应用”（桂科AB22035069）和国家自然科学基金青年科学基金项目《高光谱遥感与地面观测数据结合的区域甘蔗糖分估算研究》（编号：42105175），在广西甘蔗主产区开展了系统、连续的田间调研与观测试验工作。调研区域涵盖崇左、来宾、横州、上思等典型蔗区，涉及不同生态区、不同主栽品种及新植蔗、宿根蔗等多种种植类型。通过多年实地观测，系统总结了甘蔗从苗期、分蘖期、茎伸长期至工艺成熟期各阶段生物量形成与变化特征，梳理了现有甘蔗测产与生物量观测方法在指标设置和适用范围上的不足，为标准技术内容的构建奠定了坚实基础。</w:t>
      </w:r>
    </w:p>
    <w:p>
      <w:pPr>
        <w:overflowPunct w:val="0"/>
        <w:topLinePunct/>
        <w:spacing w:line="560" w:lineRule="exact"/>
        <w:ind w:firstLine="64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lang w:val="en-US" w:eastAsia="zh-CN"/>
        </w:rPr>
        <w:t>2025年9月</w:t>
      </w:r>
      <w:r>
        <w:rPr>
          <w:rFonts w:hint="eastAsia" w:ascii="Times New Roman" w:hAnsi="Times New Roman" w:eastAsia="仿宋_GB2312" w:cs="Times New Roman"/>
          <w:sz w:val="28"/>
          <w:szCs w:val="32"/>
        </w:rPr>
        <w:t>，在完成前期调研与试验数据整理的基础上，标准编制工作组对国内外相关标准、规范及文献资料进行了系统梳理，重点分析了《农业气象观测规范》《甘蔗产量现场测定操作规程》以及林业、生物量与碳汇相关标准中有关生物量观测的技术原则与方法。结合广西甘蔗生产实际和长期田间观测经验，明确了本标准“覆盖甘蔗全生育期、兼顾科研与业务应用、服务碳汇评估与遥感真实性检验”的技术定位，形成了标准总体框架和主要技术路线，并编制完成团体标准《甘蔗生物量观测指南》（草案）。</w:t>
      </w:r>
    </w:p>
    <w:p>
      <w:pPr>
        <w:overflowPunct w:val="0"/>
        <w:topLinePunct/>
        <w:spacing w:line="560" w:lineRule="exact"/>
        <w:ind w:firstLine="640"/>
        <w:rPr>
          <w:rFonts w:hint="eastAsia" w:ascii="Times New Roman" w:hAnsi="Times New Roman" w:eastAsia="楷体_GB2312" w:cs="Times New Roman"/>
          <w:sz w:val="32"/>
          <w:szCs w:val="32"/>
        </w:rPr>
      </w:pPr>
      <w:r>
        <w:rPr>
          <w:rFonts w:hint="eastAsia" w:ascii="Times New Roman" w:hAnsi="Times New Roman" w:eastAsia="仿宋_GB2312" w:cs="Times New Roman"/>
          <w:sz w:val="28"/>
          <w:szCs w:val="32"/>
        </w:rPr>
        <w:t>2025年</w:t>
      </w:r>
      <w:r>
        <w:rPr>
          <w:rFonts w:hint="eastAsia" w:ascii="Times New Roman" w:hAnsi="Times New Roman" w:eastAsia="仿宋_GB2312" w:cs="Times New Roman"/>
          <w:sz w:val="28"/>
          <w:szCs w:val="32"/>
          <w:lang w:val="en-US" w:eastAsia="zh-CN"/>
        </w:rPr>
        <w:t>10</w:t>
      </w:r>
      <w:r>
        <w:rPr>
          <w:rFonts w:hint="eastAsia" w:ascii="Times New Roman" w:hAnsi="Times New Roman" w:eastAsia="仿宋_GB2312" w:cs="Times New Roman"/>
          <w:sz w:val="28"/>
          <w:szCs w:val="32"/>
        </w:rPr>
        <w:t>月</w:t>
      </w:r>
      <w:r>
        <w:rPr>
          <w:rFonts w:hint="eastAsia" w:ascii="Times New Roman" w:hAnsi="Times New Roman" w:eastAsia="仿宋_GB2312" w:cs="Times New Roman"/>
          <w:sz w:val="28"/>
          <w:szCs w:val="32"/>
          <w:lang w:val="en-US" w:eastAsia="zh-CN"/>
        </w:rPr>
        <w:t>-</w:t>
      </w:r>
      <w:r>
        <w:rPr>
          <w:rFonts w:hint="eastAsia" w:ascii="Times New Roman" w:hAnsi="Times New Roman" w:eastAsia="仿宋_GB2312" w:cs="Times New Roman"/>
          <w:sz w:val="28"/>
          <w:szCs w:val="32"/>
        </w:rPr>
        <w:t>202</w:t>
      </w:r>
      <w:r>
        <w:rPr>
          <w:rFonts w:hint="eastAsia" w:ascii="Times New Roman" w:hAnsi="Times New Roman" w:eastAsia="仿宋_GB2312" w:cs="Times New Roman"/>
          <w:sz w:val="28"/>
          <w:szCs w:val="32"/>
          <w:lang w:val="en-US" w:eastAsia="zh-CN"/>
        </w:rPr>
        <w:t>6</w:t>
      </w:r>
      <w:r>
        <w:rPr>
          <w:rFonts w:hint="eastAsia" w:ascii="Times New Roman" w:hAnsi="Times New Roman" w:eastAsia="仿宋_GB2312" w:cs="Times New Roman"/>
          <w:sz w:val="28"/>
          <w:szCs w:val="32"/>
        </w:rPr>
        <w:t>年</w:t>
      </w:r>
      <w:r>
        <w:rPr>
          <w:rFonts w:hint="eastAsia" w:ascii="Times New Roman" w:hAnsi="Times New Roman" w:eastAsia="仿宋_GB2312" w:cs="Times New Roman"/>
          <w:sz w:val="28"/>
          <w:szCs w:val="32"/>
          <w:lang w:val="en-US" w:eastAsia="zh-CN"/>
        </w:rPr>
        <w:t>1</w:t>
      </w:r>
      <w:r>
        <w:rPr>
          <w:rFonts w:hint="eastAsia" w:ascii="Times New Roman" w:hAnsi="Times New Roman" w:eastAsia="仿宋_GB2312" w:cs="Times New Roman"/>
          <w:sz w:val="28"/>
          <w:szCs w:val="32"/>
        </w:rPr>
        <w:t>月，标准编制工作组在草案基础上，多次组织内部技术研讨和专题论证，对观测地段设置、观测要素选取、生物量计算方法及凋落物修正等关键技术条款进行了反复讨论和优化。同时，向广西糖业集团农业开发有限公司、来宾市气象局、上思县气象局等单位征求意见，对标准条款的科学性、可操作性和适用性进行了验证和修订。标准编制工作组根据收集到的反馈意见，多次召开会议对草案进行修改完善，最终形成了团体标准《甘蔗生物量观测指南》（征求意见稿）及其编制说明。</w:t>
      </w:r>
    </w:p>
    <w:p>
      <w:pPr>
        <w:overflowPunct w:val="0"/>
        <w:topLinePunct/>
        <w:spacing w:line="560" w:lineRule="exact"/>
        <w:ind w:firstLine="640" w:firstLineChars="200"/>
        <w:outlineLvl w:val="0"/>
        <w:rPr>
          <w:rFonts w:ascii="Times New Roman" w:hAnsi="Times New Roman" w:eastAsia="黑体" w:cs="Times New Roman"/>
          <w:bCs/>
          <w:sz w:val="32"/>
          <w:szCs w:val="32"/>
        </w:rPr>
      </w:pPr>
      <w:bookmarkStart w:id="2" w:name="_Toc526940083"/>
      <w:r>
        <w:rPr>
          <w:rFonts w:hint="eastAsia" w:ascii="Times New Roman" w:hAnsi="Times New Roman" w:eastAsia="黑体" w:cs="Times New Roman"/>
          <w:bCs/>
          <w:sz w:val="32"/>
          <w:szCs w:val="32"/>
        </w:rPr>
        <w:t>四、</w:t>
      </w:r>
      <w:bookmarkEnd w:id="2"/>
      <w:r>
        <w:rPr>
          <w:rFonts w:hint="eastAsia" w:ascii="Times New Roman" w:hAnsi="Times New Roman" w:eastAsia="黑体" w:cs="Times New Roman"/>
          <w:bCs/>
          <w:sz w:val="32"/>
          <w:szCs w:val="32"/>
        </w:rPr>
        <w:t>制定标准的原则和依据，与现行法律、法规的关系，与有关国家标准、行业标准的协调情况</w:t>
      </w:r>
    </w:p>
    <w:p>
      <w:pPr>
        <w:widowControl/>
        <w:tabs>
          <w:tab w:val="center" w:pos="4201"/>
          <w:tab w:val="right" w:leader="dot" w:pos="9298"/>
        </w:tabs>
        <w:autoSpaceDE w:val="0"/>
        <w:autoSpaceDN w:val="0"/>
        <w:spacing w:line="560" w:lineRule="exact"/>
        <w:ind w:firstLine="640" w:firstLineChars="200"/>
        <w:outlineLvl w:val="1"/>
        <w:rPr>
          <w:rFonts w:ascii="Times New Roman" w:hAnsi="Times New Roman" w:eastAsia="楷体_GB2312" w:cs="Times New Roman"/>
          <w:sz w:val="32"/>
          <w:szCs w:val="32"/>
        </w:rPr>
      </w:pPr>
      <w:r>
        <w:rPr>
          <w:rFonts w:ascii="Times New Roman" w:hAnsi="Times New Roman" w:eastAsia="楷体_GB2312" w:cs="Times New Roman"/>
          <w:sz w:val="32"/>
          <w:szCs w:val="32"/>
        </w:rPr>
        <w:t>（一）</w:t>
      </w:r>
      <w:r>
        <w:rPr>
          <w:rFonts w:hint="eastAsia" w:ascii="Times New Roman" w:hAnsi="Times New Roman" w:eastAsia="楷体_GB2312" w:cs="Times New Roman"/>
          <w:sz w:val="32"/>
          <w:szCs w:val="32"/>
        </w:rPr>
        <w:t>编制原则</w:t>
      </w:r>
    </w:p>
    <w:p>
      <w:pPr>
        <w:overflowPunct w:val="0"/>
        <w:topLinePunct/>
        <w:spacing w:line="560" w:lineRule="exact"/>
        <w:ind w:firstLine="641"/>
        <w:outlineLvl w:val="2"/>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1、科学性</w:t>
      </w:r>
      <w:r>
        <w:rPr>
          <w:rFonts w:ascii="Times New Roman" w:hAnsi="Times New Roman" w:eastAsia="仿宋_GB2312" w:cs="Times New Roman"/>
          <w:sz w:val="28"/>
          <w:szCs w:val="32"/>
        </w:rPr>
        <w:t>原则</w:t>
      </w:r>
    </w:p>
    <w:p>
      <w:pPr>
        <w:overflowPunct w:val="0"/>
        <w:topLinePunct/>
        <w:spacing w:line="560" w:lineRule="exact"/>
        <w:ind w:firstLine="64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本文件是在充分收集相关资料和文献，分析甘蔗生物量观测当前现状，在现有生物量观测技术的基础上，基于甘蔗生长发育规律和农业气象学、生态学原理，结合广西壮族自治区气象科学研究所、广西糖业集团农业开发有限公司等单位多年田间甘蔗生物量观测经验而总结起草的，技术参数与计算公式经过田间试验验证。符合当前甘蔗生物量观测规范化发展需求，有利于甘蔗产业的长远发展，提高甘蔗生物量观测质量。</w:t>
      </w:r>
    </w:p>
    <w:p>
      <w:pPr>
        <w:overflowPunct w:val="0"/>
        <w:topLinePunct/>
        <w:spacing w:line="560" w:lineRule="exact"/>
        <w:ind w:firstLine="641"/>
        <w:outlineLvl w:val="2"/>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2、可操作性原则</w:t>
      </w:r>
    </w:p>
    <w:p>
      <w:pPr>
        <w:overflowPunct w:val="0"/>
        <w:topLinePunct/>
        <w:spacing w:line="560" w:lineRule="exact"/>
        <w:ind w:firstLine="64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观测流程清晰明确，所需仪器设备常规易得，便于基层气象、农业部门及糖业企业技术人员掌握和应用，具有较强的可操作性。</w:t>
      </w:r>
    </w:p>
    <w:p>
      <w:pPr>
        <w:overflowPunct w:val="0"/>
        <w:topLinePunct/>
        <w:spacing w:line="560" w:lineRule="exact"/>
        <w:ind w:firstLine="641"/>
        <w:outlineLvl w:val="2"/>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3、系统性原则</w:t>
      </w:r>
    </w:p>
    <w:p>
      <w:pPr>
        <w:overflowPunct w:val="0"/>
        <w:topLinePunct/>
        <w:spacing w:line="560" w:lineRule="exact"/>
        <w:ind w:firstLine="64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本文件规范涵盖甘蔗生物量观测试验地块选择、观测要素、凋落物收集、地上/地下生物量测定方法和流程</w:t>
      </w:r>
      <w:r>
        <w:rPr>
          <w:rFonts w:hint="eastAsia" w:ascii="Times New Roman" w:hAnsi="Times New Roman" w:eastAsia="仿宋_GB2312" w:cs="Times New Roman"/>
          <w:sz w:val="28"/>
          <w:szCs w:val="32"/>
          <w:lang w:val="en-US" w:eastAsia="zh-CN"/>
        </w:rPr>
        <w:t>到</w:t>
      </w:r>
      <w:r>
        <w:rPr>
          <w:rFonts w:hint="eastAsia" w:ascii="Times New Roman" w:hAnsi="Times New Roman" w:eastAsia="仿宋_GB2312" w:cs="Times New Roman"/>
          <w:sz w:val="28"/>
          <w:szCs w:val="32"/>
        </w:rPr>
        <w:t>数据计算的全链条，支撑完整的甘蔗生物量观测。</w:t>
      </w:r>
    </w:p>
    <w:p>
      <w:pPr>
        <w:overflowPunct w:val="0"/>
        <w:topLinePunct/>
        <w:spacing w:line="560" w:lineRule="exact"/>
        <w:ind w:firstLine="641"/>
        <w:outlineLvl w:val="2"/>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4、协调性原则</w:t>
      </w:r>
    </w:p>
    <w:p>
      <w:pPr>
        <w:overflowPunct w:val="0"/>
        <w:topLinePunct/>
        <w:spacing w:line="560" w:lineRule="exact"/>
        <w:ind w:firstLine="64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本文件编写过程中注意了与甘蔗生物量观测相关法律法规的协调问题，在内容上与现行法律法规、标准协调一致。</w:t>
      </w:r>
    </w:p>
    <w:p>
      <w:pPr>
        <w:overflowPunct w:val="0"/>
        <w:topLinePunct/>
        <w:spacing w:line="560" w:lineRule="exact"/>
        <w:ind w:firstLine="641"/>
        <w:outlineLvl w:val="2"/>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5、规范性原则</w:t>
      </w:r>
    </w:p>
    <w:p>
      <w:pPr>
        <w:overflowPunct w:val="0"/>
        <w:topLinePunct/>
        <w:spacing w:line="560" w:lineRule="exact"/>
        <w:ind w:firstLine="64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本文件严格按照GB/T 1.1—2020《标准化工作导则  第1部分：标准化文件的结构和起草规则》编写本标准的内容，保证标准的编写质量。</w:t>
      </w:r>
    </w:p>
    <w:p>
      <w:pPr>
        <w:widowControl/>
        <w:tabs>
          <w:tab w:val="center" w:pos="4201"/>
          <w:tab w:val="right" w:leader="dot" w:pos="9298"/>
        </w:tabs>
        <w:autoSpaceDE w:val="0"/>
        <w:autoSpaceDN w:val="0"/>
        <w:spacing w:line="560" w:lineRule="exact"/>
        <w:ind w:firstLine="640" w:firstLineChars="200"/>
        <w:outlineLvl w:val="1"/>
        <w:rPr>
          <w:rFonts w:ascii="Times New Roman" w:hAnsi="Times New Roman" w:eastAsia="楷体_GB2312" w:cs="Times New Roman"/>
          <w:sz w:val="32"/>
          <w:szCs w:val="32"/>
          <w:highlight w:val="none"/>
        </w:rPr>
      </w:pPr>
      <w:r>
        <w:rPr>
          <w:rFonts w:hint="eastAsia" w:ascii="Times New Roman" w:hAnsi="Times New Roman" w:eastAsia="楷体_GB2312" w:cs="Times New Roman"/>
          <w:sz w:val="32"/>
          <w:szCs w:val="32"/>
          <w:highlight w:val="none"/>
        </w:rPr>
        <w:t>（二）编制依据</w:t>
      </w:r>
    </w:p>
    <w:p>
      <w:pPr>
        <w:overflowPunct w:val="0"/>
        <w:topLinePunct/>
        <w:spacing w:line="560" w:lineRule="exact"/>
        <w:ind w:firstLine="640"/>
        <w:rPr>
          <w:rFonts w:hint="eastAsia" w:ascii="仿宋" w:hAnsi="仿宋" w:eastAsia="仿宋" w:cs="Times New Roman"/>
          <w:sz w:val="28"/>
          <w:szCs w:val="32"/>
        </w:rPr>
      </w:pPr>
      <w:r>
        <w:rPr>
          <w:rFonts w:hint="eastAsia" w:ascii="仿宋" w:hAnsi="仿宋" w:eastAsia="仿宋" w:cs="Times New Roman"/>
          <w:sz w:val="28"/>
          <w:szCs w:val="32"/>
        </w:rPr>
        <w:t>①田间试验与资料收集</w:t>
      </w:r>
    </w:p>
    <w:p>
      <w:pPr>
        <w:overflowPunct w:val="0"/>
        <w:topLinePunct/>
        <w:spacing w:line="560" w:lineRule="exact"/>
        <w:ind w:firstLine="640"/>
        <w:rPr>
          <w:rFonts w:hint="eastAsia" w:ascii="仿宋" w:hAnsi="仿宋" w:eastAsia="仿宋" w:cs="Times New Roman"/>
          <w:sz w:val="28"/>
          <w:szCs w:val="32"/>
        </w:rPr>
      </w:pPr>
      <w:r>
        <w:rPr>
          <w:rFonts w:hint="eastAsia" w:ascii="仿宋" w:hAnsi="仿宋" w:eastAsia="仿宋" w:cs="Times New Roman"/>
          <w:sz w:val="28"/>
          <w:szCs w:val="32"/>
        </w:rPr>
        <w:t>起草小组依托广西重点研发项目《广西糖料蔗碳汇气象评估关键技术与应用》（桂科AB22035069）及国家自然科学基金青年科学基金《高光谱遥感与地面观测数据结合的区域甘蔗糖分估算研究》（编号：42105175）等项目，自2019年起（主要集中在2022-2024年），在崇左、来宾、横州、上思等广西甘蔗主产区，系统开展了多年、多点的田间观测试验。布设了涵盖不同品种（桂柳05136、桂糖42号等）、植期（新植、宿根）和地域的10个大田观测点，并在横州、兴宾区设置了多组水肥控制对比试验（共24个小区）。累计获取了覆盖甘蔗全生育期（苗期至工艺成熟期）的大量株高、茎径、有效茎数、根茎叶鲜干重等第一手观测数据，为本标准技术内容的确定提供了坚实的实证基础。</w:t>
      </w:r>
    </w:p>
    <w:p>
      <w:pPr>
        <w:overflowPunct w:val="0"/>
        <w:topLinePunct/>
        <w:spacing w:line="560" w:lineRule="exact"/>
        <w:ind w:firstLine="640"/>
        <w:rPr>
          <w:rFonts w:hint="eastAsia" w:ascii="仿宋" w:hAnsi="仿宋" w:eastAsia="仿宋" w:cs="Times New Roman"/>
          <w:sz w:val="28"/>
          <w:szCs w:val="32"/>
        </w:rPr>
      </w:pPr>
      <w:r>
        <w:rPr>
          <w:rFonts w:hint="eastAsia" w:ascii="仿宋" w:hAnsi="仿宋" w:eastAsia="仿宋" w:cs="Times New Roman"/>
          <w:sz w:val="28"/>
          <w:szCs w:val="32"/>
        </w:rPr>
        <w:t>与传统的甘蔗测产相比，本标准在观测范围和方法上进行了重要拓展。常规甘蔗测产通常从茎伸长期开始，主要关注亩有效茎、茎粗、单茎重、密度、行距等指标，观测周期较短，仅覆盖部分生长阶段。而本标准将观测范围延伸拓展至甘蔗全生育周期，从苗期到砍收结束，并系统规范了根、茎、叶等器官的生物量观测，特别是在苗期和分蘖期等早期生长阶段，填补了传统观测的空白。此外，标准对根、茎、叶生物量的综合评估，能够更全面地反映甘蔗在不同生长阶段的养分积累与能量分配，为水肥管理、病虫害防控及产量预测提供了更完整的数据支持。</w:t>
      </w:r>
    </w:p>
    <w:p>
      <w:pPr>
        <w:overflowPunct w:val="0"/>
        <w:topLinePunct/>
        <w:spacing w:line="560" w:lineRule="exact"/>
        <w:ind w:firstLine="640"/>
        <w:rPr>
          <w:rFonts w:hint="eastAsia" w:ascii="仿宋" w:hAnsi="仿宋" w:eastAsia="仿宋" w:cs="Times New Roman"/>
          <w:sz w:val="28"/>
          <w:szCs w:val="32"/>
        </w:rPr>
      </w:pPr>
      <w:r>
        <w:rPr>
          <w:rFonts w:hint="eastAsia" w:ascii="仿宋" w:hAnsi="仿宋" w:eastAsia="仿宋" w:cs="Times New Roman"/>
          <w:sz w:val="28"/>
          <w:szCs w:val="32"/>
        </w:rPr>
        <w:t>总体而言，本标准通过建立甘蔗生物量全生育期观测体系，解决了传统测产数据不统一、观测周期不完整的问题，提升了生物量评估的系统性和科学性。标准的实施为甘蔗生产提供了更全面、可操作性强的技术指南，有助于提高生产精细化管理水平，优化资源利用效率，推动甘蔗产业可持续发展。</w:t>
      </w:r>
    </w:p>
    <w:p>
      <w:pPr>
        <w:overflowPunct w:val="0"/>
        <w:topLinePunct/>
        <w:spacing w:line="560" w:lineRule="exact"/>
        <w:ind w:firstLine="640"/>
        <w:rPr>
          <w:rFonts w:hint="eastAsia" w:ascii="仿宋" w:hAnsi="仿宋" w:eastAsia="仿宋" w:cs="Times New Roman"/>
          <w:sz w:val="28"/>
          <w:szCs w:val="32"/>
        </w:rPr>
      </w:pPr>
      <w:r>
        <w:rPr>
          <w:rFonts w:hint="eastAsia" w:ascii="仿宋" w:hAnsi="仿宋" w:eastAsia="仿宋" w:cs="Times New Roman"/>
          <w:sz w:val="28"/>
          <w:szCs w:val="32"/>
        </w:rPr>
        <w:t>②标准编写</w:t>
      </w:r>
    </w:p>
    <w:p>
      <w:pPr>
        <w:overflowPunct w:val="0"/>
        <w:topLinePunct/>
        <w:spacing w:line="560" w:lineRule="exact"/>
        <w:ind w:firstLine="640"/>
        <w:rPr>
          <w:rFonts w:hint="eastAsia" w:ascii="仿宋" w:hAnsi="仿宋" w:eastAsia="仿宋" w:cs="Times New Roman"/>
          <w:sz w:val="28"/>
          <w:szCs w:val="32"/>
        </w:rPr>
      </w:pPr>
      <w:r>
        <w:rPr>
          <w:rFonts w:hint="eastAsia" w:ascii="仿宋" w:hAnsi="仿宋" w:eastAsia="仿宋" w:cs="Times New Roman"/>
          <w:sz w:val="28"/>
          <w:szCs w:val="32"/>
        </w:rPr>
        <w:t>本标准自广西重点研发计划“广西糖料蔗碳汇气象评估关键技术与应用” (桂科AB22035069)立项后开始编制，以</w:t>
      </w:r>
      <w:bookmarkStart w:id="3" w:name="_Hlk217055315"/>
      <w:r>
        <w:rPr>
          <w:rFonts w:hint="eastAsia" w:ascii="仿宋" w:hAnsi="仿宋" w:eastAsia="仿宋" w:cs="Times New Roman"/>
          <w:sz w:val="28"/>
          <w:szCs w:val="32"/>
        </w:rPr>
        <w:t>草案</w:t>
      </w:r>
      <w:bookmarkEnd w:id="3"/>
      <w:r>
        <w:rPr>
          <w:rFonts w:hint="eastAsia" w:ascii="仿宋" w:hAnsi="仿宋" w:eastAsia="仿宋" w:cs="Times New Roman"/>
          <w:sz w:val="28"/>
          <w:szCs w:val="32"/>
        </w:rPr>
        <w:t>为基础，提炼核心技术细节，并征求广西糖业集团农业开发有限公司意见，广泛地针对不同区域开展技术对比和总结，标准编制工作组多次召开会议，对标准草案进行了反复修改和研究讨论。标准编制组进一步讨论完善标准草案，形成团体标准《甘蔗生物量观测指南》（征求意见稿）和（征求意见稿）编制说明。</w:t>
      </w:r>
    </w:p>
    <w:p>
      <w:pPr>
        <w:overflowPunct w:val="0"/>
        <w:topLinePunct/>
        <w:spacing w:line="560" w:lineRule="exact"/>
        <w:ind w:firstLine="640"/>
        <w:rPr>
          <w:rFonts w:hint="eastAsia" w:ascii="仿宋" w:hAnsi="仿宋" w:eastAsia="仿宋" w:cs="Times New Roman"/>
          <w:sz w:val="28"/>
          <w:szCs w:val="32"/>
        </w:rPr>
      </w:pPr>
      <w:r>
        <w:rPr>
          <w:rFonts w:hint="eastAsia" w:ascii="仿宋" w:hAnsi="仿宋" w:eastAsia="仿宋" w:cs="Times New Roman"/>
          <w:sz w:val="28"/>
          <w:szCs w:val="32"/>
        </w:rPr>
        <w:t>③标准编制主要参考依据</w:t>
      </w:r>
    </w:p>
    <w:p>
      <w:pPr>
        <w:overflowPunct w:val="0"/>
        <w:topLinePunct/>
        <w:spacing w:line="560" w:lineRule="exact"/>
        <w:ind w:firstLine="640"/>
        <w:rPr>
          <w:rFonts w:hint="eastAsia" w:ascii="Times New Roman" w:hAnsi="Times New Roman" w:eastAsia="仿宋_GB2312" w:cs="Times New Roman"/>
          <w:sz w:val="28"/>
          <w:szCs w:val="32"/>
          <w:highlight w:val="yellow"/>
        </w:rPr>
      </w:pPr>
      <w:r>
        <w:rPr>
          <w:rFonts w:hint="eastAsia" w:ascii="仿宋" w:hAnsi="仿宋" w:eastAsia="仿宋" w:cs="Times New Roman"/>
          <w:sz w:val="28"/>
          <w:szCs w:val="32"/>
        </w:rPr>
        <w:t>本标准编制过程中，主要一项目组成员承担国家、省级基金、省重点科研项目等研究为基础，结合多年从事糖料蔗气象研究与服务经验，与制糖企业一线生产情况，参阅国内外学术期刊发表的有关糖料蔗种植、蔗糖加工等相关研究成果，同时广泛地参考了国家相关规定、行业标准。</w:t>
      </w:r>
      <w:bookmarkStart w:id="4" w:name="_Hlk217055659"/>
      <w:r>
        <w:rPr>
          <w:rFonts w:hint="eastAsia" w:ascii="仿宋" w:hAnsi="仿宋" w:eastAsia="仿宋" w:cs="Times New Roman"/>
          <w:color w:val="000000"/>
          <w:sz w:val="28"/>
          <w:szCs w:val="32"/>
        </w:rPr>
        <w:t>标准主要参考了</w:t>
      </w:r>
      <w:bookmarkStart w:id="5" w:name="_Hlk216854283"/>
      <w:r>
        <w:rPr>
          <w:rFonts w:hint="eastAsia" w:ascii="仿宋" w:hAnsi="仿宋" w:eastAsia="仿宋" w:cs="Times New Roman"/>
          <w:color w:val="000000"/>
          <w:sz w:val="28"/>
          <w:szCs w:val="32"/>
        </w:rPr>
        <w:t>GB/T 1.1《标准化工作导则》、</w:t>
      </w:r>
      <w:r>
        <w:rPr>
          <w:rFonts w:hint="eastAsia" w:ascii="仿宋" w:hAnsi="仿宋" w:eastAsia="仿宋" w:cs="Times New Roman"/>
          <w:color w:val="000000"/>
          <w:sz w:val="28"/>
          <w:szCs w:val="32"/>
          <w:lang w:eastAsia="zh-CN"/>
        </w:rPr>
        <w:t>《DB45/T 2178—2020 甘蔗产量现场测定操作规程》、</w:t>
      </w:r>
      <w:r>
        <w:rPr>
          <w:rFonts w:hint="eastAsia" w:ascii="仿宋" w:hAnsi="仿宋" w:eastAsia="仿宋" w:cs="Times New Roman"/>
          <w:color w:val="000000"/>
          <w:sz w:val="28"/>
          <w:szCs w:val="32"/>
        </w:rPr>
        <w:t>《农业气象观测规范》（国家气象局，1993）、</w:t>
      </w:r>
      <w:r>
        <w:rPr>
          <w:rFonts w:hint="eastAsia" w:ascii="仿宋" w:hAnsi="仿宋" w:eastAsia="仿宋" w:cs="Times New Roman"/>
          <w:color w:val="000000"/>
          <w:sz w:val="28"/>
          <w:szCs w:val="32"/>
          <w:highlight w:val="none"/>
        </w:rPr>
        <w:t>《GB/T 33027—2016 森林生态系统长期定位观测方法</w:t>
      </w:r>
      <w:r>
        <w:rPr>
          <w:rFonts w:hint="eastAsia" w:ascii="仿宋" w:hAnsi="仿宋" w:eastAsia="仿宋" w:cs="Times New Roman"/>
          <w:color w:val="000000"/>
          <w:sz w:val="28"/>
          <w:szCs w:val="32"/>
        </w:rPr>
        <w:t>等权威技术文件。</w:t>
      </w:r>
      <w:bookmarkEnd w:id="4"/>
      <w:bookmarkEnd w:id="5"/>
    </w:p>
    <w:p>
      <w:pPr>
        <w:pStyle w:val="38"/>
        <w:numPr>
          <w:ilvl w:val="0"/>
          <w:numId w:val="3"/>
        </w:numPr>
        <w:spacing w:line="560" w:lineRule="exact"/>
        <w:ind w:firstLine="640"/>
        <w:outlineLvl w:val="1"/>
        <w:rPr>
          <w:rFonts w:hint="eastAsia" w:ascii="Times New Roman" w:hAnsi="Times New Roman" w:eastAsia="楷体_GB2312"/>
          <w:kern w:val="2"/>
          <w:sz w:val="32"/>
          <w:szCs w:val="32"/>
          <w:highlight w:val="none"/>
        </w:rPr>
      </w:pPr>
      <w:r>
        <w:rPr>
          <w:rFonts w:hint="eastAsia" w:ascii="Times New Roman" w:hAnsi="Times New Roman" w:eastAsia="楷体_GB2312"/>
          <w:kern w:val="2"/>
          <w:sz w:val="32"/>
          <w:szCs w:val="32"/>
          <w:highlight w:val="none"/>
        </w:rPr>
        <w:t>与现行法律、法规的关系，与有关国家标准、行业标准的协调情况</w:t>
      </w:r>
    </w:p>
    <w:p>
      <w:pPr>
        <w:overflowPunct w:val="0"/>
        <w:topLinePunct/>
        <w:spacing w:line="560" w:lineRule="exact"/>
        <w:ind w:firstLine="640"/>
        <w:rPr>
          <w:rFonts w:hint="eastAsia" w:ascii="仿宋" w:hAnsi="仿宋" w:eastAsia="仿宋" w:cs="Times New Roman"/>
          <w:color w:val="000000"/>
          <w:sz w:val="28"/>
          <w:szCs w:val="32"/>
        </w:rPr>
      </w:pPr>
      <w:r>
        <w:rPr>
          <w:rFonts w:hint="eastAsia" w:ascii="仿宋" w:hAnsi="仿宋" w:eastAsia="仿宋" w:cs="Times New Roman"/>
          <w:color w:val="000000"/>
          <w:sz w:val="28"/>
          <w:szCs w:val="32"/>
        </w:rPr>
        <w:t>本标准的内容符合《中华人民共和国标准化法》及相关法律法规的要求。经核查，本标准与现行有效的强制性国家标准、行业标准无冲突和矛盾之处。本标准作为推荐性团体标准，是对现有农业、气象领域标准体系的补充和完善，旨在为相关专业活动提供更具体、更专业的技术指导。</w:t>
      </w:r>
    </w:p>
    <w:p>
      <w:pPr>
        <w:overflowPunct w:val="0"/>
        <w:topLinePunct/>
        <w:spacing w:line="560" w:lineRule="exact"/>
        <w:ind w:firstLine="640"/>
        <w:rPr>
          <w:rFonts w:hint="eastAsia" w:ascii="仿宋" w:hAnsi="仿宋" w:eastAsia="仿宋" w:cs="Times New Roman"/>
          <w:color w:val="000000"/>
          <w:sz w:val="28"/>
          <w:szCs w:val="32"/>
        </w:rPr>
      </w:pPr>
      <w:r>
        <w:rPr>
          <w:rFonts w:hint="eastAsia" w:ascii="仿宋" w:hAnsi="仿宋" w:eastAsia="仿宋" w:cs="Times New Roman"/>
          <w:color w:val="000000"/>
          <w:sz w:val="28"/>
          <w:szCs w:val="32"/>
        </w:rPr>
        <w:t>目前，国际上尚无专门针对甘蔗生物量动态观测的国际标准或国外先进标准。本标准在观测方法论层面，遵循了IPCC国家温室气体清单指南等国际通用规范中关于生物量测定的基本原则；在农业气象观测层面，借鉴并细化了国内现有相关规范。本标准的制定填补了该领域团体标准的空白，其技术内容基于中国主蔗区的实践，具有鲜明的区域特色和实用性。</w:t>
      </w:r>
    </w:p>
    <w:p>
      <w:pPr>
        <w:numPr>
          <w:ilvl w:val="0"/>
          <w:numId w:val="4"/>
        </w:numPr>
        <w:overflowPunct w:val="0"/>
        <w:topLinePunct/>
        <w:spacing w:line="560" w:lineRule="exact"/>
        <w:ind w:firstLine="640" w:firstLineChars="200"/>
        <w:outlineLvl w:val="0"/>
        <w:rPr>
          <w:rFonts w:hint="eastAsia" w:ascii="Times New Roman" w:hAnsi="Times New Roman" w:eastAsia="黑体" w:cs="Times New Roman"/>
          <w:bCs/>
          <w:sz w:val="32"/>
          <w:szCs w:val="32"/>
          <w:highlight w:val="none"/>
        </w:rPr>
      </w:pPr>
      <w:r>
        <w:rPr>
          <w:rFonts w:hint="eastAsia" w:ascii="Times New Roman" w:hAnsi="Times New Roman" w:eastAsia="黑体" w:cs="Times New Roman"/>
          <w:bCs/>
          <w:sz w:val="32"/>
          <w:szCs w:val="32"/>
          <w:highlight w:val="none"/>
        </w:rPr>
        <w:t>主要条款的说明</w:t>
      </w:r>
    </w:p>
    <w:p>
      <w:pPr>
        <w:overflowPunct w:val="0"/>
        <w:topLinePunct/>
        <w:spacing w:line="560" w:lineRule="exact"/>
        <w:ind w:firstLine="640"/>
        <w:rPr>
          <w:rFonts w:hint="eastAsia" w:ascii="Times New Roman" w:hAnsi="Times New Roman" w:eastAsia="仿宋_GB2312" w:cs="Times New Roman"/>
          <w:sz w:val="28"/>
          <w:szCs w:val="32"/>
          <w:highlight w:val="none"/>
        </w:rPr>
      </w:pPr>
      <w:r>
        <w:rPr>
          <w:rFonts w:hint="eastAsia" w:ascii="Times New Roman" w:hAnsi="Times New Roman" w:eastAsia="仿宋_GB2312" w:cs="Times New Roman"/>
          <w:sz w:val="28"/>
          <w:szCs w:val="32"/>
          <w:highlight w:val="none"/>
          <w:lang w:val="en-US" w:eastAsia="zh-CN"/>
        </w:rPr>
        <w:t>5</w:t>
      </w:r>
      <w:r>
        <w:rPr>
          <w:rFonts w:hint="eastAsia" w:ascii="Times New Roman" w:hAnsi="Times New Roman" w:eastAsia="仿宋_GB2312" w:cs="Times New Roman"/>
          <w:sz w:val="28"/>
          <w:szCs w:val="32"/>
          <w:highlight w:val="none"/>
        </w:rPr>
        <w:t>.1范围：明确本标准适用于甘蔗生物量地面观测、固碳量估算、产量评估及遥感真实性检验等科研与应用活动，可供科研机构、制糖企业及遥感技术单位使用。</w:t>
      </w:r>
    </w:p>
    <w:p>
      <w:pPr>
        <w:overflowPunct w:val="0"/>
        <w:topLinePunct/>
        <w:spacing w:line="560" w:lineRule="exact"/>
        <w:ind w:firstLine="640"/>
        <w:rPr>
          <w:rFonts w:hint="eastAsia" w:ascii="Times New Roman" w:hAnsi="Times New Roman" w:eastAsia="仿宋_GB2312" w:cs="Times New Roman"/>
          <w:sz w:val="28"/>
          <w:szCs w:val="32"/>
          <w:highlight w:val="none"/>
        </w:rPr>
      </w:pPr>
      <w:r>
        <w:rPr>
          <w:rFonts w:hint="eastAsia" w:ascii="Times New Roman" w:hAnsi="Times New Roman" w:eastAsia="仿宋_GB2312" w:cs="Times New Roman"/>
          <w:sz w:val="28"/>
          <w:szCs w:val="32"/>
          <w:highlight w:val="none"/>
          <w:lang w:val="en-US" w:eastAsia="zh-CN"/>
        </w:rPr>
        <w:t>5</w:t>
      </w:r>
      <w:r>
        <w:rPr>
          <w:rFonts w:hint="eastAsia" w:ascii="Times New Roman" w:hAnsi="Times New Roman" w:eastAsia="仿宋_GB2312" w:cs="Times New Roman"/>
          <w:sz w:val="28"/>
          <w:szCs w:val="32"/>
          <w:highlight w:val="none"/>
        </w:rPr>
        <w:t>.2规范性引用文件：列出了标准制定过程中所依据的关键技术文件。</w:t>
      </w:r>
    </w:p>
    <w:p>
      <w:pPr>
        <w:overflowPunct w:val="0"/>
        <w:topLinePunct/>
        <w:spacing w:line="560" w:lineRule="exact"/>
        <w:ind w:firstLine="640"/>
        <w:rPr>
          <w:rFonts w:hint="eastAsia" w:ascii="Times New Roman" w:hAnsi="Times New Roman" w:eastAsia="仿宋_GB2312" w:cs="Times New Roman"/>
          <w:sz w:val="28"/>
          <w:szCs w:val="32"/>
          <w:highlight w:val="none"/>
        </w:rPr>
      </w:pPr>
      <w:r>
        <w:rPr>
          <w:rFonts w:hint="eastAsia" w:ascii="Times New Roman" w:hAnsi="Times New Roman" w:eastAsia="仿宋_GB2312" w:cs="Times New Roman"/>
          <w:sz w:val="28"/>
          <w:szCs w:val="32"/>
          <w:highlight w:val="none"/>
          <w:lang w:val="en-US" w:eastAsia="zh-CN"/>
        </w:rPr>
        <w:t>5</w:t>
      </w:r>
      <w:r>
        <w:rPr>
          <w:rFonts w:hint="eastAsia" w:ascii="Times New Roman" w:hAnsi="Times New Roman" w:eastAsia="仿宋_GB2312" w:cs="Times New Roman"/>
          <w:sz w:val="28"/>
          <w:szCs w:val="32"/>
          <w:highlight w:val="none"/>
        </w:rPr>
        <w:t>.3术语和定义：定义了甘蔗生物量观测、地上/地下部分生物量、凋落物等1</w:t>
      </w:r>
      <w:r>
        <w:rPr>
          <w:rFonts w:hint="eastAsia" w:ascii="Times New Roman" w:hAnsi="Times New Roman" w:eastAsia="仿宋_GB2312" w:cs="Times New Roman"/>
          <w:sz w:val="28"/>
          <w:szCs w:val="32"/>
          <w:highlight w:val="none"/>
          <w:lang w:val="en-US" w:eastAsia="zh-CN"/>
        </w:rPr>
        <w:t>1</w:t>
      </w:r>
      <w:r>
        <w:rPr>
          <w:rFonts w:hint="eastAsia" w:ascii="Times New Roman" w:hAnsi="Times New Roman" w:eastAsia="仿宋_GB2312" w:cs="Times New Roman"/>
          <w:sz w:val="28"/>
          <w:szCs w:val="32"/>
          <w:highlight w:val="none"/>
        </w:rPr>
        <w:t>个核心概念。</w:t>
      </w:r>
    </w:p>
    <w:p>
      <w:pPr>
        <w:overflowPunct w:val="0"/>
        <w:topLinePunct/>
        <w:spacing w:line="560" w:lineRule="exact"/>
        <w:ind w:firstLine="640"/>
        <w:rPr>
          <w:rFonts w:hint="eastAsia" w:ascii="Times New Roman" w:hAnsi="Times New Roman" w:eastAsia="仿宋_GB2312" w:cs="Times New Roman"/>
          <w:sz w:val="28"/>
          <w:szCs w:val="32"/>
          <w:highlight w:val="none"/>
        </w:rPr>
      </w:pPr>
      <w:r>
        <w:rPr>
          <w:rFonts w:hint="eastAsia" w:ascii="Times New Roman" w:hAnsi="Times New Roman" w:eastAsia="仿宋_GB2312" w:cs="Times New Roman"/>
          <w:sz w:val="28"/>
          <w:szCs w:val="32"/>
          <w:highlight w:val="none"/>
          <w:lang w:val="en-US" w:eastAsia="zh-CN"/>
        </w:rPr>
        <w:t>5</w:t>
      </w:r>
      <w:r>
        <w:rPr>
          <w:rFonts w:hint="eastAsia" w:ascii="Times New Roman" w:hAnsi="Times New Roman" w:eastAsia="仿宋_GB2312" w:cs="Times New Roman"/>
          <w:sz w:val="28"/>
          <w:szCs w:val="32"/>
          <w:highlight w:val="none"/>
        </w:rPr>
        <w:t>.4观测要求：根据观测目的（遥感检验、科研、常规业务）的不同，规定了观测地段的选择原则、面积要求、观测区与</w:t>
      </w:r>
      <w:r>
        <w:rPr>
          <w:rFonts w:hint="eastAsia" w:ascii="Times New Roman" w:hAnsi="Times New Roman" w:eastAsia="仿宋_GB2312" w:cs="Times New Roman"/>
          <w:sz w:val="28"/>
          <w:szCs w:val="32"/>
          <w:highlight w:val="none"/>
          <w:lang w:val="en-US" w:eastAsia="zh-CN"/>
        </w:rPr>
        <w:t>取样区</w:t>
      </w:r>
      <w:r>
        <w:rPr>
          <w:rFonts w:hint="eastAsia" w:ascii="Times New Roman" w:hAnsi="Times New Roman" w:eastAsia="仿宋_GB2312" w:cs="Times New Roman"/>
          <w:sz w:val="28"/>
          <w:szCs w:val="32"/>
          <w:highlight w:val="none"/>
        </w:rPr>
        <w:t>设置方法。这些规定基于多年试验中为满足不同尺度数据验证和应用需求而积累的经验。</w:t>
      </w:r>
    </w:p>
    <w:p>
      <w:pPr>
        <w:overflowPunct w:val="0"/>
        <w:topLinePunct/>
        <w:spacing w:line="560" w:lineRule="exact"/>
        <w:ind w:firstLine="640"/>
        <w:rPr>
          <w:rFonts w:hint="eastAsia" w:ascii="Times New Roman" w:hAnsi="Times New Roman" w:eastAsia="仿宋_GB2312" w:cs="Times New Roman"/>
          <w:sz w:val="28"/>
          <w:szCs w:val="32"/>
          <w:highlight w:val="none"/>
        </w:rPr>
      </w:pPr>
      <w:r>
        <w:rPr>
          <w:rFonts w:hint="eastAsia" w:ascii="Times New Roman" w:hAnsi="Times New Roman" w:eastAsia="仿宋_GB2312" w:cs="Times New Roman"/>
          <w:sz w:val="28"/>
          <w:szCs w:val="32"/>
          <w:highlight w:val="none"/>
          <w:lang w:val="en-US" w:eastAsia="zh-CN"/>
        </w:rPr>
        <w:t>5</w:t>
      </w:r>
      <w:r>
        <w:rPr>
          <w:rFonts w:hint="eastAsia" w:ascii="Times New Roman" w:hAnsi="Times New Roman" w:eastAsia="仿宋_GB2312" w:cs="Times New Roman"/>
          <w:sz w:val="28"/>
          <w:szCs w:val="32"/>
          <w:highlight w:val="none"/>
        </w:rPr>
        <w:t>.5观测时期与项目：明确在分蘖期、茎伸长期、工艺成熟期等关键生育期进行观测，并规定了各时期的观测项目。此规定基于对甘蔗生长发育规律的认识，这些时期是生物量积累和变化的关键节点。观测项目不仅包括传统的株高、茎径，还系统纳入了根、茎、叶的鲜重与干重、凋落物重量，以全面评估甘蔗生长期生物量。</w:t>
      </w:r>
    </w:p>
    <w:p>
      <w:pPr>
        <w:overflowPunct w:val="0"/>
        <w:topLinePunct/>
        <w:spacing w:line="560" w:lineRule="exact"/>
        <w:ind w:firstLine="640"/>
        <w:rPr>
          <w:rFonts w:hint="eastAsia" w:ascii="Times New Roman" w:hAnsi="Times New Roman" w:eastAsia="仿宋_GB2312" w:cs="Times New Roman"/>
          <w:sz w:val="28"/>
          <w:szCs w:val="32"/>
          <w:highlight w:val="none"/>
        </w:rPr>
      </w:pPr>
      <w:r>
        <w:rPr>
          <w:rFonts w:hint="eastAsia" w:ascii="Times New Roman" w:hAnsi="Times New Roman" w:eastAsia="仿宋_GB2312" w:cs="Times New Roman"/>
          <w:sz w:val="28"/>
          <w:szCs w:val="32"/>
          <w:highlight w:val="none"/>
          <w:lang w:val="en-US" w:eastAsia="zh-CN"/>
        </w:rPr>
        <w:t>5</w:t>
      </w:r>
      <w:r>
        <w:rPr>
          <w:rFonts w:hint="eastAsia" w:ascii="Times New Roman" w:hAnsi="Times New Roman" w:eastAsia="仿宋_GB2312" w:cs="Times New Roman"/>
          <w:sz w:val="28"/>
          <w:szCs w:val="32"/>
          <w:highlight w:val="none"/>
        </w:rPr>
        <w:t>.6甘蔗生物量观测方法：</w:t>
      </w:r>
    </w:p>
    <w:p>
      <w:pPr>
        <w:overflowPunct w:val="0"/>
        <w:topLinePunct/>
        <w:spacing w:line="560" w:lineRule="exact"/>
        <w:ind w:firstLine="640"/>
        <w:rPr>
          <w:rFonts w:hint="eastAsia" w:ascii="Times New Roman" w:hAnsi="Times New Roman" w:eastAsia="仿宋_GB2312" w:cs="Times New Roman"/>
          <w:sz w:val="28"/>
          <w:szCs w:val="32"/>
          <w:highlight w:val="none"/>
        </w:rPr>
      </w:pPr>
      <w:r>
        <w:rPr>
          <w:rFonts w:hint="eastAsia" w:ascii="Times New Roman" w:hAnsi="Times New Roman" w:eastAsia="仿宋_GB2312" w:cs="Times New Roman"/>
          <w:sz w:val="28"/>
          <w:szCs w:val="32"/>
          <w:highlight w:val="none"/>
        </w:rPr>
        <w:t>（1）株高、茎径、茎（株）数观测：方法借鉴《农业气象观测规范》，并结合甘蔗观测实践进行了细化。例如，株高测量明确了从“根颈部（或培土后土面中点）”至“顶部生长点”的定义。茎（株）数观测明确以“所有存活茎（株）”为计数对象，与以经济产量为目的的有效茎概念区分，更符合生物量观测的生态学含义。该方法来源于长期田间观测实践，有效解决了早期生长阶段生物量相关形态参数难以量化的问题，确保了观测贯穿全生育期并保持数据连贯可比。</w:t>
      </w:r>
    </w:p>
    <w:p>
      <w:pPr>
        <w:overflowPunct w:val="0"/>
        <w:topLinePunct/>
        <w:spacing w:line="560" w:lineRule="exact"/>
        <w:ind w:firstLine="640"/>
        <w:rPr>
          <w:rFonts w:hint="eastAsia" w:ascii="Times New Roman" w:hAnsi="Times New Roman" w:eastAsia="仿宋_GB2312" w:cs="Times New Roman"/>
          <w:sz w:val="28"/>
          <w:szCs w:val="32"/>
          <w:highlight w:val="none"/>
        </w:rPr>
      </w:pPr>
      <w:r>
        <w:rPr>
          <w:rFonts w:hint="eastAsia" w:ascii="Times New Roman" w:hAnsi="Times New Roman" w:eastAsia="仿宋_GB2312" w:cs="Times New Roman"/>
          <w:sz w:val="28"/>
          <w:szCs w:val="32"/>
          <w:highlight w:val="none"/>
        </w:rPr>
        <w:t>（2）鲜重与干重观测：这是本标准的特色和核心。方法基于大量破坏性取样试验总结而成。规定了选取与平均株高、茎径一致的代表性植株进行全株挖取、分离、称鲜重、烘干至恒重后称干重的完整流程。试验数据表明，此方法能在保证数据代表性的前提下，平衡操作可行性与成本。</w:t>
      </w:r>
    </w:p>
    <w:p>
      <w:pPr>
        <w:overflowPunct w:val="0"/>
        <w:topLinePunct/>
        <w:spacing w:line="560" w:lineRule="exact"/>
        <w:ind w:firstLine="640"/>
        <w:rPr>
          <w:rFonts w:hint="default" w:ascii="Times New Roman" w:hAnsi="Times New Roman" w:eastAsia="仿宋_GB2312" w:cs="Times New Roman"/>
          <w:sz w:val="28"/>
          <w:szCs w:val="32"/>
          <w:highlight w:val="none"/>
          <w:lang w:val="en-US" w:eastAsia="zh-CN"/>
        </w:rPr>
      </w:pPr>
      <w:r>
        <w:rPr>
          <w:rFonts w:hint="eastAsia" w:ascii="Times New Roman" w:hAnsi="Times New Roman" w:eastAsia="仿宋_GB2312" w:cs="Times New Roman"/>
          <w:sz w:val="28"/>
          <w:szCs w:val="32"/>
          <w:highlight w:val="none"/>
        </w:rPr>
        <w:t>（3）</w:t>
      </w:r>
      <w:r>
        <w:rPr>
          <w:rFonts w:hint="eastAsia" w:ascii="Times New Roman" w:hAnsi="Times New Roman" w:eastAsia="仿宋_GB2312" w:cs="Times New Roman"/>
          <w:sz w:val="28"/>
          <w:szCs w:val="32"/>
          <w:highlight w:val="none"/>
          <w:lang w:val="en-US" w:eastAsia="zh-CN"/>
        </w:rPr>
        <w:t>甘蔗生物量计算</w:t>
      </w:r>
      <w:r>
        <w:rPr>
          <w:rFonts w:hint="eastAsia" w:ascii="Times New Roman" w:hAnsi="Times New Roman" w:eastAsia="仿宋_GB2312" w:cs="Times New Roman"/>
          <w:sz w:val="28"/>
          <w:szCs w:val="32"/>
          <w:highlight w:val="none"/>
        </w:rPr>
        <w:t>（5.</w:t>
      </w:r>
      <w:r>
        <w:rPr>
          <w:rFonts w:hint="eastAsia" w:ascii="Times New Roman" w:hAnsi="Times New Roman" w:eastAsia="仿宋_GB2312" w:cs="Times New Roman"/>
          <w:sz w:val="28"/>
          <w:szCs w:val="32"/>
          <w:highlight w:val="none"/>
          <w:lang w:val="en-US" w:eastAsia="zh-CN"/>
        </w:rPr>
        <w:t>4</w:t>
      </w:r>
      <w:r>
        <w:rPr>
          <w:rFonts w:hint="eastAsia" w:ascii="Times New Roman" w:hAnsi="Times New Roman" w:eastAsia="仿宋_GB2312" w:cs="Times New Roman"/>
          <w:sz w:val="28"/>
          <w:szCs w:val="32"/>
          <w:highlight w:val="none"/>
        </w:rPr>
        <w:t>条）：给出了基于</w:t>
      </w:r>
      <w:r>
        <w:rPr>
          <w:rFonts w:hint="eastAsia" w:ascii="Times New Roman" w:hAnsi="Times New Roman" w:eastAsia="仿宋_GB2312" w:cs="Times New Roman"/>
          <w:sz w:val="28"/>
          <w:szCs w:val="32"/>
          <w:highlight w:val="none"/>
          <w:lang w:val="en-US" w:eastAsia="zh-CN"/>
        </w:rPr>
        <w:t>称重法计算甘蔗生物量的计算过程，可针对不同生育期和测算目的灵活选择适配的计算方案，为甘蔗生长动态监测、产量形成规律研究及田间精准管理提供科学的数据支撑。</w:t>
      </w:r>
    </w:p>
    <w:p>
      <w:pPr>
        <w:overflowPunct w:val="0"/>
        <w:topLinePunct/>
        <w:spacing w:line="560" w:lineRule="exact"/>
        <w:ind w:firstLine="640"/>
        <w:rPr>
          <w:rFonts w:hint="eastAsia" w:ascii="Times New Roman" w:hAnsi="Times New Roman" w:eastAsia="仿宋_GB2312" w:cs="Times New Roman"/>
          <w:sz w:val="28"/>
          <w:szCs w:val="32"/>
          <w:highlight w:val="none"/>
        </w:rPr>
      </w:pPr>
      <w:r>
        <w:rPr>
          <w:rFonts w:hint="eastAsia" w:ascii="Times New Roman" w:hAnsi="Times New Roman" w:eastAsia="仿宋_GB2312" w:cs="Times New Roman"/>
          <w:sz w:val="28"/>
          <w:szCs w:val="32"/>
          <w:highlight w:val="none"/>
        </w:rPr>
        <w:t>（4）甘蔗凋落物观测方法及生物量修正（第6章）：增设凋落物观测是本标准对传统农气观测的重要补充，并参考林业凋落物测定的方法（《森林生态系统长期定位观测方法》（GB/T 33027-2016））。通过设置1m×1m样方收集凋落物并烘干称重，可对因叶片掉落而低估的地上生物量进行修正。实际农田观测发现，在甘蔗生长中后期凋落物干重占有一定比重，</w:t>
      </w:r>
      <w:r>
        <w:rPr>
          <w:rFonts w:hint="eastAsia" w:ascii="Times New Roman" w:hAnsi="Times New Roman" w:eastAsia="仿宋_GB2312" w:cs="Times New Roman"/>
          <w:sz w:val="28"/>
          <w:szCs w:val="32"/>
          <w:highlight w:val="none"/>
          <w:lang w:val="en-US" w:eastAsia="zh-CN"/>
        </w:rPr>
        <w:t>对于</w:t>
      </w:r>
      <w:r>
        <w:rPr>
          <w:rFonts w:hint="eastAsia" w:ascii="Times New Roman" w:hAnsi="Times New Roman" w:eastAsia="仿宋_GB2312" w:cs="Times New Roman"/>
          <w:sz w:val="28"/>
          <w:szCs w:val="32"/>
          <w:highlight w:val="none"/>
        </w:rPr>
        <w:t>生物量估算精度</w:t>
      </w:r>
      <w:r>
        <w:rPr>
          <w:rFonts w:hint="eastAsia" w:ascii="Times New Roman" w:hAnsi="Times New Roman" w:eastAsia="仿宋_GB2312" w:cs="Times New Roman"/>
          <w:sz w:val="28"/>
          <w:szCs w:val="32"/>
          <w:highlight w:val="none"/>
          <w:lang w:val="en-US" w:eastAsia="zh-CN"/>
        </w:rPr>
        <w:t>有一定影响</w:t>
      </w:r>
      <w:r>
        <w:rPr>
          <w:rFonts w:hint="eastAsia" w:ascii="Times New Roman" w:hAnsi="Times New Roman" w:eastAsia="仿宋_GB2312" w:cs="Times New Roman"/>
          <w:sz w:val="28"/>
          <w:szCs w:val="32"/>
          <w:highlight w:val="none"/>
        </w:rPr>
        <w:t>。</w:t>
      </w:r>
    </w:p>
    <w:p>
      <w:pPr>
        <w:overflowPunct w:val="0"/>
        <w:topLinePunct/>
        <w:spacing w:line="560" w:lineRule="exact"/>
        <w:ind w:firstLine="640"/>
        <w:rPr>
          <w:rFonts w:hint="default" w:ascii="Times New Roman" w:hAnsi="Times New Roman" w:eastAsia="仿宋_GB2312" w:cs="Times New Roman"/>
          <w:sz w:val="28"/>
          <w:szCs w:val="32"/>
          <w:highlight w:val="none"/>
          <w:lang w:val="en-US" w:eastAsia="zh-CN"/>
        </w:rPr>
      </w:pPr>
      <w:r>
        <w:rPr>
          <w:rFonts w:hint="eastAsia" w:ascii="Times New Roman" w:hAnsi="Times New Roman" w:eastAsia="仿宋_GB2312" w:cs="Times New Roman"/>
          <w:sz w:val="28"/>
          <w:szCs w:val="32"/>
          <w:highlight w:val="none"/>
          <w:lang w:val="en-US" w:eastAsia="zh-CN"/>
        </w:rPr>
        <w:t>5.7验证分析：</w:t>
      </w:r>
    </w:p>
    <w:p>
      <w:pPr>
        <w:overflowPunct w:val="0"/>
        <w:topLinePunct/>
        <w:spacing w:line="560" w:lineRule="exact"/>
        <w:ind w:firstLine="640"/>
        <w:rPr>
          <w:rFonts w:hint="eastAsia" w:ascii="Times New Roman" w:hAnsi="Times New Roman" w:eastAsia="仿宋_GB2312" w:cs="Times New Roman"/>
          <w:sz w:val="28"/>
          <w:szCs w:val="32"/>
          <w:highlight w:val="none"/>
          <w:lang w:val="en-US" w:eastAsia="zh-CN"/>
        </w:rPr>
      </w:pPr>
      <w:r>
        <w:rPr>
          <w:rFonts w:hint="eastAsia" w:ascii="Times New Roman" w:hAnsi="Times New Roman" w:eastAsia="仿宋_GB2312" w:cs="Times New Roman"/>
          <w:sz w:val="28"/>
          <w:szCs w:val="32"/>
          <w:highlight w:val="none"/>
          <w:lang w:val="en-US" w:eastAsia="zh-CN"/>
        </w:rPr>
        <w:t>为确保本标准的科学性、适用性与可靠性，起草小组开展了为期多年的系统田间试验验证（主要集中在2022-2024年），主要分析结论如下：</w:t>
      </w:r>
    </w:p>
    <w:p>
      <w:pPr>
        <w:overflowPunct w:val="0"/>
        <w:topLinePunct/>
        <w:spacing w:line="560" w:lineRule="exact"/>
        <w:ind w:firstLine="640"/>
        <w:rPr>
          <w:rFonts w:hint="default" w:ascii="Times New Roman" w:hAnsi="Times New Roman" w:eastAsia="仿宋_GB2312" w:cs="Times New Roman"/>
          <w:sz w:val="28"/>
          <w:szCs w:val="32"/>
          <w:highlight w:val="none"/>
          <w:lang w:val="en-US" w:eastAsia="zh-CN"/>
        </w:rPr>
      </w:pPr>
      <w:r>
        <w:rPr>
          <w:rFonts w:hint="eastAsia" w:ascii="Times New Roman" w:hAnsi="Times New Roman" w:eastAsia="仿宋_GB2312" w:cs="Times New Roman"/>
          <w:sz w:val="28"/>
          <w:szCs w:val="32"/>
          <w:highlight w:val="none"/>
          <w:lang w:val="en-US" w:eastAsia="zh-CN"/>
        </w:rPr>
        <w:t>5.7.</w:t>
      </w:r>
      <w:r>
        <w:rPr>
          <w:rFonts w:hint="default" w:ascii="Times New Roman" w:hAnsi="Times New Roman" w:eastAsia="仿宋_GB2312" w:cs="Times New Roman"/>
          <w:sz w:val="28"/>
          <w:szCs w:val="32"/>
          <w:highlight w:val="none"/>
          <w:lang w:val="en-US" w:eastAsia="zh-CN"/>
        </w:rPr>
        <w:t>1试验设计与数据支撑：在广西甘蔗主产区设立9个野外大田观测点和2个小区试验场（横州良圻糖厂、来宾良繁基地）。观测点覆盖桂南、桂中、桂北等不同气候区域，涵盖新植蔗和宿根蔗，涉及桂柳05136、桂柳07150、桂糖42号、桂糖44号等主栽品种。小区试验设置了水肥控制对比（如灌溉/雨养×施肥/不施肥），共24个小区，用于分析管理措施对生物量的影响。</w:t>
      </w:r>
    </w:p>
    <w:p>
      <w:pPr>
        <w:overflowPunct w:val="0"/>
        <w:topLinePunct/>
        <w:spacing w:line="560" w:lineRule="exact"/>
        <w:ind w:firstLine="640"/>
        <w:rPr>
          <w:rFonts w:hint="eastAsia" w:ascii="Times New Roman" w:hAnsi="Times New Roman" w:eastAsia="仿宋_GB2312" w:cs="Times New Roman"/>
          <w:sz w:val="28"/>
          <w:szCs w:val="32"/>
          <w:highlight w:val="none"/>
          <w:lang w:val="en-US" w:eastAsia="zh-CN"/>
        </w:rPr>
      </w:pPr>
      <w:r>
        <w:rPr>
          <w:rFonts w:hint="eastAsia" w:ascii="Times New Roman" w:hAnsi="Times New Roman" w:eastAsia="仿宋_GB2312" w:cs="Times New Roman"/>
          <w:sz w:val="28"/>
          <w:szCs w:val="32"/>
          <w:highlight w:val="none"/>
          <w:lang w:val="en-US" w:eastAsia="zh-CN"/>
        </w:rPr>
        <w:t>5.7.2</w:t>
      </w:r>
      <w:r>
        <w:rPr>
          <w:rFonts w:hint="default" w:ascii="Times New Roman" w:hAnsi="Times New Roman" w:eastAsia="仿宋_GB2312" w:cs="Times New Roman"/>
          <w:sz w:val="28"/>
          <w:szCs w:val="32"/>
          <w:highlight w:val="none"/>
          <w:lang w:val="en-US" w:eastAsia="zh-CN"/>
        </w:rPr>
        <w:t>关键方法验证与发现：</w:t>
      </w:r>
    </w:p>
    <w:p>
      <w:pPr>
        <w:overflowPunct w:val="0"/>
        <w:topLinePunct/>
        <w:spacing w:line="560" w:lineRule="exact"/>
        <w:ind w:firstLine="640"/>
        <w:rPr>
          <w:rFonts w:hint="default" w:ascii="Times New Roman" w:hAnsi="Times New Roman" w:eastAsia="仿宋_GB2312" w:cs="Times New Roman"/>
          <w:sz w:val="28"/>
          <w:szCs w:val="32"/>
          <w:highlight w:val="none"/>
          <w:lang w:val="en-US" w:eastAsia="zh-CN"/>
        </w:rPr>
      </w:pPr>
      <w:r>
        <w:rPr>
          <w:rFonts w:hint="eastAsia" w:ascii="Times New Roman" w:hAnsi="Times New Roman" w:eastAsia="仿宋_GB2312" w:cs="Times New Roman"/>
          <w:sz w:val="28"/>
          <w:szCs w:val="32"/>
          <w:highlight w:val="none"/>
          <w:lang w:val="en-US" w:eastAsia="zh-CN"/>
        </w:rPr>
        <w:t>5.7.2.1</w:t>
      </w:r>
      <w:r>
        <w:rPr>
          <w:rFonts w:hint="default" w:ascii="Times New Roman" w:hAnsi="Times New Roman" w:eastAsia="仿宋_GB2312" w:cs="Times New Roman"/>
          <w:sz w:val="28"/>
          <w:szCs w:val="32"/>
          <w:highlight w:val="none"/>
          <w:lang w:val="en-US" w:eastAsia="zh-CN"/>
        </w:rPr>
        <w:t>观测方法的可行性与精度：</w:t>
      </w:r>
      <w:r>
        <w:rPr>
          <w:rFonts w:hint="eastAsia" w:ascii="Times New Roman" w:hAnsi="Times New Roman" w:eastAsia="仿宋_GB2312" w:cs="Times New Roman"/>
          <w:sz w:val="28"/>
          <w:szCs w:val="32"/>
          <w:highlight w:val="none"/>
          <w:lang w:val="en-US" w:eastAsia="zh-CN"/>
        </w:rPr>
        <w:t>通过连续三年的每月观测，验证了标准草案中规定的各项田间测量方法（如固定行观测、代表性植株选取、器官分离、烘干程序等）的可行性和稳定性。实践表明，该方法体系清晰，基层技术人员经培训后可熟练掌握。同时</w:t>
      </w:r>
      <w:r>
        <w:rPr>
          <w:rFonts w:hint="default" w:ascii="Times New Roman" w:hAnsi="Times New Roman" w:eastAsia="仿宋_GB2312" w:cs="Times New Roman"/>
          <w:sz w:val="28"/>
          <w:szCs w:val="32"/>
          <w:highlight w:val="none"/>
          <w:lang w:val="en-US" w:eastAsia="zh-CN"/>
        </w:rPr>
        <w:t>验证了“选取代表性植株</w:t>
      </w:r>
      <w:r>
        <w:rPr>
          <w:rFonts w:hint="eastAsia" w:ascii="Times New Roman" w:hAnsi="Times New Roman" w:eastAsia="仿宋_GB2312" w:cs="Times New Roman"/>
          <w:sz w:val="28"/>
          <w:szCs w:val="32"/>
          <w:highlight w:val="none"/>
          <w:lang w:val="en-US" w:eastAsia="zh-CN"/>
        </w:rPr>
        <w:t>3</w:t>
      </w:r>
      <w:r>
        <w:rPr>
          <w:rFonts w:hint="default" w:ascii="Times New Roman" w:hAnsi="Times New Roman" w:eastAsia="仿宋_GB2312" w:cs="Times New Roman"/>
          <w:sz w:val="28"/>
          <w:szCs w:val="32"/>
          <w:highlight w:val="none"/>
          <w:lang w:val="en-US" w:eastAsia="zh-CN"/>
        </w:rPr>
        <w:t>株”进行破坏性取样的方法，能够在满足统计学要求的前提下高效完成生物量测定，平衡了精度与实操性。</w:t>
      </w:r>
    </w:p>
    <w:p>
      <w:pPr>
        <w:overflowPunct w:val="0"/>
        <w:topLinePunct/>
        <w:spacing w:line="560" w:lineRule="exact"/>
        <w:ind w:firstLine="640"/>
        <w:rPr>
          <w:rFonts w:hint="default" w:ascii="Times New Roman" w:hAnsi="Times New Roman" w:eastAsia="仿宋_GB2312" w:cs="Times New Roman"/>
          <w:sz w:val="28"/>
          <w:szCs w:val="32"/>
          <w:highlight w:val="none"/>
          <w:lang w:val="en-US" w:eastAsia="zh-CN"/>
        </w:rPr>
      </w:pPr>
      <w:r>
        <w:rPr>
          <w:rFonts w:hint="eastAsia" w:ascii="Times New Roman" w:hAnsi="Times New Roman" w:eastAsia="仿宋_GB2312" w:cs="Times New Roman"/>
          <w:sz w:val="28"/>
          <w:szCs w:val="32"/>
          <w:highlight w:val="none"/>
          <w:lang w:val="en-US" w:eastAsia="zh-CN"/>
        </w:rPr>
        <w:t>5.7.2.2关键参数观测必要性验证</w:t>
      </w:r>
      <w:r>
        <w:rPr>
          <w:rFonts w:hint="default" w:ascii="Times New Roman" w:hAnsi="Times New Roman" w:eastAsia="仿宋_GB2312" w:cs="Times New Roman"/>
          <w:sz w:val="28"/>
          <w:szCs w:val="32"/>
          <w:highlight w:val="none"/>
          <w:lang w:val="en-US" w:eastAsia="zh-CN"/>
        </w:rPr>
        <w:t>：</w:t>
      </w:r>
    </w:p>
    <w:p>
      <w:pPr>
        <w:overflowPunct w:val="0"/>
        <w:topLinePunct/>
        <w:spacing w:line="560" w:lineRule="exact"/>
        <w:ind w:firstLine="640"/>
        <w:rPr>
          <w:rFonts w:hint="eastAsia" w:ascii="Times New Roman" w:hAnsi="Times New Roman" w:eastAsia="仿宋_GB2312" w:cs="Times New Roman"/>
          <w:sz w:val="28"/>
          <w:szCs w:val="32"/>
          <w:highlight w:val="none"/>
          <w:lang w:val="en-US" w:eastAsia="zh-CN"/>
        </w:rPr>
      </w:pPr>
      <w:r>
        <w:rPr>
          <w:rFonts w:hint="eastAsia" w:ascii="Times New Roman" w:hAnsi="Times New Roman" w:eastAsia="仿宋_GB2312" w:cs="Times New Roman"/>
          <w:sz w:val="28"/>
          <w:szCs w:val="32"/>
          <w:highlight w:val="none"/>
          <w:lang w:val="en-US" w:eastAsia="zh-CN"/>
        </w:rPr>
        <w:t>（1）鲜重与干重同步观测：每月测定茎、叶、根鲜重后，烘干至恒重获得干重，并计算各部位含水率（公式：含水率(%) = (鲜重-干重)/鲜重 × 100%）。绘制了关键生育期甘蔗茎、叶、根含水率变化图1.数据结果显示：蔗叶含水率从5月的77% 波动下降至11月的55%，降幅显著。蔗茎含水率从5月的88% 平缓降至11月的72%。蔗根含水率在5-10月间从72% 波动下降，8月最低至56%。据清晰表明，甘蔗不同器官的含水率不仅在数值上差异大，且随时间变化的模式和幅度迥异。</w:t>
      </w:r>
      <w:r>
        <w:rPr>
          <w:rFonts w:hint="default" w:ascii="Times New Roman" w:hAnsi="Times New Roman" w:eastAsia="仿宋_GB2312" w:cs="Times New Roman"/>
          <w:sz w:val="28"/>
          <w:szCs w:val="32"/>
          <w:highlight w:val="none"/>
          <w:lang w:val="en-US" w:eastAsia="zh-CN"/>
        </w:rPr>
        <w:t>这直接证明，仅凭鲜重无法稳定表征有机物质的真实积累量，必须同步测定干重才能进行准确的生物量比较和碳汇核算。该分析结论直接支撑了标准中关于同步测定鲜重与干重的强制性要求。</w:t>
      </w:r>
    </w:p>
    <w:p>
      <w:pPr>
        <w:spacing w:line="360" w:lineRule="auto"/>
        <w:ind w:firstLine="420" w:firstLineChars="200"/>
        <w:jc w:val="center"/>
        <w:rPr>
          <w:rFonts w:ascii="Times New Roman" w:hAnsi="Times New Roman" w:eastAsia="宋体" w:cs="Times New Roman"/>
          <w:color w:val="000000"/>
          <w:szCs w:val="24"/>
        </w:rPr>
      </w:pPr>
      <w:r>
        <w:rPr>
          <w:rFonts w:ascii="Calibri" w:hAnsi="Calibri" w:eastAsia="宋体" w:cs="Times New Roman"/>
        </w:rPr>
        <w:drawing>
          <wp:inline distT="0" distB="0" distL="114300" distR="114300">
            <wp:extent cx="5273675" cy="2494280"/>
            <wp:effectExtent l="0" t="0" r="3175" b="127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5273675" cy="2494280"/>
                    </a:xfrm>
                    <a:prstGeom prst="rect">
                      <a:avLst/>
                    </a:prstGeom>
                    <a:noFill/>
                    <a:ln>
                      <a:noFill/>
                    </a:ln>
                  </pic:spPr>
                </pic:pic>
              </a:graphicData>
            </a:graphic>
          </wp:inline>
        </w:drawing>
      </w:r>
    </w:p>
    <w:p>
      <w:pPr>
        <w:spacing w:line="360" w:lineRule="auto"/>
        <w:ind w:firstLine="420" w:firstLineChars="200"/>
        <w:jc w:val="center"/>
        <w:rPr>
          <w:rFonts w:ascii="Times New Roman" w:hAnsi="Times New Roman" w:eastAsia="宋体" w:cs="Times New Roman"/>
          <w:color w:val="000000"/>
          <w:szCs w:val="24"/>
        </w:rPr>
      </w:pPr>
      <w:r>
        <w:rPr>
          <w:rFonts w:hint="eastAsia" w:ascii="Times New Roman" w:hAnsi="Times New Roman" w:eastAsia="宋体" w:cs="Times New Roman"/>
          <w:color w:val="000000"/>
          <w:szCs w:val="24"/>
        </w:rPr>
        <w:t>图1</w:t>
      </w:r>
      <w:r>
        <w:rPr>
          <w:rFonts w:ascii="Times New Roman" w:hAnsi="Times New Roman" w:eastAsia="宋体" w:cs="Times New Roman"/>
          <w:color w:val="000000"/>
          <w:szCs w:val="24"/>
        </w:rPr>
        <w:t xml:space="preserve"> </w:t>
      </w:r>
      <w:r>
        <w:rPr>
          <w:rFonts w:hint="eastAsia" w:ascii="Times New Roman" w:hAnsi="Times New Roman" w:eastAsia="宋体" w:cs="Times New Roman"/>
          <w:color w:val="000000"/>
          <w:szCs w:val="24"/>
        </w:rPr>
        <w:t>关键生育期甘蔗茎叶根含水率变化图</w:t>
      </w:r>
    </w:p>
    <w:p>
      <w:pPr>
        <w:overflowPunct w:val="0"/>
        <w:topLinePunct/>
        <w:spacing w:line="560" w:lineRule="exact"/>
        <w:ind w:firstLine="640"/>
        <w:rPr>
          <w:rFonts w:hint="eastAsia" w:ascii="Times New Roman" w:hAnsi="Times New Roman" w:eastAsia="仿宋_GB2312" w:cs="Times New Roman"/>
          <w:sz w:val="28"/>
          <w:szCs w:val="32"/>
          <w:highlight w:val="none"/>
          <w:lang w:val="en-US" w:eastAsia="zh-CN"/>
        </w:rPr>
      </w:pPr>
      <w:r>
        <w:rPr>
          <w:rFonts w:hint="eastAsia" w:ascii="Times New Roman" w:hAnsi="Times New Roman" w:eastAsia="仿宋_GB2312" w:cs="Times New Roman"/>
          <w:sz w:val="28"/>
          <w:szCs w:val="32"/>
          <w:highlight w:val="none"/>
          <w:lang w:val="en-US" w:eastAsia="zh-CN"/>
        </w:rPr>
        <w:t>（2）生物量动态变化规律：汇总各月地上部分（茎+叶）干重数据，计算月际增长量，分析生物量积累动态（表1）。观测表明，甘蔗地上部分（茎、叶）生物量（干重）从5月至10月逐月显著增加，10月达到峰值，11月工艺成熟期趋于稳定或略有下降。生长季（5-10月）月均增长率超过30%，其中伸长期（6-9月）是绝对增长量最大的阶段。数据表明甘蔗生物量在生长季内呈连续、快速增长，尤其在分蘖末期至伸长盛期。这从机理上支撑了标准规定“每月不少于1次”常规观测的必要性，也明确了将“分蘖期、茎伸长期、工艺成熟期”列为必须观测的关键生育期的依据，以避免错过快速积累阶段的信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Calibri" w:hAnsi="Calibri" w:eastAsia="宋体" w:cs="Times New Roman"/>
          <w:lang w:val="en-US" w:eastAsia="zh-CN"/>
        </w:rPr>
      </w:pPr>
      <w:r>
        <w:rPr>
          <w:rFonts w:ascii="Calibri" w:hAnsi="Calibri" w:eastAsia="宋体" w:cs="Times New Roman"/>
        </w:rPr>
        <w:drawing>
          <wp:inline distT="0" distB="0" distL="114300" distR="114300">
            <wp:extent cx="5271770" cy="1572895"/>
            <wp:effectExtent l="0" t="0" r="0" b="0"/>
            <wp:docPr id="83"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4"/>
                    <pic:cNvPicPr>
                      <a:picLocks noChangeAspect="1"/>
                    </pic:cNvPicPr>
                  </pic:nvPicPr>
                  <pic:blipFill>
                    <a:blip r:embed="rId5"/>
                    <a:srcRect t="12659"/>
                    <a:stretch>
                      <a:fillRect/>
                    </a:stretch>
                  </pic:blipFill>
                  <pic:spPr>
                    <a:xfrm>
                      <a:off x="0" y="0"/>
                      <a:ext cx="5271770" cy="1572895"/>
                    </a:xfrm>
                    <a:prstGeom prst="rect">
                      <a:avLst/>
                    </a:prstGeom>
                    <a:noFill/>
                    <a:ln>
                      <a:noFill/>
                    </a:ln>
                  </pic:spPr>
                </pic:pic>
              </a:graphicData>
            </a:graphic>
          </wp:inline>
        </w:drawing>
      </w:r>
      <w:r>
        <w:rPr>
          <w:rFonts w:hint="eastAsia" w:ascii="Calibri" w:hAnsi="Calibri" w:eastAsia="宋体" w:cs="Times New Roman"/>
          <w:lang w:val="en-US" w:eastAsia="zh-CN"/>
        </w:rPr>
        <w:t xml:space="preserve">  </w:t>
      </w:r>
    </w:p>
    <w:p>
      <w:pPr>
        <w:overflowPunct w:val="0"/>
        <w:topLinePunct/>
        <w:spacing w:line="560" w:lineRule="exact"/>
        <w:ind w:firstLine="640"/>
        <w:rPr>
          <w:rFonts w:hint="default" w:ascii="Times New Roman" w:hAnsi="Times New Roman" w:eastAsia="仿宋_GB2312" w:cs="Times New Roman"/>
          <w:sz w:val="28"/>
          <w:szCs w:val="32"/>
          <w:highlight w:val="none"/>
          <w:lang w:val="en-US" w:eastAsia="zh-CN"/>
        </w:rPr>
      </w:pPr>
      <w:r>
        <w:rPr>
          <w:rFonts w:hint="default" w:ascii="Times New Roman" w:hAnsi="Times New Roman" w:eastAsia="仿宋_GB2312" w:cs="Times New Roman"/>
          <w:sz w:val="28"/>
          <w:szCs w:val="32"/>
          <w:highlight w:val="none"/>
          <w:lang w:val="en-US" w:eastAsia="zh-CN"/>
        </w:rPr>
        <w:t>（</w:t>
      </w:r>
      <w:r>
        <w:rPr>
          <w:rFonts w:hint="eastAsia" w:ascii="Times New Roman" w:hAnsi="Times New Roman" w:eastAsia="仿宋_GB2312" w:cs="Times New Roman"/>
          <w:sz w:val="28"/>
          <w:szCs w:val="32"/>
          <w:highlight w:val="none"/>
          <w:lang w:val="en-US" w:eastAsia="zh-CN"/>
        </w:rPr>
        <w:t>3</w:t>
      </w:r>
      <w:r>
        <w:rPr>
          <w:rFonts w:hint="default" w:ascii="Times New Roman" w:hAnsi="Times New Roman" w:eastAsia="仿宋_GB2312" w:cs="Times New Roman"/>
          <w:sz w:val="28"/>
          <w:szCs w:val="32"/>
          <w:highlight w:val="none"/>
          <w:lang w:val="en-US" w:eastAsia="zh-CN"/>
        </w:rPr>
        <w:t>）</w:t>
      </w:r>
      <w:r>
        <w:rPr>
          <w:rFonts w:hint="eastAsia" w:ascii="Times New Roman" w:hAnsi="Times New Roman" w:eastAsia="仿宋_GB2312" w:cs="Times New Roman"/>
          <w:sz w:val="28"/>
          <w:szCs w:val="32"/>
          <w:highlight w:val="none"/>
          <w:lang w:val="en-US" w:eastAsia="zh-CN"/>
        </w:rPr>
        <w:t>凋落物观测：在来宾、上思等试验点进行的凋落物收集表明，工艺成熟期每公顷凋落物干重可达数百公斤。忽略凋落物会导致对甘蔗生长季内累计光合产物总量的</w:t>
      </w:r>
      <w:r>
        <w:rPr>
          <w:rFonts w:hint="default" w:ascii="Times New Roman" w:hAnsi="Times New Roman" w:eastAsia="仿宋_GB2312" w:cs="Times New Roman"/>
          <w:sz w:val="28"/>
          <w:szCs w:val="32"/>
          <w:highlight w:val="none"/>
          <w:lang w:val="en-US" w:eastAsia="zh-CN"/>
        </w:rPr>
        <w:t>系统性低估。因此，为获得更完整的生态系统生物量数据（尤其是用于碳汇研究），标准中专门增设了“凋落物观测”章节，提供了规范的收集与修正方法。</w:t>
      </w:r>
    </w:p>
    <w:p>
      <w:pPr>
        <w:overflowPunct w:val="0"/>
        <w:topLinePunct/>
        <w:spacing w:line="560" w:lineRule="exact"/>
        <w:ind w:firstLine="640"/>
        <w:rPr>
          <w:rFonts w:hint="eastAsia" w:ascii="Times New Roman" w:hAnsi="Times New Roman" w:eastAsia="仿宋_GB2312" w:cs="Times New Roman"/>
          <w:sz w:val="28"/>
          <w:szCs w:val="32"/>
          <w:highlight w:val="none"/>
          <w:lang w:val="en-US" w:eastAsia="zh-CN"/>
        </w:rPr>
      </w:pPr>
      <w:r>
        <w:rPr>
          <w:rFonts w:hint="eastAsia" w:ascii="Times New Roman" w:hAnsi="Times New Roman" w:eastAsia="仿宋_GB2312" w:cs="Times New Roman"/>
          <w:sz w:val="28"/>
          <w:szCs w:val="32"/>
          <w:highlight w:val="none"/>
          <w:lang w:val="en-US" w:eastAsia="zh-CN"/>
        </w:rPr>
        <w:t>（4）生物量构成比例：通过分析各月数据（表1），明确了茎、叶、根干重在总生物量中的占比动态。茎部干重占比随生育进程显著增加，从分蘖期的约40%增至成熟期的70%以上。这验证了破坏性取样中分器官测定的必要性，并为基于关键器官（如茎）快速估算总生物量提供了可能。</w:t>
      </w:r>
    </w:p>
    <w:p>
      <w:pPr>
        <w:overflowPunct w:val="0"/>
        <w:topLinePunct/>
        <w:spacing w:line="560" w:lineRule="exact"/>
        <w:ind w:firstLine="640"/>
        <w:rPr>
          <w:rFonts w:hint="eastAsia" w:ascii="Times New Roman" w:hAnsi="Times New Roman" w:eastAsia="仿宋_GB2312" w:cs="Times New Roman"/>
          <w:sz w:val="28"/>
          <w:szCs w:val="32"/>
          <w:highlight w:val="none"/>
          <w:lang w:val="en-US" w:eastAsia="zh-CN"/>
        </w:rPr>
      </w:pPr>
      <w:r>
        <w:rPr>
          <w:rFonts w:hint="eastAsia" w:ascii="Times New Roman" w:hAnsi="Times New Roman" w:eastAsia="仿宋_GB2312" w:cs="Times New Roman"/>
          <w:sz w:val="28"/>
          <w:szCs w:val="32"/>
          <w:highlight w:val="none"/>
          <w:lang w:val="en-US" w:eastAsia="zh-CN"/>
        </w:rPr>
        <w:t>（5）不同因素影响分析：试验揭示了品种、地域（气候）、水肥管理对生物量的显著影响（例如，低纬度上思县生物量高于高纬度横州市；灌溉施肥处理小区生物量显著高于雨养不施肥小区）。这支持了标准中关于观测地段应具有“代表性”的要求，也表明本标准提供的统一方法对于区分这些差异至关重要。</w:t>
      </w:r>
    </w:p>
    <w:p>
      <w:pPr>
        <w:overflowPunct w:val="0"/>
        <w:topLinePunct/>
        <w:spacing w:line="560" w:lineRule="exact"/>
        <w:ind w:firstLine="640"/>
        <w:rPr>
          <w:rFonts w:hint="eastAsia" w:ascii="Times New Roman" w:hAnsi="Times New Roman" w:eastAsia="仿宋_GB2312" w:cs="Times New Roman"/>
          <w:sz w:val="28"/>
          <w:szCs w:val="32"/>
          <w:highlight w:val="none"/>
          <w:lang w:val="en-US" w:eastAsia="zh-CN"/>
        </w:rPr>
      </w:pPr>
      <w:r>
        <w:rPr>
          <w:rFonts w:hint="eastAsia" w:ascii="Times New Roman" w:hAnsi="Times New Roman" w:eastAsia="仿宋_GB2312" w:cs="Times New Roman"/>
          <w:sz w:val="28"/>
          <w:szCs w:val="32"/>
          <w:highlight w:val="none"/>
          <w:lang w:val="en-US" w:eastAsia="zh-CN"/>
        </w:rPr>
        <w:t>气候与地域影响方面：上思县（低纬度）甘蔗固碳量显著高于横州市（高纬度），平均差异达0.475吨碳/亩。这与低纬度地区光热条件更优、生长期更长的规律一致。此差异强调了在全区乃至全国范围内开展观测时，必须考虑“地域代表性”，要求观测地段应“代表当地主栽品种、种植制度与产量水平”，正是为了确保观测数据能客观反映不同生态区的真实生产能力，避免以点代面。</w:t>
      </w:r>
    </w:p>
    <w:p>
      <w:pPr>
        <w:numPr>
          <w:ilvl w:val="0"/>
          <w:numId w:val="0"/>
        </w:numPr>
        <w:ind w:left="0" w:leftChars="0" w:firstLine="420" w:firstLineChars="200"/>
        <w:jc w:val="center"/>
        <w:rPr>
          <w:rFonts w:ascii="Calibri" w:hAnsi="Calibri" w:eastAsia="宋体" w:cs="Times New Roman"/>
        </w:rPr>
      </w:pPr>
      <w:r>
        <w:rPr>
          <w:rFonts w:ascii="Calibri" w:hAnsi="Calibri" w:eastAsia="宋体" w:cs="Times New Roman"/>
          <w:color w:val="FF0000"/>
        </w:rPr>
        <w:drawing>
          <wp:inline distT="0" distB="0" distL="114300" distR="114300">
            <wp:extent cx="3708400" cy="2013585"/>
            <wp:effectExtent l="4445" t="4445" r="20955"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360" w:lineRule="auto"/>
        <w:ind w:firstLine="420" w:firstLineChars="200"/>
        <w:jc w:val="center"/>
        <w:rPr>
          <w:rFonts w:hint="default" w:ascii="Times New Roman" w:hAnsi="Times New Roman" w:eastAsia="宋体" w:cs="Times New Roman"/>
          <w:color w:val="000000"/>
          <w:szCs w:val="24"/>
          <w:lang w:val="en-US" w:eastAsia="zh-CN"/>
        </w:rPr>
      </w:pPr>
      <w:r>
        <w:rPr>
          <w:rFonts w:hint="eastAsia" w:ascii="Times New Roman" w:hAnsi="Times New Roman" w:eastAsia="宋体" w:cs="Times New Roman"/>
          <w:color w:val="000000"/>
          <w:szCs w:val="24"/>
          <w:lang w:eastAsia="zh-CN"/>
        </w:rPr>
        <w:t>图</w:t>
      </w:r>
      <w:r>
        <w:rPr>
          <w:rFonts w:hint="eastAsia" w:ascii="Times New Roman" w:hAnsi="Times New Roman" w:eastAsia="宋体" w:cs="Times New Roman"/>
          <w:color w:val="000000"/>
          <w:szCs w:val="24"/>
          <w:lang w:val="en-US" w:eastAsia="zh-CN"/>
        </w:rPr>
        <w:t>2 不同地区甘蔗地上部分固碳量（植株生物量换算值）</w:t>
      </w:r>
    </w:p>
    <w:p>
      <w:pPr>
        <w:overflowPunct w:val="0"/>
        <w:topLinePunct/>
        <w:spacing w:line="560" w:lineRule="exact"/>
        <w:ind w:firstLine="640"/>
        <w:rPr>
          <w:rFonts w:hint="eastAsia" w:ascii="Times New Roman" w:hAnsi="Times New Roman" w:eastAsia="仿宋_GB2312" w:cs="Times New Roman"/>
          <w:sz w:val="28"/>
          <w:szCs w:val="32"/>
          <w:highlight w:val="none"/>
          <w:lang w:val="en-US" w:eastAsia="zh-CN"/>
        </w:rPr>
      </w:pPr>
      <w:r>
        <w:rPr>
          <w:rFonts w:hint="eastAsia" w:ascii="Times New Roman" w:hAnsi="Times New Roman" w:eastAsia="仿宋_GB2312" w:cs="Times New Roman"/>
          <w:sz w:val="28"/>
          <w:szCs w:val="32"/>
          <w:highlight w:val="none"/>
          <w:lang w:val="en-US" w:eastAsia="zh-CN"/>
        </w:rPr>
        <w:t>水肥管理措施影响方面：研究分析水肥控制试验小区（灌溉/雨养×施肥/不施肥）在茎伸长期的生物量数据。在茎伸长期，灌溉处理比雨养处理生物量平均提高约18%；水肥协同作用下，增效可达约19.5%。水分的影响在干旱条件下尤为突出。结果凸显了标准化的生物量观测在“优化田间管理”中的决策价值。 通过统一的监测方法，可以定量评估不同水肥措施的实际效果，为推广节水灌溉、精准施肥等增效技术提供依据。</w:t>
      </w:r>
    </w:p>
    <w:p>
      <w:pPr>
        <w:overflowPunct w:val="0"/>
        <w:topLinePunct/>
        <w:spacing w:line="560" w:lineRule="exact"/>
        <w:ind w:firstLine="640"/>
        <w:rPr>
          <w:rFonts w:hint="eastAsia" w:ascii="Times New Roman" w:hAnsi="Times New Roman" w:eastAsia="仿宋_GB2312" w:cs="Times New Roman"/>
          <w:sz w:val="28"/>
          <w:szCs w:val="32"/>
          <w:highlight w:val="none"/>
          <w:lang w:val="en-US" w:eastAsia="zh-CN"/>
        </w:rPr>
      </w:pPr>
      <w:r>
        <w:rPr>
          <w:rFonts w:hint="eastAsia" w:ascii="Times New Roman" w:hAnsi="Times New Roman" w:eastAsia="仿宋_GB2312" w:cs="Times New Roman"/>
          <w:sz w:val="28"/>
          <w:szCs w:val="32"/>
          <w:highlight w:val="none"/>
          <w:lang w:val="en-US" w:eastAsia="zh-CN"/>
        </w:rPr>
        <w:t>品种差异方面：在相同环境与管理下，对比主栽品种（如桂柳05136与桂糖42）的生物量积累效率。结果展示：桂柳05136的固碳能力在成熟期显著高于桂糖42，在横州试验中二者差异达24%。这表明标准化的观测方法是进行“品种筛选与评价”的公平标尺。 只有采用统一规范的观测方法，获得可比较的生物量数据，才能客观鉴定不同品种的生产潜力与适应性，为良种推广提供科学支撑。</w:t>
      </w:r>
    </w:p>
    <w:p>
      <w:pPr>
        <w:overflowPunct w:val="0"/>
        <w:topLinePunct/>
        <w:spacing w:line="560" w:lineRule="exact"/>
        <w:ind w:firstLine="640"/>
        <w:rPr>
          <w:rFonts w:hint="default" w:ascii="Times New Roman" w:hAnsi="Times New Roman" w:eastAsia="黑体" w:cs="Times New Roman"/>
          <w:bCs/>
          <w:sz w:val="32"/>
          <w:szCs w:val="32"/>
          <w:highlight w:val="none"/>
          <w:lang w:val="en-US" w:eastAsia="zh-CN"/>
        </w:rPr>
      </w:pPr>
      <w:r>
        <w:rPr>
          <w:rFonts w:hint="eastAsia" w:ascii="Times New Roman" w:hAnsi="Times New Roman" w:eastAsia="仿宋_GB2312" w:cs="Times New Roman"/>
          <w:sz w:val="28"/>
          <w:szCs w:val="32"/>
          <w:highlight w:val="none"/>
          <w:lang w:val="en-US" w:eastAsia="zh-CN"/>
        </w:rPr>
        <w:t>（6）计算公式验证：利用多年观测数据，对标准中设计的单位面积茎（株）数计算公式、理论产量计算公式进行了反复验算。结果表明，公式计算结果与实测样方收割数据具有良好的一致性，能够满足业务化估算的需求。</w:t>
      </w:r>
    </w:p>
    <w:p>
      <w:pPr>
        <w:overflowPunct w:val="0"/>
        <w:topLinePunct/>
        <w:spacing w:line="560" w:lineRule="exact"/>
        <w:ind w:firstLine="640" w:firstLineChars="200"/>
        <w:outlineLvl w:val="0"/>
        <w:rPr>
          <w:rFonts w:ascii="Times New Roman" w:hAnsi="Times New Roman" w:eastAsia="黑体" w:cs="Times New Roman"/>
          <w:bCs/>
          <w:sz w:val="32"/>
          <w:szCs w:val="32"/>
        </w:rPr>
      </w:pPr>
      <w:r>
        <w:rPr>
          <w:rFonts w:hint="eastAsia" w:ascii="Times New Roman" w:hAnsi="Times New Roman" w:eastAsia="黑体" w:cs="Times New Roman"/>
          <w:bCs/>
          <w:sz w:val="32"/>
          <w:szCs w:val="32"/>
        </w:rPr>
        <w:t>六、重大意见分歧的处理依据和结果</w:t>
      </w:r>
    </w:p>
    <w:p>
      <w:pPr>
        <w:overflowPunct w:val="0"/>
        <w:topLinePunct/>
        <w:spacing w:line="560" w:lineRule="exact"/>
        <w:ind w:firstLine="64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在起草和内部讨论过程中，主要对不同观测目的下的</w:t>
      </w:r>
      <w:r>
        <w:rPr>
          <w:rFonts w:hint="eastAsia" w:ascii="Times New Roman" w:hAnsi="Times New Roman" w:eastAsia="仿宋_GB2312" w:cs="Times New Roman"/>
          <w:sz w:val="28"/>
          <w:szCs w:val="32"/>
          <w:lang w:val="en-US" w:eastAsia="zh-CN"/>
        </w:rPr>
        <w:t>“茎（株）数”</w:t>
      </w:r>
      <w:r>
        <w:rPr>
          <w:rFonts w:hint="eastAsia" w:ascii="Times New Roman" w:hAnsi="Times New Roman" w:eastAsia="仿宋_GB2312" w:cs="Times New Roman"/>
          <w:sz w:val="28"/>
          <w:szCs w:val="32"/>
        </w:rPr>
        <w:t>定义、凋落物是否计入生物量等概念进行过深入探讨。</w:t>
      </w:r>
    </w:p>
    <w:p>
      <w:pPr>
        <w:overflowPunct w:val="0"/>
        <w:topLinePunct/>
        <w:spacing w:line="560" w:lineRule="exact"/>
        <w:ind w:firstLine="64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关于</w:t>
      </w:r>
      <w:r>
        <w:rPr>
          <w:rFonts w:hint="eastAsia" w:ascii="Times New Roman" w:hAnsi="Times New Roman" w:eastAsia="仿宋_GB2312" w:cs="Times New Roman"/>
          <w:sz w:val="28"/>
          <w:szCs w:val="32"/>
          <w:lang w:val="en-US" w:eastAsia="zh-CN"/>
        </w:rPr>
        <w:t>“茎（株）数”</w:t>
      </w:r>
      <w:r>
        <w:rPr>
          <w:rFonts w:hint="eastAsia" w:ascii="Times New Roman" w:hAnsi="Times New Roman" w:eastAsia="仿宋_GB2312" w:cs="Times New Roman"/>
          <w:sz w:val="28"/>
          <w:szCs w:val="32"/>
        </w:rPr>
        <w:t>：经讨论确定，为区别于以产量为目的的农艺有效茎</w:t>
      </w:r>
      <w:r>
        <w:rPr>
          <w:rFonts w:hint="eastAsia" w:ascii="Times New Roman" w:hAnsi="Times New Roman" w:eastAsia="仿宋_GB2312" w:cs="Times New Roman"/>
          <w:sz w:val="28"/>
          <w:szCs w:val="32"/>
          <w:lang w:val="en-US" w:eastAsia="zh-CN"/>
        </w:rPr>
        <w:t>数</w:t>
      </w:r>
      <w:r>
        <w:rPr>
          <w:rFonts w:hint="eastAsia" w:ascii="Times New Roman" w:hAnsi="Times New Roman" w:eastAsia="仿宋_GB2312" w:cs="Times New Roman"/>
          <w:sz w:val="28"/>
          <w:szCs w:val="32"/>
        </w:rPr>
        <w:t>，本标准基于生物量定义，</w:t>
      </w:r>
      <w:r>
        <w:rPr>
          <w:rFonts w:hint="eastAsia" w:ascii="Times New Roman" w:hAnsi="Times New Roman" w:eastAsia="仿宋_GB2312" w:cs="Times New Roman"/>
          <w:sz w:val="28"/>
          <w:szCs w:val="32"/>
          <w:lang w:val="en-US" w:eastAsia="zh-CN"/>
        </w:rPr>
        <w:t>引入“茎（株）数”概念，</w:t>
      </w:r>
      <w:r>
        <w:rPr>
          <w:rFonts w:hint="eastAsia" w:ascii="Times New Roman" w:hAnsi="Times New Roman" w:eastAsia="仿宋_GB2312" w:cs="Times New Roman"/>
          <w:sz w:val="28"/>
          <w:szCs w:val="32"/>
        </w:rPr>
        <w:t>将观测行内所有存活茎（株）均计入，并在术语中给予明确定义，避免混淆。</w:t>
      </w:r>
    </w:p>
    <w:p>
      <w:pPr>
        <w:overflowPunct w:val="0"/>
        <w:topLinePunct/>
        <w:spacing w:line="560" w:lineRule="exact"/>
        <w:ind w:firstLine="640"/>
        <w:rPr>
          <w:rFonts w:hint="eastAsia" w:ascii="Times New Roman" w:hAnsi="Times New Roman" w:eastAsia="仿宋_GB2312" w:cs="Times New Roman"/>
          <w:sz w:val="28"/>
          <w:szCs w:val="32"/>
        </w:rPr>
      </w:pPr>
      <w:r>
        <w:rPr>
          <w:rFonts w:hint="eastAsia" w:ascii="Times New Roman" w:hAnsi="Times New Roman" w:eastAsia="仿宋_GB2312" w:cs="Times New Roman"/>
          <w:sz w:val="28"/>
          <w:szCs w:val="32"/>
        </w:rPr>
        <w:t>关于凋落物：明确了根据观测目的（总生物量/现存生物量）决定是否计入，并专门增设一章提供凋落物观测与修正方法，供使用者根据需求选择。</w:t>
      </w:r>
    </w:p>
    <w:p>
      <w:pPr>
        <w:overflowPunct w:val="0"/>
        <w:topLinePunct/>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28"/>
          <w:szCs w:val="32"/>
        </w:rPr>
        <w:t>这些分歧通过参考生态学定义、结合观测目的分析得以解决，并体现在标准文本的相应条款中。</w:t>
      </w:r>
    </w:p>
    <w:p>
      <w:pPr>
        <w:overflowPunct w:val="0"/>
        <w:topLinePunct/>
        <w:spacing w:line="560" w:lineRule="exact"/>
        <w:ind w:firstLine="640" w:firstLineChars="200"/>
        <w:outlineLvl w:val="0"/>
        <w:rPr>
          <w:rFonts w:ascii="Times New Roman" w:hAnsi="Times New Roman" w:eastAsia="黑体" w:cs="Times New Roman"/>
          <w:bCs/>
          <w:sz w:val="32"/>
          <w:szCs w:val="32"/>
        </w:rPr>
      </w:pPr>
      <w:r>
        <w:rPr>
          <w:rFonts w:hint="eastAsia" w:ascii="Times New Roman" w:hAnsi="Times New Roman" w:eastAsia="黑体" w:cs="Times New Roman"/>
          <w:bCs/>
          <w:sz w:val="32"/>
          <w:szCs w:val="32"/>
        </w:rPr>
        <w:t>七、实施标准的措施</w:t>
      </w:r>
    </w:p>
    <w:p>
      <w:pPr>
        <w:spacing w:line="560" w:lineRule="exact"/>
        <w:ind w:firstLine="643" w:firstLineChars="200"/>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（一）标准报批发布后，成立标准宣贯工作组</w:t>
      </w:r>
    </w:p>
    <w:p>
      <w:pPr>
        <w:overflowPunct w:val="0"/>
        <w:topLinePunct/>
        <w:spacing w:line="560" w:lineRule="exact"/>
        <w:ind w:firstLine="640"/>
        <w:rPr>
          <w:rFonts w:ascii="仿宋_GB2312" w:hAnsi="Times New Roman" w:eastAsia="仿宋_GB2312" w:cs="Times New Roman"/>
          <w:bCs/>
          <w:sz w:val="32"/>
          <w:szCs w:val="32"/>
        </w:rPr>
      </w:pPr>
      <w:r>
        <w:rPr>
          <w:rFonts w:hint="eastAsia" w:ascii="Times New Roman" w:hAnsi="Times New Roman" w:eastAsia="仿宋_GB2312" w:cs="Times New Roman"/>
          <w:sz w:val="28"/>
          <w:szCs w:val="32"/>
        </w:rPr>
        <w:t>本标准发布后，成立以标准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pPr>
        <w:spacing w:line="560" w:lineRule="exact"/>
        <w:ind w:firstLine="643" w:firstLineChars="200"/>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（二）组织开展标准宣贯培训</w:t>
      </w:r>
    </w:p>
    <w:p>
      <w:pPr>
        <w:spacing w:line="560" w:lineRule="exact"/>
        <w:ind w:firstLine="560" w:firstLineChars="200"/>
        <w:rPr>
          <w:rFonts w:ascii="仿宋_GB2312" w:hAnsi="Times New Roman" w:eastAsia="仿宋_GB2312" w:cs="Times New Roman"/>
          <w:bCs/>
          <w:sz w:val="32"/>
          <w:szCs w:val="32"/>
        </w:rPr>
      </w:pPr>
      <w:r>
        <w:rPr>
          <w:rFonts w:hint="eastAsia" w:ascii="Times New Roman" w:hAnsi="Times New Roman" w:eastAsia="仿宋_GB2312" w:cs="Times New Roman"/>
          <w:sz w:val="28"/>
          <w:szCs w:val="32"/>
        </w:rPr>
        <w:t>标准发布实施后，标准宣贯工作小组制作标准解读宣贯培训PPT课件和简易操作手册，并按标准宣贯培训计划深入各市县气象台站、农业技术推广部门、糖业企业及科研单位开展标准宣贯培训，对标准进行逐条解读，让一线观测人员准确理解并掌握该标准方法，鼓励在主要蔗区建立一批标准化观测示范点，助力标准实施落地</w:t>
      </w:r>
      <w:r>
        <w:rPr>
          <w:rFonts w:hint="eastAsia" w:ascii="仿宋_GB2312" w:hAnsi="Times New Roman" w:eastAsia="仿宋_GB2312" w:cs="Times New Roman"/>
          <w:bCs/>
          <w:sz w:val="32"/>
          <w:szCs w:val="32"/>
        </w:rPr>
        <w:t>。</w:t>
      </w:r>
    </w:p>
    <w:p>
      <w:pPr>
        <w:spacing w:line="560" w:lineRule="exact"/>
        <w:ind w:firstLine="643" w:firstLineChars="200"/>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（三）设置标准实施过渡期，推动标准试用与全面落地</w:t>
      </w:r>
    </w:p>
    <w:p>
      <w:pPr>
        <w:spacing w:line="560" w:lineRule="exact"/>
        <w:ind w:firstLine="560" w:firstLineChars="200"/>
        <w:rPr>
          <w:rFonts w:ascii="仿宋_GB2312" w:hAnsi="Times New Roman" w:eastAsia="仿宋_GB2312" w:cs="Times New Roman"/>
          <w:b/>
          <w:bCs/>
          <w:sz w:val="32"/>
          <w:szCs w:val="32"/>
        </w:rPr>
      </w:pPr>
      <w:r>
        <w:rPr>
          <w:rFonts w:hint="eastAsia" w:ascii="Times New Roman" w:hAnsi="Times New Roman" w:eastAsia="仿宋_GB2312" w:cs="Times New Roman"/>
          <w:sz w:val="28"/>
          <w:szCs w:val="32"/>
        </w:rPr>
        <w:t>标准发布后，设置合理的过渡期。过渡期内，鼓励相关单位积极试用并反馈意见，逐步在新建或更新的观测业务、科研项目中全面采用本标准。</w:t>
      </w:r>
    </w:p>
    <w:p>
      <w:pPr>
        <w:spacing w:line="560" w:lineRule="exact"/>
        <w:ind w:firstLine="643" w:firstLineChars="200"/>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（四）开展标准实施交流会，收集标准实施反馈信息</w:t>
      </w:r>
    </w:p>
    <w:p>
      <w:pPr>
        <w:overflowPunct w:val="0"/>
        <w:topLinePunct/>
        <w:spacing w:line="560" w:lineRule="exact"/>
        <w:ind w:firstLine="640"/>
        <w:rPr>
          <w:rFonts w:ascii="仿宋_GB2312" w:hAnsi="Times New Roman" w:eastAsia="仿宋_GB2312" w:cs="Times New Roman"/>
          <w:bCs/>
          <w:sz w:val="32"/>
          <w:szCs w:val="32"/>
        </w:rPr>
      </w:pPr>
      <w:r>
        <w:rPr>
          <w:rFonts w:hint="eastAsia" w:ascii="Times New Roman" w:hAnsi="Times New Roman" w:eastAsia="仿宋_GB2312" w:cs="Times New Roman"/>
          <w:sz w:val="28"/>
          <w:szCs w:val="32"/>
        </w:rPr>
        <w:t>标准起草小组深入各市县相关机构、单位组织技术人员召开标准实施交流会，听取标准实施过程中存在的问题并做好记录和解答，对存在的问题组织专家团队进行研讨，为标准的复审修订做准备。</w:t>
      </w:r>
    </w:p>
    <w:p>
      <w:pPr>
        <w:spacing w:line="560" w:lineRule="exact"/>
        <w:ind w:firstLine="643" w:firstLineChars="200"/>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（五）开展标准实施效果评估</w:t>
      </w:r>
    </w:p>
    <w:p>
      <w:pPr>
        <w:overflowPunct w:val="0"/>
        <w:topLinePunct/>
        <w:spacing w:line="560" w:lineRule="exact"/>
        <w:ind w:firstLine="640"/>
        <w:rPr>
          <w:rFonts w:ascii="仿宋_GB2312" w:hAnsi="Times New Roman" w:eastAsia="仿宋_GB2312" w:cs="Times New Roman"/>
          <w:bCs/>
          <w:sz w:val="32"/>
          <w:szCs w:val="32"/>
        </w:rPr>
      </w:pPr>
      <w:r>
        <w:rPr>
          <w:rFonts w:hint="eastAsia" w:ascii="Times New Roman" w:hAnsi="Times New Roman" w:eastAsia="仿宋_GB2312" w:cs="Times New Roman"/>
          <w:sz w:val="28"/>
          <w:szCs w:val="32"/>
        </w:rPr>
        <w:t>标准实施满2年，每年标准宣贯工作组采取网络调查、问卷调查、实地调研、召开座谈会或论证会、专家咨询等方式开展标准实施效果评估，并形成标准实施效果评估报告，为标准的复审修订做准备。</w:t>
      </w:r>
    </w:p>
    <w:p>
      <w:pPr>
        <w:overflowPunct w:val="0"/>
        <w:topLinePunct/>
        <w:spacing w:line="560" w:lineRule="exact"/>
        <w:ind w:firstLine="640" w:firstLineChars="200"/>
        <w:outlineLvl w:val="0"/>
        <w:rPr>
          <w:rFonts w:ascii="Times New Roman" w:hAnsi="Times New Roman" w:eastAsia="黑体" w:cs="Times New Roman"/>
          <w:bCs/>
          <w:sz w:val="32"/>
          <w:szCs w:val="32"/>
        </w:rPr>
      </w:pPr>
      <w:r>
        <w:rPr>
          <w:rFonts w:hint="eastAsia" w:ascii="Times New Roman" w:hAnsi="Times New Roman" w:eastAsia="黑体" w:cs="Times New Roman"/>
          <w:bCs/>
          <w:sz w:val="32"/>
          <w:szCs w:val="32"/>
        </w:rPr>
        <w:t>八、其他应当说明的事项</w:t>
      </w:r>
    </w:p>
    <w:p>
      <w:pPr>
        <w:overflowPunct w:val="0"/>
        <w:topLinePunct/>
        <w:spacing w:line="560" w:lineRule="exact"/>
        <w:ind w:firstLine="640"/>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无。</w:t>
      </w:r>
    </w:p>
    <w:p>
      <w:pPr>
        <w:overflowPunct w:val="0"/>
        <w:topLinePunct/>
        <w:spacing w:line="560" w:lineRule="exact"/>
        <w:ind w:firstLine="640"/>
        <w:rPr>
          <w:rFonts w:hint="eastAsia" w:ascii="仿宋" w:hAnsi="仿宋" w:eastAsia="仿宋" w:cs="Times New Roman"/>
          <w:sz w:val="28"/>
          <w:szCs w:val="32"/>
        </w:rPr>
      </w:pPr>
    </w:p>
    <w:p>
      <w:pPr>
        <w:overflowPunct w:val="0"/>
        <w:topLinePunct/>
        <w:spacing w:line="560" w:lineRule="exact"/>
        <w:rPr>
          <w:rFonts w:hint="eastAsia" w:ascii="仿宋" w:hAnsi="仿宋" w:eastAsia="仿宋" w:cs="Times New Roman"/>
          <w:sz w:val="28"/>
          <w:szCs w:val="32"/>
        </w:rPr>
      </w:pPr>
    </w:p>
    <w:p>
      <w:pPr>
        <w:overflowPunct w:val="0"/>
        <w:topLinePunct/>
        <w:spacing w:line="560" w:lineRule="exact"/>
        <w:ind w:firstLine="640"/>
        <w:jc w:val="right"/>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团体标准《甘蔗生物量观测指南》</w:t>
      </w:r>
    </w:p>
    <w:p>
      <w:pPr>
        <w:overflowPunct w:val="0"/>
        <w:topLinePunct/>
        <w:spacing w:line="560" w:lineRule="exact"/>
        <w:ind w:right="1120" w:firstLine="640"/>
        <w:jc w:val="right"/>
        <w:rPr>
          <w:rFonts w:ascii="Times New Roman" w:hAnsi="Times New Roman" w:eastAsia="仿宋_GB2312" w:cs="Times New Roman"/>
          <w:sz w:val="28"/>
          <w:szCs w:val="32"/>
        </w:rPr>
      </w:pPr>
      <w:r>
        <w:rPr>
          <w:rFonts w:hint="eastAsia" w:ascii="Times New Roman" w:hAnsi="Times New Roman" w:eastAsia="仿宋_GB2312" w:cs="Times New Roman"/>
          <w:sz w:val="28"/>
          <w:szCs w:val="32"/>
        </w:rPr>
        <w:t xml:space="preserve">标准编制工作组 </w:t>
      </w:r>
      <w:r>
        <w:rPr>
          <w:rFonts w:ascii="Times New Roman" w:hAnsi="Times New Roman" w:eastAsia="仿宋_GB2312" w:cs="Times New Roman"/>
          <w:sz w:val="28"/>
          <w:szCs w:val="32"/>
        </w:rPr>
        <w:t xml:space="preserve">        </w:t>
      </w:r>
    </w:p>
    <w:p>
      <w:pPr>
        <w:overflowPunct w:val="0"/>
        <w:topLinePunct/>
        <w:spacing w:line="560" w:lineRule="exact"/>
        <w:ind w:right="840" w:firstLine="640"/>
        <w:jc w:val="right"/>
        <w:rPr>
          <w:rFonts w:ascii="Times New Roman" w:hAnsi="Times New Roman" w:eastAsia="仿宋_GB2312" w:cs="Times New Roman"/>
          <w:sz w:val="28"/>
          <w:szCs w:val="32"/>
        </w:rPr>
      </w:pPr>
      <w:r>
        <w:rPr>
          <w:rFonts w:hint="eastAsia" w:ascii="Times New Roman" w:hAnsi="Times New Roman" w:eastAsia="仿宋_GB2312" w:cs="Times New Roman"/>
          <w:sz w:val="28"/>
          <w:szCs w:val="32"/>
          <w:highlight w:val="none"/>
        </w:rPr>
        <w:t>202</w:t>
      </w:r>
      <w:r>
        <w:rPr>
          <w:rFonts w:hint="eastAsia" w:ascii="Times New Roman" w:hAnsi="Times New Roman" w:eastAsia="仿宋_GB2312" w:cs="Times New Roman"/>
          <w:sz w:val="28"/>
          <w:szCs w:val="32"/>
          <w:highlight w:val="none"/>
          <w:lang w:val="en-US" w:eastAsia="zh-CN"/>
        </w:rPr>
        <w:t>6</w:t>
      </w:r>
      <w:r>
        <w:rPr>
          <w:rFonts w:hint="eastAsia" w:ascii="Times New Roman" w:hAnsi="Times New Roman" w:eastAsia="仿宋_GB2312" w:cs="Times New Roman"/>
          <w:sz w:val="28"/>
          <w:szCs w:val="32"/>
          <w:highlight w:val="none"/>
        </w:rPr>
        <w:t>年</w:t>
      </w:r>
      <w:r>
        <w:rPr>
          <w:rFonts w:hint="eastAsia" w:ascii="Times New Roman" w:hAnsi="Times New Roman" w:eastAsia="仿宋_GB2312" w:cs="Times New Roman"/>
          <w:sz w:val="28"/>
          <w:szCs w:val="32"/>
          <w:highlight w:val="none"/>
          <w:lang w:val="en-US" w:eastAsia="zh-CN"/>
        </w:rPr>
        <w:t>3</w:t>
      </w:r>
      <w:r>
        <w:rPr>
          <w:rFonts w:hint="eastAsia" w:ascii="Times New Roman" w:hAnsi="Times New Roman" w:eastAsia="仿宋_GB2312" w:cs="Times New Roman"/>
          <w:sz w:val="28"/>
          <w:szCs w:val="32"/>
          <w:highlight w:val="none"/>
        </w:rPr>
        <w:t>月</w:t>
      </w:r>
      <w:r>
        <w:rPr>
          <w:rFonts w:hint="eastAsia" w:ascii="Times New Roman" w:hAnsi="Times New Roman" w:eastAsia="仿宋_GB2312" w:cs="Times New Roman"/>
          <w:sz w:val="28"/>
          <w:szCs w:val="32"/>
          <w:highlight w:val="none"/>
          <w:lang w:val="en-US" w:eastAsia="zh-CN"/>
        </w:rPr>
        <w:t>24</w:t>
      </w:r>
      <w:bookmarkStart w:id="6" w:name="_GoBack"/>
      <w:bookmarkEnd w:id="6"/>
      <w:r>
        <w:rPr>
          <w:rFonts w:hint="eastAsia" w:ascii="Times New Roman" w:hAnsi="Times New Roman" w:eastAsia="仿宋_GB2312" w:cs="Times New Roman"/>
          <w:sz w:val="28"/>
          <w:szCs w:val="32"/>
          <w:highlight w:val="none"/>
        </w:rPr>
        <w:t xml:space="preserve">日     </w:t>
      </w:r>
      <w:r>
        <w:rPr>
          <w:rFonts w:hint="eastAsia" w:ascii="Times New Roman" w:hAnsi="Times New Roman" w:eastAsia="仿宋_GB2312" w:cs="Times New Roman"/>
          <w:sz w:val="28"/>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C8BF11"/>
    <w:multiLevelType w:val="singleLevel"/>
    <w:tmpl w:val="E3C8BF11"/>
    <w:lvl w:ilvl="0" w:tentative="0">
      <w:start w:val="2"/>
      <w:numFmt w:val="decimal"/>
      <w:suff w:val="nothing"/>
      <w:lvlText w:val="%1、"/>
      <w:lvlJc w:val="left"/>
    </w:lvl>
  </w:abstractNum>
  <w:abstractNum w:abstractNumId="1">
    <w:nsid w:val="0CD5BE58"/>
    <w:multiLevelType w:val="singleLevel"/>
    <w:tmpl w:val="0CD5BE58"/>
    <w:lvl w:ilvl="0" w:tentative="0">
      <w:start w:val="5"/>
      <w:numFmt w:val="chineseCounting"/>
      <w:suff w:val="nothing"/>
      <w:lvlText w:val="%1、"/>
      <w:lvlJc w:val="left"/>
      <w:rPr>
        <w:rFonts w:hint="eastAsia"/>
      </w:rPr>
    </w:lvl>
  </w:abstractNum>
  <w:abstractNum w:abstractNumId="2">
    <w:nsid w:val="669E3622"/>
    <w:multiLevelType w:val="singleLevel"/>
    <w:tmpl w:val="669E3622"/>
    <w:lvl w:ilvl="0" w:tentative="0">
      <w:start w:val="3"/>
      <w:numFmt w:val="chineseCounting"/>
      <w:suff w:val="nothing"/>
      <w:lvlText w:val="（%1）"/>
      <w:lvlJc w:val="left"/>
      <w:rPr>
        <w:rFonts w:hint="eastAsia"/>
      </w:rPr>
    </w:lvl>
  </w:abstractNum>
  <w:abstractNum w:abstractNumId="3">
    <w:nsid w:val="7EAA0E0C"/>
    <w:multiLevelType w:val="singleLevel"/>
    <w:tmpl w:val="7EAA0E0C"/>
    <w:lvl w:ilvl="0" w:tentative="0">
      <w:start w:val="4"/>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1060B"/>
    <w:rsid w:val="0011168D"/>
    <w:rsid w:val="00123A1E"/>
    <w:rsid w:val="0015276B"/>
    <w:rsid w:val="00155247"/>
    <w:rsid w:val="00171D8C"/>
    <w:rsid w:val="0022448F"/>
    <w:rsid w:val="0022728A"/>
    <w:rsid w:val="00236655"/>
    <w:rsid w:val="00271E8F"/>
    <w:rsid w:val="0027295B"/>
    <w:rsid w:val="002910E0"/>
    <w:rsid w:val="002D74EA"/>
    <w:rsid w:val="002E230B"/>
    <w:rsid w:val="00383F5E"/>
    <w:rsid w:val="00396E42"/>
    <w:rsid w:val="003A7C18"/>
    <w:rsid w:val="00400B79"/>
    <w:rsid w:val="00413708"/>
    <w:rsid w:val="0041431C"/>
    <w:rsid w:val="004312B8"/>
    <w:rsid w:val="00436FF5"/>
    <w:rsid w:val="0048202E"/>
    <w:rsid w:val="00482407"/>
    <w:rsid w:val="00490D6F"/>
    <w:rsid w:val="004B0472"/>
    <w:rsid w:val="004E7E6E"/>
    <w:rsid w:val="004F1DFF"/>
    <w:rsid w:val="0050500B"/>
    <w:rsid w:val="00521B6A"/>
    <w:rsid w:val="00524892"/>
    <w:rsid w:val="00527CCB"/>
    <w:rsid w:val="005345E1"/>
    <w:rsid w:val="00550094"/>
    <w:rsid w:val="005D14DC"/>
    <w:rsid w:val="005D7848"/>
    <w:rsid w:val="005F4E99"/>
    <w:rsid w:val="0064499E"/>
    <w:rsid w:val="006752EE"/>
    <w:rsid w:val="00677B5A"/>
    <w:rsid w:val="00690F70"/>
    <w:rsid w:val="006A1148"/>
    <w:rsid w:val="006A31DF"/>
    <w:rsid w:val="006B6AC3"/>
    <w:rsid w:val="006E7043"/>
    <w:rsid w:val="00714032"/>
    <w:rsid w:val="00724F04"/>
    <w:rsid w:val="007B23C3"/>
    <w:rsid w:val="007F26F1"/>
    <w:rsid w:val="00882C6E"/>
    <w:rsid w:val="00895C57"/>
    <w:rsid w:val="008E2823"/>
    <w:rsid w:val="009273D9"/>
    <w:rsid w:val="00940C00"/>
    <w:rsid w:val="00993442"/>
    <w:rsid w:val="00995D96"/>
    <w:rsid w:val="009F59AA"/>
    <w:rsid w:val="00A025B7"/>
    <w:rsid w:val="00A2394D"/>
    <w:rsid w:val="00A86520"/>
    <w:rsid w:val="00AC3F5B"/>
    <w:rsid w:val="00AD3E45"/>
    <w:rsid w:val="00AE50FE"/>
    <w:rsid w:val="00B23C96"/>
    <w:rsid w:val="00B73F20"/>
    <w:rsid w:val="00B81E4F"/>
    <w:rsid w:val="00BA71A5"/>
    <w:rsid w:val="00BB3A12"/>
    <w:rsid w:val="00C244CC"/>
    <w:rsid w:val="00C41619"/>
    <w:rsid w:val="00CA5F81"/>
    <w:rsid w:val="00CB11D1"/>
    <w:rsid w:val="00CC38CD"/>
    <w:rsid w:val="00CD51F7"/>
    <w:rsid w:val="00D2126A"/>
    <w:rsid w:val="00D3221F"/>
    <w:rsid w:val="00D33528"/>
    <w:rsid w:val="00D6548B"/>
    <w:rsid w:val="00DD0FF7"/>
    <w:rsid w:val="00DD6169"/>
    <w:rsid w:val="00E120CA"/>
    <w:rsid w:val="00E81451"/>
    <w:rsid w:val="00E911C9"/>
    <w:rsid w:val="00EC037B"/>
    <w:rsid w:val="00EE5D7E"/>
    <w:rsid w:val="00EF3581"/>
    <w:rsid w:val="00F01601"/>
    <w:rsid w:val="00F267CF"/>
    <w:rsid w:val="00F3339C"/>
    <w:rsid w:val="00F527DC"/>
    <w:rsid w:val="00FB76CC"/>
    <w:rsid w:val="0170227B"/>
    <w:rsid w:val="01B4799A"/>
    <w:rsid w:val="01BD1D02"/>
    <w:rsid w:val="02194898"/>
    <w:rsid w:val="025920EF"/>
    <w:rsid w:val="03142F3C"/>
    <w:rsid w:val="03E75755"/>
    <w:rsid w:val="040E546E"/>
    <w:rsid w:val="04350B61"/>
    <w:rsid w:val="04415991"/>
    <w:rsid w:val="048E7086"/>
    <w:rsid w:val="049B7CA7"/>
    <w:rsid w:val="05015F5E"/>
    <w:rsid w:val="050D06B0"/>
    <w:rsid w:val="05CF21B9"/>
    <w:rsid w:val="05EA40B2"/>
    <w:rsid w:val="06310D5F"/>
    <w:rsid w:val="06D46F19"/>
    <w:rsid w:val="06E21E3E"/>
    <w:rsid w:val="071565A3"/>
    <w:rsid w:val="071E0242"/>
    <w:rsid w:val="072908E4"/>
    <w:rsid w:val="07325FBE"/>
    <w:rsid w:val="0775479E"/>
    <w:rsid w:val="07F506DB"/>
    <w:rsid w:val="084A5AAB"/>
    <w:rsid w:val="093F1804"/>
    <w:rsid w:val="096D64EF"/>
    <w:rsid w:val="09F70578"/>
    <w:rsid w:val="0A374BB0"/>
    <w:rsid w:val="0A937721"/>
    <w:rsid w:val="0B22766C"/>
    <w:rsid w:val="0B25099E"/>
    <w:rsid w:val="0B757510"/>
    <w:rsid w:val="0C4B13FF"/>
    <w:rsid w:val="0C5260FC"/>
    <w:rsid w:val="0CC9392C"/>
    <w:rsid w:val="0D387A26"/>
    <w:rsid w:val="0D46497E"/>
    <w:rsid w:val="0D672DDF"/>
    <w:rsid w:val="0DED0154"/>
    <w:rsid w:val="0E8353DA"/>
    <w:rsid w:val="0EE33AB0"/>
    <w:rsid w:val="0F0C0649"/>
    <w:rsid w:val="0F2C0DE6"/>
    <w:rsid w:val="0F3A48D4"/>
    <w:rsid w:val="0FA77C9C"/>
    <w:rsid w:val="10D8291D"/>
    <w:rsid w:val="112578E6"/>
    <w:rsid w:val="11292F1C"/>
    <w:rsid w:val="114425D9"/>
    <w:rsid w:val="12287AEA"/>
    <w:rsid w:val="122B7D3A"/>
    <w:rsid w:val="122D0387"/>
    <w:rsid w:val="1254393B"/>
    <w:rsid w:val="1289395F"/>
    <w:rsid w:val="129B5CD3"/>
    <w:rsid w:val="12A47E68"/>
    <w:rsid w:val="12EC2939"/>
    <w:rsid w:val="13002C5E"/>
    <w:rsid w:val="13084794"/>
    <w:rsid w:val="132645F8"/>
    <w:rsid w:val="135F482D"/>
    <w:rsid w:val="1368338F"/>
    <w:rsid w:val="13A878FA"/>
    <w:rsid w:val="140D2518"/>
    <w:rsid w:val="1451055B"/>
    <w:rsid w:val="14620F3E"/>
    <w:rsid w:val="14D36C77"/>
    <w:rsid w:val="15E339A6"/>
    <w:rsid w:val="16A80FE4"/>
    <w:rsid w:val="16B026B5"/>
    <w:rsid w:val="16F002C2"/>
    <w:rsid w:val="17032BE9"/>
    <w:rsid w:val="17B7683E"/>
    <w:rsid w:val="17C901BD"/>
    <w:rsid w:val="17D72CAE"/>
    <w:rsid w:val="17EE0892"/>
    <w:rsid w:val="18434710"/>
    <w:rsid w:val="184507E9"/>
    <w:rsid w:val="192702F8"/>
    <w:rsid w:val="19752D6D"/>
    <w:rsid w:val="1A192038"/>
    <w:rsid w:val="1A413D7F"/>
    <w:rsid w:val="1AA94B19"/>
    <w:rsid w:val="1B074BFD"/>
    <w:rsid w:val="1B472194"/>
    <w:rsid w:val="1B974338"/>
    <w:rsid w:val="1BC736AF"/>
    <w:rsid w:val="1C403E6B"/>
    <w:rsid w:val="1C5762DF"/>
    <w:rsid w:val="1C5D4982"/>
    <w:rsid w:val="1C781E6A"/>
    <w:rsid w:val="1CAE72B6"/>
    <w:rsid w:val="1D3A2A60"/>
    <w:rsid w:val="1D4D15CA"/>
    <w:rsid w:val="1D570372"/>
    <w:rsid w:val="1D6359FA"/>
    <w:rsid w:val="1D6A25D4"/>
    <w:rsid w:val="1DA51FA3"/>
    <w:rsid w:val="1E184209"/>
    <w:rsid w:val="1E664115"/>
    <w:rsid w:val="1ED97596"/>
    <w:rsid w:val="1F03034B"/>
    <w:rsid w:val="1F163A8C"/>
    <w:rsid w:val="20407B6B"/>
    <w:rsid w:val="20C1344B"/>
    <w:rsid w:val="20F125F3"/>
    <w:rsid w:val="22351E23"/>
    <w:rsid w:val="226B2F60"/>
    <w:rsid w:val="22AF5D39"/>
    <w:rsid w:val="22B55523"/>
    <w:rsid w:val="231615AE"/>
    <w:rsid w:val="23165528"/>
    <w:rsid w:val="23DC2568"/>
    <w:rsid w:val="24625584"/>
    <w:rsid w:val="24E03A06"/>
    <w:rsid w:val="264E4A6A"/>
    <w:rsid w:val="26850F90"/>
    <w:rsid w:val="26CD7280"/>
    <w:rsid w:val="272C578F"/>
    <w:rsid w:val="275D5F72"/>
    <w:rsid w:val="27CB442C"/>
    <w:rsid w:val="28C50472"/>
    <w:rsid w:val="28F06B49"/>
    <w:rsid w:val="29107254"/>
    <w:rsid w:val="299226B2"/>
    <w:rsid w:val="2B901FB0"/>
    <w:rsid w:val="2BDA041D"/>
    <w:rsid w:val="2C535B6E"/>
    <w:rsid w:val="2C6A3606"/>
    <w:rsid w:val="2C954D12"/>
    <w:rsid w:val="2CDC2A6A"/>
    <w:rsid w:val="2D405A73"/>
    <w:rsid w:val="2DD778A8"/>
    <w:rsid w:val="2DE60E90"/>
    <w:rsid w:val="2F4677AA"/>
    <w:rsid w:val="2F997AD9"/>
    <w:rsid w:val="305740C7"/>
    <w:rsid w:val="307A036E"/>
    <w:rsid w:val="30D6634D"/>
    <w:rsid w:val="313F6576"/>
    <w:rsid w:val="3244041E"/>
    <w:rsid w:val="326E213E"/>
    <w:rsid w:val="33161B09"/>
    <w:rsid w:val="334402A2"/>
    <w:rsid w:val="33A91FA8"/>
    <w:rsid w:val="34726570"/>
    <w:rsid w:val="34E35AFA"/>
    <w:rsid w:val="351D042F"/>
    <w:rsid w:val="358E3B60"/>
    <w:rsid w:val="35AC5357"/>
    <w:rsid w:val="35D073CC"/>
    <w:rsid w:val="36090A5B"/>
    <w:rsid w:val="378E07B0"/>
    <w:rsid w:val="37AF379E"/>
    <w:rsid w:val="37C00E66"/>
    <w:rsid w:val="37EF4C08"/>
    <w:rsid w:val="37FE3E28"/>
    <w:rsid w:val="3810142F"/>
    <w:rsid w:val="384E0A27"/>
    <w:rsid w:val="3925442D"/>
    <w:rsid w:val="398A14E8"/>
    <w:rsid w:val="399905EB"/>
    <w:rsid w:val="39C67DC8"/>
    <w:rsid w:val="3AA558C0"/>
    <w:rsid w:val="3B1D05C4"/>
    <w:rsid w:val="3B4F7221"/>
    <w:rsid w:val="3B5638C3"/>
    <w:rsid w:val="3B6D7ECB"/>
    <w:rsid w:val="3C69565A"/>
    <w:rsid w:val="3C7B3FEA"/>
    <w:rsid w:val="3DF75F67"/>
    <w:rsid w:val="3E7E2055"/>
    <w:rsid w:val="3F3E0D60"/>
    <w:rsid w:val="3FA70C24"/>
    <w:rsid w:val="3FAD195F"/>
    <w:rsid w:val="3FE944AA"/>
    <w:rsid w:val="4017333B"/>
    <w:rsid w:val="40AF384D"/>
    <w:rsid w:val="40B2309F"/>
    <w:rsid w:val="419D7B2F"/>
    <w:rsid w:val="41F66F64"/>
    <w:rsid w:val="426A25A0"/>
    <w:rsid w:val="42774FC1"/>
    <w:rsid w:val="427C0DF9"/>
    <w:rsid w:val="42FC2FE5"/>
    <w:rsid w:val="42FC3BFE"/>
    <w:rsid w:val="43053EBC"/>
    <w:rsid w:val="43410C1F"/>
    <w:rsid w:val="437155D5"/>
    <w:rsid w:val="440715EE"/>
    <w:rsid w:val="446B4210"/>
    <w:rsid w:val="44AE3968"/>
    <w:rsid w:val="4607074C"/>
    <w:rsid w:val="463538CC"/>
    <w:rsid w:val="466F2BC6"/>
    <w:rsid w:val="46C17680"/>
    <w:rsid w:val="470625A9"/>
    <w:rsid w:val="473A1072"/>
    <w:rsid w:val="475338B6"/>
    <w:rsid w:val="47B03065"/>
    <w:rsid w:val="48C23F0B"/>
    <w:rsid w:val="49994668"/>
    <w:rsid w:val="4A23046B"/>
    <w:rsid w:val="4A414586"/>
    <w:rsid w:val="4AC96DD6"/>
    <w:rsid w:val="4B3B2FDD"/>
    <w:rsid w:val="4BC477CC"/>
    <w:rsid w:val="4C4028D8"/>
    <w:rsid w:val="4CC23BF7"/>
    <w:rsid w:val="4CC968A9"/>
    <w:rsid w:val="4CEA6415"/>
    <w:rsid w:val="4D2C5A0C"/>
    <w:rsid w:val="4D412B1B"/>
    <w:rsid w:val="4E1413EE"/>
    <w:rsid w:val="4E5E62EB"/>
    <w:rsid w:val="4E9D381E"/>
    <w:rsid w:val="4F9E7702"/>
    <w:rsid w:val="4FD9213A"/>
    <w:rsid w:val="513A7E47"/>
    <w:rsid w:val="52172743"/>
    <w:rsid w:val="523F3806"/>
    <w:rsid w:val="539A79E7"/>
    <w:rsid w:val="54906AE2"/>
    <w:rsid w:val="54EC7959"/>
    <w:rsid w:val="552F1BE0"/>
    <w:rsid w:val="55C427F0"/>
    <w:rsid w:val="56CD1D37"/>
    <w:rsid w:val="57102E28"/>
    <w:rsid w:val="57253551"/>
    <w:rsid w:val="572A3E52"/>
    <w:rsid w:val="5764023B"/>
    <w:rsid w:val="579E5AFD"/>
    <w:rsid w:val="58C25A05"/>
    <w:rsid w:val="59507990"/>
    <w:rsid w:val="59C226EF"/>
    <w:rsid w:val="5A073628"/>
    <w:rsid w:val="5A4D0ED9"/>
    <w:rsid w:val="5ABC4FF2"/>
    <w:rsid w:val="5B572D05"/>
    <w:rsid w:val="5B713134"/>
    <w:rsid w:val="5C6E4055"/>
    <w:rsid w:val="5C890194"/>
    <w:rsid w:val="5D1B03EF"/>
    <w:rsid w:val="5DC2241B"/>
    <w:rsid w:val="5DE54A99"/>
    <w:rsid w:val="5DFA53F8"/>
    <w:rsid w:val="5E5870F3"/>
    <w:rsid w:val="5F3D27DE"/>
    <w:rsid w:val="5F7C5F1E"/>
    <w:rsid w:val="5FA064F5"/>
    <w:rsid w:val="60074907"/>
    <w:rsid w:val="60460DE7"/>
    <w:rsid w:val="622D1FD2"/>
    <w:rsid w:val="625D7575"/>
    <w:rsid w:val="62846EAD"/>
    <w:rsid w:val="62A96B84"/>
    <w:rsid w:val="631457C6"/>
    <w:rsid w:val="63907465"/>
    <w:rsid w:val="63D01810"/>
    <w:rsid w:val="63EC6E44"/>
    <w:rsid w:val="64894575"/>
    <w:rsid w:val="64C44BBC"/>
    <w:rsid w:val="657B26E7"/>
    <w:rsid w:val="65BF2319"/>
    <w:rsid w:val="666917AE"/>
    <w:rsid w:val="66DB1CB9"/>
    <w:rsid w:val="66E9123D"/>
    <w:rsid w:val="67485B99"/>
    <w:rsid w:val="677B0498"/>
    <w:rsid w:val="68076316"/>
    <w:rsid w:val="68081DD8"/>
    <w:rsid w:val="684655EB"/>
    <w:rsid w:val="68550E53"/>
    <w:rsid w:val="68573BD3"/>
    <w:rsid w:val="6A055ADA"/>
    <w:rsid w:val="6AFE40EF"/>
    <w:rsid w:val="6B8750DA"/>
    <w:rsid w:val="6BD76B2B"/>
    <w:rsid w:val="6DA03FB1"/>
    <w:rsid w:val="6DF20F58"/>
    <w:rsid w:val="6F0F3E43"/>
    <w:rsid w:val="6FA14676"/>
    <w:rsid w:val="70277A7A"/>
    <w:rsid w:val="70A4534C"/>
    <w:rsid w:val="70AA1431"/>
    <w:rsid w:val="70B36BAA"/>
    <w:rsid w:val="712B329F"/>
    <w:rsid w:val="714A1BF0"/>
    <w:rsid w:val="717F5038"/>
    <w:rsid w:val="72530B0B"/>
    <w:rsid w:val="7282580D"/>
    <w:rsid w:val="72D30B89"/>
    <w:rsid w:val="75146067"/>
    <w:rsid w:val="75E27E9F"/>
    <w:rsid w:val="76457DB8"/>
    <w:rsid w:val="76670549"/>
    <w:rsid w:val="77880AB7"/>
    <w:rsid w:val="792E5F2F"/>
    <w:rsid w:val="7A65011F"/>
    <w:rsid w:val="7B6A2965"/>
    <w:rsid w:val="7C0E3DDD"/>
    <w:rsid w:val="7C172990"/>
    <w:rsid w:val="7D305778"/>
    <w:rsid w:val="7D485449"/>
    <w:rsid w:val="7D7D02C1"/>
    <w:rsid w:val="7E7552EB"/>
    <w:rsid w:val="7F1747B6"/>
    <w:rsid w:val="7F7076B9"/>
    <w:rsid w:val="7FDD5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4">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5">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6">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7">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8">
    <w:name w:val="heading 6"/>
    <w:basedOn w:val="1"/>
    <w:next w:val="1"/>
    <w:link w:val="23"/>
    <w:semiHidden/>
    <w:unhideWhenUsed/>
    <w:qFormat/>
    <w:uiPriority w:val="9"/>
    <w:pPr>
      <w:keepNext/>
      <w:keepLines/>
      <w:spacing w:before="40"/>
      <w:outlineLvl w:val="5"/>
    </w:pPr>
    <w:rPr>
      <w:rFonts w:cstheme="majorBidi"/>
      <w:b/>
      <w:bCs/>
      <w:color w:val="2F5597" w:themeColor="accent1" w:themeShade="BF"/>
    </w:rPr>
  </w:style>
  <w:style w:type="paragraph" w:styleId="9">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BodyText2"/>
    <w:qFormat/>
    <w:uiPriority w:val="0"/>
    <w:pPr>
      <w:widowControl w:val="0"/>
      <w:spacing w:after="120" w:line="480" w:lineRule="auto"/>
      <w:jc w:val="both"/>
      <w:textAlignment w:val="baseline"/>
    </w:pPr>
    <w:rPr>
      <w:rFonts w:ascii="Times New Roman" w:hAnsi="Times New Roman" w:eastAsia="宋体" w:cs="Times New Roman"/>
      <w:kern w:val="2"/>
      <w:sz w:val="32"/>
      <w:szCs w:val="32"/>
      <w:lang w:val="en-US" w:eastAsia="zh-CN" w:bidi="ar-SA"/>
    </w:rPr>
  </w:style>
  <w:style w:type="paragraph" w:styleId="12">
    <w:name w:val="footer"/>
    <w:basedOn w:val="1"/>
    <w:link w:val="37"/>
    <w:unhideWhenUsed/>
    <w:qFormat/>
    <w:uiPriority w:val="99"/>
    <w:pPr>
      <w:tabs>
        <w:tab w:val="center" w:pos="4153"/>
        <w:tab w:val="right" w:pos="8306"/>
      </w:tabs>
      <w:snapToGrid w:val="0"/>
      <w:jc w:val="left"/>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3"/>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7"/>
    <w:link w:val="4"/>
    <w:semiHidden/>
    <w:qFormat/>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7"/>
    <w:link w:val="5"/>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7"/>
    <w:link w:val="6"/>
    <w:semiHidden/>
    <w:qFormat/>
    <w:uiPriority w:val="9"/>
    <w:rPr>
      <w:rFonts w:cstheme="majorBidi"/>
      <w:color w:val="2F5597" w:themeColor="accent1" w:themeShade="BF"/>
      <w:sz w:val="28"/>
      <w:szCs w:val="28"/>
    </w:rPr>
  </w:style>
  <w:style w:type="character" w:customStyle="1" w:styleId="22">
    <w:name w:val="标题 5 字符"/>
    <w:basedOn w:val="17"/>
    <w:link w:val="7"/>
    <w:semiHidden/>
    <w:qFormat/>
    <w:uiPriority w:val="9"/>
    <w:rPr>
      <w:rFonts w:cstheme="majorBidi"/>
      <w:color w:val="2F5597" w:themeColor="accent1" w:themeShade="BF"/>
      <w:sz w:val="24"/>
      <w:szCs w:val="24"/>
    </w:rPr>
  </w:style>
  <w:style w:type="character" w:customStyle="1" w:styleId="23">
    <w:name w:val="标题 6 字符"/>
    <w:basedOn w:val="17"/>
    <w:link w:val="8"/>
    <w:semiHidden/>
    <w:qFormat/>
    <w:uiPriority w:val="9"/>
    <w:rPr>
      <w:rFonts w:cstheme="majorBidi"/>
      <w:b/>
      <w:bCs/>
      <w:color w:val="2F5597" w:themeColor="accent1" w:themeShade="BF"/>
    </w:rPr>
  </w:style>
  <w:style w:type="character" w:customStyle="1" w:styleId="24">
    <w:name w:val="标题 7 字符"/>
    <w:basedOn w:val="17"/>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7"/>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7"/>
    <w:link w:val="33"/>
    <w:qFormat/>
    <w:uiPriority w:val="30"/>
    <w:rPr>
      <w:i/>
      <w:iCs/>
      <w:color w:val="2F5597" w:themeColor="accent1" w:themeShade="BF"/>
    </w:rPr>
  </w:style>
  <w:style w:type="character" w:customStyle="1" w:styleId="35">
    <w:name w:val="Intense Reference"/>
    <w:basedOn w:val="17"/>
    <w:qFormat/>
    <w:uiPriority w:val="32"/>
    <w:rPr>
      <w:b/>
      <w:bCs/>
      <w:smallCaps/>
      <w:color w:val="2F5597"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 w:type="paragraph" w:customStyle="1" w:styleId="38">
    <w:name w:val="段"/>
    <w:link w:val="39"/>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0"/>
      <w:sz w:val="21"/>
      <w:szCs w:val="20"/>
      <w:lang w:val="en-US" w:eastAsia="zh-CN" w:bidi="ar-SA"/>
    </w:rPr>
  </w:style>
  <w:style w:type="character" w:customStyle="1" w:styleId="39">
    <w:name w:val="段 Char"/>
    <w:link w:val="38"/>
    <w:qFormat/>
    <w:uiPriority w:val="0"/>
    <w:rPr>
      <w:rFonts w:ascii="宋体" w:hAnsi="Calibri" w:eastAsia="宋体" w:cs="Times New Roman"/>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D:\360MoveData\Users\YGS\Desktop\&#29976;&#34071;&#30899;&#27719;-&#20070;&#31295;&#39064;&#32434;\&#38470;&#27704;&#39034;\&#35266;&#27979;&#25968;&#25454;&#25972;&#29702;\2022-2024&#24180;&#19977;&#20010;&#28857;&#29983;&#29289;&#37327;&#12289;&#22266;&#30899;&#37327;&#12289;&#21547;&#27700;&#29575;&#36880;&#26376;&#21464;&#21270;-&#26368;&#20840;&#30340;&#25968;&#25454;-0301-&#19969;&#32654;&#3345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mn-lt"/>
                <a:ea typeface="+mn-ea"/>
                <a:cs typeface="+mn-cs"/>
              </a:defRPr>
            </a:pPr>
            <a:r>
              <a:rPr lang="zh-CN" altLang="en-US" sz="800"/>
              <a:t>不同地区甘蔗地上部分平均</a:t>
            </a:r>
            <a:endParaRPr lang="en-US" altLang="zh-CN" sz="800"/>
          </a:p>
          <a:p>
            <a:pPr>
              <a:defRPr lang="zh-CN" sz="800" b="0" i="0" u="none" strike="noStrike" kern="1200" spc="0" baseline="0">
                <a:solidFill>
                  <a:sysClr val="windowText" lastClr="000000">
                    <a:lumMod val="65000"/>
                    <a:lumOff val="35000"/>
                  </a:sysClr>
                </a:solidFill>
                <a:latin typeface="+mn-lt"/>
                <a:ea typeface="+mn-ea"/>
                <a:cs typeface="+mn-cs"/>
              </a:defRPr>
            </a:pPr>
            <a:r>
              <a:rPr lang="zh-CN" altLang="en-US" sz="800"/>
              <a:t>固碳量（吨</a:t>
            </a:r>
            <a:r>
              <a:rPr lang="en-US" altLang="zh-CN" sz="800"/>
              <a:t>/</a:t>
            </a:r>
            <a:r>
              <a:rPr lang="zh-CN" altLang="en-US" sz="800"/>
              <a:t>亩）</a:t>
            </a:r>
            <a:endParaRPr lang="zh-CN" altLang="en-US" sz="800"/>
          </a:p>
        </c:rich>
      </c:tx>
      <c:layout/>
      <c:overlay val="0"/>
      <c:spPr>
        <a:noFill/>
        <a:ln>
          <a:noFill/>
        </a:ln>
        <a:effectLst/>
      </c:spPr>
    </c:title>
    <c:autoTitleDeleted val="0"/>
    <c:plotArea>
      <c:layout/>
      <c:barChart>
        <c:barDir val="col"/>
        <c:grouping val="clustered"/>
        <c:varyColors val="0"/>
        <c:ser>
          <c:idx val="0"/>
          <c:order val="0"/>
          <c:tx>
            <c:strRef>
              <c:f>'0301最后固碳量分析结果'!$DI$37</c:f>
              <c:strCache>
                <c:ptCount val="1"/>
                <c:pt idx="0">
                  <c:v>来宾地上部分平均固碳量</c:v>
                </c:pt>
              </c:strCache>
            </c:strRef>
          </c:tx>
          <c:spPr>
            <a:solidFill>
              <a:srgbClr val="4F81BD"/>
            </a:solidFill>
            <a:ln>
              <a:noFill/>
            </a:ln>
            <a:effectLst/>
          </c:spPr>
          <c:invertIfNegative val="0"/>
          <c:dLbls>
            <c:delete val="1"/>
          </c:dLbls>
          <c:cat>
            <c:strRef>
              <c:f>'0301最后固碳量分析结果'!$DH$38</c:f>
              <c:strCache>
                <c:ptCount val="1"/>
                <c:pt idx="0">
                  <c:v>11月</c:v>
                </c:pt>
              </c:strCache>
            </c:strRef>
          </c:cat>
          <c:val>
            <c:numRef>
              <c:f>'0301最后固碳量分析结果'!$DI$38</c:f>
              <c:numCache>
                <c:formatCode>General</c:formatCode>
                <c:ptCount val="1"/>
                <c:pt idx="0">
                  <c:v>1.00445544434611</c:v>
                </c:pt>
              </c:numCache>
            </c:numRef>
          </c:val>
        </c:ser>
        <c:ser>
          <c:idx val="1"/>
          <c:order val="1"/>
          <c:tx>
            <c:strRef>
              <c:f>'0301最后固碳量分析结果'!$DJ$37</c:f>
              <c:strCache>
                <c:ptCount val="1"/>
                <c:pt idx="0">
                  <c:v>横州地上部分平均固碳量</c:v>
                </c:pt>
              </c:strCache>
            </c:strRef>
          </c:tx>
          <c:spPr>
            <a:solidFill>
              <a:srgbClr val="C0504D"/>
            </a:solidFill>
            <a:ln>
              <a:noFill/>
            </a:ln>
            <a:effectLst/>
          </c:spPr>
          <c:invertIfNegative val="0"/>
          <c:dLbls>
            <c:delete val="1"/>
          </c:dLbls>
          <c:cat>
            <c:strRef>
              <c:f>'0301最后固碳量分析结果'!$DH$38</c:f>
              <c:strCache>
                <c:ptCount val="1"/>
                <c:pt idx="0">
                  <c:v>11月</c:v>
                </c:pt>
              </c:strCache>
            </c:strRef>
          </c:cat>
          <c:val>
            <c:numRef>
              <c:f>'0301最后固碳量分析结果'!$DJ$38</c:f>
              <c:numCache>
                <c:formatCode>General</c:formatCode>
                <c:ptCount val="1"/>
                <c:pt idx="0">
                  <c:v>0.587759352239436</c:v>
                </c:pt>
              </c:numCache>
            </c:numRef>
          </c:val>
        </c:ser>
        <c:ser>
          <c:idx val="2"/>
          <c:order val="2"/>
          <c:tx>
            <c:strRef>
              <c:f>'0301最后固碳量分析结果'!$DK$37</c:f>
              <c:strCache>
                <c:ptCount val="1"/>
                <c:pt idx="0">
                  <c:v>柳州地上部分平均固碳量</c:v>
                </c:pt>
              </c:strCache>
            </c:strRef>
          </c:tx>
          <c:spPr>
            <a:solidFill>
              <a:srgbClr val="9BBB59"/>
            </a:solidFill>
            <a:ln>
              <a:noFill/>
            </a:ln>
            <a:effectLst/>
          </c:spPr>
          <c:invertIfNegative val="0"/>
          <c:dLbls>
            <c:delete val="1"/>
          </c:dLbls>
          <c:cat>
            <c:strRef>
              <c:f>'0301最后固碳量分析结果'!$DH$38</c:f>
              <c:strCache>
                <c:ptCount val="1"/>
                <c:pt idx="0">
                  <c:v>11月</c:v>
                </c:pt>
              </c:strCache>
            </c:strRef>
          </c:cat>
          <c:val>
            <c:numRef>
              <c:f>'0301最后固碳量分析结果'!$DK$38</c:f>
              <c:numCache>
                <c:formatCode>General</c:formatCode>
                <c:ptCount val="1"/>
                <c:pt idx="0">
                  <c:v>0.993030149025001</c:v>
                </c:pt>
              </c:numCache>
            </c:numRef>
          </c:val>
        </c:ser>
        <c:ser>
          <c:idx val="3"/>
          <c:order val="3"/>
          <c:tx>
            <c:strRef>
              <c:f>'0301最后固碳量分析结果'!$DL$37</c:f>
              <c:strCache>
                <c:ptCount val="1"/>
                <c:pt idx="0">
                  <c:v>上思地上部分平均固碳量</c:v>
                </c:pt>
              </c:strCache>
            </c:strRef>
          </c:tx>
          <c:spPr>
            <a:solidFill>
              <a:srgbClr val="8064A2"/>
            </a:solidFill>
            <a:ln>
              <a:noFill/>
            </a:ln>
            <a:effectLst/>
          </c:spPr>
          <c:invertIfNegative val="0"/>
          <c:dLbls>
            <c:delete val="1"/>
          </c:dLbls>
          <c:cat>
            <c:strRef>
              <c:f>'0301最后固碳量分析结果'!$DH$38</c:f>
              <c:strCache>
                <c:ptCount val="1"/>
                <c:pt idx="0">
                  <c:v>11月</c:v>
                </c:pt>
              </c:strCache>
            </c:strRef>
          </c:cat>
          <c:val>
            <c:numRef>
              <c:f>'0301最后固碳量分析结果'!$DL$38</c:f>
              <c:numCache>
                <c:formatCode>General</c:formatCode>
                <c:ptCount val="1"/>
                <c:pt idx="0">
                  <c:v>1.062934245</c:v>
                </c:pt>
              </c:numCache>
            </c:numRef>
          </c:val>
        </c:ser>
        <c:dLbls>
          <c:showLegendKey val="0"/>
          <c:showVal val="0"/>
          <c:showCatName val="0"/>
          <c:showSerName val="0"/>
          <c:showPercent val="0"/>
          <c:showBubbleSize val="0"/>
        </c:dLbls>
        <c:gapWidth val="219"/>
        <c:overlap val="-27"/>
        <c:axId val="581000024"/>
        <c:axId val="580999368"/>
      </c:barChart>
      <c:catAx>
        <c:axId val="581000024"/>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580999368"/>
        <c:crosses val="autoZero"/>
        <c:auto val="1"/>
        <c:lblAlgn val="ctr"/>
        <c:lblOffset val="100"/>
        <c:noMultiLvlLbl val="0"/>
      </c:catAx>
      <c:valAx>
        <c:axId val="58099936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600" b="0" i="0" u="none" strike="noStrike" kern="1200" baseline="0">
                <a:solidFill>
                  <a:sysClr val="windowText" lastClr="000000">
                    <a:lumMod val="65000"/>
                    <a:lumOff val="35000"/>
                  </a:sysClr>
                </a:solidFill>
                <a:latin typeface="+mn-lt"/>
                <a:ea typeface="+mn-ea"/>
                <a:cs typeface="+mn-cs"/>
              </a:defRPr>
            </a:pPr>
          </a:p>
        </c:txPr>
        <c:crossAx val="58100002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6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835</Words>
  <Characters>4763</Characters>
  <Lines>39</Lines>
  <Paragraphs>11</Paragraphs>
  <TotalTime>10</TotalTime>
  <ScaleCrop>false</ScaleCrop>
  <LinksUpToDate>false</LinksUpToDate>
  <CharactersWithSpaces>5587</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2025-12-15T03:05:00Z</dcterms:created>
  <dc:creator>陆思宇</dc:creator>
  <cp:lastModifiedBy>admin</cp:lastModifiedBy>
  <dcterms:modified xsi:type="dcterms:W3CDTF">2026-03-24T08:14:59Z</dcterms:modified>
  <cp:revision>280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