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2D1F025">
      <w:pPr>
        <w:jc w:val="center"/>
        <w:rPr>
          <w:rFonts w:hint="eastAsia" w:ascii="方正小标宋简体" w:hAnsi="方正小标宋简体" w:eastAsia="方正小标宋简体" w:cs="方正小标宋简体"/>
          <w:bCs/>
          <w:sz w:val="36"/>
          <w:szCs w:val="32"/>
        </w:rPr>
      </w:pPr>
      <w:r>
        <w:rPr>
          <w:rFonts w:hint="eastAsia" w:ascii="方正小标宋简体" w:hAnsi="方正小标宋简体" w:eastAsia="方正小标宋简体" w:cs="方正小标宋简体"/>
          <w:bCs/>
          <w:sz w:val="36"/>
          <w:szCs w:val="32"/>
        </w:rPr>
        <w:t>团体标准《</w:t>
      </w:r>
      <w:r>
        <w:rPr>
          <w:rFonts w:hint="eastAsia" w:ascii="方正小标宋简体" w:hAnsi="方正小标宋简体" w:eastAsia="方正小标宋简体" w:cs="方正小标宋简体"/>
          <w:bCs/>
          <w:sz w:val="36"/>
          <w:szCs w:val="32"/>
          <w:lang w:eastAsia="zh-CN"/>
        </w:rPr>
        <w:t>高速公路收费站机房网络智能化运维管理规范</w:t>
      </w:r>
      <w:r>
        <w:rPr>
          <w:rFonts w:hint="eastAsia" w:ascii="方正小标宋简体" w:hAnsi="方正小标宋简体" w:eastAsia="方正小标宋简体" w:cs="方正小标宋简体"/>
          <w:bCs/>
          <w:sz w:val="36"/>
          <w:szCs w:val="32"/>
        </w:rPr>
        <w:t>》（</w:t>
      </w:r>
      <w:r>
        <w:rPr>
          <w:rFonts w:hint="eastAsia" w:ascii="方正小标宋简体" w:hAnsi="方正小标宋简体" w:eastAsia="方正小标宋简体" w:cs="方正小标宋简体"/>
          <w:bCs/>
          <w:sz w:val="36"/>
          <w:szCs w:val="32"/>
          <w:lang w:eastAsia="zh-CN"/>
        </w:rPr>
        <w:t>征求意见</w:t>
      </w:r>
      <w:r>
        <w:rPr>
          <w:rFonts w:hint="eastAsia" w:ascii="方正小标宋简体" w:hAnsi="方正小标宋简体" w:eastAsia="方正小标宋简体" w:cs="方正小标宋简体"/>
          <w:bCs/>
          <w:sz w:val="36"/>
          <w:szCs w:val="32"/>
        </w:rPr>
        <w:t>稿）编制说明</w:t>
      </w:r>
    </w:p>
    <w:p w14:paraId="6AF687CB">
      <w:pPr>
        <w:ind w:firstLine="360"/>
        <w:jc w:val="center"/>
        <w:rPr>
          <w:rFonts w:ascii="微软雅黑" w:eastAsia="微软雅黑" w:cs="仿宋_GB2312"/>
          <w:bCs/>
          <w:sz w:val="18"/>
          <w:szCs w:val="18"/>
        </w:rPr>
      </w:pPr>
    </w:p>
    <w:p w14:paraId="0EC4541C">
      <w:pPr>
        <w:spacing w:line="520" w:lineRule="exact"/>
        <w:ind w:firstLine="640" w:firstLineChars="200"/>
        <w:outlineLvl w:val="0"/>
        <w:rPr>
          <w:rFonts w:ascii="黑体" w:eastAsia="黑体" w:cs="仿宋_GB2312"/>
          <w:bCs/>
          <w:sz w:val="32"/>
          <w:szCs w:val="32"/>
        </w:rPr>
      </w:pPr>
      <w:r>
        <w:rPr>
          <w:rFonts w:hint="eastAsia" w:ascii="黑体" w:eastAsia="黑体" w:cs="仿宋_GB2312"/>
          <w:sz w:val="32"/>
          <w:szCs w:val="32"/>
        </w:rPr>
        <w:t>一、任务来源、起草单位、主要起草人</w:t>
      </w:r>
    </w:p>
    <w:p w14:paraId="1CDB763D">
      <w:pPr>
        <w:spacing w:line="520" w:lineRule="exact"/>
        <w:ind w:firstLine="560" w:firstLineChars="200"/>
        <w:rPr>
          <w:rFonts w:ascii="仿宋_GB2312" w:eastAsia="仿宋_GB2312"/>
          <w:sz w:val="28"/>
          <w:szCs w:val="28"/>
        </w:rPr>
      </w:pPr>
      <w:r>
        <w:rPr>
          <w:rFonts w:hint="eastAsia" w:ascii="仿宋_GB2312" w:eastAsia="仿宋_GB2312"/>
          <w:sz w:val="28"/>
          <w:szCs w:val="28"/>
        </w:rPr>
        <w:t>根据《广西标准化协会关于下达2026年第二批原创性高质量团体标准制修订项目计划的通知》（桂标协〔202</w:t>
      </w:r>
      <w:r>
        <w:rPr>
          <w:rFonts w:hint="eastAsia" w:ascii="仿宋_GB2312" w:eastAsia="仿宋_GB2312"/>
          <w:sz w:val="28"/>
          <w:szCs w:val="28"/>
          <w:lang w:val="en-US" w:eastAsia="zh-CN"/>
        </w:rPr>
        <w:t>6</w:t>
      </w:r>
      <w:r>
        <w:rPr>
          <w:rFonts w:hint="eastAsia" w:ascii="仿宋_GB2312" w:eastAsia="仿宋_GB2312"/>
          <w:sz w:val="28"/>
          <w:szCs w:val="28"/>
        </w:rPr>
        <w:t>〕</w:t>
      </w:r>
      <w:r>
        <w:rPr>
          <w:rFonts w:hint="eastAsia" w:ascii="仿宋_GB2312" w:eastAsia="仿宋_GB2312"/>
          <w:sz w:val="28"/>
          <w:szCs w:val="28"/>
          <w:lang w:val="en-US" w:eastAsia="zh-CN"/>
        </w:rPr>
        <w:t>32</w:t>
      </w:r>
      <w:r>
        <w:rPr>
          <w:rFonts w:hint="eastAsia" w:ascii="仿宋_GB2312" w:eastAsia="仿宋_GB2312"/>
          <w:sz w:val="28"/>
          <w:szCs w:val="28"/>
        </w:rPr>
        <w:t>号）精神，由广西网络安全和信息化联合会提出，</w:t>
      </w:r>
      <w:r>
        <w:rPr>
          <w:rFonts w:hint="eastAsia" w:ascii="仿宋_GB2312" w:eastAsia="仿宋_GB2312"/>
          <w:sz w:val="28"/>
          <w:szCs w:val="28"/>
          <w:lang w:eastAsia="zh-CN"/>
        </w:rPr>
        <w:t>广西福玉高速公路有限公司、广西智投机电工程有限公司、广西交通投资集团梧州高速公路运营有限公司、广西网络安全和信息化联合会、广西智能交通科技有限公司</w:t>
      </w:r>
      <w:r>
        <w:rPr>
          <w:rFonts w:hint="eastAsia" w:ascii="仿宋_GB2312" w:eastAsia="仿宋_GB2312"/>
          <w:sz w:val="28"/>
          <w:szCs w:val="28"/>
        </w:rPr>
        <w:t>等单位共同起草的团体标准《</w:t>
      </w:r>
      <w:r>
        <w:rPr>
          <w:rFonts w:hint="eastAsia" w:ascii="仿宋_GB2312" w:eastAsia="仿宋_GB2312"/>
          <w:sz w:val="28"/>
          <w:szCs w:val="28"/>
          <w:lang w:eastAsia="zh-CN"/>
        </w:rPr>
        <w:t>高速公路收费站机房网络智能化运维管理规范</w:t>
      </w:r>
      <w:r>
        <w:rPr>
          <w:rFonts w:hint="eastAsia" w:ascii="仿宋_GB2312" w:eastAsia="仿宋_GB2312"/>
          <w:sz w:val="28"/>
          <w:szCs w:val="28"/>
        </w:rPr>
        <w:t>》（项目编号：2026-020</w:t>
      </w:r>
      <w:r>
        <w:rPr>
          <w:rFonts w:hint="eastAsia" w:ascii="仿宋_GB2312" w:eastAsia="仿宋_GB2312"/>
          <w:sz w:val="28"/>
          <w:szCs w:val="28"/>
          <w:lang w:val="en-US" w:eastAsia="zh-CN"/>
        </w:rPr>
        <w:t>2</w:t>
      </w:r>
      <w:r>
        <w:rPr>
          <w:rFonts w:hint="eastAsia" w:ascii="仿宋_GB2312" w:eastAsia="仿宋_GB2312"/>
          <w:sz w:val="28"/>
          <w:szCs w:val="28"/>
        </w:rPr>
        <w:t>），已获立项。</w:t>
      </w:r>
    </w:p>
    <w:p w14:paraId="2A53C140">
      <w:pPr>
        <w:spacing w:line="520" w:lineRule="exact"/>
        <w:ind w:firstLine="560" w:firstLineChars="200"/>
        <w:rPr>
          <w:rFonts w:hint="eastAsia" w:ascii="仿宋_GB2312" w:eastAsia="仿宋_GB2312"/>
          <w:sz w:val="28"/>
          <w:szCs w:val="28"/>
          <w:highlight w:val="yellow"/>
          <w:lang w:eastAsia="zh-CN"/>
        </w:rPr>
      </w:pPr>
      <w:r>
        <w:rPr>
          <w:rFonts w:hint="eastAsia" w:ascii="仿宋_GB2312" w:eastAsia="仿宋_GB2312"/>
          <w:sz w:val="28"/>
          <w:szCs w:val="28"/>
        </w:rPr>
        <w:t>为高质量编制团体标准《</w:t>
      </w:r>
      <w:r>
        <w:rPr>
          <w:rFonts w:hint="eastAsia" w:ascii="仿宋_GB2312" w:eastAsia="仿宋_GB2312"/>
          <w:sz w:val="28"/>
          <w:szCs w:val="28"/>
          <w:lang w:eastAsia="zh-CN"/>
        </w:rPr>
        <w:t>高速公路收费站机房网络智能化运维管理规范</w:t>
      </w:r>
      <w:r>
        <w:rPr>
          <w:rFonts w:hint="eastAsia" w:ascii="仿宋_GB2312" w:eastAsia="仿宋_GB2312"/>
          <w:sz w:val="28"/>
          <w:szCs w:val="28"/>
        </w:rPr>
        <w:t>》，由起草单位成立标准编制工作组并进行如下分工：</w:t>
      </w:r>
    </w:p>
    <w:tbl>
      <w:tblPr>
        <w:tblStyle w:val="16"/>
        <w:tblW w:w="9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5"/>
        <w:gridCol w:w="1583"/>
        <w:gridCol w:w="1538"/>
        <w:gridCol w:w="2386"/>
        <w:gridCol w:w="2948"/>
      </w:tblGrid>
      <w:tr w14:paraId="06D91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005" w:type="dxa"/>
            <w:tcBorders>
              <w:top w:val="single" w:color="auto" w:sz="4" w:space="0"/>
              <w:left w:val="single" w:color="auto" w:sz="4" w:space="0"/>
              <w:bottom w:val="single" w:color="auto" w:sz="4" w:space="0"/>
              <w:right w:val="single" w:color="auto" w:sz="4" w:space="0"/>
            </w:tcBorders>
            <w:vAlign w:val="center"/>
          </w:tcPr>
          <w:p w14:paraId="6A298BD7">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姓名</w:t>
            </w:r>
          </w:p>
        </w:tc>
        <w:tc>
          <w:tcPr>
            <w:tcW w:w="1583" w:type="dxa"/>
            <w:tcBorders>
              <w:top w:val="single" w:color="auto" w:sz="4" w:space="0"/>
              <w:left w:val="single" w:color="auto" w:sz="4" w:space="0"/>
              <w:bottom w:val="single" w:color="auto" w:sz="4" w:space="0"/>
              <w:right w:val="single" w:color="auto" w:sz="4" w:space="0"/>
            </w:tcBorders>
            <w:vAlign w:val="center"/>
          </w:tcPr>
          <w:p w14:paraId="56E69DE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职务/职</w:t>
            </w:r>
            <w:r>
              <w:rPr>
                <w:rFonts w:hint="default" w:ascii="仿宋_GB2312" w:hAnsi="仿宋" w:eastAsia="仿宋_GB2312" w:cs="仿宋"/>
                <w:b/>
                <w:sz w:val="24"/>
              </w:rPr>
              <w:t>称</w:t>
            </w:r>
          </w:p>
        </w:tc>
        <w:tc>
          <w:tcPr>
            <w:tcW w:w="1538" w:type="dxa"/>
            <w:tcBorders>
              <w:top w:val="single" w:color="auto" w:sz="4" w:space="0"/>
              <w:left w:val="single" w:color="auto" w:sz="4" w:space="0"/>
              <w:bottom w:val="single" w:color="auto" w:sz="4" w:space="0"/>
              <w:right w:val="single" w:color="auto" w:sz="4" w:space="0"/>
            </w:tcBorders>
            <w:vAlign w:val="center"/>
          </w:tcPr>
          <w:p w14:paraId="6844AF36">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从事</w:t>
            </w:r>
          </w:p>
          <w:p w14:paraId="2E0293F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专业</w:t>
            </w:r>
          </w:p>
        </w:tc>
        <w:tc>
          <w:tcPr>
            <w:tcW w:w="2386" w:type="dxa"/>
            <w:tcBorders>
              <w:top w:val="single" w:color="auto" w:sz="4" w:space="0"/>
              <w:left w:val="single" w:color="auto" w:sz="4" w:space="0"/>
              <w:bottom w:val="single" w:color="auto" w:sz="4" w:space="0"/>
              <w:right w:val="single" w:color="auto" w:sz="4" w:space="0"/>
            </w:tcBorders>
            <w:vAlign w:val="center"/>
          </w:tcPr>
          <w:p w14:paraId="33F35368">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工作单位</w:t>
            </w:r>
          </w:p>
        </w:tc>
        <w:tc>
          <w:tcPr>
            <w:tcW w:w="2948" w:type="dxa"/>
            <w:tcBorders>
              <w:top w:val="single" w:color="auto" w:sz="4" w:space="0"/>
              <w:left w:val="single" w:color="auto" w:sz="4" w:space="0"/>
              <w:bottom w:val="single" w:color="auto" w:sz="4" w:space="0"/>
              <w:right w:val="single" w:color="auto" w:sz="4" w:space="0"/>
            </w:tcBorders>
            <w:vAlign w:val="center"/>
          </w:tcPr>
          <w:p w14:paraId="18D38D1B">
            <w:pPr>
              <w:keepNext w:val="0"/>
              <w:keepLines w:val="0"/>
              <w:suppressLineNumbers w:val="0"/>
              <w:spacing w:before="0" w:beforeAutospacing="0" w:after="0" w:afterAutospacing="0"/>
              <w:ind w:left="0" w:right="0"/>
              <w:jc w:val="center"/>
              <w:rPr>
                <w:rFonts w:hint="eastAsia" w:ascii="仿宋_GB2312" w:hAnsi="仿宋" w:eastAsia="仿宋_GB2312" w:cs="仿宋"/>
                <w:b/>
                <w:sz w:val="24"/>
              </w:rPr>
            </w:pPr>
            <w:r>
              <w:rPr>
                <w:rFonts w:hint="eastAsia" w:ascii="仿宋_GB2312" w:hAnsi="仿宋" w:eastAsia="仿宋_GB2312" w:cs="仿宋"/>
                <w:b/>
                <w:sz w:val="24"/>
              </w:rPr>
              <w:t>主要负责工作</w:t>
            </w:r>
          </w:p>
        </w:tc>
      </w:tr>
      <w:tr w14:paraId="387FD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5935A9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秦曙光</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62C9AF5">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副总经理/高级工程师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84167A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031F917">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82D9A2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全面组织</w:t>
            </w:r>
          </w:p>
        </w:tc>
      </w:tr>
      <w:tr w14:paraId="38F5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0D83A81E">
            <w:pPr>
              <w:keepNext w:val="0"/>
              <w:keepLines w:val="0"/>
              <w:widowControl w:val="0"/>
              <w:suppressLineNumbers w:val="0"/>
              <w:tabs>
                <w:tab w:val="left" w:pos="566"/>
              </w:tabs>
              <w:spacing w:before="0" w:beforeAutospacing="0" w:after="0" w:afterAutospacing="0"/>
              <w:ind w:left="0" w:leftChars="0" w:right="0" w:rightChars="0"/>
              <w:jc w:val="left"/>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覃瑞宏</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BE7D7EF">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853D746">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公路与城市道路工程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3765E31">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F08356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指导规范文本及编制说明编写，质量控制</w:t>
            </w:r>
          </w:p>
        </w:tc>
      </w:tr>
      <w:tr w14:paraId="2FAF4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91C737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刘聪</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EBFE524">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工程管理部部长/高级工程师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2C65FF5">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F5C1797">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B01D0A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负责起草规范草案，征求意见稿和规范编制说明的编写工作</w:t>
            </w:r>
          </w:p>
        </w:tc>
      </w:tr>
      <w:tr w14:paraId="5B3AB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21D326A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李诗荣</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68E67A7D">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总经理/高级工程师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CF6055E">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机电工程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538DFEF">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1F3A62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40ABC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02482E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聂林焕</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0EB1BA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副经理/中级职称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6905B9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B1670D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广西交通投资集团梧州高速公路运营有限公司平南分公司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6F2EE4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15F9E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1CD971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刘耀喜</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2256DC4C">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技术负责人/高级工程师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94E0242">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通信工程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0B99616">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ABFAA6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541AC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751A724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李莉莉</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AB4689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工程管理部副部长/高级工程师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61DCB1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园林专业</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0040CF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367225A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统筹规范编制工作组织人员进行规范发布后的宣贯培训</w:t>
            </w:r>
          </w:p>
        </w:tc>
      </w:tr>
      <w:tr w14:paraId="0FAFB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54ED8311">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邵先涛</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380DD98">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机电工程师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01C1CA84">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测控技术与仪器</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282E992">
            <w:pPr>
              <w:keepNext w:val="0"/>
              <w:keepLines w:val="0"/>
              <w:widowControl w:val="0"/>
              <w:suppressLineNumbers w:val="0"/>
              <w:spacing w:before="0" w:beforeAutospacing="0" w:after="0" w:afterAutospacing="0"/>
              <w:ind w:left="0" w:leftChars="0" w:right="0" w:right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734741A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负责送审稿及编制说明的编写工作</w:t>
            </w:r>
          </w:p>
        </w:tc>
      </w:tr>
      <w:tr w14:paraId="18E52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12020BF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覃信满</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725C6CD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隧道站站长/工程师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5EC91BD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43E2B45">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广西交通投资集团梧州高速公路运营有限公司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00EF54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负责起草规范草案，征求意见稿和规范编制说明，送审稿及编制说明的编写工作</w:t>
            </w:r>
          </w:p>
        </w:tc>
      </w:tr>
      <w:tr w14:paraId="050952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4539B97A">
            <w:pPr>
              <w:keepNext w:val="0"/>
              <w:keepLines w:val="0"/>
              <w:widowControl w:val="0"/>
              <w:suppressLineNumbers w:val="0"/>
              <w:spacing w:before="0" w:beforeAutospacing="0" w:after="0" w:afterAutospacing="0"/>
              <w:ind w:left="0" w:right="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朱帅学</w:t>
            </w:r>
            <w:bookmarkStart w:id="0" w:name="_GoBack"/>
            <w:bookmarkEnd w:id="0"/>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B15BD1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机电工程师/助理级职称</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60B738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电子信息工程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48F169C1">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E3A5CA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负责编制说明的编写，质量控制</w:t>
            </w:r>
          </w:p>
        </w:tc>
      </w:tr>
      <w:tr w14:paraId="270AA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0C9A73F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奉佳</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61CC351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专职副会长兼秘书长/高级程序员</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7FD041E">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网络安全和信息化</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83FF107">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 xml:space="preserve">广西网络安全和信息化联合会 </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F6F2B8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1C233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68BA270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韦芳圻</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56EAE9D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工程师/中级</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B1B32F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政策研究</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2393825">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 xml:space="preserve">广西网络安全和信息化联合会 </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0678C7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16EB6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4B05428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尹哲明</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4E79498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33D1073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计算机科学与技术</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764E34D">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南宁高新技术产业开发区管理委员会</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20AA1C2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负责对网络安全相关部分进行把关并提出意见</w:t>
            </w:r>
          </w:p>
        </w:tc>
      </w:tr>
      <w:tr w14:paraId="6E54F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08F3286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覃贵耀</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01FB493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工程管理工程师/工程师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2933205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机械工程及自动化</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7B5DEEAF">
            <w:pPr>
              <w:keepNext w:val="0"/>
              <w:keepLines w:val="0"/>
              <w:widowControl w:val="0"/>
              <w:suppressLineNumbers w:val="0"/>
              <w:spacing w:before="0" w:beforeAutospacing="0" w:after="0" w:afterAutospacing="0"/>
              <w:ind w:left="0" w:leftChars="0" w:right="0" w:rightChars="0"/>
              <w:jc w:val="center"/>
              <w:rPr>
                <w:rFonts w:hint="eastAsia" w:ascii="Calibri" w:hAnsi="Calibri" w:eastAsia="宋体" w:cs="Calibri"/>
                <w:kern w:val="2"/>
                <w:sz w:val="24"/>
                <w:szCs w:val="24"/>
                <w:lang w:val="en-US" w:eastAsia="zh-CN" w:bidi="ar-SA"/>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495755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18E0C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7CF1089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吴玮</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52DCE050">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计量工程师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E96303B">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工程造价</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62C5391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广西智投机电工程有限公司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432C630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3856B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3F2FAB1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石方楠</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2E7F7A64">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工程管理部副部长/高级工程师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6B871E6D">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土木工程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39A7331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5E608838">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28EEA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0A4E94B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陈佳</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1576557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工程管理工程师/工程师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77B9640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bCs/>
                <w:kern w:val="2"/>
                <w:sz w:val="24"/>
                <w:szCs w:val="24"/>
                <w:lang w:val="en-US" w:eastAsia="zh-CN" w:bidi="ar"/>
              </w:rPr>
              <w:t>交通运输工程</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1E3EA04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广西福玉高速公路有限公司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6396BD7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负责送审稿及编制说明的编写工作</w:t>
            </w:r>
          </w:p>
        </w:tc>
      </w:tr>
      <w:tr w14:paraId="4AD00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1F9C7571">
            <w:pPr>
              <w:keepNext w:val="0"/>
              <w:keepLines w:val="0"/>
              <w:widowControl w:val="0"/>
              <w:suppressLineNumbers w:val="0"/>
              <w:tabs>
                <w:tab w:val="left" w:pos="566"/>
              </w:tabs>
              <w:spacing w:before="0" w:beforeAutospacing="0" w:after="0" w:afterAutospacing="0"/>
              <w:ind w:left="0" w:leftChars="0" w:right="0" w:rightChars="0"/>
              <w:jc w:val="left"/>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李俊辉</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33E6811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副经理/副高级工程师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2CF30DEC">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369E3EA">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广西交通投资集团梧州高速公路运营有限公司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10593EEF">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r w14:paraId="70D01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2" w:hRule="atLeast"/>
          <w:jc w:val="center"/>
        </w:trPr>
        <w:tc>
          <w:tcPr>
            <w:tcW w:w="1005" w:type="dxa"/>
            <w:tcBorders>
              <w:top w:val="single" w:color="auto" w:sz="4" w:space="0"/>
              <w:left w:val="single" w:color="auto" w:sz="4" w:space="0"/>
              <w:bottom w:val="single" w:color="auto" w:sz="4" w:space="0"/>
              <w:right w:val="single" w:color="auto" w:sz="4" w:space="0"/>
            </w:tcBorders>
            <w:shd w:val="clear" w:color="auto" w:fill="auto"/>
            <w:vAlign w:val="center"/>
          </w:tcPr>
          <w:p w14:paraId="44379879">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spacing w:val="0"/>
                <w:kern w:val="2"/>
                <w:sz w:val="24"/>
                <w:szCs w:val="24"/>
                <w:highlight w:val="none"/>
                <w:lang w:val="en-US" w:eastAsia="zh-CN" w:bidi="ar"/>
              </w:rPr>
            </w:pPr>
            <w:r>
              <w:rPr>
                <w:rFonts w:hint="eastAsia" w:ascii="仿宋_GB2312" w:hAnsi="仿宋_GB2312" w:eastAsia="仿宋_GB2312" w:cs="仿宋_GB2312"/>
                <w:kern w:val="2"/>
                <w:sz w:val="24"/>
                <w:szCs w:val="24"/>
                <w:lang w:val="en-US" w:eastAsia="zh-CN" w:bidi="ar"/>
              </w:rPr>
              <w:t>江静鹏</w:t>
            </w:r>
          </w:p>
        </w:tc>
        <w:tc>
          <w:tcPr>
            <w:tcW w:w="1583" w:type="dxa"/>
            <w:tcBorders>
              <w:top w:val="single" w:color="auto" w:sz="4" w:space="0"/>
              <w:left w:val="single" w:color="auto" w:sz="4" w:space="0"/>
              <w:bottom w:val="single" w:color="auto" w:sz="4" w:space="0"/>
              <w:right w:val="single" w:color="auto" w:sz="4" w:space="0"/>
            </w:tcBorders>
            <w:shd w:val="clear" w:color="auto" w:fill="auto"/>
            <w:vAlign w:val="center"/>
          </w:tcPr>
          <w:p w14:paraId="5FE8DB55">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spacing w:val="0"/>
                <w:kern w:val="2"/>
                <w:sz w:val="24"/>
                <w:szCs w:val="24"/>
                <w:highlight w:val="none"/>
                <w:lang w:val="en-US" w:eastAsia="zh-CN" w:bidi="ar"/>
              </w:rPr>
            </w:pPr>
            <w:r>
              <w:rPr>
                <w:rFonts w:hint="eastAsia" w:ascii="仿宋_GB2312" w:hAnsi="仿宋_GB2312" w:eastAsia="仿宋_GB2312" w:cs="仿宋_GB2312"/>
                <w:kern w:val="2"/>
                <w:sz w:val="24"/>
                <w:szCs w:val="24"/>
                <w:lang w:val="en-US" w:eastAsia="zh-CN" w:bidi="ar"/>
              </w:rPr>
              <w:t>隧道站机电工程师/工程师</w:t>
            </w:r>
          </w:p>
        </w:tc>
        <w:tc>
          <w:tcPr>
            <w:tcW w:w="1538" w:type="dxa"/>
            <w:tcBorders>
              <w:top w:val="single" w:color="auto" w:sz="4" w:space="0"/>
              <w:left w:val="single" w:color="auto" w:sz="4" w:space="0"/>
              <w:bottom w:val="single" w:color="auto" w:sz="4" w:space="0"/>
              <w:right w:val="single" w:color="auto" w:sz="4" w:space="0"/>
            </w:tcBorders>
            <w:shd w:val="clear" w:color="auto" w:fill="auto"/>
            <w:vAlign w:val="center"/>
          </w:tcPr>
          <w:p w14:paraId="474C3692">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bCs/>
                <w:kern w:val="2"/>
                <w:sz w:val="24"/>
                <w:szCs w:val="24"/>
                <w:highlight w:val="none"/>
                <w:lang w:val="en-US" w:eastAsia="zh-CN" w:bidi="ar"/>
              </w:rPr>
            </w:pPr>
            <w:r>
              <w:rPr>
                <w:rFonts w:hint="eastAsia" w:ascii="仿宋_GB2312" w:hAnsi="仿宋_GB2312" w:eastAsia="仿宋_GB2312" w:cs="仿宋_GB2312"/>
                <w:kern w:val="2"/>
                <w:sz w:val="24"/>
                <w:szCs w:val="24"/>
                <w:lang w:val="en-US" w:eastAsia="zh-CN" w:bidi="ar"/>
              </w:rPr>
              <w:t>交通机电</w:t>
            </w:r>
          </w:p>
        </w:tc>
        <w:tc>
          <w:tcPr>
            <w:tcW w:w="2386" w:type="dxa"/>
            <w:tcBorders>
              <w:top w:val="single" w:color="auto" w:sz="4" w:space="0"/>
              <w:left w:val="single" w:color="auto" w:sz="4" w:space="0"/>
              <w:bottom w:val="single" w:color="auto" w:sz="4" w:space="0"/>
              <w:right w:val="single" w:color="auto" w:sz="4" w:space="0"/>
            </w:tcBorders>
            <w:shd w:val="clear" w:color="auto" w:fill="auto"/>
            <w:vAlign w:val="center"/>
          </w:tcPr>
          <w:p w14:paraId="0A3C8F97">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广西交通投资集团梧州高速公路运营有限公司</w:t>
            </w:r>
          </w:p>
        </w:tc>
        <w:tc>
          <w:tcPr>
            <w:tcW w:w="2948" w:type="dxa"/>
            <w:tcBorders>
              <w:top w:val="single" w:color="auto" w:sz="4" w:space="0"/>
              <w:left w:val="single" w:color="auto" w:sz="4" w:space="0"/>
              <w:bottom w:val="single" w:color="auto" w:sz="4" w:space="0"/>
              <w:right w:val="single" w:color="auto" w:sz="4" w:space="0"/>
            </w:tcBorders>
            <w:shd w:val="clear" w:color="auto" w:fill="auto"/>
            <w:vAlign w:val="center"/>
          </w:tcPr>
          <w:p w14:paraId="04E57CD6">
            <w:pPr>
              <w:keepNext w:val="0"/>
              <w:keepLines w:val="0"/>
              <w:widowControl w:val="0"/>
              <w:suppressLineNumbers w:val="0"/>
              <w:spacing w:before="0" w:beforeAutospacing="0" w:after="0" w:afterAutospacing="0"/>
              <w:ind w:left="0" w:leftChars="0" w:right="0" w:rightChars="0"/>
              <w:jc w:val="center"/>
              <w:rPr>
                <w:rFonts w:hint="eastAsia" w:ascii="仿宋_GB2312" w:hAnsi="仿宋_GB2312" w:eastAsia="仿宋_GB2312" w:cs="仿宋_GB2312"/>
                <w:kern w:val="2"/>
                <w:sz w:val="24"/>
                <w:szCs w:val="24"/>
                <w:lang w:val="en-US" w:eastAsia="zh-CN" w:bidi="ar"/>
              </w:rPr>
            </w:pPr>
            <w:r>
              <w:rPr>
                <w:rFonts w:hint="eastAsia" w:ascii="仿宋_GB2312" w:hAnsi="仿宋_GB2312" w:eastAsia="仿宋_GB2312" w:cs="仿宋_GB2312"/>
                <w:kern w:val="2"/>
                <w:sz w:val="24"/>
                <w:szCs w:val="24"/>
                <w:lang w:val="en-US" w:eastAsia="zh-CN" w:bidi="ar"/>
              </w:rPr>
              <w:t>对规范实施情况进行总结分析，不断对规范提出修正意见</w:t>
            </w:r>
          </w:p>
        </w:tc>
      </w:tr>
    </w:tbl>
    <w:p w14:paraId="13B0720D">
      <w:pPr>
        <w:spacing w:line="520" w:lineRule="exact"/>
        <w:ind w:firstLine="640" w:firstLineChars="200"/>
        <w:outlineLvl w:val="0"/>
        <w:rPr>
          <w:rFonts w:ascii="黑体" w:eastAsia="黑体" w:cs="仿宋_GB2312"/>
          <w:sz w:val="32"/>
          <w:szCs w:val="32"/>
        </w:rPr>
      </w:pPr>
      <w:r>
        <w:rPr>
          <w:rFonts w:hint="eastAsia" w:ascii="黑体" w:eastAsia="黑体" w:cs="仿宋_GB2312"/>
          <w:sz w:val="32"/>
          <w:szCs w:val="32"/>
        </w:rPr>
        <w:t>二、制定标准的必要性和意义</w:t>
      </w:r>
    </w:p>
    <w:p w14:paraId="5D866CAC">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高速公路收费站机房网络是为收费、监控、通信等关键业务系统提供数据连通与计算服务的核心信息基础设施，其运行状态直接关系到收费业务的连续性、数据安全及路网服务的公众形象。该网络环境具有设备类型多、系统实时性要求高、安全等级严格等特点，对其可靠性、稳定性和安全性有着特殊的管理要求。</w:t>
      </w:r>
    </w:p>
    <w:p w14:paraId="125487DF">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当前，高速公路收费站网络的运维正朝着智能化与标准化方向快速演进，行业内已开展了诸多卓有成效的实践。例如，云南省交通运输厅于2023年发布指南，系统性指导收费站智慧化提升，其中对机房、网络及网络安全建设提出了明确要求。在技术实践层面，河南交通投资集团成功构建了“云-边-端”协同的一体化智能运维平台，实现了网络全链路状态实时感知，使故障平均修复时间显著缩短。贵州等地在探索“全省一张网”建设中，也通过构建统一的全光网络架构来促进运维效率提升与安全管理。</w:t>
      </w:r>
    </w:p>
    <w:p w14:paraId="1A5B7F36">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从更广泛的行业实践来看，不同区域与运营单位结合自身实际，在智能化运维方面积累了多样化且富有成效的经验。这些实践在提升收费系统通行效率、优化运维流程、加强网络安全防护和推动服务模式创新等方面取得了积极进展，为行业整体升级提供了丰富的现实参考，也凸显了对先进经验进行系统性总结与规范化提炼的客观需求。</w:t>
      </w:r>
    </w:p>
    <w:p w14:paraId="1A648E01">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随着智慧高速建设的深入和联网收费系统“全国一张网”的持续运行，以及国家及交通运输部对关键信息基础设施安全保护要求的日益明确，行业对于建立一套统一、可落地、能有效指导收费站机房这一特定场景网络运维工作的技术与管理规范，存在普遍的内在需求。</w:t>
      </w:r>
    </w:p>
    <w:p w14:paraId="7DCBC570">
      <w:pPr>
        <w:suppressAutoHyphens/>
        <w:spacing w:line="560" w:lineRule="exact"/>
        <w:ind w:firstLine="560" w:firstLineChars="200"/>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因此，为系统整合与转化行业先进实践，响应智慧交通发展趋势与政策要求，建立广泛共识下的运维管理技术基准，以持续提升收费站机房网络运维的效能、安全与协同水平，制定团体标准《</w:t>
      </w:r>
      <w:r>
        <w:rPr>
          <w:rFonts w:hint="eastAsia" w:ascii="仿宋_GB2312" w:hAnsi="仿宋_GB2312" w:eastAsia="仿宋_GB2312" w:cs="仿宋_GB2312"/>
          <w:sz w:val="28"/>
          <w:szCs w:val="28"/>
          <w:lang w:eastAsia="zh-CN"/>
        </w:rPr>
        <w:t>高速公路收费站机房网络智能化运维管理</w:t>
      </w:r>
      <w:r>
        <w:rPr>
          <w:rFonts w:hint="eastAsia" w:ascii="仿宋_GB2312" w:hAnsi="仿宋_GB2312" w:eastAsia="仿宋_GB2312" w:cs="仿宋_GB2312"/>
          <w:sz w:val="28"/>
          <w:szCs w:val="28"/>
        </w:rPr>
        <w:t>规范》具有重要意义。</w:t>
      </w:r>
    </w:p>
    <w:p w14:paraId="0D62424A">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三、主要起草过程</w:t>
      </w:r>
    </w:p>
    <w:p w14:paraId="0D95DA3E">
      <w:pPr>
        <w:spacing w:line="520" w:lineRule="exact"/>
        <w:ind w:firstLine="562" w:firstLineChars="200"/>
        <w:outlineLvl w:val="1"/>
        <w:rPr>
          <w:rFonts w:ascii="仿宋_GB2312" w:eastAsia="仿宋_GB2312"/>
          <w:sz w:val="28"/>
          <w:szCs w:val="28"/>
        </w:rPr>
      </w:pPr>
      <w:r>
        <w:rPr>
          <w:rFonts w:hint="eastAsia" w:ascii="仿宋_GB2312" w:eastAsia="仿宋_GB2312" w:cs="仿宋_GB2312"/>
          <w:b/>
          <w:sz w:val="28"/>
          <w:szCs w:val="28"/>
        </w:rPr>
        <w:t>（一）成立标准编制工作组</w:t>
      </w:r>
    </w:p>
    <w:p w14:paraId="48E22955">
      <w:pPr>
        <w:spacing w:line="520" w:lineRule="exact"/>
        <w:ind w:firstLine="560" w:firstLineChars="200"/>
        <w:jc w:val="left"/>
        <w:rPr>
          <w:rFonts w:ascii="仿宋_GB2312" w:eastAsia="仿宋_GB2312"/>
          <w:sz w:val="28"/>
          <w:szCs w:val="28"/>
        </w:rPr>
      </w:pPr>
      <w:r>
        <w:rPr>
          <w:rFonts w:hint="eastAsia" w:ascii="仿宋_GB2312" w:hAnsi="宋体" w:eastAsia="仿宋_GB2312"/>
          <w:sz w:val="28"/>
          <w:szCs w:val="28"/>
        </w:rPr>
        <w:t>团体标准</w:t>
      </w:r>
      <w:r>
        <w:rPr>
          <w:rFonts w:hint="eastAsia" w:ascii="仿宋_GB2312" w:eastAsia="仿宋_GB2312"/>
          <w:sz w:val="28"/>
          <w:szCs w:val="28"/>
        </w:rPr>
        <w:t>《</w:t>
      </w:r>
      <w:r>
        <w:rPr>
          <w:rFonts w:hint="eastAsia" w:ascii="仿宋_GB2312" w:eastAsia="仿宋_GB2312"/>
          <w:sz w:val="28"/>
          <w:szCs w:val="28"/>
          <w:lang w:eastAsia="zh-CN"/>
        </w:rPr>
        <w:t>高速公路收费站机房网络智能化运维管理规范</w:t>
      </w:r>
      <w:r>
        <w:rPr>
          <w:rFonts w:hint="eastAsia" w:ascii="仿宋_GB2312" w:eastAsia="仿宋_GB2312"/>
          <w:sz w:val="28"/>
          <w:szCs w:val="28"/>
        </w:rPr>
        <w:t>》项目任务下达后，由</w:t>
      </w:r>
      <w:r>
        <w:rPr>
          <w:rFonts w:hint="eastAsia" w:ascii="仿宋_GB2312" w:eastAsia="仿宋_GB2312"/>
          <w:sz w:val="28"/>
          <w:szCs w:val="28"/>
          <w:lang w:eastAsia="zh-CN"/>
        </w:rPr>
        <w:t>广西福玉高速公路有限公司</w:t>
      </w:r>
      <w:r>
        <w:rPr>
          <w:rFonts w:hint="eastAsia" w:ascii="仿宋_GB2312" w:eastAsia="仿宋_GB2312"/>
          <w:sz w:val="28"/>
          <w:szCs w:val="28"/>
        </w:rPr>
        <w:t>牵头组织成立了标准编制工作组，制定了起草编写方案与进度安排，明确任务职责，确定工作技术路线，开展标准研制工作。具体标准编制工作由起草单位相关人员配合完成。</w:t>
      </w:r>
    </w:p>
    <w:p w14:paraId="27586D2F">
      <w:pPr>
        <w:spacing w:line="520" w:lineRule="exact"/>
        <w:ind w:firstLine="560" w:firstLineChars="200"/>
        <w:rPr>
          <w:rFonts w:ascii="仿宋_GB2312" w:eastAsia="仿宋_GB2312" w:cs="仿宋_GB2312"/>
          <w:sz w:val="28"/>
          <w:szCs w:val="28"/>
        </w:rPr>
      </w:pPr>
      <w:r>
        <w:rPr>
          <w:rFonts w:hint="eastAsia" w:ascii="仿宋_GB2312" w:eastAsia="仿宋_GB2312"/>
          <w:sz w:val="28"/>
          <w:szCs w:val="28"/>
        </w:rPr>
        <w:t>为明确标准编制的任务职责，确定工作技术路线，开展标准研制工作，标准编制工作组下设两个组，分别是资料收集组、草案编写组。资料收集组负责国内外有关</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方面的文献资料的查询、收集和整理工作，查阅前期对</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方面的有关研究情况和目前科学界</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的研究进展；草案编写组负责起草标准草案及后续征求意见稿和标准编制说明、送审稿及编制说明等编写工作，包括后期召开征求意见会、网上征求意见，以及标准的不断修改和完善。</w:t>
      </w:r>
    </w:p>
    <w:p w14:paraId="06616C9C">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（二）收集整理文献资料</w:t>
      </w:r>
    </w:p>
    <w:p w14:paraId="6290498D">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标准编制工作组收集了国内有关</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的相关文献资料。主要有：</w:t>
      </w:r>
    </w:p>
    <w:p w14:paraId="792840FF">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GB/T 2887  计算机场地通用规范</w:t>
      </w:r>
    </w:p>
    <w:p w14:paraId="72649EC1">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GB/T 20281  信息安全技术  防火墙安全技术要求和测试评价方法</w:t>
      </w:r>
    </w:p>
    <w:p w14:paraId="42A13CAB">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GB/T 22239—2019  信息安全技术网络安全等级保护基本要求</w:t>
      </w:r>
    </w:p>
    <w:p w14:paraId="1884AD05">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GB/T 28827.1  信息技术服务 运行维护 第1部分：通用要求</w:t>
      </w:r>
    </w:p>
    <w:p w14:paraId="2E6D2A05">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 50174—2017  数据中心设计规范</w:t>
      </w:r>
    </w:p>
    <w:p w14:paraId="1FE2B6AF">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YD/T 4242  电信网和互联网数据安全日志审计指南</w:t>
      </w:r>
    </w:p>
    <w:p w14:paraId="3BE17B33">
      <w:pPr>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JTG 6310  收费公路联网收费技术标准</w:t>
      </w:r>
    </w:p>
    <w:p w14:paraId="541F094A">
      <w:pPr>
        <w:spacing w:line="520" w:lineRule="exact"/>
        <w:ind w:firstLine="562" w:firstLineChars="200"/>
        <w:outlineLvl w:val="1"/>
        <w:rPr>
          <w:rFonts w:ascii="仿宋_GB2312" w:eastAsia="仿宋_GB2312" w:cs="仿宋_GB2312"/>
          <w:b/>
          <w:sz w:val="28"/>
          <w:szCs w:val="28"/>
        </w:rPr>
      </w:pPr>
      <w:r>
        <w:rPr>
          <w:rFonts w:hint="eastAsia" w:ascii="仿宋_GB2312" w:eastAsia="仿宋_GB2312" w:cs="仿宋_GB2312"/>
          <w:b/>
          <w:sz w:val="28"/>
          <w:szCs w:val="28"/>
        </w:rPr>
        <w:t>（三）研讨确定标准主体内容及标准创新点</w:t>
      </w:r>
    </w:p>
    <w:p w14:paraId="45B43E1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标准编制工作组在对收集的资料进行整理研究之后，召开了标准编制会议，对标准的整体框架结构进行了研究，并对标准的关键性内容进行了初步探讨。经过研究，标准的主体内容为</w:t>
      </w:r>
      <w:r>
        <w:rPr>
          <w:rFonts w:hint="eastAsia" w:ascii="仿宋_GB2312" w:hAnsi="仿宋_GB2312" w:eastAsia="仿宋_GB2312" w:cs="仿宋_GB2312"/>
          <w:sz w:val="28"/>
          <w:szCs w:val="28"/>
          <w:lang w:eastAsia="zh-CN"/>
        </w:rPr>
        <w:t>高速公路收费站机房网络智能化运维管理</w:t>
      </w:r>
      <w:r>
        <w:rPr>
          <w:rFonts w:hint="eastAsia" w:ascii="仿宋_GB2312" w:hAnsi="仿宋_GB2312" w:eastAsia="仿宋_GB2312" w:cs="仿宋_GB2312"/>
          <w:sz w:val="28"/>
          <w:szCs w:val="28"/>
        </w:rPr>
        <w:t>的基本要求、智能化巡视检查、维护更新、数据管理、网络安全管理等</w:t>
      </w:r>
      <w:r>
        <w:rPr>
          <w:rFonts w:hint="eastAsia" w:ascii="仿宋_GB2312" w:hAnsi="仿宋_GB2312" w:eastAsia="仿宋_GB2312" w:cs="仿宋_GB2312"/>
          <w:sz w:val="28"/>
          <w:szCs w:val="28"/>
          <w:lang w:eastAsia="zh-CN"/>
        </w:rPr>
        <w:t>内容</w:t>
      </w:r>
      <w:r>
        <w:rPr>
          <w:rFonts w:hint="eastAsia" w:ascii="仿宋_GB2312" w:hAnsi="仿宋_GB2312" w:eastAsia="仿宋_GB2312" w:cs="仿宋_GB2312"/>
          <w:sz w:val="28"/>
          <w:szCs w:val="28"/>
        </w:rPr>
        <w:t>。</w:t>
      </w:r>
    </w:p>
    <w:p w14:paraId="2EBFBD65">
      <w:pPr>
        <w:pStyle w:val="33"/>
        <w:spacing w:before="0" w:beforeLines="0" w:after="0" w:afterLines="0"/>
        <w:ind w:firstLine="560"/>
        <w:jc w:val="both"/>
        <w:rPr>
          <w:rFonts w:hint="eastAsia" w:ascii="仿宋_GB2312" w:hAnsi="仿宋_GB2312" w:eastAsia="仿宋_GB2312" w:cs="仿宋_GB2312"/>
          <w:sz w:val="28"/>
          <w:szCs w:val="28"/>
          <w:highlight w:val="none"/>
          <w:lang w:eastAsia="zh-CN"/>
        </w:rPr>
      </w:pPr>
      <w:r>
        <w:rPr>
          <w:rFonts w:hint="eastAsia" w:ascii="仿宋_GB2312" w:hAnsi="仿宋_GB2312" w:eastAsia="仿宋_GB2312" w:cs="仿宋_GB2312"/>
          <w:sz w:val="28"/>
          <w:szCs w:val="28"/>
          <w:highlight w:val="none"/>
        </w:rPr>
        <w:t>本标准创新点主要为：</w:t>
      </w:r>
    </w:p>
    <w:p w14:paraId="0B89B0F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一、解决的核心难题</w:t>
      </w:r>
    </w:p>
    <w:p w14:paraId="26D69E4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故障响应滞后：首创分层级故障响应时限标准（本地≤15分钟、远程≤5分钟），结合"分层排查法"（物理层→网络层→应用层），实现故障快速定位。行业实践表明，数字化巡检系统可使故障修复时间缩短90%以上。</w:t>
      </w:r>
    </w:p>
    <w:p w14:paraId="7853685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业务中断风险：明确主备双链路（光纤+4G/5G）30秒自动切换机制，优先保障收费业务带宽。浙江舟山已实现毫秒级双电源自动切换，验证了该技术路径的可行性。</w:t>
      </w:r>
    </w:p>
    <w:p w14:paraId="68D7D3E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数据管理混乱：建立"4类数据+差异化存储周期+3-2-1备份"体系（3份副本、2种介质、1份异地），确保数据完整性。国家数据局典型案例证实，分类分级管理是数据安全治理从粗放走向精细的关键。</w:t>
      </w:r>
    </w:p>
    <w:p w14:paraId="42BE1B0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运维操作不规范：确立"先备份、后操作""双人操作监督"原则，实现操作全流程可追溯。贵州交投的无人值守自动化改造已证明标准化流程可显著提升运维效率。</w:t>
      </w:r>
    </w:p>
    <w:p w14:paraId="02441DBE">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二、新模式</w:t>
      </w:r>
    </w:p>
    <w:p w14:paraId="2400340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预防性维护优先模式：将日常巡检、月度检查、季度除尘固化为制度，提前规避设备老化风险。广西灵山分公司的机电实时监控系统已实现从"人工巡检"到"后台自动巡检"的跨越式升级。</w:t>
      </w:r>
    </w:p>
    <w:p w14:paraId="1124A0B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数据全生命周期管理模式：从采集质量控制（设备年检、逻辑校验）到存储冗余保障（RAID5、异地备份），再到使用权限管控（最小权限原则），构建闭环管理体系。国家数据局专家解读指出，涵盖"评估—防护—监测—审计—优化"的闭环模式是行业趋势。</w:t>
      </w:r>
    </w:p>
    <w:p w14:paraId="715EE8C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分级安全防护模式：依据等保二级要求，建立边界防护、终端安全、接入管控、漏洞管理、渗透测试五级防护体系，每月审计日志、每周排查异常操作。</w:t>
      </w:r>
    </w:p>
    <w:p w14:paraId="5F1AC23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三、新技术</w:t>
      </w:r>
    </w:p>
    <w:p w14:paraId="53F34FE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自动化监控采集技术：基于SNMP协议实现设备参数（每5分钟1次）与故障数据实时采集。湖北襄阳的4G物联网温湿度监控系统已实现"全天候采集、全自动传输"，机房高温故障率下降85%。</w:t>
      </w:r>
    </w:p>
    <w:p w14:paraId="6001804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双链路冗余切换技术：主备链路自动切换≤30秒，保障收费业务无间断。实际应用中，该技术有效解决了断电无法及时切换的难题。</w:t>
      </w:r>
    </w:p>
    <w:p w14:paraId="5C0FD30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多维安全防护技术：集成双因素认证、VPN加密传输、AES-256存储加密、日志审计等技术体系。贵州交投的创新实践已验证智能合闸、远程监控等安全技术的有效性。</w:t>
      </w:r>
    </w:p>
    <w:p w14:paraId="1443A89D">
      <w:pPr>
        <w:spacing w:line="520" w:lineRule="exact"/>
        <w:ind w:firstLine="562" w:firstLineChars="200"/>
        <w:outlineLvl w:val="1"/>
        <w:rPr>
          <w:rFonts w:hint="eastAsia" w:ascii="仿宋_GB2312" w:eastAsia="仿宋_GB2312" w:cs="仿宋_GB2312"/>
          <w:b/>
          <w:sz w:val="28"/>
          <w:szCs w:val="28"/>
          <w:lang w:val="en-US" w:eastAsia="zh-CN"/>
        </w:rPr>
      </w:pPr>
      <w:r>
        <w:rPr>
          <w:rFonts w:hint="eastAsia" w:ascii="仿宋_GB2312" w:eastAsia="仿宋_GB2312" w:cs="仿宋_GB2312"/>
          <w:b/>
          <w:sz w:val="28"/>
          <w:szCs w:val="28"/>
        </w:rPr>
        <w:t>（四）调研及形成草案、征求意见稿</w:t>
      </w:r>
    </w:p>
    <w:p w14:paraId="02A853F9">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2025年</w:t>
      </w:r>
      <w:r>
        <w:rPr>
          <w:rFonts w:hint="eastAsia" w:ascii="仿宋_GB2312" w:eastAsia="仿宋_GB2312"/>
          <w:kern w:val="0"/>
          <w:sz w:val="28"/>
          <w:szCs w:val="28"/>
          <w:lang w:val="en-US" w:eastAsia="zh-CN"/>
        </w:rPr>
        <w:t>12</w:t>
      </w:r>
      <w:r>
        <w:rPr>
          <w:rFonts w:hint="eastAsia" w:ascii="仿宋_GB2312" w:eastAsia="仿宋_GB2312"/>
          <w:kern w:val="0"/>
          <w:sz w:val="28"/>
          <w:szCs w:val="28"/>
        </w:rPr>
        <w:t>月，标准编制工作组查阅了大量的国内文献资料，对</w:t>
      </w:r>
      <w:r>
        <w:rPr>
          <w:rFonts w:hint="eastAsia" w:ascii="仿宋_GB2312" w:eastAsia="仿宋_GB2312"/>
          <w:kern w:val="0"/>
          <w:sz w:val="28"/>
          <w:szCs w:val="28"/>
          <w:lang w:eastAsia="zh-CN"/>
        </w:rPr>
        <w:t>高速公路收费站机房网络智能化运维管理</w:t>
      </w:r>
      <w:r>
        <w:rPr>
          <w:rFonts w:hint="eastAsia" w:ascii="仿宋_GB2312" w:eastAsia="仿宋_GB2312"/>
          <w:kern w:val="0"/>
          <w:sz w:val="28"/>
          <w:szCs w:val="28"/>
        </w:rPr>
        <w:t>相关的文件进行系统总结。形成了标准的基本构架，对主要内容进行了讨论并对项目的工作进行了部署和安排。</w:t>
      </w:r>
    </w:p>
    <w:p w14:paraId="0EAA2F22">
      <w:pPr>
        <w:spacing w:line="520" w:lineRule="exact"/>
        <w:ind w:firstLine="560" w:firstLineChars="200"/>
        <w:rPr>
          <w:rFonts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1</w:t>
      </w:r>
      <w:r>
        <w:rPr>
          <w:rFonts w:hint="eastAsia" w:ascii="仿宋_GB2312" w:eastAsia="仿宋_GB2312"/>
          <w:kern w:val="0"/>
          <w:sz w:val="28"/>
          <w:szCs w:val="28"/>
        </w:rPr>
        <w:t>月，团体标准《</w:t>
      </w:r>
      <w:r>
        <w:rPr>
          <w:rFonts w:hint="eastAsia" w:ascii="仿宋_GB2312" w:eastAsia="仿宋_GB2312"/>
          <w:kern w:val="0"/>
          <w:sz w:val="28"/>
          <w:szCs w:val="28"/>
          <w:lang w:eastAsia="zh-CN"/>
        </w:rPr>
        <w:t>高速公路收费站机房网络智能化运维管理规范</w:t>
      </w:r>
      <w:r>
        <w:rPr>
          <w:rFonts w:hint="eastAsia" w:ascii="仿宋_GB2312" w:eastAsia="仿宋_GB2312"/>
          <w:kern w:val="0"/>
          <w:sz w:val="28"/>
          <w:szCs w:val="28"/>
        </w:rPr>
        <w:t>》获批立项，在前期工作的基础之上，通过理清逻辑脉络，整合已有参考资料中有关</w:t>
      </w:r>
      <w:r>
        <w:rPr>
          <w:rFonts w:hint="eastAsia" w:ascii="仿宋_GB2312" w:eastAsia="仿宋_GB2312"/>
          <w:kern w:val="0"/>
          <w:sz w:val="28"/>
          <w:szCs w:val="28"/>
          <w:lang w:eastAsia="zh-CN"/>
        </w:rPr>
        <w:t>高速公路收费站机房网络智能化运维管理</w:t>
      </w:r>
      <w:r>
        <w:rPr>
          <w:rFonts w:hint="eastAsia" w:ascii="仿宋_GB2312" w:eastAsia="仿宋_GB2312"/>
          <w:kern w:val="0"/>
          <w:sz w:val="28"/>
          <w:szCs w:val="28"/>
        </w:rPr>
        <w:t>的要求，并在目前</w:t>
      </w:r>
      <w:r>
        <w:rPr>
          <w:rFonts w:hint="eastAsia" w:ascii="仿宋_GB2312" w:eastAsia="仿宋_GB2312"/>
          <w:kern w:val="0"/>
          <w:sz w:val="28"/>
          <w:szCs w:val="28"/>
          <w:lang w:eastAsia="zh-CN"/>
        </w:rPr>
        <w:t>高速公路收费站机房网络智能化运维管理</w:t>
      </w:r>
      <w:r>
        <w:rPr>
          <w:rFonts w:hint="eastAsia" w:ascii="仿宋_GB2312" w:eastAsia="仿宋_GB2312"/>
          <w:kern w:val="0"/>
          <w:sz w:val="28"/>
          <w:szCs w:val="28"/>
        </w:rPr>
        <w:t>实际操作的基础上，按照简化、统一等原则编制完成团体标准《</w:t>
      </w:r>
      <w:r>
        <w:rPr>
          <w:rFonts w:hint="eastAsia" w:ascii="仿宋_GB2312" w:eastAsia="仿宋_GB2312"/>
          <w:kern w:val="0"/>
          <w:sz w:val="28"/>
          <w:szCs w:val="28"/>
          <w:lang w:eastAsia="zh-CN"/>
        </w:rPr>
        <w:t>高速公路收费站机房网络智能化运维管理规范</w:t>
      </w:r>
      <w:r>
        <w:rPr>
          <w:rFonts w:hint="eastAsia" w:ascii="仿宋_GB2312" w:eastAsia="仿宋_GB2312"/>
          <w:kern w:val="0"/>
          <w:sz w:val="28"/>
          <w:szCs w:val="28"/>
        </w:rPr>
        <w:t>》（草案）。</w:t>
      </w:r>
    </w:p>
    <w:p w14:paraId="31DEDD42">
      <w:pPr>
        <w:spacing w:line="520" w:lineRule="exact"/>
        <w:ind w:firstLine="560" w:firstLineChars="200"/>
        <w:rPr>
          <w:rFonts w:hint="eastAsia" w:ascii="仿宋_GB2312" w:eastAsia="仿宋_GB2312"/>
          <w:kern w:val="0"/>
          <w:sz w:val="28"/>
          <w:szCs w:val="28"/>
        </w:rPr>
      </w:pPr>
      <w:r>
        <w:rPr>
          <w:rFonts w:hint="eastAsia" w:ascii="仿宋_GB2312" w:eastAsia="仿宋_GB2312"/>
          <w:kern w:val="0"/>
          <w:sz w:val="28"/>
          <w:szCs w:val="28"/>
        </w:rPr>
        <w:t>202</w:t>
      </w:r>
      <w:r>
        <w:rPr>
          <w:rFonts w:hint="eastAsia" w:ascii="仿宋_GB2312" w:eastAsia="仿宋_GB2312"/>
          <w:kern w:val="0"/>
          <w:sz w:val="28"/>
          <w:szCs w:val="28"/>
          <w:lang w:val="en-US" w:eastAsia="zh-CN"/>
        </w:rPr>
        <w:t>6</w:t>
      </w:r>
      <w:r>
        <w:rPr>
          <w:rFonts w:hint="eastAsia" w:ascii="仿宋_GB2312" w:eastAsia="仿宋_GB2312"/>
          <w:kern w:val="0"/>
          <w:sz w:val="28"/>
          <w:szCs w:val="28"/>
        </w:rPr>
        <w:t>年</w:t>
      </w:r>
      <w:r>
        <w:rPr>
          <w:rFonts w:hint="eastAsia" w:ascii="仿宋_GB2312" w:eastAsia="仿宋_GB2312"/>
          <w:kern w:val="0"/>
          <w:sz w:val="28"/>
          <w:szCs w:val="28"/>
          <w:lang w:val="en-US" w:eastAsia="zh-CN"/>
        </w:rPr>
        <w:t>2</w:t>
      </w:r>
      <w:r>
        <w:rPr>
          <w:rFonts w:hint="eastAsia" w:ascii="仿宋_GB2312" w:eastAsia="仿宋_GB2312"/>
          <w:kern w:val="0"/>
          <w:sz w:val="28"/>
          <w:szCs w:val="28"/>
        </w:rPr>
        <w:t>月，标准编制工作组深入各地实施</w:t>
      </w:r>
      <w:r>
        <w:rPr>
          <w:rFonts w:hint="eastAsia" w:ascii="仿宋_GB2312" w:eastAsia="仿宋_GB2312"/>
          <w:kern w:val="0"/>
          <w:sz w:val="28"/>
          <w:szCs w:val="28"/>
          <w:lang w:eastAsia="zh-CN"/>
        </w:rPr>
        <w:t>高速公路收费站机房网络智能化运维管理</w:t>
      </w:r>
      <w:r>
        <w:rPr>
          <w:rFonts w:hint="eastAsia" w:ascii="仿宋_GB2312" w:eastAsia="仿宋_GB2312"/>
          <w:kern w:val="0"/>
          <w:sz w:val="28"/>
          <w:szCs w:val="28"/>
        </w:rPr>
        <w:t>的有代表性的</w:t>
      </w:r>
      <w:r>
        <w:rPr>
          <w:rFonts w:hint="eastAsia" w:ascii="仿宋_GB2312" w:eastAsia="仿宋_GB2312"/>
          <w:kern w:val="0"/>
          <w:sz w:val="28"/>
          <w:szCs w:val="28"/>
          <w:lang w:eastAsia="zh-CN"/>
        </w:rPr>
        <w:t>单位</w:t>
      </w:r>
      <w:r>
        <w:rPr>
          <w:rFonts w:hint="eastAsia" w:ascii="仿宋_GB2312" w:eastAsia="仿宋_GB2312"/>
          <w:kern w:val="0"/>
          <w:sz w:val="28"/>
          <w:szCs w:val="28"/>
        </w:rPr>
        <w:t>，如</w:t>
      </w:r>
      <w:r>
        <w:rPr>
          <w:rFonts w:hint="eastAsia" w:ascii="仿宋_GB2312" w:eastAsia="仿宋_GB2312"/>
          <w:kern w:val="0"/>
          <w:sz w:val="28"/>
          <w:szCs w:val="28"/>
          <w:lang w:eastAsia="zh-CN"/>
        </w:rPr>
        <w:t>广西福玉高速公路有限公司、广西智投机电工程有限公司、广西交通投资集团梧州高速公路运营有限公司、广西网络安全和信息化联合会、广西智能交通科技有限公司</w:t>
      </w:r>
      <w:r>
        <w:rPr>
          <w:rFonts w:hint="eastAsia" w:ascii="仿宋_GB2312" w:eastAsia="仿宋_GB2312"/>
          <w:kern w:val="0"/>
          <w:sz w:val="28"/>
          <w:szCs w:val="28"/>
        </w:rPr>
        <w:t>等召开标准研讨会，收集反馈了大量意见，对标准草案进行了反复修改和研究讨论，掌握了</w:t>
      </w:r>
      <w:r>
        <w:rPr>
          <w:rFonts w:hint="eastAsia" w:ascii="仿宋_GB2312" w:eastAsia="仿宋_GB2312"/>
          <w:kern w:val="0"/>
          <w:sz w:val="28"/>
          <w:szCs w:val="28"/>
          <w:lang w:eastAsia="zh-CN"/>
        </w:rPr>
        <w:t>高速公路收费站机房网络智能化运维管理</w:t>
      </w:r>
      <w:r>
        <w:rPr>
          <w:rFonts w:hint="eastAsia" w:ascii="仿宋_GB2312" w:eastAsia="仿宋_GB2312"/>
          <w:kern w:val="0"/>
          <w:sz w:val="28"/>
          <w:szCs w:val="28"/>
        </w:rPr>
        <w:t>的基本情况以及要求，最终形成了团体标准《</w:t>
      </w:r>
      <w:r>
        <w:rPr>
          <w:rFonts w:hint="eastAsia" w:ascii="仿宋_GB2312" w:eastAsia="仿宋_GB2312"/>
          <w:kern w:val="0"/>
          <w:sz w:val="28"/>
          <w:szCs w:val="28"/>
          <w:lang w:eastAsia="zh-CN"/>
        </w:rPr>
        <w:t>高速公路收费站机房网络智能化运维管理规范</w:t>
      </w:r>
      <w:r>
        <w:rPr>
          <w:rFonts w:hint="eastAsia" w:ascii="仿宋_GB2312" w:eastAsia="仿宋_GB2312"/>
          <w:kern w:val="0"/>
          <w:sz w:val="28"/>
          <w:szCs w:val="28"/>
        </w:rPr>
        <w:t>》（征求意见稿）及其编制说明。</w:t>
      </w:r>
    </w:p>
    <w:p w14:paraId="52E10239">
      <w:pPr>
        <w:spacing w:line="240" w:lineRule="auto"/>
        <w:jc w:val="center"/>
        <w:rPr>
          <w:rFonts w:hint="eastAsia" w:ascii="仿宋_GB2312" w:eastAsia="仿宋_GB2312"/>
          <w:kern w:val="0"/>
          <w:sz w:val="28"/>
          <w:szCs w:val="28"/>
          <w:lang w:eastAsia="zh-CN"/>
        </w:rPr>
      </w:pPr>
      <w:r>
        <w:rPr>
          <w:rFonts w:hint="eastAsia" w:ascii="仿宋_GB2312" w:eastAsia="仿宋_GB2312"/>
          <w:kern w:val="0"/>
          <w:sz w:val="28"/>
          <w:szCs w:val="28"/>
          <w:lang w:eastAsia="zh-CN"/>
        </w:rPr>
        <w:drawing>
          <wp:inline distT="0" distB="0" distL="114300" distR="114300">
            <wp:extent cx="3907155" cy="2929255"/>
            <wp:effectExtent l="0" t="0" r="17145" b="4445"/>
            <wp:docPr id="2" name="图片 2" descr="c1b891a989ea32995ee38342f62db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1b891a989ea32995ee38342f62db240"/>
                    <pic:cNvPicPr>
                      <a:picLocks noChangeAspect="1"/>
                    </pic:cNvPicPr>
                  </pic:nvPicPr>
                  <pic:blipFill>
                    <a:blip r:embed="rId5"/>
                    <a:stretch>
                      <a:fillRect/>
                    </a:stretch>
                  </pic:blipFill>
                  <pic:spPr>
                    <a:xfrm>
                      <a:off x="0" y="0"/>
                      <a:ext cx="3907155" cy="2929255"/>
                    </a:xfrm>
                    <a:prstGeom prst="rect">
                      <a:avLst/>
                    </a:prstGeom>
                  </pic:spPr>
                </pic:pic>
              </a:graphicData>
            </a:graphic>
          </wp:inline>
        </w:drawing>
      </w:r>
    </w:p>
    <w:p w14:paraId="23874916">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t>团体标准《高速公路收费站机房网络智能化运维管理规范》研讨会现场</w:t>
      </w:r>
    </w:p>
    <w:p w14:paraId="30D40C81">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drawing>
          <wp:inline distT="0" distB="0" distL="114300" distR="114300">
            <wp:extent cx="4265295" cy="4014470"/>
            <wp:effectExtent l="0" t="0" r="1905" b="5080"/>
            <wp:docPr id="4" name="图片 4" descr="6ddd3107df1c881dbedb97e6283d2c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ddd3107df1c881dbedb97e6283d2ce6"/>
                    <pic:cNvPicPr>
                      <a:picLocks noChangeAspect="1"/>
                    </pic:cNvPicPr>
                  </pic:nvPicPr>
                  <pic:blipFill>
                    <a:blip r:embed="rId6"/>
                    <a:stretch>
                      <a:fillRect/>
                    </a:stretch>
                  </pic:blipFill>
                  <pic:spPr>
                    <a:xfrm>
                      <a:off x="0" y="0"/>
                      <a:ext cx="4265295" cy="4014470"/>
                    </a:xfrm>
                    <a:prstGeom prst="rect">
                      <a:avLst/>
                    </a:prstGeom>
                  </pic:spPr>
                </pic:pic>
              </a:graphicData>
            </a:graphic>
          </wp:inline>
        </w:drawing>
      </w:r>
    </w:p>
    <w:p w14:paraId="1D281B39">
      <w:pPr>
        <w:spacing w:line="240" w:lineRule="auto"/>
        <w:jc w:val="center"/>
        <w:rPr>
          <w:rFonts w:hint="eastAsia" w:ascii="黑体" w:hAnsi="黑体" w:eastAsia="黑体" w:cs="黑体"/>
          <w:kern w:val="0"/>
          <w:sz w:val="24"/>
          <w:szCs w:val="24"/>
          <w:lang w:eastAsia="zh-CN"/>
        </w:rPr>
      </w:pPr>
      <w:r>
        <w:rPr>
          <w:rFonts w:hint="eastAsia" w:ascii="黑体" w:hAnsi="黑体" w:eastAsia="黑体" w:cs="黑体"/>
          <w:kern w:val="0"/>
          <w:sz w:val="24"/>
          <w:szCs w:val="24"/>
          <w:lang w:eastAsia="zh-CN"/>
        </w:rPr>
        <w:t>团体标准《高速公路收费站机房网络智能化运维管理规范》研讨会签到表</w:t>
      </w:r>
    </w:p>
    <w:p w14:paraId="10C20948">
      <w:pPr>
        <w:autoSpaceDE w:val="0"/>
        <w:autoSpaceDN w:val="0"/>
        <w:adjustRightInd w:val="0"/>
        <w:spacing w:line="520" w:lineRule="exact"/>
        <w:ind w:firstLine="640" w:firstLineChars="200"/>
        <w:jc w:val="left"/>
        <w:outlineLvl w:val="0"/>
        <w:rPr>
          <w:rFonts w:ascii="黑体" w:eastAsia="黑体" w:cs="仿宋_GB2312"/>
          <w:sz w:val="32"/>
          <w:szCs w:val="32"/>
        </w:rPr>
      </w:pPr>
      <w:r>
        <w:rPr>
          <w:rFonts w:hint="eastAsia" w:ascii="黑体" w:eastAsia="黑体" w:cs="仿宋_GB2312"/>
          <w:sz w:val="32"/>
          <w:szCs w:val="32"/>
        </w:rPr>
        <w:t>四、制定标准的原则和依据，与现行法律法规的关系，与有关国家标准、行业标准的协调情况</w:t>
      </w:r>
    </w:p>
    <w:p w14:paraId="7EEAB897">
      <w:pPr>
        <w:widowControl/>
        <w:tabs>
          <w:tab w:val="center" w:pos="4201"/>
          <w:tab w:val="right" w:leader="dot" w:pos="9298"/>
        </w:tabs>
        <w:autoSpaceDE w:val="0"/>
        <w:autoSpaceDN w:val="0"/>
        <w:spacing w:line="520" w:lineRule="exact"/>
        <w:ind w:firstLine="562" w:firstLineChars="200"/>
        <w:outlineLvl w:val="1"/>
        <w:rPr>
          <w:rFonts w:ascii="仿宋_GB2312" w:eastAsia="仿宋_GB2312"/>
          <w:b/>
          <w:bCs/>
          <w:kern w:val="0"/>
          <w:sz w:val="28"/>
          <w:szCs w:val="28"/>
        </w:rPr>
      </w:pPr>
      <w:r>
        <w:rPr>
          <w:rFonts w:hint="eastAsia" w:ascii="仿宋_GB2312" w:eastAsia="仿宋_GB2312"/>
          <w:b/>
          <w:bCs/>
          <w:kern w:val="0"/>
          <w:sz w:val="28"/>
          <w:szCs w:val="28"/>
        </w:rPr>
        <w:t>（一）编制原则</w:t>
      </w:r>
    </w:p>
    <w:p w14:paraId="0DB863DB">
      <w:pPr>
        <w:spacing w:line="520" w:lineRule="exact"/>
        <w:ind w:firstLine="562" w:firstLineChars="200"/>
        <w:rPr>
          <w:rFonts w:ascii="仿宋_GB2312" w:eastAsia="仿宋_GB2312"/>
          <w:b/>
          <w:sz w:val="28"/>
          <w:szCs w:val="28"/>
        </w:rPr>
      </w:pPr>
      <w:r>
        <w:rPr>
          <w:rFonts w:hint="eastAsia" w:ascii="仿宋_GB2312" w:eastAsia="仿宋_GB2312"/>
          <w:b/>
          <w:sz w:val="28"/>
          <w:szCs w:val="28"/>
        </w:rPr>
        <w:t>1.实用性原则</w:t>
      </w:r>
    </w:p>
    <w:p w14:paraId="75DB8AB8">
      <w:pPr>
        <w:spacing w:line="520" w:lineRule="exact"/>
        <w:ind w:firstLine="560" w:firstLineChars="200"/>
        <w:rPr>
          <w:rFonts w:ascii="仿宋_GB2312" w:eastAsia="仿宋_GB2312" w:cs="仿宋"/>
          <w:sz w:val="28"/>
          <w:szCs w:val="28"/>
        </w:rPr>
      </w:pPr>
      <w:r>
        <w:rPr>
          <w:rFonts w:hint="eastAsia" w:ascii="仿宋_GB2312" w:eastAsia="仿宋_GB2312" w:cs="仿宋"/>
          <w:sz w:val="28"/>
          <w:szCs w:val="28"/>
        </w:rPr>
        <w:t>本标准是在充分收集国内外相关资料和文献、调研分析</w:t>
      </w:r>
      <w:r>
        <w:rPr>
          <w:rFonts w:hint="eastAsia" w:ascii="仿宋_GB2312" w:eastAsia="仿宋_GB2312"/>
          <w:kern w:val="0"/>
          <w:sz w:val="28"/>
          <w:szCs w:val="28"/>
          <w:lang w:eastAsia="zh-CN"/>
        </w:rPr>
        <w:t>高速公路收费站机房网络智能化运维管理</w:t>
      </w:r>
      <w:r>
        <w:rPr>
          <w:rFonts w:hint="eastAsia" w:ascii="仿宋_GB2312" w:eastAsia="仿宋_GB2312" w:cs="仿宋"/>
          <w:sz w:val="28"/>
          <w:szCs w:val="28"/>
        </w:rPr>
        <w:t>现状，结合起草单位前期研究工作取得的研究成果及积累的</w:t>
      </w:r>
      <w:r>
        <w:rPr>
          <w:rFonts w:hint="eastAsia" w:ascii="仿宋_GB2312" w:eastAsia="仿宋_GB2312"/>
          <w:kern w:val="0"/>
          <w:sz w:val="28"/>
          <w:szCs w:val="28"/>
          <w:lang w:eastAsia="zh-CN"/>
        </w:rPr>
        <w:t>高速公路收费站机房网络智能化运维管理</w:t>
      </w:r>
      <w:r>
        <w:rPr>
          <w:rFonts w:hint="eastAsia" w:ascii="仿宋_GB2312" w:eastAsia="仿宋_GB2312" w:cs="仿宋"/>
          <w:sz w:val="28"/>
          <w:szCs w:val="28"/>
        </w:rPr>
        <w:t>实践经验，并借鉴国内</w:t>
      </w:r>
      <w:r>
        <w:rPr>
          <w:rFonts w:hint="eastAsia" w:ascii="仿宋_GB2312" w:eastAsia="仿宋_GB2312"/>
          <w:kern w:val="0"/>
          <w:sz w:val="28"/>
          <w:szCs w:val="28"/>
          <w:lang w:eastAsia="zh-CN"/>
        </w:rPr>
        <w:t>高速公路收费站机房网络智能化运维管理</w:t>
      </w:r>
      <w:r>
        <w:rPr>
          <w:rFonts w:hint="eastAsia" w:ascii="仿宋_GB2312" w:eastAsia="仿宋_GB2312" w:cs="仿宋"/>
          <w:sz w:val="28"/>
          <w:szCs w:val="28"/>
        </w:rPr>
        <w:t>进行总结起草的，符合工作实际，利于</w:t>
      </w:r>
      <w:r>
        <w:rPr>
          <w:rFonts w:hint="eastAsia" w:ascii="仿宋_GB2312" w:eastAsia="仿宋_GB2312"/>
          <w:kern w:val="0"/>
          <w:sz w:val="28"/>
          <w:szCs w:val="28"/>
          <w:lang w:eastAsia="zh-CN"/>
        </w:rPr>
        <w:t>高速公路收费站机房网络智能化运维管理</w:t>
      </w:r>
      <w:r>
        <w:rPr>
          <w:rFonts w:hint="eastAsia" w:ascii="仿宋_GB2312" w:eastAsia="仿宋_GB2312" w:cs="仿宋"/>
          <w:sz w:val="28"/>
          <w:szCs w:val="28"/>
        </w:rPr>
        <w:t>的实施与推广，具有可操作性和实用性。</w:t>
      </w:r>
    </w:p>
    <w:p w14:paraId="02659D99">
      <w:pPr>
        <w:spacing w:line="520" w:lineRule="exact"/>
        <w:ind w:firstLine="562" w:firstLineChars="200"/>
        <w:rPr>
          <w:rFonts w:ascii="仿宋_GB2312" w:eastAsia="仿宋_GB2312"/>
          <w:b/>
          <w:sz w:val="28"/>
          <w:szCs w:val="28"/>
        </w:rPr>
      </w:pPr>
      <w:r>
        <w:rPr>
          <w:rFonts w:hint="eastAsia" w:ascii="仿宋_GB2312" w:eastAsia="仿宋_GB2312"/>
          <w:b/>
          <w:sz w:val="28"/>
          <w:szCs w:val="28"/>
        </w:rPr>
        <w:t>2.协调性原则</w:t>
      </w:r>
    </w:p>
    <w:p w14:paraId="0F5BA7AA">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本文件编写过程中注意了与</w:t>
      </w:r>
      <w:r>
        <w:rPr>
          <w:rFonts w:hint="eastAsia" w:ascii="仿宋_GB2312" w:eastAsia="仿宋_GB2312"/>
          <w:kern w:val="0"/>
          <w:sz w:val="28"/>
          <w:szCs w:val="28"/>
          <w:lang w:eastAsia="zh-CN"/>
        </w:rPr>
        <w:t>高速公路收费站机房网络智能化运维管理</w:t>
      </w:r>
      <w:r>
        <w:rPr>
          <w:rFonts w:hint="eastAsia" w:ascii="仿宋_GB2312" w:eastAsia="仿宋_GB2312"/>
          <w:sz w:val="28"/>
          <w:szCs w:val="28"/>
        </w:rPr>
        <w:t>相关法律法规的协调问题，在内容上与现行法律法规、标准协调一致。</w:t>
      </w:r>
    </w:p>
    <w:p w14:paraId="4A3BD743">
      <w:pPr>
        <w:spacing w:line="520" w:lineRule="exact"/>
        <w:ind w:firstLine="562" w:firstLineChars="200"/>
        <w:rPr>
          <w:rFonts w:ascii="仿宋_GB2312" w:eastAsia="仿宋_GB2312"/>
          <w:b/>
          <w:sz w:val="28"/>
          <w:szCs w:val="28"/>
        </w:rPr>
      </w:pPr>
      <w:r>
        <w:rPr>
          <w:rFonts w:hint="eastAsia" w:ascii="仿宋_GB2312" w:eastAsia="仿宋_GB2312"/>
          <w:b/>
          <w:sz w:val="28"/>
          <w:szCs w:val="28"/>
        </w:rPr>
        <w:t>3.规范性原则</w:t>
      </w:r>
    </w:p>
    <w:p w14:paraId="74BE0026">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本文件严格按照GB/T 1.1—2020《标准化工作导则  第1部分：标准化文件的结构和起草规则》编写本标准的内容，保证标准的编写质量。</w:t>
      </w:r>
    </w:p>
    <w:p w14:paraId="3818B7B4">
      <w:pPr>
        <w:spacing w:line="520" w:lineRule="exact"/>
        <w:ind w:firstLine="562" w:firstLineChars="200"/>
        <w:rPr>
          <w:rFonts w:ascii="仿宋_GB2312" w:eastAsia="仿宋_GB2312"/>
          <w:b/>
          <w:sz w:val="28"/>
          <w:szCs w:val="28"/>
        </w:rPr>
      </w:pPr>
      <w:r>
        <w:rPr>
          <w:rFonts w:hint="eastAsia" w:ascii="仿宋_GB2312" w:eastAsia="仿宋_GB2312"/>
          <w:b/>
          <w:sz w:val="28"/>
          <w:szCs w:val="28"/>
        </w:rPr>
        <w:t>4.前瞻性原则</w:t>
      </w:r>
    </w:p>
    <w:p w14:paraId="274C3EA5">
      <w:pPr>
        <w:spacing w:line="520" w:lineRule="exact"/>
        <w:ind w:firstLine="560" w:firstLineChars="200"/>
        <w:rPr>
          <w:rFonts w:ascii="仿宋_GB2312" w:eastAsia="仿宋_GB2312"/>
          <w:sz w:val="28"/>
          <w:szCs w:val="28"/>
        </w:rPr>
      </w:pPr>
      <w:r>
        <w:rPr>
          <w:rFonts w:hint="eastAsia" w:ascii="仿宋_GB2312" w:eastAsia="仿宋_GB2312"/>
          <w:sz w:val="28"/>
          <w:szCs w:val="28"/>
        </w:rPr>
        <w:t>本文件在兼顾当前区内</w:t>
      </w:r>
      <w:r>
        <w:rPr>
          <w:rFonts w:hint="eastAsia" w:ascii="仿宋_GB2312" w:eastAsia="仿宋_GB2312"/>
          <w:kern w:val="0"/>
          <w:sz w:val="28"/>
          <w:szCs w:val="28"/>
          <w:lang w:eastAsia="zh-CN"/>
        </w:rPr>
        <w:t>高速公路收费站机房网络智能化运维管理</w:t>
      </w:r>
      <w:r>
        <w:rPr>
          <w:rFonts w:hint="eastAsia" w:ascii="仿宋_GB2312" w:eastAsia="仿宋_GB2312"/>
          <w:sz w:val="28"/>
          <w:szCs w:val="28"/>
        </w:rPr>
        <w:t>现实情况的同时，还考虑到了</w:t>
      </w:r>
      <w:r>
        <w:rPr>
          <w:rFonts w:hint="eastAsia" w:ascii="仿宋_GB2312" w:eastAsia="仿宋_GB2312"/>
          <w:kern w:val="0"/>
          <w:sz w:val="28"/>
          <w:szCs w:val="28"/>
          <w:lang w:eastAsia="zh-CN"/>
        </w:rPr>
        <w:t>高速公路收费站机房网络智能化运维管理</w:t>
      </w:r>
      <w:r>
        <w:rPr>
          <w:rFonts w:hint="eastAsia" w:ascii="仿宋_GB2312" w:eastAsia="仿宋_GB2312"/>
          <w:sz w:val="28"/>
          <w:szCs w:val="28"/>
        </w:rPr>
        <w:t>的需要，在标准中体现了个别特色性、前瞻性和先进性条款，作为对</w:t>
      </w:r>
      <w:r>
        <w:rPr>
          <w:rFonts w:hint="eastAsia" w:ascii="仿宋_GB2312" w:eastAsia="仿宋_GB2312"/>
          <w:kern w:val="0"/>
          <w:sz w:val="28"/>
          <w:szCs w:val="28"/>
          <w:lang w:eastAsia="zh-CN"/>
        </w:rPr>
        <w:t>高速公路收费站机房网络智能化运维管理</w:t>
      </w:r>
      <w:r>
        <w:rPr>
          <w:rFonts w:hint="eastAsia" w:ascii="仿宋_GB2312" w:eastAsia="仿宋_GB2312"/>
          <w:sz w:val="28"/>
          <w:szCs w:val="28"/>
        </w:rPr>
        <w:t>发展的指导。</w:t>
      </w:r>
    </w:p>
    <w:p w14:paraId="330C1A02">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（二）编制依据</w:t>
      </w:r>
    </w:p>
    <w:p w14:paraId="724E7EF0">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本标准严格按照GB/T 1.1—2020《标准化工作导则  第1部分：标准化文件的结构和起草规则》的规则起草，标准主要内容依据起草单位在</w:t>
      </w:r>
      <w:r>
        <w:rPr>
          <w:rFonts w:hint="eastAsia" w:ascii="仿宋_GB2312" w:eastAsia="仿宋_GB2312"/>
          <w:kern w:val="0"/>
          <w:sz w:val="28"/>
          <w:szCs w:val="28"/>
          <w:lang w:eastAsia="zh-CN"/>
        </w:rPr>
        <w:t>高速公路收费站机房网络智能化运维管理</w:t>
      </w:r>
      <w:r>
        <w:rPr>
          <w:rFonts w:hint="eastAsia" w:ascii="仿宋_GB2312" w:eastAsia="仿宋_GB2312"/>
          <w:sz w:val="28"/>
          <w:szCs w:val="28"/>
        </w:rPr>
        <w:t>研究应用过程中的实践经验确定。</w:t>
      </w:r>
    </w:p>
    <w:p w14:paraId="4868B094">
      <w:pPr>
        <w:spacing w:line="520" w:lineRule="exact"/>
        <w:ind w:firstLine="562" w:firstLineChars="200"/>
        <w:outlineLvl w:val="1"/>
        <w:rPr>
          <w:rFonts w:ascii="仿宋_GB2312" w:eastAsia="仿宋_GB2312"/>
          <w:b/>
          <w:bCs/>
          <w:sz w:val="28"/>
          <w:szCs w:val="28"/>
        </w:rPr>
      </w:pPr>
      <w:r>
        <w:rPr>
          <w:rFonts w:hint="eastAsia" w:ascii="仿宋_GB2312" w:eastAsia="仿宋_GB2312"/>
          <w:b/>
          <w:bCs/>
          <w:sz w:val="28"/>
          <w:szCs w:val="28"/>
        </w:rPr>
        <w:t>（三）与现行法律法规的关系，与有关国家标准、行业标准的协调情况</w:t>
      </w:r>
    </w:p>
    <w:p w14:paraId="48DC4788">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经查阅，与“</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规范”有关的标准有：GB/T 22239-2019《信息安全技术 网络安全等级保护基本要求》、GB/T 14394-2008《计算机软件可靠性和可维护性管理》、GB/T 37048-2018《高速公路机电系统防雷技术规范》、JTG 6310-2022《收费公路联网收费技术标准》、JT/T 1036-2016《公路监控系统技术规范》、DB 53/T 1141-2023《公路联网收费系统系统入网检测技术规范》、CQJTG/T H03-2025《高速公路收费管理标准》、T/SDIOT 037-2023《智慧高速公路机房通用要求》、DB61/T 1897-2024《高速公路机电设施设备信息描述及联网规范》。</w:t>
      </w:r>
    </w:p>
    <w:p w14:paraId="25973EAA">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GB/T 22239-2019《信息安全技术 网络安全等级保护基本要求》规定了网络安全等级保护第一级到第四级的安全通用要求和云计算、移动互联、物联网、工业控制等扩展要求，是网络运营者履行安全保护义务的通用合规基线。JTG 6310-2022《收费公路联网收费技术标准》规定了收费公路联网收费系统的总体要求、系统架构、关键设备、软件、网络与信息安全、检测与运行维护等技术要求。JT/T 1036-2016《公路监控系统技术规范》规定了公路监控系统的构成、系统设计、设备配置、软件功能、系统性能及环境要求。GB/T 37048-2018《高速公路机电系统防雷技术规范》规定了高速公路机电系统防雷的术语和定义、分级、技术要求、检测与维护。GB/T 14394-2008《计算机软件可靠性和可维护性管理》规定了软件生命周期中的可靠性和可维护性大纲的制定和实施要求。DB 53/T 1141-2023《公路联网收费系统系统入网检测技术规范》规定了公路联网收费系统新入网系统及设备的检测条件、检测内容、检测方法和检测报告要求。CQJTG/T H03-2025《高速公路收费管理标准》规定了高速公路收费管理的总体要求、收费业务、收费服务、收费设施与设备、收费安全与应急等管理内容。T/SDIOT 037-2023《智慧高速公路机房通用要求》规定了智慧高速公路机房的分级与性能、工艺、电气、智能化系统、消防与安全、施工与验收等技术要求。DB61/T 1897-2024《高速公路机电设施设备信息描述及联网规范》规定了高速公路机电设施设备的分类与编码、信息描述、联网一般要求、功能要求、性能要求及测试验证方法。</w:t>
      </w:r>
    </w:p>
    <w:p w14:paraId="4F1761D3">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本标准《</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规范》的主要内容是针对高速公路收费站机房这一特定业务场景，建立一套以网络系统为核心对象，覆盖其全生命周期（包括日常监控、维护操作、故障处置、安全防护、数据管理及应急响应）的运维管理体系。</w:t>
      </w:r>
    </w:p>
    <w:p w14:paraId="4233299C">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与以上标准均不同。上述标准分别从通用安全合规（GB/T 22239）、专项技术设计（JTG 6310， JT/T 1036）、物理环境防护（GB/T 37048）、软件生命周期管理（GB/T 14394）、入网检测（DB 53/T 1141）、运营管理（CQJTG/T H03）、机房建设（T/SDIOT 037）及设备信息互联（DB61/T 1897）等不同维度提出了要求。而本标准的核心创新在于，首次专门聚焦于“收费站机房网络”这一具体对象的“运维管理”活动，旨在将上述各类标准中的分散要求，整合转化为一套系统化、流程化、可日常执行的操作规程与管理规范，从而填补从“静态符合各类技术标准”到“实现动态化、精细化持续运营”之间的领域空白。</w:t>
      </w:r>
    </w:p>
    <w:p w14:paraId="32A1DB58">
      <w:pPr>
        <w:adjustRightInd w:val="0"/>
        <w:snapToGrid w:val="0"/>
        <w:spacing w:line="520" w:lineRule="exact"/>
        <w:ind w:firstLine="560" w:firstLineChars="200"/>
        <w:rPr>
          <w:rFonts w:hint="eastAsia" w:ascii="仿宋_GB2312" w:eastAsia="仿宋_GB2312"/>
          <w:sz w:val="28"/>
          <w:szCs w:val="28"/>
        </w:rPr>
      </w:pPr>
      <w:r>
        <w:rPr>
          <w:rFonts w:hint="eastAsia" w:ascii="仿宋_GB2312" w:eastAsia="仿宋_GB2312"/>
          <w:sz w:val="28"/>
          <w:szCs w:val="28"/>
        </w:rPr>
        <w:t>本标准的制定将填补行业空白，因此制定团体标准《</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规范》具有创新性，先进性。</w:t>
      </w:r>
    </w:p>
    <w:p w14:paraId="4D4A4D62">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当前未制定有团体标准《</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规范》。</w:t>
      </w:r>
    </w:p>
    <w:p w14:paraId="61181925">
      <w:pPr>
        <w:adjustRightInd w:val="0"/>
        <w:snapToGrid w:val="0"/>
        <w:spacing w:line="520" w:lineRule="exact"/>
        <w:ind w:firstLine="560" w:firstLineChars="200"/>
        <w:rPr>
          <w:rFonts w:ascii="仿宋_GB2312" w:eastAsia="仿宋_GB2312"/>
          <w:sz w:val="28"/>
          <w:szCs w:val="28"/>
        </w:rPr>
      </w:pPr>
      <w:r>
        <w:rPr>
          <w:rFonts w:hint="eastAsia" w:ascii="仿宋_GB2312" w:eastAsia="仿宋_GB2312"/>
          <w:sz w:val="28"/>
          <w:szCs w:val="28"/>
        </w:rPr>
        <w:t>本标准的内容与现行的法律法规及强制性标准无冲突，标准的编写符合GB/T 1.1—2020的要求。</w:t>
      </w:r>
    </w:p>
    <w:p w14:paraId="74898E49">
      <w:pPr>
        <w:spacing w:before="240" w:after="60" w:line="520" w:lineRule="exact"/>
        <w:ind w:firstLine="640" w:firstLineChars="200"/>
        <w:jc w:val="left"/>
        <w:outlineLvl w:val="0"/>
        <w:rPr>
          <w:rFonts w:ascii="仿宋_GB2312" w:eastAsia="仿宋_GB2312" w:cs="仿宋"/>
          <w:bCs/>
          <w:sz w:val="28"/>
          <w:szCs w:val="28"/>
        </w:rPr>
      </w:pPr>
      <w:r>
        <w:rPr>
          <w:rFonts w:hint="eastAsia" w:ascii="黑体" w:eastAsia="黑体"/>
          <w:bCs/>
          <w:sz w:val="32"/>
          <w:szCs w:val="32"/>
        </w:rPr>
        <w:t>五、主要条款的说明</w:t>
      </w:r>
    </w:p>
    <w:p w14:paraId="5C246B4C">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（一）术语和定义</w:t>
      </w:r>
    </w:p>
    <w:p w14:paraId="4E346E40">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1</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lang w:eastAsia="zh-CN"/>
        </w:rPr>
        <w:t xml:space="preserve"> 智慧化运维管理</w:t>
      </w:r>
    </w:p>
    <w:p w14:paraId="73818D26">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强调“主动预警、故障自愈、性能优化、可视化”四大特征，区别于传统被动式运维（人工巡检、事后处置）。其中“故障自愈”指通过自动化脚本或预案，在故障发生时自动执行预定义的恢复操作（如重启服务、切换链路），无需人工干预，是智能化运维的核心特征，可显著缩短故障持续时间。定义参考了ITIL（信息技术基础架构库）对运维流程的规范以及智能运维（AIOps）将人工智能应用于运维管理的核心理念，结合高速公路收费站机房业务连续性的高要求形成。</w:t>
      </w:r>
    </w:p>
    <w:p w14:paraId="7DA3A7FB">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2</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lang w:eastAsia="zh-CN"/>
        </w:rPr>
        <w:t xml:space="preserve"> 数据采集</w:t>
      </w:r>
    </w:p>
    <w:p w14:paraId="676460FC">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明确采集方式包括自动采集（通过网络爬虫、传感器、日志抓取等自动化工具）和人工录入（如现场巡检记录），确保定义覆盖全面，适应不同场景的数据获取需求。采集对象涵盖网络设备（路由器、交换机）、计算存储设备（服务器、磁盘阵列）、安全设备（防火墙、入侵检测系统）及配套环境设施（温湿度传感器、UPS），与后续章节的管理对象保持一致，确保数据采集的完整性和一致性。</w:t>
      </w:r>
    </w:p>
    <w:p w14:paraId="1BDAFDD4">
      <w:pPr>
        <w:pStyle w:val="33"/>
        <w:spacing w:before="0" w:beforeLines="0" w:after="0" w:afterLines="0"/>
        <w:ind w:firstLine="560"/>
        <w:jc w:val="both"/>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3</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lang w:eastAsia="zh-CN"/>
        </w:rPr>
        <w:t xml:space="preserve"> 网络性能基线</w:t>
      </w:r>
    </w:p>
    <w:p w14:paraId="0A7B6F33">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引入网络性能基线概念，旨在为异常检测提供动态基准。传统监控采用固定阈值（如带宽利用率&gt;80%告警），容易因业务时段差异产生误报（如白天高峰带宽高、夜间低）。基于历史运行数据建立的基线可反映不同时段、不同业务场景下的正常性能范围，当实时指标偏离基线时触发预警，可更准确地识别潜在问题。定义参考了网络性能管理领域的通用做法，结合高速公路收费站收费链路、稽核链路等核心业务的性能保障需求确定。</w:t>
      </w:r>
    </w:p>
    <w:p w14:paraId="663FB9B0">
      <w:pPr>
        <w:pStyle w:val="33"/>
        <w:spacing w:before="0" w:beforeLines="0" w:after="0" w:afterLines="0"/>
        <w:ind w:firstLine="562"/>
        <w:jc w:val="both"/>
        <w:outlineLvl w:val="1"/>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（二）</w:t>
      </w:r>
      <w:r>
        <w:rPr>
          <w:rFonts w:hint="eastAsia" w:ascii="仿宋_GB2312" w:hAnsi="仿宋_GB2312" w:eastAsia="仿宋_GB2312" w:cs="仿宋_GB2312"/>
          <w:b/>
          <w:bCs w:val="0"/>
          <w:sz w:val="28"/>
          <w:szCs w:val="28"/>
          <w:lang w:eastAsia="zh-CN"/>
        </w:rPr>
        <w:t>基本</w:t>
      </w:r>
      <w:r>
        <w:rPr>
          <w:rFonts w:hint="eastAsia" w:ascii="仿宋_GB2312" w:hAnsi="仿宋_GB2312" w:eastAsia="仿宋_GB2312" w:cs="仿宋_GB2312"/>
          <w:b/>
          <w:bCs w:val="0"/>
          <w:sz w:val="28"/>
          <w:szCs w:val="28"/>
        </w:rPr>
        <w:t>要求</w:t>
      </w:r>
    </w:p>
    <w:p w14:paraId="38AB60A4">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组织与人员</w:t>
      </w:r>
    </w:p>
    <w:p w14:paraId="04509BE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lang w:val="en-US" w:eastAsia="zh-CN"/>
        </w:rPr>
        <w:t>1.1</w:t>
      </w:r>
      <w:r>
        <w:rPr>
          <w:rFonts w:hint="eastAsia" w:ascii="仿宋_GB2312" w:hAnsi="仿宋_GB2312" w:eastAsia="仿宋_GB2312" w:cs="仿宋_GB2312"/>
          <w:sz w:val="28"/>
          <w:szCs w:val="28"/>
        </w:rPr>
        <w:t>管理体系是运维工作的基础，明确组织架构、岗位职责、管理流程和资源保障，可避免责任推诿，确保运维工作有序开展。</w:t>
      </w:r>
    </w:p>
    <w:p w14:paraId="6EE41CF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 技术发展迅速，定期组织运维人员参加专业技能与安全培训，可保持人员能力适应新要求；安全培训是防止误操作和网络安全事件的重要措施；保存培训记录便于追溯和考核。</w:t>
      </w:r>
    </w:p>
    <w:p w14:paraId="3262F79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1.3 建立考核体系并将考核结果与岗位挂钩（如绩效、晋升），可激励运维人员提升工作质量和效率。</w:t>
      </w:r>
    </w:p>
    <w:p w14:paraId="0C905A36">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基础设施与环境</w:t>
      </w:r>
    </w:p>
    <w:p w14:paraId="3BBB94C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 机房环境参数（温度、湿度、供配电）直接影响设备的运行稳定性和使用寿命。GB/T 2887对计算机场地已有成熟的技术要求，GB 50174对数据中心环境提出分级要求。</w:t>
      </w:r>
    </w:p>
    <w:p w14:paraId="1FE2E52D">
      <w:pPr>
        <w:pStyle w:val="33"/>
        <w:spacing w:before="0" w:beforeLines="0" w:after="0" w:afterLines="0" w:line="240" w:lineRule="auto"/>
        <w:ind w:left="0" w:leftChars="0" w:firstLine="0" w:firstLineChars="0"/>
        <w:jc w:val="center"/>
      </w:pPr>
      <w:r>
        <w:drawing>
          <wp:inline distT="0" distB="0" distL="114300" distR="114300">
            <wp:extent cx="3650615" cy="3361055"/>
            <wp:effectExtent l="9525" t="9525" r="16510" b="2032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7"/>
                    <a:stretch>
                      <a:fillRect/>
                    </a:stretch>
                  </pic:blipFill>
                  <pic:spPr>
                    <a:xfrm>
                      <a:off x="0" y="0"/>
                      <a:ext cx="3650615" cy="3361055"/>
                    </a:xfrm>
                    <a:prstGeom prst="rect">
                      <a:avLst/>
                    </a:prstGeom>
                    <a:noFill/>
                    <a:ln>
                      <a:solidFill>
                        <a:schemeClr val="tx1"/>
                      </a:solidFill>
                    </a:ln>
                  </pic:spPr>
                </pic:pic>
              </a:graphicData>
            </a:graphic>
          </wp:inline>
        </w:drawing>
      </w:r>
    </w:p>
    <w:p w14:paraId="285B451B">
      <w:pPr>
        <w:pStyle w:val="33"/>
        <w:spacing w:before="0" w:beforeLines="0" w:after="0" w:afterLines="0" w:line="240" w:lineRule="auto"/>
        <w:ind w:left="0" w:leftChars="0" w:firstLine="0" w:firstLineChars="0"/>
        <w:jc w:val="center"/>
        <w:rPr>
          <w:rFonts w:hint="eastAsia" w:eastAsia="黑体"/>
          <w:lang w:eastAsia="zh-CN"/>
        </w:rPr>
      </w:pPr>
      <w:r>
        <w:rPr>
          <w:rFonts w:hint="eastAsia"/>
          <w:lang w:eastAsia="zh-CN"/>
        </w:rPr>
        <w:t>来源：GB/T 2887  计算机场地通用规范</w:t>
      </w:r>
    </w:p>
    <w:p w14:paraId="28DDF800">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2.2 消防系统、接地保护及机柜布局是机房物理安全的重要组成部分。气体灭火系统适用于电子设备环境，可避免水喷淋造成的二次损坏；火灾自动报警系统与气体灭火系统联动，可在火灾初期及时响应；每年至少1次消防演练和灭火设备功能检测，可确保系统和人员处于应急状态。上述要求参照GB 50174的C级数据中心标准，与收费站机房的规模和安全需求相适应。</w:t>
      </w:r>
    </w:p>
    <w:p w14:paraId="7853AD18">
      <w:pPr>
        <w:pStyle w:val="33"/>
        <w:spacing w:before="0" w:beforeLines="0" w:after="0" w:afterLines="0" w:line="240" w:lineRule="auto"/>
        <w:ind w:left="0" w:leftChars="0" w:firstLine="0" w:firstLineChars="0"/>
        <w:jc w:val="center"/>
      </w:pPr>
      <w:r>
        <w:drawing>
          <wp:inline distT="0" distB="0" distL="114300" distR="114300">
            <wp:extent cx="2823845" cy="2934970"/>
            <wp:effectExtent l="9525" t="9525" r="24130" b="273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8"/>
                    <a:stretch>
                      <a:fillRect/>
                    </a:stretch>
                  </pic:blipFill>
                  <pic:spPr>
                    <a:xfrm>
                      <a:off x="0" y="0"/>
                      <a:ext cx="2823845" cy="2934970"/>
                    </a:xfrm>
                    <a:prstGeom prst="rect">
                      <a:avLst/>
                    </a:prstGeom>
                    <a:noFill/>
                    <a:ln>
                      <a:solidFill>
                        <a:schemeClr val="tx1"/>
                      </a:solidFill>
                    </a:ln>
                  </pic:spPr>
                </pic:pic>
              </a:graphicData>
            </a:graphic>
          </wp:inline>
        </w:drawing>
      </w:r>
    </w:p>
    <w:p w14:paraId="2F8CD63C">
      <w:pPr>
        <w:pStyle w:val="33"/>
        <w:spacing w:before="0" w:beforeLines="0" w:after="0" w:afterLines="0" w:line="240" w:lineRule="auto"/>
        <w:ind w:left="0" w:leftChars="0" w:firstLine="0" w:firstLineChars="0"/>
        <w:jc w:val="center"/>
        <w:rPr>
          <w:rFonts w:hint="default" w:eastAsia="黑体"/>
          <w:lang w:val="en-US" w:eastAsia="zh-CN"/>
        </w:rPr>
      </w:pPr>
      <w:r>
        <w:rPr>
          <w:rFonts w:hint="eastAsia"/>
          <w:lang w:val="en-US" w:eastAsia="zh-CN"/>
        </w:rPr>
        <w:t>来源：GB 50174—2017  数据中心设计规范</w:t>
      </w:r>
    </w:p>
    <w:p w14:paraId="6F10090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 出入控制（门禁系统、权限管理）可防止未授权人员进入机房，降低误操作或人为破坏的风险；视频监控覆盖出入口及主要通道，起到实时监视和事后追溯的作用，是提升物理安全性的有效手段；录像保存时间≥90 d，可满足大多数安全事件的追溯需求。</w:t>
      </w:r>
    </w:p>
    <w:p w14:paraId="6AACC927">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 动力环境监控系统是确保机房安全的基础，对温湿度、漏水、烟雾、供配电、UPS状态、空调运行等参数进行7×24 h实时监测，可及时发现异常；故障发现时间≤60 s，可保证在设备异常后1分钟内感知；告警信息在10 s内推送至运维人员，确保快速响应；智能巡检机器人作为可选技术，可替代人工进行高频次、高精度巡检，减少人员进入机房的风险。上述指标依据动力环境监控系统行业经验及快速响应要求确定。</w:t>
      </w:r>
    </w:p>
    <w:p w14:paraId="56FF906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2.5 收费站网络的核心业务为收费交易，其连续性直接关系通行效率和通行费收入。冗余设计的目的是消除单点故障，核心层设备采用双电源、双引擎，关键链路具备物理或逻辑上的冗余路径，确保任一设备或链路失效时业务不中断。收费业务链路配置主备双链路（如光纤+4G/5G备份），主链路中断时应在30 s内自动切换至备用链路。30 s的自动切换时限主要依据业务中断可容忍时间确定，在此时间内完成切换可基本实现用户无感知；4G/5G作为备用链路，适用于不具备双光缆敷设条件的场景。</w:t>
      </w:r>
    </w:p>
    <w:p w14:paraId="0E799FD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2.6 网络拓扑图和配置文件是故障排查和系统恢复的基础资料。变更后若未及时更新，将导致后续运维人员依据错误信息操作，延误故障处置甚至引发误操作。3个工作日的更新时限是在变更稳定性和信息及时性之间取得的平衡；配置文件的备份是快速恢复业务的重要保障。</w:t>
      </w:r>
    </w:p>
    <w:p w14:paraId="44AC8E5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2.7 UPS采用N+1冗余配置，保证一台UPS故障时仍能支撑负载，是数据中心UPS配置的行业标准；续航时间≥4 h，可满足电网故障后应急发电启动和抢修的时间需求；机房主备供电切换时间≤10 ms，可保证服务器、网络设备在电源切换时不重启。上述指标参照GB 50174对C级数据中心的要求及ATS切换开关的典型性能确定。</w:t>
      </w:r>
    </w:p>
    <w:p w14:paraId="38A333EA">
      <w:pPr>
        <w:pStyle w:val="33"/>
        <w:spacing w:before="0" w:beforeLines="0" w:after="0" w:afterLines="0" w:line="240" w:lineRule="auto"/>
        <w:ind w:left="0" w:leftChars="0" w:firstLine="0" w:firstLineChars="0"/>
        <w:jc w:val="center"/>
      </w:pPr>
      <w:r>
        <w:drawing>
          <wp:inline distT="0" distB="0" distL="114300" distR="114300">
            <wp:extent cx="2457450" cy="2117725"/>
            <wp:effectExtent l="9525" t="9525" r="9525" b="254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457450" cy="2117725"/>
                    </a:xfrm>
                    <a:prstGeom prst="rect">
                      <a:avLst/>
                    </a:prstGeom>
                    <a:noFill/>
                    <a:ln>
                      <a:solidFill>
                        <a:schemeClr val="tx1"/>
                      </a:solidFill>
                    </a:ln>
                  </pic:spPr>
                </pic:pic>
              </a:graphicData>
            </a:graphic>
          </wp:inline>
        </w:drawing>
      </w:r>
    </w:p>
    <w:p w14:paraId="6A9D4555">
      <w:pPr>
        <w:pStyle w:val="33"/>
        <w:spacing w:before="0" w:beforeLines="0" w:after="0" w:afterLines="0" w:line="240" w:lineRule="auto"/>
        <w:ind w:left="0" w:leftChars="0" w:firstLine="0" w:firstLineChars="0"/>
        <w:jc w:val="center"/>
        <w:rPr>
          <w:rFonts w:hint="eastAsia"/>
          <w:lang w:val="en-US" w:eastAsia="zh-CN"/>
        </w:rPr>
      </w:pPr>
      <w:r>
        <w:rPr>
          <w:rFonts w:hint="eastAsia"/>
          <w:lang w:val="en-US" w:eastAsia="zh-CN"/>
        </w:rPr>
        <w:t>来源：GB 50174 数据中心设计规范</w:t>
      </w:r>
    </w:p>
    <w:p w14:paraId="71A7C5C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2.8 强弱电分离可减少电磁干扰；阻燃敷设是消防要求，防止火灾蔓延；清晰标识便于维护和故障定位；金属可靠接地是安全和防雷要求，保障设备和人员安全。此条款综合了GB 50174和GB 50311（综合布线系统设计规范）的相关规定。</w:t>
      </w:r>
    </w:p>
    <w:p w14:paraId="4F2438E7">
      <w:pPr>
        <w:pStyle w:val="33"/>
        <w:spacing w:before="0" w:beforeLines="0" w:after="0" w:afterLines="0" w:line="240" w:lineRule="auto"/>
        <w:ind w:left="0" w:leftChars="0" w:firstLine="0" w:firstLineChars="0"/>
        <w:jc w:val="center"/>
      </w:pPr>
      <w:r>
        <w:drawing>
          <wp:inline distT="0" distB="0" distL="114300" distR="114300">
            <wp:extent cx="3833495" cy="1627505"/>
            <wp:effectExtent l="9525" t="9525" r="24130" b="203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3833495" cy="1627505"/>
                    </a:xfrm>
                    <a:prstGeom prst="rect">
                      <a:avLst/>
                    </a:prstGeom>
                    <a:noFill/>
                    <a:ln>
                      <a:solidFill>
                        <a:schemeClr val="tx1"/>
                      </a:solidFill>
                    </a:ln>
                  </pic:spPr>
                </pic:pic>
              </a:graphicData>
            </a:graphic>
          </wp:inline>
        </w:drawing>
      </w:r>
    </w:p>
    <w:p w14:paraId="1ED9AEAD">
      <w:pPr>
        <w:pStyle w:val="33"/>
        <w:spacing w:before="0" w:beforeLines="0" w:after="0" w:afterLines="0" w:line="240" w:lineRule="auto"/>
        <w:ind w:left="0" w:leftChars="0" w:firstLine="0" w:firstLineChars="0"/>
        <w:jc w:val="center"/>
        <w:rPr>
          <w:rFonts w:hint="eastAsia"/>
        </w:rPr>
      </w:pPr>
      <w:r>
        <w:rPr>
          <w:rFonts w:hint="eastAsia"/>
        </w:rPr>
        <w:t>来源：GB 50174 数据中心设计规范</w:t>
      </w:r>
    </w:p>
    <w:p w14:paraId="28CAB3F2">
      <w:pPr>
        <w:pStyle w:val="33"/>
        <w:spacing w:before="0" w:beforeLines="0" w:after="0" w:afterLines="0"/>
        <w:ind w:firstLine="562"/>
        <w:jc w:val="both"/>
        <w:outlineLvl w:val="1"/>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rPr>
        <w:t>（三）</w:t>
      </w:r>
      <w:r>
        <w:rPr>
          <w:rFonts w:hint="eastAsia" w:ascii="仿宋_GB2312" w:hAnsi="仿宋_GB2312" w:eastAsia="仿宋_GB2312" w:cs="仿宋_GB2312"/>
          <w:b/>
          <w:bCs w:val="0"/>
          <w:sz w:val="28"/>
          <w:szCs w:val="28"/>
          <w:lang w:eastAsia="zh-CN"/>
        </w:rPr>
        <w:t>智能化巡视检查</w:t>
      </w:r>
    </w:p>
    <w:p w14:paraId="71CCDDA6">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管理对象与监控</w:t>
      </w:r>
    </w:p>
    <w:p w14:paraId="3C5106E5">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1.1 运维对象覆盖了影响机房网络运行的所有关键设备。磁盘阵列要求≥10 TB，是基于当前收费站业务数据的存储需求：收费流水、车牌识别图片、视频监控录像、日志数据等综合存储需求。</w:t>
      </w:r>
    </w:p>
    <w:p w14:paraId="3330907A">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1.2 统一平台集中监控可避免多系统切换，7×24 h持续监控可确保故障及时被发现，若仅在人工巡检时监控则故障可能漏报。</w:t>
      </w:r>
    </w:p>
    <w:p w14:paraId="5F36E343">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1.3 机房设备正常运行温度范围为0℃~40℃，设置30℃预警阈值可在温度尚未达到极限值时提前干预（如调整空调设定、清理散热），避免高温影响设备寿命；电压偏差±10%是设备对电压波动的容忍范围，超出范围可能引发宕机或损坏，设置该阈值可提前发现供电异常。</w:t>
      </w:r>
    </w:p>
    <w:p w14:paraId="0FCDB362">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1.4 告警收敛：当一台设备故障可能引发多条关联告警时，收敛可将多条告警合并为一条，防止告警风暴；告警级别定义：区分危急、严重、一般等不同级别，便于区分响应优先级；多渠道通知：短信、邮件、APP同时推送，确保告警信息送达，声光告警用于机房现场警示。</w:t>
      </w:r>
    </w:p>
    <w:p w14:paraId="2A975965">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智能化巡检</w:t>
      </w:r>
    </w:p>
    <w:p w14:paraId="61FD2EB7">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2.1 智能运维平台替代人工完成重复性、高频次巡检任务，提高效率和质量，平台应具备数据采集、存储、分析、告警、可视化等功能。</w:t>
      </w:r>
    </w:p>
    <w:p w14:paraId="2EE8E9A1">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2.2 核心设备（核心交换机、收费服务器）需实时掌握状态，采集频率≤30 s/次可及时发现异常；非核心设备对实时性要求较低，5 min/次可减轻系统负载，同时满足监控需求。采集内容（CPU、内存、磁盘、端口状态、温度、电压、端口流量、在线状态等）是判断设备健康度的关键指标。CPU持续＞70%可能导致处理能力下降、业务响应变慢，应预警分析原因；内存可用＜20%可能导致进程被杀死引发业务中断，预留缓冲可避免突发内存需求；磁盘使用率＞85%可能导致系统无法写入日志、数据库无法操作，提前预警便于扩容或清理。</w:t>
      </w:r>
    </w:p>
    <w:p w14:paraId="69994CC8">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2.3 核心链路（收费、稽核）需高频探测，1 min/次可快速感知中断；性能采样（延迟、丢包）5 min/次可反映趋势，同时减少探测流量。基于基线动态告警可避免固定阈值误报，±50%的偏离阈值可排除偶然波动，同时保持对持续异常的敏感度。丢包率＞0.1%会导致TCP重传、增加延迟，超过此值即视为异常；延迟＞100 ms可能影响收费数据传输的实时性，超过此值应预警。</w:t>
      </w:r>
    </w:p>
    <w:p w14:paraId="1786BD14">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2.4 日志采集延迟≤1 min，可满足实时告警需求，延迟过长可能导致攻击者已完成攻击行为。异常识别包括暴力破解（短时多次失败登录）、异常登录（非工作时间或异地登录）、未授权配置变更、违规外联、异常流量、账号越权操作等常见安全威胁。发现异常应实时推送告警并形成处置工单，确保闭环。</w:t>
      </w:r>
    </w:p>
    <w:p w14:paraId="08B2A04A">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2.5 每日自动生成巡检报告，包括设备健康度、性能趋势、异常事件、告警处置闭环，报告支持图表化展示和按日、周、月自动归档，便于管理复盘。</w:t>
      </w:r>
    </w:p>
    <w:p w14:paraId="3827E33C">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2.6 对核心设备可启用短期高频采集（≤10 min），用于性能瓶颈诊断；采集频率100 Hz～200 Hz可捕捉微秒级波动。高频采集仅用于故障排查，避免常态化造成性能影响；诊断完成后自动恢复常规采集频率，数据专项归档。</w:t>
      </w:r>
    </w:p>
    <w:p w14:paraId="64BBF92C">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知识库</w:t>
      </w:r>
    </w:p>
    <w:p w14:paraId="3BCF8AD5">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3.1 知识库可将运维知识沉淀和共享，使隐性知识显性化，标准化处置流程，新员工可快速学习。</w:t>
      </w:r>
    </w:p>
    <w:p w14:paraId="2FBF47F5">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3.2 知识库内容应覆盖运维各环节：巡检标准、故障案例、基线偏离案例、操作规范、应急预案、设备基础信息（各型号参数配置、硬件规格、厂商维保信息）、维护手册、告警指引等。</w:t>
      </w:r>
    </w:p>
    <w:p w14:paraId="0428ADDF">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3.3 知识库与巡检系统、故障工单联动，自动推送相关案例，辅助决策；新员工培训依托知识库，确保标准化。</w:t>
      </w:r>
    </w:p>
    <w:p w14:paraId="42556B11">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3.4 重大故障复盘后24 h内录入知识库，确保经验及时固化；每季度审核更新，删除过时内容、补充新案例；支持多维度检索；记录查阅调用情况并纳入考核，评估知识库使用效果。</w:t>
      </w:r>
    </w:p>
    <w:p w14:paraId="018DC74E">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4</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网络性能</w:t>
      </w:r>
    </w:p>
    <w:p w14:paraId="7AD8DA05">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4.1 带宽利用率超过70%可能引发拥塞，且为突发流量留出缓冲；延迟＞100 ms可能影响收费数据实时性；丢包率＞0.1%会导致TCP重传、增加延迟，超过此值即视为异常。</w:t>
      </w:r>
    </w:p>
    <w:p w14:paraId="1FC932A0">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4.2 收费业务链路配置主备冗余链路，主链路中断时应在30 s内切换，保障业务连续性。</w:t>
      </w:r>
    </w:p>
    <w:p w14:paraId="6D1D0E7C">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4.3 QoS（服务质量）可保证关键业务带宽，限制非业务流量；非业务流量占比≤10%，避免挤占关键业务带宽导致收费数据延迟或丢包。</w:t>
      </w:r>
    </w:p>
    <w:p w14:paraId="5E86B9E9">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4.4 核心业务链路带宽利用率连续1 h超过80%表明持续高负载，需分析流量构成并采取扩容、限流等优化措施，1 h可排除短暂峰值，确保优化基于真实趋势。</w:t>
      </w:r>
    </w:p>
    <w:p w14:paraId="7228252C">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4.5 基线管理可适应不同时段（如高峰、平峰）的差异，避免固定阈值误报；通过历史数据学习生成正常波动范围，当实时指标偏离基线时触发预警。</w:t>
      </w:r>
    </w:p>
    <w:p w14:paraId="3D30A896">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5</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人工巡检</w:t>
      </w:r>
    </w:p>
    <w:p w14:paraId="27698970">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5.1 日常人工巡检检查设备指示灯状态、接口连接、散热风扇等肉眼可快速判断的物理状态，可发现自动化巡检难以替代的异常（如指示灯颜色、风扇异响）。</w:t>
      </w:r>
    </w:p>
    <w:p w14:paraId="59951C18">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5.2 月度对核心设备进行深度检查，CPU利用率＞70%、内存占用＞80%时预警，与设备状态自动采集阈值一致，月度周期可覆盖设备性能的长期趋势。</w:t>
      </w:r>
    </w:p>
    <w:p w14:paraId="07889AC7">
      <w:pPr>
        <w:pStyle w:val="33"/>
        <w:spacing w:before="0" w:beforeLines="0" w:after="0" w:afterLines="0"/>
        <w:ind w:firstLine="560"/>
        <w:jc w:val="both"/>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t>5.3 节假日车流高峰前完成全链路压力测试及设备负载均衡调整，提前发现性能瓶颈，避免高峰时业务中断；汛期前1周完成机房防水、防雷设施专项巡检，及时修复隐患。</w:t>
      </w:r>
    </w:p>
    <w:p w14:paraId="1F0B5D90">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val="0"/>
          <w:bCs/>
          <w:sz w:val="28"/>
          <w:szCs w:val="28"/>
        </w:rPr>
        <w:t>5.4 人工巡检发现异常应及时处理并记录，统一归档便于追溯和分析，可统计问题多发点、高频故障类型，为优化维护计划提供数据支撑。</w:t>
      </w:r>
    </w:p>
    <w:p w14:paraId="66915DC8">
      <w:pPr>
        <w:pStyle w:val="33"/>
        <w:spacing w:before="0" w:beforeLines="0" w:after="0" w:afterLines="0"/>
        <w:ind w:firstLine="560"/>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（四）维护更新</w:t>
      </w:r>
    </w:p>
    <w:p w14:paraId="371CD02E">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故障处理</w:t>
      </w:r>
    </w:p>
    <w:p w14:paraId="51ED8E4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1.1 闭环机制确保故障处理不漏项，每一步可追溯。自动告警：监控系统检测到异常后自动告警；智能研判：基于知识库和历史数据初步判断故障原因和影响范围；工单派发：根据故障类型和级别自动派发给相应责任人；远程/现场处理：运维人员处置；结果验证：自动验证业务连通性和性能指标，确认修复；复盘归档：重大故障复盘，经验录入知识库。</w:t>
      </w:r>
    </w:p>
    <w:p w14:paraId="263C57E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1.2 分级依据影响范围（全站、单车道、单端口）和严重程度（中断、异常、劣化）。一级故障影响收费业务，需立即处置；二级故障影响局部业务，可稍缓；三级故障不影响业务，可纳入日常维护。</w:t>
      </w:r>
    </w:p>
    <w:p w14:paraId="723C260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1.3 一级故障5 min内响应，确保及时处置；30 min内到场，考虑人员从驻地到机房的合理通勤时间；4 h内恢复，确保故障影响在可接受时限内修复。二级故障10 min内响应、2 h内处置完毕，影响局部业务可适当放宽时限。三级故障24 h内处理完成，不影响业务可安排在次日处置。</w:t>
      </w:r>
    </w:p>
    <w:p w14:paraId="1A6B891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1.4 分层排查法遵循OSI模型，可系统定位故障点，避免盲目操作。先检查数据链路层（物理链路），再检查网络层（IP连通性），再检查应用层（服务状态），最后检查数据处理层（数据库、中间件）。知识库辅助可提高诊断效率。</w:t>
      </w:r>
    </w:p>
    <w:p w14:paraId="0432E37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1.5 自动验证确保修复有效，避免因验证遗漏导致故障复发。重大故障复盘可总结经验，防止复发，24 h内完成复盘确保经验及时固化。</w:t>
      </w:r>
    </w:p>
    <w:p w14:paraId="2E0A1F1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1.6 99%告警响应率是高质量运维的基准，低于此表明人员或流程存在问题。按月统计可及时发现趋势，纳入考核可促进改进。响应率计算方式为已响应告警数占总告警数的比例。</w:t>
      </w:r>
    </w:p>
    <w:p w14:paraId="562CD3D9">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设备与系统维护</w:t>
      </w:r>
    </w:p>
    <w:p w14:paraId="164D833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 自动生成维护工单：根据设备运行时长、负载、故障频率自动生成工单（如UPS电池更换、设备除尘），避免遗忘。</w:t>
      </w:r>
    </w:p>
    <w:p w14:paraId="1C3460C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 自动提醒：设备除尘、接口清洁、UPS测试、风扇检测、防雷检测等由系统自动提醒，确保按时执行。</w:t>
      </w:r>
    </w:p>
    <w:p w14:paraId="04F7C8A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 健康度评分：综合CPU、内存、磁盘、温度、故障历史等计算健康度，低于阈值时提示提前更换或深度检修。</w:t>
      </w:r>
    </w:p>
    <w:p w14:paraId="79CFDB2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 网络配置智能备份、自动比对，发现异常变更时自动告警。</w:t>
      </w:r>
    </w:p>
    <w:p w14:paraId="0E3DD36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2.5 生命周期管理：平台自动记录设备投运时间，到期前6个月提示更新替换，避免超期服役。</w:t>
      </w:r>
    </w:p>
    <w:p w14:paraId="500AD24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2.6 三重备份：本地备份（快速恢复）、异地备份（防止站点灾难）、云端备份（额外冗余）。每日增量备份可减少备份窗口，每周全量备份可简化恢复。加密存储防止配置泄露（若配置被非法获取，攻击者可获取网络拓扑、密码等信息）。每年1次恢复测试验证备份可用性，避免备份文件损坏导致恢复失败。</w:t>
      </w:r>
    </w:p>
    <w:p w14:paraId="06759AC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2.7 每季度一次配置审查，可及时发现并清理无效路由、过期ACL、冗余VLAN等冗余配置，减少设备转发延迟，提升网络运行效率。配置清理前备份当前配置，在业务低峰期执行，执行后验证业务连通性，防止误操作导致业务中断。</w:t>
      </w:r>
    </w:p>
    <w:p w14:paraId="4551D37C">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变更与升级</w:t>
      </w:r>
    </w:p>
    <w:p w14:paraId="36FC664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 变更前由智能平台进行影响分析、风险评估、流量仿真预判。影响分析可评估变更涉及哪些设备、业务；风险评估可根据变更类型和历史成功率判断风险等级；流量仿真可模拟变更后网络流量，预判是否会产生拥塞或环路。</w:t>
      </w:r>
    </w:p>
    <w:p w14:paraId="6E9EDA6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 变更方案自动留存、配置自动备份、回退方案自动生成，变更失败时可一键回退。</w:t>
      </w:r>
    </w:p>
    <w:p w14:paraId="15BE12A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 变更过程全程记录，操作日志不可篡改，用于审计和追溯。</w:t>
      </w:r>
    </w:p>
    <w:p w14:paraId="4371D00A">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3.4 变更后由平台自动进行业务拨测、性能监测，确认正常后方可闭环，避免因验证遗漏导致故障。</w:t>
      </w:r>
    </w:p>
    <w:p w14:paraId="7B29799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3.5 涉及拓扑调整的，平台自动更新网络拓扑图并同步归档，避免人工更新遗漏导致信息不一致。</w:t>
      </w:r>
    </w:p>
    <w:p w14:paraId="349E4BA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3.6 系统升级应在业务低峰期进行（通常选择凌晨），减少对业务的影响。升级前备份设备配置、业务数据（双备份，分别存储本地和异地），并在测试环境验证升级方案。安排2名及以上运维人员现场操作，1人执行、1人监督，可互相提醒，防止误操作。</w:t>
      </w:r>
    </w:p>
    <w:p w14:paraId="1D352F9C">
      <w:pPr>
        <w:pStyle w:val="33"/>
        <w:spacing w:before="0" w:beforeLines="0" w:after="0" w:afterLines="0"/>
        <w:ind w:firstLine="560"/>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（五）数据管理</w:t>
      </w:r>
    </w:p>
    <w:p w14:paraId="7DCD40DF">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1</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数据分类与留存</w:t>
      </w:r>
    </w:p>
    <w:p w14:paraId="386B1C73">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设备运行数据存储周期≥6个月，可覆盖两个季节的变化，用于分析季节性对设备运行的影响（如夏季高温导致CPU温度上升）。网络性能数据存储周期≥1年，用于年度对比分析，判断网络性能变化趋势（如带宽利用率是否逐年上升）。故障处理数据存储周期≥3年，作为知识库素材，可覆盖设备生命周期中的常见故障，同时满足审计追溯需求。安全事件数据存储周期≥5年，用于长期审计和责任追溯，敏感数据（如漏洞详情）应加密存储，防止泄露。</w:t>
      </w:r>
    </w:p>
    <w:p w14:paraId="7BD0AE73">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数据质量控制</w:t>
      </w:r>
    </w:p>
    <w:p w14:paraId="171B6EC6">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2.1</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采集质量控制</w:t>
      </w:r>
    </w:p>
    <w:p w14:paraId="0038A19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2.1.1 传感器长期运行可能发生测量漂移，每年校准一次可保证数据精度；±2%误差是传感器精度等级的常见要求，超出此范围可能影响数据分析结论的准确性。</w:t>
      </w:r>
    </w:p>
    <w:p w14:paraId="7B8C5465">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2.1.2 自动化工具采集可替代人工录入，提高效率和准确性。</w:t>
      </w:r>
    </w:p>
    <w:p w14:paraId="34B48C0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2.1.3 每日对采集数据进行逻辑性校验，检查数据是否在合理范围内（如温度0℃~50℃、电压180V~250V），缺失数据补采或标注原因，保证数据完整性。</w:t>
      </w:r>
    </w:p>
    <w:p w14:paraId="67B8FFEB">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2.2</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存储质量控制</w:t>
      </w:r>
    </w:p>
    <w:p w14:paraId="6779302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2.2.1 核心数据（故障处理数据、安全事件数据）采用磁盘阵列存储，支持RAID5及以上冗余，可防止单块磁盘故障导致数据丢失；备份数据采用异地存储，距离≥50 km，可防止同区域灾害（如火灾、洪水）导致本地和异地数据同时受损。</w:t>
      </w:r>
    </w:p>
    <w:p w14:paraId="58A4525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2.2.2 “3-2-1”备份原则（3份副本、2种介质、1份异地）是数据备份的通用做法，可最大限度防止数据丢失。每日增量备份可减少备份窗口，每周全量备份可简化恢复过程。每月1次备份恢复测试可验证备份文件可用性，避免备份文件损坏导致恢复失败。</w:t>
      </w:r>
    </w:p>
    <w:p w14:paraId="0B701AD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2.2.3 每季度检查存储设备健康状态（如硬盘坏道、存储容量），剩余容量低于20％时及时扩容，防止存储空间不足导致数据写入失败或系统性能下降。</w:t>
      </w:r>
    </w:p>
    <w:p w14:paraId="75191C37">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2.3</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使用质量控制</w:t>
      </w:r>
    </w:p>
    <w:p w14:paraId="3F0D848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2.3.1 数据使用前经运维负责人审核，确保数据来源合法、格式正确，避免使用错误或未经授权数据导致决策失误。</w:t>
      </w:r>
    </w:p>
    <w:p w14:paraId="149A44A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2.3.2 根据“最小权限原则”分配数据访问权限，用户只能访问其工作必需的数据，防止越权访问导致数据泄露或误操作。</w:t>
      </w:r>
    </w:p>
    <w:p w14:paraId="1709E97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2.3.3 记录数据使用日志（含使用人、时间、用途），确保数据使用可追溯，日志存储周期≥1年，便于事后审计和责任认定。</w:t>
      </w:r>
    </w:p>
    <w:p w14:paraId="31AB6624">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2.4</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灾备管理</w:t>
      </w:r>
    </w:p>
    <w:p w14:paraId="32E6FAC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2.4.1 对收费系统、稽核系统等核心业务系统实施异地灾备部署，确保主中心发生故障（如火灾、地震、电力中断）时能快速恢复业务。</w:t>
      </w:r>
    </w:p>
    <w:p w14:paraId="2243AA2D">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2.4.2 灾备中心与生产中心距离宜≥50 km，可防止同区域灾害同时影响主中心和灾备中心；灾备中心应具备与生产中心同等的存储、计算和网络资源，确保切换后业务正常运行。</w:t>
      </w:r>
    </w:p>
    <w:p w14:paraId="6387164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2.4.3 每年至少开展1次灾备切换演练，包含故障模拟、切换执行、业务验证、回退流程，验证灾备系统的可用性和数据一致性；演练过程记录并存档，发现问题及时整改。若灾备系统不定期演练，实际灾难发生时可能无法正常切换。</w:t>
      </w:r>
    </w:p>
    <w:p w14:paraId="65131AAC">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2.4.4 灾备系统的备份策略应符合8.2.2.2的要求，灾备数据应与生产数据保持同步。核心业务数据同步延迟≤15 min，可在灾难发生时将数据丢失控制在15分钟以内，平衡网络带宽成本和恢复点目标（RPO）要求。</w:t>
      </w:r>
    </w:p>
    <w:p w14:paraId="4C91B3D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2.4.5 每月检查灾备设备运行状态、网络连通性和数据同步情况，发现异常及时处理，确保灾备系统始终处于可用状态。</w:t>
      </w:r>
    </w:p>
    <w:p w14:paraId="0F007616">
      <w:pPr>
        <w:pStyle w:val="33"/>
        <w:spacing w:before="0" w:beforeLines="0" w:after="0" w:afterLines="0"/>
        <w:ind w:firstLine="560"/>
        <w:jc w:val="both"/>
        <w:outlineLvl w:val="2"/>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w:t>
      </w:r>
      <w:r>
        <w:rPr>
          <w:rFonts w:hint="eastAsia" w:ascii="仿宋_GB2312" w:hAnsi="仿宋_GB2312" w:eastAsia="仿宋_GB2312" w:cs="仿宋_GB2312"/>
          <w:b/>
          <w:bCs w:val="0"/>
          <w:sz w:val="28"/>
          <w:szCs w:val="28"/>
          <w:lang w:val="en-US" w:eastAsia="zh-CN"/>
        </w:rPr>
        <w:t>.</w:t>
      </w:r>
      <w:r>
        <w:rPr>
          <w:rFonts w:hint="eastAsia" w:ascii="仿宋_GB2312" w:hAnsi="仿宋_GB2312" w:eastAsia="仿宋_GB2312" w:cs="仿宋_GB2312"/>
          <w:b/>
          <w:bCs w:val="0"/>
          <w:sz w:val="28"/>
          <w:szCs w:val="28"/>
        </w:rPr>
        <w:t xml:space="preserve"> 数据安全管理</w:t>
      </w:r>
    </w:p>
    <w:p w14:paraId="279054F5">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3.1</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访问控制</w:t>
      </w:r>
    </w:p>
    <w:p w14:paraId="14B6D19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3.1.1 采用“用户名+密码+动态令牌”双因素认证，比单因素认证安全性更高，可防止密码泄露导致非法登录。密码长度≥8位，含大小写字母、数字、特殊符号，可抵抗暴力破解；密码每90 d更换，可降低密码泄露风险。</w:t>
      </w:r>
    </w:p>
    <w:p w14:paraId="6CF91F3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3.1.2 基于岗位职责设置角色权限（管理员、运维人员、查看人员等），权限变更经审批并记录，防止越权操作。</w:t>
      </w:r>
    </w:p>
    <w:p w14:paraId="30E119B8">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3.1.3 远程运维会话超时时间≤30 min，空闲会话自动超时，防止他人利用未关闭会话进行非法操作；不应共享账号，发现账号异常登录（如异地登录）立即锁定，防止账号被盗用。</w:t>
      </w:r>
    </w:p>
    <w:p w14:paraId="71D59DC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3.1.4 特权账号（如设备管理员）的使用应经过审批，并记录所有操作，确保高风险操作可追溯。</w:t>
      </w:r>
    </w:p>
    <w:p w14:paraId="0B4833D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3.1.5 运维终端应安装终端安全管理软件，防止安装非授权应用；通过USB端口管控，非授权存储设备不应接入，仅授权特定标签的U盘可读取数据，防止数据泄露和病毒传播。</w:t>
      </w:r>
    </w:p>
    <w:p w14:paraId="11CC01CB">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3.2</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数据加密</w:t>
      </w:r>
    </w:p>
    <w:p w14:paraId="7CB4BF86">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3.2.1 数据传输采用SSL/TLS 1.2及以上协议加密，密钥长度≥2048位，防止数据在传输过程中被窃听或篡改。1.2版本是目前安全的最低版本，密钥长度低于2048位可能被破解。</w:t>
      </w:r>
    </w:p>
    <w:p w14:paraId="2F52DEA1">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3.2.2 设备密码、收费交易日志等敏感数据存储时采用AES-256加密算法，AES-256是当前公认的安全加密标准，强度高。加密密钥由专人保管，每6个月更换，防止密钥长期不变导致泄露风险。</w:t>
      </w:r>
    </w:p>
    <w:p w14:paraId="079D3CDB">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3.2.3 建立密钥生命周期管理机制，密钥生成、分发、销毁应记录日志，销毁时应采用物理粉碎或多次覆写，防止密钥被恢复。</w:t>
      </w:r>
    </w:p>
    <w:p w14:paraId="1BD95374">
      <w:pPr>
        <w:pStyle w:val="33"/>
        <w:spacing w:before="0" w:beforeLines="0" w:after="0" w:afterLines="0"/>
        <w:ind w:firstLine="560"/>
        <w:jc w:val="both"/>
        <w:rPr>
          <w:rFonts w:hint="eastAsia" w:ascii="仿宋_GB2312" w:hAnsi="仿宋_GB2312" w:eastAsia="仿宋_GB2312" w:cs="仿宋_GB2312"/>
          <w:b/>
          <w:bCs w:val="0"/>
          <w:sz w:val="28"/>
          <w:szCs w:val="28"/>
        </w:rPr>
      </w:pPr>
      <w:r>
        <w:rPr>
          <w:rFonts w:hint="eastAsia" w:ascii="仿宋_GB2312" w:hAnsi="仿宋_GB2312" w:eastAsia="仿宋_GB2312" w:cs="仿宋_GB2312"/>
          <w:b/>
          <w:bCs w:val="0"/>
          <w:sz w:val="28"/>
          <w:szCs w:val="28"/>
        </w:rPr>
        <w:t>3.3</w:t>
      </w:r>
      <w:r>
        <w:rPr>
          <w:rFonts w:hint="eastAsia" w:ascii="仿宋_GB2312" w:hAnsi="仿宋_GB2312" w:eastAsia="仿宋_GB2312" w:cs="仿宋_GB2312"/>
          <w:b/>
          <w:bCs w:val="0"/>
          <w:sz w:val="28"/>
          <w:szCs w:val="28"/>
          <w:lang w:val="en-US" w:eastAsia="zh-CN"/>
        </w:rPr>
        <w:t xml:space="preserve"> </w:t>
      </w:r>
      <w:r>
        <w:rPr>
          <w:rFonts w:hint="eastAsia" w:ascii="仿宋_GB2312" w:hAnsi="仿宋_GB2312" w:eastAsia="仿宋_GB2312" w:cs="仿宋_GB2312"/>
          <w:b/>
          <w:bCs w:val="0"/>
          <w:sz w:val="28"/>
          <w:szCs w:val="28"/>
        </w:rPr>
        <w:t>安全审计</w:t>
      </w:r>
    </w:p>
    <w:p w14:paraId="725A3FD2">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3.3.1 审计范围应覆盖数据访问、设备配置变更、安全事件处置等所有操作，确保无遗漏。</w:t>
      </w:r>
    </w:p>
    <w:p w14:paraId="16FF8D0F">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3.3.2 审计日志应包含操作人、时间、操作内容、IP地址、操作终端信息（型号与MAC地址）、操作结果（成功/失败），便于追溯和定责。日志格式应符合YD/T 4242的规定且不可篡改，保存周期不少于6个月，满足等级保护要求。</w:t>
      </w:r>
    </w:p>
    <w:p w14:paraId="4943EA09">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3.3.3 智能化审核审计日志，基于设定审计规则和机器学习模型，自动识别异常行为，如非工作时间修改设备配置、多次失败的登录尝试。发现异常后自动告警，提升安全响应效率。</w:t>
      </w:r>
    </w:p>
    <w:p w14:paraId="21B2F4A0">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3.3.4 发现安全事件时，立即启动应急响应，自动锁定相关操作账号和操作终端，保存日志作为调查依据，并标注危险等级推送告警至运维负责人。负责人应在24 h内完成核查，核查结果及处置措施录入审计档案，形成闭环管理。</w:t>
      </w:r>
    </w:p>
    <w:p w14:paraId="58A1099B">
      <w:pPr>
        <w:pStyle w:val="33"/>
        <w:spacing w:before="0" w:beforeLines="0" w:after="0" w:afterLines="0"/>
        <w:ind w:firstLine="560"/>
        <w:jc w:val="both"/>
        <w:outlineLvl w:val="1"/>
        <w:rPr>
          <w:rFonts w:hint="eastAsia" w:ascii="仿宋_GB2312" w:hAnsi="仿宋_GB2312" w:eastAsia="仿宋_GB2312" w:cs="仿宋_GB2312"/>
          <w:b/>
          <w:bCs w:val="0"/>
          <w:sz w:val="28"/>
          <w:szCs w:val="28"/>
          <w:lang w:eastAsia="zh-CN"/>
        </w:rPr>
      </w:pPr>
      <w:r>
        <w:rPr>
          <w:rFonts w:hint="eastAsia" w:ascii="仿宋_GB2312" w:hAnsi="仿宋_GB2312" w:eastAsia="仿宋_GB2312" w:cs="仿宋_GB2312"/>
          <w:b/>
          <w:bCs w:val="0"/>
          <w:sz w:val="28"/>
          <w:szCs w:val="28"/>
          <w:lang w:eastAsia="zh-CN"/>
        </w:rPr>
        <w:t>（六）网络安全管理</w:t>
      </w:r>
    </w:p>
    <w:p w14:paraId="2EDF0932">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1. 边界防护</w:t>
      </w:r>
    </w:p>
    <w:p w14:paraId="3BE74AD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1.1 收费站机房网络与收费外网、办公网、第三方接入网络之间部署符合GB/T 20281要求的防火墙或网闸，并配置精细化的访问控制策略，防止外部网络攻击渗透至内网。</w:t>
      </w:r>
    </w:p>
    <w:p w14:paraId="736D23C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1.2 所有边界防护设备的安全日志实时、全量接入上级网络安全运营中心，接受统一的安全策略下发与合规性审查，实现集中管控。</w:t>
      </w:r>
    </w:p>
    <w:p w14:paraId="24FFF2A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1.3 防火墙开启状态检测和ACL，禁止外部非法IP访问内网收费服务器，仅允许必要业务流量通过。</w:t>
      </w:r>
    </w:p>
    <w:p w14:paraId="181C583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1.4 定期审查防火墙策略，遵循“最小权限”原则，只允许必要的访问（如收费系统仅允许指定IP访问），移除过期或冗余规则，减少攻击面。</w:t>
      </w:r>
    </w:p>
    <w:p w14:paraId="6F545FB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1.5 IDS实时监测网络异常流量（端口扫描、DDoS攻击、暴力破解等），防护能力≥10 Gbps，可应对常见DDoS攻击流量；发现安全事件时，告警响应时间≤5 min，告警信息同步至运维管理平台并通知安全责任人，确保快速处置。</w:t>
      </w:r>
    </w:p>
    <w:p w14:paraId="11F82855">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2. 终端安全</w:t>
      </w:r>
    </w:p>
    <w:p w14:paraId="36DAC2E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2.1 机房内服务器、工作站及运维终端部署受控的防病毒软件，每周更新病毒库，防范已知病毒和恶意软件。</w:t>
      </w:r>
    </w:p>
    <w:p w14:paraId="035B494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2.2 关闭不必要的端口和服务，减少攻击入口。</w:t>
      </w:r>
    </w:p>
    <w:p w14:paraId="6B6724F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2.3 所有终端的安全状态（补丁版本、病毒库状态、违规外联行为）纳入上级网络安全运营中心的统一资产管理，实现集中监控。</w:t>
      </w:r>
    </w:p>
    <w:p w14:paraId="6FDF2CF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2.4 运维终端禁止接入非授权存储设备（如U盘），防止数据泄露和病毒传播；远程运维通过VPN加密通道，采用双因素认证，并记录所有操作行为。</w:t>
      </w:r>
    </w:p>
    <w:p w14:paraId="4320E6E5">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3. 接入管控</w:t>
      </w:r>
    </w:p>
    <w:p w14:paraId="138C6E2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3.1 禁止未经授权的设备（如个人手机、笔记本电脑、测试终端）接入机房网络交换机，防止非法接入。</w:t>
      </w:r>
    </w:p>
    <w:p w14:paraId="7216398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3.2 启用交换机端口安全，对接入设备进行身份验证，仅允许授权设备接入网络。</w:t>
      </w:r>
    </w:p>
    <w:p w14:paraId="0085CA6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3.3 所有网络接入认证日志同步至上级网络安全运营中心，便于集中审计。</w:t>
      </w:r>
    </w:p>
    <w:p w14:paraId="10966C1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3.4 远程运维通过VPN或堡垒机进行，并记录所有操作行为，确保操作可追溯。</w:t>
      </w:r>
    </w:p>
    <w:p w14:paraId="11288ED7">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4. 漏洞与补丁管理</w:t>
      </w:r>
    </w:p>
    <w:p w14:paraId="0C9D91A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4.1 每季度对网络设备、服务器进行至少1次全网漏洞扫描，覆盖所有在线资产，发现高危漏洞及时修补，防止漏洞被利用。</w:t>
      </w:r>
    </w:p>
    <w:p w14:paraId="7C5DD13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4.2 漏洞扫描任务可由上级网络安全运营中心统一发起、集中执行，并将结果自动分发至各收费站运维责任人，确保整改落实。</w:t>
      </w:r>
    </w:p>
    <w:p w14:paraId="5661846C">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4.3 漏洞修复过程形成工单，在运维管理平台中实现从发现、派发、修复到验证的全流程闭环跟踪，确保问题不遗漏。</w:t>
      </w:r>
    </w:p>
    <w:p w14:paraId="3C34119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4.4 高危漏洞修复时限≤24 h，防止漏洞被攻击者利用；中危漏洞修复时限≤72 h；低危漏洞可结合月度维护计划统一处理。</w:t>
      </w:r>
    </w:p>
    <w:p w14:paraId="61B27AF0">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4.5 补丁安装前在测试环境验证，并制定回退方案，避免补丁导致系统故障或业务中断。</w:t>
      </w:r>
    </w:p>
    <w:p w14:paraId="33A726C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4.6 每年开展1次渗透测试，模拟攻击验证防护有效性，形成渗透测试报告，并根据测试结果加固系统，持续提升安全防护能力。</w:t>
      </w:r>
    </w:p>
    <w:p w14:paraId="5D5CF809">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5. 网络安全等级保护</w:t>
      </w:r>
    </w:p>
    <w:p w14:paraId="652758C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5.1 收费站收费系统、联网收费系统等核心业务系统的网络安全等级保护应符合《信息安全等级保护管理办法》及GB/T 22239的规定，保护等级不低于第三级。</w:t>
      </w:r>
    </w:p>
    <w:p w14:paraId="18ECC84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5.2 等保测评报告、整改记录等文档统一归档于上级网络安全运营中心的知识库，便于查阅和审计。</w:t>
      </w:r>
    </w:p>
    <w:p w14:paraId="30560344">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5.3 按照GB/T 22239—2019中第三级系统的要求进行安全建设和整改，确保符合等级保护标准。</w:t>
      </w:r>
    </w:p>
    <w:p w14:paraId="2CF82E6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5.4 按照《信息安全等级保护管理办法》的规定，选择符合要求的等级测评机构，每年至少开展1次等级测评，并将测评报告归档备查。</w:t>
      </w:r>
    </w:p>
    <w:p w14:paraId="18DA00B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5.5 每年至少开展1次网络安全检测和风险评估，以及1次商用密码应用安全性评估；密码产品与服务的采购和使用应符合国家密码管理主管部门的要求。</w:t>
      </w:r>
    </w:p>
    <w:p w14:paraId="63B59F30">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5.6 制定网络安全事件应急预案，每年至少开展1次应急演练，并根据演练结果修订完善应急预案；应急演练记录过程，形成演练总结报告。</w:t>
      </w:r>
    </w:p>
    <w:p w14:paraId="5C783C5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5.7 等级保护对象的定级结果、备案证明、测评报告、整改记录、应急演练记录等文档长期保存，保存期限不少于3年。</w:t>
      </w:r>
    </w:p>
    <w:p w14:paraId="5F913382">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6. 涉密系统管理</w:t>
      </w:r>
    </w:p>
    <w:p w14:paraId="6F723777">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6.1 收费站机房网络系统中涉及国家秘密的信息系统，其建设、运行、维护和管理应符合《中华人民共和国保守国家秘密法》及其实施条例的规定，确保涉密信息安全。</w:t>
      </w:r>
    </w:p>
    <w:p w14:paraId="1A9E242E">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6.2 涉密信息系统的分级保护应根据涉密等级确定，并采取符合国家保密标准的防护措施。</w:t>
      </w:r>
    </w:p>
    <w:p w14:paraId="626C71D2">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6.3 涉密信息和涉密载体的采集、存储、处理、传递、使用、复制、保存、维修和销毁，应符合《中华人民共和国保守国家秘密法》的规定。</w:t>
      </w:r>
    </w:p>
    <w:p w14:paraId="4E542FC1">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6.4 涉密信息系统投入使用前应经检查合格，并定期开展安全保密检查和风险评估；绝密级信息系统每年至少进行1次风险评估，机密级和秘密级信息系统每两年至少进行1次。</w:t>
      </w:r>
    </w:p>
    <w:p w14:paraId="6E7A188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6.5 涉密信息系统的访问控制、运维管理及场所管理，应按照国家保密行政管理部门的相关规定执行。</w:t>
      </w:r>
    </w:p>
    <w:p w14:paraId="70F39F64">
      <w:pPr>
        <w:pStyle w:val="33"/>
        <w:spacing w:before="0" w:beforeLines="0" w:after="0" w:afterLines="0"/>
        <w:ind w:firstLine="560"/>
        <w:jc w:val="both"/>
        <w:outlineLvl w:val="2"/>
        <w:rPr>
          <w:rFonts w:hint="eastAsia" w:ascii="仿宋_GB2312" w:hAnsi="仿宋_GB2312" w:eastAsia="仿宋_GB2312" w:cs="仿宋_GB2312"/>
          <w:b/>
          <w:bCs w:val="0"/>
          <w:sz w:val="28"/>
          <w:szCs w:val="28"/>
          <w:lang w:val="en-US" w:eastAsia="zh-CN"/>
        </w:rPr>
      </w:pPr>
      <w:r>
        <w:rPr>
          <w:rFonts w:hint="eastAsia" w:ascii="仿宋_GB2312" w:hAnsi="仿宋_GB2312" w:eastAsia="仿宋_GB2312" w:cs="仿宋_GB2312"/>
          <w:b/>
          <w:bCs w:val="0"/>
          <w:sz w:val="28"/>
          <w:szCs w:val="28"/>
          <w:lang w:val="en-US" w:eastAsia="zh-CN"/>
        </w:rPr>
        <w:t>7. 智能化安全要求</w:t>
      </w:r>
    </w:p>
    <w:p w14:paraId="2D81923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7.1 收费站机房的网络安全监测数据（防火墙、IDS、终端安全日志）实时、稳定上传至上级网络安全运营中心，实现集中监控。</w:t>
      </w:r>
    </w:p>
    <w:p w14:paraId="558E143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7.2 安全告警事件与运营中心的威胁情报库自动比对，并支持一键下发封禁、隔离等应急响应指令，缩短响应时间。</w:t>
      </w:r>
    </w:p>
    <w:p w14:paraId="7F6E6530">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7.3 利用运营中心的AI分析能力，对本站历史安全数据进行关联分析，主动识别潜在风险并生成优化建议。</w:t>
      </w:r>
    </w:p>
    <w:p w14:paraId="2579EE8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7.4 部署网络安全监测系统，对网络流量、安全日志、用户行为等数据进行实时采集与分析，对网络攻击、异常行为、安全事件进行监测和预警。</w:t>
      </w:r>
    </w:p>
    <w:p w14:paraId="6BE385C6">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7.5 安全审计与监测系统具备异常行为分析能力，识别已知攻击和异常事件，并对数据异常导出、非工作时间批量操作等高危行为自动告警。</w:t>
      </w:r>
    </w:p>
    <w:p w14:paraId="3A32D39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7.6 建立安全响应机制，对常见安全事件（如端口扫描、暴力破解、恶意IP访问）实现自动化或半自动化处置；自动化处置操作记录审计日志，并符合8.3.3的要求。</w:t>
      </w:r>
    </w:p>
    <w:p w14:paraId="0F842A15">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7.7 通过安全管理中心对防火墙、入侵检测、终端安全等设备的策略进行集中配置、下发和审计。</w:t>
      </w:r>
    </w:p>
    <w:p w14:paraId="5D2E802A">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7.8 采用自动化工具对网络资产进行动态发现与识别，建立资产清单；漏洞扫描结果与资产信息关联，形成修复任务并跟踪整改情况。</w:t>
      </w:r>
    </w:p>
    <w:p w14:paraId="7E97A77F">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7.9 接入行业或第三方威胁情报，对已知恶意IP、域名、URL进行实时比对和阻断。</w:t>
      </w:r>
    </w:p>
    <w:p w14:paraId="47777CA8">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7.10 在网络边界部署能够检测加密流量中隐藏威胁的技术手段（如解密代理、行为分析），应对加密流量日益普及带来的安全挑战。</w:t>
      </w:r>
    </w:p>
    <w:p w14:paraId="22B1F26B">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7.11 将网络安全告警与智能化巡检系统联动，实现安全事件与设备运行状态（CPU、内存、连接数）的关联分析，辅助快速定位故障原因。</w:t>
      </w:r>
    </w:p>
    <w:p w14:paraId="0CB93F93">
      <w:pPr>
        <w:pStyle w:val="33"/>
        <w:spacing w:before="0" w:beforeLines="0" w:after="0" w:afterLines="0"/>
        <w:ind w:firstLine="560"/>
        <w:jc w:val="both"/>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7.12 进行资产动态管理，通过网络资产发现工具，每季度自动更新资产清单，识别未授权接入设备并自动阻断；资产识别准确率≥98％，确保绝大多数资产在册管理。</w:t>
      </w:r>
    </w:p>
    <w:p w14:paraId="55C2C38D">
      <w:pPr>
        <w:pStyle w:val="33"/>
        <w:spacing w:before="0" w:beforeLines="0" w:after="0" w:afterLines="0"/>
        <w:ind w:firstLine="560"/>
        <w:jc w:val="both"/>
        <w:rPr>
          <w:rFonts w:hint="eastAsia" w:ascii="仿宋_GB2312" w:hAnsi="仿宋_GB2312" w:eastAsia="仿宋_GB2312" w:cs="仿宋_GB2312"/>
          <w:sz w:val="28"/>
          <w:szCs w:val="28"/>
        </w:rPr>
      </w:pPr>
    </w:p>
    <w:p w14:paraId="242DA438">
      <w:pPr>
        <w:pStyle w:val="33"/>
        <w:spacing w:before="0" w:beforeLines="0" w:after="0" w:afterLines="0"/>
        <w:ind w:firstLine="560"/>
        <w:jc w:val="both"/>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lang w:eastAsia="zh-CN"/>
        </w:rPr>
        <w:t>以下是近年来高速公路收费站机房网络智能化运维管理的记录：</w:t>
      </w:r>
    </w:p>
    <w:p w14:paraId="0675203D">
      <w:pPr>
        <w:pStyle w:val="33"/>
        <w:widowControl w:val="0"/>
        <w:ind w:firstLine="0" w:firstLineChars="0"/>
        <w:rPr>
          <w:rFonts w:hint="eastAsia" w:eastAsia="黑体"/>
          <w:highlight w:val="none"/>
          <w:lang w:eastAsia="zh-CN"/>
        </w:rPr>
      </w:pPr>
      <w:r>
        <w:rPr>
          <w:rFonts w:hint="eastAsia"/>
          <w:highlight w:val="none"/>
          <w:lang w:eastAsia="zh-CN"/>
        </w:rPr>
        <w:t>高速公路收费站机房网络智能化运维管理</w:t>
      </w:r>
      <w:r>
        <w:rPr>
          <w:rFonts w:hint="eastAsia"/>
          <w:highlight w:val="none"/>
        </w:rPr>
        <w:t>记录</w:t>
      </w:r>
    </w:p>
    <w:tbl>
      <w:tblPr>
        <w:tblStyle w:val="17"/>
        <w:tblW w:w="93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0"/>
        <w:gridCol w:w="2229"/>
        <w:gridCol w:w="6174"/>
      </w:tblGrid>
      <w:tr w14:paraId="1C2C7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980" w:type="dxa"/>
            <w:vAlign w:val="center"/>
          </w:tcPr>
          <w:p w14:paraId="56627683">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年份</w:t>
            </w:r>
          </w:p>
        </w:tc>
        <w:tc>
          <w:tcPr>
            <w:tcW w:w="2229" w:type="dxa"/>
            <w:vAlign w:val="center"/>
          </w:tcPr>
          <w:p w14:paraId="56F49E7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管理规模</w:t>
            </w:r>
          </w:p>
        </w:tc>
        <w:tc>
          <w:tcPr>
            <w:tcW w:w="6174" w:type="dxa"/>
            <w:vAlign w:val="center"/>
          </w:tcPr>
          <w:p w14:paraId="017136BF">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运维效果</w:t>
            </w:r>
          </w:p>
        </w:tc>
      </w:tr>
      <w:tr w14:paraId="0843F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Align w:val="center"/>
          </w:tcPr>
          <w:p w14:paraId="2E4B7750">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2022</w:t>
            </w:r>
          </w:p>
        </w:tc>
        <w:tc>
          <w:tcPr>
            <w:tcW w:w="2229" w:type="dxa"/>
            <w:vAlign w:val="center"/>
          </w:tcPr>
          <w:p w14:paraId="53B3071D">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收费站机房</w:t>
            </w:r>
            <w:r>
              <w:rPr>
                <w:rFonts w:hint="eastAsia" w:ascii="仿宋_GB2312" w:eastAsia="仿宋_GB2312" w:cs="仿宋"/>
                <w:color w:val="auto"/>
                <w:lang w:val="en-US" w:eastAsia="zh-CN"/>
              </w:rPr>
              <w:t>34</w:t>
            </w:r>
            <w:r>
              <w:rPr>
                <w:rFonts w:hint="eastAsia" w:ascii="仿宋_GB2312" w:eastAsia="仿宋_GB2312" w:cs="仿宋"/>
                <w:color w:val="auto"/>
              </w:rPr>
              <w:t>个，核心设备</w:t>
            </w:r>
            <w:r>
              <w:rPr>
                <w:rFonts w:hint="eastAsia" w:ascii="仿宋_GB2312" w:eastAsia="仿宋_GB2312" w:cs="仿宋"/>
                <w:color w:val="auto"/>
                <w:lang w:val="en-US" w:eastAsia="zh-CN"/>
              </w:rPr>
              <w:t>321</w:t>
            </w:r>
            <w:r>
              <w:rPr>
                <w:rFonts w:hint="eastAsia" w:ascii="仿宋_GB2312" w:eastAsia="仿宋_GB2312" w:cs="仿宋"/>
                <w:color w:val="auto"/>
              </w:rPr>
              <w:t>台，网络链路</w:t>
            </w:r>
            <w:r>
              <w:rPr>
                <w:rFonts w:hint="eastAsia" w:ascii="仿宋_GB2312" w:eastAsia="仿宋_GB2312" w:cs="仿宋"/>
                <w:color w:val="auto"/>
                <w:lang w:val="en-US" w:eastAsia="zh-CN"/>
              </w:rPr>
              <w:t>481.5</w:t>
            </w:r>
            <w:r>
              <w:rPr>
                <w:rFonts w:hint="eastAsia" w:ascii="仿宋_GB2312" w:eastAsia="仿宋_GB2312" w:cs="仿宋"/>
                <w:color w:val="auto"/>
              </w:rPr>
              <w:t>公里</w:t>
            </w:r>
          </w:p>
        </w:tc>
        <w:tc>
          <w:tcPr>
            <w:tcW w:w="6174" w:type="dxa"/>
            <w:vAlign w:val="center"/>
          </w:tcPr>
          <w:p w14:paraId="30BAC04D">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全年计划巡检</w:t>
            </w:r>
            <w:r>
              <w:rPr>
                <w:rFonts w:hint="eastAsia" w:ascii="仿宋_GB2312" w:eastAsia="仿宋_GB2312" w:cs="仿宋"/>
                <w:color w:val="auto"/>
                <w:lang w:val="en-US" w:eastAsia="zh-CN"/>
              </w:rPr>
              <w:t>12410</w:t>
            </w:r>
            <w:r>
              <w:rPr>
                <w:rFonts w:hint="eastAsia" w:ascii="仿宋_GB2312" w:eastAsia="仿宋_GB2312" w:cs="仿宋"/>
                <w:color w:val="auto"/>
              </w:rPr>
              <w:t>次，实际执行</w:t>
            </w:r>
            <w:r>
              <w:rPr>
                <w:rFonts w:hint="eastAsia" w:ascii="仿宋_GB2312" w:eastAsia="仿宋_GB2312" w:cs="仿宋"/>
                <w:color w:val="auto"/>
                <w:lang w:val="en-US" w:eastAsia="zh-CN"/>
              </w:rPr>
              <w:t>12410</w:t>
            </w:r>
            <w:r>
              <w:rPr>
                <w:rFonts w:hint="eastAsia" w:ascii="仿宋_GB2312" w:eastAsia="仿宋_GB2312" w:cs="仿宋"/>
                <w:color w:val="auto"/>
              </w:rPr>
              <w:t>次，发现隐患</w:t>
            </w:r>
            <w:r>
              <w:rPr>
                <w:rFonts w:hint="eastAsia" w:ascii="仿宋_GB2312" w:eastAsia="仿宋_GB2312" w:cs="仿宋"/>
                <w:color w:val="auto"/>
                <w:lang w:val="en-US" w:eastAsia="zh-CN"/>
              </w:rPr>
              <w:t>37</w:t>
            </w:r>
            <w:r>
              <w:rPr>
                <w:rFonts w:hint="eastAsia" w:ascii="仿宋_GB2312" w:eastAsia="仿宋_GB2312" w:cs="仿宋"/>
                <w:color w:val="auto"/>
              </w:rPr>
              <w:t>处，整改</w:t>
            </w:r>
            <w:r>
              <w:rPr>
                <w:rFonts w:hint="eastAsia" w:ascii="仿宋_GB2312" w:eastAsia="仿宋_GB2312" w:cs="仿宋"/>
                <w:color w:val="auto"/>
                <w:lang w:val="en-US" w:eastAsia="zh-CN"/>
              </w:rPr>
              <w:t>37</w:t>
            </w:r>
            <w:r>
              <w:rPr>
                <w:rFonts w:hint="eastAsia" w:ascii="仿宋_GB2312" w:eastAsia="仿宋_GB2312" w:cs="仿宋"/>
                <w:color w:val="auto"/>
              </w:rPr>
              <w:t>处；故障发生</w:t>
            </w:r>
            <w:r>
              <w:rPr>
                <w:rFonts w:hint="eastAsia" w:ascii="仿宋_GB2312" w:eastAsia="仿宋_GB2312" w:cs="仿宋"/>
                <w:color w:val="auto"/>
                <w:lang w:val="en-US" w:eastAsia="zh-CN"/>
              </w:rPr>
              <w:t>21</w:t>
            </w:r>
            <w:r>
              <w:rPr>
                <w:rFonts w:hint="eastAsia" w:ascii="仿宋_GB2312" w:eastAsia="仿宋_GB2312" w:cs="仿宋"/>
                <w:color w:val="auto"/>
              </w:rPr>
              <w:t>次，平均修复时间</w:t>
            </w:r>
            <w:r>
              <w:rPr>
                <w:rFonts w:hint="eastAsia" w:ascii="仿宋_GB2312" w:eastAsia="仿宋_GB2312" w:cs="仿宋"/>
                <w:color w:val="auto"/>
                <w:lang w:val="en-US" w:eastAsia="zh-CN"/>
              </w:rPr>
              <w:t>29</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99.6</w:t>
            </w:r>
            <w:r>
              <w:rPr>
                <w:rFonts w:hint="eastAsia" w:ascii="仿宋_GB2312" w:eastAsia="仿宋_GB2312" w:cs="仿宋"/>
                <w:color w:val="auto"/>
              </w:rPr>
              <w:t>%</w:t>
            </w:r>
          </w:p>
        </w:tc>
      </w:tr>
      <w:tr w14:paraId="39067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Align w:val="center"/>
          </w:tcPr>
          <w:p w14:paraId="2666F6A1">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2023</w:t>
            </w:r>
          </w:p>
        </w:tc>
        <w:tc>
          <w:tcPr>
            <w:tcW w:w="2229" w:type="dxa"/>
            <w:vAlign w:val="center"/>
          </w:tcPr>
          <w:p w14:paraId="3831A013">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收费站机房</w:t>
            </w:r>
            <w:r>
              <w:rPr>
                <w:rFonts w:hint="eastAsia" w:ascii="仿宋_GB2312" w:eastAsia="仿宋_GB2312" w:cs="仿宋"/>
                <w:color w:val="auto"/>
                <w:lang w:val="en-US" w:eastAsia="zh-CN"/>
              </w:rPr>
              <w:t>44</w:t>
            </w:r>
            <w:r>
              <w:rPr>
                <w:rFonts w:hint="eastAsia" w:ascii="仿宋_GB2312" w:eastAsia="仿宋_GB2312" w:cs="仿宋"/>
                <w:color w:val="auto"/>
              </w:rPr>
              <w:t>个，核心设备</w:t>
            </w:r>
            <w:r>
              <w:rPr>
                <w:rFonts w:hint="eastAsia" w:ascii="仿宋_GB2312" w:eastAsia="仿宋_GB2312" w:cs="仿宋"/>
                <w:color w:val="auto"/>
                <w:lang w:val="en-US" w:eastAsia="zh-CN"/>
              </w:rPr>
              <w:t>396</w:t>
            </w:r>
            <w:r>
              <w:rPr>
                <w:rFonts w:hint="eastAsia" w:ascii="仿宋_GB2312" w:eastAsia="仿宋_GB2312" w:cs="仿宋"/>
                <w:color w:val="auto"/>
              </w:rPr>
              <w:t>台，网络链路</w:t>
            </w:r>
            <w:r>
              <w:rPr>
                <w:rFonts w:hint="eastAsia" w:ascii="仿宋_GB2312" w:eastAsia="仿宋_GB2312" w:cs="仿宋"/>
                <w:color w:val="auto"/>
                <w:lang w:val="en-US" w:eastAsia="zh-CN"/>
              </w:rPr>
              <w:t>578.5</w:t>
            </w:r>
            <w:r>
              <w:rPr>
                <w:rFonts w:hint="eastAsia" w:ascii="仿宋_GB2312" w:eastAsia="仿宋_GB2312" w:cs="仿宋"/>
                <w:color w:val="auto"/>
              </w:rPr>
              <w:t>公里</w:t>
            </w:r>
          </w:p>
        </w:tc>
        <w:tc>
          <w:tcPr>
            <w:tcW w:w="6174" w:type="dxa"/>
            <w:vAlign w:val="center"/>
          </w:tcPr>
          <w:p w14:paraId="0D931016">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全年计划巡检</w:t>
            </w:r>
            <w:r>
              <w:rPr>
                <w:rFonts w:hint="eastAsia" w:ascii="仿宋_GB2312" w:eastAsia="仿宋_GB2312" w:cs="仿宋"/>
                <w:color w:val="auto"/>
                <w:lang w:val="en-US" w:eastAsia="zh-CN"/>
              </w:rPr>
              <w:t>16060</w:t>
            </w:r>
            <w:r>
              <w:rPr>
                <w:rFonts w:hint="eastAsia" w:ascii="仿宋_GB2312" w:eastAsia="仿宋_GB2312" w:cs="仿宋"/>
                <w:color w:val="auto"/>
              </w:rPr>
              <w:t>次，实际执行</w:t>
            </w:r>
            <w:r>
              <w:rPr>
                <w:rFonts w:hint="eastAsia" w:ascii="仿宋_GB2312" w:eastAsia="仿宋_GB2312" w:cs="仿宋"/>
                <w:color w:val="auto"/>
                <w:lang w:val="en-US" w:eastAsia="zh-CN"/>
              </w:rPr>
              <w:t>16060</w:t>
            </w:r>
            <w:r>
              <w:rPr>
                <w:rFonts w:hint="eastAsia" w:ascii="仿宋_GB2312" w:eastAsia="仿宋_GB2312" w:cs="仿宋"/>
                <w:color w:val="auto"/>
              </w:rPr>
              <w:t>次，发现隐患</w:t>
            </w:r>
            <w:r>
              <w:rPr>
                <w:rFonts w:hint="eastAsia" w:ascii="仿宋_GB2312" w:eastAsia="仿宋_GB2312" w:cs="仿宋"/>
                <w:color w:val="auto"/>
                <w:lang w:val="en-US" w:eastAsia="zh-CN"/>
              </w:rPr>
              <w:t>45</w:t>
            </w:r>
            <w:r>
              <w:rPr>
                <w:rFonts w:hint="eastAsia" w:ascii="仿宋_GB2312" w:eastAsia="仿宋_GB2312" w:cs="仿宋"/>
                <w:color w:val="auto"/>
              </w:rPr>
              <w:t>处，整改</w:t>
            </w:r>
            <w:r>
              <w:rPr>
                <w:rFonts w:hint="eastAsia" w:ascii="仿宋_GB2312" w:eastAsia="仿宋_GB2312" w:cs="仿宋"/>
                <w:color w:val="auto"/>
                <w:lang w:val="en-US" w:eastAsia="zh-CN"/>
              </w:rPr>
              <w:t>45</w:t>
            </w:r>
            <w:r>
              <w:rPr>
                <w:rFonts w:hint="eastAsia" w:ascii="仿宋_GB2312" w:eastAsia="仿宋_GB2312" w:cs="仿宋"/>
                <w:color w:val="auto"/>
              </w:rPr>
              <w:t>处；故障发生</w:t>
            </w:r>
            <w:r>
              <w:rPr>
                <w:rFonts w:hint="eastAsia" w:ascii="仿宋_GB2312" w:eastAsia="仿宋_GB2312" w:cs="仿宋"/>
                <w:color w:val="auto"/>
                <w:lang w:val="en-US" w:eastAsia="zh-CN"/>
              </w:rPr>
              <w:t>26</w:t>
            </w:r>
            <w:r>
              <w:rPr>
                <w:rFonts w:hint="eastAsia" w:ascii="仿宋_GB2312" w:eastAsia="仿宋_GB2312" w:cs="仿宋"/>
                <w:color w:val="auto"/>
              </w:rPr>
              <w:t>次，平均修复时间</w:t>
            </w:r>
            <w:r>
              <w:rPr>
                <w:rFonts w:hint="eastAsia" w:ascii="仿宋_GB2312" w:eastAsia="仿宋_GB2312" w:cs="仿宋"/>
                <w:color w:val="auto"/>
                <w:lang w:val="en-US" w:eastAsia="zh-CN"/>
              </w:rPr>
              <w:t>31</w:t>
            </w:r>
            <w:r>
              <w:rPr>
                <w:rFonts w:hint="eastAsia" w:ascii="仿宋_GB2312" w:eastAsia="仿宋_GB2312" w:cs="仿宋"/>
                <w:color w:val="auto"/>
              </w:rPr>
              <w:t>分钟；预防性试验完成率</w:t>
            </w:r>
            <w:r>
              <w:rPr>
                <w:rFonts w:hint="eastAsia" w:ascii="仿宋_GB2312" w:eastAsia="仿宋_GB2312" w:cs="仿宋"/>
                <w:color w:val="auto"/>
                <w:lang w:val="en-US" w:eastAsia="zh-CN"/>
              </w:rPr>
              <w:t>100</w:t>
            </w:r>
            <w:r>
              <w:rPr>
                <w:rFonts w:hint="eastAsia" w:ascii="仿宋_GB2312" w:eastAsia="仿宋_GB2312" w:cs="仿宋"/>
                <w:color w:val="auto"/>
              </w:rPr>
              <w:t>%，设备完好率</w:t>
            </w:r>
            <w:r>
              <w:rPr>
                <w:rFonts w:hint="eastAsia" w:ascii="仿宋_GB2312" w:eastAsia="仿宋_GB2312" w:cs="仿宋"/>
                <w:color w:val="auto"/>
                <w:lang w:val="en-US" w:eastAsia="zh-CN"/>
              </w:rPr>
              <w:t>99.7</w:t>
            </w:r>
            <w:r>
              <w:rPr>
                <w:rFonts w:hint="eastAsia" w:ascii="仿宋_GB2312" w:eastAsia="仿宋_GB2312" w:cs="仿宋"/>
                <w:color w:val="auto"/>
              </w:rPr>
              <w:t>%</w:t>
            </w:r>
          </w:p>
        </w:tc>
      </w:tr>
      <w:tr w14:paraId="6F0F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Align w:val="center"/>
          </w:tcPr>
          <w:p w14:paraId="4867D78E">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2024</w:t>
            </w:r>
          </w:p>
        </w:tc>
        <w:tc>
          <w:tcPr>
            <w:tcW w:w="2229" w:type="dxa"/>
            <w:vAlign w:val="center"/>
          </w:tcPr>
          <w:p w14:paraId="084F59C1">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收费站机房</w:t>
            </w:r>
            <w:r>
              <w:rPr>
                <w:rFonts w:hint="eastAsia" w:ascii="仿宋_GB2312" w:eastAsia="仿宋_GB2312" w:cs="仿宋"/>
                <w:color w:val="auto"/>
                <w:lang w:val="en-US" w:eastAsia="zh-CN"/>
              </w:rPr>
              <w:t>44</w:t>
            </w:r>
            <w:r>
              <w:rPr>
                <w:rFonts w:hint="eastAsia" w:ascii="仿宋_GB2312" w:eastAsia="仿宋_GB2312" w:cs="仿宋"/>
                <w:color w:val="auto"/>
              </w:rPr>
              <w:t>个，核心设备</w:t>
            </w:r>
            <w:r>
              <w:rPr>
                <w:rFonts w:hint="eastAsia" w:ascii="仿宋_GB2312" w:eastAsia="仿宋_GB2312" w:cs="仿宋"/>
                <w:color w:val="auto"/>
                <w:lang w:val="en-US" w:eastAsia="zh-CN"/>
              </w:rPr>
              <w:t>396</w:t>
            </w:r>
            <w:r>
              <w:rPr>
                <w:rFonts w:hint="eastAsia" w:ascii="仿宋_GB2312" w:eastAsia="仿宋_GB2312" w:cs="仿宋"/>
                <w:color w:val="auto"/>
              </w:rPr>
              <w:t>台，网络链路</w:t>
            </w:r>
            <w:r>
              <w:rPr>
                <w:rFonts w:hint="eastAsia" w:ascii="仿宋_GB2312" w:eastAsia="仿宋_GB2312" w:cs="仿宋"/>
                <w:color w:val="auto"/>
                <w:lang w:val="en-US" w:eastAsia="zh-CN"/>
              </w:rPr>
              <w:t>695.5</w:t>
            </w:r>
            <w:r>
              <w:rPr>
                <w:rFonts w:hint="eastAsia" w:ascii="仿宋_GB2312" w:eastAsia="仿宋_GB2312" w:cs="仿宋"/>
                <w:color w:val="auto"/>
              </w:rPr>
              <w:t>公里</w:t>
            </w:r>
          </w:p>
        </w:tc>
        <w:tc>
          <w:tcPr>
            <w:tcW w:w="6174" w:type="dxa"/>
            <w:vAlign w:val="center"/>
          </w:tcPr>
          <w:p w14:paraId="6B8CD242">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全年计划巡检</w:t>
            </w:r>
            <w:r>
              <w:rPr>
                <w:rFonts w:hint="eastAsia" w:ascii="仿宋_GB2312" w:eastAsia="仿宋_GB2312" w:cs="仿宋"/>
                <w:color w:val="auto"/>
                <w:lang w:val="en-US" w:eastAsia="zh-CN"/>
              </w:rPr>
              <w:t>16104</w:t>
            </w:r>
            <w:r>
              <w:rPr>
                <w:rFonts w:hint="eastAsia" w:ascii="仿宋_GB2312" w:eastAsia="仿宋_GB2312" w:cs="仿宋"/>
                <w:color w:val="auto"/>
              </w:rPr>
              <w:t>次，实际执行</w:t>
            </w:r>
            <w:r>
              <w:rPr>
                <w:rFonts w:hint="eastAsia" w:ascii="仿宋_GB2312" w:eastAsia="仿宋_GB2312" w:cs="仿宋"/>
                <w:color w:val="auto"/>
                <w:lang w:val="en-US" w:eastAsia="zh-CN"/>
              </w:rPr>
              <w:t>16104</w:t>
            </w:r>
            <w:r>
              <w:rPr>
                <w:rFonts w:hint="eastAsia" w:ascii="仿宋_GB2312" w:eastAsia="仿宋_GB2312" w:cs="仿宋"/>
                <w:color w:val="auto"/>
              </w:rPr>
              <w:t>次，发现隐患4</w:t>
            </w:r>
            <w:r>
              <w:rPr>
                <w:rFonts w:hint="eastAsia" w:ascii="仿宋_GB2312" w:eastAsia="仿宋_GB2312" w:cs="仿宋"/>
                <w:color w:val="auto"/>
                <w:lang w:val="en-US" w:eastAsia="zh-CN"/>
              </w:rPr>
              <w:t>9</w:t>
            </w:r>
            <w:r>
              <w:rPr>
                <w:rFonts w:hint="eastAsia" w:ascii="仿宋_GB2312" w:eastAsia="仿宋_GB2312" w:cs="仿宋"/>
                <w:color w:val="auto"/>
              </w:rPr>
              <w:t>处，整改4</w:t>
            </w:r>
            <w:r>
              <w:rPr>
                <w:rFonts w:hint="eastAsia" w:ascii="仿宋_GB2312" w:eastAsia="仿宋_GB2312" w:cs="仿宋"/>
                <w:color w:val="auto"/>
                <w:lang w:val="en-US" w:eastAsia="zh-CN"/>
              </w:rPr>
              <w:t>9</w:t>
            </w:r>
            <w:r>
              <w:rPr>
                <w:rFonts w:hint="eastAsia" w:ascii="仿宋_GB2312" w:eastAsia="仿宋_GB2312" w:cs="仿宋"/>
                <w:color w:val="auto"/>
              </w:rPr>
              <w:t>处；故障发生2</w:t>
            </w:r>
            <w:r>
              <w:rPr>
                <w:rFonts w:hint="eastAsia" w:ascii="仿宋_GB2312" w:eastAsia="仿宋_GB2312" w:cs="仿宋"/>
                <w:color w:val="auto"/>
                <w:lang w:val="en-US" w:eastAsia="zh-CN"/>
              </w:rPr>
              <w:t>8</w:t>
            </w:r>
            <w:r>
              <w:rPr>
                <w:rFonts w:hint="eastAsia" w:ascii="仿宋_GB2312" w:eastAsia="仿宋_GB2312" w:cs="仿宋"/>
                <w:color w:val="auto"/>
              </w:rPr>
              <w:t>次，平均修复时间</w:t>
            </w:r>
            <w:r>
              <w:rPr>
                <w:rFonts w:hint="eastAsia" w:ascii="仿宋_GB2312" w:eastAsia="仿宋_GB2312" w:cs="仿宋"/>
                <w:color w:val="auto"/>
                <w:lang w:val="en-US" w:eastAsia="zh-CN"/>
              </w:rPr>
              <w:t>30</w:t>
            </w:r>
            <w:r>
              <w:rPr>
                <w:rFonts w:hint="eastAsia" w:ascii="仿宋_GB2312" w:eastAsia="仿宋_GB2312" w:cs="仿宋"/>
                <w:color w:val="auto"/>
              </w:rPr>
              <w:t>分钟；预防性试验完成率100%，设备完好率99.</w:t>
            </w:r>
            <w:r>
              <w:rPr>
                <w:rFonts w:hint="eastAsia" w:ascii="仿宋_GB2312" w:eastAsia="仿宋_GB2312" w:cs="仿宋"/>
                <w:color w:val="auto"/>
                <w:lang w:val="en-US" w:eastAsia="zh-CN"/>
              </w:rPr>
              <w:t>5</w:t>
            </w:r>
            <w:r>
              <w:rPr>
                <w:rFonts w:hint="eastAsia" w:ascii="仿宋_GB2312" w:eastAsia="仿宋_GB2312" w:cs="仿宋"/>
                <w:color w:val="auto"/>
              </w:rPr>
              <w:t>%</w:t>
            </w:r>
          </w:p>
        </w:tc>
      </w:tr>
      <w:tr w14:paraId="31431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980" w:type="dxa"/>
            <w:vAlign w:val="center"/>
          </w:tcPr>
          <w:p w14:paraId="2113DA7C">
            <w:pPr>
              <w:pStyle w:val="33"/>
              <w:keepNext w:val="0"/>
              <w:keepLines w:val="0"/>
              <w:widowControl w:val="0"/>
              <w:suppressLineNumbers w:val="0"/>
              <w:spacing w:before="0" w:beforeLines="0" w:beforeAutospacing="0" w:after="0" w:afterLines="0" w:afterAutospacing="0" w:line="400" w:lineRule="exact"/>
              <w:ind w:left="0" w:right="0" w:firstLine="0" w:firstLineChars="0"/>
              <w:rPr>
                <w:rFonts w:hint="eastAsia" w:ascii="仿宋_GB2312" w:eastAsia="仿宋_GB2312" w:cs="仿宋"/>
              </w:rPr>
            </w:pPr>
            <w:r>
              <w:rPr>
                <w:rFonts w:hint="eastAsia" w:ascii="仿宋_GB2312" w:eastAsia="仿宋_GB2312" w:cs="仿宋"/>
              </w:rPr>
              <w:t>2025</w:t>
            </w:r>
          </w:p>
        </w:tc>
        <w:tc>
          <w:tcPr>
            <w:tcW w:w="2229" w:type="dxa"/>
            <w:vAlign w:val="center"/>
          </w:tcPr>
          <w:p w14:paraId="67BDD74E">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收费站机房</w:t>
            </w:r>
            <w:r>
              <w:rPr>
                <w:rFonts w:hint="eastAsia" w:ascii="仿宋_GB2312" w:eastAsia="仿宋_GB2312" w:cs="仿宋"/>
                <w:color w:val="auto"/>
                <w:lang w:val="en-US" w:eastAsia="zh-CN"/>
              </w:rPr>
              <w:t>50</w:t>
            </w:r>
            <w:r>
              <w:rPr>
                <w:rFonts w:hint="eastAsia" w:ascii="仿宋_GB2312" w:eastAsia="仿宋_GB2312" w:cs="仿宋"/>
                <w:color w:val="auto"/>
              </w:rPr>
              <w:t>个，核心设备</w:t>
            </w:r>
            <w:r>
              <w:rPr>
                <w:rFonts w:hint="eastAsia" w:ascii="仿宋_GB2312" w:eastAsia="仿宋_GB2312" w:cs="仿宋"/>
                <w:color w:val="auto"/>
                <w:lang w:val="en-US" w:eastAsia="zh-CN"/>
              </w:rPr>
              <w:t>456</w:t>
            </w:r>
            <w:r>
              <w:rPr>
                <w:rFonts w:hint="eastAsia" w:ascii="仿宋_GB2312" w:eastAsia="仿宋_GB2312" w:cs="仿宋"/>
                <w:color w:val="auto"/>
              </w:rPr>
              <w:t>台，网络链路</w:t>
            </w:r>
            <w:r>
              <w:rPr>
                <w:rFonts w:hint="eastAsia" w:ascii="仿宋_GB2312" w:eastAsia="仿宋_GB2312" w:cs="仿宋"/>
                <w:color w:val="auto"/>
                <w:lang w:val="en-US" w:eastAsia="zh-CN"/>
              </w:rPr>
              <w:t>695.5</w:t>
            </w:r>
            <w:r>
              <w:rPr>
                <w:rFonts w:hint="eastAsia" w:ascii="仿宋_GB2312" w:eastAsia="仿宋_GB2312" w:cs="仿宋"/>
                <w:color w:val="auto"/>
              </w:rPr>
              <w:t>公里</w:t>
            </w:r>
          </w:p>
        </w:tc>
        <w:tc>
          <w:tcPr>
            <w:tcW w:w="6174" w:type="dxa"/>
            <w:vAlign w:val="center"/>
          </w:tcPr>
          <w:p w14:paraId="3C00B027">
            <w:pPr>
              <w:pStyle w:val="33"/>
              <w:keepNext w:val="0"/>
              <w:keepLines w:val="0"/>
              <w:widowControl w:val="0"/>
              <w:suppressLineNumbers w:val="0"/>
              <w:spacing w:before="0" w:beforeLines="0" w:beforeAutospacing="0" w:after="0" w:afterLines="0" w:afterAutospacing="0" w:line="400" w:lineRule="exact"/>
              <w:ind w:left="0" w:leftChars="0" w:right="0" w:rightChars="0" w:firstLine="0" w:firstLineChars="0"/>
              <w:rPr>
                <w:rFonts w:hint="eastAsia" w:ascii="仿宋_GB2312" w:eastAsia="仿宋_GB2312" w:cs="仿宋"/>
              </w:rPr>
            </w:pPr>
            <w:r>
              <w:rPr>
                <w:rFonts w:hint="eastAsia" w:ascii="仿宋_GB2312" w:eastAsia="仿宋_GB2312" w:cs="仿宋"/>
                <w:color w:val="auto"/>
              </w:rPr>
              <w:t>全年计划巡检</w:t>
            </w:r>
            <w:r>
              <w:rPr>
                <w:rFonts w:hint="eastAsia" w:ascii="仿宋_GB2312" w:eastAsia="仿宋_GB2312" w:cs="仿宋"/>
                <w:color w:val="auto"/>
                <w:lang w:val="en-US" w:eastAsia="zh-CN"/>
              </w:rPr>
              <w:t>18250</w:t>
            </w:r>
            <w:r>
              <w:rPr>
                <w:rFonts w:hint="eastAsia" w:ascii="仿宋_GB2312" w:eastAsia="仿宋_GB2312" w:cs="仿宋"/>
                <w:color w:val="auto"/>
              </w:rPr>
              <w:t>次，实际执行</w:t>
            </w:r>
            <w:r>
              <w:rPr>
                <w:rFonts w:hint="eastAsia" w:ascii="仿宋_GB2312" w:eastAsia="仿宋_GB2312" w:cs="仿宋"/>
                <w:color w:val="auto"/>
                <w:lang w:val="en-US" w:eastAsia="zh-CN"/>
              </w:rPr>
              <w:t>18250</w:t>
            </w:r>
            <w:r>
              <w:rPr>
                <w:rFonts w:hint="eastAsia" w:ascii="仿宋_GB2312" w:eastAsia="仿宋_GB2312" w:cs="仿宋"/>
                <w:color w:val="auto"/>
              </w:rPr>
              <w:t>次，发现隐患</w:t>
            </w:r>
            <w:r>
              <w:rPr>
                <w:rFonts w:hint="eastAsia" w:ascii="仿宋_GB2312" w:eastAsia="仿宋_GB2312" w:cs="仿宋"/>
                <w:color w:val="auto"/>
                <w:lang w:val="en-US" w:eastAsia="zh-CN"/>
              </w:rPr>
              <w:t>53</w:t>
            </w:r>
            <w:r>
              <w:rPr>
                <w:rFonts w:hint="eastAsia" w:ascii="仿宋_GB2312" w:eastAsia="仿宋_GB2312" w:cs="仿宋"/>
                <w:color w:val="auto"/>
              </w:rPr>
              <w:t>处，整改</w:t>
            </w:r>
            <w:r>
              <w:rPr>
                <w:rFonts w:hint="eastAsia" w:ascii="仿宋_GB2312" w:eastAsia="仿宋_GB2312" w:cs="仿宋"/>
                <w:color w:val="auto"/>
                <w:lang w:val="en-US" w:eastAsia="zh-CN"/>
              </w:rPr>
              <w:t>53</w:t>
            </w:r>
            <w:r>
              <w:rPr>
                <w:rFonts w:hint="eastAsia" w:ascii="仿宋_GB2312" w:eastAsia="仿宋_GB2312" w:cs="仿宋"/>
                <w:color w:val="auto"/>
              </w:rPr>
              <w:t>处；故障发生</w:t>
            </w:r>
            <w:r>
              <w:rPr>
                <w:rFonts w:hint="eastAsia" w:ascii="仿宋_GB2312" w:eastAsia="仿宋_GB2312" w:cs="仿宋"/>
                <w:color w:val="auto"/>
                <w:lang w:val="en-US" w:eastAsia="zh-CN"/>
              </w:rPr>
              <w:t>31</w:t>
            </w:r>
            <w:r>
              <w:rPr>
                <w:rFonts w:hint="eastAsia" w:ascii="仿宋_GB2312" w:eastAsia="仿宋_GB2312" w:cs="仿宋"/>
                <w:color w:val="auto"/>
              </w:rPr>
              <w:t>次，平均修复时间</w:t>
            </w:r>
            <w:r>
              <w:rPr>
                <w:rFonts w:hint="eastAsia" w:ascii="仿宋_GB2312" w:eastAsia="仿宋_GB2312" w:cs="仿宋"/>
                <w:color w:val="auto"/>
                <w:lang w:val="en-US" w:eastAsia="zh-CN"/>
              </w:rPr>
              <w:t>34</w:t>
            </w:r>
            <w:r>
              <w:rPr>
                <w:rFonts w:hint="eastAsia" w:ascii="仿宋_GB2312" w:eastAsia="仿宋_GB2312" w:cs="仿宋"/>
                <w:color w:val="auto"/>
              </w:rPr>
              <w:t>分钟；预防性试验完成率100%，设备完好率99.</w:t>
            </w:r>
            <w:r>
              <w:rPr>
                <w:rFonts w:hint="eastAsia" w:ascii="仿宋_GB2312" w:eastAsia="仿宋_GB2312" w:cs="仿宋"/>
                <w:color w:val="auto"/>
                <w:lang w:val="en-US" w:eastAsia="zh-CN"/>
              </w:rPr>
              <w:t>5</w:t>
            </w:r>
            <w:r>
              <w:rPr>
                <w:rFonts w:hint="eastAsia" w:ascii="仿宋_GB2312" w:eastAsia="仿宋_GB2312" w:cs="仿宋"/>
                <w:color w:val="auto"/>
              </w:rPr>
              <w:t>%</w:t>
            </w:r>
          </w:p>
        </w:tc>
      </w:tr>
    </w:tbl>
    <w:p w14:paraId="73ACEC04">
      <w:pPr>
        <w:pStyle w:val="33"/>
        <w:spacing w:before="0" w:beforeLines="0" w:after="0" w:afterLines="0"/>
        <w:ind w:firstLine="560"/>
        <w:jc w:val="both"/>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根据近四年运维记录，随着智能巡检和预防性维护体系的逐步完善，管理规模持续扩大，巡检计划执行率始终保持100%。数据显示，隐患发现数量从2022年的37处增长至2025年的53处，故障发生次数由21次变为31次，平均修复时间保持在29～34分钟之间，设备完好率稳定在99.5%以上。不同地理环境、不同规模条件的单位均能通过执行本规范实现网络运行可靠性的持续提升，表明本标准构建的运维管理体系具有良好的适应性和推广价值。</w:t>
      </w:r>
    </w:p>
    <w:p w14:paraId="4BE74FF6">
      <w:pPr>
        <w:pStyle w:val="35"/>
        <w:numPr>
          <w:ilvl w:val="0"/>
          <w:numId w:val="0"/>
        </w:numPr>
        <w:spacing w:beforeLines="0" w:afterLines="0" w:line="360" w:lineRule="auto"/>
        <w:ind w:firstLine="643" w:firstLineChars="200"/>
        <w:rPr>
          <w:bCs/>
          <w:sz w:val="32"/>
          <w:szCs w:val="32"/>
        </w:rPr>
      </w:pPr>
      <w:r>
        <w:rPr>
          <w:rFonts w:hint="eastAsia"/>
          <w:b/>
          <w:bCs/>
          <w:sz w:val="32"/>
          <w:szCs w:val="32"/>
        </w:rPr>
        <w:t>六</w:t>
      </w:r>
      <w:r>
        <w:rPr>
          <w:rFonts w:hint="eastAsia"/>
          <w:bCs/>
          <w:sz w:val="32"/>
          <w:szCs w:val="32"/>
        </w:rPr>
        <w:t>、</w:t>
      </w:r>
      <w:r>
        <w:rPr>
          <w:rFonts w:hint="eastAsia"/>
          <w:sz w:val="32"/>
          <w:szCs w:val="32"/>
        </w:rPr>
        <w:t>重大意见分歧的处理依据和结果</w:t>
      </w:r>
    </w:p>
    <w:p w14:paraId="03F3699C">
      <w:pPr>
        <w:spacing w:line="520" w:lineRule="exact"/>
        <w:ind w:firstLine="560" w:firstLineChars="200"/>
        <w:rPr>
          <w:rFonts w:ascii="仿宋_GB2312" w:eastAsia="仿宋_GB2312"/>
          <w:sz w:val="28"/>
          <w:szCs w:val="28"/>
        </w:rPr>
      </w:pPr>
      <w:r>
        <w:rPr>
          <w:rFonts w:hint="eastAsia" w:ascii="仿宋_GB2312" w:eastAsia="仿宋_GB2312"/>
          <w:sz w:val="28"/>
          <w:szCs w:val="28"/>
        </w:rPr>
        <w:t>本标准研制过程中无重大分歧意见。</w:t>
      </w:r>
    </w:p>
    <w:p w14:paraId="2C2745F6">
      <w:pPr>
        <w:autoSpaceDE w:val="0"/>
        <w:autoSpaceDN w:val="0"/>
        <w:adjustRightInd w:val="0"/>
        <w:spacing w:before="156" w:beforeLines="50" w:after="156" w:afterLines="50" w:line="520" w:lineRule="exact"/>
        <w:ind w:firstLine="640" w:firstLineChars="200"/>
        <w:outlineLvl w:val="0"/>
        <w:rPr>
          <w:rFonts w:eastAsia="黑体"/>
          <w:sz w:val="32"/>
          <w:szCs w:val="32"/>
        </w:rPr>
      </w:pPr>
      <w:r>
        <w:rPr>
          <w:rFonts w:hint="eastAsia" w:ascii="黑体" w:eastAsia="黑体"/>
          <w:bCs/>
          <w:sz w:val="32"/>
          <w:szCs w:val="32"/>
        </w:rPr>
        <w:t>七、</w:t>
      </w:r>
      <w:r>
        <w:rPr>
          <w:rFonts w:hint="eastAsia" w:eastAsia="黑体"/>
          <w:sz w:val="32"/>
          <w:szCs w:val="32"/>
        </w:rPr>
        <w:t>实施标准的措施</w:t>
      </w:r>
    </w:p>
    <w:p w14:paraId="79B3C25C">
      <w:pPr>
        <w:spacing w:line="500" w:lineRule="exact"/>
        <w:ind w:firstLine="562" w:firstLineChars="200"/>
        <w:rPr>
          <w:rFonts w:ascii="仿宋_GB2312" w:eastAsia="仿宋_GB2312" w:cs="仿宋_GB2312"/>
          <w:b/>
          <w:sz w:val="28"/>
          <w:szCs w:val="28"/>
        </w:rPr>
      </w:pPr>
      <w:r>
        <w:rPr>
          <w:rFonts w:hint="eastAsia" w:ascii="仿宋_GB2312" w:eastAsia="仿宋_GB2312" w:cs="仿宋_GB2312"/>
          <w:b/>
          <w:sz w:val="28"/>
          <w:szCs w:val="28"/>
        </w:rPr>
        <w:t>（一）标准报批发布后，成立标准宣贯工作组</w:t>
      </w:r>
    </w:p>
    <w:p w14:paraId="00343504">
      <w:pPr>
        <w:spacing w:line="500" w:lineRule="exact"/>
        <w:ind w:firstLine="560" w:firstLineChars="200"/>
        <w:rPr>
          <w:rFonts w:ascii="仿宋_GB2312" w:eastAsia="仿宋_GB2312"/>
          <w:sz w:val="28"/>
          <w:szCs w:val="28"/>
        </w:rPr>
      </w:pPr>
      <w:r>
        <w:rPr>
          <w:rFonts w:hint="eastAsia" w:ascii="仿宋_GB2312" w:eastAsia="仿宋_GB2312"/>
          <w:sz w:val="28"/>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DE29C03">
      <w:pPr>
        <w:spacing w:line="500" w:lineRule="exact"/>
        <w:ind w:firstLine="562" w:firstLineChars="200"/>
        <w:rPr>
          <w:rFonts w:ascii="仿宋_GB2312" w:eastAsia="仿宋_GB2312"/>
          <w:b/>
          <w:sz w:val="28"/>
          <w:szCs w:val="28"/>
        </w:rPr>
      </w:pPr>
      <w:r>
        <w:rPr>
          <w:rFonts w:hint="eastAsia" w:ascii="仿宋_GB2312" w:eastAsia="仿宋_GB2312"/>
          <w:b/>
          <w:sz w:val="28"/>
          <w:szCs w:val="28"/>
        </w:rPr>
        <w:t>（二）组织开展标准宣贯培训</w:t>
      </w:r>
    </w:p>
    <w:p w14:paraId="29881CD3">
      <w:pPr>
        <w:spacing w:line="500" w:lineRule="exact"/>
        <w:ind w:firstLine="560" w:firstLineChars="200"/>
        <w:rPr>
          <w:rFonts w:ascii="仿宋_GB2312" w:eastAsia="仿宋_GB2312"/>
          <w:sz w:val="28"/>
          <w:szCs w:val="28"/>
        </w:rPr>
      </w:pPr>
      <w:r>
        <w:rPr>
          <w:rFonts w:hint="eastAsia" w:ascii="仿宋_GB2312" w:eastAsia="仿宋_GB2312"/>
          <w:sz w:val="28"/>
          <w:szCs w:val="28"/>
        </w:rPr>
        <w:t>标准发布实施后，标准宣贯工作小组制作标准解读宣贯培训PPT课件和标准核心技术明白书，并按标准宣贯培训计划深入各相关机构，对相关人员开展标准宣贯培训，对标准进行逐条解读，让相关人员掌握标准核心技术内容，助力标准实施落地，推动</w:t>
      </w:r>
      <w:r>
        <w:rPr>
          <w:rFonts w:hint="eastAsia" w:ascii="仿宋_GB2312" w:eastAsia="仿宋_GB2312"/>
          <w:sz w:val="28"/>
          <w:szCs w:val="28"/>
          <w:lang w:eastAsia="zh-CN"/>
        </w:rPr>
        <w:t>高速公路收费站机房网络智能化运维管理</w:t>
      </w:r>
      <w:r>
        <w:rPr>
          <w:rFonts w:hint="eastAsia" w:ascii="仿宋_GB2312" w:eastAsia="仿宋_GB2312"/>
          <w:sz w:val="28"/>
          <w:szCs w:val="28"/>
        </w:rPr>
        <w:t>高质量发展。</w:t>
      </w:r>
    </w:p>
    <w:p w14:paraId="65C68492">
      <w:pPr>
        <w:spacing w:line="500" w:lineRule="exact"/>
        <w:ind w:firstLine="562" w:firstLineChars="200"/>
        <w:rPr>
          <w:rFonts w:ascii="仿宋_GB2312" w:eastAsia="仿宋_GB2312"/>
          <w:b/>
          <w:sz w:val="28"/>
          <w:szCs w:val="28"/>
        </w:rPr>
      </w:pPr>
      <w:r>
        <w:rPr>
          <w:rFonts w:hint="eastAsia" w:ascii="仿宋_GB2312" w:eastAsia="仿宋_GB2312"/>
          <w:b/>
          <w:sz w:val="28"/>
          <w:szCs w:val="28"/>
        </w:rPr>
        <w:t>（三）开展标准实施交流会，收集标准实施反馈信息</w:t>
      </w:r>
    </w:p>
    <w:p w14:paraId="0BD8BE8B">
      <w:pPr>
        <w:spacing w:line="500" w:lineRule="exact"/>
        <w:ind w:firstLine="560" w:firstLineChars="200"/>
        <w:rPr>
          <w:rFonts w:ascii="仿宋_GB2312" w:eastAsia="仿宋_GB2312"/>
          <w:sz w:val="28"/>
          <w:szCs w:val="28"/>
        </w:rPr>
      </w:pPr>
      <w:r>
        <w:rPr>
          <w:rFonts w:hint="eastAsia" w:ascii="仿宋_GB2312" w:eastAsia="仿宋_GB2312"/>
          <w:sz w:val="28"/>
          <w:szCs w:val="28"/>
        </w:rPr>
        <w:t>标准起草小组深入各相关机构组织相关人员召开标准实施交流会，听取标准实施过程中存在的问题并做好记录和解答，对存在的问题组织专家团队进行研讨，为标准的复审修订做准备。</w:t>
      </w:r>
    </w:p>
    <w:p w14:paraId="15128462">
      <w:pPr>
        <w:spacing w:line="500" w:lineRule="exact"/>
        <w:ind w:firstLine="562" w:firstLineChars="200"/>
        <w:rPr>
          <w:rFonts w:ascii="仿宋_GB2312" w:eastAsia="仿宋_GB2312"/>
          <w:b/>
          <w:sz w:val="28"/>
          <w:szCs w:val="28"/>
        </w:rPr>
      </w:pPr>
      <w:r>
        <w:rPr>
          <w:rFonts w:hint="eastAsia" w:ascii="仿宋_GB2312" w:eastAsia="仿宋_GB2312"/>
          <w:b/>
          <w:sz w:val="28"/>
          <w:szCs w:val="28"/>
        </w:rPr>
        <w:t>（四）开展标准实施效果评估</w:t>
      </w:r>
    </w:p>
    <w:p w14:paraId="026D6BB0">
      <w:pPr>
        <w:spacing w:line="500" w:lineRule="exact"/>
        <w:ind w:firstLine="560" w:firstLineChars="200"/>
        <w:rPr>
          <w:rFonts w:ascii="仿宋_GB2312" w:eastAsia="仿宋_GB2312"/>
          <w:sz w:val="28"/>
          <w:szCs w:val="28"/>
        </w:rPr>
      </w:pPr>
      <w:r>
        <w:rPr>
          <w:rFonts w:hint="eastAsia" w:ascii="仿宋_GB2312" w:eastAsia="仿宋_GB2312"/>
          <w:sz w:val="28"/>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AC8E860">
      <w:pPr>
        <w:spacing w:before="240" w:after="60" w:line="520" w:lineRule="exact"/>
        <w:ind w:firstLine="640" w:firstLineChars="200"/>
        <w:outlineLvl w:val="0"/>
        <w:rPr>
          <w:rFonts w:ascii="黑体" w:eastAsia="黑体"/>
          <w:bCs/>
          <w:sz w:val="32"/>
          <w:szCs w:val="32"/>
        </w:rPr>
      </w:pPr>
      <w:r>
        <w:rPr>
          <w:rFonts w:hint="eastAsia" w:ascii="黑体" w:eastAsia="黑体"/>
          <w:bCs/>
          <w:sz w:val="32"/>
          <w:szCs w:val="32"/>
        </w:rPr>
        <w:t>八、其他应当说明的事项</w:t>
      </w:r>
    </w:p>
    <w:p w14:paraId="48876F83">
      <w:pPr>
        <w:spacing w:line="520" w:lineRule="exact"/>
        <w:ind w:firstLine="560" w:firstLineChars="200"/>
        <w:rPr>
          <w:rFonts w:ascii="仿宋_GB2312" w:eastAsia="仿宋_GB2312"/>
          <w:sz w:val="28"/>
          <w:szCs w:val="28"/>
        </w:rPr>
      </w:pPr>
      <w:r>
        <w:rPr>
          <w:rFonts w:hint="eastAsia" w:ascii="仿宋_GB2312" w:eastAsia="仿宋_GB2312"/>
          <w:sz w:val="28"/>
          <w:szCs w:val="28"/>
        </w:rPr>
        <w:t>无。</w:t>
      </w:r>
    </w:p>
    <w:p w14:paraId="0ECDCDC2">
      <w:pPr>
        <w:autoSpaceDE w:val="0"/>
        <w:autoSpaceDN w:val="0"/>
        <w:adjustRightInd w:val="0"/>
        <w:spacing w:before="156" w:beforeLines="50" w:after="156" w:afterLines="50" w:line="520" w:lineRule="exact"/>
        <w:ind w:firstLine="640"/>
        <w:outlineLvl w:val="0"/>
        <w:rPr>
          <w:rFonts w:eastAsia="黑体"/>
          <w:sz w:val="32"/>
          <w:szCs w:val="32"/>
        </w:rPr>
      </w:pPr>
      <w:r>
        <w:rPr>
          <w:rFonts w:hint="eastAsia" w:eastAsia="黑体"/>
          <w:sz w:val="32"/>
          <w:szCs w:val="32"/>
        </w:rPr>
        <w:t>九、自我承诺</w:t>
      </w:r>
    </w:p>
    <w:p w14:paraId="085B44CD">
      <w:pPr>
        <w:spacing w:line="520" w:lineRule="exact"/>
        <w:ind w:firstLine="560" w:firstLineChars="200"/>
        <w:rPr>
          <w:rFonts w:ascii="仿宋_GB2312" w:eastAsia="仿宋_GB2312"/>
          <w:sz w:val="28"/>
          <w:szCs w:val="28"/>
        </w:rPr>
      </w:pPr>
      <w:r>
        <w:rPr>
          <w:rFonts w:hint="eastAsia" w:ascii="仿宋_GB2312" w:eastAsia="仿宋_GB2312"/>
          <w:sz w:val="28"/>
          <w:szCs w:val="28"/>
        </w:rPr>
        <w:t>该标准的内容符合国家相关法律法规，技术要求不低于强制性国家标准的相关技术要求，与相关的国家、行业推荐性标准协调一致，标准的编写符合GB/T 1.1-2020的要求。</w:t>
      </w:r>
    </w:p>
    <w:p w14:paraId="306B1E3A">
      <w:pPr>
        <w:pStyle w:val="26"/>
        <w:rPr>
          <w:rFonts w:ascii="仿宋_GB2312" w:eastAsia="仿宋_GB2312"/>
          <w:sz w:val="28"/>
          <w:szCs w:val="28"/>
        </w:rPr>
      </w:pPr>
    </w:p>
    <w:p w14:paraId="187361ED">
      <w:pPr>
        <w:keepNext w:val="0"/>
        <w:keepLines w:val="0"/>
        <w:pageBreakBefore w:val="0"/>
        <w:widowControl w:val="0"/>
        <w:kinsoku/>
        <w:wordWrap/>
        <w:overflowPunct/>
        <w:topLinePunct w:val="0"/>
        <w:autoSpaceDE/>
        <w:autoSpaceDN/>
        <w:bidi w:val="0"/>
        <w:adjustRightInd/>
        <w:snapToGrid/>
        <w:spacing w:before="240" w:after="60" w:line="520" w:lineRule="exact"/>
        <w:ind w:firstLine="2240" w:firstLineChars="800"/>
        <w:textAlignment w:val="auto"/>
        <w:outlineLvl w:val="0"/>
        <w:rPr>
          <w:rFonts w:ascii="仿宋_GB2312" w:eastAsia="仿宋_GB2312"/>
          <w:sz w:val="28"/>
          <w:szCs w:val="28"/>
        </w:rPr>
      </w:pPr>
      <w:r>
        <w:rPr>
          <w:rFonts w:hint="eastAsia" w:ascii="仿宋_GB2312" w:eastAsia="仿宋_GB2312"/>
          <w:sz w:val="28"/>
          <w:szCs w:val="28"/>
        </w:rPr>
        <w:t>团体标准《</w:t>
      </w:r>
      <w:r>
        <w:rPr>
          <w:rFonts w:hint="eastAsia" w:ascii="仿宋_GB2312" w:eastAsia="仿宋_GB2312"/>
          <w:sz w:val="28"/>
          <w:szCs w:val="28"/>
          <w:lang w:eastAsia="zh-CN"/>
        </w:rPr>
        <w:t>高速公路收费站机房网络智能化运维管理规范</w:t>
      </w:r>
      <w:r>
        <w:rPr>
          <w:rFonts w:hint="eastAsia" w:ascii="仿宋_GB2312" w:eastAsia="仿宋_GB2312"/>
          <w:sz w:val="28"/>
          <w:szCs w:val="28"/>
        </w:rPr>
        <w:t>》</w:t>
      </w:r>
    </w:p>
    <w:p w14:paraId="1D80862F">
      <w:pPr>
        <w:spacing w:line="520" w:lineRule="exact"/>
        <w:ind w:right="1120"/>
        <w:jc w:val="center"/>
        <w:rPr>
          <w:rFonts w:ascii="仿宋_GB2312" w:eastAsia="仿宋_GB2312"/>
          <w:sz w:val="28"/>
          <w:szCs w:val="28"/>
        </w:rPr>
      </w:pPr>
      <w:r>
        <w:rPr>
          <w:rFonts w:hint="eastAsia" w:ascii="仿宋_GB2312" w:eastAsia="仿宋_GB2312"/>
          <w:sz w:val="28"/>
          <w:szCs w:val="28"/>
        </w:rPr>
        <w:t xml:space="preserve">                   </w:t>
      </w:r>
      <w:r>
        <w:rPr>
          <w:rFonts w:hint="eastAsia" w:ascii="仿宋_GB2312" w:eastAsia="仿宋_GB2312"/>
          <w:sz w:val="28"/>
          <w:szCs w:val="28"/>
          <w:lang w:val="en-US" w:eastAsia="zh-CN"/>
        </w:rPr>
        <w:t xml:space="preserve">     </w:t>
      </w:r>
      <w:r>
        <w:rPr>
          <w:rFonts w:hint="eastAsia" w:ascii="仿宋_GB2312" w:eastAsia="仿宋_GB2312"/>
          <w:sz w:val="28"/>
          <w:szCs w:val="28"/>
        </w:rPr>
        <w:t>标准编制工作组</w:t>
      </w:r>
    </w:p>
    <w:p w14:paraId="06AA9009">
      <w:pPr>
        <w:spacing w:line="520" w:lineRule="exact"/>
        <w:ind w:firstLine="640" w:firstLineChars="200"/>
        <w:rPr>
          <w:rFonts w:ascii="仿宋_GB2312" w:eastAsia="仿宋_GB2312"/>
          <w:sz w:val="28"/>
          <w:szCs w:val="28"/>
        </w:rPr>
      </w:pPr>
      <w:r>
        <w:rPr>
          <w:rFonts w:hint="eastAsia" w:ascii="仿宋_GB2312" w:eastAsia="仿宋_GB2312"/>
          <w:sz w:val="32"/>
          <w:szCs w:val="28"/>
        </w:rPr>
        <w:t xml:space="preserve">                   </w:t>
      </w:r>
      <w:r>
        <w:rPr>
          <w:rFonts w:hint="eastAsia" w:ascii="仿宋_GB2312" w:eastAsia="仿宋_GB2312"/>
          <w:sz w:val="32"/>
          <w:szCs w:val="28"/>
          <w:lang w:val="en-US" w:eastAsia="zh-CN"/>
        </w:rPr>
        <w:t xml:space="preserve">  </w:t>
      </w:r>
      <w:r>
        <w:rPr>
          <w:rFonts w:hint="eastAsia" w:ascii="仿宋_GB2312" w:eastAsia="仿宋_GB2312"/>
          <w:sz w:val="32"/>
          <w:szCs w:val="28"/>
        </w:rPr>
        <w:t xml:space="preserve">   </w:t>
      </w:r>
      <w:r>
        <w:rPr>
          <w:rFonts w:hint="eastAsia" w:ascii="仿宋_GB2312" w:eastAsia="仿宋_GB2312"/>
          <w:sz w:val="28"/>
          <w:szCs w:val="28"/>
        </w:rPr>
        <w:t>2026年</w:t>
      </w:r>
      <w:r>
        <w:rPr>
          <w:rFonts w:hint="eastAsia" w:ascii="仿宋_GB2312" w:eastAsia="仿宋_GB2312"/>
          <w:sz w:val="28"/>
          <w:szCs w:val="28"/>
          <w:lang w:val="en-US" w:eastAsia="zh-CN"/>
        </w:rPr>
        <w:t>2</w:t>
      </w:r>
      <w:r>
        <w:rPr>
          <w:rFonts w:hint="eastAsia" w:ascii="仿宋_GB2312" w:eastAsia="仿宋_GB2312"/>
          <w:sz w:val="28"/>
          <w:szCs w:val="28"/>
        </w:rPr>
        <w:t>月</w:t>
      </w:r>
      <w:r>
        <w:rPr>
          <w:rFonts w:hint="eastAsia" w:ascii="仿宋_GB2312" w:eastAsia="仿宋_GB2312"/>
          <w:sz w:val="28"/>
          <w:szCs w:val="28"/>
          <w:lang w:val="en-US" w:eastAsia="zh-CN"/>
        </w:rPr>
        <w:t>28</w:t>
      </w:r>
      <w:r>
        <w:rPr>
          <w:rFonts w:hint="eastAsia" w:ascii="仿宋_GB2312" w:eastAsia="仿宋_GB2312"/>
          <w:sz w:val="28"/>
          <w:szCs w:val="28"/>
        </w:rPr>
        <w:t>日</w:t>
      </w:r>
    </w:p>
    <w:sectPr>
      <w:footerReference r:id="rId3" w:type="default"/>
      <w:pgSz w:w="11906" w:h="16838"/>
      <w:pgMar w:top="1474" w:right="1474" w:bottom="1474" w:left="1474"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1"/>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22AD9F2-BA19-43E6-9FB6-3A9A915D0E0C}"/>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47B3AEED-6853-49BC-B1C9-4ED8750077F8}"/>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3" w:fontKey="{792AD4DD-48C7-497F-90E6-F882A184A682}"/>
  </w:font>
  <w:font w:name="微软雅黑">
    <w:panose1 w:val="020B0503020204020204"/>
    <w:charset w:val="86"/>
    <w:family w:val="swiss"/>
    <w:pitch w:val="default"/>
    <w:sig w:usb0="80000287" w:usb1="2ACF3C50" w:usb2="00000016" w:usb3="00000000" w:csb0="0004001F" w:csb1="00000000"/>
    <w:embedRegular r:id="rId4" w:fontKey="{F6E770D3-CEFF-438D-966E-F9E49BE7163F}"/>
  </w:font>
  <w:font w:name="仿宋_GB2312">
    <w:panose1 w:val="02010609030101010101"/>
    <w:charset w:val="86"/>
    <w:family w:val="modern"/>
    <w:pitch w:val="default"/>
    <w:sig w:usb0="00000001" w:usb1="080E0000" w:usb2="00000000" w:usb3="00000000" w:csb0="00040000" w:csb1="00000000"/>
    <w:embedRegular r:id="rId5" w:fontKey="{ED492D96-E92B-4345-8EE0-2D359236E188}"/>
  </w:font>
  <w:font w:name="仿宋">
    <w:panose1 w:val="02010609060101010101"/>
    <w:charset w:val="86"/>
    <w:family w:val="modern"/>
    <w:pitch w:val="default"/>
    <w:sig w:usb0="800002BF" w:usb1="38CF7CFA" w:usb2="00000016" w:usb3="00000000" w:csb0="00040001" w:csb1="00000000"/>
    <w:embedRegular r:id="rId6" w:fontKey="{5C0A4E6E-98B6-4779-861F-B3B5BBA44410}"/>
  </w:font>
  <w:font w:name="Cambria Math">
    <w:panose1 w:val="02040503050406030204"/>
    <w:charset w:val="00"/>
    <w:family w:val="auto"/>
    <w:pitch w:val="variable"/>
    <w:sig w:usb0="E00006FF" w:usb1="420024FF" w:usb2="02000000" w:usb3="00000000" w:csb0="2000019F" w:csb1="00000000"/>
  </w:font>
  <w:font w:name="@仿宋_GB2312">
    <w:panose1 w:val="02010609030101010101"/>
    <w:charset w:val="86"/>
    <w:family w:val="auto"/>
    <w:pitch w:val="fixed"/>
    <w:sig w:usb0="00000001" w:usb1="080E0000" w:usb2="00000000" w:usb3="00000000" w:csb0="00040000" w:csb1="00000000"/>
  </w:font>
  <w:font w:name="@宋体">
    <w:panose1 w:val="02010600030101010101"/>
    <w:charset w:val="86"/>
    <w:family w:val="auto"/>
    <w:pitch w:val="variable"/>
    <w:sig w:usb0="000002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FE1AE3">
    <w:pPr>
      <w:pStyle w:val="9"/>
      <w:ind w:firstLine="36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6515" cy="131445"/>
              <wp:effectExtent l="0" t="0" r="0" b="0"/>
              <wp:wrapNone/>
              <wp:docPr id="42" name="文本框 1"/>
              <wp:cNvGraphicFramePr/>
              <a:graphic xmlns:a="http://schemas.openxmlformats.org/drawingml/2006/main">
                <a:graphicData uri="http://schemas.microsoft.com/office/word/2010/wordprocessingShape">
                  <wps:wsp>
                    <wps:cNvSpPr txBox="1"/>
                    <wps:spPr>
                      <a:xfrm>
                        <a:off x="0" y="0"/>
                        <a:ext cx="56515" cy="131445"/>
                      </a:xfrm>
                      <a:prstGeom prst="rect">
                        <a:avLst/>
                      </a:prstGeom>
                      <a:noFill/>
                      <a:ln w="6350">
                        <a:noFill/>
                      </a:ln>
                    </wps:spPr>
                    <wps:txbx>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4.45pt;mso-position-horizontal:center;mso-position-horizontal-relative:margin;mso-wrap-style:none;z-index:251659264;mso-width-relative:page;mso-height-relative:page;" filled="f" stroked="f" coordsize="21600,21600" o:gfxdata="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HyXN5vRAAAAAgEAAA8AAAAAAAAAAQAgAAAAIgAA&#10;AGRycy9kb3ducmV2LnhtbFBLAQIUABQAAAAIAIdO4kAdICOU1gEAAKADAAAOAAAAAAAAAAEAIAAA&#10;ACABAABkcnMvZTJvRG9jLnhtbFBLBQYAAAAABgAGAFkBAABoBQAAAAA=&#10;">
              <v:fill on="f" focussize="0,0"/>
              <v:stroke on="f" weight="0.5pt"/>
              <v:imagedata o:title=""/>
              <o:lock v:ext="edit" aspectratio="f"/>
              <v:textbox inset="0mm,0mm,0mm,0mm" style="mso-fit-shape-to-text:t;">
                <w:txbxContent>
                  <w:p w14:paraId="5E0811C8">
                    <w:pPr>
                      <w:pStyle w:val="9"/>
                    </w:pPr>
                    <w:r>
                      <w:rPr>
                        <w:rFonts w:hint="eastAsia"/>
                      </w:rPr>
                      <w:fldChar w:fldCharType="begin"/>
                    </w:r>
                    <w:r>
                      <w:rPr>
                        <w:rFonts w:hint="eastAsia"/>
                      </w:rPr>
                      <w:instrText xml:space="preserve"> PAGE  \* MERGEFORMAT </w:instrText>
                    </w:r>
                    <w:r>
                      <w:rPr>
                        <w:rFonts w:hint="eastAsia"/>
                      </w:rPr>
                      <w:fldChar w:fldCharType="separate"/>
                    </w:r>
                    <w:r>
                      <w:t>1</w:t>
                    </w:r>
                    <w:r>
                      <w:rPr>
                        <w:rFonts w:hint="eastAsia"/>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DF8329"/>
    <w:multiLevelType w:val="multilevel"/>
    <w:tmpl w:val="8DDF8329"/>
    <w:lvl w:ilvl="0" w:tentative="0">
      <w:start w:val="1"/>
      <w:numFmt w:val="decimal"/>
      <w:pStyle w:val="44"/>
      <w:suff w:val="nothing"/>
      <w:lvlText w:val="表%1　"/>
      <w:legacy w:legacy="1" w:legacySpace="0" w:legacyIndent="0"/>
      <w:lvlJc w:val="left"/>
      <w:pPr>
        <w:ind w:left="0" w:firstLine="0"/>
      </w:pPr>
    </w:lvl>
    <w:lvl w:ilvl="1" w:tentative="0">
      <w:start w:val="1"/>
      <w:numFmt w:val="decimal"/>
      <w:lvlText w:val="%1.%2"/>
      <w:legacy w:legacy="1" w:legacySpace="0" w:legacyIndent="567"/>
      <w:lvlJc w:val="left"/>
      <w:pPr>
        <w:ind w:left="992" w:hanging="567"/>
      </w:pPr>
    </w:lvl>
    <w:lvl w:ilvl="2" w:tentative="0">
      <w:start w:val="1"/>
      <w:numFmt w:val="decimal"/>
      <w:lvlText w:val="%1.%2.%3"/>
      <w:legacy w:legacy="1" w:legacySpace="0" w:legacyIndent="567"/>
      <w:lvlJc w:val="left"/>
      <w:pPr>
        <w:ind w:left="1417" w:hanging="567"/>
      </w:pPr>
    </w:lvl>
    <w:lvl w:ilvl="3" w:tentative="0">
      <w:start w:val="1"/>
      <w:numFmt w:val="decimal"/>
      <w:lvlText w:val="%1.%2.%3.%4"/>
      <w:legacy w:legacy="1" w:legacySpace="0" w:legacyIndent="708"/>
      <w:lvlJc w:val="left"/>
      <w:pPr>
        <w:ind w:left="1984" w:hanging="708"/>
      </w:pPr>
    </w:lvl>
    <w:lvl w:ilvl="4" w:tentative="0">
      <w:start w:val="1"/>
      <w:numFmt w:val="decimal"/>
      <w:lvlText w:val="%1.%2.%3.%4.%5"/>
      <w:legacy w:legacy="1" w:legacySpace="0" w:legacyIndent="850"/>
      <w:lvlJc w:val="left"/>
      <w:pPr>
        <w:ind w:left="2551" w:hanging="850"/>
      </w:pPr>
    </w:lvl>
    <w:lvl w:ilvl="5" w:tentative="0">
      <w:start w:val="1"/>
      <w:numFmt w:val="decimal"/>
      <w:lvlText w:val="%1.%2.%3.%4.%5.%6"/>
      <w:legacy w:legacy="1" w:legacySpace="0" w:legacyIndent="1134"/>
      <w:lvlJc w:val="left"/>
      <w:pPr>
        <w:ind w:left="3260" w:hanging="1134"/>
      </w:pPr>
    </w:lvl>
    <w:lvl w:ilvl="6" w:tentative="0">
      <w:start w:val="1"/>
      <w:numFmt w:val="decimal"/>
      <w:lvlText w:val="%1.%2.%3.%4.%5.%6.%7"/>
      <w:legacy w:legacy="1" w:legacySpace="0" w:legacyIndent="1276"/>
      <w:lvlJc w:val="left"/>
      <w:pPr>
        <w:ind w:left="3827" w:hanging="1276"/>
      </w:pPr>
    </w:lvl>
    <w:lvl w:ilvl="7" w:tentative="0">
      <w:start w:val="1"/>
      <w:numFmt w:val="decimal"/>
      <w:lvlText w:val="%1.%2.%3.%4.%5.%6.%7.%8"/>
      <w:legacy w:legacy="1" w:legacySpace="0" w:legacyIndent="1418"/>
      <w:lvlJc w:val="left"/>
      <w:pPr>
        <w:ind w:left="4394" w:hanging="1418"/>
      </w:pPr>
    </w:lvl>
    <w:lvl w:ilvl="8" w:tentative="0">
      <w:start w:val="1"/>
      <w:numFmt w:val="decimal"/>
      <w:lvlText w:val="%1.%2.%3.%4.%5.%6.%7.%8.%9"/>
      <w:legacy w:legacy="1" w:legacySpace="0" w:legacyIndent="1700"/>
      <w:lvlJc w:val="left"/>
      <w:pPr>
        <w:ind w:left="5102" w:hanging="1700"/>
      </w:pPr>
    </w:lvl>
  </w:abstractNum>
  <w:abstractNum w:abstractNumId="1">
    <w:nsid w:val="A333FDA2"/>
    <w:multiLevelType w:val="multilevel"/>
    <w:tmpl w:val="A333FDA2"/>
    <w:lvl w:ilvl="0" w:tentative="0">
      <w:start w:val="1"/>
      <w:numFmt w:val="none"/>
      <w:suff w:val="nothing"/>
      <w:lvlText w:val="%1"/>
      <w:lvlJc w:val="left"/>
      <w:pPr>
        <w:ind w:left="0" w:firstLine="0"/>
      </w:pPr>
    </w:lvl>
    <w:lvl w:ilvl="1" w:tentative="0">
      <w:start w:val="1"/>
      <w:numFmt w:val="decimal"/>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textAlignment w:val="baseline"/>
      </w:pPr>
      <w:rPr>
        <w:rFonts w:hint="eastAsia" w:ascii="黑体" w:hAnsi="Times New Roman" w:eastAsia="黑体" w:cs="Times New Roman"/>
        <w:b w:val="0"/>
        <w:bCs w:val="0"/>
        <w:i w:val="0"/>
        <w:iCs w:val="0"/>
        <w:caps w:val="0"/>
        <w:strike w:val="0"/>
        <w:dstrike w:val="0"/>
        <w:vanish w:val="0"/>
        <w:color w:val="000000"/>
        <w:spacing w:val="0"/>
        <w:kern w:val="0"/>
        <w:position w:val="0"/>
        <w:sz w:val="21"/>
        <w:u w:val="none"/>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pStyle w:val="60"/>
      <w:suff w:val="nothing"/>
      <w:lvlText w:val="%1%2.%3.%4.%5.%6.%7　"/>
      <w:lvlJc w:val="left"/>
      <w:pPr>
        <w:ind w:left="0" w:firstLine="0"/>
      </w:pPr>
      <w:rPr>
        <w:rFonts w:hint="eastAsia" w:ascii="黑体" w:hAnsi="Times New Roman" w:eastAsia="黑体" w:cs="黑体"/>
        <w:b w:val="0"/>
        <w:i w:val="0"/>
        <w:sz w:val="21"/>
      </w:rPr>
    </w:lvl>
    <w:lvl w:ilvl="7" w:tentative="0">
      <w:start w:val="1"/>
      <w:numFmt w:val="decimal"/>
      <w:lvlText w:val="%1.%2.%3.%4.%5.%6.%7.%8"/>
      <w:lvlJc w:val="left"/>
      <w:pPr>
        <w:tabs>
          <w:tab w:val="left" w:pos="4351"/>
        </w:tabs>
        <w:ind w:left="3972" w:hanging="1418"/>
      </w:pPr>
    </w:lvl>
    <w:lvl w:ilvl="8" w:tentative="0">
      <w:start w:val="1"/>
      <w:numFmt w:val="decimal"/>
      <w:lvlText w:val="%1.%2.%3.%4.%5.%6.%7.%8.%9"/>
      <w:lvlJc w:val="left"/>
      <w:pPr>
        <w:tabs>
          <w:tab w:val="left" w:pos="4777"/>
        </w:tabs>
        <w:ind w:left="4677" w:hanging="1700"/>
      </w:pPr>
    </w:lvl>
  </w:abstractNum>
  <w:abstractNum w:abstractNumId="2">
    <w:nsid w:val="B16E2ACE"/>
    <w:multiLevelType w:val="multilevel"/>
    <w:tmpl w:val="B16E2ACE"/>
    <w:lvl w:ilvl="0" w:tentative="0">
      <w:start w:val="1"/>
      <w:numFmt w:val="upperLetter"/>
      <w:suff w:val="nothing"/>
      <w:lvlText w:val="附录%1"/>
      <w:lvlJc w:val="left"/>
      <w:pPr>
        <w:ind w:left="0" w:firstLine="0"/>
      </w:pPr>
      <w:rPr>
        <w:spacing w:val="100"/>
      </w:rPr>
    </w:lvl>
    <w:lvl w:ilvl="1" w:tentative="0">
      <w:start w:val="1"/>
      <w:numFmt w:val="decimal"/>
      <w:pStyle w:val="65"/>
      <w:suff w:val="nothing"/>
      <w:lvlText w:val="%1.%2　"/>
      <w:lvlJc w:val="left"/>
      <w:pPr>
        <w:ind w:left="0" w:firstLine="0"/>
      </w:pPr>
      <w:rPr>
        <w:rFonts w:hint="eastAsia" w:ascii="黑体" w:hAnsi="Times New Roman" w:eastAsia="黑体" w:cs="黑体"/>
        <w:b w:val="0"/>
        <w:i w:val="0"/>
        <w:sz w:val="21"/>
      </w:rPr>
    </w:lvl>
    <w:lvl w:ilvl="2" w:tentative="0">
      <w:start w:val="1"/>
      <w:numFmt w:val="decimal"/>
      <w:suff w:val="nothing"/>
      <w:lvlText w:val="%1.%2.%3　"/>
      <w:lvlJc w:val="left"/>
      <w:pPr>
        <w:ind w:left="0" w:firstLine="0"/>
      </w:pPr>
      <w:rPr>
        <w:rFonts w:hint="eastAsia" w:ascii="黑体" w:hAnsi="Times New Roman" w:eastAsia="黑体" w:cs="黑体"/>
        <w:b w:val="0"/>
        <w:i w:val="0"/>
        <w:sz w:val="21"/>
      </w:rPr>
    </w:lvl>
    <w:lvl w:ilvl="3" w:tentative="0">
      <w:start w:val="1"/>
      <w:numFmt w:val="decimal"/>
      <w:suff w:val="nothing"/>
      <w:lvlText w:val="%1.%2.%3.%4　"/>
      <w:lvlJc w:val="left"/>
      <w:pPr>
        <w:ind w:left="0" w:firstLine="0"/>
      </w:pPr>
      <w:rPr>
        <w:rFonts w:hint="eastAsia" w:ascii="黑体" w:hAnsi="Times New Roman" w:eastAsia="黑体" w:cs="黑体"/>
        <w:b w:val="0"/>
        <w:i w:val="0"/>
        <w:sz w:val="21"/>
      </w:rPr>
    </w:lvl>
    <w:lvl w:ilvl="4" w:tentative="0">
      <w:start w:val="1"/>
      <w:numFmt w:val="decimal"/>
      <w:suff w:val="nothing"/>
      <w:lvlText w:val="%1.%2.%3.%4.%5　"/>
      <w:lvlJc w:val="left"/>
      <w:pPr>
        <w:ind w:left="0" w:firstLine="0"/>
      </w:pPr>
      <w:rPr>
        <w:rFonts w:hint="eastAsia" w:ascii="黑体" w:hAnsi="Times New Roman" w:eastAsia="黑体" w:cs="黑体"/>
        <w:b w:val="0"/>
        <w:i w:val="0"/>
        <w:sz w:val="21"/>
      </w:rPr>
    </w:lvl>
    <w:lvl w:ilvl="5" w:tentative="0">
      <w:start w:val="1"/>
      <w:numFmt w:val="decimal"/>
      <w:suff w:val="nothing"/>
      <w:lvlText w:val="%1.%2.%3.%4.%5.%6　"/>
      <w:lvlJc w:val="left"/>
      <w:pPr>
        <w:ind w:left="0" w:firstLine="0"/>
      </w:pPr>
      <w:rPr>
        <w:rFonts w:hint="eastAsia" w:ascii="黑体" w:hAnsi="Times New Roman" w:eastAsia="黑体" w:cs="黑体"/>
        <w:b w:val="0"/>
        <w:i w:val="0"/>
        <w:sz w:val="21"/>
      </w:r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BA7B8511"/>
    <w:multiLevelType w:val="multilevel"/>
    <w:tmpl w:val="BA7B8511"/>
    <w:lvl w:ilvl="0" w:tentative="0">
      <w:start w:val="1"/>
      <w:numFmt w:val="decimal"/>
      <w:pStyle w:val="61"/>
      <w:suff w:val="nothing"/>
      <w:lvlText w:val="注%1："/>
      <w:lvlJc w:val="left"/>
      <w:pPr>
        <w:ind w:left="811" w:hanging="448"/>
      </w:pPr>
      <w:rPr>
        <w:rFonts w:hint="eastAsia" w:ascii="黑体" w:hAnsi="Times New Roman" w:eastAsia="黑体" w:cs="黑体"/>
        <w:b w:val="0"/>
        <w:i w:val="0"/>
        <w:sz w:val="18"/>
      </w:rPr>
    </w:lvl>
    <w:lvl w:ilvl="1" w:tentative="0">
      <w:start w:val="1"/>
      <w:numFmt w:val="lowerLetter"/>
      <w:lvlText w:val="%2)"/>
      <w:lvlJc w:val="left"/>
      <w:pPr>
        <w:tabs>
          <w:tab w:val="left" w:pos="0"/>
        </w:tabs>
        <w:ind w:left="992" w:hanging="629"/>
      </w:pPr>
    </w:lvl>
    <w:lvl w:ilvl="2" w:tentative="0">
      <w:start w:val="1"/>
      <w:numFmt w:val="lowerRoman"/>
      <w:lvlText w:val="%3."/>
      <w:lvlJc w:val="right"/>
      <w:pPr>
        <w:tabs>
          <w:tab w:val="left" w:pos="0"/>
        </w:tabs>
        <w:ind w:left="992" w:hanging="629"/>
      </w:pPr>
    </w:lvl>
    <w:lvl w:ilvl="3" w:tentative="0">
      <w:start w:val="1"/>
      <w:numFmt w:val="decimal"/>
      <w:lvlText w:val="%4."/>
      <w:lvlJc w:val="left"/>
      <w:pPr>
        <w:tabs>
          <w:tab w:val="left" w:pos="0"/>
        </w:tabs>
        <w:ind w:left="992" w:hanging="629"/>
      </w:pPr>
    </w:lvl>
    <w:lvl w:ilvl="4" w:tentative="0">
      <w:start w:val="1"/>
      <w:numFmt w:val="lowerLetter"/>
      <w:lvlText w:val="%5)"/>
      <w:lvlJc w:val="left"/>
      <w:pPr>
        <w:tabs>
          <w:tab w:val="left" w:pos="0"/>
        </w:tabs>
        <w:ind w:left="992" w:hanging="629"/>
      </w:pPr>
    </w:lvl>
    <w:lvl w:ilvl="5" w:tentative="0">
      <w:start w:val="1"/>
      <w:numFmt w:val="lowerRoman"/>
      <w:lvlText w:val="%6."/>
      <w:lvlJc w:val="right"/>
      <w:pPr>
        <w:tabs>
          <w:tab w:val="left" w:pos="0"/>
        </w:tabs>
        <w:ind w:left="992" w:hanging="629"/>
      </w:pPr>
    </w:lvl>
    <w:lvl w:ilvl="6" w:tentative="0">
      <w:start w:val="1"/>
      <w:numFmt w:val="decimal"/>
      <w:lvlText w:val="%7."/>
      <w:lvlJc w:val="left"/>
      <w:pPr>
        <w:tabs>
          <w:tab w:val="left" w:pos="0"/>
        </w:tabs>
        <w:ind w:left="992" w:hanging="629"/>
      </w:pPr>
    </w:lvl>
    <w:lvl w:ilvl="7" w:tentative="0">
      <w:start w:val="1"/>
      <w:numFmt w:val="lowerLetter"/>
      <w:lvlText w:val="%8)"/>
      <w:lvlJc w:val="left"/>
      <w:pPr>
        <w:tabs>
          <w:tab w:val="left" w:pos="0"/>
        </w:tabs>
        <w:ind w:left="992" w:hanging="629"/>
      </w:pPr>
    </w:lvl>
    <w:lvl w:ilvl="8" w:tentative="0">
      <w:start w:val="1"/>
      <w:numFmt w:val="lowerRoman"/>
      <w:lvlText w:val="%9."/>
      <w:lvlJc w:val="right"/>
      <w:pPr>
        <w:tabs>
          <w:tab w:val="left" w:pos="0"/>
        </w:tabs>
        <w:ind w:left="992" w:hanging="629"/>
      </w:pPr>
    </w:lvl>
  </w:abstractNum>
  <w:abstractNum w:abstractNumId="4">
    <w:nsid w:val="F947AA72"/>
    <w:multiLevelType w:val="multilevel"/>
    <w:tmpl w:val="F947AA72"/>
    <w:lvl w:ilvl="0" w:tentative="0">
      <w:start w:val="1"/>
      <w:numFmt w:val="upperLetter"/>
      <w:suff w:val="space"/>
      <w:lvlText w:val="%1"/>
      <w:lvlJc w:val="left"/>
      <w:pPr>
        <w:ind w:left="425" w:hanging="425"/>
      </w:pPr>
    </w:lvl>
    <w:lvl w:ilvl="1" w:tentative="0">
      <w:start w:val="1"/>
      <w:numFmt w:val="decimal"/>
      <w:pStyle w:val="63"/>
      <w:suff w:val="space"/>
      <w:lvlText w:val="表%1.%2"/>
      <w:lvlJc w:val="center"/>
      <w:pPr>
        <w:ind w:left="0" w:firstLine="0"/>
      </w:pPr>
      <w:rPr>
        <w:rFonts w:hint="eastAsia" w:ascii="黑体" w:hAnsi="Times New Roman" w:eastAsia="黑体" w:cs="黑体"/>
        <w:sz w:val="21"/>
      </w:rPr>
    </w:lvl>
    <w:lvl w:ilvl="2" w:tentative="0">
      <w:start w:val="1"/>
      <w:numFmt w:val="decimal"/>
      <w:lvlText w:val="%1.%2.%3"/>
      <w:lvlJc w:val="left"/>
      <w:pPr>
        <w:ind w:left="1418" w:hanging="567"/>
      </w:pPr>
    </w:lvl>
    <w:lvl w:ilvl="3" w:tentative="0">
      <w:start w:val="1"/>
      <w:numFmt w:val="decimal"/>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5"/>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5">
    <w:nsid w:val="0FFFFF7E"/>
    <w:multiLevelType w:val="singleLevel"/>
    <w:tmpl w:val="0FFFFF7E"/>
    <w:lvl w:ilvl="0" w:tentative="0">
      <w:start w:val="1"/>
      <w:numFmt w:val="decimal"/>
      <w:lvlText w:val="%1."/>
      <w:lvlJc w:val="left"/>
      <w:pPr>
        <w:tabs>
          <w:tab w:val="left" w:pos="1200"/>
        </w:tabs>
        <w:ind w:left="1200" w:hanging="360"/>
      </w:pPr>
    </w:lvl>
  </w:abstractNum>
  <w:abstractNum w:abstractNumId="6">
    <w:nsid w:val="0FFFFF7F"/>
    <w:multiLevelType w:val="singleLevel"/>
    <w:tmpl w:val="0FFFFF7F"/>
    <w:lvl w:ilvl="0" w:tentative="0">
      <w:start w:val="1"/>
      <w:numFmt w:val="decimal"/>
      <w:lvlText w:val="%1."/>
      <w:lvlJc w:val="left"/>
      <w:pPr>
        <w:tabs>
          <w:tab w:val="left" w:pos="780"/>
        </w:tabs>
        <w:ind w:left="780" w:hanging="360"/>
      </w:pPr>
    </w:lvl>
  </w:abstractNum>
  <w:abstractNum w:abstractNumId="7">
    <w:nsid w:val="2C5917C3"/>
    <w:multiLevelType w:val="multilevel"/>
    <w:tmpl w:val="2C5917C3"/>
    <w:lvl w:ilvl="0" w:tentative="0">
      <w:start w:val="1"/>
      <w:numFmt w:val="none"/>
      <w:pStyle w:val="58"/>
      <w:lvlText w:val="%1——"/>
      <w:lvlJc w:val="left"/>
      <w:pPr>
        <w:tabs>
          <w:tab w:val="left" w:pos="851"/>
        </w:tabs>
        <w:ind w:left="636" w:hanging="426"/>
      </w:pPr>
      <w:rPr>
        <w:rFonts w:hint="eastAsia" w:ascii="宋体" w:hAnsi="Times New Roman" w:eastAsia="宋体"/>
        <w:b w:val="0"/>
        <w:i w:val="0"/>
        <w:sz w:val="21"/>
      </w:rPr>
    </w:lvl>
    <w:lvl w:ilvl="1" w:tentative="0">
      <w:start w:val="1"/>
      <w:numFmt w:val="none"/>
      <w:lvlText w:val=""/>
      <w:lvlJc w:val="left"/>
      <w:pPr>
        <w:ind w:left="636" w:hanging="431"/>
      </w:pPr>
      <w:rPr>
        <w:rFonts w:hint="default" w:ascii="Symbol" w:hAnsi="Symbol"/>
        <w:sz w:val="21"/>
      </w:rPr>
    </w:lvl>
    <w:lvl w:ilvl="2" w:tentative="0">
      <w:start w:val="1"/>
      <w:numFmt w:val="bullet"/>
      <w:lvlText w:val=""/>
      <w:lvlJc w:val="left"/>
      <w:pPr>
        <w:ind w:left="636" w:hanging="426"/>
      </w:pPr>
      <w:rPr>
        <w:rFonts w:hint="default" w:ascii="Wingdings" w:hAnsi="Wingdings"/>
        <w:sz w:val="21"/>
      </w:rPr>
    </w:lvl>
    <w:lvl w:ilvl="3" w:tentative="0">
      <w:start w:val="1"/>
      <w:numFmt w:val="decimal"/>
      <w:lvlText w:val="%4."/>
      <w:lvlJc w:val="left"/>
      <w:pPr>
        <w:tabs>
          <w:tab w:val="left" w:pos="2071"/>
        </w:tabs>
        <w:ind w:left="1669" w:hanging="528"/>
      </w:pPr>
      <w:rPr>
        <w:rFonts w:hint="eastAsia"/>
      </w:rPr>
    </w:lvl>
    <w:lvl w:ilvl="4" w:tentative="0">
      <w:start w:val="1"/>
      <w:numFmt w:val="lowerLetter"/>
      <w:lvlText w:val="%5)"/>
      <w:lvlJc w:val="left"/>
      <w:pPr>
        <w:tabs>
          <w:tab w:val="left" w:pos="2383"/>
        </w:tabs>
        <w:ind w:left="1981" w:hanging="528"/>
      </w:pPr>
      <w:rPr>
        <w:rFonts w:hint="eastAsia"/>
      </w:rPr>
    </w:lvl>
    <w:lvl w:ilvl="5" w:tentative="0">
      <w:start w:val="1"/>
      <w:numFmt w:val="lowerRoman"/>
      <w:lvlText w:val="%6."/>
      <w:lvlJc w:val="right"/>
      <w:pPr>
        <w:tabs>
          <w:tab w:val="left" w:pos="2695"/>
        </w:tabs>
        <w:ind w:left="2293" w:hanging="528"/>
      </w:pPr>
      <w:rPr>
        <w:rFonts w:hint="eastAsia"/>
      </w:rPr>
    </w:lvl>
    <w:lvl w:ilvl="6" w:tentative="0">
      <w:start w:val="1"/>
      <w:numFmt w:val="decimal"/>
      <w:lvlText w:val="%7."/>
      <w:lvlJc w:val="left"/>
      <w:pPr>
        <w:tabs>
          <w:tab w:val="left" w:pos="3007"/>
        </w:tabs>
        <w:ind w:left="2605" w:hanging="528"/>
      </w:pPr>
      <w:rPr>
        <w:rFonts w:hint="eastAsia"/>
      </w:rPr>
    </w:lvl>
    <w:lvl w:ilvl="7" w:tentative="0">
      <w:start w:val="1"/>
      <w:numFmt w:val="lowerLetter"/>
      <w:lvlText w:val="%8)"/>
      <w:lvlJc w:val="left"/>
      <w:pPr>
        <w:tabs>
          <w:tab w:val="left" w:pos="3319"/>
        </w:tabs>
        <w:ind w:left="2917" w:hanging="528"/>
      </w:pPr>
      <w:rPr>
        <w:rFonts w:hint="eastAsia"/>
      </w:rPr>
    </w:lvl>
    <w:lvl w:ilvl="8" w:tentative="0">
      <w:start w:val="1"/>
      <w:numFmt w:val="lowerRoman"/>
      <w:lvlText w:val="%9."/>
      <w:lvlJc w:val="right"/>
      <w:pPr>
        <w:tabs>
          <w:tab w:val="left" w:pos="3631"/>
        </w:tabs>
        <w:ind w:left="3229" w:hanging="528"/>
      </w:pPr>
      <w:rPr>
        <w:rFonts w:hint="eastAsia"/>
      </w:rPr>
    </w:lvl>
  </w:abstractNum>
  <w:abstractNum w:abstractNumId="8">
    <w:nsid w:val="44C50F90"/>
    <w:multiLevelType w:val="multilevel"/>
    <w:tmpl w:val="44C50F90"/>
    <w:lvl w:ilvl="0" w:tentative="0">
      <w:start w:val="1"/>
      <w:numFmt w:val="lowerLetter"/>
      <w:pStyle w:val="53"/>
      <w:lvlText w:val="%1)"/>
      <w:lvlJc w:val="left"/>
      <w:pPr>
        <w:tabs>
          <w:tab w:val="left" w:pos="851"/>
        </w:tabs>
        <w:ind w:left="851" w:hanging="426"/>
      </w:pPr>
      <w:rPr>
        <w:rFonts w:hint="eastAsia" w:ascii="宋体" w:hAnsi="Times New Roman" w:eastAsia="宋体"/>
        <w:sz w:val="21"/>
      </w:rPr>
    </w:lvl>
    <w:lvl w:ilvl="1" w:tentative="0">
      <w:start w:val="1"/>
      <w:numFmt w:val="decimal"/>
      <w:pStyle w:val="51"/>
      <w:lvlText w:val="%2)"/>
      <w:lvlJc w:val="left"/>
      <w:pPr>
        <w:tabs>
          <w:tab w:val="left" w:pos="1276"/>
        </w:tabs>
        <w:ind w:left="1276" w:hanging="425"/>
      </w:pPr>
      <w:rPr>
        <w:rFonts w:hint="eastAsia" w:ascii="宋体" w:hAnsi="Times New Roman" w:eastAsia="宋体"/>
        <w:sz w:val="21"/>
      </w:rPr>
    </w:lvl>
    <w:lvl w:ilvl="2" w:tentative="0">
      <w:start w:val="1"/>
      <w:numFmt w:val="decimal"/>
      <w:pStyle w:val="5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9">
    <w:nsid w:val="5A9B6960"/>
    <w:multiLevelType w:val="multilevel"/>
    <w:tmpl w:val="5A9B6960"/>
    <w:lvl w:ilvl="0" w:tentative="0">
      <w:start w:val="1"/>
      <w:numFmt w:val="none"/>
      <w:pStyle w:val="41"/>
      <w:suff w:val="nothing"/>
      <w:lvlText w:val="%1"/>
      <w:legacy w:legacy="1" w:legacySpace="0" w:legacyIndent="0"/>
      <w:lvlJc w:val="left"/>
      <w:pPr>
        <w:ind w:left="0" w:firstLine="0"/>
      </w:pPr>
      <w:rPr>
        <w:rFonts w:hint="eastAsia"/>
      </w:rPr>
    </w:lvl>
    <w:lvl w:ilvl="1" w:tentative="0">
      <w:start w:val="1"/>
      <w:numFmt w:val="decimal"/>
      <w:pStyle w:val="35"/>
      <w:suff w:val="nothing"/>
      <w:lvlText w:val="%1%2　"/>
      <w:legacy w:legacy="1" w:legacySpace="0" w:legacyIndent="0"/>
      <w:lvlJc w:val="left"/>
      <w:pPr>
        <w:ind w:left="0" w:firstLine="0"/>
      </w:pPr>
      <w:rPr>
        <w:rFonts w:hint="eastAsia" w:ascii="黑体" w:hAnsi="黑体" w:eastAsia="黑体"/>
        <w:b w:val="0"/>
        <w:i w:val="0"/>
        <w:sz w:val="21"/>
      </w:rPr>
    </w:lvl>
    <w:lvl w:ilvl="2" w:tentative="0">
      <w:start w:val="1"/>
      <w:numFmt w:val="decimal"/>
      <w:pStyle w:val="37"/>
      <w:suff w:val="nothing"/>
      <w:lvlText w:val="%1%2.%3　"/>
      <w:legacy w:legacy="1" w:legacySpace="0" w:legacyIndent="0"/>
      <w:lvlJc w:val="left"/>
      <w:pPr>
        <w:ind w:left="0" w:firstLine="0"/>
      </w:pPr>
      <w:rPr>
        <w:rFonts w:hint="eastAsia" w:ascii="黑体" w:hAnsi="黑体" w:eastAsia="黑体" w:cs="Times New Roman"/>
        <w:b w:val="0"/>
        <w:bCs w:val="0"/>
        <w:i w:val="0"/>
        <w:iCs w:val="0"/>
        <w:caps w:val="0"/>
        <w:smallCaps w:val="0"/>
        <w:strike w:val="0"/>
        <w:dstrike w:val="0"/>
        <w:vanish w:val="0"/>
        <w:color w:val="000000"/>
        <w:spacing w:val="0"/>
        <w:kern w:val="0"/>
        <w:position w:val="0"/>
        <w:sz w:val="21"/>
        <w:u w:val="none"/>
        <w:vertAlign w:val="baseline"/>
      </w:rPr>
    </w:lvl>
    <w:lvl w:ilvl="3" w:tentative="0">
      <w:start w:val="1"/>
      <w:numFmt w:val="decimal"/>
      <w:suff w:val="nothing"/>
      <w:lvlText w:val="%1%2.%3.%4　"/>
      <w:legacy w:legacy="1" w:legacySpace="0" w:legacyIndent="0"/>
      <w:lvlJc w:val="left"/>
      <w:pPr>
        <w:ind w:left="0" w:firstLine="0"/>
      </w:pPr>
      <w:rPr>
        <w:rFonts w:hint="eastAsia" w:ascii="黑体" w:hAnsi="黑体" w:eastAsia="黑体"/>
        <w:b w:val="0"/>
        <w:i w:val="0"/>
        <w:sz w:val="21"/>
      </w:rPr>
    </w:lvl>
    <w:lvl w:ilvl="4" w:tentative="0">
      <w:start w:val="1"/>
      <w:numFmt w:val="decimal"/>
      <w:pStyle w:val="43"/>
      <w:suff w:val="nothing"/>
      <w:lvlText w:val="%1%2.%3.%4.%5　"/>
      <w:legacy w:legacy="1" w:legacySpace="0" w:legacyIndent="0"/>
      <w:lvlJc w:val="left"/>
      <w:pPr>
        <w:ind w:left="0" w:firstLine="0"/>
      </w:pPr>
      <w:rPr>
        <w:rFonts w:hint="eastAsia" w:ascii="黑体" w:hAnsi="黑体" w:eastAsia="黑体"/>
        <w:b w:val="0"/>
        <w:i w:val="0"/>
        <w:sz w:val="21"/>
      </w:rPr>
    </w:lvl>
    <w:lvl w:ilvl="5" w:tentative="0">
      <w:start w:val="1"/>
      <w:numFmt w:val="decimal"/>
      <w:pStyle w:val="42"/>
      <w:suff w:val="nothing"/>
      <w:lvlText w:val="%1%2.%3.%4.%5.%6　"/>
      <w:legacy w:legacy="1" w:legacySpace="0" w:legacyIndent="0"/>
      <w:lvlJc w:val="left"/>
      <w:pPr>
        <w:ind w:left="0" w:firstLine="0"/>
      </w:pPr>
      <w:rPr>
        <w:rFonts w:hint="eastAsia" w:ascii="黑体" w:hAnsi="黑体" w:eastAsia="黑体"/>
        <w:b w:val="0"/>
        <w:i w:val="0"/>
        <w:sz w:val="21"/>
      </w:rPr>
    </w:lvl>
    <w:lvl w:ilvl="6" w:tentative="0">
      <w:start w:val="1"/>
      <w:numFmt w:val="decimal"/>
      <w:pStyle w:val="40"/>
      <w:suff w:val="nothing"/>
      <w:lvlText w:val="%1%2.%3.%4.%5.%6.%7　"/>
      <w:legacy w:legacy="1" w:legacySpace="0" w:legacyIndent="0"/>
      <w:lvlJc w:val="left"/>
      <w:pPr>
        <w:ind w:left="0" w:firstLine="0"/>
      </w:pPr>
      <w:rPr>
        <w:rFonts w:hint="eastAsia" w:ascii="黑体" w:hAnsi="黑体" w:eastAsia="黑体"/>
        <w:b w:val="0"/>
        <w:i w:val="0"/>
        <w:sz w:val="21"/>
      </w:rPr>
    </w:lvl>
    <w:lvl w:ilvl="7" w:tentative="0">
      <w:start w:val="1"/>
      <w:numFmt w:val="decimal"/>
      <w:lvlText w:val="%1.%2.%3.%4.%5.%6.%7.%8"/>
      <w:legacy w:legacy="1" w:legacySpace="0" w:legacyIndent="1418"/>
      <w:lvlJc w:val="left"/>
      <w:pPr>
        <w:ind w:left="3969" w:hanging="1418"/>
      </w:pPr>
      <w:rPr>
        <w:rFonts w:hint="eastAsia"/>
      </w:rPr>
    </w:lvl>
    <w:lvl w:ilvl="8" w:tentative="0">
      <w:start w:val="1"/>
      <w:numFmt w:val="decimal"/>
      <w:lvlText w:val="%1.%2.%3.%4.%5.%6.%7.%8.%9"/>
      <w:legacy w:legacy="1" w:legacySpace="0" w:legacyIndent="1700"/>
      <w:lvlJc w:val="left"/>
      <w:pPr>
        <w:ind w:left="4677" w:hanging="1700"/>
      </w:pPr>
      <w:rPr>
        <w:rFonts w:hint="eastAsia"/>
      </w:rPr>
    </w:lvl>
  </w:abstractNum>
  <w:num w:numId="1">
    <w:abstractNumId w:val="9"/>
  </w:num>
  <w:num w:numId="2">
    <w:abstractNumId w:val="0"/>
  </w:num>
  <w:num w:numId="3">
    <w:abstractNumId w:val="6"/>
  </w:num>
  <w:num w:numId="4">
    <w:abstractNumId w:val="5"/>
  </w:num>
  <w:num w:numId="5">
    <w:abstractNumId w:val="8"/>
  </w:num>
  <w:num w:numId="6">
    <w:abstractNumId w:val="7"/>
  </w:num>
  <w:num w:numId="7">
    <w:abstractNumId w:val="1"/>
  </w:num>
  <w:num w:numId="8">
    <w:abstractNumId w:val="3"/>
  </w:num>
  <w:num w:numId="9">
    <w:abstractNumId w:val="4"/>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0OWNhMGUyYzc2MTI5ZWY2NzM4MTVkMDAwODg0YzMifQ=="/>
  </w:docVars>
  <w:rsids>
    <w:rsidRoot w:val="000D75AA"/>
    <w:rsid w:val="000068A2"/>
    <w:rsid w:val="00014983"/>
    <w:rsid w:val="000178C8"/>
    <w:rsid w:val="00022F61"/>
    <w:rsid w:val="00043782"/>
    <w:rsid w:val="00051BC1"/>
    <w:rsid w:val="00055442"/>
    <w:rsid w:val="000678FF"/>
    <w:rsid w:val="00072103"/>
    <w:rsid w:val="00075653"/>
    <w:rsid w:val="0008200B"/>
    <w:rsid w:val="00082613"/>
    <w:rsid w:val="000A2817"/>
    <w:rsid w:val="000C517B"/>
    <w:rsid w:val="000D75AA"/>
    <w:rsid w:val="000E53EA"/>
    <w:rsid w:val="001133E6"/>
    <w:rsid w:val="00142D19"/>
    <w:rsid w:val="001655CC"/>
    <w:rsid w:val="0018012C"/>
    <w:rsid w:val="001821C9"/>
    <w:rsid w:val="001A7570"/>
    <w:rsid w:val="001C58D4"/>
    <w:rsid w:val="001D3156"/>
    <w:rsid w:val="001D4C84"/>
    <w:rsid w:val="001E2D73"/>
    <w:rsid w:val="001E6087"/>
    <w:rsid w:val="0020127F"/>
    <w:rsid w:val="00205352"/>
    <w:rsid w:val="002210B4"/>
    <w:rsid w:val="0022236C"/>
    <w:rsid w:val="002227B6"/>
    <w:rsid w:val="002324B6"/>
    <w:rsid w:val="00234F7D"/>
    <w:rsid w:val="00236909"/>
    <w:rsid w:val="00236EB4"/>
    <w:rsid w:val="00241F8A"/>
    <w:rsid w:val="00281F39"/>
    <w:rsid w:val="0028500C"/>
    <w:rsid w:val="002879F6"/>
    <w:rsid w:val="002905CF"/>
    <w:rsid w:val="00292F73"/>
    <w:rsid w:val="0029554A"/>
    <w:rsid w:val="002A3479"/>
    <w:rsid w:val="002B7C92"/>
    <w:rsid w:val="002D530A"/>
    <w:rsid w:val="002E357A"/>
    <w:rsid w:val="002F2059"/>
    <w:rsid w:val="00301664"/>
    <w:rsid w:val="00321E92"/>
    <w:rsid w:val="003223ED"/>
    <w:rsid w:val="003259AF"/>
    <w:rsid w:val="003332BA"/>
    <w:rsid w:val="00337000"/>
    <w:rsid w:val="00340D9B"/>
    <w:rsid w:val="003421C0"/>
    <w:rsid w:val="003517E7"/>
    <w:rsid w:val="00372E66"/>
    <w:rsid w:val="00375933"/>
    <w:rsid w:val="00382E35"/>
    <w:rsid w:val="00396F2C"/>
    <w:rsid w:val="003D06F2"/>
    <w:rsid w:val="003D485E"/>
    <w:rsid w:val="00426DC5"/>
    <w:rsid w:val="004373E9"/>
    <w:rsid w:val="0044036C"/>
    <w:rsid w:val="0044065E"/>
    <w:rsid w:val="004805DB"/>
    <w:rsid w:val="0048511D"/>
    <w:rsid w:val="004A75FF"/>
    <w:rsid w:val="004B4D68"/>
    <w:rsid w:val="004F29B4"/>
    <w:rsid w:val="00515B82"/>
    <w:rsid w:val="0051755E"/>
    <w:rsid w:val="005244B1"/>
    <w:rsid w:val="00533B2A"/>
    <w:rsid w:val="00554B7D"/>
    <w:rsid w:val="00564A0C"/>
    <w:rsid w:val="005A1D9D"/>
    <w:rsid w:val="005C6C34"/>
    <w:rsid w:val="005D6C77"/>
    <w:rsid w:val="005E3C13"/>
    <w:rsid w:val="005E7B33"/>
    <w:rsid w:val="005F1668"/>
    <w:rsid w:val="005F2FD2"/>
    <w:rsid w:val="005F4961"/>
    <w:rsid w:val="00617B08"/>
    <w:rsid w:val="00627AB4"/>
    <w:rsid w:val="006335ED"/>
    <w:rsid w:val="006343EC"/>
    <w:rsid w:val="0063539D"/>
    <w:rsid w:val="006360BD"/>
    <w:rsid w:val="00636EA7"/>
    <w:rsid w:val="00637F53"/>
    <w:rsid w:val="006511A8"/>
    <w:rsid w:val="0067378F"/>
    <w:rsid w:val="00691000"/>
    <w:rsid w:val="006B0BA0"/>
    <w:rsid w:val="006B12C0"/>
    <w:rsid w:val="006F2543"/>
    <w:rsid w:val="00714DDE"/>
    <w:rsid w:val="00727452"/>
    <w:rsid w:val="0074491A"/>
    <w:rsid w:val="007557E4"/>
    <w:rsid w:val="00756356"/>
    <w:rsid w:val="007643FB"/>
    <w:rsid w:val="00774434"/>
    <w:rsid w:val="007756AB"/>
    <w:rsid w:val="00781D6C"/>
    <w:rsid w:val="00784DBC"/>
    <w:rsid w:val="007A149B"/>
    <w:rsid w:val="007B46C1"/>
    <w:rsid w:val="007C244C"/>
    <w:rsid w:val="007E6054"/>
    <w:rsid w:val="007F29ED"/>
    <w:rsid w:val="00801A7F"/>
    <w:rsid w:val="00814260"/>
    <w:rsid w:val="00817F67"/>
    <w:rsid w:val="008247C4"/>
    <w:rsid w:val="00826BFA"/>
    <w:rsid w:val="00853F5C"/>
    <w:rsid w:val="008572EE"/>
    <w:rsid w:val="00874BB5"/>
    <w:rsid w:val="008779C2"/>
    <w:rsid w:val="00880107"/>
    <w:rsid w:val="00884366"/>
    <w:rsid w:val="00887632"/>
    <w:rsid w:val="00895F4A"/>
    <w:rsid w:val="008973E6"/>
    <w:rsid w:val="008B1DEA"/>
    <w:rsid w:val="008B6B5F"/>
    <w:rsid w:val="008E1EB5"/>
    <w:rsid w:val="00926E1B"/>
    <w:rsid w:val="00932BA3"/>
    <w:rsid w:val="00947EBA"/>
    <w:rsid w:val="009718CC"/>
    <w:rsid w:val="009A4141"/>
    <w:rsid w:val="009B7918"/>
    <w:rsid w:val="009E3161"/>
    <w:rsid w:val="00A06B7F"/>
    <w:rsid w:val="00A16A3E"/>
    <w:rsid w:val="00A263D3"/>
    <w:rsid w:val="00A365A2"/>
    <w:rsid w:val="00A368A3"/>
    <w:rsid w:val="00A37FDF"/>
    <w:rsid w:val="00A42C5E"/>
    <w:rsid w:val="00A47FB7"/>
    <w:rsid w:val="00A75476"/>
    <w:rsid w:val="00A87F41"/>
    <w:rsid w:val="00A95A00"/>
    <w:rsid w:val="00AB5B3D"/>
    <w:rsid w:val="00AC57C3"/>
    <w:rsid w:val="00AD0172"/>
    <w:rsid w:val="00AE408C"/>
    <w:rsid w:val="00B0429D"/>
    <w:rsid w:val="00B051B4"/>
    <w:rsid w:val="00B07A8A"/>
    <w:rsid w:val="00B3173E"/>
    <w:rsid w:val="00B66676"/>
    <w:rsid w:val="00B73416"/>
    <w:rsid w:val="00B77477"/>
    <w:rsid w:val="00B91573"/>
    <w:rsid w:val="00B94EFE"/>
    <w:rsid w:val="00B954B8"/>
    <w:rsid w:val="00BA570D"/>
    <w:rsid w:val="00BB6932"/>
    <w:rsid w:val="00BB7B52"/>
    <w:rsid w:val="00BD2990"/>
    <w:rsid w:val="00C06762"/>
    <w:rsid w:val="00C07069"/>
    <w:rsid w:val="00C1104E"/>
    <w:rsid w:val="00C123EE"/>
    <w:rsid w:val="00C13CB6"/>
    <w:rsid w:val="00C20386"/>
    <w:rsid w:val="00CC71EF"/>
    <w:rsid w:val="00CE7CD2"/>
    <w:rsid w:val="00D0457A"/>
    <w:rsid w:val="00D35977"/>
    <w:rsid w:val="00D43F5A"/>
    <w:rsid w:val="00D8569E"/>
    <w:rsid w:val="00D87F07"/>
    <w:rsid w:val="00D9142A"/>
    <w:rsid w:val="00D9735E"/>
    <w:rsid w:val="00DB7F6F"/>
    <w:rsid w:val="00DD5A6C"/>
    <w:rsid w:val="00DF4FB8"/>
    <w:rsid w:val="00E07E23"/>
    <w:rsid w:val="00E1324A"/>
    <w:rsid w:val="00E27034"/>
    <w:rsid w:val="00E32D4B"/>
    <w:rsid w:val="00E40372"/>
    <w:rsid w:val="00E41116"/>
    <w:rsid w:val="00E414EF"/>
    <w:rsid w:val="00E455A5"/>
    <w:rsid w:val="00E835A1"/>
    <w:rsid w:val="00E83E2D"/>
    <w:rsid w:val="00E843B2"/>
    <w:rsid w:val="00ED41E5"/>
    <w:rsid w:val="00EE332B"/>
    <w:rsid w:val="00EF4610"/>
    <w:rsid w:val="00EF6CB2"/>
    <w:rsid w:val="00F01A5C"/>
    <w:rsid w:val="00F1246B"/>
    <w:rsid w:val="00F40513"/>
    <w:rsid w:val="00F424A9"/>
    <w:rsid w:val="00F5729F"/>
    <w:rsid w:val="00F65587"/>
    <w:rsid w:val="00F77E06"/>
    <w:rsid w:val="00F843C0"/>
    <w:rsid w:val="00F9021F"/>
    <w:rsid w:val="00FA7D60"/>
    <w:rsid w:val="00FB260A"/>
    <w:rsid w:val="00FC7CE6"/>
    <w:rsid w:val="00FD5DA3"/>
    <w:rsid w:val="00FD6497"/>
    <w:rsid w:val="00FF2EC3"/>
    <w:rsid w:val="00FF56B9"/>
    <w:rsid w:val="012A4E2C"/>
    <w:rsid w:val="013B5F16"/>
    <w:rsid w:val="023615AF"/>
    <w:rsid w:val="025E2D19"/>
    <w:rsid w:val="02614FC7"/>
    <w:rsid w:val="02DC2156"/>
    <w:rsid w:val="02E82811"/>
    <w:rsid w:val="030A6CC4"/>
    <w:rsid w:val="03614FBD"/>
    <w:rsid w:val="036C0D75"/>
    <w:rsid w:val="036E42DF"/>
    <w:rsid w:val="039B3DC0"/>
    <w:rsid w:val="03CC3F79"/>
    <w:rsid w:val="03FB03BA"/>
    <w:rsid w:val="04790F9B"/>
    <w:rsid w:val="04DA4474"/>
    <w:rsid w:val="04EC1DF7"/>
    <w:rsid w:val="055B53EB"/>
    <w:rsid w:val="057B7A05"/>
    <w:rsid w:val="05CD222A"/>
    <w:rsid w:val="05FD2B10"/>
    <w:rsid w:val="06084616"/>
    <w:rsid w:val="0619721E"/>
    <w:rsid w:val="06456265"/>
    <w:rsid w:val="06A74CDB"/>
    <w:rsid w:val="06A9292B"/>
    <w:rsid w:val="06C54323"/>
    <w:rsid w:val="06F70C16"/>
    <w:rsid w:val="071B1228"/>
    <w:rsid w:val="074B78AB"/>
    <w:rsid w:val="07BE53C7"/>
    <w:rsid w:val="08096B2E"/>
    <w:rsid w:val="085454AC"/>
    <w:rsid w:val="08892439"/>
    <w:rsid w:val="08EF7A39"/>
    <w:rsid w:val="095073FA"/>
    <w:rsid w:val="09C13E54"/>
    <w:rsid w:val="09EB05D3"/>
    <w:rsid w:val="0A530F50"/>
    <w:rsid w:val="0A5844F0"/>
    <w:rsid w:val="0AA132EE"/>
    <w:rsid w:val="0B3D750A"/>
    <w:rsid w:val="0B927BA2"/>
    <w:rsid w:val="0BB30133"/>
    <w:rsid w:val="0BC74F47"/>
    <w:rsid w:val="0BE32369"/>
    <w:rsid w:val="0BFD70B9"/>
    <w:rsid w:val="0C4845D6"/>
    <w:rsid w:val="0C770416"/>
    <w:rsid w:val="0CCA0D59"/>
    <w:rsid w:val="0DB22432"/>
    <w:rsid w:val="0E1B0D4A"/>
    <w:rsid w:val="0EE41D10"/>
    <w:rsid w:val="0F29068B"/>
    <w:rsid w:val="10395851"/>
    <w:rsid w:val="10A125AF"/>
    <w:rsid w:val="10B547F0"/>
    <w:rsid w:val="10BF65F0"/>
    <w:rsid w:val="11186A50"/>
    <w:rsid w:val="11386E78"/>
    <w:rsid w:val="11B73ED3"/>
    <w:rsid w:val="121E62E8"/>
    <w:rsid w:val="12241424"/>
    <w:rsid w:val="12277661"/>
    <w:rsid w:val="12511EBC"/>
    <w:rsid w:val="12B66520"/>
    <w:rsid w:val="12D30089"/>
    <w:rsid w:val="133D4C82"/>
    <w:rsid w:val="13D12EE6"/>
    <w:rsid w:val="13EE1CEA"/>
    <w:rsid w:val="13F37300"/>
    <w:rsid w:val="13FA2960"/>
    <w:rsid w:val="14700951"/>
    <w:rsid w:val="148154C9"/>
    <w:rsid w:val="151244E3"/>
    <w:rsid w:val="156F60AE"/>
    <w:rsid w:val="15DF0A75"/>
    <w:rsid w:val="16875DAB"/>
    <w:rsid w:val="169F0A74"/>
    <w:rsid w:val="16A11295"/>
    <w:rsid w:val="174D6D27"/>
    <w:rsid w:val="175400B6"/>
    <w:rsid w:val="17C675A6"/>
    <w:rsid w:val="17D631C0"/>
    <w:rsid w:val="18CE5C46"/>
    <w:rsid w:val="196F7429"/>
    <w:rsid w:val="19C77265"/>
    <w:rsid w:val="1A2024D1"/>
    <w:rsid w:val="1A2A2D28"/>
    <w:rsid w:val="1A514D80"/>
    <w:rsid w:val="1ABC0F82"/>
    <w:rsid w:val="1B9C64CF"/>
    <w:rsid w:val="1BFC23A9"/>
    <w:rsid w:val="1C0F4EF3"/>
    <w:rsid w:val="1C5E2638"/>
    <w:rsid w:val="1CAD7BD6"/>
    <w:rsid w:val="1CDC3027"/>
    <w:rsid w:val="1D2C4A21"/>
    <w:rsid w:val="1D4806BC"/>
    <w:rsid w:val="1E023D84"/>
    <w:rsid w:val="1E6C7E3E"/>
    <w:rsid w:val="1E8C6387"/>
    <w:rsid w:val="1EEE7042"/>
    <w:rsid w:val="1EF0375A"/>
    <w:rsid w:val="1F436741"/>
    <w:rsid w:val="1FFA549F"/>
    <w:rsid w:val="20346CD6"/>
    <w:rsid w:val="206E043A"/>
    <w:rsid w:val="20B63B8F"/>
    <w:rsid w:val="20FB3F44"/>
    <w:rsid w:val="211200FF"/>
    <w:rsid w:val="213E3BC7"/>
    <w:rsid w:val="21B75E11"/>
    <w:rsid w:val="22D62711"/>
    <w:rsid w:val="23046E34"/>
    <w:rsid w:val="23675615"/>
    <w:rsid w:val="236C55F3"/>
    <w:rsid w:val="23E80503"/>
    <w:rsid w:val="24376F6E"/>
    <w:rsid w:val="2443573A"/>
    <w:rsid w:val="24B42104"/>
    <w:rsid w:val="24F86524"/>
    <w:rsid w:val="25496D80"/>
    <w:rsid w:val="25670B39"/>
    <w:rsid w:val="25CD79B1"/>
    <w:rsid w:val="25DC3EE8"/>
    <w:rsid w:val="25E42F4C"/>
    <w:rsid w:val="27095D8A"/>
    <w:rsid w:val="27532138"/>
    <w:rsid w:val="27604855"/>
    <w:rsid w:val="277B51EB"/>
    <w:rsid w:val="279E6744"/>
    <w:rsid w:val="2829733C"/>
    <w:rsid w:val="28CC0709"/>
    <w:rsid w:val="29C22B06"/>
    <w:rsid w:val="2AB6770F"/>
    <w:rsid w:val="2AFC1105"/>
    <w:rsid w:val="2B6D7ACB"/>
    <w:rsid w:val="2BAD2B02"/>
    <w:rsid w:val="2BDA1E37"/>
    <w:rsid w:val="2D4B05DB"/>
    <w:rsid w:val="2E0C3040"/>
    <w:rsid w:val="2E40384E"/>
    <w:rsid w:val="2F083808"/>
    <w:rsid w:val="2F0B058C"/>
    <w:rsid w:val="2F2B399A"/>
    <w:rsid w:val="2F454A5C"/>
    <w:rsid w:val="2F706C20"/>
    <w:rsid w:val="2F7C5FA4"/>
    <w:rsid w:val="2F82534F"/>
    <w:rsid w:val="302723B3"/>
    <w:rsid w:val="303040B7"/>
    <w:rsid w:val="306814F8"/>
    <w:rsid w:val="30AE6631"/>
    <w:rsid w:val="3106021B"/>
    <w:rsid w:val="3197089A"/>
    <w:rsid w:val="327A0EC0"/>
    <w:rsid w:val="33685BF1"/>
    <w:rsid w:val="339F33DF"/>
    <w:rsid w:val="34B76D87"/>
    <w:rsid w:val="34C65624"/>
    <w:rsid w:val="34D01D12"/>
    <w:rsid w:val="34D90AD3"/>
    <w:rsid w:val="350B5B62"/>
    <w:rsid w:val="3573099D"/>
    <w:rsid w:val="35C44201"/>
    <w:rsid w:val="366B28CE"/>
    <w:rsid w:val="380F4839"/>
    <w:rsid w:val="38206066"/>
    <w:rsid w:val="38913D17"/>
    <w:rsid w:val="38955FDF"/>
    <w:rsid w:val="393E01A9"/>
    <w:rsid w:val="396B1F46"/>
    <w:rsid w:val="39DC7D6B"/>
    <w:rsid w:val="3AD4054D"/>
    <w:rsid w:val="3B651FE2"/>
    <w:rsid w:val="3B714E2B"/>
    <w:rsid w:val="3D5134B7"/>
    <w:rsid w:val="3D6C58AA"/>
    <w:rsid w:val="3D8C5F4C"/>
    <w:rsid w:val="3E65515C"/>
    <w:rsid w:val="3E94330A"/>
    <w:rsid w:val="401F30A7"/>
    <w:rsid w:val="403F2E01"/>
    <w:rsid w:val="41240DB9"/>
    <w:rsid w:val="41480210"/>
    <w:rsid w:val="42B43A05"/>
    <w:rsid w:val="42CD0EA8"/>
    <w:rsid w:val="431A1904"/>
    <w:rsid w:val="43947908"/>
    <w:rsid w:val="44CB4DED"/>
    <w:rsid w:val="44F56185"/>
    <w:rsid w:val="4520080C"/>
    <w:rsid w:val="45413951"/>
    <w:rsid w:val="45B30A7B"/>
    <w:rsid w:val="45D90566"/>
    <w:rsid w:val="467B530C"/>
    <w:rsid w:val="46E47FFF"/>
    <w:rsid w:val="4779601E"/>
    <w:rsid w:val="481B0E08"/>
    <w:rsid w:val="482D3E87"/>
    <w:rsid w:val="48353A66"/>
    <w:rsid w:val="489160CA"/>
    <w:rsid w:val="48E01E61"/>
    <w:rsid w:val="49327CD0"/>
    <w:rsid w:val="493E1AE1"/>
    <w:rsid w:val="4A9B6FA0"/>
    <w:rsid w:val="4AF51556"/>
    <w:rsid w:val="4B035C36"/>
    <w:rsid w:val="4B2238EC"/>
    <w:rsid w:val="4B44550B"/>
    <w:rsid w:val="4C7D362F"/>
    <w:rsid w:val="4CAC0AD9"/>
    <w:rsid w:val="4CD55219"/>
    <w:rsid w:val="4DDD59C1"/>
    <w:rsid w:val="4E32294F"/>
    <w:rsid w:val="4E395334"/>
    <w:rsid w:val="4E593C28"/>
    <w:rsid w:val="4EFD2805"/>
    <w:rsid w:val="4F2558B8"/>
    <w:rsid w:val="4FAD1FC6"/>
    <w:rsid w:val="4FC74BC1"/>
    <w:rsid w:val="501324CE"/>
    <w:rsid w:val="501778F7"/>
    <w:rsid w:val="505D0D17"/>
    <w:rsid w:val="50747CE5"/>
    <w:rsid w:val="50CC06E1"/>
    <w:rsid w:val="50FA5D92"/>
    <w:rsid w:val="51B02576"/>
    <w:rsid w:val="51FB0B52"/>
    <w:rsid w:val="522023D1"/>
    <w:rsid w:val="52270DB5"/>
    <w:rsid w:val="531E5595"/>
    <w:rsid w:val="531F075A"/>
    <w:rsid w:val="5338205E"/>
    <w:rsid w:val="54303C00"/>
    <w:rsid w:val="549A06C6"/>
    <w:rsid w:val="54CA4ADE"/>
    <w:rsid w:val="5539757D"/>
    <w:rsid w:val="563E5DDA"/>
    <w:rsid w:val="569D042A"/>
    <w:rsid w:val="56C63E25"/>
    <w:rsid w:val="57555F1B"/>
    <w:rsid w:val="5794447B"/>
    <w:rsid w:val="57996E43"/>
    <w:rsid w:val="57A01936"/>
    <w:rsid w:val="57A57FD6"/>
    <w:rsid w:val="57DB7C8D"/>
    <w:rsid w:val="57F01F2D"/>
    <w:rsid w:val="58286739"/>
    <w:rsid w:val="583A6878"/>
    <w:rsid w:val="58733B38"/>
    <w:rsid w:val="588E44CE"/>
    <w:rsid w:val="58D367F3"/>
    <w:rsid w:val="592C1295"/>
    <w:rsid w:val="595B4CF8"/>
    <w:rsid w:val="5992568E"/>
    <w:rsid w:val="59DD74BB"/>
    <w:rsid w:val="59E266CB"/>
    <w:rsid w:val="59EF3692"/>
    <w:rsid w:val="5A121AEF"/>
    <w:rsid w:val="5A1C43D7"/>
    <w:rsid w:val="5A420BA5"/>
    <w:rsid w:val="5A8C449C"/>
    <w:rsid w:val="5B571FFB"/>
    <w:rsid w:val="5B6B556E"/>
    <w:rsid w:val="5BFB00CD"/>
    <w:rsid w:val="5C452F47"/>
    <w:rsid w:val="5C537F09"/>
    <w:rsid w:val="5C582B15"/>
    <w:rsid w:val="5C6D112F"/>
    <w:rsid w:val="5C867919"/>
    <w:rsid w:val="5D086F45"/>
    <w:rsid w:val="5D243653"/>
    <w:rsid w:val="5D4D6706"/>
    <w:rsid w:val="5D9B49EA"/>
    <w:rsid w:val="5DF4639A"/>
    <w:rsid w:val="5DF76C0B"/>
    <w:rsid w:val="5E0E07F8"/>
    <w:rsid w:val="5E166162"/>
    <w:rsid w:val="5E42134A"/>
    <w:rsid w:val="5ED15115"/>
    <w:rsid w:val="5EFD5F0A"/>
    <w:rsid w:val="5F5F054B"/>
    <w:rsid w:val="5FD702EA"/>
    <w:rsid w:val="5FEF619A"/>
    <w:rsid w:val="60252B89"/>
    <w:rsid w:val="604F4E8B"/>
    <w:rsid w:val="60B11334"/>
    <w:rsid w:val="61524586"/>
    <w:rsid w:val="616C2448"/>
    <w:rsid w:val="61882403"/>
    <w:rsid w:val="620316C6"/>
    <w:rsid w:val="626C326C"/>
    <w:rsid w:val="628C5F22"/>
    <w:rsid w:val="62B1324A"/>
    <w:rsid w:val="62C44CEE"/>
    <w:rsid w:val="630E06E5"/>
    <w:rsid w:val="634A0790"/>
    <w:rsid w:val="63DF2082"/>
    <w:rsid w:val="64693149"/>
    <w:rsid w:val="64E33DF4"/>
    <w:rsid w:val="652F2B95"/>
    <w:rsid w:val="654A16B4"/>
    <w:rsid w:val="654C7BEB"/>
    <w:rsid w:val="65DF5D81"/>
    <w:rsid w:val="65E76184"/>
    <w:rsid w:val="65FA2E2F"/>
    <w:rsid w:val="660F1D12"/>
    <w:rsid w:val="66375416"/>
    <w:rsid w:val="664803B2"/>
    <w:rsid w:val="66770C98"/>
    <w:rsid w:val="66EF6B43"/>
    <w:rsid w:val="67277FC8"/>
    <w:rsid w:val="677C2407"/>
    <w:rsid w:val="6804655B"/>
    <w:rsid w:val="68552A56"/>
    <w:rsid w:val="687103E0"/>
    <w:rsid w:val="68C47A98"/>
    <w:rsid w:val="68C53F3C"/>
    <w:rsid w:val="6A8A21D9"/>
    <w:rsid w:val="6B170353"/>
    <w:rsid w:val="6B805A13"/>
    <w:rsid w:val="6B913722"/>
    <w:rsid w:val="6BB77F58"/>
    <w:rsid w:val="6BFB1CFC"/>
    <w:rsid w:val="6CC80E6D"/>
    <w:rsid w:val="6CEE57FE"/>
    <w:rsid w:val="6D6A740A"/>
    <w:rsid w:val="6DDA15E5"/>
    <w:rsid w:val="6E0252EB"/>
    <w:rsid w:val="6E315BD0"/>
    <w:rsid w:val="6E9331FA"/>
    <w:rsid w:val="6F393D6E"/>
    <w:rsid w:val="6F8B1586"/>
    <w:rsid w:val="6F986B5B"/>
    <w:rsid w:val="70015658"/>
    <w:rsid w:val="70B2124A"/>
    <w:rsid w:val="70EC47D4"/>
    <w:rsid w:val="70F47B1E"/>
    <w:rsid w:val="710B6BAC"/>
    <w:rsid w:val="712B2DAA"/>
    <w:rsid w:val="71C638E1"/>
    <w:rsid w:val="71CC633B"/>
    <w:rsid w:val="71F238C8"/>
    <w:rsid w:val="72534367"/>
    <w:rsid w:val="72D70869"/>
    <w:rsid w:val="738A5B9F"/>
    <w:rsid w:val="73C6500C"/>
    <w:rsid w:val="7402700B"/>
    <w:rsid w:val="741F6AAA"/>
    <w:rsid w:val="749966D8"/>
    <w:rsid w:val="74A0585D"/>
    <w:rsid w:val="750E3D01"/>
    <w:rsid w:val="75436915"/>
    <w:rsid w:val="75F1571C"/>
    <w:rsid w:val="75FF643B"/>
    <w:rsid w:val="77A7157C"/>
    <w:rsid w:val="781E5417"/>
    <w:rsid w:val="78704663"/>
    <w:rsid w:val="78B143BF"/>
    <w:rsid w:val="790C1713"/>
    <w:rsid w:val="793F5645"/>
    <w:rsid w:val="79477DB9"/>
    <w:rsid w:val="798B5FEA"/>
    <w:rsid w:val="7A035425"/>
    <w:rsid w:val="7A937FAF"/>
    <w:rsid w:val="7AB465B7"/>
    <w:rsid w:val="7ACC115A"/>
    <w:rsid w:val="7AF81F4F"/>
    <w:rsid w:val="7AFA7F37"/>
    <w:rsid w:val="7B0D59BF"/>
    <w:rsid w:val="7B215011"/>
    <w:rsid w:val="7B5C267D"/>
    <w:rsid w:val="7B6C6499"/>
    <w:rsid w:val="7B7B492E"/>
    <w:rsid w:val="7B913955"/>
    <w:rsid w:val="7BEC3554"/>
    <w:rsid w:val="7C9E3D4A"/>
    <w:rsid w:val="7CB63E70"/>
    <w:rsid w:val="7D221505"/>
    <w:rsid w:val="7D334C5C"/>
    <w:rsid w:val="7D6C2958"/>
    <w:rsid w:val="7D902913"/>
    <w:rsid w:val="7DE81904"/>
    <w:rsid w:val="7DEF38C2"/>
    <w:rsid w:val="7E2B6198"/>
    <w:rsid w:val="7E5135DF"/>
    <w:rsid w:val="7F306955"/>
    <w:rsid w:val="7F6D45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EmbedSmartTag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nhideWhenUsed="0" w:uiPriority="9" w:semiHidden="0"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qFormat="1" w:uiPriority="39" w:semiHidden="0"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Calibri"/>
      <w:kern w:val="2"/>
      <w:sz w:val="21"/>
      <w:szCs w:val="24"/>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rPr>
  </w:style>
  <w:style w:type="paragraph" w:styleId="3">
    <w:name w:val="heading 2"/>
    <w:basedOn w:val="1"/>
    <w:next w:val="1"/>
    <w:autoRedefine/>
    <w:qFormat/>
    <w:uiPriority w:val="0"/>
    <w:pPr>
      <w:keepNext/>
      <w:keepLines/>
      <w:spacing w:before="260" w:after="260" w:line="415" w:lineRule="auto"/>
      <w:outlineLvl w:val="1"/>
    </w:pPr>
    <w:rPr>
      <w:rFonts w:ascii="Times New Roman" w:hAnsi="Times New Roman" w:eastAsia="黑体"/>
      <w:b/>
      <w:sz w:val="32"/>
    </w:rPr>
  </w:style>
  <w:style w:type="paragraph" w:styleId="4">
    <w:name w:val="heading 3"/>
    <w:basedOn w:val="1"/>
    <w:next w:val="1"/>
    <w:autoRedefine/>
    <w:qFormat/>
    <w:uiPriority w:val="0"/>
    <w:pPr>
      <w:keepNext/>
      <w:keepLines/>
      <w:spacing w:before="260" w:after="260" w:line="415" w:lineRule="auto"/>
      <w:outlineLvl w:val="2"/>
    </w:pPr>
    <w:rPr>
      <w:b/>
      <w:sz w:val="32"/>
    </w:rPr>
  </w:style>
  <w:style w:type="paragraph" w:styleId="5">
    <w:name w:val="heading 4"/>
    <w:basedOn w:val="1"/>
    <w:next w:val="1"/>
    <w:semiHidden/>
    <w:unhideWhenUsed/>
    <w:qFormat/>
    <w:uiPriority w:val="9"/>
    <w:pPr>
      <w:spacing w:beforeAutospacing="1" w:afterAutospacing="1"/>
      <w:jc w:val="left"/>
      <w:outlineLvl w:val="3"/>
    </w:pPr>
    <w:rPr>
      <w:rFonts w:hint="eastAsia" w:ascii="宋体" w:hAnsi="宋体" w:cs="Times New Roman"/>
      <w:b/>
      <w:bCs/>
      <w:kern w:val="0"/>
      <w:sz w:val="24"/>
    </w:rPr>
  </w:style>
  <w:style w:type="paragraph" w:styleId="6">
    <w:name w:val="heading 7"/>
    <w:basedOn w:val="1"/>
    <w:next w:val="1"/>
    <w:link w:val="27"/>
    <w:autoRedefine/>
    <w:qFormat/>
    <w:uiPriority w:val="9"/>
    <w:pPr>
      <w:keepNext/>
      <w:keepLines/>
      <w:spacing w:before="240" w:after="64" w:line="320" w:lineRule="auto"/>
      <w:outlineLvl w:val="6"/>
    </w:pPr>
    <w:rPr>
      <w:b/>
      <w:bCs/>
      <w:sz w:val="24"/>
    </w:rPr>
  </w:style>
  <w:style w:type="character" w:default="1" w:styleId="18">
    <w:name w:val="Default Paragraph Font"/>
    <w:semiHidden/>
    <w:unhideWhenUsed/>
    <w:qFormat/>
    <w:uiPriority w:val="1"/>
  </w:style>
  <w:style w:type="table" w:default="1" w:styleId="1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annotation text"/>
    <w:basedOn w:val="1"/>
    <w:link w:val="28"/>
    <w:autoRedefine/>
    <w:unhideWhenUsed/>
    <w:qFormat/>
    <w:uiPriority w:val="99"/>
    <w:pPr>
      <w:adjustRightInd w:val="0"/>
      <w:spacing w:line="400" w:lineRule="exact"/>
      <w:jc w:val="left"/>
    </w:pPr>
    <w:rPr>
      <w:szCs w:val="21"/>
    </w:rPr>
  </w:style>
  <w:style w:type="paragraph" w:styleId="8">
    <w:name w:val="Balloon Text"/>
    <w:basedOn w:val="1"/>
    <w:link w:val="29"/>
    <w:autoRedefine/>
    <w:unhideWhenUsed/>
    <w:qFormat/>
    <w:uiPriority w:val="99"/>
    <w:rPr>
      <w:sz w:val="18"/>
      <w:szCs w:val="18"/>
    </w:rPr>
  </w:style>
  <w:style w:type="paragraph" w:styleId="9">
    <w:name w:val="footer"/>
    <w:basedOn w:val="1"/>
    <w:link w:val="30"/>
    <w:autoRedefine/>
    <w:qFormat/>
    <w:uiPriority w:val="99"/>
    <w:pPr>
      <w:tabs>
        <w:tab w:val="center" w:pos="4153"/>
        <w:tab w:val="right" w:pos="8306"/>
      </w:tabs>
      <w:snapToGrid w:val="0"/>
      <w:jc w:val="left"/>
    </w:pPr>
    <w:rPr>
      <w:sz w:val="18"/>
      <w:szCs w:val="18"/>
    </w:rPr>
  </w:style>
  <w:style w:type="paragraph" w:styleId="10">
    <w:name w:val="envelope return"/>
    <w:basedOn w:val="1"/>
    <w:autoRedefine/>
    <w:qFormat/>
    <w:uiPriority w:val="0"/>
    <w:pPr>
      <w:snapToGrid w:val="0"/>
    </w:pPr>
    <w:rPr>
      <w:rFonts w:ascii="Times New Roman" w:hAnsi="Times New Roman"/>
    </w:rPr>
  </w:style>
  <w:style w:type="paragraph" w:styleId="11">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toc 4"/>
    <w:basedOn w:val="1"/>
    <w:next w:val="1"/>
    <w:autoRedefine/>
    <w:unhideWhenUsed/>
    <w:qFormat/>
    <w:uiPriority w:val="39"/>
    <w:pPr>
      <w:tabs>
        <w:tab w:val="right" w:leader="dot" w:pos="9344"/>
      </w:tabs>
      <w:adjustRightInd w:val="0"/>
      <w:spacing w:line="300" w:lineRule="exact"/>
      <w:ind w:left="629"/>
    </w:pPr>
    <w:rPr>
      <w:rFonts w:ascii="宋体"/>
      <w:szCs w:val="21"/>
    </w:rPr>
  </w:style>
  <w:style w:type="paragraph" w:styleId="13">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cs="Times New Roman"/>
      <w:kern w:val="0"/>
      <w:sz w:val="24"/>
    </w:rPr>
  </w:style>
  <w:style w:type="paragraph" w:styleId="14">
    <w:name w:val="Normal (Web)"/>
    <w:basedOn w:val="1"/>
    <w:autoRedefine/>
    <w:semiHidden/>
    <w:unhideWhenUsed/>
    <w:qFormat/>
    <w:uiPriority w:val="99"/>
    <w:rPr>
      <w:sz w:val="24"/>
    </w:rPr>
  </w:style>
  <w:style w:type="paragraph" w:styleId="15">
    <w:name w:val="Title"/>
    <w:basedOn w:val="1"/>
    <w:link w:val="66"/>
    <w:qFormat/>
    <w:uiPriority w:val="10"/>
    <w:pPr>
      <w:spacing w:before="240" w:after="60"/>
      <w:jc w:val="center"/>
      <w:outlineLvl w:val="0"/>
    </w:pPr>
    <w:rPr>
      <w:rFonts w:ascii="Arial" w:hAnsi="Arial"/>
      <w:b/>
      <w:sz w:val="32"/>
    </w:rPr>
  </w:style>
  <w:style w:type="table" w:styleId="17">
    <w:name w:val="Table Grid"/>
    <w:basedOn w:val="16"/>
    <w:autoRedefine/>
    <w:qFormat/>
    <w:uiPriority w:val="39"/>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tcBorders>
        <w:top w:val="single" w:color="auto" w:sz="4" w:space="0"/>
        <w:left w:val="single" w:color="auto" w:sz="4" w:space="0"/>
        <w:bottom w:val="single" w:color="auto" w:sz="4" w:space="0"/>
        <w:right w:val="single" w:color="auto" w:sz="4" w:space="0"/>
      </w:tcBorders>
    </w:tcPr>
  </w:style>
  <w:style w:type="character" w:styleId="19">
    <w:name w:val="Strong"/>
    <w:basedOn w:val="18"/>
    <w:autoRedefine/>
    <w:qFormat/>
    <w:uiPriority w:val="22"/>
    <w:rPr>
      <w:b/>
    </w:rPr>
  </w:style>
  <w:style w:type="character" w:styleId="20">
    <w:name w:val="Emphasis"/>
    <w:basedOn w:val="18"/>
    <w:qFormat/>
    <w:uiPriority w:val="20"/>
    <w:rPr>
      <w:i/>
    </w:rPr>
  </w:style>
  <w:style w:type="character" w:styleId="21">
    <w:name w:val="line number"/>
    <w:autoRedefine/>
    <w:qFormat/>
    <w:uiPriority w:val="0"/>
  </w:style>
  <w:style w:type="character" w:styleId="22">
    <w:name w:val="Hyperlink"/>
    <w:autoRedefine/>
    <w:qFormat/>
    <w:uiPriority w:val="0"/>
    <w:rPr>
      <w:rFonts w:ascii="宋体" w:eastAsia="宋体"/>
      <w:color w:val="auto"/>
      <w:spacing w:val="0"/>
      <w:w w:val="100"/>
      <w:position w:val="0"/>
      <w:sz w:val="21"/>
      <w:u w:val="none"/>
      <w:vertAlign w:val="baseline"/>
    </w:rPr>
  </w:style>
  <w:style w:type="character" w:styleId="23">
    <w:name w:val="annotation reference"/>
    <w:basedOn w:val="18"/>
    <w:autoRedefine/>
    <w:qFormat/>
    <w:uiPriority w:val="99"/>
    <w:rPr>
      <w:sz w:val="21"/>
      <w:szCs w:val="21"/>
    </w:rPr>
  </w:style>
  <w:style w:type="character" w:styleId="24">
    <w:name w:val="footnote reference"/>
    <w:autoRedefine/>
    <w:qFormat/>
    <w:uiPriority w:val="0"/>
    <w:rPr>
      <w:vertAlign w:val="superscript"/>
    </w:rPr>
  </w:style>
  <w:style w:type="paragraph" w:customStyle="1" w:styleId="25">
    <w:name w:val="BodyText2"/>
    <w:basedOn w:val="1"/>
    <w:autoRedefine/>
    <w:qFormat/>
    <w:uiPriority w:val="0"/>
    <w:pPr>
      <w:spacing w:after="120" w:line="480" w:lineRule="auto"/>
      <w:textAlignment w:val="baseline"/>
    </w:pPr>
    <w:rPr>
      <w:rFonts w:cs="Times New Roman"/>
      <w:sz w:val="32"/>
      <w:szCs w:val="32"/>
    </w:rPr>
  </w:style>
  <w:style w:type="paragraph" w:customStyle="1" w:styleId="26">
    <w:name w:val="正文-公1"/>
    <w:autoRedefine/>
    <w:qFormat/>
    <w:uiPriority w:val="99"/>
    <w:pPr>
      <w:widowControl w:val="0"/>
      <w:suppressAutoHyphens/>
      <w:jc w:val="both"/>
    </w:pPr>
    <w:rPr>
      <w:rFonts w:ascii="Calibri" w:hAnsi="Calibri" w:eastAsia="宋体" w:cs="Times New Roman"/>
      <w:kern w:val="2"/>
      <w:sz w:val="21"/>
      <w:szCs w:val="24"/>
      <w:lang w:val="en-US" w:eastAsia="zh-CN" w:bidi="ar-SA"/>
    </w:rPr>
  </w:style>
  <w:style w:type="character" w:customStyle="1" w:styleId="27">
    <w:name w:val="标题 7 字符"/>
    <w:link w:val="6"/>
    <w:autoRedefine/>
    <w:qFormat/>
    <w:uiPriority w:val="0"/>
    <w:rPr>
      <w:rFonts w:eastAsia="宋体"/>
      <w:b/>
      <w:bCs/>
      <w:kern w:val="2"/>
      <w:sz w:val="24"/>
      <w:szCs w:val="24"/>
    </w:rPr>
  </w:style>
  <w:style w:type="character" w:customStyle="1" w:styleId="28">
    <w:name w:val="批注文字 字符"/>
    <w:link w:val="7"/>
    <w:autoRedefine/>
    <w:semiHidden/>
    <w:qFormat/>
    <w:uiPriority w:val="99"/>
    <w:rPr>
      <w:rFonts w:ascii="Calibri" w:hAnsi="Calibri" w:eastAsia="宋体"/>
      <w:kern w:val="2"/>
      <w:sz w:val="21"/>
      <w:szCs w:val="21"/>
    </w:rPr>
  </w:style>
  <w:style w:type="character" w:customStyle="1" w:styleId="29">
    <w:name w:val="批注框文本 字符"/>
    <w:link w:val="8"/>
    <w:autoRedefine/>
    <w:semiHidden/>
    <w:qFormat/>
    <w:uiPriority w:val="99"/>
    <w:rPr>
      <w:rFonts w:eastAsia="宋体"/>
      <w:kern w:val="2"/>
      <w:sz w:val="18"/>
      <w:szCs w:val="18"/>
    </w:rPr>
  </w:style>
  <w:style w:type="character" w:customStyle="1" w:styleId="30">
    <w:name w:val="页脚 字符"/>
    <w:link w:val="9"/>
    <w:autoRedefine/>
    <w:qFormat/>
    <w:locked/>
    <w:uiPriority w:val="99"/>
    <w:rPr>
      <w:rFonts w:eastAsia="宋体"/>
      <w:kern w:val="2"/>
      <w:sz w:val="18"/>
      <w:szCs w:val="18"/>
    </w:rPr>
  </w:style>
  <w:style w:type="paragraph" w:customStyle="1" w:styleId="31">
    <w:name w:val="其他标准称谓"/>
    <w:autoRedefine/>
    <w:qFormat/>
    <w:uiPriority w:val="0"/>
    <w:pPr>
      <w:spacing w:line="0" w:lineRule="atLeast"/>
      <w:jc w:val="distribute"/>
    </w:pPr>
    <w:rPr>
      <w:rFonts w:ascii="黑体" w:hAnsi="Calibri" w:eastAsia="黑体" w:cs="Calibri"/>
      <w:sz w:val="52"/>
      <w:lang w:val="en-US" w:eastAsia="zh-CN" w:bidi="ar-SA"/>
    </w:rPr>
  </w:style>
  <w:style w:type="paragraph" w:customStyle="1" w:styleId="32">
    <w:name w:val="封面标准号1"/>
    <w:autoRedefine/>
    <w:qFormat/>
    <w:uiPriority w:val="0"/>
    <w:pPr>
      <w:widowControl w:val="0"/>
      <w:kinsoku w:val="0"/>
      <w:overflowPunct w:val="0"/>
      <w:autoSpaceDE w:val="0"/>
      <w:autoSpaceDN w:val="0"/>
      <w:spacing w:before="308"/>
      <w:jc w:val="right"/>
      <w:textAlignment w:val="center"/>
    </w:pPr>
    <w:rPr>
      <w:rFonts w:ascii="Calibri" w:hAnsi="Calibri" w:eastAsia="宋体" w:cs="Calibri"/>
      <w:sz w:val="28"/>
      <w:lang w:val="en-US" w:eastAsia="zh-CN" w:bidi="ar-SA"/>
    </w:rPr>
  </w:style>
  <w:style w:type="paragraph" w:customStyle="1" w:styleId="33">
    <w:name w:val="标准文件_段"/>
    <w:link w:val="34"/>
    <w:autoRedefine/>
    <w:qFormat/>
    <w:uiPriority w:val="0"/>
    <w:pPr>
      <w:autoSpaceDE w:val="0"/>
      <w:autoSpaceDN w:val="0"/>
      <w:spacing w:before="156" w:beforeLines="50" w:after="156" w:afterLines="50" w:line="520" w:lineRule="exact"/>
      <w:ind w:firstLine="480" w:firstLineChars="200"/>
      <w:jc w:val="center"/>
    </w:pPr>
    <w:rPr>
      <w:rFonts w:ascii="黑体" w:hAnsi="黑体" w:eastAsia="黑体" w:cs="黑体"/>
      <w:bCs/>
      <w:sz w:val="24"/>
      <w:szCs w:val="24"/>
      <w:lang w:val="en-US" w:eastAsia="zh-CN" w:bidi="ar-SA"/>
    </w:rPr>
  </w:style>
  <w:style w:type="character" w:customStyle="1" w:styleId="34">
    <w:name w:val="标准文件_段 Char"/>
    <w:link w:val="33"/>
    <w:autoRedefine/>
    <w:qFormat/>
    <w:uiPriority w:val="0"/>
    <w:rPr>
      <w:rFonts w:ascii="黑体" w:hAnsi="黑体" w:eastAsia="黑体" w:cs="黑体"/>
      <w:bCs/>
      <w:sz w:val="24"/>
      <w:szCs w:val="24"/>
    </w:rPr>
  </w:style>
  <w:style w:type="paragraph" w:customStyle="1" w:styleId="35">
    <w:name w:val="标准文件_章标题"/>
    <w:next w:val="33"/>
    <w:autoRedefine/>
    <w:qFormat/>
    <w:uiPriority w:val="0"/>
    <w:pPr>
      <w:numPr>
        <w:ilvl w:val="1"/>
        <w:numId w:val="1"/>
      </w:numPr>
      <w:spacing w:before="100" w:beforeLines="100" w:after="100" w:afterLines="100"/>
      <w:jc w:val="both"/>
      <w:outlineLvl w:val="0"/>
    </w:pPr>
    <w:rPr>
      <w:rFonts w:ascii="黑体" w:hAnsi="Calibri" w:eastAsia="黑体" w:cs="Calibri"/>
      <w:sz w:val="21"/>
      <w:lang w:val="en-US" w:eastAsia="zh-CN" w:bidi="ar-SA"/>
    </w:rPr>
  </w:style>
  <w:style w:type="paragraph" w:customStyle="1" w:styleId="36">
    <w:name w:val="标准文件_二级条标题"/>
    <w:next w:val="33"/>
    <w:autoRedefine/>
    <w:qFormat/>
    <w:uiPriority w:val="0"/>
    <w:pPr>
      <w:widowControl w:val="0"/>
      <w:spacing w:before="50" w:beforeLines="50" w:after="50" w:afterLines="50"/>
      <w:jc w:val="both"/>
      <w:outlineLvl w:val="2"/>
    </w:pPr>
    <w:rPr>
      <w:rFonts w:ascii="黑体" w:hAnsi="Calibri" w:eastAsia="黑体" w:cs="Calibri"/>
      <w:sz w:val="21"/>
      <w:lang w:val="en-US" w:eastAsia="zh-CN" w:bidi="ar-SA"/>
    </w:rPr>
  </w:style>
  <w:style w:type="paragraph" w:customStyle="1" w:styleId="37">
    <w:name w:val="标准文件_一级条标题"/>
    <w:basedOn w:val="35"/>
    <w:next w:val="33"/>
    <w:autoRedefine/>
    <w:qFormat/>
    <w:uiPriority w:val="0"/>
    <w:pPr>
      <w:numPr>
        <w:ilvl w:val="2"/>
      </w:numPr>
      <w:spacing w:before="50" w:beforeLines="0" w:after="50" w:afterLines="0"/>
      <w:outlineLvl w:val="1"/>
    </w:pPr>
  </w:style>
  <w:style w:type="paragraph" w:customStyle="1" w:styleId="38">
    <w:name w:val="标准文件_三级条标题"/>
    <w:basedOn w:val="36"/>
    <w:next w:val="33"/>
    <w:autoRedefine/>
    <w:qFormat/>
    <w:uiPriority w:val="0"/>
    <w:pPr>
      <w:outlineLvl w:val="3"/>
    </w:pPr>
  </w:style>
  <w:style w:type="paragraph" w:customStyle="1" w:styleId="39">
    <w:name w:val="标准文件_四级条标题"/>
    <w:next w:val="33"/>
    <w:autoRedefine/>
    <w:qFormat/>
    <w:uiPriority w:val="0"/>
    <w:pPr>
      <w:widowControl w:val="0"/>
      <w:spacing w:before="50" w:beforeLines="50" w:after="50" w:afterLines="50"/>
      <w:jc w:val="both"/>
      <w:outlineLvl w:val="4"/>
    </w:pPr>
    <w:rPr>
      <w:rFonts w:ascii="黑体" w:hAnsi="Calibri" w:eastAsia="黑体" w:cs="Calibri"/>
      <w:sz w:val="21"/>
      <w:lang w:val="en-US" w:eastAsia="zh-CN" w:bidi="ar-SA"/>
    </w:rPr>
  </w:style>
  <w:style w:type="paragraph" w:customStyle="1" w:styleId="40">
    <w:name w:val="标准文件_五级条标题"/>
    <w:next w:val="36"/>
    <w:autoRedefine/>
    <w:qFormat/>
    <w:uiPriority w:val="0"/>
    <w:pPr>
      <w:widowControl w:val="0"/>
      <w:numPr>
        <w:ilvl w:val="6"/>
        <w:numId w:val="1"/>
      </w:numPr>
      <w:spacing w:before="50" w:beforeLines="50" w:after="50" w:afterLines="50"/>
      <w:jc w:val="both"/>
      <w:outlineLvl w:val="5"/>
    </w:pPr>
    <w:rPr>
      <w:rFonts w:ascii="黑体" w:hAnsi="Calibri" w:eastAsia="黑体" w:cs="Calibri"/>
      <w:sz w:val="21"/>
      <w:lang w:val="en-US" w:eastAsia="zh-CN" w:bidi="ar-SA"/>
    </w:rPr>
  </w:style>
  <w:style w:type="paragraph" w:customStyle="1" w:styleId="41">
    <w:name w:val="前言标题"/>
    <w:next w:val="1"/>
    <w:autoRedefine/>
    <w:qFormat/>
    <w:uiPriority w:val="0"/>
    <w:pPr>
      <w:numPr>
        <w:ilvl w:val="0"/>
        <w:numId w:val="1"/>
      </w:numPr>
      <w:shd w:val="clear" w:color="FFFFFF" w:fill="FFFFFF"/>
      <w:spacing w:before="540" w:after="600"/>
      <w:jc w:val="center"/>
      <w:outlineLvl w:val="0"/>
    </w:pPr>
    <w:rPr>
      <w:rFonts w:ascii="黑体" w:hAnsi="Calibri" w:eastAsia="黑体" w:cs="Calibri"/>
      <w:sz w:val="32"/>
      <w:lang w:val="en-US" w:eastAsia="zh-CN" w:bidi="ar-SA"/>
    </w:rPr>
  </w:style>
  <w:style w:type="paragraph" w:customStyle="1" w:styleId="42">
    <w:name w:val="标准文件_四级无标题"/>
    <w:basedOn w:val="39"/>
    <w:autoRedefine/>
    <w:qFormat/>
    <w:uiPriority w:val="0"/>
    <w:pPr>
      <w:numPr>
        <w:ilvl w:val="5"/>
        <w:numId w:val="1"/>
      </w:numPr>
    </w:pPr>
    <w:rPr>
      <w:rFonts w:ascii="宋体" w:eastAsia="宋体"/>
      <w:szCs w:val="52"/>
    </w:rPr>
  </w:style>
  <w:style w:type="paragraph" w:customStyle="1" w:styleId="43">
    <w:name w:val="标准文件_三级无标题"/>
    <w:basedOn w:val="38"/>
    <w:autoRedefine/>
    <w:qFormat/>
    <w:uiPriority w:val="0"/>
    <w:pPr>
      <w:numPr>
        <w:ilvl w:val="4"/>
        <w:numId w:val="1"/>
      </w:numPr>
    </w:pPr>
    <w:rPr>
      <w:rFonts w:ascii="宋体" w:eastAsia="宋体"/>
    </w:rPr>
  </w:style>
  <w:style w:type="paragraph" w:customStyle="1" w:styleId="44">
    <w:name w:val="标准文件_正文表标题"/>
    <w:autoRedefine/>
    <w:qFormat/>
    <w:uiPriority w:val="0"/>
    <w:pPr>
      <w:numPr>
        <w:ilvl w:val="0"/>
        <w:numId w:val="2"/>
      </w:numPr>
      <w:tabs>
        <w:tab w:val="left" w:pos="0"/>
      </w:tabs>
      <w:spacing w:before="50" w:beforeLines="50" w:after="50" w:afterLines="50"/>
      <w:jc w:val="center"/>
    </w:pPr>
    <w:rPr>
      <w:rFonts w:ascii="黑体" w:hAnsi="Calibri" w:eastAsia="黑体" w:cs="Calibri"/>
      <w:sz w:val="21"/>
      <w:lang w:val="en-US" w:eastAsia="zh-CN" w:bidi="ar-SA"/>
    </w:rPr>
  </w:style>
  <w:style w:type="character" w:customStyle="1" w:styleId="45">
    <w:name w:val="font11"/>
    <w:autoRedefine/>
    <w:qFormat/>
    <w:uiPriority w:val="0"/>
    <w:rPr>
      <w:rFonts w:ascii="等线" w:eastAsia="等线"/>
      <w:b/>
      <w:bCs/>
      <w:color w:val="FF0000"/>
      <w:sz w:val="22"/>
      <w:szCs w:val="22"/>
      <w:u w:val="none"/>
    </w:rPr>
  </w:style>
  <w:style w:type="character" w:customStyle="1" w:styleId="46">
    <w:name w:val="font01"/>
    <w:autoRedefine/>
    <w:qFormat/>
    <w:uiPriority w:val="0"/>
    <w:rPr>
      <w:rFonts w:ascii="等线" w:eastAsia="等线"/>
      <w:color w:val="000000"/>
      <w:sz w:val="22"/>
      <w:szCs w:val="22"/>
      <w:u w:val="none"/>
    </w:rPr>
  </w:style>
  <w:style w:type="paragraph" w:customStyle="1" w:styleId="47">
    <w:name w:val="段"/>
    <w:autoRedefine/>
    <w:qFormat/>
    <w:uiPriority w:val="0"/>
    <w:pPr>
      <w:autoSpaceDE w:val="0"/>
      <w:autoSpaceDN w:val="0"/>
      <w:ind w:firstLine="200" w:firstLineChars="200"/>
      <w:jc w:val="both"/>
    </w:pPr>
    <w:rPr>
      <w:rFonts w:ascii="宋体" w:hAnsi="Calibri" w:eastAsia="宋体" w:cs="Calibri"/>
      <w:sz w:val="21"/>
      <w:lang w:val="en-US" w:eastAsia="zh-CN" w:bidi="ar-SA"/>
    </w:rPr>
  </w:style>
  <w:style w:type="paragraph" w:customStyle="1" w:styleId="48">
    <w:name w:val="二级无"/>
    <w:basedOn w:val="1"/>
    <w:autoRedefine/>
    <w:qFormat/>
    <w:uiPriority w:val="0"/>
    <w:pPr>
      <w:widowControl/>
      <w:numPr>
        <w:ilvl w:val="2"/>
        <w:numId w:val="3"/>
      </w:numPr>
      <w:tabs>
        <w:tab w:val="left" w:pos="780"/>
      </w:tabs>
      <w:jc w:val="left"/>
      <w:outlineLvl w:val="3"/>
    </w:pPr>
    <w:rPr>
      <w:rFonts w:ascii="宋体"/>
      <w:kern w:val="0"/>
      <w:szCs w:val="21"/>
    </w:rPr>
  </w:style>
  <w:style w:type="paragraph" w:customStyle="1" w:styleId="49">
    <w:name w:val="标准文件_二级无标题"/>
    <w:basedOn w:val="36"/>
    <w:autoRedefine/>
    <w:qFormat/>
    <w:uiPriority w:val="0"/>
    <w:pPr>
      <w:numPr>
        <w:ilvl w:val="3"/>
        <w:numId w:val="4"/>
      </w:numPr>
      <w:tabs>
        <w:tab w:val="left" w:pos="1200"/>
      </w:tabs>
      <w:spacing w:before="0" w:beforeLines="0" w:after="0" w:afterLines="0"/>
      <w:outlineLvl w:val="9"/>
    </w:pPr>
    <w:rPr>
      <w:rFonts w:ascii="宋体" w:eastAsia="宋体"/>
    </w:rPr>
  </w:style>
  <w:style w:type="paragraph" w:customStyle="1" w:styleId="50">
    <w:name w:val="Char Char Char Char"/>
    <w:basedOn w:val="1"/>
    <w:autoRedefine/>
    <w:qFormat/>
    <w:uiPriority w:val="0"/>
  </w:style>
  <w:style w:type="paragraph" w:customStyle="1" w:styleId="51">
    <w:name w:val="标准文件_数字编号列项（二级）"/>
    <w:autoRedefine/>
    <w:qFormat/>
    <w:uiPriority w:val="0"/>
    <w:pPr>
      <w:numPr>
        <w:ilvl w:val="1"/>
        <w:numId w:val="5"/>
      </w:numPr>
      <w:jc w:val="both"/>
    </w:pPr>
    <w:rPr>
      <w:rFonts w:ascii="宋体" w:hAnsi="Calibri" w:eastAsia="宋体" w:cs="Calibri"/>
      <w:sz w:val="21"/>
      <w:lang w:val="en-US" w:eastAsia="zh-CN" w:bidi="ar-SA"/>
    </w:rPr>
  </w:style>
  <w:style w:type="paragraph" w:customStyle="1" w:styleId="52">
    <w:name w:val="标准文件_编号列项（三级）"/>
    <w:autoRedefine/>
    <w:qFormat/>
    <w:uiPriority w:val="0"/>
    <w:pPr>
      <w:numPr>
        <w:ilvl w:val="2"/>
        <w:numId w:val="5"/>
      </w:numPr>
    </w:pPr>
    <w:rPr>
      <w:rFonts w:ascii="宋体" w:hAnsi="Calibri" w:eastAsia="宋体" w:cs="Calibri"/>
      <w:sz w:val="21"/>
      <w:lang w:val="en-US" w:eastAsia="zh-CN" w:bidi="ar-SA"/>
    </w:rPr>
  </w:style>
  <w:style w:type="paragraph" w:customStyle="1" w:styleId="53">
    <w:name w:val="标准文件_字母编号列项（一级）"/>
    <w:autoRedefine/>
    <w:qFormat/>
    <w:uiPriority w:val="0"/>
    <w:pPr>
      <w:numPr>
        <w:ilvl w:val="0"/>
        <w:numId w:val="5"/>
      </w:numPr>
      <w:jc w:val="both"/>
    </w:pPr>
    <w:rPr>
      <w:rFonts w:ascii="宋体" w:hAnsi="Calibri" w:eastAsia="宋体" w:cs="Calibri"/>
      <w:sz w:val="21"/>
      <w:lang w:val="en-US" w:eastAsia="zh-CN" w:bidi="ar-SA"/>
    </w:rPr>
  </w:style>
  <w:style w:type="paragraph" w:customStyle="1" w:styleId="54">
    <w:name w:val="标准文件_术语条一"/>
    <w:basedOn w:val="1"/>
    <w:next w:val="33"/>
    <w:autoRedefine/>
    <w:qFormat/>
    <w:uiPriority w:val="0"/>
    <w:pPr>
      <w:widowControl/>
    </w:pPr>
    <w:rPr>
      <w:rFonts w:ascii="宋体"/>
      <w:kern w:val="0"/>
      <w:szCs w:val="20"/>
    </w:rPr>
  </w:style>
  <w:style w:type="paragraph" w:customStyle="1" w:styleId="55">
    <w:name w:val="abstract"/>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56">
    <w:name w:val="abstract_more"/>
    <w:basedOn w:val="1"/>
    <w:autoRedefine/>
    <w:qFormat/>
    <w:uiPriority w:val="0"/>
    <w:pPr>
      <w:widowControl/>
      <w:spacing w:before="100" w:beforeAutospacing="1" w:after="100" w:afterAutospacing="1"/>
      <w:jc w:val="left"/>
    </w:pPr>
    <w:rPr>
      <w:rFonts w:ascii="宋体" w:hAnsi="宋体" w:cs="宋体"/>
      <w:kern w:val="0"/>
      <w:sz w:val="24"/>
    </w:rPr>
  </w:style>
  <w:style w:type="paragraph" w:styleId="57">
    <w:name w:val="No Spacing"/>
    <w:autoRedefine/>
    <w:qFormat/>
    <w:uiPriority w:val="99"/>
    <w:pPr>
      <w:widowControl w:val="0"/>
      <w:jc w:val="both"/>
    </w:pPr>
    <w:rPr>
      <w:rFonts w:ascii="Calibri" w:hAnsi="Calibri" w:eastAsia="宋体" w:cs="Times New Roman"/>
      <w:kern w:val="2"/>
      <w:sz w:val="21"/>
      <w:szCs w:val="24"/>
      <w:lang w:val="en-US" w:eastAsia="zh-CN" w:bidi="ar-SA"/>
    </w:rPr>
  </w:style>
  <w:style w:type="paragraph" w:customStyle="1" w:styleId="58">
    <w:name w:val="标准文件_一级项"/>
    <w:autoRedefine/>
    <w:qFormat/>
    <w:uiPriority w:val="0"/>
    <w:pPr>
      <w:numPr>
        <w:ilvl w:val="0"/>
        <w:numId w:val="6"/>
      </w:numPr>
    </w:pPr>
    <w:rPr>
      <w:rFonts w:ascii="宋体" w:hAnsi="Times New Roman" w:eastAsia="宋体" w:cs="Times New Roman"/>
      <w:sz w:val="21"/>
      <w:lang w:val="en-US" w:eastAsia="zh-CN" w:bidi="ar-SA"/>
    </w:rPr>
  </w:style>
  <w:style w:type="paragraph" w:customStyle="1" w:styleId="59">
    <w:name w:val="普通(网站) Char"/>
    <w:basedOn w:val="1"/>
    <w:qFormat/>
    <w:uiPriority w:val="0"/>
    <w:pPr>
      <w:spacing w:beforeAutospacing="1" w:afterAutospacing="1"/>
      <w:jc w:val="left"/>
    </w:pPr>
    <w:rPr>
      <w:rFonts w:hint="eastAsia" w:ascii="宋体" w:hAnsi="宋体" w:cs="Times New Roman"/>
      <w:kern w:val="0"/>
      <w:sz w:val="24"/>
    </w:rPr>
  </w:style>
  <w:style w:type="paragraph" w:customStyle="1" w:styleId="60">
    <w:name w:val="标准文件_五级无标题"/>
    <w:qFormat/>
    <w:uiPriority w:val="0"/>
    <w:pPr>
      <w:widowControl w:val="0"/>
      <w:numPr>
        <w:ilvl w:val="6"/>
        <w:numId w:val="7"/>
      </w:numPr>
      <w:jc w:val="both"/>
    </w:pPr>
    <w:rPr>
      <w:rFonts w:hint="eastAsia" w:ascii="宋体" w:hAnsi="Times New Roman" w:eastAsia="宋体" w:cs="Times New Roman"/>
      <w:sz w:val="21"/>
      <w:lang w:val="en-US" w:eastAsia="zh-CN" w:bidi="ar-SA"/>
    </w:rPr>
  </w:style>
  <w:style w:type="paragraph" w:customStyle="1" w:styleId="61">
    <w:name w:val="标准文件_注×："/>
    <w:basedOn w:val="1"/>
    <w:qFormat/>
    <w:uiPriority w:val="0"/>
    <w:pPr>
      <w:numPr>
        <w:ilvl w:val="0"/>
        <w:numId w:val="8"/>
      </w:numPr>
      <w:autoSpaceDE w:val="0"/>
      <w:autoSpaceDN w:val="0"/>
    </w:pPr>
    <w:rPr>
      <w:rFonts w:hint="eastAsia" w:ascii="宋体" w:hAnsi="Times New Roman" w:cs="Times New Roman"/>
      <w:kern w:val="0"/>
      <w:sz w:val="18"/>
      <w:szCs w:val="18"/>
    </w:rPr>
  </w:style>
  <w:style w:type="paragraph" w:customStyle="1" w:styleId="62">
    <w:name w:val="标准文件_表格"/>
    <w:basedOn w:val="1"/>
    <w:qFormat/>
    <w:uiPriority w:val="0"/>
    <w:pPr>
      <w:widowControl/>
      <w:autoSpaceDE w:val="0"/>
      <w:autoSpaceDN w:val="0"/>
      <w:jc w:val="center"/>
    </w:pPr>
    <w:rPr>
      <w:rFonts w:hint="eastAsia" w:ascii="宋体" w:hAnsi="Times New Roman" w:cs="Times New Roman"/>
      <w:kern w:val="0"/>
      <w:sz w:val="18"/>
      <w:szCs w:val="20"/>
    </w:rPr>
  </w:style>
  <w:style w:type="paragraph" w:customStyle="1" w:styleId="63">
    <w:name w:val="标准文件_附录表标题"/>
    <w:basedOn w:val="1"/>
    <w:next w:val="1"/>
    <w:qFormat/>
    <w:uiPriority w:val="0"/>
    <w:pPr>
      <w:widowControl/>
      <w:numPr>
        <w:ilvl w:val="1"/>
        <w:numId w:val="9"/>
      </w:numPr>
      <w:adjustRightInd w:val="0"/>
      <w:snapToGrid w:val="0"/>
      <w:spacing w:before="50" w:beforeLines="50" w:after="50" w:afterLines="50"/>
      <w:jc w:val="center"/>
    </w:pPr>
    <w:rPr>
      <w:rFonts w:hint="eastAsia" w:ascii="黑体" w:hAnsi="Times New Roman" w:eastAsia="黑体" w:cs="Times New Roman"/>
      <w:kern w:val="21"/>
      <w:szCs w:val="20"/>
    </w:rPr>
  </w:style>
  <w:style w:type="character" w:customStyle="1" w:styleId="64">
    <w:name w:val="font31"/>
    <w:basedOn w:val="18"/>
    <w:qFormat/>
    <w:uiPriority w:val="0"/>
    <w:rPr>
      <w:rFonts w:hint="eastAsia" w:ascii="宋体" w:hAnsi="宋体" w:eastAsia="宋体" w:cs="宋体"/>
      <w:color w:val="1F2329"/>
      <w:sz w:val="24"/>
      <w:szCs w:val="24"/>
      <w:u w:val="none"/>
    </w:rPr>
  </w:style>
  <w:style w:type="paragraph" w:customStyle="1" w:styleId="65">
    <w:name w:val="标准文件_附录一级条标题"/>
    <w:basedOn w:val="1"/>
    <w:next w:val="1"/>
    <w:qFormat/>
    <w:uiPriority w:val="0"/>
    <w:pPr>
      <w:numPr>
        <w:ilvl w:val="1"/>
        <w:numId w:val="10"/>
      </w:numPr>
      <w:spacing w:before="50" w:beforeLines="50" w:after="50" w:afterLines="50"/>
      <w:outlineLvl w:val="2"/>
    </w:pPr>
    <w:rPr>
      <w:rFonts w:hint="eastAsia" w:ascii="黑体" w:hAnsi="Times New Roman" w:eastAsia="黑体" w:cs="Times New Roman"/>
      <w:kern w:val="21"/>
      <w:szCs w:val="20"/>
    </w:rPr>
  </w:style>
  <w:style w:type="character" w:customStyle="1" w:styleId="66">
    <w:name w:val="标题 字符"/>
    <w:basedOn w:val="18"/>
    <w:link w:val="15"/>
    <w:qFormat/>
    <w:uiPriority w:val="0"/>
    <w:rPr>
      <w:rFonts w:ascii="等线 Light" w:hAnsi="等线 Light" w:eastAsia="等线 Light" w:cs="Times New Roman"/>
      <w:b/>
      <w:bCs/>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30</Pages>
  <Words>16981</Words>
  <Characters>18227</Characters>
  <Lines>158</Lines>
  <Paragraphs>44</Paragraphs>
  <TotalTime>0</TotalTime>
  <ScaleCrop>false</ScaleCrop>
  <LinksUpToDate>false</LinksUpToDate>
  <CharactersWithSpaces>18530</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2025-04-23T01:45:00Z</dcterms:created>
  <dc:creator>Administrator</dc:creator>
  <cp:lastModifiedBy>对方正在输入...</cp:lastModifiedBy>
  <cp:lastPrinted>2025-09-04T06:54:00Z</cp:lastPrinted>
  <dcterms:modified xsi:type="dcterms:W3CDTF">2026-03-27T12:39:21Z</dcterms:modified>
  <cp:revision>39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451B364480914FAB98EA274ED107DD41_13</vt:lpwstr>
  </property>
  <property fmtid="{D5CDD505-2E9C-101B-9397-08002B2CF9AE}" pid="4" name="KSOTemplateDocerSaveRecord">
    <vt:lpwstr>eyJoZGlkIjoiNzk2NmE1MTk2OWY2NTk2NmUzMzM1MmVkMTU3ZDcwYjciLCJ1c2VySWQiOiIzMjAyMTY5NjkifQ==</vt:lpwstr>
  </property>
</Properties>
</file>