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A4204E">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4204E">
              <w:rPr>
                <w:rFonts w:ascii="黑体" w:eastAsia="黑体" w:hAnsi="黑体"/>
                <w:sz w:val="21"/>
                <w:szCs w:val="21"/>
              </w:rPr>
              <w:t>11.020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0714A4">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A4204E">
                    <w:t>GXAS</w:t>
                  </w:r>
                  <w:r w:rsidR="009C3257">
                    <w:fldChar w:fldCharType="end"/>
                  </w:r>
                  <w:bookmarkEnd w:id="1"/>
                </w:p>
              </w:tc>
            </w:tr>
          </w:tbl>
          <w:p w:rsidR="00FB231D" w:rsidRPr="00672BFD" w:rsidRDefault="00672BFD" w:rsidP="00A4204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4204E">
              <w:rPr>
                <w:rFonts w:ascii="黑体" w:eastAsia="黑体" w:hAnsi="黑体"/>
                <w:sz w:val="21"/>
                <w:szCs w:val="21"/>
              </w:rPr>
              <w:t>C 05</w:t>
            </w:r>
            <w:r w:rsidRPr="00672BFD">
              <w:rPr>
                <w:rFonts w:ascii="黑体" w:eastAsia="黑体" w:hAnsi="黑体"/>
                <w:sz w:val="21"/>
                <w:szCs w:val="21"/>
              </w:rPr>
              <w:fldChar w:fldCharType="end"/>
            </w:r>
            <w:bookmarkEnd w:id="2"/>
          </w:p>
        </w:tc>
      </w:tr>
    </w:tbl>
    <w:p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A4204E">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A4204E">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F493D"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A4204E" w:rsidRPr="00A4204E">
        <w:rPr>
          <w:rFonts w:hint="eastAsia"/>
        </w:rPr>
        <w:t>儿童青少年游戏障碍诊疗规范</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A4204E"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A4204E">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sidRPr="00A4204E">
        <w:rPr>
          <w:rFonts w:eastAsia="黑体"/>
          <w:noProof/>
          <w:szCs w:val="28"/>
        </w:rPr>
      </w:r>
      <w:r w:rsidRPr="00A4204E">
        <w:rPr>
          <w:rFonts w:eastAsia="黑体"/>
          <w:noProof/>
          <w:szCs w:val="28"/>
        </w:rPr>
        <w:fldChar w:fldCharType="separate"/>
      </w:r>
      <w:r w:rsidR="00A4204E" w:rsidRPr="00A4204E">
        <w:rPr>
          <w:rFonts w:ascii="黑体" w:eastAsia="黑体" w:hAnsi="黑体"/>
          <w:noProof/>
          <w:szCs w:val="28"/>
        </w:rPr>
        <w:t>Specification for the diagnosis and treatment of gaming disorders in children and adolescents</w:t>
      </w:r>
      <w:r w:rsidRPr="00A4204E">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D60163">
        <w:rPr>
          <w:noProof/>
          <w:sz w:val="24"/>
          <w:szCs w:val="28"/>
        </w:rPr>
      </w:r>
      <w:r w:rsidR="00D60163">
        <w:rPr>
          <w:noProof/>
          <w:sz w:val="24"/>
          <w:szCs w:val="28"/>
        </w:rPr>
        <w:fldChar w:fldCharType="separate"/>
      </w:r>
      <w:r>
        <w:rPr>
          <w:noProof/>
          <w:sz w:val="24"/>
          <w:szCs w:val="28"/>
        </w:rPr>
        <w:fldChar w:fldCharType="end"/>
      </w:r>
      <w:bookmarkEnd w:id="10"/>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D60163">
        <w:rPr>
          <w:b/>
          <w:noProof/>
          <w:sz w:val="21"/>
          <w:szCs w:val="28"/>
        </w:rPr>
      </w:r>
      <w:r w:rsidR="00D60163">
        <w:rPr>
          <w:b/>
          <w:noProof/>
          <w:sz w:val="21"/>
          <w:szCs w:val="28"/>
        </w:rPr>
        <w:fldChar w:fldCharType="separate"/>
      </w:r>
      <w:r w:rsidRPr="00A6537A">
        <w:rPr>
          <w:b/>
          <w:noProof/>
          <w:sz w:val="21"/>
          <w:szCs w:val="28"/>
        </w:rPr>
        <w:fldChar w:fldCharType="end"/>
      </w:r>
      <w:bookmarkEnd w:id="12"/>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4204E">
        <w:rPr>
          <w:rFonts w:hAnsi="黑体" w:hint="eastAsia"/>
          <w:w w:val="100"/>
          <w:sz w:val="28"/>
        </w:rPr>
        <w:t>广西标准化</w:t>
      </w:r>
      <w:r w:rsidR="00A4204E">
        <w:rPr>
          <w:rFonts w:hAnsi="黑体"/>
          <w:w w:val="100"/>
          <w:sz w:val="28"/>
        </w:rPr>
        <w:t>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772E78">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D707B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A4204E" w:rsidRDefault="00A4204E" w:rsidP="00A4204E">
      <w:pPr>
        <w:pStyle w:val="a6"/>
        <w:spacing w:before="900" w:after="360"/>
      </w:pPr>
      <w:bookmarkStart w:id="20" w:name="BookMark2"/>
      <w:r w:rsidRPr="00A4204E">
        <w:rPr>
          <w:spacing w:val="320"/>
        </w:rPr>
        <w:lastRenderedPageBreak/>
        <w:t>前</w:t>
      </w:r>
      <w:r>
        <w:t>言</w:t>
      </w:r>
    </w:p>
    <w:p w:rsidR="00A4204E" w:rsidRDefault="00A4204E" w:rsidP="00A4204E">
      <w:pPr>
        <w:pStyle w:val="affffb"/>
        <w:ind w:firstLine="420"/>
      </w:pPr>
      <w:r>
        <w:rPr>
          <w:rFonts w:hint="eastAsia"/>
        </w:rPr>
        <w:t>本文件参照GB/T 1.1—2020《标准化工作导则  第1部分：标准化文件的结构和起草规则》的规定起草。</w:t>
      </w:r>
    </w:p>
    <w:p w:rsidR="00A4204E" w:rsidRDefault="00A4204E" w:rsidP="00A4204E">
      <w:pPr>
        <w:pStyle w:val="affffb"/>
        <w:ind w:firstLine="420"/>
      </w:pPr>
      <w:r w:rsidRPr="00A4204E">
        <w:rPr>
          <w:rFonts w:hint="eastAsia"/>
        </w:rPr>
        <w:t>请注意本文件的某些内容可能涉及专利。本文件的发布机构不承担识别专利的责任</w:t>
      </w:r>
      <w:r>
        <w:rPr>
          <w:rFonts w:hint="eastAsia"/>
        </w:rPr>
        <w:t>。</w:t>
      </w:r>
    </w:p>
    <w:p w:rsidR="00A4204E" w:rsidRDefault="00A4204E" w:rsidP="00A4204E">
      <w:pPr>
        <w:pStyle w:val="affffb"/>
        <w:ind w:firstLine="420"/>
      </w:pPr>
      <w:r>
        <w:rPr>
          <w:rFonts w:hint="eastAsia"/>
        </w:rPr>
        <w:t>本文件由</w:t>
      </w:r>
      <w:r w:rsidR="00CF7919" w:rsidRPr="00CF7919">
        <w:rPr>
          <w:rFonts w:hint="eastAsia"/>
        </w:rPr>
        <w:t>南宁市第五人民医院</w:t>
      </w:r>
      <w:r>
        <w:rPr>
          <w:rFonts w:hint="eastAsia"/>
        </w:rPr>
        <w:t>提出并宣贯。</w:t>
      </w:r>
    </w:p>
    <w:p w:rsidR="00A4204E" w:rsidRDefault="00A4204E" w:rsidP="00A4204E">
      <w:pPr>
        <w:pStyle w:val="affffb"/>
        <w:ind w:firstLine="420"/>
      </w:pPr>
      <w:r>
        <w:rPr>
          <w:rFonts w:hint="eastAsia"/>
        </w:rPr>
        <w:t>本文件由</w:t>
      </w:r>
      <w:r w:rsidRPr="00A4204E">
        <w:rPr>
          <w:rFonts w:hint="eastAsia"/>
        </w:rPr>
        <w:t>广西标准</w:t>
      </w:r>
      <w:r w:rsidRPr="00A4204E">
        <w:t>化协会</w:t>
      </w:r>
      <w:r>
        <w:rPr>
          <w:rFonts w:hint="eastAsia"/>
        </w:rPr>
        <w:t>归口。</w:t>
      </w:r>
    </w:p>
    <w:p w:rsidR="00A4204E" w:rsidRDefault="00A4204E" w:rsidP="00A4204E">
      <w:pPr>
        <w:pStyle w:val="affffb"/>
        <w:ind w:firstLine="420"/>
      </w:pPr>
      <w:r>
        <w:rPr>
          <w:rFonts w:hint="eastAsia"/>
        </w:rPr>
        <w:t>本文件起草单位：</w:t>
      </w:r>
      <w:r w:rsidR="00CF7919" w:rsidRPr="00CF7919">
        <w:rPr>
          <w:rFonts w:hint="eastAsia"/>
        </w:rPr>
        <w:t>南宁市第五人民医院、桂林市社会福利医院</w:t>
      </w:r>
      <w:r w:rsidR="006F34ED" w:rsidRPr="00CF7919">
        <w:rPr>
          <w:rFonts w:hint="eastAsia"/>
        </w:rPr>
        <w:t>、</w:t>
      </w:r>
      <w:r w:rsidR="006F34ED" w:rsidRPr="00CF7919">
        <w:t>玉林市荣军优抚医院</w:t>
      </w:r>
      <w:r w:rsidR="00CF7919">
        <w:rPr>
          <w:rFonts w:hint="eastAsia"/>
        </w:rPr>
        <w:t>。</w:t>
      </w:r>
    </w:p>
    <w:p w:rsidR="00A4204E" w:rsidRDefault="00A4204E" w:rsidP="00A4204E">
      <w:pPr>
        <w:pStyle w:val="affffb"/>
        <w:ind w:firstLine="420"/>
      </w:pPr>
      <w:r>
        <w:rPr>
          <w:rFonts w:hint="eastAsia"/>
        </w:rPr>
        <w:t>本文件主要起草人：</w:t>
      </w:r>
      <w:r w:rsidR="00CF7919" w:rsidRPr="00CF7919">
        <w:rPr>
          <w:rFonts w:hint="eastAsia"/>
        </w:rPr>
        <w:t>雷黎、曹永康、杨学智、陆强、唐仕杰、韦姿柔、李杰、黄和欣、徐小飞、朱丽丽、欧阳珊、黄宇勤、陶光远、李其南、李春梅、伦秋霞、庞小芸</w:t>
      </w:r>
      <w:r w:rsidR="00CF7919">
        <w:rPr>
          <w:rFonts w:hint="eastAsia"/>
        </w:rPr>
        <w:t>。</w:t>
      </w:r>
    </w:p>
    <w:p w:rsidR="00A4204E" w:rsidRDefault="00A4204E" w:rsidP="00A4204E">
      <w:pPr>
        <w:pStyle w:val="affffb"/>
        <w:ind w:firstLine="420"/>
      </w:pPr>
    </w:p>
    <w:p w:rsidR="00A4204E" w:rsidRPr="00A4204E" w:rsidRDefault="00A4204E" w:rsidP="00A4204E">
      <w:pPr>
        <w:pStyle w:val="affffb"/>
        <w:ind w:firstLine="420"/>
        <w:sectPr w:rsidR="00A4204E" w:rsidRPr="00A4204E" w:rsidSect="00772E78">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E01EFB9D1BD4211897599196696D959"/>
        </w:placeholder>
      </w:sdtPr>
      <w:sdtEndPr/>
      <w:sdtContent>
        <w:bookmarkStart w:id="22" w:name="NEW_STAND_NAME" w:displacedByCustomXml="prev"/>
        <w:p w:rsidR="00F26B7E" w:rsidRPr="00F26B7E" w:rsidRDefault="00A4204E" w:rsidP="00A4204E">
          <w:pPr>
            <w:pStyle w:val="afffffffff8"/>
            <w:spacing w:beforeLines="100" w:before="240" w:afterLines="220" w:after="528"/>
          </w:pPr>
          <w:r>
            <w:rPr>
              <w:rFonts w:hint="eastAsia"/>
            </w:rPr>
            <w:t>儿童青少年游戏障碍诊疗规范</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rsidR="00772E78" w:rsidRDefault="00772E78" w:rsidP="00772E78">
      <w:pPr>
        <w:pStyle w:val="affffb"/>
        <w:ind w:firstLine="420"/>
      </w:pPr>
      <w:bookmarkStart w:id="32" w:name="_Toc17233326"/>
      <w:bookmarkStart w:id="33" w:name="_Toc17233334"/>
      <w:bookmarkStart w:id="34" w:name="_Toc24884212"/>
      <w:bookmarkStart w:id="35" w:name="_Toc24884219"/>
      <w:bookmarkStart w:id="36" w:name="_Toc26648466"/>
      <w:r>
        <w:rPr>
          <w:rFonts w:hint="eastAsia"/>
        </w:rPr>
        <w:t>本文件界定了儿童青少年游戏障碍涉及的术语和定义，规定了临床表现与评估、诊断与鉴别诊断、疾病管理、治疗等要求，描述了诊疗过程信息的追溯方法。</w:t>
      </w:r>
    </w:p>
    <w:p w:rsidR="008B0C9C" w:rsidRDefault="00772E78" w:rsidP="00772E78">
      <w:pPr>
        <w:pStyle w:val="affffb"/>
        <w:ind w:firstLine="420"/>
      </w:pPr>
      <w:r>
        <w:rPr>
          <w:rFonts w:hint="eastAsia"/>
        </w:rPr>
        <w:t>本文件适用于医疗机构内儿童青少年游戏障碍诊疗。</w:t>
      </w:r>
    </w:p>
    <w:p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8F7D455C8F70412EAA76DF2BAA6ACAC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772E78" w:rsidP="008A57E6">
          <w:pPr>
            <w:pStyle w:val="affffb"/>
            <w:ind w:firstLine="420"/>
          </w:pPr>
          <w:r>
            <w:rPr>
              <w:rFonts w:hint="eastAsia"/>
            </w:rPr>
            <w:t>本文件没有规范性引用文件。</w:t>
          </w:r>
        </w:p>
      </w:sdtContent>
    </w:sdt>
    <w:p w:rsidR="00B265BC" w:rsidRPr="00E030F9" w:rsidRDefault="00FD59EB" w:rsidP="00FD59EB">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4D88A6C2A9864A73824A86C50DE4A8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772E78" w:rsidP="00BA263B">
          <w:pPr>
            <w:pStyle w:val="affffb"/>
            <w:ind w:firstLine="420"/>
          </w:pPr>
          <w:r>
            <w:t>下列术语和定义适用于本文件。</w:t>
          </w:r>
        </w:p>
      </w:sdtContent>
    </w:sdt>
    <w:p w:rsidR="00772E78" w:rsidRPr="00772E78" w:rsidRDefault="00772E78" w:rsidP="00772E78">
      <w:pPr>
        <w:pStyle w:val="afffffffffff5"/>
        <w:ind w:left="420" w:hangingChars="200" w:hanging="420"/>
        <w:rPr>
          <w:rFonts w:ascii="黑体" w:eastAsia="黑体" w:hAnsi="黑体"/>
        </w:rPr>
      </w:pPr>
      <w:r w:rsidRPr="00772E78">
        <w:rPr>
          <w:rFonts w:ascii="黑体" w:eastAsia="黑体" w:hAnsi="黑体"/>
        </w:rPr>
        <w:br/>
      </w:r>
      <w:r w:rsidRPr="00772E78">
        <w:rPr>
          <w:rFonts w:ascii="黑体" w:eastAsia="黑体" w:hAnsi="黑体" w:hint="eastAsia"/>
        </w:rPr>
        <w:t>儿童  children</w:t>
      </w:r>
    </w:p>
    <w:p w:rsidR="00772E78" w:rsidRDefault="00772E78" w:rsidP="00772E78">
      <w:pPr>
        <w:pStyle w:val="affffb"/>
        <w:ind w:firstLine="420"/>
      </w:pPr>
      <w:r>
        <w:rPr>
          <w:rFonts w:hint="eastAsia"/>
        </w:rPr>
        <w:t>从出生到12岁之间的人群。</w:t>
      </w:r>
    </w:p>
    <w:p w:rsidR="00772E78" w:rsidRDefault="00772E78" w:rsidP="00772E78">
      <w:pPr>
        <w:pStyle w:val="affffb"/>
        <w:ind w:firstLine="420"/>
      </w:pPr>
      <w:r>
        <w:rPr>
          <w:rFonts w:hint="eastAsia"/>
        </w:rPr>
        <w:t>[来源：DB45/T 2659—2023，3.1]</w:t>
      </w:r>
    </w:p>
    <w:p w:rsidR="00772E78" w:rsidRPr="00772E78" w:rsidRDefault="00772E78" w:rsidP="00772E78">
      <w:pPr>
        <w:pStyle w:val="afffffffffff5"/>
        <w:ind w:left="420" w:hangingChars="200" w:hanging="420"/>
        <w:rPr>
          <w:rFonts w:ascii="黑体" w:eastAsia="黑体" w:hAnsi="黑体"/>
        </w:rPr>
      </w:pPr>
      <w:r w:rsidRPr="00772E78">
        <w:rPr>
          <w:rFonts w:ascii="黑体" w:eastAsia="黑体" w:hAnsi="黑体"/>
        </w:rPr>
        <w:br/>
      </w:r>
      <w:r w:rsidRPr="00772E78">
        <w:rPr>
          <w:rFonts w:ascii="黑体" w:eastAsia="黑体" w:hAnsi="黑体" w:hint="eastAsia"/>
        </w:rPr>
        <w:t>青少年  adolescence</w:t>
      </w:r>
    </w:p>
    <w:p w:rsidR="00772E78" w:rsidRDefault="00772E78" w:rsidP="00772E78">
      <w:pPr>
        <w:pStyle w:val="affffb"/>
        <w:ind w:firstLine="420"/>
      </w:pPr>
      <w:r>
        <w:rPr>
          <w:rFonts w:hint="eastAsia"/>
        </w:rPr>
        <w:t>年龄介于13～19岁之间的人群。</w:t>
      </w:r>
    </w:p>
    <w:p w:rsidR="00772E78" w:rsidRDefault="00772E78" w:rsidP="00772E78">
      <w:pPr>
        <w:pStyle w:val="affffb"/>
        <w:ind w:firstLine="420"/>
      </w:pPr>
      <w:r>
        <w:rPr>
          <w:rFonts w:hint="eastAsia"/>
        </w:rPr>
        <w:t>[来源：DB45/T 2659—2023，3.2]</w:t>
      </w:r>
    </w:p>
    <w:p w:rsidR="00772E78" w:rsidRPr="00772E78" w:rsidRDefault="00772E78" w:rsidP="00772E78">
      <w:pPr>
        <w:pStyle w:val="afffffffffff5"/>
        <w:ind w:left="420" w:hangingChars="200" w:hanging="420"/>
        <w:rPr>
          <w:rFonts w:ascii="黑体" w:eastAsia="黑体" w:hAnsi="黑体"/>
        </w:rPr>
      </w:pPr>
      <w:r w:rsidRPr="00772E78">
        <w:rPr>
          <w:rFonts w:ascii="黑体" w:eastAsia="黑体" w:hAnsi="黑体"/>
        </w:rPr>
        <w:br/>
      </w:r>
      <w:r w:rsidRPr="00772E78">
        <w:rPr>
          <w:rFonts w:ascii="黑体" w:eastAsia="黑体" w:hAnsi="黑体" w:hint="eastAsia"/>
        </w:rPr>
        <w:t>游戏障碍  gaming disorder</w:t>
      </w:r>
    </w:p>
    <w:p w:rsidR="00772E78" w:rsidRDefault="00772E78" w:rsidP="00772E78">
      <w:pPr>
        <w:pStyle w:val="affffb"/>
        <w:ind w:firstLine="420"/>
      </w:pPr>
      <w:r>
        <w:rPr>
          <w:rFonts w:hint="eastAsia"/>
        </w:rPr>
        <w:t>一种持续或反复地使用电子或视频游戏的行为模式，表现为游戏行为失控，游戏成为生活中优先行为，不顾不良后果继续游戏行为，并持续较长时间。</w:t>
      </w:r>
    </w:p>
    <w:p w:rsidR="00772E78" w:rsidRDefault="00772E78" w:rsidP="00772E78">
      <w:pPr>
        <w:pStyle w:val="affffb"/>
        <w:ind w:firstLine="420"/>
      </w:pPr>
      <w:r>
        <w:rPr>
          <w:rFonts w:hint="eastAsia"/>
        </w:rPr>
        <w:t>[来源：World Health Organization Inclusion of “gaming disorder” in ICD-11，2021]</w:t>
      </w:r>
    </w:p>
    <w:p w:rsidR="00772E78" w:rsidRPr="00772E78" w:rsidRDefault="00772E78" w:rsidP="00772E78">
      <w:pPr>
        <w:pStyle w:val="afffffffffff5"/>
        <w:ind w:left="420" w:hangingChars="200" w:hanging="420"/>
        <w:rPr>
          <w:rFonts w:ascii="黑体" w:eastAsia="黑体" w:hAnsi="黑体"/>
        </w:rPr>
      </w:pPr>
      <w:r w:rsidRPr="00772E78">
        <w:rPr>
          <w:rFonts w:ascii="黑体" w:eastAsia="黑体" w:hAnsi="黑体"/>
        </w:rPr>
        <w:br/>
      </w:r>
      <w:r w:rsidRPr="00772E78">
        <w:rPr>
          <w:rFonts w:ascii="黑体" w:eastAsia="黑体" w:hAnsi="黑体" w:hint="eastAsia"/>
        </w:rPr>
        <w:t>高风险人群  high-risk group</w:t>
      </w:r>
    </w:p>
    <w:p w:rsidR="00772E78" w:rsidRDefault="00772E78" w:rsidP="00772E78">
      <w:pPr>
        <w:pStyle w:val="affffb"/>
        <w:ind w:firstLine="420"/>
      </w:pPr>
      <w:r>
        <w:rPr>
          <w:rFonts w:hint="eastAsia"/>
        </w:rPr>
        <w:t>自愿进行疾病筛查且筛查阳性的儿童青少年。</w:t>
      </w:r>
    </w:p>
    <w:p w:rsidR="00772E78" w:rsidRPr="00772E78" w:rsidRDefault="00772E78" w:rsidP="00772E78">
      <w:pPr>
        <w:pStyle w:val="afffffffffff5"/>
        <w:ind w:left="420" w:hangingChars="200" w:hanging="420"/>
        <w:rPr>
          <w:rFonts w:ascii="黑体" w:eastAsia="黑体" w:hAnsi="黑体"/>
        </w:rPr>
      </w:pPr>
      <w:r w:rsidRPr="00772E78">
        <w:rPr>
          <w:rFonts w:ascii="黑体" w:eastAsia="黑体" w:hAnsi="黑体"/>
        </w:rPr>
        <w:br/>
      </w:r>
      <w:r w:rsidRPr="00772E78">
        <w:rPr>
          <w:rFonts w:ascii="黑体" w:eastAsia="黑体" w:hAnsi="黑体" w:hint="eastAsia"/>
        </w:rPr>
        <w:t>赌博障碍  gambling disorder</w:t>
      </w:r>
    </w:p>
    <w:p w:rsidR="004B3E93" w:rsidRDefault="00772E78" w:rsidP="00772E78">
      <w:pPr>
        <w:pStyle w:val="affffb"/>
        <w:ind w:firstLine="420"/>
      </w:pPr>
      <w:r>
        <w:rPr>
          <w:rFonts w:hint="eastAsia"/>
        </w:rPr>
        <w:t>一种持续或反复的赌博行为模式，表现为无法控制的赌博冲动，尽管这种行为对个人造成了显著的负面后果。</w:t>
      </w:r>
    </w:p>
    <w:p w:rsidR="00772E78" w:rsidRPr="00772E78" w:rsidRDefault="00772E78" w:rsidP="00772E78">
      <w:pPr>
        <w:pStyle w:val="afffffffffff5"/>
        <w:ind w:left="420" w:hangingChars="200" w:hanging="420"/>
        <w:rPr>
          <w:rFonts w:ascii="黑体" w:eastAsia="黑体" w:hAnsi="黑体"/>
        </w:rPr>
      </w:pPr>
      <w:r w:rsidRPr="00772E78">
        <w:rPr>
          <w:rFonts w:ascii="黑体" w:eastAsia="黑体" w:hAnsi="黑体"/>
        </w:rPr>
        <w:br/>
      </w:r>
      <w:r w:rsidRPr="00772E78">
        <w:rPr>
          <w:rFonts w:ascii="黑体" w:eastAsia="黑体" w:hAnsi="黑体" w:hint="eastAsia"/>
        </w:rPr>
        <w:t>双相及相关障碍  bipolar and related disorders</w:t>
      </w:r>
    </w:p>
    <w:p w:rsidR="00772E78" w:rsidRDefault="00772E78" w:rsidP="00772E78">
      <w:pPr>
        <w:pStyle w:val="affffb"/>
        <w:ind w:firstLine="420"/>
      </w:pPr>
      <w:r>
        <w:rPr>
          <w:rFonts w:hint="eastAsia"/>
        </w:rPr>
        <w:t>临床上既有躁狂或轻躁狂发作，又有抑郁发作的一类心境障碍。是一种反复发生躁狂发作、混合发作、轻躁狂发作或躁狂症状的间歇性的情感障碍，典型的表现是在这些发作的病程中会交替出现抑郁发作或一段时间的抑郁症状。</w:t>
      </w:r>
    </w:p>
    <w:p w:rsidR="00772E78" w:rsidRDefault="00772E78" w:rsidP="00772E78">
      <w:pPr>
        <w:pStyle w:val="affffb"/>
        <w:ind w:firstLine="420"/>
      </w:pPr>
      <w:r>
        <w:rPr>
          <w:rFonts w:hint="eastAsia"/>
        </w:rPr>
        <w:t>[来源：World Health Organization Inclusion of “Bipolar and related disorders” in ICD-11，2021]</w:t>
      </w:r>
    </w:p>
    <w:p w:rsidR="00772E78" w:rsidRPr="00772E78" w:rsidRDefault="00772E78" w:rsidP="00772E78">
      <w:pPr>
        <w:pStyle w:val="afffffffffff5"/>
        <w:ind w:left="420" w:hangingChars="200" w:hanging="420"/>
        <w:rPr>
          <w:rFonts w:ascii="黑体" w:eastAsia="黑体" w:hAnsi="黑体"/>
        </w:rPr>
      </w:pPr>
      <w:r w:rsidRPr="00772E78">
        <w:rPr>
          <w:rFonts w:ascii="黑体" w:eastAsia="黑体" w:hAnsi="黑体"/>
        </w:rPr>
        <w:br/>
      </w:r>
      <w:r w:rsidRPr="00772E78">
        <w:rPr>
          <w:rFonts w:ascii="黑体" w:eastAsia="黑体" w:hAnsi="黑体" w:hint="eastAsia"/>
        </w:rPr>
        <w:t>强迫障碍  obsessive-compulsive disorder</w:t>
      </w:r>
    </w:p>
    <w:p w:rsidR="00772E78" w:rsidRDefault="00772E78" w:rsidP="00772E78">
      <w:pPr>
        <w:pStyle w:val="affffb"/>
        <w:ind w:firstLine="420"/>
      </w:pPr>
      <w:r>
        <w:rPr>
          <w:rFonts w:hint="eastAsia"/>
        </w:rPr>
        <w:t>一种以反复出现的强迫观念、强迫冲动或强迫行为等为主要临床表现的精神障碍。</w:t>
      </w:r>
    </w:p>
    <w:p w:rsidR="00772E78" w:rsidRPr="00772E78" w:rsidRDefault="00772E78" w:rsidP="00772E78">
      <w:pPr>
        <w:pStyle w:val="afffffffffff5"/>
        <w:ind w:left="420" w:hangingChars="200" w:hanging="420"/>
        <w:rPr>
          <w:rFonts w:ascii="黑体" w:eastAsia="黑体" w:hAnsi="黑体"/>
        </w:rPr>
      </w:pPr>
      <w:r w:rsidRPr="00772E78">
        <w:rPr>
          <w:rFonts w:ascii="黑体" w:eastAsia="黑体" w:hAnsi="黑体"/>
        </w:rPr>
        <w:br/>
      </w:r>
      <w:proofErr w:type="gramStart"/>
      <w:r w:rsidRPr="00772E78">
        <w:rPr>
          <w:rFonts w:ascii="黑体" w:eastAsia="黑体" w:hAnsi="黑体" w:hint="eastAsia"/>
        </w:rPr>
        <w:t>共病</w:t>
      </w:r>
      <w:proofErr w:type="gramEnd"/>
      <w:r w:rsidRPr="00772E78">
        <w:rPr>
          <w:rFonts w:ascii="黑体" w:eastAsia="黑体" w:hAnsi="黑体" w:hint="eastAsia"/>
        </w:rPr>
        <w:t xml:space="preserve">  venereal disease</w:t>
      </w:r>
    </w:p>
    <w:p w:rsidR="00772E78" w:rsidRDefault="00772E78" w:rsidP="00772E78">
      <w:pPr>
        <w:pStyle w:val="affffb"/>
        <w:ind w:firstLine="420"/>
      </w:pPr>
      <w:r>
        <w:rPr>
          <w:rFonts w:hint="eastAsia"/>
        </w:rPr>
        <w:lastRenderedPageBreak/>
        <w:t>同一个体同时患有两种或两种以上的疾病或健康问题。</w:t>
      </w:r>
    </w:p>
    <w:p w:rsidR="00772E78" w:rsidRDefault="00772E78" w:rsidP="00772E78">
      <w:pPr>
        <w:pStyle w:val="affc"/>
        <w:spacing w:before="240" w:after="240"/>
      </w:pPr>
      <w:r>
        <w:rPr>
          <w:rFonts w:hint="eastAsia"/>
        </w:rPr>
        <w:t>临床表现与评估</w:t>
      </w:r>
    </w:p>
    <w:p w:rsidR="00772E78" w:rsidRDefault="00772E78" w:rsidP="00772E78">
      <w:pPr>
        <w:pStyle w:val="affd"/>
        <w:spacing w:before="120" w:after="120"/>
      </w:pPr>
      <w:r>
        <w:rPr>
          <w:rFonts w:hint="eastAsia"/>
        </w:rPr>
        <w:t>临床表现</w:t>
      </w:r>
    </w:p>
    <w:p w:rsidR="00772E78" w:rsidRDefault="00772E78" w:rsidP="00772E78">
      <w:pPr>
        <w:pStyle w:val="affe"/>
        <w:spacing w:before="120" w:after="120"/>
      </w:pPr>
      <w:r>
        <w:rPr>
          <w:rFonts w:hint="eastAsia"/>
        </w:rPr>
        <w:t>核心症状</w:t>
      </w:r>
    </w:p>
    <w:p w:rsidR="00772E78" w:rsidRDefault="00772E78" w:rsidP="00772E78">
      <w:pPr>
        <w:pStyle w:val="affffb"/>
        <w:ind w:firstLine="420"/>
      </w:pPr>
      <w:r>
        <w:rPr>
          <w:rFonts w:hint="eastAsia"/>
        </w:rPr>
        <w:t>应包括：</w:t>
      </w:r>
    </w:p>
    <w:p w:rsidR="00772E78" w:rsidRDefault="00772E78" w:rsidP="00772E78">
      <w:pPr>
        <w:pStyle w:val="af5"/>
      </w:pPr>
      <w:r>
        <w:rPr>
          <w:rFonts w:hint="eastAsia"/>
        </w:rPr>
        <w:t>控制游戏行为的能力受损（包括对开始游戏、频率、强度、持续时间、结束游戏、游戏行为的背景</w:t>
      </w:r>
      <w:proofErr w:type="gramStart"/>
      <w:r>
        <w:rPr>
          <w:rFonts w:hint="eastAsia"/>
        </w:rPr>
        <w:t>等失去</w:t>
      </w:r>
      <w:proofErr w:type="gramEnd"/>
      <w:r>
        <w:rPr>
          <w:rFonts w:hint="eastAsia"/>
        </w:rPr>
        <w:t>控制的表现）；</w:t>
      </w:r>
    </w:p>
    <w:p w:rsidR="00772E78" w:rsidRDefault="00772E78" w:rsidP="00772E78">
      <w:pPr>
        <w:pStyle w:val="af5"/>
      </w:pPr>
      <w:r>
        <w:rPr>
          <w:rFonts w:hint="eastAsia"/>
        </w:rPr>
        <w:t>游戏在生活中的优先程度不断增加，超出其他的兴趣或日常活动；</w:t>
      </w:r>
    </w:p>
    <w:p w:rsidR="00772E78" w:rsidRDefault="00772E78" w:rsidP="00772E78">
      <w:pPr>
        <w:pStyle w:val="af5"/>
      </w:pPr>
      <w:r>
        <w:rPr>
          <w:rFonts w:hint="eastAsia"/>
        </w:rPr>
        <w:t>虽然已出现负面后果，但游戏行为仍持续或不断升级。</w:t>
      </w:r>
    </w:p>
    <w:p w:rsidR="00772E78" w:rsidRDefault="00772E78" w:rsidP="00772E78">
      <w:pPr>
        <w:pStyle w:val="affe"/>
        <w:spacing w:before="120" w:after="120"/>
      </w:pPr>
      <w:r>
        <w:rPr>
          <w:rFonts w:hint="eastAsia"/>
        </w:rPr>
        <w:t>伴随症状</w:t>
      </w:r>
    </w:p>
    <w:p w:rsidR="00772E78" w:rsidRDefault="00772E78" w:rsidP="00772E78">
      <w:pPr>
        <w:pStyle w:val="affffb"/>
        <w:ind w:firstLine="420"/>
      </w:pPr>
      <w:r>
        <w:rPr>
          <w:rFonts w:hint="eastAsia"/>
        </w:rPr>
        <w:t>应包括：</w:t>
      </w:r>
    </w:p>
    <w:p w:rsidR="001D212F" w:rsidRDefault="00772E78" w:rsidP="00772E78">
      <w:pPr>
        <w:pStyle w:val="af5"/>
        <w:numPr>
          <w:ilvl w:val="0"/>
          <w:numId w:val="32"/>
        </w:numPr>
      </w:pPr>
      <w:r>
        <w:rPr>
          <w:rFonts w:hint="eastAsia"/>
        </w:rPr>
        <w:t>神经功能损害：常表现为逻辑思维迟钝，注意力不集中、</w:t>
      </w:r>
      <w:proofErr w:type="gramStart"/>
      <w:r>
        <w:rPr>
          <w:rFonts w:hint="eastAsia"/>
        </w:rPr>
        <w:t>不</w:t>
      </w:r>
      <w:proofErr w:type="gramEnd"/>
      <w:r>
        <w:rPr>
          <w:rFonts w:hint="eastAsia"/>
        </w:rPr>
        <w:t>持久，记忆力减退，缺乏时间感，易疲劳，可出现头晕头痛，严重者甚至出现癫痫发作等；</w:t>
      </w:r>
    </w:p>
    <w:p w:rsidR="00772E78" w:rsidRDefault="00772E78" w:rsidP="00772E78">
      <w:pPr>
        <w:pStyle w:val="af5"/>
      </w:pPr>
      <w:r>
        <w:rPr>
          <w:rFonts w:hint="eastAsia"/>
        </w:rPr>
        <w:t>认知内容损害：沉溺于与游戏相关的文化氛围，出现包括但不限于现实解体、游戏性幻想等认知内容异常，后期可出现自我评价低、悲观、绝望等认知改变；</w:t>
      </w:r>
    </w:p>
    <w:p w:rsidR="00772E78" w:rsidRDefault="00772E78" w:rsidP="00772E78">
      <w:pPr>
        <w:pStyle w:val="af5"/>
      </w:pPr>
      <w:r>
        <w:rPr>
          <w:rFonts w:hint="eastAsia"/>
        </w:rPr>
        <w:t>情感障碍：出现情感反应性改变，倾向于易激动、烦躁不安，游戏时可出现易兴奋又易疲劳的表现，当游戏行为被制止时或被教育时可出现情感低落或激越表现；</w:t>
      </w:r>
    </w:p>
    <w:p w:rsidR="00772E78" w:rsidRDefault="00772E78" w:rsidP="00772E78">
      <w:pPr>
        <w:pStyle w:val="af5"/>
      </w:pPr>
      <w:r>
        <w:rPr>
          <w:rFonts w:hint="eastAsia"/>
        </w:rPr>
        <w:t>行为异常：可出现游戏角色行为模仿等模仿行为，或由此衍生的目的不明的行为举动；</w:t>
      </w:r>
    </w:p>
    <w:p w:rsidR="00772E78" w:rsidRDefault="00772E78" w:rsidP="00772E78">
      <w:pPr>
        <w:pStyle w:val="af5"/>
      </w:pPr>
      <w:r>
        <w:rPr>
          <w:rFonts w:hint="eastAsia"/>
        </w:rPr>
        <w:t>人格改变或品行障碍：常见表现有家庭冲突，行为冲动，说谎，逃学逃课；也有回避现实社交，不出门，不愿与人沟通，人际关系逐渐紧张，变得敏感、警觉，不服从社会规范；遭遇挫折时容易沮丧悲观，容易放弃，甚至缺乏与人接近、向人求助的勇气等；</w:t>
      </w:r>
    </w:p>
    <w:p w:rsidR="00772E78" w:rsidRDefault="00772E78" w:rsidP="00772E78">
      <w:pPr>
        <w:pStyle w:val="af5"/>
      </w:pPr>
      <w:r>
        <w:rPr>
          <w:rFonts w:hint="eastAsia"/>
        </w:rPr>
        <w:t>视力下降：因长时间游戏过度用眼导致的视力下降，其他原因造成的视力障碍不在此列；</w:t>
      </w:r>
    </w:p>
    <w:p w:rsidR="00772E78" w:rsidRDefault="00772E78" w:rsidP="00772E78">
      <w:pPr>
        <w:pStyle w:val="af5"/>
      </w:pPr>
      <w:r>
        <w:rPr>
          <w:rFonts w:hint="eastAsia"/>
        </w:rPr>
        <w:t>睡眠障碍：典型表现是昼伏夜出，睡眠浅，多梦，且梦境常与游戏相关；</w:t>
      </w:r>
    </w:p>
    <w:p w:rsidR="00772E78" w:rsidRDefault="00772E78" w:rsidP="00772E78">
      <w:pPr>
        <w:pStyle w:val="af5"/>
      </w:pPr>
      <w:r>
        <w:rPr>
          <w:rFonts w:hint="eastAsia"/>
        </w:rPr>
        <w:t>食欲与体重改变：进食不规律，常出现体重下降；</w:t>
      </w:r>
    </w:p>
    <w:p w:rsidR="007A5D3A" w:rsidRDefault="00772E78" w:rsidP="00772E78">
      <w:pPr>
        <w:pStyle w:val="af5"/>
      </w:pPr>
      <w:r>
        <w:rPr>
          <w:rFonts w:hint="eastAsia"/>
        </w:rPr>
        <w:t>其他系统的症状：常见的有肩颈肌肉劳损，键盘手，鼠标手，驼背或脊柱侧弯，骨质疏松等。</w:t>
      </w:r>
    </w:p>
    <w:p w:rsidR="0069561D" w:rsidRDefault="0069561D" w:rsidP="0069561D">
      <w:pPr>
        <w:pStyle w:val="affd"/>
        <w:spacing w:before="120" w:after="120"/>
      </w:pPr>
      <w:r>
        <w:rPr>
          <w:rFonts w:hint="eastAsia"/>
        </w:rPr>
        <w:t>临床评估</w:t>
      </w:r>
    </w:p>
    <w:p w:rsidR="0069561D" w:rsidRDefault="0069561D" w:rsidP="0069561D">
      <w:pPr>
        <w:pStyle w:val="affe"/>
        <w:spacing w:before="120" w:after="120"/>
      </w:pPr>
      <w:r>
        <w:rPr>
          <w:rFonts w:hint="eastAsia"/>
        </w:rPr>
        <w:t>筛查</w:t>
      </w:r>
    </w:p>
    <w:p w:rsidR="0069561D" w:rsidRDefault="0069561D" w:rsidP="0069561D">
      <w:pPr>
        <w:pStyle w:val="affffb"/>
        <w:ind w:firstLine="420"/>
      </w:pPr>
      <w:r>
        <w:rPr>
          <w:rFonts w:hint="eastAsia"/>
        </w:rPr>
        <w:t>使用游戏障碍风险分级评估量表（见附录A.1）对普通人群进行筛查。</w:t>
      </w:r>
    </w:p>
    <w:p w:rsidR="0069561D" w:rsidRDefault="0069561D" w:rsidP="0069561D">
      <w:pPr>
        <w:pStyle w:val="affe"/>
        <w:spacing w:before="120" w:after="120"/>
      </w:pPr>
      <w:r>
        <w:rPr>
          <w:rFonts w:hint="eastAsia"/>
        </w:rPr>
        <w:t>评估</w:t>
      </w:r>
    </w:p>
    <w:p w:rsidR="0069561D" w:rsidRDefault="0069561D" w:rsidP="0069561D">
      <w:pPr>
        <w:pStyle w:val="affffb"/>
        <w:ind w:firstLine="420"/>
      </w:pPr>
      <w:r>
        <w:rPr>
          <w:rFonts w:hint="eastAsia"/>
        </w:rPr>
        <w:t>游戏障碍者可能伴有多种躯体或精神健康问题，应进行全面系统评估，评估内容包括：</w:t>
      </w:r>
    </w:p>
    <w:p w:rsidR="0069561D" w:rsidRDefault="0069561D" w:rsidP="0069561D">
      <w:pPr>
        <w:pStyle w:val="af5"/>
        <w:numPr>
          <w:ilvl w:val="0"/>
          <w:numId w:val="33"/>
        </w:numPr>
      </w:pPr>
      <w:r>
        <w:rPr>
          <w:rFonts w:hint="eastAsia"/>
        </w:rPr>
        <w:t>个体游戏使用比预先更大频度或使用时间更长；</w:t>
      </w:r>
    </w:p>
    <w:p w:rsidR="0069561D" w:rsidRDefault="0069561D" w:rsidP="0069561D">
      <w:pPr>
        <w:pStyle w:val="af5"/>
      </w:pPr>
      <w:r>
        <w:rPr>
          <w:rFonts w:hint="eastAsia"/>
        </w:rPr>
        <w:t>个体可能表达持续的欲望想要削减或规律使用游戏并可能诉求多种不成功的努力以减少使用或停止使用；</w:t>
      </w:r>
    </w:p>
    <w:p w:rsidR="0069561D" w:rsidRDefault="0069561D" w:rsidP="0069561D">
      <w:pPr>
        <w:pStyle w:val="af5"/>
      </w:pPr>
      <w:r>
        <w:rPr>
          <w:rFonts w:hint="eastAsia"/>
        </w:rPr>
        <w:t>个体可能花费很多时间使用游戏或从其效果下恢复过来。在某些更严重的病例中，个体的所有日常活动围绕着使用游戏；</w:t>
      </w:r>
    </w:p>
    <w:p w:rsidR="0069561D" w:rsidRDefault="0069561D" w:rsidP="0069561D">
      <w:pPr>
        <w:pStyle w:val="af5"/>
      </w:pPr>
      <w:r>
        <w:rPr>
          <w:rFonts w:hint="eastAsia"/>
        </w:rPr>
        <w:t>对使用游戏存在强烈的欲望或要求，可能发生于任何时间，但更可能发生在曾经使用游戏的时间和地点；</w:t>
      </w:r>
    </w:p>
    <w:p w:rsidR="0069561D" w:rsidRDefault="0069561D" w:rsidP="0069561D">
      <w:pPr>
        <w:pStyle w:val="af5"/>
      </w:pPr>
      <w:r>
        <w:rPr>
          <w:rFonts w:hint="eastAsia"/>
        </w:rPr>
        <w:t>反复的过度使用游戏可能导致担任在工作、学校或家庭中主要职责的失败；</w:t>
      </w:r>
    </w:p>
    <w:p w:rsidR="0069561D" w:rsidRDefault="0069561D" w:rsidP="0069561D">
      <w:pPr>
        <w:pStyle w:val="af5"/>
      </w:pPr>
      <w:r>
        <w:rPr>
          <w:rFonts w:hint="eastAsia"/>
        </w:rPr>
        <w:t>即使已经存在由过度使用游戏引起或恶化的持续或反复的社会或人际问题个体可能后仍继续使用游戏；</w:t>
      </w:r>
    </w:p>
    <w:p w:rsidR="0069561D" w:rsidRDefault="0069561D" w:rsidP="0069561D">
      <w:pPr>
        <w:pStyle w:val="af5"/>
      </w:pPr>
      <w:r>
        <w:rPr>
          <w:rFonts w:hint="eastAsia"/>
        </w:rPr>
        <w:t>可能因为过度使用游戏而放弃或减少重要的社会，职业，或娱乐活动。个体可能为了使用游戏而退出家庭活动和爱好；</w:t>
      </w:r>
    </w:p>
    <w:p w:rsidR="0069561D" w:rsidRDefault="0069561D" w:rsidP="0069561D">
      <w:pPr>
        <w:pStyle w:val="af5"/>
      </w:pPr>
      <w:r>
        <w:rPr>
          <w:rFonts w:hint="eastAsia"/>
        </w:rPr>
        <w:t>即使在危害身体的情况下也要过度使用游戏；</w:t>
      </w:r>
    </w:p>
    <w:p w:rsidR="0069561D" w:rsidRDefault="0069561D" w:rsidP="0069561D">
      <w:pPr>
        <w:pStyle w:val="af5"/>
      </w:pPr>
      <w:r>
        <w:rPr>
          <w:rFonts w:hint="eastAsia"/>
        </w:rPr>
        <w:lastRenderedPageBreak/>
        <w:t>即使知道很可能由过度使用游戏引起或恶化的持续或反复的身体或心理问题，个体也要继续过度使用游戏。</w:t>
      </w:r>
    </w:p>
    <w:p w:rsidR="0069561D" w:rsidRDefault="0069561D" w:rsidP="0069561D">
      <w:pPr>
        <w:pStyle w:val="affd"/>
        <w:spacing w:before="120" w:after="120"/>
      </w:pPr>
      <w:r>
        <w:rPr>
          <w:rFonts w:hint="eastAsia"/>
        </w:rPr>
        <w:t>预后评估</w:t>
      </w:r>
    </w:p>
    <w:p w:rsidR="0069561D" w:rsidRDefault="0069561D" w:rsidP="0069561D">
      <w:pPr>
        <w:pStyle w:val="affffb"/>
        <w:ind w:firstLine="420"/>
      </w:pPr>
      <w:r>
        <w:rPr>
          <w:rFonts w:hint="eastAsia"/>
        </w:rPr>
        <w:t>评估内容应包括：</w:t>
      </w:r>
    </w:p>
    <w:p w:rsidR="0069561D" w:rsidRDefault="0069561D" w:rsidP="0069561D">
      <w:pPr>
        <w:pStyle w:val="af5"/>
        <w:numPr>
          <w:ilvl w:val="0"/>
          <w:numId w:val="34"/>
        </w:numPr>
      </w:pPr>
      <w:r>
        <w:rPr>
          <w:rFonts w:hint="eastAsia"/>
        </w:rPr>
        <w:t>影响治疗及康复的保护因素和危险因素（如家庭及社会支持情况、社会经济水平等）；</w:t>
      </w:r>
    </w:p>
    <w:p w:rsidR="0069561D" w:rsidRDefault="0069561D" w:rsidP="0069561D">
      <w:pPr>
        <w:pStyle w:val="af5"/>
      </w:pPr>
      <w:r>
        <w:rPr>
          <w:rFonts w:hint="eastAsia"/>
        </w:rPr>
        <w:t>患者治疗依从性评估；</w:t>
      </w:r>
    </w:p>
    <w:p w:rsidR="003E019F" w:rsidRDefault="0069561D" w:rsidP="0069561D">
      <w:pPr>
        <w:pStyle w:val="af5"/>
      </w:pPr>
      <w:r>
        <w:rPr>
          <w:rFonts w:hint="eastAsia"/>
        </w:rPr>
        <w:t>使用游戏障碍风险分级评估量表（见附录A.1）进行评估等。</w:t>
      </w:r>
    </w:p>
    <w:p w:rsidR="00C6359A" w:rsidRDefault="00C6359A" w:rsidP="00C6359A">
      <w:pPr>
        <w:pStyle w:val="affc"/>
        <w:spacing w:before="240" w:after="240"/>
      </w:pPr>
      <w:bookmarkStart w:id="43" w:name="_Toc185865684"/>
      <w:bookmarkStart w:id="44" w:name="_Toc160440936"/>
      <w:bookmarkStart w:id="45" w:name="_Toc185528615"/>
      <w:bookmarkStart w:id="46" w:name="_Toc187422148"/>
      <w:bookmarkStart w:id="47" w:name="_Toc196684863"/>
      <w:r>
        <w:rPr>
          <w:rFonts w:hint="eastAsia"/>
        </w:rPr>
        <w:t>诊断与鉴别诊断</w:t>
      </w:r>
      <w:bookmarkEnd w:id="43"/>
      <w:bookmarkEnd w:id="44"/>
      <w:bookmarkEnd w:id="45"/>
      <w:bookmarkEnd w:id="46"/>
      <w:bookmarkEnd w:id="47"/>
    </w:p>
    <w:p w:rsidR="00C6359A" w:rsidRDefault="00C6359A" w:rsidP="00C6359A">
      <w:pPr>
        <w:pStyle w:val="affd"/>
        <w:spacing w:before="120" w:after="120"/>
      </w:pPr>
      <w:bookmarkStart w:id="48" w:name="_Toc185528616"/>
      <w:bookmarkStart w:id="49" w:name="_Toc185865685"/>
      <w:bookmarkStart w:id="50" w:name="_Toc196684864"/>
      <w:bookmarkStart w:id="51" w:name="_Toc187422149"/>
      <w:r>
        <w:rPr>
          <w:rFonts w:hint="eastAsia"/>
        </w:rPr>
        <w:t>诊断要点</w:t>
      </w:r>
      <w:bookmarkEnd w:id="48"/>
      <w:bookmarkEnd w:id="49"/>
      <w:bookmarkEnd w:id="50"/>
      <w:bookmarkEnd w:id="51"/>
    </w:p>
    <w:p w:rsidR="00C6359A" w:rsidRDefault="00C6359A" w:rsidP="00C6359A">
      <w:pPr>
        <w:pStyle w:val="afffffffff1"/>
      </w:pPr>
      <w:bookmarkStart w:id="52" w:name="_Hlk201157653"/>
      <w:r>
        <w:rPr>
          <w:rFonts w:hint="eastAsia"/>
        </w:rPr>
        <w:t>表现为持续性的游戏（电子游戏）行为模式，以线上（例如互联网或其他类似网络）或线下为主，且对游戏的失控性使用具备下列核心症状：</w:t>
      </w:r>
    </w:p>
    <w:p w:rsidR="00C6359A" w:rsidRDefault="00C6359A" w:rsidP="00C6359A">
      <w:pPr>
        <w:pStyle w:val="af2"/>
        <w:tabs>
          <w:tab w:val="left" w:pos="851"/>
        </w:tabs>
      </w:pPr>
      <w:r>
        <w:rPr>
          <w:rFonts w:hint="eastAsia"/>
        </w:rPr>
        <w:t>对游戏行为的控制力如起始、频率、强度、持续时间、终止、行为情境等受损；</w:t>
      </w:r>
    </w:p>
    <w:p w:rsidR="00C6359A" w:rsidRDefault="00C6359A" w:rsidP="00C6359A">
      <w:pPr>
        <w:pStyle w:val="af2"/>
        <w:tabs>
          <w:tab w:val="left" w:pos="851"/>
        </w:tabs>
      </w:pPr>
      <w:r>
        <w:rPr>
          <w:rFonts w:hint="eastAsia"/>
        </w:rPr>
        <w:t>逐渐将游戏置于首位，以至于游戏优先于其他兴趣爱好和日常行为；</w:t>
      </w:r>
    </w:p>
    <w:p w:rsidR="00C6359A" w:rsidRDefault="00C6359A" w:rsidP="00C6359A">
      <w:pPr>
        <w:pStyle w:val="af2"/>
        <w:tabs>
          <w:tab w:val="left" w:pos="851"/>
        </w:tabs>
      </w:pPr>
      <w:r>
        <w:rPr>
          <w:rFonts w:hint="eastAsia"/>
        </w:rPr>
        <w:t>尽管出现诸多如由游戏行为所致的家庭冲突、学业表现较差和对健康的不良影响等负性结果，游戏行为仍持续甚至加重。</w:t>
      </w:r>
      <w:bookmarkEnd w:id="52"/>
    </w:p>
    <w:p w:rsidR="00C6359A" w:rsidRDefault="00C6359A" w:rsidP="00C6359A">
      <w:pPr>
        <w:pStyle w:val="afffffffff1"/>
      </w:pPr>
      <w:r>
        <w:rPr>
          <w:rFonts w:hint="eastAsia"/>
        </w:rPr>
        <w:t>游戏行为模式可呈连续性或周期性，可反复出现，但总体上持续</w:t>
      </w:r>
      <w:r>
        <w:t>12个月以上</w:t>
      </w:r>
      <w:r>
        <w:rPr>
          <w:rFonts w:hint="eastAsia"/>
        </w:rPr>
        <w:t>的较长时间</w:t>
      </w:r>
      <w:r>
        <w:t>。</w:t>
      </w:r>
      <w:bookmarkStart w:id="53" w:name="_Hlk201157779"/>
      <w:r>
        <w:rPr>
          <w:rFonts w:hint="eastAsia"/>
        </w:rPr>
        <w:t>如果符合所有诊断要求且症状严重，所需持续时间可能缩短</w:t>
      </w:r>
      <w:bookmarkEnd w:id="53"/>
      <w:r>
        <w:t>。</w:t>
      </w:r>
    </w:p>
    <w:p w:rsidR="00C6359A" w:rsidRDefault="00C6359A" w:rsidP="00C6359A">
      <w:pPr>
        <w:pStyle w:val="afffffffff1"/>
      </w:pPr>
      <w:r>
        <w:rPr>
          <w:rFonts w:hint="eastAsia"/>
        </w:rPr>
        <w:t>无法由其他精神障碍（</w:t>
      </w:r>
      <w:r>
        <w:t>如躁狂发作</w:t>
      </w:r>
      <w:r>
        <w:rPr>
          <w:rFonts w:hint="eastAsia"/>
        </w:rPr>
        <w:t>）</w:t>
      </w:r>
      <w:r>
        <w:t>解释</w:t>
      </w:r>
      <w:r>
        <w:rPr>
          <w:rFonts w:hint="eastAsia"/>
        </w:rPr>
        <w:t>的游戏行为</w:t>
      </w:r>
      <w:r>
        <w:t>，且不是由精神活性物质或药物的使用所引起。</w:t>
      </w:r>
    </w:p>
    <w:p w:rsidR="00C6359A" w:rsidRDefault="00C6359A" w:rsidP="00C6359A">
      <w:pPr>
        <w:pStyle w:val="afffffffff1"/>
      </w:pPr>
      <w:r>
        <w:rPr>
          <w:rFonts w:hint="eastAsia"/>
        </w:rPr>
        <w:t>游戏行为模式导致了显著的痛苦或个人、家庭、社会、教育、职业等方面的功能损害。</w:t>
      </w:r>
    </w:p>
    <w:p w:rsidR="00C6359A" w:rsidRDefault="00C6359A" w:rsidP="00C6359A">
      <w:pPr>
        <w:pStyle w:val="affd"/>
        <w:spacing w:before="120" w:after="120"/>
      </w:pPr>
      <w:bookmarkStart w:id="54" w:name="_Toc185865686"/>
      <w:bookmarkStart w:id="55" w:name="_Toc185528617"/>
      <w:bookmarkStart w:id="56" w:name="_Toc187422150"/>
      <w:bookmarkStart w:id="57" w:name="_Toc196684865"/>
      <w:bookmarkStart w:id="58" w:name="_Hlk201158432"/>
      <w:r>
        <w:rPr>
          <w:rFonts w:hint="eastAsia"/>
        </w:rPr>
        <w:t>严重程度分级</w:t>
      </w:r>
      <w:bookmarkEnd w:id="54"/>
      <w:bookmarkEnd w:id="55"/>
      <w:bookmarkEnd w:id="56"/>
      <w:bookmarkEnd w:id="57"/>
    </w:p>
    <w:p w:rsidR="00C6359A" w:rsidRDefault="00C6359A" w:rsidP="00C6359A">
      <w:pPr>
        <w:pStyle w:val="affe"/>
        <w:spacing w:before="120" w:after="120"/>
      </w:pPr>
      <w:r>
        <w:rPr>
          <w:rFonts w:hint="eastAsia"/>
        </w:rPr>
        <w:t>轻度</w:t>
      </w:r>
    </w:p>
    <w:p w:rsidR="00C6359A" w:rsidRDefault="00C6359A" w:rsidP="00C6359A">
      <w:pPr>
        <w:pStyle w:val="affffb"/>
        <w:ind w:firstLine="420"/>
      </w:pPr>
      <w:bookmarkStart w:id="59" w:name="_Hlk195203058"/>
      <w:r>
        <w:rPr>
          <w:rFonts w:hint="eastAsia"/>
        </w:rPr>
        <w:t>满足5.1的要求，且临床评估（4.2.2）包含2</w:t>
      </w:r>
      <w:r>
        <w:rPr>
          <w:rFonts w:hAnsi="宋体" w:hint="eastAsia"/>
        </w:rPr>
        <w:t>～</w:t>
      </w:r>
      <w:r>
        <w:rPr>
          <w:rFonts w:hint="eastAsia"/>
        </w:rPr>
        <w:t>3项</w:t>
      </w:r>
      <w:bookmarkStart w:id="60" w:name="_Hlk195203096"/>
      <w:r>
        <w:rPr>
          <w:rFonts w:hint="eastAsia"/>
        </w:rPr>
        <w:t>，</w:t>
      </w:r>
      <w:bookmarkEnd w:id="59"/>
      <w:r>
        <w:rPr>
          <w:rFonts w:hint="eastAsia"/>
        </w:rPr>
        <w:t>标识为存在高频度游玩行为，</w:t>
      </w:r>
      <w:bookmarkEnd w:id="60"/>
      <w:r>
        <w:rPr>
          <w:rFonts w:hint="eastAsia"/>
        </w:rPr>
        <w:t>尚未导致个人、家庭、社会、教育或其他重要功能方面的严重损害。</w:t>
      </w:r>
    </w:p>
    <w:p w:rsidR="00C6359A" w:rsidRDefault="00C6359A" w:rsidP="00C6359A">
      <w:pPr>
        <w:pStyle w:val="affe"/>
        <w:spacing w:before="120" w:after="120"/>
      </w:pPr>
      <w:r>
        <w:rPr>
          <w:rFonts w:hint="eastAsia"/>
        </w:rPr>
        <w:t>中度</w:t>
      </w:r>
    </w:p>
    <w:p w:rsidR="00C6359A" w:rsidRDefault="00C6359A" w:rsidP="00C6359A">
      <w:pPr>
        <w:pStyle w:val="affffb"/>
        <w:ind w:firstLine="420"/>
      </w:pPr>
      <w:r>
        <w:rPr>
          <w:rFonts w:hint="eastAsia"/>
        </w:rPr>
        <w:t>满足5.1的要求，且临床评估（4.2.2）包含4～5项条目，标识为存在失控性游戏行为，导致个人、家庭、社会、教育或其他重要功能方面的轻度损害，只有通过额外努力能维持功能。</w:t>
      </w:r>
    </w:p>
    <w:p w:rsidR="00C6359A" w:rsidRDefault="00C6359A" w:rsidP="00C6359A">
      <w:pPr>
        <w:pStyle w:val="affe"/>
        <w:spacing w:before="120" w:after="120"/>
      </w:pPr>
      <w:r>
        <w:rPr>
          <w:rFonts w:hint="eastAsia"/>
        </w:rPr>
        <w:t>重度</w:t>
      </w:r>
    </w:p>
    <w:p w:rsidR="00C6359A" w:rsidRDefault="00C6359A" w:rsidP="00C6359A">
      <w:pPr>
        <w:pStyle w:val="affffb"/>
        <w:ind w:firstLine="420"/>
      </w:pPr>
      <w:r>
        <w:rPr>
          <w:rFonts w:hint="eastAsia"/>
        </w:rPr>
        <w:t>满足5.1的要求，且临床评估（4.2.2）包含6～7项条目，标识为存在持续或反复的游戏行为模式，导致个人、家庭、社会、教育或其他重要功能方面的严重损害，只有通过大量的额外努力才能维持功能，伴有躯体健康问题或精神健康问题。</w:t>
      </w:r>
    </w:p>
    <w:p w:rsidR="00C6359A" w:rsidRDefault="00C6359A" w:rsidP="00C6359A">
      <w:pPr>
        <w:pStyle w:val="affe"/>
        <w:spacing w:before="120" w:after="120"/>
      </w:pPr>
      <w:r>
        <w:rPr>
          <w:rFonts w:hint="eastAsia"/>
        </w:rPr>
        <w:t>极重度</w:t>
      </w:r>
    </w:p>
    <w:p w:rsidR="00C6359A" w:rsidRDefault="00C6359A" w:rsidP="00C6359A">
      <w:pPr>
        <w:pStyle w:val="affffb"/>
        <w:ind w:firstLine="420"/>
      </w:pPr>
      <w:r>
        <w:rPr>
          <w:rFonts w:hint="eastAsia"/>
        </w:rPr>
        <w:t>满足5.1的要求，且临床评估（4.2.2）包含8项及以上条目，标识为存在持续或反复的游戏行为模式，导致个人、家庭、社会、教育或其他重要功能方面的严重损害，大量的额外努力未能维持功能，与躯体疾病和其他精神障碍共病。</w:t>
      </w:r>
      <w:bookmarkEnd w:id="58"/>
    </w:p>
    <w:p w:rsidR="00C6359A" w:rsidRDefault="00C6359A" w:rsidP="00C6359A">
      <w:pPr>
        <w:pStyle w:val="affd"/>
        <w:spacing w:before="120" w:after="120"/>
      </w:pPr>
      <w:bookmarkStart w:id="61" w:name="_Toc196684866"/>
      <w:bookmarkStart w:id="62" w:name="_Toc185528618"/>
      <w:bookmarkStart w:id="63" w:name="_Toc185865687"/>
      <w:bookmarkStart w:id="64" w:name="_Toc187422151"/>
      <w:r>
        <w:rPr>
          <w:rFonts w:hint="eastAsia"/>
        </w:rPr>
        <w:t>鉴别诊断</w:t>
      </w:r>
      <w:bookmarkEnd w:id="61"/>
      <w:bookmarkEnd w:id="62"/>
      <w:bookmarkEnd w:id="63"/>
      <w:bookmarkEnd w:id="64"/>
    </w:p>
    <w:p w:rsidR="00C6359A" w:rsidRDefault="00C6359A" w:rsidP="00C6359A">
      <w:pPr>
        <w:pStyle w:val="affe"/>
        <w:spacing w:before="120" w:after="120"/>
      </w:pPr>
      <w:bookmarkStart w:id="65" w:name="_Hlk201158661"/>
      <w:r>
        <w:rPr>
          <w:rFonts w:hint="eastAsia"/>
        </w:rPr>
        <w:t>正常游戏行为</w:t>
      </w:r>
      <w:bookmarkEnd w:id="65"/>
    </w:p>
    <w:p w:rsidR="00C6359A" w:rsidRDefault="00C6359A" w:rsidP="00C6359A">
      <w:pPr>
        <w:pStyle w:val="affffb"/>
        <w:ind w:firstLine="420"/>
      </w:pPr>
      <w:bookmarkStart w:id="66" w:name="_Hlk201158693"/>
      <w:r>
        <w:rPr>
          <w:rFonts w:hint="eastAsia"/>
        </w:rPr>
        <w:t>以促进社交、缓解无聊、调节情绪等为目的进行反复游戏，缺乏游戏障碍的其他必要特征。</w:t>
      </w:r>
      <w:bookmarkEnd w:id="66"/>
      <w:r>
        <w:rPr>
          <w:rFonts w:hint="eastAsia"/>
        </w:rPr>
        <w:t>在特定的年龄或社会群体中（如青少年男性）或在节假日娱乐活动等特定情境中，可能存在较长时间或较高频次的游戏行为，诊断时应考虑文化、亚文化、同伴群体等因素的影响。</w:t>
      </w:r>
    </w:p>
    <w:p w:rsidR="00C6359A" w:rsidRDefault="00C6359A" w:rsidP="00C6359A">
      <w:pPr>
        <w:pStyle w:val="affe"/>
        <w:spacing w:before="120" w:after="120"/>
      </w:pPr>
      <w:bookmarkStart w:id="67" w:name="_Hlk201158716"/>
      <w:r>
        <w:rPr>
          <w:rFonts w:hint="eastAsia"/>
        </w:rPr>
        <w:lastRenderedPageBreak/>
        <w:t>职业玩家的行为特征</w:t>
      </w:r>
      <w:bookmarkEnd w:id="67"/>
    </w:p>
    <w:p w:rsidR="00C6359A" w:rsidRDefault="00C6359A" w:rsidP="00C6359A">
      <w:pPr>
        <w:pStyle w:val="affffb"/>
        <w:ind w:firstLine="420"/>
      </w:pPr>
      <w:r>
        <w:rPr>
          <w:rFonts w:hint="eastAsia"/>
        </w:rPr>
        <w:t>对于游戏产业相关个体而言，高强度的游戏行为可能是其职业内容的一部分。主要鉴别点包括：</w:t>
      </w:r>
      <w:bookmarkStart w:id="68" w:name="_Hlk201158749"/>
      <w:r>
        <w:rPr>
          <w:rFonts w:hint="eastAsia"/>
        </w:rPr>
        <w:t>个人年龄、职业，缺乏游戏障碍的核心症状，社会功能的损害程度不大等</w:t>
      </w:r>
      <w:bookmarkEnd w:id="68"/>
      <w:r>
        <w:rPr>
          <w:rFonts w:hint="eastAsia"/>
        </w:rPr>
        <w:t>。应考虑职业玩家罹患游戏障碍的风险，</w:t>
      </w:r>
      <w:r>
        <w:t>并</w:t>
      </w:r>
      <w:r>
        <w:rPr>
          <w:rFonts w:hint="eastAsia"/>
        </w:rPr>
        <w:t>进行动态评估。</w:t>
      </w:r>
    </w:p>
    <w:p w:rsidR="00C6359A" w:rsidRDefault="00C6359A" w:rsidP="00C6359A">
      <w:pPr>
        <w:pStyle w:val="affe"/>
        <w:spacing w:before="120" w:after="120"/>
      </w:pPr>
      <w:bookmarkStart w:id="69" w:name="_Hlk201158793"/>
      <w:r>
        <w:rPr>
          <w:rFonts w:hint="eastAsia"/>
        </w:rPr>
        <w:t>风险性游戏</w:t>
      </w:r>
      <w:bookmarkEnd w:id="69"/>
    </w:p>
    <w:p w:rsidR="00C6359A" w:rsidRDefault="00C6359A" w:rsidP="00C6359A">
      <w:pPr>
        <w:pStyle w:val="affffb"/>
        <w:ind w:firstLine="420"/>
      </w:pPr>
      <w:bookmarkStart w:id="70" w:name="_Hlk201158821"/>
      <w:r>
        <w:rPr>
          <w:rFonts w:hint="eastAsia"/>
        </w:rPr>
        <w:t>一种可明显增加自身或其周围他人生理、精神损害风险的游戏模式，需要干预或监控，但尚未构成障碍。</w:t>
      </w:r>
      <w:bookmarkEnd w:id="70"/>
      <w:r>
        <w:rPr>
          <w:rFonts w:hint="eastAsia"/>
        </w:rPr>
        <w:t>风险性游戏行为不应满足诊断游戏障碍要求的全部核心症状，且无任一核心症状达到极端严重的程度。</w:t>
      </w:r>
    </w:p>
    <w:p w:rsidR="00C6359A" w:rsidRDefault="00C6359A" w:rsidP="00C6359A">
      <w:pPr>
        <w:pStyle w:val="affe"/>
        <w:spacing w:before="120" w:after="120"/>
      </w:pPr>
      <w:bookmarkStart w:id="71" w:name="_Hlk201158846"/>
      <w:r>
        <w:rPr>
          <w:rFonts w:hint="eastAsia"/>
        </w:rPr>
        <w:t>赌博障碍</w:t>
      </w:r>
      <w:bookmarkEnd w:id="71"/>
    </w:p>
    <w:p w:rsidR="00C6359A" w:rsidRDefault="00C6359A" w:rsidP="00C6359A">
      <w:pPr>
        <w:pStyle w:val="affffb"/>
        <w:ind w:firstLine="420"/>
      </w:pPr>
      <w:r>
        <w:rPr>
          <w:rFonts w:hint="eastAsia"/>
        </w:rPr>
        <w:t>应与具备赌博形式（如扑克、麻将等）或赌博成分（如概率性的抽奖）的网络游戏相鉴别，</w:t>
      </w:r>
      <w:bookmarkStart w:id="72" w:name="_Hlk201158873"/>
      <w:r>
        <w:rPr>
          <w:rFonts w:hint="eastAsia"/>
        </w:rPr>
        <w:t>赌博障碍患者的游戏行为同获得赌注的意图密切相关。</w:t>
      </w:r>
      <w:bookmarkEnd w:id="72"/>
    </w:p>
    <w:p w:rsidR="00C6359A" w:rsidRDefault="00C6359A" w:rsidP="00C6359A">
      <w:pPr>
        <w:pStyle w:val="affe"/>
        <w:spacing w:before="120" w:after="120"/>
      </w:pPr>
      <w:bookmarkStart w:id="73" w:name="_Hlk201158900"/>
      <w:r>
        <w:rPr>
          <w:rFonts w:hint="eastAsia"/>
        </w:rPr>
        <w:t>双相及相关障碍</w:t>
      </w:r>
      <w:bookmarkEnd w:id="73"/>
    </w:p>
    <w:p w:rsidR="00C6359A" w:rsidRDefault="00C6359A" w:rsidP="00C6359A">
      <w:pPr>
        <w:pStyle w:val="affffb"/>
        <w:ind w:firstLine="420"/>
      </w:pPr>
      <w:bookmarkStart w:id="74" w:name="_Hlk201158942"/>
      <w:r>
        <w:rPr>
          <w:rFonts w:hint="eastAsia"/>
        </w:rPr>
        <w:t>过度游戏行为可能出现在躁狂、混合或轻躁狂状态，只有当过度游戏行为模式符合游戏障碍诊断要点，并且不伴有异常的心境状态的情况下，才考虑诊断游戏障碍</w:t>
      </w:r>
      <w:bookmarkEnd w:id="74"/>
      <w:r>
        <w:rPr>
          <w:rFonts w:hint="eastAsia"/>
        </w:rPr>
        <w:t>；如果同时存在游戏障碍与双相及相关障碍，应考虑游戏障碍共病双相及相关障碍的诊断。</w:t>
      </w:r>
    </w:p>
    <w:p w:rsidR="00C6359A" w:rsidRDefault="00C6359A" w:rsidP="00C6359A">
      <w:pPr>
        <w:pStyle w:val="affe"/>
        <w:spacing w:before="120" w:after="120"/>
      </w:pPr>
      <w:r>
        <w:rPr>
          <w:rFonts w:hint="eastAsia"/>
        </w:rPr>
        <w:t>物质使用障碍</w:t>
      </w:r>
    </w:p>
    <w:p w:rsidR="00C6359A" w:rsidRDefault="00C6359A" w:rsidP="00C6359A">
      <w:pPr>
        <w:pStyle w:val="afff"/>
        <w:spacing w:before="120" w:after="120"/>
      </w:pPr>
      <w:r>
        <w:rPr>
          <w:rFonts w:hint="eastAsia"/>
        </w:rPr>
        <w:t>物质使用障碍</w:t>
      </w:r>
    </w:p>
    <w:p w:rsidR="00C6359A" w:rsidRDefault="00C6359A" w:rsidP="00C6359A">
      <w:pPr>
        <w:pStyle w:val="affffb"/>
        <w:ind w:firstLine="420"/>
      </w:pPr>
      <w:r>
        <w:rPr>
          <w:rFonts w:hint="eastAsia"/>
        </w:rPr>
        <w:t>游戏行为常与物质使用（特别为酒精）共存，如果同时满足两种障碍的诊断标准，可以考虑共病诊断。</w:t>
      </w:r>
    </w:p>
    <w:p w:rsidR="00C6359A" w:rsidRDefault="00C6359A" w:rsidP="00C6359A">
      <w:pPr>
        <w:pStyle w:val="afff"/>
        <w:spacing w:before="120" w:after="120"/>
      </w:pPr>
      <w:r>
        <w:rPr>
          <w:rFonts w:hint="eastAsia"/>
        </w:rPr>
        <w:t>作用于中枢神经系统的药品所引起的症状</w:t>
      </w:r>
    </w:p>
    <w:p w:rsidR="00C6359A" w:rsidRDefault="00C6359A" w:rsidP="00C6359A">
      <w:pPr>
        <w:pStyle w:val="affffb"/>
        <w:ind w:firstLine="420"/>
      </w:pPr>
      <w:r>
        <w:rPr>
          <w:rFonts w:hint="eastAsia"/>
        </w:rPr>
        <w:t>某些用于治疗帕金森病或不宁腿综合征的多巴胺激动剂普拉克索等处方药或甲基苯丙胺等非法药物可直接影响中枢神经系统，从而引起对游戏行为的控制力损害，这种病态的游戏行为可能与药物使用直接相关。</w:t>
      </w:r>
    </w:p>
    <w:p w:rsidR="00C6359A" w:rsidRDefault="00C6359A" w:rsidP="00C6359A">
      <w:pPr>
        <w:pStyle w:val="affe"/>
        <w:spacing w:before="120" w:after="120"/>
      </w:pPr>
      <w:r>
        <w:rPr>
          <w:rFonts w:hint="eastAsia"/>
        </w:rPr>
        <w:t>强迫障碍</w:t>
      </w:r>
    </w:p>
    <w:p w:rsidR="00C6359A" w:rsidRDefault="00C6359A" w:rsidP="00C6359A">
      <w:pPr>
        <w:pStyle w:val="affffb"/>
        <w:ind w:firstLine="420"/>
      </w:pPr>
      <w:r>
        <w:rPr>
          <w:rFonts w:hint="eastAsia"/>
        </w:rPr>
        <w:t>应与反复游戏类似行为表现进行</w:t>
      </w:r>
      <w:r>
        <w:t>区分</w:t>
      </w:r>
      <w:r>
        <w:rPr>
          <w:rFonts w:hint="eastAsia"/>
        </w:rPr>
        <w:t>。主要鉴别要点：</w:t>
      </w:r>
      <w:bookmarkStart w:id="75" w:name="_Hlk201159186"/>
      <w:r>
        <w:rPr>
          <w:rFonts w:hint="eastAsia"/>
        </w:rPr>
        <w:t>强迫障碍中的强迫行为本身不会带来任何愉悦感，且通常是由突然发生的、非自愿的、引起焦虑的强迫观念所引起</w:t>
      </w:r>
      <w:bookmarkEnd w:id="75"/>
      <w:r>
        <w:rPr>
          <w:rFonts w:hint="eastAsia"/>
        </w:rPr>
        <w:t>。</w:t>
      </w:r>
    </w:p>
    <w:p w:rsidR="00C6359A" w:rsidRDefault="00C6359A" w:rsidP="00C6359A">
      <w:pPr>
        <w:pStyle w:val="affc"/>
        <w:spacing w:before="240" w:after="240"/>
      </w:pPr>
      <w:bookmarkStart w:id="76" w:name="_Toc185528624"/>
      <w:bookmarkStart w:id="77" w:name="_Toc185865688"/>
      <w:bookmarkStart w:id="78" w:name="_Toc187422152"/>
      <w:bookmarkStart w:id="79" w:name="_Toc196684867"/>
      <w:bookmarkStart w:id="80" w:name="_Toc160440938"/>
      <w:bookmarkStart w:id="81" w:name="_Toc160440937"/>
      <w:bookmarkStart w:id="82" w:name="_Toc185528619"/>
      <w:r>
        <w:rPr>
          <w:rFonts w:hint="eastAsia"/>
        </w:rPr>
        <w:t>疾病管理</w:t>
      </w:r>
      <w:bookmarkEnd w:id="76"/>
      <w:bookmarkEnd w:id="77"/>
      <w:bookmarkEnd w:id="78"/>
      <w:bookmarkEnd w:id="79"/>
      <w:bookmarkEnd w:id="80"/>
    </w:p>
    <w:p w:rsidR="00C6359A" w:rsidRDefault="00C6359A" w:rsidP="00C6359A">
      <w:pPr>
        <w:pStyle w:val="affd"/>
        <w:spacing w:before="120" w:after="120"/>
        <w:rPr>
          <w:color w:val="FF0000"/>
        </w:rPr>
      </w:pPr>
      <w:bookmarkStart w:id="83" w:name="_Toc196684868"/>
      <w:r>
        <w:rPr>
          <w:rFonts w:hint="eastAsia"/>
          <w:color w:val="000000" w:themeColor="text1"/>
        </w:rPr>
        <w:t>管理要求</w:t>
      </w:r>
      <w:bookmarkEnd w:id="83"/>
    </w:p>
    <w:p w:rsidR="00C6359A" w:rsidRDefault="00C6359A" w:rsidP="00C6359A">
      <w:pPr>
        <w:pStyle w:val="affffb"/>
        <w:ind w:firstLine="420"/>
      </w:pPr>
      <w:r>
        <w:rPr>
          <w:rFonts w:hint="eastAsia"/>
        </w:rPr>
        <w:t>儿童青少年游戏障碍的疾病管理通常不宜为强制性（存在伤人及自伤行为的除外），需要患者、患者家庭自愿参与、主动参与。</w:t>
      </w:r>
    </w:p>
    <w:p w:rsidR="00C6359A" w:rsidRDefault="00C6359A" w:rsidP="00C6359A">
      <w:pPr>
        <w:pStyle w:val="affd"/>
        <w:spacing w:before="120" w:after="120"/>
      </w:pPr>
      <w:bookmarkStart w:id="84" w:name="_Toc196684869"/>
      <w:r>
        <w:rPr>
          <w:rFonts w:hint="eastAsia"/>
        </w:rPr>
        <w:t>管理模式</w:t>
      </w:r>
      <w:bookmarkEnd w:id="84"/>
    </w:p>
    <w:p w:rsidR="00C6359A" w:rsidRDefault="00C6359A" w:rsidP="00C6359A">
      <w:pPr>
        <w:pStyle w:val="affe"/>
        <w:spacing w:before="120" w:after="120"/>
      </w:pPr>
      <w:r>
        <w:rPr>
          <w:rFonts w:hint="eastAsia"/>
        </w:rPr>
        <w:t>基于三级预防</w:t>
      </w:r>
    </w:p>
    <w:p w:rsidR="00C6359A" w:rsidRDefault="00C6359A" w:rsidP="00C6359A">
      <w:pPr>
        <w:pStyle w:val="afffffffff0"/>
      </w:pPr>
      <w:r>
        <w:rPr>
          <w:rFonts w:hint="eastAsia"/>
        </w:rPr>
        <w:t>一级预防（病因预防）：宣传疾病知识、倡导健康生活方式。</w:t>
      </w:r>
    </w:p>
    <w:p w:rsidR="00C6359A" w:rsidRDefault="00C6359A" w:rsidP="00C6359A">
      <w:pPr>
        <w:pStyle w:val="afffffffff0"/>
      </w:pPr>
      <w:r>
        <w:rPr>
          <w:rFonts w:hint="eastAsia"/>
        </w:rPr>
        <w:t>二级预防（三早预防）：早发现、早诊断、早治疗，通过建立疾病监测网络，进行灵敏、有效的疾病筛查，提供高风险人群的转介服务等方式。</w:t>
      </w:r>
    </w:p>
    <w:p w:rsidR="00C6359A" w:rsidRDefault="00C6359A" w:rsidP="00C6359A">
      <w:pPr>
        <w:pStyle w:val="afffffffff0"/>
      </w:pPr>
      <w:r>
        <w:rPr>
          <w:rFonts w:hint="eastAsia"/>
        </w:rPr>
        <w:t>三级预防（康复预防）：对已确诊疾病的患者提供医疗、康复服务。</w:t>
      </w:r>
    </w:p>
    <w:p w:rsidR="00C6359A" w:rsidRDefault="00C6359A" w:rsidP="00C6359A">
      <w:pPr>
        <w:pStyle w:val="affe"/>
        <w:spacing w:before="120" w:after="120"/>
      </w:pPr>
      <w:r>
        <w:rPr>
          <w:rFonts w:hint="eastAsia"/>
        </w:rPr>
        <w:t>基于以人为中心</w:t>
      </w:r>
    </w:p>
    <w:p w:rsidR="00C6359A" w:rsidRDefault="00C6359A" w:rsidP="00C6359A">
      <w:pPr>
        <w:pStyle w:val="afff"/>
        <w:spacing w:before="120" w:after="120"/>
      </w:pPr>
      <w:r>
        <w:rPr>
          <w:rFonts w:hint="eastAsia"/>
        </w:rPr>
        <w:t>普通人群服务</w:t>
      </w:r>
    </w:p>
    <w:p w:rsidR="00C6359A" w:rsidRDefault="00C6359A" w:rsidP="00C6359A">
      <w:pPr>
        <w:pStyle w:val="affffb"/>
        <w:ind w:firstLine="420"/>
      </w:pPr>
      <w:r>
        <w:rPr>
          <w:rFonts w:hint="eastAsia"/>
        </w:rPr>
        <w:lastRenderedPageBreak/>
        <w:t>扩大社会宣传面，重点在学校、青少年活动中心、居住社区等场所，倡导健康生活方式，宣教疾病知识，公布可提供疾病筛查服务的工作点，鼓励普通人群自愿、自主筛查。</w:t>
      </w:r>
    </w:p>
    <w:p w:rsidR="00C6359A" w:rsidRDefault="00C6359A" w:rsidP="00C6359A">
      <w:pPr>
        <w:pStyle w:val="afff"/>
        <w:spacing w:before="120" w:after="120"/>
      </w:pPr>
      <w:r>
        <w:rPr>
          <w:rFonts w:hint="eastAsia"/>
        </w:rPr>
        <w:t>高风险人群管理</w:t>
      </w:r>
    </w:p>
    <w:p w:rsidR="00C6359A" w:rsidRDefault="00C6359A" w:rsidP="00C6359A">
      <w:pPr>
        <w:pStyle w:val="affffb"/>
        <w:ind w:firstLine="420"/>
      </w:pPr>
      <w:r>
        <w:rPr>
          <w:rFonts w:hint="eastAsia"/>
        </w:rPr>
        <w:t>对初筛结果</w:t>
      </w:r>
      <w:r w:rsidR="006B546E">
        <w:rPr>
          <w:rFonts w:hint="eastAsia"/>
        </w:rPr>
        <w:t>为</w:t>
      </w:r>
      <w:r w:rsidR="006B546E">
        <w:t>高风险</w:t>
      </w:r>
      <w:r>
        <w:rPr>
          <w:rFonts w:hint="eastAsia"/>
        </w:rPr>
        <w:t>的，鼓励其自愿参加疾病管理：</w:t>
      </w:r>
    </w:p>
    <w:p w:rsidR="00C6359A" w:rsidRDefault="00C6359A" w:rsidP="00C6359A">
      <w:pPr>
        <w:pStyle w:val="af5"/>
        <w:numPr>
          <w:ilvl w:val="0"/>
          <w:numId w:val="35"/>
        </w:numPr>
        <w:tabs>
          <w:tab w:val="left" w:pos="851"/>
        </w:tabs>
      </w:pPr>
      <w:r>
        <w:rPr>
          <w:rFonts w:hint="eastAsia"/>
        </w:rPr>
        <w:t>同意参加疾病管理的，并推荐有诊疗资质的医疗机构进行详细诊察，如有必要可为其提供必要的转诊服务；</w:t>
      </w:r>
    </w:p>
    <w:p w:rsidR="00C6359A" w:rsidRDefault="00C6359A" w:rsidP="00C6359A">
      <w:pPr>
        <w:pStyle w:val="af5"/>
        <w:tabs>
          <w:tab w:val="left" w:pos="851"/>
        </w:tabs>
      </w:pPr>
      <w:r>
        <w:rPr>
          <w:rFonts w:hint="eastAsia"/>
        </w:rPr>
        <w:t>不同意参加疾病管理的，尊重其意愿，暂不予管理，为其提供相关的宣教平台、有诊疗资质的医疗机构等求助方式。</w:t>
      </w:r>
    </w:p>
    <w:p w:rsidR="00C6359A" w:rsidRDefault="00C6359A" w:rsidP="00C6359A">
      <w:pPr>
        <w:pStyle w:val="afff"/>
        <w:spacing w:before="120" w:after="120"/>
      </w:pPr>
      <w:r>
        <w:rPr>
          <w:rFonts w:hint="eastAsia"/>
        </w:rPr>
        <w:t>游戏障碍患者管理</w:t>
      </w:r>
    </w:p>
    <w:p w:rsidR="00C6359A" w:rsidRDefault="00C6359A" w:rsidP="00C6359A">
      <w:pPr>
        <w:pStyle w:val="affffb"/>
        <w:ind w:firstLine="420"/>
      </w:pPr>
      <w:r>
        <w:rPr>
          <w:rFonts w:hint="eastAsia"/>
        </w:rPr>
        <w:t>对已确诊的游戏障碍患者采取个性化管理，主要形式有：</w:t>
      </w:r>
    </w:p>
    <w:p w:rsidR="00C6359A" w:rsidRDefault="00C6359A" w:rsidP="00C6359A">
      <w:pPr>
        <w:pStyle w:val="af5"/>
        <w:numPr>
          <w:ilvl w:val="0"/>
          <w:numId w:val="36"/>
        </w:numPr>
        <w:tabs>
          <w:tab w:val="left" w:pos="851"/>
        </w:tabs>
      </w:pPr>
      <w:r>
        <w:rPr>
          <w:rFonts w:hint="eastAsia"/>
        </w:rPr>
        <w:t>居家管理：病情轻微，不必要住院治疗的，可提供居家管理建议，包括限制游戏工具使用规则等建议，倡导健康生活方式，鼓励其参加心理健康辅导，解决心理健康问题；</w:t>
      </w:r>
    </w:p>
    <w:p w:rsidR="00C6359A" w:rsidRDefault="00C6359A" w:rsidP="00C6359A">
      <w:pPr>
        <w:pStyle w:val="af5"/>
        <w:tabs>
          <w:tab w:val="left" w:pos="851"/>
        </w:tabs>
      </w:pPr>
      <w:r>
        <w:rPr>
          <w:rFonts w:hint="eastAsia"/>
        </w:rPr>
        <w:t>住院治疗管理：病情严重需住院治疗的，鼓励其自愿住院治疗，在住院期间根据7.1治疗原则开展治疗；</w:t>
      </w:r>
    </w:p>
    <w:p w:rsidR="00C6359A" w:rsidRDefault="00C6359A" w:rsidP="00C6359A">
      <w:pPr>
        <w:pStyle w:val="af5"/>
        <w:tabs>
          <w:tab w:val="left" w:pos="851"/>
        </w:tabs>
      </w:pPr>
      <w:r>
        <w:rPr>
          <w:rFonts w:hint="eastAsia"/>
        </w:rPr>
        <w:t>康复期管理：病情已明显好转且相对稳定的出院患者采取康复期管理，康复场所主要在家庭、社区、学校。康复期管理包括复诊提醒，疗效及预后评估，日常生活建议，游戏工具管理，应倡导健康生活方式，鼓励其继续参加心理健康辅导，解决心理健康问题。复诊提醒至少包括出院后1周、1月、3月等三个时点的提醒；疗效及预后评估至少包括出院</w:t>
      </w:r>
      <w:proofErr w:type="gramStart"/>
      <w:r>
        <w:rPr>
          <w:rFonts w:hint="eastAsia"/>
        </w:rPr>
        <w:t>后1月</w:t>
      </w:r>
      <w:proofErr w:type="gramEnd"/>
      <w:r>
        <w:rPr>
          <w:rFonts w:hint="eastAsia"/>
        </w:rPr>
        <w:t>、3月、6月等三个时点；康复期病情复发应进行住院治疗。</w:t>
      </w:r>
    </w:p>
    <w:p w:rsidR="00C6359A" w:rsidRDefault="00C6359A" w:rsidP="00C6359A">
      <w:pPr>
        <w:pStyle w:val="afff"/>
        <w:spacing w:before="120" w:after="120"/>
      </w:pPr>
      <w:proofErr w:type="gramStart"/>
      <w:r>
        <w:rPr>
          <w:rFonts w:hint="eastAsia"/>
        </w:rPr>
        <w:t>失访患者</w:t>
      </w:r>
      <w:proofErr w:type="gramEnd"/>
      <w:r>
        <w:rPr>
          <w:rFonts w:hint="eastAsia"/>
        </w:rPr>
        <w:t>管理</w:t>
      </w:r>
    </w:p>
    <w:p w:rsidR="00C6359A" w:rsidRDefault="00C6359A" w:rsidP="00C6359A">
      <w:pPr>
        <w:pStyle w:val="affffb"/>
        <w:ind w:firstLine="420"/>
      </w:pPr>
      <w:r>
        <w:rPr>
          <w:rFonts w:hint="eastAsia"/>
        </w:rPr>
        <w:t>未按时随访复查患者，应积极通过各种方式联系患者或者家属，了解其失访原因，并给于相应处理：</w:t>
      </w:r>
    </w:p>
    <w:p w:rsidR="00C6359A" w:rsidRDefault="00C6359A" w:rsidP="00C6359A">
      <w:pPr>
        <w:pStyle w:val="af5"/>
        <w:numPr>
          <w:ilvl w:val="0"/>
          <w:numId w:val="37"/>
        </w:numPr>
        <w:tabs>
          <w:tab w:val="left" w:pos="851"/>
        </w:tabs>
      </w:pPr>
      <w:r>
        <w:rPr>
          <w:rFonts w:hint="eastAsia"/>
        </w:rPr>
        <w:t>因私未能在计划随访时间内随访：加强治疗依从性教育，重新预约随访时间进行复诊评估，根据具体病情进行管理。</w:t>
      </w:r>
    </w:p>
    <w:p w:rsidR="00C6359A" w:rsidRDefault="00C6359A" w:rsidP="00C6359A">
      <w:pPr>
        <w:pStyle w:val="af5"/>
        <w:tabs>
          <w:tab w:val="left" w:pos="851"/>
        </w:tabs>
      </w:pPr>
      <w:r>
        <w:rPr>
          <w:rFonts w:hint="eastAsia"/>
        </w:rPr>
        <w:t>病情波动丧失治疗信心：给予治疗依从性教育，提供替代诊疗方案及转介服务，由新的接诊机构继续进行个案管理。</w:t>
      </w:r>
    </w:p>
    <w:p w:rsidR="00C6359A" w:rsidRDefault="00C6359A" w:rsidP="00C6359A">
      <w:pPr>
        <w:pStyle w:val="affc"/>
        <w:spacing w:before="240" w:after="240"/>
      </w:pPr>
      <w:bookmarkStart w:id="85" w:name="_Toc187422156"/>
      <w:bookmarkStart w:id="86" w:name="_Toc196684870"/>
      <w:bookmarkStart w:id="87" w:name="_Toc185865692"/>
      <w:r>
        <w:rPr>
          <w:rFonts w:hint="eastAsia"/>
        </w:rPr>
        <w:t>治疗</w:t>
      </w:r>
      <w:bookmarkEnd w:id="81"/>
      <w:bookmarkEnd w:id="82"/>
      <w:bookmarkEnd w:id="85"/>
      <w:bookmarkEnd w:id="86"/>
      <w:bookmarkEnd w:id="87"/>
    </w:p>
    <w:p w:rsidR="00C6359A" w:rsidRDefault="00C6359A" w:rsidP="00C6359A">
      <w:pPr>
        <w:pStyle w:val="affd"/>
        <w:spacing w:before="120" w:after="120"/>
      </w:pPr>
      <w:bookmarkStart w:id="88" w:name="_Toc185528620"/>
      <w:bookmarkStart w:id="89" w:name="_Toc185865693"/>
      <w:bookmarkStart w:id="90" w:name="_Toc196684871"/>
      <w:bookmarkStart w:id="91" w:name="_Toc187422157"/>
      <w:r>
        <w:rPr>
          <w:rFonts w:hint="eastAsia"/>
        </w:rPr>
        <w:t>治疗原则</w:t>
      </w:r>
      <w:bookmarkEnd w:id="88"/>
      <w:bookmarkEnd w:id="89"/>
      <w:bookmarkEnd w:id="90"/>
      <w:bookmarkEnd w:id="91"/>
    </w:p>
    <w:p w:rsidR="00C6359A" w:rsidRDefault="00C6359A" w:rsidP="00C6359A">
      <w:pPr>
        <w:pStyle w:val="afffffffff1"/>
      </w:pPr>
      <w:bookmarkStart w:id="92" w:name="_Toc185528621"/>
      <w:bookmarkStart w:id="93" w:name="_Toc185865694"/>
      <w:bookmarkStart w:id="94" w:name="_Toc187422158"/>
      <w:r>
        <w:rPr>
          <w:rFonts w:hint="eastAsia"/>
        </w:rPr>
        <w:t>早发现、早治疗原则：注重社区筛查，对初筛</w:t>
      </w:r>
      <w:r w:rsidR="006B546E">
        <w:rPr>
          <w:rFonts w:hint="eastAsia"/>
        </w:rPr>
        <w:t>为</w:t>
      </w:r>
      <w:r w:rsidR="006B546E">
        <w:t>高风险</w:t>
      </w:r>
      <w:r>
        <w:rPr>
          <w:rFonts w:hint="eastAsia"/>
        </w:rPr>
        <w:t>的儿童青少年尽早转介医院进行诊断治疗。</w:t>
      </w:r>
    </w:p>
    <w:p w:rsidR="00C6359A" w:rsidRDefault="00C6359A" w:rsidP="00C6359A">
      <w:pPr>
        <w:pStyle w:val="afffffffff1"/>
      </w:pPr>
      <w:proofErr w:type="gramStart"/>
      <w:r>
        <w:rPr>
          <w:rFonts w:hint="eastAsia"/>
        </w:rPr>
        <w:t>医</w:t>
      </w:r>
      <w:proofErr w:type="gramEnd"/>
      <w:r>
        <w:rPr>
          <w:rFonts w:hint="eastAsia"/>
        </w:rPr>
        <w:t>管结合、刚柔并济原则：对诊断明确且不适宜在社区、学校、家庭环境进行管教、治疗的儿童青少年患者采取住院治疗，提供必要的药物支持，并对其日常生活严格管理，依照其病情进展阶段及心理、生理状态采取准军事化、军事化管理或温和的生活化管理、人性化管理。</w:t>
      </w:r>
    </w:p>
    <w:p w:rsidR="00C6359A" w:rsidRDefault="00C6359A" w:rsidP="00C6359A">
      <w:pPr>
        <w:pStyle w:val="afffffffff1"/>
      </w:pPr>
      <w:r>
        <w:rPr>
          <w:rFonts w:hint="eastAsia"/>
        </w:rPr>
        <w:t>药物治疗原则：目前尚缺乏特效药物，对具有伴随症状或共患病的患者给予必要的药物治疗，包括但不限于镇静催眠药物、抗抑郁药物、心境稳定剂等。</w:t>
      </w:r>
    </w:p>
    <w:p w:rsidR="00C6359A" w:rsidRDefault="00C6359A" w:rsidP="00C6359A">
      <w:pPr>
        <w:pStyle w:val="afffffffff1"/>
      </w:pPr>
      <w:r>
        <w:rPr>
          <w:rFonts w:hint="eastAsia"/>
        </w:rPr>
        <w:t>全疗程治疗原则：对确诊患者应当进行全疗程治疗与管理，可分为以下阶段：</w:t>
      </w:r>
    </w:p>
    <w:p w:rsidR="00C6359A" w:rsidRDefault="00C6359A" w:rsidP="00C6359A">
      <w:pPr>
        <w:pStyle w:val="af5"/>
        <w:numPr>
          <w:ilvl w:val="0"/>
          <w:numId w:val="38"/>
        </w:numPr>
        <w:tabs>
          <w:tab w:val="left" w:pos="851"/>
        </w:tabs>
      </w:pPr>
      <w:r>
        <w:rPr>
          <w:rFonts w:hint="eastAsia"/>
        </w:rPr>
        <w:t>戒断</w:t>
      </w:r>
      <w:proofErr w:type="gramStart"/>
      <w:r>
        <w:rPr>
          <w:rFonts w:hint="eastAsia"/>
        </w:rPr>
        <w:t>期解决</w:t>
      </w:r>
      <w:proofErr w:type="gramEnd"/>
      <w:r>
        <w:rPr>
          <w:rFonts w:hint="eastAsia"/>
        </w:rPr>
        <w:t>患者游戏戒断相关症状及身体健康问题；</w:t>
      </w:r>
    </w:p>
    <w:p w:rsidR="00C6359A" w:rsidRDefault="00C6359A" w:rsidP="00C6359A">
      <w:pPr>
        <w:pStyle w:val="af5"/>
        <w:tabs>
          <w:tab w:val="left" w:pos="851"/>
        </w:tabs>
      </w:pPr>
      <w:r>
        <w:rPr>
          <w:rFonts w:hint="eastAsia"/>
        </w:rPr>
        <w:t>巩固期在前一阶段基础上侧重于心理功能、社会功能恢复；</w:t>
      </w:r>
    </w:p>
    <w:p w:rsidR="00C6359A" w:rsidRDefault="00C6359A" w:rsidP="00C6359A">
      <w:pPr>
        <w:pStyle w:val="af5"/>
        <w:tabs>
          <w:tab w:val="left" w:pos="851"/>
        </w:tabs>
      </w:pPr>
      <w:r>
        <w:rPr>
          <w:rFonts w:hint="eastAsia"/>
        </w:rPr>
        <w:t>维持期</w:t>
      </w:r>
      <w:r>
        <w:t>/</w:t>
      </w:r>
      <w:proofErr w:type="gramStart"/>
      <w:r>
        <w:rPr>
          <w:rFonts w:hint="eastAsia"/>
        </w:rPr>
        <w:t>康复期防复发</w:t>
      </w:r>
      <w:proofErr w:type="gramEnd"/>
      <w:r>
        <w:rPr>
          <w:rFonts w:hint="eastAsia"/>
        </w:rPr>
        <w:t>，帮助患者回归社会适应日常生活、学习。</w:t>
      </w:r>
    </w:p>
    <w:p w:rsidR="00C6359A" w:rsidRDefault="00C6359A" w:rsidP="00C6359A">
      <w:pPr>
        <w:pStyle w:val="afffffffff1"/>
      </w:pPr>
      <w:r>
        <w:rPr>
          <w:rFonts w:hint="eastAsia"/>
        </w:rPr>
        <w:t>个性化治疗与综合治疗相结合原则：根据患者疾病所处阶段及其心理、生理状态，采用适合该阶段、该状态的治疗方式，可采用单一治疗手段或多种治疗手段有机结合的综合性治疗。</w:t>
      </w:r>
    </w:p>
    <w:p w:rsidR="00C6359A" w:rsidRDefault="00C6359A" w:rsidP="00C6359A">
      <w:pPr>
        <w:pStyle w:val="afffffffff1"/>
      </w:pPr>
      <w:r>
        <w:rPr>
          <w:rFonts w:hint="eastAsia"/>
        </w:rPr>
        <w:t>共患病治疗原则：重注共患病的治疗，按相应病种诊疗规范执行。</w:t>
      </w:r>
    </w:p>
    <w:p w:rsidR="00C6359A" w:rsidRDefault="00C6359A" w:rsidP="00C6359A">
      <w:pPr>
        <w:pStyle w:val="affd"/>
        <w:spacing w:before="120" w:after="120"/>
      </w:pPr>
      <w:bookmarkStart w:id="95" w:name="_Toc196684872"/>
      <w:r>
        <w:rPr>
          <w:rFonts w:hint="eastAsia"/>
        </w:rPr>
        <w:t>心理治疗</w:t>
      </w:r>
      <w:bookmarkEnd w:id="92"/>
      <w:bookmarkEnd w:id="93"/>
      <w:bookmarkEnd w:id="94"/>
      <w:bookmarkEnd w:id="95"/>
    </w:p>
    <w:p w:rsidR="00C6359A" w:rsidRDefault="00C6359A" w:rsidP="00C6359A">
      <w:pPr>
        <w:pStyle w:val="affe"/>
        <w:spacing w:before="120" w:after="120"/>
      </w:pPr>
      <w:r>
        <w:rPr>
          <w:rFonts w:hint="eastAsia"/>
        </w:rPr>
        <w:t>动机强化</w:t>
      </w:r>
    </w:p>
    <w:p w:rsidR="00C6359A" w:rsidRDefault="00C6359A" w:rsidP="00C6359A">
      <w:pPr>
        <w:pStyle w:val="affffb"/>
        <w:ind w:firstLine="420"/>
      </w:pPr>
      <w:r>
        <w:rPr>
          <w:rFonts w:hint="eastAsia"/>
        </w:rPr>
        <w:lastRenderedPageBreak/>
        <w:t>应以患者为中心，尊重其人格尊严及</w:t>
      </w:r>
      <w:r>
        <w:rPr>
          <w:rFonts w:hint="eastAsia"/>
          <w:strike/>
        </w:rPr>
        <w:t>其</w:t>
      </w:r>
      <w:r>
        <w:rPr>
          <w:rFonts w:hint="eastAsia"/>
        </w:rPr>
        <w:t>内在需求，使其充分认识到改变是</w:t>
      </w:r>
      <w:r>
        <w:rPr>
          <w:rFonts w:hint="eastAsia"/>
          <w:strike/>
        </w:rPr>
        <w:t>其</w:t>
      </w:r>
      <w:r>
        <w:rPr>
          <w:rFonts w:hint="eastAsia"/>
        </w:rPr>
        <w:t>自身责任，并通过努力能够实现。帮助患者利用内外部资源完成</w:t>
      </w:r>
      <w:r>
        <w:rPr>
          <w:rFonts w:hint="eastAsia"/>
          <w:strike/>
        </w:rPr>
        <w:t>其</w:t>
      </w:r>
      <w:r>
        <w:rPr>
          <w:rFonts w:hint="eastAsia"/>
        </w:rPr>
        <w:t>改变。治疗过程包括反馈、责任、建议、提供改变清单、共情、增强自我效能感等步骤。</w:t>
      </w:r>
    </w:p>
    <w:p w:rsidR="00C6359A" w:rsidRDefault="00C6359A" w:rsidP="00C6359A">
      <w:pPr>
        <w:pStyle w:val="affe"/>
        <w:spacing w:before="120" w:after="120"/>
      </w:pPr>
      <w:r>
        <w:rPr>
          <w:rFonts w:hint="eastAsia"/>
        </w:rPr>
        <w:t>问题解决</w:t>
      </w:r>
    </w:p>
    <w:p w:rsidR="00C6359A" w:rsidRDefault="00C6359A" w:rsidP="00C6359A">
      <w:pPr>
        <w:pStyle w:val="afffffffff0"/>
      </w:pPr>
      <w:r>
        <w:rPr>
          <w:rFonts w:hint="eastAsia"/>
        </w:rPr>
        <w:t>帮助患者识别复发的高危情景及潜在的复发诱因，学习应对复发高危情景的技巧，理解导致复发的各种心理因素</w:t>
      </w:r>
      <w:r>
        <w:rPr>
          <w:rFonts w:hint="eastAsia"/>
          <w:color w:val="000000" w:themeColor="text1"/>
        </w:rPr>
        <w:t>，增加自我效能</w:t>
      </w:r>
      <w:r>
        <w:rPr>
          <w:rFonts w:hint="eastAsia"/>
        </w:rPr>
        <w:t>。</w:t>
      </w:r>
    </w:p>
    <w:p w:rsidR="00C6359A" w:rsidRDefault="00C6359A" w:rsidP="00C6359A">
      <w:pPr>
        <w:pStyle w:val="afffffffff0"/>
      </w:pPr>
      <w:r>
        <w:rPr>
          <w:rFonts w:hint="eastAsia"/>
        </w:rPr>
        <w:t>可采用个体或者小组治疗的形式，由1～2名治疗师主持，治疗对象以8～10名患者为宜，疗程安排4～6周，每周1～2次。</w:t>
      </w:r>
    </w:p>
    <w:p w:rsidR="00C6359A" w:rsidRDefault="00C6359A" w:rsidP="00C6359A">
      <w:pPr>
        <w:pStyle w:val="afffffffff0"/>
      </w:pPr>
      <w:r>
        <w:rPr>
          <w:rFonts w:hint="eastAsia"/>
        </w:rPr>
        <w:t>治疗过程包括认识自我、讨论碰到的问题、技能训练、后续治疗计划等。每次治疗以</w:t>
      </w:r>
      <w:r>
        <w:t>60</w:t>
      </w:r>
      <w:r>
        <w:rPr>
          <w:vertAlign w:val="superscript"/>
        </w:rPr>
        <w:t xml:space="preserve"> </w:t>
      </w:r>
      <w:r>
        <w:rPr>
          <w:rFonts w:hint="eastAsia"/>
        </w:rPr>
        <w:t>min为宜，分为</w:t>
      </w:r>
      <w:r>
        <w:t>以下</w:t>
      </w:r>
      <w:r>
        <w:rPr>
          <w:rFonts w:hint="eastAsia"/>
        </w:rPr>
        <w:t>阶段：</w:t>
      </w:r>
    </w:p>
    <w:p w:rsidR="00C6359A" w:rsidRDefault="00C6359A" w:rsidP="00C6359A">
      <w:pPr>
        <w:pStyle w:val="af5"/>
        <w:numPr>
          <w:ilvl w:val="0"/>
          <w:numId w:val="39"/>
        </w:numPr>
        <w:tabs>
          <w:tab w:val="left" w:pos="851"/>
        </w:tabs>
      </w:pPr>
      <w:r>
        <w:rPr>
          <w:rFonts w:hint="eastAsia"/>
        </w:rPr>
        <w:t>开始阶段认识自我问题及回顾作业，重点分析、总结可能遇到的高危情境及应对计划；</w:t>
      </w:r>
    </w:p>
    <w:p w:rsidR="00C6359A" w:rsidRDefault="00C6359A" w:rsidP="00C6359A">
      <w:pPr>
        <w:pStyle w:val="af5"/>
        <w:tabs>
          <w:tab w:val="left" w:pos="851"/>
        </w:tabs>
      </w:pPr>
      <w:r>
        <w:rPr>
          <w:rFonts w:hint="eastAsia"/>
        </w:rPr>
        <w:t>中间阶段针对开始阶段总结的问题开展技能训练；</w:t>
      </w:r>
    </w:p>
    <w:p w:rsidR="00C6359A" w:rsidRDefault="00C6359A" w:rsidP="00C6359A">
      <w:pPr>
        <w:pStyle w:val="af5"/>
        <w:tabs>
          <w:tab w:val="left" w:pos="851"/>
        </w:tabs>
      </w:pPr>
      <w:r>
        <w:rPr>
          <w:rFonts w:hint="eastAsia"/>
        </w:rPr>
        <w:t>结束阶段检验训练效果并布置家庭作业，宣布后续治疗计划。</w:t>
      </w:r>
    </w:p>
    <w:p w:rsidR="00C6359A" w:rsidRDefault="00C6359A" w:rsidP="00C6359A">
      <w:pPr>
        <w:pStyle w:val="affe"/>
        <w:spacing w:before="120" w:after="120"/>
      </w:pPr>
      <w:r>
        <w:rPr>
          <w:rFonts w:hint="eastAsia"/>
        </w:rPr>
        <w:t>正念疗法</w:t>
      </w:r>
    </w:p>
    <w:p w:rsidR="00C6359A" w:rsidRDefault="00C6359A" w:rsidP="00C6359A">
      <w:pPr>
        <w:pStyle w:val="affffb"/>
        <w:ind w:firstLine="420"/>
      </w:pPr>
      <w:r>
        <w:rPr>
          <w:rFonts w:hint="eastAsia"/>
        </w:rPr>
        <w:t>应结合认知行为治疗，通过提高患者对触发因素、习惯性思维模式及自动反应的自我意识，培养患者接纳目前体验，帮助患者摆脱习惯性思维模式及自动行为反应。该疗法适合具有治疗动机、维持治疗目标的患者。</w:t>
      </w:r>
    </w:p>
    <w:p w:rsidR="00C6359A" w:rsidRDefault="00C6359A" w:rsidP="00C6359A">
      <w:pPr>
        <w:pStyle w:val="affe"/>
        <w:spacing w:before="120" w:after="120"/>
      </w:pPr>
      <w:r>
        <w:rPr>
          <w:rFonts w:hint="eastAsia"/>
        </w:rPr>
        <w:t>家庭治疗</w:t>
      </w:r>
    </w:p>
    <w:p w:rsidR="00C6359A" w:rsidRDefault="00C6359A" w:rsidP="00C6359A">
      <w:pPr>
        <w:pStyle w:val="affffb"/>
        <w:ind w:firstLine="420"/>
      </w:pPr>
      <w:r>
        <w:rPr>
          <w:rFonts w:hint="eastAsia"/>
        </w:rPr>
        <w:t>应指导家庭成员如何正确面对成瘾者及帮助患者康复，包括鼓励家庭支持患者保持操守，督促患者参加治疗及康复活动，支持患者适应社会生活，指导患者改善亲子关系和人际关系等。</w:t>
      </w:r>
    </w:p>
    <w:p w:rsidR="00C6359A" w:rsidRDefault="00C6359A" w:rsidP="00C6359A">
      <w:pPr>
        <w:pStyle w:val="affe"/>
        <w:spacing w:before="120" w:after="120"/>
      </w:pPr>
      <w:r>
        <w:rPr>
          <w:rFonts w:hint="eastAsia"/>
        </w:rPr>
        <w:t>行为治疗</w:t>
      </w:r>
    </w:p>
    <w:p w:rsidR="00C6359A" w:rsidRDefault="00C6359A" w:rsidP="00C6359A">
      <w:pPr>
        <w:pStyle w:val="affffb"/>
        <w:ind w:firstLine="420"/>
      </w:pPr>
      <w:r>
        <w:rPr>
          <w:rFonts w:hint="eastAsia"/>
        </w:rPr>
        <w:t>包括行为塑造法、厌恶疗法、生物反馈疗法、示范法等。在患者有较好的治疗依从性时，宜开展行为塑造法；厌恶疗法可能涉及伦理问题，使用该疗法应做好充分的知情同意，把握尺度。</w:t>
      </w:r>
    </w:p>
    <w:p w:rsidR="00C6359A" w:rsidRDefault="00C6359A" w:rsidP="00C6359A">
      <w:pPr>
        <w:pStyle w:val="affd"/>
        <w:spacing w:before="120" w:after="120"/>
      </w:pPr>
      <w:bookmarkStart w:id="96" w:name="_Toc196684873"/>
      <w:bookmarkStart w:id="97" w:name="_Toc185865697"/>
      <w:bookmarkStart w:id="98" w:name="_Toc187422162"/>
      <w:r>
        <w:rPr>
          <w:rFonts w:hint="eastAsia"/>
        </w:rPr>
        <w:t>其他干预技术</w:t>
      </w:r>
      <w:bookmarkEnd w:id="96"/>
    </w:p>
    <w:p w:rsidR="00C6359A" w:rsidRDefault="00C6359A" w:rsidP="00C6359A">
      <w:pPr>
        <w:pStyle w:val="affe"/>
        <w:spacing w:before="120" w:after="120"/>
      </w:pPr>
      <w:bookmarkStart w:id="99" w:name="_Toc187422159"/>
      <w:r>
        <w:rPr>
          <w:rFonts w:hint="eastAsia"/>
        </w:rPr>
        <w:t>药物治疗</w:t>
      </w:r>
      <w:bookmarkEnd w:id="99"/>
    </w:p>
    <w:p w:rsidR="00C6359A" w:rsidRDefault="00C6359A" w:rsidP="00C6359A">
      <w:pPr>
        <w:pStyle w:val="afffffffff0"/>
      </w:pPr>
      <w:r>
        <w:rPr>
          <w:rFonts w:hint="eastAsia"/>
        </w:rPr>
        <w:t>共病重度抑郁症患者，可使用</w:t>
      </w:r>
      <w:proofErr w:type="gramStart"/>
      <w:r>
        <w:rPr>
          <w:rFonts w:hint="eastAsia"/>
        </w:rPr>
        <w:t>舍曲林</w:t>
      </w:r>
      <w:proofErr w:type="gramEnd"/>
      <w:r>
        <w:rPr>
          <w:rFonts w:hint="eastAsia"/>
        </w:rPr>
        <w:t>、安非他酮或艾司西</w:t>
      </w:r>
      <w:proofErr w:type="gramStart"/>
      <w:r>
        <w:rPr>
          <w:rFonts w:hint="eastAsia"/>
        </w:rPr>
        <w:t>酞</w:t>
      </w:r>
      <w:proofErr w:type="gramEnd"/>
      <w:r>
        <w:rPr>
          <w:rFonts w:hint="eastAsia"/>
        </w:rPr>
        <w:t>普兰治疗，疗程按抑郁障碍诊疗规范执行。</w:t>
      </w:r>
    </w:p>
    <w:p w:rsidR="00C6359A" w:rsidRDefault="00C6359A" w:rsidP="00C6359A">
      <w:pPr>
        <w:pStyle w:val="afffffffff0"/>
      </w:pPr>
      <w:proofErr w:type="gramStart"/>
      <w:r>
        <w:rPr>
          <w:rFonts w:hint="eastAsia"/>
        </w:rPr>
        <w:t>共病缺陷</w:t>
      </w:r>
      <w:proofErr w:type="gramEnd"/>
      <w:r>
        <w:rPr>
          <w:rFonts w:hint="eastAsia"/>
        </w:rPr>
        <w:t>多动障碍患者，可使用托莫西汀或</w:t>
      </w:r>
      <w:proofErr w:type="gramStart"/>
      <w:r>
        <w:rPr>
          <w:rFonts w:hint="eastAsia"/>
        </w:rPr>
        <w:t>哌</w:t>
      </w:r>
      <w:proofErr w:type="gramEnd"/>
      <w:r>
        <w:rPr>
          <w:rFonts w:hint="eastAsia"/>
        </w:rPr>
        <w:t>甲酯治疗，疗程按抑郁障碍诊疗规范执行。</w:t>
      </w:r>
    </w:p>
    <w:p w:rsidR="00C6359A" w:rsidRDefault="00C6359A" w:rsidP="00C6359A">
      <w:pPr>
        <w:pStyle w:val="afffffffff0"/>
      </w:pPr>
      <w:proofErr w:type="gramStart"/>
      <w:r>
        <w:rPr>
          <w:rFonts w:hint="eastAsia"/>
        </w:rPr>
        <w:t>共病冲动控制</w:t>
      </w:r>
      <w:proofErr w:type="gramEnd"/>
      <w:r>
        <w:rPr>
          <w:rFonts w:hint="eastAsia"/>
        </w:rPr>
        <w:t>障碍患者，或有严重的情感稳定性受损症状的患者，可使用心境稳定剂治疗，疗程按双相障碍诊疗规范执行。</w:t>
      </w:r>
    </w:p>
    <w:p w:rsidR="00C6359A" w:rsidRDefault="00C6359A" w:rsidP="00C6359A">
      <w:pPr>
        <w:pStyle w:val="afffffffff0"/>
      </w:pPr>
      <w:proofErr w:type="gramStart"/>
      <w:r>
        <w:rPr>
          <w:rFonts w:hint="eastAsia"/>
        </w:rPr>
        <w:t>共病其他</w:t>
      </w:r>
      <w:proofErr w:type="gramEnd"/>
      <w:r>
        <w:rPr>
          <w:rFonts w:hint="eastAsia"/>
        </w:rPr>
        <w:t>精神障碍患者，应按相应疾病诊疗规范给予必要的药物治疗。</w:t>
      </w:r>
    </w:p>
    <w:p w:rsidR="00C6359A" w:rsidRDefault="00C6359A" w:rsidP="00C6359A">
      <w:pPr>
        <w:pStyle w:val="affe"/>
        <w:spacing w:before="120" w:after="120"/>
      </w:pPr>
      <w:bookmarkStart w:id="100" w:name="_Toc187422160"/>
      <w:r>
        <w:rPr>
          <w:rFonts w:hint="eastAsia"/>
        </w:rPr>
        <w:t>物理治疗</w:t>
      </w:r>
      <w:bookmarkEnd w:id="100"/>
    </w:p>
    <w:p w:rsidR="00C6359A" w:rsidRDefault="00C6359A" w:rsidP="00C6359A">
      <w:pPr>
        <w:pStyle w:val="affffb"/>
        <w:ind w:firstLine="420"/>
      </w:pPr>
      <w:r>
        <w:rPr>
          <w:rFonts w:hint="eastAsia"/>
        </w:rPr>
        <w:t>可采用重复经颅磁刺激技术、经颅直流电刺激技术，以及与中医相结合的针刺技术、经皮穴位电刺激疗法等疗法。</w:t>
      </w:r>
    </w:p>
    <w:p w:rsidR="00C6359A" w:rsidRDefault="00C6359A" w:rsidP="00C6359A">
      <w:pPr>
        <w:pStyle w:val="affe"/>
        <w:spacing w:before="120" w:after="120"/>
      </w:pPr>
      <w:bookmarkStart w:id="101" w:name="_Toc187422161"/>
      <w:r>
        <w:rPr>
          <w:rFonts w:hint="eastAsia"/>
        </w:rPr>
        <w:t>康复治疗</w:t>
      </w:r>
      <w:bookmarkEnd w:id="101"/>
    </w:p>
    <w:p w:rsidR="00C6359A" w:rsidRDefault="00C6359A" w:rsidP="00C6359A">
      <w:pPr>
        <w:pStyle w:val="affffb"/>
        <w:ind w:firstLine="420"/>
      </w:pPr>
      <w:r>
        <w:rPr>
          <w:rFonts w:hint="eastAsia"/>
        </w:rPr>
        <w:t>应注意以下方面：</w:t>
      </w:r>
    </w:p>
    <w:p w:rsidR="00C6359A" w:rsidRDefault="00C6359A" w:rsidP="00C6359A">
      <w:pPr>
        <w:pStyle w:val="af5"/>
        <w:numPr>
          <w:ilvl w:val="0"/>
          <w:numId w:val="40"/>
        </w:numPr>
        <w:tabs>
          <w:tab w:val="left" w:pos="851"/>
        </w:tabs>
      </w:pPr>
      <w:r>
        <w:rPr>
          <w:rFonts w:hint="eastAsia"/>
        </w:rPr>
        <w:t>构建家庭-学校-医院康复服务体系；</w:t>
      </w:r>
    </w:p>
    <w:p w:rsidR="00C6359A" w:rsidRDefault="00C6359A" w:rsidP="00C6359A">
      <w:pPr>
        <w:pStyle w:val="af5"/>
        <w:tabs>
          <w:tab w:val="left" w:pos="851"/>
        </w:tabs>
      </w:pPr>
      <w:r>
        <w:rPr>
          <w:rFonts w:hint="eastAsia"/>
        </w:rPr>
        <w:t>宜在家庭营造良好的康复环境，控制患者智能手机或其他上网设备的使用时间，宜控制在每天1</w:t>
      </w:r>
      <w:r>
        <w:rPr>
          <w:rFonts w:hint="eastAsia"/>
          <w:vertAlign w:val="superscript"/>
        </w:rPr>
        <w:t xml:space="preserve"> </w:t>
      </w:r>
      <w:r>
        <w:rPr>
          <w:rFonts w:hint="eastAsia"/>
        </w:rPr>
        <w:t>h～2</w:t>
      </w:r>
      <w:r>
        <w:rPr>
          <w:vertAlign w:val="superscript"/>
        </w:rPr>
        <w:t xml:space="preserve"> </w:t>
      </w:r>
      <w:r>
        <w:rPr>
          <w:rFonts w:hint="eastAsia"/>
        </w:rPr>
        <w:t>h；</w:t>
      </w:r>
    </w:p>
    <w:p w:rsidR="00C6359A" w:rsidRDefault="00C6359A" w:rsidP="00C6359A">
      <w:pPr>
        <w:pStyle w:val="af5"/>
        <w:tabs>
          <w:tab w:val="left" w:pos="851"/>
        </w:tabs>
      </w:pPr>
      <w:r>
        <w:rPr>
          <w:rFonts w:hint="eastAsia"/>
        </w:rPr>
        <w:t>鼓励学校为患者复学提供灵活方案，给予必要的支持和帮助，</w:t>
      </w:r>
      <w:proofErr w:type="gramStart"/>
      <w:r>
        <w:rPr>
          <w:rFonts w:hint="eastAsia"/>
        </w:rPr>
        <w:t>减少病耻感</w:t>
      </w:r>
      <w:proofErr w:type="gramEnd"/>
      <w:r>
        <w:rPr>
          <w:rFonts w:hint="eastAsia"/>
        </w:rPr>
        <w:t>，提供生活、学习帮助，促其更好地回归校园，可开展适当的健康宣传和减少同伴误解与歧视；</w:t>
      </w:r>
    </w:p>
    <w:p w:rsidR="00C6359A" w:rsidRDefault="00C6359A" w:rsidP="00C6359A">
      <w:pPr>
        <w:pStyle w:val="af5"/>
        <w:tabs>
          <w:tab w:val="left" w:pos="851"/>
        </w:tabs>
      </w:pPr>
      <w:r>
        <w:rPr>
          <w:rFonts w:hint="eastAsia"/>
        </w:rPr>
        <w:t>维持良好的医患关系，条件许可的，可开展预约复诊，继续给予动机强化治疗，鼓励、支持患者及其家属主动参与治疗，针对患者当前主要功能损害的问题可采取适宜的心理治疗；</w:t>
      </w:r>
    </w:p>
    <w:p w:rsidR="00C6359A" w:rsidRDefault="00C6359A" w:rsidP="00C6359A">
      <w:pPr>
        <w:pStyle w:val="af5"/>
        <w:tabs>
          <w:tab w:val="left" w:pos="851"/>
        </w:tabs>
      </w:pPr>
      <w:r>
        <w:rPr>
          <w:rFonts w:hint="eastAsia"/>
        </w:rPr>
        <w:lastRenderedPageBreak/>
        <w:t>家长、学校老师及同学发现患者有病情复发倾向的，宜给予力所能及的帮助，并建议或帮助其复诊。</w:t>
      </w:r>
    </w:p>
    <w:p w:rsidR="00C6359A" w:rsidRDefault="00C6359A" w:rsidP="00C6359A">
      <w:pPr>
        <w:pStyle w:val="affc"/>
        <w:spacing w:before="240" w:after="240"/>
        <w:rPr>
          <w:color w:val="000000" w:themeColor="text1"/>
        </w:rPr>
      </w:pPr>
      <w:bookmarkStart w:id="102" w:name="_Toc196684874"/>
      <w:r>
        <w:rPr>
          <w:rFonts w:hint="eastAsia"/>
          <w:color w:val="000000" w:themeColor="text1"/>
        </w:rPr>
        <w:t>档案管理</w:t>
      </w:r>
      <w:bookmarkEnd w:id="97"/>
      <w:bookmarkEnd w:id="98"/>
      <w:bookmarkEnd w:id="102"/>
    </w:p>
    <w:p w:rsidR="00C6359A" w:rsidRDefault="00C6359A" w:rsidP="00A06225">
      <w:pPr>
        <w:pStyle w:val="affffffffe"/>
      </w:pPr>
      <w:r>
        <w:rPr>
          <w:rFonts w:hint="eastAsia"/>
        </w:rPr>
        <w:t>应有专人负责管理，进行日常管理、协调与持续质量评价评估质量。</w:t>
      </w:r>
    </w:p>
    <w:p w:rsidR="00C6359A" w:rsidRDefault="00C6359A" w:rsidP="00A06225">
      <w:pPr>
        <w:pStyle w:val="affffffffe"/>
      </w:pPr>
      <w:r>
        <w:rPr>
          <w:rFonts w:hint="eastAsia"/>
        </w:rPr>
        <w:t>严格患者隐私保护，不应泄露患者信息。</w:t>
      </w:r>
    </w:p>
    <w:p w:rsidR="00C6359A" w:rsidRDefault="00C6359A" w:rsidP="00A06225">
      <w:pPr>
        <w:pStyle w:val="affffffffe"/>
      </w:pPr>
      <w:r>
        <w:rPr>
          <w:rFonts w:hint="eastAsia"/>
        </w:rPr>
        <w:t>妥善处理投诉，定期收集患者反馈意见，核实、分析与整改。</w:t>
      </w:r>
    </w:p>
    <w:p w:rsidR="00C6359A" w:rsidRDefault="00C6359A" w:rsidP="00A06225">
      <w:pPr>
        <w:pStyle w:val="affffffffe"/>
      </w:pPr>
      <w:r>
        <w:rPr>
          <w:rFonts w:hint="eastAsia"/>
        </w:rPr>
        <w:t>及时总结典型案例，积极开展科内及医院间反馈和交流。</w:t>
      </w:r>
    </w:p>
    <w:p w:rsidR="00C6359A" w:rsidRDefault="00C6359A" w:rsidP="00C6359A">
      <w:pPr>
        <w:pStyle w:val="affffb"/>
        <w:ind w:firstLine="420"/>
      </w:pPr>
    </w:p>
    <w:p w:rsidR="00C6359A" w:rsidRPr="00C6359A" w:rsidRDefault="00C6359A" w:rsidP="00C6359A">
      <w:pPr>
        <w:pStyle w:val="affffb"/>
        <w:ind w:firstLine="420"/>
      </w:pPr>
    </w:p>
    <w:p w:rsidR="00C6359A" w:rsidRDefault="00C6359A" w:rsidP="00C6359A">
      <w:pPr>
        <w:pStyle w:val="affffb"/>
        <w:ind w:firstLine="420"/>
      </w:pPr>
    </w:p>
    <w:p w:rsidR="00C6359A" w:rsidRDefault="00C6359A" w:rsidP="00C6359A">
      <w:pPr>
        <w:pStyle w:val="affffb"/>
        <w:ind w:firstLine="420"/>
      </w:pPr>
    </w:p>
    <w:p w:rsidR="00C6359A" w:rsidRDefault="00C6359A" w:rsidP="00C6359A">
      <w:pPr>
        <w:pStyle w:val="affffb"/>
        <w:ind w:firstLine="420"/>
      </w:pPr>
    </w:p>
    <w:p w:rsidR="00C6359A" w:rsidRDefault="00C6359A" w:rsidP="00C6359A">
      <w:pPr>
        <w:pStyle w:val="affffb"/>
        <w:ind w:firstLine="420"/>
        <w:sectPr w:rsidR="00C6359A" w:rsidSect="00772E78">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p>
    <w:p w:rsidR="00C6359A" w:rsidRDefault="00C6359A" w:rsidP="00C6359A">
      <w:pPr>
        <w:pStyle w:val="af8"/>
      </w:pPr>
      <w:bookmarkStart w:id="103" w:name="BookMark5"/>
      <w:bookmarkEnd w:id="21"/>
    </w:p>
    <w:p w:rsidR="00C6359A" w:rsidRDefault="00C6359A" w:rsidP="00C6359A">
      <w:pPr>
        <w:pStyle w:val="afe"/>
      </w:pPr>
    </w:p>
    <w:p w:rsidR="00C6359A" w:rsidRDefault="00C6359A" w:rsidP="00C6359A">
      <w:pPr>
        <w:pStyle w:val="aff3"/>
        <w:spacing w:after="120"/>
      </w:pPr>
      <w:r>
        <w:br/>
      </w:r>
      <w:r>
        <w:rPr>
          <w:rFonts w:hint="eastAsia"/>
        </w:rPr>
        <w:t>（资料性）</w:t>
      </w:r>
      <w:r>
        <w:br/>
      </w:r>
      <w:r>
        <w:rPr>
          <w:rFonts w:hint="eastAsia"/>
        </w:rPr>
        <w:t>游戏障碍风险分级评估量表</w:t>
      </w:r>
    </w:p>
    <w:p w:rsidR="00C6359A" w:rsidRPr="00C6359A" w:rsidRDefault="00C6359A" w:rsidP="00C6359A">
      <w:pPr>
        <w:pStyle w:val="affffb"/>
        <w:ind w:firstLine="420"/>
      </w:pPr>
      <w:r w:rsidRPr="00C6359A">
        <w:rPr>
          <w:rFonts w:hint="eastAsia"/>
        </w:rPr>
        <w:t>游戏障碍风险分级评估量表见表1</w:t>
      </w:r>
      <w:r>
        <w:rPr>
          <w:rFonts w:hint="eastAsia"/>
        </w:rPr>
        <w:t>。</w:t>
      </w:r>
    </w:p>
    <w:p w:rsidR="00C6359A" w:rsidRPr="00C6359A" w:rsidRDefault="00C6359A" w:rsidP="00C6359A">
      <w:pPr>
        <w:pStyle w:val="aff"/>
        <w:spacing w:before="120" w:after="120"/>
      </w:pPr>
      <w:r w:rsidRPr="00C6359A">
        <w:rPr>
          <w:rFonts w:hint="eastAsia"/>
        </w:rPr>
        <w:t>游戏障碍风险分级评估量表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34"/>
      </w:tblGrid>
      <w:tr w:rsidR="00C6359A" w:rsidTr="006213CC">
        <w:trPr>
          <w:tblHeader/>
          <w:jc w:val="center"/>
        </w:trPr>
        <w:tc>
          <w:tcPr>
            <w:tcW w:w="9570" w:type="dxa"/>
            <w:tcBorders>
              <w:top w:val="single" w:sz="8" w:space="0" w:color="auto"/>
              <w:bottom w:val="single" w:sz="8" w:space="0" w:color="auto"/>
            </w:tcBorders>
            <w:vAlign w:val="center"/>
          </w:tcPr>
          <w:p w:rsidR="00C6359A" w:rsidRDefault="00C6359A" w:rsidP="006213CC">
            <w:pPr>
              <w:pStyle w:val="afffffffff9"/>
            </w:pPr>
            <w:r>
              <w:rPr>
                <w:rFonts w:hint="eastAsia"/>
              </w:rPr>
              <w:t>指导语</w:t>
            </w:r>
          </w:p>
        </w:tc>
      </w:tr>
      <w:tr w:rsidR="00C6359A" w:rsidTr="006213CC">
        <w:trPr>
          <w:jc w:val="center"/>
        </w:trPr>
        <w:tc>
          <w:tcPr>
            <w:tcW w:w="9570" w:type="dxa"/>
            <w:tcBorders>
              <w:top w:val="single" w:sz="8" w:space="0" w:color="auto"/>
            </w:tcBorders>
            <w:vAlign w:val="center"/>
          </w:tcPr>
          <w:p w:rsidR="00C6359A" w:rsidRDefault="00C6359A" w:rsidP="006213CC">
            <w:pPr>
              <w:pStyle w:val="afffffffff9"/>
              <w:ind w:firstLineChars="200" w:firstLine="360"/>
              <w:jc w:val="both"/>
            </w:pPr>
            <w:r>
              <w:rPr>
                <w:rFonts w:hint="eastAsia"/>
              </w:rPr>
              <w:t>以下条目描述了网络游戏可能对您学习、生活及社会功能（人际交往）方面的影响，请根据真实情况做出选择，并选择相应的选项，答案没有对错之分，请如实填写，我们绝对为您保密，谢谢您的合作！请根据您在过去1个月中的情况进行作答：</w:t>
            </w:r>
          </w:p>
        </w:tc>
      </w:tr>
      <w:tr w:rsidR="00C6359A" w:rsidTr="006213CC">
        <w:trPr>
          <w:jc w:val="center"/>
        </w:trPr>
        <w:tc>
          <w:tcPr>
            <w:tcW w:w="9570" w:type="dxa"/>
            <w:vAlign w:val="center"/>
          </w:tcPr>
          <w:p w:rsidR="00C6359A" w:rsidRDefault="00C6359A" w:rsidP="006213CC">
            <w:pPr>
              <w:pStyle w:val="afffffffff9"/>
            </w:pPr>
            <w:r>
              <w:rPr>
                <w:rFonts w:hint="eastAsia"/>
              </w:rPr>
              <w:t>评估</w:t>
            </w:r>
            <w:r>
              <w:t>条目</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1.无法控制自己玩游戏的时间与频率</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2.玩游戏的时长或次数超过自己的预期</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3.一旦开始玩游戏就难以停不下来</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4.即使对游戏本身已经没什么兴趣或者厌倦了，还是会继续玩游戏</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5.与参加其他娱乐活动相比，更愿意玩游戏</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6.觉得除了玩游戏，生活没有其他乐趣</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7.不玩游戏的时候，依然会想着游戏或与游戏相关的事情</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8.在看到或听到与游戏相关内容时，会很兴奋</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9.在看到或听到与游戏相关内容时，会出现想玩游戏的想法或冲动</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10.当被要求停止游戏或减少游戏时间时，会感到烦躁不安</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11.曾尝试减少游戏时间或停止游戏却失败</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12.实际游戏时间比报告（或承诺）的游戏时间要多</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13.因玩游戏而与除父母外的其他家人发生冲突</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14.因玩游戏而很少出门</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15.因玩游戏而很少与人交往</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16.因玩游戏而导致严重的睡眠问题（如失眠、睡不醒）</w:t>
            </w:r>
          </w:p>
        </w:tc>
      </w:tr>
      <w:tr w:rsidR="00C6359A" w:rsidTr="006213CC">
        <w:trPr>
          <w:jc w:val="center"/>
        </w:trPr>
        <w:tc>
          <w:tcPr>
            <w:tcW w:w="9570" w:type="dxa"/>
            <w:vAlign w:val="center"/>
          </w:tcPr>
          <w:p w:rsidR="00C6359A" w:rsidRDefault="00C6359A" w:rsidP="006213CC">
            <w:pPr>
              <w:pStyle w:val="affffb"/>
              <w:ind w:firstLineChars="100" w:firstLine="180"/>
              <w:rPr>
                <w:sz w:val="18"/>
                <w:szCs w:val="18"/>
              </w:rPr>
            </w:pPr>
            <w:r>
              <w:rPr>
                <w:rFonts w:hint="eastAsia"/>
                <w:sz w:val="18"/>
                <w:szCs w:val="18"/>
              </w:rPr>
              <w:t>17.因玩游戏花费大量金钱、从而降低了自己的生活水平</w:t>
            </w:r>
          </w:p>
        </w:tc>
      </w:tr>
      <w:tr w:rsidR="00C6359A" w:rsidTr="006213CC">
        <w:trPr>
          <w:jc w:val="center"/>
        </w:trPr>
        <w:tc>
          <w:tcPr>
            <w:tcW w:w="9570" w:type="dxa"/>
            <w:tcBorders>
              <w:bottom w:val="single" w:sz="8" w:space="0" w:color="auto"/>
            </w:tcBorders>
            <w:vAlign w:val="center"/>
          </w:tcPr>
          <w:p w:rsidR="00C6359A" w:rsidRDefault="00C6359A" w:rsidP="006213CC">
            <w:pPr>
              <w:pStyle w:val="affffb"/>
              <w:ind w:firstLineChars="100" w:firstLine="180"/>
              <w:rPr>
                <w:sz w:val="18"/>
                <w:szCs w:val="18"/>
              </w:rPr>
            </w:pPr>
            <w:r>
              <w:rPr>
                <w:rFonts w:hint="eastAsia"/>
                <w:sz w:val="18"/>
                <w:szCs w:val="18"/>
              </w:rPr>
              <w:t>18.因玩游戏而耽误了重要的事情（如考试、求职等）</w:t>
            </w:r>
          </w:p>
        </w:tc>
      </w:tr>
      <w:tr w:rsidR="00C6359A" w:rsidTr="006213CC">
        <w:trPr>
          <w:jc w:val="center"/>
        </w:trPr>
        <w:tc>
          <w:tcPr>
            <w:tcW w:w="9570" w:type="dxa"/>
            <w:tcBorders>
              <w:top w:val="single" w:sz="8" w:space="0" w:color="auto"/>
            </w:tcBorders>
            <w:vAlign w:val="center"/>
          </w:tcPr>
          <w:p w:rsidR="00C6359A" w:rsidRDefault="000714A4" w:rsidP="006213CC">
            <w:pPr>
              <w:pStyle w:val="a5"/>
            </w:pPr>
            <w:r w:rsidRPr="000714A4">
              <w:rPr>
                <w:rFonts w:hint="eastAsia"/>
              </w:rPr>
              <w:t>每项评估条目有四种记分情形，</w:t>
            </w:r>
            <w:bookmarkStart w:id="104" w:name="_GoBack"/>
            <w:bookmarkEnd w:id="104"/>
            <w:r w:rsidR="00C6359A">
              <w:rPr>
                <w:rFonts w:hint="eastAsia"/>
              </w:rPr>
              <w:t>从未-记0分，偶尔-记1分，经常-记2分，总是-记3分。</w:t>
            </w:r>
          </w:p>
          <w:p w:rsidR="00C6359A" w:rsidRDefault="00C6359A" w:rsidP="006213CC">
            <w:pPr>
              <w:pStyle w:val="a5"/>
            </w:pPr>
            <w:r>
              <w:rPr>
                <w:rFonts w:hint="eastAsia"/>
              </w:rPr>
              <w:t>0</w:t>
            </w:r>
            <w:r>
              <w:rPr>
                <w:rFonts w:hAnsi="宋体" w:hint="eastAsia"/>
              </w:rPr>
              <w:t>～</w:t>
            </w:r>
            <w:r>
              <w:rPr>
                <w:rFonts w:hint="eastAsia"/>
              </w:rPr>
              <w:t>18分为无风险或低风险，19～36分为中风险，37</w:t>
            </w:r>
            <w:r w:rsidRPr="00C6359A">
              <w:rPr>
                <w:rFonts w:hint="eastAsia"/>
              </w:rPr>
              <w:t>～</w:t>
            </w:r>
            <w:r>
              <w:rPr>
                <w:rFonts w:hint="eastAsia"/>
              </w:rPr>
              <w:t>54分以上为高风险。</w:t>
            </w:r>
          </w:p>
        </w:tc>
      </w:tr>
    </w:tbl>
    <w:p w:rsidR="00C6359A" w:rsidRPr="00C6359A" w:rsidRDefault="00C6359A" w:rsidP="00C6359A">
      <w:pPr>
        <w:pStyle w:val="affffb"/>
        <w:ind w:firstLine="420"/>
      </w:pPr>
    </w:p>
    <w:p w:rsidR="00C6359A" w:rsidRDefault="00C6359A" w:rsidP="00C6359A">
      <w:pPr>
        <w:pStyle w:val="affffb"/>
        <w:ind w:firstLine="420"/>
      </w:pPr>
    </w:p>
    <w:p w:rsidR="00C6359A" w:rsidRDefault="00C6359A" w:rsidP="00C6359A">
      <w:pPr>
        <w:pStyle w:val="affffb"/>
        <w:ind w:firstLine="420"/>
        <w:sectPr w:rsidR="00C6359A" w:rsidSect="00C6359A">
          <w:pgSz w:w="11906" w:h="16838" w:code="9"/>
          <w:pgMar w:top="1928" w:right="1134" w:bottom="1134" w:left="1134" w:header="1418" w:footer="1134" w:gutter="284"/>
          <w:cols w:space="425"/>
          <w:formProt w:val="0"/>
          <w:docGrid w:linePitch="312"/>
        </w:sectPr>
      </w:pPr>
      <w:bookmarkStart w:id="105" w:name="BookMark6"/>
      <w:bookmarkEnd w:id="103"/>
    </w:p>
    <w:p w:rsidR="00C6359A" w:rsidRDefault="00C6359A" w:rsidP="00C6359A">
      <w:pPr>
        <w:pStyle w:val="afffff2"/>
        <w:spacing w:after="120"/>
      </w:pPr>
      <w:r w:rsidRPr="00C6359A">
        <w:rPr>
          <w:rFonts w:hint="eastAsia"/>
          <w:spacing w:val="105"/>
        </w:rPr>
        <w:lastRenderedPageBreak/>
        <w:t>参考文</w:t>
      </w:r>
      <w:r>
        <w:rPr>
          <w:rFonts w:hint="eastAsia"/>
        </w:rPr>
        <w:t>献</w:t>
      </w:r>
    </w:p>
    <w:p w:rsidR="00C6359A" w:rsidRDefault="00C6359A" w:rsidP="00C6359A">
      <w:pPr>
        <w:pStyle w:val="affffb"/>
        <w:ind w:firstLine="420"/>
      </w:pPr>
      <w:r>
        <w:rPr>
          <w:rFonts w:hint="eastAsia"/>
        </w:rPr>
        <w:t xml:space="preserve">[1]  GB/T 31179—2014 </w:t>
      </w:r>
      <w:r w:rsidR="000A6B1B">
        <w:t xml:space="preserve"> </w:t>
      </w:r>
      <w:r>
        <w:rPr>
          <w:rFonts w:hint="eastAsia"/>
        </w:rPr>
        <w:t>儿童安全与健康一般指南</w:t>
      </w:r>
    </w:p>
    <w:p w:rsidR="00C6359A" w:rsidRDefault="00C6359A" w:rsidP="00C6359A">
      <w:pPr>
        <w:pStyle w:val="affffb"/>
        <w:ind w:firstLine="420"/>
      </w:pPr>
      <w:r>
        <w:rPr>
          <w:rFonts w:hint="eastAsia"/>
        </w:rPr>
        <w:t xml:space="preserve">[2]  DB45/T 2659—2023 </w:t>
      </w:r>
      <w:r w:rsidR="000A6B1B">
        <w:t xml:space="preserve"> </w:t>
      </w:r>
      <w:r>
        <w:rPr>
          <w:rFonts w:hint="eastAsia"/>
        </w:rPr>
        <w:t>儿童青少年心理健康诊疗服务规范</w:t>
      </w:r>
    </w:p>
    <w:p w:rsidR="00C6359A" w:rsidRDefault="00C6359A" w:rsidP="00C6359A">
      <w:pPr>
        <w:pStyle w:val="affffb"/>
        <w:ind w:firstLine="420"/>
      </w:pPr>
      <w:r>
        <w:rPr>
          <w:rFonts w:hint="eastAsia"/>
        </w:rPr>
        <w:t>[3]  World Health Organization Inclusion of “gaming disorder” in ICD-11 [EB/OL] 2021-05-02  https：//www.who.int/news/item/14-09-2018 inclusion of gaming disorder in icd 11.</w:t>
      </w:r>
    </w:p>
    <w:p w:rsidR="00C6359A" w:rsidRDefault="00C6359A" w:rsidP="00C6359A">
      <w:pPr>
        <w:pStyle w:val="affffb"/>
        <w:ind w:firstLine="420"/>
      </w:pPr>
      <w:r>
        <w:rPr>
          <w:rFonts w:hint="eastAsia"/>
        </w:rPr>
        <w:t>[4]  郝伟 赵敏等.成瘾医学：理论与实践.人民卫生出版社.2016.</w:t>
      </w:r>
    </w:p>
    <w:p w:rsidR="00C6359A" w:rsidRDefault="00C6359A" w:rsidP="00C6359A">
      <w:pPr>
        <w:pStyle w:val="affffb"/>
        <w:ind w:firstLine="420"/>
      </w:pPr>
      <w:r>
        <w:rPr>
          <w:rFonts w:hint="eastAsia"/>
        </w:rPr>
        <w:t xml:space="preserve">[5]  徐一峰等.ICD-11精神、行为与神经发育障碍临床描述与诊断指南[M].人民卫生出版社.2023年1月第1版：第12章 物质使用和成瘾行为所致障碍，6C51 游戏障碍，P299-300. </w:t>
      </w:r>
    </w:p>
    <w:p w:rsidR="00C6359A" w:rsidRDefault="00C6359A" w:rsidP="00C6359A">
      <w:pPr>
        <w:pStyle w:val="affffb"/>
        <w:ind w:firstLine="420"/>
      </w:pPr>
      <w:r>
        <w:rPr>
          <w:rFonts w:hint="eastAsia"/>
        </w:rPr>
        <w:t xml:space="preserve">[6]  陆林.沈渔邨精神病学（第6版）[M].北京：人民卫生出版社，2009. </w:t>
      </w:r>
    </w:p>
    <w:p w:rsidR="00C6359A" w:rsidRDefault="00C6359A" w:rsidP="00C6359A">
      <w:pPr>
        <w:pStyle w:val="affffb"/>
        <w:ind w:firstLine="420"/>
      </w:pPr>
      <w:r>
        <w:rPr>
          <w:rFonts w:hint="eastAsia"/>
        </w:rPr>
        <w:t>[7]  陆林.精神病学（第9版）[M].北京：人民卫生出版社，2024.</w:t>
      </w:r>
    </w:p>
    <w:p w:rsidR="00C6359A" w:rsidRDefault="00D94103" w:rsidP="00D94103">
      <w:pPr>
        <w:pStyle w:val="affffb"/>
        <w:ind w:firstLineChars="0" w:firstLine="0"/>
        <w:jc w:val="center"/>
      </w:pPr>
      <w:bookmarkStart w:id="106" w:name="BookMark8"/>
      <w:bookmarkEnd w:id="105"/>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6"/>
    </w:p>
    <w:sectPr w:rsidR="00C6359A" w:rsidSect="00C6359A">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163" w:rsidRDefault="00D60163" w:rsidP="00D86DB7">
      <w:r>
        <w:separator/>
      </w:r>
    </w:p>
    <w:p w:rsidR="00D60163" w:rsidRDefault="00D60163"/>
    <w:p w:rsidR="00D60163" w:rsidRDefault="00D60163"/>
  </w:endnote>
  <w:endnote w:type="continuationSeparator" w:id="0">
    <w:p w:rsidR="00D60163" w:rsidRDefault="00D60163" w:rsidP="00D86DB7">
      <w:r>
        <w:continuationSeparator/>
      </w:r>
    </w:p>
    <w:p w:rsidR="00D60163" w:rsidRDefault="00D60163"/>
    <w:p w:rsidR="00D60163" w:rsidRDefault="00D60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E78" w:rsidRPr="00772E78" w:rsidRDefault="00772E78" w:rsidP="00772E78">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772E78">
    <w:pPr>
      <w:pStyle w:val="affff8"/>
    </w:pPr>
    <w:r>
      <w:fldChar w:fldCharType="begin"/>
    </w:r>
    <w:r>
      <w:instrText>PAGE   \* MERGEFORMAT</w:instrText>
    </w:r>
    <w:r>
      <w:fldChar w:fldCharType="separate"/>
    </w:r>
    <w:r w:rsidR="00C45D6A" w:rsidRPr="00C45D6A">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E78" w:rsidRPr="00772E78" w:rsidRDefault="00772E78" w:rsidP="00772E78">
    <w:pPr>
      <w:pStyle w:val="affff7"/>
    </w:pPr>
    <w:r>
      <w:fldChar w:fldCharType="begin"/>
    </w:r>
    <w:r>
      <w:instrText xml:space="preserve"> PAGE   \* MERGEFORMAT \* MERGEFORMAT </w:instrText>
    </w:r>
    <w:r>
      <w:fldChar w:fldCharType="separate"/>
    </w:r>
    <w:r w:rsidR="00C45D6A">
      <w:rPr>
        <w:noProof/>
      </w:rPr>
      <w:t>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E78" w:rsidRDefault="00772E78" w:rsidP="00772E78">
    <w:pPr>
      <w:pStyle w:val="affff8"/>
    </w:pPr>
    <w:r>
      <w:fldChar w:fldCharType="begin"/>
    </w:r>
    <w:r>
      <w:instrText>PAGE   \* MERGEFORMAT</w:instrText>
    </w:r>
    <w:r>
      <w:fldChar w:fldCharType="separate"/>
    </w:r>
    <w:r w:rsidR="00C45D6A" w:rsidRPr="00C45D6A">
      <w:rPr>
        <w:noProof/>
        <w:lang w:val="zh-CN"/>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163" w:rsidRDefault="00D60163" w:rsidP="00D86DB7">
      <w:r>
        <w:separator/>
      </w:r>
    </w:p>
  </w:footnote>
  <w:footnote w:type="continuationSeparator" w:id="0">
    <w:p w:rsidR="00D60163" w:rsidRDefault="00D60163" w:rsidP="00D86DB7">
      <w:r>
        <w:continuationSeparator/>
      </w:r>
    </w:p>
    <w:p w:rsidR="00D60163" w:rsidRDefault="00D60163"/>
    <w:p w:rsidR="00D60163" w:rsidRDefault="00D6016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772E78" w:rsidRDefault="00772E78" w:rsidP="00772E78">
    <w:pPr>
      <w:pStyle w:val="afffff1"/>
    </w:pPr>
    <w:r>
      <w:fldChar w:fldCharType="begin"/>
    </w:r>
    <w:r>
      <w:instrText xml:space="preserve"> STYLEREF  标准文件_文件编号 \* MERGEFORMAT </w:instrText>
    </w:r>
    <w:r>
      <w:fldChar w:fldCharType="separate"/>
    </w:r>
    <w:r w:rsidR="00C45D6A">
      <w:t>T/GXAS XXXX</w:t>
    </w:r>
    <w:r w:rsidR="00C45D6A">
      <w:t>—</w:t>
    </w:r>
    <w:r w:rsidR="00C45D6A">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772E78">
    <w:pPr>
      <w:pStyle w:val="afffff0"/>
    </w:pPr>
    <w:r>
      <w:fldChar w:fldCharType="begin"/>
    </w:r>
    <w:r>
      <w:instrText xml:space="preserve"> STYLEREF  标准文件_文件编号  \* MERGEFORMAT </w:instrText>
    </w:r>
    <w:r>
      <w:fldChar w:fldCharType="separate"/>
    </w:r>
    <w:r w:rsidR="00C45D6A">
      <w:t>T/GXAS XXXX</w:t>
    </w:r>
    <w:r w:rsidR="00C45D6A">
      <w:t>—</w:t>
    </w:r>
    <w:r w:rsidR="00C45D6A">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E78" w:rsidRPr="00772E78" w:rsidRDefault="00772E78" w:rsidP="00772E78">
    <w:pPr>
      <w:pStyle w:val="afffff1"/>
    </w:pPr>
    <w:r>
      <w:fldChar w:fldCharType="begin"/>
    </w:r>
    <w:r>
      <w:instrText xml:space="preserve"> STYLEREF  标准文件_文件编号 \* MERGEFORMAT </w:instrText>
    </w:r>
    <w:r>
      <w:fldChar w:fldCharType="separate"/>
    </w:r>
    <w:r w:rsidR="00C45D6A">
      <w:t>T/GXAS XXXX</w:t>
    </w:r>
    <w:r w:rsidR="00C45D6A">
      <w:t>—</w:t>
    </w:r>
    <w:r w:rsidR="00C45D6A">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E78" w:rsidRPr="00D84FA1" w:rsidRDefault="00772E78" w:rsidP="00772E78">
    <w:pPr>
      <w:pStyle w:val="afffff0"/>
    </w:pPr>
    <w:r>
      <w:fldChar w:fldCharType="begin"/>
    </w:r>
    <w:r>
      <w:instrText xml:space="preserve"> STYLEREF  标准文件_文件编号  \* MERGEFORMAT </w:instrText>
    </w:r>
    <w:r>
      <w:fldChar w:fldCharType="separate"/>
    </w:r>
    <w:r w:rsidR="00C45D6A">
      <w:t>T/GXAS XXXX</w:t>
    </w:r>
    <w:r w:rsidR="00C45D6A">
      <w:t>—</w:t>
    </w:r>
    <w:r w:rsidR="00C45D6A">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4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4A4"/>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B1B"/>
    <w:rsid w:val="000A7311"/>
    <w:rsid w:val="000B060F"/>
    <w:rsid w:val="000B1592"/>
    <w:rsid w:val="000B1FF2"/>
    <w:rsid w:val="000B3CDA"/>
    <w:rsid w:val="000B5320"/>
    <w:rsid w:val="000B6A0B"/>
    <w:rsid w:val="000C0F6C"/>
    <w:rsid w:val="000C11DB"/>
    <w:rsid w:val="000C1492"/>
    <w:rsid w:val="000C2FBD"/>
    <w:rsid w:val="000C4942"/>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B56"/>
    <w:rsid w:val="00317988"/>
    <w:rsid w:val="003221B4"/>
    <w:rsid w:val="0032258D"/>
    <w:rsid w:val="00322E62"/>
    <w:rsid w:val="00324D13"/>
    <w:rsid w:val="00324EDD"/>
    <w:rsid w:val="00332DFF"/>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45D6"/>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E51"/>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561D"/>
    <w:rsid w:val="006A07AA"/>
    <w:rsid w:val="006A25E5"/>
    <w:rsid w:val="006A2B46"/>
    <w:rsid w:val="006A336D"/>
    <w:rsid w:val="006A37B9"/>
    <w:rsid w:val="006B2672"/>
    <w:rsid w:val="006B546E"/>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34ED"/>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E78"/>
    <w:rsid w:val="00773C1F"/>
    <w:rsid w:val="00774DA4"/>
    <w:rsid w:val="00776599"/>
    <w:rsid w:val="0078114B"/>
    <w:rsid w:val="00781DD2"/>
    <w:rsid w:val="00783ECF"/>
    <w:rsid w:val="0078413A"/>
    <w:rsid w:val="00794AF4"/>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225"/>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04E"/>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340"/>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D6A"/>
    <w:rsid w:val="00C521D6"/>
    <w:rsid w:val="00C55232"/>
    <w:rsid w:val="00C553A4"/>
    <w:rsid w:val="00C55A06"/>
    <w:rsid w:val="00C55D03"/>
    <w:rsid w:val="00C601BC"/>
    <w:rsid w:val="00C6329F"/>
    <w:rsid w:val="00C63340"/>
    <w:rsid w:val="00C6359A"/>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919"/>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0163"/>
    <w:rsid w:val="00D66846"/>
    <w:rsid w:val="00D675FB"/>
    <w:rsid w:val="00D71F25"/>
    <w:rsid w:val="00D72A9C"/>
    <w:rsid w:val="00D77031"/>
    <w:rsid w:val="00D84941"/>
    <w:rsid w:val="00D84FA1"/>
    <w:rsid w:val="00D851F0"/>
    <w:rsid w:val="00D86DB7"/>
    <w:rsid w:val="00D87BF5"/>
    <w:rsid w:val="00D90721"/>
    <w:rsid w:val="00D926D0"/>
    <w:rsid w:val="00D93030"/>
    <w:rsid w:val="00D94103"/>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10C1"/>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3CD4A9-1DCC-4123-8E0B-2F37F784E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qFormat/>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qFormat/>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01EFB9D1BD4211897599196696D959"/>
        <w:category>
          <w:name w:val="常规"/>
          <w:gallery w:val="placeholder"/>
        </w:category>
        <w:types>
          <w:type w:val="bbPlcHdr"/>
        </w:types>
        <w:behaviors>
          <w:behavior w:val="content"/>
        </w:behaviors>
        <w:guid w:val="{7A4ACE37-50DC-4247-8DA8-E27C2C666B7C}"/>
      </w:docPartPr>
      <w:docPartBody>
        <w:p w:rsidR="00AA340A" w:rsidRDefault="00A12BE2">
          <w:pPr>
            <w:pStyle w:val="0E01EFB9D1BD4211897599196696D959"/>
          </w:pPr>
          <w:r w:rsidRPr="00751A05">
            <w:rPr>
              <w:rStyle w:val="a3"/>
              <w:rFonts w:hint="eastAsia"/>
            </w:rPr>
            <w:t>单击或点击此处输入文字。</w:t>
          </w:r>
        </w:p>
      </w:docPartBody>
    </w:docPart>
    <w:docPart>
      <w:docPartPr>
        <w:name w:val="8F7D455C8F70412EAA76DF2BAA6ACAC2"/>
        <w:category>
          <w:name w:val="常规"/>
          <w:gallery w:val="placeholder"/>
        </w:category>
        <w:types>
          <w:type w:val="bbPlcHdr"/>
        </w:types>
        <w:behaviors>
          <w:behavior w:val="content"/>
        </w:behaviors>
        <w:guid w:val="{C63C56A1-DC71-4770-A560-BC32EE3F98AB}"/>
      </w:docPartPr>
      <w:docPartBody>
        <w:p w:rsidR="00AA340A" w:rsidRDefault="00A12BE2">
          <w:pPr>
            <w:pStyle w:val="8F7D455C8F70412EAA76DF2BAA6ACAC2"/>
          </w:pPr>
          <w:r w:rsidRPr="00FB6243">
            <w:rPr>
              <w:rStyle w:val="a3"/>
              <w:rFonts w:hint="eastAsia"/>
            </w:rPr>
            <w:t>选择一项。</w:t>
          </w:r>
        </w:p>
      </w:docPartBody>
    </w:docPart>
    <w:docPart>
      <w:docPartPr>
        <w:name w:val="4D88A6C2A9864A73824A86C50DE4A835"/>
        <w:category>
          <w:name w:val="常规"/>
          <w:gallery w:val="placeholder"/>
        </w:category>
        <w:types>
          <w:type w:val="bbPlcHdr"/>
        </w:types>
        <w:behaviors>
          <w:behavior w:val="content"/>
        </w:behaviors>
        <w:guid w:val="{DB8A74C6-B6D9-4888-A3F1-694AAA396781}"/>
      </w:docPartPr>
      <w:docPartBody>
        <w:p w:rsidR="00AA340A" w:rsidRDefault="00A12BE2">
          <w:pPr>
            <w:pStyle w:val="4D88A6C2A9864A73824A86C50DE4A83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BE2"/>
    <w:rsid w:val="00632D52"/>
    <w:rsid w:val="00641B9F"/>
    <w:rsid w:val="00A12BE2"/>
    <w:rsid w:val="00A509EA"/>
    <w:rsid w:val="00AA340A"/>
    <w:rsid w:val="00CC12CB"/>
    <w:rsid w:val="00F35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E01EFB9D1BD4211897599196696D959">
    <w:name w:val="0E01EFB9D1BD4211897599196696D959"/>
    <w:pPr>
      <w:widowControl w:val="0"/>
      <w:jc w:val="both"/>
    </w:pPr>
  </w:style>
  <w:style w:type="paragraph" w:customStyle="1" w:styleId="8F7D455C8F70412EAA76DF2BAA6ACAC2">
    <w:name w:val="8F7D455C8F70412EAA76DF2BAA6ACAC2"/>
    <w:pPr>
      <w:widowControl w:val="0"/>
      <w:jc w:val="both"/>
    </w:pPr>
  </w:style>
  <w:style w:type="paragraph" w:customStyle="1" w:styleId="4D88A6C2A9864A73824A86C50DE4A835">
    <w:name w:val="4D88A6C2A9864A73824A86C50DE4A83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205C9-0FCC-4531-970C-5F32F86BD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20</TotalTime>
  <Pages>1</Pages>
  <Words>1228</Words>
  <Characters>7003</Characters>
  <Application>Microsoft Office Word</Application>
  <DocSecurity>0</DocSecurity>
  <Lines>58</Lines>
  <Paragraphs>16</Paragraphs>
  <ScaleCrop>false</ScaleCrop>
  <Company>PCMI</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17</cp:revision>
  <cp:lastPrinted>2026-03-30T11:17:00Z</cp:lastPrinted>
  <dcterms:created xsi:type="dcterms:W3CDTF">2026-03-11T03:26:00Z</dcterms:created>
  <dcterms:modified xsi:type="dcterms:W3CDTF">2026-03-30T11:18:00Z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