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2D1F025">
      <w:pPr>
        <w:jc w:val="center"/>
        <w:rPr>
          <w:rFonts w:hint="eastAsia" w:ascii="方正小标宋简体" w:hAnsi="方正小标宋简体" w:eastAsia="方正小标宋简体" w:cs="方正小标宋简体"/>
          <w:bCs/>
          <w:color w:val="auto"/>
          <w:sz w:val="36"/>
          <w:szCs w:val="32"/>
          <w:highlight w:val="none"/>
        </w:rPr>
      </w:pPr>
      <w:r>
        <w:rPr>
          <w:rFonts w:hint="eastAsia" w:ascii="方正小标宋简体" w:hAnsi="方正小标宋简体" w:eastAsia="方正小标宋简体" w:cs="方正小标宋简体"/>
          <w:bCs/>
          <w:color w:val="auto"/>
          <w:sz w:val="36"/>
          <w:szCs w:val="32"/>
          <w:highlight w:val="none"/>
        </w:rPr>
        <w:t>团体标准《</w:t>
      </w:r>
      <w:r>
        <w:rPr>
          <w:rFonts w:hint="eastAsia" w:ascii="方正小标宋简体" w:hAnsi="方正小标宋简体" w:eastAsia="方正小标宋简体" w:cs="方正小标宋简体"/>
          <w:bCs/>
          <w:color w:val="auto"/>
          <w:sz w:val="36"/>
          <w:szCs w:val="32"/>
          <w:highlight w:val="none"/>
          <w:lang w:eastAsia="zh-CN"/>
        </w:rPr>
        <w:t>年闹诺（睡眠障碍）壮医护理规范</w:t>
      </w:r>
      <w:r>
        <w:rPr>
          <w:rFonts w:hint="eastAsia" w:ascii="方正小标宋简体" w:hAnsi="方正小标宋简体" w:eastAsia="方正小标宋简体" w:cs="方正小标宋简体"/>
          <w:bCs/>
          <w:color w:val="auto"/>
          <w:sz w:val="36"/>
          <w:szCs w:val="32"/>
          <w:highlight w:val="none"/>
        </w:rPr>
        <w:t>》（</w:t>
      </w:r>
      <w:r>
        <w:rPr>
          <w:rFonts w:hint="eastAsia" w:ascii="方正小标宋简体" w:hAnsi="方正小标宋简体" w:eastAsia="方正小标宋简体" w:cs="方正小标宋简体"/>
          <w:bCs/>
          <w:color w:val="auto"/>
          <w:sz w:val="36"/>
          <w:szCs w:val="32"/>
          <w:highlight w:val="none"/>
          <w:lang w:eastAsia="zh-CN"/>
        </w:rPr>
        <w:t>征求意见</w:t>
      </w:r>
      <w:r>
        <w:rPr>
          <w:rFonts w:hint="eastAsia" w:ascii="方正小标宋简体" w:hAnsi="方正小标宋简体" w:eastAsia="方正小标宋简体" w:cs="方正小标宋简体"/>
          <w:bCs/>
          <w:color w:val="auto"/>
          <w:sz w:val="36"/>
          <w:szCs w:val="32"/>
          <w:highlight w:val="none"/>
        </w:rPr>
        <w:t>稿）编制说明</w:t>
      </w:r>
    </w:p>
    <w:p w14:paraId="6AF687CB">
      <w:pPr>
        <w:ind w:firstLine="360"/>
        <w:jc w:val="center"/>
        <w:rPr>
          <w:rFonts w:ascii="微软雅黑" w:eastAsia="微软雅黑" w:cs="仿宋_GB2312"/>
          <w:bCs/>
          <w:color w:val="auto"/>
          <w:sz w:val="18"/>
          <w:szCs w:val="18"/>
          <w:highlight w:val="none"/>
        </w:rPr>
      </w:pPr>
    </w:p>
    <w:p w14:paraId="0EC4541C">
      <w:pPr>
        <w:spacing w:line="520" w:lineRule="exact"/>
        <w:ind w:firstLine="640" w:firstLineChars="200"/>
        <w:outlineLvl w:val="0"/>
        <w:rPr>
          <w:rFonts w:ascii="黑体" w:eastAsia="黑体" w:cs="仿宋_GB2312"/>
          <w:bCs/>
          <w:color w:val="auto"/>
          <w:sz w:val="32"/>
          <w:szCs w:val="32"/>
          <w:highlight w:val="none"/>
        </w:rPr>
      </w:pPr>
      <w:r>
        <w:rPr>
          <w:rFonts w:hint="eastAsia" w:ascii="黑体" w:eastAsia="黑体" w:cs="仿宋_GB2312"/>
          <w:color w:val="auto"/>
          <w:sz w:val="32"/>
          <w:szCs w:val="32"/>
          <w:highlight w:val="none"/>
        </w:rPr>
        <w:t>一、任务来源、起草单位、主要起草人</w:t>
      </w:r>
    </w:p>
    <w:p w14:paraId="1CDB763D">
      <w:pPr>
        <w:spacing w:line="520" w:lineRule="exact"/>
        <w:ind w:firstLine="560" w:firstLineChars="200"/>
        <w:rPr>
          <w:rFonts w:ascii="仿宋_GB2312" w:eastAsia="仿宋_GB2312"/>
          <w:color w:val="auto"/>
          <w:sz w:val="28"/>
          <w:szCs w:val="28"/>
          <w:highlight w:val="none"/>
        </w:rPr>
      </w:pPr>
      <w:r>
        <w:rPr>
          <w:rFonts w:hint="eastAsia" w:ascii="仿宋_GB2312" w:eastAsia="仿宋_GB2312"/>
          <w:color w:val="auto"/>
          <w:sz w:val="28"/>
          <w:szCs w:val="28"/>
          <w:highlight w:val="none"/>
        </w:rPr>
        <w:t>根据《广西标准化协会关于下达202</w:t>
      </w:r>
      <w:r>
        <w:rPr>
          <w:rFonts w:hint="eastAsia" w:ascii="仿宋_GB2312" w:eastAsia="仿宋_GB2312"/>
          <w:color w:val="auto"/>
          <w:sz w:val="28"/>
          <w:szCs w:val="28"/>
          <w:highlight w:val="none"/>
          <w:lang w:val="en-US" w:eastAsia="zh-CN"/>
        </w:rPr>
        <w:t>6</w:t>
      </w:r>
      <w:r>
        <w:rPr>
          <w:rFonts w:hint="eastAsia" w:ascii="仿宋_GB2312" w:eastAsia="仿宋_GB2312"/>
          <w:color w:val="auto"/>
          <w:sz w:val="28"/>
          <w:szCs w:val="28"/>
          <w:highlight w:val="none"/>
        </w:rPr>
        <w:t>年第</w:t>
      </w:r>
      <w:r>
        <w:rPr>
          <w:rFonts w:hint="eastAsia" w:ascii="仿宋_GB2312" w:eastAsia="仿宋_GB2312"/>
          <w:color w:val="auto"/>
          <w:sz w:val="28"/>
          <w:szCs w:val="28"/>
          <w:highlight w:val="none"/>
          <w:lang w:eastAsia="zh-CN"/>
        </w:rPr>
        <w:t>五</w:t>
      </w:r>
      <w:r>
        <w:rPr>
          <w:rFonts w:hint="eastAsia" w:ascii="仿宋_GB2312" w:eastAsia="仿宋_GB2312"/>
          <w:color w:val="auto"/>
          <w:sz w:val="28"/>
          <w:szCs w:val="28"/>
          <w:highlight w:val="none"/>
        </w:rPr>
        <w:t>批团体标准制修订项目计划的通知》（桂标协〔202</w:t>
      </w:r>
      <w:r>
        <w:rPr>
          <w:rFonts w:hint="eastAsia" w:ascii="仿宋_GB2312" w:eastAsia="仿宋_GB2312"/>
          <w:color w:val="auto"/>
          <w:sz w:val="28"/>
          <w:szCs w:val="28"/>
          <w:highlight w:val="none"/>
          <w:lang w:val="en-US" w:eastAsia="zh-CN"/>
        </w:rPr>
        <w:t>6</w:t>
      </w:r>
      <w:r>
        <w:rPr>
          <w:rFonts w:hint="eastAsia" w:ascii="仿宋_GB2312" w:eastAsia="仿宋_GB2312"/>
          <w:color w:val="auto"/>
          <w:sz w:val="28"/>
          <w:szCs w:val="28"/>
          <w:highlight w:val="none"/>
        </w:rPr>
        <w:t>〕</w:t>
      </w:r>
      <w:r>
        <w:rPr>
          <w:rFonts w:hint="eastAsia" w:ascii="仿宋_GB2312" w:eastAsia="仿宋_GB2312"/>
          <w:color w:val="auto"/>
          <w:sz w:val="28"/>
          <w:szCs w:val="28"/>
          <w:highlight w:val="none"/>
          <w:lang w:val="en-US" w:eastAsia="zh-CN"/>
        </w:rPr>
        <w:t>61</w:t>
      </w:r>
      <w:r>
        <w:rPr>
          <w:rFonts w:hint="eastAsia" w:ascii="仿宋_GB2312" w:eastAsia="仿宋_GB2312"/>
          <w:color w:val="auto"/>
          <w:sz w:val="28"/>
          <w:szCs w:val="28"/>
          <w:highlight w:val="none"/>
        </w:rPr>
        <w:t>号）精神，由</w:t>
      </w:r>
      <w:r>
        <w:rPr>
          <w:rFonts w:hint="eastAsia" w:ascii="仿宋_GB2312" w:eastAsia="仿宋_GB2312"/>
          <w:color w:val="auto"/>
          <w:sz w:val="28"/>
          <w:szCs w:val="28"/>
          <w:highlight w:val="none"/>
          <w:lang w:eastAsia="zh-CN"/>
        </w:rPr>
        <w:t>广西护理学会</w:t>
      </w:r>
      <w:r>
        <w:rPr>
          <w:rFonts w:hint="eastAsia" w:ascii="仿宋_GB2312" w:eastAsia="仿宋_GB2312"/>
          <w:color w:val="auto"/>
          <w:sz w:val="28"/>
          <w:szCs w:val="28"/>
          <w:highlight w:val="none"/>
        </w:rPr>
        <w:t>提出，</w:t>
      </w:r>
      <w:r>
        <w:rPr>
          <w:rFonts w:hint="eastAsia" w:ascii="仿宋_GB2312" w:eastAsia="仿宋_GB2312"/>
          <w:color w:val="auto"/>
          <w:sz w:val="28"/>
          <w:szCs w:val="28"/>
          <w:highlight w:val="none"/>
          <w:lang w:eastAsia="zh-CN"/>
        </w:rPr>
        <w:t>广西国际壮医医院、广西中医药大学第一附属医院、广西中医药大学附属瑞康医院、南宁市中医医院、百色市中医医院、南宁市武鸣区中医医院、贺州市中医医院、柳州市中医医院（柳州市壮医医院）、鹿寨县中医医院、罗城仫佬族自治县中医医院、龙州县中医医院、崇左市中医壮医医院、大新县中医医院、贵港市中医医院、河池市中医医院、田东县中医医院、中山市广济医院</w:t>
      </w:r>
      <w:r>
        <w:rPr>
          <w:rFonts w:hint="eastAsia" w:ascii="仿宋_GB2312" w:eastAsia="仿宋_GB2312"/>
          <w:color w:val="auto"/>
          <w:sz w:val="28"/>
          <w:szCs w:val="28"/>
          <w:highlight w:val="none"/>
        </w:rPr>
        <w:t>等单位共同起草的团体标准《</w:t>
      </w:r>
      <w:r>
        <w:rPr>
          <w:rFonts w:hint="eastAsia" w:ascii="仿宋_GB2312" w:eastAsia="仿宋_GB2312"/>
          <w:color w:val="auto"/>
          <w:sz w:val="28"/>
          <w:szCs w:val="28"/>
          <w:highlight w:val="none"/>
          <w:lang w:eastAsia="zh-CN"/>
        </w:rPr>
        <w:t>年闹诺（睡眠障碍）壮医护理规范</w:t>
      </w:r>
      <w:r>
        <w:rPr>
          <w:rFonts w:hint="eastAsia" w:ascii="仿宋_GB2312" w:eastAsia="仿宋_GB2312"/>
          <w:color w:val="auto"/>
          <w:sz w:val="28"/>
          <w:szCs w:val="28"/>
          <w:highlight w:val="none"/>
        </w:rPr>
        <w:t>》（项目编号：202</w:t>
      </w:r>
      <w:r>
        <w:rPr>
          <w:rFonts w:hint="eastAsia" w:ascii="仿宋_GB2312" w:eastAsia="仿宋_GB2312"/>
          <w:color w:val="auto"/>
          <w:sz w:val="28"/>
          <w:szCs w:val="28"/>
          <w:highlight w:val="none"/>
          <w:lang w:val="en-US" w:eastAsia="zh-CN"/>
        </w:rPr>
        <w:t>6</w:t>
      </w:r>
      <w:r>
        <w:rPr>
          <w:rFonts w:hint="eastAsia" w:ascii="仿宋_GB2312" w:eastAsia="仿宋_GB2312"/>
          <w:color w:val="auto"/>
          <w:sz w:val="28"/>
          <w:szCs w:val="28"/>
          <w:highlight w:val="none"/>
        </w:rPr>
        <w:t>-</w:t>
      </w:r>
      <w:r>
        <w:rPr>
          <w:rFonts w:hint="eastAsia" w:ascii="仿宋_GB2312" w:eastAsia="仿宋_GB2312"/>
          <w:color w:val="auto"/>
          <w:sz w:val="28"/>
          <w:szCs w:val="28"/>
          <w:highlight w:val="none"/>
          <w:lang w:val="en-US" w:eastAsia="zh-CN"/>
        </w:rPr>
        <w:t>05</w:t>
      </w:r>
      <w:r>
        <w:rPr>
          <w:rFonts w:hint="eastAsia" w:ascii="仿宋_GB2312" w:eastAsia="仿宋_GB2312"/>
          <w:color w:val="auto"/>
          <w:sz w:val="28"/>
          <w:szCs w:val="28"/>
          <w:highlight w:val="none"/>
        </w:rPr>
        <w:t>0</w:t>
      </w:r>
      <w:r>
        <w:rPr>
          <w:rFonts w:hint="eastAsia" w:ascii="仿宋_GB2312" w:eastAsia="仿宋_GB2312"/>
          <w:color w:val="auto"/>
          <w:sz w:val="28"/>
          <w:szCs w:val="28"/>
          <w:highlight w:val="none"/>
          <w:lang w:val="en-US" w:eastAsia="zh-CN"/>
        </w:rPr>
        <w:t>3</w:t>
      </w:r>
      <w:r>
        <w:rPr>
          <w:rFonts w:hint="eastAsia" w:ascii="仿宋_GB2312" w:eastAsia="仿宋_GB2312"/>
          <w:color w:val="auto"/>
          <w:sz w:val="28"/>
          <w:szCs w:val="28"/>
          <w:highlight w:val="none"/>
        </w:rPr>
        <w:t>），已获立项。</w:t>
      </w:r>
    </w:p>
    <w:p w14:paraId="2A53C140">
      <w:pPr>
        <w:spacing w:line="520" w:lineRule="exact"/>
        <w:ind w:firstLine="560" w:firstLineChars="200"/>
        <w:rPr>
          <w:rFonts w:hint="eastAsia" w:ascii="仿宋_GB2312" w:eastAsia="仿宋_GB2312"/>
          <w:color w:val="auto"/>
          <w:sz w:val="28"/>
          <w:szCs w:val="28"/>
          <w:highlight w:val="none"/>
          <w:lang w:eastAsia="zh-CN"/>
        </w:rPr>
      </w:pPr>
      <w:r>
        <w:rPr>
          <w:rFonts w:hint="eastAsia" w:ascii="仿宋_GB2312" w:eastAsia="仿宋_GB2312"/>
          <w:color w:val="auto"/>
          <w:sz w:val="28"/>
          <w:szCs w:val="28"/>
          <w:highlight w:val="none"/>
        </w:rPr>
        <w:t>为高质量编制团体标准《</w:t>
      </w:r>
      <w:r>
        <w:rPr>
          <w:rFonts w:hint="eastAsia" w:ascii="仿宋_GB2312" w:eastAsia="仿宋_GB2312"/>
          <w:color w:val="auto"/>
          <w:sz w:val="28"/>
          <w:szCs w:val="28"/>
          <w:highlight w:val="none"/>
          <w:lang w:eastAsia="zh-CN"/>
        </w:rPr>
        <w:t>年闹诺（睡眠障碍）壮医护理规范</w:t>
      </w:r>
      <w:r>
        <w:rPr>
          <w:rFonts w:hint="eastAsia" w:ascii="仿宋_GB2312" w:eastAsia="仿宋_GB2312"/>
          <w:color w:val="auto"/>
          <w:sz w:val="28"/>
          <w:szCs w:val="28"/>
          <w:highlight w:val="none"/>
        </w:rPr>
        <w:t>》，由起草单位成立标准编制工作组并进行如下分工：</w:t>
      </w:r>
    </w:p>
    <w:tbl>
      <w:tblPr>
        <w:tblStyle w:val="16"/>
        <w:tblW w:w="94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5"/>
        <w:gridCol w:w="1583"/>
        <w:gridCol w:w="1538"/>
        <w:gridCol w:w="2386"/>
        <w:gridCol w:w="2948"/>
      </w:tblGrid>
      <w:tr w14:paraId="06D913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6A298BD7">
            <w:pPr>
              <w:keepNext w:val="0"/>
              <w:keepLines w:val="0"/>
              <w:suppressLineNumbers w:val="0"/>
              <w:spacing w:before="0" w:beforeAutospacing="0" w:after="0" w:afterAutospacing="0"/>
              <w:ind w:left="0" w:right="0"/>
              <w:jc w:val="center"/>
              <w:rPr>
                <w:rFonts w:hint="eastAsia" w:ascii="仿宋_GB2312" w:hAnsi="仿宋_GB2312" w:eastAsia="仿宋_GB2312" w:cs="仿宋_GB2312"/>
                <w:b/>
                <w:color w:val="auto"/>
                <w:sz w:val="24"/>
                <w:szCs w:val="24"/>
                <w:highlight w:val="none"/>
              </w:rPr>
            </w:pPr>
            <w:r>
              <w:rPr>
                <w:rFonts w:hint="eastAsia" w:ascii="仿宋_GB2312" w:hAnsi="仿宋_GB2312" w:eastAsia="仿宋_GB2312" w:cs="仿宋_GB2312"/>
                <w:b/>
                <w:color w:val="auto"/>
                <w:sz w:val="24"/>
                <w:szCs w:val="24"/>
                <w:highlight w:val="none"/>
              </w:rPr>
              <w:t>姓名</w:t>
            </w:r>
          </w:p>
        </w:tc>
        <w:tc>
          <w:tcPr>
            <w:tcW w:w="1583" w:type="dxa"/>
            <w:tcBorders>
              <w:top w:val="single" w:color="auto" w:sz="4" w:space="0"/>
              <w:left w:val="single" w:color="auto" w:sz="4" w:space="0"/>
              <w:bottom w:val="single" w:color="auto" w:sz="4" w:space="0"/>
              <w:right w:val="single" w:color="auto" w:sz="4" w:space="0"/>
            </w:tcBorders>
            <w:vAlign w:val="center"/>
          </w:tcPr>
          <w:p w14:paraId="56E69DE8">
            <w:pPr>
              <w:keepNext w:val="0"/>
              <w:keepLines w:val="0"/>
              <w:suppressLineNumbers w:val="0"/>
              <w:spacing w:before="0" w:beforeAutospacing="0" w:after="0" w:afterAutospacing="0"/>
              <w:ind w:left="0" w:right="0"/>
              <w:jc w:val="center"/>
              <w:rPr>
                <w:rFonts w:hint="eastAsia" w:ascii="仿宋_GB2312" w:hAnsi="仿宋_GB2312" w:eastAsia="仿宋_GB2312" w:cs="仿宋_GB2312"/>
                <w:b/>
                <w:color w:val="auto"/>
                <w:sz w:val="24"/>
                <w:szCs w:val="24"/>
                <w:highlight w:val="none"/>
              </w:rPr>
            </w:pPr>
            <w:r>
              <w:rPr>
                <w:rFonts w:hint="eastAsia" w:ascii="仿宋_GB2312" w:hAnsi="仿宋_GB2312" w:eastAsia="仿宋_GB2312" w:cs="仿宋_GB2312"/>
                <w:b/>
                <w:color w:val="auto"/>
                <w:sz w:val="24"/>
                <w:szCs w:val="24"/>
                <w:highlight w:val="none"/>
              </w:rPr>
              <w:t>职务/职称</w:t>
            </w:r>
          </w:p>
        </w:tc>
        <w:tc>
          <w:tcPr>
            <w:tcW w:w="1538" w:type="dxa"/>
            <w:tcBorders>
              <w:top w:val="single" w:color="auto" w:sz="4" w:space="0"/>
              <w:left w:val="single" w:color="auto" w:sz="4" w:space="0"/>
              <w:bottom w:val="single" w:color="auto" w:sz="4" w:space="0"/>
              <w:right w:val="single" w:color="auto" w:sz="4" w:space="0"/>
            </w:tcBorders>
            <w:vAlign w:val="center"/>
          </w:tcPr>
          <w:p w14:paraId="6844AF36">
            <w:pPr>
              <w:keepNext w:val="0"/>
              <w:keepLines w:val="0"/>
              <w:suppressLineNumbers w:val="0"/>
              <w:spacing w:before="0" w:beforeAutospacing="0" w:after="0" w:afterAutospacing="0"/>
              <w:ind w:left="0" w:right="0"/>
              <w:jc w:val="center"/>
              <w:rPr>
                <w:rFonts w:hint="eastAsia" w:ascii="仿宋_GB2312" w:hAnsi="仿宋_GB2312" w:eastAsia="仿宋_GB2312" w:cs="仿宋_GB2312"/>
                <w:b/>
                <w:color w:val="auto"/>
                <w:sz w:val="24"/>
                <w:szCs w:val="24"/>
                <w:highlight w:val="none"/>
              </w:rPr>
            </w:pPr>
            <w:r>
              <w:rPr>
                <w:rFonts w:hint="eastAsia" w:ascii="仿宋_GB2312" w:hAnsi="仿宋_GB2312" w:eastAsia="仿宋_GB2312" w:cs="仿宋_GB2312"/>
                <w:b/>
                <w:color w:val="auto"/>
                <w:sz w:val="24"/>
                <w:szCs w:val="24"/>
                <w:highlight w:val="none"/>
              </w:rPr>
              <w:t>从事</w:t>
            </w:r>
          </w:p>
          <w:p w14:paraId="2E0293F8">
            <w:pPr>
              <w:keepNext w:val="0"/>
              <w:keepLines w:val="0"/>
              <w:suppressLineNumbers w:val="0"/>
              <w:spacing w:before="0" w:beforeAutospacing="0" w:after="0" w:afterAutospacing="0"/>
              <w:ind w:left="0" w:right="0"/>
              <w:jc w:val="center"/>
              <w:rPr>
                <w:rFonts w:hint="eastAsia" w:ascii="仿宋_GB2312" w:hAnsi="仿宋_GB2312" w:eastAsia="仿宋_GB2312" w:cs="仿宋_GB2312"/>
                <w:b/>
                <w:color w:val="auto"/>
                <w:sz w:val="24"/>
                <w:szCs w:val="24"/>
                <w:highlight w:val="none"/>
              </w:rPr>
            </w:pPr>
            <w:r>
              <w:rPr>
                <w:rFonts w:hint="eastAsia" w:ascii="仿宋_GB2312" w:hAnsi="仿宋_GB2312" w:eastAsia="仿宋_GB2312" w:cs="仿宋_GB2312"/>
                <w:b/>
                <w:color w:val="auto"/>
                <w:sz w:val="24"/>
                <w:szCs w:val="24"/>
                <w:highlight w:val="none"/>
              </w:rPr>
              <w:t>专业</w:t>
            </w:r>
          </w:p>
        </w:tc>
        <w:tc>
          <w:tcPr>
            <w:tcW w:w="2386" w:type="dxa"/>
            <w:tcBorders>
              <w:top w:val="single" w:color="auto" w:sz="4" w:space="0"/>
              <w:left w:val="single" w:color="auto" w:sz="4" w:space="0"/>
              <w:bottom w:val="single" w:color="auto" w:sz="4" w:space="0"/>
              <w:right w:val="single" w:color="auto" w:sz="4" w:space="0"/>
            </w:tcBorders>
            <w:vAlign w:val="center"/>
          </w:tcPr>
          <w:p w14:paraId="33F35368">
            <w:pPr>
              <w:keepNext w:val="0"/>
              <w:keepLines w:val="0"/>
              <w:suppressLineNumbers w:val="0"/>
              <w:spacing w:before="0" w:beforeAutospacing="0" w:after="0" w:afterAutospacing="0"/>
              <w:ind w:left="0" w:right="0"/>
              <w:jc w:val="center"/>
              <w:rPr>
                <w:rFonts w:hint="eastAsia" w:ascii="仿宋_GB2312" w:hAnsi="仿宋_GB2312" w:eastAsia="仿宋_GB2312" w:cs="仿宋_GB2312"/>
                <w:b/>
                <w:color w:val="auto"/>
                <w:sz w:val="24"/>
                <w:szCs w:val="24"/>
                <w:highlight w:val="none"/>
              </w:rPr>
            </w:pPr>
            <w:r>
              <w:rPr>
                <w:rFonts w:hint="eastAsia" w:ascii="仿宋_GB2312" w:hAnsi="仿宋_GB2312" w:eastAsia="仿宋_GB2312" w:cs="仿宋_GB2312"/>
                <w:b/>
                <w:color w:val="auto"/>
                <w:sz w:val="24"/>
                <w:szCs w:val="24"/>
                <w:highlight w:val="none"/>
              </w:rPr>
              <w:t>工作单位</w:t>
            </w:r>
          </w:p>
        </w:tc>
        <w:tc>
          <w:tcPr>
            <w:tcW w:w="2948" w:type="dxa"/>
            <w:tcBorders>
              <w:top w:val="single" w:color="auto" w:sz="4" w:space="0"/>
              <w:left w:val="single" w:color="auto" w:sz="4" w:space="0"/>
              <w:bottom w:val="single" w:color="auto" w:sz="4" w:space="0"/>
              <w:right w:val="single" w:color="auto" w:sz="4" w:space="0"/>
            </w:tcBorders>
            <w:vAlign w:val="center"/>
          </w:tcPr>
          <w:p w14:paraId="18D38D1B">
            <w:pPr>
              <w:keepNext w:val="0"/>
              <w:keepLines w:val="0"/>
              <w:suppressLineNumbers w:val="0"/>
              <w:spacing w:before="0" w:beforeAutospacing="0" w:after="0" w:afterAutospacing="0"/>
              <w:ind w:left="0" w:right="0"/>
              <w:jc w:val="center"/>
              <w:rPr>
                <w:rFonts w:hint="eastAsia" w:ascii="仿宋_GB2312" w:hAnsi="仿宋_GB2312" w:eastAsia="仿宋_GB2312" w:cs="仿宋_GB2312"/>
                <w:b/>
                <w:color w:val="auto"/>
                <w:sz w:val="24"/>
                <w:szCs w:val="24"/>
                <w:highlight w:val="none"/>
              </w:rPr>
            </w:pPr>
            <w:r>
              <w:rPr>
                <w:rFonts w:hint="eastAsia" w:ascii="仿宋_GB2312" w:hAnsi="仿宋_GB2312" w:eastAsia="仿宋_GB2312" w:cs="仿宋_GB2312"/>
                <w:b/>
                <w:color w:val="auto"/>
                <w:sz w:val="24"/>
                <w:szCs w:val="24"/>
                <w:highlight w:val="none"/>
              </w:rPr>
              <w:t>主要负责工作</w:t>
            </w:r>
          </w:p>
        </w:tc>
      </w:tr>
      <w:tr w14:paraId="387FD0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0CFC6E89">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龚珊鸿</w:t>
            </w:r>
          </w:p>
        </w:tc>
        <w:tc>
          <w:tcPr>
            <w:tcW w:w="1583" w:type="dxa"/>
            <w:tcBorders>
              <w:top w:val="single" w:color="auto" w:sz="4" w:space="0"/>
              <w:left w:val="single" w:color="auto" w:sz="4" w:space="0"/>
              <w:bottom w:val="single" w:color="auto" w:sz="4" w:space="0"/>
              <w:right w:val="single" w:color="auto" w:sz="4" w:space="0"/>
            </w:tcBorders>
            <w:vAlign w:val="center"/>
          </w:tcPr>
          <w:p w14:paraId="162C9AF5">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壮医经典病房护士长/副主任护师</w:t>
            </w:r>
          </w:p>
        </w:tc>
        <w:tc>
          <w:tcPr>
            <w:tcW w:w="1538" w:type="dxa"/>
            <w:tcBorders>
              <w:top w:val="single" w:color="auto" w:sz="4" w:space="0"/>
              <w:left w:val="single" w:color="auto" w:sz="4" w:space="0"/>
              <w:bottom w:val="single" w:color="auto" w:sz="4" w:space="0"/>
              <w:right w:val="single" w:color="auto" w:sz="4" w:space="0"/>
            </w:tcBorders>
            <w:vAlign w:val="center"/>
          </w:tcPr>
          <w:p w14:paraId="484167A5">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护理学</w:t>
            </w:r>
          </w:p>
        </w:tc>
        <w:tc>
          <w:tcPr>
            <w:tcW w:w="2386" w:type="dxa"/>
            <w:tcBorders>
              <w:top w:val="single" w:color="auto" w:sz="4" w:space="0"/>
              <w:left w:val="single" w:color="auto" w:sz="4" w:space="0"/>
              <w:bottom w:val="single" w:color="auto" w:sz="4" w:space="0"/>
              <w:right w:val="single" w:color="auto" w:sz="4" w:space="0"/>
            </w:tcBorders>
            <w:vAlign w:val="center"/>
          </w:tcPr>
          <w:p w14:paraId="1031F917">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广西国际壮医医院</w:t>
            </w:r>
          </w:p>
        </w:tc>
        <w:tc>
          <w:tcPr>
            <w:tcW w:w="2948" w:type="dxa"/>
            <w:tcBorders>
              <w:top w:val="single" w:color="auto" w:sz="4" w:space="0"/>
              <w:left w:val="single" w:color="auto" w:sz="4" w:space="0"/>
              <w:bottom w:val="single" w:color="auto" w:sz="4" w:space="0"/>
              <w:right w:val="single" w:color="auto" w:sz="4" w:space="0"/>
            </w:tcBorders>
            <w:vAlign w:val="center"/>
          </w:tcPr>
          <w:p w14:paraId="682D9A28">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全面组织</w:t>
            </w:r>
          </w:p>
        </w:tc>
      </w:tr>
      <w:tr w14:paraId="38F55B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7076D333">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杨爽</w:t>
            </w:r>
          </w:p>
        </w:tc>
        <w:tc>
          <w:tcPr>
            <w:tcW w:w="1583" w:type="dxa"/>
            <w:tcBorders>
              <w:top w:val="single" w:color="auto" w:sz="4" w:space="0"/>
              <w:left w:val="single" w:color="auto" w:sz="4" w:space="0"/>
              <w:bottom w:val="single" w:color="auto" w:sz="4" w:space="0"/>
              <w:right w:val="single" w:color="auto" w:sz="4" w:space="0"/>
            </w:tcBorders>
            <w:vAlign w:val="center"/>
          </w:tcPr>
          <w:p w14:paraId="7BE7D7EF">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护理部副主任/副主任护师</w:t>
            </w:r>
          </w:p>
        </w:tc>
        <w:tc>
          <w:tcPr>
            <w:tcW w:w="1538" w:type="dxa"/>
            <w:tcBorders>
              <w:top w:val="single" w:color="auto" w:sz="4" w:space="0"/>
              <w:left w:val="single" w:color="auto" w:sz="4" w:space="0"/>
              <w:bottom w:val="single" w:color="auto" w:sz="4" w:space="0"/>
              <w:right w:val="single" w:color="auto" w:sz="4" w:space="0"/>
            </w:tcBorders>
            <w:vAlign w:val="center"/>
          </w:tcPr>
          <w:p w14:paraId="0853D746">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护理学</w:t>
            </w:r>
          </w:p>
        </w:tc>
        <w:tc>
          <w:tcPr>
            <w:tcW w:w="2386" w:type="dxa"/>
            <w:tcBorders>
              <w:top w:val="single" w:color="auto" w:sz="4" w:space="0"/>
              <w:left w:val="single" w:color="auto" w:sz="4" w:space="0"/>
              <w:bottom w:val="single" w:color="auto" w:sz="4" w:space="0"/>
              <w:right w:val="single" w:color="auto" w:sz="4" w:space="0"/>
            </w:tcBorders>
            <w:vAlign w:val="center"/>
          </w:tcPr>
          <w:p w14:paraId="13765E31">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广西国际壮医医院</w:t>
            </w:r>
          </w:p>
        </w:tc>
        <w:tc>
          <w:tcPr>
            <w:tcW w:w="2948" w:type="dxa"/>
            <w:tcBorders>
              <w:top w:val="single" w:color="auto" w:sz="4" w:space="0"/>
              <w:left w:val="single" w:color="auto" w:sz="4" w:space="0"/>
              <w:bottom w:val="single" w:color="auto" w:sz="4" w:space="0"/>
              <w:right w:val="single" w:color="auto" w:sz="4" w:space="0"/>
            </w:tcBorders>
            <w:vAlign w:val="center"/>
          </w:tcPr>
          <w:p w14:paraId="3F083566">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指导规范文本及编制说明编写，质量控制</w:t>
            </w:r>
          </w:p>
        </w:tc>
      </w:tr>
      <w:tr w14:paraId="2FAF48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4"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04D7AE11">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黄美芳</w:t>
            </w:r>
          </w:p>
        </w:tc>
        <w:tc>
          <w:tcPr>
            <w:tcW w:w="1583" w:type="dxa"/>
            <w:tcBorders>
              <w:top w:val="single" w:color="auto" w:sz="4" w:space="0"/>
              <w:left w:val="single" w:color="auto" w:sz="4" w:space="0"/>
              <w:bottom w:val="single" w:color="auto" w:sz="4" w:space="0"/>
              <w:right w:val="single" w:color="auto" w:sz="4" w:space="0"/>
            </w:tcBorders>
            <w:vAlign w:val="center"/>
          </w:tcPr>
          <w:p w14:paraId="1EBFE524">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壮医经典病房副护士长/主管护师</w:t>
            </w:r>
          </w:p>
        </w:tc>
        <w:tc>
          <w:tcPr>
            <w:tcW w:w="1538" w:type="dxa"/>
            <w:tcBorders>
              <w:top w:val="single" w:color="auto" w:sz="4" w:space="0"/>
              <w:left w:val="single" w:color="auto" w:sz="4" w:space="0"/>
              <w:bottom w:val="single" w:color="auto" w:sz="4" w:space="0"/>
              <w:right w:val="single" w:color="auto" w:sz="4" w:space="0"/>
            </w:tcBorders>
            <w:vAlign w:val="center"/>
          </w:tcPr>
          <w:p w14:paraId="42C65FF5">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护理学</w:t>
            </w:r>
          </w:p>
        </w:tc>
        <w:tc>
          <w:tcPr>
            <w:tcW w:w="2386" w:type="dxa"/>
            <w:tcBorders>
              <w:top w:val="single" w:color="auto" w:sz="4" w:space="0"/>
              <w:left w:val="single" w:color="auto" w:sz="4" w:space="0"/>
              <w:bottom w:val="single" w:color="auto" w:sz="4" w:space="0"/>
              <w:right w:val="single" w:color="auto" w:sz="4" w:space="0"/>
            </w:tcBorders>
            <w:vAlign w:val="center"/>
          </w:tcPr>
          <w:p w14:paraId="4F5C1797">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广西国际壮医医院</w:t>
            </w:r>
          </w:p>
        </w:tc>
        <w:tc>
          <w:tcPr>
            <w:tcW w:w="2948" w:type="dxa"/>
            <w:tcBorders>
              <w:top w:val="single" w:color="auto" w:sz="4" w:space="0"/>
              <w:left w:val="single" w:color="auto" w:sz="4" w:space="0"/>
              <w:bottom w:val="single" w:color="auto" w:sz="4" w:space="0"/>
              <w:right w:val="single" w:color="auto" w:sz="4" w:space="0"/>
            </w:tcBorders>
            <w:vAlign w:val="center"/>
          </w:tcPr>
          <w:p w14:paraId="1B01D0AD">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负责起草规范草案，征求意见稿和规范编制说明的编写工作</w:t>
            </w:r>
          </w:p>
        </w:tc>
      </w:tr>
      <w:tr w14:paraId="5B3AB1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41870479">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黄国东</w:t>
            </w:r>
          </w:p>
        </w:tc>
        <w:tc>
          <w:tcPr>
            <w:tcW w:w="1583" w:type="dxa"/>
            <w:tcBorders>
              <w:top w:val="single" w:color="auto" w:sz="4" w:space="0"/>
              <w:left w:val="single" w:color="auto" w:sz="4" w:space="0"/>
              <w:bottom w:val="single" w:color="auto" w:sz="4" w:space="0"/>
              <w:right w:val="single" w:color="auto" w:sz="4" w:space="0"/>
            </w:tcBorders>
            <w:vAlign w:val="center"/>
          </w:tcPr>
          <w:p w14:paraId="68E67A7D">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广西国际壮医医院院长/主任医师</w:t>
            </w:r>
          </w:p>
        </w:tc>
        <w:tc>
          <w:tcPr>
            <w:tcW w:w="1538" w:type="dxa"/>
            <w:tcBorders>
              <w:top w:val="single" w:color="auto" w:sz="4" w:space="0"/>
              <w:left w:val="single" w:color="auto" w:sz="4" w:space="0"/>
              <w:bottom w:val="single" w:color="auto" w:sz="4" w:space="0"/>
              <w:right w:val="single" w:color="auto" w:sz="4" w:space="0"/>
            </w:tcBorders>
            <w:vAlign w:val="center"/>
          </w:tcPr>
          <w:p w14:paraId="6CF6055E">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临床医学</w:t>
            </w:r>
          </w:p>
        </w:tc>
        <w:tc>
          <w:tcPr>
            <w:tcW w:w="2386" w:type="dxa"/>
            <w:tcBorders>
              <w:top w:val="single" w:color="auto" w:sz="4" w:space="0"/>
              <w:left w:val="single" w:color="auto" w:sz="4" w:space="0"/>
              <w:bottom w:val="single" w:color="auto" w:sz="4" w:space="0"/>
              <w:right w:val="single" w:color="auto" w:sz="4" w:space="0"/>
            </w:tcBorders>
            <w:vAlign w:val="center"/>
          </w:tcPr>
          <w:p w14:paraId="3538DFEF">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广西国际壮医医院</w:t>
            </w:r>
          </w:p>
        </w:tc>
        <w:tc>
          <w:tcPr>
            <w:tcW w:w="2948" w:type="dxa"/>
            <w:tcBorders>
              <w:top w:val="single" w:color="auto" w:sz="4" w:space="0"/>
              <w:left w:val="single" w:color="auto" w:sz="4" w:space="0"/>
              <w:bottom w:val="single" w:color="auto" w:sz="4" w:space="0"/>
              <w:right w:val="single" w:color="auto" w:sz="4" w:space="0"/>
            </w:tcBorders>
            <w:vAlign w:val="center"/>
          </w:tcPr>
          <w:p w14:paraId="61F3A62B">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对规范实施情况进行总结分析，不断对规范提出修正意见</w:t>
            </w:r>
          </w:p>
        </w:tc>
      </w:tr>
      <w:tr w14:paraId="40ABC0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0B1203C5">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魏月媚</w:t>
            </w:r>
          </w:p>
        </w:tc>
        <w:tc>
          <w:tcPr>
            <w:tcW w:w="1583" w:type="dxa"/>
            <w:tcBorders>
              <w:top w:val="single" w:color="auto" w:sz="4" w:space="0"/>
              <w:left w:val="single" w:color="auto" w:sz="4" w:space="0"/>
              <w:bottom w:val="single" w:color="auto" w:sz="4" w:space="0"/>
              <w:right w:val="single" w:color="auto" w:sz="4" w:space="0"/>
            </w:tcBorders>
            <w:vAlign w:val="center"/>
          </w:tcPr>
          <w:p w14:paraId="70EB1BA4">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肺病科护士长/副主任护师</w:t>
            </w:r>
          </w:p>
        </w:tc>
        <w:tc>
          <w:tcPr>
            <w:tcW w:w="1538" w:type="dxa"/>
            <w:tcBorders>
              <w:top w:val="single" w:color="auto" w:sz="4" w:space="0"/>
              <w:left w:val="single" w:color="auto" w:sz="4" w:space="0"/>
              <w:bottom w:val="single" w:color="auto" w:sz="4" w:space="0"/>
              <w:right w:val="single" w:color="auto" w:sz="4" w:space="0"/>
            </w:tcBorders>
            <w:vAlign w:val="center"/>
          </w:tcPr>
          <w:p w14:paraId="06905B97">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护理学</w:t>
            </w:r>
          </w:p>
        </w:tc>
        <w:tc>
          <w:tcPr>
            <w:tcW w:w="2386" w:type="dxa"/>
            <w:tcBorders>
              <w:top w:val="single" w:color="auto" w:sz="4" w:space="0"/>
              <w:left w:val="single" w:color="auto" w:sz="4" w:space="0"/>
              <w:bottom w:val="single" w:color="auto" w:sz="4" w:space="0"/>
              <w:right w:val="single" w:color="auto" w:sz="4" w:space="0"/>
            </w:tcBorders>
            <w:vAlign w:val="center"/>
          </w:tcPr>
          <w:p w14:paraId="6B1670D1">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广西国际壮医医院</w:t>
            </w:r>
          </w:p>
        </w:tc>
        <w:tc>
          <w:tcPr>
            <w:tcW w:w="2948" w:type="dxa"/>
            <w:tcBorders>
              <w:top w:val="single" w:color="auto" w:sz="4" w:space="0"/>
              <w:left w:val="single" w:color="auto" w:sz="4" w:space="0"/>
              <w:bottom w:val="single" w:color="auto" w:sz="4" w:space="0"/>
              <w:right w:val="single" w:color="auto" w:sz="4" w:space="0"/>
            </w:tcBorders>
            <w:vAlign w:val="center"/>
          </w:tcPr>
          <w:p w14:paraId="56F2EE45">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对规范实施情况进行总结分析，不断对规范提出修正意见</w:t>
            </w:r>
          </w:p>
        </w:tc>
      </w:tr>
      <w:tr w14:paraId="15F9E8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45C2DD34">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孙婷</w:t>
            </w:r>
          </w:p>
        </w:tc>
        <w:tc>
          <w:tcPr>
            <w:tcW w:w="1583" w:type="dxa"/>
            <w:tcBorders>
              <w:top w:val="single" w:color="auto" w:sz="4" w:space="0"/>
              <w:left w:val="single" w:color="auto" w:sz="4" w:space="0"/>
              <w:bottom w:val="single" w:color="auto" w:sz="4" w:space="0"/>
              <w:right w:val="single" w:color="auto" w:sz="4" w:space="0"/>
            </w:tcBorders>
            <w:vAlign w:val="center"/>
          </w:tcPr>
          <w:p w14:paraId="2256DC4C">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老年病科护士长/副主任护师</w:t>
            </w:r>
          </w:p>
        </w:tc>
        <w:tc>
          <w:tcPr>
            <w:tcW w:w="1538" w:type="dxa"/>
            <w:tcBorders>
              <w:top w:val="single" w:color="auto" w:sz="4" w:space="0"/>
              <w:left w:val="single" w:color="auto" w:sz="4" w:space="0"/>
              <w:bottom w:val="single" w:color="auto" w:sz="4" w:space="0"/>
              <w:right w:val="single" w:color="auto" w:sz="4" w:space="0"/>
            </w:tcBorders>
            <w:vAlign w:val="center"/>
          </w:tcPr>
          <w:p w14:paraId="794E0242">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护理学</w:t>
            </w:r>
          </w:p>
        </w:tc>
        <w:tc>
          <w:tcPr>
            <w:tcW w:w="2386" w:type="dxa"/>
            <w:tcBorders>
              <w:top w:val="single" w:color="auto" w:sz="4" w:space="0"/>
              <w:left w:val="single" w:color="auto" w:sz="4" w:space="0"/>
              <w:bottom w:val="single" w:color="auto" w:sz="4" w:space="0"/>
              <w:right w:val="single" w:color="auto" w:sz="4" w:space="0"/>
            </w:tcBorders>
            <w:vAlign w:val="center"/>
          </w:tcPr>
          <w:p w14:paraId="40B99616">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广西国际壮医医院</w:t>
            </w:r>
          </w:p>
        </w:tc>
        <w:tc>
          <w:tcPr>
            <w:tcW w:w="2948" w:type="dxa"/>
            <w:tcBorders>
              <w:top w:val="single" w:color="auto" w:sz="4" w:space="0"/>
              <w:left w:val="single" w:color="auto" w:sz="4" w:space="0"/>
              <w:bottom w:val="single" w:color="auto" w:sz="4" w:space="0"/>
              <w:right w:val="single" w:color="auto" w:sz="4" w:space="0"/>
            </w:tcBorders>
            <w:vAlign w:val="center"/>
          </w:tcPr>
          <w:p w14:paraId="2ABFAA6D">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统筹规范编制工作组织人员进行规范发布后的宣贯培训</w:t>
            </w:r>
          </w:p>
        </w:tc>
      </w:tr>
      <w:tr w14:paraId="541ACA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17EE3F66">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黄碧秋</w:t>
            </w:r>
          </w:p>
        </w:tc>
        <w:tc>
          <w:tcPr>
            <w:tcW w:w="1583" w:type="dxa"/>
            <w:tcBorders>
              <w:top w:val="single" w:color="auto" w:sz="4" w:space="0"/>
              <w:left w:val="single" w:color="auto" w:sz="4" w:space="0"/>
              <w:bottom w:val="single" w:color="auto" w:sz="4" w:space="0"/>
              <w:right w:val="single" w:color="auto" w:sz="4" w:space="0"/>
            </w:tcBorders>
            <w:vAlign w:val="center"/>
          </w:tcPr>
          <w:p w14:paraId="0AB4689B">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护理部主任/主任护师</w:t>
            </w:r>
          </w:p>
        </w:tc>
        <w:tc>
          <w:tcPr>
            <w:tcW w:w="1538" w:type="dxa"/>
            <w:tcBorders>
              <w:top w:val="single" w:color="auto" w:sz="4" w:space="0"/>
              <w:left w:val="single" w:color="auto" w:sz="4" w:space="0"/>
              <w:bottom w:val="single" w:color="auto" w:sz="4" w:space="0"/>
              <w:right w:val="single" w:color="auto" w:sz="4" w:space="0"/>
            </w:tcBorders>
            <w:vAlign w:val="center"/>
          </w:tcPr>
          <w:p w14:paraId="461DCB10">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护理学</w:t>
            </w:r>
          </w:p>
        </w:tc>
        <w:tc>
          <w:tcPr>
            <w:tcW w:w="2386" w:type="dxa"/>
            <w:tcBorders>
              <w:top w:val="single" w:color="auto" w:sz="4" w:space="0"/>
              <w:left w:val="single" w:color="auto" w:sz="4" w:space="0"/>
              <w:bottom w:val="single" w:color="auto" w:sz="4" w:space="0"/>
              <w:right w:val="single" w:color="auto" w:sz="4" w:space="0"/>
            </w:tcBorders>
            <w:vAlign w:val="center"/>
          </w:tcPr>
          <w:p w14:paraId="00040CF8">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广西国际壮医医院</w:t>
            </w:r>
          </w:p>
        </w:tc>
        <w:tc>
          <w:tcPr>
            <w:tcW w:w="2948" w:type="dxa"/>
            <w:tcBorders>
              <w:top w:val="single" w:color="auto" w:sz="4" w:space="0"/>
              <w:left w:val="single" w:color="auto" w:sz="4" w:space="0"/>
              <w:bottom w:val="single" w:color="auto" w:sz="4" w:space="0"/>
              <w:right w:val="single" w:color="auto" w:sz="4" w:space="0"/>
            </w:tcBorders>
            <w:vAlign w:val="center"/>
          </w:tcPr>
          <w:p w14:paraId="367225A4">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负责送审稿及编制说明的编写工作</w:t>
            </w:r>
          </w:p>
        </w:tc>
      </w:tr>
      <w:tr w14:paraId="0FAFB7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641C6EBA">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潘明甫</w:t>
            </w:r>
          </w:p>
        </w:tc>
        <w:tc>
          <w:tcPr>
            <w:tcW w:w="1583" w:type="dxa"/>
            <w:tcBorders>
              <w:top w:val="single" w:color="auto" w:sz="4" w:space="0"/>
              <w:left w:val="single" w:color="auto" w:sz="4" w:space="0"/>
              <w:bottom w:val="single" w:color="auto" w:sz="4" w:space="0"/>
              <w:right w:val="single" w:color="auto" w:sz="4" w:space="0"/>
            </w:tcBorders>
            <w:vAlign w:val="center"/>
          </w:tcPr>
          <w:p w14:paraId="0380DD98">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壮医经典病房科主任/主任医师</w:t>
            </w:r>
          </w:p>
        </w:tc>
        <w:tc>
          <w:tcPr>
            <w:tcW w:w="1538" w:type="dxa"/>
            <w:tcBorders>
              <w:top w:val="single" w:color="auto" w:sz="4" w:space="0"/>
              <w:left w:val="single" w:color="auto" w:sz="4" w:space="0"/>
              <w:bottom w:val="single" w:color="auto" w:sz="4" w:space="0"/>
              <w:right w:val="single" w:color="auto" w:sz="4" w:space="0"/>
            </w:tcBorders>
            <w:vAlign w:val="center"/>
          </w:tcPr>
          <w:p w14:paraId="01C1CA84">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临床医学</w:t>
            </w:r>
          </w:p>
        </w:tc>
        <w:tc>
          <w:tcPr>
            <w:tcW w:w="2386" w:type="dxa"/>
            <w:tcBorders>
              <w:top w:val="single" w:color="auto" w:sz="4" w:space="0"/>
              <w:left w:val="single" w:color="auto" w:sz="4" w:space="0"/>
              <w:bottom w:val="single" w:color="auto" w:sz="4" w:space="0"/>
              <w:right w:val="single" w:color="auto" w:sz="4" w:space="0"/>
            </w:tcBorders>
            <w:vAlign w:val="center"/>
          </w:tcPr>
          <w:p w14:paraId="0282E992">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广西国际壮医医院</w:t>
            </w:r>
          </w:p>
        </w:tc>
        <w:tc>
          <w:tcPr>
            <w:tcW w:w="2948" w:type="dxa"/>
            <w:tcBorders>
              <w:top w:val="single" w:color="auto" w:sz="4" w:space="0"/>
              <w:left w:val="single" w:color="auto" w:sz="4" w:space="0"/>
              <w:bottom w:val="single" w:color="auto" w:sz="4" w:space="0"/>
              <w:right w:val="single" w:color="auto" w:sz="4" w:space="0"/>
            </w:tcBorders>
            <w:vAlign w:val="center"/>
          </w:tcPr>
          <w:p w14:paraId="734741AE">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负责起草规范草案，征求意见稿和规范编制说明，送审稿及编制说明的编写工作</w:t>
            </w:r>
          </w:p>
        </w:tc>
      </w:tr>
      <w:tr w14:paraId="18E528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520109DA">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罗远带</w:t>
            </w:r>
          </w:p>
        </w:tc>
        <w:tc>
          <w:tcPr>
            <w:tcW w:w="1583" w:type="dxa"/>
            <w:tcBorders>
              <w:top w:val="single" w:color="auto" w:sz="4" w:space="0"/>
              <w:left w:val="single" w:color="auto" w:sz="4" w:space="0"/>
              <w:bottom w:val="single" w:color="auto" w:sz="4" w:space="0"/>
              <w:right w:val="single" w:color="auto" w:sz="4" w:space="0"/>
            </w:tcBorders>
            <w:vAlign w:val="center"/>
          </w:tcPr>
          <w:p w14:paraId="725C6CDC">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壮医经典病房科副主任/副主任医师</w:t>
            </w:r>
          </w:p>
        </w:tc>
        <w:tc>
          <w:tcPr>
            <w:tcW w:w="1538" w:type="dxa"/>
            <w:tcBorders>
              <w:top w:val="single" w:color="auto" w:sz="4" w:space="0"/>
              <w:left w:val="single" w:color="auto" w:sz="4" w:space="0"/>
              <w:bottom w:val="single" w:color="auto" w:sz="4" w:space="0"/>
              <w:right w:val="single" w:color="auto" w:sz="4" w:space="0"/>
            </w:tcBorders>
            <w:vAlign w:val="center"/>
          </w:tcPr>
          <w:p w14:paraId="5EC91BD9">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临床医学</w:t>
            </w:r>
          </w:p>
        </w:tc>
        <w:tc>
          <w:tcPr>
            <w:tcW w:w="2386" w:type="dxa"/>
            <w:tcBorders>
              <w:top w:val="single" w:color="auto" w:sz="4" w:space="0"/>
              <w:left w:val="single" w:color="auto" w:sz="4" w:space="0"/>
              <w:bottom w:val="single" w:color="auto" w:sz="4" w:space="0"/>
              <w:right w:val="single" w:color="auto" w:sz="4" w:space="0"/>
            </w:tcBorders>
            <w:vAlign w:val="center"/>
          </w:tcPr>
          <w:p w14:paraId="643E2B45">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广西国际壮医医院</w:t>
            </w:r>
          </w:p>
        </w:tc>
        <w:tc>
          <w:tcPr>
            <w:tcW w:w="2948" w:type="dxa"/>
            <w:tcBorders>
              <w:top w:val="single" w:color="auto" w:sz="4" w:space="0"/>
              <w:left w:val="single" w:color="auto" w:sz="4" w:space="0"/>
              <w:bottom w:val="single" w:color="auto" w:sz="4" w:space="0"/>
              <w:right w:val="single" w:color="auto" w:sz="4" w:space="0"/>
            </w:tcBorders>
            <w:vAlign w:val="center"/>
          </w:tcPr>
          <w:p w14:paraId="400EF54C">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负责编制说明的编写，质量控制</w:t>
            </w:r>
          </w:p>
        </w:tc>
      </w:tr>
      <w:tr w14:paraId="18E0C3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4BCCF073">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吴箫梦</w:t>
            </w:r>
          </w:p>
        </w:tc>
        <w:tc>
          <w:tcPr>
            <w:tcW w:w="1583" w:type="dxa"/>
            <w:tcBorders>
              <w:top w:val="single" w:color="auto" w:sz="4" w:space="0"/>
              <w:left w:val="single" w:color="auto" w:sz="4" w:space="0"/>
              <w:bottom w:val="single" w:color="auto" w:sz="4" w:space="0"/>
              <w:right w:val="single" w:color="auto" w:sz="4" w:space="0"/>
            </w:tcBorders>
            <w:vAlign w:val="center"/>
          </w:tcPr>
          <w:p w14:paraId="52DCE050">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脾胃科护士长/主管护师</w:t>
            </w:r>
          </w:p>
        </w:tc>
        <w:tc>
          <w:tcPr>
            <w:tcW w:w="1538" w:type="dxa"/>
            <w:tcBorders>
              <w:top w:val="single" w:color="auto" w:sz="4" w:space="0"/>
              <w:left w:val="single" w:color="auto" w:sz="4" w:space="0"/>
              <w:bottom w:val="single" w:color="auto" w:sz="4" w:space="0"/>
              <w:right w:val="single" w:color="auto" w:sz="4" w:space="0"/>
            </w:tcBorders>
            <w:vAlign w:val="center"/>
          </w:tcPr>
          <w:p w14:paraId="7E96303B">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护理学</w:t>
            </w:r>
          </w:p>
        </w:tc>
        <w:tc>
          <w:tcPr>
            <w:tcW w:w="2386" w:type="dxa"/>
            <w:tcBorders>
              <w:top w:val="single" w:color="auto" w:sz="4" w:space="0"/>
              <w:left w:val="single" w:color="auto" w:sz="4" w:space="0"/>
              <w:bottom w:val="single" w:color="auto" w:sz="4" w:space="0"/>
              <w:right w:val="single" w:color="auto" w:sz="4" w:space="0"/>
            </w:tcBorders>
            <w:vAlign w:val="center"/>
          </w:tcPr>
          <w:p w14:paraId="62C53919">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广西国际壮医医院</w:t>
            </w:r>
          </w:p>
        </w:tc>
        <w:tc>
          <w:tcPr>
            <w:tcW w:w="2948" w:type="dxa"/>
            <w:tcBorders>
              <w:top w:val="single" w:color="auto" w:sz="4" w:space="0"/>
              <w:left w:val="single" w:color="auto" w:sz="4" w:space="0"/>
              <w:bottom w:val="single" w:color="auto" w:sz="4" w:space="0"/>
              <w:right w:val="single" w:color="auto" w:sz="4" w:space="0"/>
            </w:tcBorders>
            <w:vAlign w:val="center"/>
          </w:tcPr>
          <w:p w14:paraId="432C630D">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对规范实施情况进行总结分析，不断对规范提出修正意见</w:t>
            </w:r>
          </w:p>
        </w:tc>
      </w:tr>
      <w:tr w14:paraId="3856BE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161B52C5">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邓辉</w:t>
            </w:r>
          </w:p>
        </w:tc>
        <w:tc>
          <w:tcPr>
            <w:tcW w:w="1583" w:type="dxa"/>
            <w:tcBorders>
              <w:top w:val="single" w:color="auto" w:sz="4" w:space="0"/>
              <w:left w:val="single" w:color="auto" w:sz="4" w:space="0"/>
              <w:bottom w:val="single" w:color="auto" w:sz="4" w:space="0"/>
              <w:right w:val="single" w:color="auto" w:sz="4" w:space="0"/>
            </w:tcBorders>
            <w:vAlign w:val="center"/>
          </w:tcPr>
          <w:p w14:paraId="2E7F7A64">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护理部副主任/副主任护师</w:t>
            </w:r>
          </w:p>
        </w:tc>
        <w:tc>
          <w:tcPr>
            <w:tcW w:w="1538" w:type="dxa"/>
            <w:tcBorders>
              <w:top w:val="single" w:color="auto" w:sz="4" w:space="0"/>
              <w:left w:val="single" w:color="auto" w:sz="4" w:space="0"/>
              <w:bottom w:val="single" w:color="auto" w:sz="4" w:space="0"/>
              <w:right w:val="single" w:color="auto" w:sz="4" w:space="0"/>
            </w:tcBorders>
            <w:vAlign w:val="center"/>
          </w:tcPr>
          <w:p w14:paraId="6B871E6D">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护理学</w:t>
            </w:r>
          </w:p>
        </w:tc>
        <w:tc>
          <w:tcPr>
            <w:tcW w:w="2386" w:type="dxa"/>
            <w:tcBorders>
              <w:top w:val="single" w:color="auto" w:sz="4" w:space="0"/>
              <w:left w:val="single" w:color="auto" w:sz="4" w:space="0"/>
              <w:bottom w:val="single" w:color="auto" w:sz="4" w:space="0"/>
              <w:right w:val="single" w:color="auto" w:sz="4" w:space="0"/>
            </w:tcBorders>
            <w:vAlign w:val="center"/>
          </w:tcPr>
          <w:p w14:paraId="39A7331C">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广西国际壮医医院</w:t>
            </w:r>
          </w:p>
        </w:tc>
        <w:tc>
          <w:tcPr>
            <w:tcW w:w="2948" w:type="dxa"/>
            <w:tcBorders>
              <w:top w:val="single" w:color="auto" w:sz="4" w:space="0"/>
              <w:left w:val="single" w:color="auto" w:sz="4" w:space="0"/>
              <w:bottom w:val="single" w:color="auto" w:sz="4" w:space="0"/>
              <w:right w:val="single" w:color="auto" w:sz="4" w:space="0"/>
            </w:tcBorders>
            <w:vAlign w:val="center"/>
          </w:tcPr>
          <w:p w14:paraId="5E608838">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对规范实施情况进行总结分析，不断对规范提出修正意见</w:t>
            </w:r>
          </w:p>
        </w:tc>
      </w:tr>
      <w:tr w14:paraId="28EEA4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186D9D4B">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黄丽晓</w:t>
            </w:r>
          </w:p>
        </w:tc>
        <w:tc>
          <w:tcPr>
            <w:tcW w:w="1583" w:type="dxa"/>
            <w:tcBorders>
              <w:top w:val="single" w:color="auto" w:sz="4" w:space="0"/>
              <w:left w:val="single" w:color="auto" w:sz="4" w:space="0"/>
              <w:bottom w:val="single" w:color="auto" w:sz="4" w:space="0"/>
              <w:right w:val="single" w:color="auto" w:sz="4" w:space="0"/>
            </w:tcBorders>
            <w:vAlign w:val="center"/>
          </w:tcPr>
          <w:p w14:paraId="15765577">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重症医学科护士长/副主任护师</w:t>
            </w:r>
          </w:p>
        </w:tc>
        <w:tc>
          <w:tcPr>
            <w:tcW w:w="1538" w:type="dxa"/>
            <w:tcBorders>
              <w:top w:val="single" w:color="auto" w:sz="4" w:space="0"/>
              <w:left w:val="single" w:color="auto" w:sz="4" w:space="0"/>
              <w:bottom w:val="single" w:color="auto" w:sz="4" w:space="0"/>
              <w:right w:val="single" w:color="auto" w:sz="4" w:space="0"/>
            </w:tcBorders>
            <w:vAlign w:val="center"/>
          </w:tcPr>
          <w:p w14:paraId="77B96402">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护理学</w:t>
            </w:r>
          </w:p>
        </w:tc>
        <w:tc>
          <w:tcPr>
            <w:tcW w:w="2386" w:type="dxa"/>
            <w:tcBorders>
              <w:top w:val="single" w:color="auto" w:sz="4" w:space="0"/>
              <w:left w:val="single" w:color="auto" w:sz="4" w:space="0"/>
              <w:bottom w:val="single" w:color="auto" w:sz="4" w:space="0"/>
              <w:right w:val="single" w:color="auto" w:sz="4" w:space="0"/>
            </w:tcBorders>
            <w:vAlign w:val="center"/>
          </w:tcPr>
          <w:p w14:paraId="1E3EA042">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广西国际壮医医院</w:t>
            </w:r>
          </w:p>
        </w:tc>
        <w:tc>
          <w:tcPr>
            <w:tcW w:w="2948" w:type="dxa"/>
            <w:tcBorders>
              <w:top w:val="single" w:color="auto" w:sz="4" w:space="0"/>
              <w:left w:val="single" w:color="auto" w:sz="4" w:space="0"/>
              <w:bottom w:val="single" w:color="auto" w:sz="4" w:space="0"/>
              <w:right w:val="single" w:color="auto" w:sz="4" w:space="0"/>
            </w:tcBorders>
            <w:vAlign w:val="center"/>
          </w:tcPr>
          <w:p w14:paraId="6396BD72">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对规范实施情况进行总结分析，不断对规范提出修正意见</w:t>
            </w:r>
          </w:p>
        </w:tc>
      </w:tr>
      <w:tr w14:paraId="4AD00F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52A0C3ED">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李月间</w:t>
            </w:r>
          </w:p>
        </w:tc>
        <w:tc>
          <w:tcPr>
            <w:tcW w:w="1583" w:type="dxa"/>
            <w:tcBorders>
              <w:top w:val="single" w:color="auto" w:sz="4" w:space="0"/>
              <w:left w:val="single" w:color="auto" w:sz="4" w:space="0"/>
              <w:bottom w:val="single" w:color="auto" w:sz="4" w:space="0"/>
              <w:right w:val="single" w:color="auto" w:sz="4" w:space="0"/>
            </w:tcBorders>
            <w:vAlign w:val="center"/>
          </w:tcPr>
          <w:p w14:paraId="33E68117">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康复科护士长/副主任护师</w:t>
            </w:r>
          </w:p>
        </w:tc>
        <w:tc>
          <w:tcPr>
            <w:tcW w:w="1538" w:type="dxa"/>
            <w:tcBorders>
              <w:top w:val="single" w:color="auto" w:sz="4" w:space="0"/>
              <w:left w:val="single" w:color="auto" w:sz="4" w:space="0"/>
              <w:bottom w:val="single" w:color="auto" w:sz="4" w:space="0"/>
              <w:right w:val="single" w:color="auto" w:sz="4" w:space="0"/>
            </w:tcBorders>
            <w:vAlign w:val="center"/>
          </w:tcPr>
          <w:p w14:paraId="2CF30DEC">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护理学</w:t>
            </w:r>
          </w:p>
        </w:tc>
        <w:tc>
          <w:tcPr>
            <w:tcW w:w="2386" w:type="dxa"/>
            <w:tcBorders>
              <w:top w:val="single" w:color="auto" w:sz="4" w:space="0"/>
              <w:left w:val="single" w:color="auto" w:sz="4" w:space="0"/>
              <w:bottom w:val="single" w:color="auto" w:sz="4" w:space="0"/>
              <w:right w:val="single" w:color="auto" w:sz="4" w:space="0"/>
            </w:tcBorders>
            <w:vAlign w:val="center"/>
          </w:tcPr>
          <w:p w14:paraId="0369E3EA">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广西国际壮医医院</w:t>
            </w:r>
          </w:p>
        </w:tc>
        <w:tc>
          <w:tcPr>
            <w:tcW w:w="2948" w:type="dxa"/>
            <w:tcBorders>
              <w:top w:val="single" w:color="auto" w:sz="4" w:space="0"/>
              <w:left w:val="single" w:color="auto" w:sz="4" w:space="0"/>
              <w:bottom w:val="single" w:color="auto" w:sz="4" w:space="0"/>
              <w:right w:val="single" w:color="auto" w:sz="4" w:space="0"/>
            </w:tcBorders>
            <w:vAlign w:val="center"/>
          </w:tcPr>
          <w:p w14:paraId="10593EEF">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对规范实施情况进行总结分析，不断对规范提出修正意见</w:t>
            </w:r>
          </w:p>
        </w:tc>
      </w:tr>
      <w:tr w14:paraId="516E65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0EB98A45">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刘东苹</w:t>
            </w:r>
          </w:p>
        </w:tc>
        <w:tc>
          <w:tcPr>
            <w:tcW w:w="1583" w:type="dxa"/>
            <w:tcBorders>
              <w:top w:val="single" w:color="auto" w:sz="4" w:space="0"/>
              <w:left w:val="single" w:color="auto" w:sz="4" w:space="0"/>
              <w:bottom w:val="single" w:color="auto" w:sz="4" w:space="0"/>
              <w:right w:val="single" w:color="auto" w:sz="4" w:space="0"/>
            </w:tcBorders>
            <w:vAlign w:val="center"/>
          </w:tcPr>
          <w:p w14:paraId="4D4EAE59">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产科护士长/副主任护师</w:t>
            </w:r>
          </w:p>
        </w:tc>
        <w:tc>
          <w:tcPr>
            <w:tcW w:w="1538" w:type="dxa"/>
            <w:tcBorders>
              <w:top w:val="single" w:color="auto" w:sz="4" w:space="0"/>
              <w:left w:val="single" w:color="auto" w:sz="4" w:space="0"/>
              <w:bottom w:val="single" w:color="auto" w:sz="4" w:space="0"/>
              <w:right w:val="single" w:color="auto" w:sz="4" w:space="0"/>
            </w:tcBorders>
            <w:vAlign w:val="center"/>
          </w:tcPr>
          <w:p w14:paraId="5E8375E8">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护理学</w:t>
            </w:r>
          </w:p>
        </w:tc>
        <w:tc>
          <w:tcPr>
            <w:tcW w:w="2386" w:type="dxa"/>
            <w:tcBorders>
              <w:top w:val="single" w:color="auto" w:sz="4" w:space="0"/>
              <w:left w:val="single" w:color="auto" w:sz="4" w:space="0"/>
              <w:bottom w:val="single" w:color="auto" w:sz="4" w:space="0"/>
              <w:right w:val="single" w:color="auto" w:sz="4" w:space="0"/>
            </w:tcBorders>
            <w:vAlign w:val="center"/>
          </w:tcPr>
          <w:p w14:paraId="744F1C7F">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广西国际壮医医院</w:t>
            </w:r>
          </w:p>
        </w:tc>
        <w:tc>
          <w:tcPr>
            <w:tcW w:w="2948" w:type="dxa"/>
            <w:tcBorders>
              <w:top w:val="single" w:color="auto" w:sz="4" w:space="0"/>
              <w:left w:val="single" w:color="auto" w:sz="4" w:space="0"/>
              <w:bottom w:val="single" w:color="auto" w:sz="4" w:space="0"/>
              <w:right w:val="single" w:color="auto" w:sz="4" w:space="0"/>
            </w:tcBorders>
            <w:vAlign w:val="center"/>
          </w:tcPr>
          <w:p w14:paraId="1A051E76">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对规范实施情况进行总结分析，不断对规范提出修正意见</w:t>
            </w:r>
          </w:p>
        </w:tc>
      </w:tr>
      <w:tr w14:paraId="0F37D4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3889F77F">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黄佩芸</w:t>
            </w:r>
          </w:p>
        </w:tc>
        <w:tc>
          <w:tcPr>
            <w:tcW w:w="1583" w:type="dxa"/>
            <w:tcBorders>
              <w:top w:val="single" w:color="auto" w:sz="4" w:space="0"/>
              <w:left w:val="single" w:color="auto" w:sz="4" w:space="0"/>
              <w:bottom w:val="single" w:color="auto" w:sz="4" w:space="0"/>
              <w:right w:val="single" w:color="auto" w:sz="4" w:space="0"/>
            </w:tcBorders>
            <w:vAlign w:val="center"/>
          </w:tcPr>
          <w:p w14:paraId="4C1B27FB">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壮医针灸推拿科护士长/副主任护师</w:t>
            </w:r>
          </w:p>
        </w:tc>
        <w:tc>
          <w:tcPr>
            <w:tcW w:w="1538" w:type="dxa"/>
            <w:tcBorders>
              <w:top w:val="single" w:color="auto" w:sz="4" w:space="0"/>
              <w:left w:val="single" w:color="auto" w:sz="4" w:space="0"/>
              <w:bottom w:val="single" w:color="auto" w:sz="4" w:space="0"/>
              <w:right w:val="single" w:color="auto" w:sz="4" w:space="0"/>
            </w:tcBorders>
            <w:vAlign w:val="center"/>
          </w:tcPr>
          <w:p w14:paraId="48D9B32E">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护理学</w:t>
            </w:r>
          </w:p>
        </w:tc>
        <w:tc>
          <w:tcPr>
            <w:tcW w:w="2386" w:type="dxa"/>
            <w:tcBorders>
              <w:top w:val="single" w:color="auto" w:sz="4" w:space="0"/>
              <w:left w:val="single" w:color="auto" w:sz="4" w:space="0"/>
              <w:bottom w:val="single" w:color="auto" w:sz="4" w:space="0"/>
              <w:right w:val="single" w:color="auto" w:sz="4" w:space="0"/>
            </w:tcBorders>
            <w:vAlign w:val="center"/>
          </w:tcPr>
          <w:p w14:paraId="62BBD43C">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广西国际壮医医院</w:t>
            </w:r>
          </w:p>
        </w:tc>
        <w:tc>
          <w:tcPr>
            <w:tcW w:w="2948" w:type="dxa"/>
            <w:tcBorders>
              <w:top w:val="single" w:color="auto" w:sz="4" w:space="0"/>
              <w:left w:val="single" w:color="auto" w:sz="4" w:space="0"/>
              <w:bottom w:val="single" w:color="auto" w:sz="4" w:space="0"/>
              <w:right w:val="single" w:color="auto" w:sz="4" w:space="0"/>
            </w:tcBorders>
            <w:vAlign w:val="center"/>
          </w:tcPr>
          <w:p w14:paraId="5AC9EA8C">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对规范实施情况进行总结分析，不断对规范提出修正意见</w:t>
            </w:r>
          </w:p>
        </w:tc>
      </w:tr>
      <w:tr w14:paraId="60423A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40D5DD70">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郑好芳</w:t>
            </w:r>
          </w:p>
        </w:tc>
        <w:tc>
          <w:tcPr>
            <w:tcW w:w="1583" w:type="dxa"/>
            <w:tcBorders>
              <w:top w:val="single" w:color="auto" w:sz="4" w:space="0"/>
              <w:left w:val="single" w:color="auto" w:sz="4" w:space="0"/>
              <w:bottom w:val="single" w:color="auto" w:sz="4" w:space="0"/>
              <w:right w:val="single" w:color="auto" w:sz="4" w:space="0"/>
            </w:tcBorders>
            <w:vAlign w:val="center"/>
          </w:tcPr>
          <w:p w14:paraId="0B613623">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肿瘤科护士长/主管护师</w:t>
            </w:r>
          </w:p>
        </w:tc>
        <w:tc>
          <w:tcPr>
            <w:tcW w:w="1538" w:type="dxa"/>
            <w:tcBorders>
              <w:top w:val="single" w:color="auto" w:sz="4" w:space="0"/>
              <w:left w:val="single" w:color="auto" w:sz="4" w:space="0"/>
              <w:bottom w:val="single" w:color="auto" w:sz="4" w:space="0"/>
              <w:right w:val="single" w:color="auto" w:sz="4" w:space="0"/>
            </w:tcBorders>
            <w:vAlign w:val="center"/>
          </w:tcPr>
          <w:p w14:paraId="2B669E47">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护理学</w:t>
            </w:r>
          </w:p>
        </w:tc>
        <w:tc>
          <w:tcPr>
            <w:tcW w:w="2386" w:type="dxa"/>
            <w:tcBorders>
              <w:top w:val="single" w:color="auto" w:sz="4" w:space="0"/>
              <w:left w:val="single" w:color="auto" w:sz="4" w:space="0"/>
              <w:bottom w:val="single" w:color="auto" w:sz="4" w:space="0"/>
              <w:right w:val="single" w:color="auto" w:sz="4" w:space="0"/>
            </w:tcBorders>
            <w:vAlign w:val="center"/>
          </w:tcPr>
          <w:p w14:paraId="1AD2E129">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广西国际壮医医院</w:t>
            </w:r>
          </w:p>
        </w:tc>
        <w:tc>
          <w:tcPr>
            <w:tcW w:w="2948" w:type="dxa"/>
            <w:tcBorders>
              <w:top w:val="single" w:color="auto" w:sz="4" w:space="0"/>
              <w:left w:val="single" w:color="auto" w:sz="4" w:space="0"/>
              <w:bottom w:val="single" w:color="auto" w:sz="4" w:space="0"/>
              <w:right w:val="single" w:color="auto" w:sz="4" w:space="0"/>
            </w:tcBorders>
            <w:vAlign w:val="center"/>
          </w:tcPr>
          <w:p w14:paraId="2714B3CB">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对规范实施情况进行总结分析，不断对规范提出修正意见</w:t>
            </w:r>
          </w:p>
        </w:tc>
      </w:tr>
      <w:tr w14:paraId="485B67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7D1E6479">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周艳娜</w:t>
            </w:r>
          </w:p>
        </w:tc>
        <w:tc>
          <w:tcPr>
            <w:tcW w:w="1583" w:type="dxa"/>
            <w:tcBorders>
              <w:top w:val="single" w:color="auto" w:sz="4" w:space="0"/>
              <w:left w:val="single" w:color="auto" w:sz="4" w:space="0"/>
              <w:bottom w:val="single" w:color="auto" w:sz="4" w:space="0"/>
              <w:right w:val="single" w:color="auto" w:sz="4" w:space="0"/>
            </w:tcBorders>
            <w:vAlign w:val="center"/>
          </w:tcPr>
          <w:p w14:paraId="7A9A90C7">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脑病科护士长/副主任护师</w:t>
            </w:r>
          </w:p>
        </w:tc>
        <w:tc>
          <w:tcPr>
            <w:tcW w:w="1538" w:type="dxa"/>
            <w:tcBorders>
              <w:top w:val="single" w:color="auto" w:sz="4" w:space="0"/>
              <w:left w:val="single" w:color="auto" w:sz="4" w:space="0"/>
              <w:bottom w:val="single" w:color="auto" w:sz="4" w:space="0"/>
              <w:right w:val="single" w:color="auto" w:sz="4" w:space="0"/>
            </w:tcBorders>
            <w:vAlign w:val="center"/>
          </w:tcPr>
          <w:p w14:paraId="16B10A12">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护理学</w:t>
            </w:r>
          </w:p>
        </w:tc>
        <w:tc>
          <w:tcPr>
            <w:tcW w:w="2386" w:type="dxa"/>
            <w:tcBorders>
              <w:top w:val="single" w:color="auto" w:sz="4" w:space="0"/>
              <w:left w:val="single" w:color="auto" w:sz="4" w:space="0"/>
              <w:bottom w:val="single" w:color="auto" w:sz="4" w:space="0"/>
              <w:right w:val="single" w:color="auto" w:sz="4" w:space="0"/>
            </w:tcBorders>
            <w:vAlign w:val="center"/>
          </w:tcPr>
          <w:p w14:paraId="20DC1E0C">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广西国际壮医医院</w:t>
            </w:r>
          </w:p>
        </w:tc>
        <w:tc>
          <w:tcPr>
            <w:tcW w:w="2948" w:type="dxa"/>
            <w:tcBorders>
              <w:top w:val="single" w:color="auto" w:sz="4" w:space="0"/>
              <w:left w:val="single" w:color="auto" w:sz="4" w:space="0"/>
              <w:bottom w:val="single" w:color="auto" w:sz="4" w:space="0"/>
              <w:right w:val="single" w:color="auto" w:sz="4" w:space="0"/>
            </w:tcBorders>
            <w:vAlign w:val="center"/>
          </w:tcPr>
          <w:p w14:paraId="37796D1B">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对规范实施情况进行总结分析，不断对规范提出修正意见</w:t>
            </w:r>
          </w:p>
        </w:tc>
      </w:tr>
      <w:tr w14:paraId="70D8B1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2B1F8695">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李道创</w:t>
            </w:r>
          </w:p>
        </w:tc>
        <w:tc>
          <w:tcPr>
            <w:tcW w:w="1583" w:type="dxa"/>
            <w:tcBorders>
              <w:top w:val="single" w:color="auto" w:sz="4" w:space="0"/>
              <w:left w:val="single" w:color="auto" w:sz="4" w:space="0"/>
              <w:bottom w:val="single" w:color="auto" w:sz="4" w:space="0"/>
              <w:right w:val="single" w:color="auto" w:sz="4" w:space="0"/>
            </w:tcBorders>
            <w:vAlign w:val="center"/>
          </w:tcPr>
          <w:p w14:paraId="7A67CC72">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心病科护士长/副主任护师</w:t>
            </w:r>
          </w:p>
        </w:tc>
        <w:tc>
          <w:tcPr>
            <w:tcW w:w="1538" w:type="dxa"/>
            <w:tcBorders>
              <w:top w:val="single" w:color="auto" w:sz="4" w:space="0"/>
              <w:left w:val="single" w:color="auto" w:sz="4" w:space="0"/>
              <w:bottom w:val="single" w:color="auto" w:sz="4" w:space="0"/>
              <w:right w:val="single" w:color="auto" w:sz="4" w:space="0"/>
            </w:tcBorders>
            <w:vAlign w:val="center"/>
          </w:tcPr>
          <w:p w14:paraId="7B1B2746">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护理学</w:t>
            </w:r>
          </w:p>
        </w:tc>
        <w:tc>
          <w:tcPr>
            <w:tcW w:w="2386" w:type="dxa"/>
            <w:tcBorders>
              <w:top w:val="single" w:color="auto" w:sz="4" w:space="0"/>
              <w:left w:val="single" w:color="auto" w:sz="4" w:space="0"/>
              <w:bottom w:val="single" w:color="auto" w:sz="4" w:space="0"/>
              <w:right w:val="single" w:color="auto" w:sz="4" w:space="0"/>
            </w:tcBorders>
            <w:vAlign w:val="center"/>
          </w:tcPr>
          <w:p w14:paraId="5BBE9DFE">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广西国际壮医医院</w:t>
            </w:r>
          </w:p>
        </w:tc>
        <w:tc>
          <w:tcPr>
            <w:tcW w:w="2948" w:type="dxa"/>
            <w:tcBorders>
              <w:top w:val="single" w:color="auto" w:sz="4" w:space="0"/>
              <w:left w:val="single" w:color="auto" w:sz="4" w:space="0"/>
              <w:bottom w:val="single" w:color="auto" w:sz="4" w:space="0"/>
              <w:right w:val="single" w:color="auto" w:sz="4" w:space="0"/>
            </w:tcBorders>
            <w:vAlign w:val="center"/>
          </w:tcPr>
          <w:p w14:paraId="3ABFF2F7">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对规范实施情况进行总结分析，不断对规范提出修正意见</w:t>
            </w:r>
          </w:p>
        </w:tc>
      </w:tr>
      <w:tr w14:paraId="0BB96F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2E72EFAF">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梁珊珊</w:t>
            </w:r>
          </w:p>
        </w:tc>
        <w:tc>
          <w:tcPr>
            <w:tcW w:w="1583" w:type="dxa"/>
            <w:tcBorders>
              <w:top w:val="single" w:color="auto" w:sz="4" w:space="0"/>
              <w:left w:val="single" w:color="auto" w:sz="4" w:space="0"/>
              <w:bottom w:val="single" w:color="auto" w:sz="4" w:space="0"/>
              <w:right w:val="single" w:color="auto" w:sz="4" w:space="0"/>
            </w:tcBorders>
            <w:vAlign w:val="center"/>
          </w:tcPr>
          <w:p w14:paraId="282A02D6">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老年中医经典病房护士长/主管护师</w:t>
            </w:r>
          </w:p>
        </w:tc>
        <w:tc>
          <w:tcPr>
            <w:tcW w:w="1538" w:type="dxa"/>
            <w:tcBorders>
              <w:top w:val="single" w:color="auto" w:sz="4" w:space="0"/>
              <w:left w:val="single" w:color="auto" w:sz="4" w:space="0"/>
              <w:bottom w:val="single" w:color="auto" w:sz="4" w:space="0"/>
              <w:right w:val="single" w:color="auto" w:sz="4" w:space="0"/>
            </w:tcBorders>
            <w:vAlign w:val="center"/>
          </w:tcPr>
          <w:p w14:paraId="6EBBA581">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护理学</w:t>
            </w:r>
          </w:p>
        </w:tc>
        <w:tc>
          <w:tcPr>
            <w:tcW w:w="2386" w:type="dxa"/>
            <w:tcBorders>
              <w:top w:val="single" w:color="auto" w:sz="4" w:space="0"/>
              <w:left w:val="single" w:color="auto" w:sz="4" w:space="0"/>
              <w:bottom w:val="single" w:color="auto" w:sz="4" w:space="0"/>
              <w:right w:val="single" w:color="auto" w:sz="4" w:space="0"/>
            </w:tcBorders>
            <w:vAlign w:val="center"/>
          </w:tcPr>
          <w:p w14:paraId="2FC936EE">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广西中医院大学附属瑞康医院</w:t>
            </w:r>
          </w:p>
        </w:tc>
        <w:tc>
          <w:tcPr>
            <w:tcW w:w="2948" w:type="dxa"/>
            <w:tcBorders>
              <w:top w:val="single" w:color="auto" w:sz="4" w:space="0"/>
              <w:left w:val="single" w:color="auto" w:sz="4" w:space="0"/>
              <w:bottom w:val="single" w:color="auto" w:sz="4" w:space="0"/>
              <w:right w:val="single" w:color="auto" w:sz="4" w:space="0"/>
            </w:tcBorders>
            <w:vAlign w:val="center"/>
          </w:tcPr>
          <w:p w14:paraId="554D260C">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对规范实施情况进行总结分析，不断对规范提出修正意见</w:t>
            </w:r>
          </w:p>
        </w:tc>
      </w:tr>
      <w:tr w14:paraId="018ED5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193F7F3A">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蔡玲玲</w:t>
            </w:r>
          </w:p>
        </w:tc>
        <w:tc>
          <w:tcPr>
            <w:tcW w:w="1583" w:type="dxa"/>
            <w:tcBorders>
              <w:top w:val="single" w:color="auto" w:sz="4" w:space="0"/>
              <w:left w:val="single" w:color="auto" w:sz="4" w:space="0"/>
              <w:bottom w:val="single" w:color="auto" w:sz="4" w:space="0"/>
              <w:right w:val="single" w:color="auto" w:sz="4" w:space="0"/>
            </w:tcBorders>
            <w:vAlign w:val="center"/>
          </w:tcPr>
          <w:p w14:paraId="29FF0821">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中医经典科护士长/副主任护师</w:t>
            </w:r>
          </w:p>
        </w:tc>
        <w:tc>
          <w:tcPr>
            <w:tcW w:w="1538" w:type="dxa"/>
            <w:tcBorders>
              <w:top w:val="single" w:color="auto" w:sz="4" w:space="0"/>
              <w:left w:val="single" w:color="auto" w:sz="4" w:space="0"/>
              <w:bottom w:val="single" w:color="auto" w:sz="4" w:space="0"/>
              <w:right w:val="single" w:color="auto" w:sz="4" w:space="0"/>
            </w:tcBorders>
            <w:vAlign w:val="center"/>
          </w:tcPr>
          <w:p w14:paraId="3879579D">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护理学</w:t>
            </w:r>
          </w:p>
        </w:tc>
        <w:tc>
          <w:tcPr>
            <w:tcW w:w="2386" w:type="dxa"/>
            <w:tcBorders>
              <w:top w:val="single" w:color="auto" w:sz="4" w:space="0"/>
              <w:left w:val="single" w:color="auto" w:sz="4" w:space="0"/>
              <w:bottom w:val="single" w:color="auto" w:sz="4" w:space="0"/>
              <w:right w:val="single" w:color="auto" w:sz="4" w:space="0"/>
            </w:tcBorders>
            <w:vAlign w:val="center"/>
          </w:tcPr>
          <w:p w14:paraId="2A9DFF46">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广西中医药大学第一附属医院</w:t>
            </w:r>
          </w:p>
        </w:tc>
        <w:tc>
          <w:tcPr>
            <w:tcW w:w="2948" w:type="dxa"/>
            <w:tcBorders>
              <w:top w:val="single" w:color="auto" w:sz="4" w:space="0"/>
              <w:left w:val="single" w:color="auto" w:sz="4" w:space="0"/>
              <w:bottom w:val="single" w:color="auto" w:sz="4" w:space="0"/>
              <w:right w:val="single" w:color="auto" w:sz="4" w:space="0"/>
            </w:tcBorders>
            <w:vAlign w:val="center"/>
          </w:tcPr>
          <w:p w14:paraId="0976EBD8">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对规范实施情况进行总结分析，不断对规范提出修正意见</w:t>
            </w:r>
          </w:p>
        </w:tc>
      </w:tr>
      <w:tr w14:paraId="6130F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51735D9F">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黄丽荣</w:t>
            </w:r>
          </w:p>
        </w:tc>
        <w:tc>
          <w:tcPr>
            <w:tcW w:w="1583" w:type="dxa"/>
            <w:tcBorders>
              <w:top w:val="single" w:color="auto" w:sz="4" w:space="0"/>
              <w:left w:val="single" w:color="auto" w:sz="4" w:space="0"/>
              <w:bottom w:val="single" w:color="auto" w:sz="4" w:space="0"/>
              <w:right w:val="single" w:color="auto" w:sz="4" w:space="0"/>
            </w:tcBorders>
            <w:vAlign w:val="center"/>
          </w:tcPr>
          <w:p w14:paraId="02443B49">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护理部主任/主任护师</w:t>
            </w:r>
          </w:p>
        </w:tc>
        <w:tc>
          <w:tcPr>
            <w:tcW w:w="1538" w:type="dxa"/>
            <w:tcBorders>
              <w:top w:val="single" w:color="auto" w:sz="4" w:space="0"/>
              <w:left w:val="single" w:color="auto" w:sz="4" w:space="0"/>
              <w:bottom w:val="single" w:color="auto" w:sz="4" w:space="0"/>
              <w:right w:val="single" w:color="auto" w:sz="4" w:space="0"/>
            </w:tcBorders>
            <w:vAlign w:val="center"/>
          </w:tcPr>
          <w:p w14:paraId="058E9A3D">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护理学</w:t>
            </w:r>
          </w:p>
        </w:tc>
        <w:tc>
          <w:tcPr>
            <w:tcW w:w="2386" w:type="dxa"/>
            <w:tcBorders>
              <w:top w:val="single" w:color="auto" w:sz="4" w:space="0"/>
              <w:left w:val="single" w:color="auto" w:sz="4" w:space="0"/>
              <w:bottom w:val="single" w:color="auto" w:sz="4" w:space="0"/>
              <w:right w:val="single" w:color="auto" w:sz="4" w:space="0"/>
            </w:tcBorders>
            <w:vAlign w:val="center"/>
          </w:tcPr>
          <w:p w14:paraId="77AF6162">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河池市中医医院</w:t>
            </w:r>
          </w:p>
        </w:tc>
        <w:tc>
          <w:tcPr>
            <w:tcW w:w="2948" w:type="dxa"/>
            <w:tcBorders>
              <w:top w:val="single" w:color="auto" w:sz="4" w:space="0"/>
              <w:left w:val="single" w:color="auto" w:sz="4" w:space="0"/>
              <w:bottom w:val="single" w:color="auto" w:sz="4" w:space="0"/>
              <w:right w:val="single" w:color="auto" w:sz="4" w:space="0"/>
            </w:tcBorders>
            <w:vAlign w:val="center"/>
          </w:tcPr>
          <w:p w14:paraId="12234BF7">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对规范实施情况进行总结分析，不断对规范提出修正意见</w:t>
            </w:r>
          </w:p>
        </w:tc>
      </w:tr>
      <w:tr w14:paraId="2A4739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2542DB7A">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韦晓萍</w:t>
            </w:r>
          </w:p>
        </w:tc>
        <w:tc>
          <w:tcPr>
            <w:tcW w:w="1583" w:type="dxa"/>
            <w:tcBorders>
              <w:top w:val="single" w:color="auto" w:sz="4" w:space="0"/>
              <w:left w:val="single" w:color="auto" w:sz="4" w:space="0"/>
              <w:bottom w:val="single" w:color="auto" w:sz="4" w:space="0"/>
              <w:right w:val="single" w:color="auto" w:sz="4" w:space="0"/>
            </w:tcBorders>
            <w:vAlign w:val="center"/>
          </w:tcPr>
          <w:p w14:paraId="623267C8">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护理部主任/副主任护师</w:t>
            </w:r>
          </w:p>
        </w:tc>
        <w:tc>
          <w:tcPr>
            <w:tcW w:w="1538" w:type="dxa"/>
            <w:tcBorders>
              <w:top w:val="single" w:color="auto" w:sz="4" w:space="0"/>
              <w:left w:val="single" w:color="auto" w:sz="4" w:space="0"/>
              <w:bottom w:val="single" w:color="auto" w:sz="4" w:space="0"/>
              <w:right w:val="single" w:color="auto" w:sz="4" w:space="0"/>
            </w:tcBorders>
            <w:vAlign w:val="center"/>
          </w:tcPr>
          <w:p w14:paraId="67C674E9">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护理学</w:t>
            </w:r>
          </w:p>
        </w:tc>
        <w:tc>
          <w:tcPr>
            <w:tcW w:w="2386" w:type="dxa"/>
            <w:tcBorders>
              <w:top w:val="single" w:color="auto" w:sz="4" w:space="0"/>
              <w:left w:val="single" w:color="auto" w:sz="4" w:space="0"/>
              <w:bottom w:val="single" w:color="auto" w:sz="4" w:space="0"/>
              <w:right w:val="single" w:color="auto" w:sz="4" w:space="0"/>
            </w:tcBorders>
            <w:vAlign w:val="center"/>
          </w:tcPr>
          <w:p w14:paraId="57EEBC64">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大新县中医医院</w:t>
            </w:r>
          </w:p>
        </w:tc>
        <w:tc>
          <w:tcPr>
            <w:tcW w:w="2948" w:type="dxa"/>
            <w:tcBorders>
              <w:top w:val="single" w:color="auto" w:sz="4" w:space="0"/>
              <w:left w:val="single" w:color="auto" w:sz="4" w:space="0"/>
              <w:bottom w:val="single" w:color="auto" w:sz="4" w:space="0"/>
              <w:right w:val="single" w:color="auto" w:sz="4" w:space="0"/>
            </w:tcBorders>
            <w:vAlign w:val="center"/>
          </w:tcPr>
          <w:p w14:paraId="6CDCC10C">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对规范实施情况进行总结分析，不断对规范提出修正意见</w:t>
            </w:r>
          </w:p>
        </w:tc>
      </w:tr>
      <w:tr w14:paraId="693B23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50EE00D6">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黄微</w:t>
            </w:r>
          </w:p>
        </w:tc>
        <w:tc>
          <w:tcPr>
            <w:tcW w:w="1583" w:type="dxa"/>
            <w:tcBorders>
              <w:top w:val="single" w:color="auto" w:sz="4" w:space="0"/>
              <w:left w:val="single" w:color="auto" w:sz="4" w:space="0"/>
              <w:bottom w:val="single" w:color="auto" w:sz="4" w:space="0"/>
              <w:right w:val="single" w:color="auto" w:sz="4" w:space="0"/>
            </w:tcBorders>
            <w:vAlign w:val="center"/>
          </w:tcPr>
          <w:p w14:paraId="1AE09CB1">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护理部副主任/副主任护师</w:t>
            </w:r>
          </w:p>
        </w:tc>
        <w:tc>
          <w:tcPr>
            <w:tcW w:w="1538" w:type="dxa"/>
            <w:tcBorders>
              <w:top w:val="single" w:color="auto" w:sz="4" w:space="0"/>
              <w:left w:val="single" w:color="auto" w:sz="4" w:space="0"/>
              <w:bottom w:val="single" w:color="auto" w:sz="4" w:space="0"/>
              <w:right w:val="single" w:color="auto" w:sz="4" w:space="0"/>
            </w:tcBorders>
            <w:vAlign w:val="center"/>
          </w:tcPr>
          <w:p w14:paraId="0BDA6D6D">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护理学</w:t>
            </w:r>
          </w:p>
        </w:tc>
        <w:tc>
          <w:tcPr>
            <w:tcW w:w="2386" w:type="dxa"/>
            <w:tcBorders>
              <w:top w:val="single" w:color="auto" w:sz="4" w:space="0"/>
              <w:left w:val="single" w:color="auto" w:sz="4" w:space="0"/>
              <w:bottom w:val="single" w:color="auto" w:sz="4" w:space="0"/>
              <w:right w:val="single" w:color="auto" w:sz="4" w:space="0"/>
            </w:tcBorders>
            <w:vAlign w:val="center"/>
          </w:tcPr>
          <w:p w14:paraId="76582157">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鹿寨县中医医院</w:t>
            </w:r>
          </w:p>
        </w:tc>
        <w:tc>
          <w:tcPr>
            <w:tcW w:w="2948" w:type="dxa"/>
            <w:tcBorders>
              <w:top w:val="single" w:color="auto" w:sz="4" w:space="0"/>
              <w:left w:val="single" w:color="auto" w:sz="4" w:space="0"/>
              <w:bottom w:val="single" w:color="auto" w:sz="4" w:space="0"/>
              <w:right w:val="single" w:color="auto" w:sz="4" w:space="0"/>
            </w:tcBorders>
            <w:vAlign w:val="center"/>
          </w:tcPr>
          <w:p w14:paraId="100B86C2">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对规范实施情况进行总结分析，不断对规范提出修正意见</w:t>
            </w:r>
          </w:p>
        </w:tc>
      </w:tr>
      <w:tr w14:paraId="1AC655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48525D84">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符娟</w:t>
            </w:r>
          </w:p>
        </w:tc>
        <w:tc>
          <w:tcPr>
            <w:tcW w:w="1583" w:type="dxa"/>
            <w:tcBorders>
              <w:top w:val="single" w:color="auto" w:sz="4" w:space="0"/>
              <w:left w:val="single" w:color="auto" w:sz="4" w:space="0"/>
              <w:bottom w:val="single" w:color="auto" w:sz="4" w:space="0"/>
              <w:right w:val="single" w:color="auto" w:sz="4" w:space="0"/>
            </w:tcBorders>
            <w:vAlign w:val="center"/>
          </w:tcPr>
          <w:p w14:paraId="2E9E0DCD">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护理部主任/副主任护师</w:t>
            </w:r>
          </w:p>
        </w:tc>
        <w:tc>
          <w:tcPr>
            <w:tcW w:w="1538" w:type="dxa"/>
            <w:tcBorders>
              <w:top w:val="single" w:color="auto" w:sz="4" w:space="0"/>
              <w:left w:val="single" w:color="auto" w:sz="4" w:space="0"/>
              <w:bottom w:val="single" w:color="auto" w:sz="4" w:space="0"/>
              <w:right w:val="single" w:color="auto" w:sz="4" w:space="0"/>
            </w:tcBorders>
            <w:vAlign w:val="center"/>
          </w:tcPr>
          <w:p w14:paraId="1CB634A1">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护理学</w:t>
            </w:r>
          </w:p>
        </w:tc>
        <w:tc>
          <w:tcPr>
            <w:tcW w:w="2386" w:type="dxa"/>
            <w:tcBorders>
              <w:top w:val="single" w:color="auto" w:sz="4" w:space="0"/>
              <w:left w:val="single" w:color="auto" w:sz="4" w:space="0"/>
              <w:bottom w:val="single" w:color="auto" w:sz="4" w:space="0"/>
              <w:right w:val="single" w:color="auto" w:sz="4" w:space="0"/>
            </w:tcBorders>
            <w:vAlign w:val="center"/>
          </w:tcPr>
          <w:p w14:paraId="22BBBD28">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罗城仫佬族自治县中医医院</w:t>
            </w:r>
          </w:p>
        </w:tc>
        <w:tc>
          <w:tcPr>
            <w:tcW w:w="2948" w:type="dxa"/>
            <w:tcBorders>
              <w:top w:val="single" w:color="auto" w:sz="4" w:space="0"/>
              <w:left w:val="single" w:color="auto" w:sz="4" w:space="0"/>
              <w:bottom w:val="single" w:color="auto" w:sz="4" w:space="0"/>
              <w:right w:val="single" w:color="auto" w:sz="4" w:space="0"/>
            </w:tcBorders>
            <w:vAlign w:val="center"/>
          </w:tcPr>
          <w:p w14:paraId="5B8E1DFC">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对规范实施情况进行总结分析，不断对规范提出修正意见</w:t>
            </w:r>
          </w:p>
        </w:tc>
      </w:tr>
      <w:tr w14:paraId="6304D4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4DBB90FA">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覃少华</w:t>
            </w:r>
          </w:p>
        </w:tc>
        <w:tc>
          <w:tcPr>
            <w:tcW w:w="1583" w:type="dxa"/>
            <w:tcBorders>
              <w:top w:val="single" w:color="auto" w:sz="4" w:space="0"/>
              <w:left w:val="single" w:color="auto" w:sz="4" w:space="0"/>
              <w:bottom w:val="single" w:color="auto" w:sz="4" w:space="0"/>
              <w:right w:val="single" w:color="auto" w:sz="4" w:space="0"/>
            </w:tcBorders>
            <w:vAlign w:val="center"/>
          </w:tcPr>
          <w:p w14:paraId="3F0AFA9D">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中医经典病房护士长/副主任护师</w:t>
            </w:r>
          </w:p>
        </w:tc>
        <w:tc>
          <w:tcPr>
            <w:tcW w:w="1538" w:type="dxa"/>
            <w:tcBorders>
              <w:top w:val="single" w:color="auto" w:sz="4" w:space="0"/>
              <w:left w:val="single" w:color="auto" w:sz="4" w:space="0"/>
              <w:bottom w:val="single" w:color="auto" w:sz="4" w:space="0"/>
              <w:right w:val="single" w:color="auto" w:sz="4" w:space="0"/>
            </w:tcBorders>
            <w:vAlign w:val="center"/>
          </w:tcPr>
          <w:p w14:paraId="33B6D32D">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护理学</w:t>
            </w:r>
          </w:p>
        </w:tc>
        <w:tc>
          <w:tcPr>
            <w:tcW w:w="2386" w:type="dxa"/>
            <w:tcBorders>
              <w:top w:val="single" w:color="auto" w:sz="4" w:space="0"/>
              <w:left w:val="single" w:color="auto" w:sz="4" w:space="0"/>
              <w:bottom w:val="single" w:color="auto" w:sz="4" w:space="0"/>
              <w:right w:val="single" w:color="auto" w:sz="4" w:space="0"/>
            </w:tcBorders>
            <w:vAlign w:val="center"/>
          </w:tcPr>
          <w:p w14:paraId="43FFFDF4">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南宁市中医医院</w:t>
            </w:r>
          </w:p>
        </w:tc>
        <w:tc>
          <w:tcPr>
            <w:tcW w:w="2948" w:type="dxa"/>
            <w:tcBorders>
              <w:top w:val="single" w:color="auto" w:sz="4" w:space="0"/>
              <w:left w:val="single" w:color="auto" w:sz="4" w:space="0"/>
              <w:bottom w:val="single" w:color="auto" w:sz="4" w:space="0"/>
              <w:right w:val="single" w:color="auto" w:sz="4" w:space="0"/>
            </w:tcBorders>
            <w:vAlign w:val="center"/>
          </w:tcPr>
          <w:p w14:paraId="5E5F9887">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对规范实施情况进行总结分析，不断对规范提出修正意见</w:t>
            </w:r>
          </w:p>
        </w:tc>
      </w:tr>
      <w:tr w14:paraId="595339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3B4402AB">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雷艳霞</w:t>
            </w:r>
          </w:p>
        </w:tc>
        <w:tc>
          <w:tcPr>
            <w:tcW w:w="1583" w:type="dxa"/>
            <w:tcBorders>
              <w:top w:val="single" w:color="auto" w:sz="4" w:space="0"/>
              <w:left w:val="single" w:color="auto" w:sz="4" w:space="0"/>
              <w:bottom w:val="single" w:color="auto" w:sz="4" w:space="0"/>
              <w:right w:val="single" w:color="auto" w:sz="4" w:space="0"/>
            </w:tcBorders>
            <w:vAlign w:val="center"/>
          </w:tcPr>
          <w:p w14:paraId="05B0EEB5">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壮医康复科护士长/主管护师</w:t>
            </w:r>
          </w:p>
        </w:tc>
        <w:tc>
          <w:tcPr>
            <w:tcW w:w="1538" w:type="dxa"/>
            <w:tcBorders>
              <w:top w:val="single" w:color="auto" w:sz="4" w:space="0"/>
              <w:left w:val="single" w:color="auto" w:sz="4" w:space="0"/>
              <w:bottom w:val="single" w:color="auto" w:sz="4" w:space="0"/>
              <w:right w:val="single" w:color="auto" w:sz="4" w:space="0"/>
            </w:tcBorders>
            <w:vAlign w:val="center"/>
          </w:tcPr>
          <w:p w14:paraId="4C9837DA">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护理学</w:t>
            </w:r>
          </w:p>
        </w:tc>
        <w:tc>
          <w:tcPr>
            <w:tcW w:w="2386" w:type="dxa"/>
            <w:tcBorders>
              <w:top w:val="single" w:color="auto" w:sz="4" w:space="0"/>
              <w:left w:val="single" w:color="auto" w:sz="4" w:space="0"/>
              <w:bottom w:val="single" w:color="auto" w:sz="4" w:space="0"/>
              <w:right w:val="single" w:color="auto" w:sz="4" w:space="0"/>
            </w:tcBorders>
            <w:vAlign w:val="center"/>
          </w:tcPr>
          <w:p w14:paraId="579F3837">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龙州县中医医院</w:t>
            </w:r>
          </w:p>
        </w:tc>
        <w:tc>
          <w:tcPr>
            <w:tcW w:w="2948" w:type="dxa"/>
            <w:tcBorders>
              <w:top w:val="single" w:color="auto" w:sz="4" w:space="0"/>
              <w:left w:val="single" w:color="auto" w:sz="4" w:space="0"/>
              <w:bottom w:val="single" w:color="auto" w:sz="4" w:space="0"/>
              <w:right w:val="single" w:color="auto" w:sz="4" w:space="0"/>
            </w:tcBorders>
            <w:vAlign w:val="center"/>
          </w:tcPr>
          <w:p w14:paraId="47E23F06">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对规范实施情况进行总结分析，不断对规范提出修正意见</w:t>
            </w:r>
          </w:p>
        </w:tc>
      </w:tr>
      <w:tr w14:paraId="2E9672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2544F19C">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赵瑜珺</w:t>
            </w:r>
          </w:p>
        </w:tc>
        <w:tc>
          <w:tcPr>
            <w:tcW w:w="1583" w:type="dxa"/>
            <w:tcBorders>
              <w:top w:val="single" w:color="auto" w:sz="4" w:space="0"/>
              <w:left w:val="single" w:color="auto" w:sz="4" w:space="0"/>
              <w:bottom w:val="single" w:color="auto" w:sz="4" w:space="0"/>
              <w:right w:val="single" w:color="auto" w:sz="4" w:space="0"/>
            </w:tcBorders>
            <w:vAlign w:val="center"/>
          </w:tcPr>
          <w:p w14:paraId="00F3066D">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呼吸与危重症医学科护士长/主管护师</w:t>
            </w:r>
          </w:p>
        </w:tc>
        <w:tc>
          <w:tcPr>
            <w:tcW w:w="1538" w:type="dxa"/>
            <w:tcBorders>
              <w:top w:val="single" w:color="auto" w:sz="4" w:space="0"/>
              <w:left w:val="single" w:color="auto" w:sz="4" w:space="0"/>
              <w:bottom w:val="single" w:color="auto" w:sz="4" w:space="0"/>
              <w:right w:val="single" w:color="auto" w:sz="4" w:space="0"/>
            </w:tcBorders>
            <w:vAlign w:val="center"/>
          </w:tcPr>
          <w:p w14:paraId="6EDE9195">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护理学</w:t>
            </w:r>
          </w:p>
        </w:tc>
        <w:tc>
          <w:tcPr>
            <w:tcW w:w="2386" w:type="dxa"/>
            <w:tcBorders>
              <w:top w:val="single" w:color="auto" w:sz="4" w:space="0"/>
              <w:left w:val="single" w:color="auto" w:sz="4" w:space="0"/>
              <w:bottom w:val="single" w:color="auto" w:sz="4" w:space="0"/>
              <w:right w:val="single" w:color="auto" w:sz="4" w:space="0"/>
            </w:tcBorders>
            <w:vAlign w:val="center"/>
          </w:tcPr>
          <w:p w14:paraId="3B367A82">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柳州市中医医院（柳州市壮医医院）</w:t>
            </w:r>
          </w:p>
        </w:tc>
        <w:tc>
          <w:tcPr>
            <w:tcW w:w="2948" w:type="dxa"/>
            <w:tcBorders>
              <w:top w:val="single" w:color="auto" w:sz="4" w:space="0"/>
              <w:left w:val="single" w:color="auto" w:sz="4" w:space="0"/>
              <w:bottom w:val="single" w:color="auto" w:sz="4" w:space="0"/>
              <w:right w:val="single" w:color="auto" w:sz="4" w:space="0"/>
            </w:tcBorders>
            <w:vAlign w:val="center"/>
          </w:tcPr>
          <w:p w14:paraId="0F686BE8">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对规范实施情况进行总结分析，不断对规范提出修正意见</w:t>
            </w:r>
          </w:p>
        </w:tc>
      </w:tr>
      <w:tr w14:paraId="1C5E11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24484E10">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薛飞琴</w:t>
            </w:r>
          </w:p>
        </w:tc>
        <w:tc>
          <w:tcPr>
            <w:tcW w:w="1583" w:type="dxa"/>
            <w:tcBorders>
              <w:top w:val="single" w:color="auto" w:sz="4" w:space="0"/>
              <w:left w:val="single" w:color="auto" w:sz="4" w:space="0"/>
              <w:bottom w:val="single" w:color="auto" w:sz="4" w:space="0"/>
              <w:right w:val="single" w:color="auto" w:sz="4" w:space="0"/>
            </w:tcBorders>
            <w:vAlign w:val="center"/>
          </w:tcPr>
          <w:p w14:paraId="43B49450">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治未病科护士长/副主任护师</w:t>
            </w:r>
          </w:p>
        </w:tc>
        <w:tc>
          <w:tcPr>
            <w:tcW w:w="1538" w:type="dxa"/>
            <w:tcBorders>
              <w:top w:val="single" w:color="auto" w:sz="4" w:space="0"/>
              <w:left w:val="single" w:color="auto" w:sz="4" w:space="0"/>
              <w:bottom w:val="single" w:color="auto" w:sz="4" w:space="0"/>
              <w:right w:val="single" w:color="auto" w:sz="4" w:space="0"/>
            </w:tcBorders>
            <w:vAlign w:val="center"/>
          </w:tcPr>
          <w:p w14:paraId="2D472D2A">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护理学</w:t>
            </w:r>
          </w:p>
        </w:tc>
        <w:tc>
          <w:tcPr>
            <w:tcW w:w="2386" w:type="dxa"/>
            <w:tcBorders>
              <w:top w:val="single" w:color="auto" w:sz="4" w:space="0"/>
              <w:left w:val="single" w:color="auto" w:sz="4" w:space="0"/>
              <w:bottom w:val="single" w:color="auto" w:sz="4" w:space="0"/>
              <w:right w:val="single" w:color="auto" w:sz="4" w:space="0"/>
            </w:tcBorders>
            <w:vAlign w:val="center"/>
          </w:tcPr>
          <w:p w14:paraId="22AA2A5B">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贺州市中医医院</w:t>
            </w:r>
          </w:p>
        </w:tc>
        <w:tc>
          <w:tcPr>
            <w:tcW w:w="2948" w:type="dxa"/>
            <w:tcBorders>
              <w:top w:val="single" w:color="auto" w:sz="4" w:space="0"/>
              <w:left w:val="single" w:color="auto" w:sz="4" w:space="0"/>
              <w:bottom w:val="single" w:color="auto" w:sz="4" w:space="0"/>
              <w:right w:val="single" w:color="auto" w:sz="4" w:space="0"/>
            </w:tcBorders>
            <w:vAlign w:val="center"/>
          </w:tcPr>
          <w:p w14:paraId="7CBAC587">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对规范实施情况进行总结分析，不断对规范提出修正意见</w:t>
            </w:r>
          </w:p>
        </w:tc>
      </w:tr>
      <w:tr w14:paraId="4EBF5A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63A1B4F8">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黄慧</w:t>
            </w:r>
          </w:p>
        </w:tc>
        <w:tc>
          <w:tcPr>
            <w:tcW w:w="1583" w:type="dxa"/>
            <w:tcBorders>
              <w:top w:val="single" w:color="auto" w:sz="4" w:space="0"/>
              <w:left w:val="single" w:color="auto" w:sz="4" w:space="0"/>
              <w:bottom w:val="single" w:color="auto" w:sz="4" w:space="0"/>
              <w:right w:val="single" w:color="auto" w:sz="4" w:space="0"/>
            </w:tcBorders>
            <w:vAlign w:val="center"/>
          </w:tcPr>
          <w:p w14:paraId="6713E340">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护士长/主管护师</w:t>
            </w:r>
          </w:p>
        </w:tc>
        <w:tc>
          <w:tcPr>
            <w:tcW w:w="1538" w:type="dxa"/>
            <w:tcBorders>
              <w:top w:val="single" w:color="auto" w:sz="4" w:space="0"/>
              <w:left w:val="single" w:color="auto" w:sz="4" w:space="0"/>
              <w:bottom w:val="single" w:color="auto" w:sz="4" w:space="0"/>
              <w:right w:val="single" w:color="auto" w:sz="4" w:space="0"/>
            </w:tcBorders>
            <w:vAlign w:val="center"/>
          </w:tcPr>
          <w:p w14:paraId="6CB803C9">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护理学</w:t>
            </w:r>
          </w:p>
        </w:tc>
        <w:tc>
          <w:tcPr>
            <w:tcW w:w="2386" w:type="dxa"/>
            <w:tcBorders>
              <w:top w:val="single" w:color="auto" w:sz="4" w:space="0"/>
              <w:left w:val="single" w:color="auto" w:sz="4" w:space="0"/>
              <w:bottom w:val="single" w:color="auto" w:sz="4" w:space="0"/>
              <w:right w:val="single" w:color="auto" w:sz="4" w:space="0"/>
            </w:tcBorders>
            <w:vAlign w:val="center"/>
          </w:tcPr>
          <w:p w14:paraId="3CB0CB0B">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广西国际壮医医院</w:t>
            </w:r>
          </w:p>
        </w:tc>
        <w:tc>
          <w:tcPr>
            <w:tcW w:w="2948" w:type="dxa"/>
            <w:tcBorders>
              <w:top w:val="single" w:color="auto" w:sz="4" w:space="0"/>
              <w:left w:val="single" w:color="auto" w:sz="4" w:space="0"/>
              <w:bottom w:val="single" w:color="auto" w:sz="4" w:space="0"/>
              <w:right w:val="single" w:color="auto" w:sz="4" w:space="0"/>
            </w:tcBorders>
            <w:vAlign w:val="center"/>
          </w:tcPr>
          <w:p w14:paraId="69C54F22">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对规范实施情况进行总结分析，不断对规范提出修正意见</w:t>
            </w:r>
          </w:p>
        </w:tc>
      </w:tr>
      <w:tr w14:paraId="3D73C1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0DC6E08A">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夏韦</w:t>
            </w:r>
          </w:p>
        </w:tc>
        <w:tc>
          <w:tcPr>
            <w:tcW w:w="1583" w:type="dxa"/>
            <w:tcBorders>
              <w:top w:val="single" w:color="auto" w:sz="4" w:space="0"/>
              <w:left w:val="single" w:color="auto" w:sz="4" w:space="0"/>
              <w:bottom w:val="single" w:color="auto" w:sz="4" w:space="0"/>
              <w:right w:val="single" w:color="auto" w:sz="4" w:space="0"/>
            </w:tcBorders>
            <w:vAlign w:val="center"/>
          </w:tcPr>
          <w:p w14:paraId="51CACABC">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护士长/副主任护师</w:t>
            </w:r>
          </w:p>
        </w:tc>
        <w:tc>
          <w:tcPr>
            <w:tcW w:w="1538" w:type="dxa"/>
            <w:tcBorders>
              <w:top w:val="single" w:color="auto" w:sz="4" w:space="0"/>
              <w:left w:val="single" w:color="auto" w:sz="4" w:space="0"/>
              <w:bottom w:val="single" w:color="auto" w:sz="4" w:space="0"/>
              <w:right w:val="single" w:color="auto" w:sz="4" w:space="0"/>
            </w:tcBorders>
            <w:vAlign w:val="center"/>
          </w:tcPr>
          <w:p w14:paraId="6A5AF6A9">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护理学</w:t>
            </w:r>
          </w:p>
        </w:tc>
        <w:tc>
          <w:tcPr>
            <w:tcW w:w="2386" w:type="dxa"/>
            <w:tcBorders>
              <w:top w:val="single" w:color="auto" w:sz="4" w:space="0"/>
              <w:left w:val="single" w:color="auto" w:sz="4" w:space="0"/>
              <w:bottom w:val="single" w:color="auto" w:sz="4" w:space="0"/>
              <w:right w:val="single" w:color="auto" w:sz="4" w:space="0"/>
            </w:tcBorders>
            <w:vAlign w:val="center"/>
          </w:tcPr>
          <w:p w14:paraId="5F5184B0">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广西国际壮医医院</w:t>
            </w:r>
          </w:p>
        </w:tc>
        <w:tc>
          <w:tcPr>
            <w:tcW w:w="2948" w:type="dxa"/>
            <w:tcBorders>
              <w:top w:val="single" w:color="auto" w:sz="4" w:space="0"/>
              <w:left w:val="single" w:color="auto" w:sz="4" w:space="0"/>
              <w:bottom w:val="single" w:color="auto" w:sz="4" w:space="0"/>
              <w:right w:val="single" w:color="auto" w:sz="4" w:space="0"/>
            </w:tcBorders>
            <w:vAlign w:val="center"/>
          </w:tcPr>
          <w:p w14:paraId="6587AC3B">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对规范实施情况进行总结分析，不断对规范提出修正意见</w:t>
            </w:r>
          </w:p>
        </w:tc>
      </w:tr>
      <w:tr w14:paraId="301196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38AFE7DA">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谢婧</w:t>
            </w:r>
          </w:p>
        </w:tc>
        <w:tc>
          <w:tcPr>
            <w:tcW w:w="1583" w:type="dxa"/>
            <w:tcBorders>
              <w:top w:val="single" w:color="auto" w:sz="4" w:space="0"/>
              <w:left w:val="single" w:color="auto" w:sz="4" w:space="0"/>
              <w:bottom w:val="single" w:color="auto" w:sz="4" w:space="0"/>
              <w:right w:val="single" w:color="auto" w:sz="4" w:space="0"/>
            </w:tcBorders>
            <w:vAlign w:val="center"/>
          </w:tcPr>
          <w:p w14:paraId="67052371">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副主任护师</w:t>
            </w:r>
          </w:p>
        </w:tc>
        <w:tc>
          <w:tcPr>
            <w:tcW w:w="1538" w:type="dxa"/>
            <w:tcBorders>
              <w:top w:val="single" w:color="auto" w:sz="4" w:space="0"/>
              <w:left w:val="single" w:color="auto" w:sz="4" w:space="0"/>
              <w:bottom w:val="single" w:color="auto" w:sz="4" w:space="0"/>
              <w:right w:val="single" w:color="auto" w:sz="4" w:space="0"/>
            </w:tcBorders>
            <w:vAlign w:val="center"/>
          </w:tcPr>
          <w:p w14:paraId="7EC27AF1">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护理学</w:t>
            </w:r>
          </w:p>
        </w:tc>
        <w:tc>
          <w:tcPr>
            <w:tcW w:w="2386" w:type="dxa"/>
            <w:tcBorders>
              <w:top w:val="single" w:color="auto" w:sz="4" w:space="0"/>
              <w:left w:val="single" w:color="auto" w:sz="4" w:space="0"/>
              <w:bottom w:val="single" w:color="auto" w:sz="4" w:space="0"/>
              <w:right w:val="single" w:color="auto" w:sz="4" w:space="0"/>
            </w:tcBorders>
            <w:vAlign w:val="center"/>
          </w:tcPr>
          <w:p w14:paraId="04EBE840">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广西国际壮医医院</w:t>
            </w:r>
          </w:p>
        </w:tc>
        <w:tc>
          <w:tcPr>
            <w:tcW w:w="2948" w:type="dxa"/>
            <w:tcBorders>
              <w:top w:val="single" w:color="auto" w:sz="4" w:space="0"/>
              <w:left w:val="single" w:color="auto" w:sz="4" w:space="0"/>
              <w:bottom w:val="single" w:color="auto" w:sz="4" w:space="0"/>
              <w:right w:val="single" w:color="auto" w:sz="4" w:space="0"/>
            </w:tcBorders>
            <w:vAlign w:val="center"/>
          </w:tcPr>
          <w:p w14:paraId="3531341C">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对规范实施情况进行总结分析，不断对规范提出修正意见</w:t>
            </w:r>
          </w:p>
        </w:tc>
      </w:tr>
      <w:tr w14:paraId="7C86A7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6A4D9150">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黄秀银</w:t>
            </w:r>
          </w:p>
        </w:tc>
        <w:tc>
          <w:tcPr>
            <w:tcW w:w="1583" w:type="dxa"/>
            <w:tcBorders>
              <w:top w:val="single" w:color="auto" w:sz="4" w:space="0"/>
              <w:left w:val="single" w:color="auto" w:sz="4" w:space="0"/>
              <w:bottom w:val="single" w:color="auto" w:sz="4" w:space="0"/>
              <w:right w:val="single" w:color="auto" w:sz="4" w:space="0"/>
            </w:tcBorders>
            <w:vAlign w:val="center"/>
          </w:tcPr>
          <w:p w14:paraId="5C6CD472">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壮医科护士长/主管护师</w:t>
            </w:r>
          </w:p>
        </w:tc>
        <w:tc>
          <w:tcPr>
            <w:tcW w:w="1538" w:type="dxa"/>
            <w:tcBorders>
              <w:top w:val="single" w:color="auto" w:sz="4" w:space="0"/>
              <w:left w:val="single" w:color="auto" w:sz="4" w:space="0"/>
              <w:bottom w:val="single" w:color="auto" w:sz="4" w:space="0"/>
              <w:right w:val="single" w:color="auto" w:sz="4" w:space="0"/>
            </w:tcBorders>
            <w:vAlign w:val="center"/>
          </w:tcPr>
          <w:p w14:paraId="727CB6B0">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护理学</w:t>
            </w:r>
          </w:p>
        </w:tc>
        <w:tc>
          <w:tcPr>
            <w:tcW w:w="2386" w:type="dxa"/>
            <w:tcBorders>
              <w:top w:val="single" w:color="auto" w:sz="4" w:space="0"/>
              <w:left w:val="single" w:color="auto" w:sz="4" w:space="0"/>
              <w:bottom w:val="single" w:color="auto" w:sz="4" w:space="0"/>
              <w:right w:val="single" w:color="auto" w:sz="4" w:space="0"/>
            </w:tcBorders>
            <w:vAlign w:val="center"/>
          </w:tcPr>
          <w:p w14:paraId="44B1088D">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田东县中医医院</w:t>
            </w:r>
          </w:p>
        </w:tc>
        <w:tc>
          <w:tcPr>
            <w:tcW w:w="2948" w:type="dxa"/>
            <w:tcBorders>
              <w:top w:val="single" w:color="auto" w:sz="4" w:space="0"/>
              <w:left w:val="single" w:color="auto" w:sz="4" w:space="0"/>
              <w:bottom w:val="single" w:color="auto" w:sz="4" w:space="0"/>
              <w:right w:val="single" w:color="auto" w:sz="4" w:space="0"/>
            </w:tcBorders>
            <w:vAlign w:val="center"/>
          </w:tcPr>
          <w:p w14:paraId="6DF4A4B6">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对规范实施情况进行总结分析，不断对规范提出修正意见</w:t>
            </w:r>
          </w:p>
        </w:tc>
      </w:tr>
      <w:tr w14:paraId="307C35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2ED409F9">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陈清</w:t>
            </w:r>
          </w:p>
        </w:tc>
        <w:tc>
          <w:tcPr>
            <w:tcW w:w="1583" w:type="dxa"/>
            <w:tcBorders>
              <w:top w:val="single" w:color="auto" w:sz="4" w:space="0"/>
              <w:left w:val="single" w:color="auto" w:sz="4" w:space="0"/>
              <w:bottom w:val="single" w:color="auto" w:sz="4" w:space="0"/>
              <w:right w:val="single" w:color="auto" w:sz="4" w:space="0"/>
            </w:tcBorders>
            <w:vAlign w:val="center"/>
          </w:tcPr>
          <w:p w14:paraId="277E96C2">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针灸科护士长/副主任护师</w:t>
            </w:r>
          </w:p>
        </w:tc>
        <w:tc>
          <w:tcPr>
            <w:tcW w:w="1538" w:type="dxa"/>
            <w:tcBorders>
              <w:top w:val="single" w:color="auto" w:sz="4" w:space="0"/>
              <w:left w:val="single" w:color="auto" w:sz="4" w:space="0"/>
              <w:bottom w:val="single" w:color="auto" w:sz="4" w:space="0"/>
              <w:right w:val="single" w:color="auto" w:sz="4" w:space="0"/>
            </w:tcBorders>
            <w:vAlign w:val="center"/>
          </w:tcPr>
          <w:p w14:paraId="4C167DD9">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护理学</w:t>
            </w:r>
          </w:p>
        </w:tc>
        <w:tc>
          <w:tcPr>
            <w:tcW w:w="2386" w:type="dxa"/>
            <w:tcBorders>
              <w:top w:val="single" w:color="auto" w:sz="4" w:space="0"/>
              <w:left w:val="single" w:color="auto" w:sz="4" w:space="0"/>
              <w:bottom w:val="single" w:color="auto" w:sz="4" w:space="0"/>
              <w:right w:val="single" w:color="auto" w:sz="4" w:space="0"/>
            </w:tcBorders>
            <w:vAlign w:val="center"/>
          </w:tcPr>
          <w:p w14:paraId="4C6B2B20">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贵港市中医医院</w:t>
            </w:r>
          </w:p>
        </w:tc>
        <w:tc>
          <w:tcPr>
            <w:tcW w:w="2948" w:type="dxa"/>
            <w:tcBorders>
              <w:top w:val="single" w:color="auto" w:sz="4" w:space="0"/>
              <w:left w:val="single" w:color="auto" w:sz="4" w:space="0"/>
              <w:bottom w:val="single" w:color="auto" w:sz="4" w:space="0"/>
              <w:right w:val="single" w:color="auto" w:sz="4" w:space="0"/>
            </w:tcBorders>
            <w:vAlign w:val="center"/>
          </w:tcPr>
          <w:p w14:paraId="024FE474">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对规范实施情况进行总结分析，不断对规范提出修正意见</w:t>
            </w:r>
          </w:p>
        </w:tc>
      </w:tr>
      <w:tr w14:paraId="28E5F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4502BA73">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农芳叶</w:t>
            </w:r>
          </w:p>
        </w:tc>
        <w:tc>
          <w:tcPr>
            <w:tcW w:w="1583" w:type="dxa"/>
            <w:tcBorders>
              <w:top w:val="single" w:color="auto" w:sz="4" w:space="0"/>
              <w:left w:val="single" w:color="auto" w:sz="4" w:space="0"/>
              <w:bottom w:val="single" w:color="auto" w:sz="4" w:space="0"/>
              <w:right w:val="single" w:color="auto" w:sz="4" w:space="0"/>
            </w:tcBorders>
            <w:vAlign w:val="center"/>
          </w:tcPr>
          <w:p w14:paraId="168CBA88">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壮医科副护士长/护师</w:t>
            </w:r>
          </w:p>
        </w:tc>
        <w:tc>
          <w:tcPr>
            <w:tcW w:w="1538" w:type="dxa"/>
            <w:tcBorders>
              <w:top w:val="single" w:color="auto" w:sz="4" w:space="0"/>
              <w:left w:val="single" w:color="auto" w:sz="4" w:space="0"/>
              <w:bottom w:val="single" w:color="auto" w:sz="4" w:space="0"/>
              <w:right w:val="single" w:color="auto" w:sz="4" w:space="0"/>
            </w:tcBorders>
            <w:vAlign w:val="center"/>
          </w:tcPr>
          <w:p w14:paraId="740FEB88">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护理学</w:t>
            </w:r>
          </w:p>
        </w:tc>
        <w:tc>
          <w:tcPr>
            <w:tcW w:w="2386" w:type="dxa"/>
            <w:tcBorders>
              <w:top w:val="single" w:color="auto" w:sz="4" w:space="0"/>
              <w:left w:val="single" w:color="auto" w:sz="4" w:space="0"/>
              <w:bottom w:val="single" w:color="auto" w:sz="4" w:space="0"/>
              <w:right w:val="single" w:color="auto" w:sz="4" w:space="0"/>
            </w:tcBorders>
            <w:vAlign w:val="center"/>
          </w:tcPr>
          <w:p w14:paraId="230F2602">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崇左市中医壮医医院</w:t>
            </w:r>
          </w:p>
        </w:tc>
        <w:tc>
          <w:tcPr>
            <w:tcW w:w="2948" w:type="dxa"/>
            <w:tcBorders>
              <w:top w:val="single" w:color="auto" w:sz="4" w:space="0"/>
              <w:left w:val="single" w:color="auto" w:sz="4" w:space="0"/>
              <w:bottom w:val="single" w:color="auto" w:sz="4" w:space="0"/>
              <w:right w:val="single" w:color="auto" w:sz="4" w:space="0"/>
            </w:tcBorders>
            <w:vAlign w:val="center"/>
          </w:tcPr>
          <w:p w14:paraId="295FBC57">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对规范实施情况进行总结分析，不断对规范提出修正意见</w:t>
            </w:r>
          </w:p>
        </w:tc>
      </w:tr>
      <w:tr w14:paraId="47E762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007F5A79">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覃丽丽</w:t>
            </w:r>
          </w:p>
        </w:tc>
        <w:tc>
          <w:tcPr>
            <w:tcW w:w="1583" w:type="dxa"/>
            <w:tcBorders>
              <w:top w:val="single" w:color="auto" w:sz="4" w:space="0"/>
              <w:left w:val="single" w:color="auto" w:sz="4" w:space="0"/>
              <w:bottom w:val="single" w:color="auto" w:sz="4" w:space="0"/>
              <w:right w:val="single" w:color="auto" w:sz="4" w:space="0"/>
            </w:tcBorders>
            <w:vAlign w:val="center"/>
          </w:tcPr>
          <w:p w14:paraId="0E970D8F">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壮医科护士长/主管护师</w:t>
            </w:r>
          </w:p>
        </w:tc>
        <w:tc>
          <w:tcPr>
            <w:tcW w:w="1538" w:type="dxa"/>
            <w:tcBorders>
              <w:top w:val="single" w:color="auto" w:sz="4" w:space="0"/>
              <w:left w:val="single" w:color="auto" w:sz="4" w:space="0"/>
              <w:bottom w:val="single" w:color="auto" w:sz="4" w:space="0"/>
              <w:right w:val="single" w:color="auto" w:sz="4" w:space="0"/>
            </w:tcBorders>
            <w:vAlign w:val="center"/>
          </w:tcPr>
          <w:p w14:paraId="3EE8E3DA">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护理学</w:t>
            </w:r>
          </w:p>
        </w:tc>
        <w:tc>
          <w:tcPr>
            <w:tcW w:w="2386" w:type="dxa"/>
            <w:tcBorders>
              <w:top w:val="single" w:color="auto" w:sz="4" w:space="0"/>
              <w:left w:val="single" w:color="auto" w:sz="4" w:space="0"/>
              <w:bottom w:val="single" w:color="auto" w:sz="4" w:space="0"/>
              <w:right w:val="single" w:color="auto" w:sz="4" w:space="0"/>
            </w:tcBorders>
            <w:vAlign w:val="center"/>
          </w:tcPr>
          <w:p w14:paraId="66FA893E">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武鸣区中医(壮医)医院</w:t>
            </w:r>
          </w:p>
        </w:tc>
        <w:tc>
          <w:tcPr>
            <w:tcW w:w="2948" w:type="dxa"/>
            <w:tcBorders>
              <w:top w:val="single" w:color="auto" w:sz="4" w:space="0"/>
              <w:left w:val="single" w:color="auto" w:sz="4" w:space="0"/>
              <w:bottom w:val="single" w:color="auto" w:sz="4" w:space="0"/>
              <w:right w:val="single" w:color="auto" w:sz="4" w:space="0"/>
            </w:tcBorders>
            <w:vAlign w:val="center"/>
          </w:tcPr>
          <w:p w14:paraId="450793DB">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对规范实施情况进行总结分析，不断对规范提出修正意见</w:t>
            </w:r>
          </w:p>
        </w:tc>
      </w:tr>
      <w:tr w14:paraId="4019DC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6B5C1EB4">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刘雪梅</w:t>
            </w:r>
          </w:p>
        </w:tc>
        <w:tc>
          <w:tcPr>
            <w:tcW w:w="1583" w:type="dxa"/>
            <w:tcBorders>
              <w:top w:val="single" w:color="auto" w:sz="4" w:space="0"/>
              <w:left w:val="single" w:color="auto" w:sz="4" w:space="0"/>
              <w:bottom w:val="single" w:color="auto" w:sz="4" w:space="0"/>
              <w:right w:val="single" w:color="auto" w:sz="4" w:space="0"/>
            </w:tcBorders>
            <w:vAlign w:val="center"/>
          </w:tcPr>
          <w:p w14:paraId="10855D6F">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中医康复科护士长/副主任护师</w:t>
            </w:r>
          </w:p>
        </w:tc>
        <w:tc>
          <w:tcPr>
            <w:tcW w:w="1538" w:type="dxa"/>
            <w:tcBorders>
              <w:top w:val="single" w:color="auto" w:sz="4" w:space="0"/>
              <w:left w:val="single" w:color="auto" w:sz="4" w:space="0"/>
              <w:bottom w:val="single" w:color="auto" w:sz="4" w:space="0"/>
              <w:right w:val="single" w:color="auto" w:sz="4" w:space="0"/>
            </w:tcBorders>
            <w:vAlign w:val="center"/>
          </w:tcPr>
          <w:p w14:paraId="39595402">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护理学</w:t>
            </w:r>
          </w:p>
        </w:tc>
        <w:tc>
          <w:tcPr>
            <w:tcW w:w="2386" w:type="dxa"/>
            <w:tcBorders>
              <w:top w:val="single" w:color="auto" w:sz="4" w:space="0"/>
              <w:left w:val="single" w:color="auto" w:sz="4" w:space="0"/>
              <w:bottom w:val="single" w:color="auto" w:sz="4" w:space="0"/>
              <w:right w:val="single" w:color="auto" w:sz="4" w:space="0"/>
            </w:tcBorders>
            <w:vAlign w:val="center"/>
          </w:tcPr>
          <w:p w14:paraId="3F855F63">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广东省中山市广济医院</w:t>
            </w:r>
          </w:p>
        </w:tc>
        <w:tc>
          <w:tcPr>
            <w:tcW w:w="2948" w:type="dxa"/>
            <w:tcBorders>
              <w:top w:val="single" w:color="auto" w:sz="4" w:space="0"/>
              <w:left w:val="single" w:color="auto" w:sz="4" w:space="0"/>
              <w:bottom w:val="single" w:color="auto" w:sz="4" w:space="0"/>
              <w:right w:val="single" w:color="auto" w:sz="4" w:space="0"/>
            </w:tcBorders>
            <w:vAlign w:val="center"/>
          </w:tcPr>
          <w:p w14:paraId="32CA98BA">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对规范实施情况进行总结分析，不断对规范提出修正意见</w:t>
            </w:r>
          </w:p>
        </w:tc>
      </w:tr>
      <w:tr w14:paraId="60AA8E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0142D9CA">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何凤心</w:t>
            </w:r>
          </w:p>
        </w:tc>
        <w:tc>
          <w:tcPr>
            <w:tcW w:w="1583" w:type="dxa"/>
            <w:tcBorders>
              <w:top w:val="single" w:color="auto" w:sz="4" w:space="0"/>
              <w:left w:val="single" w:color="auto" w:sz="4" w:space="0"/>
              <w:bottom w:val="single" w:color="auto" w:sz="4" w:space="0"/>
              <w:right w:val="single" w:color="auto" w:sz="4" w:space="0"/>
            </w:tcBorders>
            <w:vAlign w:val="center"/>
          </w:tcPr>
          <w:p w14:paraId="2E016A46">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壮医学科护士长/护师</w:t>
            </w:r>
          </w:p>
        </w:tc>
        <w:tc>
          <w:tcPr>
            <w:tcW w:w="1538" w:type="dxa"/>
            <w:tcBorders>
              <w:top w:val="single" w:color="auto" w:sz="4" w:space="0"/>
              <w:left w:val="single" w:color="auto" w:sz="4" w:space="0"/>
              <w:bottom w:val="single" w:color="auto" w:sz="4" w:space="0"/>
              <w:right w:val="single" w:color="auto" w:sz="4" w:space="0"/>
            </w:tcBorders>
            <w:vAlign w:val="center"/>
          </w:tcPr>
          <w:p w14:paraId="14F598FB">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护理学</w:t>
            </w:r>
          </w:p>
        </w:tc>
        <w:tc>
          <w:tcPr>
            <w:tcW w:w="2386" w:type="dxa"/>
            <w:tcBorders>
              <w:top w:val="single" w:color="auto" w:sz="4" w:space="0"/>
              <w:left w:val="single" w:color="auto" w:sz="4" w:space="0"/>
              <w:bottom w:val="single" w:color="auto" w:sz="4" w:space="0"/>
              <w:right w:val="single" w:color="auto" w:sz="4" w:space="0"/>
            </w:tcBorders>
            <w:vAlign w:val="center"/>
          </w:tcPr>
          <w:p w14:paraId="5B700CCB">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百色市中医医院</w:t>
            </w:r>
          </w:p>
        </w:tc>
        <w:tc>
          <w:tcPr>
            <w:tcW w:w="2948" w:type="dxa"/>
            <w:tcBorders>
              <w:top w:val="single" w:color="auto" w:sz="4" w:space="0"/>
              <w:left w:val="single" w:color="auto" w:sz="4" w:space="0"/>
              <w:bottom w:val="single" w:color="auto" w:sz="4" w:space="0"/>
              <w:right w:val="single" w:color="auto" w:sz="4" w:space="0"/>
            </w:tcBorders>
            <w:vAlign w:val="center"/>
          </w:tcPr>
          <w:p w14:paraId="20840730">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对规范实施情况进行总结分析，不断对规范提出修正意见</w:t>
            </w:r>
          </w:p>
        </w:tc>
      </w:tr>
      <w:tr w14:paraId="1E02E4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1696C200">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宾彩琴</w:t>
            </w:r>
          </w:p>
        </w:tc>
        <w:tc>
          <w:tcPr>
            <w:tcW w:w="1583" w:type="dxa"/>
            <w:tcBorders>
              <w:top w:val="single" w:color="auto" w:sz="4" w:space="0"/>
              <w:left w:val="single" w:color="auto" w:sz="4" w:space="0"/>
              <w:bottom w:val="single" w:color="auto" w:sz="4" w:space="0"/>
              <w:right w:val="single" w:color="auto" w:sz="4" w:space="0"/>
            </w:tcBorders>
            <w:vAlign w:val="center"/>
          </w:tcPr>
          <w:p w14:paraId="0E495D00">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护师</w:t>
            </w:r>
          </w:p>
        </w:tc>
        <w:tc>
          <w:tcPr>
            <w:tcW w:w="1538" w:type="dxa"/>
            <w:tcBorders>
              <w:top w:val="single" w:color="auto" w:sz="4" w:space="0"/>
              <w:left w:val="single" w:color="auto" w:sz="4" w:space="0"/>
              <w:bottom w:val="single" w:color="auto" w:sz="4" w:space="0"/>
              <w:right w:val="single" w:color="auto" w:sz="4" w:space="0"/>
            </w:tcBorders>
            <w:vAlign w:val="center"/>
          </w:tcPr>
          <w:p w14:paraId="20866E8E">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护理学</w:t>
            </w:r>
          </w:p>
        </w:tc>
        <w:tc>
          <w:tcPr>
            <w:tcW w:w="2386" w:type="dxa"/>
            <w:tcBorders>
              <w:top w:val="single" w:color="auto" w:sz="4" w:space="0"/>
              <w:left w:val="single" w:color="auto" w:sz="4" w:space="0"/>
              <w:bottom w:val="single" w:color="auto" w:sz="4" w:space="0"/>
              <w:right w:val="single" w:color="auto" w:sz="4" w:space="0"/>
            </w:tcBorders>
            <w:vAlign w:val="center"/>
          </w:tcPr>
          <w:p w14:paraId="6368102C">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广西国际壮医医院</w:t>
            </w:r>
          </w:p>
        </w:tc>
        <w:tc>
          <w:tcPr>
            <w:tcW w:w="2948" w:type="dxa"/>
            <w:tcBorders>
              <w:top w:val="single" w:color="auto" w:sz="4" w:space="0"/>
              <w:left w:val="single" w:color="auto" w:sz="4" w:space="0"/>
              <w:bottom w:val="single" w:color="auto" w:sz="4" w:space="0"/>
              <w:right w:val="single" w:color="auto" w:sz="4" w:space="0"/>
            </w:tcBorders>
            <w:vAlign w:val="center"/>
          </w:tcPr>
          <w:p w14:paraId="7DDA7208">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对规范实施情况进行总结分析，不断对规范提出修正意见</w:t>
            </w:r>
          </w:p>
        </w:tc>
      </w:tr>
      <w:tr w14:paraId="331014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7EEE3846">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唐婵娟</w:t>
            </w:r>
          </w:p>
        </w:tc>
        <w:tc>
          <w:tcPr>
            <w:tcW w:w="1583" w:type="dxa"/>
            <w:tcBorders>
              <w:top w:val="single" w:color="auto" w:sz="4" w:space="0"/>
              <w:left w:val="single" w:color="auto" w:sz="4" w:space="0"/>
              <w:bottom w:val="single" w:color="auto" w:sz="4" w:space="0"/>
              <w:right w:val="single" w:color="auto" w:sz="4" w:space="0"/>
            </w:tcBorders>
            <w:vAlign w:val="center"/>
          </w:tcPr>
          <w:p w14:paraId="3A4EC48F">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主管护师</w:t>
            </w:r>
          </w:p>
        </w:tc>
        <w:tc>
          <w:tcPr>
            <w:tcW w:w="1538" w:type="dxa"/>
            <w:tcBorders>
              <w:top w:val="single" w:color="auto" w:sz="4" w:space="0"/>
              <w:left w:val="single" w:color="auto" w:sz="4" w:space="0"/>
              <w:bottom w:val="single" w:color="auto" w:sz="4" w:space="0"/>
              <w:right w:val="single" w:color="auto" w:sz="4" w:space="0"/>
            </w:tcBorders>
            <w:vAlign w:val="center"/>
          </w:tcPr>
          <w:p w14:paraId="29D8235A">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护理学</w:t>
            </w:r>
          </w:p>
        </w:tc>
        <w:tc>
          <w:tcPr>
            <w:tcW w:w="2386" w:type="dxa"/>
            <w:tcBorders>
              <w:top w:val="single" w:color="auto" w:sz="4" w:space="0"/>
              <w:left w:val="single" w:color="auto" w:sz="4" w:space="0"/>
              <w:bottom w:val="single" w:color="auto" w:sz="4" w:space="0"/>
              <w:right w:val="single" w:color="auto" w:sz="4" w:space="0"/>
            </w:tcBorders>
            <w:vAlign w:val="center"/>
          </w:tcPr>
          <w:p w14:paraId="19AA2F9F">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广西国际壮医医院</w:t>
            </w:r>
          </w:p>
        </w:tc>
        <w:tc>
          <w:tcPr>
            <w:tcW w:w="2948" w:type="dxa"/>
            <w:tcBorders>
              <w:top w:val="single" w:color="auto" w:sz="4" w:space="0"/>
              <w:left w:val="single" w:color="auto" w:sz="4" w:space="0"/>
              <w:bottom w:val="single" w:color="auto" w:sz="4" w:space="0"/>
              <w:right w:val="single" w:color="auto" w:sz="4" w:space="0"/>
            </w:tcBorders>
            <w:vAlign w:val="center"/>
          </w:tcPr>
          <w:p w14:paraId="4CFCCD02">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kern w:val="2"/>
                <w:sz w:val="24"/>
                <w:szCs w:val="24"/>
                <w:highlight w:val="none"/>
                <w:lang w:val="en-US" w:eastAsia="zh-CN" w:bidi="ar"/>
              </w:rPr>
            </w:pPr>
            <w:r>
              <w:rPr>
                <w:rFonts w:hint="eastAsia" w:ascii="仿宋_GB2312" w:hAnsi="仿宋_GB2312" w:eastAsia="仿宋_GB2312" w:cs="仿宋_GB2312"/>
                <w:color w:val="auto"/>
                <w:kern w:val="2"/>
                <w:sz w:val="24"/>
                <w:szCs w:val="24"/>
                <w:highlight w:val="none"/>
                <w:lang w:val="en-US" w:eastAsia="zh-CN" w:bidi="ar"/>
              </w:rPr>
              <w:t>对规范实施情况进行总结分析，不断对规范提出修正意见</w:t>
            </w:r>
          </w:p>
        </w:tc>
      </w:tr>
    </w:tbl>
    <w:p w14:paraId="13B0720D">
      <w:pPr>
        <w:spacing w:line="520" w:lineRule="exact"/>
        <w:ind w:firstLine="640" w:firstLineChars="200"/>
        <w:outlineLvl w:val="0"/>
        <w:rPr>
          <w:rFonts w:ascii="黑体" w:eastAsia="黑体" w:cs="仿宋_GB2312"/>
          <w:color w:val="auto"/>
          <w:sz w:val="32"/>
          <w:szCs w:val="32"/>
          <w:highlight w:val="none"/>
        </w:rPr>
      </w:pPr>
      <w:r>
        <w:rPr>
          <w:rFonts w:hint="eastAsia" w:ascii="黑体" w:eastAsia="黑体" w:cs="仿宋_GB2312"/>
          <w:color w:val="auto"/>
          <w:sz w:val="32"/>
          <w:szCs w:val="32"/>
          <w:highlight w:val="none"/>
        </w:rPr>
        <w:t>二、制定标准的必要性和意义</w:t>
      </w:r>
    </w:p>
    <w:p w14:paraId="6DC0362E">
      <w:pPr>
        <w:suppressAutoHyphens/>
        <w:spacing w:line="560" w:lineRule="exact"/>
        <w:ind w:firstLine="560" w:firstLineChars="200"/>
        <w:rPr>
          <w:rFonts w:hint="eastAsia" w:ascii="仿宋_GB2312" w:hAnsi="仿宋_GB2312" w:eastAsia="仿宋_GB2312" w:cs="仿宋_GB2312"/>
          <w:color w:val="auto"/>
          <w:sz w:val="28"/>
          <w:szCs w:val="28"/>
          <w:highlight w:val="none"/>
          <w:lang w:eastAsia="zh-CN"/>
        </w:rPr>
      </w:pPr>
      <w:r>
        <w:rPr>
          <w:rFonts w:hint="eastAsia" w:ascii="仿宋_GB2312" w:hAnsi="仿宋_GB2312" w:eastAsia="仿宋_GB2312" w:cs="仿宋_GB2312"/>
          <w:color w:val="auto"/>
          <w:sz w:val="28"/>
          <w:szCs w:val="28"/>
          <w:highlight w:val="none"/>
          <w:lang w:eastAsia="zh-CN"/>
        </w:rPr>
        <w:t>睡眠障碍（失眠）是最常见的睡眠-觉醒障碍之一，已成为一个重要的公共卫生问题。流行病学数据显示，我国成年人失眠患病率约为15%，部分大城市居民失眠患病率高达20%-30%，且呈逐年上升趋势。长期失眠显著增加焦虑、抑郁、认知功能下降及心脑血管疾病的风险。从现代医学视角看，其病因涉及生理、心理、社会环境等多方面，形成复杂的病理网络。因此，探索多元化、特别是具有民族特色的非药物干预方案，对于满足巨大的临床需求、补充现有治疗手段的不足具有重要意义。</w:t>
      </w:r>
    </w:p>
    <w:p w14:paraId="6ADF57BC">
      <w:pPr>
        <w:suppressAutoHyphens/>
        <w:spacing w:line="560" w:lineRule="exact"/>
        <w:ind w:firstLine="560" w:firstLineChars="200"/>
        <w:rPr>
          <w:rFonts w:hint="eastAsia" w:ascii="仿宋_GB2312" w:hAnsi="仿宋_GB2312" w:eastAsia="仿宋_GB2312" w:cs="仿宋_GB2312"/>
          <w:color w:val="auto"/>
          <w:sz w:val="28"/>
          <w:szCs w:val="28"/>
          <w:highlight w:val="none"/>
          <w:lang w:eastAsia="zh-CN"/>
        </w:rPr>
      </w:pPr>
      <w:r>
        <w:rPr>
          <w:rFonts w:hint="eastAsia" w:ascii="仿宋_GB2312" w:hAnsi="仿宋_GB2312" w:eastAsia="仿宋_GB2312" w:cs="仿宋_GB2312"/>
          <w:color w:val="auto"/>
          <w:sz w:val="28"/>
          <w:szCs w:val="28"/>
          <w:highlight w:val="none"/>
          <w:lang w:eastAsia="zh-CN"/>
        </w:rPr>
        <w:t>年闹诺（睡眠障碍）是壮医“巧尹”（脑病）范畴中的常见病证，壮语称为“Ninznauhndaek”。其发病主要源于人体天地人三气同步失调，龙路、火路运行不畅，毒邪内扰心神所致。根据壮医理论，人体内三部之气需同步运行、制约化生，方能维持健康。天气主降，地气主升，人气主和，只有升降适宜、中和涵养，才能气血调和、阴阳平衡、脏腑自安。年闹诺的核心病机在于“气道”、“谷道”、“水道”三道壅滞，以及“龙路”（血脉）、“火路”（神经）两路受阻，导致“巧坞”（大脑）失养、心神不宁，最终造成天地人三气不能同步而致病。年闹诺的发生与情志过激、劳逸失调关系密切。在病理演变中，若失于调治，可进一步影响谷道受纳、水道运化，导致气血生化不足，形成虚实夹杂的复杂局面。因此，应及早运用壮医“调气、解毒、补虚”的核心治则进行干预。</w:t>
      </w:r>
    </w:p>
    <w:p w14:paraId="22ABE297">
      <w:pPr>
        <w:suppressAutoHyphens/>
        <w:spacing w:line="560" w:lineRule="exact"/>
        <w:ind w:firstLine="560" w:firstLineChars="200"/>
        <w:rPr>
          <w:rFonts w:hint="eastAsia" w:ascii="仿宋_GB2312" w:hAnsi="仿宋_GB2312" w:eastAsia="仿宋_GB2312" w:cs="仿宋_GB2312"/>
          <w:color w:val="auto"/>
          <w:sz w:val="28"/>
          <w:szCs w:val="28"/>
          <w:highlight w:val="none"/>
          <w:lang w:eastAsia="zh-CN"/>
        </w:rPr>
      </w:pPr>
      <w:r>
        <w:rPr>
          <w:rFonts w:hint="eastAsia" w:ascii="仿宋_GB2312" w:hAnsi="仿宋_GB2312" w:eastAsia="仿宋_GB2312" w:cs="仿宋_GB2312"/>
          <w:color w:val="auto"/>
          <w:sz w:val="28"/>
          <w:szCs w:val="28"/>
          <w:highlight w:val="none"/>
          <w:lang w:eastAsia="zh-CN"/>
        </w:rPr>
        <w:t>在临床表现方面，年闹诺不仅表现为“夜不能寐，或寐而不酣，时寐时醒，或醒后不能再寐，或彻夜不寐”等核心症状，还常兼见头晕头痛、心悸烦躁、健忘等“巧坞”功能失常之象。在证候分型上，分为阴证与阳证两大类。其中，阴证涵盖瘀毒型、气血虚型、气郁型及肾虚型；阳证则包括湿热型与痰热型。各证候在症状、舌脉、目诊“勒答”及甲诊上均有其特征性表现。</w:t>
      </w:r>
    </w:p>
    <w:p w14:paraId="06F50ED6">
      <w:pPr>
        <w:suppressAutoHyphens/>
        <w:spacing w:line="560" w:lineRule="exact"/>
        <w:ind w:firstLine="560" w:firstLineChars="200"/>
        <w:rPr>
          <w:rFonts w:hint="eastAsia" w:ascii="仿宋_GB2312" w:hAnsi="仿宋_GB2312" w:eastAsia="仿宋_GB2312" w:cs="仿宋_GB2312"/>
          <w:color w:val="auto"/>
          <w:sz w:val="28"/>
          <w:szCs w:val="28"/>
          <w:highlight w:val="none"/>
          <w:lang w:eastAsia="zh-CN"/>
        </w:rPr>
      </w:pPr>
      <w:r>
        <w:rPr>
          <w:rFonts w:hint="eastAsia" w:ascii="仿宋_GB2312" w:hAnsi="仿宋_GB2312" w:eastAsia="仿宋_GB2312" w:cs="仿宋_GB2312"/>
          <w:color w:val="auto"/>
          <w:sz w:val="28"/>
          <w:szCs w:val="28"/>
          <w:highlight w:val="none"/>
          <w:lang w:eastAsia="zh-CN"/>
        </w:rPr>
        <w:t>壮医护理技术正是基于这套理论发展而来的特色外治疗法。它以壮医“毒虚致病论”及“三道两路”理论为指导，通过药线点灸、药物竹罐、壮医刮痧、壮医敷贴、壮医药熨、耳穴压豆、壮医水蛭疗法、壮医药线升阳治疗等多种外治技术，调理气血、平衡阴阳，从而达到安神助眠的目的。这些技术依托于壮医“调气、解毒、补虚”的核心治则，通过在体表龙路火路网络（如安眠三穴、发旋穴、减压区、壮医近夹脊穴、远夹脊穴、地井穴、臂内前穴等特定穴位和部位）施术，使治疗信息直达病所，从而疏通壅滞、驱毒外出、扶助正气。</w:t>
      </w:r>
    </w:p>
    <w:p w14:paraId="6982615F">
      <w:pPr>
        <w:suppressAutoHyphens/>
        <w:spacing w:line="560" w:lineRule="exact"/>
        <w:ind w:firstLine="560" w:firstLineChars="200"/>
        <w:rPr>
          <w:rFonts w:hint="eastAsia" w:ascii="仿宋_GB2312" w:hAnsi="仿宋_GB2312" w:eastAsia="仿宋_GB2312" w:cs="仿宋_GB2312"/>
          <w:color w:val="auto"/>
          <w:sz w:val="28"/>
          <w:szCs w:val="28"/>
          <w:highlight w:val="none"/>
          <w:lang w:eastAsia="zh-CN"/>
        </w:rPr>
      </w:pPr>
      <w:r>
        <w:rPr>
          <w:rFonts w:hint="eastAsia" w:ascii="仿宋_GB2312" w:hAnsi="仿宋_GB2312" w:eastAsia="仿宋_GB2312" w:cs="仿宋_GB2312"/>
          <w:color w:val="auto"/>
          <w:sz w:val="28"/>
          <w:szCs w:val="28"/>
          <w:highlight w:val="none"/>
          <w:lang w:eastAsia="zh-CN"/>
        </w:rPr>
        <w:t>在技术特点上，壮医护理技术体现了简、便、验、廉的民族医学特色，其治疗方式契合《壮医基础理论》“病在体表，治在体表”的干预思想。这些技术通过体表经络和穴位施术，有效避免了口服药物对谷道的直接影响及肝肾的代谢负担，在治疗安全性方面具有独特优势。以药线点灸为例，该技术针对睡眠障碍的不同证型进行差异化施治，阴证与阳证在施灸壮数上各有规范，体现了壮医辨证施护的特色。该系列疗法不仅适用于不同证型的睡眠障碍患者，还能同时改善焦虑等伴随症状，体现了整体调节的特色。这些技术通过多途径干预，能够有效缩短入睡时间、减少夜间觉醒次数、延长总睡眠时间，为睡眠障碍患者提供了具有民族医药特色的非药物治疗选择。</w:t>
      </w:r>
    </w:p>
    <w:p w14:paraId="126B1847">
      <w:pPr>
        <w:suppressAutoHyphens/>
        <w:spacing w:line="560" w:lineRule="exact"/>
        <w:ind w:firstLine="560" w:firstLineChars="200"/>
        <w:rPr>
          <w:rFonts w:hint="eastAsia" w:ascii="仿宋_GB2312" w:hAnsi="仿宋_GB2312" w:eastAsia="仿宋_GB2312" w:cs="仿宋_GB2312"/>
          <w:color w:val="auto"/>
          <w:sz w:val="28"/>
          <w:szCs w:val="28"/>
          <w:highlight w:val="none"/>
          <w:lang w:eastAsia="zh-CN"/>
        </w:rPr>
      </w:pPr>
      <w:r>
        <w:rPr>
          <w:rFonts w:hint="eastAsia" w:ascii="仿宋_GB2312" w:hAnsi="仿宋_GB2312" w:eastAsia="仿宋_GB2312" w:cs="仿宋_GB2312"/>
          <w:color w:val="auto"/>
          <w:sz w:val="28"/>
          <w:szCs w:val="28"/>
          <w:highlight w:val="none"/>
          <w:lang w:eastAsia="zh-CN"/>
        </w:rPr>
        <w:t>初步的临床实践也印证了其应用潜力。目前区内约有10-15家医疗机构初步开展年闹诺壮医护理，主要包括本院联盟单位、部分县级医院等。基于零星报告和病例汇总，壮医护理在改善睡眠质量（如PSQI评分下降）、减少药物依赖方面显示良好效果，有效率约70-80%。这为壮医护理技术的进一步规范化和推广提供了初步的实践依据。但需要指出的是，目前仍缺乏大样本数据，效果评价尚待标准化。</w:t>
      </w:r>
    </w:p>
    <w:p w14:paraId="22FDB311">
      <w:pPr>
        <w:suppressAutoHyphens/>
        <w:spacing w:line="560" w:lineRule="exact"/>
        <w:ind w:firstLine="560" w:firstLineChars="200"/>
        <w:rPr>
          <w:rFonts w:hint="eastAsia" w:ascii="仿宋_GB2312" w:hAnsi="仿宋_GB2312" w:eastAsia="仿宋_GB2312" w:cs="仿宋_GB2312"/>
          <w:color w:val="auto"/>
          <w:sz w:val="28"/>
          <w:szCs w:val="28"/>
          <w:highlight w:val="none"/>
          <w:lang w:eastAsia="zh-CN"/>
        </w:rPr>
      </w:pPr>
      <w:r>
        <w:rPr>
          <w:rFonts w:hint="eastAsia" w:ascii="仿宋_GB2312" w:hAnsi="仿宋_GB2312" w:eastAsia="仿宋_GB2312" w:cs="仿宋_GB2312"/>
          <w:color w:val="auto"/>
          <w:sz w:val="28"/>
          <w:szCs w:val="28"/>
          <w:highlight w:val="none"/>
          <w:lang w:eastAsia="zh-CN"/>
        </w:rPr>
        <w:t>尽管壮医护理技术在上述理论指导下显示出应用潜力，但目前区内各机构在实践中的辨证分型（阴/阳证）、技术选择（如刮痧是否用于气血虚型）、操作参数（如药熨温度、留罐时间）上存在显著差异，依赖于个人经验。这种不规范状态，使得其“简、便、验、廉”的优势难以稳定发挥，也阻碍了技术的广泛推广和疗效的科学评价。因此，制定本标准，将系统的壮医理论、丰富的特色技术与科学的规范化方法相结合，是推动壮医护理从经验传承走向标准化服务、从而真正解决临床需求的必要步骤。</w:t>
      </w:r>
    </w:p>
    <w:p w14:paraId="1C3E3E77">
      <w:pPr>
        <w:suppressAutoHyphens/>
        <w:spacing w:line="560" w:lineRule="exact"/>
        <w:ind w:firstLine="560" w:firstLineChars="200"/>
        <w:rPr>
          <w:rFonts w:hint="eastAsia" w:ascii="仿宋_GB2312" w:hAnsi="仿宋_GB2312" w:eastAsia="仿宋_GB2312" w:cs="仿宋_GB2312"/>
          <w:color w:val="auto"/>
          <w:sz w:val="28"/>
          <w:szCs w:val="28"/>
          <w:highlight w:val="none"/>
          <w:lang w:eastAsia="zh-CN"/>
        </w:rPr>
      </w:pPr>
      <w:r>
        <w:rPr>
          <w:rFonts w:hint="eastAsia" w:ascii="仿宋_GB2312" w:hAnsi="仿宋_GB2312" w:eastAsia="仿宋_GB2312" w:cs="仿宋_GB2312"/>
          <w:color w:val="auto"/>
          <w:sz w:val="28"/>
          <w:szCs w:val="28"/>
          <w:highlight w:val="none"/>
          <w:lang w:eastAsia="zh-CN"/>
        </w:rPr>
        <w:t>因此，为规范壮医护理技术治疗年闹诺（睡眠障碍）的操作要求，促进壮医护理技术在睡眠障碍防治领域的科学化、系统化、规范化应用，提升年闹诺（睡眠障碍）患者的护理效果与生活质量，制定团体标准《年闹诺（睡眠障碍）壮医护理规范》具有重要意义。</w:t>
      </w:r>
    </w:p>
    <w:p w14:paraId="0D62424A">
      <w:pPr>
        <w:autoSpaceDE w:val="0"/>
        <w:autoSpaceDN w:val="0"/>
        <w:adjustRightInd w:val="0"/>
        <w:spacing w:line="520" w:lineRule="exact"/>
        <w:ind w:firstLine="640" w:firstLineChars="200"/>
        <w:jc w:val="left"/>
        <w:outlineLvl w:val="0"/>
        <w:rPr>
          <w:rFonts w:ascii="黑体" w:eastAsia="黑体" w:cs="仿宋_GB2312"/>
          <w:color w:val="auto"/>
          <w:sz w:val="32"/>
          <w:szCs w:val="32"/>
          <w:highlight w:val="none"/>
        </w:rPr>
      </w:pPr>
      <w:r>
        <w:rPr>
          <w:rFonts w:hint="eastAsia" w:ascii="黑体" w:eastAsia="黑体" w:cs="仿宋_GB2312"/>
          <w:color w:val="auto"/>
          <w:sz w:val="32"/>
          <w:szCs w:val="32"/>
          <w:highlight w:val="none"/>
        </w:rPr>
        <w:t>三、主要起草过程</w:t>
      </w:r>
    </w:p>
    <w:p w14:paraId="0D95DA3E">
      <w:pPr>
        <w:spacing w:line="520" w:lineRule="exact"/>
        <w:ind w:firstLine="562" w:firstLineChars="200"/>
        <w:outlineLvl w:val="1"/>
        <w:rPr>
          <w:rFonts w:ascii="仿宋_GB2312" w:eastAsia="仿宋_GB2312"/>
          <w:color w:val="auto"/>
          <w:sz w:val="28"/>
          <w:szCs w:val="28"/>
          <w:highlight w:val="none"/>
        </w:rPr>
      </w:pPr>
      <w:r>
        <w:rPr>
          <w:rFonts w:hint="eastAsia" w:ascii="仿宋_GB2312" w:eastAsia="仿宋_GB2312" w:cs="仿宋_GB2312"/>
          <w:b/>
          <w:color w:val="auto"/>
          <w:sz w:val="28"/>
          <w:szCs w:val="28"/>
          <w:highlight w:val="none"/>
        </w:rPr>
        <w:t>（一）成立标准编制工作组</w:t>
      </w:r>
    </w:p>
    <w:p w14:paraId="48E22955">
      <w:pPr>
        <w:spacing w:line="520" w:lineRule="exact"/>
        <w:ind w:firstLine="560" w:firstLineChars="200"/>
        <w:jc w:val="left"/>
        <w:rPr>
          <w:rFonts w:ascii="仿宋_GB2312" w:eastAsia="仿宋_GB2312"/>
          <w:color w:val="auto"/>
          <w:sz w:val="28"/>
          <w:szCs w:val="28"/>
          <w:highlight w:val="none"/>
        </w:rPr>
      </w:pPr>
      <w:r>
        <w:rPr>
          <w:rFonts w:hint="eastAsia" w:ascii="仿宋_GB2312" w:hAnsi="宋体" w:eastAsia="仿宋_GB2312"/>
          <w:color w:val="auto"/>
          <w:sz w:val="28"/>
          <w:szCs w:val="28"/>
          <w:highlight w:val="none"/>
        </w:rPr>
        <w:t>团体标准</w:t>
      </w:r>
      <w:r>
        <w:rPr>
          <w:rFonts w:hint="eastAsia" w:ascii="仿宋_GB2312" w:eastAsia="仿宋_GB2312"/>
          <w:color w:val="auto"/>
          <w:sz w:val="28"/>
          <w:szCs w:val="28"/>
          <w:highlight w:val="none"/>
        </w:rPr>
        <w:t>《</w:t>
      </w:r>
      <w:r>
        <w:rPr>
          <w:rFonts w:hint="eastAsia" w:ascii="仿宋_GB2312" w:eastAsia="仿宋_GB2312"/>
          <w:color w:val="auto"/>
          <w:sz w:val="28"/>
          <w:szCs w:val="28"/>
          <w:highlight w:val="none"/>
          <w:lang w:eastAsia="zh-CN"/>
        </w:rPr>
        <w:t>年闹诺（睡眠障碍）壮医护理规范</w:t>
      </w:r>
      <w:r>
        <w:rPr>
          <w:rFonts w:hint="eastAsia" w:ascii="仿宋_GB2312" w:eastAsia="仿宋_GB2312"/>
          <w:color w:val="auto"/>
          <w:sz w:val="28"/>
          <w:szCs w:val="28"/>
          <w:highlight w:val="none"/>
        </w:rPr>
        <w:t>》项目任务下达后，由广西国际壮医医院牵头组织成立了标准编制工作组，制定了起草编写方案与进度安排，明确任务职责，确定工作技术路线，开展标准研制工作。具体标准编制工作由起草单位相关人员配合完成。</w:t>
      </w:r>
    </w:p>
    <w:p w14:paraId="27586D2F">
      <w:pPr>
        <w:spacing w:line="520" w:lineRule="exact"/>
        <w:ind w:firstLine="560" w:firstLineChars="200"/>
        <w:rPr>
          <w:rFonts w:ascii="仿宋_GB2312" w:eastAsia="仿宋_GB2312" w:cs="仿宋_GB2312"/>
          <w:color w:val="auto"/>
          <w:sz w:val="28"/>
          <w:szCs w:val="28"/>
          <w:highlight w:val="none"/>
        </w:rPr>
      </w:pPr>
      <w:r>
        <w:rPr>
          <w:rFonts w:hint="eastAsia" w:ascii="仿宋_GB2312" w:eastAsia="仿宋_GB2312"/>
          <w:color w:val="auto"/>
          <w:sz w:val="28"/>
          <w:szCs w:val="28"/>
          <w:highlight w:val="none"/>
        </w:rPr>
        <w:t>为明确标准编制的任务职责，确定工作技术路线，开展标准研制工作，标准编制工作组下设两个组，分别是资料收集组、草案编写组。资料收集组负责国内外有关</w:t>
      </w:r>
      <w:r>
        <w:rPr>
          <w:rFonts w:hint="eastAsia" w:ascii="仿宋_GB2312" w:eastAsia="仿宋_GB2312"/>
          <w:color w:val="auto"/>
          <w:sz w:val="28"/>
          <w:szCs w:val="28"/>
          <w:highlight w:val="none"/>
          <w:lang w:eastAsia="zh-CN"/>
        </w:rPr>
        <w:t>年闹诺（睡眠障碍）壮医护理</w:t>
      </w:r>
      <w:r>
        <w:rPr>
          <w:rFonts w:hint="eastAsia" w:ascii="仿宋_GB2312" w:eastAsia="仿宋_GB2312"/>
          <w:color w:val="auto"/>
          <w:sz w:val="28"/>
          <w:szCs w:val="28"/>
          <w:highlight w:val="none"/>
        </w:rPr>
        <w:t>方面的文献资料的查询、收集和整理工作，查阅前期对</w:t>
      </w:r>
      <w:r>
        <w:rPr>
          <w:rFonts w:hint="eastAsia" w:ascii="仿宋_GB2312" w:eastAsia="仿宋_GB2312"/>
          <w:color w:val="auto"/>
          <w:sz w:val="28"/>
          <w:szCs w:val="28"/>
          <w:highlight w:val="none"/>
          <w:lang w:eastAsia="zh-CN"/>
        </w:rPr>
        <w:t>年闹诺（睡眠障碍）壮医护理</w:t>
      </w:r>
      <w:r>
        <w:rPr>
          <w:rFonts w:hint="eastAsia" w:ascii="仿宋_GB2312" w:eastAsia="仿宋_GB2312"/>
          <w:color w:val="auto"/>
          <w:sz w:val="28"/>
          <w:szCs w:val="28"/>
          <w:highlight w:val="none"/>
        </w:rPr>
        <w:t>方面的有关研究情况和目前科学界</w:t>
      </w:r>
      <w:r>
        <w:rPr>
          <w:rFonts w:hint="eastAsia" w:ascii="仿宋_GB2312" w:eastAsia="仿宋_GB2312"/>
          <w:color w:val="auto"/>
          <w:sz w:val="28"/>
          <w:szCs w:val="28"/>
          <w:highlight w:val="none"/>
          <w:lang w:eastAsia="zh-CN"/>
        </w:rPr>
        <w:t>年闹诺（睡眠障碍）壮医护理</w:t>
      </w:r>
      <w:r>
        <w:rPr>
          <w:rFonts w:hint="eastAsia" w:ascii="仿宋_GB2312" w:eastAsia="仿宋_GB2312"/>
          <w:color w:val="auto"/>
          <w:sz w:val="28"/>
          <w:szCs w:val="28"/>
          <w:highlight w:val="none"/>
        </w:rPr>
        <w:t>的研究进展；草案编写组负责起草标准草案及后续征求意见稿和标准编制说明、送审稿及编制说明等编写工作，包括后期召开征求意见会、网上征求意见，以及标准的不断修改和完善。</w:t>
      </w:r>
    </w:p>
    <w:p w14:paraId="06616C9C">
      <w:pPr>
        <w:spacing w:line="520" w:lineRule="exact"/>
        <w:ind w:firstLine="562" w:firstLineChars="200"/>
        <w:outlineLvl w:val="1"/>
        <w:rPr>
          <w:rFonts w:ascii="仿宋_GB2312" w:eastAsia="仿宋_GB2312" w:cs="仿宋_GB2312"/>
          <w:b/>
          <w:color w:val="auto"/>
          <w:sz w:val="28"/>
          <w:szCs w:val="28"/>
          <w:highlight w:val="none"/>
        </w:rPr>
      </w:pPr>
      <w:r>
        <w:rPr>
          <w:rFonts w:hint="eastAsia" w:ascii="仿宋_GB2312" w:eastAsia="仿宋_GB2312" w:cs="仿宋_GB2312"/>
          <w:b/>
          <w:color w:val="auto"/>
          <w:sz w:val="28"/>
          <w:szCs w:val="28"/>
          <w:highlight w:val="none"/>
        </w:rPr>
        <w:t>（二）收集整理文献资料</w:t>
      </w:r>
    </w:p>
    <w:p w14:paraId="6290498D">
      <w:pPr>
        <w:spacing w:line="520" w:lineRule="exact"/>
        <w:ind w:firstLine="560" w:firstLineChars="200"/>
        <w:rPr>
          <w:rFonts w:ascii="仿宋_GB2312" w:eastAsia="仿宋_GB2312"/>
          <w:color w:val="auto"/>
          <w:sz w:val="28"/>
          <w:szCs w:val="28"/>
          <w:highlight w:val="none"/>
        </w:rPr>
      </w:pPr>
      <w:r>
        <w:rPr>
          <w:rFonts w:hint="eastAsia" w:ascii="仿宋_GB2312" w:eastAsia="仿宋_GB2312"/>
          <w:color w:val="auto"/>
          <w:sz w:val="28"/>
          <w:szCs w:val="28"/>
          <w:highlight w:val="none"/>
        </w:rPr>
        <w:t>标准编制工作组收集了国内有关</w:t>
      </w:r>
      <w:r>
        <w:rPr>
          <w:rFonts w:hint="eastAsia" w:ascii="仿宋_GB2312" w:eastAsia="仿宋_GB2312"/>
          <w:color w:val="auto"/>
          <w:sz w:val="28"/>
          <w:szCs w:val="28"/>
          <w:highlight w:val="none"/>
          <w:lang w:eastAsia="zh-CN"/>
        </w:rPr>
        <w:t>年闹诺（睡眠障碍）壮医护理</w:t>
      </w:r>
      <w:r>
        <w:rPr>
          <w:rFonts w:hint="eastAsia" w:ascii="仿宋_GB2312" w:eastAsia="仿宋_GB2312"/>
          <w:color w:val="auto"/>
          <w:sz w:val="28"/>
          <w:szCs w:val="28"/>
          <w:highlight w:val="none"/>
        </w:rPr>
        <w:t>的相关文献资料。主要有：</w:t>
      </w:r>
    </w:p>
    <w:p w14:paraId="022FA24C">
      <w:pPr>
        <w:spacing w:line="520" w:lineRule="exact"/>
        <w:ind w:firstLine="560" w:firstLineChars="200"/>
        <w:rPr>
          <w:rFonts w:hint="eastAsia" w:ascii="仿宋_GB2312" w:eastAsia="仿宋_GB2312"/>
          <w:color w:val="auto"/>
          <w:sz w:val="28"/>
          <w:szCs w:val="28"/>
          <w:highlight w:val="none"/>
          <w:lang w:val="en-US" w:eastAsia="zh-CN"/>
        </w:rPr>
      </w:pPr>
      <w:r>
        <w:rPr>
          <w:rFonts w:hint="eastAsia" w:ascii="仿宋_GB2312" w:eastAsia="仿宋_GB2312"/>
          <w:color w:val="auto"/>
          <w:sz w:val="28"/>
          <w:szCs w:val="28"/>
          <w:highlight w:val="none"/>
          <w:lang w:val="en-US" w:eastAsia="zh-CN"/>
        </w:rPr>
        <w:t>[1]  GB/T 21709.22  针灸技术操作规范  第22部分：刮痧</w:t>
      </w:r>
    </w:p>
    <w:p w14:paraId="31AB0A68">
      <w:pPr>
        <w:spacing w:line="520" w:lineRule="exact"/>
        <w:ind w:firstLine="560" w:firstLineChars="200"/>
        <w:rPr>
          <w:rFonts w:hint="eastAsia" w:ascii="仿宋_GB2312" w:eastAsia="仿宋_GB2312"/>
          <w:color w:val="auto"/>
          <w:sz w:val="28"/>
          <w:szCs w:val="28"/>
          <w:highlight w:val="none"/>
          <w:lang w:val="en-US" w:eastAsia="zh-CN"/>
        </w:rPr>
      </w:pPr>
      <w:r>
        <w:rPr>
          <w:rFonts w:hint="eastAsia" w:ascii="仿宋_GB2312" w:eastAsia="仿宋_GB2312"/>
          <w:color w:val="auto"/>
          <w:sz w:val="28"/>
          <w:szCs w:val="28"/>
          <w:highlight w:val="none"/>
          <w:lang w:val="en-US" w:eastAsia="zh-CN"/>
        </w:rPr>
        <w:t>[2]  DB45/T 2790壮医药物竹罐治疗护理技术操作规范</w:t>
      </w:r>
    </w:p>
    <w:p w14:paraId="6817DC6F">
      <w:pPr>
        <w:spacing w:line="520" w:lineRule="exact"/>
        <w:ind w:firstLine="560" w:firstLineChars="200"/>
        <w:rPr>
          <w:rFonts w:hint="eastAsia" w:ascii="仿宋_GB2312" w:eastAsia="仿宋_GB2312"/>
          <w:color w:val="auto"/>
          <w:sz w:val="28"/>
          <w:szCs w:val="28"/>
          <w:highlight w:val="none"/>
          <w:lang w:val="en-US" w:eastAsia="zh-CN"/>
        </w:rPr>
      </w:pPr>
      <w:r>
        <w:rPr>
          <w:rFonts w:hint="eastAsia" w:ascii="仿宋_GB2312" w:eastAsia="仿宋_GB2312"/>
          <w:color w:val="auto"/>
          <w:sz w:val="28"/>
          <w:szCs w:val="28"/>
          <w:highlight w:val="none"/>
          <w:lang w:val="en-US" w:eastAsia="zh-CN"/>
        </w:rPr>
        <w:t>[3]  DB45/T 2792  壮医敷贴治疗护理技术操作规范</w:t>
      </w:r>
    </w:p>
    <w:p w14:paraId="4B360A0B">
      <w:pPr>
        <w:spacing w:line="520" w:lineRule="exact"/>
        <w:ind w:firstLine="560" w:firstLineChars="200"/>
        <w:rPr>
          <w:rFonts w:hint="eastAsia" w:ascii="仿宋_GB2312" w:eastAsia="仿宋_GB2312"/>
          <w:color w:val="auto"/>
          <w:sz w:val="28"/>
          <w:szCs w:val="28"/>
          <w:highlight w:val="none"/>
          <w:lang w:val="en-US" w:eastAsia="zh-CN"/>
        </w:rPr>
      </w:pPr>
      <w:r>
        <w:rPr>
          <w:rFonts w:hint="eastAsia" w:ascii="仿宋_GB2312" w:eastAsia="仿宋_GB2312"/>
          <w:color w:val="auto"/>
          <w:sz w:val="28"/>
          <w:szCs w:val="28"/>
          <w:highlight w:val="none"/>
          <w:lang w:val="en-US" w:eastAsia="zh-CN"/>
        </w:rPr>
        <w:t>[4]  T/GXAS 239  壮医水蛭疗法操作规范</w:t>
      </w:r>
    </w:p>
    <w:p w14:paraId="3B65358B">
      <w:pPr>
        <w:spacing w:line="520" w:lineRule="exact"/>
        <w:ind w:firstLine="560" w:firstLineChars="200"/>
        <w:rPr>
          <w:rFonts w:hint="eastAsia" w:ascii="仿宋_GB2312" w:eastAsia="仿宋_GB2312"/>
          <w:color w:val="auto"/>
          <w:sz w:val="28"/>
          <w:szCs w:val="28"/>
          <w:highlight w:val="none"/>
          <w:lang w:val="en-US" w:eastAsia="zh-CN"/>
        </w:rPr>
      </w:pPr>
      <w:r>
        <w:rPr>
          <w:rFonts w:hint="eastAsia" w:ascii="仿宋_GB2312" w:eastAsia="仿宋_GB2312"/>
          <w:color w:val="auto"/>
          <w:sz w:val="28"/>
          <w:szCs w:val="28"/>
          <w:highlight w:val="none"/>
          <w:lang w:val="en-US" w:eastAsia="zh-CN"/>
        </w:rPr>
        <w:t>[5]  T/GXAS 1011  健身运动  壮药绣球操技术规范</w:t>
      </w:r>
    </w:p>
    <w:p w14:paraId="4C4E7160">
      <w:pPr>
        <w:spacing w:line="520" w:lineRule="exact"/>
        <w:ind w:firstLine="560" w:firstLineChars="200"/>
        <w:rPr>
          <w:rFonts w:hint="eastAsia" w:ascii="仿宋_GB2312" w:eastAsia="仿宋_GB2312"/>
          <w:color w:val="auto"/>
          <w:sz w:val="28"/>
          <w:szCs w:val="28"/>
          <w:highlight w:val="none"/>
          <w:lang w:val="en-US" w:eastAsia="zh-CN"/>
        </w:rPr>
      </w:pPr>
      <w:r>
        <w:rPr>
          <w:rFonts w:hint="eastAsia" w:ascii="仿宋_GB2312" w:eastAsia="仿宋_GB2312"/>
          <w:color w:val="auto"/>
          <w:sz w:val="28"/>
          <w:szCs w:val="28"/>
          <w:highlight w:val="none"/>
          <w:lang w:val="en-US" w:eastAsia="zh-CN"/>
        </w:rPr>
        <w:t>[6]  T/GXAS 1061  健身运动  壮医三气养生操技术规范</w:t>
      </w:r>
    </w:p>
    <w:p w14:paraId="70B82A87">
      <w:pPr>
        <w:spacing w:line="520" w:lineRule="exact"/>
        <w:ind w:firstLine="560" w:firstLineChars="200"/>
        <w:rPr>
          <w:rFonts w:hint="eastAsia" w:ascii="仿宋_GB2312" w:eastAsia="仿宋_GB2312"/>
          <w:color w:val="auto"/>
          <w:sz w:val="28"/>
          <w:szCs w:val="28"/>
          <w:highlight w:val="none"/>
          <w:lang w:val="en-US" w:eastAsia="zh-CN"/>
        </w:rPr>
      </w:pPr>
      <w:r>
        <w:rPr>
          <w:rFonts w:hint="eastAsia" w:ascii="仿宋_GB2312" w:eastAsia="仿宋_GB2312"/>
          <w:color w:val="auto"/>
          <w:sz w:val="28"/>
          <w:szCs w:val="28"/>
          <w:highlight w:val="none"/>
          <w:lang w:val="en-US" w:eastAsia="zh-CN"/>
        </w:rPr>
        <w:t>[7]  林琴，黄国东，胡晓玥，主编. 壮医护理技术操作规程[M]. 南宁：广西科学技术出版社，2020.</w:t>
      </w:r>
    </w:p>
    <w:p w14:paraId="69B1CDDB">
      <w:pPr>
        <w:spacing w:line="520" w:lineRule="exact"/>
        <w:ind w:firstLine="560" w:firstLineChars="200"/>
        <w:rPr>
          <w:rFonts w:hint="eastAsia" w:ascii="仿宋_GB2312" w:eastAsia="仿宋_GB2312"/>
          <w:color w:val="auto"/>
          <w:sz w:val="28"/>
          <w:szCs w:val="28"/>
          <w:highlight w:val="none"/>
          <w:lang w:val="en-US" w:eastAsia="zh-CN"/>
        </w:rPr>
      </w:pPr>
      <w:r>
        <w:rPr>
          <w:rFonts w:hint="eastAsia" w:ascii="仿宋_GB2312" w:eastAsia="仿宋_GB2312"/>
          <w:color w:val="auto"/>
          <w:sz w:val="28"/>
          <w:szCs w:val="28"/>
          <w:highlight w:val="none"/>
          <w:lang w:val="en-US" w:eastAsia="zh-CN"/>
        </w:rPr>
        <w:t>[8]  林琴,陈碧,杨爽,等.壮医护理技术标准化研究的现状与展望[J].中国民族医药杂志, 2024, 30(7):34-37.</w:t>
      </w:r>
    </w:p>
    <w:p w14:paraId="0A2BBF3C">
      <w:pPr>
        <w:spacing w:line="520" w:lineRule="exact"/>
        <w:ind w:firstLine="560" w:firstLineChars="200"/>
        <w:rPr>
          <w:rFonts w:hint="eastAsia" w:ascii="仿宋_GB2312" w:eastAsia="仿宋_GB2312"/>
          <w:color w:val="auto"/>
          <w:sz w:val="28"/>
          <w:szCs w:val="28"/>
          <w:highlight w:val="none"/>
          <w:lang w:val="en-US" w:eastAsia="zh-CN"/>
        </w:rPr>
      </w:pPr>
      <w:r>
        <w:rPr>
          <w:rFonts w:hint="eastAsia" w:ascii="仿宋_GB2312" w:eastAsia="仿宋_GB2312"/>
          <w:color w:val="auto"/>
          <w:sz w:val="28"/>
          <w:szCs w:val="28"/>
          <w:highlight w:val="none"/>
          <w:lang w:val="en-US" w:eastAsia="zh-CN"/>
        </w:rPr>
        <w:t>[9]  Gong S , Xiaoyue H U , Xuemei L I ,et al.Conception of developing ethnomedicine specialized nursing in ethnomedicine hospitals[J].Chinese Journal of Integrative Nursing, 2023, 9(8):60-65.</w:t>
      </w:r>
    </w:p>
    <w:p w14:paraId="541F094A">
      <w:pPr>
        <w:spacing w:line="520" w:lineRule="exact"/>
        <w:ind w:firstLine="562" w:firstLineChars="200"/>
        <w:outlineLvl w:val="1"/>
        <w:rPr>
          <w:rFonts w:ascii="仿宋_GB2312" w:eastAsia="仿宋_GB2312" w:cs="仿宋_GB2312"/>
          <w:b/>
          <w:color w:val="auto"/>
          <w:sz w:val="28"/>
          <w:szCs w:val="28"/>
          <w:highlight w:val="none"/>
        </w:rPr>
      </w:pPr>
      <w:r>
        <w:rPr>
          <w:rFonts w:hint="eastAsia" w:ascii="仿宋_GB2312" w:eastAsia="仿宋_GB2312" w:cs="仿宋_GB2312"/>
          <w:b/>
          <w:color w:val="auto"/>
          <w:sz w:val="28"/>
          <w:szCs w:val="28"/>
          <w:highlight w:val="none"/>
        </w:rPr>
        <w:t>（三）研讨确定标准主体内容及标准创新点</w:t>
      </w:r>
    </w:p>
    <w:p w14:paraId="45B43E1D">
      <w:pPr>
        <w:pStyle w:val="33"/>
        <w:spacing w:before="0" w:beforeLines="0" w:after="0" w:afterLines="0"/>
        <w:ind w:firstLine="560"/>
        <w:jc w:val="both"/>
        <w:rPr>
          <w:rFonts w:hint="eastAsia"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标准编制工作组在对收集的资料进行整理研究之后，召开了标准编制会议，对标准的整体框架结构进行了研究，并对标准的关键性内容进行了初步探讨。经过研究，标准的主体内容为</w:t>
      </w:r>
      <w:r>
        <w:rPr>
          <w:rFonts w:hint="eastAsia" w:ascii="仿宋_GB2312" w:hAnsi="仿宋_GB2312" w:eastAsia="仿宋_GB2312" w:cs="仿宋_GB2312"/>
          <w:color w:val="auto"/>
          <w:sz w:val="28"/>
          <w:szCs w:val="28"/>
          <w:highlight w:val="none"/>
          <w:lang w:eastAsia="zh-CN"/>
        </w:rPr>
        <w:t>年闹诺（睡眠障碍）壮医护理</w:t>
      </w:r>
      <w:r>
        <w:rPr>
          <w:rFonts w:hint="eastAsia" w:ascii="仿宋_GB2312" w:hAnsi="仿宋_GB2312" w:eastAsia="仿宋_GB2312" w:cs="仿宋_GB2312"/>
          <w:color w:val="auto"/>
          <w:sz w:val="28"/>
          <w:szCs w:val="28"/>
          <w:highlight w:val="none"/>
        </w:rPr>
        <w:t>的禁忌症和适应症、评估、操作前准备、操作方法、操作后处理、注意事项、并发症处理等内容。</w:t>
      </w:r>
    </w:p>
    <w:p w14:paraId="2EBFBD65">
      <w:pPr>
        <w:pStyle w:val="33"/>
        <w:spacing w:before="0" w:beforeLines="0" w:after="0" w:afterLines="0"/>
        <w:ind w:firstLine="560"/>
        <w:jc w:val="both"/>
        <w:rPr>
          <w:rFonts w:hint="eastAsia" w:ascii="仿宋_GB2312" w:hAnsi="仿宋_GB2312" w:eastAsia="仿宋_GB2312" w:cs="仿宋_GB2312"/>
          <w:color w:val="auto"/>
          <w:sz w:val="28"/>
          <w:szCs w:val="28"/>
          <w:highlight w:val="none"/>
          <w:lang w:eastAsia="zh-CN"/>
        </w:rPr>
      </w:pPr>
      <w:r>
        <w:rPr>
          <w:rFonts w:hint="eastAsia" w:ascii="仿宋_GB2312" w:hAnsi="仿宋_GB2312" w:eastAsia="仿宋_GB2312" w:cs="仿宋_GB2312"/>
          <w:color w:val="auto"/>
          <w:sz w:val="28"/>
          <w:szCs w:val="28"/>
          <w:highlight w:val="none"/>
        </w:rPr>
        <w:t>本标准创新点主要为：</w:t>
      </w:r>
    </w:p>
    <w:p w14:paraId="78656146">
      <w:pPr>
        <w:pStyle w:val="33"/>
        <w:spacing w:before="0" w:beforeLines="0" w:after="0" w:afterLines="0"/>
        <w:ind w:firstLine="560"/>
        <w:jc w:val="both"/>
        <w:rPr>
          <w:rFonts w:hint="eastAsia"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 系统整合八种壮医特色外治技术（壮医药线点灸、壮医药物竹罐、壮医刮痧、壮医敷贴、壮医药熨、壮医耳筋治疗、壮医水蛭疗法、壮医药线升阳灸），明确每项技术对应的适应证型、具体穴位及操作参数（如点灸壮数、治疗频次），解决了临床实践中“经验依赖、随意施术”的问题。</w:t>
      </w:r>
    </w:p>
    <w:p w14:paraId="4BDCCFA8">
      <w:pPr>
        <w:pStyle w:val="33"/>
        <w:spacing w:before="0" w:beforeLines="0" w:after="0" w:afterLines="0"/>
        <w:ind w:firstLine="560"/>
        <w:jc w:val="both"/>
        <w:rPr>
          <w:rFonts w:hint="eastAsia"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val="en-US" w:eastAsia="zh-CN"/>
        </w:rPr>
        <w:t xml:space="preserve">2. </w:t>
      </w:r>
      <w:r>
        <w:rPr>
          <w:rFonts w:hint="eastAsia" w:ascii="仿宋_GB2312" w:hAnsi="仿宋_GB2312" w:eastAsia="仿宋_GB2312" w:cs="仿宋_GB2312"/>
          <w:color w:val="auto"/>
          <w:sz w:val="28"/>
          <w:szCs w:val="28"/>
          <w:highlight w:val="none"/>
        </w:rPr>
        <w:t>突破单纯技术操作的局限，构建了涵盖壮药枕、壮药香囊、壮药浴足、壮医养生操（壮医三气养生操、壮药绣球操）、壮药药膳、声疗（铜鼓谐振、对山歌）、色彩情志法（靛蓝染布）在内的全程化调护方案，形成“外治+内调+文化疗愈”的立体干预体系。</w:t>
      </w:r>
    </w:p>
    <w:p w14:paraId="33651204">
      <w:pPr>
        <w:pStyle w:val="33"/>
        <w:spacing w:before="0" w:beforeLines="0" w:after="0" w:afterLines="0"/>
        <w:ind w:firstLine="560"/>
        <w:jc w:val="both"/>
        <w:rPr>
          <w:rFonts w:hint="eastAsia"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val="en-US" w:eastAsia="zh-CN"/>
        </w:rPr>
        <w:t xml:space="preserve">3. </w:t>
      </w:r>
      <w:r>
        <w:rPr>
          <w:rFonts w:hint="eastAsia" w:ascii="仿宋_GB2312" w:hAnsi="仿宋_GB2312" w:eastAsia="仿宋_GB2312" w:cs="仿宋_GB2312"/>
          <w:color w:val="auto"/>
          <w:sz w:val="28"/>
          <w:szCs w:val="28"/>
          <w:highlight w:val="none"/>
        </w:rPr>
        <w:t>将抽象的“三道两路”理论及“三气不能同步”病机，转化为具体的穴位定位（安眠穴、安眠三穴、发旋穴、减压区、近夹脊穴、远夹脊穴、地井穴、臂内前穴等）和治疗操作，实现了壮医基础理论向临床护理技术的高效转化。</w:t>
      </w:r>
    </w:p>
    <w:p w14:paraId="010E0145">
      <w:pPr>
        <w:pStyle w:val="33"/>
        <w:spacing w:before="0" w:beforeLines="0" w:after="0" w:afterLines="0"/>
        <w:ind w:firstLine="560"/>
        <w:jc w:val="both"/>
        <w:rPr>
          <w:rFonts w:hint="default" w:ascii="仿宋_GB2312" w:hAnsi="仿宋_GB2312" w:eastAsia="仿宋_GB2312" w:cs="仿宋_GB2312"/>
          <w:color w:val="auto"/>
          <w:sz w:val="28"/>
          <w:szCs w:val="28"/>
          <w:highlight w:val="none"/>
          <w:lang w:val="en-US" w:eastAsia="zh-CN"/>
        </w:rPr>
      </w:pPr>
      <w:r>
        <w:rPr>
          <w:rFonts w:hint="eastAsia" w:ascii="仿宋_GB2312" w:hAnsi="仿宋_GB2312" w:eastAsia="仿宋_GB2312" w:cs="仿宋_GB2312"/>
          <w:color w:val="auto"/>
          <w:sz w:val="28"/>
          <w:szCs w:val="28"/>
          <w:highlight w:val="none"/>
          <w:lang w:val="en-US" w:eastAsia="zh-CN"/>
        </w:rPr>
        <w:t xml:space="preserve">4. </w:t>
      </w:r>
      <w:r>
        <w:rPr>
          <w:rFonts w:hint="eastAsia" w:ascii="仿宋_GB2312" w:hAnsi="仿宋_GB2312" w:eastAsia="仿宋_GB2312" w:cs="仿宋_GB2312"/>
          <w:color w:val="auto"/>
          <w:sz w:val="28"/>
          <w:szCs w:val="28"/>
          <w:highlight w:val="none"/>
        </w:rPr>
        <w:t>在保持壮医特色的基础上，引入匹兹堡睡眠质量指数（PSQI）和焦虑自评量表（SAS）作为疗效评价工具，建立入院-住院期间-出院全程动态评估机制，为壮医护理技术的科学评价和跨学科对话提供数据基础。</w:t>
      </w:r>
    </w:p>
    <w:p w14:paraId="1443A89D">
      <w:pPr>
        <w:spacing w:line="520" w:lineRule="exact"/>
        <w:ind w:firstLine="562" w:firstLineChars="200"/>
        <w:outlineLvl w:val="1"/>
        <w:rPr>
          <w:rFonts w:hint="eastAsia" w:ascii="仿宋_GB2312" w:eastAsia="仿宋_GB2312" w:cs="仿宋_GB2312"/>
          <w:b/>
          <w:color w:val="auto"/>
          <w:sz w:val="28"/>
          <w:szCs w:val="28"/>
          <w:highlight w:val="none"/>
          <w:lang w:val="en-US" w:eastAsia="zh-CN"/>
        </w:rPr>
      </w:pPr>
      <w:r>
        <w:rPr>
          <w:rFonts w:hint="eastAsia" w:ascii="仿宋_GB2312" w:eastAsia="仿宋_GB2312" w:cs="仿宋_GB2312"/>
          <w:b/>
          <w:color w:val="auto"/>
          <w:sz w:val="28"/>
          <w:szCs w:val="28"/>
          <w:highlight w:val="none"/>
        </w:rPr>
        <w:t>（四）调研及形成草案、征求意见稿</w:t>
      </w:r>
    </w:p>
    <w:p w14:paraId="02A853F9">
      <w:pPr>
        <w:spacing w:line="520" w:lineRule="exact"/>
        <w:ind w:firstLine="560" w:firstLineChars="200"/>
        <w:rPr>
          <w:rFonts w:ascii="仿宋_GB2312" w:eastAsia="仿宋_GB2312"/>
          <w:color w:val="auto"/>
          <w:kern w:val="0"/>
          <w:sz w:val="28"/>
          <w:szCs w:val="28"/>
          <w:highlight w:val="none"/>
        </w:rPr>
      </w:pPr>
      <w:r>
        <w:rPr>
          <w:rFonts w:hint="eastAsia" w:ascii="仿宋_GB2312" w:eastAsia="仿宋_GB2312"/>
          <w:color w:val="auto"/>
          <w:kern w:val="0"/>
          <w:sz w:val="28"/>
          <w:szCs w:val="28"/>
          <w:highlight w:val="none"/>
        </w:rPr>
        <w:t>2025年</w:t>
      </w:r>
      <w:r>
        <w:rPr>
          <w:rFonts w:hint="eastAsia" w:ascii="仿宋_GB2312" w:eastAsia="仿宋_GB2312"/>
          <w:color w:val="auto"/>
          <w:kern w:val="0"/>
          <w:sz w:val="28"/>
          <w:szCs w:val="28"/>
          <w:highlight w:val="none"/>
          <w:lang w:val="en-US" w:eastAsia="zh-CN"/>
        </w:rPr>
        <w:t>10</w:t>
      </w:r>
      <w:r>
        <w:rPr>
          <w:rFonts w:hint="eastAsia" w:ascii="仿宋_GB2312" w:eastAsia="仿宋_GB2312"/>
          <w:color w:val="auto"/>
          <w:kern w:val="0"/>
          <w:sz w:val="28"/>
          <w:szCs w:val="28"/>
          <w:highlight w:val="none"/>
        </w:rPr>
        <w:t>月，标准编制工作组查阅了大量的国内文献资料，对</w:t>
      </w:r>
      <w:r>
        <w:rPr>
          <w:rFonts w:hint="eastAsia" w:ascii="仿宋_GB2312" w:eastAsia="仿宋_GB2312"/>
          <w:color w:val="auto"/>
          <w:kern w:val="0"/>
          <w:sz w:val="28"/>
          <w:szCs w:val="28"/>
          <w:highlight w:val="none"/>
          <w:lang w:eastAsia="zh-CN"/>
        </w:rPr>
        <w:t>年闹诺（睡眠障碍）壮医护理</w:t>
      </w:r>
      <w:r>
        <w:rPr>
          <w:rFonts w:hint="eastAsia" w:ascii="仿宋_GB2312" w:eastAsia="仿宋_GB2312"/>
          <w:color w:val="auto"/>
          <w:kern w:val="0"/>
          <w:sz w:val="28"/>
          <w:szCs w:val="28"/>
          <w:highlight w:val="none"/>
        </w:rPr>
        <w:t>相关的文件进行系统总结。形成了标准的基本构架，对主要内容进行了讨论并对项目的工作进行了部署和安排。</w:t>
      </w:r>
    </w:p>
    <w:p w14:paraId="0EAA2F22">
      <w:pPr>
        <w:spacing w:line="520" w:lineRule="exact"/>
        <w:ind w:firstLine="560" w:firstLineChars="200"/>
        <w:rPr>
          <w:rFonts w:ascii="仿宋_GB2312" w:eastAsia="仿宋_GB2312"/>
          <w:color w:val="auto"/>
          <w:kern w:val="0"/>
          <w:sz w:val="28"/>
          <w:szCs w:val="28"/>
          <w:highlight w:val="none"/>
        </w:rPr>
      </w:pPr>
      <w:r>
        <w:rPr>
          <w:rFonts w:hint="eastAsia" w:ascii="仿宋_GB2312" w:eastAsia="仿宋_GB2312"/>
          <w:color w:val="auto"/>
          <w:kern w:val="0"/>
          <w:sz w:val="28"/>
          <w:szCs w:val="28"/>
          <w:highlight w:val="none"/>
        </w:rPr>
        <w:t>202</w:t>
      </w:r>
      <w:r>
        <w:rPr>
          <w:rFonts w:hint="eastAsia" w:ascii="仿宋_GB2312" w:eastAsia="仿宋_GB2312"/>
          <w:color w:val="auto"/>
          <w:kern w:val="0"/>
          <w:sz w:val="28"/>
          <w:szCs w:val="28"/>
          <w:highlight w:val="none"/>
          <w:lang w:val="en-US" w:eastAsia="zh-CN"/>
        </w:rPr>
        <w:t>6</w:t>
      </w:r>
      <w:r>
        <w:rPr>
          <w:rFonts w:hint="eastAsia" w:ascii="仿宋_GB2312" w:eastAsia="仿宋_GB2312"/>
          <w:color w:val="auto"/>
          <w:kern w:val="0"/>
          <w:sz w:val="28"/>
          <w:szCs w:val="28"/>
          <w:highlight w:val="none"/>
        </w:rPr>
        <w:t>年</w:t>
      </w:r>
      <w:r>
        <w:rPr>
          <w:rFonts w:hint="eastAsia" w:ascii="仿宋_GB2312" w:eastAsia="仿宋_GB2312"/>
          <w:color w:val="auto"/>
          <w:kern w:val="0"/>
          <w:sz w:val="28"/>
          <w:szCs w:val="28"/>
          <w:highlight w:val="none"/>
          <w:lang w:val="en-US" w:eastAsia="zh-CN"/>
        </w:rPr>
        <w:t>2</w:t>
      </w:r>
      <w:r>
        <w:rPr>
          <w:rFonts w:hint="eastAsia" w:ascii="仿宋_GB2312" w:eastAsia="仿宋_GB2312"/>
          <w:color w:val="auto"/>
          <w:kern w:val="0"/>
          <w:sz w:val="28"/>
          <w:szCs w:val="28"/>
          <w:highlight w:val="none"/>
        </w:rPr>
        <w:t>月，团体标准《</w:t>
      </w:r>
      <w:r>
        <w:rPr>
          <w:rFonts w:hint="eastAsia" w:ascii="仿宋_GB2312" w:eastAsia="仿宋_GB2312"/>
          <w:color w:val="auto"/>
          <w:kern w:val="0"/>
          <w:sz w:val="28"/>
          <w:szCs w:val="28"/>
          <w:highlight w:val="none"/>
          <w:lang w:eastAsia="zh-CN"/>
        </w:rPr>
        <w:t>年闹诺（睡眠障碍）壮医护理规范</w:t>
      </w:r>
      <w:r>
        <w:rPr>
          <w:rFonts w:hint="eastAsia" w:ascii="仿宋_GB2312" w:eastAsia="仿宋_GB2312"/>
          <w:color w:val="auto"/>
          <w:kern w:val="0"/>
          <w:sz w:val="28"/>
          <w:szCs w:val="28"/>
          <w:highlight w:val="none"/>
        </w:rPr>
        <w:t>》获批立项，在前期工作的基础之上，通过理清逻辑脉络，整合已有参考资料中有关</w:t>
      </w:r>
      <w:r>
        <w:rPr>
          <w:rFonts w:hint="eastAsia" w:ascii="仿宋_GB2312" w:eastAsia="仿宋_GB2312"/>
          <w:color w:val="auto"/>
          <w:kern w:val="0"/>
          <w:sz w:val="28"/>
          <w:szCs w:val="28"/>
          <w:highlight w:val="none"/>
          <w:lang w:eastAsia="zh-CN"/>
        </w:rPr>
        <w:t>年闹诺（睡眠障碍）壮医护理</w:t>
      </w:r>
      <w:r>
        <w:rPr>
          <w:rFonts w:hint="eastAsia" w:ascii="仿宋_GB2312" w:eastAsia="仿宋_GB2312"/>
          <w:color w:val="auto"/>
          <w:kern w:val="0"/>
          <w:sz w:val="28"/>
          <w:szCs w:val="28"/>
          <w:highlight w:val="none"/>
        </w:rPr>
        <w:t>的要求，并在目前</w:t>
      </w:r>
      <w:r>
        <w:rPr>
          <w:rFonts w:hint="eastAsia" w:ascii="仿宋_GB2312" w:eastAsia="仿宋_GB2312"/>
          <w:color w:val="auto"/>
          <w:kern w:val="0"/>
          <w:sz w:val="28"/>
          <w:szCs w:val="28"/>
          <w:highlight w:val="none"/>
          <w:lang w:eastAsia="zh-CN"/>
        </w:rPr>
        <w:t>年闹诺（睡眠障碍）壮医护理</w:t>
      </w:r>
      <w:r>
        <w:rPr>
          <w:rFonts w:hint="eastAsia" w:ascii="仿宋_GB2312" w:eastAsia="仿宋_GB2312"/>
          <w:color w:val="auto"/>
          <w:kern w:val="0"/>
          <w:sz w:val="28"/>
          <w:szCs w:val="28"/>
          <w:highlight w:val="none"/>
        </w:rPr>
        <w:t>实际操作的基础上，按照简化、统一等原则编制完成团体标准《</w:t>
      </w:r>
      <w:r>
        <w:rPr>
          <w:rFonts w:hint="eastAsia" w:ascii="仿宋_GB2312" w:eastAsia="仿宋_GB2312"/>
          <w:color w:val="auto"/>
          <w:kern w:val="0"/>
          <w:sz w:val="28"/>
          <w:szCs w:val="28"/>
          <w:highlight w:val="none"/>
          <w:lang w:eastAsia="zh-CN"/>
        </w:rPr>
        <w:t>年闹诺（睡眠障碍）壮医护理规范</w:t>
      </w:r>
      <w:r>
        <w:rPr>
          <w:rFonts w:hint="eastAsia" w:ascii="仿宋_GB2312" w:eastAsia="仿宋_GB2312"/>
          <w:color w:val="auto"/>
          <w:kern w:val="0"/>
          <w:sz w:val="28"/>
          <w:szCs w:val="28"/>
          <w:highlight w:val="none"/>
        </w:rPr>
        <w:t>》（草案）。</w:t>
      </w:r>
    </w:p>
    <w:p w14:paraId="31DEDD42">
      <w:pPr>
        <w:spacing w:line="520" w:lineRule="exact"/>
        <w:ind w:firstLine="560" w:firstLineChars="200"/>
        <w:rPr>
          <w:rFonts w:hint="eastAsia" w:ascii="仿宋_GB2312" w:eastAsia="仿宋_GB2312"/>
          <w:color w:val="auto"/>
          <w:kern w:val="0"/>
          <w:sz w:val="28"/>
          <w:szCs w:val="28"/>
          <w:highlight w:val="none"/>
        </w:rPr>
      </w:pPr>
      <w:r>
        <w:rPr>
          <w:rFonts w:hint="eastAsia" w:ascii="仿宋_GB2312" w:eastAsia="仿宋_GB2312"/>
          <w:color w:val="auto"/>
          <w:kern w:val="0"/>
          <w:sz w:val="28"/>
          <w:szCs w:val="28"/>
          <w:highlight w:val="none"/>
        </w:rPr>
        <w:t>2025年</w:t>
      </w:r>
      <w:r>
        <w:rPr>
          <w:rFonts w:hint="eastAsia" w:ascii="仿宋_GB2312" w:eastAsia="仿宋_GB2312"/>
          <w:color w:val="auto"/>
          <w:kern w:val="0"/>
          <w:sz w:val="28"/>
          <w:szCs w:val="28"/>
          <w:highlight w:val="none"/>
          <w:lang w:val="en-US" w:eastAsia="zh-CN"/>
        </w:rPr>
        <w:t>3</w:t>
      </w:r>
      <w:r>
        <w:rPr>
          <w:rFonts w:hint="eastAsia" w:ascii="仿宋_GB2312" w:eastAsia="仿宋_GB2312"/>
          <w:color w:val="auto"/>
          <w:kern w:val="0"/>
          <w:sz w:val="28"/>
          <w:szCs w:val="28"/>
          <w:highlight w:val="none"/>
        </w:rPr>
        <w:t>月，标准编制工作组深入各地实施</w:t>
      </w:r>
      <w:r>
        <w:rPr>
          <w:rFonts w:hint="eastAsia" w:ascii="仿宋_GB2312" w:eastAsia="仿宋_GB2312"/>
          <w:color w:val="auto"/>
          <w:kern w:val="0"/>
          <w:sz w:val="28"/>
          <w:szCs w:val="28"/>
          <w:highlight w:val="none"/>
          <w:lang w:eastAsia="zh-CN"/>
        </w:rPr>
        <w:t>年闹诺（睡眠障碍）壮医护理</w:t>
      </w:r>
      <w:r>
        <w:rPr>
          <w:rFonts w:hint="eastAsia" w:ascii="仿宋_GB2312" w:eastAsia="仿宋_GB2312"/>
          <w:color w:val="auto"/>
          <w:kern w:val="0"/>
          <w:sz w:val="28"/>
          <w:szCs w:val="28"/>
          <w:highlight w:val="none"/>
        </w:rPr>
        <w:t>的有代表性的医院，如</w:t>
      </w:r>
      <w:r>
        <w:rPr>
          <w:rFonts w:hint="eastAsia" w:ascii="仿宋_GB2312" w:eastAsia="仿宋_GB2312"/>
          <w:color w:val="auto"/>
          <w:kern w:val="0"/>
          <w:sz w:val="28"/>
          <w:szCs w:val="28"/>
          <w:highlight w:val="none"/>
          <w:lang w:eastAsia="zh-CN"/>
        </w:rPr>
        <w:t>广西国际壮医医院、广西中医药大学第一附属医院、广西中医药大学附属瑞康医院、南宁市中医医院、百色市中医医院、南宁市武鸣区中医医院、贺州市中医医院、柳州市中医医院（柳州市壮医医院）、鹿寨县中医医院、罗城仫佬族自治县中医医院、龙州县中医医院、崇左市中医壮医医院、大新县中医医院、贵港市中医医院、河池市中医医院、田东县中医医院、中山市广济医院</w:t>
      </w:r>
      <w:r>
        <w:rPr>
          <w:rFonts w:hint="eastAsia" w:ascii="仿宋_GB2312" w:eastAsia="仿宋_GB2312"/>
          <w:color w:val="auto"/>
          <w:kern w:val="0"/>
          <w:sz w:val="28"/>
          <w:szCs w:val="28"/>
          <w:highlight w:val="none"/>
        </w:rPr>
        <w:t>等召开标准研讨会，收集反馈了大量意见，对标准草案进行了反复修改和研究讨论，掌握了</w:t>
      </w:r>
      <w:r>
        <w:rPr>
          <w:rFonts w:hint="eastAsia" w:ascii="仿宋_GB2312" w:eastAsia="仿宋_GB2312"/>
          <w:color w:val="auto"/>
          <w:kern w:val="0"/>
          <w:sz w:val="28"/>
          <w:szCs w:val="28"/>
          <w:highlight w:val="none"/>
          <w:lang w:eastAsia="zh-CN"/>
        </w:rPr>
        <w:t>年闹诺（睡眠障碍）壮医护理</w:t>
      </w:r>
      <w:r>
        <w:rPr>
          <w:rFonts w:hint="eastAsia" w:ascii="仿宋_GB2312" w:eastAsia="仿宋_GB2312"/>
          <w:color w:val="auto"/>
          <w:kern w:val="0"/>
          <w:sz w:val="28"/>
          <w:szCs w:val="28"/>
          <w:highlight w:val="none"/>
        </w:rPr>
        <w:t>的基本情况以及要求，最终形成了团体标准《</w:t>
      </w:r>
      <w:r>
        <w:rPr>
          <w:rFonts w:hint="eastAsia" w:ascii="仿宋_GB2312" w:eastAsia="仿宋_GB2312"/>
          <w:color w:val="auto"/>
          <w:kern w:val="0"/>
          <w:sz w:val="28"/>
          <w:szCs w:val="28"/>
          <w:highlight w:val="none"/>
          <w:lang w:eastAsia="zh-CN"/>
        </w:rPr>
        <w:t>年闹诺（睡眠障碍）壮医护理规范</w:t>
      </w:r>
      <w:r>
        <w:rPr>
          <w:rFonts w:hint="eastAsia" w:ascii="仿宋_GB2312" w:eastAsia="仿宋_GB2312"/>
          <w:color w:val="auto"/>
          <w:kern w:val="0"/>
          <w:sz w:val="28"/>
          <w:szCs w:val="28"/>
          <w:highlight w:val="none"/>
        </w:rPr>
        <w:t>》（征求意见稿）及其编制说明。</w:t>
      </w:r>
    </w:p>
    <w:p w14:paraId="3E4DB2E1">
      <w:pPr>
        <w:spacing w:line="240" w:lineRule="auto"/>
        <w:jc w:val="center"/>
        <w:rPr>
          <w:rFonts w:hint="eastAsia" w:ascii="仿宋_GB2312" w:eastAsia="仿宋_GB2312"/>
          <w:color w:val="auto"/>
          <w:kern w:val="0"/>
          <w:sz w:val="28"/>
          <w:szCs w:val="28"/>
          <w:highlight w:val="none"/>
          <w:lang w:eastAsia="zh-CN"/>
        </w:rPr>
      </w:pPr>
      <w:r>
        <w:rPr>
          <w:rFonts w:hint="eastAsia" w:ascii="仿宋_GB2312" w:eastAsia="仿宋_GB2312"/>
          <w:color w:val="auto"/>
          <w:kern w:val="0"/>
          <w:sz w:val="28"/>
          <w:szCs w:val="28"/>
          <w:highlight w:val="none"/>
          <w:lang w:eastAsia="zh-CN"/>
        </w:rPr>
        <w:drawing>
          <wp:inline distT="0" distB="0" distL="114300" distR="114300">
            <wp:extent cx="4610735" cy="3456940"/>
            <wp:effectExtent l="0" t="0" r="18415" b="10160"/>
            <wp:docPr id="1" name="图片 1" descr="18ffcc1f0cda56fc447a8eecd05ef3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8ffcc1f0cda56fc447a8eecd05ef3b8"/>
                    <pic:cNvPicPr>
                      <a:picLocks noChangeAspect="1"/>
                    </pic:cNvPicPr>
                  </pic:nvPicPr>
                  <pic:blipFill>
                    <a:blip r:embed="rId5"/>
                    <a:stretch>
                      <a:fillRect/>
                    </a:stretch>
                  </pic:blipFill>
                  <pic:spPr>
                    <a:xfrm>
                      <a:off x="0" y="0"/>
                      <a:ext cx="4610735" cy="3456940"/>
                    </a:xfrm>
                    <a:prstGeom prst="rect">
                      <a:avLst/>
                    </a:prstGeom>
                  </pic:spPr>
                </pic:pic>
              </a:graphicData>
            </a:graphic>
          </wp:inline>
        </w:drawing>
      </w:r>
    </w:p>
    <w:p w14:paraId="47B7644F">
      <w:pPr>
        <w:spacing w:line="240" w:lineRule="auto"/>
        <w:jc w:val="center"/>
        <w:rPr>
          <w:rFonts w:hint="eastAsia" w:ascii="黑体" w:hAnsi="黑体" w:eastAsia="黑体" w:cs="黑体"/>
          <w:color w:val="auto"/>
          <w:kern w:val="0"/>
          <w:sz w:val="24"/>
          <w:szCs w:val="24"/>
          <w:highlight w:val="none"/>
          <w:lang w:eastAsia="zh-CN"/>
        </w:rPr>
      </w:pPr>
      <w:r>
        <w:rPr>
          <w:rFonts w:hint="eastAsia" w:ascii="黑体" w:hAnsi="黑体" w:eastAsia="黑体" w:cs="黑体"/>
          <w:color w:val="auto"/>
          <w:kern w:val="0"/>
          <w:sz w:val="24"/>
          <w:szCs w:val="24"/>
          <w:highlight w:val="none"/>
          <w:lang w:eastAsia="zh-CN"/>
        </w:rPr>
        <w:t>团体标准《年闹诺（睡眠障碍）壮医护理规范》研讨会现场</w:t>
      </w:r>
    </w:p>
    <w:p w14:paraId="63F50DDF">
      <w:pPr>
        <w:spacing w:line="240" w:lineRule="auto"/>
        <w:jc w:val="center"/>
        <w:rPr>
          <w:rFonts w:hint="eastAsia" w:ascii="黑体" w:hAnsi="黑体" w:eastAsia="黑体" w:cs="黑体"/>
          <w:color w:val="auto"/>
          <w:kern w:val="0"/>
          <w:sz w:val="24"/>
          <w:szCs w:val="24"/>
          <w:highlight w:val="none"/>
          <w:lang w:eastAsia="zh-CN"/>
        </w:rPr>
      </w:pPr>
      <w:r>
        <w:rPr>
          <w:rFonts w:hint="eastAsia" w:ascii="黑体" w:hAnsi="黑体" w:eastAsia="黑体" w:cs="黑体"/>
          <w:color w:val="auto"/>
          <w:kern w:val="0"/>
          <w:sz w:val="24"/>
          <w:szCs w:val="24"/>
          <w:highlight w:val="none"/>
          <w:lang w:eastAsia="zh-CN"/>
        </w:rPr>
        <w:drawing>
          <wp:inline distT="0" distB="0" distL="114300" distR="114300">
            <wp:extent cx="4041140" cy="5445125"/>
            <wp:effectExtent l="0" t="0" r="0" b="0"/>
            <wp:docPr id="3" name="图片 3" descr="签到表_页面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签到表_页面_3"/>
                    <pic:cNvPicPr>
                      <a:picLocks noChangeAspect="1"/>
                    </pic:cNvPicPr>
                  </pic:nvPicPr>
                  <pic:blipFill>
                    <a:blip r:embed="rId6"/>
                    <a:srcRect l="5200" t="6763" r="6790" b="9431"/>
                    <a:stretch>
                      <a:fillRect/>
                    </a:stretch>
                  </pic:blipFill>
                  <pic:spPr>
                    <a:xfrm>
                      <a:off x="0" y="0"/>
                      <a:ext cx="4041140" cy="5445125"/>
                    </a:xfrm>
                    <a:prstGeom prst="rect">
                      <a:avLst/>
                    </a:prstGeom>
                  </pic:spPr>
                </pic:pic>
              </a:graphicData>
            </a:graphic>
          </wp:inline>
        </w:drawing>
      </w:r>
    </w:p>
    <w:p w14:paraId="4A0D109D">
      <w:pPr>
        <w:spacing w:line="240" w:lineRule="auto"/>
        <w:jc w:val="center"/>
        <w:rPr>
          <w:rFonts w:hint="eastAsia" w:ascii="黑体" w:hAnsi="黑体" w:eastAsia="黑体" w:cs="黑体"/>
          <w:color w:val="auto"/>
          <w:kern w:val="0"/>
          <w:sz w:val="24"/>
          <w:szCs w:val="24"/>
          <w:highlight w:val="none"/>
          <w:lang w:eastAsia="zh-CN"/>
        </w:rPr>
      </w:pPr>
      <w:r>
        <w:rPr>
          <w:rFonts w:hint="eastAsia" w:ascii="黑体" w:hAnsi="黑体" w:eastAsia="黑体" w:cs="黑体"/>
          <w:color w:val="auto"/>
          <w:kern w:val="0"/>
          <w:sz w:val="24"/>
          <w:szCs w:val="24"/>
          <w:highlight w:val="none"/>
          <w:lang w:eastAsia="zh-CN"/>
        </w:rPr>
        <w:t>团体标准《年闹诺（睡眠障碍）壮医护理规范》研讨会签到表</w:t>
      </w:r>
    </w:p>
    <w:p w14:paraId="10C20948">
      <w:pPr>
        <w:autoSpaceDE w:val="0"/>
        <w:autoSpaceDN w:val="0"/>
        <w:adjustRightInd w:val="0"/>
        <w:spacing w:line="520" w:lineRule="exact"/>
        <w:ind w:firstLine="640" w:firstLineChars="200"/>
        <w:jc w:val="left"/>
        <w:outlineLvl w:val="0"/>
        <w:rPr>
          <w:rFonts w:ascii="黑体" w:eastAsia="黑体" w:cs="仿宋_GB2312"/>
          <w:color w:val="auto"/>
          <w:sz w:val="32"/>
          <w:szCs w:val="32"/>
          <w:highlight w:val="none"/>
        </w:rPr>
      </w:pPr>
      <w:r>
        <w:rPr>
          <w:rFonts w:hint="eastAsia" w:ascii="黑体" w:eastAsia="黑体" w:cs="仿宋_GB2312"/>
          <w:color w:val="auto"/>
          <w:sz w:val="32"/>
          <w:szCs w:val="32"/>
          <w:highlight w:val="none"/>
        </w:rPr>
        <w:t>四、制定标准的原则和依据，与现行法律法规的关系，与有关国家标准、行业标准的协调情况</w:t>
      </w:r>
    </w:p>
    <w:p w14:paraId="7EEAB897">
      <w:pPr>
        <w:widowControl/>
        <w:tabs>
          <w:tab w:val="center" w:pos="4201"/>
          <w:tab w:val="right" w:leader="dot" w:pos="9298"/>
        </w:tabs>
        <w:autoSpaceDE w:val="0"/>
        <w:autoSpaceDN w:val="0"/>
        <w:spacing w:line="520" w:lineRule="exact"/>
        <w:ind w:firstLine="562" w:firstLineChars="200"/>
        <w:outlineLvl w:val="1"/>
        <w:rPr>
          <w:rFonts w:ascii="仿宋_GB2312" w:eastAsia="仿宋_GB2312"/>
          <w:b/>
          <w:bCs/>
          <w:color w:val="auto"/>
          <w:kern w:val="0"/>
          <w:sz w:val="28"/>
          <w:szCs w:val="28"/>
          <w:highlight w:val="none"/>
        </w:rPr>
      </w:pPr>
      <w:r>
        <w:rPr>
          <w:rFonts w:hint="eastAsia" w:ascii="仿宋_GB2312" w:eastAsia="仿宋_GB2312"/>
          <w:b/>
          <w:bCs/>
          <w:color w:val="auto"/>
          <w:kern w:val="0"/>
          <w:sz w:val="28"/>
          <w:szCs w:val="28"/>
          <w:highlight w:val="none"/>
        </w:rPr>
        <w:t>（一）编制原则</w:t>
      </w:r>
    </w:p>
    <w:p w14:paraId="0DB863DB">
      <w:pPr>
        <w:spacing w:line="520" w:lineRule="exact"/>
        <w:ind w:firstLine="562" w:firstLineChars="200"/>
        <w:rPr>
          <w:rFonts w:ascii="仿宋_GB2312" w:eastAsia="仿宋_GB2312"/>
          <w:b/>
          <w:color w:val="auto"/>
          <w:sz w:val="28"/>
          <w:szCs w:val="28"/>
          <w:highlight w:val="none"/>
        </w:rPr>
      </w:pPr>
      <w:r>
        <w:rPr>
          <w:rFonts w:hint="eastAsia" w:ascii="仿宋_GB2312" w:eastAsia="仿宋_GB2312"/>
          <w:b/>
          <w:color w:val="auto"/>
          <w:sz w:val="28"/>
          <w:szCs w:val="28"/>
          <w:highlight w:val="none"/>
        </w:rPr>
        <w:t>1.实用性原则</w:t>
      </w:r>
    </w:p>
    <w:p w14:paraId="75DB8AB8">
      <w:pPr>
        <w:spacing w:line="520" w:lineRule="exact"/>
        <w:ind w:firstLine="560" w:firstLineChars="200"/>
        <w:rPr>
          <w:rFonts w:ascii="仿宋_GB2312" w:eastAsia="仿宋_GB2312" w:cs="仿宋"/>
          <w:color w:val="auto"/>
          <w:sz w:val="28"/>
          <w:szCs w:val="28"/>
          <w:highlight w:val="none"/>
        </w:rPr>
      </w:pPr>
      <w:r>
        <w:rPr>
          <w:rFonts w:hint="eastAsia" w:ascii="仿宋_GB2312" w:eastAsia="仿宋_GB2312" w:cs="仿宋"/>
          <w:color w:val="auto"/>
          <w:sz w:val="28"/>
          <w:szCs w:val="28"/>
          <w:highlight w:val="none"/>
        </w:rPr>
        <w:t>本标准是在充分收集国内外相关资料和文献、调研分析</w:t>
      </w:r>
      <w:r>
        <w:rPr>
          <w:rFonts w:hint="eastAsia" w:ascii="仿宋_GB2312" w:eastAsia="仿宋_GB2312"/>
          <w:color w:val="auto"/>
          <w:kern w:val="0"/>
          <w:sz w:val="28"/>
          <w:szCs w:val="28"/>
          <w:highlight w:val="none"/>
          <w:lang w:eastAsia="zh-CN"/>
        </w:rPr>
        <w:t>年闹诺（睡眠障碍）壮医护理</w:t>
      </w:r>
      <w:r>
        <w:rPr>
          <w:rFonts w:hint="eastAsia" w:ascii="仿宋_GB2312" w:eastAsia="仿宋_GB2312" w:cs="仿宋"/>
          <w:color w:val="auto"/>
          <w:sz w:val="28"/>
          <w:szCs w:val="28"/>
          <w:highlight w:val="none"/>
        </w:rPr>
        <w:t>现状，结合起草单位前期研究工作取得的研究成果及积累的</w:t>
      </w:r>
      <w:r>
        <w:rPr>
          <w:rFonts w:hint="eastAsia" w:ascii="仿宋_GB2312" w:eastAsia="仿宋_GB2312"/>
          <w:color w:val="auto"/>
          <w:kern w:val="0"/>
          <w:sz w:val="28"/>
          <w:szCs w:val="28"/>
          <w:highlight w:val="none"/>
          <w:lang w:eastAsia="zh-CN"/>
        </w:rPr>
        <w:t>年闹诺（睡眠障碍）壮医护理</w:t>
      </w:r>
      <w:r>
        <w:rPr>
          <w:rFonts w:hint="eastAsia" w:ascii="仿宋_GB2312" w:eastAsia="仿宋_GB2312" w:cs="仿宋"/>
          <w:color w:val="auto"/>
          <w:sz w:val="28"/>
          <w:szCs w:val="28"/>
          <w:highlight w:val="none"/>
        </w:rPr>
        <w:t>实践经验，并借鉴国内</w:t>
      </w:r>
      <w:r>
        <w:rPr>
          <w:rFonts w:hint="eastAsia" w:ascii="仿宋_GB2312" w:eastAsia="仿宋_GB2312"/>
          <w:color w:val="auto"/>
          <w:kern w:val="0"/>
          <w:sz w:val="28"/>
          <w:szCs w:val="28"/>
          <w:highlight w:val="none"/>
          <w:lang w:eastAsia="zh-CN"/>
        </w:rPr>
        <w:t>年闹诺（睡眠障碍）壮医护理</w:t>
      </w:r>
      <w:r>
        <w:rPr>
          <w:rFonts w:hint="eastAsia" w:ascii="仿宋_GB2312" w:eastAsia="仿宋_GB2312" w:cs="仿宋"/>
          <w:color w:val="auto"/>
          <w:sz w:val="28"/>
          <w:szCs w:val="28"/>
          <w:highlight w:val="none"/>
        </w:rPr>
        <w:t>进行总结起草的，符合工作实际，利于</w:t>
      </w:r>
      <w:r>
        <w:rPr>
          <w:rFonts w:hint="eastAsia" w:ascii="仿宋_GB2312" w:eastAsia="仿宋_GB2312"/>
          <w:color w:val="auto"/>
          <w:kern w:val="0"/>
          <w:sz w:val="28"/>
          <w:szCs w:val="28"/>
          <w:highlight w:val="none"/>
          <w:lang w:eastAsia="zh-CN"/>
        </w:rPr>
        <w:t>年闹诺（睡眠障碍）壮医护理</w:t>
      </w:r>
      <w:r>
        <w:rPr>
          <w:rFonts w:hint="eastAsia" w:ascii="仿宋_GB2312" w:eastAsia="仿宋_GB2312" w:cs="仿宋"/>
          <w:color w:val="auto"/>
          <w:sz w:val="28"/>
          <w:szCs w:val="28"/>
          <w:highlight w:val="none"/>
        </w:rPr>
        <w:t>的实施与推广，具有可操作性和实用性。</w:t>
      </w:r>
    </w:p>
    <w:p w14:paraId="02659D99">
      <w:pPr>
        <w:spacing w:line="520" w:lineRule="exact"/>
        <w:ind w:firstLine="562" w:firstLineChars="200"/>
        <w:rPr>
          <w:rFonts w:ascii="仿宋_GB2312" w:eastAsia="仿宋_GB2312"/>
          <w:b/>
          <w:color w:val="auto"/>
          <w:sz w:val="28"/>
          <w:szCs w:val="28"/>
          <w:highlight w:val="none"/>
        </w:rPr>
      </w:pPr>
      <w:r>
        <w:rPr>
          <w:rFonts w:hint="eastAsia" w:ascii="仿宋_GB2312" w:eastAsia="仿宋_GB2312"/>
          <w:b/>
          <w:color w:val="auto"/>
          <w:sz w:val="28"/>
          <w:szCs w:val="28"/>
          <w:highlight w:val="none"/>
        </w:rPr>
        <w:t>2.协调性原则</w:t>
      </w:r>
    </w:p>
    <w:p w14:paraId="0F5BA7AA">
      <w:pPr>
        <w:spacing w:line="520" w:lineRule="exact"/>
        <w:ind w:firstLine="560" w:firstLineChars="200"/>
        <w:rPr>
          <w:rFonts w:ascii="仿宋_GB2312" w:eastAsia="仿宋_GB2312"/>
          <w:color w:val="auto"/>
          <w:sz w:val="28"/>
          <w:szCs w:val="28"/>
          <w:highlight w:val="none"/>
        </w:rPr>
      </w:pPr>
      <w:r>
        <w:rPr>
          <w:rFonts w:hint="eastAsia" w:ascii="仿宋_GB2312" w:eastAsia="仿宋_GB2312"/>
          <w:color w:val="auto"/>
          <w:sz w:val="28"/>
          <w:szCs w:val="28"/>
          <w:highlight w:val="none"/>
        </w:rPr>
        <w:t>本文件编写过程中注意了与</w:t>
      </w:r>
      <w:r>
        <w:rPr>
          <w:rFonts w:hint="eastAsia" w:ascii="仿宋_GB2312" w:eastAsia="仿宋_GB2312"/>
          <w:color w:val="auto"/>
          <w:kern w:val="0"/>
          <w:sz w:val="28"/>
          <w:szCs w:val="28"/>
          <w:highlight w:val="none"/>
          <w:lang w:eastAsia="zh-CN"/>
        </w:rPr>
        <w:t>年闹诺（睡眠障碍）壮医护理</w:t>
      </w:r>
      <w:r>
        <w:rPr>
          <w:rFonts w:hint="eastAsia" w:ascii="仿宋_GB2312" w:eastAsia="仿宋_GB2312"/>
          <w:color w:val="auto"/>
          <w:sz w:val="28"/>
          <w:szCs w:val="28"/>
          <w:highlight w:val="none"/>
        </w:rPr>
        <w:t>相关法律法规的协调问题，在内容上与现行法律法规、标准协调一致。</w:t>
      </w:r>
    </w:p>
    <w:p w14:paraId="4A3BD743">
      <w:pPr>
        <w:spacing w:line="520" w:lineRule="exact"/>
        <w:ind w:firstLine="562" w:firstLineChars="200"/>
        <w:rPr>
          <w:rFonts w:ascii="仿宋_GB2312" w:eastAsia="仿宋_GB2312"/>
          <w:b/>
          <w:color w:val="auto"/>
          <w:sz w:val="28"/>
          <w:szCs w:val="28"/>
          <w:highlight w:val="none"/>
        </w:rPr>
      </w:pPr>
      <w:r>
        <w:rPr>
          <w:rFonts w:hint="eastAsia" w:ascii="仿宋_GB2312" w:eastAsia="仿宋_GB2312"/>
          <w:b/>
          <w:color w:val="auto"/>
          <w:sz w:val="28"/>
          <w:szCs w:val="28"/>
          <w:highlight w:val="none"/>
        </w:rPr>
        <w:t>3.规范性原则</w:t>
      </w:r>
    </w:p>
    <w:p w14:paraId="74BE0026">
      <w:pPr>
        <w:spacing w:line="520" w:lineRule="exact"/>
        <w:ind w:firstLine="560" w:firstLineChars="200"/>
        <w:rPr>
          <w:rFonts w:ascii="仿宋_GB2312" w:eastAsia="仿宋_GB2312"/>
          <w:color w:val="auto"/>
          <w:sz w:val="28"/>
          <w:szCs w:val="28"/>
          <w:highlight w:val="none"/>
        </w:rPr>
      </w:pPr>
      <w:r>
        <w:rPr>
          <w:rFonts w:hint="eastAsia" w:ascii="仿宋_GB2312" w:eastAsia="仿宋_GB2312"/>
          <w:color w:val="auto"/>
          <w:sz w:val="28"/>
          <w:szCs w:val="28"/>
          <w:highlight w:val="none"/>
        </w:rPr>
        <w:t>本文件严格按照GB/T 1.1—2020《标准化工作导则  第1部分：标准化文件的结构和起草规则》编写本标准的内容，保证标准的编写质量。</w:t>
      </w:r>
    </w:p>
    <w:p w14:paraId="3818B7B4">
      <w:pPr>
        <w:spacing w:line="520" w:lineRule="exact"/>
        <w:ind w:firstLine="562" w:firstLineChars="200"/>
        <w:rPr>
          <w:rFonts w:ascii="仿宋_GB2312" w:eastAsia="仿宋_GB2312"/>
          <w:b/>
          <w:color w:val="auto"/>
          <w:sz w:val="28"/>
          <w:szCs w:val="28"/>
          <w:highlight w:val="none"/>
        </w:rPr>
      </w:pPr>
      <w:r>
        <w:rPr>
          <w:rFonts w:hint="eastAsia" w:ascii="仿宋_GB2312" w:eastAsia="仿宋_GB2312"/>
          <w:b/>
          <w:color w:val="auto"/>
          <w:sz w:val="28"/>
          <w:szCs w:val="28"/>
          <w:highlight w:val="none"/>
        </w:rPr>
        <w:t>4.前瞻性原则</w:t>
      </w:r>
    </w:p>
    <w:p w14:paraId="274C3EA5">
      <w:pPr>
        <w:spacing w:line="520" w:lineRule="exact"/>
        <w:ind w:firstLine="560" w:firstLineChars="200"/>
        <w:rPr>
          <w:rFonts w:ascii="仿宋_GB2312" w:eastAsia="仿宋_GB2312"/>
          <w:color w:val="auto"/>
          <w:sz w:val="28"/>
          <w:szCs w:val="28"/>
          <w:highlight w:val="none"/>
        </w:rPr>
      </w:pPr>
      <w:r>
        <w:rPr>
          <w:rFonts w:hint="eastAsia" w:ascii="仿宋_GB2312" w:eastAsia="仿宋_GB2312"/>
          <w:color w:val="auto"/>
          <w:sz w:val="28"/>
          <w:szCs w:val="28"/>
          <w:highlight w:val="none"/>
        </w:rPr>
        <w:t>本文件在兼顾当前区内</w:t>
      </w:r>
      <w:r>
        <w:rPr>
          <w:rFonts w:hint="eastAsia" w:ascii="仿宋_GB2312" w:eastAsia="仿宋_GB2312"/>
          <w:color w:val="auto"/>
          <w:kern w:val="0"/>
          <w:sz w:val="28"/>
          <w:szCs w:val="28"/>
          <w:highlight w:val="none"/>
          <w:lang w:eastAsia="zh-CN"/>
        </w:rPr>
        <w:t>年闹诺（睡眠障碍）壮医护理</w:t>
      </w:r>
      <w:r>
        <w:rPr>
          <w:rFonts w:hint="eastAsia" w:ascii="仿宋_GB2312" w:eastAsia="仿宋_GB2312"/>
          <w:color w:val="auto"/>
          <w:sz w:val="28"/>
          <w:szCs w:val="28"/>
          <w:highlight w:val="none"/>
        </w:rPr>
        <w:t>现实情况的同时，还考虑到了</w:t>
      </w:r>
      <w:r>
        <w:rPr>
          <w:rFonts w:hint="eastAsia" w:ascii="仿宋_GB2312" w:eastAsia="仿宋_GB2312"/>
          <w:color w:val="auto"/>
          <w:kern w:val="0"/>
          <w:sz w:val="28"/>
          <w:szCs w:val="28"/>
          <w:highlight w:val="none"/>
          <w:lang w:eastAsia="zh-CN"/>
        </w:rPr>
        <w:t>年闹诺（睡眠障碍）壮医护理</w:t>
      </w:r>
      <w:r>
        <w:rPr>
          <w:rFonts w:hint="eastAsia" w:ascii="仿宋_GB2312" w:eastAsia="仿宋_GB2312"/>
          <w:color w:val="auto"/>
          <w:sz w:val="28"/>
          <w:szCs w:val="28"/>
          <w:highlight w:val="none"/>
        </w:rPr>
        <w:t>的需要，在标准中体现了个别特色性、前瞻性和先进性条款，作为对</w:t>
      </w:r>
      <w:r>
        <w:rPr>
          <w:rFonts w:hint="eastAsia" w:ascii="仿宋_GB2312" w:eastAsia="仿宋_GB2312"/>
          <w:color w:val="auto"/>
          <w:kern w:val="0"/>
          <w:sz w:val="28"/>
          <w:szCs w:val="28"/>
          <w:highlight w:val="none"/>
          <w:lang w:eastAsia="zh-CN"/>
        </w:rPr>
        <w:t>年闹诺（睡眠障碍）壮医护理</w:t>
      </w:r>
      <w:r>
        <w:rPr>
          <w:rFonts w:hint="eastAsia" w:ascii="仿宋_GB2312" w:eastAsia="仿宋_GB2312"/>
          <w:color w:val="auto"/>
          <w:sz w:val="28"/>
          <w:szCs w:val="28"/>
          <w:highlight w:val="none"/>
        </w:rPr>
        <w:t>发展的指导。</w:t>
      </w:r>
    </w:p>
    <w:p w14:paraId="330C1A02">
      <w:pPr>
        <w:spacing w:line="520" w:lineRule="exact"/>
        <w:ind w:firstLine="562" w:firstLineChars="200"/>
        <w:outlineLvl w:val="1"/>
        <w:rPr>
          <w:rFonts w:ascii="仿宋_GB2312" w:eastAsia="仿宋_GB2312"/>
          <w:b/>
          <w:bCs/>
          <w:color w:val="auto"/>
          <w:sz w:val="28"/>
          <w:szCs w:val="28"/>
          <w:highlight w:val="none"/>
        </w:rPr>
      </w:pPr>
      <w:r>
        <w:rPr>
          <w:rFonts w:hint="eastAsia" w:ascii="仿宋_GB2312" w:eastAsia="仿宋_GB2312"/>
          <w:b/>
          <w:bCs/>
          <w:color w:val="auto"/>
          <w:sz w:val="28"/>
          <w:szCs w:val="28"/>
          <w:highlight w:val="none"/>
        </w:rPr>
        <w:t>（二）编制依据</w:t>
      </w:r>
    </w:p>
    <w:p w14:paraId="724E7EF0">
      <w:pPr>
        <w:spacing w:line="520" w:lineRule="exact"/>
        <w:ind w:firstLine="560" w:firstLineChars="200"/>
        <w:rPr>
          <w:rFonts w:ascii="仿宋_GB2312" w:eastAsia="仿宋_GB2312"/>
          <w:color w:val="auto"/>
          <w:sz w:val="28"/>
          <w:szCs w:val="28"/>
          <w:highlight w:val="none"/>
        </w:rPr>
      </w:pPr>
      <w:r>
        <w:rPr>
          <w:rFonts w:hint="eastAsia" w:ascii="仿宋_GB2312" w:eastAsia="仿宋_GB2312"/>
          <w:color w:val="auto"/>
          <w:sz w:val="28"/>
          <w:szCs w:val="28"/>
          <w:highlight w:val="none"/>
        </w:rPr>
        <w:t>本标准严格按照GB/T 1.1—2020《标准化工作导则  第1部分：标准化文件的结构和起草规则》的规则起草，标准主要内容依据起草单位在</w:t>
      </w:r>
      <w:r>
        <w:rPr>
          <w:rFonts w:hint="eastAsia" w:ascii="仿宋_GB2312" w:eastAsia="仿宋_GB2312"/>
          <w:color w:val="auto"/>
          <w:kern w:val="0"/>
          <w:sz w:val="28"/>
          <w:szCs w:val="28"/>
          <w:highlight w:val="none"/>
          <w:lang w:eastAsia="zh-CN"/>
        </w:rPr>
        <w:t>年闹诺（睡眠障碍）壮医护理</w:t>
      </w:r>
      <w:r>
        <w:rPr>
          <w:rFonts w:hint="eastAsia" w:ascii="仿宋_GB2312" w:eastAsia="仿宋_GB2312"/>
          <w:color w:val="auto"/>
          <w:sz w:val="28"/>
          <w:szCs w:val="28"/>
          <w:highlight w:val="none"/>
        </w:rPr>
        <w:t>研究应用过程中的实践经验确定。</w:t>
      </w:r>
    </w:p>
    <w:p w14:paraId="4868B094">
      <w:pPr>
        <w:spacing w:line="520" w:lineRule="exact"/>
        <w:ind w:firstLine="562" w:firstLineChars="200"/>
        <w:outlineLvl w:val="1"/>
        <w:rPr>
          <w:rFonts w:ascii="仿宋_GB2312" w:eastAsia="仿宋_GB2312"/>
          <w:b/>
          <w:bCs/>
          <w:color w:val="auto"/>
          <w:sz w:val="28"/>
          <w:szCs w:val="28"/>
          <w:highlight w:val="none"/>
        </w:rPr>
      </w:pPr>
      <w:r>
        <w:rPr>
          <w:rFonts w:hint="eastAsia" w:ascii="仿宋_GB2312" w:eastAsia="仿宋_GB2312"/>
          <w:b/>
          <w:bCs/>
          <w:color w:val="auto"/>
          <w:sz w:val="28"/>
          <w:szCs w:val="28"/>
          <w:highlight w:val="none"/>
        </w:rPr>
        <w:t>（三）与现行法律法规的关系，与有关国家标准、行业标准的协调情况</w:t>
      </w:r>
    </w:p>
    <w:p w14:paraId="05CD610B">
      <w:pPr>
        <w:adjustRightInd w:val="0"/>
        <w:snapToGrid w:val="0"/>
        <w:spacing w:line="520" w:lineRule="exact"/>
        <w:ind w:firstLine="560" w:firstLineChars="200"/>
        <w:rPr>
          <w:rFonts w:hint="eastAsia" w:ascii="仿宋_GB2312" w:eastAsia="仿宋_GB2312"/>
          <w:color w:val="auto"/>
          <w:sz w:val="28"/>
          <w:szCs w:val="28"/>
          <w:highlight w:val="none"/>
        </w:rPr>
      </w:pPr>
      <w:r>
        <w:rPr>
          <w:rFonts w:hint="eastAsia" w:ascii="仿宋_GB2312" w:eastAsia="仿宋_GB2312"/>
          <w:color w:val="auto"/>
          <w:sz w:val="28"/>
          <w:szCs w:val="28"/>
          <w:highlight w:val="none"/>
        </w:rPr>
        <w:t>经查阅，目前国内外与“年闹诺”“睡眠障碍”“壮医”现行相关的国家、行业、地方和团体标准有《年闹诺（睡眠障碍）壮医诊疗规范》（广西地方标准，已立项）。</w:t>
      </w:r>
    </w:p>
    <w:p w14:paraId="4DE9D262">
      <w:pPr>
        <w:adjustRightInd w:val="0"/>
        <w:snapToGrid w:val="0"/>
        <w:spacing w:line="520" w:lineRule="exact"/>
        <w:ind w:firstLine="560" w:firstLineChars="200"/>
        <w:rPr>
          <w:rFonts w:hint="eastAsia" w:ascii="仿宋_GB2312" w:eastAsia="仿宋_GB2312"/>
          <w:color w:val="auto"/>
          <w:sz w:val="28"/>
          <w:szCs w:val="28"/>
          <w:highlight w:val="none"/>
        </w:rPr>
      </w:pPr>
      <w:r>
        <w:rPr>
          <w:rFonts w:hint="eastAsia" w:ascii="仿宋_GB2312" w:eastAsia="仿宋_GB2312"/>
          <w:color w:val="auto"/>
          <w:sz w:val="28"/>
          <w:szCs w:val="28"/>
          <w:highlight w:val="none"/>
        </w:rPr>
        <w:t>《年闹诺（睡眠障碍）壮医诊疗规范》（广西地方标准，已立项）主要聚焦于诊断和治疗环节，包括壮医理论下的病因病机分析、证候分型、治疗原则及具体疗法（如药物、针灸等）。它属于医疗层面的规范，针对医师群体。</w:t>
      </w:r>
    </w:p>
    <w:p w14:paraId="0095058D">
      <w:pPr>
        <w:adjustRightInd w:val="0"/>
        <w:snapToGrid w:val="0"/>
        <w:spacing w:line="520" w:lineRule="exact"/>
        <w:ind w:firstLine="560" w:firstLineChars="200"/>
        <w:rPr>
          <w:rFonts w:hint="eastAsia" w:ascii="仿宋_GB2312" w:eastAsia="仿宋_GB2312"/>
          <w:color w:val="auto"/>
          <w:sz w:val="28"/>
          <w:szCs w:val="28"/>
          <w:highlight w:val="none"/>
        </w:rPr>
      </w:pPr>
      <w:r>
        <w:rPr>
          <w:rFonts w:hint="eastAsia" w:ascii="仿宋_GB2312" w:eastAsia="仿宋_GB2312"/>
          <w:color w:val="auto"/>
          <w:sz w:val="28"/>
          <w:szCs w:val="28"/>
          <w:highlight w:val="none"/>
        </w:rPr>
        <w:t>本标准专注于护理环节，包括护理评估、护理措施、健康教育、康复指导和质量评价等。它强调护士在执行壮医护理时的标准化操作，如壮医特色技术（壮医水蛭疗法、壮医刮痧治疗等）的应用、患者生活方式的干预及心理支持。</w:t>
      </w:r>
    </w:p>
    <w:p w14:paraId="205C10D0">
      <w:pPr>
        <w:adjustRightInd w:val="0"/>
        <w:snapToGrid w:val="0"/>
        <w:spacing w:line="520" w:lineRule="exact"/>
        <w:ind w:firstLine="560" w:firstLineChars="200"/>
        <w:rPr>
          <w:rFonts w:hint="eastAsia" w:ascii="仿宋_GB2312" w:eastAsia="仿宋_GB2312"/>
          <w:color w:val="auto"/>
          <w:sz w:val="28"/>
          <w:szCs w:val="28"/>
          <w:highlight w:val="none"/>
        </w:rPr>
      </w:pPr>
      <w:r>
        <w:rPr>
          <w:rFonts w:hint="eastAsia" w:ascii="仿宋_GB2312" w:eastAsia="仿宋_GB2312"/>
          <w:color w:val="auto"/>
          <w:sz w:val="28"/>
          <w:szCs w:val="28"/>
          <w:highlight w:val="none"/>
        </w:rPr>
        <w:t>核心区别：</w:t>
      </w:r>
    </w:p>
    <w:p w14:paraId="2CFB6DDD">
      <w:pPr>
        <w:adjustRightInd w:val="0"/>
        <w:snapToGrid w:val="0"/>
        <w:spacing w:line="520" w:lineRule="exact"/>
        <w:ind w:firstLine="560" w:firstLineChars="200"/>
        <w:rPr>
          <w:rFonts w:hint="eastAsia" w:ascii="仿宋_GB2312" w:eastAsia="仿宋_GB2312"/>
          <w:color w:val="auto"/>
          <w:sz w:val="28"/>
          <w:szCs w:val="28"/>
          <w:highlight w:val="none"/>
        </w:rPr>
      </w:pPr>
      <w:r>
        <w:rPr>
          <w:rFonts w:hint="eastAsia" w:ascii="仿宋_GB2312" w:eastAsia="仿宋_GB2312"/>
          <w:color w:val="auto"/>
          <w:sz w:val="28"/>
          <w:szCs w:val="28"/>
          <w:highlight w:val="none"/>
        </w:rPr>
        <w:t>（1）定位不同：诊疗规范是“治疗导向”，而护理规范是“护理导向”，两者互补，形成从诊断到护理的完整链条。</w:t>
      </w:r>
    </w:p>
    <w:p w14:paraId="5075F8FD">
      <w:pPr>
        <w:adjustRightInd w:val="0"/>
        <w:snapToGrid w:val="0"/>
        <w:spacing w:line="520" w:lineRule="exact"/>
        <w:ind w:firstLine="560" w:firstLineChars="200"/>
        <w:rPr>
          <w:rFonts w:hint="eastAsia" w:ascii="仿宋_GB2312" w:eastAsia="仿宋_GB2312"/>
          <w:color w:val="auto"/>
          <w:sz w:val="28"/>
          <w:szCs w:val="28"/>
          <w:highlight w:val="none"/>
        </w:rPr>
      </w:pPr>
      <w:r>
        <w:rPr>
          <w:rFonts w:hint="eastAsia" w:ascii="仿宋_GB2312" w:eastAsia="仿宋_GB2312"/>
          <w:color w:val="auto"/>
          <w:sz w:val="28"/>
          <w:szCs w:val="28"/>
          <w:highlight w:val="none"/>
        </w:rPr>
        <w:t>（2）内容侧重：护理规范更注重日常护理管理、患者教育和预防复发，而诊疗规范侧重疾病诊断和治疗方案。</w:t>
      </w:r>
    </w:p>
    <w:p w14:paraId="070CF7CD">
      <w:pPr>
        <w:adjustRightInd w:val="0"/>
        <w:snapToGrid w:val="0"/>
        <w:spacing w:line="520" w:lineRule="exact"/>
        <w:ind w:firstLine="560" w:firstLineChars="200"/>
        <w:rPr>
          <w:rFonts w:hint="eastAsia" w:ascii="仿宋_GB2312" w:eastAsia="仿宋_GB2312"/>
          <w:color w:val="auto"/>
          <w:sz w:val="28"/>
          <w:szCs w:val="28"/>
          <w:highlight w:val="none"/>
        </w:rPr>
      </w:pPr>
      <w:r>
        <w:rPr>
          <w:rFonts w:hint="eastAsia" w:ascii="仿宋_GB2312" w:eastAsia="仿宋_GB2312"/>
          <w:color w:val="auto"/>
          <w:sz w:val="28"/>
          <w:szCs w:val="28"/>
          <w:highlight w:val="none"/>
        </w:rPr>
        <w:t>（3）适用对象：诊疗规范面向医师，护理规范面向护士及护理管理人员。</w:t>
      </w:r>
      <w:bookmarkStart w:id="0" w:name="_GoBack"/>
      <w:bookmarkEnd w:id="0"/>
    </w:p>
    <w:p w14:paraId="126EEB82">
      <w:pPr>
        <w:adjustRightInd w:val="0"/>
        <w:snapToGrid w:val="0"/>
        <w:spacing w:line="520" w:lineRule="exact"/>
        <w:ind w:firstLine="560" w:firstLineChars="200"/>
        <w:rPr>
          <w:rFonts w:hint="eastAsia" w:ascii="仿宋_GB2312" w:eastAsia="仿宋_GB2312"/>
          <w:color w:val="auto"/>
          <w:sz w:val="28"/>
          <w:szCs w:val="28"/>
          <w:highlight w:val="none"/>
        </w:rPr>
      </w:pPr>
      <w:r>
        <w:rPr>
          <w:rFonts w:hint="eastAsia" w:ascii="仿宋_GB2312" w:eastAsia="仿宋_GB2312"/>
          <w:color w:val="auto"/>
          <w:sz w:val="28"/>
          <w:szCs w:val="28"/>
          <w:highlight w:val="none"/>
        </w:rPr>
        <w:t>本标准的制定填补了壮医睡眠障碍护理领域的空白，确保护理实践与诊疗规范无缝衔接，提升整体疗效。相关标准数量稀少，因此制定团体标准《年闹诺（睡眠障碍）壮医护理规范》具有创新性，先进性。</w:t>
      </w:r>
    </w:p>
    <w:p w14:paraId="4D4A4D62">
      <w:pPr>
        <w:adjustRightInd w:val="0"/>
        <w:snapToGrid w:val="0"/>
        <w:spacing w:line="520" w:lineRule="exact"/>
        <w:ind w:firstLine="560" w:firstLineChars="200"/>
        <w:rPr>
          <w:rFonts w:ascii="仿宋_GB2312" w:eastAsia="仿宋_GB2312"/>
          <w:color w:val="auto"/>
          <w:sz w:val="28"/>
          <w:szCs w:val="28"/>
          <w:highlight w:val="none"/>
        </w:rPr>
      </w:pPr>
      <w:r>
        <w:rPr>
          <w:rFonts w:hint="eastAsia" w:ascii="仿宋_GB2312" w:eastAsia="仿宋_GB2312"/>
          <w:color w:val="auto"/>
          <w:sz w:val="28"/>
          <w:szCs w:val="28"/>
          <w:highlight w:val="none"/>
        </w:rPr>
        <w:t>当前未制定有团体标准《</w:t>
      </w:r>
      <w:r>
        <w:rPr>
          <w:rFonts w:hint="eastAsia" w:ascii="仿宋_GB2312" w:eastAsia="仿宋_GB2312"/>
          <w:color w:val="auto"/>
          <w:sz w:val="28"/>
          <w:szCs w:val="28"/>
          <w:highlight w:val="none"/>
          <w:lang w:eastAsia="zh-CN"/>
        </w:rPr>
        <w:t>年闹诺（睡眠障碍）壮医护理规范</w:t>
      </w:r>
      <w:r>
        <w:rPr>
          <w:rFonts w:hint="eastAsia" w:ascii="仿宋_GB2312" w:eastAsia="仿宋_GB2312"/>
          <w:color w:val="auto"/>
          <w:sz w:val="28"/>
          <w:szCs w:val="28"/>
          <w:highlight w:val="none"/>
        </w:rPr>
        <w:t>》。</w:t>
      </w:r>
    </w:p>
    <w:p w14:paraId="61181925">
      <w:pPr>
        <w:adjustRightInd w:val="0"/>
        <w:snapToGrid w:val="0"/>
        <w:spacing w:line="520" w:lineRule="exact"/>
        <w:ind w:firstLine="560" w:firstLineChars="200"/>
        <w:rPr>
          <w:rFonts w:ascii="仿宋_GB2312" w:eastAsia="仿宋_GB2312"/>
          <w:color w:val="auto"/>
          <w:sz w:val="28"/>
          <w:szCs w:val="28"/>
          <w:highlight w:val="none"/>
        </w:rPr>
      </w:pPr>
      <w:r>
        <w:rPr>
          <w:rFonts w:hint="eastAsia" w:ascii="仿宋_GB2312" w:eastAsia="仿宋_GB2312"/>
          <w:color w:val="auto"/>
          <w:sz w:val="28"/>
          <w:szCs w:val="28"/>
          <w:highlight w:val="none"/>
        </w:rPr>
        <w:t>本标准的内容与现行的法律法规及强制性标准无冲突，标准的编写符合GB/T 1.1—2020的要求。</w:t>
      </w:r>
    </w:p>
    <w:p w14:paraId="74898E49">
      <w:pPr>
        <w:spacing w:before="240" w:after="60" w:line="520" w:lineRule="exact"/>
        <w:ind w:firstLine="640" w:firstLineChars="200"/>
        <w:jc w:val="left"/>
        <w:outlineLvl w:val="0"/>
        <w:rPr>
          <w:rFonts w:ascii="仿宋_GB2312" w:eastAsia="仿宋_GB2312" w:cs="仿宋"/>
          <w:bCs/>
          <w:color w:val="auto"/>
          <w:sz w:val="28"/>
          <w:szCs w:val="28"/>
          <w:highlight w:val="none"/>
        </w:rPr>
      </w:pPr>
      <w:r>
        <w:rPr>
          <w:rFonts w:hint="eastAsia" w:ascii="黑体" w:eastAsia="黑体"/>
          <w:bCs/>
          <w:color w:val="auto"/>
          <w:sz w:val="32"/>
          <w:szCs w:val="32"/>
          <w:highlight w:val="none"/>
        </w:rPr>
        <w:t>五、主要条款的说明</w:t>
      </w:r>
    </w:p>
    <w:p w14:paraId="5C246B4C">
      <w:pPr>
        <w:pStyle w:val="33"/>
        <w:spacing w:before="0" w:beforeLines="0" w:after="0" w:afterLines="0"/>
        <w:ind w:firstLine="562"/>
        <w:jc w:val="both"/>
        <w:outlineLvl w:val="1"/>
        <w:rPr>
          <w:rFonts w:hint="eastAsia" w:ascii="仿宋_GB2312" w:hAnsi="仿宋_GB2312" w:eastAsia="仿宋_GB2312" w:cs="仿宋_GB2312"/>
          <w:b/>
          <w:bCs w:val="0"/>
          <w:color w:val="auto"/>
          <w:sz w:val="28"/>
          <w:szCs w:val="28"/>
          <w:highlight w:val="none"/>
        </w:rPr>
      </w:pPr>
      <w:r>
        <w:rPr>
          <w:rFonts w:hint="eastAsia" w:ascii="仿宋_GB2312" w:hAnsi="仿宋_GB2312" w:eastAsia="仿宋_GB2312" w:cs="仿宋_GB2312"/>
          <w:b/>
          <w:bCs w:val="0"/>
          <w:color w:val="auto"/>
          <w:sz w:val="28"/>
          <w:szCs w:val="28"/>
          <w:highlight w:val="none"/>
        </w:rPr>
        <w:t>（一）术语和定义</w:t>
      </w:r>
    </w:p>
    <w:p w14:paraId="5B6A3478">
      <w:pPr>
        <w:pStyle w:val="33"/>
        <w:spacing w:before="0" w:beforeLines="0" w:after="0" w:afterLines="0"/>
        <w:ind w:firstLine="560"/>
        <w:jc w:val="both"/>
        <w:rPr>
          <w:rFonts w:hint="eastAsia" w:ascii="仿宋_GB2312" w:hAnsi="仿宋_GB2312" w:eastAsia="仿宋_GB2312" w:cs="仿宋_GB2312"/>
          <w:b/>
          <w:bCs w:val="0"/>
          <w:color w:val="auto"/>
          <w:sz w:val="28"/>
          <w:szCs w:val="28"/>
          <w:highlight w:val="none"/>
        </w:rPr>
      </w:pPr>
      <w:r>
        <w:rPr>
          <w:rFonts w:hint="eastAsia" w:ascii="仿宋_GB2312" w:hAnsi="仿宋_GB2312" w:eastAsia="仿宋_GB2312" w:cs="仿宋_GB2312"/>
          <w:b/>
          <w:bCs w:val="0"/>
          <w:color w:val="auto"/>
          <w:sz w:val="28"/>
          <w:szCs w:val="28"/>
          <w:highlight w:val="none"/>
        </w:rPr>
        <w:t>年闹诺（睡眠障碍）</w:t>
      </w:r>
    </w:p>
    <w:p w14:paraId="00B46896">
      <w:pPr>
        <w:pStyle w:val="33"/>
        <w:spacing w:before="0" w:beforeLines="0" w:after="0" w:afterLines="0"/>
        <w:ind w:firstLine="560"/>
        <w:jc w:val="both"/>
        <w:rPr>
          <w:rFonts w:hint="eastAsia" w:ascii="仿宋_GB2312" w:hAnsi="仿宋_GB2312" w:eastAsia="仿宋_GB2312" w:cs="仿宋_GB2312"/>
          <w:color w:val="auto"/>
          <w:sz w:val="28"/>
          <w:szCs w:val="28"/>
          <w:highlight w:val="none"/>
          <w:lang w:eastAsia="zh-CN"/>
        </w:rPr>
      </w:pPr>
      <w:r>
        <w:rPr>
          <w:rFonts w:hint="eastAsia" w:ascii="仿宋_GB2312" w:hAnsi="仿宋_GB2312" w:eastAsia="仿宋_GB2312" w:cs="仿宋_GB2312"/>
          <w:color w:val="auto"/>
          <w:sz w:val="28"/>
          <w:szCs w:val="28"/>
          <w:highlight w:val="none"/>
          <w:lang w:eastAsia="zh-CN"/>
        </w:rPr>
        <w:t>根据壮医理论，年闹诺（睡眠障碍）是由于巧坞失养（思虑太过）、龙路、火路瘀阻/失调（劳神过度）、谷道不调（饮食不节）而致三气不能同步，导致经常不能获得正常睡眠为特征的疾病。该术语和定义主要参考了《壮医基础理论》等专著并结合起草单位的工作实际而确定。</w:t>
      </w:r>
    </w:p>
    <w:p w14:paraId="663FB9B0">
      <w:pPr>
        <w:pStyle w:val="33"/>
        <w:spacing w:before="0" w:beforeLines="0" w:after="0" w:afterLines="0"/>
        <w:ind w:firstLine="562"/>
        <w:jc w:val="both"/>
        <w:outlineLvl w:val="1"/>
        <w:rPr>
          <w:rFonts w:hint="eastAsia" w:ascii="仿宋_GB2312" w:hAnsi="仿宋_GB2312" w:eastAsia="仿宋_GB2312" w:cs="仿宋_GB2312"/>
          <w:b/>
          <w:bCs w:val="0"/>
          <w:color w:val="auto"/>
          <w:sz w:val="28"/>
          <w:szCs w:val="28"/>
          <w:highlight w:val="none"/>
          <w:lang w:eastAsia="zh-CN"/>
        </w:rPr>
      </w:pPr>
      <w:r>
        <w:rPr>
          <w:rFonts w:hint="eastAsia" w:ascii="仿宋_GB2312" w:hAnsi="仿宋_GB2312" w:eastAsia="仿宋_GB2312" w:cs="仿宋_GB2312"/>
          <w:b/>
          <w:bCs w:val="0"/>
          <w:color w:val="auto"/>
          <w:sz w:val="28"/>
          <w:szCs w:val="28"/>
          <w:highlight w:val="none"/>
        </w:rPr>
        <w:t>（二）</w:t>
      </w:r>
      <w:r>
        <w:rPr>
          <w:rFonts w:hint="eastAsia" w:ascii="仿宋_GB2312" w:hAnsi="仿宋_GB2312" w:eastAsia="仿宋_GB2312" w:cs="仿宋_GB2312"/>
          <w:b/>
          <w:bCs w:val="0"/>
          <w:color w:val="auto"/>
          <w:sz w:val="28"/>
          <w:szCs w:val="28"/>
          <w:highlight w:val="none"/>
          <w:lang w:eastAsia="zh-CN"/>
        </w:rPr>
        <w:t>人员要求</w:t>
      </w:r>
    </w:p>
    <w:p w14:paraId="7FAADF76">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eastAsia="zh-CN"/>
        </w:rPr>
      </w:pPr>
      <w:r>
        <w:rPr>
          <w:rFonts w:hint="eastAsia" w:ascii="仿宋_GB2312" w:hAnsi="仿宋_GB2312" w:eastAsia="仿宋_GB2312" w:cs="仿宋_GB2312"/>
          <w:b w:val="0"/>
          <w:bCs/>
          <w:color w:val="auto"/>
          <w:sz w:val="28"/>
          <w:szCs w:val="28"/>
          <w:highlight w:val="none"/>
          <w:lang w:eastAsia="zh-CN"/>
        </w:rPr>
        <w:t>年闹诺（睡眠障碍）壮医护理涉及药线点灸、药物竹罐、刮痧、敷贴、药熨、耳穴压豆、水蛭疗法、药线升阳灸等多种特色外治技术，这些技术的操作需要掌握壮医理论指导下的穴位定位、操作参数、适应证型及禁忌症等专业知识。未经系统培训的护理人员难以准确执行本标准规定的各项护理措施，可能影响治疗效果甚至引发安全风险。因此，明确规定操作人员需通过专科培训，是保障标准实施质量和患者安全的基本前提。该要求与临床护理人员执业规范相衔接，体现了对护理人员专业能力的基本要求。</w:t>
      </w:r>
    </w:p>
    <w:p w14:paraId="29188757">
      <w:pPr>
        <w:pStyle w:val="33"/>
        <w:spacing w:before="0" w:beforeLines="0" w:after="0" w:afterLines="0"/>
        <w:ind w:firstLine="562"/>
        <w:jc w:val="both"/>
        <w:outlineLvl w:val="1"/>
        <w:rPr>
          <w:rFonts w:hint="eastAsia" w:ascii="仿宋_GB2312" w:hAnsi="仿宋_GB2312" w:eastAsia="仿宋_GB2312" w:cs="仿宋_GB2312"/>
          <w:b/>
          <w:bCs w:val="0"/>
          <w:color w:val="auto"/>
          <w:sz w:val="28"/>
          <w:szCs w:val="28"/>
          <w:highlight w:val="none"/>
          <w:lang w:val="en-US" w:eastAsia="zh-CN"/>
        </w:rPr>
      </w:pPr>
      <w:r>
        <w:rPr>
          <w:rFonts w:hint="eastAsia" w:ascii="仿宋_GB2312" w:hAnsi="仿宋_GB2312" w:eastAsia="仿宋_GB2312" w:cs="仿宋_GB2312"/>
          <w:b/>
          <w:bCs w:val="0"/>
          <w:color w:val="auto"/>
          <w:sz w:val="28"/>
          <w:szCs w:val="28"/>
          <w:highlight w:val="none"/>
          <w:lang w:val="en-US" w:eastAsia="zh-CN"/>
        </w:rPr>
        <w:t>（三）</w:t>
      </w:r>
      <w:r>
        <w:rPr>
          <w:rFonts w:hint="eastAsia" w:ascii="仿宋_GB2312" w:hAnsi="仿宋_GB2312" w:eastAsia="仿宋_GB2312" w:cs="仿宋_GB2312"/>
          <w:b/>
          <w:bCs w:val="0"/>
          <w:color w:val="auto"/>
          <w:sz w:val="28"/>
          <w:szCs w:val="28"/>
          <w:highlight w:val="none"/>
          <w:lang w:eastAsia="zh-CN"/>
        </w:rPr>
        <w:t>评估</w:t>
      </w:r>
    </w:p>
    <w:p w14:paraId="195197E3">
      <w:pPr>
        <w:pStyle w:val="33"/>
        <w:spacing w:before="0" w:beforeLines="0" w:after="0" w:afterLines="0"/>
        <w:ind w:firstLine="560"/>
        <w:jc w:val="both"/>
        <w:rPr>
          <w:rFonts w:hint="eastAsia"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val="en-US" w:eastAsia="zh-CN"/>
        </w:rPr>
        <w:t xml:space="preserve">1. </w:t>
      </w:r>
      <w:r>
        <w:rPr>
          <w:rFonts w:hint="eastAsia" w:ascii="仿宋_GB2312" w:hAnsi="仿宋_GB2312" w:eastAsia="仿宋_GB2312" w:cs="仿宋_GB2312"/>
          <w:color w:val="auto"/>
          <w:sz w:val="28"/>
          <w:szCs w:val="28"/>
          <w:highlight w:val="none"/>
        </w:rPr>
        <w:t>按阴证与阳证进行初步辨证评估。这一划分是基于壮医“毒虚致病论”中“毒分阴阳”的核心思想——阴毒致病表现为寒、静、湿的特征，阳毒致病表现为热、动、燥的特征。在两大类的基础上，结合“三道两路”理论及临床实际，进一步细化为六种具体证型，并纳入目诊“勒答”和甲诊作为辨证依据。</w:t>
      </w:r>
    </w:p>
    <w:p w14:paraId="21A990D6">
      <w:pPr>
        <w:pStyle w:val="33"/>
        <w:spacing w:before="0" w:beforeLines="0" w:after="0" w:afterLines="0"/>
        <w:ind w:firstLine="560"/>
        <w:jc w:val="both"/>
        <w:rPr>
          <w:rFonts w:hint="eastAsia" w:ascii="仿宋_GB2312" w:hAnsi="仿宋_GB2312" w:eastAsia="仿宋_GB2312" w:cs="仿宋_GB2312"/>
          <w:b/>
          <w:bCs w:val="0"/>
          <w:color w:val="auto"/>
          <w:sz w:val="28"/>
          <w:szCs w:val="28"/>
          <w:highlight w:val="none"/>
        </w:rPr>
      </w:pPr>
      <w:r>
        <w:rPr>
          <w:rFonts w:hint="eastAsia" w:ascii="仿宋_GB2312" w:hAnsi="仿宋_GB2312" w:eastAsia="仿宋_GB2312" w:cs="仿宋_GB2312"/>
          <w:b/>
          <w:bCs w:val="0"/>
          <w:color w:val="auto"/>
          <w:sz w:val="28"/>
          <w:szCs w:val="28"/>
          <w:highlight w:val="none"/>
        </w:rPr>
        <w:t>1.1 阴证各证型的确定依据</w:t>
      </w:r>
    </w:p>
    <w:p w14:paraId="6E604F0B">
      <w:pPr>
        <w:pStyle w:val="33"/>
        <w:spacing w:before="0" w:beforeLines="0" w:after="0" w:afterLines="0"/>
        <w:ind w:firstLine="560"/>
        <w:jc w:val="both"/>
        <w:rPr>
          <w:rFonts w:hint="eastAsia"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阴证包括瘀毒型、气血虚型、气郁型、肾虚型四种证型。这四种证型的确定，是基于阴证“虚”和“寒/静/湿”的核心特征：瘀毒型对应阴毒中“毒”盛而兼“瘀”的一类，气血虚型对应“虚”为根本的一类，气郁型对应气机郁滞而未化热的一类，肾虚型对应虚损及于肾、精亏失养的一类。四者共同构成了阴证范畴内“毒”“虚”“郁”不同侧重的完整谱系。</w:t>
      </w:r>
    </w:p>
    <w:p w14:paraId="7BF8618E">
      <w:pPr>
        <w:pStyle w:val="33"/>
        <w:spacing w:before="0" w:beforeLines="0" w:after="0" w:afterLines="0"/>
        <w:ind w:firstLine="560"/>
        <w:jc w:val="both"/>
        <w:rPr>
          <w:rFonts w:hint="eastAsia" w:ascii="仿宋_GB2312" w:hAnsi="仿宋_GB2312" w:eastAsia="仿宋_GB2312" w:cs="仿宋_GB2312"/>
          <w:b/>
          <w:bCs w:val="0"/>
          <w:color w:val="auto"/>
          <w:sz w:val="28"/>
          <w:szCs w:val="28"/>
          <w:highlight w:val="none"/>
        </w:rPr>
      </w:pPr>
      <w:r>
        <w:rPr>
          <w:rFonts w:hint="eastAsia" w:ascii="仿宋_GB2312" w:hAnsi="仿宋_GB2312" w:eastAsia="仿宋_GB2312" w:cs="仿宋_GB2312"/>
          <w:b/>
          <w:bCs w:val="0"/>
          <w:color w:val="auto"/>
          <w:sz w:val="28"/>
          <w:szCs w:val="28"/>
          <w:highlight w:val="none"/>
        </w:rPr>
        <w:t>（1）瘀毒型</w:t>
      </w:r>
    </w:p>
    <w:p w14:paraId="146CA79D">
      <w:pPr>
        <w:pStyle w:val="33"/>
        <w:spacing w:before="0" w:beforeLines="0" w:after="0" w:afterLines="0"/>
        <w:ind w:firstLine="560"/>
        <w:jc w:val="both"/>
        <w:rPr>
          <w:rFonts w:hint="eastAsia"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基于壮医“毒虚致病论”中瘀毒阻滞龙路、火路导致巧坞失养的病机。临床表现方面，夜寐不安、多梦易醒、病程较长，提示久病入络；头痛日久不愈、痛如针刺如有定处，符合壮医“瘀血作痛”的特征。舌象见舌暗红、有瘀点、舌下脉络迂曲，脉象见涩或弦紧，均为瘀血内阻的典型征象。目诊“勒答”见白睛脉络弯曲、有瘀斑、色浅，是因龙路瘀滞、血行不畅而现形于目，脉络弯曲如蛇行状提示瘀阻较重，脉络末端出现瘀斑则为瘀毒内停的典型征象。甲诊见甲色暗淡、有瘀点、按压甲尖放开后恢复原色慢，反映了气血亏虚为本、瘀血阻络为标的“毒虚错杂”状态——甲色暗淡提示龙路气血不充，甲面瘀点按压不散提示血行瘀滞，二者并见揭示了“因虚致瘀、瘀更伤虚”的病理循环。上述证据链共同构成了瘀毒内阻的完整辨证体系。</w:t>
      </w:r>
    </w:p>
    <w:p w14:paraId="79B15049">
      <w:pPr>
        <w:pStyle w:val="33"/>
        <w:spacing w:before="0" w:beforeLines="0" w:after="0" w:afterLines="0"/>
        <w:ind w:firstLine="560"/>
        <w:jc w:val="both"/>
        <w:rPr>
          <w:rFonts w:hint="eastAsia" w:ascii="仿宋_GB2312" w:hAnsi="仿宋_GB2312" w:eastAsia="仿宋_GB2312" w:cs="仿宋_GB2312"/>
          <w:b/>
          <w:bCs w:val="0"/>
          <w:color w:val="auto"/>
          <w:sz w:val="28"/>
          <w:szCs w:val="28"/>
          <w:highlight w:val="none"/>
        </w:rPr>
      </w:pPr>
      <w:r>
        <w:rPr>
          <w:rFonts w:hint="eastAsia" w:ascii="仿宋_GB2312" w:hAnsi="仿宋_GB2312" w:eastAsia="仿宋_GB2312" w:cs="仿宋_GB2312"/>
          <w:b/>
          <w:bCs w:val="0"/>
          <w:color w:val="auto"/>
          <w:sz w:val="28"/>
          <w:szCs w:val="28"/>
          <w:highlight w:val="none"/>
        </w:rPr>
        <w:t>（2）气血虚型</w:t>
      </w:r>
    </w:p>
    <w:p w14:paraId="04A6B892">
      <w:pPr>
        <w:pStyle w:val="33"/>
        <w:spacing w:before="0" w:beforeLines="0" w:after="0" w:afterLines="0"/>
        <w:ind w:firstLine="560"/>
        <w:jc w:val="both"/>
        <w:rPr>
          <w:rFonts w:hint="eastAsia"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基于壮医“虚为百病之因”的理论，认为气血亏虚则巧坞失养、神不守舍而发为失眠。临床表现方面，夜寐不安、多梦易醒、心悸健忘、神疲食少、头晕目眩、面色少华，均为气血生化不足、巧坞失于濡养的表现。舌象见舌暗淡、苔薄白，脉象见细无力，符合壮医“嘘”（气）“勒”（血）亏虚的典型特征。目诊“勒答”见白睛脉络细小、色浅，是因气血不足、龙路不充而脉络纤细、色泽浅淡。甲诊见甲色淡白、按压甲尖放开后恢复原色慢，是因气血虚衰、末梢循环乏力而甲床失荣、回血迟缓。上述表现共同反映了气血亏虚、巧坞失养的病理本质。</w:t>
      </w:r>
    </w:p>
    <w:p w14:paraId="75512C11">
      <w:pPr>
        <w:pStyle w:val="33"/>
        <w:spacing w:before="0" w:beforeLines="0" w:after="0" w:afterLines="0"/>
        <w:ind w:firstLine="560"/>
        <w:jc w:val="both"/>
        <w:rPr>
          <w:rFonts w:hint="eastAsia" w:ascii="仿宋_GB2312" w:hAnsi="仿宋_GB2312" w:eastAsia="仿宋_GB2312" w:cs="仿宋_GB2312"/>
          <w:b/>
          <w:bCs w:val="0"/>
          <w:color w:val="auto"/>
          <w:sz w:val="28"/>
          <w:szCs w:val="28"/>
          <w:highlight w:val="none"/>
        </w:rPr>
      </w:pPr>
      <w:r>
        <w:rPr>
          <w:rFonts w:hint="eastAsia" w:ascii="仿宋_GB2312" w:hAnsi="仿宋_GB2312" w:eastAsia="仿宋_GB2312" w:cs="仿宋_GB2312"/>
          <w:b/>
          <w:bCs w:val="0"/>
          <w:color w:val="auto"/>
          <w:sz w:val="28"/>
          <w:szCs w:val="28"/>
          <w:highlight w:val="none"/>
        </w:rPr>
        <w:t>（3）气郁型</w:t>
      </w:r>
    </w:p>
    <w:p w14:paraId="2205C653">
      <w:pPr>
        <w:pStyle w:val="33"/>
        <w:spacing w:before="0" w:beforeLines="0" w:after="0" w:afterLines="0"/>
        <w:ind w:firstLine="560"/>
        <w:jc w:val="both"/>
        <w:rPr>
          <w:rFonts w:hint="eastAsia"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基于壮医“三气同步”理论中情志过激导致三道两路阻滞的病机，气机郁滞则龙路不畅、火路不通而巧坞不安。临床表现方面，入睡困难、夜寐不安、病程较长、易焦虑，为气机郁滞、心神不宁的典型表现；口干口苦、头晕头痛、眼睛干涩，提示气郁尚未化火、仍属阴证范畴。舌象见舌淡或淡暗、苔薄白，脉象见弦，符合气机郁滞的舌脉特征。目诊“勒答”见白睛脉络细小、色浅，是因气郁尚未化火、仍属阴证范畴而脉络不显红赤。甲诊见甲色淡白、按压甲尖放开后恢复原色慢，是因气机郁滞、气血运行不畅而甲床失于温煦濡养。上述表现共同反映了肝气郁结、气机升降失常的病理状态，符合壮医“气机壅滞”而尚未化热的证候特点。</w:t>
      </w:r>
    </w:p>
    <w:p w14:paraId="2064A6BD">
      <w:pPr>
        <w:pStyle w:val="33"/>
        <w:spacing w:before="0" w:beforeLines="0" w:after="0" w:afterLines="0"/>
        <w:ind w:firstLine="560"/>
        <w:jc w:val="both"/>
        <w:rPr>
          <w:rFonts w:hint="eastAsia" w:ascii="仿宋_GB2312" w:hAnsi="仿宋_GB2312" w:eastAsia="仿宋_GB2312" w:cs="仿宋_GB2312"/>
          <w:b/>
          <w:bCs w:val="0"/>
          <w:color w:val="auto"/>
          <w:sz w:val="28"/>
          <w:szCs w:val="28"/>
          <w:highlight w:val="none"/>
        </w:rPr>
      </w:pPr>
      <w:r>
        <w:rPr>
          <w:rFonts w:hint="eastAsia" w:ascii="仿宋_GB2312" w:hAnsi="仿宋_GB2312" w:eastAsia="仿宋_GB2312" w:cs="仿宋_GB2312"/>
          <w:b/>
          <w:bCs w:val="0"/>
          <w:color w:val="auto"/>
          <w:sz w:val="28"/>
          <w:szCs w:val="28"/>
          <w:highlight w:val="none"/>
        </w:rPr>
        <w:t>（4）肾虚型</w:t>
      </w:r>
    </w:p>
    <w:p w14:paraId="33BF8FAD">
      <w:pPr>
        <w:pStyle w:val="33"/>
        <w:spacing w:before="0" w:beforeLines="0" w:after="0" w:afterLines="0"/>
        <w:ind w:firstLine="560"/>
        <w:jc w:val="both"/>
        <w:rPr>
          <w:rFonts w:hint="eastAsia"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基于壮医“先天禀赋不足”及“气血虚衰及于肾”的理论，肾虚则精亏血少、不能上奉巧坞而失眠。临床表现方面，入睡困难、梦多心烦，为肾精不足、心神失养的表现；腰膝酸软、潮热盗汗、五心烦热、咽干少津，为肾阴亏虚、虚火上炎的表现；小便频数或小便不利，为肾气不固或气化不利的表现。舌象见舌淡或舌红、少苔，脉象见尺脉弱，为肾虚的典型舌脉。目诊“勒答”见白睛脉络细小、色浅，是因肾精不足、气血化生无源而目络不充。甲诊见甲色淡白、按压甲尖放开后恢复原色慢，是因肾阳虚衰或肾精亏耗、末梢气血供养不足而甲床淡白、回血迟缓。上述表现共同反映了肾之阴阳亏虚、精髓不足、巧坞失养的病理本质。</w:t>
      </w:r>
    </w:p>
    <w:p w14:paraId="01063DCC">
      <w:pPr>
        <w:pStyle w:val="33"/>
        <w:spacing w:before="0" w:beforeLines="0" w:after="0" w:afterLines="0"/>
        <w:ind w:firstLine="560"/>
        <w:jc w:val="both"/>
        <w:rPr>
          <w:rFonts w:hint="eastAsia" w:ascii="仿宋_GB2312" w:hAnsi="仿宋_GB2312" w:eastAsia="仿宋_GB2312" w:cs="仿宋_GB2312"/>
          <w:b/>
          <w:bCs w:val="0"/>
          <w:color w:val="auto"/>
          <w:sz w:val="28"/>
          <w:szCs w:val="28"/>
          <w:highlight w:val="none"/>
        </w:rPr>
      </w:pPr>
      <w:r>
        <w:rPr>
          <w:rFonts w:hint="eastAsia" w:ascii="仿宋_GB2312" w:hAnsi="仿宋_GB2312" w:eastAsia="仿宋_GB2312" w:cs="仿宋_GB2312"/>
          <w:b/>
          <w:bCs w:val="0"/>
          <w:color w:val="auto"/>
          <w:sz w:val="28"/>
          <w:szCs w:val="28"/>
          <w:highlight w:val="none"/>
        </w:rPr>
        <w:t>1.2 阳证各证型的确定依据</w:t>
      </w:r>
    </w:p>
    <w:p w14:paraId="43EF3C59">
      <w:pPr>
        <w:pStyle w:val="33"/>
        <w:spacing w:before="0" w:beforeLines="0" w:after="0" w:afterLines="0"/>
        <w:ind w:firstLine="560"/>
        <w:jc w:val="both"/>
        <w:rPr>
          <w:rFonts w:hint="eastAsia"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阳证包括湿热型、痰热型两种证型。这两种证型的确定，是基于阳证“热”和“动/燥”的核心特征：湿热型对应湿热之邪内蕴、热象偏重的一类，痰热型对应痰与热结、内扰心神的一类。二者涵盖了阳证范畴内以“热”为核心、兼夹“湿”或“痰”的主要病理类型。</w:t>
      </w:r>
    </w:p>
    <w:p w14:paraId="2F8BAE96">
      <w:pPr>
        <w:pStyle w:val="33"/>
        <w:spacing w:before="0" w:beforeLines="0" w:after="0" w:afterLines="0"/>
        <w:ind w:firstLine="560"/>
        <w:jc w:val="both"/>
        <w:rPr>
          <w:rFonts w:hint="eastAsia" w:ascii="仿宋_GB2312" w:hAnsi="仿宋_GB2312" w:eastAsia="仿宋_GB2312" w:cs="仿宋_GB2312"/>
          <w:b/>
          <w:bCs w:val="0"/>
          <w:color w:val="auto"/>
          <w:sz w:val="28"/>
          <w:szCs w:val="28"/>
          <w:highlight w:val="none"/>
        </w:rPr>
      </w:pPr>
      <w:r>
        <w:rPr>
          <w:rFonts w:hint="eastAsia" w:ascii="仿宋_GB2312" w:hAnsi="仿宋_GB2312" w:eastAsia="仿宋_GB2312" w:cs="仿宋_GB2312"/>
          <w:b/>
          <w:bCs w:val="0"/>
          <w:color w:val="auto"/>
          <w:sz w:val="28"/>
          <w:szCs w:val="28"/>
          <w:highlight w:val="none"/>
        </w:rPr>
        <w:t>（1）湿热型</w:t>
      </w:r>
    </w:p>
    <w:p w14:paraId="3B0F0B54">
      <w:pPr>
        <w:pStyle w:val="33"/>
        <w:spacing w:before="0" w:beforeLines="0" w:after="0" w:afterLines="0"/>
        <w:ind w:firstLine="560"/>
        <w:jc w:val="both"/>
        <w:rPr>
          <w:rFonts w:hint="eastAsia"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基于壮医“阳毒致病”理论中湿热之邪内扰的病机，湿热壅滞则气道、水道不畅，热扰巧坞而失眠。临床表现方面，不寐多梦、甚则彻夜不寐，为热扰心神、阳不入阴的表现；口苦咽干、小便短赤，为湿热内蕴、热象偏重的典型症状。舌象见舌红、苔黄，脉象见弦滑，为湿热内蕴的舌脉表现。目诊“勒答”见白睛脉络边缘混浊、多而集中靠近瞳仁、色深，是因阳毒炽盛、湿热上蒸而目络粗大、色深红、边缘混浊、聚集明显。甲诊见甲色鲜红、按压甲尖放开后恢复原色快，是因阳证气血涌动、末梢循环亢进而甲色鲜红、回血迅速。上述表现共同反映了湿热内蕴、热象偏重的阳证特征。</w:t>
      </w:r>
    </w:p>
    <w:p w14:paraId="2944D47B">
      <w:pPr>
        <w:pStyle w:val="33"/>
        <w:spacing w:before="0" w:beforeLines="0" w:after="0" w:afterLines="0"/>
        <w:ind w:firstLine="560"/>
        <w:jc w:val="both"/>
        <w:rPr>
          <w:rFonts w:hint="eastAsia" w:ascii="仿宋_GB2312" w:hAnsi="仿宋_GB2312" w:eastAsia="仿宋_GB2312" w:cs="仿宋_GB2312"/>
          <w:b/>
          <w:bCs w:val="0"/>
          <w:color w:val="auto"/>
          <w:sz w:val="28"/>
          <w:szCs w:val="28"/>
          <w:highlight w:val="none"/>
        </w:rPr>
      </w:pPr>
      <w:r>
        <w:rPr>
          <w:rFonts w:hint="eastAsia" w:ascii="仿宋_GB2312" w:hAnsi="仿宋_GB2312" w:eastAsia="仿宋_GB2312" w:cs="仿宋_GB2312"/>
          <w:b/>
          <w:bCs w:val="0"/>
          <w:color w:val="auto"/>
          <w:sz w:val="28"/>
          <w:szCs w:val="28"/>
          <w:highlight w:val="none"/>
        </w:rPr>
        <w:t>（2）痰热型</w:t>
      </w:r>
    </w:p>
    <w:p w14:paraId="19D73AB9">
      <w:pPr>
        <w:pStyle w:val="33"/>
        <w:spacing w:before="0" w:beforeLines="0" w:after="0" w:afterLines="0"/>
        <w:ind w:firstLine="560"/>
        <w:jc w:val="both"/>
        <w:rPr>
          <w:rFonts w:hint="eastAsia"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基于壮医“阳毒致病”理论中痰热互结的病机，痰热内扰则火路不通、巧坞不宁而失眠。临床表现方面，心烦不寐、胸中烦闷，为痰热内扰、心神不宁的表现；头重、目眩，为痰热上蒙清窍的表现。舌象见舌红、苔黄腻，脉象见弦滑，为痰热内盛的典型舌脉。目诊“勒答”见白睛脉络散乱、多而集中靠近瞳仁、色深，是因痰热上扰、脉络紊乱而目络散乱无序、聚集色深。甲诊见甲色鲜红、按压甲尖放开后恢复原色快，是因痰热内盛、气血沸涌而甲色鲜红、回血迅捷。上述表现共同反映了痰热内扰、心神不宁的阳证病机。</w:t>
      </w:r>
    </w:p>
    <w:p w14:paraId="15E73E58">
      <w:pPr>
        <w:pStyle w:val="33"/>
        <w:spacing w:before="0" w:beforeLines="0" w:after="0" w:afterLines="0"/>
        <w:ind w:firstLine="560"/>
        <w:jc w:val="both"/>
        <w:rPr>
          <w:rFonts w:hint="eastAsia"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w:t>
      </w:r>
      <w:r>
        <w:rPr>
          <w:rFonts w:hint="eastAsia" w:ascii="仿宋_GB2312" w:hAnsi="仿宋_GB2312" w:eastAsia="仿宋_GB2312" w:cs="仿宋_GB2312"/>
          <w:color w:val="auto"/>
          <w:sz w:val="28"/>
          <w:szCs w:val="28"/>
          <w:highlight w:val="none"/>
          <w:lang w:val="en-US" w:eastAsia="zh-CN"/>
        </w:rPr>
        <w:t>.</w:t>
      </w:r>
      <w:r>
        <w:rPr>
          <w:rFonts w:hint="eastAsia" w:ascii="仿宋_GB2312" w:hAnsi="仿宋_GB2312" w:eastAsia="仿宋_GB2312" w:cs="仿宋_GB2312"/>
          <w:color w:val="auto"/>
          <w:sz w:val="28"/>
          <w:szCs w:val="28"/>
          <w:highlight w:val="none"/>
        </w:rPr>
        <w:t xml:space="preserve"> 睡眠质量的量化评估</w:t>
      </w:r>
      <w:r>
        <w:rPr>
          <w:rFonts w:hint="eastAsia" w:ascii="仿宋_GB2312" w:hAnsi="仿宋_GB2312" w:eastAsia="仿宋_GB2312" w:cs="仿宋_GB2312"/>
          <w:color w:val="auto"/>
          <w:sz w:val="28"/>
          <w:szCs w:val="28"/>
          <w:highlight w:val="none"/>
          <w:lang w:eastAsia="zh-CN"/>
        </w:rPr>
        <w:t>：</w:t>
      </w:r>
      <w:r>
        <w:rPr>
          <w:rFonts w:hint="eastAsia" w:ascii="仿宋_GB2312" w:hAnsi="仿宋_GB2312" w:eastAsia="仿宋_GB2312" w:cs="仿宋_GB2312"/>
          <w:color w:val="auto"/>
          <w:sz w:val="28"/>
          <w:szCs w:val="28"/>
          <w:highlight w:val="none"/>
        </w:rPr>
        <w:t>规定使用匹兹堡睡眠质量指数表（PSQI）评估患者睡眠障碍的时间、质量及伴随症状。PSQI是国际通用的睡眠质量评估量表，信度和效度已得到广泛验证。将其引入壮医护理标准，是为了实现民族医学与现代评价体系的衔接，为壮医护理技术的疗效评价提供量化依据。附录B提供了完整的量表和计分方法，便于护士操作。</w:t>
      </w:r>
    </w:p>
    <w:p w14:paraId="51CF8E51">
      <w:pPr>
        <w:pStyle w:val="33"/>
        <w:spacing w:before="0" w:beforeLines="0" w:after="0" w:afterLines="0"/>
        <w:ind w:firstLine="560"/>
        <w:jc w:val="both"/>
        <w:rPr>
          <w:rFonts w:hint="eastAsia"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评估频次确定为入院第1 d、第2 d、3 d～7 d、第8 d以后、出院当天各评估1次，共5个时间节点。该设置基于以下考虑：入院第1 d建立基线数据；入院第2 d排除入院适应期的暂时性波动；入院3 d～7 d观察干预措施的初步效果；入院第8 d以后评估持续干预的效果；出院当天总结疗效，为出院指导提供依据。该频次设置经17家起草单位临床试用，既能反映病情变化，又不过度增加护理工作量。</w:t>
      </w:r>
    </w:p>
    <w:p w14:paraId="1EE04063">
      <w:pPr>
        <w:pStyle w:val="33"/>
        <w:spacing w:before="0" w:beforeLines="0" w:after="0" w:afterLines="0"/>
        <w:ind w:firstLine="560"/>
        <w:jc w:val="both"/>
        <w:rPr>
          <w:rFonts w:hint="eastAsia"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3</w:t>
      </w:r>
      <w:r>
        <w:rPr>
          <w:rFonts w:hint="eastAsia" w:ascii="仿宋_GB2312" w:hAnsi="仿宋_GB2312" w:eastAsia="仿宋_GB2312" w:cs="仿宋_GB2312"/>
          <w:color w:val="auto"/>
          <w:sz w:val="28"/>
          <w:szCs w:val="28"/>
          <w:highlight w:val="none"/>
          <w:lang w:val="en-US" w:eastAsia="zh-CN"/>
        </w:rPr>
        <w:t>.</w:t>
      </w:r>
      <w:r>
        <w:rPr>
          <w:rFonts w:hint="eastAsia" w:ascii="仿宋_GB2312" w:hAnsi="仿宋_GB2312" w:eastAsia="仿宋_GB2312" w:cs="仿宋_GB2312"/>
          <w:color w:val="auto"/>
          <w:sz w:val="28"/>
          <w:szCs w:val="28"/>
          <w:highlight w:val="none"/>
        </w:rPr>
        <w:t xml:space="preserve"> 焦虑情绪的量化评估</w:t>
      </w:r>
      <w:r>
        <w:rPr>
          <w:rFonts w:hint="eastAsia" w:ascii="仿宋_GB2312" w:hAnsi="仿宋_GB2312" w:eastAsia="仿宋_GB2312" w:cs="仿宋_GB2312"/>
          <w:color w:val="auto"/>
          <w:sz w:val="28"/>
          <w:szCs w:val="28"/>
          <w:highlight w:val="none"/>
          <w:lang w:eastAsia="zh-CN"/>
        </w:rPr>
        <w:t>：</w:t>
      </w:r>
      <w:r>
        <w:rPr>
          <w:rFonts w:hint="eastAsia" w:ascii="仿宋_GB2312" w:hAnsi="仿宋_GB2312" w:eastAsia="仿宋_GB2312" w:cs="仿宋_GB2312"/>
          <w:color w:val="auto"/>
          <w:sz w:val="28"/>
          <w:szCs w:val="28"/>
          <w:highlight w:val="none"/>
        </w:rPr>
        <w:t>规定使用焦虑自量表（SAS）评估患者焦虑程度、发作的时间及背景因素。SAS是国际通用的焦虑评估工具，引入该工具可实现壮医护理与现代评价体系的衔接。附录C提供了完整的量表、计分方法及焦虑分级标准。</w:t>
      </w:r>
    </w:p>
    <w:p w14:paraId="1CA23DE2">
      <w:pPr>
        <w:pStyle w:val="33"/>
        <w:spacing w:before="0" w:beforeLines="0" w:after="0" w:afterLines="0"/>
        <w:ind w:firstLine="560"/>
        <w:jc w:val="both"/>
        <w:rPr>
          <w:rFonts w:hint="eastAsia"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评估频次与PSQI相同，设定为入院第1 d、第2 d、3 d～7 d、第8 d以后、出院当天各评估1次。焦虑情绪既是年闹诺的常见伴随症状，也是加重病情的重要因素。五次评估的节点设置，可动态监测焦虑情绪的变化趋势，为情志调理措施的效果评价提供依据，同时也有助于识别焦虑与睡眠障碍之间的相互作用关系。</w:t>
      </w:r>
    </w:p>
    <w:p w14:paraId="6DE0BA53">
      <w:pPr>
        <w:pStyle w:val="33"/>
        <w:spacing w:before="0" w:beforeLines="0" w:after="0" w:afterLines="0"/>
        <w:ind w:firstLine="562"/>
        <w:jc w:val="both"/>
        <w:outlineLvl w:val="1"/>
        <w:rPr>
          <w:rFonts w:hint="eastAsia" w:ascii="仿宋_GB2312" w:hAnsi="仿宋_GB2312" w:eastAsia="仿宋_GB2312" w:cs="仿宋_GB2312"/>
          <w:b/>
          <w:bCs w:val="0"/>
          <w:color w:val="auto"/>
          <w:sz w:val="28"/>
          <w:szCs w:val="28"/>
          <w:highlight w:val="none"/>
          <w:lang w:val="en-US" w:eastAsia="zh-CN"/>
        </w:rPr>
      </w:pPr>
      <w:r>
        <w:rPr>
          <w:rFonts w:hint="eastAsia" w:ascii="仿宋_GB2312" w:hAnsi="仿宋_GB2312" w:eastAsia="仿宋_GB2312" w:cs="仿宋_GB2312"/>
          <w:b/>
          <w:bCs w:val="0"/>
          <w:color w:val="auto"/>
          <w:sz w:val="28"/>
          <w:szCs w:val="28"/>
          <w:highlight w:val="none"/>
          <w:lang w:val="en-US" w:eastAsia="zh-CN"/>
        </w:rPr>
        <w:t>（四）护理措施</w:t>
      </w:r>
    </w:p>
    <w:p w14:paraId="4F769F4E">
      <w:pPr>
        <w:pStyle w:val="33"/>
        <w:spacing w:before="0" w:beforeLines="0" w:after="0" w:afterLines="0"/>
        <w:ind w:firstLine="562"/>
        <w:jc w:val="both"/>
        <w:outlineLvl w:val="2"/>
        <w:rPr>
          <w:rFonts w:hint="eastAsia" w:ascii="仿宋_GB2312" w:hAnsi="仿宋_GB2312" w:eastAsia="仿宋_GB2312" w:cs="仿宋_GB2312"/>
          <w:b/>
          <w:bCs w:val="0"/>
          <w:color w:val="auto"/>
          <w:sz w:val="28"/>
          <w:szCs w:val="28"/>
          <w:highlight w:val="none"/>
          <w:lang w:val="en-US" w:eastAsia="zh-CN"/>
        </w:rPr>
      </w:pPr>
      <w:r>
        <w:rPr>
          <w:rFonts w:hint="eastAsia" w:ascii="仿宋_GB2312" w:hAnsi="仿宋_GB2312" w:eastAsia="仿宋_GB2312" w:cs="仿宋_GB2312"/>
          <w:b/>
          <w:bCs w:val="0"/>
          <w:color w:val="auto"/>
          <w:sz w:val="28"/>
          <w:szCs w:val="28"/>
          <w:highlight w:val="none"/>
          <w:lang w:val="en-US" w:eastAsia="zh-CN"/>
        </w:rPr>
        <w:t>1. 壮医外治护理</w:t>
      </w:r>
    </w:p>
    <w:p w14:paraId="0CE27EAB">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依据壮医“辨证施护”原则，将年闹诺（睡眠障碍）分为阴证与阳证两大类，并针对不同证型，规定了八种壮医特色外治技术的适应证、施术部位（穴位）及操作参数。各技术的确定依据如下：</w:t>
      </w:r>
    </w:p>
    <w:p w14:paraId="1478BA07">
      <w:pPr>
        <w:pStyle w:val="33"/>
        <w:spacing w:before="0" w:beforeLines="0" w:after="0" w:afterLines="0"/>
        <w:ind w:firstLine="562"/>
        <w:jc w:val="both"/>
        <w:outlineLvl w:val="9"/>
        <w:rPr>
          <w:rFonts w:hint="eastAsia" w:ascii="仿宋_GB2312" w:hAnsi="仿宋_GB2312" w:eastAsia="仿宋_GB2312" w:cs="仿宋_GB2312"/>
          <w:b/>
          <w:bCs w:val="0"/>
          <w:color w:val="auto"/>
          <w:sz w:val="28"/>
          <w:szCs w:val="28"/>
          <w:highlight w:val="none"/>
          <w:lang w:val="en-US" w:eastAsia="zh-CN"/>
        </w:rPr>
      </w:pPr>
      <w:r>
        <w:rPr>
          <w:rFonts w:hint="eastAsia" w:ascii="仿宋_GB2312" w:hAnsi="仿宋_GB2312" w:eastAsia="仿宋_GB2312" w:cs="仿宋_GB2312"/>
          <w:b/>
          <w:bCs w:val="0"/>
          <w:color w:val="auto"/>
          <w:sz w:val="28"/>
          <w:szCs w:val="28"/>
          <w:highlight w:val="none"/>
          <w:lang w:val="en-US" w:eastAsia="zh-CN"/>
        </w:rPr>
        <w:t>1.1 针对阴证的壮医外治护理</w:t>
      </w:r>
    </w:p>
    <w:p w14:paraId="52F1B328">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阴证患者表现为夜寐不安、多梦易醒、病程较长，伴神疲、头晕、心悸等症状，其病机以“虚”“寒”“郁”为核心。因此，所选用外治技术以温通、补益、安神为主。</w:t>
      </w:r>
    </w:p>
    <w:p w14:paraId="4C50BB21">
      <w:pPr>
        <w:pStyle w:val="33"/>
        <w:spacing w:before="0" w:beforeLines="0" w:after="0" w:afterLines="0"/>
        <w:ind w:firstLine="562"/>
        <w:jc w:val="both"/>
        <w:outlineLvl w:val="9"/>
        <w:rPr>
          <w:rFonts w:hint="eastAsia" w:ascii="仿宋_GB2312" w:hAnsi="仿宋_GB2312" w:eastAsia="仿宋_GB2312" w:cs="仿宋_GB2312"/>
          <w:b/>
          <w:bCs w:val="0"/>
          <w:color w:val="auto"/>
          <w:sz w:val="28"/>
          <w:szCs w:val="28"/>
          <w:highlight w:val="none"/>
          <w:lang w:val="en-US" w:eastAsia="zh-CN"/>
        </w:rPr>
      </w:pPr>
      <w:r>
        <w:rPr>
          <w:rFonts w:hint="eastAsia" w:ascii="仿宋_GB2312" w:hAnsi="仿宋_GB2312" w:eastAsia="仿宋_GB2312" w:cs="仿宋_GB2312"/>
          <w:b/>
          <w:bCs w:val="0"/>
          <w:color w:val="auto"/>
          <w:sz w:val="28"/>
          <w:szCs w:val="28"/>
          <w:highlight w:val="none"/>
          <w:lang w:val="en-US" w:eastAsia="zh-CN"/>
        </w:rPr>
        <w:t xml:space="preserve">1.1.1 </w:t>
      </w:r>
      <w:r>
        <w:rPr>
          <w:rFonts w:hint="eastAsia" w:ascii="仿宋_GB2312" w:hAnsi="仿宋_GB2312" w:eastAsia="仿宋_GB2312" w:cs="仿宋_GB2312"/>
          <w:b/>
          <w:bCs w:val="0"/>
          <w:color w:val="auto"/>
          <w:sz w:val="28"/>
          <w:szCs w:val="28"/>
          <w:highlight w:val="none"/>
          <w:lang w:val="en-US" w:eastAsia="zh-CN"/>
        </w:rPr>
        <w:t>壮医药物竹罐治疗</w:t>
      </w:r>
    </w:p>
    <w:p w14:paraId="0C9A80F6">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（1）技术来源：壮医药物竹罐疗法是将竹罐与壮药结合的外治技术，具有祛风除湿、通络止痛之效，</w:t>
      </w:r>
      <w:r>
        <w:rPr>
          <w:rFonts w:hint="eastAsia" w:ascii="仿宋_GB2312" w:hAnsi="仿宋_GB2312" w:eastAsia="仿宋_GB2312" w:cs="仿宋_GB2312"/>
          <w:b w:val="0"/>
          <w:bCs/>
          <w:color w:val="auto"/>
          <w:sz w:val="28"/>
          <w:szCs w:val="28"/>
          <w:highlight w:val="none"/>
          <w:lang w:val="en-US" w:eastAsia="zh-CN"/>
        </w:rPr>
        <w:t>操作方法按</w:t>
      </w:r>
      <w:r>
        <w:rPr>
          <w:rFonts w:hint="eastAsia" w:ascii="仿宋_GB2312" w:hAnsi="仿宋_GB2312" w:eastAsia="仿宋_GB2312" w:cs="仿宋_GB2312"/>
          <w:b w:val="0"/>
          <w:bCs/>
          <w:color w:val="auto"/>
          <w:sz w:val="28"/>
          <w:szCs w:val="28"/>
          <w:highlight w:val="none"/>
          <w:lang w:val="en-US" w:eastAsia="zh-CN"/>
        </w:rPr>
        <w:t>DB45/T 2790的要求执行。</w:t>
      </w:r>
    </w:p>
    <w:p w14:paraId="4C6484DB">
      <w:pPr>
        <w:pStyle w:val="33"/>
        <w:spacing w:before="0" w:beforeLines="0" w:after="0" w:afterLines="0" w:line="240" w:lineRule="auto"/>
        <w:ind w:left="0" w:leftChars="0" w:firstLine="0" w:firstLineChars="0"/>
        <w:jc w:val="center"/>
        <w:outlineLvl w:val="9"/>
      </w:pPr>
      <w:r>
        <w:drawing>
          <wp:inline distT="0" distB="0" distL="114300" distR="114300">
            <wp:extent cx="4000500" cy="2483485"/>
            <wp:effectExtent l="9525" t="9525" r="9525" b="2159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7"/>
                    <a:stretch>
                      <a:fillRect/>
                    </a:stretch>
                  </pic:blipFill>
                  <pic:spPr>
                    <a:xfrm>
                      <a:off x="0" y="0"/>
                      <a:ext cx="4000500" cy="2483485"/>
                    </a:xfrm>
                    <a:prstGeom prst="rect">
                      <a:avLst/>
                    </a:prstGeom>
                    <a:noFill/>
                    <a:ln>
                      <a:solidFill>
                        <a:schemeClr val="tx1"/>
                      </a:solidFill>
                    </a:ln>
                  </pic:spPr>
                </pic:pic>
              </a:graphicData>
            </a:graphic>
          </wp:inline>
        </w:drawing>
      </w:r>
    </w:p>
    <w:p w14:paraId="478AD147">
      <w:pPr>
        <w:pStyle w:val="33"/>
        <w:spacing w:before="0" w:beforeLines="0" w:after="0" w:afterLines="0" w:line="240" w:lineRule="auto"/>
        <w:ind w:left="0" w:leftChars="0" w:firstLine="0" w:firstLineChars="0"/>
        <w:jc w:val="center"/>
        <w:outlineLvl w:val="9"/>
        <w:rPr>
          <w:rFonts w:hint="default" w:eastAsia="黑体"/>
          <w:lang w:val="en-US" w:eastAsia="zh-CN"/>
        </w:rPr>
      </w:pPr>
      <w:r>
        <w:rPr>
          <w:rFonts w:hint="eastAsia"/>
          <w:lang w:val="en-US" w:eastAsia="zh-CN"/>
        </w:rPr>
        <w:t>来源：DB45/T 2790  壮医药物竹罐治疗护理技术操作规范</w:t>
      </w:r>
    </w:p>
    <w:p w14:paraId="24A2D470">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（2）</w:t>
      </w:r>
      <w:r>
        <w:rPr>
          <w:rFonts w:hint="eastAsia" w:ascii="仿宋_GB2312" w:hAnsi="仿宋_GB2312" w:eastAsia="仿宋_GB2312" w:cs="仿宋_GB2312"/>
          <w:b w:val="0"/>
          <w:bCs/>
          <w:color w:val="auto"/>
          <w:sz w:val="28"/>
          <w:szCs w:val="28"/>
          <w:highlight w:val="none"/>
          <w:lang w:val="en-US" w:eastAsia="zh-CN"/>
        </w:rPr>
        <w:t>适应证：适用于睡眠质量很差、轻度焦虑以上的阴证患者。阴证失眠患者多因气血亏虚、龙路火路瘀阻，导致“巧坞”失养。药物竹罐的温通作用可有效疏通瘀滞、补益气血，适用于病情较重者。</w:t>
      </w:r>
    </w:p>
    <w:p w14:paraId="36BCC825">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（3）</w:t>
      </w:r>
      <w:r>
        <w:rPr>
          <w:rFonts w:hint="eastAsia" w:ascii="仿宋_GB2312" w:hAnsi="仿宋_GB2312" w:eastAsia="仿宋_GB2312" w:cs="仿宋_GB2312"/>
          <w:b w:val="0"/>
          <w:bCs/>
          <w:color w:val="auto"/>
          <w:sz w:val="28"/>
          <w:szCs w:val="28"/>
          <w:highlight w:val="none"/>
          <w:lang w:val="en-US" w:eastAsia="zh-CN"/>
        </w:rPr>
        <w:t>部位选择：取“减压区”“近夹脊穴”“远夹脊穴”。减压区位于颈背部，是壮医治疗头部疾病的常用部位；近、远夹脊穴沿脊柱两侧分布，对应龙路、火路循行路线，拔罐可疏通两路、调畅气血、安神定志。</w:t>
      </w:r>
    </w:p>
    <w:p w14:paraId="3B1095C2">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（4）</w:t>
      </w:r>
      <w:r>
        <w:rPr>
          <w:rFonts w:hint="eastAsia" w:ascii="仿宋_GB2312" w:hAnsi="仿宋_GB2312" w:eastAsia="仿宋_GB2312" w:cs="仿宋_GB2312"/>
          <w:b w:val="0"/>
          <w:bCs/>
          <w:color w:val="auto"/>
          <w:sz w:val="28"/>
          <w:szCs w:val="28"/>
          <w:highlight w:val="none"/>
          <w:lang w:val="en-US" w:eastAsia="zh-CN"/>
        </w:rPr>
        <w:t>参数设定：每次10～20罐，留罐5 min～10 min，每周2～3次，7 d为1个疗程。阴证属虚、寒，宜采用温和、持续的刺激。留罐5～10分钟时间较短，旨在“以通为补”，避免过度耗气；每周2～3次的频率，可维持治疗效果，符合“虚证缓图”的调治原则。</w:t>
      </w:r>
    </w:p>
    <w:p w14:paraId="7FE632CA">
      <w:pPr>
        <w:pStyle w:val="33"/>
        <w:spacing w:before="0" w:beforeLines="0" w:after="0" w:afterLines="0"/>
        <w:ind w:firstLine="562"/>
        <w:jc w:val="both"/>
        <w:outlineLvl w:val="9"/>
        <w:rPr>
          <w:rFonts w:hint="eastAsia" w:ascii="仿宋_GB2312" w:hAnsi="仿宋_GB2312" w:eastAsia="仿宋_GB2312" w:cs="仿宋_GB2312"/>
          <w:b/>
          <w:bCs w:val="0"/>
          <w:color w:val="auto"/>
          <w:sz w:val="28"/>
          <w:szCs w:val="28"/>
          <w:highlight w:val="none"/>
          <w:lang w:val="en-US" w:eastAsia="zh-CN"/>
        </w:rPr>
      </w:pPr>
      <w:r>
        <w:rPr>
          <w:rFonts w:hint="eastAsia" w:ascii="仿宋_GB2312" w:hAnsi="仿宋_GB2312" w:eastAsia="仿宋_GB2312" w:cs="仿宋_GB2312"/>
          <w:b/>
          <w:bCs w:val="0"/>
          <w:color w:val="auto"/>
          <w:sz w:val="28"/>
          <w:szCs w:val="28"/>
          <w:highlight w:val="none"/>
          <w:lang w:val="en-US" w:eastAsia="zh-CN"/>
        </w:rPr>
        <w:t xml:space="preserve">1.1.2 </w:t>
      </w:r>
      <w:r>
        <w:rPr>
          <w:rFonts w:hint="eastAsia" w:ascii="仿宋_GB2312" w:hAnsi="仿宋_GB2312" w:eastAsia="仿宋_GB2312" w:cs="仿宋_GB2312"/>
          <w:b/>
          <w:bCs w:val="0"/>
          <w:color w:val="auto"/>
          <w:sz w:val="28"/>
          <w:szCs w:val="28"/>
          <w:highlight w:val="none"/>
          <w:lang w:val="en-US" w:eastAsia="zh-CN"/>
        </w:rPr>
        <w:t>壮医刮痧治疗</w:t>
      </w:r>
    </w:p>
    <w:p w14:paraId="0E5E2F3C">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（1）</w:t>
      </w:r>
      <w:r>
        <w:rPr>
          <w:rFonts w:hint="eastAsia" w:ascii="仿宋_GB2312" w:hAnsi="仿宋_GB2312" w:eastAsia="仿宋_GB2312" w:cs="仿宋_GB2312"/>
          <w:b w:val="0"/>
          <w:bCs/>
          <w:color w:val="auto"/>
          <w:sz w:val="28"/>
          <w:szCs w:val="28"/>
          <w:highlight w:val="none"/>
          <w:lang w:val="en-US" w:eastAsia="zh-CN"/>
        </w:rPr>
        <w:t>技术来源：壮医刮痧疗法以壮医理论为指导，通过刮拭体表龙路、火路网络，达到调气解毒、活血通络的目的，</w:t>
      </w:r>
      <w:r>
        <w:rPr>
          <w:rFonts w:hint="eastAsia" w:ascii="仿宋_GB2312" w:hAnsi="仿宋_GB2312" w:eastAsia="仿宋_GB2312" w:cs="仿宋_GB2312"/>
          <w:b w:val="0"/>
          <w:bCs/>
          <w:color w:val="auto"/>
          <w:sz w:val="28"/>
          <w:szCs w:val="28"/>
          <w:highlight w:val="none"/>
          <w:lang w:val="en-US" w:eastAsia="zh-CN"/>
        </w:rPr>
        <w:t>操作方法按GB/T 21709.22的要求执行</w:t>
      </w:r>
      <w:r>
        <w:rPr>
          <w:rFonts w:hint="eastAsia" w:ascii="仿宋_GB2312" w:hAnsi="仿宋_GB2312" w:eastAsia="仿宋_GB2312" w:cs="仿宋_GB2312"/>
          <w:b w:val="0"/>
          <w:bCs/>
          <w:color w:val="auto"/>
          <w:sz w:val="28"/>
          <w:szCs w:val="28"/>
          <w:highlight w:val="none"/>
          <w:lang w:val="en-US" w:eastAsia="zh-CN"/>
        </w:rPr>
        <w:t>。</w:t>
      </w:r>
    </w:p>
    <w:p w14:paraId="05E4EC8F">
      <w:pPr>
        <w:pStyle w:val="33"/>
        <w:spacing w:before="0" w:beforeLines="0" w:after="0" w:afterLines="0" w:line="240" w:lineRule="auto"/>
        <w:ind w:left="0" w:leftChars="0" w:firstLine="0" w:firstLineChars="0"/>
        <w:jc w:val="center"/>
        <w:outlineLvl w:val="9"/>
      </w:pPr>
      <w:r>
        <w:drawing>
          <wp:inline distT="0" distB="0" distL="114300" distR="114300">
            <wp:extent cx="3758565" cy="2169795"/>
            <wp:effectExtent l="9525" t="9525" r="22860" b="1143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8"/>
                    <a:stretch>
                      <a:fillRect/>
                    </a:stretch>
                  </pic:blipFill>
                  <pic:spPr>
                    <a:xfrm>
                      <a:off x="0" y="0"/>
                      <a:ext cx="3758565" cy="2169795"/>
                    </a:xfrm>
                    <a:prstGeom prst="rect">
                      <a:avLst/>
                    </a:prstGeom>
                    <a:noFill/>
                    <a:ln>
                      <a:solidFill>
                        <a:schemeClr val="tx1"/>
                      </a:solidFill>
                    </a:ln>
                  </pic:spPr>
                </pic:pic>
              </a:graphicData>
            </a:graphic>
          </wp:inline>
        </w:drawing>
      </w:r>
    </w:p>
    <w:p w14:paraId="684CCCF6">
      <w:pPr>
        <w:pStyle w:val="33"/>
        <w:spacing w:before="0" w:beforeLines="0" w:after="0" w:afterLines="0" w:line="240" w:lineRule="auto"/>
        <w:ind w:left="0" w:leftChars="0" w:firstLine="0" w:firstLineChars="0"/>
        <w:jc w:val="center"/>
        <w:outlineLvl w:val="9"/>
        <w:rPr>
          <w:rFonts w:hint="default" w:eastAsia="黑体"/>
          <w:lang w:val="en-US" w:eastAsia="zh-CN"/>
        </w:rPr>
      </w:pPr>
      <w:r>
        <w:rPr>
          <w:rFonts w:hint="eastAsia"/>
          <w:lang w:val="en-US" w:eastAsia="zh-CN"/>
        </w:rPr>
        <w:t>来源：GB/T 21709.22  针灸技术操作规范  第22部分：刮痧</w:t>
      </w:r>
    </w:p>
    <w:p w14:paraId="0D356CFC">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（2）</w:t>
      </w:r>
      <w:r>
        <w:rPr>
          <w:rFonts w:hint="eastAsia" w:ascii="仿宋_GB2312" w:hAnsi="仿宋_GB2312" w:eastAsia="仿宋_GB2312" w:cs="仿宋_GB2312"/>
          <w:b w:val="0"/>
          <w:bCs/>
          <w:color w:val="auto"/>
          <w:sz w:val="28"/>
          <w:szCs w:val="28"/>
          <w:highlight w:val="none"/>
          <w:lang w:val="en-US" w:eastAsia="zh-CN"/>
        </w:rPr>
        <w:t>适应证：适用于睡眠质量很差、轻度焦虑以上的阴证患者。与竹罐疗法同理，刮痧可有效疏通因虚致瘀的经络，改善“巧坞”的气血供应，适用于病情较重的阴证患者。</w:t>
      </w:r>
    </w:p>
    <w:p w14:paraId="43292B47">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（3）</w:t>
      </w:r>
      <w:r>
        <w:rPr>
          <w:rFonts w:hint="eastAsia" w:ascii="仿宋_GB2312" w:hAnsi="仿宋_GB2312" w:eastAsia="仿宋_GB2312" w:cs="仿宋_GB2312"/>
          <w:b w:val="0"/>
          <w:bCs/>
          <w:color w:val="auto"/>
          <w:sz w:val="28"/>
          <w:szCs w:val="28"/>
          <w:highlight w:val="none"/>
          <w:lang w:val="en-US" w:eastAsia="zh-CN"/>
        </w:rPr>
        <w:t>部位选择：取“减压区”“近夹脊穴”“远夹脊穴”“耳环穴”。减压区与夹脊穴的选穴思路与竹罐疗法一致，旨在疏通背部气血，调节脏腑功能；耳环穴是壮医治疗失眠的特色穴位，认为耳为“巧坞”之窍，刮拭此处可直接安神定志。</w:t>
      </w:r>
    </w:p>
    <w:p w14:paraId="765ACA48">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（4）</w:t>
      </w:r>
      <w:r>
        <w:rPr>
          <w:rFonts w:hint="eastAsia" w:ascii="仿宋_GB2312" w:hAnsi="仿宋_GB2312" w:eastAsia="仿宋_GB2312" w:cs="仿宋_GB2312"/>
          <w:b w:val="0"/>
          <w:bCs/>
          <w:color w:val="auto"/>
          <w:sz w:val="28"/>
          <w:szCs w:val="28"/>
          <w:highlight w:val="none"/>
          <w:lang w:val="en-US" w:eastAsia="zh-CN"/>
        </w:rPr>
        <w:t>参数设定：每部刮10～20次，每3 d 1次，5次为1个疗程。相较于阳证，阴证刮痧频率更低（每3天1次）。这是基于阴证患者气血相对不足，频繁、强力的刮痧可能耗伤气血。降低频率，给予身体足够的恢复时间，体现了“扶正而不伤正”的护理原则。</w:t>
      </w:r>
    </w:p>
    <w:p w14:paraId="569E070E">
      <w:pPr>
        <w:pStyle w:val="33"/>
        <w:spacing w:before="0" w:beforeLines="0" w:after="0" w:afterLines="0"/>
        <w:ind w:firstLine="562"/>
        <w:jc w:val="both"/>
        <w:outlineLvl w:val="9"/>
        <w:rPr>
          <w:rFonts w:hint="eastAsia" w:ascii="仿宋_GB2312" w:hAnsi="仿宋_GB2312" w:eastAsia="仿宋_GB2312" w:cs="仿宋_GB2312"/>
          <w:b/>
          <w:bCs w:val="0"/>
          <w:color w:val="auto"/>
          <w:sz w:val="28"/>
          <w:szCs w:val="28"/>
          <w:highlight w:val="none"/>
          <w:lang w:val="en-US" w:eastAsia="zh-CN"/>
        </w:rPr>
      </w:pPr>
      <w:r>
        <w:rPr>
          <w:rFonts w:hint="eastAsia" w:ascii="仿宋_GB2312" w:hAnsi="仿宋_GB2312" w:eastAsia="仿宋_GB2312" w:cs="仿宋_GB2312"/>
          <w:b/>
          <w:bCs w:val="0"/>
          <w:color w:val="auto"/>
          <w:sz w:val="28"/>
          <w:szCs w:val="28"/>
          <w:highlight w:val="none"/>
          <w:lang w:val="en-US" w:eastAsia="zh-CN"/>
        </w:rPr>
        <w:t xml:space="preserve">1.1.3 </w:t>
      </w:r>
      <w:r>
        <w:rPr>
          <w:rFonts w:hint="eastAsia" w:ascii="仿宋_GB2312" w:hAnsi="仿宋_GB2312" w:eastAsia="仿宋_GB2312" w:cs="仿宋_GB2312"/>
          <w:b/>
          <w:bCs w:val="0"/>
          <w:color w:val="auto"/>
          <w:sz w:val="28"/>
          <w:szCs w:val="28"/>
          <w:highlight w:val="none"/>
          <w:lang w:val="en-US" w:eastAsia="zh-CN"/>
        </w:rPr>
        <w:t>壮医敷贴治疗</w:t>
      </w:r>
    </w:p>
    <w:p w14:paraId="39CA1E47">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（1）</w:t>
      </w:r>
      <w:r>
        <w:rPr>
          <w:rFonts w:hint="eastAsia" w:ascii="仿宋_GB2312" w:hAnsi="仿宋_GB2312" w:eastAsia="仿宋_GB2312" w:cs="仿宋_GB2312"/>
          <w:b w:val="0"/>
          <w:bCs/>
          <w:color w:val="auto"/>
          <w:sz w:val="28"/>
          <w:szCs w:val="28"/>
          <w:highlight w:val="none"/>
          <w:lang w:val="en-US" w:eastAsia="zh-CN"/>
        </w:rPr>
        <w:t>技术来源：壮医敷贴疗法是将壮药贴敷于特定穴位的外治技术，具有药物吸收与穴位刺激的双重作用，</w:t>
      </w:r>
      <w:r>
        <w:rPr>
          <w:rFonts w:hint="eastAsia" w:ascii="仿宋_GB2312" w:hAnsi="仿宋_GB2312" w:eastAsia="仿宋_GB2312" w:cs="仿宋_GB2312"/>
          <w:b w:val="0"/>
          <w:bCs/>
          <w:color w:val="auto"/>
          <w:sz w:val="28"/>
          <w:szCs w:val="28"/>
          <w:highlight w:val="none"/>
          <w:lang w:val="en-US" w:eastAsia="zh-CN"/>
        </w:rPr>
        <w:t>操作方法按DB45/T 2792的要求执行</w:t>
      </w:r>
      <w:r>
        <w:rPr>
          <w:rFonts w:hint="eastAsia" w:ascii="仿宋_GB2312" w:hAnsi="仿宋_GB2312" w:eastAsia="仿宋_GB2312" w:cs="仿宋_GB2312"/>
          <w:b w:val="0"/>
          <w:bCs/>
          <w:color w:val="auto"/>
          <w:sz w:val="28"/>
          <w:szCs w:val="28"/>
          <w:highlight w:val="none"/>
          <w:lang w:val="en-US" w:eastAsia="zh-CN"/>
        </w:rPr>
        <w:t>。</w:t>
      </w:r>
    </w:p>
    <w:p w14:paraId="06A7FF42">
      <w:pPr>
        <w:pStyle w:val="33"/>
        <w:spacing w:before="0" w:beforeLines="0" w:after="0" w:afterLines="0" w:line="240" w:lineRule="auto"/>
        <w:ind w:left="0" w:leftChars="0" w:firstLine="0" w:firstLineChars="0"/>
        <w:jc w:val="center"/>
        <w:outlineLvl w:val="9"/>
      </w:pPr>
      <w:r>
        <w:drawing>
          <wp:inline distT="0" distB="0" distL="114300" distR="114300">
            <wp:extent cx="4565015" cy="2825750"/>
            <wp:effectExtent l="9525" t="9525" r="16510" b="22225"/>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9"/>
                    <a:stretch>
                      <a:fillRect/>
                    </a:stretch>
                  </pic:blipFill>
                  <pic:spPr>
                    <a:xfrm>
                      <a:off x="0" y="0"/>
                      <a:ext cx="4565015" cy="2825750"/>
                    </a:xfrm>
                    <a:prstGeom prst="rect">
                      <a:avLst/>
                    </a:prstGeom>
                    <a:noFill/>
                    <a:ln>
                      <a:solidFill>
                        <a:schemeClr val="tx1"/>
                      </a:solidFill>
                    </a:ln>
                  </pic:spPr>
                </pic:pic>
              </a:graphicData>
            </a:graphic>
          </wp:inline>
        </w:drawing>
      </w:r>
    </w:p>
    <w:p w14:paraId="4D0B7E0B">
      <w:pPr>
        <w:pStyle w:val="33"/>
        <w:spacing w:before="0" w:beforeLines="0" w:after="0" w:afterLines="0" w:line="240" w:lineRule="auto"/>
        <w:ind w:left="0" w:leftChars="0" w:firstLine="0" w:firstLineChars="0"/>
        <w:jc w:val="center"/>
        <w:outlineLvl w:val="9"/>
        <w:rPr>
          <w:rFonts w:hint="eastAsia" w:eastAsia="黑体"/>
          <w:lang w:val="en-US" w:eastAsia="zh-CN"/>
        </w:rPr>
      </w:pPr>
      <w:r>
        <w:rPr>
          <w:rFonts w:hint="eastAsia"/>
          <w:lang w:eastAsia="zh-CN"/>
        </w:rPr>
        <w:t>来源：DB45/T 2792  壮医敷贴治疗护理技术操作规范</w:t>
      </w:r>
    </w:p>
    <w:p w14:paraId="497E4593">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（2）</w:t>
      </w:r>
      <w:r>
        <w:rPr>
          <w:rFonts w:hint="eastAsia" w:ascii="仿宋_GB2312" w:hAnsi="仿宋_GB2312" w:eastAsia="仿宋_GB2312" w:cs="仿宋_GB2312"/>
          <w:b w:val="0"/>
          <w:bCs/>
          <w:color w:val="auto"/>
          <w:sz w:val="28"/>
          <w:szCs w:val="28"/>
          <w:highlight w:val="none"/>
          <w:lang w:val="en-US" w:eastAsia="zh-CN"/>
        </w:rPr>
        <w:t>适应证：适用于睡眠质量还行、以及轻、中度焦虑的阴证患者。敷贴疗法作用缓和而持久，适用于病情相对较轻或处于缓解期的患者，通过持续的药物渗透来培补正气、安神定志。</w:t>
      </w:r>
    </w:p>
    <w:p w14:paraId="14495582">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（3）</w:t>
      </w:r>
      <w:r>
        <w:rPr>
          <w:rFonts w:hint="eastAsia" w:ascii="仿宋_GB2312" w:hAnsi="仿宋_GB2312" w:eastAsia="仿宋_GB2312" w:cs="仿宋_GB2312"/>
          <w:b w:val="0"/>
          <w:bCs/>
          <w:color w:val="auto"/>
          <w:sz w:val="28"/>
          <w:szCs w:val="28"/>
          <w:highlight w:val="none"/>
          <w:lang w:val="en-US" w:eastAsia="zh-CN"/>
        </w:rPr>
        <w:t>部位选择：取“脐环穴”“腹三环穴（RFh3-3、RFh3-9）”“地井穴”“臂内前穴”“内中桩”“前上桩穴”。脐环穴、腹三环穴位于腹部，可调节“谷道”（胃肠道）功能，促进气血生化，是“补虚”的重要途径；地井穴（足心）是壮医“补虚”要穴，可引火归元、安神助眠；臂内前穴位于前臂内侧，属“火路”循行部位，可调节心神；内中桩、前上桩为壮医特定穴位，具有调气安神之效。</w:t>
      </w:r>
    </w:p>
    <w:p w14:paraId="791D97C4">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（4）</w:t>
      </w:r>
      <w:r>
        <w:rPr>
          <w:rFonts w:hint="eastAsia" w:ascii="仿宋_GB2312" w:hAnsi="仿宋_GB2312" w:eastAsia="仿宋_GB2312" w:cs="仿宋_GB2312"/>
          <w:b w:val="0"/>
          <w:bCs/>
          <w:color w:val="auto"/>
          <w:sz w:val="28"/>
          <w:szCs w:val="28"/>
          <w:highlight w:val="none"/>
          <w:lang w:val="en-US" w:eastAsia="zh-CN"/>
        </w:rPr>
        <w:t>参数设定：每日1次，每次2 h～4 h，5 d～7 d为1个疗程。每日1次可维持稳定的药物刺激；贴敷2～4小时，既能保证药物有效成分的吸收，又可避免长时间贴敷对皮肤造成刺激，符合安全、有效的原则。</w:t>
      </w:r>
    </w:p>
    <w:p w14:paraId="086053B7">
      <w:pPr>
        <w:pStyle w:val="33"/>
        <w:spacing w:before="0" w:beforeLines="0" w:after="0" w:afterLines="0"/>
        <w:ind w:firstLine="562"/>
        <w:jc w:val="both"/>
        <w:outlineLvl w:val="9"/>
        <w:rPr>
          <w:rFonts w:hint="eastAsia" w:ascii="仿宋_GB2312" w:hAnsi="仿宋_GB2312" w:eastAsia="仿宋_GB2312" w:cs="仿宋_GB2312"/>
          <w:b/>
          <w:bCs w:val="0"/>
          <w:color w:val="auto"/>
          <w:sz w:val="28"/>
          <w:szCs w:val="28"/>
          <w:highlight w:val="none"/>
          <w:lang w:val="en-US" w:eastAsia="zh-CN"/>
        </w:rPr>
      </w:pPr>
      <w:r>
        <w:rPr>
          <w:rFonts w:hint="eastAsia" w:ascii="仿宋_GB2312" w:hAnsi="仿宋_GB2312" w:eastAsia="仿宋_GB2312" w:cs="仿宋_GB2312"/>
          <w:b/>
          <w:bCs w:val="0"/>
          <w:color w:val="auto"/>
          <w:sz w:val="28"/>
          <w:szCs w:val="28"/>
          <w:highlight w:val="none"/>
          <w:lang w:val="en-US" w:eastAsia="zh-CN"/>
        </w:rPr>
        <w:t xml:space="preserve">1.1.4 </w:t>
      </w:r>
      <w:r>
        <w:rPr>
          <w:rFonts w:hint="eastAsia" w:ascii="仿宋_GB2312" w:hAnsi="仿宋_GB2312" w:eastAsia="仿宋_GB2312" w:cs="仿宋_GB2312"/>
          <w:b/>
          <w:bCs w:val="0"/>
          <w:color w:val="auto"/>
          <w:sz w:val="28"/>
          <w:szCs w:val="28"/>
          <w:highlight w:val="none"/>
          <w:lang w:val="en-US" w:eastAsia="zh-CN"/>
        </w:rPr>
        <w:t>壮医药熨治疗</w:t>
      </w:r>
    </w:p>
    <w:p w14:paraId="0D5869A7">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（1）</w:t>
      </w:r>
      <w:r>
        <w:rPr>
          <w:rFonts w:hint="eastAsia" w:ascii="仿宋_GB2312" w:hAnsi="仿宋_GB2312" w:eastAsia="仿宋_GB2312" w:cs="仿宋_GB2312"/>
          <w:b w:val="0"/>
          <w:bCs/>
          <w:color w:val="auto"/>
          <w:sz w:val="28"/>
          <w:szCs w:val="28"/>
          <w:highlight w:val="none"/>
          <w:lang w:val="en-US" w:eastAsia="zh-CN"/>
        </w:rPr>
        <w:t>技术来源：壮医药熨疗法是将加热的壮药包熨烫患处或穴位的外治技术，具有温通散寒、调气活血之功，</w:t>
      </w:r>
      <w:r>
        <w:rPr>
          <w:rFonts w:hint="eastAsia" w:ascii="仿宋_GB2312" w:hAnsi="仿宋_GB2312" w:eastAsia="仿宋_GB2312" w:cs="仿宋_GB2312"/>
          <w:b w:val="0"/>
          <w:bCs/>
          <w:color w:val="auto"/>
          <w:sz w:val="28"/>
          <w:szCs w:val="28"/>
          <w:highlight w:val="none"/>
          <w:lang w:val="en-US" w:eastAsia="zh-CN"/>
        </w:rPr>
        <w:t>操作方法按DB45/T 2791</w:t>
      </w:r>
      <w:r>
        <w:rPr>
          <w:rFonts w:hint="eastAsia" w:ascii="仿宋_GB2312" w:hAnsi="仿宋_GB2312" w:eastAsia="仿宋_GB2312" w:cs="仿宋_GB2312"/>
          <w:b w:val="0"/>
          <w:bCs/>
          <w:color w:val="auto"/>
          <w:sz w:val="28"/>
          <w:szCs w:val="28"/>
          <w:highlight w:val="none"/>
          <w:lang w:val="en-US" w:eastAsia="zh-CN"/>
        </w:rPr>
        <w:t>的要求执行</w:t>
      </w:r>
      <w:r>
        <w:rPr>
          <w:rFonts w:hint="eastAsia" w:ascii="仿宋_GB2312" w:hAnsi="仿宋_GB2312" w:eastAsia="仿宋_GB2312" w:cs="仿宋_GB2312"/>
          <w:b w:val="0"/>
          <w:bCs/>
          <w:color w:val="auto"/>
          <w:sz w:val="28"/>
          <w:szCs w:val="28"/>
          <w:highlight w:val="none"/>
          <w:lang w:val="en-US" w:eastAsia="zh-CN"/>
        </w:rPr>
        <w:t>。</w:t>
      </w:r>
    </w:p>
    <w:p w14:paraId="037DD276">
      <w:pPr>
        <w:pStyle w:val="33"/>
        <w:spacing w:before="0" w:beforeLines="0" w:after="0" w:afterLines="0" w:line="240" w:lineRule="auto"/>
        <w:ind w:left="0" w:leftChars="0" w:firstLine="0" w:firstLineChars="0"/>
        <w:jc w:val="center"/>
        <w:outlineLvl w:val="9"/>
      </w:pPr>
      <w:r>
        <w:drawing>
          <wp:inline distT="0" distB="0" distL="114300" distR="114300">
            <wp:extent cx="4246245" cy="1865630"/>
            <wp:effectExtent l="9525" t="9525" r="11430" b="10795"/>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10"/>
                    <a:stretch>
                      <a:fillRect/>
                    </a:stretch>
                  </pic:blipFill>
                  <pic:spPr>
                    <a:xfrm>
                      <a:off x="0" y="0"/>
                      <a:ext cx="4246245" cy="1865630"/>
                    </a:xfrm>
                    <a:prstGeom prst="rect">
                      <a:avLst/>
                    </a:prstGeom>
                    <a:noFill/>
                    <a:ln>
                      <a:solidFill>
                        <a:schemeClr val="tx1"/>
                      </a:solidFill>
                    </a:ln>
                  </pic:spPr>
                </pic:pic>
              </a:graphicData>
            </a:graphic>
          </wp:inline>
        </w:drawing>
      </w:r>
    </w:p>
    <w:p w14:paraId="4612FDBA">
      <w:pPr>
        <w:pStyle w:val="33"/>
        <w:spacing w:before="0" w:beforeLines="0" w:after="0" w:afterLines="0" w:line="240" w:lineRule="auto"/>
        <w:ind w:left="0" w:leftChars="0" w:firstLine="0" w:firstLineChars="0"/>
        <w:jc w:val="center"/>
        <w:outlineLvl w:val="9"/>
        <w:rPr>
          <w:rFonts w:hint="eastAsia" w:eastAsia="黑体"/>
          <w:lang w:val="en-US" w:eastAsia="zh-CN"/>
        </w:rPr>
      </w:pPr>
      <w:r>
        <w:rPr>
          <w:rFonts w:hint="eastAsia"/>
          <w:lang w:eastAsia="zh-CN"/>
        </w:rPr>
        <w:t>来源：DB45/T 2791  壮医药熨治疗护理技术操作规范</w:t>
      </w:r>
    </w:p>
    <w:p w14:paraId="3457683A">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（2）</w:t>
      </w:r>
      <w:r>
        <w:rPr>
          <w:rFonts w:hint="eastAsia" w:ascii="仿宋_GB2312" w:hAnsi="仿宋_GB2312" w:eastAsia="仿宋_GB2312" w:cs="仿宋_GB2312"/>
          <w:b w:val="0"/>
          <w:bCs/>
          <w:color w:val="auto"/>
          <w:sz w:val="28"/>
          <w:szCs w:val="28"/>
          <w:highlight w:val="none"/>
          <w:lang w:val="en-US" w:eastAsia="zh-CN"/>
        </w:rPr>
        <w:t>适应证：适用于睡眠质量还行、一般以及轻、中度焦虑的阴证患者。药熨的温热刺激能有效温通“龙路”“火路”，改善气血循环，适用于因寒、因虚导致的“三气不能同步”。</w:t>
      </w:r>
    </w:p>
    <w:p w14:paraId="6B5A7D42">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（3）部位选择：取“减压区”“近夹脊穴”“远夹脊穴”，与药物竹罐疗法的选穴思路一致，体现了“异法同工”的治疗思想——不同技术作用于相同部位，可协同增效。</w:t>
      </w:r>
    </w:p>
    <w:p w14:paraId="6213552D">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（4）</w:t>
      </w:r>
      <w:r>
        <w:rPr>
          <w:rFonts w:hint="eastAsia" w:ascii="仿宋_GB2312" w:hAnsi="仿宋_GB2312" w:eastAsia="仿宋_GB2312" w:cs="仿宋_GB2312"/>
          <w:b w:val="0"/>
          <w:bCs/>
          <w:color w:val="auto"/>
          <w:sz w:val="28"/>
          <w:szCs w:val="28"/>
          <w:highlight w:val="none"/>
          <w:lang w:val="en-US" w:eastAsia="zh-CN"/>
        </w:rPr>
        <w:t>参数设定：每日1次，每次20 min，7 d为1个疗程。每日一次的频率可维持温通效果；20分钟的药熨时间，既能使药力和热力充分渗透，又避免了因时间过长可能导致的皮肤不适，是临床经验总结出的最佳时长。</w:t>
      </w:r>
    </w:p>
    <w:p w14:paraId="7FF39413">
      <w:pPr>
        <w:pStyle w:val="33"/>
        <w:spacing w:before="0" w:beforeLines="0" w:after="0" w:afterLines="0"/>
        <w:ind w:firstLine="562"/>
        <w:jc w:val="both"/>
        <w:outlineLvl w:val="9"/>
        <w:rPr>
          <w:rFonts w:hint="eastAsia" w:ascii="仿宋_GB2312" w:hAnsi="仿宋_GB2312" w:eastAsia="仿宋_GB2312" w:cs="仿宋_GB2312"/>
          <w:b/>
          <w:bCs w:val="0"/>
          <w:color w:val="auto"/>
          <w:sz w:val="28"/>
          <w:szCs w:val="28"/>
          <w:highlight w:val="none"/>
          <w:lang w:val="en-US" w:eastAsia="zh-CN"/>
        </w:rPr>
      </w:pPr>
      <w:r>
        <w:rPr>
          <w:rFonts w:hint="eastAsia" w:ascii="仿宋_GB2312" w:hAnsi="仿宋_GB2312" w:eastAsia="仿宋_GB2312" w:cs="仿宋_GB2312"/>
          <w:b/>
          <w:bCs w:val="0"/>
          <w:color w:val="auto"/>
          <w:sz w:val="28"/>
          <w:szCs w:val="28"/>
          <w:highlight w:val="none"/>
          <w:lang w:val="en-US" w:eastAsia="zh-CN"/>
        </w:rPr>
        <w:t xml:space="preserve">1.1.5 </w:t>
      </w:r>
      <w:r>
        <w:rPr>
          <w:rFonts w:hint="eastAsia" w:ascii="仿宋_GB2312" w:hAnsi="仿宋_GB2312" w:eastAsia="仿宋_GB2312" w:cs="仿宋_GB2312"/>
          <w:b/>
          <w:bCs w:val="0"/>
          <w:color w:val="auto"/>
          <w:sz w:val="28"/>
          <w:szCs w:val="28"/>
          <w:highlight w:val="none"/>
          <w:lang w:val="en-US" w:eastAsia="zh-CN"/>
        </w:rPr>
        <w:t>壮医耳筋治疗</w:t>
      </w:r>
    </w:p>
    <w:p w14:paraId="43C0CB63">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（1）</w:t>
      </w:r>
      <w:r>
        <w:rPr>
          <w:rFonts w:hint="eastAsia" w:ascii="仿宋_GB2312" w:hAnsi="仿宋_GB2312" w:eastAsia="仿宋_GB2312" w:cs="仿宋_GB2312"/>
          <w:b w:val="0"/>
          <w:bCs/>
          <w:color w:val="auto"/>
          <w:sz w:val="28"/>
          <w:szCs w:val="28"/>
          <w:highlight w:val="none"/>
          <w:lang w:val="en-US" w:eastAsia="zh-CN"/>
        </w:rPr>
        <w:t>技术来源：壮医耳筋治疗（耳穴按压）是基于“耳为巧坞之窍”的理论认识——耳部穴位与大脑功能密切相关。</w:t>
      </w:r>
    </w:p>
    <w:p w14:paraId="7A5B3DB3">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（2）</w:t>
      </w:r>
      <w:r>
        <w:rPr>
          <w:rFonts w:hint="eastAsia" w:ascii="仿宋_GB2312" w:hAnsi="仿宋_GB2312" w:eastAsia="仿宋_GB2312" w:cs="仿宋_GB2312"/>
          <w:b w:val="0"/>
          <w:bCs/>
          <w:color w:val="auto"/>
          <w:sz w:val="28"/>
          <w:szCs w:val="28"/>
          <w:highlight w:val="none"/>
          <w:lang w:val="en-US" w:eastAsia="zh-CN"/>
        </w:rPr>
        <w:t>适应证：适用于睡眠质量很差、轻度焦虑以上的阴证患者。耳穴疗法安全、无创，通过持续刺激可调节全身气血，尤其擅长安神定志，适用于各类失眠患者。</w:t>
      </w:r>
    </w:p>
    <w:p w14:paraId="73B434B5">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（3）</w:t>
      </w:r>
      <w:r>
        <w:rPr>
          <w:rFonts w:hint="eastAsia" w:ascii="仿宋_GB2312" w:hAnsi="仿宋_GB2312" w:eastAsia="仿宋_GB2312" w:cs="仿宋_GB2312"/>
          <w:b w:val="0"/>
          <w:bCs/>
          <w:color w:val="auto"/>
          <w:sz w:val="28"/>
          <w:szCs w:val="28"/>
          <w:highlight w:val="none"/>
          <w:lang w:val="en-US" w:eastAsia="zh-CN"/>
        </w:rPr>
        <w:t>部位选择：基于壮医“男左女右”的阴阳平衡思想，规定了男女不同的取穴方案。男性患者取左耳“巧坞”（上焦）、“中土”（中焦）、“咪心头”（下焦），右耳取“巧坞”“咪隆”（脾）、“咪胴”（胃）、“咪叠”（肝）、“咪腰”（肾）；女性则左右互换。男性患者取左耳“巧坞”（上焦）、“中土”（中焦）、“咪心头”（下焦），右耳取“巧坞”“咪隆”（脾）、“咪胴”（胃）、“咪叠”（肝）、“咪腰”（肾）；女性则左右互换。此方案旨在通过调节“三部”之气及五脏功能，从整体上恢复“三气同步”，体现了壮医的整体观念。</w:t>
      </w:r>
    </w:p>
    <w:p w14:paraId="3E5C77FF">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（4）</w:t>
      </w:r>
      <w:r>
        <w:rPr>
          <w:rFonts w:hint="eastAsia" w:ascii="仿宋_GB2312" w:hAnsi="仿宋_GB2312" w:eastAsia="仿宋_GB2312" w:cs="仿宋_GB2312"/>
          <w:b w:val="0"/>
          <w:bCs/>
          <w:color w:val="auto"/>
          <w:sz w:val="28"/>
          <w:szCs w:val="28"/>
          <w:highlight w:val="none"/>
          <w:lang w:val="en-US" w:eastAsia="zh-CN"/>
        </w:rPr>
        <w:t>参数设定：隔天1次，每穴按压1 s～2 s，每天按压3～5次，7 d为1个疗程。隔天1次可避免耳部皮肤因持续受压而损伤；每天自行按压3～5次，可维持穴位刺激的强度；每次按压1～2秒，以产生酸胀感但不引起疼痛为宜，是安全有效的自我护理方式。</w:t>
      </w:r>
    </w:p>
    <w:p w14:paraId="14C90819">
      <w:pPr>
        <w:pStyle w:val="33"/>
        <w:spacing w:before="0" w:beforeLines="0" w:after="0" w:afterLines="0"/>
        <w:ind w:firstLine="562"/>
        <w:jc w:val="both"/>
        <w:outlineLvl w:val="9"/>
        <w:rPr>
          <w:rFonts w:hint="eastAsia" w:ascii="仿宋_GB2312" w:hAnsi="仿宋_GB2312" w:eastAsia="仿宋_GB2312" w:cs="仿宋_GB2312"/>
          <w:b/>
          <w:bCs w:val="0"/>
          <w:color w:val="auto"/>
          <w:sz w:val="28"/>
          <w:szCs w:val="28"/>
          <w:highlight w:val="none"/>
          <w:lang w:val="en-US" w:eastAsia="zh-CN"/>
        </w:rPr>
      </w:pPr>
      <w:r>
        <w:rPr>
          <w:rFonts w:hint="eastAsia" w:ascii="仿宋_GB2312" w:hAnsi="仿宋_GB2312" w:eastAsia="仿宋_GB2312" w:cs="仿宋_GB2312"/>
          <w:b/>
          <w:bCs w:val="0"/>
          <w:color w:val="auto"/>
          <w:sz w:val="28"/>
          <w:szCs w:val="28"/>
          <w:highlight w:val="none"/>
          <w:lang w:val="en-US" w:eastAsia="zh-CN"/>
        </w:rPr>
        <w:t xml:space="preserve">1.1.6 </w:t>
      </w:r>
      <w:r>
        <w:rPr>
          <w:rFonts w:hint="eastAsia" w:ascii="仿宋_GB2312" w:hAnsi="仿宋_GB2312" w:eastAsia="仿宋_GB2312" w:cs="仿宋_GB2312"/>
          <w:b/>
          <w:bCs w:val="0"/>
          <w:color w:val="auto"/>
          <w:sz w:val="28"/>
          <w:szCs w:val="28"/>
          <w:highlight w:val="none"/>
          <w:lang w:val="en-US" w:eastAsia="zh-CN"/>
        </w:rPr>
        <w:t>壮医水蛭治疗</w:t>
      </w:r>
    </w:p>
    <w:p w14:paraId="3B4A1164">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（1）</w:t>
      </w:r>
      <w:r>
        <w:rPr>
          <w:rFonts w:hint="eastAsia" w:ascii="仿宋_GB2312" w:hAnsi="仿宋_GB2312" w:eastAsia="仿宋_GB2312" w:cs="仿宋_GB2312"/>
          <w:b w:val="0"/>
          <w:bCs/>
          <w:color w:val="auto"/>
          <w:sz w:val="28"/>
          <w:szCs w:val="28"/>
          <w:highlight w:val="none"/>
          <w:lang w:val="en-US" w:eastAsia="zh-CN"/>
        </w:rPr>
        <w:t>技术来源：壮医水蛭疗法是利用医用级水蛭进行吸血疗疾的独特外治技术，具有活血化瘀、通络解毒之效，</w:t>
      </w:r>
      <w:r>
        <w:rPr>
          <w:rFonts w:hint="eastAsia" w:ascii="仿宋_GB2312" w:hAnsi="仿宋_GB2312" w:eastAsia="仿宋_GB2312" w:cs="仿宋_GB2312"/>
          <w:b w:val="0"/>
          <w:bCs/>
          <w:color w:val="auto"/>
          <w:sz w:val="28"/>
          <w:szCs w:val="28"/>
          <w:highlight w:val="none"/>
          <w:lang w:val="en-US" w:eastAsia="zh-CN"/>
        </w:rPr>
        <w:t>操作方法按T/GXAS 239的要求执行</w:t>
      </w:r>
      <w:r>
        <w:rPr>
          <w:rFonts w:hint="eastAsia" w:ascii="仿宋_GB2312" w:hAnsi="仿宋_GB2312" w:eastAsia="仿宋_GB2312" w:cs="仿宋_GB2312"/>
          <w:b w:val="0"/>
          <w:bCs/>
          <w:color w:val="auto"/>
          <w:sz w:val="28"/>
          <w:szCs w:val="28"/>
          <w:highlight w:val="none"/>
          <w:lang w:val="en-US" w:eastAsia="zh-CN"/>
        </w:rPr>
        <w:t>。</w:t>
      </w:r>
    </w:p>
    <w:p w14:paraId="1F9579F1">
      <w:pPr>
        <w:pStyle w:val="33"/>
        <w:spacing w:before="0" w:beforeLines="0" w:after="0" w:afterLines="0" w:line="240" w:lineRule="auto"/>
        <w:ind w:left="0" w:leftChars="0" w:firstLine="0" w:firstLineChars="0"/>
        <w:jc w:val="center"/>
        <w:outlineLvl w:val="9"/>
      </w:pPr>
      <w:r>
        <w:drawing>
          <wp:inline distT="0" distB="0" distL="114300" distR="114300">
            <wp:extent cx="3719830" cy="2985135"/>
            <wp:effectExtent l="9525" t="9525" r="23495" b="1524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11"/>
                    <a:stretch>
                      <a:fillRect/>
                    </a:stretch>
                  </pic:blipFill>
                  <pic:spPr>
                    <a:xfrm>
                      <a:off x="0" y="0"/>
                      <a:ext cx="3719830" cy="2985135"/>
                    </a:xfrm>
                    <a:prstGeom prst="rect">
                      <a:avLst/>
                    </a:prstGeom>
                    <a:noFill/>
                    <a:ln>
                      <a:solidFill>
                        <a:schemeClr val="tx1"/>
                      </a:solidFill>
                    </a:ln>
                  </pic:spPr>
                </pic:pic>
              </a:graphicData>
            </a:graphic>
          </wp:inline>
        </w:drawing>
      </w:r>
    </w:p>
    <w:p w14:paraId="2A11A085">
      <w:pPr>
        <w:pStyle w:val="33"/>
        <w:spacing w:before="0" w:beforeLines="0" w:after="0" w:afterLines="0" w:line="240" w:lineRule="auto"/>
        <w:ind w:left="0" w:leftChars="0" w:firstLine="0" w:firstLineChars="0"/>
        <w:jc w:val="center"/>
        <w:outlineLvl w:val="9"/>
        <w:rPr>
          <w:rFonts w:hint="eastAsia" w:eastAsia="黑体"/>
          <w:lang w:val="en-US" w:eastAsia="zh-CN"/>
        </w:rPr>
      </w:pPr>
      <w:r>
        <w:rPr>
          <w:rFonts w:hint="eastAsia"/>
          <w:lang w:eastAsia="zh-CN"/>
        </w:rPr>
        <w:t>来源：T/GXAS 239  壮医水蛭疗法操作规范</w:t>
      </w:r>
    </w:p>
    <w:p w14:paraId="17F02358">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（2）</w:t>
      </w:r>
      <w:r>
        <w:rPr>
          <w:rFonts w:hint="eastAsia" w:ascii="仿宋_GB2312" w:hAnsi="仿宋_GB2312" w:eastAsia="仿宋_GB2312" w:cs="仿宋_GB2312"/>
          <w:b w:val="0"/>
          <w:bCs/>
          <w:color w:val="auto"/>
          <w:sz w:val="28"/>
          <w:szCs w:val="28"/>
          <w:highlight w:val="none"/>
          <w:lang w:val="en-US" w:eastAsia="zh-CN"/>
        </w:rPr>
        <w:t>适应证：适用于睡眠质量很差、轻度焦虑以上的阴证患者。阴证中的“瘀毒型”患者，病程长、痛处固定、舌有瘀点，存在明确的“龙路”瘀阻。水蛭疗法强大的活血化瘀作用，能直接针对核心病机，破除瘀滞，使“巧坞”得养。</w:t>
      </w:r>
    </w:p>
    <w:p w14:paraId="192CE6FB">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（3）</w:t>
      </w:r>
      <w:r>
        <w:rPr>
          <w:rFonts w:hint="eastAsia" w:ascii="仿宋_GB2312" w:hAnsi="仿宋_GB2312" w:eastAsia="仿宋_GB2312" w:cs="仿宋_GB2312"/>
          <w:b w:val="0"/>
          <w:bCs/>
          <w:color w:val="auto"/>
          <w:sz w:val="28"/>
          <w:szCs w:val="28"/>
          <w:highlight w:val="none"/>
          <w:lang w:val="en-US" w:eastAsia="zh-CN"/>
        </w:rPr>
        <w:t>部位选择：取“安眠穴”“内中桩”“内下杆”等穴位。安眠穴是治疗失眠的经验效穴；内中桩、内下杆为壮医特定穴位，位于肢体“龙路”循行部位，在此处施术，可直接疏通经络瘀滞。</w:t>
      </w:r>
    </w:p>
    <w:p w14:paraId="7E81B120">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（4）</w:t>
      </w:r>
      <w:r>
        <w:rPr>
          <w:rFonts w:hint="eastAsia" w:ascii="仿宋_GB2312" w:hAnsi="仿宋_GB2312" w:eastAsia="仿宋_GB2312" w:cs="仿宋_GB2312"/>
          <w:b w:val="0"/>
          <w:bCs/>
          <w:color w:val="auto"/>
          <w:sz w:val="28"/>
          <w:szCs w:val="28"/>
          <w:highlight w:val="none"/>
          <w:lang w:val="en-US" w:eastAsia="zh-CN"/>
        </w:rPr>
        <w:t>参数设定：每周1～2次，每次60 min，2周为1个疗程。水蛭疗法刺激较强，且水蛭吸血后需要时间消化，因此治疗间隔较长（每周1～2次）；每次60分钟保证水蛭充分吸吮，达到治疗目的；2周为1个疗程，便于观察疗效和调整方案。</w:t>
      </w:r>
    </w:p>
    <w:p w14:paraId="49CFACEE">
      <w:pPr>
        <w:pStyle w:val="33"/>
        <w:spacing w:before="0" w:beforeLines="0" w:after="0" w:afterLines="0"/>
        <w:ind w:firstLine="562"/>
        <w:jc w:val="both"/>
        <w:outlineLvl w:val="9"/>
        <w:rPr>
          <w:rFonts w:hint="eastAsia" w:ascii="仿宋_GB2312" w:hAnsi="仿宋_GB2312" w:eastAsia="仿宋_GB2312" w:cs="仿宋_GB2312"/>
          <w:b/>
          <w:bCs w:val="0"/>
          <w:color w:val="auto"/>
          <w:sz w:val="28"/>
          <w:szCs w:val="28"/>
          <w:highlight w:val="none"/>
          <w:lang w:val="en-US" w:eastAsia="zh-CN"/>
        </w:rPr>
      </w:pPr>
      <w:r>
        <w:rPr>
          <w:rFonts w:hint="eastAsia" w:ascii="仿宋_GB2312" w:hAnsi="仿宋_GB2312" w:eastAsia="仿宋_GB2312" w:cs="仿宋_GB2312"/>
          <w:b/>
          <w:bCs w:val="0"/>
          <w:color w:val="auto"/>
          <w:sz w:val="28"/>
          <w:szCs w:val="28"/>
          <w:highlight w:val="none"/>
          <w:lang w:val="en-US" w:eastAsia="zh-CN"/>
        </w:rPr>
        <w:t xml:space="preserve">1.1.7 </w:t>
      </w:r>
      <w:r>
        <w:rPr>
          <w:rFonts w:hint="eastAsia" w:ascii="仿宋_GB2312" w:hAnsi="仿宋_GB2312" w:eastAsia="仿宋_GB2312" w:cs="仿宋_GB2312"/>
          <w:b/>
          <w:bCs w:val="0"/>
          <w:color w:val="auto"/>
          <w:sz w:val="28"/>
          <w:szCs w:val="28"/>
          <w:highlight w:val="none"/>
          <w:lang w:val="en-US" w:eastAsia="zh-CN"/>
        </w:rPr>
        <w:t>壮医药线升阳灸治疗</w:t>
      </w:r>
    </w:p>
    <w:p w14:paraId="185AC1D3">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（1）</w:t>
      </w:r>
      <w:r>
        <w:rPr>
          <w:rFonts w:hint="eastAsia" w:ascii="仿宋_GB2312" w:hAnsi="仿宋_GB2312" w:eastAsia="仿宋_GB2312" w:cs="仿宋_GB2312"/>
          <w:b w:val="0"/>
          <w:bCs/>
          <w:color w:val="auto"/>
          <w:sz w:val="28"/>
          <w:szCs w:val="28"/>
          <w:highlight w:val="none"/>
          <w:lang w:val="en-US" w:eastAsia="zh-CN"/>
        </w:rPr>
        <w:t>技术来源：壮医药线升阳灸是药线点灸的衍生技术，通过特定手法熏灸特定穴位，以升发阳气、调畅气机，操作方法按T/GXAS 921的要求执行。</w:t>
      </w:r>
    </w:p>
    <w:p w14:paraId="3270850E">
      <w:pPr>
        <w:pStyle w:val="33"/>
        <w:spacing w:before="0" w:beforeLines="0" w:after="0" w:afterLines="0" w:line="240" w:lineRule="auto"/>
        <w:ind w:left="0" w:leftChars="0" w:firstLine="0" w:firstLineChars="0"/>
        <w:jc w:val="center"/>
        <w:outlineLvl w:val="9"/>
      </w:pPr>
      <w:r>
        <w:drawing>
          <wp:inline distT="0" distB="0" distL="114300" distR="114300">
            <wp:extent cx="3827145" cy="1464945"/>
            <wp:effectExtent l="9525" t="9525" r="11430" b="11430"/>
            <wp:docPr id="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pic:cNvPicPr>
                      <a:picLocks noChangeAspect="1"/>
                    </pic:cNvPicPr>
                  </pic:nvPicPr>
                  <pic:blipFill>
                    <a:blip r:embed="rId12"/>
                    <a:stretch>
                      <a:fillRect/>
                    </a:stretch>
                  </pic:blipFill>
                  <pic:spPr>
                    <a:xfrm>
                      <a:off x="0" y="0"/>
                      <a:ext cx="3827145" cy="1464945"/>
                    </a:xfrm>
                    <a:prstGeom prst="rect">
                      <a:avLst/>
                    </a:prstGeom>
                    <a:noFill/>
                    <a:ln>
                      <a:solidFill>
                        <a:schemeClr val="tx1"/>
                      </a:solidFill>
                    </a:ln>
                  </pic:spPr>
                </pic:pic>
              </a:graphicData>
            </a:graphic>
          </wp:inline>
        </w:drawing>
      </w:r>
    </w:p>
    <w:p w14:paraId="581CAC68">
      <w:pPr>
        <w:pStyle w:val="33"/>
        <w:spacing w:before="0" w:beforeLines="0" w:after="0" w:afterLines="0" w:line="240" w:lineRule="auto"/>
        <w:ind w:left="0" w:leftChars="0" w:firstLine="0" w:firstLineChars="0"/>
        <w:jc w:val="center"/>
        <w:outlineLvl w:val="9"/>
        <w:rPr>
          <w:rFonts w:hint="default" w:eastAsia="黑体"/>
          <w:lang w:val="en-US" w:eastAsia="zh-CN"/>
        </w:rPr>
      </w:pPr>
      <w:r>
        <w:rPr>
          <w:rFonts w:hint="eastAsia"/>
          <w:lang w:val="en-US" w:eastAsia="zh-CN"/>
        </w:rPr>
        <w:t>来源：T/GXAS 921  壮医药线升阳灸法技术操作规范</w:t>
      </w:r>
    </w:p>
    <w:p w14:paraId="56D42448">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（2）</w:t>
      </w:r>
      <w:r>
        <w:rPr>
          <w:rFonts w:hint="eastAsia" w:ascii="仿宋_GB2312" w:hAnsi="仿宋_GB2312" w:eastAsia="仿宋_GB2312" w:cs="仿宋_GB2312"/>
          <w:b w:val="0"/>
          <w:bCs/>
          <w:color w:val="auto"/>
          <w:sz w:val="28"/>
          <w:szCs w:val="28"/>
          <w:highlight w:val="none"/>
          <w:lang w:val="en-US" w:eastAsia="zh-CN"/>
        </w:rPr>
        <w:t>适应证：适用于睡眠质量还行、一般以及轻、中度焦虑的阴证患者。阴证患者多阳气不足，升阳灸通过温热刺激，直接激发、提升人体阳气，适用于阳虚明显的患者。</w:t>
      </w:r>
    </w:p>
    <w:p w14:paraId="235CC694">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（3）</w:t>
      </w:r>
      <w:r>
        <w:rPr>
          <w:rFonts w:hint="eastAsia" w:ascii="仿宋_GB2312" w:hAnsi="仿宋_GB2312" w:eastAsia="仿宋_GB2312" w:cs="仿宋_GB2312"/>
          <w:b w:val="0"/>
          <w:bCs/>
          <w:color w:val="auto"/>
          <w:sz w:val="28"/>
          <w:szCs w:val="28"/>
          <w:highlight w:val="none"/>
          <w:lang w:val="en-US" w:eastAsia="zh-CN"/>
        </w:rPr>
        <w:t>部位选择：主穴取“耳孔穴”，配穴取“发旋穴”“印堂穴”“大椎穴”“涌泉穴”。耳孔穴通调“巧坞”；发旋穴位于头顶，是通调巧坞、安神定志的要穴；印堂、大椎、涌泉均为安神要穴。诸穴配伍，共奏升阳安神之功。</w:t>
      </w:r>
    </w:p>
    <w:p w14:paraId="64CC5223">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（4）</w:t>
      </w:r>
      <w:r>
        <w:rPr>
          <w:rFonts w:hint="eastAsia" w:ascii="仿宋_GB2312" w:hAnsi="仿宋_GB2312" w:eastAsia="仿宋_GB2312" w:cs="仿宋_GB2312"/>
          <w:b w:val="0"/>
          <w:bCs/>
          <w:color w:val="auto"/>
          <w:sz w:val="28"/>
          <w:szCs w:val="28"/>
          <w:highlight w:val="none"/>
          <w:lang w:val="en-US" w:eastAsia="zh-CN"/>
        </w:rPr>
        <w:t>参数设定：每天灸1～2次，每次主穴3～9壮，副穴1～3壮，取阳数，5 d～7 d为1个疗程。每天1～2次的频率可维持阳气升发的状态；“取阳数”（3、5、7、9等奇数）是壮医“以阳补阳”思想的体现，通过“数”的属性来增强补阳的效果；主穴多壮、副穴少壮的设定，突出了治疗的重点。</w:t>
      </w:r>
    </w:p>
    <w:p w14:paraId="41D8AEFE">
      <w:pPr>
        <w:pStyle w:val="33"/>
        <w:spacing w:before="0" w:beforeLines="0" w:after="0" w:afterLines="0"/>
        <w:ind w:firstLine="562"/>
        <w:jc w:val="both"/>
        <w:outlineLvl w:val="9"/>
        <w:rPr>
          <w:rFonts w:hint="eastAsia" w:ascii="仿宋_GB2312" w:hAnsi="仿宋_GB2312" w:eastAsia="仿宋_GB2312" w:cs="仿宋_GB2312"/>
          <w:b/>
          <w:bCs w:val="0"/>
          <w:color w:val="auto"/>
          <w:sz w:val="28"/>
          <w:szCs w:val="28"/>
          <w:highlight w:val="none"/>
          <w:lang w:val="en-US" w:eastAsia="zh-CN"/>
        </w:rPr>
      </w:pPr>
      <w:r>
        <w:rPr>
          <w:rFonts w:hint="eastAsia" w:ascii="仿宋_GB2312" w:hAnsi="仿宋_GB2312" w:eastAsia="仿宋_GB2312" w:cs="仿宋_GB2312"/>
          <w:b/>
          <w:bCs w:val="0"/>
          <w:color w:val="auto"/>
          <w:sz w:val="28"/>
          <w:szCs w:val="28"/>
          <w:highlight w:val="none"/>
          <w:lang w:val="en-US" w:eastAsia="zh-CN"/>
        </w:rPr>
        <w:t>1.2 针对阳证的壮医外治护理</w:t>
      </w:r>
    </w:p>
    <w:p w14:paraId="4170F1BC">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阳证患者表现为不寐多梦、甚则彻夜不寐，伴口苦、心烦、小便短赤等症状，其病机以“热”“动”“燥”为核心。因此，所选用外治技术以清热、解毒、安神为主。</w:t>
      </w:r>
    </w:p>
    <w:p w14:paraId="7E7089C3">
      <w:pPr>
        <w:pStyle w:val="33"/>
        <w:spacing w:before="0" w:beforeLines="0" w:after="0" w:afterLines="0"/>
        <w:ind w:firstLine="562"/>
        <w:jc w:val="both"/>
        <w:outlineLvl w:val="9"/>
        <w:rPr>
          <w:rFonts w:hint="eastAsia" w:ascii="仿宋_GB2312" w:hAnsi="仿宋_GB2312" w:eastAsia="仿宋_GB2312" w:cs="仿宋_GB2312"/>
          <w:b/>
          <w:bCs w:val="0"/>
          <w:color w:val="auto"/>
          <w:sz w:val="28"/>
          <w:szCs w:val="28"/>
          <w:highlight w:val="none"/>
          <w:lang w:val="en-US" w:eastAsia="zh-CN"/>
        </w:rPr>
      </w:pPr>
      <w:r>
        <w:rPr>
          <w:rFonts w:hint="eastAsia" w:ascii="仿宋_GB2312" w:hAnsi="仿宋_GB2312" w:eastAsia="仿宋_GB2312" w:cs="仿宋_GB2312"/>
          <w:b/>
          <w:bCs w:val="0"/>
          <w:color w:val="auto"/>
          <w:sz w:val="28"/>
          <w:szCs w:val="28"/>
          <w:highlight w:val="none"/>
          <w:lang w:val="en-US" w:eastAsia="zh-CN"/>
        </w:rPr>
        <w:t>1.2.1 壮医药线点灸治疗</w:t>
      </w:r>
    </w:p>
    <w:p w14:paraId="40F77DE8">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（1）</w:t>
      </w:r>
      <w:r>
        <w:rPr>
          <w:rFonts w:hint="eastAsia" w:ascii="仿宋_GB2312" w:hAnsi="仿宋_GB2312" w:eastAsia="仿宋_GB2312" w:cs="仿宋_GB2312"/>
          <w:b w:val="0"/>
          <w:bCs/>
          <w:color w:val="auto"/>
          <w:sz w:val="28"/>
          <w:szCs w:val="28"/>
          <w:highlight w:val="none"/>
          <w:lang w:val="en-US" w:eastAsia="zh-CN"/>
        </w:rPr>
        <w:t>技术来源：壮医药线点灸是壮医最具代表性的外治技术之一，具有温通经络、祛毒安神之效。</w:t>
      </w:r>
    </w:p>
    <w:p w14:paraId="6F64E54B">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（2）</w:t>
      </w:r>
      <w:r>
        <w:rPr>
          <w:rFonts w:hint="eastAsia" w:ascii="仿宋_GB2312" w:hAnsi="仿宋_GB2312" w:eastAsia="仿宋_GB2312" w:cs="仿宋_GB2312"/>
          <w:b w:val="0"/>
          <w:bCs/>
          <w:color w:val="auto"/>
          <w:sz w:val="28"/>
          <w:szCs w:val="28"/>
          <w:highlight w:val="none"/>
          <w:lang w:val="en-US" w:eastAsia="zh-CN"/>
        </w:rPr>
        <w:t>适应证：适用于睡眠质量还行、一般以及轻、中度焦虑的阳证患者。阳证患者以热象为主，药线点灸的温热刺激可起到“以热引热”、“火郁发之”的作用，使郁热得散，心神自安。</w:t>
      </w:r>
    </w:p>
    <w:p w14:paraId="761D1465">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（3）</w:t>
      </w:r>
      <w:r>
        <w:rPr>
          <w:rFonts w:hint="eastAsia" w:ascii="仿宋_GB2312" w:hAnsi="仿宋_GB2312" w:eastAsia="仿宋_GB2312" w:cs="仿宋_GB2312"/>
          <w:b w:val="0"/>
          <w:bCs/>
          <w:color w:val="auto"/>
          <w:sz w:val="28"/>
          <w:szCs w:val="28"/>
          <w:highlight w:val="none"/>
          <w:lang w:val="en-US" w:eastAsia="zh-CN"/>
        </w:rPr>
        <w:t>穴位选择：主穴取“天宫穴”“耳环5穴”“安眠三穴”“手心三环穴”；严重失眠、夜不能寐加“面环12穴”“足背一环7、8穴”。所选穴位多位于体表阳位及远端肢端，点灸这些穴位可引热下行、清热毒、通火路、安神志。</w:t>
      </w:r>
    </w:p>
    <w:p w14:paraId="2534D63F">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（4）</w:t>
      </w:r>
      <w:r>
        <w:rPr>
          <w:rFonts w:hint="eastAsia" w:ascii="仿宋_GB2312" w:hAnsi="仿宋_GB2312" w:eastAsia="仿宋_GB2312" w:cs="仿宋_GB2312"/>
          <w:b w:val="0"/>
          <w:bCs/>
          <w:color w:val="auto"/>
          <w:sz w:val="28"/>
          <w:szCs w:val="28"/>
          <w:highlight w:val="none"/>
          <w:lang w:val="en-US" w:eastAsia="zh-CN"/>
        </w:rPr>
        <w:t>参数设定：每天灸1次，每次每穴1壮，2周为1个疗程。相较于阴证的药线升阳灸（3-9壮），阳证药线点灸每穴仅灸1壮，体现了壮医“热者寒之”的治疗原则——阳证属热，宜少壮以防助热；壮数少，旨在以轻清之剂疏泄郁热，而非温补。</w:t>
      </w:r>
    </w:p>
    <w:p w14:paraId="6423E540">
      <w:pPr>
        <w:pStyle w:val="33"/>
        <w:spacing w:before="0" w:beforeLines="0" w:after="0" w:afterLines="0"/>
        <w:ind w:firstLine="562"/>
        <w:jc w:val="both"/>
        <w:outlineLvl w:val="9"/>
        <w:rPr>
          <w:rFonts w:hint="eastAsia" w:ascii="仿宋_GB2312" w:hAnsi="仿宋_GB2312" w:eastAsia="仿宋_GB2312" w:cs="仿宋_GB2312"/>
          <w:b/>
          <w:bCs w:val="0"/>
          <w:color w:val="auto"/>
          <w:sz w:val="28"/>
          <w:szCs w:val="28"/>
          <w:highlight w:val="none"/>
          <w:lang w:val="en-US" w:eastAsia="zh-CN"/>
        </w:rPr>
      </w:pPr>
      <w:r>
        <w:rPr>
          <w:rFonts w:hint="eastAsia" w:ascii="仿宋_GB2312" w:hAnsi="仿宋_GB2312" w:eastAsia="仿宋_GB2312" w:cs="仿宋_GB2312"/>
          <w:b/>
          <w:bCs w:val="0"/>
          <w:color w:val="auto"/>
          <w:sz w:val="28"/>
          <w:szCs w:val="28"/>
          <w:highlight w:val="none"/>
          <w:lang w:val="en-US" w:eastAsia="zh-CN"/>
        </w:rPr>
        <w:t xml:space="preserve">1.2.2 </w:t>
      </w:r>
      <w:r>
        <w:rPr>
          <w:rFonts w:hint="eastAsia" w:ascii="仿宋_GB2312" w:hAnsi="仿宋_GB2312" w:eastAsia="仿宋_GB2312" w:cs="仿宋_GB2312"/>
          <w:b/>
          <w:bCs w:val="0"/>
          <w:color w:val="auto"/>
          <w:sz w:val="28"/>
          <w:szCs w:val="28"/>
          <w:highlight w:val="none"/>
          <w:lang w:val="en-US" w:eastAsia="zh-CN"/>
        </w:rPr>
        <w:t>壮医药物竹罐治疗</w:t>
      </w:r>
    </w:p>
    <w:p w14:paraId="7EED2FB2">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（1）</w:t>
      </w:r>
      <w:r>
        <w:rPr>
          <w:rFonts w:hint="eastAsia" w:ascii="仿宋_GB2312" w:hAnsi="仿宋_GB2312" w:eastAsia="仿宋_GB2312" w:cs="仿宋_GB2312"/>
          <w:b w:val="0"/>
          <w:bCs/>
          <w:color w:val="auto"/>
          <w:sz w:val="28"/>
          <w:szCs w:val="28"/>
          <w:highlight w:val="none"/>
          <w:lang w:val="en-US" w:eastAsia="zh-CN"/>
        </w:rPr>
        <w:t>适应证：适用于睡眠质量很差、轻度焦虑以上的阳证患者。阳证患者热毒较盛，药物竹罐可借助其拔吸作用，直接祛除体表热毒，疏通因热壅滞的“龙路”“火路”。</w:t>
      </w:r>
    </w:p>
    <w:p w14:paraId="4DFE4CE0">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（2）</w:t>
      </w:r>
      <w:r>
        <w:rPr>
          <w:rFonts w:hint="eastAsia" w:ascii="仿宋_GB2312" w:hAnsi="仿宋_GB2312" w:eastAsia="仿宋_GB2312" w:cs="仿宋_GB2312"/>
          <w:b w:val="0"/>
          <w:bCs/>
          <w:color w:val="auto"/>
          <w:sz w:val="28"/>
          <w:szCs w:val="28"/>
          <w:highlight w:val="none"/>
          <w:lang w:val="en-US" w:eastAsia="zh-CN"/>
        </w:rPr>
        <w:t>部位选择：取“解毒区”“通阳区”“背顶穴”。解毒区、通阳区位于背部，是壮医祛除热毒、通调阳气的特定区域；背顶穴为安神要穴。拔罐于此，可清热毒、通阳气、安神志。</w:t>
      </w:r>
    </w:p>
    <w:p w14:paraId="2331FBD6">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（3）</w:t>
      </w:r>
      <w:r>
        <w:rPr>
          <w:rFonts w:hint="eastAsia" w:ascii="仿宋_GB2312" w:hAnsi="仿宋_GB2312" w:eastAsia="仿宋_GB2312" w:cs="仿宋_GB2312"/>
          <w:b w:val="0"/>
          <w:bCs/>
          <w:color w:val="auto"/>
          <w:sz w:val="28"/>
          <w:szCs w:val="28"/>
          <w:highlight w:val="none"/>
          <w:lang w:val="en-US" w:eastAsia="zh-CN"/>
        </w:rPr>
        <w:t>参数设定：每次10～20罐，留罐10 min～15 min，每周2～3次，7 d为1个疗程。相较于阴证，阳证留罐时间稍长（10 min～15 min），旨在加强清热泄毒之力。这是基于“实则泻之”的原则，通过延长留罐时间，增强拔罐的“泻实”作用。</w:t>
      </w:r>
    </w:p>
    <w:p w14:paraId="4047BED4">
      <w:pPr>
        <w:pStyle w:val="33"/>
        <w:spacing w:before="0" w:beforeLines="0" w:after="0" w:afterLines="0"/>
        <w:ind w:firstLine="562"/>
        <w:jc w:val="both"/>
        <w:outlineLvl w:val="9"/>
        <w:rPr>
          <w:rFonts w:hint="eastAsia" w:ascii="仿宋_GB2312" w:hAnsi="仿宋_GB2312" w:eastAsia="仿宋_GB2312" w:cs="仿宋_GB2312"/>
          <w:b/>
          <w:bCs w:val="0"/>
          <w:color w:val="auto"/>
          <w:sz w:val="28"/>
          <w:szCs w:val="28"/>
          <w:highlight w:val="none"/>
          <w:lang w:val="en-US" w:eastAsia="zh-CN"/>
        </w:rPr>
      </w:pPr>
      <w:r>
        <w:rPr>
          <w:rFonts w:hint="eastAsia" w:ascii="仿宋_GB2312" w:hAnsi="仿宋_GB2312" w:eastAsia="仿宋_GB2312" w:cs="仿宋_GB2312"/>
          <w:b/>
          <w:bCs w:val="0"/>
          <w:color w:val="auto"/>
          <w:sz w:val="28"/>
          <w:szCs w:val="28"/>
          <w:highlight w:val="none"/>
          <w:lang w:val="en-US" w:eastAsia="zh-CN"/>
        </w:rPr>
        <w:t xml:space="preserve">1.2.3 </w:t>
      </w:r>
      <w:r>
        <w:rPr>
          <w:rFonts w:hint="eastAsia" w:ascii="仿宋_GB2312" w:hAnsi="仿宋_GB2312" w:eastAsia="仿宋_GB2312" w:cs="仿宋_GB2312"/>
          <w:b/>
          <w:bCs w:val="0"/>
          <w:color w:val="auto"/>
          <w:sz w:val="28"/>
          <w:szCs w:val="28"/>
          <w:highlight w:val="none"/>
          <w:lang w:val="en-US" w:eastAsia="zh-CN"/>
        </w:rPr>
        <w:t>壮医刮痧治疗</w:t>
      </w:r>
    </w:p>
    <w:p w14:paraId="1BF0E9E1">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（1）</w:t>
      </w:r>
      <w:r>
        <w:rPr>
          <w:rFonts w:hint="eastAsia" w:ascii="仿宋_GB2312" w:hAnsi="仿宋_GB2312" w:eastAsia="仿宋_GB2312" w:cs="仿宋_GB2312"/>
          <w:b w:val="0"/>
          <w:bCs/>
          <w:color w:val="auto"/>
          <w:sz w:val="28"/>
          <w:szCs w:val="28"/>
          <w:highlight w:val="none"/>
          <w:lang w:val="en-US" w:eastAsia="zh-CN"/>
        </w:rPr>
        <w:t>适应证：适用于睡眠质量很差、轻度焦虑以上的阳证患者。刮痧的“出痧”过程本身就是一种“泻法”，可有效祛除体表热毒、疏通郁滞。</w:t>
      </w:r>
    </w:p>
    <w:p w14:paraId="09023A4C">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（2）</w:t>
      </w:r>
      <w:r>
        <w:rPr>
          <w:rFonts w:hint="eastAsia" w:ascii="仿宋_GB2312" w:hAnsi="仿宋_GB2312" w:eastAsia="仿宋_GB2312" w:cs="仿宋_GB2312"/>
          <w:b w:val="0"/>
          <w:bCs/>
          <w:color w:val="auto"/>
          <w:sz w:val="28"/>
          <w:szCs w:val="28"/>
          <w:highlight w:val="none"/>
          <w:lang w:val="en-US" w:eastAsia="zh-CN"/>
        </w:rPr>
        <w:t>部位选择：取“解毒区”“通阳区”“背顶穴”“耳环穴”“天宫穴”。选穴思路与竹罐疗法一致，旨在通过刮拭清热毒、通阳气，并增加“天宫穴”以加强安神定志之效。</w:t>
      </w:r>
    </w:p>
    <w:p w14:paraId="1DC2FB04">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（3）</w:t>
      </w:r>
      <w:r>
        <w:rPr>
          <w:rFonts w:hint="eastAsia" w:ascii="仿宋_GB2312" w:hAnsi="仿宋_GB2312" w:eastAsia="仿宋_GB2312" w:cs="仿宋_GB2312"/>
          <w:b w:val="0"/>
          <w:bCs/>
          <w:color w:val="auto"/>
          <w:sz w:val="28"/>
          <w:szCs w:val="28"/>
          <w:highlight w:val="none"/>
          <w:lang w:val="en-US" w:eastAsia="zh-CN"/>
        </w:rPr>
        <w:t>参数设定：每部刮10～20次，每2 d 1次，5次为1个疗程。相较于阴证，阳证刮痧频率更高（每2天1次）。这是基于阳证以“实”为主，机体反应能力较强，可以承受更频繁的治疗，以增强清热泄毒、疏通气机的效果。</w:t>
      </w:r>
    </w:p>
    <w:p w14:paraId="4E347BAB">
      <w:pPr>
        <w:pStyle w:val="33"/>
        <w:spacing w:before="0" w:beforeLines="0" w:after="0" w:afterLines="0"/>
        <w:ind w:firstLine="562"/>
        <w:jc w:val="both"/>
        <w:outlineLvl w:val="9"/>
        <w:rPr>
          <w:rFonts w:hint="eastAsia" w:ascii="仿宋_GB2312" w:hAnsi="仿宋_GB2312" w:eastAsia="仿宋_GB2312" w:cs="仿宋_GB2312"/>
          <w:b/>
          <w:bCs w:val="0"/>
          <w:color w:val="auto"/>
          <w:sz w:val="28"/>
          <w:szCs w:val="28"/>
          <w:highlight w:val="none"/>
          <w:lang w:val="en-US" w:eastAsia="zh-CN"/>
        </w:rPr>
      </w:pPr>
      <w:r>
        <w:rPr>
          <w:rFonts w:hint="eastAsia" w:ascii="仿宋_GB2312" w:hAnsi="仿宋_GB2312" w:eastAsia="仿宋_GB2312" w:cs="仿宋_GB2312"/>
          <w:b/>
          <w:bCs w:val="0"/>
          <w:color w:val="auto"/>
          <w:sz w:val="28"/>
          <w:szCs w:val="28"/>
          <w:highlight w:val="none"/>
          <w:lang w:val="en-US" w:eastAsia="zh-CN"/>
        </w:rPr>
        <w:t xml:space="preserve">1.2.4 </w:t>
      </w:r>
      <w:r>
        <w:rPr>
          <w:rFonts w:hint="eastAsia" w:ascii="仿宋_GB2312" w:hAnsi="仿宋_GB2312" w:eastAsia="仿宋_GB2312" w:cs="仿宋_GB2312"/>
          <w:b/>
          <w:bCs w:val="0"/>
          <w:color w:val="auto"/>
          <w:sz w:val="28"/>
          <w:szCs w:val="28"/>
          <w:highlight w:val="none"/>
          <w:lang w:val="en-US" w:eastAsia="zh-CN"/>
        </w:rPr>
        <w:t>壮医敷贴治疗</w:t>
      </w:r>
    </w:p>
    <w:p w14:paraId="6224DF46">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（1）</w:t>
      </w:r>
      <w:r>
        <w:rPr>
          <w:rFonts w:hint="eastAsia" w:ascii="仿宋_GB2312" w:hAnsi="仿宋_GB2312" w:eastAsia="仿宋_GB2312" w:cs="仿宋_GB2312"/>
          <w:b w:val="0"/>
          <w:bCs/>
          <w:color w:val="auto"/>
          <w:sz w:val="28"/>
          <w:szCs w:val="28"/>
          <w:highlight w:val="none"/>
          <w:lang w:val="en-US" w:eastAsia="zh-CN"/>
        </w:rPr>
        <w:t>适应证：适用于睡眠质量还行、以及轻、中度焦虑的阳证患者。通过贴敷具有清热解毒功效的壮药，可温和、持续地清除体内郁热。</w:t>
      </w:r>
    </w:p>
    <w:p w14:paraId="27AE3FBE">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（2）</w:t>
      </w:r>
      <w:r>
        <w:rPr>
          <w:rFonts w:hint="eastAsia" w:ascii="仿宋_GB2312" w:hAnsi="仿宋_GB2312" w:eastAsia="仿宋_GB2312" w:cs="仿宋_GB2312"/>
          <w:b w:val="0"/>
          <w:bCs/>
          <w:color w:val="auto"/>
          <w:sz w:val="28"/>
          <w:szCs w:val="28"/>
          <w:highlight w:val="none"/>
          <w:lang w:val="en-US" w:eastAsia="zh-CN"/>
        </w:rPr>
        <w:t>部位选择：取“脐环穴”“内近脘穴”“腕内三穴”“背顶穴”“前中桩穴”“踝后穴”。所选穴位与阴证敷贴有所区别，更侧重于清热、通调水道。如“腕内三穴”“踝后穴”位于四肢末端，可清热利湿、引火下行，辅助安神。</w:t>
      </w:r>
    </w:p>
    <w:p w14:paraId="37D21E52">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（3）</w:t>
      </w:r>
      <w:r>
        <w:rPr>
          <w:rFonts w:hint="eastAsia" w:ascii="仿宋_GB2312" w:hAnsi="仿宋_GB2312" w:eastAsia="仿宋_GB2312" w:cs="仿宋_GB2312"/>
          <w:b w:val="0"/>
          <w:bCs/>
          <w:color w:val="auto"/>
          <w:sz w:val="28"/>
          <w:szCs w:val="28"/>
          <w:highlight w:val="none"/>
          <w:lang w:val="en-US" w:eastAsia="zh-CN"/>
        </w:rPr>
        <w:t>参数设定：每日1次，每次2 h～4 h，5 d～7 d为1个疗程。每日1次可维持稳定的药物刺激；贴敷2～4小时，既能保证药物有效成分的吸收，又可避免长时间贴敷对皮肤造成刺激，符合安全、有效的原则。该参数与阴证敷贴一致，是基于皮肤耐受性及药物透皮吸收规律所确定的通用安全范围。</w:t>
      </w:r>
    </w:p>
    <w:p w14:paraId="58B97585">
      <w:pPr>
        <w:pStyle w:val="33"/>
        <w:spacing w:before="0" w:beforeLines="0" w:after="0" w:afterLines="0"/>
        <w:ind w:firstLine="562"/>
        <w:jc w:val="both"/>
        <w:outlineLvl w:val="9"/>
        <w:rPr>
          <w:rFonts w:hint="eastAsia" w:ascii="仿宋_GB2312" w:hAnsi="仿宋_GB2312" w:eastAsia="仿宋_GB2312" w:cs="仿宋_GB2312"/>
          <w:b/>
          <w:bCs w:val="0"/>
          <w:color w:val="auto"/>
          <w:sz w:val="28"/>
          <w:szCs w:val="28"/>
          <w:highlight w:val="none"/>
          <w:lang w:val="en-US" w:eastAsia="zh-CN"/>
        </w:rPr>
      </w:pPr>
      <w:r>
        <w:rPr>
          <w:rFonts w:hint="eastAsia" w:ascii="仿宋_GB2312" w:hAnsi="仿宋_GB2312" w:eastAsia="仿宋_GB2312" w:cs="仿宋_GB2312"/>
          <w:b/>
          <w:bCs w:val="0"/>
          <w:color w:val="auto"/>
          <w:sz w:val="28"/>
          <w:szCs w:val="28"/>
          <w:highlight w:val="none"/>
          <w:lang w:val="en-US" w:eastAsia="zh-CN"/>
        </w:rPr>
        <w:t xml:space="preserve">1.2.5 </w:t>
      </w:r>
      <w:r>
        <w:rPr>
          <w:rFonts w:hint="eastAsia" w:ascii="仿宋_GB2312" w:hAnsi="仿宋_GB2312" w:eastAsia="仿宋_GB2312" w:cs="仿宋_GB2312"/>
          <w:b/>
          <w:bCs w:val="0"/>
          <w:color w:val="auto"/>
          <w:sz w:val="28"/>
          <w:szCs w:val="28"/>
          <w:highlight w:val="none"/>
          <w:lang w:val="en-US" w:eastAsia="zh-CN"/>
        </w:rPr>
        <w:t>壮医药熨治疗</w:t>
      </w:r>
    </w:p>
    <w:p w14:paraId="44B15C78">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（1）</w:t>
      </w:r>
      <w:r>
        <w:rPr>
          <w:rFonts w:hint="eastAsia" w:ascii="仿宋_GB2312" w:hAnsi="仿宋_GB2312" w:eastAsia="仿宋_GB2312" w:cs="仿宋_GB2312"/>
          <w:b w:val="0"/>
          <w:bCs/>
          <w:color w:val="auto"/>
          <w:sz w:val="28"/>
          <w:szCs w:val="28"/>
          <w:highlight w:val="none"/>
          <w:lang w:val="en-US" w:eastAsia="zh-CN"/>
        </w:rPr>
        <w:t>适应证：适用于睡眠质量还行、以及轻、中度焦虑的阳证患者。通过温热药熨，可促进局部气血运行，使郁结之热得以发散，而非单纯温补。</w:t>
      </w:r>
    </w:p>
    <w:p w14:paraId="28DA3E11">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（2）</w:t>
      </w:r>
      <w:r>
        <w:rPr>
          <w:rFonts w:hint="eastAsia" w:ascii="仿宋_GB2312" w:hAnsi="仿宋_GB2312" w:eastAsia="仿宋_GB2312" w:cs="仿宋_GB2312"/>
          <w:b w:val="0"/>
          <w:bCs/>
          <w:color w:val="auto"/>
          <w:sz w:val="28"/>
          <w:szCs w:val="28"/>
          <w:highlight w:val="none"/>
          <w:lang w:val="en-US" w:eastAsia="zh-CN"/>
        </w:rPr>
        <w:t>部位选择：取“解毒区”“通阳区”“背顶穴”，在阳证中，选择这些部位进行药熨，旨在疏通阳气、发散郁热。药熨包中的药物也多选用清热透散之品。</w:t>
      </w:r>
    </w:p>
    <w:p w14:paraId="7955038D">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（3）</w:t>
      </w:r>
      <w:r>
        <w:rPr>
          <w:rFonts w:hint="eastAsia" w:ascii="仿宋_GB2312" w:hAnsi="仿宋_GB2312" w:eastAsia="仿宋_GB2312" w:cs="仿宋_GB2312"/>
          <w:b w:val="0"/>
          <w:bCs/>
          <w:color w:val="auto"/>
          <w:sz w:val="28"/>
          <w:szCs w:val="28"/>
          <w:highlight w:val="none"/>
          <w:lang w:val="en-US" w:eastAsia="zh-CN"/>
        </w:rPr>
        <w:t>参数设定：每日1次，每次20 min，7 d为1个疗程。与阴证参数相同。温热疗法的效应存在“量-效关系”，20分钟是既能达到疏通发散效果，又不至于因温度过高、时间过长而加重“热象”的平衡点。</w:t>
      </w:r>
    </w:p>
    <w:p w14:paraId="5ED34111">
      <w:pPr>
        <w:pStyle w:val="33"/>
        <w:spacing w:before="0" w:beforeLines="0" w:after="0" w:afterLines="0"/>
        <w:ind w:firstLine="562"/>
        <w:jc w:val="both"/>
        <w:outlineLvl w:val="9"/>
        <w:rPr>
          <w:rFonts w:hint="eastAsia" w:ascii="仿宋_GB2312" w:hAnsi="仿宋_GB2312" w:eastAsia="仿宋_GB2312" w:cs="仿宋_GB2312"/>
          <w:b/>
          <w:bCs w:val="0"/>
          <w:color w:val="auto"/>
          <w:sz w:val="28"/>
          <w:szCs w:val="28"/>
          <w:highlight w:val="none"/>
          <w:lang w:val="en-US" w:eastAsia="zh-CN"/>
        </w:rPr>
      </w:pPr>
      <w:r>
        <w:rPr>
          <w:rFonts w:hint="eastAsia" w:ascii="仿宋_GB2312" w:hAnsi="仿宋_GB2312" w:eastAsia="仿宋_GB2312" w:cs="仿宋_GB2312"/>
          <w:b/>
          <w:bCs w:val="0"/>
          <w:color w:val="auto"/>
          <w:sz w:val="28"/>
          <w:szCs w:val="28"/>
          <w:highlight w:val="none"/>
          <w:lang w:val="en-US" w:eastAsia="zh-CN"/>
        </w:rPr>
        <w:t xml:space="preserve">1.2.6 </w:t>
      </w:r>
      <w:r>
        <w:rPr>
          <w:rFonts w:hint="eastAsia" w:ascii="仿宋_GB2312" w:hAnsi="仿宋_GB2312" w:eastAsia="仿宋_GB2312" w:cs="仿宋_GB2312"/>
          <w:b/>
          <w:bCs w:val="0"/>
          <w:color w:val="auto"/>
          <w:sz w:val="28"/>
          <w:szCs w:val="28"/>
          <w:highlight w:val="none"/>
          <w:lang w:val="en-US" w:eastAsia="zh-CN"/>
        </w:rPr>
        <w:t>壮医耳筋治疗</w:t>
      </w:r>
    </w:p>
    <w:p w14:paraId="1B0890F7">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（1）</w:t>
      </w:r>
      <w:r>
        <w:rPr>
          <w:rFonts w:hint="eastAsia" w:ascii="仿宋_GB2312" w:hAnsi="仿宋_GB2312" w:eastAsia="仿宋_GB2312" w:cs="仿宋_GB2312"/>
          <w:b w:val="0"/>
          <w:bCs/>
          <w:color w:val="auto"/>
          <w:sz w:val="28"/>
          <w:szCs w:val="28"/>
          <w:highlight w:val="none"/>
          <w:lang w:val="en-US" w:eastAsia="zh-CN"/>
        </w:rPr>
        <w:t>适应证：适用于睡眠质量很差、轻度焦虑以上的阳证患者。通过刺激相应耳穴，可清泄脏腑郁热，调节因热导致的功能亢进。</w:t>
      </w:r>
    </w:p>
    <w:p w14:paraId="1784D106">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（2）</w:t>
      </w:r>
      <w:r>
        <w:rPr>
          <w:rFonts w:hint="eastAsia" w:ascii="仿宋_GB2312" w:hAnsi="仿宋_GB2312" w:eastAsia="仿宋_GB2312" w:cs="仿宋_GB2312"/>
          <w:b w:val="0"/>
          <w:bCs/>
          <w:color w:val="auto"/>
          <w:sz w:val="28"/>
          <w:szCs w:val="28"/>
          <w:highlight w:val="none"/>
          <w:lang w:val="en-US" w:eastAsia="zh-CN"/>
        </w:rPr>
        <w:t>部位选择：与阴证不同，阳证的耳穴方案更侧重于清泄脏腑郁热。男性取左耳“巧坞”“中土”“咪心头”，右耳取“巧坞”“咪心头”（心）、“咪隆”（脾）、“咪胴”（胃）、“咪小肚”（膀胱）、“咪钵”（肺）、“咪三焦”（三焦）；女性则左右互换。此方案增加了心、肺、膀胱、三焦等穴位，旨在清心火、利水道、通调三焦，使郁热从多渠道排出。</w:t>
      </w:r>
    </w:p>
    <w:p w14:paraId="127D1215">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（3）</w:t>
      </w:r>
      <w:r>
        <w:rPr>
          <w:rFonts w:hint="eastAsia" w:ascii="仿宋_GB2312" w:hAnsi="仿宋_GB2312" w:eastAsia="仿宋_GB2312" w:cs="仿宋_GB2312"/>
          <w:b w:val="0"/>
          <w:bCs/>
          <w:color w:val="auto"/>
          <w:sz w:val="28"/>
          <w:szCs w:val="28"/>
          <w:highlight w:val="none"/>
          <w:lang w:val="en-US" w:eastAsia="zh-CN"/>
        </w:rPr>
        <w:t>参数设定：隔天1次，每穴按压1 s～2 s，每天按压3～5次，7 d为1个疗程。隔天1次可避免耳部皮肤因持续受压而损伤；每天自行按压3～5次，可维持穴位刺激的强度；每次按压1～2秒，以产生酸胀感但不引起疼痛为宜，是安全有效的自我护理方式。该参数与阴证耳筋治疗一致，是基于皮肤耐受性及穴位刺激安全规律所确定的通用操作规范。</w:t>
      </w:r>
    </w:p>
    <w:p w14:paraId="5E6D6563">
      <w:pPr>
        <w:pStyle w:val="33"/>
        <w:spacing w:before="0" w:beforeLines="0" w:after="0" w:afterLines="0"/>
        <w:ind w:firstLine="562"/>
        <w:jc w:val="both"/>
        <w:outlineLvl w:val="9"/>
        <w:rPr>
          <w:rFonts w:hint="eastAsia" w:ascii="仿宋_GB2312" w:hAnsi="仿宋_GB2312" w:eastAsia="仿宋_GB2312" w:cs="仿宋_GB2312"/>
          <w:b/>
          <w:bCs w:val="0"/>
          <w:color w:val="auto"/>
          <w:sz w:val="28"/>
          <w:szCs w:val="28"/>
          <w:highlight w:val="none"/>
          <w:lang w:val="en-US" w:eastAsia="zh-CN"/>
        </w:rPr>
      </w:pPr>
      <w:r>
        <w:rPr>
          <w:rFonts w:hint="eastAsia" w:ascii="仿宋_GB2312" w:hAnsi="仿宋_GB2312" w:eastAsia="仿宋_GB2312" w:cs="仿宋_GB2312"/>
          <w:b/>
          <w:bCs w:val="0"/>
          <w:color w:val="auto"/>
          <w:sz w:val="28"/>
          <w:szCs w:val="28"/>
          <w:highlight w:val="none"/>
          <w:lang w:val="en-US" w:eastAsia="zh-CN"/>
        </w:rPr>
        <w:t xml:space="preserve">1.2.7 </w:t>
      </w:r>
      <w:r>
        <w:rPr>
          <w:rFonts w:hint="eastAsia" w:ascii="仿宋_GB2312" w:hAnsi="仿宋_GB2312" w:eastAsia="仿宋_GB2312" w:cs="仿宋_GB2312"/>
          <w:b/>
          <w:bCs w:val="0"/>
          <w:color w:val="auto"/>
          <w:sz w:val="28"/>
          <w:szCs w:val="28"/>
          <w:highlight w:val="none"/>
          <w:lang w:val="en-US" w:eastAsia="zh-CN"/>
        </w:rPr>
        <w:t>壮医水蛭治疗</w:t>
      </w:r>
    </w:p>
    <w:p w14:paraId="0EB2C3F2">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（1）</w:t>
      </w:r>
      <w:r>
        <w:rPr>
          <w:rFonts w:hint="eastAsia" w:ascii="仿宋_GB2312" w:hAnsi="仿宋_GB2312" w:eastAsia="仿宋_GB2312" w:cs="仿宋_GB2312"/>
          <w:b w:val="0"/>
          <w:bCs/>
          <w:color w:val="auto"/>
          <w:sz w:val="28"/>
          <w:szCs w:val="28"/>
          <w:highlight w:val="none"/>
          <w:lang w:val="en-US" w:eastAsia="zh-CN"/>
        </w:rPr>
        <w:t>适应证：适用于睡眠质量很差、轻度焦虑以上的阳证患者。对于热毒壅盛、血热互结的阳证患者，水蛭疗法的活血化瘀、清热凉血作用，可直接祛除血分热毒。</w:t>
      </w:r>
    </w:p>
    <w:p w14:paraId="42801583">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（2）</w:t>
      </w:r>
      <w:r>
        <w:rPr>
          <w:rFonts w:hint="eastAsia" w:ascii="仿宋_GB2312" w:hAnsi="仿宋_GB2312" w:eastAsia="仿宋_GB2312" w:cs="仿宋_GB2312"/>
          <w:b w:val="0"/>
          <w:bCs/>
          <w:color w:val="auto"/>
          <w:sz w:val="28"/>
          <w:szCs w:val="28"/>
          <w:highlight w:val="none"/>
          <w:lang w:val="en-US" w:eastAsia="zh-CN"/>
        </w:rPr>
        <w:t>部位选择：取“安眠穴”“天宫穴”“足背一环7、8”等穴位。天宫穴是壮医安神要穴；足背一环7、8穴位于足背，可清热利湿。选穴侧重清热、安神，以清泄血热、引火归元。</w:t>
      </w:r>
    </w:p>
    <w:p w14:paraId="2730D765">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（3）</w:t>
      </w:r>
      <w:r>
        <w:rPr>
          <w:rFonts w:hint="eastAsia" w:ascii="仿宋_GB2312" w:hAnsi="仿宋_GB2312" w:eastAsia="仿宋_GB2312" w:cs="仿宋_GB2312"/>
          <w:b w:val="0"/>
          <w:bCs/>
          <w:color w:val="auto"/>
          <w:sz w:val="28"/>
          <w:szCs w:val="28"/>
          <w:highlight w:val="none"/>
          <w:lang w:val="en-US" w:eastAsia="zh-CN"/>
        </w:rPr>
        <w:t>参数设定：每周1～2次，每次60 min，2周为1个疗程。与阴证参数一致。水蛭疗法通过吸吮瘀血来“泻热”，其治疗频率和时长主要取决于水蛭的生物学特性和临床安全性要求。</w:t>
      </w:r>
    </w:p>
    <w:p w14:paraId="6F873EF6">
      <w:pPr>
        <w:pStyle w:val="33"/>
        <w:spacing w:before="0" w:beforeLines="0" w:after="0" w:afterLines="0"/>
        <w:ind w:firstLine="562"/>
        <w:jc w:val="both"/>
        <w:outlineLvl w:val="2"/>
        <w:rPr>
          <w:rFonts w:hint="eastAsia" w:ascii="仿宋_GB2312" w:hAnsi="仿宋_GB2312" w:eastAsia="仿宋_GB2312" w:cs="仿宋_GB2312"/>
          <w:b/>
          <w:bCs w:val="0"/>
          <w:color w:val="auto"/>
          <w:sz w:val="28"/>
          <w:szCs w:val="28"/>
          <w:highlight w:val="none"/>
          <w:lang w:val="en-US" w:eastAsia="zh-CN"/>
        </w:rPr>
      </w:pPr>
      <w:r>
        <w:rPr>
          <w:rFonts w:hint="eastAsia" w:ascii="仿宋_GB2312" w:hAnsi="仿宋_GB2312" w:eastAsia="仿宋_GB2312" w:cs="仿宋_GB2312"/>
          <w:b/>
          <w:bCs w:val="0"/>
          <w:color w:val="auto"/>
          <w:sz w:val="28"/>
          <w:szCs w:val="28"/>
          <w:highlight w:val="none"/>
          <w:lang w:val="en-US" w:eastAsia="zh-CN"/>
        </w:rPr>
        <w:t>2. 服药护理</w:t>
      </w:r>
    </w:p>
    <w:p w14:paraId="758C2E02">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2.1 给药间隔：“口服中壮药与西药的服药时间应间隔30 min”。该规定基于药物相互作用的基本原理——间隔服药可避免中壮药与西药在胃肠道发生物理或化学性相互作用，影响吸收或产生不良反应。</w:t>
      </w:r>
    </w:p>
    <w:p w14:paraId="1F1DE6CD">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2.2 药温要求：“中壮药汤剂：阳证者宜偏凉服，阴证者宜温服”。其依据是壮医“寒者热之，热者寒之”的治疗原则——阳证属热，偏凉服可助清热；阴证属寒，温服可助温补。</w:t>
      </w:r>
    </w:p>
    <w:p w14:paraId="5EE3611D">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2.3 用药监测：规定“用药前询问患者药物过敏史”“应注意配伍禁忌，应将中西药分开使用”“密切观察患者用药反应，尤其对老人、肝肾功能异常等特殊人群应加强巡视和监测，发现异常及过敏反应立即停药，及时报告医师并协助处理，并明确告知患者及家属不应再次使用此类药物”。</w:t>
      </w:r>
    </w:p>
    <w:p w14:paraId="28CAB3F2">
      <w:pPr>
        <w:pStyle w:val="33"/>
        <w:spacing w:before="0" w:beforeLines="0" w:after="0" w:afterLines="0"/>
        <w:ind w:firstLine="562"/>
        <w:jc w:val="both"/>
        <w:outlineLvl w:val="1"/>
        <w:rPr>
          <w:rFonts w:hint="eastAsia" w:ascii="仿宋_GB2312" w:hAnsi="仿宋_GB2312" w:eastAsia="仿宋_GB2312" w:cs="仿宋_GB2312"/>
          <w:b/>
          <w:bCs w:val="0"/>
          <w:color w:val="auto"/>
          <w:sz w:val="28"/>
          <w:szCs w:val="28"/>
          <w:highlight w:val="none"/>
          <w:lang w:val="en-US" w:eastAsia="zh-CN"/>
        </w:rPr>
      </w:pPr>
      <w:r>
        <w:rPr>
          <w:rFonts w:hint="eastAsia" w:ascii="仿宋_GB2312" w:hAnsi="仿宋_GB2312" w:eastAsia="仿宋_GB2312" w:cs="仿宋_GB2312"/>
          <w:b/>
          <w:bCs w:val="0"/>
          <w:color w:val="auto"/>
          <w:sz w:val="28"/>
          <w:szCs w:val="28"/>
          <w:highlight w:val="none"/>
        </w:rPr>
        <w:t>（</w:t>
      </w:r>
      <w:r>
        <w:rPr>
          <w:rFonts w:hint="eastAsia" w:ascii="仿宋_GB2312" w:hAnsi="仿宋_GB2312" w:eastAsia="仿宋_GB2312" w:cs="仿宋_GB2312"/>
          <w:b/>
          <w:bCs w:val="0"/>
          <w:color w:val="auto"/>
          <w:sz w:val="28"/>
          <w:szCs w:val="28"/>
          <w:highlight w:val="none"/>
          <w:lang w:eastAsia="zh-CN"/>
        </w:rPr>
        <w:t>五</w:t>
      </w:r>
      <w:r>
        <w:rPr>
          <w:rFonts w:hint="eastAsia" w:ascii="仿宋_GB2312" w:hAnsi="仿宋_GB2312" w:eastAsia="仿宋_GB2312" w:cs="仿宋_GB2312"/>
          <w:b/>
          <w:bCs w:val="0"/>
          <w:color w:val="auto"/>
          <w:sz w:val="28"/>
          <w:szCs w:val="28"/>
          <w:highlight w:val="none"/>
        </w:rPr>
        <w:t>）</w:t>
      </w:r>
      <w:r>
        <w:rPr>
          <w:rFonts w:hint="eastAsia" w:ascii="仿宋_GB2312" w:hAnsi="仿宋_GB2312" w:eastAsia="仿宋_GB2312" w:cs="仿宋_GB2312"/>
          <w:b/>
          <w:bCs w:val="0"/>
          <w:color w:val="auto"/>
          <w:sz w:val="28"/>
          <w:szCs w:val="28"/>
          <w:highlight w:val="none"/>
          <w:lang w:val="en-US" w:eastAsia="zh-CN"/>
        </w:rPr>
        <w:t>日常调护</w:t>
      </w:r>
    </w:p>
    <w:p w14:paraId="7DB5B368">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日常调护着眼于患者在全病程乃至日常生活中的自我管理，体现了壮医“治未病”思想和“三气同步”理论在护理领域的延伸。本章内容的确定，是在壮医理论指导下，系统梳理壮族传统养生习俗，结合起草单位的临床护理经验，经专家论证后形成的。以下逐条说明各条款的编制依据。</w:t>
      </w:r>
    </w:p>
    <w:p w14:paraId="59D47D38">
      <w:pPr>
        <w:pStyle w:val="33"/>
        <w:spacing w:before="0" w:beforeLines="0" w:after="0" w:afterLines="0"/>
        <w:ind w:firstLine="562"/>
        <w:jc w:val="both"/>
        <w:outlineLvl w:val="9"/>
        <w:rPr>
          <w:rFonts w:hint="eastAsia" w:ascii="仿宋_GB2312" w:hAnsi="仿宋_GB2312" w:eastAsia="仿宋_GB2312" w:cs="仿宋_GB2312"/>
          <w:b/>
          <w:bCs w:val="0"/>
          <w:color w:val="auto"/>
          <w:sz w:val="28"/>
          <w:szCs w:val="28"/>
          <w:highlight w:val="none"/>
          <w:lang w:val="en-US" w:eastAsia="zh-CN"/>
        </w:rPr>
      </w:pPr>
      <w:r>
        <w:rPr>
          <w:rFonts w:hint="eastAsia" w:ascii="仿宋_GB2312" w:hAnsi="仿宋_GB2312" w:eastAsia="仿宋_GB2312" w:cs="仿宋_GB2312"/>
          <w:b/>
          <w:bCs w:val="0"/>
          <w:color w:val="auto"/>
          <w:sz w:val="28"/>
          <w:szCs w:val="28"/>
          <w:highlight w:val="none"/>
          <w:lang w:val="en-US" w:eastAsia="zh-CN"/>
        </w:rPr>
        <w:t>1. 生活起居</w:t>
      </w:r>
    </w:p>
    <w:p w14:paraId="0B6AC5CC">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1.1 患者指导：规定“顺应四时，起居有常，按时作息；卧室宜安静、避光，可使用壮药枕（如艾叶、柚子叶、淡竹叶填充），也可将夜交藤、茉莉花、石菖蒲等制成壮药香囊，挂于床头或佩戴”。</w:t>
      </w:r>
    </w:p>
    <w:p w14:paraId="4CED3B7C">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1）作息安排：壮医“三气同步”理论认为，人体之气与天地之气相通，需顺应自然节律才能维持健康。四季更替、昼夜交替对人体气血运行有直接影响，因此作息安排必须与自然节律保持一致。冬季阳气潜藏，早卧晚起有助于避寒就温、护养阳气；夏季白昼较长，可稍晚入睡，但不应超过子时（23:00-1:00），因为子时为阴阳交替之际，此时不寐易耗伤阳气、扰动心神。午时（11:00-13:00）为阳气最盛、阴气初生之时，短暂小憩可助阴阳交接、养心安神。这些规定既源于壮医理论，也与现代睡眠医学倡导的规律作息理念相契合。</w:t>
      </w:r>
    </w:p>
    <w:p w14:paraId="301654A6">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2）环境要求：环境对睡眠的影响在壮医理论中体现为“外环境与内环境相统一”的思想。安静、避光是优质睡眠的基本环境要求，已为现代医学所公认。在此基础上引入壮药枕和壮药香囊，是将壮族民间养生智慧转化为规范化护理措施的具体体现。艾叶、柚子叶、淡竹叶等药材气味芳香、药性平和，通过睡眠时头颈部皮肤与药物的持续接触，使药气渗透龙路火路，起到安神定志的辅助作用。夜交藤、茉莉花、石菖蒲制成的香囊，可挂于床头或佩戴，通过持续嗅闻药气调畅气机。</w:t>
      </w:r>
    </w:p>
    <w:p w14:paraId="3020FB89">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1.2 足部护理：规定“睡前用温水泡脚，并按摩‘地井穴’（在脚心处）15 min～30 min”。</w:t>
      </w:r>
    </w:p>
    <w:p w14:paraId="0DBAB1CF">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足部在壮医理论中被视为龙路、火路循行的重要区域，“地井穴”（足心）是补虚要穴。睡前浴足可通过温热作用温通龙路、引火归元，使上扰心神之虚火下行而安眠。浴足后按摩地井穴，可进一步增强调气补虚的效果。15 min～30 min的时长设定，是基于既能达到放松效果、又不影响入睡的经验考虑。</w:t>
      </w:r>
    </w:p>
    <w:p w14:paraId="5D3E39E2">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1.3 运动锻炼：规定“进行适当的体力活动或体育锻炼，如按T/GXAS 1061的规定练习壮医三气养生操、按T/GXAS 1011的规定练习壮药绣球操等，或壮族传统‘蚂拐舞’（蛙形动作）疏通龙路，调畅气机，增强体质”。</w:t>
      </w:r>
    </w:p>
    <w:p w14:paraId="5DB543DD">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壮医认为，“巧坞”（大脑）的功能正常有赖于全身气血的濡养。适当运动可疏通龙路火路、调畅三气，使气血上奉巧坞而安神。运动形式的选择依据如下：</w:t>
      </w:r>
    </w:p>
    <w:p w14:paraId="4C0CD7B1">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——壮医三气养生操：已发布T/GXAS 1061标准，以调畅天地人三气为核心理念，动作舒缓、老少皆宜，适合失眠患者练习。</w:t>
      </w:r>
    </w:p>
    <w:p w14:paraId="5B75A9D0">
      <w:pPr>
        <w:pStyle w:val="33"/>
        <w:spacing w:before="0" w:beforeLines="0" w:after="0" w:afterLines="0" w:line="240" w:lineRule="auto"/>
        <w:ind w:left="0" w:leftChars="0" w:firstLine="0" w:firstLineChars="0"/>
        <w:jc w:val="center"/>
        <w:outlineLvl w:val="9"/>
        <w:rPr>
          <w:rFonts w:hint="eastAsia"/>
          <w:color w:val="auto"/>
          <w:highlight w:val="none"/>
          <w:lang w:val="en-US" w:eastAsia="zh-CN"/>
        </w:rPr>
      </w:pPr>
      <w:r>
        <w:rPr>
          <w:color w:val="auto"/>
          <w:highlight w:val="none"/>
        </w:rPr>
        <w:drawing>
          <wp:inline distT="0" distB="0" distL="114300" distR="114300">
            <wp:extent cx="3477260" cy="4396105"/>
            <wp:effectExtent l="9525" t="9525" r="18415" b="1397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3"/>
                    <a:stretch>
                      <a:fillRect/>
                    </a:stretch>
                  </pic:blipFill>
                  <pic:spPr>
                    <a:xfrm>
                      <a:off x="0" y="0"/>
                      <a:ext cx="3477260" cy="4396105"/>
                    </a:xfrm>
                    <a:prstGeom prst="rect">
                      <a:avLst/>
                    </a:prstGeom>
                    <a:noFill/>
                    <a:ln>
                      <a:solidFill>
                        <a:schemeClr val="tx1"/>
                      </a:solidFill>
                    </a:ln>
                  </pic:spPr>
                </pic:pic>
              </a:graphicData>
            </a:graphic>
          </wp:inline>
        </w:drawing>
      </w:r>
    </w:p>
    <w:p w14:paraId="14017BFB">
      <w:pPr>
        <w:pStyle w:val="33"/>
        <w:spacing w:before="0" w:beforeLines="0" w:after="0" w:afterLines="0" w:line="240" w:lineRule="auto"/>
        <w:ind w:left="0" w:leftChars="0" w:firstLine="0" w:firstLineChars="0"/>
        <w:jc w:val="center"/>
        <w:outlineLvl w:val="9"/>
        <w:rPr>
          <w:rFonts w:hint="eastAsia"/>
          <w:color w:val="auto"/>
          <w:highlight w:val="none"/>
          <w:lang w:val="en-US" w:eastAsia="zh-CN"/>
        </w:rPr>
      </w:pPr>
      <w:r>
        <w:rPr>
          <w:rFonts w:hint="eastAsia"/>
          <w:color w:val="auto"/>
          <w:highlight w:val="none"/>
          <w:lang w:val="en-US" w:eastAsia="zh-CN"/>
        </w:rPr>
        <w:t>来源：T/GXAS 1061  健身运动  壮医三气养生操技术规范</w:t>
      </w:r>
    </w:p>
    <w:p w14:paraId="6C27C740">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——壮药绣球操：已发布T/GXAS 1011标准，将壮族传统绣球文化与健身运动结合，可调畅情志、疏通经络。</w:t>
      </w:r>
    </w:p>
    <w:p w14:paraId="3F5D4EE5">
      <w:pPr>
        <w:pStyle w:val="33"/>
        <w:spacing w:before="0" w:beforeLines="0" w:after="0" w:afterLines="0" w:line="240" w:lineRule="auto"/>
        <w:ind w:left="0" w:leftChars="0" w:firstLine="0" w:firstLineChars="0"/>
        <w:jc w:val="center"/>
        <w:outlineLvl w:val="9"/>
        <w:rPr>
          <w:color w:val="auto"/>
          <w:highlight w:val="none"/>
        </w:rPr>
      </w:pPr>
      <w:r>
        <w:rPr>
          <w:color w:val="auto"/>
          <w:highlight w:val="none"/>
        </w:rPr>
        <w:drawing>
          <wp:inline distT="0" distB="0" distL="114300" distR="114300">
            <wp:extent cx="3631565" cy="3317875"/>
            <wp:effectExtent l="9525" t="9525" r="16510" b="2540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4"/>
                    <a:stretch>
                      <a:fillRect/>
                    </a:stretch>
                  </pic:blipFill>
                  <pic:spPr>
                    <a:xfrm>
                      <a:off x="0" y="0"/>
                      <a:ext cx="3631565" cy="3317875"/>
                    </a:xfrm>
                    <a:prstGeom prst="rect">
                      <a:avLst/>
                    </a:prstGeom>
                    <a:noFill/>
                    <a:ln>
                      <a:solidFill>
                        <a:schemeClr val="tx1"/>
                      </a:solidFill>
                    </a:ln>
                  </pic:spPr>
                </pic:pic>
              </a:graphicData>
            </a:graphic>
          </wp:inline>
        </w:drawing>
      </w:r>
    </w:p>
    <w:p w14:paraId="5D5D49BA">
      <w:pPr>
        <w:pStyle w:val="33"/>
        <w:spacing w:before="0" w:beforeLines="0" w:after="0" w:afterLines="0" w:line="240" w:lineRule="auto"/>
        <w:ind w:left="0" w:leftChars="0" w:firstLine="0" w:firstLineChars="0"/>
        <w:jc w:val="center"/>
        <w:outlineLvl w:val="9"/>
        <w:rPr>
          <w:rFonts w:hint="eastAsia"/>
          <w:color w:val="auto"/>
          <w:highlight w:val="none"/>
          <w:lang w:val="en-US" w:eastAsia="zh-CN"/>
        </w:rPr>
      </w:pPr>
      <w:r>
        <w:rPr>
          <w:rFonts w:hint="eastAsia"/>
          <w:color w:val="auto"/>
          <w:highlight w:val="none"/>
          <w:lang w:val="en-US" w:eastAsia="zh-CN"/>
        </w:rPr>
        <w:t>来源：T/GXAS 1011  健身运动  壮药绣球操技术规范</w:t>
      </w:r>
    </w:p>
    <w:p w14:paraId="4C53B23D">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——蚂拐舞：蚂拐（青蛙）是壮族图腾之一，蚂拐舞是壮族传统舞蹈，蛙形动作可锻炼腰腹、疏通龙路（腰背部为龙路循行重要区域）。将其纳入规范，体现了壮族传统文化在健康促进中的价值。</w:t>
      </w:r>
    </w:p>
    <w:p w14:paraId="346761E1">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1.4 药物依赖宣教：规定“对靠药物助眠者，告知家属及患者药物的作用与副作用，以及服药过程中的注意事项”。</w:t>
      </w:r>
    </w:p>
    <w:p w14:paraId="0FFA600F">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药物依赖是失眠患者常见问题。对靠药物助眠者进行用药知识教育，告知药物的作用、副作用及注意事项，是提高患者用药依从性和安全性的必要措施，也为后续逐步减药、摆脱药物依赖奠定基础。这是现代护理“以患者为中心”理念在壮医护理中的体现。</w:t>
      </w:r>
    </w:p>
    <w:p w14:paraId="1CF3BC80">
      <w:pPr>
        <w:pStyle w:val="33"/>
        <w:spacing w:before="0" w:beforeLines="0" w:after="0" w:afterLines="0"/>
        <w:ind w:firstLine="562"/>
        <w:jc w:val="both"/>
        <w:outlineLvl w:val="9"/>
        <w:rPr>
          <w:rFonts w:hint="eastAsia" w:ascii="仿宋_GB2312" w:hAnsi="仿宋_GB2312" w:eastAsia="仿宋_GB2312" w:cs="仿宋_GB2312"/>
          <w:b/>
          <w:bCs w:val="0"/>
          <w:color w:val="auto"/>
          <w:sz w:val="28"/>
          <w:szCs w:val="28"/>
          <w:highlight w:val="none"/>
          <w:lang w:val="en-US" w:eastAsia="zh-CN"/>
        </w:rPr>
      </w:pPr>
      <w:r>
        <w:rPr>
          <w:rFonts w:hint="eastAsia" w:ascii="仿宋_GB2312" w:hAnsi="仿宋_GB2312" w:eastAsia="仿宋_GB2312" w:cs="仿宋_GB2312"/>
          <w:b/>
          <w:bCs w:val="0"/>
          <w:color w:val="auto"/>
          <w:sz w:val="28"/>
          <w:szCs w:val="28"/>
          <w:highlight w:val="none"/>
          <w:lang w:val="en-US" w:eastAsia="zh-CN"/>
        </w:rPr>
        <w:t>2. 饮食</w:t>
      </w:r>
    </w:p>
    <w:p w14:paraId="18EC7DEA">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2.1 饮食原则：规定“饮食宜清淡，忌辛辣刺激，少食肥甘厚味之品；睡前宜喝1杯热牛奶，忌饮用咖啡、浓茶”。</w:t>
      </w:r>
    </w:p>
    <w:p w14:paraId="6361E333">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壮医认为，“谷道”（胃肠道）壅滞可影响气血生成，进而上扰巧坞而失眠。因此，清淡饮食是基础性要求，可减轻谷道负担，使气血生化有源。辛辣刺激之品易扰动心神，肥甘厚味之品易生湿生痰，均应避免。睡前热牛奶是民间常用助眠方法，牛奶性平味甘，有补虚安神之效。咖啡、浓茶含咖啡因，可兴奋中枢神经，干扰睡眠，应列为禁忌。</w:t>
      </w:r>
    </w:p>
    <w:p w14:paraId="10D61F51">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2.2 证型饮食指导：规定“阳证者宜食清热毒、调巧坞、安神志之品，阴证者宜食补气血、调巧坞、安神志之品”。</w:t>
      </w:r>
    </w:p>
    <w:p w14:paraId="01C78252">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饮食调护需与证型相符，方能辅助治疗。阳证属热属实，宜食清热毒、调巧坞、安神志之品；阴证属寒属虚，宜食补气血、调巧坞、安神志之品。这是壮医“辨证施食”原则的具体体现。</w:t>
      </w:r>
    </w:p>
    <w:p w14:paraId="5FC20550">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2.3 谷道调养：规定“多食补益‘谷道’的黄色食物（如玉米、黄小米），辅以养心安神的莲子、百合、龙眼肉（棵依）”。</w:t>
      </w:r>
    </w:p>
    <w:p w14:paraId="6E2D11EA">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壮医五行理论中，黄色入脾（谷道），补益黄色食物可健运谷道、助气血生化。玉米、黄小米是壮族地区传统主食，性平味甘，有补中益气之效。莲子、百合、龙眼肉是养心安神的常用食材，适用于各证型患者的日常调护。龙眼肉标注壮语“棵依”，便于在壮族地区与患者沟通，体现了民族语言在健康宣教中的应用价值。</w:t>
      </w:r>
    </w:p>
    <w:p w14:paraId="006E8B43">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2.4 壮医药膳：规定按不同证型给予壮医药膳，各药膳的确定依据如下：</w:t>
      </w:r>
    </w:p>
    <w:p w14:paraId="7D9C444B">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（1）阴证-瘀毒型：夜交藤粥、田七丹参炖乌鸡</w:t>
      </w:r>
    </w:p>
    <w:p w14:paraId="680EF690">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夜交藤粥：夜交藤养心安神、祛风通络，是治疗失眠的常用药物。煮粥服食，既可安神，又易消化，适合瘀毒型患者（瘀毒内阻，谷道功能易受影响）。</w:t>
      </w:r>
    </w:p>
    <w:p w14:paraId="0EC06782">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田七丹参炖乌鸡：田七化瘀止血、活血定痛；丹参活血祛瘀、清心安神；乌鸡补虚养血。三药合用，化瘀而不伤正、补虚而不留瘀，针对瘀毒型“因虚致瘀、因瘀更虚”的病机特点。</w:t>
      </w:r>
    </w:p>
    <w:p w14:paraId="25381ECB">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（2）阴证-气血虚型：柏子仁粥、远志莲粉粥，睡前可饮少量糯米甜酒</w:t>
      </w:r>
    </w:p>
    <w:p w14:paraId="7F4C4A28">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柏子仁粥：柏子仁养心安神、润肠通便，煮粥服食可补虚安神。</w:t>
      </w:r>
    </w:p>
    <w:p w14:paraId="0A523C6A">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远志莲粉粥：远志祛痰开窍、安神益智；莲子养心安神。二药合用，共奏安神定志之功。</w:t>
      </w:r>
    </w:p>
    <w:p w14:paraId="5C256102">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糯米甜酒：糯米补中益气，甜酒温通血脉。睡前少量饮用（约20 ml～30 ml），可助气血运行、温养心神。该方源自壮族民间习俗，适用于气血虚型患者（虚证可用温补）。需强调“少量”，避免过量饮酒影响睡眠。</w:t>
      </w:r>
    </w:p>
    <w:p w14:paraId="0D32BFB8">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（3）阴证-气郁型：桃仁合欢花粥</w:t>
      </w:r>
    </w:p>
    <w:p w14:paraId="0EF93DF7">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桃仁：活血祛瘀，兼能润肠。气郁日久可致血瘀，桃仁可防气病及血。</w:t>
      </w:r>
    </w:p>
    <w:p w14:paraId="71E805E3">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合欢花：疏肝解郁、安神定志，是治疗情志不遂所致失眠的要药。</w:t>
      </w:r>
    </w:p>
    <w:p w14:paraId="28CE031A">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粥剂：二药煮粥，既可疏解气郁，又易消化吸收，符合气郁型患者“调气为先”的治疗原则。</w:t>
      </w:r>
    </w:p>
    <w:p w14:paraId="2F4D1D68">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（4）阴证-肾虚型：杜仲核桃炖猪腰、山药芡实茯苓羹</w:t>
      </w:r>
    </w:p>
    <w:p w14:paraId="34008C2E">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杜仲核桃炖猪腰：杜仲补肝肾、强筋骨；核桃补肾固精、益智安神；猪腰以形补形、补肾益精。三药合用，是壮族民间常用的补肾药膳。</w:t>
      </w:r>
    </w:p>
    <w:p w14:paraId="68195834">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山药芡实茯苓羹：山药补脾益肾、芡实固肾涩精、茯苓健脾安神。三药煮羹，健脾补肾、安神定志，适用于肾虚型患者（肾虚常兼脾虚，健脾可助补肾）。</w:t>
      </w:r>
    </w:p>
    <w:p w14:paraId="028DF039">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（5）阳证-湿热型：百合冰糖粥、黄花倒水莲炖猪心</w:t>
      </w:r>
    </w:p>
    <w:p w14:paraId="61971266">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百合冰糖粥：百合清心安神，冰糖甘寒清热，煮粥服食可清热安神，适用于湿热型患者（热象偏重者）。</w:t>
      </w:r>
    </w:p>
    <w:p w14:paraId="0A494959">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黄花倒水莲炖猪心：黄花倒水莲是壮族地区特色药材，有清热利湿、安神定志之效；猪心以形补形、养心安神。二药炖服，清热与安神并举，针对湿热型“湿热内扰、心神不宁”的病机。</w:t>
      </w:r>
    </w:p>
    <w:p w14:paraId="5A29862A">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（6）阳证-痰热型：黄花菜肉汤、鸡屎藤糯米糕</w:t>
      </w:r>
    </w:p>
    <w:p w14:paraId="4A904D19">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黄花菜肉汤：黄花菜（萱草）清热利湿、安神解郁，古人称之为“忘忧草”；瘦肉补虚。煮汤服食，清热安神而不伤正。</w:t>
      </w:r>
    </w:p>
    <w:p w14:paraId="05A6054A">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鸡屎藤糯米糕：鸡屎藤是壮族地区特色药材，有清热化痰、祛风除湿之效；糯米补中益气。制成糕点，既便于食用，又可清热化痰、安神定志。该方源自壮族民间药膳，适用于痰热型患者。</w:t>
      </w:r>
    </w:p>
    <w:p w14:paraId="52B61385">
      <w:pPr>
        <w:pStyle w:val="33"/>
        <w:spacing w:before="0" w:beforeLines="0" w:after="0" w:afterLines="0"/>
        <w:ind w:firstLine="562"/>
        <w:jc w:val="both"/>
        <w:outlineLvl w:val="1"/>
        <w:rPr>
          <w:rFonts w:hint="eastAsia" w:ascii="仿宋_GB2312" w:hAnsi="仿宋_GB2312" w:eastAsia="仿宋_GB2312" w:cs="仿宋_GB2312"/>
          <w:b/>
          <w:bCs w:val="0"/>
          <w:color w:val="auto"/>
          <w:sz w:val="28"/>
          <w:szCs w:val="28"/>
          <w:highlight w:val="none"/>
          <w:lang w:val="en-US" w:eastAsia="zh-CN"/>
        </w:rPr>
      </w:pPr>
      <w:r>
        <w:rPr>
          <w:rFonts w:hint="eastAsia" w:ascii="仿宋_GB2312" w:hAnsi="仿宋_GB2312" w:eastAsia="仿宋_GB2312" w:cs="仿宋_GB2312"/>
          <w:b/>
          <w:bCs w:val="0"/>
          <w:color w:val="auto"/>
          <w:sz w:val="28"/>
          <w:szCs w:val="28"/>
          <w:highlight w:val="none"/>
          <w:lang w:val="en-US" w:eastAsia="zh-CN"/>
        </w:rPr>
        <w:t>（六）情志调理</w:t>
      </w:r>
    </w:p>
    <w:p w14:paraId="1A14DAC6">
      <w:pPr>
        <w:pStyle w:val="33"/>
        <w:spacing w:before="0" w:beforeLines="0" w:after="0" w:afterLines="0"/>
        <w:ind w:firstLine="562"/>
        <w:jc w:val="both"/>
        <w:outlineLvl w:val="9"/>
        <w:rPr>
          <w:rFonts w:hint="eastAsia" w:ascii="仿宋_GB2312" w:hAnsi="仿宋_GB2312" w:eastAsia="仿宋_GB2312" w:cs="仿宋_GB2312"/>
          <w:b/>
          <w:bCs w:val="0"/>
          <w:color w:val="auto"/>
          <w:sz w:val="28"/>
          <w:szCs w:val="28"/>
          <w:highlight w:val="none"/>
          <w:lang w:val="en-US" w:eastAsia="zh-CN"/>
        </w:rPr>
      </w:pPr>
      <w:r>
        <w:rPr>
          <w:rFonts w:hint="eastAsia" w:ascii="仿宋_GB2312" w:hAnsi="仿宋_GB2312" w:eastAsia="仿宋_GB2312" w:cs="仿宋_GB2312"/>
          <w:b/>
          <w:bCs w:val="0"/>
          <w:color w:val="auto"/>
          <w:sz w:val="28"/>
          <w:szCs w:val="28"/>
          <w:highlight w:val="none"/>
          <w:lang w:val="en-US" w:eastAsia="zh-CN"/>
        </w:rPr>
        <w:t>1. 声疗调神法</w:t>
      </w:r>
    </w:p>
    <w:p w14:paraId="00696CCF">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规定了两种声疗方法：铜鼓谐振法和山歌疗法。</w:t>
      </w:r>
    </w:p>
    <w:p w14:paraId="1442A8B6">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（1）铜鼓谐振法：规定“选用壮族铜鼓低沉悠扬的声波（频率80 Hz～110 Hz），睡前30 min聆听，每次15 min～20 min”。铜鼓是壮族传统文化的象征，其声音低沉悠扬。研究表明，80 Hz～110 Hz的低频声波可诱导大脑进入放松状态，有助睡眠。睡前30 min聆听15 min～20 min，可帮助患者从日间兴奋状态过渡到睡眠准备状态。</w:t>
      </w:r>
    </w:p>
    <w:p w14:paraId="4C8BE44C">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2）对山歌疗法：规定“晨起对唱壮族欢快山歌，如《嘹歌》”。对山歌是壮族传统习俗，晨起对唱欢快山歌，可调畅气机、振奋阳气，使一日之气机调达顺畅。选择晨间而非睡前进行，体现了对昼夜节律的尊重——欢快音乐有振奋作用，不宜睡前进行。《嘹歌》是壮族代表性山歌，旋律欢快、节奏明快，适合晨起演唱。</w:t>
      </w:r>
    </w:p>
    <w:p w14:paraId="21168AA8">
      <w:pPr>
        <w:pStyle w:val="33"/>
        <w:spacing w:before="0" w:beforeLines="0" w:after="0" w:afterLines="0"/>
        <w:ind w:firstLine="562"/>
        <w:jc w:val="both"/>
        <w:outlineLvl w:val="9"/>
        <w:rPr>
          <w:rFonts w:hint="eastAsia" w:ascii="仿宋_GB2312" w:hAnsi="仿宋_GB2312" w:eastAsia="仿宋_GB2312" w:cs="仿宋_GB2312"/>
          <w:b/>
          <w:bCs w:val="0"/>
          <w:color w:val="auto"/>
          <w:sz w:val="28"/>
          <w:szCs w:val="28"/>
          <w:highlight w:val="none"/>
          <w:lang w:val="en-US" w:eastAsia="zh-CN"/>
        </w:rPr>
      </w:pPr>
      <w:r>
        <w:rPr>
          <w:rFonts w:hint="eastAsia" w:ascii="仿宋_GB2312" w:hAnsi="仿宋_GB2312" w:eastAsia="仿宋_GB2312" w:cs="仿宋_GB2312"/>
          <w:b/>
          <w:bCs w:val="0"/>
          <w:color w:val="auto"/>
          <w:sz w:val="28"/>
          <w:szCs w:val="28"/>
          <w:highlight w:val="none"/>
          <w:lang w:val="en-US" w:eastAsia="zh-CN"/>
        </w:rPr>
        <w:t>2. 色彩情志法</w:t>
      </w:r>
    </w:p>
    <w:p w14:paraId="3F7C6365">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规定了两种色彩情志方法：青色布疗法和使用深蓝色床幔、蓝靛草枕套。</w:t>
      </w:r>
    </w:p>
    <w:p w14:paraId="56966B3E">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1）青色布疗法：规定“卧室悬挂壮族靛蓝染布”。壮医色彩理论认为，青色入肝、入心，具有疏肝解郁、镇静安神之效。靛蓝染布是壮族传统染织品，将其悬挂于卧室，通过视觉刺激调畅情志，营造宁静安神的睡眠环境。</w:t>
      </w:r>
    </w:p>
    <w:p w14:paraId="1D2CD3EB">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2）深蓝色床幔、蓝靛草枕套：深蓝色在色彩心理学中具有镇静、安神的作用，有助于降低兴奋性、诱导睡眠。蓝靛草是壮族地区传统药用植物，具有清热解毒、安神定志之效，将其制成枕套，可通过持续接触发挥药效。该方法源自壮族民间养生习俗，经临床验证，对改善睡眠质量有辅助作用。</w:t>
      </w:r>
    </w:p>
    <w:p w14:paraId="52FDB74D">
      <w:pPr>
        <w:pStyle w:val="33"/>
        <w:spacing w:before="0" w:beforeLines="0" w:after="0" w:afterLines="0"/>
        <w:ind w:firstLine="562"/>
        <w:jc w:val="both"/>
        <w:outlineLvl w:val="9"/>
        <w:rPr>
          <w:rFonts w:hint="eastAsia" w:ascii="仿宋_GB2312" w:hAnsi="仿宋_GB2312" w:eastAsia="仿宋_GB2312" w:cs="仿宋_GB2312"/>
          <w:b w:val="0"/>
          <w:bCs/>
          <w:color w:val="auto"/>
          <w:sz w:val="28"/>
          <w:szCs w:val="28"/>
          <w:highlight w:val="none"/>
          <w:lang w:val="en-US" w:eastAsia="zh-CN"/>
        </w:rPr>
      </w:pPr>
      <w:r>
        <w:rPr>
          <w:rFonts w:hint="eastAsia" w:ascii="仿宋_GB2312" w:hAnsi="仿宋_GB2312" w:eastAsia="仿宋_GB2312" w:cs="仿宋_GB2312"/>
          <w:b w:val="0"/>
          <w:bCs/>
          <w:color w:val="auto"/>
          <w:sz w:val="28"/>
          <w:szCs w:val="28"/>
          <w:highlight w:val="none"/>
          <w:lang w:val="en-US" w:eastAsia="zh-CN"/>
        </w:rPr>
        <w:t>上述情志调理方法融合了壮医理论、民族传统文化与现代色彩心理学、声学研究成果，体现了壮医护理“简、便、验、廉”的特色和“身心同调”的治疗理念。</w:t>
      </w:r>
    </w:p>
    <w:p w14:paraId="68176C78">
      <w:pPr>
        <w:pStyle w:val="33"/>
        <w:spacing w:before="0" w:beforeLines="0" w:after="0" w:afterLines="0"/>
        <w:ind w:firstLine="560"/>
        <w:jc w:val="both"/>
        <w:rPr>
          <w:rFonts w:hint="eastAsia" w:ascii="仿宋_GB2312" w:hAnsi="仿宋_GB2312" w:eastAsia="仿宋_GB2312" w:cs="仿宋_GB2312"/>
          <w:color w:val="auto"/>
          <w:sz w:val="28"/>
          <w:szCs w:val="28"/>
          <w:highlight w:val="none"/>
        </w:rPr>
      </w:pPr>
    </w:p>
    <w:p w14:paraId="242DA438">
      <w:pPr>
        <w:pStyle w:val="33"/>
        <w:spacing w:before="0" w:beforeLines="0" w:after="0" w:afterLines="0"/>
        <w:ind w:firstLine="560"/>
        <w:jc w:val="both"/>
        <w:rPr>
          <w:rFonts w:hint="eastAsia" w:ascii="仿宋_GB2312" w:hAnsi="仿宋_GB2312" w:eastAsia="仿宋_GB2312" w:cs="仿宋_GB2312"/>
          <w:color w:val="auto"/>
          <w:sz w:val="28"/>
          <w:szCs w:val="28"/>
          <w:highlight w:val="none"/>
          <w:lang w:eastAsia="zh-CN"/>
        </w:rPr>
      </w:pPr>
      <w:r>
        <w:rPr>
          <w:rFonts w:hint="eastAsia" w:ascii="仿宋_GB2312" w:hAnsi="仿宋_GB2312" w:eastAsia="仿宋_GB2312" w:cs="仿宋_GB2312"/>
          <w:color w:val="auto"/>
          <w:sz w:val="28"/>
          <w:szCs w:val="28"/>
          <w:highlight w:val="none"/>
          <w:lang w:eastAsia="zh-CN"/>
        </w:rPr>
        <w:t>以下是近年来年闹诺（睡眠障碍）壮医护理的记录：</w:t>
      </w:r>
    </w:p>
    <w:p w14:paraId="0675203D">
      <w:pPr>
        <w:pStyle w:val="33"/>
        <w:widowControl w:val="0"/>
        <w:ind w:firstLine="0" w:firstLineChars="0"/>
        <w:rPr>
          <w:rFonts w:hint="eastAsia" w:eastAsia="黑体"/>
          <w:color w:val="auto"/>
          <w:highlight w:val="none"/>
          <w:lang w:eastAsia="zh-CN"/>
        </w:rPr>
      </w:pPr>
      <w:r>
        <w:rPr>
          <w:rFonts w:hint="eastAsia"/>
          <w:color w:val="auto"/>
          <w:highlight w:val="none"/>
        </w:rPr>
        <w:t>年闹诺（睡眠障碍）壮医护理记录</w:t>
      </w:r>
    </w:p>
    <w:tbl>
      <w:tblPr>
        <w:tblStyle w:val="17"/>
        <w:tblW w:w="87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5"/>
        <w:gridCol w:w="755"/>
        <w:gridCol w:w="1276"/>
        <w:gridCol w:w="5863"/>
      </w:tblGrid>
      <w:tr w14:paraId="1C2C7F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7" w:hRule="atLeast"/>
          <w:jc w:val="center"/>
        </w:trPr>
        <w:tc>
          <w:tcPr>
            <w:tcW w:w="845" w:type="dxa"/>
            <w:vAlign w:val="center"/>
          </w:tcPr>
          <w:p w14:paraId="21A7D9C8">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eastAsia="zh-CN"/>
              </w:rPr>
            </w:pPr>
            <w:r>
              <w:rPr>
                <w:rFonts w:hint="eastAsia" w:ascii="仿宋_GB2312" w:eastAsia="仿宋_GB2312" w:cs="仿宋"/>
                <w:color w:val="auto"/>
                <w:highlight w:val="none"/>
                <w:lang w:eastAsia="zh-CN"/>
              </w:rPr>
              <w:t>医院</w:t>
            </w:r>
          </w:p>
        </w:tc>
        <w:tc>
          <w:tcPr>
            <w:tcW w:w="755" w:type="dxa"/>
            <w:vAlign w:val="center"/>
          </w:tcPr>
          <w:p w14:paraId="56627683">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eastAsia="zh-CN"/>
              </w:rPr>
            </w:pPr>
            <w:r>
              <w:rPr>
                <w:rFonts w:hint="eastAsia" w:ascii="仿宋_GB2312" w:eastAsia="仿宋_GB2312" w:cs="仿宋"/>
                <w:color w:val="auto"/>
                <w:highlight w:val="none"/>
                <w:lang w:eastAsia="zh-CN"/>
              </w:rPr>
              <w:t>年份</w:t>
            </w:r>
          </w:p>
        </w:tc>
        <w:tc>
          <w:tcPr>
            <w:tcW w:w="1276" w:type="dxa"/>
            <w:vAlign w:val="center"/>
          </w:tcPr>
          <w:p w14:paraId="56F49E7E">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eastAsia="zh-CN"/>
              </w:rPr>
            </w:pPr>
            <w:r>
              <w:rPr>
                <w:rFonts w:hint="eastAsia" w:ascii="仿宋_GB2312" w:eastAsia="仿宋_GB2312" w:cs="仿宋"/>
                <w:color w:val="auto"/>
                <w:highlight w:val="none"/>
                <w:lang w:eastAsia="zh-CN"/>
              </w:rPr>
              <w:t>治疗人数</w:t>
            </w:r>
          </w:p>
        </w:tc>
        <w:tc>
          <w:tcPr>
            <w:tcW w:w="5863" w:type="dxa"/>
            <w:vAlign w:val="center"/>
          </w:tcPr>
          <w:p w14:paraId="017136BF">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eastAsia="zh-CN"/>
              </w:rPr>
            </w:pPr>
            <w:r>
              <w:rPr>
                <w:rFonts w:hint="eastAsia" w:ascii="仿宋_GB2312" w:eastAsia="仿宋_GB2312" w:cs="仿宋"/>
                <w:color w:val="auto"/>
                <w:highlight w:val="none"/>
                <w:lang w:eastAsia="zh-CN"/>
              </w:rPr>
              <w:t>治疗效果</w:t>
            </w:r>
          </w:p>
        </w:tc>
      </w:tr>
      <w:tr w14:paraId="0843F3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845" w:type="dxa"/>
            <w:vMerge w:val="restart"/>
            <w:vAlign w:val="center"/>
          </w:tcPr>
          <w:p w14:paraId="447C2CB8">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val="en-US" w:eastAsia="zh-CN"/>
              </w:rPr>
              <w:t>A</w:t>
            </w:r>
          </w:p>
        </w:tc>
        <w:tc>
          <w:tcPr>
            <w:tcW w:w="755" w:type="dxa"/>
            <w:vAlign w:val="center"/>
          </w:tcPr>
          <w:p w14:paraId="2E4B7750">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eastAsia="zh-CN"/>
              </w:rPr>
            </w:pPr>
            <w:r>
              <w:rPr>
                <w:rFonts w:hint="eastAsia" w:ascii="仿宋_GB2312" w:eastAsia="仿宋_GB2312" w:cs="仿宋"/>
                <w:color w:val="auto"/>
                <w:highlight w:val="none"/>
                <w:lang w:eastAsia="zh-CN"/>
              </w:rPr>
              <w:t>2022</w:t>
            </w:r>
          </w:p>
        </w:tc>
        <w:tc>
          <w:tcPr>
            <w:tcW w:w="1276" w:type="dxa"/>
            <w:vAlign w:val="center"/>
          </w:tcPr>
          <w:p w14:paraId="53B3071D">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default" w:ascii="仿宋_GB2312" w:eastAsia="仿宋_GB2312" w:cs="仿宋"/>
                <w:color w:val="auto"/>
                <w:highlight w:val="none"/>
                <w:lang w:val="en-US" w:eastAsia="zh-CN"/>
              </w:rPr>
            </w:pPr>
            <w:r>
              <w:rPr>
                <w:rFonts w:hint="eastAsia" w:ascii="仿宋_GB2312" w:eastAsia="仿宋_GB2312" w:cs="仿宋"/>
                <w:color w:val="auto"/>
                <w:highlight w:val="none"/>
                <w:lang w:val="en-US" w:eastAsia="zh-CN"/>
              </w:rPr>
              <w:t>36</w:t>
            </w:r>
          </w:p>
        </w:tc>
        <w:tc>
          <w:tcPr>
            <w:tcW w:w="5863" w:type="dxa"/>
            <w:vAlign w:val="center"/>
          </w:tcPr>
          <w:p w14:paraId="30BAC04D">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eastAsia="zh-CN"/>
              </w:rPr>
            </w:pPr>
            <w:r>
              <w:rPr>
                <w:rFonts w:hint="eastAsia" w:ascii="仿宋_GB2312" w:eastAsia="仿宋_GB2312" w:cs="仿宋"/>
                <w:color w:val="auto"/>
                <w:highlight w:val="none"/>
                <w:lang w:eastAsia="zh-CN"/>
              </w:rPr>
              <w:t>共治疗</w:t>
            </w:r>
            <w:r>
              <w:rPr>
                <w:rFonts w:hint="eastAsia" w:ascii="仿宋_GB2312" w:eastAsia="仿宋_GB2312" w:cs="仿宋"/>
                <w:color w:val="auto"/>
                <w:highlight w:val="none"/>
                <w:lang w:val="en-US" w:eastAsia="zh-CN"/>
              </w:rPr>
              <w:t>36</w:t>
            </w:r>
            <w:r>
              <w:rPr>
                <w:rFonts w:hint="eastAsia" w:ascii="仿宋_GB2312" w:eastAsia="仿宋_GB2312" w:cs="仿宋"/>
                <w:color w:val="auto"/>
                <w:highlight w:val="none"/>
                <w:lang w:eastAsia="zh-CN"/>
              </w:rPr>
              <w:t>例患者，其中痊愈</w:t>
            </w:r>
            <w:r>
              <w:rPr>
                <w:rFonts w:hint="eastAsia" w:ascii="仿宋_GB2312" w:eastAsia="仿宋_GB2312" w:cs="仿宋"/>
                <w:color w:val="auto"/>
                <w:highlight w:val="none"/>
                <w:lang w:val="en-US" w:eastAsia="zh-CN"/>
              </w:rPr>
              <w:t>0</w:t>
            </w:r>
            <w:r>
              <w:rPr>
                <w:rFonts w:hint="eastAsia" w:ascii="仿宋_GB2312" w:eastAsia="仿宋_GB2312" w:cs="仿宋"/>
                <w:color w:val="auto"/>
                <w:highlight w:val="none"/>
                <w:lang w:eastAsia="zh-CN"/>
              </w:rPr>
              <w:t>例，显效</w:t>
            </w:r>
            <w:r>
              <w:rPr>
                <w:rFonts w:hint="eastAsia" w:ascii="仿宋_GB2312" w:eastAsia="仿宋_GB2312" w:cs="仿宋"/>
                <w:color w:val="auto"/>
                <w:highlight w:val="none"/>
                <w:lang w:val="en-US" w:eastAsia="zh-CN"/>
              </w:rPr>
              <w:t>36</w:t>
            </w:r>
            <w:r>
              <w:rPr>
                <w:rFonts w:hint="eastAsia" w:ascii="仿宋_GB2312" w:eastAsia="仿宋_GB2312" w:cs="仿宋"/>
                <w:color w:val="auto"/>
                <w:highlight w:val="none"/>
                <w:lang w:eastAsia="zh-CN"/>
              </w:rPr>
              <w:t>例，有效</w:t>
            </w:r>
            <w:r>
              <w:rPr>
                <w:rFonts w:hint="eastAsia" w:ascii="仿宋_GB2312" w:eastAsia="仿宋_GB2312" w:cs="仿宋"/>
                <w:color w:val="auto"/>
                <w:highlight w:val="none"/>
                <w:lang w:val="en-US" w:eastAsia="zh-CN"/>
              </w:rPr>
              <w:t>36</w:t>
            </w:r>
            <w:r>
              <w:rPr>
                <w:rFonts w:hint="eastAsia" w:ascii="仿宋_GB2312" w:eastAsia="仿宋_GB2312" w:cs="仿宋"/>
                <w:color w:val="auto"/>
                <w:highlight w:val="none"/>
                <w:lang w:eastAsia="zh-CN"/>
              </w:rPr>
              <w:t>例，无效</w:t>
            </w:r>
            <w:r>
              <w:rPr>
                <w:rFonts w:hint="eastAsia" w:ascii="仿宋_GB2312" w:eastAsia="仿宋_GB2312" w:cs="仿宋"/>
                <w:color w:val="auto"/>
                <w:highlight w:val="none"/>
                <w:lang w:val="en-US" w:eastAsia="zh-CN"/>
              </w:rPr>
              <w:t>0</w:t>
            </w:r>
            <w:r>
              <w:rPr>
                <w:rFonts w:hint="eastAsia" w:ascii="仿宋_GB2312" w:eastAsia="仿宋_GB2312" w:cs="仿宋"/>
                <w:color w:val="auto"/>
                <w:highlight w:val="none"/>
                <w:lang w:eastAsia="zh-CN"/>
              </w:rPr>
              <w:t>例，总有效率</w:t>
            </w:r>
            <w:r>
              <w:rPr>
                <w:rFonts w:hint="eastAsia" w:ascii="仿宋_GB2312" w:eastAsia="仿宋_GB2312" w:cs="仿宋"/>
                <w:color w:val="auto"/>
                <w:highlight w:val="none"/>
                <w:lang w:val="en-US" w:eastAsia="zh-CN"/>
              </w:rPr>
              <w:t>100</w:t>
            </w:r>
            <w:r>
              <w:rPr>
                <w:rFonts w:hint="eastAsia" w:ascii="仿宋_GB2312" w:eastAsia="仿宋_GB2312" w:cs="仿宋"/>
                <w:color w:val="auto"/>
                <w:highlight w:val="none"/>
                <w:lang w:eastAsia="zh-CN"/>
              </w:rPr>
              <w:t>%</w:t>
            </w:r>
          </w:p>
        </w:tc>
      </w:tr>
      <w:tr w14:paraId="39067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845" w:type="dxa"/>
            <w:vMerge w:val="continue"/>
            <w:vAlign w:val="center"/>
          </w:tcPr>
          <w:p w14:paraId="580FD83F">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eastAsia="zh-CN"/>
              </w:rPr>
            </w:pPr>
          </w:p>
        </w:tc>
        <w:tc>
          <w:tcPr>
            <w:tcW w:w="755" w:type="dxa"/>
            <w:vAlign w:val="center"/>
          </w:tcPr>
          <w:p w14:paraId="2666F6A1">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eastAsia="zh-CN"/>
              </w:rPr>
            </w:pPr>
            <w:r>
              <w:rPr>
                <w:rFonts w:hint="eastAsia" w:ascii="仿宋_GB2312" w:eastAsia="仿宋_GB2312" w:cs="仿宋"/>
                <w:color w:val="auto"/>
                <w:highlight w:val="none"/>
                <w:lang w:eastAsia="zh-CN"/>
              </w:rPr>
              <w:t>2023</w:t>
            </w:r>
          </w:p>
        </w:tc>
        <w:tc>
          <w:tcPr>
            <w:tcW w:w="1276" w:type="dxa"/>
            <w:vAlign w:val="center"/>
          </w:tcPr>
          <w:p w14:paraId="3831A013">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eastAsia="zh-CN"/>
              </w:rPr>
            </w:pPr>
            <w:r>
              <w:rPr>
                <w:rFonts w:hint="eastAsia" w:ascii="仿宋_GB2312" w:eastAsia="仿宋_GB2312" w:cs="仿宋"/>
                <w:color w:val="auto"/>
                <w:highlight w:val="none"/>
                <w:lang w:val="en-US" w:eastAsia="zh-CN"/>
              </w:rPr>
              <w:t>93</w:t>
            </w:r>
          </w:p>
        </w:tc>
        <w:tc>
          <w:tcPr>
            <w:tcW w:w="5863" w:type="dxa"/>
            <w:vAlign w:val="center"/>
          </w:tcPr>
          <w:p w14:paraId="0D931016">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eastAsia="zh-CN"/>
              </w:rPr>
            </w:pPr>
            <w:r>
              <w:rPr>
                <w:rFonts w:hint="eastAsia" w:ascii="仿宋_GB2312" w:eastAsia="仿宋_GB2312" w:cs="仿宋"/>
                <w:color w:val="auto"/>
                <w:highlight w:val="none"/>
                <w:lang w:eastAsia="zh-CN"/>
              </w:rPr>
              <w:t>共治疗</w:t>
            </w:r>
            <w:r>
              <w:rPr>
                <w:rFonts w:hint="eastAsia" w:ascii="仿宋_GB2312" w:eastAsia="仿宋_GB2312" w:cs="仿宋"/>
                <w:color w:val="auto"/>
                <w:highlight w:val="none"/>
                <w:lang w:val="en-US" w:eastAsia="zh-CN"/>
              </w:rPr>
              <w:t>93</w:t>
            </w:r>
            <w:r>
              <w:rPr>
                <w:rFonts w:hint="eastAsia" w:ascii="仿宋_GB2312" w:eastAsia="仿宋_GB2312" w:cs="仿宋"/>
                <w:color w:val="auto"/>
                <w:highlight w:val="none"/>
                <w:lang w:eastAsia="zh-CN"/>
              </w:rPr>
              <w:t>例患者，其中痊愈</w:t>
            </w:r>
            <w:r>
              <w:rPr>
                <w:rFonts w:hint="eastAsia" w:ascii="仿宋_GB2312" w:eastAsia="仿宋_GB2312" w:cs="仿宋"/>
                <w:color w:val="auto"/>
                <w:highlight w:val="none"/>
                <w:lang w:val="en-US" w:eastAsia="zh-CN"/>
              </w:rPr>
              <w:t>0</w:t>
            </w:r>
            <w:r>
              <w:rPr>
                <w:rFonts w:hint="eastAsia" w:ascii="仿宋_GB2312" w:eastAsia="仿宋_GB2312" w:cs="仿宋"/>
                <w:color w:val="auto"/>
                <w:highlight w:val="none"/>
                <w:lang w:eastAsia="zh-CN"/>
              </w:rPr>
              <w:t>例，显效</w:t>
            </w:r>
            <w:r>
              <w:rPr>
                <w:rFonts w:hint="eastAsia" w:ascii="仿宋_GB2312" w:eastAsia="仿宋_GB2312" w:cs="仿宋"/>
                <w:color w:val="auto"/>
                <w:highlight w:val="none"/>
                <w:lang w:val="en-US" w:eastAsia="zh-CN"/>
              </w:rPr>
              <w:t>93</w:t>
            </w:r>
            <w:r>
              <w:rPr>
                <w:rFonts w:hint="eastAsia" w:ascii="仿宋_GB2312" w:eastAsia="仿宋_GB2312" w:cs="仿宋"/>
                <w:color w:val="auto"/>
                <w:highlight w:val="none"/>
                <w:lang w:eastAsia="zh-CN"/>
              </w:rPr>
              <w:t>例，有效</w:t>
            </w:r>
            <w:r>
              <w:rPr>
                <w:rFonts w:hint="eastAsia" w:ascii="仿宋_GB2312" w:eastAsia="仿宋_GB2312" w:cs="仿宋"/>
                <w:color w:val="auto"/>
                <w:highlight w:val="none"/>
                <w:lang w:val="en-US" w:eastAsia="zh-CN"/>
              </w:rPr>
              <w:t>93</w:t>
            </w:r>
            <w:r>
              <w:rPr>
                <w:rFonts w:hint="eastAsia" w:ascii="仿宋_GB2312" w:eastAsia="仿宋_GB2312" w:cs="仿宋"/>
                <w:color w:val="auto"/>
                <w:highlight w:val="none"/>
                <w:lang w:eastAsia="zh-CN"/>
              </w:rPr>
              <w:t>例，无效</w:t>
            </w:r>
            <w:r>
              <w:rPr>
                <w:rFonts w:hint="eastAsia" w:ascii="仿宋_GB2312" w:eastAsia="仿宋_GB2312" w:cs="仿宋"/>
                <w:color w:val="auto"/>
                <w:highlight w:val="none"/>
                <w:lang w:val="en-US" w:eastAsia="zh-CN"/>
              </w:rPr>
              <w:t>0</w:t>
            </w:r>
            <w:r>
              <w:rPr>
                <w:rFonts w:hint="eastAsia" w:ascii="仿宋_GB2312" w:eastAsia="仿宋_GB2312" w:cs="仿宋"/>
                <w:color w:val="auto"/>
                <w:highlight w:val="none"/>
                <w:lang w:eastAsia="zh-CN"/>
              </w:rPr>
              <w:t>例，总有效率</w:t>
            </w:r>
            <w:r>
              <w:rPr>
                <w:rFonts w:hint="eastAsia" w:ascii="仿宋_GB2312" w:eastAsia="仿宋_GB2312" w:cs="仿宋"/>
                <w:color w:val="auto"/>
                <w:highlight w:val="none"/>
                <w:lang w:val="en-US" w:eastAsia="zh-CN"/>
              </w:rPr>
              <w:t>100</w:t>
            </w:r>
            <w:r>
              <w:rPr>
                <w:rFonts w:hint="eastAsia" w:ascii="仿宋_GB2312" w:eastAsia="仿宋_GB2312" w:cs="仿宋"/>
                <w:color w:val="auto"/>
                <w:highlight w:val="none"/>
                <w:lang w:eastAsia="zh-CN"/>
              </w:rPr>
              <w:t>%</w:t>
            </w:r>
          </w:p>
        </w:tc>
      </w:tr>
      <w:tr w14:paraId="6F0F10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845" w:type="dxa"/>
            <w:vMerge w:val="continue"/>
            <w:vAlign w:val="center"/>
          </w:tcPr>
          <w:p w14:paraId="49F3C41F">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eastAsia="zh-CN"/>
              </w:rPr>
            </w:pPr>
          </w:p>
        </w:tc>
        <w:tc>
          <w:tcPr>
            <w:tcW w:w="755" w:type="dxa"/>
            <w:vAlign w:val="center"/>
          </w:tcPr>
          <w:p w14:paraId="4867D78E">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eastAsia="zh-CN"/>
              </w:rPr>
            </w:pPr>
            <w:r>
              <w:rPr>
                <w:rFonts w:hint="eastAsia" w:ascii="仿宋_GB2312" w:eastAsia="仿宋_GB2312" w:cs="仿宋"/>
                <w:color w:val="auto"/>
                <w:highlight w:val="none"/>
                <w:lang w:eastAsia="zh-CN"/>
              </w:rPr>
              <w:t>2024</w:t>
            </w:r>
          </w:p>
        </w:tc>
        <w:tc>
          <w:tcPr>
            <w:tcW w:w="1276" w:type="dxa"/>
            <w:vAlign w:val="center"/>
          </w:tcPr>
          <w:p w14:paraId="084F59C1">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eastAsia="zh-CN"/>
              </w:rPr>
            </w:pPr>
            <w:r>
              <w:rPr>
                <w:rFonts w:hint="eastAsia" w:ascii="仿宋_GB2312" w:eastAsia="仿宋_GB2312" w:cs="仿宋"/>
                <w:color w:val="auto"/>
                <w:highlight w:val="none"/>
                <w:lang w:val="en-US" w:eastAsia="zh-CN"/>
              </w:rPr>
              <w:t>133</w:t>
            </w:r>
          </w:p>
        </w:tc>
        <w:tc>
          <w:tcPr>
            <w:tcW w:w="5863" w:type="dxa"/>
            <w:vAlign w:val="center"/>
          </w:tcPr>
          <w:p w14:paraId="6B8CD242">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eastAsia="zh-CN"/>
              </w:rPr>
            </w:pPr>
            <w:r>
              <w:rPr>
                <w:rFonts w:hint="eastAsia" w:ascii="仿宋_GB2312" w:eastAsia="仿宋_GB2312" w:cs="仿宋"/>
                <w:color w:val="auto"/>
                <w:highlight w:val="none"/>
                <w:lang w:eastAsia="zh-CN"/>
              </w:rPr>
              <w:t>共治疗</w:t>
            </w:r>
            <w:r>
              <w:rPr>
                <w:rFonts w:hint="eastAsia" w:ascii="仿宋_GB2312" w:eastAsia="仿宋_GB2312" w:cs="仿宋"/>
                <w:color w:val="auto"/>
                <w:highlight w:val="none"/>
                <w:lang w:val="en-US" w:eastAsia="zh-CN"/>
              </w:rPr>
              <w:t>133</w:t>
            </w:r>
            <w:r>
              <w:rPr>
                <w:rFonts w:hint="eastAsia" w:ascii="仿宋_GB2312" w:eastAsia="仿宋_GB2312" w:cs="仿宋"/>
                <w:color w:val="auto"/>
                <w:highlight w:val="none"/>
                <w:lang w:eastAsia="zh-CN"/>
              </w:rPr>
              <w:t>例患者，其中痊愈</w:t>
            </w:r>
            <w:r>
              <w:rPr>
                <w:rFonts w:hint="eastAsia" w:ascii="仿宋_GB2312" w:eastAsia="仿宋_GB2312" w:cs="仿宋"/>
                <w:color w:val="auto"/>
                <w:highlight w:val="none"/>
                <w:lang w:val="en-US" w:eastAsia="zh-CN"/>
              </w:rPr>
              <w:t>0</w:t>
            </w:r>
            <w:r>
              <w:rPr>
                <w:rFonts w:hint="eastAsia" w:ascii="仿宋_GB2312" w:eastAsia="仿宋_GB2312" w:cs="仿宋"/>
                <w:color w:val="auto"/>
                <w:highlight w:val="none"/>
                <w:lang w:eastAsia="zh-CN"/>
              </w:rPr>
              <w:t>例，显效</w:t>
            </w:r>
            <w:r>
              <w:rPr>
                <w:rFonts w:hint="eastAsia" w:ascii="仿宋_GB2312" w:eastAsia="仿宋_GB2312" w:cs="仿宋"/>
                <w:color w:val="auto"/>
                <w:highlight w:val="none"/>
                <w:lang w:val="en-US" w:eastAsia="zh-CN"/>
              </w:rPr>
              <w:t>133</w:t>
            </w:r>
            <w:r>
              <w:rPr>
                <w:rFonts w:hint="eastAsia" w:ascii="仿宋_GB2312" w:eastAsia="仿宋_GB2312" w:cs="仿宋"/>
                <w:color w:val="auto"/>
                <w:highlight w:val="none"/>
                <w:lang w:eastAsia="zh-CN"/>
              </w:rPr>
              <w:t>例，有效</w:t>
            </w:r>
            <w:r>
              <w:rPr>
                <w:rFonts w:hint="eastAsia" w:ascii="仿宋_GB2312" w:eastAsia="仿宋_GB2312" w:cs="仿宋"/>
                <w:color w:val="auto"/>
                <w:highlight w:val="none"/>
                <w:lang w:val="en-US" w:eastAsia="zh-CN"/>
              </w:rPr>
              <w:t>133</w:t>
            </w:r>
            <w:r>
              <w:rPr>
                <w:rFonts w:hint="eastAsia" w:ascii="仿宋_GB2312" w:eastAsia="仿宋_GB2312" w:cs="仿宋"/>
                <w:color w:val="auto"/>
                <w:highlight w:val="none"/>
                <w:lang w:eastAsia="zh-CN"/>
              </w:rPr>
              <w:t>例，无效</w:t>
            </w:r>
            <w:r>
              <w:rPr>
                <w:rFonts w:hint="eastAsia" w:ascii="仿宋_GB2312" w:eastAsia="仿宋_GB2312" w:cs="仿宋"/>
                <w:color w:val="auto"/>
                <w:highlight w:val="none"/>
                <w:lang w:val="en-US" w:eastAsia="zh-CN"/>
              </w:rPr>
              <w:t>0</w:t>
            </w:r>
            <w:r>
              <w:rPr>
                <w:rFonts w:hint="eastAsia" w:ascii="仿宋_GB2312" w:eastAsia="仿宋_GB2312" w:cs="仿宋"/>
                <w:color w:val="auto"/>
                <w:highlight w:val="none"/>
                <w:lang w:eastAsia="zh-CN"/>
              </w:rPr>
              <w:t>例，总有效率</w:t>
            </w:r>
            <w:r>
              <w:rPr>
                <w:rFonts w:hint="eastAsia" w:ascii="仿宋_GB2312" w:eastAsia="仿宋_GB2312" w:cs="仿宋"/>
                <w:color w:val="auto"/>
                <w:highlight w:val="none"/>
                <w:lang w:val="en-US" w:eastAsia="zh-CN"/>
              </w:rPr>
              <w:t>100</w:t>
            </w:r>
            <w:r>
              <w:rPr>
                <w:rFonts w:hint="eastAsia" w:ascii="仿宋_GB2312" w:eastAsia="仿宋_GB2312" w:cs="仿宋"/>
                <w:color w:val="auto"/>
                <w:highlight w:val="none"/>
                <w:lang w:eastAsia="zh-CN"/>
              </w:rPr>
              <w:t>%</w:t>
            </w:r>
          </w:p>
        </w:tc>
      </w:tr>
      <w:tr w14:paraId="314313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845" w:type="dxa"/>
            <w:vMerge w:val="continue"/>
            <w:vAlign w:val="center"/>
          </w:tcPr>
          <w:p w14:paraId="292AE335">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eastAsia="zh-CN"/>
              </w:rPr>
            </w:pPr>
          </w:p>
        </w:tc>
        <w:tc>
          <w:tcPr>
            <w:tcW w:w="755" w:type="dxa"/>
            <w:vAlign w:val="center"/>
          </w:tcPr>
          <w:p w14:paraId="2113DA7C">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eastAsia="zh-CN"/>
              </w:rPr>
            </w:pPr>
            <w:r>
              <w:rPr>
                <w:rFonts w:hint="eastAsia" w:ascii="仿宋_GB2312" w:eastAsia="仿宋_GB2312" w:cs="仿宋"/>
                <w:color w:val="auto"/>
                <w:highlight w:val="none"/>
                <w:lang w:eastAsia="zh-CN"/>
              </w:rPr>
              <w:t>2025</w:t>
            </w:r>
          </w:p>
        </w:tc>
        <w:tc>
          <w:tcPr>
            <w:tcW w:w="1276" w:type="dxa"/>
            <w:vAlign w:val="center"/>
          </w:tcPr>
          <w:p w14:paraId="67BDD74E">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eastAsia="zh-CN"/>
              </w:rPr>
            </w:pPr>
            <w:r>
              <w:rPr>
                <w:rFonts w:hint="eastAsia" w:ascii="仿宋_GB2312" w:eastAsia="仿宋_GB2312" w:cs="仿宋"/>
                <w:color w:val="auto"/>
                <w:highlight w:val="none"/>
                <w:lang w:val="en-US" w:eastAsia="zh-CN"/>
              </w:rPr>
              <w:t>232</w:t>
            </w:r>
          </w:p>
        </w:tc>
        <w:tc>
          <w:tcPr>
            <w:tcW w:w="5863" w:type="dxa"/>
            <w:vAlign w:val="center"/>
          </w:tcPr>
          <w:p w14:paraId="3C00B027">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eastAsia="zh-CN"/>
              </w:rPr>
            </w:pPr>
            <w:r>
              <w:rPr>
                <w:rFonts w:hint="eastAsia" w:ascii="仿宋_GB2312" w:eastAsia="仿宋_GB2312" w:cs="仿宋"/>
                <w:color w:val="auto"/>
                <w:highlight w:val="none"/>
                <w:lang w:eastAsia="zh-CN"/>
              </w:rPr>
              <w:t>共治疗</w:t>
            </w:r>
            <w:r>
              <w:rPr>
                <w:rFonts w:hint="eastAsia" w:ascii="仿宋_GB2312" w:eastAsia="仿宋_GB2312" w:cs="仿宋"/>
                <w:color w:val="auto"/>
                <w:highlight w:val="none"/>
                <w:lang w:val="en-US" w:eastAsia="zh-CN"/>
              </w:rPr>
              <w:t>232</w:t>
            </w:r>
            <w:r>
              <w:rPr>
                <w:rFonts w:hint="eastAsia" w:ascii="仿宋_GB2312" w:eastAsia="仿宋_GB2312" w:cs="仿宋"/>
                <w:color w:val="auto"/>
                <w:highlight w:val="none"/>
                <w:lang w:eastAsia="zh-CN"/>
              </w:rPr>
              <w:t>例患者，其中痊愈</w:t>
            </w:r>
            <w:r>
              <w:rPr>
                <w:rFonts w:hint="eastAsia" w:ascii="仿宋_GB2312" w:eastAsia="仿宋_GB2312" w:cs="仿宋"/>
                <w:color w:val="auto"/>
                <w:highlight w:val="none"/>
                <w:lang w:val="en-US" w:eastAsia="zh-CN"/>
              </w:rPr>
              <w:t>0</w:t>
            </w:r>
            <w:r>
              <w:rPr>
                <w:rFonts w:hint="eastAsia" w:ascii="仿宋_GB2312" w:eastAsia="仿宋_GB2312" w:cs="仿宋"/>
                <w:color w:val="auto"/>
                <w:highlight w:val="none"/>
                <w:lang w:eastAsia="zh-CN"/>
              </w:rPr>
              <w:t>例，显效</w:t>
            </w:r>
            <w:r>
              <w:rPr>
                <w:rFonts w:hint="eastAsia" w:ascii="仿宋_GB2312" w:eastAsia="仿宋_GB2312" w:cs="仿宋"/>
                <w:color w:val="auto"/>
                <w:highlight w:val="none"/>
                <w:lang w:val="en-US" w:eastAsia="zh-CN"/>
              </w:rPr>
              <w:t>232</w:t>
            </w:r>
            <w:r>
              <w:rPr>
                <w:rFonts w:hint="eastAsia" w:ascii="仿宋_GB2312" w:eastAsia="仿宋_GB2312" w:cs="仿宋"/>
                <w:color w:val="auto"/>
                <w:highlight w:val="none"/>
                <w:lang w:eastAsia="zh-CN"/>
              </w:rPr>
              <w:t>例，有效</w:t>
            </w:r>
            <w:r>
              <w:rPr>
                <w:rFonts w:hint="eastAsia" w:ascii="仿宋_GB2312" w:eastAsia="仿宋_GB2312" w:cs="仿宋"/>
                <w:color w:val="auto"/>
                <w:highlight w:val="none"/>
                <w:lang w:val="en-US" w:eastAsia="zh-CN"/>
              </w:rPr>
              <w:t>232</w:t>
            </w:r>
            <w:r>
              <w:rPr>
                <w:rFonts w:hint="eastAsia" w:ascii="仿宋_GB2312" w:eastAsia="仿宋_GB2312" w:cs="仿宋"/>
                <w:color w:val="auto"/>
                <w:highlight w:val="none"/>
                <w:lang w:eastAsia="zh-CN"/>
              </w:rPr>
              <w:t>例，无效</w:t>
            </w:r>
            <w:r>
              <w:rPr>
                <w:rFonts w:hint="eastAsia" w:ascii="仿宋_GB2312" w:eastAsia="仿宋_GB2312" w:cs="仿宋"/>
                <w:color w:val="auto"/>
                <w:highlight w:val="none"/>
                <w:lang w:val="en-US" w:eastAsia="zh-CN"/>
              </w:rPr>
              <w:t>0</w:t>
            </w:r>
            <w:r>
              <w:rPr>
                <w:rFonts w:hint="eastAsia" w:ascii="仿宋_GB2312" w:eastAsia="仿宋_GB2312" w:cs="仿宋"/>
                <w:color w:val="auto"/>
                <w:highlight w:val="none"/>
                <w:lang w:eastAsia="zh-CN"/>
              </w:rPr>
              <w:t>例，总有效率</w:t>
            </w:r>
            <w:r>
              <w:rPr>
                <w:rFonts w:hint="eastAsia" w:ascii="仿宋_GB2312" w:eastAsia="仿宋_GB2312" w:cs="仿宋"/>
                <w:color w:val="auto"/>
                <w:highlight w:val="none"/>
                <w:lang w:val="en-US" w:eastAsia="zh-CN"/>
              </w:rPr>
              <w:t>100</w:t>
            </w:r>
            <w:r>
              <w:rPr>
                <w:rFonts w:hint="eastAsia" w:ascii="仿宋_GB2312" w:eastAsia="仿宋_GB2312" w:cs="仿宋"/>
                <w:color w:val="auto"/>
                <w:highlight w:val="none"/>
                <w:lang w:eastAsia="zh-CN"/>
              </w:rPr>
              <w:t>%</w:t>
            </w:r>
          </w:p>
        </w:tc>
      </w:tr>
      <w:tr w14:paraId="2BF6CB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845" w:type="dxa"/>
            <w:vMerge w:val="restart"/>
            <w:vAlign w:val="center"/>
          </w:tcPr>
          <w:p w14:paraId="3E531BFB">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val="en-US" w:eastAsia="zh-CN"/>
              </w:rPr>
              <w:t>B</w:t>
            </w:r>
          </w:p>
        </w:tc>
        <w:tc>
          <w:tcPr>
            <w:tcW w:w="755" w:type="dxa"/>
            <w:vAlign w:val="center"/>
          </w:tcPr>
          <w:p w14:paraId="2EC191E0">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eastAsia="zh-CN"/>
              </w:rPr>
            </w:pPr>
            <w:r>
              <w:rPr>
                <w:rFonts w:hint="eastAsia" w:ascii="仿宋_GB2312" w:eastAsia="仿宋_GB2312" w:cs="仿宋"/>
                <w:color w:val="auto"/>
                <w:highlight w:val="none"/>
                <w:lang w:eastAsia="zh-CN"/>
              </w:rPr>
              <w:t>2022</w:t>
            </w:r>
          </w:p>
        </w:tc>
        <w:tc>
          <w:tcPr>
            <w:tcW w:w="1276" w:type="dxa"/>
            <w:vAlign w:val="center"/>
          </w:tcPr>
          <w:p w14:paraId="7CA639D2">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val="en-US" w:eastAsia="zh-CN"/>
              </w:rPr>
              <w:t>33</w:t>
            </w:r>
          </w:p>
        </w:tc>
        <w:tc>
          <w:tcPr>
            <w:tcW w:w="5863" w:type="dxa"/>
            <w:vAlign w:val="center"/>
          </w:tcPr>
          <w:p w14:paraId="7BC59466">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eastAsia="zh-CN"/>
              </w:rPr>
            </w:pPr>
            <w:r>
              <w:rPr>
                <w:rFonts w:hint="eastAsia" w:ascii="仿宋_GB2312" w:eastAsia="仿宋_GB2312" w:cs="仿宋"/>
                <w:color w:val="auto"/>
                <w:highlight w:val="none"/>
                <w:lang w:eastAsia="zh-CN"/>
              </w:rPr>
              <w:t>共治疗</w:t>
            </w:r>
            <w:r>
              <w:rPr>
                <w:rFonts w:hint="eastAsia" w:ascii="仿宋_GB2312" w:eastAsia="仿宋_GB2312" w:cs="仿宋"/>
                <w:color w:val="auto"/>
                <w:highlight w:val="none"/>
                <w:lang w:val="en-US" w:eastAsia="zh-CN"/>
              </w:rPr>
              <w:t>33</w:t>
            </w:r>
            <w:r>
              <w:rPr>
                <w:rFonts w:hint="eastAsia" w:ascii="仿宋_GB2312" w:eastAsia="仿宋_GB2312" w:cs="仿宋"/>
                <w:color w:val="auto"/>
                <w:highlight w:val="none"/>
                <w:lang w:eastAsia="zh-CN"/>
              </w:rPr>
              <w:t>例患者，其中痊愈</w:t>
            </w:r>
            <w:r>
              <w:rPr>
                <w:rFonts w:hint="eastAsia" w:ascii="仿宋_GB2312" w:eastAsia="仿宋_GB2312" w:cs="仿宋"/>
                <w:color w:val="auto"/>
                <w:highlight w:val="none"/>
                <w:lang w:val="en-US" w:eastAsia="zh-CN"/>
              </w:rPr>
              <w:t>5</w:t>
            </w:r>
            <w:r>
              <w:rPr>
                <w:rFonts w:hint="eastAsia" w:ascii="仿宋_GB2312" w:eastAsia="仿宋_GB2312" w:cs="仿宋"/>
                <w:color w:val="auto"/>
                <w:highlight w:val="none"/>
                <w:lang w:eastAsia="zh-CN"/>
              </w:rPr>
              <w:t>例，显效</w:t>
            </w:r>
            <w:r>
              <w:rPr>
                <w:rFonts w:hint="eastAsia" w:ascii="仿宋_GB2312" w:eastAsia="仿宋_GB2312" w:cs="仿宋"/>
                <w:color w:val="auto"/>
                <w:highlight w:val="none"/>
                <w:lang w:val="en-US" w:eastAsia="zh-CN"/>
              </w:rPr>
              <w:t>25</w:t>
            </w:r>
            <w:r>
              <w:rPr>
                <w:rFonts w:hint="eastAsia" w:ascii="仿宋_GB2312" w:eastAsia="仿宋_GB2312" w:cs="仿宋"/>
                <w:color w:val="auto"/>
                <w:highlight w:val="none"/>
                <w:lang w:eastAsia="zh-CN"/>
              </w:rPr>
              <w:t>例，有</w:t>
            </w:r>
            <w:r>
              <w:rPr>
                <w:rFonts w:hint="eastAsia" w:ascii="仿宋_GB2312" w:eastAsia="仿宋_GB2312" w:cs="仿宋"/>
                <w:color w:val="auto"/>
                <w:highlight w:val="none"/>
                <w:lang w:val="en-US" w:eastAsia="zh-CN"/>
              </w:rPr>
              <w:t>30</w:t>
            </w:r>
            <w:r>
              <w:rPr>
                <w:rFonts w:hint="eastAsia" w:ascii="仿宋_GB2312" w:eastAsia="仿宋_GB2312" w:cs="仿宋"/>
                <w:color w:val="auto"/>
                <w:highlight w:val="none"/>
                <w:lang w:eastAsia="zh-CN"/>
              </w:rPr>
              <w:t>效例，无效</w:t>
            </w:r>
            <w:r>
              <w:rPr>
                <w:rFonts w:hint="eastAsia" w:ascii="仿宋_GB2312" w:eastAsia="仿宋_GB2312" w:cs="仿宋"/>
                <w:color w:val="auto"/>
                <w:highlight w:val="none"/>
                <w:lang w:val="en-US" w:eastAsia="zh-CN"/>
              </w:rPr>
              <w:t>3</w:t>
            </w:r>
            <w:r>
              <w:rPr>
                <w:rFonts w:hint="eastAsia" w:ascii="仿宋_GB2312" w:eastAsia="仿宋_GB2312" w:cs="仿宋"/>
                <w:color w:val="auto"/>
                <w:highlight w:val="none"/>
                <w:lang w:eastAsia="zh-CN"/>
              </w:rPr>
              <w:t>例，总有效率</w:t>
            </w:r>
            <w:r>
              <w:rPr>
                <w:rFonts w:hint="eastAsia" w:ascii="仿宋_GB2312" w:eastAsia="仿宋_GB2312" w:cs="仿宋"/>
                <w:color w:val="auto"/>
                <w:highlight w:val="none"/>
                <w:lang w:val="en-US" w:eastAsia="zh-CN"/>
              </w:rPr>
              <w:t>90.9</w:t>
            </w:r>
            <w:r>
              <w:rPr>
                <w:rFonts w:hint="eastAsia" w:ascii="仿宋_GB2312" w:eastAsia="仿宋_GB2312" w:cs="仿宋"/>
                <w:color w:val="auto"/>
                <w:highlight w:val="none"/>
                <w:lang w:eastAsia="zh-CN"/>
              </w:rPr>
              <w:t>%</w:t>
            </w:r>
          </w:p>
        </w:tc>
      </w:tr>
      <w:tr w14:paraId="3872F5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845" w:type="dxa"/>
            <w:vMerge w:val="continue"/>
            <w:vAlign w:val="center"/>
          </w:tcPr>
          <w:p w14:paraId="1BD65818">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eastAsia="zh-CN"/>
              </w:rPr>
            </w:pPr>
          </w:p>
        </w:tc>
        <w:tc>
          <w:tcPr>
            <w:tcW w:w="755" w:type="dxa"/>
            <w:vAlign w:val="center"/>
          </w:tcPr>
          <w:p w14:paraId="16D58840">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eastAsia="zh-CN"/>
              </w:rPr>
            </w:pPr>
            <w:r>
              <w:rPr>
                <w:rFonts w:hint="eastAsia" w:ascii="仿宋_GB2312" w:eastAsia="仿宋_GB2312" w:cs="仿宋"/>
                <w:color w:val="auto"/>
                <w:highlight w:val="none"/>
                <w:lang w:eastAsia="zh-CN"/>
              </w:rPr>
              <w:t>2023</w:t>
            </w:r>
          </w:p>
        </w:tc>
        <w:tc>
          <w:tcPr>
            <w:tcW w:w="1276" w:type="dxa"/>
            <w:vAlign w:val="center"/>
          </w:tcPr>
          <w:p w14:paraId="7AA68827">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val="en-US" w:eastAsia="zh-CN"/>
              </w:rPr>
              <w:t>57</w:t>
            </w:r>
          </w:p>
        </w:tc>
        <w:tc>
          <w:tcPr>
            <w:tcW w:w="5863" w:type="dxa"/>
            <w:vAlign w:val="center"/>
          </w:tcPr>
          <w:p w14:paraId="0677894C">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eastAsia="zh-CN"/>
              </w:rPr>
            </w:pPr>
            <w:r>
              <w:rPr>
                <w:rFonts w:hint="eastAsia" w:ascii="仿宋_GB2312" w:eastAsia="仿宋_GB2312" w:cs="仿宋"/>
                <w:color w:val="auto"/>
                <w:highlight w:val="none"/>
                <w:lang w:eastAsia="zh-CN"/>
              </w:rPr>
              <w:t>共治疗</w:t>
            </w:r>
            <w:r>
              <w:rPr>
                <w:rFonts w:hint="eastAsia" w:ascii="仿宋_GB2312" w:eastAsia="仿宋_GB2312" w:cs="仿宋"/>
                <w:color w:val="auto"/>
                <w:highlight w:val="none"/>
                <w:lang w:val="en-US" w:eastAsia="zh-CN"/>
              </w:rPr>
              <w:t>57</w:t>
            </w:r>
            <w:r>
              <w:rPr>
                <w:rFonts w:hint="eastAsia" w:ascii="仿宋_GB2312" w:eastAsia="仿宋_GB2312" w:cs="仿宋"/>
                <w:color w:val="auto"/>
                <w:highlight w:val="none"/>
                <w:lang w:eastAsia="zh-CN"/>
              </w:rPr>
              <w:t>例患者，其中痊愈</w:t>
            </w:r>
            <w:r>
              <w:rPr>
                <w:rFonts w:hint="eastAsia" w:ascii="仿宋_GB2312" w:eastAsia="仿宋_GB2312" w:cs="仿宋"/>
                <w:color w:val="auto"/>
                <w:highlight w:val="none"/>
                <w:lang w:val="en-US" w:eastAsia="zh-CN"/>
              </w:rPr>
              <w:t>7</w:t>
            </w:r>
            <w:r>
              <w:rPr>
                <w:rFonts w:hint="eastAsia" w:ascii="仿宋_GB2312" w:eastAsia="仿宋_GB2312" w:cs="仿宋"/>
                <w:color w:val="auto"/>
                <w:highlight w:val="none"/>
                <w:lang w:eastAsia="zh-CN"/>
              </w:rPr>
              <w:t>例，显效</w:t>
            </w:r>
            <w:r>
              <w:rPr>
                <w:rFonts w:hint="eastAsia" w:ascii="仿宋_GB2312" w:eastAsia="仿宋_GB2312" w:cs="仿宋"/>
                <w:color w:val="auto"/>
                <w:highlight w:val="none"/>
                <w:lang w:val="en-US" w:eastAsia="zh-CN"/>
              </w:rPr>
              <w:t>39</w:t>
            </w:r>
            <w:r>
              <w:rPr>
                <w:rFonts w:hint="eastAsia" w:ascii="仿宋_GB2312" w:eastAsia="仿宋_GB2312" w:cs="仿宋"/>
                <w:color w:val="auto"/>
                <w:highlight w:val="none"/>
                <w:lang w:eastAsia="zh-CN"/>
              </w:rPr>
              <w:t>例，有</w:t>
            </w:r>
            <w:r>
              <w:rPr>
                <w:rFonts w:hint="eastAsia" w:ascii="仿宋_GB2312" w:eastAsia="仿宋_GB2312" w:cs="仿宋"/>
                <w:color w:val="auto"/>
                <w:highlight w:val="none"/>
                <w:lang w:val="en-US" w:eastAsia="zh-CN"/>
              </w:rPr>
              <w:t>46</w:t>
            </w:r>
            <w:r>
              <w:rPr>
                <w:rFonts w:hint="eastAsia" w:ascii="仿宋_GB2312" w:eastAsia="仿宋_GB2312" w:cs="仿宋"/>
                <w:color w:val="auto"/>
                <w:highlight w:val="none"/>
                <w:lang w:eastAsia="zh-CN"/>
              </w:rPr>
              <w:t>效例，无效</w:t>
            </w:r>
            <w:r>
              <w:rPr>
                <w:rFonts w:hint="eastAsia" w:ascii="仿宋_GB2312" w:eastAsia="仿宋_GB2312" w:cs="仿宋"/>
                <w:color w:val="auto"/>
                <w:highlight w:val="none"/>
                <w:lang w:val="en-US" w:eastAsia="zh-CN"/>
              </w:rPr>
              <w:t>11</w:t>
            </w:r>
            <w:r>
              <w:rPr>
                <w:rFonts w:hint="eastAsia" w:ascii="仿宋_GB2312" w:eastAsia="仿宋_GB2312" w:cs="仿宋"/>
                <w:color w:val="auto"/>
                <w:highlight w:val="none"/>
                <w:lang w:eastAsia="zh-CN"/>
              </w:rPr>
              <w:t>例，总有效率</w:t>
            </w:r>
            <w:r>
              <w:rPr>
                <w:rFonts w:hint="eastAsia" w:ascii="仿宋_GB2312" w:eastAsia="仿宋_GB2312" w:cs="仿宋"/>
                <w:color w:val="auto"/>
                <w:highlight w:val="none"/>
                <w:lang w:val="en-US" w:eastAsia="zh-CN"/>
              </w:rPr>
              <w:t>80.7</w:t>
            </w:r>
            <w:r>
              <w:rPr>
                <w:rFonts w:hint="eastAsia" w:ascii="仿宋_GB2312" w:eastAsia="仿宋_GB2312" w:cs="仿宋"/>
                <w:color w:val="auto"/>
                <w:highlight w:val="none"/>
                <w:lang w:eastAsia="zh-CN"/>
              </w:rPr>
              <w:t>%</w:t>
            </w:r>
          </w:p>
        </w:tc>
      </w:tr>
      <w:tr w14:paraId="0707CE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845" w:type="dxa"/>
            <w:vMerge w:val="continue"/>
            <w:vAlign w:val="center"/>
          </w:tcPr>
          <w:p w14:paraId="4FF2DCE7">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eastAsia="zh-CN"/>
              </w:rPr>
            </w:pPr>
          </w:p>
        </w:tc>
        <w:tc>
          <w:tcPr>
            <w:tcW w:w="755" w:type="dxa"/>
            <w:vAlign w:val="center"/>
          </w:tcPr>
          <w:p w14:paraId="5453B9A4">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eastAsia="zh-CN"/>
              </w:rPr>
            </w:pPr>
            <w:r>
              <w:rPr>
                <w:rFonts w:hint="eastAsia" w:ascii="仿宋_GB2312" w:eastAsia="仿宋_GB2312" w:cs="仿宋"/>
                <w:color w:val="auto"/>
                <w:highlight w:val="none"/>
                <w:lang w:eastAsia="zh-CN"/>
              </w:rPr>
              <w:t>2024</w:t>
            </w:r>
          </w:p>
        </w:tc>
        <w:tc>
          <w:tcPr>
            <w:tcW w:w="1276" w:type="dxa"/>
            <w:vAlign w:val="center"/>
          </w:tcPr>
          <w:p w14:paraId="7BACACA9">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val="en-US" w:eastAsia="zh-CN"/>
              </w:rPr>
              <w:t>46</w:t>
            </w:r>
          </w:p>
        </w:tc>
        <w:tc>
          <w:tcPr>
            <w:tcW w:w="5863" w:type="dxa"/>
            <w:vAlign w:val="center"/>
          </w:tcPr>
          <w:p w14:paraId="3F4701B3">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eastAsia="zh-CN"/>
              </w:rPr>
            </w:pPr>
            <w:r>
              <w:rPr>
                <w:rFonts w:hint="eastAsia" w:ascii="仿宋_GB2312" w:eastAsia="仿宋_GB2312" w:cs="仿宋"/>
                <w:color w:val="auto"/>
                <w:highlight w:val="none"/>
                <w:lang w:eastAsia="zh-CN"/>
              </w:rPr>
              <w:t>共治疗</w:t>
            </w:r>
            <w:r>
              <w:rPr>
                <w:rFonts w:hint="eastAsia" w:ascii="仿宋_GB2312" w:eastAsia="仿宋_GB2312" w:cs="仿宋"/>
                <w:color w:val="auto"/>
                <w:highlight w:val="none"/>
                <w:lang w:val="en-US" w:eastAsia="zh-CN"/>
              </w:rPr>
              <w:t>46</w:t>
            </w:r>
            <w:r>
              <w:rPr>
                <w:rFonts w:hint="eastAsia" w:ascii="仿宋_GB2312" w:eastAsia="仿宋_GB2312" w:cs="仿宋"/>
                <w:color w:val="auto"/>
                <w:highlight w:val="none"/>
                <w:lang w:eastAsia="zh-CN"/>
              </w:rPr>
              <w:t>例患者，其中痊愈</w:t>
            </w:r>
            <w:r>
              <w:rPr>
                <w:rFonts w:hint="eastAsia" w:ascii="仿宋_GB2312" w:eastAsia="仿宋_GB2312" w:cs="仿宋"/>
                <w:color w:val="auto"/>
                <w:highlight w:val="none"/>
                <w:lang w:val="en-US" w:eastAsia="zh-CN"/>
              </w:rPr>
              <w:t>8</w:t>
            </w:r>
            <w:r>
              <w:rPr>
                <w:rFonts w:hint="eastAsia" w:ascii="仿宋_GB2312" w:eastAsia="仿宋_GB2312" w:cs="仿宋"/>
                <w:color w:val="auto"/>
                <w:highlight w:val="none"/>
                <w:lang w:eastAsia="zh-CN"/>
              </w:rPr>
              <w:t>例，显效</w:t>
            </w:r>
            <w:r>
              <w:rPr>
                <w:rFonts w:hint="eastAsia" w:ascii="仿宋_GB2312" w:eastAsia="仿宋_GB2312" w:cs="仿宋"/>
                <w:color w:val="auto"/>
                <w:highlight w:val="none"/>
                <w:lang w:val="en-US" w:eastAsia="zh-CN"/>
              </w:rPr>
              <w:t>31</w:t>
            </w:r>
            <w:r>
              <w:rPr>
                <w:rFonts w:hint="eastAsia" w:ascii="仿宋_GB2312" w:eastAsia="仿宋_GB2312" w:cs="仿宋"/>
                <w:color w:val="auto"/>
                <w:highlight w:val="none"/>
                <w:lang w:eastAsia="zh-CN"/>
              </w:rPr>
              <w:t>例，有</w:t>
            </w:r>
            <w:r>
              <w:rPr>
                <w:rFonts w:hint="eastAsia" w:ascii="仿宋_GB2312" w:eastAsia="仿宋_GB2312" w:cs="仿宋"/>
                <w:color w:val="auto"/>
                <w:highlight w:val="none"/>
                <w:lang w:val="en-US" w:eastAsia="zh-CN"/>
              </w:rPr>
              <w:t>31</w:t>
            </w:r>
            <w:r>
              <w:rPr>
                <w:rFonts w:hint="eastAsia" w:ascii="仿宋_GB2312" w:eastAsia="仿宋_GB2312" w:cs="仿宋"/>
                <w:color w:val="auto"/>
                <w:highlight w:val="none"/>
                <w:lang w:eastAsia="zh-CN"/>
              </w:rPr>
              <w:t>效例，无效</w:t>
            </w:r>
            <w:r>
              <w:rPr>
                <w:rFonts w:hint="eastAsia" w:ascii="仿宋_GB2312" w:eastAsia="仿宋_GB2312" w:cs="仿宋"/>
                <w:color w:val="auto"/>
                <w:highlight w:val="none"/>
                <w:lang w:val="en-US" w:eastAsia="zh-CN"/>
              </w:rPr>
              <w:t>7</w:t>
            </w:r>
            <w:r>
              <w:rPr>
                <w:rFonts w:hint="eastAsia" w:ascii="仿宋_GB2312" w:eastAsia="仿宋_GB2312" w:cs="仿宋"/>
                <w:color w:val="auto"/>
                <w:highlight w:val="none"/>
                <w:lang w:eastAsia="zh-CN"/>
              </w:rPr>
              <w:t>例，总有效率</w:t>
            </w:r>
            <w:r>
              <w:rPr>
                <w:rFonts w:hint="eastAsia" w:ascii="仿宋_GB2312" w:eastAsia="仿宋_GB2312" w:cs="仿宋"/>
                <w:color w:val="auto"/>
                <w:highlight w:val="none"/>
                <w:lang w:val="en-US" w:eastAsia="zh-CN"/>
              </w:rPr>
              <w:t>84.7</w:t>
            </w:r>
            <w:r>
              <w:rPr>
                <w:rFonts w:hint="eastAsia" w:ascii="仿宋_GB2312" w:eastAsia="仿宋_GB2312" w:cs="仿宋"/>
                <w:color w:val="auto"/>
                <w:highlight w:val="none"/>
                <w:lang w:eastAsia="zh-CN"/>
              </w:rPr>
              <w:t>%</w:t>
            </w:r>
          </w:p>
        </w:tc>
      </w:tr>
      <w:tr w14:paraId="7E73E4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845" w:type="dxa"/>
            <w:vMerge w:val="continue"/>
            <w:shd w:val="clear" w:color="auto" w:fill="auto"/>
            <w:vAlign w:val="center"/>
          </w:tcPr>
          <w:p w14:paraId="0FE05D76">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p>
        </w:tc>
        <w:tc>
          <w:tcPr>
            <w:tcW w:w="755" w:type="dxa"/>
            <w:shd w:val="clear" w:color="auto" w:fill="auto"/>
            <w:vAlign w:val="center"/>
          </w:tcPr>
          <w:p w14:paraId="5FF90D6E">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eastAsia="zh-CN"/>
              </w:rPr>
              <w:t>2025</w:t>
            </w:r>
          </w:p>
        </w:tc>
        <w:tc>
          <w:tcPr>
            <w:tcW w:w="1276" w:type="dxa"/>
            <w:shd w:val="clear" w:color="auto" w:fill="auto"/>
            <w:vAlign w:val="center"/>
          </w:tcPr>
          <w:p w14:paraId="71BF62F2">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val="en-US" w:eastAsia="zh-CN"/>
              </w:rPr>
              <w:t>71</w:t>
            </w:r>
          </w:p>
        </w:tc>
        <w:tc>
          <w:tcPr>
            <w:tcW w:w="5863" w:type="dxa"/>
            <w:shd w:val="clear" w:color="auto" w:fill="auto"/>
            <w:vAlign w:val="center"/>
          </w:tcPr>
          <w:p w14:paraId="75A7E00E">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eastAsia="zh-CN"/>
              </w:rPr>
              <w:t>共治疗</w:t>
            </w:r>
            <w:r>
              <w:rPr>
                <w:rFonts w:hint="eastAsia" w:ascii="仿宋_GB2312" w:eastAsia="仿宋_GB2312" w:cs="仿宋"/>
                <w:color w:val="auto"/>
                <w:highlight w:val="none"/>
                <w:lang w:val="en-US" w:eastAsia="zh-CN"/>
              </w:rPr>
              <w:t>71</w:t>
            </w:r>
            <w:r>
              <w:rPr>
                <w:rFonts w:hint="eastAsia" w:ascii="仿宋_GB2312" w:eastAsia="仿宋_GB2312" w:cs="仿宋"/>
                <w:color w:val="auto"/>
                <w:highlight w:val="none"/>
                <w:lang w:eastAsia="zh-CN"/>
              </w:rPr>
              <w:t>例患者，其中痊愈</w:t>
            </w:r>
            <w:r>
              <w:rPr>
                <w:rFonts w:hint="eastAsia" w:ascii="仿宋_GB2312" w:eastAsia="仿宋_GB2312" w:cs="仿宋"/>
                <w:color w:val="auto"/>
                <w:highlight w:val="none"/>
                <w:lang w:val="en-US" w:eastAsia="zh-CN"/>
              </w:rPr>
              <w:t>10</w:t>
            </w:r>
            <w:r>
              <w:rPr>
                <w:rFonts w:hint="eastAsia" w:ascii="仿宋_GB2312" w:eastAsia="仿宋_GB2312" w:cs="仿宋"/>
                <w:color w:val="auto"/>
                <w:highlight w:val="none"/>
                <w:lang w:eastAsia="zh-CN"/>
              </w:rPr>
              <w:t>例，显效</w:t>
            </w:r>
            <w:r>
              <w:rPr>
                <w:rFonts w:hint="eastAsia" w:ascii="仿宋_GB2312" w:eastAsia="仿宋_GB2312" w:cs="仿宋"/>
                <w:color w:val="auto"/>
                <w:highlight w:val="none"/>
                <w:lang w:val="en-US" w:eastAsia="zh-CN"/>
              </w:rPr>
              <w:t>56</w:t>
            </w:r>
            <w:r>
              <w:rPr>
                <w:rFonts w:hint="eastAsia" w:ascii="仿宋_GB2312" w:eastAsia="仿宋_GB2312" w:cs="仿宋"/>
                <w:color w:val="auto"/>
                <w:highlight w:val="none"/>
                <w:lang w:eastAsia="zh-CN"/>
              </w:rPr>
              <w:t>例，有</w:t>
            </w:r>
            <w:r>
              <w:rPr>
                <w:rFonts w:hint="eastAsia" w:ascii="仿宋_GB2312" w:eastAsia="仿宋_GB2312" w:cs="仿宋"/>
                <w:color w:val="auto"/>
                <w:highlight w:val="none"/>
                <w:lang w:val="en-US" w:eastAsia="zh-CN"/>
              </w:rPr>
              <w:t>66</w:t>
            </w:r>
            <w:r>
              <w:rPr>
                <w:rFonts w:hint="eastAsia" w:ascii="仿宋_GB2312" w:eastAsia="仿宋_GB2312" w:cs="仿宋"/>
                <w:color w:val="auto"/>
                <w:highlight w:val="none"/>
                <w:lang w:eastAsia="zh-CN"/>
              </w:rPr>
              <w:t>效例，无效</w:t>
            </w:r>
            <w:r>
              <w:rPr>
                <w:rFonts w:hint="eastAsia" w:ascii="仿宋_GB2312" w:eastAsia="仿宋_GB2312" w:cs="仿宋"/>
                <w:color w:val="auto"/>
                <w:highlight w:val="none"/>
                <w:lang w:val="en-US" w:eastAsia="zh-CN"/>
              </w:rPr>
              <w:t>5</w:t>
            </w:r>
            <w:r>
              <w:rPr>
                <w:rFonts w:hint="eastAsia" w:ascii="仿宋_GB2312" w:eastAsia="仿宋_GB2312" w:cs="仿宋"/>
                <w:color w:val="auto"/>
                <w:highlight w:val="none"/>
                <w:lang w:eastAsia="zh-CN"/>
              </w:rPr>
              <w:t>例，总有效率</w:t>
            </w:r>
            <w:r>
              <w:rPr>
                <w:rFonts w:hint="eastAsia" w:ascii="仿宋_GB2312" w:eastAsia="仿宋_GB2312" w:cs="仿宋"/>
                <w:color w:val="auto"/>
                <w:highlight w:val="none"/>
                <w:lang w:val="en-US" w:eastAsia="zh-CN"/>
              </w:rPr>
              <w:t>92.9</w:t>
            </w:r>
            <w:r>
              <w:rPr>
                <w:rFonts w:hint="eastAsia" w:ascii="仿宋_GB2312" w:eastAsia="仿宋_GB2312" w:cs="仿宋"/>
                <w:color w:val="auto"/>
                <w:highlight w:val="none"/>
                <w:lang w:eastAsia="zh-CN"/>
              </w:rPr>
              <w:t>%</w:t>
            </w:r>
          </w:p>
        </w:tc>
      </w:tr>
      <w:tr w14:paraId="1CBF6D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845" w:type="dxa"/>
            <w:vMerge w:val="restart"/>
            <w:shd w:val="clear" w:color="auto" w:fill="auto"/>
            <w:vAlign w:val="center"/>
          </w:tcPr>
          <w:p w14:paraId="49436E80">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default" w:ascii="仿宋_GB2312" w:eastAsia="仿宋_GB2312" w:cs="仿宋"/>
                <w:color w:val="auto"/>
                <w:highlight w:val="none"/>
                <w:lang w:val="en-US" w:eastAsia="zh-CN"/>
              </w:rPr>
            </w:pPr>
            <w:r>
              <w:rPr>
                <w:rFonts w:hint="eastAsia" w:ascii="仿宋_GB2312" w:eastAsia="仿宋_GB2312" w:cs="仿宋"/>
                <w:color w:val="auto"/>
                <w:highlight w:val="none"/>
                <w:lang w:val="en-US" w:eastAsia="zh-CN"/>
              </w:rPr>
              <w:t>C</w:t>
            </w:r>
          </w:p>
        </w:tc>
        <w:tc>
          <w:tcPr>
            <w:tcW w:w="755" w:type="dxa"/>
            <w:shd w:val="clear" w:color="auto" w:fill="auto"/>
            <w:vAlign w:val="center"/>
          </w:tcPr>
          <w:p w14:paraId="5AFC5B2B">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eastAsia="zh-CN"/>
              </w:rPr>
              <w:t>2022</w:t>
            </w:r>
          </w:p>
        </w:tc>
        <w:tc>
          <w:tcPr>
            <w:tcW w:w="1276" w:type="dxa"/>
            <w:shd w:val="clear" w:color="auto" w:fill="auto"/>
            <w:vAlign w:val="center"/>
          </w:tcPr>
          <w:p w14:paraId="7079770D">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val="en-US" w:eastAsia="zh-CN"/>
              </w:rPr>
              <w:t>108</w:t>
            </w:r>
          </w:p>
        </w:tc>
        <w:tc>
          <w:tcPr>
            <w:tcW w:w="5863" w:type="dxa"/>
            <w:shd w:val="clear" w:color="auto" w:fill="auto"/>
            <w:vAlign w:val="center"/>
          </w:tcPr>
          <w:p w14:paraId="3B6C975F">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eastAsia="zh-CN"/>
              </w:rPr>
              <w:t>共治疗</w:t>
            </w:r>
            <w:r>
              <w:rPr>
                <w:rFonts w:hint="eastAsia" w:ascii="仿宋_GB2312" w:eastAsia="仿宋_GB2312" w:cs="仿宋"/>
                <w:color w:val="auto"/>
                <w:highlight w:val="none"/>
                <w:lang w:val="en-US" w:eastAsia="zh-CN"/>
              </w:rPr>
              <w:t>108</w:t>
            </w:r>
            <w:r>
              <w:rPr>
                <w:rFonts w:hint="eastAsia" w:ascii="仿宋_GB2312" w:eastAsia="仿宋_GB2312" w:cs="仿宋"/>
                <w:color w:val="auto"/>
                <w:highlight w:val="none"/>
                <w:lang w:eastAsia="zh-CN"/>
              </w:rPr>
              <w:t>例患者，其中痊愈</w:t>
            </w:r>
            <w:r>
              <w:rPr>
                <w:rFonts w:hint="eastAsia" w:ascii="仿宋_GB2312" w:eastAsia="仿宋_GB2312" w:cs="仿宋"/>
                <w:color w:val="auto"/>
                <w:highlight w:val="none"/>
                <w:lang w:val="en-US" w:eastAsia="zh-CN"/>
              </w:rPr>
              <w:t>35</w:t>
            </w:r>
            <w:r>
              <w:rPr>
                <w:rFonts w:hint="eastAsia" w:ascii="仿宋_GB2312" w:eastAsia="仿宋_GB2312" w:cs="仿宋"/>
                <w:color w:val="auto"/>
                <w:highlight w:val="none"/>
                <w:lang w:eastAsia="zh-CN"/>
              </w:rPr>
              <w:t>例，显效</w:t>
            </w:r>
            <w:r>
              <w:rPr>
                <w:rFonts w:hint="eastAsia" w:ascii="仿宋_GB2312" w:eastAsia="仿宋_GB2312" w:cs="仿宋"/>
                <w:color w:val="auto"/>
                <w:highlight w:val="none"/>
                <w:lang w:val="en-US" w:eastAsia="zh-CN"/>
              </w:rPr>
              <w:t>52</w:t>
            </w:r>
            <w:r>
              <w:rPr>
                <w:rFonts w:hint="eastAsia" w:ascii="仿宋_GB2312" w:eastAsia="仿宋_GB2312" w:cs="仿宋"/>
                <w:color w:val="auto"/>
                <w:highlight w:val="none"/>
                <w:lang w:eastAsia="zh-CN"/>
              </w:rPr>
              <w:t>例，有效</w:t>
            </w:r>
            <w:r>
              <w:rPr>
                <w:rFonts w:hint="eastAsia" w:ascii="仿宋_GB2312" w:eastAsia="仿宋_GB2312" w:cs="仿宋"/>
                <w:color w:val="auto"/>
                <w:highlight w:val="none"/>
                <w:lang w:val="en-US" w:eastAsia="zh-CN"/>
              </w:rPr>
              <w:t>13</w:t>
            </w:r>
            <w:r>
              <w:rPr>
                <w:rFonts w:hint="eastAsia" w:ascii="仿宋_GB2312" w:eastAsia="仿宋_GB2312" w:cs="仿宋"/>
                <w:color w:val="auto"/>
                <w:highlight w:val="none"/>
                <w:lang w:eastAsia="zh-CN"/>
              </w:rPr>
              <w:t>例，无效</w:t>
            </w:r>
            <w:r>
              <w:rPr>
                <w:rFonts w:hint="eastAsia" w:ascii="仿宋_GB2312" w:eastAsia="仿宋_GB2312" w:cs="仿宋"/>
                <w:color w:val="auto"/>
                <w:highlight w:val="none"/>
                <w:lang w:val="en-US" w:eastAsia="zh-CN"/>
              </w:rPr>
              <w:t>8</w:t>
            </w:r>
            <w:r>
              <w:rPr>
                <w:rFonts w:hint="eastAsia" w:ascii="仿宋_GB2312" w:eastAsia="仿宋_GB2312" w:cs="仿宋"/>
                <w:color w:val="auto"/>
                <w:highlight w:val="none"/>
                <w:lang w:eastAsia="zh-CN"/>
              </w:rPr>
              <w:t>例，总有效率</w:t>
            </w:r>
            <w:r>
              <w:rPr>
                <w:rFonts w:hint="eastAsia" w:ascii="仿宋_GB2312" w:eastAsia="仿宋_GB2312" w:cs="仿宋"/>
                <w:color w:val="auto"/>
                <w:highlight w:val="none"/>
                <w:lang w:val="en-US" w:eastAsia="zh-CN"/>
              </w:rPr>
              <w:t>92.59</w:t>
            </w:r>
            <w:r>
              <w:rPr>
                <w:rFonts w:hint="eastAsia" w:ascii="仿宋_GB2312" w:eastAsia="仿宋_GB2312" w:cs="仿宋"/>
                <w:color w:val="auto"/>
                <w:highlight w:val="none"/>
                <w:lang w:eastAsia="zh-CN"/>
              </w:rPr>
              <w:t>%</w:t>
            </w:r>
          </w:p>
        </w:tc>
      </w:tr>
      <w:tr w14:paraId="09C0F7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845" w:type="dxa"/>
            <w:vMerge w:val="continue"/>
          </w:tcPr>
          <w:p w14:paraId="51EFA126">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p>
        </w:tc>
        <w:tc>
          <w:tcPr>
            <w:tcW w:w="755" w:type="dxa"/>
            <w:shd w:val="clear" w:color="auto" w:fill="auto"/>
            <w:vAlign w:val="center"/>
          </w:tcPr>
          <w:p w14:paraId="05280A47">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eastAsia="zh-CN"/>
              </w:rPr>
              <w:t>2023</w:t>
            </w:r>
          </w:p>
        </w:tc>
        <w:tc>
          <w:tcPr>
            <w:tcW w:w="1276" w:type="dxa"/>
            <w:shd w:val="clear" w:color="auto" w:fill="auto"/>
            <w:vAlign w:val="center"/>
          </w:tcPr>
          <w:p w14:paraId="5B46721E">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val="en-US" w:eastAsia="zh-CN"/>
              </w:rPr>
              <w:t>68</w:t>
            </w:r>
          </w:p>
        </w:tc>
        <w:tc>
          <w:tcPr>
            <w:tcW w:w="5863" w:type="dxa"/>
            <w:shd w:val="clear" w:color="auto" w:fill="auto"/>
            <w:vAlign w:val="center"/>
          </w:tcPr>
          <w:p w14:paraId="0935380A">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eastAsia="zh-CN"/>
              </w:rPr>
              <w:t>共治疗</w:t>
            </w:r>
            <w:r>
              <w:rPr>
                <w:rFonts w:hint="eastAsia" w:ascii="仿宋_GB2312" w:eastAsia="仿宋_GB2312" w:cs="仿宋"/>
                <w:color w:val="auto"/>
                <w:highlight w:val="none"/>
                <w:lang w:val="en-US" w:eastAsia="zh-CN"/>
              </w:rPr>
              <w:t>68</w:t>
            </w:r>
            <w:r>
              <w:rPr>
                <w:rFonts w:hint="eastAsia" w:ascii="仿宋_GB2312" w:eastAsia="仿宋_GB2312" w:cs="仿宋"/>
                <w:color w:val="auto"/>
                <w:highlight w:val="none"/>
                <w:lang w:eastAsia="zh-CN"/>
              </w:rPr>
              <w:t>例患者，其中痊愈</w:t>
            </w:r>
            <w:r>
              <w:rPr>
                <w:rFonts w:hint="eastAsia" w:ascii="仿宋_GB2312" w:eastAsia="仿宋_GB2312" w:cs="仿宋"/>
                <w:color w:val="auto"/>
                <w:highlight w:val="none"/>
                <w:lang w:val="en-US" w:eastAsia="zh-CN"/>
              </w:rPr>
              <w:t>24</w:t>
            </w:r>
            <w:r>
              <w:rPr>
                <w:rFonts w:hint="eastAsia" w:ascii="仿宋_GB2312" w:eastAsia="仿宋_GB2312" w:cs="仿宋"/>
                <w:color w:val="auto"/>
                <w:highlight w:val="none"/>
                <w:lang w:eastAsia="zh-CN"/>
              </w:rPr>
              <w:t>例，显效</w:t>
            </w:r>
            <w:r>
              <w:rPr>
                <w:rFonts w:hint="eastAsia" w:ascii="仿宋_GB2312" w:eastAsia="仿宋_GB2312" w:cs="仿宋"/>
                <w:color w:val="auto"/>
                <w:highlight w:val="none"/>
                <w:lang w:val="en-US" w:eastAsia="zh-CN"/>
              </w:rPr>
              <w:t>18</w:t>
            </w:r>
            <w:r>
              <w:rPr>
                <w:rFonts w:hint="eastAsia" w:ascii="仿宋_GB2312" w:eastAsia="仿宋_GB2312" w:cs="仿宋"/>
                <w:color w:val="auto"/>
                <w:highlight w:val="none"/>
                <w:lang w:eastAsia="zh-CN"/>
              </w:rPr>
              <w:t>例，有效</w:t>
            </w:r>
            <w:r>
              <w:rPr>
                <w:rFonts w:hint="eastAsia" w:ascii="仿宋_GB2312" w:eastAsia="仿宋_GB2312" w:cs="仿宋"/>
                <w:color w:val="auto"/>
                <w:highlight w:val="none"/>
                <w:lang w:val="en-US" w:eastAsia="zh-CN"/>
              </w:rPr>
              <w:t>16</w:t>
            </w:r>
            <w:r>
              <w:rPr>
                <w:rFonts w:hint="eastAsia" w:ascii="仿宋_GB2312" w:eastAsia="仿宋_GB2312" w:cs="仿宋"/>
                <w:color w:val="auto"/>
                <w:highlight w:val="none"/>
                <w:lang w:eastAsia="zh-CN"/>
              </w:rPr>
              <w:t>例，无效</w:t>
            </w:r>
            <w:r>
              <w:rPr>
                <w:rFonts w:hint="eastAsia" w:ascii="仿宋_GB2312" w:eastAsia="仿宋_GB2312" w:cs="仿宋"/>
                <w:color w:val="auto"/>
                <w:highlight w:val="none"/>
                <w:lang w:val="en-US" w:eastAsia="zh-CN"/>
              </w:rPr>
              <w:t>6</w:t>
            </w:r>
            <w:r>
              <w:rPr>
                <w:rFonts w:hint="eastAsia" w:ascii="仿宋_GB2312" w:eastAsia="仿宋_GB2312" w:cs="仿宋"/>
                <w:color w:val="auto"/>
                <w:highlight w:val="none"/>
                <w:lang w:eastAsia="zh-CN"/>
              </w:rPr>
              <w:t>例，总有效率</w:t>
            </w:r>
            <w:r>
              <w:rPr>
                <w:rFonts w:hint="eastAsia" w:ascii="仿宋_GB2312" w:eastAsia="仿宋_GB2312" w:cs="仿宋"/>
                <w:color w:val="auto"/>
                <w:highlight w:val="none"/>
                <w:lang w:val="en-US" w:eastAsia="zh-CN"/>
              </w:rPr>
              <w:t>85.29</w:t>
            </w:r>
            <w:r>
              <w:rPr>
                <w:rFonts w:hint="eastAsia" w:ascii="仿宋_GB2312" w:eastAsia="仿宋_GB2312" w:cs="仿宋"/>
                <w:color w:val="auto"/>
                <w:highlight w:val="none"/>
                <w:lang w:eastAsia="zh-CN"/>
              </w:rPr>
              <w:t>%</w:t>
            </w:r>
          </w:p>
        </w:tc>
      </w:tr>
      <w:tr w14:paraId="7BAA3E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845" w:type="dxa"/>
            <w:vMerge w:val="continue"/>
          </w:tcPr>
          <w:p w14:paraId="75592770">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p>
        </w:tc>
        <w:tc>
          <w:tcPr>
            <w:tcW w:w="755" w:type="dxa"/>
            <w:shd w:val="clear" w:color="auto" w:fill="auto"/>
            <w:vAlign w:val="center"/>
          </w:tcPr>
          <w:p w14:paraId="1E2C1C83">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eastAsia="zh-CN"/>
              </w:rPr>
              <w:t>2024</w:t>
            </w:r>
          </w:p>
        </w:tc>
        <w:tc>
          <w:tcPr>
            <w:tcW w:w="1276" w:type="dxa"/>
            <w:shd w:val="clear" w:color="auto" w:fill="auto"/>
            <w:vAlign w:val="center"/>
          </w:tcPr>
          <w:p w14:paraId="7FB5F51B">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val="en-US" w:eastAsia="zh-CN"/>
              </w:rPr>
              <w:t>98</w:t>
            </w:r>
          </w:p>
        </w:tc>
        <w:tc>
          <w:tcPr>
            <w:tcW w:w="5863" w:type="dxa"/>
            <w:shd w:val="clear" w:color="auto" w:fill="auto"/>
            <w:vAlign w:val="center"/>
          </w:tcPr>
          <w:p w14:paraId="7909342C">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eastAsia="zh-CN"/>
              </w:rPr>
              <w:t>共治疗</w:t>
            </w:r>
            <w:r>
              <w:rPr>
                <w:rFonts w:hint="eastAsia" w:ascii="仿宋_GB2312" w:eastAsia="仿宋_GB2312" w:cs="仿宋"/>
                <w:color w:val="auto"/>
                <w:highlight w:val="none"/>
                <w:lang w:val="en-US" w:eastAsia="zh-CN"/>
              </w:rPr>
              <w:t>98</w:t>
            </w:r>
            <w:r>
              <w:rPr>
                <w:rFonts w:hint="eastAsia" w:ascii="仿宋_GB2312" w:eastAsia="仿宋_GB2312" w:cs="仿宋"/>
                <w:color w:val="auto"/>
                <w:highlight w:val="none"/>
                <w:lang w:eastAsia="zh-CN"/>
              </w:rPr>
              <w:t>例患者，其中痊愈</w:t>
            </w:r>
            <w:r>
              <w:rPr>
                <w:rFonts w:hint="eastAsia" w:ascii="仿宋_GB2312" w:eastAsia="仿宋_GB2312" w:cs="仿宋"/>
                <w:color w:val="auto"/>
                <w:highlight w:val="none"/>
                <w:lang w:val="en-US" w:eastAsia="zh-CN"/>
              </w:rPr>
              <w:t>38</w:t>
            </w:r>
            <w:r>
              <w:rPr>
                <w:rFonts w:hint="eastAsia" w:ascii="仿宋_GB2312" w:eastAsia="仿宋_GB2312" w:cs="仿宋"/>
                <w:color w:val="auto"/>
                <w:highlight w:val="none"/>
                <w:lang w:eastAsia="zh-CN"/>
              </w:rPr>
              <w:t>例，显效</w:t>
            </w:r>
            <w:r>
              <w:rPr>
                <w:rFonts w:hint="eastAsia" w:ascii="仿宋_GB2312" w:eastAsia="仿宋_GB2312" w:cs="仿宋"/>
                <w:color w:val="auto"/>
                <w:highlight w:val="none"/>
                <w:lang w:val="en-US" w:eastAsia="zh-CN"/>
              </w:rPr>
              <w:t>25</w:t>
            </w:r>
            <w:r>
              <w:rPr>
                <w:rFonts w:hint="eastAsia" w:ascii="仿宋_GB2312" w:eastAsia="仿宋_GB2312" w:cs="仿宋"/>
                <w:color w:val="auto"/>
                <w:highlight w:val="none"/>
                <w:lang w:eastAsia="zh-CN"/>
              </w:rPr>
              <w:t>例，有</w:t>
            </w:r>
            <w:r>
              <w:rPr>
                <w:rFonts w:hint="eastAsia" w:ascii="仿宋_GB2312" w:eastAsia="仿宋_GB2312" w:cs="仿宋"/>
                <w:color w:val="auto"/>
                <w:highlight w:val="none"/>
                <w:lang w:val="en-US" w:eastAsia="zh-CN"/>
              </w:rPr>
              <w:t>24</w:t>
            </w:r>
            <w:r>
              <w:rPr>
                <w:rFonts w:hint="eastAsia" w:ascii="仿宋_GB2312" w:eastAsia="仿宋_GB2312" w:cs="仿宋"/>
                <w:color w:val="auto"/>
                <w:highlight w:val="none"/>
                <w:lang w:eastAsia="zh-CN"/>
              </w:rPr>
              <w:t>效例，无效</w:t>
            </w:r>
            <w:r>
              <w:rPr>
                <w:rFonts w:hint="eastAsia" w:ascii="仿宋_GB2312" w:eastAsia="仿宋_GB2312" w:cs="仿宋"/>
                <w:color w:val="auto"/>
                <w:highlight w:val="none"/>
                <w:lang w:val="en-US" w:eastAsia="zh-CN"/>
              </w:rPr>
              <w:t>11</w:t>
            </w:r>
            <w:r>
              <w:rPr>
                <w:rFonts w:hint="eastAsia" w:ascii="仿宋_GB2312" w:eastAsia="仿宋_GB2312" w:cs="仿宋"/>
                <w:color w:val="auto"/>
                <w:highlight w:val="none"/>
                <w:lang w:eastAsia="zh-CN"/>
              </w:rPr>
              <w:t>例，总有效率</w:t>
            </w:r>
            <w:r>
              <w:rPr>
                <w:rFonts w:hint="eastAsia" w:ascii="仿宋_GB2312" w:eastAsia="仿宋_GB2312" w:cs="仿宋"/>
                <w:color w:val="auto"/>
                <w:highlight w:val="none"/>
                <w:lang w:val="en-US" w:eastAsia="zh-CN"/>
              </w:rPr>
              <w:t>88.78</w:t>
            </w:r>
            <w:r>
              <w:rPr>
                <w:rFonts w:hint="eastAsia" w:ascii="仿宋_GB2312" w:eastAsia="仿宋_GB2312" w:cs="仿宋"/>
                <w:color w:val="auto"/>
                <w:highlight w:val="none"/>
                <w:lang w:eastAsia="zh-CN"/>
              </w:rPr>
              <w:t>%</w:t>
            </w:r>
          </w:p>
        </w:tc>
      </w:tr>
      <w:tr w14:paraId="264664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845" w:type="dxa"/>
            <w:vMerge w:val="continue"/>
            <w:shd w:val="clear" w:color="auto" w:fill="auto"/>
            <w:vAlign w:val="center"/>
          </w:tcPr>
          <w:p w14:paraId="66E01601">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p>
        </w:tc>
        <w:tc>
          <w:tcPr>
            <w:tcW w:w="755" w:type="dxa"/>
            <w:shd w:val="clear" w:color="auto" w:fill="auto"/>
            <w:vAlign w:val="center"/>
          </w:tcPr>
          <w:p w14:paraId="372A73DB">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eastAsia="zh-CN"/>
              </w:rPr>
              <w:t>2025</w:t>
            </w:r>
          </w:p>
        </w:tc>
        <w:tc>
          <w:tcPr>
            <w:tcW w:w="1276" w:type="dxa"/>
            <w:shd w:val="clear" w:color="auto" w:fill="auto"/>
            <w:vAlign w:val="center"/>
          </w:tcPr>
          <w:p w14:paraId="50F299DB">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val="en-US" w:eastAsia="zh-CN"/>
              </w:rPr>
              <w:t>72</w:t>
            </w:r>
          </w:p>
        </w:tc>
        <w:tc>
          <w:tcPr>
            <w:tcW w:w="5863" w:type="dxa"/>
            <w:shd w:val="clear" w:color="auto" w:fill="auto"/>
            <w:vAlign w:val="center"/>
          </w:tcPr>
          <w:p w14:paraId="24895847">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eastAsia="zh-CN"/>
              </w:rPr>
              <w:t>共治疗</w:t>
            </w:r>
            <w:r>
              <w:rPr>
                <w:rFonts w:hint="eastAsia" w:ascii="仿宋_GB2312" w:eastAsia="仿宋_GB2312" w:cs="仿宋"/>
                <w:color w:val="auto"/>
                <w:highlight w:val="none"/>
                <w:lang w:val="en-US" w:eastAsia="zh-CN"/>
              </w:rPr>
              <w:t>72</w:t>
            </w:r>
            <w:r>
              <w:rPr>
                <w:rFonts w:hint="eastAsia" w:ascii="仿宋_GB2312" w:eastAsia="仿宋_GB2312" w:cs="仿宋"/>
                <w:color w:val="auto"/>
                <w:highlight w:val="none"/>
                <w:lang w:eastAsia="zh-CN"/>
              </w:rPr>
              <w:t>例患者，其中痊愈</w:t>
            </w:r>
            <w:r>
              <w:rPr>
                <w:rFonts w:hint="eastAsia" w:ascii="仿宋_GB2312" w:eastAsia="仿宋_GB2312" w:cs="仿宋"/>
                <w:color w:val="auto"/>
                <w:highlight w:val="none"/>
                <w:lang w:val="en-US" w:eastAsia="zh-CN"/>
              </w:rPr>
              <w:t>37</w:t>
            </w:r>
            <w:r>
              <w:rPr>
                <w:rFonts w:hint="eastAsia" w:ascii="仿宋_GB2312" w:eastAsia="仿宋_GB2312" w:cs="仿宋"/>
                <w:color w:val="auto"/>
                <w:highlight w:val="none"/>
                <w:lang w:eastAsia="zh-CN"/>
              </w:rPr>
              <w:t>例，显效</w:t>
            </w:r>
            <w:r>
              <w:rPr>
                <w:rFonts w:hint="eastAsia" w:ascii="仿宋_GB2312" w:eastAsia="仿宋_GB2312" w:cs="仿宋"/>
                <w:color w:val="auto"/>
                <w:highlight w:val="none"/>
                <w:lang w:val="en-US" w:eastAsia="zh-CN"/>
              </w:rPr>
              <w:t>20</w:t>
            </w:r>
            <w:r>
              <w:rPr>
                <w:rFonts w:hint="eastAsia" w:ascii="仿宋_GB2312" w:eastAsia="仿宋_GB2312" w:cs="仿宋"/>
                <w:color w:val="auto"/>
                <w:highlight w:val="none"/>
                <w:lang w:eastAsia="zh-CN"/>
              </w:rPr>
              <w:t>例，有</w:t>
            </w:r>
            <w:r>
              <w:rPr>
                <w:rFonts w:hint="eastAsia" w:ascii="仿宋_GB2312" w:eastAsia="仿宋_GB2312" w:cs="仿宋"/>
                <w:color w:val="auto"/>
                <w:highlight w:val="none"/>
                <w:lang w:val="en-US" w:eastAsia="zh-CN"/>
              </w:rPr>
              <w:t>10</w:t>
            </w:r>
            <w:r>
              <w:rPr>
                <w:rFonts w:hint="eastAsia" w:ascii="仿宋_GB2312" w:eastAsia="仿宋_GB2312" w:cs="仿宋"/>
                <w:color w:val="auto"/>
                <w:highlight w:val="none"/>
                <w:lang w:eastAsia="zh-CN"/>
              </w:rPr>
              <w:t>效例，无效</w:t>
            </w:r>
            <w:r>
              <w:rPr>
                <w:rFonts w:hint="eastAsia" w:ascii="仿宋_GB2312" w:eastAsia="仿宋_GB2312" w:cs="仿宋"/>
                <w:color w:val="auto"/>
                <w:highlight w:val="none"/>
                <w:lang w:val="en-US" w:eastAsia="zh-CN"/>
              </w:rPr>
              <w:t>5</w:t>
            </w:r>
            <w:r>
              <w:rPr>
                <w:rFonts w:hint="eastAsia" w:ascii="仿宋_GB2312" w:eastAsia="仿宋_GB2312" w:cs="仿宋"/>
                <w:color w:val="auto"/>
                <w:highlight w:val="none"/>
                <w:lang w:eastAsia="zh-CN"/>
              </w:rPr>
              <w:t>例，总有效率</w:t>
            </w:r>
            <w:r>
              <w:rPr>
                <w:rFonts w:hint="eastAsia" w:ascii="仿宋_GB2312" w:eastAsia="仿宋_GB2312" w:cs="仿宋"/>
                <w:color w:val="auto"/>
                <w:highlight w:val="none"/>
                <w:lang w:val="en-US" w:eastAsia="zh-CN"/>
              </w:rPr>
              <w:t>93.06</w:t>
            </w:r>
            <w:r>
              <w:rPr>
                <w:rFonts w:hint="eastAsia" w:ascii="仿宋_GB2312" w:eastAsia="仿宋_GB2312" w:cs="仿宋"/>
                <w:color w:val="auto"/>
                <w:highlight w:val="none"/>
                <w:lang w:eastAsia="zh-CN"/>
              </w:rPr>
              <w:t>%</w:t>
            </w:r>
          </w:p>
        </w:tc>
      </w:tr>
      <w:tr w14:paraId="6780E8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845" w:type="dxa"/>
            <w:vMerge w:val="restart"/>
            <w:shd w:val="clear" w:color="auto" w:fill="auto"/>
            <w:vAlign w:val="center"/>
          </w:tcPr>
          <w:p w14:paraId="7CCD9FCD">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default" w:ascii="仿宋_GB2312" w:eastAsia="仿宋_GB2312" w:cs="仿宋"/>
                <w:color w:val="auto"/>
                <w:highlight w:val="none"/>
                <w:lang w:val="en-US" w:eastAsia="zh-CN"/>
              </w:rPr>
            </w:pPr>
            <w:r>
              <w:rPr>
                <w:rFonts w:hint="eastAsia" w:ascii="仿宋_GB2312" w:eastAsia="仿宋_GB2312" w:cs="仿宋"/>
                <w:color w:val="auto"/>
                <w:highlight w:val="none"/>
                <w:lang w:val="en-US" w:eastAsia="zh-CN"/>
              </w:rPr>
              <w:t>D</w:t>
            </w:r>
          </w:p>
        </w:tc>
        <w:tc>
          <w:tcPr>
            <w:tcW w:w="755" w:type="dxa"/>
            <w:shd w:val="clear" w:color="auto" w:fill="auto"/>
            <w:vAlign w:val="center"/>
          </w:tcPr>
          <w:p w14:paraId="39CD608A">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eastAsia="zh-CN"/>
              </w:rPr>
              <w:t>2022</w:t>
            </w:r>
          </w:p>
        </w:tc>
        <w:tc>
          <w:tcPr>
            <w:tcW w:w="1276" w:type="dxa"/>
            <w:shd w:val="clear" w:color="auto" w:fill="auto"/>
            <w:vAlign w:val="center"/>
          </w:tcPr>
          <w:p w14:paraId="261D5FF6">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val="en-US" w:eastAsia="zh-CN"/>
              </w:rPr>
              <w:t>58</w:t>
            </w:r>
          </w:p>
        </w:tc>
        <w:tc>
          <w:tcPr>
            <w:tcW w:w="5863" w:type="dxa"/>
            <w:shd w:val="clear" w:color="auto" w:fill="auto"/>
            <w:vAlign w:val="center"/>
          </w:tcPr>
          <w:p w14:paraId="04905B7B">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eastAsia="zh-CN"/>
              </w:rPr>
              <w:t>共治疗</w:t>
            </w:r>
            <w:r>
              <w:rPr>
                <w:rFonts w:hint="eastAsia" w:ascii="仿宋_GB2312" w:eastAsia="仿宋_GB2312" w:cs="仿宋"/>
                <w:color w:val="auto"/>
                <w:highlight w:val="none"/>
                <w:lang w:val="en-US" w:eastAsia="zh-CN"/>
              </w:rPr>
              <w:t>58</w:t>
            </w:r>
            <w:r>
              <w:rPr>
                <w:rFonts w:hint="eastAsia" w:ascii="仿宋_GB2312" w:eastAsia="仿宋_GB2312" w:cs="仿宋"/>
                <w:color w:val="auto"/>
                <w:highlight w:val="none"/>
                <w:lang w:eastAsia="zh-CN"/>
              </w:rPr>
              <w:t>例患者，其中痊愈</w:t>
            </w:r>
            <w:r>
              <w:rPr>
                <w:rFonts w:hint="eastAsia" w:ascii="仿宋_GB2312" w:eastAsia="仿宋_GB2312" w:cs="仿宋"/>
                <w:color w:val="auto"/>
                <w:highlight w:val="none"/>
                <w:lang w:val="en-US" w:eastAsia="zh-CN"/>
              </w:rPr>
              <w:t>18</w:t>
            </w:r>
            <w:r>
              <w:rPr>
                <w:rFonts w:hint="eastAsia" w:ascii="仿宋_GB2312" w:eastAsia="仿宋_GB2312" w:cs="仿宋"/>
                <w:color w:val="auto"/>
                <w:highlight w:val="none"/>
                <w:lang w:eastAsia="zh-CN"/>
              </w:rPr>
              <w:t>例，显效8例，有</w:t>
            </w:r>
            <w:r>
              <w:rPr>
                <w:rFonts w:hint="eastAsia" w:ascii="仿宋_GB2312" w:eastAsia="仿宋_GB2312" w:cs="仿宋"/>
                <w:color w:val="auto"/>
                <w:highlight w:val="none"/>
                <w:lang w:val="en-US" w:eastAsia="zh-CN"/>
              </w:rPr>
              <w:t>8</w:t>
            </w:r>
            <w:r>
              <w:rPr>
                <w:rFonts w:hint="eastAsia" w:ascii="仿宋_GB2312" w:eastAsia="仿宋_GB2312" w:cs="仿宋"/>
                <w:color w:val="auto"/>
                <w:highlight w:val="none"/>
                <w:lang w:eastAsia="zh-CN"/>
              </w:rPr>
              <w:t>例，无效4例，总有效率93.1%</w:t>
            </w:r>
          </w:p>
        </w:tc>
      </w:tr>
      <w:tr w14:paraId="75F1F3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845" w:type="dxa"/>
            <w:vMerge w:val="continue"/>
            <w:shd w:val="clear" w:color="auto" w:fill="auto"/>
            <w:vAlign w:val="top"/>
          </w:tcPr>
          <w:p w14:paraId="60E04E87">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p>
        </w:tc>
        <w:tc>
          <w:tcPr>
            <w:tcW w:w="755" w:type="dxa"/>
            <w:shd w:val="clear" w:color="auto" w:fill="auto"/>
            <w:vAlign w:val="center"/>
          </w:tcPr>
          <w:p w14:paraId="2FEBFCEC">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eastAsia="zh-CN"/>
              </w:rPr>
              <w:t>2023</w:t>
            </w:r>
          </w:p>
        </w:tc>
        <w:tc>
          <w:tcPr>
            <w:tcW w:w="1276" w:type="dxa"/>
            <w:shd w:val="clear" w:color="auto" w:fill="auto"/>
            <w:vAlign w:val="center"/>
          </w:tcPr>
          <w:p w14:paraId="0F8C0035">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val="en-US" w:eastAsia="zh-CN"/>
              </w:rPr>
              <w:t>87</w:t>
            </w:r>
          </w:p>
        </w:tc>
        <w:tc>
          <w:tcPr>
            <w:tcW w:w="5863" w:type="dxa"/>
            <w:shd w:val="clear" w:color="auto" w:fill="auto"/>
            <w:vAlign w:val="center"/>
          </w:tcPr>
          <w:p w14:paraId="2D34DBC3">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eastAsia="zh-CN"/>
              </w:rPr>
              <w:t>共治疗87例患者，其中痊愈42例，显效28例，有12例，无效5例，总有效率94.25%</w:t>
            </w:r>
          </w:p>
        </w:tc>
      </w:tr>
      <w:tr w14:paraId="68AC6F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845" w:type="dxa"/>
            <w:vMerge w:val="continue"/>
            <w:shd w:val="clear" w:color="auto" w:fill="auto"/>
            <w:vAlign w:val="center"/>
          </w:tcPr>
          <w:p w14:paraId="33488E43">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p>
        </w:tc>
        <w:tc>
          <w:tcPr>
            <w:tcW w:w="755" w:type="dxa"/>
            <w:shd w:val="clear" w:color="auto" w:fill="auto"/>
            <w:vAlign w:val="center"/>
          </w:tcPr>
          <w:p w14:paraId="79CBB861">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eastAsia="zh-CN"/>
              </w:rPr>
              <w:t>2024</w:t>
            </w:r>
          </w:p>
        </w:tc>
        <w:tc>
          <w:tcPr>
            <w:tcW w:w="1276" w:type="dxa"/>
            <w:shd w:val="clear" w:color="auto" w:fill="auto"/>
            <w:vAlign w:val="center"/>
          </w:tcPr>
          <w:p w14:paraId="1F77C04E">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val="en-US" w:eastAsia="zh-CN"/>
              </w:rPr>
              <w:t>92</w:t>
            </w:r>
          </w:p>
        </w:tc>
        <w:tc>
          <w:tcPr>
            <w:tcW w:w="5863" w:type="dxa"/>
            <w:shd w:val="clear" w:color="auto" w:fill="auto"/>
            <w:vAlign w:val="center"/>
          </w:tcPr>
          <w:p w14:paraId="54D940E0">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eastAsia="zh-CN"/>
              </w:rPr>
              <w:t>共治疗92例患者，其中痊愈45例，显效30例，有12例，无效5例，总有效率94.57%</w:t>
            </w:r>
          </w:p>
        </w:tc>
      </w:tr>
      <w:tr w14:paraId="0F9A59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845" w:type="dxa"/>
            <w:vMerge w:val="continue"/>
            <w:shd w:val="clear" w:color="auto" w:fill="auto"/>
            <w:vAlign w:val="top"/>
          </w:tcPr>
          <w:p w14:paraId="138F4A45">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p>
        </w:tc>
        <w:tc>
          <w:tcPr>
            <w:tcW w:w="755" w:type="dxa"/>
            <w:shd w:val="clear" w:color="auto" w:fill="auto"/>
            <w:vAlign w:val="center"/>
          </w:tcPr>
          <w:p w14:paraId="706E7443">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eastAsia="zh-CN"/>
              </w:rPr>
              <w:t>2025</w:t>
            </w:r>
          </w:p>
        </w:tc>
        <w:tc>
          <w:tcPr>
            <w:tcW w:w="1276" w:type="dxa"/>
            <w:shd w:val="clear" w:color="auto" w:fill="auto"/>
            <w:vAlign w:val="center"/>
          </w:tcPr>
          <w:p w14:paraId="4567559F">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val="en-US" w:eastAsia="zh-CN"/>
              </w:rPr>
              <w:t>168</w:t>
            </w:r>
          </w:p>
        </w:tc>
        <w:tc>
          <w:tcPr>
            <w:tcW w:w="5863" w:type="dxa"/>
            <w:shd w:val="clear" w:color="auto" w:fill="auto"/>
            <w:vAlign w:val="center"/>
          </w:tcPr>
          <w:p w14:paraId="32AFA458">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eastAsia="zh-CN"/>
              </w:rPr>
              <w:t>共治疗168例患者，其中痊愈82例，显效52例，有20例，无效8例，总有效率95.06%</w:t>
            </w:r>
          </w:p>
        </w:tc>
      </w:tr>
      <w:tr w14:paraId="1D7B7D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845" w:type="dxa"/>
            <w:vMerge w:val="restart"/>
            <w:shd w:val="clear" w:color="auto" w:fill="auto"/>
            <w:vAlign w:val="center"/>
          </w:tcPr>
          <w:p w14:paraId="1D766698">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default" w:ascii="仿宋_GB2312" w:eastAsia="仿宋_GB2312" w:cs="仿宋"/>
                <w:color w:val="auto"/>
                <w:highlight w:val="none"/>
                <w:lang w:val="en-US" w:eastAsia="zh-CN"/>
              </w:rPr>
            </w:pPr>
            <w:r>
              <w:rPr>
                <w:rFonts w:hint="eastAsia" w:ascii="仿宋_GB2312" w:eastAsia="仿宋_GB2312" w:cs="仿宋"/>
                <w:color w:val="auto"/>
                <w:highlight w:val="none"/>
                <w:lang w:val="en-US" w:eastAsia="zh-CN"/>
              </w:rPr>
              <w:t>E</w:t>
            </w:r>
          </w:p>
        </w:tc>
        <w:tc>
          <w:tcPr>
            <w:tcW w:w="755" w:type="dxa"/>
            <w:shd w:val="clear" w:color="auto" w:fill="auto"/>
            <w:vAlign w:val="center"/>
          </w:tcPr>
          <w:p w14:paraId="4F2A1B2B">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eastAsia="zh-CN"/>
              </w:rPr>
              <w:t>2022</w:t>
            </w:r>
          </w:p>
        </w:tc>
        <w:tc>
          <w:tcPr>
            <w:tcW w:w="1276" w:type="dxa"/>
            <w:shd w:val="clear" w:color="auto" w:fill="auto"/>
            <w:vAlign w:val="center"/>
          </w:tcPr>
          <w:p w14:paraId="2C2D0773">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val="en-US" w:eastAsia="zh-CN"/>
              </w:rPr>
              <w:t>19</w:t>
            </w:r>
          </w:p>
        </w:tc>
        <w:tc>
          <w:tcPr>
            <w:tcW w:w="5863" w:type="dxa"/>
            <w:shd w:val="clear" w:color="auto" w:fill="auto"/>
            <w:vAlign w:val="center"/>
          </w:tcPr>
          <w:p w14:paraId="45A2AD43">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eastAsia="zh-CN"/>
              </w:rPr>
              <w:t>共治疗</w:t>
            </w:r>
            <w:r>
              <w:rPr>
                <w:rFonts w:hint="eastAsia" w:ascii="仿宋_GB2312" w:eastAsia="仿宋_GB2312" w:cs="仿宋"/>
                <w:color w:val="auto"/>
                <w:highlight w:val="none"/>
                <w:lang w:val="en-US" w:eastAsia="zh-CN"/>
              </w:rPr>
              <w:t>360</w:t>
            </w:r>
            <w:r>
              <w:rPr>
                <w:rFonts w:hint="eastAsia" w:ascii="仿宋_GB2312" w:eastAsia="仿宋_GB2312" w:cs="仿宋"/>
                <w:color w:val="auto"/>
                <w:highlight w:val="none"/>
                <w:lang w:eastAsia="zh-CN"/>
              </w:rPr>
              <w:t>例患者，其中痊愈</w:t>
            </w:r>
            <w:r>
              <w:rPr>
                <w:rFonts w:hint="eastAsia" w:ascii="仿宋_GB2312" w:eastAsia="仿宋_GB2312" w:cs="仿宋"/>
                <w:color w:val="auto"/>
                <w:highlight w:val="none"/>
                <w:lang w:val="en-US" w:eastAsia="zh-CN"/>
              </w:rPr>
              <w:t>45</w:t>
            </w:r>
            <w:r>
              <w:rPr>
                <w:rFonts w:hint="eastAsia" w:ascii="仿宋_GB2312" w:eastAsia="仿宋_GB2312" w:cs="仿宋"/>
                <w:color w:val="auto"/>
                <w:highlight w:val="none"/>
                <w:lang w:eastAsia="zh-CN"/>
              </w:rPr>
              <w:t>例，显效</w:t>
            </w:r>
            <w:r>
              <w:rPr>
                <w:rFonts w:hint="eastAsia" w:ascii="仿宋_GB2312" w:eastAsia="仿宋_GB2312" w:cs="仿宋"/>
                <w:color w:val="auto"/>
                <w:highlight w:val="none"/>
                <w:lang w:val="en-US" w:eastAsia="zh-CN"/>
              </w:rPr>
              <w:t>98</w:t>
            </w:r>
            <w:r>
              <w:rPr>
                <w:rFonts w:hint="eastAsia" w:ascii="仿宋_GB2312" w:eastAsia="仿宋_GB2312" w:cs="仿宋"/>
                <w:color w:val="auto"/>
                <w:highlight w:val="none"/>
                <w:lang w:eastAsia="zh-CN"/>
              </w:rPr>
              <w:t>例，有</w:t>
            </w:r>
            <w:r>
              <w:rPr>
                <w:rFonts w:hint="eastAsia" w:ascii="仿宋_GB2312" w:eastAsia="仿宋_GB2312" w:cs="仿宋"/>
                <w:color w:val="auto"/>
                <w:highlight w:val="none"/>
                <w:lang w:val="en-US" w:eastAsia="zh-CN"/>
              </w:rPr>
              <w:t>142</w:t>
            </w:r>
            <w:r>
              <w:rPr>
                <w:rFonts w:hint="eastAsia" w:ascii="仿宋_GB2312" w:eastAsia="仿宋_GB2312" w:cs="仿宋"/>
                <w:color w:val="auto"/>
                <w:highlight w:val="none"/>
                <w:lang w:eastAsia="zh-CN"/>
              </w:rPr>
              <w:t>效例，无效</w:t>
            </w:r>
            <w:r>
              <w:rPr>
                <w:rFonts w:hint="eastAsia" w:ascii="仿宋_GB2312" w:eastAsia="仿宋_GB2312" w:cs="仿宋"/>
                <w:color w:val="auto"/>
                <w:highlight w:val="none"/>
                <w:lang w:val="en-US" w:eastAsia="zh-CN"/>
              </w:rPr>
              <w:t>75</w:t>
            </w:r>
            <w:r>
              <w:rPr>
                <w:rFonts w:hint="eastAsia" w:ascii="仿宋_GB2312" w:eastAsia="仿宋_GB2312" w:cs="仿宋"/>
                <w:color w:val="auto"/>
                <w:highlight w:val="none"/>
                <w:lang w:eastAsia="zh-CN"/>
              </w:rPr>
              <w:t>例，总有效率</w:t>
            </w:r>
            <w:r>
              <w:rPr>
                <w:rFonts w:hint="eastAsia" w:ascii="仿宋_GB2312" w:eastAsia="仿宋_GB2312" w:cs="仿宋"/>
                <w:color w:val="auto"/>
                <w:highlight w:val="none"/>
                <w:lang w:val="en-US" w:eastAsia="zh-CN"/>
              </w:rPr>
              <w:t>79</w:t>
            </w:r>
            <w:r>
              <w:rPr>
                <w:rFonts w:hint="eastAsia" w:ascii="仿宋_GB2312" w:eastAsia="仿宋_GB2312" w:cs="仿宋"/>
                <w:color w:val="auto"/>
                <w:highlight w:val="none"/>
                <w:lang w:eastAsia="zh-CN"/>
              </w:rPr>
              <w:t>%</w:t>
            </w:r>
          </w:p>
        </w:tc>
      </w:tr>
      <w:tr w14:paraId="2EAA7B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845" w:type="dxa"/>
            <w:vMerge w:val="continue"/>
            <w:shd w:val="clear" w:color="auto" w:fill="auto"/>
            <w:vAlign w:val="center"/>
          </w:tcPr>
          <w:p w14:paraId="1D95B777">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p>
        </w:tc>
        <w:tc>
          <w:tcPr>
            <w:tcW w:w="755" w:type="dxa"/>
            <w:shd w:val="clear" w:color="auto" w:fill="auto"/>
            <w:vAlign w:val="center"/>
          </w:tcPr>
          <w:p w14:paraId="38B0C8BF">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eastAsia="zh-CN"/>
              </w:rPr>
              <w:t>2023</w:t>
            </w:r>
          </w:p>
        </w:tc>
        <w:tc>
          <w:tcPr>
            <w:tcW w:w="1276" w:type="dxa"/>
            <w:shd w:val="clear" w:color="auto" w:fill="auto"/>
            <w:vAlign w:val="center"/>
          </w:tcPr>
          <w:p w14:paraId="6FA0BF40">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val="en-US" w:eastAsia="zh-CN"/>
              </w:rPr>
              <w:t>19</w:t>
            </w:r>
          </w:p>
        </w:tc>
        <w:tc>
          <w:tcPr>
            <w:tcW w:w="5863" w:type="dxa"/>
            <w:shd w:val="clear" w:color="auto" w:fill="auto"/>
            <w:vAlign w:val="center"/>
          </w:tcPr>
          <w:p w14:paraId="7E578199">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eastAsia="zh-CN"/>
              </w:rPr>
              <w:t>共治疗</w:t>
            </w:r>
            <w:r>
              <w:rPr>
                <w:rFonts w:hint="eastAsia" w:ascii="仿宋_GB2312" w:eastAsia="仿宋_GB2312" w:cs="仿宋"/>
                <w:color w:val="auto"/>
                <w:highlight w:val="none"/>
                <w:lang w:val="en-US" w:eastAsia="zh-CN"/>
              </w:rPr>
              <w:t>223</w:t>
            </w:r>
            <w:r>
              <w:rPr>
                <w:rFonts w:hint="eastAsia" w:ascii="仿宋_GB2312" w:eastAsia="仿宋_GB2312" w:cs="仿宋"/>
                <w:color w:val="auto"/>
                <w:highlight w:val="none"/>
                <w:lang w:eastAsia="zh-CN"/>
              </w:rPr>
              <w:t>例患者，其中痊愈</w:t>
            </w:r>
            <w:r>
              <w:rPr>
                <w:rFonts w:hint="eastAsia" w:ascii="仿宋_GB2312" w:eastAsia="仿宋_GB2312" w:cs="仿宋"/>
                <w:color w:val="auto"/>
                <w:highlight w:val="none"/>
                <w:lang w:val="en-US" w:eastAsia="zh-CN"/>
              </w:rPr>
              <w:t>30</w:t>
            </w:r>
            <w:r>
              <w:rPr>
                <w:rFonts w:hint="eastAsia" w:ascii="仿宋_GB2312" w:eastAsia="仿宋_GB2312" w:cs="仿宋"/>
                <w:color w:val="auto"/>
                <w:highlight w:val="none"/>
                <w:lang w:eastAsia="zh-CN"/>
              </w:rPr>
              <w:t>例，显效</w:t>
            </w:r>
            <w:r>
              <w:rPr>
                <w:rFonts w:hint="eastAsia" w:ascii="仿宋_GB2312" w:eastAsia="仿宋_GB2312" w:cs="仿宋"/>
                <w:color w:val="auto"/>
                <w:highlight w:val="none"/>
                <w:lang w:val="en-US" w:eastAsia="zh-CN"/>
              </w:rPr>
              <w:t>74</w:t>
            </w:r>
            <w:r>
              <w:rPr>
                <w:rFonts w:hint="eastAsia" w:ascii="仿宋_GB2312" w:eastAsia="仿宋_GB2312" w:cs="仿宋"/>
                <w:color w:val="auto"/>
                <w:highlight w:val="none"/>
                <w:lang w:eastAsia="zh-CN"/>
              </w:rPr>
              <w:t>例，有</w:t>
            </w:r>
            <w:r>
              <w:rPr>
                <w:rFonts w:hint="eastAsia" w:ascii="仿宋_GB2312" w:eastAsia="仿宋_GB2312" w:cs="仿宋"/>
                <w:color w:val="auto"/>
                <w:highlight w:val="none"/>
                <w:lang w:val="en-US" w:eastAsia="zh-CN"/>
              </w:rPr>
              <w:t>96</w:t>
            </w:r>
            <w:r>
              <w:rPr>
                <w:rFonts w:hint="eastAsia" w:ascii="仿宋_GB2312" w:eastAsia="仿宋_GB2312" w:cs="仿宋"/>
                <w:color w:val="auto"/>
                <w:highlight w:val="none"/>
                <w:lang w:eastAsia="zh-CN"/>
              </w:rPr>
              <w:t>效例，无效</w:t>
            </w:r>
            <w:r>
              <w:rPr>
                <w:rFonts w:hint="eastAsia" w:ascii="仿宋_GB2312" w:eastAsia="仿宋_GB2312" w:cs="仿宋"/>
                <w:color w:val="auto"/>
                <w:highlight w:val="none"/>
                <w:lang w:val="en-US" w:eastAsia="zh-CN"/>
              </w:rPr>
              <w:t>23</w:t>
            </w:r>
            <w:r>
              <w:rPr>
                <w:rFonts w:hint="eastAsia" w:ascii="仿宋_GB2312" w:eastAsia="仿宋_GB2312" w:cs="仿宋"/>
                <w:color w:val="auto"/>
                <w:highlight w:val="none"/>
                <w:lang w:eastAsia="zh-CN"/>
              </w:rPr>
              <w:t>例，总有效率</w:t>
            </w:r>
            <w:r>
              <w:rPr>
                <w:rFonts w:hint="eastAsia" w:ascii="仿宋_GB2312" w:eastAsia="仿宋_GB2312" w:cs="仿宋"/>
                <w:color w:val="auto"/>
                <w:highlight w:val="none"/>
                <w:lang w:val="en-US" w:eastAsia="zh-CN"/>
              </w:rPr>
              <w:t>89</w:t>
            </w:r>
            <w:r>
              <w:rPr>
                <w:rFonts w:hint="eastAsia" w:ascii="仿宋_GB2312" w:eastAsia="仿宋_GB2312" w:cs="仿宋"/>
                <w:color w:val="auto"/>
                <w:highlight w:val="none"/>
                <w:lang w:eastAsia="zh-CN"/>
              </w:rPr>
              <w:t>%</w:t>
            </w:r>
          </w:p>
        </w:tc>
      </w:tr>
      <w:tr w14:paraId="169D82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845" w:type="dxa"/>
            <w:vMerge w:val="continue"/>
            <w:shd w:val="clear" w:color="auto" w:fill="auto"/>
            <w:vAlign w:val="top"/>
          </w:tcPr>
          <w:p w14:paraId="0ACCB467">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p>
        </w:tc>
        <w:tc>
          <w:tcPr>
            <w:tcW w:w="755" w:type="dxa"/>
            <w:shd w:val="clear" w:color="auto" w:fill="auto"/>
            <w:vAlign w:val="center"/>
          </w:tcPr>
          <w:p w14:paraId="0D696687">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eastAsia="zh-CN"/>
              </w:rPr>
              <w:t>2024</w:t>
            </w:r>
          </w:p>
        </w:tc>
        <w:tc>
          <w:tcPr>
            <w:tcW w:w="1276" w:type="dxa"/>
            <w:shd w:val="clear" w:color="auto" w:fill="auto"/>
            <w:vAlign w:val="center"/>
          </w:tcPr>
          <w:p w14:paraId="2F3ECA45">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val="en-US" w:eastAsia="zh-CN"/>
              </w:rPr>
              <w:t>19</w:t>
            </w:r>
          </w:p>
        </w:tc>
        <w:tc>
          <w:tcPr>
            <w:tcW w:w="5863" w:type="dxa"/>
            <w:shd w:val="clear" w:color="auto" w:fill="auto"/>
            <w:vAlign w:val="center"/>
          </w:tcPr>
          <w:p w14:paraId="0E36C661">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eastAsia="zh-CN"/>
              </w:rPr>
              <w:t>共治疗</w:t>
            </w:r>
            <w:r>
              <w:rPr>
                <w:rFonts w:hint="eastAsia" w:ascii="仿宋_GB2312" w:eastAsia="仿宋_GB2312" w:cs="仿宋"/>
                <w:color w:val="auto"/>
                <w:highlight w:val="none"/>
                <w:lang w:val="en-US" w:eastAsia="zh-CN"/>
              </w:rPr>
              <w:t>216</w:t>
            </w:r>
            <w:r>
              <w:rPr>
                <w:rFonts w:hint="eastAsia" w:ascii="仿宋_GB2312" w:eastAsia="仿宋_GB2312" w:cs="仿宋"/>
                <w:color w:val="auto"/>
                <w:highlight w:val="none"/>
                <w:lang w:eastAsia="zh-CN"/>
              </w:rPr>
              <w:t>例患者，其中痊愈</w:t>
            </w:r>
            <w:r>
              <w:rPr>
                <w:rFonts w:hint="eastAsia" w:ascii="仿宋_GB2312" w:eastAsia="仿宋_GB2312" w:cs="仿宋"/>
                <w:color w:val="auto"/>
                <w:highlight w:val="none"/>
                <w:lang w:val="en-US" w:eastAsia="zh-CN"/>
              </w:rPr>
              <w:t>24</w:t>
            </w:r>
            <w:r>
              <w:rPr>
                <w:rFonts w:hint="eastAsia" w:ascii="仿宋_GB2312" w:eastAsia="仿宋_GB2312" w:cs="仿宋"/>
                <w:color w:val="auto"/>
                <w:highlight w:val="none"/>
                <w:lang w:eastAsia="zh-CN"/>
              </w:rPr>
              <w:t>例，显效</w:t>
            </w:r>
            <w:r>
              <w:rPr>
                <w:rFonts w:hint="eastAsia" w:ascii="仿宋_GB2312" w:eastAsia="仿宋_GB2312" w:cs="仿宋"/>
                <w:color w:val="auto"/>
                <w:highlight w:val="none"/>
                <w:lang w:val="en-US" w:eastAsia="zh-CN"/>
              </w:rPr>
              <w:t>88</w:t>
            </w:r>
            <w:r>
              <w:rPr>
                <w:rFonts w:hint="eastAsia" w:ascii="仿宋_GB2312" w:eastAsia="仿宋_GB2312" w:cs="仿宋"/>
                <w:color w:val="auto"/>
                <w:highlight w:val="none"/>
                <w:lang w:eastAsia="zh-CN"/>
              </w:rPr>
              <w:t>例，有</w:t>
            </w:r>
            <w:r>
              <w:rPr>
                <w:rFonts w:hint="eastAsia" w:ascii="仿宋_GB2312" w:eastAsia="仿宋_GB2312" w:cs="仿宋"/>
                <w:color w:val="auto"/>
                <w:highlight w:val="none"/>
                <w:lang w:val="en-US" w:eastAsia="zh-CN"/>
              </w:rPr>
              <w:t>74</w:t>
            </w:r>
            <w:r>
              <w:rPr>
                <w:rFonts w:hint="eastAsia" w:ascii="仿宋_GB2312" w:eastAsia="仿宋_GB2312" w:cs="仿宋"/>
                <w:color w:val="auto"/>
                <w:highlight w:val="none"/>
                <w:lang w:eastAsia="zh-CN"/>
              </w:rPr>
              <w:t>效例，无效</w:t>
            </w:r>
            <w:r>
              <w:rPr>
                <w:rFonts w:hint="eastAsia" w:ascii="仿宋_GB2312" w:eastAsia="仿宋_GB2312" w:cs="仿宋"/>
                <w:color w:val="auto"/>
                <w:highlight w:val="none"/>
                <w:lang w:val="en-US" w:eastAsia="zh-CN"/>
              </w:rPr>
              <w:t>30</w:t>
            </w:r>
            <w:r>
              <w:rPr>
                <w:rFonts w:hint="eastAsia" w:ascii="仿宋_GB2312" w:eastAsia="仿宋_GB2312" w:cs="仿宋"/>
                <w:color w:val="auto"/>
                <w:highlight w:val="none"/>
                <w:lang w:eastAsia="zh-CN"/>
              </w:rPr>
              <w:t>例，总有效率</w:t>
            </w:r>
            <w:r>
              <w:rPr>
                <w:rFonts w:hint="eastAsia" w:ascii="仿宋_GB2312" w:eastAsia="仿宋_GB2312" w:cs="仿宋"/>
                <w:color w:val="auto"/>
                <w:highlight w:val="none"/>
                <w:lang w:val="en-US" w:eastAsia="zh-CN"/>
              </w:rPr>
              <w:t>86</w:t>
            </w:r>
            <w:r>
              <w:rPr>
                <w:rFonts w:hint="eastAsia" w:ascii="仿宋_GB2312" w:eastAsia="仿宋_GB2312" w:cs="仿宋"/>
                <w:color w:val="auto"/>
                <w:highlight w:val="none"/>
                <w:lang w:eastAsia="zh-CN"/>
              </w:rPr>
              <w:t>%</w:t>
            </w:r>
          </w:p>
        </w:tc>
      </w:tr>
      <w:tr w14:paraId="7D5EF8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845" w:type="dxa"/>
            <w:vMerge w:val="continue"/>
            <w:shd w:val="clear" w:color="auto" w:fill="auto"/>
            <w:vAlign w:val="top"/>
          </w:tcPr>
          <w:p w14:paraId="43FF2B09">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p>
        </w:tc>
        <w:tc>
          <w:tcPr>
            <w:tcW w:w="755" w:type="dxa"/>
            <w:shd w:val="clear" w:color="auto" w:fill="auto"/>
            <w:vAlign w:val="center"/>
          </w:tcPr>
          <w:p w14:paraId="572D0D95">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eastAsia="zh-CN"/>
              </w:rPr>
              <w:t>2025</w:t>
            </w:r>
          </w:p>
        </w:tc>
        <w:tc>
          <w:tcPr>
            <w:tcW w:w="1276" w:type="dxa"/>
            <w:shd w:val="clear" w:color="auto" w:fill="auto"/>
            <w:vAlign w:val="center"/>
          </w:tcPr>
          <w:p w14:paraId="16E62110">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val="en-US" w:eastAsia="zh-CN"/>
              </w:rPr>
              <w:t>19</w:t>
            </w:r>
          </w:p>
        </w:tc>
        <w:tc>
          <w:tcPr>
            <w:tcW w:w="5863" w:type="dxa"/>
            <w:shd w:val="clear" w:color="auto" w:fill="auto"/>
            <w:vAlign w:val="center"/>
          </w:tcPr>
          <w:p w14:paraId="77E3D073">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eastAsia="zh-CN"/>
              </w:rPr>
              <w:t>共治疗</w:t>
            </w:r>
            <w:r>
              <w:rPr>
                <w:rFonts w:hint="eastAsia" w:ascii="仿宋_GB2312" w:eastAsia="仿宋_GB2312" w:cs="仿宋"/>
                <w:color w:val="auto"/>
                <w:highlight w:val="none"/>
                <w:lang w:val="en-US" w:eastAsia="zh-CN"/>
              </w:rPr>
              <w:t>275</w:t>
            </w:r>
            <w:r>
              <w:rPr>
                <w:rFonts w:hint="eastAsia" w:ascii="仿宋_GB2312" w:eastAsia="仿宋_GB2312" w:cs="仿宋"/>
                <w:color w:val="auto"/>
                <w:highlight w:val="none"/>
                <w:lang w:eastAsia="zh-CN"/>
              </w:rPr>
              <w:t>例患者，其中痊愈</w:t>
            </w:r>
            <w:r>
              <w:rPr>
                <w:rFonts w:hint="eastAsia" w:ascii="仿宋_GB2312" w:eastAsia="仿宋_GB2312" w:cs="仿宋"/>
                <w:color w:val="auto"/>
                <w:highlight w:val="none"/>
                <w:lang w:val="en-US" w:eastAsia="zh-CN"/>
              </w:rPr>
              <w:t>36</w:t>
            </w:r>
            <w:r>
              <w:rPr>
                <w:rFonts w:hint="eastAsia" w:ascii="仿宋_GB2312" w:eastAsia="仿宋_GB2312" w:cs="仿宋"/>
                <w:color w:val="auto"/>
                <w:highlight w:val="none"/>
                <w:lang w:eastAsia="zh-CN"/>
              </w:rPr>
              <w:t>例，显效</w:t>
            </w:r>
            <w:r>
              <w:rPr>
                <w:rFonts w:hint="eastAsia" w:ascii="仿宋_GB2312" w:eastAsia="仿宋_GB2312" w:cs="仿宋"/>
                <w:color w:val="auto"/>
                <w:highlight w:val="none"/>
                <w:lang w:val="en-US" w:eastAsia="zh-CN"/>
              </w:rPr>
              <w:t>104</w:t>
            </w:r>
            <w:r>
              <w:rPr>
                <w:rFonts w:hint="eastAsia" w:ascii="仿宋_GB2312" w:eastAsia="仿宋_GB2312" w:cs="仿宋"/>
                <w:color w:val="auto"/>
                <w:highlight w:val="none"/>
                <w:lang w:eastAsia="zh-CN"/>
              </w:rPr>
              <w:t>例，有</w:t>
            </w:r>
            <w:r>
              <w:rPr>
                <w:rFonts w:hint="eastAsia" w:ascii="仿宋_GB2312" w:eastAsia="仿宋_GB2312" w:cs="仿宋"/>
                <w:color w:val="auto"/>
                <w:highlight w:val="none"/>
                <w:lang w:val="en-US" w:eastAsia="zh-CN"/>
              </w:rPr>
              <w:t>110</w:t>
            </w:r>
            <w:r>
              <w:rPr>
                <w:rFonts w:hint="eastAsia" w:ascii="仿宋_GB2312" w:eastAsia="仿宋_GB2312" w:cs="仿宋"/>
                <w:color w:val="auto"/>
                <w:highlight w:val="none"/>
                <w:lang w:eastAsia="zh-CN"/>
              </w:rPr>
              <w:t>效例，无效</w:t>
            </w:r>
            <w:r>
              <w:rPr>
                <w:rFonts w:hint="eastAsia" w:ascii="仿宋_GB2312" w:eastAsia="仿宋_GB2312" w:cs="仿宋"/>
                <w:color w:val="auto"/>
                <w:highlight w:val="none"/>
                <w:lang w:val="en-US" w:eastAsia="zh-CN"/>
              </w:rPr>
              <w:t>25</w:t>
            </w:r>
            <w:r>
              <w:rPr>
                <w:rFonts w:hint="eastAsia" w:ascii="仿宋_GB2312" w:eastAsia="仿宋_GB2312" w:cs="仿宋"/>
                <w:color w:val="auto"/>
                <w:highlight w:val="none"/>
                <w:lang w:eastAsia="zh-CN"/>
              </w:rPr>
              <w:t>例，总有效率</w:t>
            </w:r>
            <w:r>
              <w:rPr>
                <w:rFonts w:hint="eastAsia" w:ascii="仿宋_GB2312" w:eastAsia="仿宋_GB2312" w:cs="仿宋"/>
                <w:color w:val="auto"/>
                <w:highlight w:val="none"/>
                <w:lang w:val="en-US" w:eastAsia="zh-CN"/>
              </w:rPr>
              <w:t>90</w:t>
            </w:r>
            <w:r>
              <w:rPr>
                <w:rFonts w:hint="eastAsia" w:ascii="仿宋_GB2312" w:eastAsia="仿宋_GB2312" w:cs="仿宋"/>
                <w:color w:val="auto"/>
                <w:highlight w:val="none"/>
                <w:lang w:eastAsia="zh-CN"/>
              </w:rPr>
              <w:t>%</w:t>
            </w:r>
          </w:p>
        </w:tc>
      </w:tr>
      <w:tr w14:paraId="0F78BE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845" w:type="dxa"/>
            <w:vMerge w:val="restart"/>
            <w:shd w:val="clear" w:color="auto" w:fill="auto"/>
            <w:vAlign w:val="center"/>
          </w:tcPr>
          <w:p w14:paraId="0D6EB011">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default" w:ascii="仿宋_GB2312" w:eastAsia="仿宋_GB2312" w:cs="仿宋"/>
                <w:color w:val="auto"/>
                <w:highlight w:val="none"/>
                <w:lang w:val="en-US" w:eastAsia="zh-CN"/>
              </w:rPr>
            </w:pPr>
            <w:r>
              <w:rPr>
                <w:rFonts w:hint="eastAsia" w:ascii="仿宋_GB2312" w:eastAsia="仿宋_GB2312" w:cs="仿宋"/>
                <w:color w:val="auto"/>
                <w:highlight w:val="none"/>
                <w:lang w:val="en-US" w:eastAsia="zh-CN"/>
              </w:rPr>
              <w:t>F</w:t>
            </w:r>
          </w:p>
        </w:tc>
        <w:tc>
          <w:tcPr>
            <w:tcW w:w="755" w:type="dxa"/>
            <w:shd w:val="clear" w:color="auto" w:fill="auto"/>
            <w:vAlign w:val="center"/>
          </w:tcPr>
          <w:p w14:paraId="34DB5256">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eastAsia="zh-CN"/>
              </w:rPr>
              <w:t>2022</w:t>
            </w:r>
          </w:p>
        </w:tc>
        <w:tc>
          <w:tcPr>
            <w:tcW w:w="1276" w:type="dxa"/>
            <w:shd w:val="clear" w:color="auto" w:fill="auto"/>
            <w:vAlign w:val="center"/>
          </w:tcPr>
          <w:p w14:paraId="78222C01">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val="en-US" w:eastAsia="zh-CN"/>
              </w:rPr>
              <w:t>98</w:t>
            </w:r>
          </w:p>
        </w:tc>
        <w:tc>
          <w:tcPr>
            <w:tcW w:w="5863" w:type="dxa"/>
            <w:shd w:val="clear" w:color="auto" w:fill="auto"/>
            <w:vAlign w:val="center"/>
          </w:tcPr>
          <w:p w14:paraId="45211C98">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eastAsia="zh-CN"/>
              </w:rPr>
              <w:t>共治疗</w:t>
            </w:r>
            <w:r>
              <w:rPr>
                <w:rFonts w:hint="eastAsia" w:ascii="仿宋_GB2312" w:eastAsia="仿宋_GB2312" w:cs="仿宋"/>
                <w:color w:val="auto"/>
                <w:highlight w:val="none"/>
                <w:lang w:val="en-US" w:eastAsia="zh-CN"/>
              </w:rPr>
              <w:t>98</w:t>
            </w:r>
            <w:r>
              <w:rPr>
                <w:rFonts w:hint="eastAsia" w:ascii="仿宋_GB2312" w:eastAsia="仿宋_GB2312" w:cs="仿宋"/>
                <w:color w:val="auto"/>
                <w:highlight w:val="none"/>
                <w:lang w:eastAsia="zh-CN"/>
              </w:rPr>
              <w:t>例患者，其中痊愈</w:t>
            </w:r>
            <w:r>
              <w:rPr>
                <w:rFonts w:hint="eastAsia" w:ascii="仿宋_GB2312" w:eastAsia="仿宋_GB2312" w:cs="仿宋"/>
                <w:color w:val="auto"/>
                <w:highlight w:val="none"/>
                <w:lang w:val="en-US" w:eastAsia="zh-CN"/>
              </w:rPr>
              <w:t>6</w:t>
            </w:r>
            <w:r>
              <w:rPr>
                <w:rFonts w:hint="eastAsia" w:ascii="仿宋_GB2312" w:eastAsia="仿宋_GB2312" w:cs="仿宋"/>
                <w:color w:val="auto"/>
                <w:highlight w:val="none"/>
                <w:lang w:eastAsia="zh-CN"/>
              </w:rPr>
              <w:t>例，显效</w:t>
            </w:r>
            <w:r>
              <w:rPr>
                <w:rFonts w:hint="eastAsia" w:ascii="仿宋_GB2312" w:eastAsia="仿宋_GB2312" w:cs="仿宋"/>
                <w:color w:val="auto"/>
                <w:highlight w:val="none"/>
                <w:lang w:val="en-US" w:eastAsia="zh-CN"/>
              </w:rPr>
              <w:t>92</w:t>
            </w:r>
            <w:r>
              <w:rPr>
                <w:rFonts w:hint="eastAsia" w:ascii="仿宋_GB2312" w:eastAsia="仿宋_GB2312" w:cs="仿宋"/>
                <w:color w:val="auto"/>
                <w:highlight w:val="none"/>
                <w:lang w:eastAsia="zh-CN"/>
              </w:rPr>
              <w:t>例，有效</w:t>
            </w:r>
            <w:r>
              <w:rPr>
                <w:rFonts w:hint="eastAsia" w:ascii="仿宋_GB2312" w:eastAsia="仿宋_GB2312" w:cs="仿宋"/>
                <w:color w:val="auto"/>
                <w:highlight w:val="none"/>
                <w:lang w:val="en-US" w:eastAsia="zh-CN"/>
              </w:rPr>
              <w:t>0</w:t>
            </w:r>
            <w:r>
              <w:rPr>
                <w:rFonts w:hint="eastAsia" w:ascii="仿宋_GB2312" w:eastAsia="仿宋_GB2312" w:cs="仿宋"/>
                <w:color w:val="auto"/>
                <w:highlight w:val="none"/>
                <w:lang w:eastAsia="zh-CN"/>
              </w:rPr>
              <w:t>例，无效</w:t>
            </w:r>
            <w:r>
              <w:rPr>
                <w:rFonts w:hint="eastAsia" w:ascii="仿宋_GB2312" w:eastAsia="仿宋_GB2312" w:cs="仿宋"/>
                <w:color w:val="auto"/>
                <w:highlight w:val="none"/>
                <w:lang w:val="en-US" w:eastAsia="zh-CN"/>
              </w:rPr>
              <w:t>0</w:t>
            </w:r>
            <w:r>
              <w:rPr>
                <w:rFonts w:hint="eastAsia" w:ascii="仿宋_GB2312" w:eastAsia="仿宋_GB2312" w:cs="仿宋"/>
                <w:color w:val="auto"/>
                <w:highlight w:val="none"/>
                <w:lang w:eastAsia="zh-CN"/>
              </w:rPr>
              <w:t>例，总有效率</w:t>
            </w:r>
            <w:r>
              <w:rPr>
                <w:rFonts w:hint="eastAsia" w:ascii="仿宋_GB2312" w:eastAsia="仿宋_GB2312" w:cs="仿宋"/>
                <w:color w:val="auto"/>
                <w:highlight w:val="none"/>
                <w:lang w:val="en-US" w:eastAsia="zh-CN"/>
              </w:rPr>
              <w:t>100</w:t>
            </w:r>
            <w:r>
              <w:rPr>
                <w:rFonts w:hint="eastAsia" w:ascii="仿宋_GB2312" w:eastAsia="仿宋_GB2312" w:cs="仿宋"/>
                <w:color w:val="auto"/>
                <w:highlight w:val="none"/>
                <w:lang w:eastAsia="zh-CN"/>
              </w:rPr>
              <w:t>%</w:t>
            </w:r>
          </w:p>
        </w:tc>
      </w:tr>
      <w:tr w14:paraId="5DF14D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845" w:type="dxa"/>
            <w:vMerge w:val="continue"/>
            <w:shd w:val="clear" w:color="auto" w:fill="auto"/>
            <w:vAlign w:val="top"/>
          </w:tcPr>
          <w:p w14:paraId="6E7C28B0">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p>
        </w:tc>
        <w:tc>
          <w:tcPr>
            <w:tcW w:w="755" w:type="dxa"/>
            <w:shd w:val="clear" w:color="auto" w:fill="auto"/>
            <w:vAlign w:val="center"/>
          </w:tcPr>
          <w:p w14:paraId="28D18D52">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eastAsia="zh-CN"/>
              </w:rPr>
              <w:t>2023</w:t>
            </w:r>
          </w:p>
        </w:tc>
        <w:tc>
          <w:tcPr>
            <w:tcW w:w="1276" w:type="dxa"/>
            <w:shd w:val="clear" w:color="auto" w:fill="auto"/>
            <w:vAlign w:val="center"/>
          </w:tcPr>
          <w:p w14:paraId="6EFFD591">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val="en-US" w:eastAsia="zh-CN"/>
              </w:rPr>
              <w:t>291</w:t>
            </w:r>
          </w:p>
        </w:tc>
        <w:tc>
          <w:tcPr>
            <w:tcW w:w="5863" w:type="dxa"/>
            <w:shd w:val="clear" w:color="auto" w:fill="auto"/>
            <w:vAlign w:val="center"/>
          </w:tcPr>
          <w:p w14:paraId="5C8D91CA">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eastAsia="zh-CN"/>
              </w:rPr>
              <w:t>共治疗</w:t>
            </w:r>
            <w:r>
              <w:rPr>
                <w:rFonts w:hint="eastAsia" w:ascii="仿宋_GB2312" w:eastAsia="仿宋_GB2312" w:cs="仿宋"/>
                <w:color w:val="auto"/>
                <w:highlight w:val="none"/>
                <w:lang w:val="en-US" w:eastAsia="zh-CN"/>
              </w:rPr>
              <w:t>291</w:t>
            </w:r>
            <w:r>
              <w:rPr>
                <w:rFonts w:hint="eastAsia" w:ascii="仿宋_GB2312" w:eastAsia="仿宋_GB2312" w:cs="仿宋"/>
                <w:color w:val="auto"/>
                <w:highlight w:val="none"/>
                <w:lang w:eastAsia="zh-CN"/>
              </w:rPr>
              <w:t>例患者，其中痊愈</w:t>
            </w:r>
            <w:r>
              <w:rPr>
                <w:rFonts w:hint="eastAsia" w:ascii="仿宋_GB2312" w:eastAsia="仿宋_GB2312" w:cs="仿宋"/>
                <w:color w:val="auto"/>
                <w:highlight w:val="none"/>
                <w:lang w:val="en-US" w:eastAsia="zh-CN"/>
              </w:rPr>
              <w:t>8</w:t>
            </w:r>
            <w:r>
              <w:rPr>
                <w:rFonts w:hint="eastAsia" w:ascii="仿宋_GB2312" w:eastAsia="仿宋_GB2312" w:cs="仿宋"/>
                <w:color w:val="auto"/>
                <w:highlight w:val="none"/>
                <w:lang w:eastAsia="zh-CN"/>
              </w:rPr>
              <w:t>例，显效</w:t>
            </w:r>
            <w:r>
              <w:rPr>
                <w:rFonts w:hint="eastAsia" w:ascii="仿宋_GB2312" w:eastAsia="仿宋_GB2312" w:cs="仿宋"/>
                <w:color w:val="auto"/>
                <w:highlight w:val="none"/>
                <w:lang w:val="en-US" w:eastAsia="zh-CN"/>
              </w:rPr>
              <w:t>283</w:t>
            </w:r>
            <w:r>
              <w:rPr>
                <w:rFonts w:hint="eastAsia" w:ascii="仿宋_GB2312" w:eastAsia="仿宋_GB2312" w:cs="仿宋"/>
                <w:color w:val="auto"/>
                <w:highlight w:val="none"/>
                <w:lang w:eastAsia="zh-CN"/>
              </w:rPr>
              <w:t>例，有效</w:t>
            </w:r>
            <w:r>
              <w:rPr>
                <w:rFonts w:hint="eastAsia" w:ascii="仿宋_GB2312" w:eastAsia="仿宋_GB2312" w:cs="仿宋"/>
                <w:color w:val="auto"/>
                <w:highlight w:val="none"/>
                <w:lang w:val="en-US" w:eastAsia="zh-CN"/>
              </w:rPr>
              <w:t>10</w:t>
            </w:r>
            <w:r>
              <w:rPr>
                <w:rFonts w:hint="eastAsia" w:ascii="仿宋_GB2312" w:eastAsia="仿宋_GB2312" w:cs="仿宋"/>
                <w:color w:val="auto"/>
                <w:highlight w:val="none"/>
                <w:lang w:eastAsia="zh-CN"/>
              </w:rPr>
              <w:t>例，无效</w:t>
            </w:r>
            <w:r>
              <w:rPr>
                <w:rFonts w:hint="eastAsia" w:ascii="仿宋_GB2312" w:eastAsia="仿宋_GB2312" w:cs="仿宋"/>
                <w:color w:val="auto"/>
                <w:highlight w:val="none"/>
                <w:lang w:val="en-US" w:eastAsia="zh-CN"/>
              </w:rPr>
              <w:t>0</w:t>
            </w:r>
            <w:r>
              <w:rPr>
                <w:rFonts w:hint="eastAsia" w:ascii="仿宋_GB2312" w:eastAsia="仿宋_GB2312" w:cs="仿宋"/>
                <w:color w:val="auto"/>
                <w:highlight w:val="none"/>
                <w:lang w:eastAsia="zh-CN"/>
              </w:rPr>
              <w:t>例，总有效率</w:t>
            </w:r>
            <w:r>
              <w:rPr>
                <w:rFonts w:hint="eastAsia" w:ascii="仿宋_GB2312" w:eastAsia="仿宋_GB2312" w:cs="仿宋"/>
                <w:color w:val="auto"/>
                <w:highlight w:val="none"/>
                <w:lang w:val="en-US" w:eastAsia="zh-CN"/>
              </w:rPr>
              <w:t>100</w:t>
            </w:r>
            <w:r>
              <w:rPr>
                <w:rFonts w:hint="eastAsia" w:ascii="仿宋_GB2312" w:eastAsia="仿宋_GB2312" w:cs="仿宋"/>
                <w:color w:val="auto"/>
                <w:highlight w:val="none"/>
                <w:lang w:eastAsia="zh-CN"/>
              </w:rPr>
              <w:t>%</w:t>
            </w:r>
          </w:p>
        </w:tc>
      </w:tr>
      <w:tr w14:paraId="5426E7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845" w:type="dxa"/>
            <w:vMerge w:val="continue"/>
            <w:shd w:val="clear" w:color="auto" w:fill="auto"/>
            <w:vAlign w:val="top"/>
          </w:tcPr>
          <w:p w14:paraId="317A63FE">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p>
        </w:tc>
        <w:tc>
          <w:tcPr>
            <w:tcW w:w="755" w:type="dxa"/>
            <w:shd w:val="clear" w:color="auto" w:fill="auto"/>
            <w:vAlign w:val="center"/>
          </w:tcPr>
          <w:p w14:paraId="78235EAF">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eastAsia="zh-CN"/>
              </w:rPr>
              <w:t>2024</w:t>
            </w:r>
          </w:p>
        </w:tc>
        <w:tc>
          <w:tcPr>
            <w:tcW w:w="1276" w:type="dxa"/>
            <w:shd w:val="clear" w:color="auto" w:fill="auto"/>
            <w:vAlign w:val="center"/>
          </w:tcPr>
          <w:p w14:paraId="5028475C">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val="en-US" w:eastAsia="zh-CN"/>
              </w:rPr>
              <w:t>308</w:t>
            </w:r>
          </w:p>
        </w:tc>
        <w:tc>
          <w:tcPr>
            <w:tcW w:w="5863" w:type="dxa"/>
            <w:shd w:val="clear" w:color="auto" w:fill="auto"/>
            <w:vAlign w:val="center"/>
          </w:tcPr>
          <w:p w14:paraId="0C66FB01">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eastAsia="zh-CN"/>
              </w:rPr>
              <w:t>共治疗</w:t>
            </w:r>
            <w:r>
              <w:rPr>
                <w:rFonts w:hint="eastAsia" w:ascii="仿宋_GB2312" w:eastAsia="仿宋_GB2312" w:cs="仿宋"/>
                <w:color w:val="auto"/>
                <w:highlight w:val="none"/>
                <w:lang w:val="en-US" w:eastAsia="zh-CN"/>
              </w:rPr>
              <w:t>308</w:t>
            </w:r>
            <w:r>
              <w:rPr>
                <w:rFonts w:hint="eastAsia" w:ascii="仿宋_GB2312" w:eastAsia="仿宋_GB2312" w:cs="仿宋"/>
                <w:color w:val="auto"/>
                <w:highlight w:val="none"/>
                <w:lang w:eastAsia="zh-CN"/>
              </w:rPr>
              <w:t>例患者，其中痊愈</w:t>
            </w:r>
            <w:r>
              <w:rPr>
                <w:rFonts w:hint="eastAsia" w:ascii="仿宋_GB2312" w:eastAsia="仿宋_GB2312" w:cs="仿宋"/>
                <w:color w:val="auto"/>
                <w:highlight w:val="none"/>
                <w:lang w:val="en-US" w:eastAsia="zh-CN"/>
              </w:rPr>
              <w:t>8</w:t>
            </w:r>
            <w:r>
              <w:rPr>
                <w:rFonts w:hint="eastAsia" w:ascii="仿宋_GB2312" w:eastAsia="仿宋_GB2312" w:cs="仿宋"/>
                <w:color w:val="auto"/>
                <w:highlight w:val="none"/>
                <w:lang w:eastAsia="zh-CN"/>
              </w:rPr>
              <w:t>例，显效</w:t>
            </w:r>
            <w:r>
              <w:rPr>
                <w:rFonts w:hint="eastAsia" w:ascii="仿宋_GB2312" w:eastAsia="仿宋_GB2312" w:cs="仿宋"/>
                <w:color w:val="auto"/>
                <w:highlight w:val="none"/>
                <w:lang w:val="en-US" w:eastAsia="zh-CN"/>
              </w:rPr>
              <w:t>290</w:t>
            </w:r>
            <w:r>
              <w:rPr>
                <w:rFonts w:hint="eastAsia" w:ascii="仿宋_GB2312" w:eastAsia="仿宋_GB2312" w:cs="仿宋"/>
                <w:color w:val="auto"/>
                <w:highlight w:val="none"/>
                <w:lang w:eastAsia="zh-CN"/>
              </w:rPr>
              <w:t>例，有效</w:t>
            </w:r>
            <w:r>
              <w:rPr>
                <w:rFonts w:hint="eastAsia" w:ascii="仿宋_GB2312" w:eastAsia="仿宋_GB2312" w:cs="仿宋"/>
                <w:color w:val="auto"/>
                <w:highlight w:val="none"/>
                <w:lang w:val="en-US" w:eastAsia="zh-CN"/>
              </w:rPr>
              <w:t>10</w:t>
            </w:r>
            <w:r>
              <w:rPr>
                <w:rFonts w:hint="eastAsia" w:ascii="仿宋_GB2312" w:eastAsia="仿宋_GB2312" w:cs="仿宋"/>
                <w:color w:val="auto"/>
                <w:highlight w:val="none"/>
                <w:lang w:eastAsia="zh-CN"/>
              </w:rPr>
              <w:t>例，无效</w:t>
            </w:r>
            <w:r>
              <w:rPr>
                <w:rFonts w:hint="eastAsia" w:ascii="仿宋_GB2312" w:eastAsia="仿宋_GB2312" w:cs="仿宋"/>
                <w:color w:val="auto"/>
                <w:highlight w:val="none"/>
                <w:lang w:val="en-US" w:eastAsia="zh-CN"/>
              </w:rPr>
              <w:t>0</w:t>
            </w:r>
            <w:r>
              <w:rPr>
                <w:rFonts w:hint="eastAsia" w:ascii="仿宋_GB2312" w:eastAsia="仿宋_GB2312" w:cs="仿宋"/>
                <w:color w:val="auto"/>
                <w:highlight w:val="none"/>
                <w:lang w:eastAsia="zh-CN"/>
              </w:rPr>
              <w:t>例，总有效率</w:t>
            </w:r>
            <w:r>
              <w:rPr>
                <w:rFonts w:hint="eastAsia" w:ascii="仿宋_GB2312" w:eastAsia="仿宋_GB2312" w:cs="仿宋"/>
                <w:color w:val="auto"/>
                <w:highlight w:val="none"/>
                <w:lang w:val="en-US" w:eastAsia="zh-CN"/>
              </w:rPr>
              <w:t>100</w:t>
            </w:r>
            <w:r>
              <w:rPr>
                <w:rFonts w:hint="eastAsia" w:ascii="仿宋_GB2312" w:eastAsia="仿宋_GB2312" w:cs="仿宋"/>
                <w:color w:val="auto"/>
                <w:highlight w:val="none"/>
                <w:lang w:eastAsia="zh-CN"/>
              </w:rPr>
              <w:t>%</w:t>
            </w:r>
          </w:p>
        </w:tc>
      </w:tr>
      <w:tr w14:paraId="3A0DD3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845" w:type="dxa"/>
            <w:vMerge w:val="continue"/>
            <w:shd w:val="clear" w:color="auto" w:fill="auto"/>
            <w:vAlign w:val="center"/>
          </w:tcPr>
          <w:p w14:paraId="4CF15509">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p>
        </w:tc>
        <w:tc>
          <w:tcPr>
            <w:tcW w:w="755" w:type="dxa"/>
            <w:shd w:val="clear" w:color="auto" w:fill="auto"/>
            <w:vAlign w:val="center"/>
          </w:tcPr>
          <w:p w14:paraId="660DEA92">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eastAsia="zh-CN"/>
              </w:rPr>
              <w:t>2025</w:t>
            </w:r>
          </w:p>
        </w:tc>
        <w:tc>
          <w:tcPr>
            <w:tcW w:w="1276" w:type="dxa"/>
            <w:shd w:val="clear" w:color="auto" w:fill="auto"/>
            <w:vAlign w:val="center"/>
          </w:tcPr>
          <w:p w14:paraId="42116A6C">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val="en-US" w:eastAsia="zh-CN"/>
              </w:rPr>
              <w:t>710</w:t>
            </w:r>
          </w:p>
        </w:tc>
        <w:tc>
          <w:tcPr>
            <w:tcW w:w="5863" w:type="dxa"/>
            <w:shd w:val="clear" w:color="auto" w:fill="auto"/>
            <w:vAlign w:val="center"/>
          </w:tcPr>
          <w:p w14:paraId="28A23749">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eastAsia="zh-CN"/>
              </w:rPr>
              <w:t>共治疗</w:t>
            </w:r>
            <w:r>
              <w:rPr>
                <w:rFonts w:hint="eastAsia" w:ascii="仿宋_GB2312" w:eastAsia="仿宋_GB2312" w:cs="仿宋"/>
                <w:color w:val="auto"/>
                <w:highlight w:val="none"/>
                <w:lang w:val="en-US" w:eastAsia="zh-CN"/>
              </w:rPr>
              <w:t>710</w:t>
            </w:r>
            <w:r>
              <w:rPr>
                <w:rFonts w:hint="eastAsia" w:ascii="仿宋_GB2312" w:eastAsia="仿宋_GB2312" w:cs="仿宋"/>
                <w:color w:val="auto"/>
                <w:highlight w:val="none"/>
                <w:lang w:eastAsia="zh-CN"/>
              </w:rPr>
              <w:t>例患者，其中痊愈</w:t>
            </w:r>
            <w:r>
              <w:rPr>
                <w:rFonts w:hint="eastAsia" w:ascii="仿宋_GB2312" w:eastAsia="仿宋_GB2312" w:cs="仿宋"/>
                <w:color w:val="auto"/>
                <w:highlight w:val="none"/>
                <w:lang w:val="en-US" w:eastAsia="zh-CN"/>
              </w:rPr>
              <w:t>20</w:t>
            </w:r>
            <w:r>
              <w:rPr>
                <w:rFonts w:hint="eastAsia" w:ascii="仿宋_GB2312" w:eastAsia="仿宋_GB2312" w:cs="仿宋"/>
                <w:color w:val="auto"/>
                <w:highlight w:val="none"/>
                <w:lang w:eastAsia="zh-CN"/>
              </w:rPr>
              <w:t>例，显效</w:t>
            </w:r>
            <w:r>
              <w:rPr>
                <w:rFonts w:hint="eastAsia" w:ascii="仿宋_GB2312" w:eastAsia="仿宋_GB2312" w:cs="仿宋"/>
                <w:color w:val="auto"/>
                <w:highlight w:val="none"/>
                <w:lang w:val="en-US" w:eastAsia="zh-CN"/>
              </w:rPr>
              <w:t>650</w:t>
            </w:r>
            <w:r>
              <w:rPr>
                <w:rFonts w:hint="eastAsia" w:ascii="仿宋_GB2312" w:eastAsia="仿宋_GB2312" w:cs="仿宋"/>
                <w:color w:val="auto"/>
                <w:highlight w:val="none"/>
                <w:lang w:eastAsia="zh-CN"/>
              </w:rPr>
              <w:t>例，有效</w:t>
            </w:r>
            <w:r>
              <w:rPr>
                <w:rFonts w:hint="eastAsia" w:ascii="仿宋_GB2312" w:eastAsia="仿宋_GB2312" w:cs="仿宋"/>
                <w:color w:val="auto"/>
                <w:highlight w:val="none"/>
                <w:lang w:val="en-US" w:eastAsia="zh-CN"/>
              </w:rPr>
              <w:t>40</w:t>
            </w:r>
            <w:r>
              <w:rPr>
                <w:rFonts w:hint="eastAsia" w:ascii="仿宋_GB2312" w:eastAsia="仿宋_GB2312" w:cs="仿宋"/>
                <w:color w:val="auto"/>
                <w:highlight w:val="none"/>
                <w:lang w:eastAsia="zh-CN"/>
              </w:rPr>
              <w:t>例，无效</w:t>
            </w:r>
            <w:r>
              <w:rPr>
                <w:rFonts w:hint="eastAsia" w:ascii="仿宋_GB2312" w:eastAsia="仿宋_GB2312" w:cs="仿宋"/>
                <w:color w:val="auto"/>
                <w:highlight w:val="none"/>
                <w:lang w:val="en-US" w:eastAsia="zh-CN"/>
              </w:rPr>
              <w:t>0</w:t>
            </w:r>
            <w:r>
              <w:rPr>
                <w:rFonts w:hint="eastAsia" w:ascii="仿宋_GB2312" w:eastAsia="仿宋_GB2312" w:cs="仿宋"/>
                <w:color w:val="auto"/>
                <w:highlight w:val="none"/>
                <w:lang w:eastAsia="zh-CN"/>
              </w:rPr>
              <w:t>例，总有效率</w:t>
            </w:r>
            <w:r>
              <w:rPr>
                <w:rFonts w:hint="eastAsia" w:ascii="仿宋_GB2312" w:eastAsia="仿宋_GB2312" w:cs="仿宋"/>
                <w:color w:val="auto"/>
                <w:highlight w:val="none"/>
                <w:lang w:val="en-US" w:eastAsia="zh-CN"/>
              </w:rPr>
              <w:t>100</w:t>
            </w:r>
            <w:r>
              <w:rPr>
                <w:rFonts w:hint="eastAsia" w:ascii="仿宋_GB2312" w:eastAsia="仿宋_GB2312" w:cs="仿宋"/>
                <w:color w:val="auto"/>
                <w:highlight w:val="none"/>
                <w:lang w:eastAsia="zh-CN"/>
              </w:rPr>
              <w:t>%</w:t>
            </w:r>
          </w:p>
        </w:tc>
      </w:tr>
      <w:tr w14:paraId="6B47B3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845" w:type="dxa"/>
            <w:vMerge w:val="restart"/>
            <w:shd w:val="clear" w:color="auto" w:fill="auto"/>
            <w:vAlign w:val="center"/>
          </w:tcPr>
          <w:p w14:paraId="77F98604">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default" w:ascii="仿宋_GB2312" w:eastAsia="仿宋_GB2312" w:cs="仿宋"/>
                <w:color w:val="auto"/>
                <w:highlight w:val="none"/>
                <w:lang w:val="en-US" w:eastAsia="zh-CN"/>
              </w:rPr>
            </w:pPr>
            <w:r>
              <w:rPr>
                <w:rFonts w:hint="eastAsia" w:ascii="仿宋_GB2312" w:eastAsia="仿宋_GB2312" w:cs="仿宋"/>
                <w:color w:val="auto"/>
                <w:highlight w:val="none"/>
                <w:lang w:val="en-US" w:eastAsia="zh-CN"/>
              </w:rPr>
              <w:t>G</w:t>
            </w:r>
          </w:p>
        </w:tc>
        <w:tc>
          <w:tcPr>
            <w:tcW w:w="755" w:type="dxa"/>
            <w:shd w:val="clear" w:color="auto" w:fill="auto"/>
            <w:vAlign w:val="center"/>
          </w:tcPr>
          <w:p w14:paraId="331E24FF">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eastAsia="zh-CN"/>
              </w:rPr>
              <w:t>2023</w:t>
            </w:r>
          </w:p>
        </w:tc>
        <w:tc>
          <w:tcPr>
            <w:tcW w:w="1276" w:type="dxa"/>
            <w:shd w:val="clear" w:color="auto" w:fill="auto"/>
            <w:vAlign w:val="center"/>
          </w:tcPr>
          <w:p w14:paraId="42A61154">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eastAsia="zh-CN"/>
              </w:rPr>
              <w:t>82</w:t>
            </w:r>
          </w:p>
        </w:tc>
        <w:tc>
          <w:tcPr>
            <w:tcW w:w="5863" w:type="dxa"/>
            <w:shd w:val="clear" w:color="auto" w:fill="auto"/>
            <w:vAlign w:val="center"/>
          </w:tcPr>
          <w:p w14:paraId="3DD406FC">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eastAsia="zh-CN"/>
              </w:rPr>
              <w:t>共治疗82例患者，其中痊愈0例，显效10例，有效72效例，无效0例，总有效率100%</w:t>
            </w:r>
          </w:p>
        </w:tc>
      </w:tr>
      <w:tr w14:paraId="526F11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845" w:type="dxa"/>
            <w:vMerge w:val="continue"/>
            <w:shd w:val="clear" w:color="auto" w:fill="auto"/>
            <w:vAlign w:val="top"/>
          </w:tcPr>
          <w:p w14:paraId="33C8304D">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p>
        </w:tc>
        <w:tc>
          <w:tcPr>
            <w:tcW w:w="755" w:type="dxa"/>
            <w:shd w:val="clear" w:color="auto" w:fill="auto"/>
            <w:vAlign w:val="center"/>
          </w:tcPr>
          <w:p w14:paraId="144077C3">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eastAsia="zh-CN"/>
              </w:rPr>
              <w:t>2024</w:t>
            </w:r>
          </w:p>
        </w:tc>
        <w:tc>
          <w:tcPr>
            <w:tcW w:w="1276" w:type="dxa"/>
            <w:shd w:val="clear" w:color="auto" w:fill="auto"/>
            <w:vAlign w:val="center"/>
          </w:tcPr>
          <w:p w14:paraId="637BD83C">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eastAsia="zh-CN"/>
              </w:rPr>
              <w:t>206</w:t>
            </w:r>
          </w:p>
        </w:tc>
        <w:tc>
          <w:tcPr>
            <w:tcW w:w="5863" w:type="dxa"/>
            <w:shd w:val="clear" w:color="auto" w:fill="auto"/>
            <w:vAlign w:val="center"/>
          </w:tcPr>
          <w:p w14:paraId="2A68F8D9">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eastAsia="zh-CN"/>
              </w:rPr>
              <w:t>共治疗206例患者，其中痊愈1例，显效82例，有123效例，无效0例，总有效率100%</w:t>
            </w:r>
          </w:p>
        </w:tc>
      </w:tr>
      <w:tr w14:paraId="4662B0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845" w:type="dxa"/>
            <w:vMerge w:val="continue"/>
            <w:shd w:val="clear" w:color="auto" w:fill="auto"/>
            <w:vAlign w:val="top"/>
          </w:tcPr>
          <w:p w14:paraId="7BE85269">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p>
        </w:tc>
        <w:tc>
          <w:tcPr>
            <w:tcW w:w="755" w:type="dxa"/>
            <w:shd w:val="clear" w:color="auto" w:fill="auto"/>
            <w:vAlign w:val="center"/>
          </w:tcPr>
          <w:p w14:paraId="6C022D94">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eastAsia="zh-CN"/>
              </w:rPr>
              <w:t>2025</w:t>
            </w:r>
          </w:p>
        </w:tc>
        <w:tc>
          <w:tcPr>
            <w:tcW w:w="1276" w:type="dxa"/>
            <w:shd w:val="clear" w:color="auto" w:fill="auto"/>
            <w:vAlign w:val="center"/>
          </w:tcPr>
          <w:p w14:paraId="14ED2E65">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eastAsia="zh-CN"/>
              </w:rPr>
              <w:t>342</w:t>
            </w:r>
          </w:p>
        </w:tc>
        <w:tc>
          <w:tcPr>
            <w:tcW w:w="5863" w:type="dxa"/>
            <w:shd w:val="clear" w:color="auto" w:fill="auto"/>
            <w:vAlign w:val="center"/>
          </w:tcPr>
          <w:p w14:paraId="1CC62242">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eastAsia="zh-CN"/>
              </w:rPr>
              <w:t>共治疗342例患者，其中痊愈10例，显效201例，有131效例，无效0例，总有效率100%</w:t>
            </w:r>
          </w:p>
        </w:tc>
      </w:tr>
      <w:tr w14:paraId="26F337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845" w:type="dxa"/>
            <w:vMerge w:val="restart"/>
            <w:shd w:val="clear" w:color="auto" w:fill="auto"/>
            <w:vAlign w:val="center"/>
          </w:tcPr>
          <w:p w14:paraId="4644E2DA">
            <w:pPr>
              <w:pStyle w:val="33"/>
              <w:keepNext w:val="0"/>
              <w:keepLines w:val="0"/>
              <w:widowControl w:val="0"/>
              <w:suppressLineNumbers w:val="0"/>
              <w:spacing w:before="0" w:beforeLines="0" w:beforeAutospacing="0" w:after="0" w:afterLines="0" w:afterAutospacing="0" w:line="400" w:lineRule="exact"/>
              <w:ind w:left="0" w:right="0" w:firstLine="0" w:firstLineChars="0"/>
              <w:jc w:val="center"/>
              <w:rPr>
                <w:rFonts w:hint="default" w:ascii="仿宋_GB2312" w:eastAsia="仿宋_GB2312" w:cs="仿宋"/>
                <w:color w:val="auto"/>
                <w:highlight w:val="none"/>
                <w:lang w:val="en-US" w:eastAsia="zh-CN"/>
              </w:rPr>
            </w:pPr>
            <w:r>
              <w:rPr>
                <w:rFonts w:hint="eastAsia" w:ascii="仿宋_GB2312" w:eastAsia="仿宋_GB2312" w:cs="仿宋"/>
                <w:color w:val="auto"/>
                <w:highlight w:val="none"/>
                <w:lang w:val="en-US" w:eastAsia="zh-CN"/>
              </w:rPr>
              <w:t>F</w:t>
            </w:r>
          </w:p>
        </w:tc>
        <w:tc>
          <w:tcPr>
            <w:tcW w:w="755" w:type="dxa"/>
            <w:shd w:val="clear" w:color="auto" w:fill="auto"/>
            <w:vAlign w:val="center"/>
          </w:tcPr>
          <w:p w14:paraId="30027A3A">
            <w:pPr>
              <w:pStyle w:val="33"/>
              <w:keepNext w:val="0"/>
              <w:keepLines w:val="0"/>
              <w:widowControl w:val="0"/>
              <w:suppressLineNumbers w:val="0"/>
              <w:spacing w:before="0" w:beforeLines="0" w:beforeAutospacing="0" w:after="0" w:afterLines="0" w:afterAutospacing="0" w:line="400" w:lineRule="exact"/>
              <w:ind w:left="0" w:leftChars="0" w:right="0" w:rightChars="0" w:firstLine="0" w:firstLineChars="0"/>
              <w:rPr>
                <w:rFonts w:hint="eastAsia" w:ascii="仿宋_GB2312" w:hAnsi="黑体" w:eastAsia="仿宋_GB2312" w:cs="仿宋"/>
                <w:bCs/>
                <w:color w:val="auto"/>
                <w:sz w:val="24"/>
                <w:szCs w:val="24"/>
                <w:highlight w:val="none"/>
                <w:lang w:val="en-US" w:eastAsia="zh-CN" w:bidi="ar-SA"/>
              </w:rPr>
            </w:pPr>
            <w:r>
              <w:rPr>
                <w:rFonts w:hint="eastAsia" w:ascii="仿宋_GB2312" w:eastAsia="仿宋_GB2312" w:cs="仿宋"/>
                <w:color w:val="auto"/>
                <w:highlight w:val="none"/>
                <w:lang w:eastAsia="zh-CN"/>
              </w:rPr>
              <w:t>2022</w:t>
            </w:r>
          </w:p>
        </w:tc>
        <w:tc>
          <w:tcPr>
            <w:tcW w:w="1276" w:type="dxa"/>
            <w:shd w:val="clear" w:color="auto" w:fill="auto"/>
            <w:vAlign w:val="center"/>
          </w:tcPr>
          <w:p w14:paraId="4DD00AE0">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eastAsia="zh-CN"/>
              </w:rPr>
            </w:pPr>
            <w:r>
              <w:rPr>
                <w:rFonts w:hint="eastAsia" w:ascii="仿宋_GB2312" w:eastAsia="仿宋_GB2312" w:cs="仿宋"/>
                <w:color w:val="auto"/>
                <w:highlight w:val="none"/>
                <w:lang w:val="en-US" w:eastAsia="zh-CN"/>
              </w:rPr>
              <w:t>10例</w:t>
            </w:r>
          </w:p>
        </w:tc>
        <w:tc>
          <w:tcPr>
            <w:tcW w:w="5863" w:type="dxa"/>
            <w:shd w:val="clear" w:color="auto" w:fill="auto"/>
            <w:vAlign w:val="center"/>
          </w:tcPr>
          <w:p w14:paraId="6A1B5BC4">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eastAsia="zh-CN"/>
              </w:rPr>
            </w:pPr>
            <w:r>
              <w:rPr>
                <w:rFonts w:hint="eastAsia" w:ascii="仿宋_GB2312" w:eastAsia="仿宋_GB2312" w:cs="仿宋"/>
                <w:color w:val="auto"/>
                <w:highlight w:val="none"/>
                <w:lang w:val="en-US" w:eastAsia="zh-CN"/>
              </w:rPr>
              <w:t>治疗共10例患者，其中痊愈4例，显效3例，有效2例，无效1例，总有效率90%</w:t>
            </w:r>
          </w:p>
        </w:tc>
      </w:tr>
      <w:tr w14:paraId="1053E2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845" w:type="dxa"/>
            <w:vMerge w:val="continue"/>
            <w:tcBorders/>
            <w:shd w:val="clear" w:color="auto" w:fill="auto"/>
            <w:vAlign w:val="top"/>
          </w:tcPr>
          <w:p w14:paraId="4FBD348A">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p>
        </w:tc>
        <w:tc>
          <w:tcPr>
            <w:tcW w:w="755" w:type="dxa"/>
            <w:shd w:val="clear" w:color="auto" w:fill="auto"/>
            <w:vAlign w:val="center"/>
          </w:tcPr>
          <w:p w14:paraId="45D0ED90">
            <w:pPr>
              <w:pStyle w:val="33"/>
              <w:keepNext w:val="0"/>
              <w:keepLines w:val="0"/>
              <w:widowControl w:val="0"/>
              <w:suppressLineNumbers w:val="0"/>
              <w:spacing w:before="0" w:beforeLines="0" w:beforeAutospacing="0" w:after="0" w:afterLines="0" w:afterAutospacing="0" w:line="400" w:lineRule="exact"/>
              <w:ind w:left="0" w:leftChars="0" w:right="0" w:rightChars="0" w:firstLine="0" w:firstLineChars="0"/>
              <w:rPr>
                <w:rFonts w:hint="eastAsia" w:ascii="仿宋_GB2312" w:hAnsi="黑体" w:eastAsia="仿宋_GB2312" w:cs="仿宋"/>
                <w:bCs/>
                <w:color w:val="auto"/>
                <w:sz w:val="24"/>
                <w:szCs w:val="24"/>
                <w:highlight w:val="none"/>
                <w:lang w:val="en-US" w:eastAsia="zh-CN" w:bidi="ar-SA"/>
              </w:rPr>
            </w:pPr>
            <w:r>
              <w:rPr>
                <w:rFonts w:hint="eastAsia" w:ascii="仿宋_GB2312" w:eastAsia="仿宋_GB2312" w:cs="仿宋"/>
                <w:color w:val="auto"/>
                <w:highlight w:val="none"/>
                <w:lang w:eastAsia="zh-CN"/>
              </w:rPr>
              <w:t>2023</w:t>
            </w:r>
          </w:p>
        </w:tc>
        <w:tc>
          <w:tcPr>
            <w:tcW w:w="1276" w:type="dxa"/>
            <w:shd w:val="clear" w:color="auto" w:fill="auto"/>
            <w:vAlign w:val="center"/>
          </w:tcPr>
          <w:p w14:paraId="3874C447">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eastAsia="zh-CN"/>
              </w:rPr>
            </w:pPr>
            <w:r>
              <w:rPr>
                <w:rFonts w:hint="eastAsia" w:ascii="仿宋_GB2312" w:eastAsia="仿宋_GB2312" w:cs="仿宋"/>
                <w:color w:val="auto"/>
                <w:highlight w:val="none"/>
                <w:lang w:val="en-US" w:eastAsia="zh-CN"/>
              </w:rPr>
              <w:t>6例</w:t>
            </w:r>
          </w:p>
        </w:tc>
        <w:tc>
          <w:tcPr>
            <w:tcW w:w="5863" w:type="dxa"/>
            <w:shd w:val="clear" w:color="auto" w:fill="auto"/>
            <w:vAlign w:val="center"/>
          </w:tcPr>
          <w:p w14:paraId="32B479E5">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eastAsia="zh-CN"/>
              </w:rPr>
            </w:pPr>
            <w:r>
              <w:rPr>
                <w:rFonts w:hint="eastAsia" w:ascii="仿宋_GB2312" w:eastAsia="仿宋_GB2312" w:cs="仿宋"/>
                <w:color w:val="auto"/>
                <w:highlight w:val="none"/>
                <w:lang w:val="en-US" w:eastAsia="zh-CN"/>
              </w:rPr>
              <w:t>治疗共6例患者，其中痊愈1例，显效3例，有效1例，无效1例，总有效率83.3%</w:t>
            </w:r>
          </w:p>
        </w:tc>
      </w:tr>
      <w:tr w14:paraId="2AE5F2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845" w:type="dxa"/>
            <w:vMerge w:val="continue"/>
            <w:tcBorders/>
            <w:shd w:val="clear" w:color="auto" w:fill="auto"/>
            <w:vAlign w:val="top"/>
          </w:tcPr>
          <w:p w14:paraId="1888116D">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p>
        </w:tc>
        <w:tc>
          <w:tcPr>
            <w:tcW w:w="755" w:type="dxa"/>
            <w:shd w:val="clear" w:color="auto" w:fill="auto"/>
            <w:vAlign w:val="center"/>
          </w:tcPr>
          <w:p w14:paraId="017917CC">
            <w:pPr>
              <w:pStyle w:val="33"/>
              <w:keepNext w:val="0"/>
              <w:keepLines w:val="0"/>
              <w:widowControl w:val="0"/>
              <w:suppressLineNumbers w:val="0"/>
              <w:spacing w:before="0" w:beforeLines="0" w:beforeAutospacing="0" w:after="0" w:afterLines="0" w:afterAutospacing="0" w:line="400" w:lineRule="exact"/>
              <w:ind w:left="0" w:leftChars="0" w:right="0" w:rightChars="0" w:firstLine="0" w:firstLineChars="0"/>
              <w:rPr>
                <w:rFonts w:hint="eastAsia" w:ascii="仿宋_GB2312" w:hAnsi="黑体" w:eastAsia="仿宋_GB2312" w:cs="仿宋"/>
                <w:bCs/>
                <w:color w:val="auto"/>
                <w:sz w:val="24"/>
                <w:szCs w:val="24"/>
                <w:highlight w:val="none"/>
                <w:lang w:val="en-US" w:eastAsia="zh-CN" w:bidi="ar-SA"/>
              </w:rPr>
            </w:pPr>
            <w:r>
              <w:rPr>
                <w:rFonts w:hint="eastAsia" w:ascii="仿宋_GB2312" w:eastAsia="仿宋_GB2312" w:cs="仿宋"/>
                <w:color w:val="auto"/>
                <w:highlight w:val="none"/>
                <w:lang w:eastAsia="zh-CN"/>
              </w:rPr>
              <w:t>2024</w:t>
            </w:r>
          </w:p>
        </w:tc>
        <w:tc>
          <w:tcPr>
            <w:tcW w:w="1276" w:type="dxa"/>
            <w:shd w:val="clear" w:color="auto" w:fill="auto"/>
            <w:vAlign w:val="center"/>
          </w:tcPr>
          <w:p w14:paraId="6012D39B">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eastAsia="zh-CN"/>
              </w:rPr>
            </w:pPr>
            <w:r>
              <w:rPr>
                <w:rFonts w:hint="eastAsia" w:ascii="仿宋_GB2312" w:eastAsia="仿宋_GB2312" w:cs="仿宋"/>
                <w:color w:val="auto"/>
                <w:highlight w:val="none"/>
                <w:lang w:val="en-US" w:eastAsia="zh-CN"/>
              </w:rPr>
              <w:t>23例</w:t>
            </w:r>
          </w:p>
        </w:tc>
        <w:tc>
          <w:tcPr>
            <w:tcW w:w="5863" w:type="dxa"/>
            <w:shd w:val="clear" w:color="auto" w:fill="auto"/>
            <w:vAlign w:val="center"/>
          </w:tcPr>
          <w:p w14:paraId="5618ABA2">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eastAsia="zh-CN"/>
              </w:rPr>
            </w:pPr>
            <w:r>
              <w:rPr>
                <w:rFonts w:hint="eastAsia" w:ascii="仿宋_GB2312" w:eastAsia="仿宋_GB2312" w:cs="仿宋"/>
                <w:color w:val="auto"/>
                <w:highlight w:val="none"/>
                <w:lang w:val="en-US" w:eastAsia="zh-CN"/>
              </w:rPr>
              <w:t>治疗共23例患者，其中痊愈12例，显效4例，有效5例，无效2例，总有效率91.3%</w:t>
            </w:r>
          </w:p>
        </w:tc>
      </w:tr>
      <w:tr w14:paraId="4411EC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845" w:type="dxa"/>
            <w:vMerge w:val="continue"/>
            <w:tcBorders/>
            <w:shd w:val="clear" w:color="auto" w:fill="auto"/>
            <w:vAlign w:val="top"/>
          </w:tcPr>
          <w:p w14:paraId="55E116BE">
            <w:pPr>
              <w:pStyle w:val="33"/>
              <w:keepNext w:val="0"/>
              <w:keepLines w:val="0"/>
              <w:widowControl w:val="0"/>
              <w:suppressLineNumbers w:val="0"/>
              <w:spacing w:before="0" w:beforeLines="0" w:beforeAutospacing="0" w:after="0" w:afterLines="0" w:afterAutospacing="0" w:line="400" w:lineRule="exact"/>
              <w:ind w:left="0" w:leftChars="0" w:right="0" w:rightChars="0" w:firstLine="0" w:firstLineChars="0"/>
              <w:rPr>
                <w:rFonts w:hint="eastAsia" w:ascii="仿宋_GB2312" w:hAnsi="黑体" w:eastAsia="仿宋_GB2312" w:cs="仿宋"/>
                <w:bCs/>
                <w:color w:val="auto"/>
                <w:sz w:val="24"/>
                <w:szCs w:val="24"/>
                <w:highlight w:val="none"/>
                <w:lang w:val="en-US" w:eastAsia="zh-CN" w:bidi="ar-SA"/>
              </w:rPr>
            </w:pPr>
          </w:p>
        </w:tc>
        <w:tc>
          <w:tcPr>
            <w:tcW w:w="755" w:type="dxa"/>
            <w:shd w:val="clear" w:color="auto" w:fill="auto"/>
            <w:vAlign w:val="center"/>
          </w:tcPr>
          <w:p w14:paraId="444A5565">
            <w:pPr>
              <w:pStyle w:val="33"/>
              <w:keepNext w:val="0"/>
              <w:keepLines w:val="0"/>
              <w:widowControl w:val="0"/>
              <w:suppressLineNumbers w:val="0"/>
              <w:spacing w:before="0" w:beforeLines="0" w:beforeAutospacing="0" w:after="0" w:afterLines="0" w:afterAutospacing="0" w:line="400" w:lineRule="exact"/>
              <w:ind w:left="0" w:leftChars="0" w:right="0" w:rightChars="0" w:firstLine="0" w:firstLineChars="0"/>
              <w:rPr>
                <w:rFonts w:hint="eastAsia" w:ascii="仿宋_GB2312" w:hAnsi="黑体" w:eastAsia="仿宋_GB2312" w:cs="仿宋"/>
                <w:bCs/>
                <w:color w:val="auto"/>
                <w:sz w:val="24"/>
                <w:szCs w:val="24"/>
                <w:highlight w:val="none"/>
                <w:lang w:val="en-US" w:eastAsia="zh-CN" w:bidi="ar-SA"/>
              </w:rPr>
            </w:pPr>
            <w:r>
              <w:rPr>
                <w:rFonts w:hint="eastAsia" w:ascii="仿宋_GB2312" w:eastAsia="仿宋_GB2312" w:cs="仿宋"/>
                <w:color w:val="auto"/>
                <w:highlight w:val="none"/>
                <w:lang w:eastAsia="zh-CN"/>
              </w:rPr>
              <w:t>2025</w:t>
            </w:r>
          </w:p>
        </w:tc>
        <w:tc>
          <w:tcPr>
            <w:tcW w:w="1276" w:type="dxa"/>
            <w:shd w:val="clear" w:color="auto" w:fill="auto"/>
            <w:vAlign w:val="center"/>
          </w:tcPr>
          <w:p w14:paraId="53180476">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val="en-US" w:eastAsia="zh-CN"/>
              </w:rPr>
              <w:t>152例</w:t>
            </w:r>
          </w:p>
        </w:tc>
        <w:tc>
          <w:tcPr>
            <w:tcW w:w="5863" w:type="dxa"/>
            <w:shd w:val="clear" w:color="auto" w:fill="auto"/>
            <w:vAlign w:val="center"/>
          </w:tcPr>
          <w:p w14:paraId="3E63CF07">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color w:val="auto"/>
                <w:highlight w:val="none"/>
                <w:lang w:val="en-US" w:eastAsia="zh-CN"/>
              </w:rPr>
            </w:pPr>
            <w:r>
              <w:rPr>
                <w:rFonts w:hint="eastAsia" w:ascii="仿宋_GB2312" w:eastAsia="仿宋_GB2312" w:cs="仿宋"/>
                <w:color w:val="auto"/>
                <w:highlight w:val="none"/>
                <w:lang w:val="en-US" w:eastAsia="zh-CN"/>
              </w:rPr>
              <w:t>治疗共152例患者，其中痊愈109例，显效16例，有效21例，无效6例，总有效率96%</w:t>
            </w:r>
          </w:p>
        </w:tc>
      </w:tr>
    </w:tbl>
    <w:p w14:paraId="73ACEC04">
      <w:pPr>
        <w:pStyle w:val="33"/>
        <w:spacing w:before="0" w:beforeLines="0" w:after="0" w:afterLines="0"/>
        <w:ind w:firstLine="560"/>
        <w:jc w:val="both"/>
        <w:rPr>
          <w:rFonts w:hint="eastAsia"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7家医院2022—2025年共治疗数千例，总有效率79%～100%。A、F、G三院连续多年达100%，多数医院有效率90%以上。上述临床数据表明，年闹诺（睡眠障碍）壮医护理疗效稳定确切，且随着应用推广疗效稳步提高，适用于各级医疗机构开展，具有临床推广价值。</w:t>
      </w:r>
    </w:p>
    <w:p w14:paraId="4BE74FF6">
      <w:pPr>
        <w:pStyle w:val="35"/>
        <w:numPr>
          <w:ilvl w:val="0"/>
          <w:numId w:val="0"/>
        </w:numPr>
        <w:spacing w:beforeLines="0" w:afterLines="0" w:line="360" w:lineRule="auto"/>
        <w:ind w:firstLine="643" w:firstLineChars="200"/>
        <w:rPr>
          <w:bCs/>
          <w:color w:val="auto"/>
          <w:sz w:val="32"/>
          <w:szCs w:val="32"/>
          <w:highlight w:val="none"/>
        </w:rPr>
      </w:pPr>
      <w:r>
        <w:rPr>
          <w:rFonts w:hint="eastAsia"/>
          <w:b/>
          <w:bCs/>
          <w:color w:val="auto"/>
          <w:sz w:val="32"/>
          <w:szCs w:val="32"/>
          <w:highlight w:val="none"/>
        </w:rPr>
        <w:t>六</w:t>
      </w:r>
      <w:r>
        <w:rPr>
          <w:rFonts w:hint="eastAsia"/>
          <w:bCs/>
          <w:color w:val="auto"/>
          <w:sz w:val="32"/>
          <w:szCs w:val="32"/>
          <w:highlight w:val="none"/>
        </w:rPr>
        <w:t>、</w:t>
      </w:r>
      <w:r>
        <w:rPr>
          <w:rFonts w:hint="eastAsia"/>
          <w:color w:val="auto"/>
          <w:sz w:val="32"/>
          <w:szCs w:val="32"/>
          <w:highlight w:val="none"/>
        </w:rPr>
        <w:t>重大意见分歧的处理依据和结果</w:t>
      </w:r>
    </w:p>
    <w:p w14:paraId="03F3699C">
      <w:pPr>
        <w:spacing w:line="520" w:lineRule="exact"/>
        <w:ind w:firstLine="560" w:firstLineChars="200"/>
        <w:rPr>
          <w:rFonts w:ascii="仿宋_GB2312" w:eastAsia="仿宋_GB2312"/>
          <w:color w:val="auto"/>
          <w:sz w:val="28"/>
          <w:szCs w:val="28"/>
          <w:highlight w:val="none"/>
        </w:rPr>
      </w:pPr>
      <w:r>
        <w:rPr>
          <w:rFonts w:hint="eastAsia" w:ascii="仿宋_GB2312" w:eastAsia="仿宋_GB2312"/>
          <w:color w:val="auto"/>
          <w:sz w:val="28"/>
          <w:szCs w:val="28"/>
          <w:highlight w:val="none"/>
        </w:rPr>
        <w:t>本标准研制过程中无重大分歧意见。</w:t>
      </w:r>
    </w:p>
    <w:p w14:paraId="2C2745F6">
      <w:pPr>
        <w:autoSpaceDE w:val="0"/>
        <w:autoSpaceDN w:val="0"/>
        <w:adjustRightInd w:val="0"/>
        <w:spacing w:before="156" w:beforeLines="50" w:after="156" w:afterLines="50" w:line="520" w:lineRule="exact"/>
        <w:ind w:firstLine="640" w:firstLineChars="200"/>
        <w:outlineLvl w:val="0"/>
        <w:rPr>
          <w:rFonts w:eastAsia="黑体"/>
          <w:color w:val="auto"/>
          <w:sz w:val="32"/>
          <w:szCs w:val="32"/>
          <w:highlight w:val="none"/>
        </w:rPr>
      </w:pPr>
      <w:r>
        <w:rPr>
          <w:rFonts w:hint="eastAsia" w:ascii="黑体" w:eastAsia="黑体"/>
          <w:bCs/>
          <w:color w:val="auto"/>
          <w:sz w:val="32"/>
          <w:szCs w:val="32"/>
          <w:highlight w:val="none"/>
        </w:rPr>
        <w:t>七、</w:t>
      </w:r>
      <w:r>
        <w:rPr>
          <w:rFonts w:hint="eastAsia" w:eastAsia="黑体"/>
          <w:color w:val="auto"/>
          <w:sz w:val="32"/>
          <w:szCs w:val="32"/>
          <w:highlight w:val="none"/>
        </w:rPr>
        <w:t>实施标准的措施</w:t>
      </w:r>
    </w:p>
    <w:p w14:paraId="79B3C25C">
      <w:pPr>
        <w:spacing w:line="500" w:lineRule="exact"/>
        <w:ind w:firstLine="562" w:firstLineChars="200"/>
        <w:rPr>
          <w:rFonts w:ascii="仿宋_GB2312" w:eastAsia="仿宋_GB2312" w:cs="仿宋_GB2312"/>
          <w:b/>
          <w:color w:val="auto"/>
          <w:sz w:val="28"/>
          <w:szCs w:val="28"/>
          <w:highlight w:val="none"/>
        </w:rPr>
      </w:pPr>
      <w:r>
        <w:rPr>
          <w:rFonts w:hint="eastAsia" w:ascii="仿宋_GB2312" w:eastAsia="仿宋_GB2312" w:cs="仿宋_GB2312"/>
          <w:b/>
          <w:color w:val="auto"/>
          <w:sz w:val="28"/>
          <w:szCs w:val="28"/>
          <w:highlight w:val="none"/>
        </w:rPr>
        <w:t>（一）标准报批发布后，成立标准宣贯工作组</w:t>
      </w:r>
    </w:p>
    <w:p w14:paraId="00343504">
      <w:pPr>
        <w:spacing w:line="500" w:lineRule="exact"/>
        <w:ind w:firstLine="560" w:firstLineChars="200"/>
        <w:rPr>
          <w:rFonts w:ascii="仿宋_GB2312" w:eastAsia="仿宋_GB2312"/>
          <w:color w:val="auto"/>
          <w:sz w:val="28"/>
          <w:szCs w:val="28"/>
          <w:highlight w:val="none"/>
        </w:rPr>
      </w:pPr>
      <w:r>
        <w:rPr>
          <w:rFonts w:hint="eastAsia" w:ascii="仿宋_GB2312" w:eastAsia="仿宋_GB2312"/>
          <w:color w:val="auto"/>
          <w:sz w:val="28"/>
          <w:szCs w:val="28"/>
          <w:highlight w:val="none"/>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6DE29C03">
      <w:pPr>
        <w:spacing w:line="500" w:lineRule="exact"/>
        <w:ind w:firstLine="562" w:firstLineChars="200"/>
        <w:rPr>
          <w:rFonts w:ascii="仿宋_GB2312" w:eastAsia="仿宋_GB2312"/>
          <w:b/>
          <w:color w:val="auto"/>
          <w:sz w:val="28"/>
          <w:szCs w:val="28"/>
          <w:highlight w:val="none"/>
        </w:rPr>
      </w:pPr>
      <w:r>
        <w:rPr>
          <w:rFonts w:hint="eastAsia" w:ascii="仿宋_GB2312" w:eastAsia="仿宋_GB2312"/>
          <w:b/>
          <w:color w:val="auto"/>
          <w:sz w:val="28"/>
          <w:szCs w:val="28"/>
          <w:highlight w:val="none"/>
        </w:rPr>
        <w:t>（二）组织开展标准宣贯培训</w:t>
      </w:r>
    </w:p>
    <w:p w14:paraId="29881CD3">
      <w:pPr>
        <w:spacing w:line="500" w:lineRule="exact"/>
        <w:ind w:firstLine="560" w:firstLineChars="200"/>
        <w:rPr>
          <w:rFonts w:ascii="仿宋_GB2312" w:eastAsia="仿宋_GB2312"/>
          <w:color w:val="auto"/>
          <w:sz w:val="28"/>
          <w:szCs w:val="28"/>
          <w:highlight w:val="none"/>
        </w:rPr>
      </w:pPr>
      <w:r>
        <w:rPr>
          <w:rFonts w:hint="eastAsia" w:ascii="仿宋_GB2312" w:eastAsia="仿宋_GB2312"/>
          <w:color w:val="auto"/>
          <w:sz w:val="28"/>
          <w:szCs w:val="28"/>
          <w:highlight w:val="none"/>
        </w:rPr>
        <w:t>标准发布实施后，标准宣贯工作小组制作标准解读宣贯培训PPT课件和标准核心技术明白书，并按标准宣贯培训计划深入各医疗相关机构，对相关人员开展标准宣贯培训，对标准进行逐条解读，让相关人员掌握标准核心技术内容，助力标准实施落地，推动</w:t>
      </w:r>
      <w:r>
        <w:rPr>
          <w:rFonts w:hint="eastAsia" w:ascii="仿宋_GB2312" w:eastAsia="仿宋_GB2312"/>
          <w:color w:val="auto"/>
          <w:sz w:val="28"/>
          <w:szCs w:val="28"/>
          <w:highlight w:val="none"/>
          <w:lang w:eastAsia="zh-CN"/>
        </w:rPr>
        <w:t>年闹诺（睡眠障碍）壮医护理</w:t>
      </w:r>
      <w:r>
        <w:rPr>
          <w:rFonts w:hint="eastAsia" w:ascii="仿宋_GB2312" w:eastAsia="仿宋_GB2312"/>
          <w:color w:val="auto"/>
          <w:sz w:val="28"/>
          <w:szCs w:val="28"/>
          <w:highlight w:val="none"/>
        </w:rPr>
        <w:t>高质量发展。</w:t>
      </w:r>
    </w:p>
    <w:p w14:paraId="65C68492">
      <w:pPr>
        <w:spacing w:line="500" w:lineRule="exact"/>
        <w:ind w:firstLine="562" w:firstLineChars="200"/>
        <w:rPr>
          <w:rFonts w:ascii="仿宋_GB2312" w:eastAsia="仿宋_GB2312"/>
          <w:b/>
          <w:color w:val="auto"/>
          <w:sz w:val="28"/>
          <w:szCs w:val="28"/>
          <w:highlight w:val="none"/>
        </w:rPr>
      </w:pPr>
      <w:r>
        <w:rPr>
          <w:rFonts w:hint="eastAsia" w:ascii="仿宋_GB2312" w:eastAsia="仿宋_GB2312"/>
          <w:b/>
          <w:color w:val="auto"/>
          <w:sz w:val="28"/>
          <w:szCs w:val="28"/>
          <w:highlight w:val="none"/>
        </w:rPr>
        <w:t>（三）开展标准实施交流会，收集标准实施反馈信息</w:t>
      </w:r>
    </w:p>
    <w:p w14:paraId="0BD8BE8B">
      <w:pPr>
        <w:spacing w:line="500" w:lineRule="exact"/>
        <w:ind w:firstLine="560" w:firstLineChars="200"/>
        <w:rPr>
          <w:rFonts w:ascii="仿宋_GB2312" w:eastAsia="仿宋_GB2312"/>
          <w:color w:val="auto"/>
          <w:sz w:val="28"/>
          <w:szCs w:val="28"/>
          <w:highlight w:val="none"/>
        </w:rPr>
      </w:pPr>
      <w:r>
        <w:rPr>
          <w:rFonts w:hint="eastAsia" w:ascii="仿宋_GB2312" w:eastAsia="仿宋_GB2312"/>
          <w:color w:val="auto"/>
          <w:sz w:val="28"/>
          <w:szCs w:val="28"/>
          <w:highlight w:val="none"/>
        </w:rPr>
        <w:t>标准起草小组深入各医疗相关机构组织相关人员召开标准实施交流会，听取标准实施过程中存在的问题并做好记录和解答，对存在的问题组织专家团队进行研讨，为标准的复审修订做准备。</w:t>
      </w:r>
    </w:p>
    <w:p w14:paraId="15128462">
      <w:pPr>
        <w:spacing w:line="500" w:lineRule="exact"/>
        <w:ind w:firstLine="562" w:firstLineChars="200"/>
        <w:rPr>
          <w:rFonts w:ascii="仿宋_GB2312" w:eastAsia="仿宋_GB2312"/>
          <w:b/>
          <w:color w:val="auto"/>
          <w:sz w:val="28"/>
          <w:szCs w:val="28"/>
          <w:highlight w:val="none"/>
        </w:rPr>
      </w:pPr>
      <w:r>
        <w:rPr>
          <w:rFonts w:hint="eastAsia" w:ascii="仿宋_GB2312" w:eastAsia="仿宋_GB2312"/>
          <w:b/>
          <w:color w:val="auto"/>
          <w:sz w:val="28"/>
          <w:szCs w:val="28"/>
          <w:highlight w:val="none"/>
        </w:rPr>
        <w:t>（四）开展标准实施效果评估</w:t>
      </w:r>
    </w:p>
    <w:p w14:paraId="026D6BB0">
      <w:pPr>
        <w:spacing w:line="500" w:lineRule="exact"/>
        <w:ind w:firstLine="560" w:firstLineChars="200"/>
        <w:rPr>
          <w:rFonts w:ascii="仿宋_GB2312" w:eastAsia="仿宋_GB2312"/>
          <w:color w:val="auto"/>
          <w:sz w:val="28"/>
          <w:szCs w:val="28"/>
          <w:highlight w:val="none"/>
        </w:rPr>
      </w:pPr>
      <w:r>
        <w:rPr>
          <w:rFonts w:hint="eastAsia" w:ascii="仿宋_GB2312" w:eastAsia="仿宋_GB2312"/>
          <w:color w:val="auto"/>
          <w:sz w:val="28"/>
          <w:szCs w:val="28"/>
          <w:highlight w:val="none"/>
        </w:rPr>
        <w:t>标准实施满2年，每年标准宣贯工作组采取网络调查、问卷调查、实地调研、召开座谈会或论证会、专家咨询等方式开展标准实施效果评估，并形成标准实施效果评估报告，为标准的复审修订做准备。</w:t>
      </w:r>
    </w:p>
    <w:p w14:paraId="3AC8E860">
      <w:pPr>
        <w:spacing w:before="240" w:after="60" w:line="520" w:lineRule="exact"/>
        <w:ind w:firstLine="640" w:firstLineChars="200"/>
        <w:outlineLvl w:val="0"/>
        <w:rPr>
          <w:rFonts w:ascii="黑体" w:eastAsia="黑体"/>
          <w:bCs/>
          <w:color w:val="auto"/>
          <w:sz w:val="32"/>
          <w:szCs w:val="32"/>
          <w:highlight w:val="none"/>
        </w:rPr>
      </w:pPr>
      <w:r>
        <w:rPr>
          <w:rFonts w:hint="eastAsia" w:ascii="黑体" w:eastAsia="黑体"/>
          <w:bCs/>
          <w:color w:val="auto"/>
          <w:sz w:val="32"/>
          <w:szCs w:val="32"/>
          <w:highlight w:val="none"/>
        </w:rPr>
        <w:t>八、其他应当说明的事项</w:t>
      </w:r>
    </w:p>
    <w:p w14:paraId="48876F83">
      <w:pPr>
        <w:spacing w:line="520" w:lineRule="exact"/>
        <w:ind w:firstLine="560" w:firstLineChars="200"/>
        <w:rPr>
          <w:rFonts w:ascii="仿宋_GB2312" w:eastAsia="仿宋_GB2312"/>
          <w:color w:val="auto"/>
          <w:sz w:val="28"/>
          <w:szCs w:val="28"/>
          <w:highlight w:val="none"/>
        </w:rPr>
      </w:pPr>
      <w:r>
        <w:rPr>
          <w:rFonts w:hint="eastAsia" w:ascii="仿宋_GB2312" w:eastAsia="仿宋_GB2312"/>
          <w:color w:val="auto"/>
          <w:sz w:val="28"/>
          <w:szCs w:val="28"/>
          <w:highlight w:val="none"/>
        </w:rPr>
        <w:t>无。</w:t>
      </w:r>
    </w:p>
    <w:p w14:paraId="0ECDCDC2">
      <w:pPr>
        <w:autoSpaceDE w:val="0"/>
        <w:autoSpaceDN w:val="0"/>
        <w:adjustRightInd w:val="0"/>
        <w:spacing w:before="156" w:beforeLines="50" w:after="156" w:afterLines="50" w:line="520" w:lineRule="exact"/>
        <w:ind w:firstLine="640"/>
        <w:outlineLvl w:val="0"/>
        <w:rPr>
          <w:rFonts w:eastAsia="黑体"/>
          <w:color w:val="auto"/>
          <w:sz w:val="32"/>
          <w:szCs w:val="32"/>
          <w:highlight w:val="none"/>
        </w:rPr>
      </w:pPr>
      <w:r>
        <w:rPr>
          <w:rFonts w:hint="eastAsia" w:eastAsia="黑体"/>
          <w:color w:val="auto"/>
          <w:sz w:val="32"/>
          <w:szCs w:val="32"/>
          <w:highlight w:val="none"/>
        </w:rPr>
        <w:t>九、自我承诺</w:t>
      </w:r>
    </w:p>
    <w:p w14:paraId="085B44CD">
      <w:pPr>
        <w:spacing w:line="520" w:lineRule="exact"/>
        <w:ind w:firstLine="560" w:firstLineChars="200"/>
        <w:rPr>
          <w:rFonts w:ascii="仿宋_GB2312" w:eastAsia="仿宋_GB2312"/>
          <w:color w:val="auto"/>
          <w:sz w:val="28"/>
          <w:szCs w:val="28"/>
          <w:highlight w:val="none"/>
        </w:rPr>
      </w:pPr>
      <w:r>
        <w:rPr>
          <w:rFonts w:hint="eastAsia" w:ascii="仿宋_GB2312" w:eastAsia="仿宋_GB2312"/>
          <w:color w:val="auto"/>
          <w:sz w:val="28"/>
          <w:szCs w:val="28"/>
          <w:highlight w:val="none"/>
        </w:rPr>
        <w:t>该标准的内容符合国家相关法律法规，技术要求不低于强制性国家标准的相关技术要求，与相关的国家、行业推荐性标准协调一致，标准的编写符合GB/T 1.1-2020的要求。</w:t>
      </w:r>
    </w:p>
    <w:p w14:paraId="306B1E3A">
      <w:pPr>
        <w:pStyle w:val="26"/>
        <w:rPr>
          <w:rFonts w:ascii="仿宋_GB2312" w:eastAsia="仿宋_GB2312"/>
          <w:color w:val="auto"/>
          <w:sz w:val="28"/>
          <w:szCs w:val="28"/>
          <w:highlight w:val="none"/>
        </w:rPr>
      </w:pPr>
    </w:p>
    <w:p w14:paraId="187361ED">
      <w:pPr>
        <w:keepNext w:val="0"/>
        <w:keepLines w:val="0"/>
        <w:pageBreakBefore w:val="0"/>
        <w:widowControl w:val="0"/>
        <w:kinsoku/>
        <w:wordWrap/>
        <w:overflowPunct/>
        <w:topLinePunct w:val="0"/>
        <w:autoSpaceDE/>
        <w:autoSpaceDN/>
        <w:bidi w:val="0"/>
        <w:adjustRightInd/>
        <w:snapToGrid/>
        <w:spacing w:before="240" w:after="60" w:line="520" w:lineRule="exact"/>
        <w:ind w:firstLine="3360" w:firstLineChars="1200"/>
        <w:textAlignment w:val="auto"/>
        <w:outlineLvl w:val="0"/>
        <w:rPr>
          <w:rFonts w:ascii="仿宋_GB2312" w:eastAsia="仿宋_GB2312"/>
          <w:color w:val="auto"/>
          <w:sz w:val="28"/>
          <w:szCs w:val="28"/>
          <w:highlight w:val="none"/>
        </w:rPr>
      </w:pPr>
      <w:r>
        <w:rPr>
          <w:rFonts w:hint="eastAsia" w:ascii="仿宋_GB2312" w:eastAsia="仿宋_GB2312"/>
          <w:color w:val="auto"/>
          <w:sz w:val="28"/>
          <w:szCs w:val="28"/>
          <w:highlight w:val="none"/>
        </w:rPr>
        <w:t>团体标准《</w:t>
      </w:r>
      <w:r>
        <w:rPr>
          <w:rFonts w:hint="eastAsia" w:ascii="仿宋_GB2312" w:eastAsia="仿宋_GB2312"/>
          <w:color w:val="auto"/>
          <w:sz w:val="28"/>
          <w:szCs w:val="28"/>
          <w:highlight w:val="none"/>
          <w:lang w:eastAsia="zh-CN"/>
        </w:rPr>
        <w:t>年闹诺（睡眠障碍）壮医护理规范</w:t>
      </w:r>
      <w:r>
        <w:rPr>
          <w:rFonts w:hint="eastAsia" w:ascii="仿宋_GB2312" w:eastAsia="仿宋_GB2312"/>
          <w:color w:val="auto"/>
          <w:sz w:val="28"/>
          <w:szCs w:val="28"/>
          <w:highlight w:val="none"/>
        </w:rPr>
        <w:t>》</w:t>
      </w:r>
    </w:p>
    <w:p w14:paraId="1D80862F">
      <w:pPr>
        <w:spacing w:line="520" w:lineRule="exact"/>
        <w:ind w:right="1120"/>
        <w:jc w:val="center"/>
        <w:rPr>
          <w:rFonts w:ascii="仿宋_GB2312" w:eastAsia="仿宋_GB2312"/>
          <w:color w:val="auto"/>
          <w:sz w:val="28"/>
          <w:szCs w:val="28"/>
          <w:highlight w:val="none"/>
        </w:rPr>
      </w:pPr>
      <w:r>
        <w:rPr>
          <w:rFonts w:hint="eastAsia" w:ascii="仿宋_GB2312" w:eastAsia="仿宋_GB2312"/>
          <w:color w:val="auto"/>
          <w:sz w:val="28"/>
          <w:szCs w:val="28"/>
          <w:highlight w:val="none"/>
        </w:rPr>
        <w:t xml:space="preserve">       </w:t>
      </w:r>
      <w:r>
        <w:rPr>
          <w:rFonts w:hint="eastAsia" w:ascii="仿宋_GB2312" w:eastAsia="仿宋_GB2312"/>
          <w:color w:val="auto"/>
          <w:sz w:val="28"/>
          <w:szCs w:val="28"/>
          <w:highlight w:val="none"/>
          <w:lang w:val="en-US" w:eastAsia="zh-CN"/>
        </w:rPr>
        <w:t xml:space="preserve">            </w:t>
      </w:r>
      <w:r>
        <w:rPr>
          <w:rFonts w:hint="eastAsia" w:ascii="仿宋_GB2312" w:eastAsia="仿宋_GB2312"/>
          <w:color w:val="auto"/>
          <w:sz w:val="28"/>
          <w:szCs w:val="28"/>
          <w:highlight w:val="none"/>
        </w:rPr>
        <w:t xml:space="preserve">            标准编制工作组</w:t>
      </w:r>
    </w:p>
    <w:p w14:paraId="5CC082C7">
      <w:pPr>
        <w:spacing w:line="520" w:lineRule="exact"/>
        <w:ind w:firstLine="640" w:firstLineChars="200"/>
        <w:rPr>
          <w:rFonts w:ascii="仿宋_GB2312" w:eastAsia="仿宋_GB2312"/>
          <w:color w:val="auto"/>
          <w:sz w:val="28"/>
          <w:szCs w:val="28"/>
          <w:highlight w:val="none"/>
        </w:rPr>
      </w:pPr>
      <w:r>
        <w:rPr>
          <w:rFonts w:hint="eastAsia" w:ascii="仿宋_GB2312" w:eastAsia="仿宋_GB2312"/>
          <w:color w:val="auto"/>
          <w:sz w:val="32"/>
          <w:szCs w:val="28"/>
          <w:highlight w:val="none"/>
        </w:rPr>
        <w:t xml:space="preserve">                 </w:t>
      </w:r>
      <w:r>
        <w:rPr>
          <w:rFonts w:hint="eastAsia" w:ascii="仿宋_GB2312" w:eastAsia="仿宋_GB2312"/>
          <w:color w:val="auto"/>
          <w:sz w:val="32"/>
          <w:szCs w:val="28"/>
          <w:highlight w:val="none"/>
          <w:lang w:val="en-US" w:eastAsia="zh-CN"/>
        </w:rPr>
        <w:t xml:space="preserve">     </w:t>
      </w:r>
      <w:r>
        <w:rPr>
          <w:rFonts w:hint="eastAsia" w:ascii="仿宋_GB2312" w:eastAsia="仿宋_GB2312"/>
          <w:color w:val="auto"/>
          <w:sz w:val="32"/>
          <w:szCs w:val="28"/>
          <w:highlight w:val="none"/>
        </w:rPr>
        <w:t xml:space="preserve">     </w:t>
      </w:r>
      <w:r>
        <w:rPr>
          <w:rFonts w:hint="eastAsia" w:ascii="仿宋_GB2312" w:eastAsia="仿宋_GB2312"/>
          <w:color w:val="auto"/>
          <w:sz w:val="28"/>
          <w:szCs w:val="28"/>
          <w:highlight w:val="none"/>
        </w:rPr>
        <w:t>2026年</w:t>
      </w:r>
      <w:r>
        <w:rPr>
          <w:rFonts w:hint="eastAsia" w:ascii="仿宋_GB2312" w:eastAsia="仿宋_GB2312"/>
          <w:color w:val="auto"/>
          <w:sz w:val="28"/>
          <w:szCs w:val="28"/>
          <w:highlight w:val="none"/>
          <w:lang w:val="en-US" w:eastAsia="zh-CN"/>
        </w:rPr>
        <w:t>3</w:t>
      </w:r>
      <w:r>
        <w:rPr>
          <w:rFonts w:hint="eastAsia" w:ascii="仿宋_GB2312" w:eastAsia="仿宋_GB2312"/>
          <w:color w:val="auto"/>
          <w:sz w:val="28"/>
          <w:szCs w:val="28"/>
          <w:highlight w:val="none"/>
        </w:rPr>
        <w:t>月</w:t>
      </w:r>
      <w:r>
        <w:rPr>
          <w:rFonts w:hint="eastAsia" w:ascii="仿宋_GB2312" w:eastAsia="仿宋_GB2312"/>
          <w:color w:val="auto"/>
          <w:sz w:val="28"/>
          <w:szCs w:val="28"/>
          <w:highlight w:val="none"/>
          <w:lang w:val="en-US" w:eastAsia="zh-CN"/>
        </w:rPr>
        <w:t>27</w:t>
      </w:r>
      <w:r>
        <w:rPr>
          <w:rFonts w:hint="eastAsia" w:ascii="仿宋_GB2312" w:eastAsia="仿宋_GB2312"/>
          <w:color w:val="auto"/>
          <w:sz w:val="28"/>
          <w:szCs w:val="28"/>
          <w:highlight w:val="none"/>
        </w:rPr>
        <w:t>日</w:t>
      </w:r>
    </w:p>
    <w:sectPr>
      <w:footerReference r:id="rId3" w:type="default"/>
      <w:pgSz w:w="11906" w:h="16838"/>
      <w:pgMar w:top="1474" w:right="1474" w:bottom="1474" w:left="1474"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81"/>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16728895-E819-4F08-917A-6D5AE9D8FFBD}"/>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altName w:val="微软雅黑"/>
    <w:panose1 w:val="02010600030101010101"/>
    <w:charset w:val="86"/>
    <w:family w:val="auto"/>
    <w:pitch w:val="default"/>
    <w:sig w:usb0="00000000" w:usb1="00000000" w:usb2="00000016" w:usb3="00000000" w:csb0="0004000F" w:csb1="00000000"/>
  </w:font>
  <w:font w:name="等线 Light">
    <w:altName w:val="宋体"/>
    <w:panose1 w:val="02010600030101010101"/>
    <w:charset w:val="86"/>
    <w:family w:val="auto"/>
    <w:pitch w:val="default"/>
    <w:sig w:usb0="00000000" w:usb1="00000000" w:usb2="00000016" w:usb3="00000000" w:csb0="0004000F" w:csb1="00000000"/>
  </w:font>
  <w:font w:name="方正小标宋简体">
    <w:panose1 w:val="03000509000000000000"/>
    <w:charset w:val="86"/>
    <w:family w:val="auto"/>
    <w:pitch w:val="default"/>
    <w:sig w:usb0="00000001" w:usb1="080E0000" w:usb2="00000000" w:usb3="00000000" w:csb0="00040000" w:csb1="00000000"/>
    <w:embedRegular r:id="rId2" w:fontKey="{05FF7431-AB24-42B0-AFAD-DC6995610416}"/>
  </w:font>
  <w:font w:name="微软雅黑">
    <w:panose1 w:val="020B0503020204020204"/>
    <w:charset w:val="86"/>
    <w:family w:val="swiss"/>
    <w:pitch w:val="default"/>
    <w:sig w:usb0="80000287" w:usb1="280F3C52" w:usb2="00000016" w:usb3="00000000" w:csb0="0004001F" w:csb1="00000000"/>
    <w:embedRegular r:id="rId3" w:fontKey="{54F7AC69-A765-4C38-AA31-340CAEFC3A21}"/>
  </w:font>
  <w:font w:name="仿宋_GB2312">
    <w:panose1 w:val="02010609030101010101"/>
    <w:charset w:val="86"/>
    <w:family w:val="modern"/>
    <w:pitch w:val="default"/>
    <w:sig w:usb0="00000001" w:usb1="080E0000" w:usb2="00000000" w:usb3="00000000" w:csb0="00040000" w:csb1="00000000"/>
    <w:embedRegular r:id="rId4" w:fontKey="{1D538F07-30CF-431A-89BD-EDA82707145D}"/>
  </w:font>
  <w:font w:name="仿宋">
    <w:panose1 w:val="02010609060101010101"/>
    <w:charset w:val="86"/>
    <w:family w:val="modern"/>
    <w:pitch w:val="default"/>
    <w:sig w:usb0="800002BF" w:usb1="38CF7CFA" w:usb2="00000016" w:usb3="00000000" w:csb0="00040001" w:csb1="00000000"/>
    <w:embedRegular r:id="rId5" w:fontKey="{1CC36B2D-57A4-4B32-9E05-0E7436C1A686}"/>
  </w:font>
  <w:font w:name="Tahoma">
    <w:panose1 w:val="020B0604030504040204"/>
    <w:charset w:val="00"/>
    <w:family w:val="auto"/>
    <w:pitch w:val="default"/>
    <w:sig w:usb0="E1002EFF" w:usb1="C000605B" w:usb2="00000029" w:usb3="00000000" w:csb0="200101FF" w:csb1="20280000"/>
  </w:font>
  <w:font w:name="Cambria Math">
    <w:panose1 w:val="02040503050406030204"/>
    <w:charset w:val="00"/>
    <w:family w:val="auto"/>
    <w:pitch w:val="variable"/>
    <w:sig w:usb0="E00002FF" w:usb1="420024FF" w:usb2="00000000" w:usb3="00000000" w:csb0="2000019F" w:csb1="00000000"/>
  </w:font>
  <w:font w:name="@宋体">
    <w:panose1 w:val="02010600030101010101"/>
    <w:charset w:val="86"/>
    <w:family w:val="auto"/>
    <w:pitch w:val="variable"/>
    <w:sig w:usb0="00000003" w:usb1="288F0000" w:usb2="00000006" w:usb3="00000000" w:csb0="00040001" w:csb1="00000000"/>
  </w:font>
  <w:font w:name="Symbol">
    <w:panose1 w:val="05050102010706020507"/>
    <w:charset w:val="00"/>
    <w:family w:val="auto"/>
    <w:pitch w:val="default"/>
    <w:sig w:usb0="00000000" w:usb1="00000000" w:usb2="00000000" w:usb3="00000000" w:csb0="80000000" w:csb1="00000000"/>
  </w:font>
  <w:font w:name="Courier New">
    <w:panose1 w:val="02070309020205020404"/>
    <w:charset w:val="00"/>
    <w:family w:val="auto"/>
    <w:pitch w:val="default"/>
    <w:sig w:usb0="E0002AFF" w:usb1="C0007843" w:usb2="00000009" w:usb3="00000000" w:csb0="400001FF" w:csb1="FFFF0000"/>
  </w:font>
  <w:font w:name="Wingdings">
    <w:panose1 w:val="05000000000000000000"/>
    <w:charset w:val="00"/>
    <w:family w:val="auto"/>
    <w:pitch w:val="default"/>
    <w:sig w:usb0="00000000" w:usb1="00000000" w:usb2="00000000" w:usb3="00000000" w:csb0="80000000" w:csb1="00000000"/>
  </w:font>
  <w:font w:name="Segoe UI">
    <w:panose1 w:val="020B0502040204020203"/>
    <w:charset w:val="00"/>
    <w:family w:val="auto"/>
    <w:pitch w:val="default"/>
    <w:sig w:usb0="E10022FF" w:usb1="C000E47F" w:usb2="00000029" w:usb3="00000000" w:csb0="200001DF" w:csb1="2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FE1AE3">
    <w:pPr>
      <w:pStyle w:val="9"/>
      <w:ind w:firstLine="360"/>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56515" cy="131445"/>
              <wp:effectExtent l="0" t="0" r="0" b="0"/>
              <wp:wrapNone/>
              <wp:docPr id="42" name="文本框 1"/>
              <wp:cNvGraphicFramePr/>
              <a:graphic xmlns:a="http://schemas.openxmlformats.org/drawingml/2006/main">
                <a:graphicData uri="http://schemas.microsoft.com/office/word/2010/wordprocessingShape">
                  <wps:wsp>
                    <wps:cNvSpPr txBox="1"/>
                    <wps:spPr>
                      <a:xfrm>
                        <a:off x="0" y="0"/>
                        <a:ext cx="56515" cy="131445"/>
                      </a:xfrm>
                      <a:prstGeom prst="rect">
                        <a:avLst/>
                      </a:prstGeom>
                      <a:noFill/>
                      <a:ln w="6350">
                        <a:noFill/>
                      </a:ln>
                    </wps:spPr>
                    <wps:txbx>
                      <w:txbxContent>
                        <w:p w14:paraId="5E0811C8">
                          <w:pPr>
                            <w:pStyle w:val="9"/>
                          </w:pPr>
                          <w:r>
                            <w:rPr>
                              <w:rFonts w:hint="eastAsia"/>
                            </w:rPr>
                            <w:fldChar w:fldCharType="begin"/>
                          </w:r>
                          <w:r>
                            <w:rPr>
                              <w:rFonts w:hint="eastAsia"/>
                            </w:rPr>
                            <w:instrText xml:space="preserve"> PAGE  \* MERGEFORMAT </w:instrText>
                          </w:r>
                          <w:r>
                            <w:rPr>
                              <w:rFonts w:hint="eastAsia"/>
                            </w:rPr>
                            <w:fldChar w:fldCharType="separate"/>
                          </w:r>
                          <w:r>
                            <w:t>1</w:t>
                          </w:r>
                          <w:r>
                            <w:rPr>
                              <w:rFonts w:hint="eastAsia"/>
                            </w:rP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4.45pt;mso-position-horizontal:center;mso-position-horizontal-relative:margin;mso-wrap-style:none;z-index:251659264;mso-width-relative:page;mso-height-relative:page;" filled="f" stroked="f" coordsize="21600,21600" o:gfxdata="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HyXN5vRAAAAAgEAAA8AAAAAAAAAAQAgAAAAIgAA&#10;AGRycy9kb3ducmV2LnhtbFBLAQIUABQAAAAIAIdO4kAdICOU1gEAAKADAAAOAAAAAAAAAAEAIAAA&#10;ACABAABkcnMvZTJvRG9jLnhtbFBLBQYAAAAABgAGAFkBAABoBQAAAAA=&#10;">
              <v:fill on="f" focussize="0,0"/>
              <v:stroke on="f" weight="0.5pt"/>
              <v:imagedata o:title=""/>
              <o:lock v:ext="edit" aspectratio="f"/>
              <v:textbox inset="0mm,0mm,0mm,0mm" style="mso-fit-shape-to-text:t;">
                <w:txbxContent>
                  <w:p w14:paraId="5E0811C8">
                    <w:pPr>
                      <w:pStyle w:val="9"/>
                    </w:pPr>
                    <w:r>
                      <w:rPr>
                        <w:rFonts w:hint="eastAsia"/>
                      </w:rPr>
                      <w:fldChar w:fldCharType="begin"/>
                    </w:r>
                    <w:r>
                      <w:rPr>
                        <w:rFonts w:hint="eastAsia"/>
                      </w:rPr>
                      <w:instrText xml:space="preserve"> PAGE  \* MERGEFORMAT </w:instrText>
                    </w:r>
                    <w:r>
                      <w:rPr>
                        <w:rFonts w:hint="eastAsia"/>
                      </w:rPr>
                      <w:fldChar w:fldCharType="separate"/>
                    </w:r>
                    <w:r>
                      <w:t>1</w:t>
                    </w:r>
                    <w:r>
                      <w:rPr>
                        <w:rFonts w:hint="eastAsia"/>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DDF8329"/>
    <w:multiLevelType w:val="multilevel"/>
    <w:tmpl w:val="8DDF8329"/>
    <w:lvl w:ilvl="0" w:tentative="0">
      <w:start w:val="1"/>
      <w:numFmt w:val="decimal"/>
      <w:pStyle w:val="44"/>
      <w:suff w:val="nothing"/>
      <w:lvlText w:val="表%1　"/>
      <w:legacy w:legacy="1" w:legacySpace="0" w:legacyIndent="0"/>
      <w:lvlJc w:val="left"/>
      <w:pPr>
        <w:ind w:left="0" w:firstLine="0"/>
      </w:pPr>
    </w:lvl>
    <w:lvl w:ilvl="1" w:tentative="0">
      <w:start w:val="1"/>
      <w:numFmt w:val="decimal"/>
      <w:lvlText w:val="%1.%2"/>
      <w:legacy w:legacy="1" w:legacySpace="0" w:legacyIndent="567"/>
      <w:lvlJc w:val="left"/>
      <w:pPr>
        <w:ind w:left="992" w:hanging="567"/>
      </w:pPr>
    </w:lvl>
    <w:lvl w:ilvl="2" w:tentative="0">
      <w:start w:val="1"/>
      <w:numFmt w:val="decimal"/>
      <w:lvlText w:val="%1.%2.%3"/>
      <w:legacy w:legacy="1" w:legacySpace="0" w:legacyIndent="567"/>
      <w:lvlJc w:val="left"/>
      <w:pPr>
        <w:ind w:left="1417" w:hanging="567"/>
      </w:pPr>
    </w:lvl>
    <w:lvl w:ilvl="3" w:tentative="0">
      <w:start w:val="1"/>
      <w:numFmt w:val="decimal"/>
      <w:lvlText w:val="%1.%2.%3.%4"/>
      <w:legacy w:legacy="1" w:legacySpace="0" w:legacyIndent="708"/>
      <w:lvlJc w:val="left"/>
      <w:pPr>
        <w:ind w:left="1984" w:hanging="708"/>
      </w:pPr>
    </w:lvl>
    <w:lvl w:ilvl="4" w:tentative="0">
      <w:start w:val="1"/>
      <w:numFmt w:val="decimal"/>
      <w:lvlText w:val="%1.%2.%3.%4.%5"/>
      <w:legacy w:legacy="1" w:legacySpace="0" w:legacyIndent="850"/>
      <w:lvlJc w:val="left"/>
      <w:pPr>
        <w:ind w:left="2551" w:hanging="850"/>
      </w:pPr>
    </w:lvl>
    <w:lvl w:ilvl="5" w:tentative="0">
      <w:start w:val="1"/>
      <w:numFmt w:val="decimal"/>
      <w:lvlText w:val="%1.%2.%3.%4.%5.%6"/>
      <w:legacy w:legacy="1" w:legacySpace="0" w:legacyIndent="1134"/>
      <w:lvlJc w:val="left"/>
      <w:pPr>
        <w:ind w:left="3260" w:hanging="1134"/>
      </w:pPr>
    </w:lvl>
    <w:lvl w:ilvl="6" w:tentative="0">
      <w:start w:val="1"/>
      <w:numFmt w:val="decimal"/>
      <w:lvlText w:val="%1.%2.%3.%4.%5.%6.%7"/>
      <w:legacy w:legacy="1" w:legacySpace="0" w:legacyIndent="1276"/>
      <w:lvlJc w:val="left"/>
      <w:pPr>
        <w:ind w:left="3827" w:hanging="1276"/>
      </w:pPr>
    </w:lvl>
    <w:lvl w:ilvl="7" w:tentative="0">
      <w:start w:val="1"/>
      <w:numFmt w:val="decimal"/>
      <w:lvlText w:val="%1.%2.%3.%4.%5.%6.%7.%8"/>
      <w:legacy w:legacy="1" w:legacySpace="0" w:legacyIndent="1418"/>
      <w:lvlJc w:val="left"/>
      <w:pPr>
        <w:ind w:left="4394" w:hanging="1418"/>
      </w:pPr>
    </w:lvl>
    <w:lvl w:ilvl="8" w:tentative="0">
      <w:start w:val="1"/>
      <w:numFmt w:val="decimal"/>
      <w:lvlText w:val="%1.%2.%3.%4.%5.%6.%7.%8.%9"/>
      <w:legacy w:legacy="1" w:legacySpace="0" w:legacyIndent="1700"/>
      <w:lvlJc w:val="left"/>
      <w:pPr>
        <w:ind w:left="5102" w:hanging="1700"/>
      </w:pPr>
    </w:lvl>
  </w:abstractNum>
  <w:abstractNum w:abstractNumId="1">
    <w:nsid w:val="A333FDA2"/>
    <w:multiLevelType w:val="multilevel"/>
    <w:tmpl w:val="A333FDA2"/>
    <w:lvl w:ilvl="0" w:tentative="0">
      <w:start w:val="1"/>
      <w:numFmt w:val="none"/>
      <w:suff w:val="nothing"/>
      <w:lvlText w:val="%1"/>
      <w:lvlJc w:val="left"/>
      <w:pPr>
        <w:ind w:left="0" w:firstLine="0"/>
      </w:pPr>
    </w:lvl>
    <w:lvl w:ilvl="1" w:tentative="0">
      <w:start w:val="1"/>
      <w:numFmt w:val="decimal"/>
      <w:suff w:val="nothing"/>
      <w:lvlText w:val="%1%2　"/>
      <w:lvlJc w:val="left"/>
      <w:pPr>
        <w:ind w:left="0" w:firstLine="0"/>
      </w:pPr>
      <w:rPr>
        <w:rFonts w:hint="eastAsia" w:ascii="黑体" w:hAnsi="Times New Roman" w:eastAsia="黑体" w:cs="黑体"/>
        <w:b w:val="0"/>
        <w:i w:val="0"/>
        <w:sz w:val="21"/>
      </w:rPr>
    </w:lvl>
    <w:lvl w:ilvl="2" w:tentative="0">
      <w:start w:val="1"/>
      <w:numFmt w:val="decimal"/>
      <w:suff w:val="nothing"/>
      <w:lvlText w:val="%1%2.%3　"/>
      <w:lvlJc w:val="left"/>
      <w:pPr>
        <w:ind w:left="0" w:firstLine="0"/>
        <w:textAlignment w:val="baseline"/>
      </w:pPr>
      <w:rPr>
        <w:rFonts w:hint="eastAsia" w:ascii="黑体" w:hAnsi="Times New Roman" w:eastAsia="黑体" w:cs="Times New Roman"/>
        <w:b w:val="0"/>
        <w:bCs w:val="0"/>
        <w:i w:val="0"/>
        <w:iCs w:val="0"/>
        <w:caps w:val="0"/>
        <w:strike w:val="0"/>
        <w:dstrike w:val="0"/>
        <w:vanish w:val="0"/>
        <w:color w:val="000000"/>
        <w:spacing w:val="0"/>
        <w:kern w:val="0"/>
        <w:position w:val="0"/>
        <w:sz w:val="21"/>
        <w:u w:val="none"/>
      </w:rPr>
    </w:lvl>
    <w:lvl w:ilvl="3" w:tentative="0">
      <w:start w:val="1"/>
      <w:numFmt w:val="decimal"/>
      <w:suff w:val="nothing"/>
      <w:lvlText w:val="%1%2.%3.%4　"/>
      <w:lvlJc w:val="left"/>
      <w:pPr>
        <w:ind w:left="0" w:firstLine="0"/>
      </w:pPr>
      <w:rPr>
        <w:rFonts w:hint="eastAsia" w:ascii="黑体" w:hAnsi="Times New Roman" w:eastAsia="黑体" w:cs="黑体"/>
        <w:b w:val="0"/>
        <w:i w:val="0"/>
        <w:sz w:val="21"/>
      </w:rPr>
    </w:lvl>
    <w:lvl w:ilvl="4" w:tentative="0">
      <w:start w:val="1"/>
      <w:numFmt w:val="decimal"/>
      <w:suff w:val="nothing"/>
      <w:lvlText w:val="%1%2.%3.%4.%5　"/>
      <w:lvlJc w:val="left"/>
      <w:pPr>
        <w:ind w:left="0" w:firstLine="0"/>
      </w:pPr>
      <w:rPr>
        <w:rFonts w:hint="eastAsia" w:ascii="黑体" w:hAnsi="Times New Roman" w:eastAsia="黑体" w:cs="黑体"/>
        <w:b w:val="0"/>
        <w:i w:val="0"/>
        <w:sz w:val="21"/>
      </w:rPr>
    </w:lvl>
    <w:lvl w:ilvl="5" w:tentative="0">
      <w:start w:val="1"/>
      <w:numFmt w:val="decimal"/>
      <w:suff w:val="nothing"/>
      <w:lvlText w:val="%1%2.%3.%4.%5.%6　"/>
      <w:lvlJc w:val="left"/>
      <w:pPr>
        <w:ind w:left="0" w:firstLine="0"/>
      </w:pPr>
      <w:rPr>
        <w:rFonts w:hint="eastAsia" w:ascii="黑体" w:hAnsi="Times New Roman" w:eastAsia="黑体" w:cs="黑体"/>
        <w:b w:val="0"/>
        <w:i w:val="0"/>
        <w:sz w:val="21"/>
      </w:rPr>
    </w:lvl>
    <w:lvl w:ilvl="6" w:tentative="0">
      <w:start w:val="1"/>
      <w:numFmt w:val="decimal"/>
      <w:pStyle w:val="60"/>
      <w:suff w:val="nothing"/>
      <w:lvlText w:val="%1%2.%3.%4.%5.%6.%7　"/>
      <w:lvlJc w:val="left"/>
      <w:pPr>
        <w:ind w:left="0" w:firstLine="0"/>
      </w:pPr>
      <w:rPr>
        <w:rFonts w:hint="eastAsia" w:ascii="黑体" w:hAnsi="Times New Roman" w:eastAsia="黑体" w:cs="黑体"/>
        <w:b w:val="0"/>
        <w:i w:val="0"/>
        <w:sz w:val="21"/>
      </w:rPr>
    </w:lvl>
    <w:lvl w:ilvl="7" w:tentative="0">
      <w:start w:val="1"/>
      <w:numFmt w:val="decimal"/>
      <w:lvlText w:val="%1.%2.%3.%4.%5.%6.%7.%8"/>
      <w:lvlJc w:val="left"/>
      <w:pPr>
        <w:tabs>
          <w:tab w:val="left" w:pos="4351"/>
        </w:tabs>
        <w:ind w:left="3972" w:hanging="1418"/>
      </w:pPr>
    </w:lvl>
    <w:lvl w:ilvl="8" w:tentative="0">
      <w:start w:val="1"/>
      <w:numFmt w:val="decimal"/>
      <w:lvlText w:val="%1.%2.%3.%4.%5.%6.%7.%8.%9"/>
      <w:lvlJc w:val="left"/>
      <w:pPr>
        <w:tabs>
          <w:tab w:val="left" w:pos="4777"/>
        </w:tabs>
        <w:ind w:left="4677" w:hanging="1700"/>
      </w:pPr>
    </w:lvl>
  </w:abstractNum>
  <w:abstractNum w:abstractNumId="2">
    <w:nsid w:val="B16E2ACE"/>
    <w:multiLevelType w:val="multilevel"/>
    <w:tmpl w:val="B16E2ACE"/>
    <w:lvl w:ilvl="0" w:tentative="0">
      <w:start w:val="1"/>
      <w:numFmt w:val="upperLetter"/>
      <w:suff w:val="nothing"/>
      <w:lvlText w:val="附录%1"/>
      <w:lvlJc w:val="left"/>
      <w:pPr>
        <w:ind w:left="0" w:firstLine="0"/>
      </w:pPr>
      <w:rPr>
        <w:spacing w:val="100"/>
      </w:rPr>
    </w:lvl>
    <w:lvl w:ilvl="1" w:tentative="0">
      <w:start w:val="1"/>
      <w:numFmt w:val="decimal"/>
      <w:pStyle w:val="65"/>
      <w:suff w:val="nothing"/>
      <w:lvlText w:val="%1.%2　"/>
      <w:lvlJc w:val="left"/>
      <w:pPr>
        <w:ind w:left="0" w:firstLine="0"/>
      </w:pPr>
      <w:rPr>
        <w:rFonts w:hint="eastAsia" w:ascii="黑体" w:hAnsi="Times New Roman" w:eastAsia="黑体" w:cs="黑体"/>
        <w:b w:val="0"/>
        <w:i w:val="0"/>
        <w:sz w:val="21"/>
      </w:rPr>
    </w:lvl>
    <w:lvl w:ilvl="2" w:tentative="0">
      <w:start w:val="1"/>
      <w:numFmt w:val="decimal"/>
      <w:suff w:val="nothing"/>
      <w:lvlText w:val="%1.%2.%3　"/>
      <w:lvlJc w:val="left"/>
      <w:pPr>
        <w:ind w:left="0" w:firstLine="0"/>
      </w:pPr>
      <w:rPr>
        <w:rFonts w:hint="eastAsia" w:ascii="黑体" w:hAnsi="Times New Roman" w:eastAsia="黑体" w:cs="黑体"/>
        <w:b w:val="0"/>
        <w:i w:val="0"/>
        <w:sz w:val="21"/>
      </w:rPr>
    </w:lvl>
    <w:lvl w:ilvl="3" w:tentative="0">
      <w:start w:val="1"/>
      <w:numFmt w:val="decimal"/>
      <w:suff w:val="nothing"/>
      <w:lvlText w:val="%1.%2.%3.%4　"/>
      <w:lvlJc w:val="left"/>
      <w:pPr>
        <w:ind w:left="0" w:firstLine="0"/>
      </w:pPr>
      <w:rPr>
        <w:rFonts w:hint="eastAsia" w:ascii="黑体" w:hAnsi="Times New Roman" w:eastAsia="黑体" w:cs="黑体"/>
        <w:b w:val="0"/>
        <w:i w:val="0"/>
        <w:sz w:val="21"/>
      </w:rPr>
    </w:lvl>
    <w:lvl w:ilvl="4" w:tentative="0">
      <w:start w:val="1"/>
      <w:numFmt w:val="decimal"/>
      <w:suff w:val="nothing"/>
      <w:lvlText w:val="%1.%2.%3.%4.%5　"/>
      <w:lvlJc w:val="left"/>
      <w:pPr>
        <w:ind w:left="0" w:firstLine="0"/>
      </w:pPr>
      <w:rPr>
        <w:rFonts w:hint="eastAsia" w:ascii="黑体" w:hAnsi="Times New Roman" w:eastAsia="黑体" w:cs="黑体"/>
        <w:b w:val="0"/>
        <w:i w:val="0"/>
        <w:sz w:val="21"/>
      </w:rPr>
    </w:lvl>
    <w:lvl w:ilvl="5" w:tentative="0">
      <w:start w:val="1"/>
      <w:numFmt w:val="decimal"/>
      <w:suff w:val="nothing"/>
      <w:lvlText w:val="%1.%2.%3.%4.%5.%6　"/>
      <w:lvlJc w:val="left"/>
      <w:pPr>
        <w:ind w:left="0" w:firstLine="0"/>
      </w:pPr>
      <w:rPr>
        <w:rFonts w:hint="eastAsia" w:ascii="黑体" w:hAnsi="Times New Roman" w:eastAsia="黑体" w:cs="黑体"/>
        <w:b w:val="0"/>
        <w:i w:val="0"/>
        <w:sz w:val="21"/>
      </w:r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3">
    <w:nsid w:val="BA7B8511"/>
    <w:multiLevelType w:val="multilevel"/>
    <w:tmpl w:val="BA7B8511"/>
    <w:lvl w:ilvl="0" w:tentative="0">
      <w:start w:val="1"/>
      <w:numFmt w:val="decimal"/>
      <w:pStyle w:val="61"/>
      <w:suff w:val="nothing"/>
      <w:lvlText w:val="注%1："/>
      <w:lvlJc w:val="left"/>
      <w:pPr>
        <w:ind w:left="811" w:hanging="448"/>
      </w:pPr>
      <w:rPr>
        <w:rFonts w:hint="eastAsia" w:ascii="黑体" w:hAnsi="Times New Roman" w:eastAsia="黑体" w:cs="黑体"/>
        <w:b w:val="0"/>
        <w:i w:val="0"/>
        <w:sz w:val="18"/>
      </w:rPr>
    </w:lvl>
    <w:lvl w:ilvl="1" w:tentative="0">
      <w:start w:val="1"/>
      <w:numFmt w:val="lowerLetter"/>
      <w:lvlText w:val="%2)"/>
      <w:lvlJc w:val="left"/>
      <w:pPr>
        <w:tabs>
          <w:tab w:val="left" w:pos="0"/>
        </w:tabs>
        <w:ind w:left="992" w:hanging="629"/>
      </w:pPr>
    </w:lvl>
    <w:lvl w:ilvl="2" w:tentative="0">
      <w:start w:val="1"/>
      <w:numFmt w:val="lowerRoman"/>
      <w:lvlText w:val="%3."/>
      <w:lvlJc w:val="right"/>
      <w:pPr>
        <w:tabs>
          <w:tab w:val="left" w:pos="0"/>
        </w:tabs>
        <w:ind w:left="992" w:hanging="629"/>
      </w:pPr>
    </w:lvl>
    <w:lvl w:ilvl="3" w:tentative="0">
      <w:start w:val="1"/>
      <w:numFmt w:val="decimal"/>
      <w:lvlText w:val="%4."/>
      <w:lvlJc w:val="left"/>
      <w:pPr>
        <w:tabs>
          <w:tab w:val="left" w:pos="0"/>
        </w:tabs>
        <w:ind w:left="992" w:hanging="629"/>
      </w:pPr>
    </w:lvl>
    <w:lvl w:ilvl="4" w:tentative="0">
      <w:start w:val="1"/>
      <w:numFmt w:val="lowerLetter"/>
      <w:lvlText w:val="%5)"/>
      <w:lvlJc w:val="left"/>
      <w:pPr>
        <w:tabs>
          <w:tab w:val="left" w:pos="0"/>
        </w:tabs>
        <w:ind w:left="992" w:hanging="629"/>
      </w:pPr>
    </w:lvl>
    <w:lvl w:ilvl="5" w:tentative="0">
      <w:start w:val="1"/>
      <w:numFmt w:val="lowerRoman"/>
      <w:lvlText w:val="%6."/>
      <w:lvlJc w:val="right"/>
      <w:pPr>
        <w:tabs>
          <w:tab w:val="left" w:pos="0"/>
        </w:tabs>
        <w:ind w:left="992" w:hanging="629"/>
      </w:pPr>
    </w:lvl>
    <w:lvl w:ilvl="6" w:tentative="0">
      <w:start w:val="1"/>
      <w:numFmt w:val="decimal"/>
      <w:lvlText w:val="%7."/>
      <w:lvlJc w:val="left"/>
      <w:pPr>
        <w:tabs>
          <w:tab w:val="left" w:pos="0"/>
        </w:tabs>
        <w:ind w:left="992" w:hanging="629"/>
      </w:pPr>
    </w:lvl>
    <w:lvl w:ilvl="7" w:tentative="0">
      <w:start w:val="1"/>
      <w:numFmt w:val="lowerLetter"/>
      <w:lvlText w:val="%8)"/>
      <w:lvlJc w:val="left"/>
      <w:pPr>
        <w:tabs>
          <w:tab w:val="left" w:pos="0"/>
        </w:tabs>
        <w:ind w:left="992" w:hanging="629"/>
      </w:pPr>
    </w:lvl>
    <w:lvl w:ilvl="8" w:tentative="0">
      <w:start w:val="1"/>
      <w:numFmt w:val="lowerRoman"/>
      <w:lvlText w:val="%9."/>
      <w:lvlJc w:val="right"/>
      <w:pPr>
        <w:tabs>
          <w:tab w:val="left" w:pos="0"/>
        </w:tabs>
        <w:ind w:left="992" w:hanging="629"/>
      </w:pPr>
    </w:lvl>
  </w:abstractNum>
  <w:abstractNum w:abstractNumId="4">
    <w:nsid w:val="F947AA72"/>
    <w:multiLevelType w:val="multilevel"/>
    <w:tmpl w:val="F947AA72"/>
    <w:lvl w:ilvl="0" w:tentative="0">
      <w:start w:val="1"/>
      <w:numFmt w:val="upperLetter"/>
      <w:suff w:val="space"/>
      <w:lvlText w:val="%1"/>
      <w:lvlJc w:val="left"/>
      <w:pPr>
        <w:ind w:left="425" w:hanging="425"/>
      </w:pPr>
    </w:lvl>
    <w:lvl w:ilvl="1" w:tentative="0">
      <w:start w:val="1"/>
      <w:numFmt w:val="decimal"/>
      <w:pStyle w:val="63"/>
      <w:suff w:val="space"/>
      <w:lvlText w:val="表%1.%2"/>
      <w:lvlJc w:val="center"/>
      <w:pPr>
        <w:ind w:left="0" w:firstLine="0"/>
      </w:pPr>
      <w:rPr>
        <w:rFonts w:hint="eastAsia" w:ascii="黑体" w:hAnsi="Times New Roman" w:eastAsia="黑体" w:cs="黑体"/>
        <w:sz w:val="21"/>
      </w:rPr>
    </w:lvl>
    <w:lvl w:ilvl="2" w:tentative="0">
      <w:start w:val="1"/>
      <w:numFmt w:val="decimal"/>
      <w:lvlText w:val="%1.%2.%3"/>
      <w:lvlJc w:val="left"/>
      <w:pPr>
        <w:ind w:left="1418" w:hanging="567"/>
      </w:pPr>
    </w:lvl>
    <w:lvl w:ilvl="3" w:tentative="0">
      <w:start w:val="1"/>
      <w:numFmt w:val="decimal"/>
      <w:lvlText w:val="%1.%2.%3.%4"/>
      <w:lvlJc w:val="left"/>
      <w:pPr>
        <w:ind w:left="1984" w:hanging="708"/>
      </w:pPr>
    </w:lvl>
    <w:lvl w:ilvl="4" w:tentative="0">
      <w:start w:val="1"/>
      <w:numFmt w:val="decimal"/>
      <w:lvlText w:val="%1.%2.%3.%4.%5"/>
      <w:lvlJc w:val="left"/>
      <w:pPr>
        <w:ind w:left="2551" w:hanging="850"/>
      </w:pPr>
    </w:lvl>
    <w:lvl w:ilvl="5" w:tentative="0">
      <w:start w:val="1"/>
      <w:numFmt w:val="decimal"/>
      <w:lvlText w:val="%1.%2.%3.%4.%5.%6"/>
      <w:lvlJc w:val="left"/>
      <w:pPr>
        <w:ind w:left="3260" w:hanging="1135"/>
      </w:pPr>
    </w:lvl>
    <w:lvl w:ilvl="6" w:tentative="0">
      <w:start w:val="1"/>
      <w:numFmt w:val="decimal"/>
      <w:lvlText w:val="%1.%2.%3.%4.%5.%6.%7"/>
      <w:lvlJc w:val="left"/>
      <w:pPr>
        <w:ind w:left="3827" w:hanging="1276"/>
      </w:pPr>
    </w:lvl>
    <w:lvl w:ilvl="7" w:tentative="0">
      <w:start w:val="1"/>
      <w:numFmt w:val="decimal"/>
      <w:lvlText w:val="%1.%2.%3.%4.%5.%6.%7.%8"/>
      <w:lvlJc w:val="left"/>
      <w:pPr>
        <w:ind w:left="4394" w:hanging="1418"/>
      </w:pPr>
    </w:lvl>
    <w:lvl w:ilvl="8" w:tentative="0">
      <w:start w:val="1"/>
      <w:numFmt w:val="decimal"/>
      <w:lvlText w:val="%1.%2.%3.%4.%5.%6.%7.%8.%9"/>
      <w:lvlJc w:val="left"/>
      <w:pPr>
        <w:ind w:left="5102" w:hanging="1700"/>
      </w:pPr>
    </w:lvl>
  </w:abstractNum>
  <w:abstractNum w:abstractNumId="5">
    <w:nsid w:val="0FFFFF7E"/>
    <w:multiLevelType w:val="singleLevel"/>
    <w:tmpl w:val="0FFFFF7E"/>
    <w:lvl w:ilvl="0" w:tentative="0">
      <w:start w:val="1"/>
      <w:numFmt w:val="decimal"/>
      <w:lvlText w:val="%1."/>
      <w:lvlJc w:val="left"/>
      <w:pPr>
        <w:tabs>
          <w:tab w:val="left" w:pos="1200"/>
        </w:tabs>
        <w:ind w:left="1200" w:hanging="360"/>
      </w:pPr>
    </w:lvl>
  </w:abstractNum>
  <w:abstractNum w:abstractNumId="6">
    <w:nsid w:val="0FFFFF7F"/>
    <w:multiLevelType w:val="singleLevel"/>
    <w:tmpl w:val="0FFFFF7F"/>
    <w:lvl w:ilvl="0" w:tentative="0">
      <w:start w:val="1"/>
      <w:numFmt w:val="decimal"/>
      <w:lvlText w:val="%1."/>
      <w:lvlJc w:val="left"/>
      <w:pPr>
        <w:tabs>
          <w:tab w:val="left" w:pos="780"/>
        </w:tabs>
        <w:ind w:left="780" w:hanging="360"/>
      </w:pPr>
    </w:lvl>
  </w:abstractNum>
  <w:abstractNum w:abstractNumId="7">
    <w:nsid w:val="2C5917C3"/>
    <w:multiLevelType w:val="multilevel"/>
    <w:tmpl w:val="2C5917C3"/>
    <w:lvl w:ilvl="0" w:tentative="0">
      <w:start w:val="1"/>
      <w:numFmt w:val="none"/>
      <w:pStyle w:val="58"/>
      <w:lvlText w:val="%1——"/>
      <w:lvlJc w:val="left"/>
      <w:pPr>
        <w:tabs>
          <w:tab w:val="left" w:pos="851"/>
        </w:tabs>
        <w:ind w:left="636" w:hanging="426"/>
      </w:pPr>
      <w:rPr>
        <w:rFonts w:hint="eastAsia" w:ascii="宋体" w:hAnsi="Times New Roman" w:eastAsia="宋体"/>
        <w:b w:val="0"/>
        <w:i w:val="0"/>
        <w:sz w:val="21"/>
      </w:rPr>
    </w:lvl>
    <w:lvl w:ilvl="1" w:tentative="0">
      <w:start w:val="1"/>
      <w:numFmt w:val="none"/>
      <w:lvlText w:val=""/>
      <w:lvlJc w:val="left"/>
      <w:pPr>
        <w:ind w:left="636" w:hanging="431"/>
      </w:pPr>
      <w:rPr>
        <w:rFonts w:hint="default" w:ascii="Symbol" w:hAnsi="Symbol"/>
        <w:sz w:val="21"/>
      </w:rPr>
    </w:lvl>
    <w:lvl w:ilvl="2" w:tentative="0">
      <w:start w:val="1"/>
      <w:numFmt w:val="bullet"/>
      <w:lvlText w:val=""/>
      <w:lvlJc w:val="left"/>
      <w:pPr>
        <w:ind w:left="636" w:hanging="426"/>
      </w:pPr>
      <w:rPr>
        <w:rFonts w:hint="default" w:ascii="Wingdings" w:hAnsi="Wingdings"/>
        <w:sz w:val="21"/>
      </w:rPr>
    </w:lvl>
    <w:lvl w:ilvl="3" w:tentative="0">
      <w:start w:val="1"/>
      <w:numFmt w:val="decimal"/>
      <w:lvlText w:val="%4."/>
      <w:lvlJc w:val="left"/>
      <w:pPr>
        <w:tabs>
          <w:tab w:val="left" w:pos="2071"/>
        </w:tabs>
        <w:ind w:left="1669" w:hanging="528"/>
      </w:pPr>
      <w:rPr>
        <w:rFonts w:hint="eastAsia"/>
      </w:rPr>
    </w:lvl>
    <w:lvl w:ilvl="4" w:tentative="0">
      <w:start w:val="1"/>
      <w:numFmt w:val="lowerLetter"/>
      <w:lvlText w:val="%5)"/>
      <w:lvlJc w:val="left"/>
      <w:pPr>
        <w:tabs>
          <w:tab w:val="left" w:pos="2383"/>
        </w:tabs>
        <w:ind w:left="1981" w:hanging="528"/>
      </w:pPr>
      <w:rPr>
        <w:rFonts w:hint="eastAsia"/>
      </w:rPr>
    </w:lvl>
    <w:lvl w:ilvl="5" w:tentative="0">
      <w:start w:val="1"/>
      <w:numFmt w:val="lowerRoman"/>
      <w:lvlText w:val="%6."/>
      <w:lvlJc w:val="right"/>
      <w:pPr>
        <w:tabs>
          <w:tab w:val="left" w:pos="2695"/>
        </w:tabs>
        <w:ind w:left="2293" w:hanging="528"/>
      </w:pPr>
      <w:rPr>
        <w:rFonts w:hint="eastAsia"/>
      </w:rPr>
    </w:lvl>
    <w:lvl w:ilvl="6" w:tentative="0">
      <w:start w:val="1"/>
      <w:numFmt w:val="decimal"/>
      <w:lvlText w:val="%7."/>
      <w:lvlJc w:val="left"/>
      <w:pPr>
        <w:tabs>
          <w:tab w:val="left" w:pos="3007"/>
        </w:tabs>
        <w:ind w:left="2605" w:hanging="528"/>
      </w:pPr>
      <w:rPr>
        <w:rFonts w:hint="eastAsia"/>
      </w:rPr>
    </w:lvl>
    <w:lvl w:ilvl="7" w:tentative="0">
      <w:start w:val="1"/>
      <w:numFmt w:val="lowerLetter"/>
      <w:lvlText w:val="%8)"/>
      <w:lvlJc w:val="left"/>
      <w:pPr>
        <w:tabs>
          <w:tab w:val="left" w:pos="3319"/>
        </w:tabs>
        <w:ind w:left="2917" w:hanging="528"/>
      </w:pPr>
      <w:rPr>
        <w:rFonts w:hint="eastAsia"/>
      </w:rPr>
    </w:lvl>
    <w:lvl w:ilvl="8" w:tentative="0">
      <w:start w:val="1"/>
      <w:numFmt w:val="lowerRoman"/>
      <w:lvlText w:val="%9."/>
      <w:lvlJc w:val="right"/>
      <w:pPr>
        <w:tabs>
          <w:tab w:val="left" w:pos="3631"/>
        </w:tabs>
        <w:ind w:left="3229" w:hanging="528"/>
      </w:pPr>
      <w:rPr>
        <w:rFonts w:hint="eastAsia"/>
      </w:rPr>
    </w:lvl>
  </w:abstractNum>
  <w:abstractNum w:abstractNumId="8">
    <w:nsid w:val="44C50F90"/>
    <w:multiLevelType w:val="multilevel"/>
    <w:tmpl w:val="44C50F90"/>
    <w:lvl w:ilvl="0" w:tentative="0">
      <w:start w:val="1"/>
      <w:numFmt w:val="lowerLetter"/>
      <w:pStyle w:val="53"/>
      <w:lvlText w:val="%1)"/>
      <w:lvlJc w:val="left"/>
      <w:pPr>
        <w:tabs>
          <w:tab w:val="left" w:pos="851"/>
        </w:tabs>
        <w:ind w:left="851" w:hanging="426"/>
      </w:pPr>
      <w:rPr>
        <w:rFonts w:hint="eastAsia" w:ascii="宋体" w:hAnsi="Times New Roman" w:eastAsia="宋体"/>
        <w:sz w:val="21"/>
      </w:rPr>
    </w:lvl>
    <w:lvl w:ilvl="1" w:tentative="0">
      <w:start w:val="1"/>
      <w:numFmt w:val="decimal"/>
      <w:pStyle w:val="51"/>
      <w:lvlText w:val="%2)"/>
      <w:lvlJc w:val="left"/>
      <w:pPr>
        <w:tabs>
          <w:tab w:val="left" w:pos="1276"/>
        </w:tabs>
        <w:ind w:left="1276" w:hanging="425"/>
      </w:pPr>
      <w:rPr>
        <w:rFonts w:hint="eastAsia" w:ascii="宋体" w:hAnsi="Times New Roman" w:eastAsia="宋体"/>
        <w:sz w:val="21"/>
      </w:rPr>
    </w:lvl>
    <w:lvl w:ilvl="2" w:tentative="0">
      <w:start w:val="1"/>
      <w:numFmt w:val="decimal"/>
      <w:pStyle w:val="52"/>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9">
    <w:nsid w:val="5A9B6960"/>
    <w:multiLevelType w:val="multilevel"/>
    <w:tmpl w:val="5A9B6960"/>
    <w:lvl w:ilvl="0" w:tentative="0">
      <w:start w:val="1"/>
      <w:numFmt w:val="none"/>
      <w:pStyle w:val="41"/>
      <w:suff w:val="nothing"/>
      <w:lvlText w:val="%1"/>
      <w:legacy w:legacy="1" w:legacySpace="0" w:legacyIndent="0"/>
      <w:lvlJc w:val="left"/>
      <w:pPr>
        <w:ind w:left="0" w:firstLine="0"/>
      </w:pPr>
      <w:rPr>
        <w:rFonts w:hint="eastAsia"/>
      </w:rPr>
    </w:lvl>
    <w:lvl w:ilvl="1" w:tentative="0">
      <w:start w:val="1"/>
      <w:numFmt w:val="decimal"/>
      <w:pStyle w:val="35"/>
      <w:suff w:val="nothing"/>
      <w:lvlText w:val="%1%2　"/>
      <w:legacy w:legacy="1" w:legacySpace="0" w:legacyIndent="0"/>
      <w:lvlJc w:val="left"/>
      <w:pPr>
        <w:ind w:left="0" w:firstLine="0"/>
      </w:pPr>
      <w:rPr>
        <w:rFonts w:hint="eastAsia" w:ascii="黑体" w:hAnsi="黑体" w:eastAsia="黑体"/>
        <w:b w:val="0"/>
        <w:i w:val="0"/>
        <w:sz w:val="21"/>
      </w:rPr>
    </w:lvl>
    <w:lvl w:ilvl="2" w:tentative="0">
      <w:start w:val="1"/>
      <w:numFmt w:val="decimal"/>
      <w:pStyle w:val="37"/>
      <w:suff w:val="nothing"/>
      <w:lvlText w:val="%1%2.%3　"/>
      <w:legacy w:legacy="1" w:legacySpace="0" w:legacyIndent="0"/>
      <w:lvlJc w:val="left"/>
      <w:pPr>
        <w:ind w:left="0" w:firstLine="0"/>
      </w:pPr>
      <w:rPr>
        <w:rFonts w:hint="eastAsia" w:ascii="黑体" w:hAnsi="黑体" w:eastAsia="黑体" w:cs="Times New Roman"/>
        <w:b w:val="0"/>
        <w:bCs w:val="0"/>
        <w:i w:val="0"/>
        <w:iCs w:val="0"/>
        <w:caps w:val="0"/>
        <w:smallCaps w:val="0"/>
        <w:strike w:val="0"/>
        <w:dstrike w:val="0"/>
        <w:vanish w:val="0"/>
        <w:color w:val="000000"/>
        <w:spacing w:val="0"/>
        <w:kern w:val="0"/>
        <w:position w:val="0"/>
        <w:sz w:val="21"/>
        <w:u w:val="none"/>
        <w:vertAlign w:val="baseline"/>
      </w:rPr>
    </w:lvl>
    <w:lvl w:ilvl="3" w:tentative="0">
      <w:start w:val="1"/>
      <w:numFmt w:val="decimal"/>
      <w:suff w:val="nothing"/>
      <w:lvlText w:val="%1%2.%3.%4　"/>
      <w:legacy w:legacy="1" w:legacySpace="0" w:legacyIndent="0"/>
      <w:lvlJc w:val="left"/>
      <w:pPr>
        <w:ind w:left="0" w:firstLine="0"/>
      </w:pPr>
      <w:rPr>
        <w:rFonts w:hint="eastAsia" w:ascii="黑体" w:hAnsi="黑体" w:eastAsia="黑体"/>
        <w:b w:val="0"/>
        <w:i w:val="0"/>
        <w:sz w:val="21"/>
      </w:rPr>
    </w:lvl>
    <w:lvl w:ilvl="4" w:tentative="0">
      <w:start w:val="1"/>
      <w:numFmt w:val="decimal"/>
      <w:pStyle w:val="43"/>
      <w:suff w:val="nothing"/>
      <w:lvlText w:val="%1%2.%3.%4.%5　"/>
      <w:legacy w:legacy="1" w:legacySpace="0" w:legacyIndent="0"/>
      <w:lvlJc w:val="left"/>
      <w:pPr>
        <w:ind w:left="0" w:firstLine="0"/>
      </w:pPr>
      <w:rPr>
        <w:rFonts w:hint="eastAsia" w:ascii="黑体" w:hAnsi="黑体" w:eastAsia="黑体"/>
        <w:b w:val="0"/>
        <w:i w:val="0"/>
        <w:sz w:val="21"/>
      </w:rPr>
    </w:lvl>
    <w:lvl w:ilvl="5" w:tentative="0">
      <w:start w:val="1"/>
      <w:numFmt w:val="decimal"/>
      <w:pStyle w:val="42"/>
      <w:suff w:val="nothing"/>
      <w:lvlText w:val="%1%2.%3.%4.%5.%6　"/>
      <w:legacy w:legacy="1" w:legacySpace="0" w:legacyIndent="0"/>
      <w:lvlJc w:val="left"/>
      <w:pPr>
        <w:ind w:left="0" w:firstLine="0"/>
      </w:pPr>
      <w:rPr>
        <w:rFonts w:hint="eastAsia" w:ascii="黑体" w:hAnsi="黑体" w:eastAsia="黑体"/>
        <w:b w:val="0"/>
        <w:i w:val="0"/>
        <w:sz w:val="21"/>
      </w:rPr>
    </w:lvl>
    <w:lvl w:ilvl="6" w:tentative="0">
      <w:start w:val="1"/>
      <w:numFmt w:val="decimal"/>
      <w:pStyle w:val="40"/>
      <w:suff w:val="nothing"/>
      <w:lvlText w:val="%1%2.%3.%4.%5.%6.%7　"/>
      <w:legacy w:legacy="1" w:legacySpace="0" w:legacyIndent="0"/>
      <w:lvlJc w:val="left"/>
      <w:pPr>
        <w:ind w:left="0" w:firstLine="0"/>
      </w:pPr>
      <w:rPr>
        <w:rFonts w:hint="eastAsia" w:ascii="黑体" w:hAnsi="黑体" w:eastAsia="黑体"/>
        <w:b w:val="0"/>
        <w:i w:val="0"/>
        <w:sz w:val="21"/>
      </w:rPr>
    </w:lvl>
    <w:lvl w:ilvl="7" w:tentative="0">
      <w:start w:val="1"/>
      <w:numFmt w:val="decimal"/>
      <w:lvlText w:val="%1.%2.%3.%4.%5.%6.%7.%8"/>
      <w:legacy w:legacy="1" w:legacySpace="0" w:legacyIndent="1418"/>
      <w:lvlJc w:val="left"/>
      <w:pPr>
        <w:ind w:left="3969" w:hanging="1418"/>
      </w:pPr>
      <w:rPr>
        <w:rFonts w:hint="eastAsia"/>
      </w:rPr>
    </w:lvl>
    <w:lvl w:ilvl="8" w:tentative="0">
      <w:start w:val="1"/>
      <w:numFmt w:val="decimal"/>
      <w:lvlText w:val="%1.%2.%3.%4.%5.%6.%7.%8.%9"/>
      <w:legacy w:legacy="1" w:legacySpace="0" w:legacyIndent="1700"/>
      <w:lvlJc w:val="left"/>
      <w:pPr>
        <w:ind w:left="4677" w:hanging="1700"/>
      </w:pPr>
      <w:rPr>
        <w:rFonts w:hint="eastAsia"/>
      </w:rPr>
    </w:lvl>
  </w:abstractNum>
  <w:num w:numId="1">
    <w:abstractNumId w:val="9"/>
  </w:num>
  <w:num w:numId="2">
    <w:abstractNumId w:val="0"/>
  </w:num>
  <w:num w:numId="3">
    <w:abstractNumId w:val="6"/>
  </w:num>
  <w:num w:numId="4">
    <w:abstractNumId w:val="5"/>
  </w:num>
  <w:num w:numId="5">
    <w:abstractNumId w:val="8"/>
  </w:num>
  <w:num w:numId="6">
    <w:abstractNumId w:val="7"/>
  </w:num>
  <w:num w:numId="7">
    <w:abstractNumId w:val="1"/>
  </w:num>
  <w:num w:numId="8">
    <w:abstractNumId w:val="3"/>
  </w:num>
  <w:num w:numId="9">
    <w:abstractNumId w:val="4"/>
  </w:num>
  <w:num w:numId="1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TrueTypeFonts/>
  <w:saveSubset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1"/>
  <w:displayVerticalDrawingGridEvery w:val="1"/>
  <w:noPunctuationKerning w:val="1"/>
  <w:characterSpacingControl w:val="compressPunctuation"/>
  <w:doNotValidateAgainstSchema/>
  <w:doNotDemarcateInvalidXml/>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mU0OWNhMGUyYzc2MTI5ZWY2NzM4MTVkMDAwODg0YzMifQ=="/>
  </w:docVars>
  <w:rsids>
    <w:rsidRoot w:val="000D75AA"/>
    <w:rsid w:val="000068A2"/>
    <w:rsid w:val="00014983"/>
    <w:rsid w:val="000178C8"/>
    <w:rsid w:val="00022F61"/>
    <w:rsid w:val="00043782"/>
    <w:rsid w:val="00051BC1"/>
    <w:rsid w:val="00055442"/>
    <w:rsid w:val="000678FF"/>
    <w:rsid w:val="00072103"/>
    <w:rsid w:val="00075653"/>
    <w:rsid w:val="0008200B"/>
    <w:rsid w:val="00082613"/>
    <w:rsid w:val="000A2817"/>
    <w:rsid w:val="000C517B"/>
    <w:rsid w:val="000D75AA"/>
    <w:rsid w:val="000E53EA"/>
    <w:rsid w:val="001133E6"/>
    <w:rsid w:val="00142D19"/>
    <w:rsid w:val="001655CC"/>
    <w:rsid w:val="0018012C"/>
    <w:rsid w:val="001821C9"/>
    <w:rsid w:val="001A7570"/>
    <w:rsid w:val="001C58D4"/>
    <w:rsid w:val="001D3156"/>
    <w:rsid w:val="001D4C84"/>
    <w:rsid w:val="001E2D73"/>
    <w:rsid w:val="001E6087"/>
    <w:rsid w:val="0020127F"/>
    <w:rsid w:val="00205352"/>
    <w:rsid w:val="002210B4"/>
    <w:rsid w:val="0022236C"/>
    <w:rsid w:val="002227B6"/>
    <w:rsid w:val="002324B6"/>
    <w:rsid w:val="00234F7D"/>
    <w:rsid w:val="00236909"/>
    <w:rsid w:val="00236EB4"/>
    <w:rsid w:val="00241F8A"/>
    <w:rsid w:val="00281F39"/>
    <w:rsid w:val="0028500C"/>
    <w:rsid w:val="002879F6"/>
    <w:rsid w:val="002905CF"/>
    <w:rsid w:val="00292F73"/>
    <w:rsid w:val="0029554A"/>
    <w:rsid w:val="002A3479"/>
    <w:rsid w:val="002B7C92"/>
    <w:rsid w:val="002D530A"/>
    <w:rsid w:val="002E357A"/>
    <w:rsid w:val="002F2059"/>
    <w:rsid w:val="00301664"/>
    <w:rsid w:val="00321E92"/>
    <w:rsid w:val="003223ED"/>
    <w:rsid w:val="003259AF"/>
    <w:rsid w:val="003332BA"/>
    <w:rsid w:val="00337000"/>
    <w:rsid w:val="00340D9B"/>
    <w:rsid w:val="003421C0"/>
    <w:rsid w:val="003517E7"/>
    <w:rsid w:val="00372E66"/>
    <w:rsid w:val="00375933"/>
    <w:rsid w:val="00382E35"/>
    <w:rsid w:val="00396F2C"/>
    <w:rsid w:val="003D06F2"/>
    <w:rsid w:val="003D485E"/>
    <w:rsid w:val="00426DC5"/>
    <w:rsid w:val="004373E9"/>
    <w:rsid w:val="0044036C"/>
    <w:rsid w:val="0044065E"/>
    <w:rsid w:val="004805DB"/>
    <w:rsid w:val="0048511D"/>
    <w:rsid w:val="004A75FF"/>
    <w:rsid w:val="004B4D68"/>
    <w:rsid w:val="004F29B4"/>
    <w:rsid w:val="00515B82"/>
    <w:rsid w:val="0051755E"/>
    <w:rsid w:val="005244B1"/>
    <w:rsid w:val="00533B2A"/>
    <w:rsid w:val="00554B7D"/>
    <w:rsid w:val="00564A0C"/>
    <w:rsid w:val="005A1D9D"/>
    <w:rsid w:val="005C6C34"/>
    <w:rsid w:val="005D6C77"/>
    <w:rsid w:val="005E3C13"/>
    <w:rsid w:val="005E7B33"/>
    <w:rsid w:val="005F1668"/>
    <w:rsid w:val="005F2FD2"/>
    <w:rsid w:val="005F4961"/>
    <w:rsid w:val="00617B08"/>
    <w:rsid w:val="00627AB4"/>
    <w:rsid w:val="006335ED"/>
    <w:rsid w:val="006343EC"/>
    <w:rsid w:val="0063539D"/>
    <w:rsid w:val="006360BD"/>
    <w:rsid w:val="00636EA7"/>
    <w:rsid w:val="00637F53"/>
    <w:rsid w:val="006511A8"/>
    <w:rsid w:val="0067378F"/>
    <w:rsid w:val="00691000"/>
    <w:rsid w:val="006B0BA0"/>
    <w:rsid w:val="006B12C0"/>
    <w:rsid w:val="006F2543"/>
    <w:rsid w:val="00714DDE"/>
    <w:rsid w:val="00727452"/>
    <w:rsid w:val="00730613"/>
    <w:rsid w:val="0074491A"/>
    <w:rsid w:val="007557E4"/>
    <w:rsid w:val="00756356"/>
    <w:rsid w:val="007643FB"/>
    <w:rsid w:val="00774434"/>
    <w:rsid w:val="007756AB"/>
    <w:rsid w:val="00781D6C"/>
    <w:rsid w:val="00784DBC"/>
    <w:rsid w:val="007A149B"/>
    <w:rsid w:val="007B46C1"/>
    <w:rsid w:val="007C244C"/>
    <w:rsid w:val="007E6054"/>
    <w:rsid w:val="007F29ED"/>
    <w:rsid w:val="00801A7F"/>
    <w:rsid w:val="00814260"/>
    <w:rsid w:val="00817F67"/>
    <w:rsid w:val="008247C4"/>
    <w:rsid w:val="00826BFA"/>
    <w:rsid w:val="00853F5C"/>
    <w:rsid w:val="008572EE"/>
    <w:rsid w:val="00874BB5"/>
    <w:rsid w:val="008779C2"/>
    <w:rsid w:val="00880107"/>
    <w:rsid w:val="00884366"/>
    <w:rsid w:val="00887632"/>
    <w:rsid w:val="00895F4A"/>
    <w:rsid w:val="008973E6"/>
    <w:rsid w:val="008B1DEA"/>
    <w:rsid w:val="008B6B5F"/>
    <w:rsid w:val="008E1EB5"/>
    <w:rsid w:val="00926E1B"/>
    <w:rsid w:val="00932BA3"/>
    <w:rsid w:val="00947EBA"/>
    <w:rsid w:val="009718CC"/>
    <w:rsid w:val="009A4141"/>
    <w:rsid w:val="009B7918"/>
    <w:rsid w:val="009E3161"/>
    <w:rsid w:val="00A06B7F"/>
    <w:rsid w:val="00A16A3E"/>
    <w:rsid w:val="00A263D3"/>
    <w:rsid w:val="00A365A2"/>
    <w:rsid w:val="00A368A3"/>
    <w:rsid w:val="00A37FDF"/>
    <w:rsid w:val="00A42C5E"/>
    <w:rsid w:val="00A47FB7"/>
    <w:rsid w:val="00A75476"/>
    <w:rsid w:val="00A87F41"/>
    <w:rsid w:val="00A95A00"/>
    <w:rsid w:val="00AB5B3D"/>
    <w:rsid w:val="00AC57C3"/>
    <w:rsid w:val="00AD0172"/>
    <w:rsid w:val="00AE408C"/>
    <w:rsid w:val="00B0429D"/>
    <w:rsid w:val="00B051B4"/>
    <w:rsid w:val="00B07A8A"/>
    <w:rsid w:val="00B3173E"/>
    <w:rsid w:val="00B66676"/>
    <w:rsid w:val="00B73416"/>
    <w:rsid w:val="00B77477"/>
    <w:rsid w:val="00B91573"/>
    <w:rsid w:val="00B94EFE"/>
    <w:rsid w:val="00B954B8"/>
    <w:rsid w:val="00BA570D"/>
    <w:rsid w:val="00BB6932"/>
    <w:rsid w:val="00BB7B52"/>
    <w:rsid w:val="00BD2990"/>
    <w:rsid w:val="00C06762"/>
    <w:rsid w:val="00C07069"/>
    <w:rsid w:val="00C1104E"/>
    <w:rsid w:val="00C123EE"/>
    <w:rsid w:val="00C13CB6"/>
    <w:rsid w:val="00C20386"/>
    <w:rsid w:val="00CC71EF"/>
    <w:rsid w:val="00CE7CD2"/>
    <w:rsid w:val="00D0457A"/>
    <w:rsid w:val="00D35977"/>
    <w:rsid w:val="00D43F5A"/>
    <w:rsid w:val="00D8569E"/>
    <w:rsid w:val="00D87F07"/>
    <w:rsid w:val="00D9142A"/>
    <w:rsid w:val="00D9735E"/>
    <w:rsid w:val="00DB7F6F"/>
    <w:rsid w:val="00DD5A6C"/>
    <w:rsid w:val="00DF4FB8"/>
    <w:rsid w:val="00E07E23"/>
    <w:rsid w:val="00E1324A"/>
    <w:rsid w:val="00E27034"/>
    <w:rsid w:val="00E32D4B"/>
    <w:rsid w:val="00E40372"/>
    <w:rsid w:val="00E41116"/>
    <w:rsid w:val="00E414EF"/>
    <w:rsid w:val="00E455A5"/>
    <w:rsid w:val="00E835A1"/>
    <w:rsid w:val="00E83E2D"/>
    <w:rsid w:val="00E843B2"/>
    <w:rsid w:val="00ED41E5"/>
    <w:rsid w:val="00EE332B"/>
    <w:rsid w:val="00EF4610"/>
    <w:rsid w:val="00EF6CB2"/>
    <w:rsid w:val="00F01A5C"/>
    <w:rsid w:val="00F1246B"/>
    <w:rsid w:val="00F40513"/>
    <w:rsid w:val="00F424A9"/>
    <w:rsid w:val="00F5729F"/>
    <w:rsid w:val="00F65587"/>
    <w:rsid w:val="00F77E06"/>
    <w:rsid w:val="00F843C0"/>
    <w:rsid w:val="00F9021F"/>
    <w:rsid w:val="00FA7D60"/>
    <w:rsid w:val="00FB260A"/>
    <w:rsid w:val="00FC7CE6"/>
    <w:rsid w:val="00FD5DA3"/>
    <w:rsid w:val="00FD6497"/>
    <w:rsid w:val="00FF2EC3"/>
    <w:rsid w:val="00FF56B9"/>
    <w:rsid w:val="012A4E2C"/>
    <w:rsid w:val="013B5F16"/>
    <w:rsid w:val="023615AF"/>
    <w:rsid w:val="025E2D19"/>
    <w:rsid w:val="02614FC7"/>
    <w:rsid w:val="02DC2156"/>
    <w:rsid w:val="02E132C9"/>
    <w:rsid w:val="02E82811"/>
    <w:rsid w:val="030A6CC4"/>
    <w:rsid w:val="03614FBD"/>
    <w:rsid w:val="036C0D75"/>
    <w:rsid w:val="036E42DF"/>
    <w:rsid w:val="039B3DC0"/>
    <w:rsid w:val="03CC3F79"/>
    <w:rsid w:val="03FB03BA"/>
    <w:rsid w:val="04790F9B"/>
    <w:rsid w:val="04DA4474"/>
    <w:rsid w:val="04EC1DF7"/>
    <w:rsid w:val="057B7A05"/>
    <w:rsid w:val="05CD222A"/>
    <w:rsid w:val="05FD2B10"/>
    <w:rsid w:val="06084616"/>
    <w:rsid w:val="0619721E"/>
    <w:rsid w:val="06456265"/>
    <w:rsid w:val="06A74CDB"/>
    <w:rsid w:val="06A9292B"/>
    <w:rsid w:val="06C54323"/>
    <w:rsid w:val="06F70C16"/>
    <w:rsid w:val="071B1228"/>
    <w:rsid w:val="074B78AB"/>
    <w:rsid w:val="07BE53C7"/>
    <w:rsid w:val="08096B2E"/>
    <w:rsid w:val="085454AC"/>
    <w:rsid w:val="08892439"/>
    <w:rsid w:val="08EF7A39"/>
    <w:rsid w:val="095073FA"/>
    <w:rsid w:val="09C13E54"/>
    <w:rsid w:val="09EB05D3"/>
    <w:rsid w:val="0A530F50"/>
    <w:rsid w:val="0A5844F0"/>
    <w:rsid w:val="0AA132EE"/>
    <w:rsid w:val="0B3D750A"/>
    <w:rsid w:val="0B927BA2"/>
    <w:rsid w:val="0BB30133"/>
    <w:rsid w:val="0BC74F47"/>
    <w:rsid w:val="0BE32369"/>
    <w:rsid w:val="0BFD70B9"/>
    <w:rsid w:val="0C4845D6"/>
    <w:rsid w:val="0C770416"/>
    <w:rsid w:val="0CCA0D59"/>
    <w:rsid w:val="0D0227B2"/>
    <w:rsid w:val="0DB22432"/>
    <w:rsid w:val="0E1B0D4A"/>
    <w:rsid w:val="0EE41D10"/>
    <w:rsid w:val="0F29068B"/>
    <w:rsid w:val="100005AB"/>
    <w:rsid w:val="10395851"/>
    <w:rsid w:val="10A125AF"/>
    <w:rsid w:val="10B547F0"/>
    <w:rsid w:val="10BF65F0"/>
    <w:rsid w:val="11186A50"/>
    <w:rsid w:val="11386E78"/>
    <w:rsid w:val="11B73ED3"/>
    <w:rsid w:val="121E62E8"/>
    <w:rsid w:val="12241424"/>
    <w:rsid w:val="12277661"/>
    <w:rsid w:val="12511EBC"/>
    <w:rsid w:val="12B66520"/>
    <w:rsid w:val="12D30089"/>
    <w:rsid w:val="133D4C82"/>
    <w:rsid w:val="13D12EE6"/>
    <w:rsid w:val="13EE1CEA"/>
    <w:rsid w:val="13F37300"/>
    <w:rsid w:val="13FA2960"/>
    <w:rsid w:val="14700951"/>
    <w:rsid w:val="148154C9"/>
    <w:rsid w:val="151244E3"/>
    <w:rsid w:val="156F60AE"/>
    <w:rsid w:val="15DF0A75"/>
    <w:rsid w:val="16875DAB"/>
    <w:rsid w:val="169F0A74"/>
    <w:rsid w:val="16A11295"/>
    <w:rsid w:val="174D6D27"/>
    <w:rsid w:val="175400B6"/>
    <w:rsid w:val="17C675A6"/>
    <w:rsid w:val="17D631C0"/>
    <w:rsid w:val="18CE5C46"/>
    <w:rsid w:val="196F7429"/>
    <w:rsid w:val="19C77265"/>
    <w:rsid w:val="1A2024D1"/>
    <w:rsid w:val="1A2A2D28"/>
    <w:rsid w:val="1A514D80"/>
    <w:rsid w:val="1ABC0F82"/>
    <w:rsid w:val="1B9C64CF"/>
    <w:rsid w:val="1C0F4EF3"/>
    <w:rsid w:val="1C5E2638"/>
    <w:rsid w:val="1CAD7BD6"/>
    <w:rsid w:val="1CDC3027"/>
    <w:rsid w:val="1D2C4A21"/>
    <w:rsid w:val="1D4806BC"/>
    <w:rsid w:val="1E023D84"/>
    <w:rsid w:val="1E6C7E3E"/>
    <w:rsid w:val="1E8C6387"/>
    <w:rsid w:val="1EEE7042"/>
    <w:rsid w:val="1EF0375A"/>
    <w:rsid w:val="1F436741"/>
    <w:rsid w:val="1FFA549F"/>
    <w:rsid w:val="20346CD6"/>
    <w:rsid w:val="206E043A"/>
    <w:rsid w:val="20B63B8F"/>
    <w:rsid w:val="20FB3F44"/>
    <w:rsid w:val="211200FF"/>
    <w:rsid w:val="213662DF"/>
    <w:rsid w:val="213E3BC7"/>
    <w:rsid w:val="21B75E11"/>
    <w:rsid w:val="22D62711"/>
    <w:rsid w:val="23046E34"/>
    <w:rsid w:val="23675615"/>
    <w:rsid w:val="23E80503"/>
    <w:rsid w:val="24376F6E"/>
    <w:rsid w:val="2443573A"/>
    <w:rsid w:val="24B42104"/>
    <w:rsid w:val="24F86524"/>
    <w:rsid w:val="25496D80"/>
    <w:rsid w:val="25670B39"/>
    <w:rsid w:val="25CD79B1"/>
    <w:rsid w:val="25DC3EE8"/>
    <w:rsid w:val="25E42F4C"/>
    <w:rsid w:val="27095D8A"/>
    <w:rsid w:val="27532138"/>
    <w:rsid w:val="27604855"/>
    <w:rsid w:val="277B51EB"/>
    <w:rsid w:val="279E6744"/>
    <w:rsid w:val="2829733C"/>
    <w:rsid w:val="28CC0709"/>
    <w:rsid w:val="29C22B06"/>
    <w:rsid w:val="2AB6770F"/>
    <w:rsid w:val="2AFC1105"/>
    <w:rsid w:val="2BAD2B02"/>
    <w:rsid w:val="2BDA1E37"/>
    <w:rsid w:val="2D4B05DB"/>
    <w:rsid w:val="2E0C3040"/>
    <w:rsid w:val="2E40384E"/>
    <w:rsid w:val="2F083808"/>
    <w:rsid w:val="2F0B058C"/>
    <w:rsid w:val="2F2B399A"/>
    <w:rsid w:val="2F454A5C"/>
    <w:rsid w:val="2F706C20"/>
    <w:rsid w:val="2F7C5FA4"/>
    <w:rsid w:val="2F82534F"/>
    <w:rsid w:val="302723B3"/>
    <w:rsid w:val="303040B7"/>
    <w:rsid w:val="306814F8"/>
    <w:rsid w:val="30AE6631"/>
    <w:rsid w:val="3106021B"/>
    <w:rsid w:val="3197089A"/>
    <w:rsid w:val="327A0EC0"/>
    <w:rsid w:val="33685BF1"/>
    <w:rsid w:val="339F33DF"/>
    <w:rsid w:val="34B76D87"/>
    <w:rsid w:val="34C65624"/>
    <w:rsid w:val="34D01D12"/>
    <w:rsid w:val="34D90AD3"/>
    <w:rsid w:val="350B5B62"/>
    <w:rsid w:val="3573099D"/>
    <w:rsid w:val="35C44201"/>
    <w:rsid w:val="366B28CE"/>
    <w:rsid w:val="380F4839"/>
    <w:rsid w:val="38206066"/>
    <w:rsid w:val="38913D17"/>
    <w:rsid w:val="38955FDF"/>
    <w:rsid w:val="393E01A9"/>
    <w:rsid w:val="396B1F46"/>
    <w:rsid w:val="39DC7D6B"/>
    <w:rsid w:val="3AD4054D"/>
    <w:rsid w:val="3B651FE2"/>
    <w:rsid w:val="3B714E2B"/>
    <w:rsid w:val="3D5134B7"/>
    <w:rsid w:val="3D6C58AA"/>
    <w:rsid w:val="3D6D1ED3"/>
    <w:rsid w:val="3D8C5F4C"/>
    <w:rsid w:val="3E65515C"/>
    <w:rsid w:val="3E94330A"/>
    <w:rsid w:val="401F30A7"/>
    <w:rsid w:val="403F2E01"/>
    <w:rsid w:val="41480210"/>
    <w:rsid w:val="42B43A05"/>
    <w:rsid w:val="42CD0EA8"/>
    <w:rsid w:val="431A1904"/>
    <w:rsid w:val="43947908"/>
    <w:rsid w:val="44CB4DED"/>
    <w:rsid w:val="44F56185"/>
    <w:rsid w:val="4520080C"/>
    <w:rsid w:val="45413951"/>
    <w:rsid w:val="45B30A7B"/>
    <w:rsid w:val="45D90566"/>
    <w:rsid w:val="467B530C"/>
    <w:rsid w:val="46E47FFF"/>
    <w:rsid w:val="4779601E"/>
    <w:rsid w:val="481B0E08"/>
    <w:rsid w:val="482D3E87"/>
    <w:rsid w:val="48353A66"/>
    <w:rsid w:val="489160CA"/>
    <w:rsid w:val="48E01E61"/>
    <w:rsid w:val="49327CD0"/>
    <w:rsid w:val="493E1AE1"/>
    <w:rsid w:val="4A9B6FA0"/>
    <w:rsid w:val="4AF51556"/>
    <w:rsid w:val="4B035C36"/>
    <w:rsid w:val="4B2238EC"/>
    <w:rsid w:val="4B44550B"/>
    <w:rsid w:val="4C166669"/>
    <w:rsid w:val="4C7D362F"/>
    <w:rsid w:val="4CAC0AD9"/>
    <w:rsid w:val="4CD55219"/>
    <w:rsid w:val="4DDD59C1"/>
    <w:rsid w:val="4E32294F"/>
    <w:rsid w:val="4E395334"/>
    <w:rsid w:val="4E593C28"/>
    <w:rsid w:val="4EFD2805"/>
    <w:rsid w:val="4F2558B8"/>
    <w:rsid w:val="4FAD1FC6"/>
    <w:rsid w:val="4FC74BC1"/>
    <w:rsid w:val="4FDB4675"/>
    <w:rsid w:val="501324CE"/>
    <w:rsid w:val="501778F7"/>
    <w:rsid w:val="505D0D17"/>
    <w:rsid w:val="50747CE5"/>
    <w:rsid w:val="50CC06E1"/>
    <w:rsid w:val="50FA5D92"/>
    <w:rsid w:val="51B02576"/>
    <w:rsid w:val="51FB0B52"/>
    <w:rsid w:val="522023D1"/>
    <w:rsid w:val="52270DB5"/>
    <w:rsid w:val="531E5595"/>
    <w:rsid w:val="531F075A"/>
    <w:rsid w:val="5338205E"/>
    <w:rsid w:val="54303C00"/>
    <w:rsid w:val="549A06C6"/>
    <w:rsid w:val="54CA4ADE"/>
    <w:rsid w:val="5539757D"/>
    <w:rsid w:val="563E5DDA"/>
    <w:rsid w:val="569D042A"/>
    <w:rsid w:val="56C63E25"/>
    <w:rsid w:val="57555F1B"/>
    <w:rsid w:val="5794447B"/>
    <w:rsid w:val="57996E43"/>
    <w:rsid w:val="57A01936"/>
    <w:rsid w:val="57A57FD6"/>
    <w:rsid w:val="57DB7C8D"/>
    <w:rsid w:val="57F01F2D"/>
    <w:rsid w:val="58286739"/>
    <w:rsid w:val="583A6878"/>
    <w:rsid w:val="58733B38"/>
    <w:rsid w:val="588E44CE"/>
    <w:rsid w:val="58D367F3"/>
    <w:rsid w:val="592C1295"/>
    <w:rsid w:val="595B4CF8"/>
    <w:rsid w:val="5962291D"/>
    <w:rsid w:val="5992568E"/>
    <w:rsid w:val="59DD74BB"/>
    <w:rsid w:val="59E266CB"/>
    <w:rsid w:val="59EF3692"/>
    <w:rsid w:val="5A121AEF"/>
    <w:rsid w:val="5A420BA5"/>
    <w:rsid w:val="5A8C449C"/>
    <w:rsid w:val="5B571FFB"/>
    <w:rsid w:val="5B6B556E"/>
    <w:rsid w:val="5BFB00CD"/>
    <w:rsid w:val="5C452F47"/>
    <w:rsid w:val="5C537F09"/>
    <w:rsid w:val="5C582B15"/>
    <w:rsid w:val="5C867919"/>
    <w:rsid w:val="5D086F45"/>
    <w:rsid w:val="5D243653"/>
    <w:rsid w:val="5D4D6706"/>
    <w:rsid w:val="5D9B49EA"/>
    <w:rsid w:val="5DF4639A"/>
    <w:rsid w:val="5DF76C0B"/>
    <w:rsid w:val="5E0E07F8"/>
    <w:rsid w:val="5E166162"/>
    <w:rsid w:val="5E42134A"/>
    <w:rsid w:val="5ED15115"/>
    <w:rsid w:val="5EFD5F0A"/>
    <w:rsid w:val="5FD702EA"/>
    <w:rsid w:val="5FEF619A"/>
    <w:rsid w:val="60252B89"/>
    <w:rsid w:val="604F4E8B"/>
    <w:rsid w:val="60B11334"/>
    <w:rsid w:val="61524586"/>
    <w:rsid w:val="616C2448"/>
    <w:rsid w:val="61882403"/>
    <w:rsid w:val="620316C6"/>
    <w:rsid w:val="626C326C"/>
    <w:rsid w:val="628C5F22"/>
    <w:rsid w:val="62C44CEE"/>
    <w:rsid w:val="630E06E5"/>
    <w:rsid w:val="634A0790"/>
    <w:rsid w:val="63DF2082"/>
    <w:rsid w:val="647E2483"/>
    <w:rsid w:val="64E33DF4"/>
    <w:rsid w:val="652F2B95"/>
    <w:rsid w:val="654A16B4"/>
    <w:rsid w:val="654C7BEB"/>
    <w:rsid w:val="65DF5D81"/>
    <w:rsid w:val="65E76184"/>
    <w:rsid w:val="65FA2E2F"/>
    <w:rsid w:val="660F1D12"/>
    <w:rsid w:val="66375416"/>
    <w:rsid w:val="664803B2"/>
    <w:rsid w:val="66770C98"/>
    <w:rsid w:val="66EF6B43"/>
    <w:rsid w:val="67277FC8"/>
    <w:rsid w:val="677C2407"/>
    <w:rsid w:val="6804655B"/>
    <w:rsid w:val="68552A56"/>
    <w:rsid w:val="68C47A98"/>
    <w:rsid w:val="68C53F3C"/>
    <w:rsid w:val="6A8A21D9"/>
    <w:rsid w:val="6B170353"/>
    <w:rsid w:val="6B805A13"/>
    <w:rsid w:val="6B913722"/>
    <w:rsid w:val="6BFB1CFC"/>
    <w:rsid w:val="6CC80E6D"/>
    <w:rsid w:val="6CEE57FE"/>
    <w:rsid w:val="6D6A740A"/>
    <w:rsid w:val="6DDA15E5"/>
    <w:rsid w:val="6E0252EB"/>
    <w:rsid w:val="6E315BD0"/>
    <w:rsid w:val="6E9331FA"/>
    <w:rsid w:val="6F393D6E"/>
    <w:rsid w:val="6F8B1586"/>
    <w:rsid w:val="6F986B5B"/>
    <w:rsid w:val="70015658"/>
    <w:rsid w:val="7061760A"/>
    <w:rsid w:val="70B2124A"/>
    <w:rsid w:val="70EC47D4"/>
    <w:rsid w:val="70F47B1E"/>
    <w:rsid w:val="710B6BAC"/>
    <w:rsid w:val="712B2DAA"/>
    <w:rsid w:val="71CC633B"/>
    <w:rsid w:val="71F238C8"/>
    <w:rsid w:val="72534367"/>
    <w:rsid w:val="72D70869"/>
    <w:rsid w:val="732C4B81"/>
    <w:rsid w:val="738A5B9F"/>
    <w:rsid w:val="73C6500C"/>
    <w:rsid w:val="7402700B"/>
    <w:rsid w:val="741F6AAA"/>
    <w:rsid w:val="749966D8"/>
    <w:rsid w:val="74A0585D"/>
    <w:rsid w:val="750E3D01"/>
    <w:rsid w:val="75436915"/>
    <w:rsid w:val="75F1571C"/>
    <w:rsid w:val="75FF643B"/>
    <w:rsid w:val="77A7157C"/>
    <w:rsid w:val="781E5417"/>
    <w:rsid w:val="78704663"/>
    <w:rsid w:val="78B143BF"/>
    <w:rsid w:val="790C1713"/>
    <w:rsid w:val="79295B4C"/>
    <w:rsid w:val="793F5645"/>
    <w:rsid w:val="79477DB9"/>
    <w:rsid w:val="798B5FEA"/>
    <w:rsid w:val="7A035425"/>
    <w:rsid w:val="7A5154DA"/>
    <w:rsid w:val="7A937FAF"/>
    <w:rsid w:val="7AB465B7"/>
    <w:rsid w:val="7ACC115A"/>
    <w:rsid w:val="7AF81F4F"/>
    <w:rsid w:val="7AFA7F37"/>
    <w:rsid w:val="7B0D59BF"/>
    <w:rsid w:val="7B215011"/>
    <w:rsid w:val="7B5C267D"/>
    <w:rsid w:val="7B6C6499"/>
    <w:rsid w:val="7B7B492E"/>
    <w:rsid w:val="7B913955"/>
    <w:rsid w:val="7BEC3554"/>
    <w:rsid w:val="7C9E3D4A"/>
    <w:rsid w:val="7CB63E70"/>
    <w:rsid w:val="7D221505"/>
    <w:rsid w:val="7D334C5C"/>
    <w:rsid w:val="7D902913"/>
    <w:rsid w:val="7DE81904"/>
    <w:rsid w:val="7E2B6198"/>
    <w:rsid w:val="7E5135DF"/>
    <w:rsid w:val="7F306955"/>
    <w:rsid w:val="7F6D458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EmbedSmartTag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9" w:name="heading 4"/>
    <w:lsdException w:qFormat="1" w:uiPriority="9" w:name="heading 5"/>
    <w:lsdException w:qFormat="1" w:uiPriority="9" w:name="heading 6"/>
    <w:lsdException w:qFormat="1" w:unhideWhenUsed="0" w:uiPriority="9" w:semiHidden="0"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qFormat="1" w:uiPriority="39" w:semiHidden="0"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nhideWhenUsed="0" w:uiPriority="0"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qFormat="1" w:unhideWhenUsed="0" w:uiPriority="0" w:semiHidden="0" w:name="envelope return"/>
    <w:lsdException w:qFormat="1" w:unhideWhenUsed="0" w:uiPriority="0" w:semiHidden="0" w:name="footnote reference"/>
    <w:lsdException w:qFormat="1" w:unhideWhenUsed="0" w:uiPriority="99" w:semiHidden="0" w:name="annotation reference"/>
    <w:lsdException w:qFormat="1" w:unhideWhenUsed="0" w:uiPriority="0" w:semiHidden="0"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qFormat="1" w:unhideWhenUsed="0" w:uiPriority="99"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Calibri" w:hAnsi="Calibri" w:eastAsia="宋体" w:cs="Calibri"/>
      <w:kern w:val="2"/>
      <w:sz w:val="21"/>
      <w:szCs w:val="24"/>
      <w:lang w:val="en-US" w:eastAsia="zh-CN" w:bidi="ar-SA"/>
    </w:rPr>
  </w:style>
  <w:style w:type="paragraph" w:styleId="2">
    <w:name w:val="heading 1"/>
    <w:basedOn w:val="1"/>
    <w:next w:val="1"/>
    <w:autoRedefine/>
    <w:qFormat/>
    <w:uiPriority w:val="0"/>
    <w:pPr>
      <w:keepNext/>
      <w:keepLines/>
      <w:spacing w:before="340" w:after="330" w:line="578" w:lineRule="auto"/>
      <w:outlineLvl w:val="0"/>
    </w:pPr>
    <w:rPr>
      <w:b/>
      <w:bCs/>
      <w:kern w:val="44"/>
      <w:sz w:val="44"/>
    </w:rPr>
  </w:style>
  <w:style w:type="paragraph" w:styleId="3">
    <w:name w:val="heading 2"/>
    <w:basedOn w:val="1"/>
    <w:next w:val="1"/>
    <w:autoRedefine/>
    <w:qFormat/>
    <w:uiPriority w:val="0"/>
    <w:pPr>
      <w:keepNext/>
      <w:keepLines/>
      <w:spacing w:before="260" w:after="260" w:line="415" w:lineRule="auto"/>
      <w:outlineLvl w:val="1"/>
    </w:pPr>
    <w:rPr>
      <w:rFonts w:ascii="Times New Roman" w:hAnsi="Times New Roman" w:eastAsia="黑体"/>
      <w:b/>
      <w:sz w:val="32"/>
    </w:rPr>
  </w:style>
  <w:style w:type="paragraph" w:styleId="4">
    <w:name w:val="heading 3"/>
    <w:basedOn w:val="1"/>
    <w:next w:val="1"/>
    <w:autoRedefine/>
    <w:qFormat/>
    <w:uiPriority w:val="0"/>
    <w:pPr>
      <w:keepNext/>
      <w:keepLines/>
      <w:spacing w:before="260" w:after="260" w:line="415" w:lineRule="auto"/>
      <w:outlineLvl w:val="2"/>
    </w:pPr>
    <w:rPr>
      <w:b/>
      <w:sz w:val="32"/>
    </w:rPr>
  </w:style>
  <w:style w:type="paragraph" w:styleId="5">
    <w:name w:val="heading 4"/>
    <w:basedOn w:val="1"/>
    <w:next w:val="1"/>
    <w:semiHidden/>
    <w:unhideWhenUsed/>
    <w:qFormat/>
    <w:uiPriority w:val="9"/>
    <w:pPr>
      <w:spacing w:beforeAutospacing="1" w:afterAutospacing="1"/>
      <w:jc w:val="left"/>
      <w:outlineLvl w:val="3"/>
    </w:pPr>
    <w:rPr>
      <w:rFonts w:hint="eastAsia" w:ascii="宋体" w:hAnsi="宋体" w:cs="Times New Roman"/>
      <w:b/>
      <w:bCs/>
      <w:kern w:val="0"/>
      <w:sz w:val="24"/>
    </w:rPr>
  </w:style>
  <w:style w:type="paragraph" w:styleId="6">
    <w:name w:val="heading 7"/>
    <w:basedOn w:val="1"/>
    <w:next w:val="1"/>
    <w:link w:val="27"/>
    <w:autoRedefine/>
    <w:qFormat/>
    <w:uiPriority w:val="9"/>
    <w:pPr>
      <w:keepNext/>
      <w:keepLines/>
      <w:spacing w:before="240" w:after="64" w:line="320" w:lineRule="auto"/>
      <w:outlineLvl w:val="6"/>
    </w:pPr>
    <w:rPr>
      <w:b/>
      <w:bCs/>
      <w:sz w:val="24"/>
    </w:rPr>
  </w:style>
  <w:style w:type="character" w:default="1" w:styleId="18">
    <w:name w:val="Default Paragraph Font"/>
    <w:semiHidden/>
    <w:unhideWhenUsed/>
    <w:qFormat/>
    <w:uiPriority w:val="1"/>
  </w:style>
  <w:style w:type="table" w:default="1" w:styleId="16">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annotation text"/>
    <w:basedOn w:val="1"/>
    <w:link w:val="28"/>
    <w:autoRedefine/>
    <w:unhideWhenUsed/>
    <w:qFormat/>
    <w:uiPriority w:val="99"/>
    <w:pPr>
      <w:adjustRightInd w:val="0"/>
      <w:spacing w:line="400" w:lineRule="exact"/>
      <w:jc w:val="left"/>
    </w:pPr>
    <w:rPr>
      <w:szCs w:val="21"/>
    </w:rPr>
  </w:style>
  <w:style w:type="paragraph" w:styleId="8">
    <w:name w:val="Balloon Text"/>
    <w:basedOn w:val="1"/>
    <w:link w:val="29"/>
    <w:autoRedefine/>
    <w:unhideWhenUsed/>
    <w:qFormat/>
    <w:uiPriority w:val="99"/>
    <w:rPr>
      <w:sz w:val="18"/>
      <w:szCs w:val="18"/>
    </w:rPr>
  </w:style>
  <w:style w:type="paragraph" w:styleId="9">
    <w:name w:val="footer"/>
    <w:basedOn w:val="1"/>
    <w:link w:val="30"/>
    <w:autoRedefine/>
    <w:qFormat/>
    <w:uiPriority w:val="99"/>
    <w:pPr>
      <w:tabs>
        <w:tab w:val="center" w:pos="4153"/>
        <w:tab w:val="right" w:pos="8306"/>
      </w:tabs>
      <w:snapToGrid w:val="0"/>
      <w:jc w:val="left"/>
    </w:pPr>
    <w:rPr>
      <w:sz w:val="18"/>
      <w:szCs w:val="18"/>
    </w:rPr>
  </w:style>
  <w:style w:type="paragraph" w:styleId="10">
    <w:name w:val="envelope return"/>
    <w:basedOn w:val="1"/>
    <w:autoRedefine/>
    <w:qFormat/>
    <w:uiPriority w:val="0"/>
    <w:pPr>
      <w:snapToGrid w:val="0"/>
    </w:pPr>
    <w:rPr>
      <w:rFonts w:ascii="Times New Roman" w:hAnsi="Times New Roman"/>
    </w:rPr>
  </w:style>
  <w:style w:type="paragraph" w:styleId="11">
    <w:name w:val="header"/>
    <w:basedOn w:val="1"/>
    <w:autoRedefine/>
    <w:qFormat/>
    <w:uiPriority w:val="0"/>
    <w:pPr>
      <w:pBdr>
        <w:bottom w:val="single" w:color="auto" w:sz="6" w:space="1"/>
      </w:pBdr>
      <w:tabs>
        <w:tab w:val="center" w:pos="4153"/>
        <w:tab w:val="right" w:pos="8306"/>
      </w:tabs>
      <w:snapToGrid w:val="0"/>
      <w:jc w:val="center"/>
    </w:pPr>
    <w:rPr>
      <w:sz w:val="18"/>
      <w:szCs w:val="18"/>
    </w:rPr>
  </w:style>
  <w:style w:type="paragraph" w:styleId="12">
    <w:name w:val="toc 4"/>
    <w:basedOn w:val="1"/>
    <w:next w:val="1"/>
    <w:autoRedefine/>
    <w:unhideWhenUsed/>
    <w:qFormat/>
    <w:uiPriority w:val="39"/>
    <w:pPr>
      <w:tabs>
        <w:tab w:val="right" w:leader="dot" w:pos="9344"/>
      </w:tabs>
      <w:adjustRightInd w:val="0"/>
      <w:spacing w:line="300" w:lineRule="exact"/>
      <w:ind w:left="629"/>
    </w:pPr>
    <w:rPr>
      <w:rFonts w:ascii="宋体"/>
      <w:szCs w:val="21"/>
    </w:rPr>
  </w:style>
  <w:style w:type="paragraph" w:styleId="13">
    <w:name w:val="HTML Preformatted"/>
    <w:basedOn w:val="1"/>
    <w:semiHidden/>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cs="Times New Roman"/>
      <w:kern w:val="0"/>
      <w:sz w:val="24"/>
    </w:rPr>
  </w:style>
  <w:style w:type="paragraph" w:styleId="14">
    <w:name w:val="Normal (Web)"/>
    <w:basedOn w:val="1"/>
    <w:autoRedefine/>
    <w:semiHidden/>
    <w:unhideWhenUsed/>
    <w:qFormat/>
    <w:uiPriority w:val="99"/>
    <w:pPr>
      <w:spacing w:before="0" w:beforeAutospacing="1" w:after="0" w:afterAutospacing="1"/>
      <w:ind w:left="0" w:right="0"/>
      <w:jc w:val="left"/>
    </w:pPr>
    <w:rPr>
      <w:kern w:val="0"/>
      <w:sz w:val="24"/>
      <w:lang w:val="en-US" w:eastAsia="zh-CN" w:bidi="ar"/>
    </w:rPr>
  </w:style>
  <w:style w:type="paragraph" w:styleId="15">
    <w:name w:val="Title"/>
    <w:basedOn w:val="1"/>
    <w:link w:val="66"/>
    <w:qFormat/>
    <w:uiPriority w:val="10"/>
    <w:pPr>
      <w:spacing w:before="240" w:after="60"/>
      <w:jc w:val="center"/>
      <w:outlineLvl w:val="0"/>
    </w:pPr>
    <w:rPr>
      <w:rFonts w:ascii="Arial" w:hAnsi="Arial"/>
      <w:b/>
      <w:sz w:val="32"/>
    </w:rPr>
  </w:style>
  <w:style w:type="table" w:styleId="17">
    <w:name w:val="Table Grid"/>
    <w:basedOn w:val="16"/>
    <w:autoRedefine/>
    <w:qFormat/>
    <w:uiPriority w:val="39"/>
    <w:rPr>
      <w:rFonts w:ascii="Calibri" w:hAnsi="Calibri"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tcBorders>
        <w:top w:val="single" w:color="auto" w:sz="4" w:space="0"/>
        <w:left w:val="single" w:color="auto" w:sz="4" w:space="0"/>
        <w:bottom w:val="single" w:color="auto" w:sz="4" w:space="0"/>
        <w:right w:val="single" w:color="auto" w:sz="4" w:space="0"/>
      </w:tcBorders>
    </w:tcPr>
  </w:style>
  <w:style w:type="character" w:styleId="19">
    <w:name w:val="Strong"/>
    <w:basedOn w:val="18"/>
    <w:autoRedefine/>
    <w:qFormat/>
    <w:uiPriority w:val="22"/>
    <w:rPr>
      <w:b/>
    </w:rPr>
  </w:style>
  <w:style w:type="character" w:styleId="20">
    <w:name w:val="Emphasis"/>
    <w:basedOn w:val="18"/>
    <w:qFormat/>
    <w:uiPriority w:val="20"/>
    <w:rPr>
      <w:i/>
    </w:rPr>
  </w:style>
  <w:style w:type="character" w:styleId="21">
    <w:name w:val="line number"/>
    <w:autoRedefine/>
    <w:qFormat/>
    <w:uiPriority w:val="0"/>
  </w:style>
  <w:style w:type="character" w:styleId="22">
    <w:name w:val="Hyperlink"/>
    <w:autoRedefine/>
    <w:qFormat/>
    <w:uiPriority w:val="0"/>
    <w:rPr>
      <w:rFonts w:ascii="宋体" w:eastAsia="宋体"/>
      <w:color w:val="auto"/>
      <w:spacing w:val="0"/>
      <w:w w:val="100"/>
      <w:position w:val="0"/>
      <w:sz w:val="21"/>
      <w:u w:val="none"/>
      <w:vertAlign w:val="baseline"/>
    </w:rPr>
  </w:style>
  <w:style w:type="character" w:styleId="23">
    <w:name w:val="annotation reference"/>
    <w:basedOn w:val="18"/>
    <w:autoRedefine/>
    <w:qFormat/>
    <w:uiPriority w:val="99"/>
    <w:rPr>
      <w:sz w:val="21"/>
      <w:szCs w:val="21"/>
    </w:rPr>
  </w:style>
  <w:style w:type="character" w:styleId="24">
    <w:name w:val="footnote reference"/>
    <w:autoRedefine/>
    <w:qFormat/>
    <w:uiPriority w:val="0"/>
    <w:rPr>
      <w:vertAlign w:val="superscript"/>
    </w:rPr>
  </w:style>
  <w:style w:type="paragraph" w:customStyle="1" w:styleId="25">
    <w:name w:val="BodyText2"/>
    <w:basedOn w:val="1"/>
    <w:autoRedefine/>
    <w:qFormat/>
    <w:uiPriority w:val="0"/>
    <w:pPr>
      <w:spacing w:after="120" w:line="480" w:lineRule="auto"/>
      <w:textAlignment w:val="baseline"/>
    </w:pPr>
    <w:rPr>
      <w:rFonts w:cs="Times New Roman"/>
      <w:sz w:val="32"/>
      <w:szCs w:val="32"/>
    </w:rPr>
  </w:style>
  <w:style w:type="paragraph" w:customStyle="1" w:styleId="26">
    <w:name w:val="正文-公1"/>
    <w:autoRedefine/>
    <w:qFormat/>
    <w:uiPriority w:val="99"/>
    <w:pPr>
      <w:widowControl w:val="0"/>
      <w:suppressAutoHyphens/>
      <w:jc w:val="both"/>
    </w:pPr>
    <w:rPr>
      <w:rFonts w:ascii="Calibri" w:hAnsi="Calibri" w:eastAsia="宋体" w:cs="Times New Roman"/>
      <w:kern w:val="2"/>
      <w:sz w:val="21"/>
      <w:szCs w:val="24"/>
      <w:lang w:val="en-US" w:eastAsia="zh-CN" w:bidi="ar-SA"/>
    </w:rPr>
  </w:style>
  <w:style w:type="character" w:customStyle="1" w:styleId="27">
    <w:name w:val="标题 7 字符"/>
    <w:link w:val="6"/>
    <w:autoRedefine/>
    <w:qFormat/>
    <w:uiPriority w:val="0"/>
    <w:rPr>
      <w:rFonts w:eastAsia="宋体"/>
      <w:b/>
      <w:bCs/>
      <w:kern w:val="2"/>
      <w:sz w:val="24"/>
      <w:szCs w:val="24"/>
    </w:rPr>
  </w:style>
  <w:style w:type="character" w:customStyle="1" w:styleId="28">
    <w:name w:val="批注文字 字符"/>
    <w:link w:val="7"/>
    <w:autoRedefine/>
    <w:semiHidden/>
    <w:qFormat/>
    <w:uiPriority w:val="99"/>
    <w:rPr>
      <w:rFonts w:ascii="Calibri" w:hAnsi="Calibri" w:eastAsia="宋体"/>
      <w:kern w:val="2"/>
      <w:sz w:val="21"/>
      <w:szCs w:val="21"/>
    </w:rPr>
  </w:style>
  <w:style w:type="character" w:customStyle="1" w:styleId="29">
    <w:name w:val="批注框文本 字符"/>
    <w:link w:val="8"/>
    <w:autoRedefine/>
    <w:semiHidden/>
    <w:qFormat/>
    <w:uiPriority w:val="99"/>
    <w:rPr>
      <w:rFonts w:eastAsia="宋体"/>
      <w:kern w:val="2"/>
      <w:sz w:val="18"/>
      <w:szCs w:val="18"/>
    </w:rPr>
  </w:style>
  <w:style w:type="character" w:customStyle="1" w:styleId="30">
    <w:name w:val="页脚 字符"/>
    <w:link w:val="9"/>
    <w:autoRedefine/>
    <w:qFormat/>
    <w:locked/>
    <w:uiPriority w:val="99"/>
    <w:rPr>
      <w:rFonts w:eastAsia="宋体"/>
      <w:kern w:val="2"/>
      <w:sz w:val="18"/>
      <w:szCs w:val="18"/>
    </w:rPr>
  </w:style>
  <w:style w:type="paragraph" w:customStyle="1" w:styleId="31">
    <w:name w:val="其他标准称谓"/>
    <w:autoRedefine/>
    <w:qFormat/>
    <w:uiPriority w:val="0"/>
    <w:pPr>
      <w:spacing w:line="0" w:lineRule="atLeast"/>
      <w:jc w:val="distribute"/>
    </w:pPr>
    <w:rPr>
      <w:rFonts w:ascii="黑体" w:hAnsi="Calibri" w:eastAsia="黑体" w:cs="Calibri"/>
      <w:sz w:val="52"/>
      <w:lang w:val="en-US" w:eastAsia="zh-CN" w:bidi="ar-SA"/>
    </w:rPr>
  </w:style>
  <w:style w:type="paragraph" w:customStyle="1" w:styleId="32">
    <w:name w:val="封面标准号1"/>
    <w:autoRedefine/>
    <w:qFormat/>
    <w:uiPriority w:val="0"/>
    <w:pPr>
      <w:widowControl w:val="0"/>
      <w:kinsoku w:val="0"/>
      <w:overflowPunct w:val="0"/>
      <w:autoSpaceDE w:val="0"/>
      <w:autoSpaceDN w:val="0"/>
      <w:spacing w:before="308"/>
      <w:jc w:val="right"/>
      <w:textAlignment w:val="center"/>
    </w:pPr>
    <w:rPr>
      <w:rFonts w:ascii="Calibri" w:hAnsi="Calibri" w:eastAsia="宋体" w:cs="Calibri"/>
      <w:sz w:val="28"/>
      <w:lang w:val="en-US" w:eastAsia="zh-CN" w:bidi="ar-SA"/>
    </w:rPr>
  </w:style>
  <w:style w:type="paragraph" w:customStyle="1" w:styleId="33">
    <w:name w:val="标准文件_段"/>
    <w:link w:val="34"/>
    <w:autoRedefine/>
    <w:qFormat/>
    <w:uiPriority w:val="0"/>
    <w:pPr>
      <w:autoSpaceDE w:val="0"/>
      <w:autoSpaceDN w:val="0"/>
      <w:spacing w:before="156" w:beforeLines="50" w:after="156" w:afterLines="50" w:line="520" w:lineRule="exact"/>
      <w:ind w:firstLine="480" w:firstLineChars="200"/>
      <w:jc w:val="center"/>
    </w:pPr>
    <w:rPr>
      <w:rFonts w:ascii="黑体" w:hAnsi="黑体" w:eastAsia="黑体" w:cs="黑体"/>
      <w:bCs/>
      <w:sz w:val="24"/>
      <w:szCs w:val="24"/>
      <w:lang w:val="en-US" w:eastAsia="zh-CN" w:bidi="ar-SA"/>
    </w:rPr>
  </w:style>
  <w:style w:type="character" w:customStyle="1" w:styleId="34">
    <w:name w:val="标准文件_段 Char"/>
    <w:link w:val="33"/>
    <w:autoRedefine/>
    <w:qFormat/>
    <w:uiPriority w:val="0"/>
    <w:rPr>
      <w:rFonts w:ascii="黑体" w:hAnsi="黑体" w:eastAsia="黑体" w:cs="黑体"/>
      <w:bCs/>
      <w:sz w:val="24"/>
      <w:szCs w:val="24"/>
    </w:rPr>
  </w:style>
  <w:style w:type="paragraph" w:customStyle="1" w:styleId="35">
    <w:name w:val="标准文件_章标题"/>
    <w:next w:val="33"/>
    <w:autoRedefine/>
    <w:qFormat/>
    <w:uiPriority w:val="0"/>
    <w:pPr>
      <w:numPr>
        <w:ilvl w:val="1"/>
        <w:numId w:val="1"/>
      </w:numPr>
      <w:spacing w:before="100" w:beforeLines="100" w:after="100" w:afterLines="100"/>
      <w:jc w:val="both"/>
      <w:outlineLvl w:val="0"/>
    </w:pPr>
    <w:rPr>
      <w:rFonts w:ascii="黑体" w:hAnsi="Calibri" w:eastAsia="黑体" w:cs="Calibri"/>
      <w:sz w:val="21"/>
      <w:lang w:val="en-US" w:eastAsia="zh-CN" w:bidi="ar-SA"/>
    </w:rPr>
  </w:style>
  <w:style w:type="paragraph" w:customStyle="1" w:styleId="36">
    <w:name w:val="标准文件_二级条标题"/>
    <w:next w:val="33"/>
    <w:autoRedefine/>
    <w:qFormat/>
    <w:uiPriority w:val="0"/>
    <w:pPr>
      <w:widowControl w:val="0"/>
      <w:spacing w:before="50" w:beforeLines="50" w:after="50" w:afterLines="50"/>
      <w:jc w:val="both"/>
      <w:outlineLvl w:val="2"/>
    </w:pPr>
    <w:rPr>
      <w:rFonts w:ascii="黑体" w:hAnsi="Calibri" w:eastAsia="黑体" w:cs="Calibri"/>
      <w:sz w:val="21"/>
      <w:lang w:val="en-US" w:eastAsia="zh-CN" w:bidi="ar-SA"/>
    </w:rPr>
  </w:style>
  <w:style w:type="paragraph" w:customStyle="1" w:styleId="37">
    <w:name w:val="标准文件_一级条标题"/>
    <w:basedOn w:val="35"/>
    <w:next w:val="33"/>
    <w:autoRedefine/>
    <w:qFormat/>
    <w:uiPriority w:val="0"/>
    <w:pPr>
      <w:numPr>
        <w:ilvl w:val="2"/>
      </w:numPr>
      <w:spacing w:before="50" w:beforeLines="0" w:after="50" w:afterLines="0"/>
      <w:outlineLvl w:val="1"/>
    </w:pPr>
  </w:style>
  <w:style w:type="paragraph" w:customStyle="1" w:styleId="38">
    <w:name w:val="标准文件_三级条标题"/>
    <w:basedOn w:val="36"/>
    <w:next w:val="33"/>
    <w:autoRedefine/>
    <w:qFormat/>
    <w:uiPriority w:val="0"/>
    <w:pPr>
      <w:outlineLvl w:val="3"/>
    </w:pPr>
  </w:style>
  <w:style w:type="paragraph" w:customStyle="1" w:styleId="39">
    <w:name w:val="标准文件_四级条标题"/>
    <w:next w:val="33"/>
    <w:autoRedefine/>
    <w:qFormat/>
    <w:uiPriority w:val="0"/>
    <w:pPr>
      <w:widowControl w:val="0"/>
      <w:spacing w:before="50" w:beforeLines="50" w:after="50" w:afterLines="50"/>
      <w:jc w:val="both"/>
      <w:outlineLvl w:val="4"/>
    </w:pPr>
    <w:rPr>
      <w:rFonts w:ascii="黑体" w:hAnsi="Calibri" w:eastAsia="黑体" w:cs="Calibri"/>
      <w:sz w:val="21"/>
      <w:lang w:val="en-US" w:eastAsia="zh-CN" w:bidi="ar-SA"/>
    </w:rPr>
  </w:style>
  <w:style w:type="paragraph" w:customStyle="1" w:styleId="40">
    <w:name w:val="标准文件_五级条标题"/>
    <w:next w:val="36"/>
    <w:autoRedefine/>
    <w:qFormat/>
    <w:uiPriority w:val="0"/>
    <w:pPr>
      <w:widowControl w:val="0"/>
      <w:numPr>
        <w:ilvl w:val="6"/>
        <w:numId w:val="1"/>
      </w:numPr>
      <w:spacing w:before="50" w:beforeLines="50" w:after="50" w:afterLines="50"/>
      <w:jc w:val="both"/>
      <w:outlineLvl w:val="5"/>
    </w:pPr>
    <w:rPr>
      <w:rFonts w:ascii="黑体" w:hAnsi="Calibri" w:eastAsia="黑体" w:cs="Calibri"/>
      <w:sz w:val="21"/>
      <w:lang w:val="en-US" w:eastAsia="zh-CN" w:bidi="ar-SA"/>
    </w:rPr>
  </w:style>
  <w:style w:type="paragraph" w:customStyle="1" w:styleId="41">
    <w:name w:val="前言标题"/>
    <w:next w:val="1"/>
    <w:autoRedefine/>
    <w:qFormat/>
    <w:uiPriority w:val="0"/>
    <w:pPr>
      <w:numPr>
        <w:ilvl w:val="0"/>
        <w:numId w:val="1"/>
      </w:numPr>
      <w:shd w:val="clear" w:color="FFFFFF" w:fill="FFFFFF"/>
      <w:spacing w:before="540" w:after="600"/>
      <w:jc w:val="center"/>
      <w:outlineLvl w:val="0"/>
    </w:pPr>
    <w:rPr>
      <w:rFonts w:ascii="黑体" w:hAnsi="Calibri" w:eastAsia="黑体" w:cs="Calibri"/>
      <w:sz w:val="32"/>
      <w:lang w:val="en-US" w:eastAsia="zh-CN" w:bidi="ar-SA"/>
    </w:rPr>
  </w:style>
  <w:style w:type="paragraph" w:customStyle="1" w:styleId="42">
    <w:name w:val="标准文件_四级无标题"/>
    <w:basedOn w:val="39"/>
    <w:autoRedefine/>
    <w:qFormat/>
    <w:uiPriority w:val="0"/>
    <w:pPr>
      <w:numPr>
        <w:ilvl w:val="5"/>
        <w:numId w:val="1"/>
      </w:numPr>
    </w:pPr>
    <w:rPr>
      <w:rFonts w:ascii="宋体" w:eastAsia="宋体"/>
      <w:szCs w:val="52"/>
    </w:rPr>
  </w:style>
  <w:style w:type="paragraph" w:customStyle="1" w:styleId="43">
    <w:name w:val="标准文件_三级无标题"/>
    <w:basedOn w:val="38"/>
    <w:autoRedefine/>
    <w:qFormat/>
    <w:uiPriority w:val="0"/>
    <w:pPr>
      <w:numPr>
        <w:ilvl w:val="4"/>
        <w:numId w:val="1"/>
      </w:numPr>
    </w:pPr>
    <w:rPr>
      <w:rFonts w:ascii="宋体" w:eastAsia="宋体"/>
    </w:rPr>
  </w:style>
  <w:style w:type="paragraph" w:customStyle="1" w:styleId="44">
    <w:name w:val="标准文件_正文表标题"/>
    <w:autoRedefine/>
    <w:qFormat/>
    <w:uiPriority w:val="0"/>
    <w:pPr>
      <w:numPr>
        <w:ilvl w:val="0"/>
        <w:numId w:val="2"/>
      </w:numPr>
      <w:tabs>
        <w:tab w:val="left" w:pos="0"/>
      </w:tabs>
      <w:spacing w:before="50" w:beforeLines="50" w:after="50" w:afterLines="50"/>
      <w:jc w:val="center"/>
    </w:pPr>
    <w:rPr>
      <w:rFonts w:ascii="黑体" w:hAnsi="Calibri" w:eastAsia="黑体" w:cs="Calibri"/>
      <w:sz w:val="21"/>
      <w:lang w:val="en-US" w:eastAsia="zh-CN" w:bidi="ar-SA"/>
    </w:rPr>
  </w:style>
  <w:style w:type="character" w:customStyle="1" w:styleId="45">
    <w:name w:val="font11"/>
    <w:autoRedefine/>
    <w:qFormat/>
    <w:uiPriority w:val="0"/>
    <w:rPr>
      <w:rFonts w:ascii="等线" w:eastAsia="等线"/>
      <w:b/>
      <w:bCs/>
      <w:color w:val="FF0000"/>
      <w:sz w:val="22"/>
      <w:szCs w:val="22"/>
      <w:u w:val="none"/>
    </w:rPr>
  </w:style>
  <w:style w:type="character" w:customStyle="1" w:styleId="46">
    <w:name w:val="font01"/>
    <w:autoRedefine/>
    <w:qFormat/>
    <w:uiPriority w:val="0"/>
    <w:rPr>
      <w:rFonts w:ascii="等线" w:eastAsia="等线"/>
      <w:color w:val="000000"/>
      <w:sz w:val="22"/>
      <w:szCs w:val="22"/>
      <w:u w:val="none"/>
    </w:rPr>
  </w:style>
  <w:style w:type="paragraph" w:customStyle="1" w:styleId="47">
    <w:name w:val="段"/>
    <w:autoRedefine/>
    <w:qFormat/>
    <w:uiPriority w:val="0"/>
    <w:pPr>
      <w:autoSpaceDE w:val="0"/>
      <w:autoSpaceDN w:val="0"/>
      <w:ind w:firstLine="200" w:firstLineChars="200"/>
      <w:jc w:val="both"/>
    </w:pPr>
    <w:rPr>
      <w:rFonts w:ascii="宋体" w:hAnsi="Calibri" w:eastAsia="宋体" w:cs="Calibri"/>
      <w:sz w:val="21"/>
      <w:lang w:val="en-US" w:eastAsia="zh-CN" w:bidi="ar-SA"/>
    </w:rPr>
  </w:style>
  <w:style w:type="paragraph" w:customStyle="1" w:styleId="48">
    <w:name w:val="二级无"/>
    <w:basedOn w:val="1"/>
    <w:autoRedefine/>
    <w:qFormat/>
    <w:uiPriority w:val="0"/>
    <w:pPr>
      <w:widowControl/>
      <w:numPr>
        <w:ilvl w:val="2"/>
        <w:numId w:val="3"/>
      </w:numPr>
      <w:tabs>
        <w:tab w:val="left" w:pos="780"/>
      </w:tabs>
      <w:jc w:val="left"/>
      <w:outlineLvl w:val="3"/>
    </w:pPr>
    <w:rPr>
      <w:rFonts w:ascii="宋体"/>
      <w:kern w:val="0"/>
      <w:szCs w:val="21"/>
    </w:rPr>
  </w:style>
  <w:style w:type="paragraph" w:customStyle="1" w:styleId="49">
    <w:name w:val="标准文件_二级无标题"/>
    <w:basedOn w:val="36"/>
    <w:autoRedefine/>
    <w:qFormat/>
    <w:uiPriority w:val="0"/>
    <w:pPr>
      <w:numPr>
        <w:ilvl w:val="3"/>
        <w:numId w:val="4"/>
      </w:numPr>
      <w:tabs>
        <w:tab w:val="left" w:pos="1200"/>
      </w:tabs>
      <w:spacing w:before="0" w:beforeLines="0" w:after="0" w:afterLines="0"/>
      <w:outlineLvl w:val="9"/>
    </w:pPr>
    <w:rPr>
      <w:rFonts w:ascii="宋体" w:eastAsia="宋体"/>
    </w:rPr>
  </w:style>
  <w:style w:type="paragraph" w:customStyle="1" w:styleId="50">
    <w:name w:val="Char Char Char Char"/>
    <w:basedOn w:val="1"/>
    <w:autoRedefine/>
    <w:qFormat/>
    <w:uiPriority w:val="0"/>
  </w:style>
  <w:style w:type="paragraph" w:customStyle="1" w:styleId="51">
    <w:name w:val="标准文件_数字编号列项（二级）"/>
    <w:autoRedefine/>
    <w:qFormat/>
    <w:uiPriority w:val="0"/>
    <w:pPr>
      <w:numPr>
        <w:ilvl w:val="1"/>
        <w:numId w:val="5"/>
      </w:numPr>
      <w:jc w:val="both"/>
    </w:pPr>
    <w:rPr>
      <w:rFonts w:ascii="宋体" w:hAnsi="Calibri" w:eastAsia="宋体" w:cs="Calibri"/>
      <w:sz w:val="21"/>
      <w:lang w:val="en-US" w:eastAsia="zh-CN" w:bidi="ar-SA"/>
    </w:rPr>
  </w:style>
  <w:style w:type="paragraph" w:customStyle="1" w:styleId="52">
    <w:name w:val="标准文件_编号列项（三级）"/>
    <w:autoRedefine/>
    <w:qFormat/>
    <w:uiPriority w:val="0"/>
    <w:pPr>
      <w:numPr>
        <w:ilvl w:val="2"/>
        <w:numId w:val="5"/>
      </w:numPr>
    </w:pPr>
    <w:rPr>
      <w:rFonts w:ascii="宋体" w:hAnsi="Calibri" w:eastAsia="宋体" w:cs="Calibri"/>
      <w:sz w:val="21"/>
      <w:lang w:val="en-US" w:eastAsia="zh-CN" w:bidi="ar-SA"/>
    </w:rPr>
  </w:style>
  <w:style w:type="paragraph" w:customStyle="1" w:styleId="53">
    <w:name w:val="标准文件_字母编号列项（一级）"/>
    <w:autoRedefine/>
    <w:qFormat/>
    <w:uiPriority w:val="0"/>
    <w:pPr>
      <w:numPr>
        <w:ilvl w:val="0"/>
        <w:numId w:val="5"/>
      </w:numPr>
      <w:jc w:val="both"/>
    </w:pPr>
    <w:rPr>
      <w:rFonts w:ascii="宋体" w:hAnsi="Calibri" w:eastAsia="宋体" w:cs="Calibri"/>
      <w:sz w:val="21"/>
      <w:lang w:val="en-US" w:eastAsia="zh-CN" w:bidi="ar-SA"/>
    </w:rPr>
  </w:style>
  <w:style w:type="paragraph" w:customStyle="1" w:styleId="54">
    <w:name w:val="标准文件_术语条一"/>
    <w:basedOn w:val="1"/>
    <w:next w:val="33"/>
    <w:autoRedefine/>
    <w:qFormat/>
    <w:uiPriority w:val="0"/>
    <w:pPr>
      <w:widowControl/>
    </w:pPr>
    <w:rPr>
      <w:rFonts w:ascii="宋体"/>
      <w:kern w:val="0"/>
      <w:szCs w:val="20"/>
    </w:rPr>
  </w:style>
  <w:style w:type="paragraph" w:customStyle="1" w:styleId="55">
    <w:name w:val="abstract"/>
    <w:basedOn w:val="1"/>
    <w:autoRedefine/>
    <w:qFormat/>
    <w:uiPriority w:val="0"/>
    <w:pPr>
      <w:widowControl/>
      <w:spacing w:before="100" w:beforeAutospacing="1" w:after="100" w:afterAutospacing="1"/>
      <w:jc w:val="left"/>
    </w:pPr>
    <w:rPr>
      <w:rFonts w:ascii="宋体" w:hAnsi="宋体" w:cs="宋体"/>
      <w:kern w:val="0"/>
      <w:sz w:val="24"/>
    </w:rPr>
  </w:style>
  <w:style w:type="paragraph" w:customStyle="1" w:styleId="56">
    <w:name w:val="abstract_more"/>
    <w:basedOn w:val="1"/>
    <w:autoRedefine/>
    <w:qFormat/>
    <w:uiPriority w:val="0"/>
    <w:pPr>
      <w:widowControl/>
      <w:spacing w:before="100" w:beforeAutospacing="1" w:after="100" w:afterAutospacing="1"/>
      <w:jc w:val="left"/>
    </w:pPr>
    <w:rPr>
      <w:rFonts w:ascii="宋体" w:hAnsi="宋体" w:cs="宋体"/>
      <w:kern w:val="0"/>
      <w:sz w:val="24"/>
    </w:rPr>
  </w:style>
  <w:style w:type="paragraph" w:styleId="57">
    <w:name w:val="No Spacing"/>
    <w:autoRedefine/>
    <w:qFormat/>
    <w:uiPriority w:val="99"/>
    <w:pPr>
      <w:widowControl w:val="0"/>
      <w:jc w:val="both"/>
    </w:pPr>
    <w:rPr>
      <w:rFonts w:ascii="Calibri" w:hAnsi="Calibri" w:eastAsia="宋体" w:cs="Times New Roman"/>
      <w:kern w:val="2"/>
      <w:sz w:val="21"/>
      <w:szCs w:val="24"/>
      <w:lang w:val="en-US" w:eastAsia="zh-CN" w:bidi="ar-SA"/>
    </w:rPr>
  </w:style>
  <w:style w:type="paragraph" w:customStyle="1" w:styleId="58">
    <w:name w:val="标准文件_一级项"/>
    <w:autoRedefine/>
    <w:qFormat/>
    <w:uiPriority w:val="0"/>
    <w:pPr>
      <w:numPr>
        <w:ilvl w:val="0"/>
        <w:numId w:val="6"/>
      </w:numPr>
    </w:pPr>
    <w:rPr>
      <w:rFonts w:ascii="宋体" w:hAnsi="Times New Roman" w:eastAsia="宋体" w:cs="Times New Roman"/>
      <w:sz w:val="21"/>
      <w:lang w:val="en-US" w:eastAsia="zh-CN" w:bidi="ar-SA"/>
    </w:rPr>
  </w:style>
  <w:style w:type="paragraph" w:customStyle="1" w:styleId="59">
    <w:name w:val="普通(网站) Char"/>
    <w:basedOn w:val="1"/>
    <w:qFormat/>
    <w:uiPriority w:val="0"/>
    <w:pPr>
      <w:spacing w:beforeAutospacing="1" w:afterAutospacing="1"/>
      <w:jc w:val="left"/>
    </w:pPr>
    <w:rPr>
      <w:rFonts w:hint="eastAsia" w:ascii="宋体" w:hAnsi="宋体" w:cs="Times New Roman"/>
      <w:kern w:val="0"/>
      <w:sz w:val="24"/>
    </w:rPr>
  </w:style>
  <w:style w:type="paragraph" w:customStyle="1" w:styleId="60">
    <w:name w:val="标准文件_五级无标题"/>
    <w:qFormat/>
    <w:uiPriority w:val="0"/>
    <w:pPr>
      <w:widowControl w:val="0"/>
      <w:numPr>
        <w:ilvl w:val="6"/>
        <w:numId w:val="7"/>
      </w:numPr>
      <w:jc w:val="both"/>
    </w:pPr>
    <w:rPr>
      <w:rFonts w:hint="eastAsia" w:ascii="宋体" w:hAnsi="Times New Roman" w:eastAsia="宋体" w:cs="Times New Roman"/>
      <w:sz w:val="21"/>
      <w:lang w:val="en-US" w:eastAsia="zh-CN" w:bidi="ar-SA"/>
    </w:rPr>
  </w:style>
  <w:style w:type="paragraph" w:customStyle="1" w:styleId="61">
    <w:name w:val="标准文件_注×："/>
    <w:basedOn w:val="1"/>
    <w:qFormat/>
    <w:uiPriority w:val="0"/>
    <w:pPr>
      <w:numPr>
        <w:ilvl w:val="0"/>
        <w:numId w:val="8"/>
      </w:numPr>
      <w:autoSpaceDE w:val="0"/>
      <w:autoSpaceDN w:val="0"/>
    </w:pPr>
    <w:rPr>
      <w:rFonts w:hint="eastAsia" w:ascii="宋体" w:hAnsi="Times New Roman" w:cs="Times New Roman"/>
      <w:kern w:val="0"/>
      <w:sz w:val="18"/>
      <w:szCs w:val="18"/>
    </w:rPr>
  </w:style>
  <w:style w:type="paragraph" w:customStyle="1" w:styleId="62">
    <w:name w:val="标准文件_表格"/>
    <w:basedOn w:val="1"/>
    <w:qFormat/>
    <w:uiPriority w:val="0"/>
    <w:pPr>
      <w:widowControl/>
      <w:autoSpaceDE w:val="0"/>
      <w:autoSpaceDN w:val="0"/>
      <w:jc w:val="center"/>
    </w:pPr>
    <w:rPr>
      <w:rFonts w:hint="eastAsia" w:ascii="宋体" w:hAnsi="Times New Roman" w:cs="Times New Roman"/>
      <w:kern w:val="0"/>
      <w:sz w:val="18"/>
      <w:szCs w:val="20"/>
    </w:rPr>
  </w:style>
  <w:style w:type="paragraph" w:customStyle="1" w:styleId="63">
    <w:name w:val="标准文件_附录表标题"/>
    <w:basedOn w:val="1"/>
    <w:next w:val="1"/>
    <w:qFormat/>
    <w:uiPriority w:val="0"/>
    <w:pPr>
      <w:widowControl/>
      <w:numPr>
        <w:ilvl w:val="1"/>
        <w:numId w:val="9"/>
      </w:numPr>
      <w:adjustRightInd w:val="0"/>
      <w:snapToGrid w:val="0"/>
      <w:spacing w:before="50" w:beforeLines="50" w:after="50" w:afterLines="50"/>
      <w:jc w:val="center"/>
    </w:pPr>
    <w:rPr>
      <w:rFonts w:hint="eastAsia" w:ascii="黑体" w:hAnsi="Times New Roman" w:eastAsia="黑体" w:cs="Times New Roman"/>
      <w:kern w:val="21"/>
      <w:szCs w:val="20"/>
    </w:rPr>
  </w:style>
  <w:style w:type="character" w:customStyle="1" w:styleId="64">
    <w:name w:val="font31"/>
    <w:basedOn w:val="18"/>
    <w:qFormat/>
    <w:uiPriority w:val="0"/>
    <w:rPr>
      <w:rFonts w:hint="eastAsia" w:ascii="宋体" w:hAnsi="宋体" w:eastAsia="宋体" w:cs="宋体"/>
      <w:color w:val="1F2329"/>
      <w:sz w:val="24"/>
      <w:szCs w:val="24"/>
      <w:u w:val="none"/>
    </w:rPr>
  </w:style>
  <w:style w:type="paragraph" w:customStyle="1" w:styleId="65">
    <w:name w:val="标准文件_附录一级条标题"/>
    <w:basedOn w:val="1"/>
    <w:next w:val="1"/>
    <w:qFormat/>
    <w:uiPriority w:val="0"/>
    <w:pPr>
      <w:numPr>
        <w:ilvl w:val="1"/>
        <w:numId w:val="10"/>
      </w:numPr>
      <w:spacing w:before="50" w:beforeLines="50" w:after="50" w:afterLines="50"/>
      <w:outlineLvl w:val="2"/>
    </w:pPr>
    <w:rPr>
      <w:rFonts w:hint="eastAsia" w:ascii="黑体" w:hAnsi="Times New Roman" w:eastAsia="黑体" w:cs="Times New Roman"/>
      <w:kern w:val="21"/>
      <w:szCs w:val="20"/>
    </w:rPr>
  </w:style>
  <w:style w:type="character" w:customStyle="1" w:styleId="66">
    <w:name w:val="标题 字符"/>
    <w:basedOn w:val="18"/>
    <w:link w:val="15"/>
    <w:qFormat/>
    <w:uiPriority w:val="0"/>
    <w:rPr>
      <w:rFonts w:ascii="等线 Light" w:hAnsi="等线 Light" w:eastAsia="等线 Light" w:cs="Times New Roman"/>
      <w:b/>
      <w:bCs/>
      <w:kern w:val="2"/>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38</Pages>
  <Words>15313</Words>
  <Characters>15597</Characters>
  <Lines>158</Lines>
  <Paragraphs>44</Paragraphs>
  <TotalTime>4</TotalTime>
  <ScaleCrop>false</ScaleCrop>
  <LinksUpToDate>false</LinksUpToDate>
  <CharactersWithSpaces>15686</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2025-04-23T01:45:00Z</dcterms:created>
  <dc:creator>Administrator</dc:creator>
  <cp:lastModifiedBy>对方正在输入...</cp:lastModifiedBy>
  <cp:lastPrinted>2025-09-04T06:54:00Z</cp:lastPrinted>
  <dcterms:modified xsi:type="dcterms:W3CDTF">2026-03-27T02:56:18Z</dcterms:modified>
  <cp:revision>39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DA023711DA28464084B788A0A8446D07_13</vt:lpwstr>
  </property>
  <property fmtid="{D5CDD505-2E9C-101B-9397-08002B2CF9AE}" pid="4" name="KSOTemplateDocerSaveRecord">
    <vt:lpwstr>eyJoZGlkIjoiMzg2YTk3YWJlMzJiOWE4NmU5OTkxNmM1MjU1OThkOTQiLCJ1c2VySWQiOiIzMjAyMTY5NjkifQ==</vt:lpwstr>
  </property>
</Properties>
</file>