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D1F025">
      <w:pPr>
        <w:jc w:val="center"/>
        <w:rPr>
          <w:rFonts w:hint="eastAsia" w:ascii="方正小标宋简体" w:hAnsi="方正小标宋简体" w:eastAsia="方正小标宋简体" w:cs="方正小标宋简体"/>
          <w:bCs/>
          <w:sz w:val="36"/>
          <w:szCs w:val="32"/>
        </w:rPr>
      </w:pPr>
      <w:r>
        <w:rPr>
          <w:rFonts w:hint="eastAsia" w:ascii="方正小标宋简体" w:hAnsi="方正小标宋简体" w:eastAsia="方正小标宋简体" w:cs="方正小标宋简体"/>
          <w:bCs/>
          <w:sz w:val="36"/>
          <w:szCs w:val="32"/>
        </w:rPr>
        <w:t>团体标准《超微可视化电子内窥镜引导下鼻肠管留置操作规范》（征求意见稿）编制说明</w:t>
      </w:r>
    </w:p>
    <w:p w14:paraId="6AF687CB">
      <w:pPr>
        <w:ind w:firstLine="360"/>
        <w:jc w:val="center"/>
        <w:rPr>
          <w:rFonts w:ascii="微软雅黑" w:eastAsia="微软雅黑" w:cs="仿宋_GB2312"/>
          <w:bCs/>
          <w:sz w:val="18"/>
          <w:szCs w:val="18"/>
        </w:rPr>
      </w:pPr>
    </w:p>
    <w:p w14:paraId="0EC4541C">
      <w:pPr>
        <w:spacing w:line="520" w:lineRule="exact"/>
        <w:ind w:firstLine="640" w:firstLineChars="200"/>
        <w:outlineLvl w:val="0"/>
        <w:rPr>
          <w:rFonts w:ascii="黑体" w:eastAsia="黑体" w:cs="仿宋_GB2312"/>
          <w:bCs/>
          <w:sz w:val="32"/>
          <w:szCs w:val="32"/>
        </w:rPr>
      </w:pPr>
      <w:r>
        <w:rPr>
          <w:rFonts w:hint="eastAsia" w:ascii="黑体" w:eastAsia="黑体" w:cs="仿宋_GB2312"/>
          <w:sz w:val="32"/>
          <w:szCs w:val="32"/>
        </w:rPr>
        <w:t>一、任务来源、起草单位、主要起草人</w:t>
      </w:r>
    </w:p>
    <w:p w14:paraId="1CDB763D">
      <w:pPr>
        <w:spacing w:line="520" w:lineRule="exact"/>
        <w:ind w:firstLine="560" w:firstLineChars="200"/>
        <w:rPr>
          <w:rFonts w:ascii="仿宋_GB2312" w:eastAsia="仿宋_GB2312"/>
          <w:sz w:val="28"/>
          <w:szCs w:val="28"/>
        </w:rPr>
      </w:pPr>
      <w:r>
        <w:rPr>
          <w:rFonts w:hint="eastAsia" w:ascii="仿宋_GB2312" w:eastAsia="仿宋_GB2312"/>
          <w:sz w:val="28"/>
          <w:szCs w:val="28"/>
        </w:rPr>
        <w:t>根据《广西标准化协会关于下达2025年第三十四批团体标准制修订项目计划的通知》（桂标协〔2025〕311号）精神，由广西护理学会提出，广西医科大学第一附属医院、中南大学湘雅医院、首都医科大学宣武医院、广西医科大学第二附属医院、钦州市第一人民医院、南宁市第二人民医院、贵港市人民医院、中山大学第一附属医院广西医院等单位共同起草的团体标准《超微可视化电子内窥镜引导下鼻肠管留置操作规范》（项目编号：2025-3402），已获立项。</w:t>
      </w:r>
    </w:p>
    <w:p w14:paraId="2A53C140">
      <w:pPr>
        <w:spacing w:line="520" w:lineRule="exact"/>
        <w:ind w:firstLine="560" w:firstLineChars="200"/>
        <w:rPr>
          <w:rFonts w:ascii="仿宋_GB2312" w:eastAsia="仿宋_GB2312"/>
          <w:sz w:val="28"/>
          <w:szCs w:val="28"/>
          <w:highlight w:val="yellow"/>
        </w:rPr>
      </w:pPr>
      <w:r>
        <w:rPr>
          <w:rFonts w:hint="eastAsia" w:ascii="仿宋_GB2312" w:eastAsia="仿宋_GB2312"/>
          <w:sz w:val="28"/>
          <w:szCs w:val="28"/>
        </w:rPr>
        <w:t>为高质量编制团体标准《超微可视化电子内窥镜引导下鼻肠管留置操作规范》，由起草单位成立标准编制工作组并进行如下分工：</w:t>
      </w:r>
    </w:p>
    <w:tbl>
      <w:tblPr>
        <w:tblStyle w:val="16"/>
        <w:tblW w:w="9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5"/>
        <w:gridCol w:w="1583"/>
        <w:gridCol w:w="1538"/>
        <w:gridCol w:w="2386"/>
        <w:gridCol w:w="2948"/>
      </w:tblGrid>
      <w:tr w14:paraId="06D91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A298BD7">
            <w:pPr>
              <w:jc w:val="center"/>
              <w:rPr>
                <w:rFonts w:hint="eastAsia" w:ascii="仿宋_GB2312" w:hAnsi="仿宋" w:eastAsia="仿宋_GB2312" w:cs="仿宋"/>
                <w:b/>
                <w:sz w:val="24"/>
              </w:rPr>
            </w:pPr>
            <w:r>
              <w:rPr>
                <w:rFonts w:hint="eastAsia" w:ascii="仿宋_GB2312" w:hAnsi="仿宋" w:eastAsia="仿宋_GB2312" w:cs="仿宋"/>
                <w:b/>
                <w:sz w:val="24"/>
              </w:rPr>
              <w:t>姓名</w:t>
            </w:r>
          </w:p>
        </w:tc>
        <w:tc>
          <w:tcPr>
            <w:tcW w:w="1583" w:type="dxa"/>
            <w:tcBorders>
              <w:top w:val="single" w:color="auto" w:sz="4" w:space="0"/>
              <w:left w:val="single" w:color="auto" w:sz="4" w:space="0"/>
              <w:bottom w:val="single" w:color="auto" w:sz="4" w:space="0"/>
              <w:right w:val="single" w:color="auto" w:sz="4" w:space="0"/>
            </w:tcBorders>
            <w:vAlign w:val="center"/>
          </w:tcPr>
          <w:p w14:paraId="56E69DE8">
            <w:pPr>
              <w:jc w:val="center"/>
              <w:rPr>
                <w:rFonts w:hint="eastAsia" w:ascii="仿宋_GB2312" w:hAnsi="仿宋" w:eastAsia="仿宋_GB2312" w:cs="仿宋"/>
                <w:b/>
                <w:sz w:val="24"/>
              </w:rPr>
            </w:pPr>
            <w:r>
              <w:rPr>
                <w:rFonts w:hint="eastAsia" w:ascii="仿宋_GB2312" w:hAnsi="仿宋" w:eastAsia="仿宋_GB2312" w:cs="仿宋"/>
                <w:b/>
                <w:sz w:val="24"/>
              </w:rPr>
              <w:t>职务/职</w:t>
            </w:r>
            <w:r>
              <w:rPr>
                <w:rFonts w:ascii="仿宋_GB2312" w:hAnsi="仿宋" w:eastAsia="仿宋_GB2312" w:cs="仿宋"/>
                <w:b/>
                <w:sz w:val="24"/>
              </w:rPr>
              <w:t>称</w:t>
            </w:r>
          </w:p>
        </w:tc>
        <w:tc>
          <w:tcPr>
            <w:tcW w:w="1538" w:type="dxa"/>
            <w:tcBorders>
              <w:top w:val="single" w:color="auto" w:sz="4" w:space="0"/>
              <w:left w:val="single" w:color="auto" w:sz="4" w:space="0"/>
              <w:bottom w:val="single" w:color="auto" w:sz="4" w:space="0"/>
              <w:right w:val="single" w:color="auto" w:sz="4" w:space="0"/>
            </w:tcBorders>
            <w:vAlign w:val="center"/>
          </w:tcPr>
          <w:p w14:paraId="6844AF36">
            <w:pPr>
              <w:jc w:val="center"/>
              <w:rPr>
                <w:rFonts w:hint="eastAsia" w:ascii="仿宋_GB2312" w:hAnsi="仿宋" w:eastAsia="仿宋_GB2312" w:cs="仿宋"/>
                <w:b/>
                <w:sz w:val="24"/>
              </w:rPr>
            </w:pPr>
            <w:r>
              <w:rPr>
                <w:rFonts w:hint="eastAsia" w:ascii="仿宋_GB2312" w:hAnsi="仿宋" w:eastAsia="仿宋_GB2312" w:cs="仿宋"/>
                <w:b/>
                <w:sz w:val="24"/>
              </w:rPr>
              <w:t>从事</w:t>
            </w:r>
          </w:p>
          <w:p w14:paraId="2E0293F8">
            <w:pPr>
              <w:jc w:val="center"/>
              <w:rPr>
                <w:rFonts w:hint="eastAsia" w:ascii="仿宋_GB2312" w:hAnsi="仿宋" w:eastAsia="仿宋_GB2312" w:cs="仿宋"/>
                <w:b/>
                <w:sz w:val="24"/>
              </w:rPr>
            </w:pPr>
            <w:r>
              <w:rPr>
                <w:rFonts w:hint="eastAsia" w:ascii="仿宋_GB2312" w:hAnsi="仿宋" w:eastAsia="仿宋_GB2312" w:cs="仿宋"/>
                <w:b/>
                <w:sz w:val="24"/>
              </w:rPr>
              <w:t>专业</w:t>
            </w:r>
          </w:p>
        </w:tc>
        <w:tc>
          <w:tcPr>
            <w:tcW w:w="2386" w:type="dxa"/>
            <w:tcBorders>
              <w:top w:val="single" w:color="auto" w:sz="4" w:space="0"/>
              <w:left w:val="single" w:color="auto" w:sz="4" w:space="0"/>
              <w:bottom w:val="single" w:color="auto" w:sz="4" w:space="0"/>
              <w:right w:val="single" w:color="auto" w:sz="4" w:space="0"/>
            </w:tcBorders>
            <w:vAlign w:val="center"/>
          </w:tcPr>
          <w:p w14:paraId="33F35368">
            <w:pPr>
              <w:jc w:val="center"/>
              <w:rPr>
                <w:rFonts w:hint="eastAsia" w:ascii="仿宋_GB2312" w:hAnsi="仿宋" w:eastAsia="仿宋_GB2312" w:cs="仿宋"/>
                <w:b/>
                <w:sz w:val="24"/>
              </w:rPr>
            </w:pPr>
            <w:r>
              <w:rPr>
                <w:rFonts w:hint="eastAsia" w:ascii="仿宋_GB2312" w:hAnsi="仿宋" w:eastAsia="仿宋_GB2312" w:cs="仿宋"/>
                <w:b/>
                <w:sz w:val="24"/>
              </w:rPr>
              <w:t>工作单位</w:t>
            </w:r>
          </w:p>
        </w:tc>
        <w:tc>
          <w:tcPr>
            <w:tcW w:w="2948" w:type="dxa"/>
            <w:tcBorders>
              <w:top w:val="single" w:color="auto" w:sz="4" w:space="0"/>
              <w:left w:val="single" w:color="auto" w:sz="4" w:space="0"/>
              <w:bottom w:val="single" w:color="auto" w:sz="4" w:space="0"/>
              <w:right w:val="single" w:color="auto" w:sz="4" w:space="0"/>
            </w:tcBorders>
            <w:vAlign w:val="center"/>
          </w:tcPr>
          <w:p w14:paraId="18D38D1B">
            <w:pPr>
              <w:jc w:val="center"/>
              <w:rPr>
                <w:rFonts w:hint="eastAsia" w:ascii="仿宋_GB2312" w:hAnsi="仿宋" w:eastAsia="仿宋_GB2312" w:cs="仿宋"/>
                <w:b/>
                <w:sz w:val="24"/>
              </w:rPr>
            </w:pPr>
            <w:r>
              <w:rPr>
                <w:rFonts w:hint="eastAsia" w:ascii="仿宋_GB2312" w:hAnsi="仿宋" w:eastAsia="仿宋_GB2312" w:cs="仿宋"/>
                <w:b/>
                <w:sz w:val="24"/>
              </w:rPr>
              <w:t>主要负责工作</w:t>
            </w:r>
          </w:p>
        </w:tc>
      </w:tr>
      <w:tr w14:paraId="387FD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50DBAA99">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黎秀婵</w:t>
            </w:r>
          </w:p>
        </w:tc>
        <w:tc>
          <w:tcPr>
            <w:tcW w:w="1583" w:type="dxa"/>
            <w:tcBorders>
              <w:top w:val="single" w:color="auto" w:sz="4" w:space="0"/>
              <w:left w:val="single" w:color="auto" w:sz="4" w:space="0"/>
              <w:bottom w:val="single" w:color="auto" w:sz="4" w:space="0"/>
              <w:right w:val="single" w:color="auto" w:sz="4" w:space="0"/>
            </w:tcBorders>
            <w:vAlign w:val="center"/>
          </w:tcPr>
          <w:p w14:paraId="162C9AF5">
            <w:pPr>
              <w:jc w:val="center"/>
              <w:rPr>
                <w:rFonts w:hint="eastAsia" w:ascii="仿宋_GB2312" w:hAnsi="仿宋_GB2312" w:eastAsia="仿宋_GB2312" w:cs="仿宋_GB2312"/>
                <w:sz w:val="24"/>
                <w:lang w:bidi="ar"/>
              </w:rPr>
            </w:pPr>
            <w:r>
              <w:rPr>
                <w:rFonts w:ascii="仿宋_GB2312" w:hAnsi="仿宋_GB2312" w:eastAsia="仿宋_GB2312" w:cs="仿宋_GB2312"/>
                <w:sz w:val="24"/>
                <w:lang w:bidi="ar"/>
              </w:rPr>
              <w:t>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484167A5">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1031F917">
            <w:pPr>
              <w:jc w:val="center"/>
              <w:rPr>
                <w:rFonts w:hint="eastAsia" w:ascii="仿宋_GB2312" w:hAnsi="仿宋_GB2312" w:eastAsia="仿宋_GB2312" w:cs="仿宋_GB2312"/>
                <w:sz w:val="24"/>
                <w:lang w:bidi="ar"/>
              </w:rPr>
            </w:pPr>
            <w:r>
              <w:rPr>
                <w:rFonts w:ascii="仿宋_GB2312" w:hAnsi="仿宋_GB2312" w:eastAsia="仿宋_GB2312" w:cs="仿宋_GB2312"/>
                <w:sz w:val="24"/>
                <w:lang w:bidi="ar"/>
              </w:rPr>
              <w:t>广西医科大学第一附属医院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682D9A28">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全面</w:t>
            </w:r>
            <w:r>
              <w:rPr>
                <w:rFonts w:ascii="仿宋_GB2312" w:hAnsi="仿宋_GB2312" w:eastAsia="仿宋_GB2312" w:cs="仿宋_GB2312"/>
                <w:sz w:val="24"/>
                <w:lang w:bidi="ar"/>
              </w:rPr>
              <w:t>组织</w:t>
            </w:r>
          </w:p>
        </w:tc>
      </w:tr>
      <w:tr w14:paraId="38F55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1A63A619">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王军</w:t>
            </w:r>
          </w:p>
        </w:tc>
        <w:tc>
          <w:tcPr>
            <w:tcW w:w="1583" w:type="dxa"/>
            <w:tcBorders>
              <w:top w:val="single" w:color="auto" w:sz="4" w:space="0"/>
              <w:left w:val="single" w:color="auto" w:sz="4" w:space="0"/>
              <w:bottom w:val="single" w:color="auto" w:sz="4" w:space="0"/>
              <w:right w:val="single" w:color="auto" w:sz="4" w:space="0"/>
            </w:tcBorders>
            <w:vAlign w:val="center"/>
          </w:tcPr>
          <w:p w14:paraId="7BE7D7EF">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首都医科大学宣武医院</w:t>
            </w:r>
          </w:p>
        </w:tc>
        <w:tc>
          <w:tcPr>
            <w:tcW w:w="1538" w:type="dxa"/>
            <w:tcBorders>
              <w:top w:val="single" w:color="auto" w:sz="4" w:space="0"/>
              <w:left w:val="single" w:color="auto" w:sz="4" w:space="0"/>
              <w:bottom w:val="single" w:color="auto" w:sz="4" w:space="0"/>
              <w:right w:val="single" w:color="auto" w:sz="4" w:space="0"/>
            </w:tcBorders>
            <w:vAlign w:val="center"/>
          </w:tcPr>
          <w:p w14:paraId="0853D746">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13765E31">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首都医科大学宣武医院</w:t>
            </w:r>
          </w:p>
        </w:tc>
        <w:tc>
          <w:tcPr>
            <w:tcW w:w="2948" w:type="dxa"/>
            <w:tcBorders>
              <w:top w:val="single" w:color="auto" w:sz="4" w:space="0"/>
              <w:left w:val="single" w:color="auto" w:sz="4" w:space="0"/>
              <w:bottom w:val="single" w:color="auto" w:sz="4" w:space="0"/>
              <w:right w:val="single" w:color="auto" w:sz="4" w:space="0"/>
            </w:tcBorders>
            <w:vAlign w:val="center"/>
          </w:tcPr>
          <w:p w14:paraId="3F083566">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指导规范文本及编制说明编写，质量控制</w:t>
            </w:r>
          </w:p>
        </w:tc>
      </w:tr>
      <w:tr w14:paraId="2FAF4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37BE689B">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高辉</w:t>
            </w:r>
          </w:p>
        </w:tc>
        <w:tc>
          <w:tcPr>
            <w:tcW w:w="1583" w:type="dxa"/>
            <w:tcBorders>
              <w:top w:val="single" w:color="auto" w:sz="4" w:space="0"/>
              <w:left w:val="single" w:color="auto" w:sz="4" w:space="0"/>
              <w:bottom w:val="single" w:color="auto" w:sz="4" w:space="0"/>
              <w:right w:val="single" w:color="auto" w:sz="4" w:space="0"/>
            </w:tcBorders>
            <w:vAlign w:val="center"/>
          </w:tcPr>
          <w:p w14:paraId="1EBFE524">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护士长/主管护师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42C65FF5">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神经外科重症护理学</w:t>
            </w:r>
          </w:p>
        </w:tc>
        <w:tc>
          <w:tcPr>
            <w:tcW w:w="2386" w:type="dxa"/>
            <w:tcBorders>
              <w:top w:val="single" w:color="auto" w:sz="4" w:space="0"/>
              <w:left w:val="single" w:color="auto" w:sz="4" w:space="0"/>
              <w:bottom w:val="single" w:color="auto" w:sz="4" w:space="0"/>
              <w:right w:val="single" w:color="auto" w:sz="4" w:space="0"/>
            </w:tcBorders>
            <w:vAlign w:val="center"/>
          </w:tcPr>
          <w:p w14:paraId="4F5C1797">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中南大学湘雅医院</w:t>
            </w:r>
          </w:p>
        </w:tc>
        <w:tc>
          <w:tcPr>
            <w:tcW w:w="2948" w:type="dxa"/>
            <w:tcBorders>
              <w:top w:val="single" w:color="auto" w:sz="4" w:space="0"/>
              <w:left w:val="single" w:color="auto" w:sz="4" w:space="0"/>
              <w:bottom w:val="single" w:color="auto" w:sz="4" w:space="0"/>
              <w:right w:val="single" w:color="auto" w:sz="4" w:space="0"/>
            </w:tcBorders>
            <w:vAlign w:val="center"/>
          </w:tcPr>
          <w:p w14:paraId="1B01D0AD">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负责起草规范草案，征求意见稿和规范编制说明的编写工作</w:t>
            </w:r>
          </w:p>
        </w:tc>
      </w:tr>
      <w:tr w14:paraId="5B3AB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726A08F4">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李向芝</w:t>
            </w:r>
          </w:p>
        </w:tc>
        <w:tc>
          <w:tcPr>
            <w:tcW w:w="1583" w:type="dxa"/>
            <w:tcBorders>
              <w:top w:val="single" w:color="auto" w:sz="4" w:space="0"/>
              <w:left w:val="single" w:color="auto" w:sz="4" w:space="0"/>
              <w:bottom w:val="single" w:color="auto" w:sz="4" w:space="0"/>
              <w:right w:val="single" w:color="auto" w:sz="4" w:space="0"/>
            </w:tcBorders>
            <w:vAlign w:val="center"/>
          </w:tcPr>
          <w:p w14:paraId="68E67A7D">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6CF6055E">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神经外科重症护理学</w:t>
            </w:r>
          </w:p>
        </w:tc>
        <w:tc>
          <w:tcPr>
            <w:tcW w:w="2386" w:type="dxa"/>
            <w:tcBorders>
              <w:top w:val="single" w:color="auto" w:sz="4" w:space="0"/>
              <w:left w:val="single" w:color="auto" w:sz="4" w:space="0"/>
              <w:bottom w:val="single" w:color="auto" w:sz="4" w:space="0"/>
              <w:right w:val="single" w:color="auto" w:sz="4" w:space="0"/>
            </w:tcBorders>
            <w:vAlign w:val="center"/>
          </w:tcPr>
          <w:p w14:paraId="3538DFEF">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中山大学第一附属医院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61F3A62B">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40ABC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75B30C48">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胡丽军</w:t>
            </w:r>
          </w:p>
        </w:tc>
        <w:tc>
          <w:tcPr>
            <w:tcW w:w="1583" w:type="dxa"/>
            <w:tcBorders>
              <w:top w:val="single" w:color="auto" w:sz="4" w:space="0"/>
              <w:left w:val="single" w:color="auto" w:sz="4" w:space="0"/>
              <w:bottom w:val="single" w:color="auto" w:sz="4" w:space="0"/>
              <w:right w:val="single" w:color="auto" w:sz="4" w:space="0"/>
            </w:tcBorders>
            <w:vAlign w:val="center"/>
          </w:tcPr>
          <w:p w14:paraId="70EB1BA4">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06905B97">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6B1670D1">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中山大学第一附属医院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56F2EE45">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4D92F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7F4C7912">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赖海燕</w:t>
            </w:r>
          </w:p>
        </w:tc>
        <w:tc>
          <w:tcPr>
            <w:tcW w:w="1583" w:type="dxa"/>
            <w:tcBorders>
              <w:top w:val="single" w:color="auto" w:sz="4" w:space="0"/>
              <w:left w:val="single" w:color="auto" w:sz="4" w:space="0"/>
              <w:bottom w:val="single" w:color="auto" w:sz="4" w:space="0"/>
              <w:right w:val="single" w:color="auto" w:sz="4" w:space="0"/>
            </w:tcBorders>
            <w:vAlign w:val="center"/>
          </w:tcPr>
          <w:p w14:paraId="1EBAF217">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护士长/主任护师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44BA7BD0">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799AF12B">
            <w:pPr>
              <w:jc w:val="center"/>
              <w:rPr>
                <w:rFonts w:hint="eastAsia" w:ascii="仿宋_GB2312" w:hAnsi="仿宋_GB2312" w:eastAsia="仿宋_GB2312" w:cs="仿宋_GB2312"/>
                <w:sz w:val="24"/>
                <w:lang w:bidi="ar"/>
              </w:rPr>
            </w:pPr>
            <w:r>
              <w:rPr>
                <w:rFonts w:ascii="仿宋_GB2312" w:hAnsi="仿宋_GB2312" w:eastAsia="仿宋_GB2312" w:cs="仿宋_GB2312"/>
                <w:sz w:val="24"/>
                <w:lang w:bidi="ar"/>
              </w:rPr>
              <w:t>广西医科大学第一附属医院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70102429">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74442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1240CDB7">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马娟</w:t>
            </w:r>
          </w:p>
        </w:tc>
        <w:tc>
          <w:tcPr>
            <w:tcW w:w="1583" w:type="dxa"/>
            <w:tcBorders>
              <w:top w:val="single" w:color="auto" w:sz="4" w:space="0"/>
              <w:left w:val="single" w:color="auto" w:sz="4" w:space="0"/>
              <w:bottom w:val="single" w:color="auto" w:sz="4" w:space="0"/>
              <w:right w:val="single" w:color="auto" w:sz="4" w:space="0"/>
            </w:tcBorders>
            <w:vAlign w:val="center"/>
          </w:tcPr>
          <w:p w14:paraId="532A7915">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护士长/主任护师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62410CAB">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神经内科重症护理学</w:t>
            </w:r>
          </w:p>
        </w:tc>
        <w:tc>
          <w:tcPr>
            <w:tcW w:w="2386" w:type="dxa"/>
            <w:tcBorders>
              <w:top w:val="single" w:color="auto" w:sz="4" w:space="0"/>
              <w:left w:val="single" w:color="auto" w:sz="4" w:space="0"/>
              <w:bottom w:val="single" w:color="auto" w:sz="4" w:space="0"/>
              <w:right w:val="single" w:color="auto" w:sz="4" w:space="0"/>
            </w:tcBorders>
            <w:vAlign w:val="center"/>
          </w:tcPr>
          <w:p w14:paraId="5C4556EB">
            <w:pPr>
              <w:jc w:val="center"/>
              <w:rPr>
                <w:rFonts w:hint="eastAsia" w:ascii="仿宋_GB2312" w:hAnsi="仿宋_GB2312" w:eastAsia="仿宋_GB2312" w:cs="仿宋_GB2312"/>
                <w:sz w:val="24"/>
                <w:lang w:bidi="ar"/>
              </w:rPr>
            </w:pPr>
            <w:r>
              <w:rPr>
                <w:rFonts w:ascii="仿宋_GB2312" w:hAnsi="仿宋_GB2312" w:eastAsia="仿宋_GB2312" w:cs="仿宋_GB2312"/>
                <w:sz w:val="24"/>
                <w:lang w:bidi="ar"/>
              </w:rPr>
              <w:t>广西医科大学第一附属医院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33164B63">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15F9E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17F4B881">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韦燕蓝</w:t>
            </w:r>
          </w:p>
        </w:tc>
        <w:tc>
          <w:tcPr>
            <w:tcW w:w="1583" w:type="dxa"/>
            <w:tcBorders>
              <w:top w:val="single" w:color="auto" w:sz="4" w:space="0"/>
              <w:left w:val="single" w:color="auto" w:sz="4" w:space="0"/>
              <w:bottom w:val="single" w:color="auto" w:sz="4" w:space="0"/>
              <w:right w:val="single" w:color="auto" w:sz="4" w:space="0"/>
            </w:tcBorders>
            <w:vAlign w:val="center"/>
          </w:tcPr>
          <w:p w14:paraId="2256DC4C">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794E0242">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40B99616">
            <w:pPr>
              <w:jc w:val="center"/>
              <w:rPr>
                <w:rFonts w:hint="eastAsia" w:ascii="仿宋_GB2312" w:hAnsi="仿宋_GB2312" w:eastAsia="仿宋_GB2312" w:cs="仿宋_GB2312"/>
                <w:sz w:val="24"/>
                <w:lang w:bidi="ar"/>
              </w:rPr>
            </w:pPr>
            <w:r>
              <w:rPr>
                <w:rFonts w:ascii="仿宋_GB2312" w:hAnsi="仿宋_GB2312" w:eastAsia="仿宋_GB2312" w:cs="仿宋_GB2312"/>
                <w:sz w:val="24"/>
                <w:lang w:bidi="ar"/>
              </w:rPr>
              <w:t>中山大学第一附属医院广西医院</w:t>
            </w:r>
          </w:p>
        </w:tc>
        <w:tc>
          <w:tcPr>
            <w:tcW w:w="2948" w:type="dxa"/>
            <w:tcBorders>
              <w:top w:val="single" w:color="auto" w:sz="4" w:space="0"/>
              <w:left w:val="single" w:color="auto" w:sz="4" w:space="0"/>
              <w:bottom w:val="single" w:color="auto" w:sz="4" w:space="0"/>
              <w:right w:val="single" w:color="auto" w:sz="4" w:space="0"/>
            </w:tcBorders>
            <w:vAlign w:val="center"/>
          </w:tcPr>
          <w:p w14:paraId="2ABFAA6D">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统筹规范编制工作组织人员进行规范发布后的宣贯培训</w:t>
            </w:r>
          </w:p>
        </w:tc>
      </w:tr>
      <w:tr w14:paraId="541AC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2F5FD67E">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卓新凤</w:t>
            </w:r>
          </w:p>
        </w:tc>
        <w:tc>
          <w:tcPr>
            <w:tcW w:w="1583" w:type="dxa"/>
            <w:tcBorders>
              <w:top w:val="single" w:color="auto" w:sz="4" w:space="0"/>
              <w:left w:val="single" w:color="auto" w:sz="4" w:space="0"/>
              <w:bottom w:val="single" w:color="auto" w:sz="4" w:space="0"/>
              <w:right w:val="single" w:color="auto" w:sz="4" w:space="0"/>
            </w:tcBorders>
            <w:vAlign w:val="center"/>
          </w:tcPr>
          <w:p w14:paraId="0AB4689B">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461DCB10">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00040CF8">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广西医科大学第二附属医院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367225A4">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负责送审稿及编制说明的编写工作</w:t>
            </w:r>
          </w:p>
        </w:tc>
      </w:tr>
      <w:tr w14:paraId="0FAFB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22C89174">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刘雪英</w:t>
            </w:r>
          </w:p>
        </w:tc>
        <w:tc>
          <w:tcPr>
            <w:tcW w:w="1583" w:type="dxa"/>
            <w:tcBorders>
              <w:top w:val="single" w:color="auto" w:sz="4" w:space="0"/>
              <w:left w:val="single" w:color="auto" w:sz="4" w:space="0"/>
              <w:bottom w:val="single" w:color="auto" w:sz="4" w:space="0"/>
              <w:right w:val="single" w:color="auto" w:sz="4" w:space="0"/>
            </w:tcBorders>
            <w:vAlign w:val="center"/>
          </w:tcPr>
          <w:p w14:paraId="0380DD98">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护士长/主任护师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01C1CA84">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0282E992">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钦州市第一人民医院</w:t>
            </w:r>
          </w:p>
        </w:tc>
        <w:tc>
          <w:tcPr>
            <w:tcW w:w="2948" w:type="dxa"/>
            <w:tcBorders>
              <w:top w:val="single" w:color="auto" w:sz="4" w:space="0"/>
              <w:left w:val="single" w:color="auto" w:sz="4" w:space="0"/>
              <w:bottom w:val="single" w:color="auto" w:sz="4" w:space="0"/>
              <w:right w:val="single" w:color="auto" w:sz="4" w:space="0"/>
            </w:tcBorders>
            <w:vAlign w:val="center"/>
          </w:tcPr>
          <w:p w14:paraId="734741AE">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负责起草规范草案，征求意见稿和规范编制说明，送审稿及编制说明的编写工作</w:t>
            </w:r>
          </w:p>
        </w:tc>
      </w:tr>
      <w:tr w14:paraId="18E52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3208A09">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袁启言</w:t>
            </w:r>
          </w:p>
        </w:tc>
        <w:tc>
          <w:tcPr>
            <w:tcW w:w="1583" w:type="dxa"/>
            <w:tcBorders>
              <w:top w:val="single" w:color="auto" w:sz="4" w:space="0"/>
              <w:left w:val="single" w:color="auto" w:sz="4" w:space="0"/>
              <w:bottom w:val="single" w:color="auto" w:sz="4" w:space="0"/>
              <w:right w:val="single" w:color="auto" w:sz="4" w:space="0"/>
            </w:tcBorders>
            <w:vAlign w:val="center"/>
          </w:tcPr>
          <w:p w14:paraId="725C6CDC">
            <w:pPr>
              <w:widowControl/>
              <w:adjustRightInd w:val="0"/>
              <w:snapToGrid w:val="0"/>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护士长/主管护师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5EC91BD9">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神经外科重症护理学</w:t>
            </w:r>
          </w:p>
        </w:tc>
        <w:tc>
          <w:tcPr>
            <w:tcW w:w="2386" w:type="dxa"/>
            <w:tcBorders>
              <w:top w:val="single" w:color="auto" w:sz="4" w:space="0"/>
              <w:left w:val="single" w:color="auto" w:sz="4" w:space="0"/>
              <w:bottom w:val="single" w:color="auto" w:sz="4" w:space="0"/>
              <w:right w:val="single" w:color="auto" w:sz="4" w:space="0"/>
            </w:tcBorders>
            <w:vAlign w:val="center"/>
          </w:tcPr>
          <w:p w14:paraId="643E2B45">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南宁市第二人民医院</w:t>
            </w:r>
          </w:p>
        </w:tc>
        <w:tc>
          <w:tcPr>
            <w:tcW w:w="2948" w:type="dxa"/>
            <w:tcBorders>
              <w:top w:val="single" w:color="auto" w:sz="4" w:space="0"/>
              <w:left w:val="single" w:color="auto" w:sz="4" w:space="0"/>
              <w:bottom w:val="single" w:color="auto" w:sz="4" w:space="0"/>
              <w:right w:val="single" w:color="auto" w:sz="4" w:space="0"/>
            </w:tcBorders>
            <w:vAlign w:val="center"/>
          </w:tcPr>
          <w:p w14:paraId="400EF54C">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负责编制说明的编写，质量控制</w:t>
            </w:r>
          </w:p>
        </w:tc>
      </w:tr>
      <w:tr w14:paraId="18E0C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2A4C7979">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李洁</w:t>
            </w:r>
          </w:p>
        </w:tc>
        <w:tc>
          <w:tcPr>
            <w:tcW w:w="1583" w:type="dxa"/>
            <w:tcBorders>
              <w:top w:val="single" w:color="auto" w:sz="4" w:space="0"/>
              <w:left w:val="single" w:color="auto" w:sz="4" w:space="0"/>
              <w:bottom w:val="single" w:color="auto" w:sz="4" w:space="0"/>
              <w:right w:val="single" w:color="auto" w:sz="4" w:space="0"/>
            </w:tcBorders>
            <w:vAlign w:val="center"/>
          </w:tcPr>
          <w:p w14:paraId="52DCE050">
            <w:pPr>
              <w:widowControl/>
              <w:adjustRightInd w:val="0"/>
              <w:snapToGrid w:val="0"/>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护士长/主管护师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7E96303B">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62C53919">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南宁市第二人民医院</w:t>
            </w:r>
          </w:p>
        </w:tc>
        <w:tc>
          <w:tcPr>
            <w:tcW w:w="2948" w:type="dxa"/>
            <w:tcBorders>
              <w:top w:val="single" w:color="auto" w:sz="4" w:space="0"/>
              <w:left w:val="single" w:color="auto" w:sz="4" w:space="0"/>
              <w:bottom w:val="single" w:color="auto" w:sz="4" w:space="0"/>
              <w:right w:val="single" w:color="auto" w:sz="4" w:space="0"/>
            </w:tcBorders>
            <w:vAlign w:val="center"/>
          </w:tcPr>
          <w:p w14:paraId="432C630D">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3856B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01C99C58">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邱雁飞</w:t>
            </w:r>
          </w:p>
        </w:tc>
        <w:tc>
          <w:tcPr>
            <w:tcW w:w="1583" w:type="dxa"/>
            <w:tcBorders>
              <w:top w:val="single" w:color="auto" w:sz="4" w:space="0"/>
              <w:left w:val="single" w:color="auto" w:sz="4" w:space="0"/>
              <w:bottom w:val="single" w:color="auto" w:sz="4" w:space="0"/>
              <w:right w:val="single" w:color="auto" w:sz="4" w:space="0"/>
            </w:tcBorders>
            <w:vAlign w:val="center"/>
          </w:tcPr>
          <w:p w14:paraId="2E7F7A64">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6B871E6D">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39A7331C">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贵港市人民医院</w:t>
            </w:r>
          </w:p>
        </w:tc>
        <w:tc>
          <w:tcPr>
            <w:tcW w:w="2948" w:type="dxa"/>
            <w:tcBorders>
              <w:top w:val="single" w:color="auto" w:sz="4" w:space="0"/>
              <w:left w:val="single" w:color="auto" w:sz="4" w:space="0"/>
              <w:bottom w:val="single" w:color="auto" w:sz="4" w:space="0"/>
              <w:right w:val="single" w:color="auto" w:sz="4" w:space="0"/>
            </w:tcBorders>
            <w:vAlign w:val="center"/>
          </w:tcPr>
          <w:p w14:paraId="5E608838">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28EEA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72D2A0F9">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方建冰</w:t>
            </w:r>
          </w:p>
        </w:tc>
        <w:tc>
          <w:tcPr>
            <w:tcW w:w="1583" w:type="dxa"/>
            <w:tcBorders>
              <w:top w:val="single" w:color="auto" w:sz="4" w:space="0"/>
              <w:left w:val="single" w:color="auto" w:sz="4" w:space="0"/>
              <w:bottom w:val="single" w:color="auto" w:sz="4" w:space="0"/>
              <w:right w:val="single" w:color="auto" w:sz="4" w:space="0"/>
            </w:tcBorders>
            <w:vAlign w:val="center"/>
          </w:tcPr>
          <w:p w14:paraId="15765577">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77B96402">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1E3EA042">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广西医科大学第一附属医院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6396BD72">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4AD00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6285234">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麦惠</w:t>
            </w:r>
          </w:p>
        </w:tc>
        <w:tc>
          <w:tcPr>
            <w:tcW w:w="1583" w:type="dxa"/>
            <w:tcBorders>
              <w:top w:val="single" w:color="auto" w:sz="4" w:space="0"/>
              <w:left w:val="single" w:color="auto" w:sz="4" w:space="0"/>
              <w:bottom w:val="single" w:color="auto" w:sz="4" w:space="0"/>
              <w:right w:val="single" w:color="auto" w:sz="4" w:space="0"/>
            </w:tcBorders>
            <w:vAlign w:val="center"/>
          </w:tcPr>
          <w:p w14:paraId="33E68117">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2CF30DEC">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0369E3EA">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广西医科大学第一附属医院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10593EEF">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60423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BD2A718">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黄晓菲</w:t>
            </w:r>
          </w:p>
        </w:tc>
        <w:tc>
          <w:tcPr>
            <w:tcW w:w="1583" w:type="dxa"/>
            <w:tcBorders>
              <w:top w:val="single" w:color="auto" w:sz="4" w:space="0"/>
              <w:left w:val="single" w:color="auto" w:sz="4" w:space="0"/>
              <w:bottom w:val="single" w:color="auto" w:sz="4" w:space="0"/>
              <w:right w:val="single" w:color="auto" w:sz="4" w:space="0"/>
            </w:tcBorders>
            <w:vAlign w:val="center"/>
          </w:tcPr>
          <w:p w14:paraId="0B613623">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2B669E47">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1AD2E129">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广西医科大学第一附属医院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2714B3CB">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485B6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7D1E712">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黄应丽</w:t>
            </w:r>
          </w:p>
        </w:tc>
        <w:tc>
          <w:tcPr>
            <w:tcW w:w="1583" w:type="dxa"/>
            <w:tcBorders>
              <w:top w:val="single" w:color="auto" w:sz="4" w:space="0"/>
              <w:left w:val="single" w:color="auto" w:sz="4" w:space="0"/>
              <w:bottom w:val="single" w:color="auto" w:sz="4" w:space="0"/>
              <w:right w:val="single" w:color="auto" w:sz="4" w:space="0"/>
            </w:tcBorders>
            <w:vAlign w:val="center"/>
          </w:tcPr>
          <w:p w14:paraId="7A9A90C7">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护师</w:t>
            </w:r>
          </w:p>
        </w:tc>
        <w:tc>
          <w:tcPr>
            <w:tcW w:w="1538" w:type="dxa"/>
            <w:tcBorders>
              <w:top w:val="single" w:color="auto" w:sz="4" w:space="0"/>
              <w:left w:val="single" w:color="auto" w:sz="4" w:space="0"/>
              <w:bottom w:val="single" w:color="auto" w:sz="4" w:space="0"/>
              <w:right w:val="single" w:color="auto" w:sz="4" w:space="0"/>
            </w:tcBorders>
            <w:vAlign w:val="center"/>
          </w:tcPr>
          <w:p w14:paraId="16B10A12">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20DC1E0C">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广西医科大学第一附属医院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37796D1B">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70D8B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75AC9F4A">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李耀莉</w:t>
            </w:r>
          </w:p>
        </w:tc>
        <w:tc>
          <w:tcPr>
            <w:tcW w:w="1583" w:type="dxa"/>
            <w:tcBorders>
              <w:top w:val="single" w:color="auto" w:sz="4" w:space="0"/>
              <w:left w:val="single" w:color="auto" w:sz="4" w:space="0"/>
              <w:bottom w:val="single" w:color="auto" w:sz="4" w:space="0"/>
              <w:right w:val="single" w:color="auto" w:sz="4" w:space="0"/>
            </w:tcBorders>
            <w:vAlign w:val="center"/>
          </w:tcPr>
          <w:p w14:paraId="7A67CC72">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7B1B2746">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5BBE9DFE">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广西医科大学第一附属医院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3ABFF2F7">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0BB96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441D03DD">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吕寿强</w:t>
            </w:r>
          </w:p>
        </w:tc>
        <w:tc>
          <w:tcPr>
            <w:tcW w:w="1583" w:type="dxa"/>
            <w:tcBorders>
              <w:top w:val="single" w:color="auto" w:sz="4" w:space="0"/>
              <w:left w:val="single" w:color="auto" w:sz="4" w:space="0"/>
              <w:bottom w:val="single" w:color="auto" w:sz="4" w:space="0"/>
              <w:right w:val="single" w:color="auto" w:sz="4" w:space="0"/>
            </w:tcBorders>
            <w:vAlign w:val="center"/>
          </w:tcPr>
          <w:p w14:paraId="282A02D6">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护师</w:t>
            </w:r>
          </w:p>
        </w:tc>
        <w:tc>
          <w:tcPr>
            <w:tcW w:w="1538" w:type="dxa"/>
            <w:tcBorders>
              <w:top w:val="single" w:color="auto" w:sz="4" w:space="0"/>
              <w:left w:val="single" w:color="auto" w:sz="4" w:space="0"/>
              <w:bottom w:val="single" w:color="auto" w:sz="4" w:space="0"/>
              <w:right w:val="single" w:color="auto" w:sz="4" w:space="0"/>
            </w:tcBorders>
            <w:vAlign w:val="center"/>
          </w:tcPr>
          <w:p w14:paraId="6EBBA581">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2FC936EE">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广西医科大学第一附属医院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554D260C">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4B698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3EB02DD">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党翔</w:t>
            </w:r>
          </w:p>
        </w:tc>
        <w:tc>
          <w:tcPr>
            <w:tcW w:w="1583" w:type="dxa"/>
            <w:tcBorders>
              <w:top w:val="single" w:color="auto" w:sz="4" w:space="0"/>
              <w:left w:val="single" w:color="auto" w:sz="4" w:space="0"/>
              <w:bottom w:val="single" w:color="auto" w:sz="4" w:space="0"/>
              <w:right w:val="single" w:color="auto" w:sz="4" w:space="0"/>
            </w:tcBorders>
            <w:vAlign w:val="center"/>
          </w:tcPr>
          <w:p w14:paraId="49D9B93E">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护师</w:t>
            </w:r>
          </w:p>
        </w:tc>
        <w:tc>
          <w:tcPr>
            <w:tcW w:w="1538" w:type="dxa"/>
            <w:tcBorders>
              <w:top w:val="single" w:color="auto" w:sz="4" w:space="0"/>
              <w:left w:val="single" w:color="auto" w:sz="4" w:space="0"/>
              <w:bottom w:val="single" w:color="auto" w:sz="4" w:space="0"/>
              <w:right w:val="single" w:color="auto" w:sz="4" w:space="0"/>
            </w:tcBorders>
            <w:vAlign w:val="center"/>
          </w:tcPr>
          <w:p w14:paraId="40A45B03">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7C44539C">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rPr>
              <w:t>广西医科大学第一附属医院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6448797C">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r w14:paraId="3F88A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F44AC10">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叶夏兰</w:t>
            </w:r>
          </w:p>
        </w:tc>
        <w:tc>
          <w:tcPr>
            <w:tcW w:w="1583" w:type="dxa"/>
            <w:tcBorders>
              <w:top w:val="single" w:color="auto" w:sz="4" w:space="0"/>
              <w:left w:val="single" w:color="auto" w:sz="4" w:space="0"/>
              <w:bottom w:val="single" w:color="auto" w:sz="4" w:space="0"/>
              <w:right w:val="single" w:color="auto" w:sz="4" w:space="0"/>
            </w:tcBorders>
            <w:vAlign w:val="center"/>
          </w:tcPr>
          <w:p w14:paraId="1B1E2C51">
            <w:pPr>
              <w:jc w:val="center"/>
              <w:rPr>
                <w:rFonts w:hint="eastAsia" w:ascii="仿宋_GB2312" w:hAnsi="仿宋_GB2312" w:eastAsia="仿宋_GB2312" w:cs="仿宋_GB2312"/>
                <w:sz w:val="24"/>
              </w:rPr>
            </w:pPr>
            <w:r>
              <w:rPr>
                <w:rFonts w:hint="eastAsia" w:ascii="仿宋_GB2312" w:hAnsi="仿宋_GB2312" w:eastAsia="仿宋_GB2312" w:cs="仿宋_GB2312"/>
                <w:sz w:val="24"/>
              </w:rPr>
              <w:t>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74CC4D92">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神经外科护理学</w:t>
            </w:r>
          </w:p>
        </w:tc>
        <w:tc>
          <w:tcPr>
            <w:tcW w:w="2386" w:type="dxa"/>
            <w:tcBorders>
              <w:top w:val="single" w:color="auto" w:sz="4" w:space="0"/>
              <w:left w:val="single" w:color="auto" w:sz="4" w:space="0"/>
              <w:bottom w:val="single" w:color="auto" w:sz="4" w:space="0"/>
              <w:right w:val="single" w:color="auto" w:sz="4" w:space="0"/>
            </w:tcBorders>
            <w:vAlign w:val="center"/>
          </w:tcPr>
          <w:p w14:paraId="7338140A">
            <w:pPr>
              <w:jc w:val="center"/>
              <w:rPr>
                <w:rFonts w:hint="eastAsia" w:ascii="仿宋_GB2312" w:hAnsi="仿宋_GB2312" w:eastAsia="仿宋_GB2312" w:cs="仿宋_GB2312"/>
                <w:sz w:val="24"/>
              </w:rPr>
            </w:pPr>
            <w:r>
              <w:rPr>
                <w:rFonts w:hint="eastAsia" w:ascii="仿宋_GB2312" w:hAnsi="仿宋_GB2312" w:eastAsia="仿宋_GB2312" w:cs="仿宋_GB2312"/>
                <w:sz w:val="24"/>
              </w:rPr>
              <w:t>广西医科大学第一附属医院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4DE3E7A7">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对规范实施情况进行总结分析，不断对规范提出修正意见</w:t>
            </w:r>
          </w:p>
        </w:tc>
      </w:tr>
    </w:tbl>
    <w:p w14:paraId="13B0720D">
      <w:pPr>
        <w:spacing w:line="520" w:lineRule="exact"/>
        <w:ind w:firstLine="640" w:firstLineChars="200"/>
        <w:outlineLvl w:val="0"/>
        <w:rPr>
          <w:rFonts w:ascii="黑体" w:eastAsia="黑体" w:cs="仿宋_GB2312"/>
          <w:sz w:val="32"/>
          <w:szCs w:val="32"/>
        </w:rPr>
      </w:pPr>
      <w:r>
        <w:rPr>
          <w:rFonts w:hint="eastAsia" w:ascii="黑体" w:eastAsia="黑体" w:cs="仿宋_GB2312"/>
          <w:sz w:val="32"/>
          <w:szCs w:val="32"/>
        </w:rPr>
        <w:t>二、制定标准的必要性和意义</w:t>
      </w:r>
    </w:p>
    <w:p w14:paraId="7B8F5451">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重症患者因进食障碍、高代谢状态及胃肠功能障碍，肠内营养期间喂养不耐受发生率高达30.5％~75％，显著增加返流、误吸及营养不良风险，研究证实幽门后喂养可有效降低喂养不耐受、吸入性肺炎等并发症的发生率，提高肠内营养效率，其核心机制在于营养液输注部位远离咽喉气道，利用幽门及屈氏韧带的生理性屏障作用减少反流与误吸风险。目前，鼻空肠营养已成为急危重症患者的主要营养支持治疗方式之一。</w:t>
      </w:r>
    </w:p>
    <w:p w14:paraId="7FE47D66">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然而，实现精准幽门后置管面临多重技术瓶颈：</w:t>
      </w:r>
    </w:p>
    <w:p w14:paraId="3D52892A">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1.传统盲插法成功率仅78％，操作耗时长达38分钟，且存在显著安全隐患——神经外科昏迷患者鼻胃管不良事件发生率高达56.41％；</w:t>
      </w:r>
    </w:p>
    <w:p w14:paraId="61F944C6">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2.超声引导法受患者体型及肠气干扰影响定位准确性；</w:t>
      </w:r>
    </w:p>
    <w:p w14:paraId="1F3B35BB">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3.电磁导航设备成本高昂且二维成像难以匹配肠道三维解剖结构；</w:t>
      </w:r>
    </w:p>
    <w:p w14:paraId="26153507">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4.胃镜引导法虽成功率较高但需患者转运至内镜室，增加危重患者病情波动风险；</w:t>
      </w:r>
    </w:p>
    <w:p w14:paraId="0654BE08">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5.而各类辅助定位手段（如消化液pH检测、腹部听诊）误差率较高，腹部X线摄影作为位置确认金标准缺乏实时性，且对儿童、孕妇存在辐射暴露顾虑。</w:t>
      </w:r>
    </w:p>
    <w:p w14:paraId="0F89DAD9">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床旁可视化电子内窥镜技术通过结构性创新突破上述困境：其核心原理是将传统鼻肠管内置钢制导丝替换为超微可视导丝，经专用图像处理器实时呈现胃肠道黏膜形态，通过特异性识别幽门环肌纹理及十二指肠肠绒毛特征实现精准定位，临床研究证实该技术具备三重核心优势：</w:t>
      </w:r>
    </w:p>
    <w:p w14:paraId="7F89383A">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1.置管成功率显著提升至96.7％且首次置管成功率达96.8％；</w:t>
      </w:r>
    </w:p>
    <w:p w14:paraId="3EFA686D">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2.操作效率大幅优化，平均置管时间缩短至20分钟（较盲插法减少47％）；</w:t>
      </w:r>
    </w:p>
    <w:p w14:paraId="2A2228C0">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3.安全性显著增强，可完全避免导管误入气道风险，并减少反复插管所致黏膜损伤，同时因置管后无需X线确认位置，消除了患者辐射暴露及相应检查费用。</w:t>
      </w:r>
    </w:p>
    <w:p w14:paraId="1F23B568">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目前全国大概有100家医疗机构常规开展超微可视化电子内窥镜引导下鼻肠管留置操作，应用该技术的临床病例数超3000例；广西区内已有5家医疗机构常规开展超微可视化电子内窥镜引导下鼻肠管留置操作，且应用该技术的临床病例数已超200例，该技术在区内应用的成功率稳定在96％以上，体现了其良好的有效性和可靠性。</w:t>
      </w:r>
    </w:p>
    <w:p w14:paraId="7DCBC570">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为规范超微可视化电子内窥镜引导下鼻肠管留置操作要求，促进该技术在危重症患者幽门后营养支持治疗中实现科学化、系统化、规范化操作，提升危重症患者肠内营养支持的有效性及治疗过程安全性，制定团体标准《超微可视化电子内窥镜引导下鼻肠管留置操作规范》具有重要意义。</w:t>
      </w:r>
    </w:p>
    <w:p w14:paraId="0D62424A">
      <w:pPr>
        <w:autoSpaceDE w:val="0"/>
        <w:autoSpaceDN w:val="0"/>
        <w:adjustRightInd w:val="0"/>
        <w:spacing w:line="520" w:lineRule="exact"/>
        <w:ind w:firstLine="640" w:firstLineChars="200"/>
        <w:jc w:val="left"/>
        <w:outlineLvl w:val="0"/>
        <w:rPr>
          <w:rFonts w:ascii="黑体" w:eastAsia="黑体" w:cs="仿宋_GB2312"/>
          <w:sz w:val="32"/>
          <w:szCs w:val="32"/>
        </w:rPr>
      </w:pPr>
      <w:r>
        <w:rPr>
          <w:rFonts w:hint="eastAsia" w:ascii="黑体" w:eastAsia="黑体" w:cs="仿宋_GB2312"/>
          <w:sz w:val="32"/>
          <w:szCs w:val="32"/>
        </w:rPr>
        <w:t>三、主要起草过程</w:t>
      </w:r>
    </w:p>
    <w:p w14:paraId="0D95DA3E">
      <w:pPr>
        <w:spacing w:line="520" w:lineRule="exact"/>
        <w:ind w:firstLine="562" w:firstLineChars="200"/>
        <w:outlineLvl w:val="1"/>
        <w:rPr>
          <w:rFonts w:ascii="仿宋_GB2312" w:eastAsia="仿宋_GB2312"/>
          <w:sz w:val="28"/>
          <w:szCs w:val="28"/>
        </w:rPr>
      </w:pPr>
      <w:r>
        <w:rPr>
          <w:rFonts w:hint="eastAsia" w:ascii="仿宋_GB2312" w:eastAsia="仿宋_GB2312" w:cs="仿宋_GB2312"/>
          <w:b/>
          <w:sz w:val="28"/>
          <w:szCs w:val="28"/>
        </w:rPr>
        <w:t>（一）成立标准编制工作组</w:t>
      </w:r>
    </w:p>
    <w:p w14:paraId="48E22955">
      <w:pPr>
        <w:spacing w:line="520" w:lineRule="exact"/>
        <w:ind w:firstLine="560" w:firstLineChars="200"/>
        <w:jc w:val="left"/>
        <w:rPr>
          <w:rFonts w:ascii="仿宋_GB2312" w:eastAsia="仿宋_GB2312"/>
          <w:sz w:val="28"/>
          <w:szCs w:val="28"/>
        </w:rPr>
      </w:pPr>
      <w:r>
        <w:rPr>
          <w:rFonts w:hint="eastAsia" w:ascii="仿宋_GB2312" w:hAnsi="宋体" w:eastAsia="仿宋_GB2312"/>
          <w:sz w:val="28"/>
          <w:szCs w:val="28"/>
        </w:rPr>
        <w:t>团体标准</w:t>
      </w:r>
      <w:r>
        <w:rPr>
          <w:rFonts w:hint="eastAsia" w:ascii="仿宋_GB2312" w:eastAsia="仿宋_GB2312"/>
          <w:sz w:val="28"/>
          <w:szCs w:val="28"/>
        </w:rPr>
        <w:t>《超微可视化电子内窥镜引导下鼻肠管留置操作规范》项目任务下达后，由广西医科大学第一附属医院牵头组织成立了标准编制工作组，制定了起草编写方案与进度安排，明确任务职责，确定工作技术路线，开展标准研制工作。具体标准编制工作由起草单位相关人员配合完成。</w:t>
      </w:r>
    </w:p>
    <w:p w14:paraId="27586D2F">
      <w:pPr>
        <w:spacing w:line="520" w:lineRule="exact"/>
        <w:ind w:firstLine="560" w:firstLineChars="200"/>
        <w:rPr>
          <w:rFonts w:ascii="仿宋_GB2312" w:eastAsia="仿宋_GB2312" w:cs="仿宋_GB2312"/>
          <w:sz w:val="28"/>
          <w:szCs w:val="28"/>
        </w:rPr>
      </w:pPr>
      <w:r>
        <w:rPr>
          <w:rFonts w:hint="eastAsia" w:ascii="仿宋_GB2312" w:eastAsia="仿宋_GB2312"/>
          <w:sz w:val="28"/>
          <w:szCs w:val="28"/>
        </w:rPr>
        <w:t>为明确标准编制的任务职责，确定工作技术路线，开展标准研制工作，标准编制工作组下设两个组，分别是资料收集组、草案编写组。资料收集组负责国内外有关超微可视化电子内窥镜引导下鼻肠管留置方面的文献资料的查询、收集和整理工作，查阅前期对超微可视化电子内窥镜引导下鼻肠管留置方面的有关研究情况和目前科学界超微可视化电子内窥镜引导下鼻肠管留置的研究进展；草案编写组负责起草标准草案及后续征求意见稿和标准编制说明、送审稿及编制说明等编写工作，包括后期召开征求意见会、网上征求意见，以及标准的不断修改和完善。</w:t>
      </w:r>
    </w:p>
    <w:p w14:paraId="06616C9C">
      <w:pPr>
        <w:spacing w:line="520" w:lineRule="exact"/>
        <w:ind w:firstLine="562" w:firstLineChars="200"/>
        <w:outlineLvl w:val="1"/>
        <w:rPr>
          <w:rFonts w:ascii="仿宋_GB2312" w:eastAsia="仿宋_GB2312" w:cs="仿宋_GB2312"/>
          <w:b/>
          <w:sz w:val="28"/>
          <w:szCs w:val="28"/>
        </w:rPr>
      </w:pPr>
      <w:r>
        <w:rPr>
          <w:rFonts w:hint="eastAsia" w:ascii="仿宋_GB2312" w:eastAsia="仿宋_GB2312" w:cs="仿宋_GB2312"/>
          <w:b/>
          <w:sz w:val="28"/>
          <w:szCs w:val="28"/>
        </w:rPr>
        <w:t>（二）收集整理文献资料</w:t>
      </w:r>
    </w:p>
    <w:p w14:paraId="6290498D">
      <w:pPr>
        <w:spacing w:line="520" w:lineRule="exact"/>
        <w:ind w:firstLine="560" w:firstLineChars="200"/>
        <w:rPr>
          <w:rFonts w:ascii="仿宋_GB2312" w:eastAsia="仿宋_GB2312"/>
          <w:sz w:val="28"/>
          <w:szCs w:val="28"/>
        </w:rPr>
      </w:pPr>
      <w:r>
        <w:rPr>
          <w:rFonts w:hint="eastAsia" w:ascii="仿宋_GB2312" w:eastAsia="仿宋_GB2312"/>
          <w:sz w:val="28"/>
          <w:szCs w:val="28"/>
        </w:rPr>
        <w:t>标准编制工作组收集了国内有关超微可视化电子内窥镜引导下鼻肠管留置的相关文献资料。主要有：</w:t>
      </w:r>
    </w:p>
    <w:p w14:paraId="6DEA35F0">
      <w:pPr>
        <w:spacing w:line="520" w:lineRule="exact"/>
        <w:ind w:firstLine="560" w:firstLineChars="200"/>
        <w:rPr>
          <w:rFonts w:ascii="仿宋_GB2312" w:eastAsia="仿宋_GB2312"/>
          <w:sz w:val="28"/>
          <w:szCs w:val="28"/>
        </w:rPr>
      </w:pPr>
      <w:r>
        <w:rPr>
          <w:rFonts w:hint="eastAsia" w:ascii="仿宋_GB2312" w:eastAsia="仿宋_GB2312"/>
          <w:sz w:val="28"/>
          <w:szCs w:val="28"/>
        </w:rPr>
        <w:t>[1]  T/GDNAS 026  鼻肠管置管技术规范</w:t>
      </w:r>
    </w:p>
    <w:p w14:paraId="22DFAB25">
      <w:pPr>
        <w:spacing w:line="520" w:lineRule="exact"/>
        <w:ind w:firstLine="560" w:firstLineChars="200"/>
        <w:rPr>
          <w:rFonts w:ascii="仿宋_GB2312" w:eastAsia="仿宋_GB2312"/>
          <w:sz w:val="28"/>
          <w:szCs w:val="28"/>
        </w:rPr>
      </w:pPr>
      <w:r>
        <w:rPr>
          <w:rFonts w:hint="eastAsia" w:ascii="仿宋_GB2312" w:eastAsia="仿宋_GB2312"/>
          <w:sz w:val="28"/>
          <w:szCs w:val="28"/>
        </w:rPr>
        <w:t>[2]  T/CGSS 036  鼻肠管的电磁导航置管规范</w:t>
      </w:r>
    </w:p>
    <w:p w14:paraId="07509355">
      <w:pPr>
        <w:spacing w:line="520" w:lineRule="exact"/>
        <w:ind w:firstLine="560" w:firstLineChars="200"/>
        <w:rPr>
          <w:rFonts w:ascii="仿宋_GB2312" w:eastAsia="仿宋_GB2312"/>
          <w:sz w:val="28"/>
          <w:szCs w:val="28"/>
        </w:rPr>
      </w:pPr>
      <w:r>
        <w:rPr>
          <w:rFonts w:hint="eastAsia" w:ascii="仿宋_GB2312" w:eastAsia="仿宋_GB2312"/>
          <w:sz w:val="28"/>
          <w:szCs w:val="28"/>
        </w:rPr>
        <w:t>[3]  T/CNAS 20  成人鼻肠管的留置与维护</w:t>
      </w:r>
    </w:p>
    <w:p w14:paraId="42F988FB">
      <w:pPr>
        <w:spacing w:line="520" w:lineRule="exact"/>
        <w:ind w:firstLine="560" w:firstLineChars="200"/>
        <w:rPr>
          <w:rFonts w:ascii="仿宋_GB2312" w:eastAsia="仿宋_GB2312"/>
          <w:sz w:val="28"/>
          <w:szCs w:val="28"/>
        </w:rPr>
      </w:pPr>
      <w:r>
        <w:rPr>
          <w:rFonts w:hint="eastAsia" w:ascii="仿宋_GB2312" w:eastAsia="仿宋_GB2312"/>
          <w:sz w:val="28"/>
          <w:szCs w:val="28"/>
        </w:rPr>
        <w:t>[4]  邓亚雯,何志丽,陈传希,等.成人超声引导下鼻肠管置管的专家共识[J].现代临床护理,2022, 21(10):1-6.</w:t>
      </w:r>
    </w:p>
    <w:p w14:paraId="721F4533">
      <w:pPr>
        <w:spacing w:line="520" w:lineRule="exact"/>
        <w:ind w:firstLine="560" w:firstLineChars="200"/>
        <w:rPr>
          <w:rFonts w:ascii="仿宋_GB2312" w:eastAsia="仿宋_GB2312"/>
          <w:sz w:val="28"/>
          <w:szCs w:val="28"/>
        </w:rPr>
      </w:pPr>
      <w:r>
        <w:rPr>
          <w:rFonts w:hint="eastAsia" w:ascii="仿宋_GB2312" w:eastAsia="仿宋_GB2312"/>
          <w:sz w:val="28"/>
          <w:szCs w:val="28"/>
        </w:rPr>
        <w:t>[5]  Chen Y, Tian X, Liu C, Zhang L, Xv Y, Xv S. Corrigendum: Application of visual placement of a nasojejunal indwelling feeding tube in intensive care unit patients receiving mechanical ventilation. Front Med (Lausanne). 2023;9:1123697. Published 2023 Jan 9. doi:10.3389/fmed.2022.1123697.</w:t>
      </w:r>
    </w:p>
    <w:p w14:paraId="541F094A">
      <w:pPr>
        <w:spacing w:line="520" w:lineRule="exact"/>
        <w:ind w:firstLine="562" w:firstLineChars="200"/>
        <w:outlineLvl w:val="1"/>
        <w:rPr>
          <w:rFonts w:ascii="仿宋_GB2312" w:eastAsia="仿宋_GB2312" w:cs="仿宋_GB2312"/>
          <w:b/>
          <w:sz w:val="28"/>
          <w:szCs w:val="28"/>
        </w:rPr>
      </w:pPr>
      <w:r>
        <w:rPr>
          <w:rFonts w:hint="eastAsia" w:ascii="仿宋_GB2312" w:eastAsia="仿宋_GB2312" w:cs="仿宋_GB2312"/>
          <w:b/>
          <w:sz w:val="28"/>
          <w:szCs w:val="28"/>
        </w:rPr>
        <w:t>（三）研讨确定标准主体内容及标准创新点</w:t>
      </w:r>
    </w:p>
    <w:p w14:paraId="45B43E1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标准编制工作组在对收集的资料进行整理研究之后，召开了标准编制会议，对标准的整体框架结构进行了研究，并对标准的关键性内容进行了初步探讨。经过研究，标准的主体内容为采用超微可视化电子内窥镜引导进行鼻肠管留置操作的人员要求、设备与材料、置管前准备、操作方法、异常情况处理、置管后护理与维护等内容。</w:t>
      </w:r>
    </w:p>
    <w:p w14:paraId="2EBFBD65">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本标准创新点主要为：</w:t>
      </w:r>
    </w:p>
    <w:p w14:paraId="0ADB318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 采用外径≤2.4 mm的超微可视化导丝经鼻肠管管腔置入，实现置管全程直视化，突破盲插依赖经验和传统内镜需经口镇静的限制。</w:t>
      </w:r>
    </w:p>
    <w:p w14:paraId="3991F8A5">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 建立基于超微内镜图像的关键解剖部位识别体系，明确食管、胃体、胃窦、幽门、十二指肠的镜下特征，便于操作者实时判断导管位置。</w:t>
      </w:r>
    </w:p>
    <w:p w14:paraId="72A6A1C9">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 规范双人协同操作模式，明确一人操控镜体、一人置管的协作分工，提升操作的流畅性与安全性。</w:t>
      </w:r>
    </w:p>
    <w:p w14:paraId="69E7EC6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4. 针对幽门通过困难、视野不清、置管阻力等常见问题提出具体镜下应对策略，形成可操作的现场处理方案。</w:t>
      </w:r>
    </w:p>
    <w:p w14:paraId="5C0FD30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5. 从操作前评估、置管操作到并发症处理构建全流程闭环管理，填补超微可视化技术用于鼻肠管留置的规范空白。</w:t>
      </w:r>
    </w:p>
    <w:p w14:paraId="1443A89D">
      <w:pPr>
        <w:spacing w:line="520" w:lineRule="exact"/>
        <w:ind w:firstLine="562" w:firstLineChars="200"/>
        <w:outlineLvl w:val="1"/>
        <w:rPr>
          <w:rFonts w:ascii="仿宋_GB2312" w:eastAsia="仿宋_GB2312" w:cs="仿宋_GB2312"/>
          <w:b/>
          <w:sz w:val="28"/>
          <w:szCs w:val="28"/>
        </w:rPr>
      </w:pPr>
      <w:r>
        <w:rPr>
          <w:rFonts w:hint="eastAsia" w:ascii="仿宋_GB2312" w:eastAsia="仿宋_GB2312" w:cs="仿宋_GB2312"/>
          <w:b/>
          <w:sz w:val="28"/>
          <w:szCs w:val="28"/>
        </w:rPr>
        <w:t>（四）调研及形成草案、征求意见稿</w:t>
      </w:r>
    </w:p>
    <w:p w14:paraId="02A853F9">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2025年8月，标准编制工作组查阅了大量的国内文献资料，对超微可视化电子内窥镜引导下鼻肠管留置相关的文件进行系统总结。形成了标准的基本构架，对主要内容进行了讨论并对项目的工作进行了部署和安排。</w:t>
      </w:r>
    </w:p>
    <w:p w14:paraId="0EAA2F22">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2025年10月，团体标准《超微可视化电子内窥镜引导下鼻肠管留置操作规范》获批立项，在前期工作的基础之上，通过理清逻辑脉络，整合已有参考资料中有关超微可视化电子内窥镜引导下鼻肠管留置的要求，并在目前超微可视化电子内窥镜引导下鼻肠管留置实际操作的基础上，按照简化、统一等原则编制完成团体标准《超微可视化电子内窥镜引导下鼻肠管留置操作规范》（草案）。</w:t>
      </w:r>
    </w:p>
    <w:p w14:paraId="31DEDD42">
      <w:pPr>
        <w:spacing w:line="520" w:lineRule="exact"/>
        <w:ind w:firstLine="560" w:firstLineChars="200"/>
        <w:rPr>
          <w:rFonts w:hint="eastAsia" w:ascii="仿宋_GB2312" w:eastAsia="仿宋_GB2312"/>
          <w:kern w:val="0"/>
          <w:sz w:val="28"/>
          <w:szCs w:val="28"/>
        </w:rPr>
      </w:pPr>
      <w:r>
        <w:rPr>
          <w:rFonts w:hint="eastAsia" w:ascii="仿宋_GB2312" w:eastAsia="仿宋_GB2312"/>
          <w:kern w:val="0"/>
          <w:sz w:val="28"/>
          <w:szCs w:val="28"/>
        </w:rPr>
        <w:t>202</w:t>
      </w:r>
      <w:r>
        <w:rPr>
          <w:rFonts w:hint="eastAsia" w:ascii="仿宋_GB2312" w:eastAsia="仿宋_GB2312"/>
          <w:kern w:val="0"/>
          <w:sz w:val="28"/>
          <w:szCs w:val="28"/>
          <w:lang w:val="en-US" w:eastAsia="zh-CN"/>
        </w:rPr>
        <w:t>6</w:t>
      </w:r>
      <w:r>
        <w:rPr>
          <w:rFonts w:hint="eastAsia" w:ascii="仿宋_GB2312" w:eastAsia="仿宋_GB2312"/>
          <w:kern w:val="0"/>
          <w:sz w:val="28"/>
          <w:szCs w:val="28"/>
        </w:rPr>
        <w:t>年3月，标准编制工作组深入各地实施超微可视化电子内窥镜引导下鼻肠管留置的有代表性的医院，如广西医科大学第一附属医院、中南大学湘雅医院、首都医科大学宣武医院、广西医科大学第二附属医院、钦州市第一人民医院、南宁市第二人民医院、贵港市人民医院、中山大学第一附属医院广西医院等召开标准研讨会，收集反馈了大量意见，对标准草案进行了反复修改和研究讨论，掌握了超微可视化电子内窥镜引导下鼻肠管留置的基本情况以及要求，最终形成了团体标准《超微可视化电子内窥镜引导下鼻肠管留置操作规范》（征求意见稿）及其编制说明。</w:t>
      </w:r>
    </w:p>
    <w:p w14:paraId="7067014A">
      <w:pPr>
        <w:spacing w:line="240" w:lineRule="auto"/>
        <w:jc w:val="center"/>
        <w:rPr>
          <w:rFonts w:hint="eastAsia" w:ascii="仿宋_GB2312" w:eastAsia="仿宋_GB2312"/>
          <w:kern w:val="0"/>
          <w:sz w:val="28"/>
          <w:szCs w:val="28"/>
          <w:lang w:eastAsia="zh-CN"/>
        </w:rPr>
      </w:pPr>
      <w:r>
        <w:rPr>
          <w:rFonts w:hint="eastAsia" w:ascii="仿宋_GB2312" w:eastAsia="仿宋_GB2312"/>
          <w:kern w:val="0"/>
          <w:sz w:val="28"/>
          <w:szCs w:val="28"/>
          <w:lang w:eastAsia="zh-CN"/>
        </w:rPr>
        <w:drawing>
          <wp:inline distT="0" distB="0" distL="114300" distR="114300">
            <wp:extent cx="4669155" cy="3500120"/>
            <wp:effectExtent l="0" t="0" r="17145" b="5080"/>
            <wp:docPr id="12" name="图片 12" descr="3083a08699de3e28183fdab004db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083a08699de3e28183fdab004db4157"/>
                    <pic:cNvPicPr>
                      <a:picLocks noChangeAspect="1"/>
                    </pic:cNvPicPr>
                  </pic:nvPicPr>
                  <pic:blipFill>
                    <a:blip r:embed="rId5"/>
                    <a:stretch>
                      <a:fillRect/>
                    </a:stretch>
                  </pic:blipFill>
                  <pic:spPr>
                    <a:xfrm>
                      <a:off x="0" y="0"/>
                      <a:ext cx="4669155" cy="3500120"/>
                    </a:xfrm>
                    <a:prstGeom prst="rect">
                      <a:avLst/>
                    </a:prstGeom>
                  </pic:spPr>
                </pic:pic>
              </a:graphicData>
            </a:graphic>
          </wp:inline>
        </w:drawing>
      </w:r>
    </w:p>
    <w:p w14:paraId="7CEE94A6">
      <w:pPr>
        <w:spacing w:line="240" w:lineRule="auto"/>
        <w:jc w:val="center"/>
        <w:rPr>
          <w:rFonts w:hint="eastAsia" w:ascii="黑体" w:hAnsi="黑体" w:eastAsia="黑体" w:cs="黑体"/>
          <w:kern w:val="0"/>
          <w:sz w:val="24"/>
          <w:szCs w:val="24"/>
          <w:lang w:eastAsia="zh-CN"/>
        </w:rPr>
      </w:pPr>
      <w:r>
        <w:rPr>
          <w:rFonts w:hint="eastAsia" w:ascii="黑体" w:hAnsi="黑体" w:eastAsia="黑体" w:cs="黑体"/>
          <w:kern w:val="0"/>
          <w:sz w:val="24"/>
          <w:szCs w:val="24"/>
          <w:lang w:eastAsia="zh-CN"/>
        </w:rPr>
        <w:t>《超微可视化电子内窥镜引导下鼻肠管留置操作规范》研讨会现场</w:t>
      </w:r>
    </w:p>
    <w:p w14:paraId="10C20948">
      <w:pPr>
        <w:autoSpaceDE w:val="0"/>
        <w:autoSpaceDN w:val="0"/>
        <w:adjustRightInd w:val="0"/>
        <w:spacing w:line="520" w:lineRule="exact"/>
        <w:ind w:firstLine="640" w:firstLineChars="200"/>
        <w:jc w:val="left"/>
        <w:outlineLvl w:val="0"/>
        <w:rPr>
          <w:rFonts w:ascii="黑体" w:eastAsia="黑体" w:cs="仿宋_GB2312"/>
          <w:sz w:val="32"/>
          <w:szCs w:val="32"/>
        </w:rPr>
      </w:pPr>
      <w:r>
        <w:rPr>
          <w:rFonts w:hint="eastAsia" w:ascii="黑体" w:eastAsia="黑体" w:cs="仿宋_GB2312"/>
          <w:sz w:val="32"/>
          <w:szCs w:val="32"/>
        </w:rPr>
        <w:t>四、制定标准的原则和依据，与现行法律法规的关系，与有关国家标准、行业标准的协调情况</w:t>
      </w:r>
    </w:p>
    <w:p w14:paraId="7EEAB897">
      <w:pPr>
        <w:widowControl/>
        <w:tabs>
          <w:tab w:val="center" w:pos="4201"/>
          <w:tab w:val="right" w:leader="dot" w:pos="9298"/>
        </w:tabs>
        <w:autoSpaceDE w:val="0"/>
        <w:autoSpaceDN w:val="0"/>
        <w:spacing w:line="520" w:lineRule="exact"/>
        <w:ind w:firstLine="562" w:firstLineChars="200"/>
        <w:outlineLvl w:val="1"/>
        <w:rPr>
          <w:rFonts w:ascii="仿宋_GB2312" w:eastAsia="仿宋_GB2312"/>
          <w:b/>
          <w:bCs/>
          <w:kern w:val="0"/>
          <w:sz w:val="28"/>
          <w:szCs w:val="28"/>
        </w:rPr>
      </w:pPr>
      <w:r>
        <w:rPr>
          <w:rFonts w:hint="eastAsia" w:ascii="仿宋_GB2312" w:eastAsia="仿宋_GB2312"/>
          <w:b/>
          <w:bCs/>
          <w:kern w:val="0"/>
          <w:sz w:val="28"/>
          <w:szCs w:val="28"/>
        </w:rPr>
        <w:t>（一）编制原则</w:t>
      </w:r>
    </w:p>
    <w:p w14:paraId="0DB863DB">
      <w:pPr>
        <w:spacing w:line="520" w:lineRule="exact"/>
        <w:ind w:firstLine="562" w:firstLineChars="200"/>
        <w:rPr>
          <w:rFonts w:ascii="仿宋_GB2312" w:eastAsia="仿宋_GB2312"/>
          <w:b/>
          <w:sz w:val="28"/>
          <w:szCs w:val="28"/>
        </w:rPr>
      </w:pPr>
      <w:r>
        <w:rPr>
          <w:rFonts w:hint="eastAsia" w:ascii="仿宋_GB2312" w:eastAsia="仿宋_GB2312"/>
          <w:b/>
          <w:sz w:val="28"/>
          <w:szCs w:val="28"/>
        </w:rPr>
        <w:t>1.实用性原则</w:t>
      </w:r>
    </w:p>
    <w:p w14:paraId="75DB8AB8">
      <w:pPr>
        <w:spacing w:line="520" w:lineRule="exact"/>
        <w:ind w:firstLine="560" w:firstLineChars="200"/>
        <w:rPr>
          <w:rFonts w:ascii="仿宋_GB2312" w:eastAsia="仿宋_GB2312" w:cs="仿宋"/>
          <w:sz w:val="28"/>
          <w:szCs w:val="28"/>
        </w:rPr>
      </w:pPr>
      <w:r>
        <w:rPr>
          <w:rFonts w:hint="eastAsia" w:ascii="仿宋_GB2312" w:eastAsia="仿宋_GB2312" w:cs="仿宋"/>
          <w:sz w:val="28"/>
          <w:szCs w:val="28"/>
        </w:rPr>
        <w:t>本标准是在充分收集国内外相关资料和文献、调研分析</w:t>
      </w:r>
      <w:r>
        <w:rPr>
          <w:rFonts w:hint="eastAsia" w:ascii="仿宋_GB2312" w:eastAsia="仿宋_GB2312"/>
          <w:kern w:val="0"/>
          <w:sz w:val="28"/>
          <w:szCs w:val="28"/>
        </w:rPr>
        <w:t>超微可视化电子内窥镜引导下鼻肠管留置</w:t>
      </w:r>
      <w:r>
        <w:rPr>
          <w:rFonts w:hint="eastAsia" w:ascii="仿宋_GB2312" w:eastAsia="仿宋_GB2312" w:cs="仿宋"/>
          <w:sz w:val="28"/>
          <w:szCs w:val="28"/>
        </w:rPr>
        <w:t>现状，结合起草单位前期研究工作取得的研究成果及积累的</w:t>
      </w:r>
      <w:r>
        <w:rPr>
          <w:rFonts w:hint="eastAsia" w:ascii="仿宋_GB2312" w:eastAsia="仿宋_GB2312"/>
          <w:kern w:val="0"/>
          <w:sz w:val="28"/>
          <w:szCs w:val="28"/>
        </w:rPr>
        <w:t>超微可视化电子内窥镜引导下鼻肠管留置</w:t>
      </w:r>
      <w:r>
        <w:rPr>
          <w:rFonts w:hint="eastAsia" w:ascii="仿宋_GB2312" w:eastAsia="仿宋_GB2312" w:cs="仿宋"/>
          <w:sz w:val="28"/>
          <w:szCs w:val="28"/>
        </w:rPr>
        <w:t>实践经验，并借鉴国内</w:t>
      </w:r>
      <w:r>
        <w:rPr>
          <w:rFonts w:hint="eastAsia" w:ascii="仿宋_GB2312" w:eastAsia="仿宋_GB2312"/>
          <w:kern w:val="0"/>
          <w:sz w:val="28"/>
          <w:szCs w:val="28"/>
        </w:rPr>
        <w:t>超微可视化电子内窥镜引导下鼻肠管留置</w:t>
      </w:r>
      <w:r>
        <w:rPr>
          <w:rFonts w:hint="eastAsia" w:ascii="仿宋_GB2312" w:eastAsia="仿宋_GB2312" w:cs="仿宋"/>
          <w:sz w:val="28"/>
          <w:szCs w:val="28"/>
        </w:rPr>
        <w:t>进行总结起草的，符合工作实际，利于</w:t>
      </w:r>
      <w:r>
        <w:rPr>
          <w:rFonts w:hint="eastAsia" w:ascii="仿宋_GB2312" w:eastAsia="仿宋_GB2312"/>
          <w:kern w:val="0"/>
          <w:sz w:val="28"/>
          <w:szCs w:val="28"/>
        </w:rPr>
        <w:t>超微可视化电子内窥镜引导下鼻肠管留置</w:t>
      </w:r>
      <w:r>
        <w:rPr>
          <w:rFonts w:hint="eastAsia" w:ascii="仿宋_GB2312" w:eastAsia="仿宋_GB2312" w:cs="仿宋"/>
          <w:sz w:val="28"/>
          <w:szCs w:val="28"/>
        </w:rPr>
        <w:t>的实施与推广，具有可操作性和实用性。</w:t>
      </w:r>
    </w:p>
    <w:p w14:paraId="02659D99">
      <w:pPr>
        <w:spacing w:line="520" w:lineRule="exact"/>
        <w:ind w:firstLine="562" w:firstLineChars="200"/>
        <w:rPr>
          <w:rFonts w:ascii="仿宋_GB2312" w:eastAsia="仿宋_GB2312"/>
          <w:b/>
          <w:sz w:val="28"/>
          <w:szCs w:val="28"/>
        </w:rPr>
      </w:pPr>
      <w:r>
        <w:rPr>
          <w:rFonts w:hint="eastAsia" w:ascii="仿宋_GB2312" w:eastAsia="仿宋_GB2312"/>
          <w:b/>
          <w:sz w:val="28"/>
          <w:szCs w:val="28"/>
        </w:rPr>
        <w:t>2.协调性原则</w:t>
      </w:r>
    </w:p>
    <w:p w14:paraId="0F5BA7AA">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本文件编写过程中注意了与</w:t>
      </w:r>
      <w:r>
        <w:rPr>
          <w:rFonts w:hint="eastAsia" w:ascii="仿宋_GB2312" w:eastAsia="仿宋_GB2312"/>
          <w:kern w:val="0"/>
          <w:sz w:val="28"/>
          <w:szCs w:val="28"/>
        </w:rPr>
        <w:t>超微可视化电子内窥镜引导下鼻肠管留置</w:t>
      </w:r>
      <w:r>
        <w:rPr>
          <w:rFonts w:hint="eastAsia" w:ascii="仿宋_GB2312" w:eastAsia="仿宋_GB2312"/>
          <w:sz w:val="28"/>
          <w:szCs w:val="28"/>
        </w:rPr>
        <w:t>相关法律法规的协调问题，在内容上与现行法律法规、标准协调一致。</w:t>
      </w:r>
    </w:p>
    <w:p w14:paraId="4A3BD743">
      <w:pPr>
        <w:spacing w:line="520" w:lineRule="exact"/>
        <w:ind w:firstLine="562" w:firstLineChars="200"/>
        <w:rPr>
          <w:rFonts w:ascii="仿宋_GB2312" w:eastAsia="仿宋_GB2312"/>
          <w:b/>
          <w:sz w:val="28"/>
          <w:szCs w:val="28"/>
        </w:rPr>
      </w:pPr>
      <w:r>
        <w:rPr>
          <w:rFonts w:hint="eastAsia" w:ascii="仿宋_GB2312" w:eastAsia="仿宋_GB2312"/>
          <w:b/>
          <w:sz w:val="28"/>
          <w:szCs w:val="28"/>
        </w:rPr>
        <w:t>3.规范性原则</w:t>
      </w:r>
    </w:p>
    <w:p w14:paraId="74BE0026">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本文件严格按照GB/T 1.1—2020《标准化工作导则  第1部分：标准化文件的结构和起草规则》编写本标准的内容，保证标准的编写质量。</w:t>
      </w:r>
    </w:p>
    <w:p w14:paraId="3818B7B4">
      <w:pPr>
        <w:spacing w:line="520" w:lineRule="exact"/>
        <w:ind w:firstLine="562" w:firstLineChars="200"/>
        <w:rPr>
          <w:rFonts w:ascii="仿宋_GB2312" w:eastAsia="仿宋_GB2312"/>
          <w:b/>
          <w:sz w:val="28"/>
          <w:szCs w:val="28"/>
        </w:rPr>
      </w:pPr>
      <w:r>
        <w:rPr>
          <w:rFonts w:hint="eastAsia" w:ascii="仿宋_GB2312" w:eastAsia="仿宋_GB2312"/>
          <w:b/>
          <w:sz w:val="28"/>
          <w:szCs w:val="28"/>
        </w:rPr>
        <w:t>4.前瞻性原则</w:t>
      </w:r>
    </w:p>
    <w:p w14:paraId="274C3EA5">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本文件在兼顾当前区内</w:t>
      </w:r>
      <w:r>
        <w:rPr>
          <w:rFonts w:hint="eastAsia" w:ascii="仿宋_GB2312" w:eastAsia="仿宋_GB2312"/>
          <w:kern w:val="0"/>
          <w:sz w:val="28"/>
          <w:szCs w:val="28"/>
        </w:rPr>
        <w:t>超微可视化电子内窥镜引导下鼻肠管留置</w:t>
      </w:r>
      <w:r>
        <w:rPr>
          <w:rFonts w:hint="eastAsia" w:ascii="仿宋_GB2312" w:eastAsia="仿宋_GB2312"/>
          <w:sz w:val="28"/>
          <w:szCs w:val="28"/>
        </w:rPr>
        <w:t>现实情况的同时，还考虑到了</w:t>
      </w:r>
      <w:r>
        <w:rPr>
          <w:rFonts w:hint="eastAsia" w:ascii="仿宋_GB2312" w:eastAsia="仿宋_GB2312"/>
          <w:kern w:val="0"/>
          <w:sz w:val="28"/>
          <w:szCs w:val="28"/>
        </w:rPr>
        <w:t>超微可视化电子内窥镜引导下鼻肠管留置</w:t>
      </w:r>
      <w:r>
        <w:rPr>
          <w:rFonts w:hint="eastAsia" w:ascii="仿宋_GB2312" w:eastAsia="仿宋_GB2312"/>
          <w:sz w:val="28"/>
          <w:szCs w:val="28"/>
        </w:rPr>
        <w:t>的需要，在标准中体现了个别特色性、前瞻性和先进性条款，作为对</w:t>
      </w:r>
      <w:r>
        <w:rPr>
          <w:rFonts w:hint="eastAsia" w:ascii="仿宋_GB2312" w:eastAsia="仿宋_GB2312"/>
          <w:kern w:val="0"/>
          <w:sz w:val="28"/>
          <w:szCs w:val="28"/>
        </w:rPr>
        <w:t>超微可视化电子内窥镜引导下鼻肠管留置</w:t>
      </w:r>
      <w:r>
        <w:rPr>
          <w:rFonts w:hint="eastAsia" w:ascii="仿宋_GB2312" w:eastAsia="仿宋_GB2312"/>
          <w:sz w:val="28"/>
          <w:szCs w:val="28"/>
        </w:rPr>
        <w:t>发展的指导。</w:t>
      </w:r>
    </w:p>
    <w:p w14:paraId="330C1A02">
      <w:pPr>
        <w:spacing w:line="520" w:lineRule="exact"/>
        <w:ind w:firstLine="562" w:firstLineChars="200"/>
        <w:outlineLvl w:val="1"/>
        <w:rPr>
          <w:rFonts w:ascii="仿宋_GB2312" w:eastAsia="仿宋_GB2312"/>
          <w:b/>
          <w:bCs/>
          <w:sz w:val="28"/>
          <w:szCs w:val="28"/>
        </w:rPr>
      </w:pPr>
      <w:r>
        <w:rPr>
          <w:rFonts w:hint="eastAsia" w:ascii="仿宋_GB2312" w:eastAsia="仿宋_GB2312"/>
          <w:b/>
          <w:bCs/>
          <w:sz w:val="28"/>
          <w:szCs w:val="28"/>
        </w:rPr>
        <w:t>（二）编制依据</w:t>
      </w:r>
    </w:p>
    <w:p w14:paraId="724E7EF0">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本标准严格按照GB/T 1.1—2020《标准化工作导则  第1部分：标准化文件的结构和起草规则》的规则起草，标准主要内容依据起草单位在</w:t>
      </w:r>
      <w:r>
        <w:rPr>
          <w:rFonts w:hint="eastAsia" w:ascii="仿宋_GB2312" w:eastAsia="仿宋_GB2312"/>
          <w:kern w:val="0"/>
          <w:sz w:val="28"/>
          <w:szCs w:val="28"/>
        </w:rPr>
        <w:t>超微可视化电子内窥镜引导下鼻肠管留置</w:t>
      </w:r>
      <w:r>
        <w:rPr>
          <w:rFonts w:hint="eastAsia" w:ascii="仿宋_GB2312" w:eastAsia="仿宋_GB2312"/>
          <w:sz w:val="28"/>
          <w:szCs w:val="28"/>
        </w:rPr>
        <w:t>研究应用过程中的实践经验确定。</w:t>
      </w:r>
    </w:p>
    <w:p w14:paraId="4868B094">
      <w:pPr>
        <w:spacing w:line="520" w:lineRule="exact"/>
        <w:ind w:firstLine="562" w:firstLineChars="200"/>
        <w:outlineLvl w:val="1"/>
        <w:rPr>
          <w:rFonts w:ascii="仿宋_GB2312" w:eastAsia="仿宋_GB2312"/>
          <w:b/>
          <w:bCs/>
          <w:sz w:val="28"/>
          <w:szCs w:val="28"/>
        </w:rPr>
      </w:pPr>
      <w:r>
        <w:rPr>
          <w:rFonts w:hint="eastAsia" w:ascii="仿宋_GB2312" w:eastAsia="仿宋_GB2312"/>
          <w:b/>
          <w:bCs/>
          <w:sz w:val="28"/>
          <w:szCs w:val="28"/>
        </w:rPr>
        <w:t>（三）与现行法律法规的关系，与有关国家标准、行业标准的协调情况</w:t>
      </w:r>
    </w:p>
    <w:p w14:paraId="154D6CE3">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经查阅，目前国内外与“超微可视化电子内窥镜引导下鼻肠管留置操作”现行相关的国家、行业、地方和团体标准有：</w:t>
      </w:r>
    </w:p>
    <w:p w14:paraId="371BF5A6">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1.DB32/T 5124.4—2025 《临床护理技术规范  第4部分：成人危重症患者漂浮导管置管配合与监测》：该标准规范的是经中心静脉置入肺小动脉的血流动力学监测导管的操作配合与监测，其操作部位（中心静脉、肺动脉）、目的（血流动力学监测）和应用场景（危重症血流动力学监测）与本标准的鼻肠管置管标准（经口/鼻-食道-胃肠道、肠内营养）完全不同，无重叠性。</w:t>
      </w:r>
    </w:p>
    <w:p w14:paraId="134348E9">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2.T/CNAS 20—2021 《成人鼻肠管留置与维护》：该标准主要聚焦于普通徒手盲插鼻肠管的留置与维护操作要点。本标准的标准则核心在于阐述如何利用可视化图像（内窥镜）辅助进行鼻肠管置入，在置管方法和技术核心上存在本质区别。</w:t>
      </w:r>
    </w:p>
    <w:p w14:paraId="0C70979A">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3.T/CRHA 095—2024 《床旁超声引导下鼻肠管留置操作规范》：该规范详细描述了超声引导下鼻肠管置管的设备操作、关键部位成像特点及辨别要素。本标准的标准基于可视化内窥镜成像，其设备操作原理、成像特点（直接黏膜观察vs超声声像图）、关键部位辨别方法存在显著差异。</w:t>
      </w:r>
    </w:p>
    <w:p w14:paraId="4F0B9F40">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4.T/CGSS 036—2024 《鼻肠管的电磁导航置管规范》：该规范针对电磁导航技术，涉及特定的导管材质要求、设备操作以及基于二维成像的导航定位。本标准的标准采用可视化内窥镜技术，在设备原理（光学成像vs电磁感应）、成像方式（直接可视化 vs 二维轨迹描记）、关键要素判断（实时黏膜观察vs信号定位）等方面完全不同。</w:t>
      </w:r>
    </w:p>
    <w:p w14:paraId="0CA16144">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5.T/GDNAS 026—2023 《鼻肠管置管技术规范》： 该标准在“7.4 便携式可视化鼻肠管置管要点”部分对可视化置管过程有提及，但仅简单阐述了5个要点并附流程图。不足之处在于：</w:t>
      </w:r>
    </w:p>
    <w:p w14:paraId="05A0EB3E">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（1）未提供关键部位的典型图像示例供操作者辨别学习。</w:t>
      </w:r>
    </w:p>
    <w:p w14:paraId="0D557A34">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（2）未涵盖置管过程中可能出现的突发情况（如误入气道、打折、黏膜损伤等）的判断和处理方法。</w:t>
      </w:r>
    </w:p>
    <w:p w14:paraId="322577A5">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（3）整体描述较为简略，缺乏操作细节和质控要点。</w:t>
      </w:r>
    </w:p>
    <w:p w14:paraId="0E7060E1">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因此，虽然该标准涉及了“可视化”的概念，但其内容的深度、细节度和实用性与本标准的专门技术规范差距较大，无法满足规范化操作和培训的需求。</w:t>
      </w:r>
    </w:p>
    <w:p w14:paraId="7FFC9244">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以上标准与本标准或目标不同，或技术原理迥异，或细节深度不足。本标准旨在填补超微可视化电子内窥镜引导下鼻肠管留置这一具体技术的标准化空白。</w:t>
      </w:r>
    </w:p>
    <w:p w14:paraId="4D4A4D62">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当前未制定有团体标准《超微可视化电子内窥镜引导下鼻肠管留置操作规范》。</w:t>
      </w:r>
    </w:p>
    <w:p w14:paraId="61181925">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本标准的内容与现行的法律法规及强制性标准无冲突，标准的编写符合GB/T 1.1—2020的要求。</w:t>
      </w:r>
    </w:p>
    <w:p w14:paraId="74898E49">
      <w:pPr>
        <w:spacing w:before="240" w:after="60" w:line="520" w:lineRule="exact"/>
        <w:ind w:firstLine="640" w:firstLineChars="200"/>
        <w:jc w:val="left"/>
        <w:outlineLvl w:val="0"/>
        <w:rPr>
          <w:rFonts w:ascii="仿宋_GB2312" w:eastAsia="仿宋_GB2312" w:cs="仿宋"/>
          <w:bCs/>
          <w:sz w:val="28"/>
          <w:szCs w:val="28"/>
        </w:rPr>
      </w:pPr>
      <w:r>
        <w:rPr>
          <w:rFonts w:hint="eastAsia" w:ascii="黑体" w:eastAsia="黑体"/>
          <w:bCs/>
          <w:sz w:val="32"/>
          <w:szCs w:val="32"/>
        </w:rPr>
        <w:t>五、主要条款的说明</w:t>
      </w:r>
    </w:p>
    <w:p w14:paraId="5C246B4C">
      <w:pPr>
        <w:pStyle w:val="33"/>
        <w:spacing w:before="0" w:beforeLines="0" w:after="0" w:afterLines="0"/>
        <w:ind w:firstLine="843" w:firstLineChars="300"/>
        <w:jc w:val="both"/>
        <w:outlineLvl w:val="1"/>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（一）术语和定义</w:t>
      </w:r>
    </w:p>
    <w:p w14:paraId="5B6A3478">
      <w:pPr>
        <w:pStyle w:val="33"/>
        <w:spacing w:before="0" w:beforeLines="0" w:after="0" w:afterLines="0"/>
        <w:ind w:firstLine="562"/>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1. 超微可视化电子内窥镜</w:t>
      </w:r>
    </w:p>
    <w:p w14:paraId="0D47B9E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该术语参考了《超微可视化系统引导下神经外科重症患者鼻肠管留置效果评价》文献并结合各起草单位的工作实际而确定。</w:t>
      </w:r>
    </w:p>
    <w:p w14:paraId="323619B1">
      <w:pPr>
        <w:pStyle w:val="33"/>
        <w:spacing w:before="0" w:beforeLines="0" w:after="0" w:afterLines="0" w:line="240" w:lineRule="auto"/>
        <w:ind w:left="0" w:leftChars="0" w:firstLine="0" w:firstLineChars="0"/>
        <w:jc w:val="center"/>
      </w:pPr>
      <w:r>
        <w:drawing>
          <wp:inline distT="0" distB="0" distL="114300" distR="114300">
            <wp:extent cx="3462655" cy="3375025"/>
            <wp:effectExtent l="0" t="0" r="4445" b="1587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6"/>
                    <a:stretch>
                      <a:fillRect/>
                    </a:stretch>
                  </pic:blipFill>
                  <pic:spPr>
                    <a:xfrm>
                      <a:off x="0" y="0"/>
                      <a:ext cx="3462655" cy="3375025"/>
                    </a:xfrm>
                    <a:prstGeom prst="rect">
                      <a:avLst/>
                    </a:prstGeom>
                    <a:noFill/>
                    <a:ln>
                      <a:noFill/>
                    </a:ln>
                  </pic:spPr>
                </pic:pic>
              </a:graphicData>
            </a:graphic>
          </wp:inline>
        </w:drawing>
      </w:r>
    </w:p>
    <w:p w14:paraId="4281E8B7">
      <w:pPr>
        <w:pStyle w:val="33"/>
        <w:spacing w:before="0" w:beforeLines="0" w:after="0" w:afterLines="0" w:line="240" w:lineRule="auto"/>
        <w:ind w:left="0" w:leftChars="0" w:firstLine="0" w:firstLineChars="0"/>
        <w:jc w:val="center"/>
        <w:rPr>
          <w:rFonts w:hint="eastAsia" w:eastAsia="黑体"/>
          <w:lang w:eastAsia="zh-CN"/>
        </w:rPr>
      </w:pPr>
      <w:r>
        <w:rPr>
          <w:rFonts w:hint="eastAsia"/>
          <w:lang w:eastAsia="zh-CN"/>
        </w:rPr>
        <w:t>来源：超微可视化系统引导下神经外科重症患者鼻肠管留置效果评价</w:t>
      </w:r>
    </w:p>
    <w:p w14:paraId="2D5A956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要点说明：</w:t>
      </w:r>
    </w:p>
    <w:p w14:paraId="24F924D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“超微”：区别于传统经鼻胃镜，强调本设备的外径显著小于常规内镜，可通过鼻肠管内腔实现内置式引导，降低患者不适感。</w:t>
      </w:r>
    </w:p>
    <w:p w14:paraId="5251D4B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“可视化”：区别于盲插法、电磁导航法（仅有位置显示、无实时图像），强调本设备具备实时图像采集功能，可在置管过程中直接观察上消化道腔内黏膜形态，实现直视下的定位与引导。</w:t>
      </w:r>
    </w:p>
    <w:p w14:paraId="5411C41C">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“电子内窥镜”：明确成像原理为电子成像（图像传感器采集信号），区别于光纤成像，图像清晰度更高，便于解剖结构识别。</w:t>
      </w:r>
    </w:p>
    <w:p w14:paraId="2B0F1388">
      <w:pPr>
        <w:pStyle w:val="33"/>
        <w:spacing w:before="0" w:beforeLines="0" w:after="0" w:afterLines="0"/>
        <w:ind w:firstLine="562"/>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 鼻肠管</w:t>
      </w:r>
    </w:p>
    <w:p w14:paraId="55AC1E5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该术语参考了T/CNAS 20《成人鼻肠管的留置与维护》及相关文献，并结合本技术特点确定。</w:t>
      </w:r>
    </w:p>
    <w:p w14:paraId="6BF56A2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要点说明：</w:t>
      </w:r>
    </w:p>
    <w:p w14:paraId="299401D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“与超微可视化电子内窥镜系统配合使用”：明确本文件所涉及鼻肠管为专用型管路，其内径需满足可视化导丝通过，区别于普通鼻肠管。</w:t>
      </w:r>
    </w:p>
    <w:p w14:paraId="7FFAA9FC">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“专用鼻肠管”：强调其与可视化导丝的协同关系，确保在置管过程中导丝先行、导管跟进的技术流程得以实现。</w:t>
      </w:r>
    </w:p>
    <w:p w14:paraId="793506F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临床用途：用于建立幽门后肠内营养通路，适用于需长期营养支持、存在高误吸风险或胃排空障碍的患者。</w:t>
      </w:r>
    </w:p>
    <w:p w14:paraId="4A7316E7">
      <w:pPr>
        <w:pStyle w:val="33"/>
        <w:spacing w:before="0" w:beforeLines="0" w:after="0" w:afterLines="0" w:line="240" w:lineRule="auto"/>
        <w:ind w:firstLine="0" w:firstLineChars="0"/>
        <w:rPr>
          <w:rFonts w:hint="eastAsia"/>
        </w:rPr>
      </w:pPr>
      <w:r>
        <w:drawing>
          <wp:inline distT="0" distB="0" distL="114300" distR="114300">
            <wp:extent cx="5678170" cy="829945"/>
            <wp:effectExtent l="9525" t="9525" r="27305" b="177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678170" cy="829945"/>
                    </a:xfrm>
                    <a:prstGeom prst="rect">
                      <a:avLst/>
                    </a:prstGeom>
                    <a:noFill/>
                    <a:ln>
                      <a:solidFill>
                        <a:schemeClr val="tx1"/>
                      </a:solidFill>
                    </a:ln>
                  </pic:spPr>
                </pic:pic>
              </a:graphicData>
            </a:graphic>
          </wp:inline>
        </w:drawing>
      </w:r>
    </w:p>
    <w:p w14:paraId="2C35E833">
      <w:pPr>
        <w:pStyle w:val="33"/>
        <w:spacing w:before="0" w:beforeLines="0" w:after="0" w:afterLines="0" w:line="240" w:lineRule="auto"/>
        <w:ind w:firstLine="0" w:firstLineChars="0"/>
        <w:rPr>
          <w:rFonts w:hint="eastAsia"/>
        </w:rPr>
      </w:pPr>
      <w:r>
        <w:rPr>
          <w:rFonts w:hint="eastAsia"/>
        </w:rPr>
        <w:t>来源：T/CNAS 20  成人鼻肠管的留置与维护</w:t>
      </w:r>
    </w:p>
    <w:p w14:paraId="663FB9B0">
      <w:pPr>
        <w:pStyle w:val="33"/>
        <w:spacing w:before="0" w:beforeLines="0" w:after="0" w:afterLines="0"/>
        <w:ind w:firstLine="562"/>
        <w:jc w:val="both"/>
        <w:outlineLvl w:val="1"/>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（二）人员要求</w:t>
      </w:r>
    </w:p>
    <w:p w14:paraId="5550152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超微可视化引导置管与传统盲插法、电磁导航法在技术原理上存在本质差异，操作者需要同时具备内镜图像识别能力和置管操作能力，这两项能力在常规护理教育中并不涉及。同时，图像引导操作存在学习曲线，未经过系统培训的人员直接操作可能导致黏膜损伤、置管失败或图像误判。因此设置准入条件，明确需通过专项培训与考核，既是对患者安全的保障，也是对操作者执业行为的规范。</w:t>
      </w:r>
    </w:p>
    <w:p w14:paraId="7743797F">
      <w:pPr>
        <w:pStyle w:val="33"/>
        <w:spacing w:before="0" w:beforeLines="0" w:after="0" w:afterLines="0"/>
        <w:ind w:firstLine="562"/>
        <w:jc w:val="both"/>
        <w:outlineLvl w:val="1"/>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（三）置管前评估和准备</w:t>
      </w:r>
    </w:p>
    <w:p w14:paraId="49F50EF9">
      <w:pPr>
        <w:pStyle w:val="33"/>
        <w:spacing w:before="0" w:beforeLines="0" w:after="0" w:afterLines="0"/>
        <w:ind w:firstLine="562"/>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1. 评估</w:t>
      </w:r>
    </w:p>
    <w:p w14:paraId="1DBD4CCE">
      <w:pPr>
        <w:pStyle w:val="33"/>
        <w:spacing w:before="0" w:beforeLines="0" w:after="0" w:afterLines="0"/>
        <w:ind w:firstLine="562"/>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意识状态决定患者配合能力，生命体征反映操作耐受度；鼻腔通畅情况直接决定置管路径可行性；吞咽功能及误吸风险既是操作安全参考，也是喂养方案选择依据；上消化道解剖形态（如腹部手术史）可能改变解剖结构，增加置管难度；胃肠道功能是判断置管时机及后续喂养决策的基础。上述五项覆盖操作可行性、安全性和后续喂养决策的核心要素，为临床常规筛查的浓缩。</w:t>
      </w:r>
    </w:p>
    <w:p w14:paraId="1831C64B">
      <w:pPr>
        <w:pStyle w:val="33"/>
        <w:spacing w:before="0" w:beforeLines="0" w:after="0" w:afterLines="0"/>
        <w:ind w:firstLine="562"/>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 准备</w:t>
      </w:r>
    </w:p>
    <w:p w14:paraId="13BD272B">
      <w:pPr>
        <w:pStyle w:val="33"/>
        <w:spacing w:before="0" w:beforeLines="0" w:after="0" w:afterLines="0"/>
        <w:ind w:firstLine="562"/>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lang w:val="en-US" w:eastAsia="zh-CN"/>
        </w:rPr>
        <w:t xml:space="preserve">2.1 </w:t>
      </w:r>
      <w:r>
        <w:rPr>
          <w:rFonts w:hint="eastAsia" w:ascii="仿宋_GB2312" w:hAnsi="仿宋_GB2312" w:eastAsia="仿宋_GB2312" w:cs="仿宋_GB2312"/>
          <w:b/>
          <w:bCs w:val="0"/>
          <w:sz w:val="28"/>
          <w:szCs w:val="28"/>
        </w:rPr>
        <w:t>设备与材料</w:t>
      </w:r>
    </w:p>
    <w:p w14:paraId="6DDC28B4">
      <w:pPr>
        <w:pStyle w:val="33"/>
        <w:spacing w:before="0" w:beforeLines="0" w:after="0" w:afterLines="0"/>
        <w:ind w:firstLine="562"/>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lang w:eastAsia="zh-CN"/>
        </w:rPr>
        <w:t>（</w:t>
      </w:r>
      <w:r>
        <w:rPr>
          <w:rFonts w:hint="eastAsia" w:ascii="仿宋_GB2312" w:hAnsi="仿宋_GB2312" w:eastAsia="仿宋_GB2312" w:cs="仿宋_GB2312"/>
          <w:b w:val="0"/>
          <w:bCs/>
          <w:sz w:val="28"/>
          <w:szCs w:val="28"/>
          <w:lang w:val="en-US" w:eastAsia="zh-CN"/>
        </w:rPr>
        <w:t>1</w:t>
      </w:r>
      <w:r>
        <w:rPr>
          <w:rFonts w:hint="eastAsia" w:ascii="仿宋_GB2312" w:hAnsi="仿宋_GB2312" w:eastAsia="仿宋_GB2312" w:cs="仿宋_GB2312"/>
          <w:b w:val="0"/>
          <w:bCs/>
          <w:sz w:val="28"/>
          <w:szCs w:val="28"/>
          <w:lang w:eastAsia="zh-CN"/>
        </w:rPr>
        <w:t>）</w:t>
      </w:r>
      <w:r>
        <w:rPr>
          <w:rFonts w:hint="eastAsia" w:ascii="仿宋_GB2312" w:hAnsi="仿宋_GB2312" w:eastAsia="仿宋_GB2312" w:cs="仿宋_GB2312"/>
          <w:b w:val="0"/>
          <w:bCs/>
          <w:sz w:val="28"/>
          <w:szCs w:val="28"/>
        </w:rPr>
        <w:t>超微可视化电子内窥镜系统是本文件核心技术设备。其中超微可视化导丝的参数要求经临床实践与产品调研确定：外径≤2.4 mm可满足成人鼻腔通过性及鼻肠管内腔通过性要求；长度1358 mm～1442 mm可确保到达十二指肠及空肠起始部；向上90°、向下90°弯曲功能便于在胃腔内调整方向、通过幽门。上述参数是保障操作可行性的基础。</w:t>
      </w:r>
    </w:p>
    <w:p w14:paraId="006B02B5">
      <w:pPr>
        <w:pStyle w:val="33"/>
        <w:spacing w:before="0" w:beforeLines="0" w:after="0" w:afterLines="0"/>
        <w:ind w:firstLine="562"/>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lang w:eastAsia="zh-CN"/>
        </w:rPr>
        <w:t>（</w:t>
      </w:r>
      <w:r>
        <w:rPr>
          <w:rFonts w:hint="eastAsia" w:ascii="仿宋_GB2312" w:hAnsi="仿宋_GB2312" w:eastAsia="仿宋_GB2312" w:cs="仿宋_GB2312"/>
          <w:b w:val="0"/>
          <w:bCs/>
          <w:sz w:val="28"/>
          <w:szCs w:val="28"/>
          <w:lang w:val="en-US" w:eastAsia="zh-CN"/>
        </w:rPr>
        <w:t>2</w:t>
      </w:r>
      <w:r>
        <w:rPr>
          <w:rFonts w:hint="eastAsia" w:ascii="仿宋_GB2312" w:hAnsi="仿宋_GB2312" w:eastAsia="仿宋_GB2312" w:cs="仿宋_GB2312"/>
          <w:b w:val="0"/>
          <w:bCs/>
          <w:sz w:val="28"/>
          <w:szCs w:val="28"/>
          <w:lang w:eastAsia="zh-CN"/>
        </w:rPr>
        <w:t>）</w:t>
      </w:r>
      <w:r>
        <w:rPr>
          <w:rFonts w:hint="eastAsia" w:ascii="仿宋_GB2312" w:hAnsi="仿宋_GB2312" w:eastAsia="仿宋_GB2312" w:cs="仿宋_GB2312"/>
          <w:b w:val="0"/>
          <w:bCs/>
          <w:sz w:val="28"/>
          <w:szCs w:val="28"/>
        </w:rPr>
        <w:t>材料清单参照临床实际操作流程确定。其中鼻肠管需与超微可视化电子内窥镜系统兼容（内径满足导丝通过），无菌手套、润滑剂、生理盐水等为常规操作耗材，备齐后可完成全过程操作。</w:t>
      </w:r>
    </w:p>
    <w:p w14:paraId="481B8A96">
      <w:pPr>
        <w:pStyle w:val="33"/>
        <w:spacing w:before="0" w:beforeLines="0" w:after="0" w:afterLines="0"/>
        <w:ind w:firstLine="562"/>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lang w:val="en-US" w:eastAsia="zh-CN"/>
        </w:rPr>
        <w:t xml:space="preserve">2.2 </w:t>
      </w:r>
      <w:r>
        <w:rPr>
          <w:rFonts w:hint="eastAsia" w:ascii="仿宋_GB2312" w:hAnsi="仿宋_GB2312" w:eastAsia="仿宋_GB2312" w:cs="仿宋_GB2312"/>
          <w:b/>
          <w:bCs w:val="0"/>
          <w:sz w:val="28"/>
          <w:szCs w:val="28"/>
        </w:rPr>
        <w:t>操作者</w:t>
      </w:r>
    </w:p>
    <w:p w14:paraId="380BAC9B">
      <w:pPr>
        <w:pStyle w:val="33"/>
        <w:spacing w:before="0" w:beforeLines="0" w:after="0" w:afterLines="0"/>
        <w:ind w:firstLine="562"/>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lang w:eastAsia="zh-CN"/>
        </w:rPr>
        <w:t>（</w:t>
      </w:r>
      <w:r>
        <w:rPr>
          <w:rFonts w:hint="eastAsia" w:ascii="仿宋_GB2312" w:hAnsi="仿宋_GB2312" w:eastAsia="仿宋_GB2312" w:cs="仿宋_GB2312"/>
          <w:b w:val="0"/>
          <w:bCs/>
          <w:sz w:val="28"/>
          <w:szCs w:val="28"/>
          <w:lang w:val="en-US" w:eastAsia="zh-CN"/>
        </w:rPr>
        <w:t>1</w:t>
      </w:r>
      <w:r>
        <w:rPr>
          <w:rFonts w:hint="eastAsia" w:ascii="仿宋_GB2312" w:hAnsi="仿宋_GB2312" w:eastAsia="仿宋_GB2312" w:cs="仿宋_GB2312"/>
          <w:b w:val="0"/>
          <w:bCs/>
          <w:sz w:val="28"/>
          <w:szCs w:val="28"/>
          <w:lang w:eastAsia="zh-CN"/>
        </w:rPr>
        <w:t>）</w:t>
      </w:r>
      <w:r>
        <w:rPr>
          <w:rFonts w:hint="eastAsia" w:ascii="仿宋_GB2312" w:hAnsi="仿宋_GB2312" w:eastAsia="仿宋_GB2312" w:cs="仿宋_GB2312"/>
          <w:b w:val="0"/>
          <w:bCs/>
          <w:sz w:val="28"/>
          <w:szCs w:val="28"/>
        </w:rPr>
        <w:t>签署书面知情同意书是医疗操作的通用要求。置管存在黏膜损伤、误入气道、出血、感染等潜在风险，向患者和（或）其受托人说明并取得同意，是履行告知义务的必要环节。</w:t>
      </w:r>
    </w:p>
    <w:p w14:paraId="11ED5106">
      <w:pPr>
        <w:pStyle w:val="33"/>
        <w:spacing w:before="0" w:beforeLines="0" w:after="0" w:afterLines="0"/>
        <w:ind w:firstLine="562"/>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lang w:eastAsia="zh-CN"/>
        </w:rPr>
        <w:t>（</w:t>
      </w:r>
      <w:r>
        <w:rPr>
          <w:rFonts w:hint="eastAsia" w:ascii="仿宋_GB2312" w:hAnsi="仿宋_GB2312" w:eastAsia="仿宋_GB2312" w:cs="仿宋_GB2312"/>
          <w:b w:val="0"/>
          <w:bCs/>
          <w:sz w:val="28"/>
          <w:szCs w:val="28"/>
          <w:lang w:val="en-US" w:eastAsia="zh-CN"/>
        </w:rPr>
        <w:t>2</w:t>
      </w:r>
      <w:r>
        <w:rPr>
          <w:rFonts w:hint="eastAsia" w:ascii="仿宋_GB2312" w:hAnsi="仿宋_GB2312" w:eastAsia="仿宋_GB2312" w:cs="仿宋_GB2312"/>
          <w:b w:val="0"/>
          <w:bCs/>
          <w:sz w:val="28"/>
          <w:szCs w:val="28"/>
          <w:lang w:eastAsia="zh-CN"/>
        </w:rPr>
        <w:t>）</w:t>
      </w:r>
      <w:r>
        <w:rPr>
          <w:rFonts w:hint="eastAsia" w:ascii="仿宋_GB2312" w:hAnsi="仿宋_GB2312" w:eastAsia="仿宋_GB2312" w:cs="仿宋_GB2312"/>
          <w:b w:val="0"/>
          <w:bCs/>
          <w:sz w:val="28"/>
          <w:szCs w:val="28"/>
        </w:rPr>
        <w:t>手卫生引用WS/T 313，内窥镜及鼻肠管消毒引用GB 15982，是对基础感控规范的遵循。内窥镜插入部经鼻腔进入消化道，鼻肠管需留置数日至数周，二者均属中度危险性医疗器械，按产品说明书进行清洁消毒灭菌并符合国家标准，是保障患者安全的基本底线。</w:t>
      </w:r>
    </w:p>
    <w:p w14:paraId="3B40F142">
      <w:pPr>
        <w:pStyle w:val="33"/>
        <w:spacing w:before="0" w:beforeLines="0" w:after="0" w:afterLines="0" w:line="240" w:lineRule="auto"/>
        <w:ind w:firstLine="0" w:firstLineChars="0"/>
        <w:rPr>
          <w:rFonts w:hint="eastAsia"/>
        </w:rPr>
      </w:pPr>
      <w:r>
        <w:drawing>
          <wp:inline distT="0" distB="0" distL="114300" distR="114300">
            <wp:extent cx="4389120" cy="1895475"/>
            <wp:effectExtent l="9525" t="9525" r="20955" b="190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4389120" cy="1895475"/>
                    </a:xfrm>
                    <a:prstGeom prst="rect">
                      <a:avLst/>
                    </a:prstGeom>
                    <a:noFill/>
                    <a:ln>
                      <a:solidFill>
                        <a:schemeClr val="tx1"/>
                      </a:solidFill>
                    </a:ln>
                  </pic:spPr>
                </pic:pic>
              </a:graphicData>
            </a:graphic>
          </wp:inline>
        </w:drawing>
      </w:r>
    </w:p>
    <w:p w14:paraId="1A15E56B">
      <w:pPr>
        <w:pStyle w:val="33"/>
        <w:spacing w:before="0" w:beforeLines="0" w:after="0" w:afterLines="0" w:line="240" w:lineRule="auto"/>
        <w:ind w:firstLine="0" w:firstLineChars="0"/>
        <w:rPr>
          <w:rFonts w:hint="eastAsia"/>
        </w:rPr>
      </w:pPr>
      <w:r>
        <w:rPr>
          <w:rFonts w:hint="eastAsia"/>
        </w:rPr>
        <w:t>来源：WS/T 313  医务人员手卫生规范</w:t>
      </w:r>
    </w:p>
    <w:p w14:paraId="15DA495C">
      <w:pPr>
        <w:pStyle w:val="33"/>
        <w:spacing w:before="0" w:beforeLines="0" w:after="0" w:afterLines="0" w:line="240" w:lineRule="auto"/>
        <w:ind w:firstLine="0" w:firstLineChars="0"/>
        <w:rPr>
          <w:rFonts w:hint="eastAsia"/>
        </w:rPr>
      </w:pPr>
      <w:r>
        <w:drawing>
          <wp:inline distT="0" distB="0" distL="114300" distR="114300">
            <wp:extent cx="4793615" cy="1152525"/>
            <wp:effectExtent l="9525" t="9525" r="16510" b="190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4793615" cy="1152525"/>
                    </a:xfrm>
                    <a:prstGeom prst="rect">
                      <a:avLst/>
                    </a:prstGeom>
                    <a:noFill/>
                    <a:ln>
                      <a:solidFill>
                        <a:schemeClr val="tx1"/>
                      </a:solidFill>
                    </a:ln>
                  </pic:spPr>
                </pic:pic>
              </a:graphicData>
            </a:graphic>
          </wp:inline>
        </w:drawing>
      </w:r>
    </w:p>
    <w:p w14:paraId="5B066352">
      <w:pPr>
        <w:pStyle w:val="33"/>
        <w:spacing w:before="0" w:beforeLines="0" w:after="0" w:afterLines="0" w:line="240" w:lineRule="auto"/>
        <w:ind w:firstLine="0" w:firstLineChars="0"/>
        <w:rPr>
          <w:rFonts w:hint="eastAsia"/>
        </w:rPr>
      </w:pPr>
      <w:r>
        <w:rPr>
          <w:rFonts w:hint="eastAsia"/>
        </w:rPr>
        <w:t>来源：GB 15982  医院消毒卫生标准</w:t>
      </w:r>
    </w:p>
    <w:p w14:paraId="0E91BE90">
      <w:pPr>
        <w:pStyle w:val="33"/>
        <w:spacing w:before="0" w:beforeLines="0" w:after="0" w:afterLines="0"/>
        <w:ind w:firstLine="562"/>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lang w:eastAsia="zh-CN"/>
        </w:rPr>
        <w:t>（</w:t>
      </w:r>
      <w:r>
        <w:rPr>
          <w:rFonts w:hint="eastAsia" w:ascii="仿宋_GB2312" w:hAnsi="仿宋_GB2312" w:eastAsia="仿宋_GB2312" w:cs="仿宋_GB2312"/>
          <w:b w:val="0"/>
          <w:bCs/>
          <w:sz w:val="28"/>
          <w:szCs w:val="28"/>
          <w:lang w:val="en-US" w:eastAsia="zh-CN"/>
        </w:rPr>
        <w:t>3</w:t>
      </w:r>
      <w:r>
        <w:rPr>
          <w:rFonts w:hint="eastAsia" w:ascii="仿宋_GB2312" w:hAnsi="仿宋_GB2312" w:eastAsia="仿宋_GB2312" w:cs="仿宋_GB2312"/>
          <w:b w:val="0"/>
          <w:bCs/>
          <w:sz w:val="28"/>
          <w:szCs w:val="28"/>
          <w:lang w:eastAsia="zh-CN"/>
        </w:rPr>
        <w:t>）</w:t>
      </w:r>
      <w:r>
        <w:rPr>
          <w:rFonts w:hint="eastAsia" w:ascii="仿宋_GB2312" w:hAnsi="仿宋_GB2312" w:eastAsia="仿宋_GB2312" w:cs="仿宋_GB2312"/>
          <w:b w:val="0"/>
          <w:bCs/>
          <w:sz w:val="28"/>
          <w:szCs w:val="28"/>
        </w:rPr>
        <w:t>使用胃肠动力药可提高鼻肠管幽门通过率，是临床常用辅助措施。根据五家医院临床实践调研，均采用甲氧氯普胺（胃复安），剂量范围为10 mg～20 mg。在使用时机上，调研结果显示存在置管前给药与置管中给药两种方式。经综合考量，将给药时机统一为“确认鼻肠管置入食管后”，此时点既确保药物在通过幽门前充分发挥作用，又避免因过早给药导致药物起效时间与操作时机不匹配，具有较好的临床可操作性。</w:t>
      </w:r>
    </w:p>
    <w:p w14:paraId="7E7FF1BB">
      <w:pPr>
        <w:pStyle w:val="33"/>
        <w:spacing w:before="0" w:beforeLines="0" w:after="0" w:afterLines="0"/>
        <w:ind w:firstLine="0" w:firstLineChars="0"/>
        <w:rPr>
          <w:rFonts w:hint="eastAsia"/>
        </w:rPr>
      </w:pPr>
      <w:r>
        <w:t>胃肠动力药使用</w:t>
      </w:r>
      <w:r>
        <w:rPr>
          <w:rFonts w:hint="eastAsia"/>
        </w:rPr>
        <w:t>调查数据汇总表</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1"/>
        <w:gridCol w:w="3313"/>
        <w:gridCol w:w="4240"/>
      </w:tblGrid>
      <w:tr w14:paraId="1FF42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69718229">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医院</w:t>
            </w:r>
          </w:p>
        </w:tc>
        <w:tc>
          <w:tcPr>
            <w:tcW w:w="3313" w:type="dxa"/>
            <w:vAlign w:val="center"/>
          </w:tcPr>
          <w:p w14:paraId="0D4D9CE7">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药物及剂量</w:t>
            </w:r>
          </w:p>
        </w:tc>
        <w:tc>
          <w:tcPr>
            <w:tcW w:w="4240" w:type="dxa"/>
            <w:vAlign w:val="center"/>
          </w:tcPr>
          <w:p w14:paraId="037D9D21">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使用时机</w:t>
            </w:r>
          </w:p>
        </w:tc>
      </w:tr>
      <w:tr w14:paraId="1265C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4F7F20C9">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A</w:t>
            </w:r>
          </w:p>
        </w:tc>
        <w:tc>
          <w:tcPr>
            <w:tcW w:w="3313" w:type="dxa"/>
            <w:vAlign w:val="center"/>
          </w:tcPr>
          <w:p w14:paraId="78579D5D">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甲氧氯普胺注射液10 mg</w:t>
            </w:r>
          </w:p>
        </w:tc>
        <w:tc>
          <w:tcPr>
            <w:tcW w:w="4240" w:type="dxa"/>
            <w:vAlign w:val="center"/>
          </w:tcPr>
          <w:p w14:paraId="58C1AF27">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鼻肠管到达胃体时用（到幽门口前5～10 min）</w:t>
            </w:r>
          </w:p>
        </w:tc>
      </w:tr>
      <w:tr w14:paraId="73927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785C6805">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B</w:t>
            </w:r>
          </w:p>
        </w:tc>
        <w:tc>
          <w:tcPr>
            <w:tcW w:w="3313" w:type="dxa"/>
            <w:vAlign w:val="center"/>
          </w:tcPr>
          <w:p w14:paraId="22DA285A">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盐酸甲氧氯普胺注射液20 mg</w:t>
            </w:r>
          </w:p>
        </w:tc>
        <w:tc>
          <w:tcPr>
            <w:tcW w:w="4240" w:type="dxa"/>
            <w:vAlign w:val="center"/>
          </w:tcPr>
          <w:p w14:paraId="22CF74A3">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置管前15～20 min</w:t>
            </w:r>
          </w:p>
        </w:tc>
      </w:tr>
      <w:tr w14:paraId="71D4F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34138C6B">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C</w:t>
            </w:r>
          </w:p>
        </w:tc>
        <w:tc>
          <w:tcPr>
            <w:tcW w:w="3313" w:type="dxa"/>
            <w:vAlign w:val="center"/>
          </w:tcPr>
          <w:p w14:paraId="5D8648F8">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胃复安10 mg（胃动力差者可用20 mg）</w:t>
            </w:r>
          </w:p>
        </w:tc>
        <w:tc>
          <w:tcPr>
            <w:tcW w:w="4240" w:type="dxa"/>
            <w:vAlign w:val="center"/>
          </w:tcPr>
          <w:p w14:paraId="3078EB7C">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确认鼻肠管置入胃内后静脉推注，等待2～3 min置管</w:t>
            </w:r>
          </w:p>
        </w:tc>
      </w:tr>
      <w:tr w14:paraId="06737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6898A951">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D</w:t>
            </w:r>
          </w:p>
        </w:tc>
        <w:tc>
          <w:tcPr>
            <w:tcW w:w="3313" w:type="dxa"/>
            <w:vAlign w:val="center"/>
          </w:tcPr>
          <w:p w14:paraId="6167D79E">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甲氧氯普胺10～20 mg</w:t>
            </w:r>
          </w:p>
        </w:tc>
        <w:tc>
          <w:tcPr>
            <w:tcW w:w="4240" w:type="dxa"/>
            <w:vAlign w:val="center"/>
          </w:tcPr>
          <w:p w14:paraId="34DB8A06">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置管前10 min～20 min静脉推注/肌内注射</w:t>
            </w:r>
          </w:p>
        </w:tc>
      </w:tr>
      <w:tr w14:paraId="60DC7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6D92A8C5">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E</w:t>
            </w:r>
          </w:p>
        </w:tc>
        <w:tc>
          <w:tcPr>
            <w:tcW w:w="3313" w:type="dxa"/>
            <w:vAlign w:val="center"/>
          </w:tcPr>
          <w:p w14:paraId="31248BB1">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甲氧氯普胺10 mg</w:t>
            </w:r>
          </w:p>
        </w:tc>
        <w:tc>
          <w:tcPr>
            <w:tcW w:w="4240" w:type="dxa"/>
            <w:vAlign w:val="center"/>
          </w:tcPr>
          <w:p w14:paraId="0C712FAD">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置管前10 min～30 min</w:t>
            </w:r>
          </w:p>
        </w:tc>
      </w:tr>
    </w:tbl>
    <w:p w14:paraId="2D899860">
      <w:pPr>
        <w:pStyle w:val="33"/>
        <w:spacing w:before="0" w:beforeLines="0" w:after="0" w:afterLines="0"/>
        <w:ind w:firstLine="562"/>
        <w:jc w:val="both"/>
        <w:rPr>
          <w:rFonts w:hint="default"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2.3 患者</w:t>
      </w:r>
    </w:p>
    <w:p w14:paraId="11173A0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1</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rPr>
        <w:t>置管前禁食4 h～6 h是减少胃内容物、降低反流误吸风险的常规要求。根据五家医院临床实践调研，该禁食时间范围在临床应用中具有较好的可操作性和安全性。对于胃排空延迟患者，各医院均建议适当延长禁食时间或遵医嘱执行，体现了临床个体化处理的灵活性。</w:t>
      </w:r>
    </w:p>
    <w:p w14:paraId="30AB3D46">
      <w:pPr>
        <w:pStyle w:val="33"/>
        <w:spacing w:before="0" w:beforeLines="0" w:after="0" w:afterLines="0"/>
        <w:ind w:firstLine="0" w:firstLineChars="0"/>
        <w:rPr>
          <w:rFonts w:hint="eastAsia"/>
        </w:rPr>
      </w:pPr>
      <w:r>
        <w:rPr>
          <w:rFonts w:hint="eastAsia"/>
        </w:rPr>
        <w:t>置管前禁食调查数据汇总表</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1"/>
        <w:gridCol w:w="3313"/>
        <w:gridCol w:w="4240"/>
      </w:tblGrid>
      <w:tr w14:paraId="1E663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55FD2BCF">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医院</w:t>
            </w:r>
          </w:p>
        </w:tc>
        <w:tc>
          <w:tcPr>
            <w:tcW w:w="3313" w:type="dxa"/>
          </w:tcPr>
          <w:p w14:paraId="149CBD43">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置管前禁食时间</w:t>
            </w:r>
          </w:p>
        </w:tc>
        <w:tc>
          <w:tcPr>
            <w:tcW w:w="4240" w:type="dxa"/>
          </w:tcPr>
          <w:p w14:paraId="392B6996">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胃排空延迟者</w:t>
            </w:r>
          </w:p>
        </w:tc>
      </w:tr>
      <w:tr w14:paraId="35D28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05C0831B">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A</w:t>
            </w:r>
          </w:p>
        </w:tc>
        <w:tc>
          <w:tcPr>
            <w:tcW w:w="3313" w:type="dxa"/>
          </w:tcPr>
          <w:p w14:paraId="2F8BF6DD">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4h</w:t>
            </w:r>
          </w:p>
        </w:tc>
        <w:tc>
          <w:tcPr>
            <w:tcW w:w="4240" w:type="dxa"/>
          </w:tcPr>
          <w:p w14:paraId="1823F25E">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延长6 h</w:t>
            </w:r>
          </w:p>
        </w:tc>
      </w:tr>
      <w:tr w14:paraId="45D9D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548B1A52">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B</w:t>
            </w:r>
          </w:p>
        </w:tc>
        <w:tc>
          <w:tcPr>
            <w:tcW w:w="3313" w:type="dxa"/>
          </w:tcPr>
          <w:p w14:paraId="32F43809">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4～6h</w:t>
            </w:r>
          </w:p>
        </w:tc>
        <w:tc>
          <w:tcPr>
            <w:tcW w:w="4240" w:type="dxa"/>
          </w:tcPr>
          <w:p w14:paraId="2F0A3EAF">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延长6～8 h</w:t>
            </w:r>
          </w:p>
        </w:tc>
      </w:tr>
      <w:tr w14:paraId="0E444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4C560CCB">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C</w:t>
            </w:r>
          </w:p>
        </w:tc>
        <w:tc>
          <w:tcPr>
            <w:tcW w:w="3313" w:type="dxa"/>
          </w:tcPr>
          <w:p w14:paraId="0DC5165C">
            <w:pPr>
              <w:widowControl/>
              <w:autoSpaceDE w:val="0"/>
              <w:autoSpaceDN w:val="0"/>
              <w:jc w:val="center"/>
              <w:rPr>
                <w:rFonts w:hint="eastAsia" w:ascii="仿宋_GB2312" w:hAnsi="仿宋_GB2312" w:eastAsia="仿宋_GB2312" w:cs="仿宋_GB2312"/>
                <w:sz w:val="24"/>
              </w:rPr>
            </w:pPr>
            <w:r>
              <w:rPr>
                <w:rFonts w:hint="eastAsia" w:ascii="仿宋_GB2312" w:hAnsi="仿宋_GB2312" w:eastAsia="仿宋_GB2312" w:cs="仿宋_GB2312"/>
                <w:sz w:val="24"/>
              </w:rPr>
              <w:t>4～8h</w:t>
            </w:r>
          </w:p>
        </w:tc>
        <w:tc>
          <w:tcPr>
            <w:tcW w:w="4240" w:type="dxa"/>
          </w:tcPr>
          <w:p w14:paraId="1200588D">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必要时可胃肠减压后再置管</w:t>
            </w:r>
          </w:p>
        </w:tc>
      </w:tr>
      <w:tr w14:paraId="698D1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322297F4">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D</w:t>
            </w:r>
          </w:p>
        </w:tc>
        <w:tc>
          <w:tcPr>
            <w:tcW w:w="3313" w:type="dxa"/>
          </w:tcPr>
          <w:p w14:paraId="13752A11">
            <w:pPr>
              <w:widowControl/>
              <w:autoSpaceDE w:val="0"/>
              <w:autoSpaceDN w:val="0"/>
              <w:jc w:val="center"/>
              <w:rPr>
                <w:rFonts w:hint="eastAsia" w:ascii="仿宋_GB2312" w:hAnsi="仿宋_GB2312" w:eastAsia="仿宋_GB2312" w:cs="仿宋_GB2312"/>
                <w:sz w:val="24"/>
              </w:rPr>
            </w:pPr>
            <w:r>
              <w:rPr>
                <w:rFonts w:hint="eastAsia" w:ascii="仿宋_GB2312" w:hAnsi="仿宋_GB2312" w:eastAsia="仿宋_GB2312" w:cs="仿宋_GB2312"/>
                <w:sz w:val="24"/>
              </w:rPr>
              <w:t>4～6h</w:t>
            </w:r>
          </w:p>
        </w:tc>
        <w:tc>
          <w:tcPr>
            <w:tcW w:w="4240" w:type="dxa"/>
          </w:tcPr>
          <w:p w14:paraId="0EEB1B7A">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延长6 h</w:t>
            </w:r>
          </w:p>
        </w:tc>
      </w:tr>
      <w:tr w14:paraId="05889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69CED36F">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E</w:t>
            </w:r>
          </w:p>
        </w:tc>
        <w:tc>
          <w:tcPr>
            <w:tcW w:w="3313" w:type="dxa"/>
          </w:tcPr>
          <w:p w14:paraId="065071C0">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4～6h</w:t>
            </w:r>
          </w:p>
        </w:tc>
        <w:tc>
          <w:tcPr>
            <w:tcW w:w="4240" w:type="dxa"/>
          </w:tcPr>
          <w:p w14:paraId="6ED9EBC4">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遵医嘱延长</w:t>
            </w:r>
          </w:p>
        </w:tc>
      </w:tr>
    </w:tbl>
    <w:p w14:paraId="6D1E5762">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2</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rPr>
        <w:t>初始体位选择半卧位或仰卧位、床头抬高30°～45°，基于以下三点：便于操作者从鼻腔置管；可减少反流误吸风险；胸前铺治疗巾便于清洁。根据五家医院临床实践调研，该体位在临床应用中具有高度一致性，是适用于多数患者的标准化体位。</w:t>
      </w:r>
    </w:p>
    <w:p w14:paraId="1199C624">
      <w:pPr>
        <w:pStyle w:val="33"/>
        <w:spacing w:before="0" w:beforeLines="0" w:after="0" w:afterLines="0"/>
        <w:ind w:firstLine="0" w:firstLineChars="0"/>
        <w:rPr>
          <w:rFonts w:hint="eastAsia"/>
        </w:rPr>
      </w:pPr>
      <w:r>
        <w:rPr>
          <w:rFonts w:hint="eastAsia"/>
        </w:rPr>
        <w:t>体位调查数据汇总表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4"/>
        <w:gridCol w:w="6740"/>
      </w:tblGrid>
      <w:tr w14:paraId="5C34E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4D162A9C">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医院</w:t>
            </w:r>
          </w:p>
        </w:tc>
        <w:tc>
          <w:tcPr>
            <w:tcW w:w="6740" w:type="dxa"/>
          </w:tcPr>
          <w:p w14:paraId="79143F69">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体位</w:t>
            </w:r>
          </w:p>
        </w:tc>
      </w:tr>
      <w:tr w14:paraId="4755B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2B484F38">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A</w:t>
            </w:r>
          </w:p>
        </w:tc>
        <w:tc>
          <w:tcPr>
            <w:tcW w:w="6740" w:type="dxa"/>
            <w:vAlign w:val="center"/>
          </w:tcPr>
          <w:p w14:paraId="17121DCA">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半卧位或仰卧位，床头抬高30°</w:t>
            </w:r>
          </w:p>
        </w:tc>
      </w:tr>
      <w:tr w14:paraId="5485E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780872FD">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B</w:t>
            </w:r>
          </w:p>
        </w:tc>
        <w:tc>
          <w:tcPr>
            <w:tcW w:w="6740" w:type="dxa"/>
            <w:vAlign w:val="center"/>
          </w:tcPr>
          <w:p w14:paraId="550129D2">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半卧位或仰卧位，床头抬高30～45°</w:t>
            </w:r>
          </w:p>
        </w:tc>
      </w:tr>
      <w:tr w14:paraId="64CE2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10A4545E">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C</w:t>
            </w:r>
          </w:p>
        </w:tc>
        <w:tc>
          <w:tcPr>
            <w:tcW w:w="6740" w:type="dxa"/>
            <w:vAlign w:val="center"/>
          </w:tcPr>
          <w:p w14:paraId="12BA52FB">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半卧位或仰卧位，床头抬高30°～45°</w:t>
            </w:r>
          </w:p>
        </w:tc>
      </w:tr>
      <w:tr w14:paraId="1ACD2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72BA86FD">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D</w:t>
            </w:r>
          </w:p>
        </w:tc>
        <w:tc>
          <w:tcPr>
            <w:tcW w:w="6740" w:type="dxa"/>
            <w:vAlign w:val="center"/>
          </w:tcPr>
          <w:p w14:paraId="68C7D9C5">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半卧位或仰卧位，床头抬高30～45°</w:t>
            </w:r>
          </w:p>
        </w:tc>
      </w:tr>
      <w:tr w14:paraId="22AB5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58EF5688">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E</w:t>
            </w:r>
          </w:p>
        </w:tc>
        <w:tc>
          <w:tcPr>
            <w:tcW w:w="6740" w:type="dxa"/>
            <w:vAlign w:val="center"/>
          </w:tcPr>
          <w:p w14:paraId="5D683733">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半卧位或仰卧位，床头抬高30°～45°</w:t>
            </w:r>
          </w:p>
        </w:tc>
      </w:tr>
    </w:tbl>
    <w:p w14:paraId="4AAAC6B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3</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rPr>
        <w:t>保持口鼻腔清洁、清除分泌物是鼻肠管置管前的基本准备。根据五家医院临床实践，操作前评估均涵盖口鼻腔情况（如鼻腔通畅性、有无鼻息肉、鼻中隔偏曲、黏膜破损等），清除分泌物可确保置管路径通畅，减少操作过程中的感染风险，同时有助于提高图像清晰度。该步骤为临床常规操作，经各医院实践验证具有必要性。</w:t>
      </w:r>
    </w:p>
    <w:p w14:paraId="47469316">
      <w:pPr>
        <w:pStyle w:val="33"/>
        <w:spacing w:before="0" w:beforeLines="0" w:after="0" w:afterLines="0"/>
        <w:ind w:firstLine="562"/>
        <w:jc w:val="both"/>
        <w:outlineLvl w:val="1"/>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（五）操作方法</w:t>
      </w:r>
    </w:p>
    <w:p w14:paraId="420E9392">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 将鼻肠管充分浸泡于无菌生理盐水中激活管壁润滑剂，可降低置管摩擦力；充分润滑可视化导丝及鼻肠管前端，可减少黏膜损伤。</w:t>
      </w:r>
    </w:p>
    <w:p w14:paraId="55E4C0AC">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 超微可视化引导置管过程中，镜体操控与导管推进需同步配合，一人同时兼顾易导致操作失准。由两人协同操作，一人负责操控内窥镜主机、导丝、注气，一人负责置管推进，并在关键解剖位置共同确认，可减少误判。该模式源自五家医院临床实践总结，具有广泛共识。</w:t>
      </w:r>
    </w:p>
    <w:p w14:paraId="13B28B7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 置入长度为鼻尖至耳垂距离时（约10 cm～15 cm），为导管抵达咽后壁的标志。此时调整患者头部位置：昏迷患者抬头使下巴紧贴胸部可关闭会厌、减少误入气道风险；清醒患者配合吞咽动作有助于导管顺利进入食管。此操作借鉴了常规鼻胃管置管经验并适用于本技术。根据五家医院临床实践调研及《基础护理学》第7版，将鼻尖至耳垂距离统一为10 cm～15 cm。</w:t>
      </w:r>
    </w:p>
    <w:p w14:paraId="084CE47C">
      <w:pPr>
        <w:pStyle w:val="33"/>
        <w:spacing w:before="0" w:beforeLines="0" w:after="0" w:afterLines="0"/>
        <w:ind w:firstLine="0" w:firstLineChars="0"/>
        <w:rPr>
          <w:rFonts w:hint="eastAsia"/>
        </w:rPr>
      </w:pPr>
      <w:r>
        <w:rPr>
          <w:rFonts w:hint="eastAsia"/>
        </w:rPr>
        <w:t>鼻尖至耳垂距离及体位调整调查数据汇总表</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1"/>
        <w:gridCol w:w="3313"/>
        <w:gridCol w:w="4240"/>
      </w:tblGrid>
      <w:tr w14:paraId="72561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6839102D">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医院</w:t>
            </w:r>
          </w:p>
        </w:tc>
        <w:tc>
          <w:tcPr>
            <w:tcW w:w="3313" w:type="dxa"/>
            <w:vAlign w:val="center"/>
          </w:tcPr>
          <w:p w14:paraId="3E4D3C77">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鼻尖至耳垂距离</w:t>
            </w:r>
          </w:p>
        </w:tc>
        <w:tc>
          <w:tcPr>
            <w:tcW w:w="4240" w:type="dxa"/>
            <w:vAlign w:val="center"/>
          </w:tcPr>
          <w:p w14:paraId="77F76374">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体位调整说明</w:t>
            </w:r>
          </w:p>
        </w:tc>
      </w:tr>
      <w:tr w14:paraId="79A83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436AEE9A">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A</w:t>
            </w:r>
          </w:p>
        </w:tc>
        <w:tc>
          <w:tcPr>
            <w:tcW w:w="3313" w:type="dxa"/>
            <w:vAlign w:val="center"/>
          </w:tcPr>
          <w:p w14:paraId="72DCB043">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5 cm～7 cm</w:t>
            </w:r>
          </w:p>
        </w:tc>
        <w:tc>
          <w:tcPr>
            <w:tcW w:w="4240" w:type="dxa"/>
            <w:vAlign w:val="center"/>
          </w:tcPr>
          <w:p w14:paraId="7AAD4A33">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清醒患者配合吞咽；昏迷患者抬头部、下颌靠胸部</w:t>
            </w:r>
          </w:p>
        </w:tc>
      </w:tr>
      <w:tr w14:paraId="63650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0CB706E8">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B</w:t>
            </w:r>
          </w:p>
        </w:tc>
        <w:tc>
          <w:tcPr>
            <w:tcW w:w="3313" w:type="dxa"/>
            <w:vAlign w:val="center"/>
          </w:tcPr>
          <w:p w14:paraId="768CC95A">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25 cm～30 cm</w:t>
            </w:r>
          </w:p>
        </w:tc>
        <w:tc>
          <w:tcPr>
            <w:tcW w:w="4240" w:type="dxa"/>
            <w:vAlign w:val="center"/>
          </w:tcPr>
          <w:p w14:paraId="2F862A60">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清醒患者配合吞咽；昏迷患者抬头部、下颌靠胸部</w:t>
            </w:r>
          </w:p>
        </w:tc>
      </w:tr>
      <w:tr w14:paraId="337C8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74C8C77F">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C</w:t>
            </w:r>
          </w:p>
        </w:tc>
        <w:tc>
          <w:tcPr>
            <w:tcW w:w="3313" w:type="dxa"/>
            <w:vAlign w:val="center"/>
          </w:tcPr>
          <w:p w14:paraId="7D9E0EF0">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10 cm～15 cm（《基础护理学》第7版）</w:t>
            </w:r>
          </w:p>
        </w:tc>
        <w:tc>
          <w:tcPr>
            <w:tcW w:w="4240" w:type="dxa"/>
            <w:vAlign w:val="center"/>
          </w:tcPr>
          <w:p w14:paraId="4CB32DF6">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清醒患者配合吞咽；昏迷患者抬头部、下颌靠胸部</w:t>
            </w:r>
          </w:p>
        </w:tc>
      </w:tr>
      <w:tr w14:paraId="2D574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38433D3E">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D</w:t>
            </w:r>
          </w:p>
        </w:tc>
        <w:tc>
          <w:tcPr>
            <w:tcW w:w="3313" w:type="dxa"/>
            <w:vAlign w:val="center"/>
          </w:tcPr>
          <w:p w14:paraId="793B4326">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6 cm～8 cm</w:t>
            </w:r>
          </w:p>
        </w:tc>
        <w:tc>
          <w:tcPr>
            <w:tcW w:w="4240" w:type="dxa"/>
            <w:vAlign w:val="center"/>
          </w:tcPr>
          <w:p w14:paraId="2E1B4B7D">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清醒患者配合吞咽；昏迷患者抬头部、下颌靠胸部</w:t>
            </w:r>
          </w:p>
        </w:tc>
      </w:tr>
      <w:tr w14:paraId="3A75A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1" w:type="dxa"/>
          </w:tcPr>
          <w:p w14:paraId="3E033BB9">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E</w:t>
            </w:r>
          </w:p>
        </w:tc>
        <w:tc>
          <w:tcPr>
            <w:tcW w:w="3313" w:type="dxa"/>
            <w:vAlign w:val="center"/>
          </w:tcPr>
          <w:p w14:paraId="2873AC0A">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15 cm</w:t>
            </w:r>
          </w:p>
        </w:tc>
        <w:tc>
          <w:tcPr>
            <w:tcW w:w="4240" w:type="dxa"/>
            <w:vAlign w:val="center"/>
          </w:tcPr>
          <w:p w14:paraId="30600F2A">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清醒患者配合吞咽；昏迷患者抬头部、下颌靠胸部</w:t>
            </w:r>
          </w:p>
        </w:tc>
      </w:tr>
    </w:tbl>
    <w:p w14:paraId="0E172C7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4. 置入长度30 cm～40 cm时，结合镜下图像判定鼻肠管进入食管。成人鼻前棘至食管入口距离约为15 cm～20 cm，加鼻腔长度总计约30 cm～40 cm；食管黏膜呈浅粉色、纵行皱襞具有特征性，镜下识别即可确认进入食管而非气道。根据五家医院临床实践调研，采用多数医院数据，将食管判定深度定为30 cm～40 cm。</w:t>
      </w:r>
    </w:p>
    <w:p w14:paraId="7877F800">
      <w:pPr>
        <w:pStyle w:val="33"/>
        <w:spacing w:before="0" w:beforeLines="0" w:after="0" w:afterLines="0"/>
        <w:ind w:firstLine="0" w:firstLineChars="0"/>
        <w:rPr>
          <w:rFonts w:hint="eastAsia"/>
        </w:rPr>
      </w:pPr>
      <w:r>
        <w:rPr>
          <w:rFonts w:hint="eastAsia"/>
        </w:rPr>
        <w:t>食管判定调整调查数据汇总表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4"/>
        <w:gridCol w:w="6740"/>
      </w:tblGrid>
      <w:tr w14:paraId="500FC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28AED0C9">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医院</w:t>
            </w:r>
          </w:p>
        </w:tc>
        <w:tc>
          <w:tcPr>
            <w:tcW w:w="6740" w:type="dxa"/>
          </w:tcPr>
          <w:p w14:paraId="650359BC">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食管判定深度</w:t>
            </w:r>
          </w:p>
        </w:tc>
      </w:tr>
      <w:tr w14:paraId="283C7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69FB45C4">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A</w:t>
            </w:r>
          </w:p>
        </w:tc>
        <w:tc>
          <w:tcPr>
            <w:tcW w:w="6740" w:type="dxa"/>
            <w:vAlign w:val="center"/>
          </w:tcPr>
          <w:p w14:paraId="360D5697">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30 cm～40 cm</w:t>
            </w:r>
          </w:p>
        </w:tc>
      </w:tr>
      <w:tr w14:paraId="2C455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2ABA1521">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B</w:t>
            </w:r>
          </w:p>
        </w:tc>
        <w:tc>
          <w:tcPr>
            <w:tcW w:w="6740" w:type="dxa"/>
            <w:vAlign w:val="center"/>
          </w:tcPr>
          <w:p w14:paraId="42A0CAF7">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15 cm～20 cm</w:t>
            </w:r>
          </w:p>
        </w:tc>
      </w:tr>
      <w:tr w14:paraId="7AAD2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7E3A4C2B">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C</w:t>
            </w:r>
          </w:p>
        </w:tc>
        <w:tc>
          <w:tcPr>
            <w:tcW w:w="6740" w:type="dxa"/>
            <w:vAlign w:val="center"/>
          </w:tcPr>
          <w:p w14:paraId="776C6E07">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30 cm～40 cm</w:t>
            </w:r>
          </w:p>
        </w:tc>
      </w:tr>
      <w:tr w14:paraId="75DF4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438DE435">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D</w:t>
            </w:r>
          </w:p>
        </w:tc>
        <w:tc>
          <w:tcPr>
            <w:tcW w:w="6740" w:type="dxa"/>
            <w:vAlign w:val="center"/>
          </w:tcPr>
          <w:p w14:paraId="066DAC4B">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30～40 cm</w:t>
            </w:r>
          </w:p>
        </w:tc>
      </w:tr>
      <w:tr w14:paraId="5BC50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20942473">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E</w:t>
            </w:r>
          </w:p>
        </w:tc>
        <w:tc>
          <w:tcPr>
            <w:tcW w:w="6740" w:type="dxa"/>
            <w:vAlign w:val="center"/>
          </w:tcPr>
          <w:p w14:paraId="6E47A2BD">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30 cm～40 cm</w:t>
            </w:r>
          </w:p>
        </w:tc>
      </w:tr>
    </w:tbl>
    <w:p w14:paraId="1EBE0C5A">
      <w:pPr>
        <w:pStyle w:val="33"/>
        <w:spacing w:before="0" w:beforeLines="0" w:after="0" w:afterLines="0"/>
        <w:ind w:firstLine="560"/>
        <w:jc w:val="both"/>
        <w:rPr>
          <w:rFonts w:hint="eastAsia" w:ascii="仿宋_GB2312" w:hAnsi="仿宋_GB2312" w:eastAsia="仿宋_GB2312" w:cs="仿宋_GB2312"/>
          <w:sz w:val="28"/>
          <w:szCs w:val="28"/>
        </w:rPr>
      </w:pPr>
    </w:p>
    <w:p w14:paraId="280AB315">
      <w:pPr>
        <w:pStyle w:val="33"/>
        <w:spacing w:before="0" w:beforeLines="0" w:after="0" w:afterLines="0" w:line="240" w:lineRule="auto"/>
        <w:ind w:firstLine="0" w:firstLineChars="0"/>
        <w:rPr>
          <w:rFonts w:hint="eastAsia"/>
        </w:rPr>
      </w:pPr>
      <w:r>
        <w:drawing>
          <wp:inline distT="0" distB="0" distL="114300" distR="114300">
            <wp:extent cx="2005330" cy="1591310"/>
            <wp:effectExtent l="0" t="0" r="13970" b="889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0"/>
                    <a:stretch>
                      <a:fillRect/>
                    </a:stretch>
                  </pic:blipFill>
                  <pic:spPr>
                    <a:xfrm>
                      <a:off x="0" y="0"/>
                      <a:ext cx="2005330" cy="1591310"/>
                    </a:xfrm>
                    <a:prstGeom prst="rect">
                      <a:avLst/>
                    </a:prstGeom>
                    <a:noFill/>
                    <a:ln>
                      <a:noFill/>
                    </a:ln>
                  </pic:spPr>
                </pic:pic>
              </a:graphicData>
            </a:graphic>
          </wp:inline>
        </w:drawing>
      </w:r>
    </w:p>
    <w:p w14:paraId="43342EEF">
      <w:pPr>
        <w:pStyle w:val="33"/>
        <w:spacing w:before="0" w:beforeLines="0" w:after="0" w:afterLines="0" w:line="240" w:lineRule="auto"/>
        <w:ind w:firstLine="0" w:firstLineChars="0"/>
        <w:rPr>
          <w:rFonts w:hint="eastAsia"/>
        </w:rPr>
      </w:pPr>
      <w:r>
        <w:rPr>
          <w:rFonts w:hint="eastAsia"/>
        </w:rPr>
        <w:t>食管</w:t>
      </w:r>
    </w:p>
    <w:p w14:paraId="6E34C5B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5. 继续缓慢推进鼻肠管至长度45 cm～65 cm，结合镜下图像判定鼻肠管进入胃体。成人食管长度约25 cm～30 cm，加上鼻腔及咽部，至胃体距离约为45 cm～65 cm；胃体黏膜呈脑回状粗大皱襞易于识别，可作为进入胃腔的标志。根据五家医院临床实践调研，将胃体判定深度定为45 cm～65 cm。</w:t>
      </w:r>
    </w:p>
    <w:p w14:paraId="3FA29DA5">
      <w:pPr>
        <w:pStyle w:val="33"/>
        <w:spacing w:before="0" w:beforeLines="0" w:after="0" w:afterLines="0"/>
        <w:ind w:firstLine="0" w:firstLineChars="0"/>
        <w:rPr>
          <w:rFonts w:hint="eastAsia"/>
        </w:rPr>
      </w:pPr>
      <w:r>
        <w:rPr>
          <w:rFonts w:hint="eastAsia"/>
        </w:rPr>
        <w:t>胃体判定调查数据汇总表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4"/>
        <w:gridCol w:w="6740"/>
      </w:tblGrid>
      <w:tr w14:paraId="3340B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68D6E530">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医院</w:t>
            </w:r>
          </w:p>
        </w:tc>
        <w:tc>
          <w:tcPr>
            <w:tcW w:w="6740" w:type="dxa"/>
          </w:tcPr>
          <w:p w14:paraId="19DBCC48">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胃体判定深度</w:t>
            </w:r>
          </w:p>
        </w:tc>
      </w:tr>
      <w:tr w14:paraId="39041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290A3D95">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A</w:t>
            </w:r>
          </w:p>
        </w:tc>
        <w:tc>
          <w:tcPr>
            <w:tcW w:w="6740" w:type="dxa"/>
            <w:vAlign w:val="center"/>
          </w:tcPr>
          <w:p w14:paraId="215033E0">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55 cm～65 cm</w:t>
            </w:r>
          </w:p>
        </w:tc>
      </w:tr>
      <w:tr w14:paraId="4FA22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6BF8FB55">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B</w:t>
            </w:r>
          </w:p>
        </w:tc>
        <w:tc>
          <w:tcPr>
            <w:tcW w:w="6740" w:type="dxa"/>
            <w:vAlign w:val="center"/>
          </w:tcPr>
          <w:p w14:paraId="2BA94F4A">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35 cm～45 cm</w:t>
            </w:r>
          </w:p>
        </w:tc>
      </w:tr>
      <w:tr w14:paraId="61D02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77BE7A83">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C</w:t>
            </w:r>
          </w:p>
        </w:tc>
        <w:tc>
          <w:tcPr>
            <w:tcW w:w="6740" w:type="dxa"/>
            <w:vAlign w:val="center"/>
          </w:tcPr>
          <w:p w14:paraId="714BC8ED">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45 cm～65 cm</w:t>
            </w:r>
          </w:p>
        </w:tc>
      </w:tr>
      <w:tr w14:paraId="6E50C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3FD60269">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D</w:t>
            </w:r>
          </w:p>
        </w:tc>
        <w:tc>
          <w:tcPr>
            <w:tcW w:w="6740" w:type="dxa"/>
            <w:vAlign w:val="center"/>
          </w:tcPr>
          <w:p w14:paraId="6A4D1E8F">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55～65 cm</w:t>
            </w:r>
          </w:p>
        </w:tc>
      </w:tr>
      <w:tr w14:paraId="3E45F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7C11683B">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E</w:t>
            </w:r>
          </w:p>
        </w:tc>
        <w:tc>
          <w:tcPr>
            <w:tcW w:w="6740" w:type="dxa"/>
            <w:vAlign w:val="center"/>
          </w:tcPr>
          <w:p w14:paraId="7D61F4B9">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55 cm～65 cm</w:t>
            </w:r>
          </w:p>
        </w:tc>
      </w:tr>
    </w:tbl>
    <w:p w14:paraId="415EDF3D">
      <w:pPr>
        <w:pStyle w:val="33"/>
        <w:spacing w:before="0" w:beforeLines="0" w:after="0" w:afterLines="0"/>
        <w:ind w:firstLine="560"/>
        <w:jc w:val="both"/>
        <w:rPr>
          <w:rFonts w:hint="eastAsia" w:ascii="仿宋_GB2312" w:hAnsi="仿宋_GB2312" w:eastAsia="仿宋_GB2312" w:cs="仿宋_GB2312"/>
          <w:sz w:val="28"/>
          <w:szCs w:val="28"/>
        </w:rPr>
      </w:pPr>
    </w:p>
    <w:p w14:paraId="7477E157">
      <w:pPr>
        <w:pStyle w:val="33"/>
        <w:spacing w:before="0" w:beforeLines="0" w:after="0" w:afterLines="0" w:line="240" w:lineRule="auto"/>
        <w:ind w:firstLine="0" w:firstLineChars="0"/>
        <w:rPr>
          <w:rFonts w:hint="eastAsia"/>
        </w:rPr>
      </w:pPr>
      <w:r>
        <w:drawing>
          <wp:inline distT="0" distB="0" distL="114300" distR="114300">
            <wp:extent cx="1993265" cy="1511935"/>
            <wp:effectExtent l="0" t="0" r="6985" b="1206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1"/>
                    <a:stretch>
                      <a:fillRect/>
                    </a:stretch>
                  </pic:blipFill>
                  <pic:spPr>
                    <a:xfrm>
                      <a:off x="0" y="0"/>
                      <a:ext cx="1993265" cy="1511935"/>
                    </a:xfrm>
                    <a:prstGeom prst="rect">
                      <a:avLst/>
                    </a:prstGeom>
                    <a:noFill/>
                    <a:ln>
                      <a:noFill/>
                    </a:ln>
                  </pic:spPr>
                </pic:pic>
              </a:graphicData>
            </a:graphic>
          </wp:inline>
        </w:drawing>
      </w:r>
    </w:p>
    <w:p w14:paraId="59C3E1F6">
      <w:pPr>
        <w:pStyle w:val="33"/>
        <w:spacing w:before="0" w:beforeLines="0" w:after="0" w:afterLines="0" w:line="240" w:lineRule="auto"/>
        <w:ind w:firstLine="0" w:firstLineChars="0"/>
        <w:rPr>
          <w:rFonts w:hint="eastAsia"/>
        </w:rPr>
      </w:pPr>
      <w:r>
        <w:rPr>
          <w:rFonts w:hint="eastAsia"/>
        </w:rPr>
        <w:t>胃体</w:t>
      </w:r>
    </w:p>
    <w:p w14:paraId="4055C75C">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6. 间断从鼻肠管侧孔注入空气或生理盐水5 mL～10 mL。注气或注水可撑开胃腔、显露黏膜走行，便于判断镜头位置；镜下可见随镜头移动的胃黏膜（如胃大弯片状黏膜），提示导管在胃腔内自由活动而非盘曲。根据五家医院临床实践调研，综合多数医院</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数据及操作安全性考量，将注气/注水量定为5 mL～10 mL。</w:t>
      </w:r>
    </w:p>
    <w:p w14:paraId="3A9CF9B2">
      <w:pPr>
        <w:pStyle w:val="33"/>
        <w:spacing w:before="0" w:beforeLines="0" w:after="0" w:afterLines="0"/>
        <w:ind w:firstLine="0" w:firstLineChars="0"/>
        <w:rPr>
          <w:rFonts w:hint="eastAsia"/>
        </w:rPr>
      </w:pPr>
      <w:r>
        <w:rPr>
          <w:rFonts w:hint="eastAsia"/>
        </w:rPr>
        <w:t>胃内注气/注水量调查数据汇总表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4"/>
        <w:gridCol w:w="6740"/>
      </w:tblGrid>
      <w:tr w14:paraId="39498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6279A0D7">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医院</w:t>
            </w:r>
          </w:p>
        </w:tc>
        <w:tc>
          <w:tcPr>
            <w:tcW w:w="6740" w:type="dxa"/>
          </w:tcPr>
          <w:p w14:paraId="5B1C8AAA">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胃内注气/注水量</w:t>
            </w:r>
          </w:p>
        </w:tc>
      </w:tr>
      <w:tr w14:paraId="37798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74F672E5">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A</w:t>
            </w:r>
          </w:p>
        </w:tc>
        <w:tc>
          <w:tcPr>
            <w:tcW w:w="6740" w:type="dxa"/>
            <w:vAlign w:val="center"/>
          </w:tcPr>
          <w:p w14:paraId="570D0270">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2 mL～3 mL</w:t>
            </w:r>
          </w:p>
        </w:tc>
      </w:tr>
      <w:tr w14:paraId="6B8E0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52F41A2F">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B</w:t>
            </w:r>
          </w:p>
        </w:tc>
        <w:tc>
          <w:tcPr>
            <w:tcW w:w="6740" w:type="dxa"/>
            <w:vAlign w:val="center"/>
          </w:tcPr>
          <w:p w14:paraId="5B9C3621">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3 mL～5 mL</w:t>
            </w:r>
          </w:p>
        </w:tc>
      </w:tr>
      <w:tr w14:paraId="5061F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15687920">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C</w:t>
            </w:r>
          </w:p>
        </w:tc>
        <w:tc>
          <w:tcPr>
            <w:tcW w:w="6740" w:type="dxa"/>
            <w:vAlign w:val="center"/>
          </w:tcPr>
          <w:p w14:paraId="5055E2CA">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5 mL～10 mL</w:t>
            </w:r>
          </w:p>
        </w:tc>
      </w:tr>
      <w:tr w14:paraId="79490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1C70C4C1">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D</w:t>
            </w:r>
          </w:p>
        </w:tc>
        <w:tc>
          <w:tcPr>
            <w:tcW w:w="6740" w:type="dxa"/>
            <w:vAlign w:val="center"/>
          </w:tcPr>
          <w:p w14:paraId="74CCC0C5">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2～3 mL</w:t>
            </w:r>
          </w:p>
        </w:tc>
      </w:tr>
      <w:tr w14:paraId="63CD1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6EBE89FA">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E</w:t>
            </w:r>
          </w:p>
        </w:tc>
        <w:tc>
          <w:tcPr>
            <w:tcW w:w="6740" w:type="dxa"/>
            <w:vAlign w:val="center"/>
          </w:tcPr>
          <w:p w14:paraId="0693BD1C">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2 mL～3 mL</w:t>
            </w:r>
          </w:p>
        </w:tc>
      </w:tr>
    </w:tbl>
    <w:p w14:paraId="34D575A2">
      <w:pPr>
        <w:pStyle w:val="33"/>
        <w:spacing w:before="0" w:beforeLines="0" w:after="0" w:afterLines="0" w:line="240" w:lineRule="auto"/>
        <w:ind w:firstLine="0" w:firstLineChars="0"/>
        <w:rPr>
          <w:rFonts w:hint="eastAsia" w:ascii="仿宋_GB2312" w:hAnsi="仿宋_GB2312" w:eastAsia="仿宋_GB2312" w:cs="仿宋_GB2312"/>
          <w:sz w:val="28"/>
          <w:szCs w:val="28"/>
        </w:rPr>
      </w:pPr>
    </w:p>
    <w:p w14:paraId="1581AEBE">
      <w:pPr>
        <w:pStyle w:val="33"/>
        <w:spacing w:before="0" w:beforeLines="0" w:after="0" w:afterLines="0" w:line="240" w:lineRule="auto"/>
        <w:ind w:firstLine="0" w:firstLineChars="0"/>
        <w:rPr>
          <w:rFonts w:hint="eastAsia"/>
        </w:rPr>
      </w:pPr>
      <w:r>
        <w:drawing>
          <wp:inline distT="0" distB="0" distL="114300" distR="114300">
            <wp:extent cx="1999615" cy="1670050"/>
            <wp:effectExtent l="0" t="0" r="635" b="635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2"/>
                    <a:stretch>
                      <a:fillRect/>
                    </a:stretch>
                  </pic:blipFill>
                  <pic:spPr>
                    <a:xfrm>
                      <a:off x="0" y="0"/>
                      <a:ext cx="1999615" cy="1670050"/>
                    </a:xfrm>
                    <a:prstGeom prst="rect">
                      <a:avLst/>
                    </a:prstGeom>
                    <a:noFill/>
                    <a:ln>
                      <a:noFill/>
                    </a:ln>
                  </pic:spPr>
                </pic:pic>
              </a:graphicData>
            </a:graphic>
          </wp:inline>
        </w:drawing>
      </w:r>
    </w:p>
    <w:p w14:paraId="415BA53D">
      <w:pPr>
        <w:pStyle w:val="33"/>
        <w:spacing w:before="0" w:beforeLines="0" w:after="0" w:afterLines="0" w:line="240" w:lineRule="auto"/>
        <w:ind w:firstLine="0" w:firstLineChars="0"/>
        <w:rPr>
          <w:rFonts w:hint="eastAsia"/>
        </w:rPr>
      </w:pPr>
      <w:r>
        <w:rPr>
          <w:rFonts w:hint="eastAsia"/>
        </w:rPr>
        <w:t>胃大弯</w:t>
      </w:r>
    </w:p>
    <w:p w14:paraId="5D117A7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7. 镜下黏膜由光滑粗大皱襞变为网格状或颗粒状时判定到达胃窦。胃窦黏膜相对光滑、呈网格状颗粒样外观，与胃体黏膜形态差异明显，是定位胃窦的可靠标志。五家医院临床实践对此判定标准完全一致。</w:t>
      </w:r>
    </w:p>
    <w:p w14:paraId="6BE8E2DA">
      <w:pPr>
        <w:pStyle w:val="33"/>
        <w:spacing w:before="0" w:beforeLines="0" w:after="0" w:afterLines="0"/>
        <w:ind w:firstLine="0" w:firstLineChars="0"/>
        <w:rPr>
          <w:rFonts w:hint="eastAsia"/>
        </w:rPr>
      </w:pPr>
      <w:r>
        <w:t>胃窦判定标准</w:t>
      </w:r>
      <w:r>
        <w:rPr>
          <w:rFonts w:hint="eastAsia"/>
        </w:rPr>
        <w:t>调查数据汇总表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4"/>
        <w:gridCol w:w="6740"/>
      </w:tblGrid>
      <w:tr w14:paraId="69AFB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5A6544FD">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医院</w:t>
            </w:r>
          </w:p>
        </w:tc>
        <w:tc>
          <w:tcPr>
            <w:tcW w:w="6740" w:type="dxa"/>
          </w:tcPr>
          <w:p w14:paraId="60007312">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胃窦判定标准</w:t>
            </w:r>
          </w:p>
        </w:tc>
      </w:tr>
      <w:tr w14:paraId="0434E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76EF7BBD">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A</w:t>
            </w:r>
          </w:p>
        </w:tc>
        <w:tc>
          <w:tcPr>
            <w:tcW w:w="6740" w:type="dxa"/>
            <w:vAlign w:val="center"/>
          </w:tcPr>
          <w:p w14:paraId="6C88D137">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镜下可见黏膜由光滑变为网格状或颗粒状</w:t>
            </w:r>
          </w:p>
        </w:tc>
      </w:tr>
      <w:tr w14:paraId="04A68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6AB724B0">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B</w:t>
            </w:r>
          </w:p>
        </w:tc>
        <w:tc>
          <w:tcPr>
            <w:tcW w:w="6740" w:type="dxa"/>
            <w:vAlign w:val="center"/>
          </w:tcPr>
          <w:p w14:paraId="06C1088E">
            <w:pPr>
              <w:widowControl/>
              <w:autoSpaceDE w:val="0"/>
              <w:autoSpaceDN w:val="0"/>
              <w:jc w:val="center"/>
              <w:rPr>
                <w:rFonts w:hint="eastAsia" w:ascii="仿宋_GB2312" w:hAnsi="仿宋_GB2312" w:eastAsia="仿宋_GB2312" w:cs="仿宋_GB2312"/>
                <w:sz w:val="24"/>
              </w:rPr>
            </w:pPr>
            <w:r>
              <w:rPr>
                <w:rFonts w:hint="eastAsia" w:ascii="仿宋_GB2312" w:hAnsi="仿宋_GB2312" w:eastAsia="仿宋_GB2312" w:cs="仿宋_GB2312"/>
                <w:sz w:val="24"/>
              </w:rPr>
              <w:t>镜下可见黏膜由光滑变为网格状或颗粒状</w:t>
            </w:r>
          </w:p>
        </w:tc>
      </w:tr>
      <w:tr w14:paraId="5597B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65971ABC">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C</w:t>
            </w:r>
          </w:p>
        </w:tc>
        <w:tc>
          <w:tcPr>
            <w:tcW w:w="6740" w:type="dxa"/>
            <w:vAlign w:val="center"/>
          </w:tcPr>
          <w:p w14:paraId="2E1DB66B">
            <w:pPr>
              <w:widowControl/>
              <w:autoSpaceDE w:val="0"/>
              <w:autoSpaceDN w:val="0"/>
              <w:jc w:val="center"/>
              <w:rPr>
                <w:rFonts w:hint="eastAsia" w:ascii="仿宋_GB2312" w:hAnsi="仿宋_GB2312" w:eastAsia="仿宋_GB2312" w:cs="仿宋_GB2312"/>
                <w:sz w:val="24"/>
              </w:rPr>
            </w:pPr>
            <w:r>
              <w:rPr>
                <w:rFonts w:hint="eastAsia" w:ascii="仿宋_GB2312" w:hAnsi="仿宋_GB2312" w:eastAsia="仿宋_GB2312" w:cs="仿宋_GB2312"/>
                <w:sz w:val="24"/>
              </w:rPr>
              <w:t>镜下可见黏膜由光滑变为网格状或颗粒状</w:t>
            </w:r>
          </w:p>
        </w:tc>
      </w:tr>
      <w:tr w14:paraId="549BB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77E4BCDC">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D</w:t>
            </w:r>
          </w:p>
        </w:tc>
        <w:tc>
          <w:tcPr>
            <w:tcW w:w="6740" w:type="dxa"/>
            <w:vAlign w:val="center"/>
          </w:tcPr>
          <w:p w14:paraId="388D86B7">
            <w:pPr>
              <w:widowControl/>
              <w:autoSpaceDE w:val="0"/>
              <w:autoSpaceDN w:val="0"/>
              <w:jc w:val="center"/>
              <w:rPr>
                <w:rFonts w:hint="eastAsia" w:ascii="仿宋_GB2312" w:hAnsi="仿宋_GB2312" w:eastAsia="仿宋_GB2312" w:cs="仿宋_GB2312"/>
                <w:sz w:val="24"/>
              </w:rPr>
            </w:pPr>
            <w:r>
              <w:rPr>
                <w:rFonts w:hint="eastAsia" w:ascii="仿宋_GB2312" w:hAnsi="仿宋_GB2312" w:eastAsia="仿宋_GB2312" w:cs="仿宋_GB2312"/>
                <w:sz w:val="24"/>
              </w:rPr>
              <w:t>镜下可见黏膜由光滑变为网格状或颗粒状</w:t>
            </w:r>
          </w:p>
        </w:tc>
      </w:tr>
      <w:tr w14:paraId="43C0E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23030F2A">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E</w:t>
            </w:r>
          </w:p>
        </w:tc>
        <w:tc>
          <w:tcPr>
            <w:tcW w:w="6740" w:type="dxa"/>
            <w:vAlign w:val="center"/>
          </w:tcPr>
          <w:p w14:paraId="7E0DC9F5">
            <w:pPr>
              <w:widowControl/>
              <w:autoSpaceDE w:val="0"/>
              <w:autoSpaceDN w:val="0"/>
              <w:jc w:val="center"/>
              <w:rPr>
                <w:rFonts w:hint="eastAsia" w:ascii="仿宋_GB2312" w:hAnsi="仿宋_GB2312" w:eastAsia="仿宋_GB2312" w:cs="仿宋_GB2312"/>
                <w:sz w:val="24"/>
              </w:rPr>
            </w:pPr>
            <w:r>
              <w:rPr>
                <w:rFonts w:hint="eastAsia" w:ascii="仿宋_GB2312" w:hAnsi="仿宋_GB2312" w:eastAsia="仿宋_GB2312" w:cs="仿宋_GB2312"/>
                <w:sz w:val="24"/>
              </w:rPr>
              <w:t>镜下可见黏膜由光滑变为网格状或颗粒状</w:t>
            </w:r>
          </w:p>
        </w:tc>
      </w:tr>
    </w:tbl>
    <w:p w14:paraId="4F24D2A0">
      <w:pPr>
        <w:pStyle w:val="33"/>
        <w:spacing w:before="0" w:beforeLines="0" w:after="0" w:afterLines="0" w:line="240" w:lineRule="auto"/>
        <w:ind w:firstLine="0" w:firstLineChars="0"/>
        <w:rPr>
          <w:rFonts w:hint="eastAsia"/>
        </w:rPr>
      </w:pPr>
    </w:p>
    <w:p w14:paraId="3AFFC511">
      <w:pPr>
        <w:pStyle w:val="33"/>
        <w:spacing w:before="0" w:beforeLines="0" w:after="0" w:afterLines="0" w:line="240" w:lineRule="auto"/>
        <w:ind w:firstLine="0" w:firstLineChars="0"/>
        <w:rPr>
          <w:rFonts w:hint="eastAsia"/>
        </w:rPr>
      </w:pPr>
      <w:r>
        <w:drawing>
          <wp:inline distT="0" distB="0" distL="114300" distR="114300">
            <wp:extent cx="2109470" cy="1597025"/>
            <wp:effectExtent l="0" t="0" r="5080" b="317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3"/>
                    <a:stretch>
                      <a:fillRect/>
                    </a:stretch>
                  </pic:blipFill>
                  <pic:spPr>
                    <a:xfrm>
                      <a:off x="0" y="0"/>
                      <a:ext cx="2109470" cy="1597025"/>
                    </a:xfrm>
                    <a:prstGeom prst="rect">
                      <a:avLst/>
                    </a:prstGeom>
                    <a:noFill/>
                    <a:ln>
                      <a:noFill/>
                    </a:ln>
                  </pic:spPr>
                </pic:pic>
              </a:graphicData>
            </a:graphic>
          </wp:inline>
        </w:drawing>
      </w:r>
    </w:p>
    <w:p w14:paraId="49BDA13D">
      <w:pPr>
        <w:pStyle w:val="33"/>
        <w:spacing w:before="0" w:beforeLines="0" w:after="0" w:afterLines="0" w:line="240" w:lineRule="auto"/>
        <w:ind w:firstLine="0" w:firstLineChars="0"/>
        <w:rPr>
          <w:rFonts w:hint="eastAsia"/>
        </w:rPr>
      </w:pPr>
      <w:r>
        <w:rPr>
          <w:rFonts w:hint="eastAsia"/>
        </w:rPr>
        <w:t>胃窦</w:t>
      </w:r>
    </w:p>
    <w:p w14:paraId="76C14D27">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8. 顺着胃蠕动方向到达幽门口附近，可见一中央开口的环形肌性结构（幽门瓣）。幽门周期性开放与关闭，顺应蠕动方向推进可提高通过成功率，符合幽门解剖生理特点。继续缓慢送管通过幽门，五家医院均强调缓慢、顺应蠕动方向通过，避免暴力推送导致黏膜损伤。</w:t>
      </w:r>
    </w:p>
    <w:p w14:paraId="24F84B51">
      <w:pPr>
        <w:pStyle w:val="33"/>
        <w:spacing w:before="0" w:beforeLines="0" w:after="0" w:afterLines="0" w:line="240" w:lineRule="auto"/>
        <w:ind w:firstLine="0" w:firstLineChars="0"/>
        <w:rPr>
          <w:rFonts w:hint="eastAsia"/>
        </w:rPr>
      </w:pPr>
      <w:r>
        <w:drawing>
          <wp:inline distT="0" distB="0" distL="114300" distR="114300">
            <wp:extent cx="2212975" cy="1706880"/>
            <wp:effectExtent l="0" t="0" r="15875" b="762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4"/>
                    <a:stretch>
                      <a:fillRect/>
                    </a:stretch>
                  </pic:blipFill>
                  <pic:spPr>
                    <a:xfrm>
                      <a:off x="0" y="0"/>
                      <a:ext cx="2212975" cy="1706880"/>
                    </a:xfrm>
                    <a:prstGeom prst="rect">
                      <a:avLst/>
                    </a:prstGeom>
                    <a:noFill/>
                    <a:ln>
                      <a:noFill/>
                    </a:ln>
                  </pic:spPr>
                </pic:pic>
              </a:graphicData>
            </a:graphic>
          </wp:inline>
        </w:drawing>
      </w:r>
    </w:p>
    <w:p w14:paraId="1107C7EA">
      <w:pPr>
        <w:pStyle w:val="33"/>
        <w:spacing w:before="0" w:beforeLines="0" w:after="0" w:afterLines="0" w:line="240" w:lineRule="auto"/>
        <w:ind w:firstLine="0" w:firstLineChars="0"/>
        <w:rPr>
          <w:rFonts w:hint="eastAsia"/>
        </w:rPr>
      </w:pPr>
      <w:r>
        <w:rPr>
          <w:rFonts w:hint="eastAsia"/>
        </w:rPr>
        <w:t>幽门口</w:t>
      </w:r>
    </w:p>
    <w:p w14:paraId="4177F82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9. 继续送管至长度95 cm～100 cm，且随送管移动镜下可见小肠绒毛结构时，判定进入小肠。成人鼻前棘至十二指肠空肠曲距离约为90 cm～110 cm；小肠黏膜呈天鹅绒样绒毛状外观，与胃黏膜截然不同，是确认进入小肠的金标准。根据五家医院临床实践调研，将小肠判定深度定为95 cm～100 cm。</w:t>
      </w:r>
    </w:p>
    <w:p w14:paraId="1AAC8584">
      <w:pPr>
        <w:pStyle w:val="33"/>
        <w:spacing w:before="0" w:beforeLines="0" w:after="0" w:afterLines="0"/>
        <w:ind w:firstLine="0" w:firstLineChars="0"/>
        <w:rPr>
          <w:rFonts w:hint="eastAsia"/>
        </w:rPr>
      </w:pPr>
      <w:r>
        <w:rPr>
          <w:rFonts w:hint="eastAsia"/>
        </w:rPr>
        <w:t>小肠判定深度调查数据汇总表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4"/>
        <w:gridCol w:w="6740"/>
      </w:tblGrid>
      <w:tr w14:paraId="011BC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6282CA60">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医院</w:t>
            </w:r>
          </w:p>
        </w:tc>
        <w:tc>
          <w:tcPr>
            <w:tcW w:w="6740" w:type="dxa"/>
          </w:tcPr>
          <w:p w14:paraId="5CEC5534">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小肠判定深度</w:t>
            </w:r>
          </w:p>
        </w:tc>
      </w:tr>
      <w:tr w14:paraId="6EA66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1B59BDD1">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A</w:t>
            </w:r>
          </w:p>
        </w:tc>
        <w:tc>
          <w:tcPr>
            <w:tcW w:w="6740" w:type="dxa"/>
            <w:vAlign w:val="center"/>
          </w:tcPr>
          <w:p w14:paraId="0F3EEC13">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95 cm～110 cm</w:t>
            </w:r>
          </w:p>
        </w:tc>
      </w:tr>
      <w:tr w14:paraId="1038C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748E61AD">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B</w:t>
            </w:r>
          </w:p>
        </w:tc>
        <w:tc>
          <w:tcPr>
            <w:tcW w:w="6740" w:type="dxa"/>
            <w:vAlign w:val="center"/>
          </w:tcPr>
          <w:p w14:paraId="13DA1A11">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95 cm～100 cm</w:t>
            </w:r>
          </w:p>
        </w:tc>
      </w:tr>
      <w:tr w14:paraId="2B476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1FA65C0A">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C</w:t>
            </w:r>
          </w:p>
        </w:tc>
        <w:tc>
          <w:tcPr>
            <w:tcW w:w="6740" w:type="dxa"/>
            <w:vAlign w:val="center"/>
          </w:tcPr>
          <w:p w14:paraId="7A751618">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约95 cm～110 cm</w:t>
            </w:r>
          </w:p>
        </w:tc>
      </w:tr>
      <w:tr w14:paraId="2BEB5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68CC34D8">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D</w:t>
            </w:r>
          </w:p>
        </w:tc>
        <w:tc>
          <w:tcPr>
            <w:tcW w:w="6740" w:type="dxa"/>
            <w:vAlign w:val="center"/>
          </w:tcPr>
          <w:p w14:paraId="201DC0D3">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95～100 cm</w:t>
            </w:r>
          </w:p>
        </w:tc>
      </w:tr>
      <w:tr w14:paraId="3898D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1179811E">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E</w:t>
            </w:r>
          </w:p>
        </w:tc>
        <w:tc>
          <w:tcPr>
            <w:tcW w:w="6740" w:type="dxa"/>
            <w:vAlign w:val="center"/>
          </w:tcPr>
          <w:p w14:paraId="6096D913">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95 cm～100 cm</w:t>
            </w:r>
          </w:p>
        </w:tc>
      </w:tr>
    </w:tbl>
    <w:p w14:paraId="155C909A">
      <w:pPr>
        <w:pStyle w:val="33"/>
        <w:spacing w:before="0" w:beforeLines="0" w:after="0" w:afterLines="0" w:line="240" w:lineRule="auto"/>
        <w:ind w:firstLine="0" w:firstLineChars="0"/>
        <w:rPr>
          <w:rFonts w:hint="eastAsia"/>
        </w:rPr>
      </w:pPr>
    </w:p>
    <w:p w14:paraId="4A0BC9B1">
      <w:pPr>
        <w:pStyle w:val="33"/>
        <w:spacing w:before="0" w:beforeLines="0" w:after="0" w:afterLines="0" w:line="240" w:lineRule="auto"/>
        <w:ind w:firstLine="0" w:firstLineChars="0"/>
        <w:rPr>
          <w:rFonts w:hint="eastAsia"/>
        </w:rPr>
      </w:pPr>
      <w:r>
        <w:drawing>
          <wp:inline distT="0" distB="0" distL="114300" distR="114300">
            <wp:extent cx="2255520" cy="1743710"/>
            <wp:effectExtent l="0" t="0" r="11430" b="889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5"/>
                    <a:stretch>
                      <a:fillRect/>
                    </a:stretch>
                  </pic:blipFill>
                  <pic:spPr>
                    <a:xfrm>
                      <a:off x="0" y="0"/>
                      <a:ext cx="2255520" cy="1743710"/>
                    </a:xfrm>
                    <a:prstGeom prst="rect">
                      <a:avLst/>
                    </a:prstGeom>
                    <a:noFill/>
                    <a:ln>
                      <a:noFill/>
                    </a:ln>
                  </pic:spPr>
                </pic:pic>
              </a:graphicData>
            </a:graphic>
          </wp:inline>
        </w:drawing>
      </w:r>
    </w:p>
    <w:p w14:paraId="34621A94">
      <w:pPr>
        <w:pStyle w:val="33"/>
        <w:spacing w:before="0" w:beforeLines="0" w:after="0" w:afterLines="0" w:line="240" w:lineRule="auto"/>
        <w:ind w:firstLine="0" w:firstLineChars="0"/>
        <w:rPr>
          <w:rFonts w:hint="eastAsia"/>
        </w:rPr>
      </w:pPr>
      <w:r>
        <w:rPr>
          <w:rFonts w:hint="eastAsia"/>
        </w:rPr>
        <w:t>肠粘膜</w:t>
      </w:r>
    </w:p>
    <w:p w14:paraId="490DFC1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10. 缓慢退导丝并固定鼻肠管。退导丝过程需缓慢进行，避免因退丝速度过快导致导管尖端移位。固定方式参照临床常规操作。</w:t>
      </w:r>
    </w:p>
    <w:p w14:paraId="733C5EBE">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11. 喂养前宜行腹部X线检查确定尖端位置。尽管镜下图像可直接观察小肠黏膜，但退导丝过程中导管尖端可能发生移位，腹部X线检查是目前公认的确认导管尖端位置的金标准。五家医院均推荐或采用此方法进行最终位置确认。</w:t>
      </w:r>
    </w:p>
    <w:p w14:paraId="1A442DF1">
      <w:pPr>
        <w:pStyle w:val="33"/>
        <w:spacing w:before="0" w:beforeLines="0" w:after="0" w:afterLines="0" w:line="240" w:lineRule="auto"/>
        <w:ind w:firstLine="0" w:firstLineChars="0"/>
        <w:rPr>
          <w:rFonts w:hint="eastAsia"/>
        </w:rPr>
      </w:pPr>
    </w:p>
    <w:p w14:paraId="1D352F9C">
      <w:pPr>
        <w:pStyle w:val="33"/>
        <w:spacing w:before="0" w:beforeLines="0" w:after="0" w:afterLines="0"/>
        <w:ind w:firstLine="562"/>
        <w:jc w:val="both"/>
        <w:outlineLvl w:val="1"/>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（六）异常情况处理</w:t>
      </w:r>
    </w:p>
    <w:p w14:paraId="77EB8C96">
      <w:pPr>
        <w:pStyle w:val="33"/>
        <w:spacing w:before="0" w:beforeLines="0" w:after="0" w:afterLines="0"/>
        <w:ind w:firstLine="562"/>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1. 镜下图像静止</w:t>
      </w:r>
    </w:p>
    <w:p w14:paraId="1D6DB3A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在送管过程中，若镜下图像停止不动，通常因导管顶住胃壁无法前进所致。回退导管可恢复视野，若仍未通过幽门，则退回胃内，将导丝伸出导管2 cm～3 cm，弯曲蛇骨固定，利用导丝柔性钩住幽门口引导通过。该手法为五家医院临床经验总结，伸出长度范围经调研确定。</w:t>
      </w:r>
    </w:p>
    <w:p w14:paraId="00283590">
      <w:pPr>
        <w:pStyle w:val="33"/>
        <w:spacing w:before="0" w:beforeLines="0" w:after="0" w:afterLines="0"/>
        <w:ind w:firstLine="0" w:firstLineChars="0"/>
        <w:rPr>
          <w:rFonts w:hint="eastAsia"/>
        </w:rPr>
      </w:pPr>
      <w:r>
        <w:rPr>
          <w:rFonts w:hint="eastAsia"/>
        </w:rPr>
        <w:t>导丝伸出长度调查数据汇总表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4"/>
        <w:gridCol w:w="6740"/>
      </w:tblGrid>
      <w:tr w14:paraId="06B9B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33B4D847">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医院</w:t>
            </w:r>
          </w:p>
        </w:tc>
        <w:tc>
          <w:tcPr>
            <w:tcW w:w="6740" w:type="dxa"/>
          </w:tcPr>
          <w:p w14:paraId="2DABF409">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导丝伸出长度</w:t>
            </w:r>
          </w:p>
        </w:tc>
      </w:tr>
      <w:tr w14:paraId="01DEE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2FC7F54F">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A</w:t>
            </w:r>
          </w:p>
        </w:tc>
        <w:tc>
          <w:tcPr>
            <w:tcW w:w="6740" w:type="dxa"/>
            <w:vAlign w:val="center"/>
          </w:tcPr>
          <w:p w14:paraId="69F89EAC">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2 cm～3 cm</w:t>
            </w:r>
          </w:p>
        </w:tc>
      </w:tr>
      <w:tr w14:paraId="40362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4C8BB078">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B</w:t>
            </w:r>
          </w:p>
        </w:tc>
        <w:tc>
          <w:tcPr>
            <w:tcW w:w="6740" w:type="dxa"/>
            <w:vAlign w:val="center"/>
          </w:tcPr>
          <w:p w14:paraId="31F226DB">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2 cm～3 cm</w:t>
            </w:r>
          </w:p>
        </w:tc>
      </w:tr>
      <w:tr w14:paraId="198FF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4FDA0D40">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C</w:t>
            </w:r>
          </w:p>
        </w:tc>
        <w:tc>
          <w:tcPr>
            <w:tcW w:w="6740" w:type="dxa"/>
            <w:vAlign w:val="center"/>
          </w:tcPr>
          <w:p w14:paraId="2C324907">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3 cm～5 cm</w:t>
            </w:r>
          </w:p>
        </w:tc>
      </w:tr>
      <w:tr w14:paraId="183BA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77C0121F">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D</w:t>
            </w:r>
          </w:p>
        </w:tc>
        <w:tc>
          <w:tcPr>
            <w:tcW w:w="6740" w:type="dxa"/>
            <w:vAlign w:val="center"/>
          </w:tcPr>
          <w:p w14:paraId="6622C42C">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2 cm～3 cm</w:t>
            </w:r>
          </w:p>
        </w:tc>
      </w:tr>
      <w:tr w14:paraId="2642D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4" w:type="dxa"/>
          </w:tcPr>
          <w:p w14:paraId="37E79673">
            <w:pPr>
              <w:pStyle w:val="33"/>
              <w:spacing w:before="0" w:beforeLines="0" w:after="0" w:afterLines="0" w:line="240" w:lineRule="auto"/>
              <w:ind w:firstLine="0" w:firstLineChars="0"/>
              <w:rPr>
                <w:rFonts w:hint="eastAsia" w:ascii="仿宋_GB2312" w:hAnsi="仿宋_GB2312" w:eastAsia="仿宋_GB2312" w:cs="仿宋_GB2312"/>
              </w:rPr>
            </w:pPr>
            <w:r>
              <w:rPr>
                <w:rFonts w:hint="eastAsia" w:ascii="仿宋_GB2312" w:hAnsi="仿宋_GB2312" w:eastAsia="仿宋_GB2312" w:cs="仿宋_GB2312"/>
              </w:rPr>
              <w:t>E</w:t>
            </w:r>
          </w:p>
        </w:tc>
        <w:tc>
          <w:tcPr>
            <w:tcW w:w="6740" w:type="dxa"/>
            <w:vAlign w:val="center"/>
          </w:tcPr>
          <w:p w14:paraId="5BEDBAD6">
            <w:pPr>
              <w:pStyle w:val="33"/>
              <w:spacing w:before="0" w:beforeLines="0" w:after="0" w:afterLines="0" w:line="240" w:lineRule="auto"/>
              <w:ind w:firstLine="0" w:firstLineChars="0"/>
              <w:rPr>
                <w:rFonts w:hint="eastAsia" w:ascii="仿宋_GB2312" w:hAnsi="仿宋_GB2312" w:eastAsia="仿宋_GB2312" w:cs="仿宋_GB2312"/>
              </w:rPr>
            </w:pPr>
            <w:r>
              <w:rPr>
                <w:rFonts w:ascii="仿宋_GB2312" w:hAnsi="仿宋_GB2312" w:eastAsia="仿宋_GB2312" w:cs="仿宋_GB2312"/>
              </w:rPr>
              <w:t>2 cm～3 cm</w:t>
            </w:r>
          </w:p>
        </w:tc>
      </w:tr>
    </w:tbl>
    <w:p w14:paraId="1CC3B6C3">
      <w:pPr>
        <w:pStyle w:val="33"/>
        <w:spacing w:before="0" w:beforeLines="0" w:after="0" w:afterLines="0"/>
        <w:ind w:firstLine="562"/>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 镜下视野不清</w:t>
      </w:r>
    </w:p>
    <w:p w14:paraId="38FA6B4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确定鼻肠管进入胃内后镜下视野不清时，通常因镜头被胃内黏液或分泌物覆盖所致。通过鼻肠管侧孔注入2 mL～3 mL无菌生理盐水或空气冲洗镜头，可快速恢复清晰视野。</w:t>
      </w:r>
    </w:p>
    <w:p w14:paraId="3F926274">
      <w:pPr>
        <w:pStyle w:val="33"/>
        <w:spacing w:before="0" w:beforeLines="0" w:after="0" w:afterLines="0"/>
        <w:ind w:firstLine="562"/>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3. 幽门通过困难</w:t>
      </w:r>
    </w:p>
    <w:p w14:paraId="28087D3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幽门通过困难时，可采用两种方法辅助：一是将患者调整为右侧卧位，利用重力帮助导管趋向幽门；二是在胃窦部将导丝头端轻微弯曲成“J”形，利用导丝的柔性钩住幽门口引导通过。两种方法均为五家医院临床经验总结，可根据临床实际情况选择应用。</w:t>
      </w:r>
    </w:p>
    <w:p w14:paraId="498B3517">
      <w:pPr>
        <w:pStyle w:val="33"/>
        <w:spacing w:before="0" w:beforeLines="0" w:after="0" w:afterLines="0"/>
        <w:ind w:firstLine="562"/>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4. 误入气道</w:t>
      </w:r>
    </w:p>
    <w:p w14:paraId="13C0616C">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镜下出现气管环状结构时，提示鼻肠管误入气道，应立即完全退出导管，避免气道损伤，让患者休息后重新操作。该处理方式为五家医院临床共识，确保患者安全。</w:t>
      </w:r>
    </w:p>
    <w:p w14:paraId="1130AE69">
      <w:pPr>
        <w:pStyle w:val="33"/>
        <w:spacing w:before="0" w:beforeLines="0" w:after="0" w:afterLines="0"/>
        <w:ind w:firstLine="562"/>
        <w:jc w:val="both"/>
        <w:outlineLvl w:val="1"/>
        <w:rPr>
          <w:rFonts w:hint="eastAsia" w:ascii="仿宋_GB2312" w:hAnsi="仿宋_GB2312" w:eastAsia="仿宋_GB2312" w:cs="仿宋_GB2312"/>
          <w:sz w:val="28"/>
          <w:szCs w:val="28"/>
        </w:rPr>
      </w:pPr>
      <w:r>
        <w:rPr>
          <w:rFonts w:hint="eastAsia" w:ascii="仿宋_GB2312" w:hAnsi="仿宋_GB2312" w:eastAsia="仿宋_GB2312" w:cs="仿宋_GB2312"/>
          <w:b/>
          <w:bCs w:val="0"/>
          <w:sz w:val="28"/>
          <w:szCs w:val="28"/>
        </w:rPr>
        <w:t>（七）置管后护理与维护</w:t>
      </w:r>
    </w:p>
    <w:p w14:paraId="1DB678FE">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按T/CNAS 20的要求护理与维护。</w:t>
      </w:r>
    </w:p>
    <w:p w14:paraId="410D6FCC">
      <w:pPr>
        <w:pStyle w:val="33"/>
        <w:spacing w:before="0" w:beforeLines="0" w:after="0" w:afterLines="0" w:line="240" w:lineRule="auto"/>
        <w:ind w:firstLine="0" w:firstLineChars="0"/>
        <w:rPr>
          <w:rFonts w:hint="eastAsia"/>
        </w:rPr>
      </w:pPr>
      <w:r>
        <w:drawing>
          <wp:inline distT="0" distB="0" distL="114300" distR="114300">
            <wp:extent cx="4542790" cy="1391920"/>
            <wp:effectExtent l="9525" t="9525" r="19685" b="273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6"/>
                    <a:stretch>
                      <a:fillRect/>
                    </a:stretch>
                  </pic:blipFill>
                  <pic:spPr>
                    <a:xfrm>
                      <a:off x="0" y="0"/>
                      <a:ext cx="4542790" cy="1391920"/>
                    </a:xfrm>
                    <a:prstGeom prst="rect">
                      <a:avLst/>
                    </a:prstGeom>
                    <a:noFill/>
                    <a:ln>
                      <a:solidFill>
                        <a:schemeClr val="tx1"/>
                      </a:solidFill>
                    </a:ln>
                  </pic:spPr>
                </pic:pic>
              </a:graphicData>
            </a:graphic>
          </wp:inline>
        </w:drawing>
      </w:r>
    </w:p>
    <w:p w14:paraId="6374F5CA">
      <w:pPr>
        <w:pStyle w:val="33"/>
        <w:spacing w:before="0" w:beforeLines="0" w:after="0" w:afterLines="0" w:line="240" w:lineRule="auto"/>
        <w:ind w:firstLine="0" w:firstLineChars="0"/>
        <w:rPr>
          <w:rFonts w:hint="eastAsia"/>
        </w:rPr>
      </w:pPr>
      <w:r>
        <w:rPr>
          <w:rFonts w:hint="eastAsia"/>
        </w:rPr>
        <w:t>来源：T/CNAS 20  成人鼻肠管的留置与维护</w:t>
      </w:r>
    </w:p>
    <w:p w14:paraId="701FA999">
      <w:pPr>
        <w:pStyle w:val="33"/>
        <w:spacing w:before="0" w:beforeLines="0" w:after="0" w:afterLines="0"/>
        <w:ind w:firstLine="560"/>
        <w:jc w:val="both"/>
        <w:rPr>
          <w:rFonts w:hint="eastAsia" w:ascii="仿宋_GB2312" w:hAnsi="仿宋_GB2312" w:eastAsia="仿宋_GB2312" w:cs="仿宋_GB2312"/>
          <w:sz w:val="28"/>
          <w:szCs w:val="28"/>
        </w:rPr>
      </w:pPr>
    </w:p>
    <w:p w14:paraId="242DA43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以下是近年来超微可视化电子内窥镜引导下鼻肠管留置操作的记录：</w:t>
      </w:r>
    </w:p>
    <w:p w14:paraId="0675203D">
      <w:pPr>
        <w:pStyle w:val="33"/>
        <w:widowControl w:val="0"/>
        <w:ind w:firstLine="0" w:firstLineChars="0"/>
        <w:rPr>
          <w:rFonts w:hint="eastAsia"/>
        </w:rPr>
      </w:pPr>
      <w:r>
        <w:rPr>
          <w:rFonts w:hint="eastAsia"/>
        </w:rPr>
        <w:t>超微可视化电子内窥镜引导下鼻肠管留置操作记录</w:t>
      </w:r>
    </w:p>
    <w:tbl>
      <w:tblPr>
        <w:tblStyle w:val="17"/>
        <w:tblW w:w="87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0"/>
        <w:gridCol w:w="980"/>
        <w:gridCol w:w="1300"/>
        <w:gridCol w:w="5440"/>
      </w:tblGrid>
      <w:tr w14:paraId="1C2C7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80" w:type="dxa"/>
            <w:vAlign w:val="center"/>
          </w:tcPr>
          <w:p w14:paraId="21A7D9C8">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医院</w:t>
            </w:r>
          </w:p>
        </w:tc>
        <w:tc>
          <w:tcPr>
            <w:tcW w:w="980" w:type="dxa"/>
            <w:vAlign w:val="center"/>
          </w:tcPr>
          <w:p w14:paraId="56627683">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年份</w:t>
            </w:r>
          </w:p>
        </w:tc>
        <w:tc>
          <w:tcPr>
            <w:tcW w:w="1300" w:type="dxa"/>
            <w:vAlign w:val="center"/>
          </w:tcPr>
          <w:p w14:paraId="56F49E7E">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病例数</w:t>
            </w:r>
          </w:p>
        </w:tc>
        <w:tc>
          <w:tcPr>
            <w:tcW w:w="5440" w:type="dxa"/>
            <w:vAlign w:val="center"/>
          </w:tcPr>
          <w:p w14:paraId="017136BF">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操作效果</w:t>
            </w:r>
          </w:p>
        </w:tc>
      </w:tr>
      <w:tr w14:paraId="0843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restart"/>
            <w:vAlign w:val="center"/>
          </w:tcPr>
          <w:p w14:paraId="447C2CB8">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A</w:t>
            </w:r>
          </w:p>
        </w:tc>
        <w:tc>
          <w:tcPr>
            <w:tcW w:w="980" w:type="dxa"/>
            <w:vAlign w:val="center"/>
          </w:tcPr>
          <w:p w14:paraId="2E4B7750">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2023</w:t>
            </w:r>
          </w:p>
        </w:tc>
        <w:tc>
          <w:tcPr>
            <w:tcW w:w="1300" w:type="dxa"/>
            <w:vAlign w:val="center"/>
          </w:tcPr>
          <w:p w14:paraId="53B3071D">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21</w:t>
            </w:r>
          </w:p>
        </w:tc>
        <w:tc>
          <w:tcPr>
            <w:tcW w:w="5440" w:type="dxa"/>
            <w:vAlign w:val="center"/>
          </w:tcPr>
          <w:p w14:paraId="30BAC04D">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共治疗21例患者，有效18例，无效3例，总有效率85.7%</w:t>
            </w:r>
          </w:p>
        </w:tc>
      </w:tr>
      <w:tr w14:paraId="39067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continue"/>
            <w:vAlign w:val="center"/>
          </w:tcPr>
          <w:p w14:paraId="580FD83F">
            <w:pPr>
              <w:pStyle w:val="33"/>
              <w:widowControl w:val="0"/>
              <w:spacing w:before="0" w:beforeLines="0" w:after="0" w:afterLines="0" w:line="400" w:lineRule="exact"/>
              <w:ind w:firstLine="0" w:firstLineChars="0"/>
              <w:rPr>
                <w:rFonts w:hint="eastAsia" w:ascii="仿宋_GB2312" w:eastAsia="仿宋_GB2312" w:cs="仿宋"/>
              </w:rPr>
            </w:pPr>
          </w:p>
        </w:tc>
        <w:tc>
          <w:tcPr>
            <w:tcW w:w="980" w:type="dxa"/>
            <w:vAlign w:val="center"/>
          </w:tcPr>
          <w:p w14:paraId="2666F6A1">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2024</w:t>
            </w:r>
          </w:p>
        </w:tc>
        <w:tc>
          <w:tcPr>
            <w:tcW w:w="1300" w:type="dxa"/>
            <w:vAlign w:val="center"/>
          </w:tcPr>
          <w:p w14:paraId="3831A013">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56</w:t>
            </w:r>
          </w:p>
        </w:tc>
        <w:tc>
          <w:tcPr>
            <w:tcW w:w="5440" w:type="dxa"/>
            <w:vAlign w:val="center"/>
          </w:tcPr>
          <w:p w14:paraId="0D931016">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共治疗56例患者，有效51例，无效5例，总有效率91.1%</w:t>
            </w:r>
          </w:p>
        </w:tc>
      </w:tr>
      <w:tr w14:paraId="6F0F1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continue"/>
            <w:vAlign w:val="center"/>
          </w:tcPr>
          <w:p w14:paraId="49F3C41F">
            <w:pPr>
              <w:pStyle w:val="33"/>
              <w:widowControl w:val="0"/>
              <w:spacing w:before="0" w:beforeLines="0" w:after="0" w:afterLines="0" w:line="400" w:lineRule="exact"/>
              <w:ind w:firstLine="0" w:firstLineChars="0"/>
              <w:rPr>
                <w:rFonts w:hint="eastAsia" w:ascii="仿宋_GB2312" w:eastAsia="仿宋_GB2312" w:cs="仿宋"/>
              </w:rPr>
            </w:pPr>
          </w:p>
        </w:tc>
        <w:tc>
          <w:tcPr>
            <w:tcW w:w="980" w:type="dxa"/>
            <w:vAlign w:val="center"/>
          </w:tcPr>
          <w:p w14:paraId="4867D78E">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2025</w:t>
            </w:r>
          </w:p>
        </w:tc>
        <w:tc>
          <w:tcPr>
            <w:tcW w:w="1300" w:type="dxa"/>
            <w:vAlign w:val="center"/>
          </w:tcPr>
          <w:p w14:paraId="084F59C1">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108</w:t>
            </w:r>
          </w:p>
        </w:tc>
        <w:tc>
          <w:tcPr>
            <w:tcW w:w="5440" w:type="dxa"/>
            <w:vAlign w:val="center"/>
          </w:tcPr>
          <w:p w14:paraId="6B8CD242">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共治疗108例患者，有效102例，无效6例，总有效率94.4%</w:t>
            </w:r>
          </w:p>
        </w:tc>
      </w:tr>
      <w:tr w14:paraId="31431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continue"/>
            <w:vAlign w:val="center"/>
          </w:tcPr>
          <w:p w14:paraId="292AE335">
            <w:pPr>
              <w:pStyle w:val="33"/>
              <w:widowControl w:val="0"/>
              <w:spacing w:before="0" w:beforeLines="0" w:after="0" w:afterLines="0" w:line="400" w:lineRule="exact"/>
              <w:ind w:firstLine="0" w:firstLineChars="0"/>
              <w:rPr>
                <w:rFonts w:hint="eastAsia" w:ascii="仿宋_GB2312" w:eastAsia="仿宋_GB2312" w:cs="仿宋"/>
              </w:rPr>
            </w:pPr>
          </w:p>
        </w:tc>
        <w:tc>
          <w:tcPr>
            <w:tcW w:w="980" w:type="dxa"/>
            <w:vAlign w:val="center"/>
          </w:tcPr>
          <w:p w14:paraId="2113DA7C">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2026</w:t>
            </w:r>
          </w:p>
        </w:tc>
        <w:tc>
          <w:tcPr>
            <w:tcW w:w="1300" w:type="dxa"/>
            <w:vAlign w:val="center"/>
          </w:tcPr>
          <w:p w14:paraId="67BDD74E">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96</w:t>
            </w:r>
          </w:p>
        </w:tc>
        <w:tc>
          <w:tcPr>
            <w:tcW w:w="5440" w:type="dxa"/>
            <w:vAlign w:val="center"/>
          </w:tcPr>
          <w:p w14:paraId="3C00B027">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共治疗96例患者，有效93例，无效3例，总有效率96.9%</w:t>
            </w:r>
          </w:p>
        </w:tc>
      </w:tr>
      <w:tr w14:paraId="2BF6C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restart"/>
            <w:vAlign w:val="center"/>
          </w:tcPr>
          <w:p w14:paraId="3E531BFB">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B</w:t>
            </w:r>
          </w:p>
        </w:tc>
        <w:tc>
          <w:tcPr>
            <w:tcW w:w="980" w:type="dxa"/>
            <w:vAlign w:val="center"/>
          </w:tcPr>
          <w:p w14:paraId="2EC191E0">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2022</w:t>
            </w:r>
          </w:p>
        </w:tc>
        <w:tc>
          <w:tcPr>
            <w:tcW w:w="1300" w:type="dxa"/>
            <w:vAlign w:val="center"/>
          </w:tcPr>
          <w:p w14:paraId="7CA639D2">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31</w:t>
            </w:r>
          </w:p>
        </w:tc>
        <w:tc>
          <w:tcPr>
            <w:tcW w:w="5440" w:type="dxa"/>
            <w:vAlign w:val="center"/>
          </w:tcPr>
          <w:p w14:paraId="7BC59466">
            <w:pPr>
              <w:pStyle w:val="33"/>
              <w:widowControl w:val="0"/>
              <w:spacing w:before="0" w:beforeLines="0" w:after="0" w:afterLines="0" w:line="400" w:lineRule="exact"/>
              <w:ind w:firstLine="0" w:firstLineChars="0"/>
              <w:rPr>
                <w:rFonts w:hint="eastAsia" w:ascii="仿宋_GB2312" w:eastAsia="仿宋_GB2312" w:cs="仿宋"/>
              </w:rPr>
            </w:pPr>
            <w:bookmarkStart w:id="0" w:name="OLE_LINK1"/>
            <w:r>
              <w:rPr>
                <w:rFonts w:hint="eastAsia" w:ascii="仿宋_GB2312" w:eastAsia="仿宋_GB2312" w:cs="仿宋"/>
              </w:rPr>
              <w:t>共治疗31例患者，有效25例，无效6例，总有效率80.6%</w:t>
            </w:r>
            <w:bookmarkEnd w:id="0"/>
          </w:p>
        </w:tc>
      </w:tr>
      <w:tr w14:paraId="3872F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continue"/>
            <w:vAlign w:val="center"/>
          </w:tcPr>
          <w:p w14:paraId="1BD65818">
            <w:pPr>
              <w:pStyle w:val="33"/>
              <w:widowControl w:val="0"/>
              <w:spacing w:before="0" w:beforeLines="0" w:after="0" w:afterLines="0" w:line="400" w:lineRule="exact"/>
              <w:ind w:firstLine="0" w:firstLineChars="0"/>
              <w:rPr>
                <w:rFonts w:hint="eastAsia" w:ascii="仿宋_GB2312" w:eastAsia="仿宋_GB2312" w:cs="仿宋"/>
              </w:rPr>
            </w:pPr>
          </w:p>
        </w:tc>
        <w:tc>
          <w:tcPr>
            <w:tcW w:w="980" w:type="dxa"/>
            <w:vAlign w:val="center"/>
          </w:tcPr>
          <w:p w14:paraId="16D58840">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2023</w:t>
            </w:r>
          </w:p>
        </w:tc>
        <w:tc>
          <w:tcPr>
            <w:tcW w:w="1300" w:type="dxa"/>
          </w:tcPr>
          <w:p w14:paraId="7AA68827">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56</w:t>
            </w:r>
          </w:p>
        </w:tc>
        <w:tc>
          <w:tcPr>
            <w:tcW w:w="5440" w:type="dxa"/>
          </w:tcPr>
          <w:p w14:paraId="0677894C">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共治疗56例患者，有效47例，无效9例，总有效率83.9%</w:t>
            </w:r>
          </w:p>
        </w:tc>
      </w:tr>
      <w:tr w14:paraId="0707C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continue"/>
            <w:vAlign w:val="center"/>
          </w:tcPr>
          <w:p w14:paraId="4FF2DCE7">
            <w:pPr>
              <w:pStyle w:val="33"/>
              <w:widowControl w:val="0"/>
              <w:spacing w:before="0" w:beforeLines="0" w:after="0" w:afterLines="0" w:line="400" w:lineRule="exact"/>
              <w:ind w:firstLine="0" w:firstLineChars="0"/>
              <w:rPr>
                <w:rFonts w:hint="eastAsia" w:ascii="仿宋_GB2312" w:eastAsia="仿宋_GB2312" w:cs="仿宋"/>
              </w:rPr>
            </w:pPr>
          </w:p>
        </w:tc>
        <w:tc>
          <w:tcPr>
            <w:tcW w:w="980" w:type="dxa"/>
            <w:vAlign w:val="center"/>
          </w:tcPr>
          <w:p w14:paraId="5453B9A4">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2024</w:t>
            </w:r>
          </w:p>
        </w:tc>
        <w:tc>
          <w:tcPr>
            <w:tcW w:w="1300" w:type="dxa"/>
          </w:tcPr>
          <w:p w14:paraId="7BACACA9">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89</w:t>
            </w:r>
          </w:p>
        </w:tc>
        <w:tc>
          <w:tcPr>
            <w:tcW w:w="5440" w:type="dxa"/>
          </w:tcPr>
          <w:p w14:paraId="3F4701B3">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共治疗89例患者，有效79例，无效10例，总有效率88.7%</w:t>
            </w:r>
          </w:p>
        </w:tc>
      </w:tr>
      <w:tr w14:paraId="7E73E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continue"/>
            <w:vAlign w:val="center"/>
          </w:tcPr>
          <w:p w14:paraId="0FE05D76">
            <w:pPr>
              <w:pStyle w:val="33"/>
              <w:widowControl w:val="0"/>
              <w:spacing w:before="0" w:beforeLines="0" w:after="0" w:afterLines="0" w:line="400" w:lineRule="exact"/>
              <w:ind w:firstLine="0" w:firstLineChars="0"/>
              <w:rPr>
                <w:rFonts w:hint="eastAsia" w:ascii="仿宋_GB2312" w:eastAsia="仿宋_GB2312" w:cs="仿宋"/>
              </w:rPr>
            </w:pPr>
          </w:p>
        </w:tc>
        <w:tc>
          <w:tcPr>
            <w:tcW w:w="980" w:type="dxa"/>
            <w:vAlign w:val="center"/>
          </w:tcPr>
          <w:p w14:paraId="5FF90D6E">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2025</w:t>
            </w:r>
          </w:p>
        </w:tc>
        <w:tc>
          <w:tcPr>
            <w:tcW w:w="1300" w:type="dxa"/>
          </w:tcPr>
          <w:p w14:paraId="71BF62F2">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110</w:t>
            </w:r>
          </w:p>
        </w:tc>
        <w:tc>
          <w:tcPr>
            <w:tcW w:w="5440" w:type="dxa"/>
          </w:tcPr>
          <w:p w14:paraId="75A7E00E">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共治疗110例患者，有效101例，无效9例，总有效率91.8%</w:t>
            </w:r>
          </w:p>
        </w:tc>
      </w:tr>
      <w:tr w14:paraId="71E6A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restart"/>
            <w:vAlign w:val="center"/>
          </w:tcPr>
          <w:p w14:paraId="52B1179A">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C</w:t>
            </w:r>
          </w:p>
        </w:tc>
        <w:tc>
          <w:tcPr>
            <w:tcW w:w="980" w:type="dxa"/>
            <w:vAlign w:val="center"/>
          </w:tcPr>
          <w:p w14:paraId="104302EB">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2024</w:t>
            </w:r>
          </w:p>
        </w:tc>
        <w:tc>
          <w:tcPr>
            <w:tcW w:w="1300" w:type="dxa"/>
            <w:vAlign w:val="center"/>
          </w:tcPr>
          <w:p w14:paraId="2FB1C379">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25</w:t>
            </w:r>
          </w:p>
        </w:tc>
        <w:tc>
          <w:tcPr>
            <w:tcW w:w="5440" w:type="dxa"/>
            <w:vAlign w:val="center"/>
          </w:tcPr>
          <w:p w14:paraId="522BC67D">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共治疗25例患者，有效21例，无效4例，总有效率84%</w:t>
            </w:r>
          </w:p>
        </w:tc>
      </w:tr>
      <w:tr w14:paraId="719AA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continue"/>
            <w:vAlign w:val="center"/>
          </w:tcPr>
          <w:p w14:paraId="44EE4A75">
            <w:pPr>
              <w:pStyle w:val="33"/>
              <w:widowControl w:val="0"/>
              <w:spacing w:before="0" w:beforeLines="0" w:after="0" w:afterLines="0" w:line="400" w:lineRule="exact"/>
              <w:ind w:firstLine="0" w:firstLineChars="0"/>
              <w:rPr>
                <w:rFonts w:hint="eastAsia" w:ascii="仿宋_GB2312" w:eastAsia="仿宋_GB2312" w:cs="仿宋"/>
              </w:rPr>
            </w:pPr>
          </w:p>
        </w:tc>
        <w:tc>
          <w:tcPr>
            <w:tcW w:w="980" w:type="dxa"/>
            <w:vAlign w:val="center"/>
          </w:tcPr>
          <w:p w14:paraId="187E7C58">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2025</w:t>
            </w:r>
          </w:p>
        </w:tc>
        <w:tc>
          <w:tcPr>
            <w:tcW w:w="1300" w:type="dxa"/>
            <w:vAlign w:val="center"/>
          </w:tcPr>
          <w:p w14:paraId="760FE350">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116</w:t>
            </w:r>
          </w:p>
        </w:tc>
        <w:tc>
          <w:tcPr>
            <w:tcW w:w="5440" w:type="dxa"/>
            <w:vAlign w:val="center"/>
          </w:tcPr>
          <w:p w14:paraId="26E21AE7">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共治疗116例患者，有效111例，无效5例，总有效率95.7%</w:t>
            </w:r>
          </w:p>
        </w:tc>
      </w:tr>
      <w:tr w14:paraId="74F53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continue"/>
            <w:vAlign w:val="center"/>
          </w:tcPr>
          <w:p w14:paraId="530A8E10">
            <w:pPr>
              <w:pStyle w:val="33"/>
              <w:widowControl w:val="0"/>
              <w:spacing w:before="0" w:beforeLines="0" w:after="0" w:afterLines="0" w:line="400" w:lineRule="exact"/>
              <w:ind w:firstLine="0" w:firstLineChars="0"/>
              <w:rPr>
                <w:rFonts w:hint="eastAsia" w:ascii="仿宋_GB2312" w:eastAsia="仿宋_GB2312" w:cs="仿宋"/>
              </w:rPr>
            </w:pPr>
          </w:p>
        </w:tc>
        <w:tc>
          <w:tcPr>
            <w:tcW w:w="980" w:type="dxa"/>
            <w:vAlign w:val="center"/>
          </w:tcPr>
          <w:p w14:paraId="25FCDA37">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2026</w:t>
            </w:r>
          </w:p>
        </w:tc>
        <w:tc>
          <w:tcPr>
            <w:tcW w:w="1300" w:type="dxa"/>
          </w:tcPr>
          <w:p w14:paraId="068B0103">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32</w:t>
            </w:r>
          </w:p>
        </w:tc>
        <w:tc>
          <w:tcPr>
            <w:tcW w:w="5440" w:type="dxa"/>
          </w:tcPr>
          <w:p w14:paraId="3602C926">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共治疗32例患者，有效31例，无效1例，总有效率96.9%</w:t>
            </w:r>
          </w:p>
        </w:tc>
      </w:tr>
      <w:tr w14:paraId="2ECAC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restart"/>
            <w:vAlign w:val="center"/>
          </w:tcPr>
          <w:p w14:paraId="791F9738">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D</w:t>
            </w:r>
          </w:p>
        </w:tc>
        <w:tc>
          <w:tcPr>
            <w:tcW w:w="0" w:type="auto"/>
            <w:vAlign w:val="center"/>
          </w:tcPr>
          <w:p w14:paraId="31E278D6">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2025</w:t>
            </w:r>
          </w:p>
        </w:tc>
        <w:tc>
          <w:tcPr>
            <w:tcW w:w="1300" w:type="dxa"/>
            <w:vAlign w:val="center"/>
          </w:tcPr>
          <w:p w14:paraId="570B027D">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90</w:t>
            </w:r>
          </w:p>
        </w:tc>
        <w:tc>
          <w:tcPr>
            <w:tcW w:w="5440" w:type="dxa"/>
            <w:vMerge w:val="restart"/>
            <w:vAlign w:val="center"/>
          </w:tcPr>
          <w:p w14:paraId="6001E86E">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共治疗190例患者，有效190例，总有效率100%</w:t>
            </w:r>
          </w:p>
        </w:tc>
      </w:tr>
      <w:tr w14:paraId="4C1DD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Merge w:val="continue"/>
            <w:vAlign w:val="center"/>
          </w:tcPr>
          <w:p w14:paraId="12390A2C">
            <w:pPr>
              <w:pStyle w:val="33"/>
              <w:widowControl w:val="0"/>
              <w:spacing w:before="0" w:beforeLines="0" w:after="0" w:afterLines="0" w:line="400" w:lineRule="exact"/>
              <w:ind w:firstLine="0" w:firstLineChars="0"/>
              <w:rPr>
                <w:rFonts w:hint="eastAsia" w:ascii="仿宋_GB2312" w:eastAsia="仿宋_GB2312" w:cs="仿宋"/>
              </w:rPr>
            </w:pPr>
          </w:p>
        </w:tc>
        <w:tc>
          <w:tcPr>
            <w:tcW w:w="0" w:type="auto"/>
            <w:vAlign w:val="center"/>
          </w:tcPr>
          <w:p w14:paraId="3CA6C7BD">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2026</w:t>
            </w:r>
          </w:p>
        </w:tc>
        <w:tc>
          <w:tcPr>
            <w:tcW w:w="1300" w:type="dxa"/>
          </w:tcPr>
          <w:p w14:paraId="0248B37F">
            <w:pPr>
              <w:pStyle w:val="33"/>
              <w:widowControl w:val="0"/>
              <w:spacing w:before="0" w:beforeLines="0" w:after="0" w:afterLines="0" w:line="400" w:lineRule="exact"/>
              <w:ind w:firstLine="0" w:firstLineChars="0"/>
              <w:rPr>
                <w:rFonts w:hint="eastAsia" w:ascii="仿宋_GB2312" w:eastAsia="仿宋_GB2312" w:cs="仿宋"/>
              </w:rPr>
            </w:pPr>
            <w:r>
              <w:rPr>
                <w:rFonts w:hint="eastAsia" w:ascii="仿宋_GB2312" w:eastAsia="仿宋_GB2312" w:cs="仿宋"/>
              </w:rPr>
              <w:t>100</w:t>
            </w:r>
          </w:p>
        </w:tc>
        <w:tc>
          <w:tcPr>
            <w:tcW w:w="5440" w:type="dxa"/>
            <w:vMerge w:val="continue"/>
            <w:vAlign w:val="center"/>
          </w:tcPr>
          <w:p w14:paraId="1E342781">
            <w:pPr>
              <w:pStyle w:val="33"/>
              <w:widowControl w:val="0"/>
              <w:spacing w:before="0" w:beforeLines="0" w:after="0" w:afterLines="0" w:line="400" w:lineRule="exact"/>
              <w:ind w:firstLine="0" w:firstLineChars="0"/>
              <w:rPr>
                <w:rFonts w:hint="eastAsia" w:ascii="仿宋_GB2312" w:eastAsia="仿宋_GB2312" w:cs="仿宋"/>
              </w:rPr>
            </w:pPr>
          </w:p>
        </w:tc>
      </w:tr>
    </w:tbl>
    <w:p w14:paraId="73ACEC0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上述临床数据表明，超微可视化电子内窥镜引导下鼻肠管留置操作的总有效率超过80%。随着技术应用推广，各医院操作效果均呈稳步提升趋势：B医院有效率由2022年的80.6%提升至2025年的91.8%；C医院有效率由2024年的84.0%提升至2026年的96.9%；D医院连续两年实现100%的操作成功率。综上所述，该技术操作效果稳定、提升趋势显著，适用于各级医疗机构开展，具有良好的临床推广价值。</w:t>
      </w:r>
    </w:p>
    <w:p w14:paraId="4BE74FF6">
      <w:pPr>
        <w:pStyle w:val="35"/>
        <w:numPr>
          <w:ilvl w:val="0"/>
          <w:numId w:val="0"/>
        </w:numPr>
        <w:spacing w:beforeLines="0" w:afterLines="0" w:line="360" w:lineRule="auto"/>
        <w:ind w:firstLine="643" w:firstLineChars="200"/>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03F3699C">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本标准研制过程中无重大分歧意见。</w:t>
      </w:r>
    </w:p>
    <w:p w14:paraId="2C2745F6">
      <w:pPr>
        <w:autoSpaceDE w:val="0"/>
        <w:autoSpaceDN w:val="0"/>
        <w:adjustRightInd w:val="0"/>
        <w:spacing w:before="156" w:beforeLines="50" w:after="156" w:afterLines="50" w:line="520" w:lineRule="exact"/>
        <w:ind w:firstLine="640" w:firstLineChars="200"/>
        <w:outlineLvl w:val="0"/>
        <w:rPr>
          <w:rFonts w:eastAsia="黑体"/>
          <w:sz w:val="32"/>
          <w:szCs w:val="32"/>
        </w:rPr>
      </w:pPr>
      <w:r>
        <w:rPr>
          <w:rFonts w:hint="eastAsia" w:ascii="黑体" w:eastAsia="黑体"/>
          <w:bCs/>
          <w:sz w:val="32"/>
          <w:szCs w:val="32"/>
        </w:rPr>
        <w:t>七、</w:t>
      </w:r>
      <w:r>
        <w:rPr>
          <w:rFonts w:hint="eastAsia" w:eastAsia="黑体"/>
          <w:sz w:val="32"/>
          <w:szCs w:val="32"/>
        </w:rPr>
        <w:t>实施标准的措施</w:t>
      </w:r>
    </w:p>
    <w:p w14:paraId="79B3C25C">
      <w:pPr>
        <w:spacing w:line="500" w:lineRule="exact"/>
        <w:ind w:firstLine="562" w:firstLineChars="200"/>
        <w:rPr>
          <w:rFonts w:ascii="仿宋_GB2312" w:eastAsia="仿宋_GB2312" w:cs="仿宋_GB2312"/>
          <w:b/>
          <w:sz w:val="28"/>
          <w:szCs w:val="28"/>
        </w:rPr>
      </w:pPr>
      <w:r>
        <w:rPr>
          <w:rFonts w:hint="eastAsia" w:ascii="仿宋_GB2312" w:eastAsia="仿宋_GB2312" w:cs="仿宋_GB2312"/>
          <w:b/>
          <w:sz w:val="28"/>
          <w:szCs w:val="28"/>
        </w:rPr>
        <w:t>（一）标准报批发布后，成立标准宣贯工作组</w:t>
      </w:r>
    </w:p>
    <w:p w14:paraId="00343504">
      <w:pPr>
        <w:spacing w:line="500" w:lineRule="exact"/>
        <w:ind w:firstLine="560" w:firstLineChars="200"/>
        <w:rPr>
          <w:rFonts w:ascii="仿宋_GB2312" w:eastAsia="仿宋_GB2312"/>
          <w:sz w:val="28"/>
          <w:szCs w:val="28"/>
        </w:rPr>
      </w:pPr>
      <w:r>
        <w:rPr>
          <w:rFonts w:hint="eastAsia" w:ascii="仿宋_GB2312" w:eastAsia="仿宋_GB2312"/>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6DE29C03">
      <w:pPr>
        <w:spacing w:line="500" w:lineRule="exact"/>
        <w:ind w:firstLine="562" w:firstLineChars="200"/>
        <w:rPr>
          <w:rFonts w:ascii="仿宋_GB2312" w:eastAsia="仿宋_GB2312"/>
          <w:b/>
          <w:sz w:val="28"/>
          <w:szCs w:val="28"/>
        </w:rPr>
      </w:pPr>
      <w:r>
        <w:rPr>
          <w:rFonts w:hint="eastAsia" w:ascii="仿宋_GB2312" w:eastAsia="仿宋_GB2312"/>
          <w:b/>
          <w:sz w:val="28"/>
          <w:szCs w:val="28"/>
        </w:rPr>
        <w:t>（二）组织开展标准宣贯培训</w:t>
      </w:r>
    </w:p>
    <w:p w14:paraId="29881CD3">
      <w:pPr>
        <w:spacing w:line="500" w:lineRule="exact"/>
        <w:ind w:firstLine="560" w:firstLineChars="200"/>
        <w:rPr>
          <w:rFonts w:ascii="仿宋_GB2312" w:eastAsia="仿宋_GB2312"/>
          <w:sz w:val="28"/>
          <w:szCs w:val="28"/>
        </w:rPr>
      </w:pPr>
      <w:r>
        <w:rPr>
          <w:rFonts w:hint="eastAsia" w:ascii="仿宋_GB2312" w:eastAsia="仿宋_GB2312"/>
          <w:sz w:val="28"/>
          <w:szCs w:val="28"/>
        </w:rPr>
        <w:t>标准发布实施后，标准宣贯工作小组制作标准解读宣贯培训PPT课件和标准核心技术明白书，并按标准宣贯培训计划深入各医疗相关机构，对相关人员开展标准宣贯培训，对标准进行逐条解读，让相关人员掌握标准核心技术内容，助力标准实施落地，推动超微可视化电子内窥镜引导下鼻肠管留置高质量发展。</w:t>
      </w:r>
    </w:p>
    <w:p w14:paraId="65C68492">
      <w:pPr>
        <w:spacing w:line="500" w:lineRule="exact"/>
        <w:ind w:firstLine="562" w:firstLineChars="200"/>
        <w:rPr>
          <w:rFonts w:ascii="仿宋_GB2312" w:eastAsia="仿宋_GB2312"/>
          <w:b/>
          <w:sz w:val="28"/>
          <w:szCs w:val="28"/>
        </w:rPr>
      </w:pPr>
      <w:r>
        <w:rPr>
          <w:rFonts w:hint="eastAsia" w:ascii="仿宋_GB2312" w:eastAsia="仿宋_GB2312"/>
          <w:b/>
          <w:sz w:val="28"/>
          <w:szCs w:val="28"/>
        </w:rPr>
        <w:t>（三）开展标准实施交流会，收集标准实施反馈信息</w:t>
      </w:r>
    </w:p>
    <w:p w14:paraId="0BD8BE8B">
      <w:pPr>
        <w:spacing w:line="500" w:lineRule="exact"/>
        <w:ind w:firstLine="560" w:firstLineChars="200"/>
        <w:rPr>
          <w:rFonts w:ascii="仿宋_GB2312" w:eastAsia="仿宋_GB2312"/>
          <w:sz w:val="28"/>
          <w:szCs w:val="28"/>
        </w:rPr>
      </w:pPr>
      <w:r>
        <w:rPr>
          <w:rFonts w:hint="eastAsia" w:ascii="仿宋_GB2312" w:eastAsia="仿宋_GB2312"/>
          <w:sz w:val="28"/>
          <w:szCs w:val="28"/>
        </w:rPr>
        <w:t>标准起草小组深入各医疗相关机构组织相关人员召开标准实施交流会，听取标准实施过程中存在的问题并做好记录和解答，对存在的问题组织专家团队进行研讨，为标准的复审修订做准备。</w:t>
      </w:r>
    </w:p>
    <w:p w14:paraId="15128462">
      <w:pPr>
        <w:spacing w:line="500" w:lineRule="exact"/>
        <w:ind w:firstLine="562" w:firstLineChars="200"/>
        <w:rPr>
          <w:rFonts w:ascii="仿宋_GB2312" w:eastAsia="仿宋_GB2312"/>
          <w:b/>
          <w:sz w:val="28"/>
          <w:szCs w:val="28"/>
        </w:rPr>
      </w:pPr>
      <w:r>
        <w:rPr>
          <w:rFonts w:hint="eastAsia" w:ascii="仿宋_GB2312" w:eastAsia="仿宋_GB2312"/>
          <w:b/>
          <w:sz w:val="28"/>
          <w:szCs w:val="28"/>
        </w:rPr>
        <w:t>（四）开展标准实施效果评估</w:t>
      </w:r>
    </w:p>
    <w:p w14:paraId="026D6BB0">
      <w:pPr>
        <w:spacing w:line="500" w:lineRule="exact"/>
        <w:ind w:firstLine="560" w:firstLineChars="200"/>
        <w:rPr>
          <w:rFonts w:ascii="仿宋_GB2312" w:eastAsia="仿宋_GB2312"/>
          <w:sz w:val="28"/>
          <w:szCs w:val="28"/>
        </w:rPr>
      </w:pPr>
      <w:r>
        <w:rPr>
          <w:rFonts w:hint="eastAsia" w:ascii="仿宋_GB2312" w:eastAsia="仿宋_GB2312"/>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AC8E860">
      <w:pPr>
        <w:spacing w:before="240" w:after="60" w:line="520" w:lineRule="exact"/>
        <w:ind w:firstLine="640" w:firstLineChars="200"/>
        <w:outlineLvl w:val="0"/>
        <w:rPr>
          <w:rFonts w:ascii="黑体" w:eastAsia="黑体"/>
          <w:bCs/>
          <w:sz w:val="32"/>
          <w:szCs w:val="32"/>
        </w:rPr>
      </w:pPr>
      <w:r>
        <w:rPr>
          <w:rFonts w:hint="eastAsia" w:ascii="黑体" w:eastAsia="黑体"/>
          <w:bCs/>
          <w:sz w:val="32"/>
          <w:szCs w:val="32"/>
        </w:rPr>
        <w:t>八、其他应当说明的事项</w:t>
      </w:r>
    </w:p>
    <w:p w14:paraId="48876F83">
      <w:pPr>
        <w:spacing w:line="520" w:lineRule="exact"/>
        <w:ind w:firstLine="560" w:firstLineChars="200"/>
        <w:rPr>
          <w:rFonts w:ascii="仿宋_GB2312" w:eastAsia="仿宋_GB2312"/>
          <w:sz w:val="28"/>
          <w:szCs w:val="28"/>
        </w:rPr>
      </w:pPr>
      <w:r>
        <w:rPr>
          <w:rFonts w:hint="eastAsia" w:ascii="仿宋_GB2312" w:eastAsia="仿宋_GB2312"/>
          <w:sz w:val="28"/>
          <w:szCs w:val="28"/>
        </w:rPr>
        <w:t>无。</w:t>
      </w:r>
    </w:p>
    <w:p w14:paraId="0ECDCDC2">
      <w:pPr>
        <w:autoSpaceDE w:val="0"/>
        <w:autoSpaceDN w:val="0"/>
        <w:adjustRightInd w:val="0"/>
        <w:spacing w:before="156" w:beforeLines="50" w:after="156" w:afterLines="50" w:line="520" w:lineRule="exact"/>
        <w:ind w:firstLine="640"/>
        <w:outlineLvl w:val="0"/>
        <w:rPr>
          <w:rFonts w:eastAsia="黑体"/>
          <w:sz w:val="32"/>
          <w:szCs w:val="32"/>
        </w:rPr>
      </w:pPr>
      <w:r>
        <w:rPr>
          <w:rFonts w:hint="eastAsia" w:eastAsia="黑体"/>
          <w:sz w:val="32"/>
          <w:szCs w:val="32"/>
        </w:rPr>
        <w:t>九、自我承诺</w:t>
      </w:r>
    </w:p>
    <w:p w14:paraId="085B44CD">
      <w:pPr>
        <w:spacing w:line="520" w:lineRule="exact"/>
        <w:ind w:firstLine="560" w:firstLineChars="200"/>
        <w:rPr>
          <w:rFonts w:ascii="仿宋_GB2312" w:eastAsia="仿宋_GB2312"/>
          <w:sz w:val="28"/>
          <w:szCs w:val="28"/>
        </w:rPr>
      </w:pPr>
      <w:r>
        <w:rPr>
          <w:rFonts w:hint="eastAsia" w:ascii="仿宋_GB2312" w:eastAsia="仿宋_GB2312"/>
          <w:sz w:val="28"/>
          <w:szCs w:val="28"/>
        </w:rPr>
        <w:t>该标准的内容符合国家相关法律法规，技术要求不低于强制性国家标准的相关技术要求，与相关的国家、行业推荐性标准协调一致，标准的编写符合GB/T 1.1-2020的要求。</w:t>
      </w:r>
    </w:p>
    <w:p w14:paraId="306B1E3A">
      <w:pPr>
        <w:pStyle w:val="26"/>
        <w:rPr>
          <w:rFonts w:ascii="仿宋_GB2312" w:eastAsia="仿宋_GB2312"/>
          <w:sz w:val="28"/>
          <w:szCs w:val="28"/>
        </w:rPr>
      </w:pPr>
    </w:p>
    <w:p w14:paraId="187361ED">
      <w:pPr>
        <w:spacing w:before="240" w:after="60" w:line="520" w:lineRule="exact"/>
        <w:ind w:firstLine="1120" w:firstLineChars="400"/>
        <w:outlineLvl w:val="0"/>
        <w:rPr>
          <w:rFonts w:ascii="仿宋_GB2312" w:eastAsia="仿宋_GB2312"/>
          <w:sz w:val="28"/>
          <w:szCs w:val="28"/>
        </w:rPr>
      </w:pPr>
      <w:r>
        <w:rPr>
          <w:rFonts w:hint="eastAsia" w:ascii="仿宋_GB2312" w:eastAsia="仿宋_GB2312"/>
          <w:sz w:val="28"/>
          <w:szCs w:val="28"/>
        </w:rPr>
        <w:t>团体标准《超微可视化电子内窥镜引导下鼻肠管留置操作规范》</w:t>
      </w:r>
    </w:p>
    <w:p w14:paraId="1D80862F">
      <w:pPr>
        <w:spacing w:line="520" w:lineRule="exact"/>
        <w:ind w:right="1120"/>
        <w:jc w:val="center"/>
        <w:rPr>
          <w:rFonts w:ascii="仿宋_GB2312" w:eastAsia="仿宋_GB2312"/>
          <w:sz w:val="28"/>
          <w:szCs w:val="28"/>
        </w:rPr>
      </w:pPr>
      <w:r>
        <w:rPr>
          <w:rFonts w:hint="eastAsia" w:ascii="仿宋_GB2312" w:eastAsia="仿宋_GB2312"/>
          <w:sz w:val="28"/>
          <w:szCs w:val="28"/>
        </w:rPr>
        <w:t xml:space="preserve">                   标准编制工作组</w:t>
      </w:r>
    </w:p>
    <w:p w14:paraId="240BB7C1">
      <w:pPr>
        <w:spacing w:line="520" w:lineRule="exact"/>
        <w:ind w:firstLine="640" w:firstLineChars="200"/>
        <w:rPr>
          <w:rFonts w:ascii="仿宋_GB2312" w:eastAsia="仿宋_GB2312"/>
          <w:sz w:val="28"/>
          <w:szCs w:val="28"/>
        </w:rPr>
      </w:pPr>
      <w:r>
        <w:rPr>
          <w:rFonts w:hint="eastAsia" w:ascii="仿宋_GB2312" w:eastAsia="仿宋_GB2312"/>
          <w:sz w:val="32"/>
          <w:szCs w:val="28"/>
        </w:rPr>
        <w:t xml:space="preserve">                      </w:t>
      </w:r>
      <w:r>
        <w:rPr>
          <w:rFonts w:hint="eastAsia" w:ascii="仿宋_GB2312" w:eastAsia="仿宋_GB2312"/>
          <w:sz w:val="28"/>
          <w:szCs w:val="28"/>
        </w:rPr>
        <w:t>2026年3月2</w:t>
      </w:r>
      <w:r>
        <w:rPr>
          <w:rFonts w:hint="eastAsia" w:ascii="仿宋_GB2312" w:eastAsia="仿宋_GB2312"/>
          <w:sz w:val="28"/>
          <w:szCs w:val="28"/>
          <w:lang w:val="en-US" w:eastAsia="zh-CN"/>
        </w:rPr>
        <w:t>7</w:t>
      </w:r>
      <w:bookmarkStart w:id="1" w:name="_GoBack"/>
      <w:bookmarkEnd w:id="1"/>
      <w:r>
        <w:rPr>
          <w:rFonts w:hint="eastAsia" w:ascii="仿宋_GB2312" w:eastAsia="仿宋_GB2312"/>
          <w:sz w:val="28"/>
          <w:szCs w:val="28"/>
        </w:rPr>
        <w:t>日</w:t>
      </w:r>
    </w:p>
    <w:sectPr>
      <w:footerReference r:id="rId3" w:type="default"/>
      <w:pgSz w:w="11906" w:h="16838"/>
      <w:pgMar w:top="1474" w:right="1474" w:bottom="1474" w:left="147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095EB05-F912-413A-9ECF-35C8991478E5}"/>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等线 Light">
    <w:altName w:val="宋体"/>
    <w:panose1 w:val="02010600030101010101"/>
    <w:charset w:val="86"/>
    <w:family w:val="auto"/>
    <w:pitch w:val="default"/>
    <w:sig w:usb0="00000000" w:usb1="00000000" w:usb2="00000016" w:usb3="00000000" w:csb0="0004000F" w:csb1="00000000"/>
  </w:font>
  <w:font w:name="方正小标宋简体">
    <w:panose1 w:val="03000509000000000000"/>
    <w:charset w:val="86"/>
    <w:family w:val="auto"/>
    <w:pitch w:val="default"/>
    <w:sig w:usb0="00000001" w:usb1="080E0000" w:usb2="00000000" w:usb3="00000000" w:csb0="00040000" w:csb1="00000000"/>
    <w:embedRegular r:id="rId2" w:fontKey="{FB1BCD7B-BC4E-474E-A516-C0C45933C620}"/>
  </w:font>
  <w:font w:name="微软雅黑">
    <w:panose1 w:val="020B0503020204020204"/>
    <w:charset w:val="86"/>
    <w:family w:val="swiss"/>
    <w:pitch w:val="default"/>
    <w:sig w:usb0="80000287" w:usb1="280F3C52" w:usb2="00000016" w:usb3="00000000" w:csb0="0004001F" w:csb1="00000000"/>
    <w:embedRegular r:id="rId3" w:fontKey="{7E1FA2F1-4F9E-4006-A923-AC89CA301B32}"/>
  </w:font>
  <w:font w:name="仿宋_GB2312">
    <w:panose1 w:val="02010609030101010101"/>
    <w:charset w:val="86"/>
    <w:family w:val="modern"/>
    <w:pitch w:val="default"/>
    <w:sig w:usb0="00000001" w:usb1="080E0000" w:usb2="00000000" w:usb3="00000000" w:csb0="00040000" w:csb1="00000000"/>
    <w:embedRegular r:id="rId4" w:fontKey="{1FF5010A-1F65-4BC2-86D5-B4D59D948163}"/>
  </w:font>
  <w:font w:name="仿宋">
    <w:panose1 w:val="02010609060101010101"/>
    <w:charset w:val="86"/>
    <w:family w:val="modern"/>
    <w:pitch w:val="default"/>
    <w:sig w:usb0="800002BF" w:usb1="38CF7CFA" w:usb2="00000016" w:usb3="00000000" w:csb0="00040001" w:csb1="00000000"/>
    <w:embedRegular r:id="rId5" w:fontKey="{95A3B9B5-8554-48DF-AC3B-BBA12F9E8A64}"/>
  </w:font>
  <w:font w:name="Tahoma">
    <w:panose1 w:val="020B0604030504040204"/>
    <w:charset w:val="00"/>
    <w:family w:val="auto"/>
    <w:pitch w:val="default"/>
    <w:sig w:usb0="E1002EFF" w:usb1="C000605B" w:usb2="00000029" w:usb3="00000000" w:csb0="200101FF" w:csb1="20280000"/>
  </w:font>
  <w:font w:name="Cambria Math">
    <w:panose1 w:val="02040503050406030204"/>
    <w:charset w:val="00"/>
    <w:family w:val="auto"/>
    <w:pitch w:val="variable"/>
    <w:sig w:usb0="E00002FF" w:usb1="420024FF" w:usb2="00000000" w:usb3="00000000" w:csb0="2000019F" w:csb1="00000000"/>
  </w:font>
  <w:font w:name="@宋体">
    <w:panose1 w:val="02010600030101010101"/>
    <w:charset w:val="86"/>
    <w:family w:val="auto"/>
    <w:pitch w:val="variable"/>
    <w:sig w:usb0="00000003" w:usb1="288F0000" w:usb2="00000006" w:usb3="00000000" w:csb0="00040001" w:csb1="00000000"/>
  </w:font>
  <w:font w:name="Segoe UI">
    <w:panose1 w:val="020B0502040204020203"/>
    <w:charset w:val="00"/>
    <w:family w:val="auto"/>
    <w:pitch w:val="default"/>
    <w:sig w:usb0="E10022FF" w:usb1="C000E47F" w:usb2="00000029" w:usb3="00000000" w:csb0="200001DF" w:csb1="2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FE1AE3">
    <w:pPr>
      <w:pStyle w:val="9"/>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5E0811C8">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5E0811C8">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4"/>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A333FDA2"/>
    <w:multiLevelType w:val="multilevel"/>
    <w:tmpl w:val="A333FDA2"/>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pStyle w:val="60"/>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B16E2ACE"/>
    <w:multiLevelType w:val="multilevel"/>
    <w:tmpl w:val="B16E2ACE"/>
    <w:lvl w:ilvl="0" w:tentative="0">
      <w:start w:val="1"/>
      <w:numFmt w:val="upperLetter"/>
      <w:suff w:val="nothing"/>
      <w:lvlText w:val="附录%1"/>
      <w:lvlJc w:val="left"/>
      <w:pPr>
        <w:ind w:left="0" w:firstLine="0"/>
      </w:pPr>
      <w:rPr>
        <w:spacing w:val="100"/>
      </w:rPr>
    </w:lvl>
    <w:lvl w:ilvl="1" w:tentative="0">
      <w:start w:val="1"/>
      <w:numFmt w:val="decimal"/>
      <w:pStyle w:val="65"/>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pPr>
      <w:rPr>
        <w:rFonts w:hint="eastAsia" w:ascii="黑体" w:hAnsi="Times New Roman" w:eastAsia="黑体" w:cs="黑体"/>
        <w:b w:val="0"/>
        <w:i w:val="0"/>
        <w:sz w:val="21"/>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BA7B8511"/>
    <w:multiLevelType w:val="multilevel"/>
    <w:tmpl w:val="BA7B8511"/>
    <w:lvl w:ilvl="0" w:tentative="0">
      <w:start w:val="1"/>
      <w:numFmt w:val="decimal"/>
      <w:pStyle w:val="61"/>
      <w:suff w:val="nothing"/>
      <w:lvlText w:val="注%1："/>
      <w:lvlJc w:val="left"/>
      <w:pPr>
        <w:ind w:left="811" w:hanging="448"/>
      </w:pPr>
      <w:rPr>
        <w:rFonts w:hint="eastAsia" w:ascii="黑体" w:hAnsi="Times New Roman" w:eastAsia="黑体" w:cs="黑体"/>
        <w:b w:val="0"/>
        <w:i w:val="0"/>
        <w:sz w:val="18"/>
      </w:rPr>
    </w:lvl>
    <w:lvl w:ilvl="1" w:tentative="0">
      <w:start w:val="1"/>
      <w:numFmt w:val="lowerLetter"/>
      <w:lvlText w:val="%2)"/>
      <w:lvlJc w:val="left"/>
      <w:pPr>
        <w:tabs>
          <w:tab w:val="left" w:pos="0"/>
        </w:tabs>
        <w:ind w:left="992" w:hanging="629"/>
      </w:pPr>
    </w:lvl>
    <w:lvl w:ilvl="2" w:tentative="0">
      <w:start w:val="1"/>
      <w:numFmt w:val="lowerRoman"/>
      <w:lvlText w:val="%3."/>
      <w:lvlJc w:val="right"/>
      <w:pPr>
        <w:tabs>
          <w:tab w:val="left" w:pos="0"/>
        </w:tabs>
        <w:ind w:left="992" w:hanging="629"/>
      </w:pPr>
    </w:lvl>
    <w:lvl w:ilvl="3" w:tentative="0">
      <w:start w:val="1"/>
      <w:numFmt w:val="decimal"/>
      <w:lvlText w:val="%4."/>
      <w:lvlJc w:val="left"/>
      <w:pPr>
        <w:tabs>
          <w:tab w:val="left" w:pos="0"/>
        </w:tabs>
        <w:ind w:left="992" w:hanging="629"/>
      </w:pPr>
    </w:lvl>
    <w:lvl w:ilvl="4" w:tentative="0">
      <w:start w:val="1"/>
      <w:numFmt w:val="lowerLetter"/>
      <w:lvlText w:val="%5)"/>
      <w:lvlJc w:val="left"/>
      <w:pPr>
        <w:tabs>
          <w:tab w:val="left" w:pos="0"/>
        </w:tabs>
        <w:ind w:left="992" w:hanging="629"/>
      </w:pPr>
    </w:lvl>
    <w:lvl w:ilvl="5" w:tentative="0">
      <w:start w:val="1"/>
      <w:numFmt w:val="lowerRoman"/>
      <w:lvlText w:val="%6."/>
      <w:lvlJc w:val="right"/>
      <w:pPr>
        <w:tabs>
          <w:tab w:val="left" w:pos="0"/>
        </w:tabs>
        <w:ind w:left="992" w:hanging="629"/>
      </w:pPr>
    </w:lvl>
    <w:lvl w:ilvl="6" w:tentative="0">
      <w:start w:val="1"/>
      <w:numFmt w:val="decimal"/>
      <w:lvlText w:val="%7."/>
      <w:lvlJc w:val="left"/>
      <w:pPr>
        <w:tabs>
          <w:tab w:val="left" w:pos="0"/>
        </w:tabs>
        <w:ind w:left="992" w:hanging="629"/>
      </w:pPr>
    </w:lvl>
    <w:lvl w:ilvl="7" w:tentative="0">
      <w:start w:val="1"/>
      <w:numFmt w:val="lowerLetter"/>
      <w:lvlText w:val="%8)"/>
      <w:lvlJc w:val="left"/>
      <w:pPr>
        <w:tabs>
          <w:tab w:val="left" w:pos="0"/>
        </w:tabs>
        <w:ind w:left="992" w:hanging="629"/>
      </w:pPr>
    </w:lvl>
    <w:lvl w:ilvl="8" w:tentative="0">
      <w:start w:val="1"/>
      <w:numFmt w:val="lowerRoman"/>
      <w:lvlText w:val="%9."/>
      <w:lvlJc w:val="right"/>
      <w:pPr>
        <w:tabs>
          <w:tab w:val="left" w:pos="0"/>
        </w:tabs>
        <w:ind w:left="992" w:hanging="629"/>
      </w:pPr>
    </w:lvl>
  </w:abstractNum>
  <w:abstractNum w:abstractNumId="4">
    <w:nsid w:val="F947AA72"/>
    <w:multiLevelType w:val="multilevel"/>
    <w:tmpl w:val="F947AA72"/>
    <w:lvl w:ilvl="0" w:tentative="0">
      <w:start w:val="1"/>
      <w:numFmt w:val="upperLetter"/>
      <w:suff w:val="space"/>
      <w:lvlText w:val="%1"/>
      <w:lvlJc w:val="left"/>
      <w:pPr>
        <w:ind w:left="425" w:hanging="425"/>
      </w:pPr>
    </w:lvl>
    <w:lvl w:ilvl="1" w:tentative="0">
      <w:start w:val="1"/>
      <w:numFmt w:val="decimal"/>
      <w:pStyle w:val="63"/>
      <w:suff w:val="space"/>
      <w:lvlText w:val="表%1.%2"/>
      <w:lvlJc w:val="center"/>
      <w:pPr>
        <w:ind w:left="0" w:firstLine="0"/>
      </w:pPr>
      <w:rPr>
        <w:rFonts w:hint="eastAsia" w:ascii="黑体" w:hAnsi="Times New Roman" w:eastAsia="黑体" w:cs="黑体"/>
        <w:sz w:val="21"/>
      </w:r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5"/>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5">
    <w:nsid w:val="0FFFFF7E"/>
    <w:multiLevelType w:val="singleLevel"/>
    <w:tmpl w:val="0FFFFF7E"/>
    <w:lvl w:ilvl="0" w:tentative="0">
      <w:start w:val="1"/>
      <w:numFmt w:val="decimal"/>
      <w:lvlText w:val="%1."/>
      <w:lvlJc w:val="left"/>
      <w:pPr>
        <w:tabs>
          <w:tab w:val="left" w:pos="1200"/>
        </w:tabs>
        <w:ind w:left="1200" w:hanging="360"/>
      </w:pPr>
    </w:lvl>
  </w:abstractNum>
  <w:abstractNum w:abstractNumId="6">
    <w:nsid w:val="0FFFFF7F"/>
    <w:multiLevelType w:val="singleLevel"/>
    <w:tmpl w:val="0FFFFF7F"/>
    <w:lvl w:ilvl="0" w:tentative="0">
      <w:start w:val="1"/>
      <w:numFmt w:val="decimal"/>
      <w:lvlText w:val="%1."/>
      <w:lvlJc w:val="left"/>
      <w:pPr>
        <w:tabs>
          <w:tab w:val="left" w:pos="780"/>
        </w:tabs>
        <w:ind w:left="780" w:hanging="360"/>
      </w:pPr>
    </w:lvl>
  </w:abstractNum>
  <w:abstractNum w:abstractNumId="7">
    <w:nsid w:val="2C5917C3"/>
    <w:multiLevelType w:val="multilevel"/>
    <w:tmpl w:val="2C5917C3"/>
    <w:lvl w:ilvl="0" w:tentative="0">
      <w:start w:val="1"/>
      <w:numFmt w:val="none"/>
      <w:pStyle w:val="58"/>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8">
    <w:nsid w:val="44C50F90"/>
    <w:multiLevelType w:val="multilevel"/>
    <w:tmpl w:val="44C50F90"/>
    <w:lvl w:ilvl="0" w:tentative="0">
      <w:start w:val="1"/>
      <w:numFmt w:val="lowerLetter"/>
      <w:pStyle w:val="53"/>
      <w:lvlText w:val="%1)"/>
      <w:lvlJc w:val="left"/>
      <w:pPr>
        <w:tabs>
          <w:tab w:val="left" w:pos="851"/>
        </w:tabs>
        <w:ind w:left="851" w:hanging="426"/>
      </w:pPr>
      <w:rPr>
        <w:rFonts w:hint="eastAsia" w:ascii="宋体" w:hAnsi="Times New Roman" w:eastAsia="宋体"/>
        <w:sz w:val="21"/>
      </w:rPr>
    </w:lvl>
    <w:lvl w:ilvl="1" w:tentative="0">
      <w:start w:val="1"/>
      <w:numFmt w:val="decimal"/>
      <w:pStyle w:val="51"/>
      <w:lvlText w:val="%2)"/>
      <w:lvlJc w:val="left"/>
      <w:pPr>
        <w:tabs>
          <w:tab w:val="left" w:pos="1276"/>
        </w:tabs>
        <w:ind w:left="1276" w:hanging="425"/>
      </w:pPr>
      <w:rPr>
        <w:rFonts w:hint="eastAsia" w:ascii="宋体" w:hAnsi="Times New Roman" w:eastAsia="宋体"/>
        <w:sz w:val="21"/>
      </w:rPr>
    </w:lvl>
    <w:lvl w:ilvl="2" w:tentative="0">
      <w:start w:val="1"/>
      <w:numFmt w:val="decimal"/>
      <w:pStyle w:val="52"/>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9">
    <w:nsid w:val="5A9B6960"/>
    <w:multiLevelType w:val="multilevel"/>
    <w:tmpl w:val="5A9B6960"/>
    <w:lvl w:ilvl="0" w:tentative="0">
      <w:start w:val="1"/>
      <w:numFmt w:val="none"/>
      <w:pStyle w:val="41"/>
      <w:suff w:val="nothing"/>
      <w:lvlText w:val="%1"/>
      <w:legacy w:legacy="1" w:legacySpace="0" w:legacyIndent="0"/>
      <w:lvlJc w:val="left"/>
      <w:pPr>
        <w:ind w:left="0" w:firstLine="0"/>
      </w:pPr>
      <w:rPr>
        <w:rFonts w:hint="eastAsia"/>
      </w:rPr>
    </w:lvl>
    <w:lvl w:ilvl="1" w:tentative="0">
      <w:start w:val="1"/>
      <w:numFmt w:val="decimal"/>
      <w:pStyle w:val="35"/>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7"/>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43"/>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42"/>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40"/>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num w:numId="1">
    <w:abstractNumId w:val="9"/>
  </w:num>
  <w:num w:numId="2">
    <w:abstractNumId w:val="0"/>
  </w:num>
  <w:num w:numId="3">
    <w:abstractNumId w:val="6"/>
  </w:num>
  <w:num w:numId="4">
    <w:abstractNumId w:val="5"/>
  </w:num>
  <w:num w:numId="5">
    <w:abstractNumId w:val="8"/>
  </w:num>
  <w:num w:numId="6">
    <w:abstractNumId w:val="7"/>
  </w:num>
  <w:num w:numId="7">
    <w:abstractNumId w:val="1"/>
  </w:num>
  <w:num w:numId="8">
    <w:abstractNumId w:val="3"/>
  </w:num>
  <w:num w:numId="9">
    <w:abstractNumId w:val="4"/>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U0OWNhMGUyYzc2MTI5ZWY2NzM4MTVkMDAwODg0YzMifQ=="/>
  </w:docVars>
  <w:rsids>
    <w:rsidRoot w:val="000D75AA"/>
    <w:rsid w:val="000068A2"/>
    <w:rsid w:val="00014983"/>
    <w:rsid w:val="000178C8"/>
    <w:rsid w:val="00022F61"/>
    <w:rsid w:val="00043782"/>
    <w:rsid w:val="00051BC1"/>
    <w:rsid w:val="00055442"/>
    <w:rsid w:val="000678FF"/>
    <w:rsid w:val="00072103"/>
    <w:rsid w:val="00075653"/>
    <w:rsid w:val="0008200B"/>
    <w:rsid w:val="00082613"/>
    <w:rsid w:val="000A2817"/>
    <w:rsid w:val="000C517B"/>
    <w:rsid w:val="000D75AA"/>
    <w:rsid w:val="000E53EA"/>
    <w:rsid w:val="001133E6"/>
    <w:rsid w:val="00142D19"/>
    <w:rsid w:val="00162878"/>
    <w:rsid w:val="001655CC"/>
    <w:rsid w:val="0018012C"/>
    <w:rsid w:val="001821C9"/>
    <w:rsid w:val="001A7570"/>
    <w:rsid w:val="001C58D4"/>
    <w:rsid w:val="001D3156"/>
    <w:rsid w:val="001D4C84"/>
    <w:rsid w:val="001E2D73"/>
    <w:rsid w:val="001E6087"/>
    <w:rsid w:val="0020127F"/>
    <w:rsid w:val="00205352"/>
    <w:rsid w:val="00205EF7"/>
    <w:rsid w:val="002210B4"/>
    <w:rsid w:val="0022236C"/>
    <w:rsid w:val="002227B6"/>
    <w:rsid w:val="002324B6"/>
    <w:rsid w:val="00234F7D"/>
    <w:rsid w:val="00236909"/>
    <w:rsid w:val="00236EB4"/>
    <w:rsid w:val="00241F8A"/>
    <w:rsid w:val="00281F39"/>
    <w:rsid w:val="0028500C"/>
    <w:rsid w:val="002879F6"/>
    <w:rsid w:val="002905CF"/>
    <w:rsid w:val="00292F73"/>
    <w:rsid w:val="0029554A"/>
    <w:rsid w:val="002A3479"/>
    <w:rsid w:val="002B7C92"/>
    <w:rsid w:val="002D5187"/>
    <w:rsid w:val="002D530A"/>
    <w:rsid w:val="002E357A"/>
    <w:rsid w:val="002F2059"/>
    <w:rsid w:val="00301664"/>
    <w:rsid w:val="00321E92"/>
    <w:rsid w:val="003223ED"/>
    <w:rsid w:val="003259AF"/>
    <w:rsid w:val="003332BA"/>
    <w:rsid w:val="00337000"/>
    <w:rsid w:val="00340D9B"/>
    <w:rsid w:val="003421C0"/>
    <w:rsid w:val="003517E7"/>
    <w:rsid w:val="00372E66"/>
    <w:rsid w:val="00375933"/>
    <w:rsid w:val="00382E35"/>
    <w:rsid w:val="00396F2C"/>
    <w:rsid w:val="003B4DDD"/>
    <w:rsid w:val="003D06F2"/>
    <w:rsid w:val="003D485E"/>
    <w:rsid w:val="00426DC5"/>
    <w:rsid w:val="004373E9"/>
    <w:rsid w:val="0044036C"/>
    <w:rsid w:val="0044065E"/>
    <w:rsid w:val="004805DB"/>
    <w:rsid w:val="0048511D"/>
    <w:rsid w:val="004A75FF"/>
    <w:rsid w:val="004B4D68"/>
    <w:rsid w:val="004F29B4"/>
    <w:rsid w:val="00515B82"/>
    <w:rsid w:val="0051755E"/>
    <w:rsid w:val="005244B1"/>
    <w:rsid w:val="00533B2A"/>
    <w:rsid w:val="00554B7D"/>
    <w:rsid w:val="00564A0C"/>
    <w:rsid w:val="005A1D9D"/>
    <w:rsid w:val="005C6C34"/>
    <w:rsid w:val="005D6C77"/>
    <w:rsid w:val="005E3C13"/>
    <w:rsid w:val="005E7B33"/>
    <w:rsid w:val="005F1668"/>
    <w:rsid w:val="005F2FD2"/>
    <w:rsid w:val="005F4961"/>
    <w:rsid w:val="00617B08"/>
    <w:rsid w:val="00627AB4"/>
    <w:rsid w:val="006335ED"/>
    <w:rsid w:val="006343EC"/>
    <w:rsid w:val="0063539D"/>
    <w:rsid w:val="006360BD"/>
    <w:rsid w:val="00636EA7"/>
    <w:rsid w:val="00637F53"/>
    <w:rsid w:val="006511A8"/>
    <w:rsid w:val="0067378F"/>
    <w:rsid w:val="00691000"/>
    <w:rsid w:val="00691560"/>
    <w:rsid w:val="006B0BA0"/>
    <w:rsid w:val="006B12C0"/>
    <w:rsid w:val="006F2543"/>
    <w:rsid w:val="00714DDE"/>
    <w:rsid w:val="00727452"/>
    <w:rsid w:val="0074491A"/>
    <w:rsid w:val="007557E4"/>
    <w:rsid w:val="00756356"/>
    <w:rsid w:val="007643FB"/>
    <w:rsid w:val="00774434"/>
    <w:rsid w:val="007756AB"/>
    <w:rsid w:val="00781D6C"/>
    <w:rsid w:val="00784DBC"/>
    <w:rsid w:val="007A149B"/>
    <w:rsid w:val="007B46C1"/>
    <w:rsid w:val="007C244C"/>
    <w:rsid w:val="007E6054"/>
    <w:rsid w:val="007F29ED"/>
    <w:rsid w:val="00801A7F"/>
    <w:rsid w:val="00814260"/>
    <w:rsid w:val="00817F67"/>
    <w:rsid w:val="008247C4"/>
    <w:rsid w:val="00826BFA"/>
    <w:rsid w:val="00853F5C"/>
    <w:rsid w:val="008572EE"/>
    <w:rsid w:val="00874BB5"/>
    <w:rsid w:val="008779C2"/>
    <w:rsid w:val="00880107"/>
    <w:rsid w:val="00884366"/>
    <w:rsid w:val="00887632"/>
    <w:rsid w:val="00895F4A"/>
    <w:rsid w:val="008973E6"/>
    <w:rsid w:val="008B1DEA"/>
    <w:rsid w:val="008B6B5F"/>
    <w:rsid w:val="008D0CB2"/>
    <w:rsid w:val="008E1EB5"/>
    <w:rsid w:val="00926E1B"/>
    <w:rsid w:val="00932BA3"/>
    <w:rsid w:val="00947EBA"/>
    <w:rsid w:val="009718CC"/>
    <w:rsid w:val="009A4141"/>
    <w:rsid w:val="009B7918"/>
    <w:rsid w:val="009D4877"/>
    <w:rsid w:val="009E3161"/>
    <w:rsid w:val="00A06B7F"/>
    <w:rsid w:val="00A16A3E"/>
    <w:rsid w:val="00A263D3"/>
    <w:rsid w:val="00A365A2"/>
    <w:rsid w:val="00A368A3"/>
    <w:rsid w:val="00A37FDF"/>
    <w:rsid w:val="00A42C5E"/>
    <w:rsid w:val="00A47FB7"/>
    <w:rsid w:val="00A75476"/>
    <w:rsid w:val="00A87F41"/>
    <w:rsid w:val="00A95A00"/>
    <w:rsid w:val="00AB5B3D"/>
    <w:rsid w:val="00AC57C3"/>
    <w:rsid w:val="00AD0172"/>
    <w:rsid w:val="00AE408C"/>
    <w:rsid w:val="00B036AC"/>
    <w:rsid w:val="00B0429D"/>
    <w:rsid w:val="00B051B4"/>
    <w:rsid w:val="00B07A8A"/>
    <w:rsid w:val="00B3173E"/>
    <w:rsid w:val="00B66676"/>
    <w:rsid w:val="00B73416"/>
    <w:rsid w:val="00B77477"/>
    <w:rsid w:val="00B91573"/>
    <w:rsid w:val="00B94EFE"/>
    <w:rsid w:val="00B954B8"/>
    <w:rsid w:val="00BA570D"/>
    <w:rsid w:val="00BB6932"/>
    <w:rsid w:val="00BB7B52"/>
    <w:rsid w:val="00BD2990"/>
    <w:rsid w:val="00C06762"/>
    <w:rsid w:val="00C07069"/>
    <w:rsid w:val="00C1104E"/>
    <w:rsid w:val="00C123EE"/>
    <w:rsid w:val="00C13CB6"/>
    <w:rsid w:val="00C20386"/>
    <w:rsid w:val="00CC71EF"/>
    <w:rsid w:val="00CE7CD2"/>
    <w:rsid w:val="00D0457A"/>
    <w:rsid w:val="00D35977"/>
    <w:rsid w:val="00D43F5A"/>
    <w:rsid w:val="00D8569E"/>
    <w:rsid w:val="00D87F07"/>
    <w:rsid w:val="00D9142A"/>
    <w:rsid w:val="00D9735E"/>
    <w:rsid w:val="00DB7F6F"/>
    <w:rsid w:val="00DD5A6C"/>
    <w:rsid w:val="00DF4FB8"/>
    <w:rsid w:val="00E07E23"/>
    <w:rsid w:val="00E1324A"/>
    <w:rsid w:val="00E27034"/>
    <w:rsid w:val="00E32D4B"/>
    <w:rsid w:val="00E40372"/>
    <w:rsid w:val="00E41116"/>
    <w:rsid w:val="00E414EF"/>
    <w:rsid w:val="00E455A5"/>
    <w:rsid w:val="00E835A1"/>
    <w:rsid w:val="00E83E2D"/>
    <w:rsid w:val="00E843B2"/>
    <w:rsid w:val="00ED41E5"/>
    <w:rsid w:val="00ED6D6B"/>
    <w:rsid w:val="00EE332B"/>
    <w:rsid w:val="00EF4610"/>
    <w:rsid w:val="00EF6CB2"/>
    <w:rsid w:val="00F01A5C"/>
    <w:rsid w:val="00F1246B"/>
    <w:rsid w:val="00F40513"/>
    <w:rsid w:val="00F424A9"/>
    <w:rsid w:val="00F5729F"/>
    <w:rsid w:val="00F60EA9"/>
    <w:rsid w:val="00F63724"/>
    <w:rsid w:val="00F65587"/>
    <w:rsid w:val="00F77E06"/>
    <w:rsid w:val="00F843C0"/>
    <w:rsid w:val="00F9021F"/>
    <w:rsid w:val="00FA7D60"/>
    <w:rsid w:val="00FB260A"/>
    <w:rsid w:val="00FC2EC0"/>
    <w:rsid w:val="00FC7CE6"/>
    <w:rsid w:val="00FD5DA3"/>
    <w:rsid w:val="00FD6497"/>
    <w:rsid w:val="00FF2EC3"/>
    <w:rsid w:val="00FF56B9"/>
    <w:rsid w:val="012A4E2C"/>
    <w:rsid w:val="013B5F16"/>
    <w:rsid w:val="023615AF"/>
    <w:rsid w:val="025E2D19"/>
    <w:rsid w:val="02614FC7"/>
    <w:rsid w:val="02DC2156"/>
    <w:rsid w:val="02E82811"/>
    <w:rsid w:val="02F97B87"/>
    <w:rsid w:val="030A6CC4"/>
    <w:rsid w:val="03614FBD"/>
    <w:rsid w:val="036C0D75"/>
    <w:rsid w:val="036E42DF"/>
    <w:rsid w:val="039B3DC0"/>
    <w:rsid w:val="03CC3F79"/>
    <w:rsid w:val="03FB03BA"/>
    <w:rsid w:val="04790F9B"/>
    <w:rsid w:val="04DA4474"/>
    <w:rsid w:val="04EC1DF7"/>
    <w:rsid w:val="057B7A05"/>
    <w:rsid w:val="05CD222A"/>
    <w:rsid w:val="05FD2B10"/>
    <w:rsid w:val="06084616"/>
    <w:rsid w:val="0619721E"/>
    <w:rsid w:val="06456265"/>
    <w:rsid w:val="067E51AF"/>
    <w:rsid w:val="06A74CDB"/>
    <w:rsid w:val="06A9292B"/>
    <w:rsid w:val="06C54323"/>
    <w:rsid w:val="06F70C16"/>
    <w:rsid w:val="071B1228"/>
    <w:rsid w:val="074B78AB"/>
    <w:rsid w:val="07BE53C7"/>
    <w:rsid w:val="08096B2E"/>
    <w:rsid w:val="085454AC"/>
    <w:rsid w:val="08892439"/>
    <w:rsid w:val="08EF7A39"/>
    <w:rsid w:val="095073FA"/>
    <w:rsid w:val="09C13E54"/>
    <w:rsid w:val="09EB05D3"/>
    <w:rsid w:val="0A530F50"/>
    <w:rsid w:val="0A5844F0"/>
    <w:rsid w:val="0AA132EE"/>
    <w:rsid w:val="0B3D750A"/>
    <w:rsid w:val="0B927BA2"/>
    <w:rsid w:val="0BB30133"/>
    <w:rsid w:val="0BC74F47"/>
    <w:rsid w:val="0BE32369"/>
    <w:rsid w:val="0BFD70B9"/>
    <w:rsid w:val="0C4845D6"/>
    <w:rsid w:val="0C770416"/>
    <w:rsid w:val="0CCA0D59"/>
    <w:rsid w:val="0DB22432"/>
    <w:rsid w:val="0E1B0D4A"/>
    <w:rsid w:val="0EE41D10"/>
    <w:rsid w:val="0F29068B"/>
    <w:rsid w:val="10395851"/>
    <w:rsid w:val="10A125AF"/>
    <w:rsid w:val="10B547F0"/>
    <w:rsid w:val="10BF65F0"/>
    <w:rsid w:val="11186A50"/>
    <w:rsid w:val="11386E78"/>
    <w:rsid w:val="11B73ED3"/>
    <w:rsid w:val="121E62E8"/>
    <w:rsid w:val="12241424"/>
    <w:rsid w:val="12277661"/>
    <w:rsid w:val="12511EBC"/>
    <w:rsid w:val="12B66520"/>
    <w:rsid w:val="12D30089"/>
    <w:rsid w:val="133D4C82"/>
    <w:rsid w:val="13D12EE6"/>
    <w:rsid w:val="13EE1CEA"/>
    <w:rsid w:val="13F37300"/>
    <w:rsid w:val="13FA2960"/>
    <w:rsid w:val="14700951"/>
    <w:rsid w:val="148154C9"/>
    <w:rsid w:val="151244E3"/>
    <w:rsid w:val="156F60AE"/>
    <w:rsid w:val="15DF0A75"/>
    <w:rsid w:val="16875DAB"/>
    <w:rsid w:val="169F0A74"/>
    <w:rsid w:val="16A11295"/>
    <w:rsid w:val="174D6D27"/>
    <w:rsid w:val="175400B6"/>
    <w:rsid w:val="17C675A6"/>
    <w:rsid w:val="17D631C0"/>
    <w:rsid w:val="18CE5C46"/>
    <w:rsid w:val="196F7429"/>
    <w:rsid w:val="19C77265"/>
    <w:rsid w:val="1A2024D1"/>
    <w:rsid w:val="1A2A2D28"/>
    <w:rsid w:val="1A514D80"/>
    <w:rsid w:val="1ABC0F82"/>
    <w:rsid w:val="1B9C64CF"/>
    <w:rsid w:val="1C0F4EF3"/>
    <w:rsid w:val="1C5E2638"/>
    <w:rsid w:val="1CAD7BD6"/>
    <w:rsid w:val="1CDC3027"/>
    <w:rsid w:val="1D2C4A21"/>
    <w:rsid w:val="1D4806BC"/>
    <w:rsid w:val="1DA83DB7"/>
    <w:rsid w:val="1E023D84"/>
    <w:rsid w:val="1E6C7E3E"/>
    <w:rsid w:val="1E8C6387"/>
    <w:rsid w:val="1EEE7042"/>
    <w:rsid w:val="1EF0375A"/>
    <w:rsid w:val="1F436741"/>
    <w:rsid w:val="1FFA549F"/>
    <w:rsid w:val="1FFE02C7"/>
    <w:rsid w:val="20346CD6"/>
    <w:rsid w:val="206E043A"/>
    <w:rsid w:val="20B63B8F"/>
    <w:rsid w:val="20FB3F44"/>
    <w:rsid w:val="211200FF"/>
    <w:rsid w:val="213E3BC7"/>
    <w:rsid w:val="21B75E11"/>
    <w:rsid w:val="22D62711"/>
    <w:rsid w:val="23046E34"/>
    <w:rsid w:val="23675615"/>
    <w:rsid w:val="23E80503"/>
    <w:rsid w:val="24376F6E"/>
    <w:rsid w:val="2443573A"/>
    <w:rsid w:val="24B42104"/>
    <w:rsid w:val="24F86524"/>
    <w:rsid w:val="25496D80"/>
    <w:rsid w:val="25670B39"/>
    <w:rsid w:val="25CD79B1"/>
    <w:rsid w:val="25DC3EE8"/>
    <w:rsid w:val="25E42F4C"/>
    <w:rsid w:val="27095D8A"/>
    <w:rsid w:val="27532138"/>
    <w:rsid w:val="27604855"/>
    <w:rsid w:val="277B51EB"/>
    <w:rsid w:val="279E6744"/>
    <w:rsid w:val="2829733C"/>
    <w:rsid w:val="28CC0709"/>
    <w:rsid w:val="29C22B06"/>
    <w:rsid w:val="2AB6770F"/>
    <w:rsid w:val="2AFC1105"/>
    <w:rsid w:val="2BAD2B02"/>
    <w:rsid w:val="2BDA1E37"/>
    <w:rsid w:val="2D4B05DB"/>
    <w:rsid w:val="2D525D15"/>
    <w:rsid w:val="2E0C3040"/>
    <w:rsid w:val="2E40384E"/>
    <w:rsid w:val="2F083808"/>
    <w:rsid w:val="2F0B058C"/>
    <w:rsid w:val="2F2B399A"/>
    <w:rsid w:val="2F454A5C"/>
    <w:rsid w:val="2F706C20"/>
    <w:rsid w:val="2F7C5FA4"/>
    <w:rsid w:val="2F82534F"/>
    <w:rsid w:val="302723B3"/>
    <w:rsid w:val="303040B7"/>
    <w:rsid w:val="306814F8"/>
    <w:rsid w:val="30AE6631"/>
    <w:rsid w:val="3106021B"/>
    <w:rsid w:val="3197089A"/>
    <w:rsid w:val="327A0EC0"/>
    <w:rsid w:val="33685BF1"/>
    <w:rsid w:val="339F33DF"/>
    <w:rsid w:val="33DC615E"/>
    <w:rsid w:val="34B76D87"/>
    <w:rsid w:val="34C65624"/>
    <w:rsid w:val="34D01D12"/>
    <w:rsid w:val="34D90AD3"/>
    <w:rsid w:val="350B5B62"/>
    <w:rsid w:val="3573099D"/>
    <w:rsid w:val="35C44201"/>
    <w:rsid w:val="366B28CE"/>
    <w:rsid w:val="380F4839"/>
    <w:rsid w:val="38206066"/>
    <w:rsid w:val="38913D17"/>
    <w:rsid w:val="38955FDF"/>
    <w:rsid w:val="393E01A9"/>
    <w:rsid w:val="396B1F46"/>
    <w:rsid w:val="39DC7D6B"/>
    <w:rsid w:val="3AD4054D"/>
    <w:rsid w:val="3B651FE2"/>
    <w:rsid w:val="3B714E2B"/>
    <w:rsid w:val="3D5134B7"/>
    <w:rsid w:val="3D6C58AA"/>
    <w:rsid w:val="3D6D1ED3"/>
    <w:rsid w:val="3D8C5F4C"/>
    <w:rsid w:val="3E65515C"/>
    <w:rsid w:val="3E94330A"/>
    <w:rsid w:val="401F30A7"/>
    <w:rsid w:val="403F2E01"/>
    <w:rsid w:val="412874F2"/>
    <w:rsid w:val="41480210"/>
    <w:rsid w:val="42B43A05"/>
    <w:rsid w:val="42CD0EA8"/>
    <w:rsid w:val="431A1904"/>
    <w:rsid w:val="43947908"/>
    <w:rsid w:val="44CB4DED"/>
    <w:rsid w:val="44F56185"/>
    <w:rsid w:val="4520080C"/>
    <w:rsid w:val="45413951"/>
    <w:rsid w:val="45B30A7B"/>
    <w:rsid w:val="45D90566"/>
    <w:rsid w:val="46524228"/>
    <w:rsid w:val="467B530C"/>
    <w:rsid w:val="46E47FFF"/>
    <w:rsid w:val="46F679D3"/>
    <w:rsid w:val="4779601E"/>
    <w:rsid w:val="481B0E08"/>
    <w:rsid w:val="482D3E87"/>
    <w:rsid w:val="48353A66"/>
    <w:rsid w:val="489160CA"/>
    <w:rsid w:val="48E01E61"/>
    <w:rsid w:val="49327CD0"/>
    <w:rsid w:val="493E1AE1"/>
    <w:rsid w:val="4A9B6FA0"/>
    <w:rsid w:val="4AF51556"/>
    <w:rsid w:val="4B035C36"/>
    <w:rsid w:val="4B2238EC"/>
    <w:rsid w:val="4B3845CD"/>
    <w:rsid w:val="4B44550B"/>
    <w:rsid w:val="4C7D362F"/>
    <w:rsid w:val="4CAC0AD9"/>
    <w:rsid w:val="4CD55219"/>
    <w:rsid w:val="4DDD59C1"/>
    <w:rsid w:val="4DF60B8A"/>
    <w:rsid w:val="4E32294F"/>
    <w:rsid w:val="4E395334"/>
    <w:rsid w:val="4E593C28"/>
    <w:rsid w:val="4EFD2805"/>
    <w:rsid w:val="4F2558B8"/>
    <w:rsid w:val="4FAD1FC6"/>
    <w:rsid w:val="4FC74BC1"/>
    <w:rsid w:val="501324CE"/>
    <w:rsid w:val="501778F7"/>
    <w:rsid w:val="505D0D17"/>
    <w:rsid w:val="50747CE5"/>
    <w:rsid w:val="50CC06E1"/>
    <w:rsid w:val="50FA5D92"/>
    <w:rsid w:val="51B02576"/>
    <w:rsid w:val="51FB0B52"/>
    <w:rsid w:val="522023D1"/>
    <w:rsid w:val="52270DB5"/>
    <w:rsid w:val="531E5595"/>
    <w:rsid w:val="531F075A"/>
    <w:rsid w:val="5338205E"/>
    <w:rsid w:val="54303C00"/>
    <w:rsid w:val="549A06C6"/>
    <w:rsid w:val="54CA4ADE"/>
    <w:rsid w:val="5539757D"/>
    <w:rsid w:val="563E5DDA"/>
    <w:rsid w:val="569D042A"/>
    <w:rsid w:val="56C63E25"/>
    <w:rsid w:val="57555F1B"/>
    <w:rsid w:val="5794447B"/>
    <w:rsid w:val="57996E43"/>
    <w:rsid w:val="57A01936"/>
    <w:rsid w:val="57A57FD6"/>
    <w:rsid w:val="57DB7C8D"/>
    <w:rsid w:val="57F01F2D"/>
    <w:rsid w:val="58286739"/>
    <w:rsid w:val="583A6878"/>
    <w:rsid w:val="58733B38"/>
    <w:rsid w:val="588E44CE"/>
    <w:rsid w:val="58D367F3"/>
    <w:rsid w:val="592C1295"/>
    <w:rsid w:val="595B4CF8"/>
    <w:rsid w:val="5992568E"/>
    <w:rsid w:val="59DD74BB"/>
    <w:rsid w:val="59E266CB"/>
    <w:rsid w:val="59EF3692"/>
    <w:rsid w:val="5A121AEF"/>
    <w:rsid w:val="5A420BA5"/>
    <w:rsid w:val="5A8C449C"/>
    <w:rsid w:val="5B571FFB"/>
    <w:rsid w:val="5B6B556E"/>
    <w:rsid w:val="5BFB00CD"/>
    <w:rsid w:val="5C452F47"/>
    <w:rsid w:val="5C537F09"/>
    <w:rsid w:val="5C582B15"/>
    <w:rsid w:val="5C867919"/>
    <w:rsid w:val="5D086F45"/>
    <w:rsid w:val="5D243653"/>
    <w:rsid w:val="5D4D6706"/>
    <w:rsid w:val="5D9B49EA"/>
    <w:rsid w:val="5DF4639A"/>
    <w:rsid w:val="5DF76C0B"/>
    <w:rsid w:val="5E0E07F8"/>
    <w:rsid w:val="5E166162"/>
    <w:rsid w:val="5E42134A"/>
    <w:rsid w:val="5ED15115"/>
    <w:rsid w:val="5EFD5F0A"/>
    <w:rsid w:val="5FD702EA"/>
    <w:rsid w:val="5FEF619A"/>
    <w:rsid w:val="5FF4691A"/>
    <w:rsid w:val="60252B89"/>
    <w:rsid w:val="604F4E8B"/>
    <w:rsid w:val="60B11334"/>
    <w:rsid w:val="61524586"/>
    <w:rsid w:val="616C2448"/>
    <w:rsid w:val="61882403"/>
    <w:rsid w:val="620316C6"/>
    <w:rsid w:val="626C326C"/>
    <w:rsid w:val="628C5F22"/>
    <w:rsid w:val="62C44CEE"/>
    <w:rsid w:val="630E06E5"/>
    <w:rsid w:val="634A0790"/>
    <w:rsid w:val="63D93020"/>
    <w:rsid w:val="63DF2082"/>
    <w:rsid w:val="64E33DF4"/>
    <w:rsid w:val="652F2B95"/>
    <w:rsid w:val="654A16B4"/>
    <w:rsid w:val="654C7BEB"/>
    <w:rsid w:val="655D5BB9"/>
    <w:rsid w:val="65DF5D81"/>
    <w:rsid w:val="65E76184"/>
    <w:rsid w:val="65F315D4"/>
    <w:rsid w:val="65FA2E2F"/>
    <w:rsid w:val="660F1D12"/>
    <w:rsid w:val="66375416"/>
    <w:rsid w:val="664803B2"/>
    <w:rsid w:val="66770C98"/>
    <w:rsid w:val="66EF6B43"/>
    <w:rsid w:val="67277FC8"/>
    <w:rsid w:val="677C2407"/>
    <w:rsid w:val="6804655B"/>
    <w:rsid w:val="68552A56"/>
    <w:rsid w:val="68C47A98"/>
    <w:rsid w:val="68C53F3C"/>
    <w:rsid w:val="6A8A21D9"/>
    <w:rsid w:val="6B170353"/>
    <w:rsid w:val="6B805A13"/>
    <w:rsid w:val="6B913722"/>
    <w:rsid w:val="6B985D2F"/>
    <w:rsid w:val="6BFB1CFC"/>
    <w:rsid w:val="6CC80E6D"/>
    <w:rsid w:val="6CEE57FE"/>
    <w:rsid w:val="6D6A740A"/>
    <w:rsid w:val="6DDA15E5"/>
    <w:rsid w:val="6E0252EB"/>
    <w:rsid w:val="6E315BD0"/>
    <w:rsid w:val="6E9331FA"/>
    <w:rsid w:val="6F393D6E"/>
    <w:rsid w:val="6F8B1586"/>
    <w:rsid w:val="6F986B5B"/>
    <w:rsid w:val="70015658"/>
    <w:rsid w:val="7061760A"/>
    <w:rsid w:val="70B2124A"/>
    <w:rsid w:val="70EC47D4"/>
    <w:rsid w:val="70F47B1E"/>
    <w:rsid w:val="710B6BAC"/>
    <w:rsid w:val="712B2DAA"/>
    <w:rsid w:val="71CC633B"/>
    <w:rsid w:val="71F238C8"/>
    <w:rsid w:val="72534367"/>
    <w:rsid w:val="72D70869"/>
    <w:rsid w:val="738A5B9F"/>
    <w:rsid w:val="73C6500C"/>
    <w:rsid w:val="7402700B"/>
    <w:rsid w:val="741F6AAA"/>
    <w:rsid w:val="749966D8"/>
    <w:rsid w:val="74A0585D"/>
    <w:rsid w:val="750E3D01"/>
    <w:rsid w:val="75436915"/>
    <w:rsid w:val="75F1571C"/>
    <w:rsid w:val="75FF643B"/>
    <w:rsid w:val="77A7157C"/>
    <w:rsid w:val="781E5417"/>
    <w:rsid w:val="78704663"/>
    <w:rsid w:val="78B143BF"/>
    <w:rsid w:val="790C1713"/>
    <w:rsid w:val="793F5645"/>
    <w:rsid w:val="79477DB9"/>
    <w:rsid w:val="798B5FEA"/>
    <w:rsid w:val="7A035425"/>
    <w:rsid w:val="7A937FAF"/>
    <w:rsid w:val="7AB465B7"/>
    <w:rsid w:val="7ACC115A"/>
    <w:rsid w:val="7AF81F4F"/>
    <w:rsid w:val="7AFA7F37"/>
    <w:rsid w:val="7B0D59BF"/>
    <w:rsid w:val="7B215011"/>
    <w:rsid w:val="7B5C267D"/>
    <w:rsid w:val="7B6C6499"/>
    <w:rsid w:val="7B7B492E"/>
    <w:rsid w:val="7B913955"/>
    <w:rsid w:val="7BEC3554"/>
    <w:rsid w:val="7C9E3D4A"/>
    <w:rsid w:val="7CB63E70"/>
    <w:rsid w:val="7CFF0D1F"/>
    <w:rsid w:val="7D221505"/>
    <w:rsid w:val="7D334C5C"/>
    <w:rsid w:val="7D492A4D"/>
    <w:rsid w:val="7D902913"/>
    <w:rsid w:val="7DE81904"/>
    <w:rsid w:val="7E2B6198"/>
    <w:rsid w:val="7E5135DF"/>
    <w:rsid w:val="7F306955"/>
    <w:rsid w:val="7F6D45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Calibri"/>
      <w:kern w:val="2"/>
      <w:sz w:val="21"/>
      <w:szCs w:val="24"/>
      <w:lang w:val="en-US" w:eastAsia="zh-CN" w:bidi="ar-SA"/>
    </w:rPr>
  </w:style>
  <w:style w:type="paragraph" w:styleId="2">
    <w:name w:val="heading 1"/>
    <w:basedOn w:val="1"/>
    <w:next w:val="1"/>
    <w:autoRedefine/>
    <w:qFormat/>
    <w:uiPriority w:val="0"/>
    <w:pPr>
      <w:keepNext/>
      <w:keepLines/>
      <w:spacing w:before="340" w:after="330" w:line="578" w:lineRule="auto"/>
      <w:outlineLvl w:val="0"/>
    </w:pPr>
    <w:rPr>
      <w:b/>
      <w:bCs/>
      <w:kern w:val="44"/>
      <w:sz w:val="44"/>
    </w:rPr>
  </w:style>
  <w:style w:type="paragraph" w:styleId="3">
    <w:name w:val="heading 2"/>
    <w:basedOn w:val="1"/>
    <w:next w:val="1"/>
    <w:autoRedefine/>
    <w:qFormat/>
    <w:uiPriority w:val="0"/>
    <w:pPr>
      <w:keepNext/>
      <w:keepLines/>
      <w:spacing w:before="260" w:after="260" w:line="415" w:lineRule="auto"/>
      <w:outlineLvl w:val="1"/>
    </w:pPr>
    <w:rPr>
      <w:rFonts w:ascii="Times New Roman" w:hAnsi="Times New Roman" w:eastAsia="黑体"/>
      <w:b/>
      <w:sz w:val="32"/>
    </w:rPr>
  </w:style>
  <w:style w:type="paragraph" w:styleId="4">
    <w:name w:val="heading 3"/>
    <w:basedOn w:val="1"/>
    <w:next w:val="1"/>
    <w:autoRedefine/>
    <w:qFormat/>
    <w:uiPriority w:val="0"/>
    <w:pPr>
      <w:keepNext/>
      <w:keepLines/>
      <w:spacing w:before="260" w:after="260" w:line="415" w:lineRule="auto"/>
      <w:outlineLvl w:val="2"/>
    </w:pPr>
    <w:rPr>
      <w:b/>
      <w:sz w:val="32"/>
    </w:rPr>
  </w:style>
  <w:style w:type="paragraph" w:styleId="5">
    <w:name w:val="heading 4"/>
    <w:basedOn w:val="1"/>
    <w:next w:val="1"/>
    <w:semiHidden/>
    <w:unhideWhenUsed/>
    <w:qFormat/>
    <w:uiPriority w:val="9"/>
    <w:pPr>
      <w:spacing w:beforeAutospacing="1" w:afterAutospacing="1"/>
      <w:jc w:val="left"/>
      <w:outlineLvl w:val="3"/>
    </w:pPr>
    <w:rPr>
      <w:rFonts w:hint="eastAsia" w:ascii="宋体" w:hAnsi="宋体" w:cs="Times New Roman"/>
      <w:b/>
      <w:bCs/>
      <w:kern w:val="0"/>
      <w:sz w:val="24"/>
    </w:rPr>
  </w:style>
  <w:style w:type="paragraph" w:styleId="6">
    <w:name w:val="heading 7"/>
    <w:basedOn w:val="1"/>
    <w:next w:val="1"/>
    <w:link w:val="27"/>
    <w:autoRedefine/>
    <w:qFormat/>
    <w:uiPriority w:val="9"/>
    <w:pPr>
      <w:keepNext/>
      <w:keepLines/>
      <w:spacing w:before="240" w:after="64" w:line="320" w:lineRule="auto"/>
      <w:outlineLvl w:val="6"/>
    </w:pPr>
    <w:rPr>
      <w:b/>
      <w:bCs/>
      <w:sz w:val="24"/>
    </w:rPr>
  </w:style>
  <w:style w:type="character" w:default="1" w:styleId="18">
    <w:name w:val="Default Paragraph Font"/>
    <w:semiHidden/>
    <w:unhideWhenUsed/>
    <w:qFormat/>
    <w:uiPriority w:val="1"/>
  </w:style>
  <w:style w:type="table" w:default="1" w:styleId="16">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Calibri"/>
      <w:sz w:val="20"/>
      <w:szCs w:val="20"/>
    </w:rPr>
    <w:tblPr>
      <w:tblCellMar>
        <w:top w:w="0" w:type="dxa"/>
        <w:left w:w="108" w:type="dxa"/>
        <w:bottom w:w="0" w:type="dxa"/>
        <w:right w:w="108" w:type="dxa"/>
      </w:tblCellMar>
    </w:tblPr>
  </w:style>
  <w:style w:type="paragraph" w:styleId="7">
    <w:name w:val="annotation text"/>
    <w:basedOn w:val="1"/>
    <w:link w:val="28"/>
    <w:autoRedefine/>
    <w:unhideWhenUsed/>
    <w:qFormat/>
    <w:uiPriority w:val="99"/>
    <w:pPr>
      <w:adjustRightInd w:val="0"/>
      <w:spacing w:line="400" w:lineRule="exact"/>
      <w:jc w:val="left"/>
    </w:pPr>
    <w:rPr>
      <w:szCs w:val="21"/>
    </w:rPr>
  </w:style>
  <w:style w:type="paragraph" w:styleId="8">
    <w:name w:val="Balloon Text"/>
    <w:basedOn w:val="1"/>
    <w:link w:val="29"/>
    <w:autoRedefine/>
    <w:unhideWhenUsed/>
    <w:qFormat/>
    <w:uiPriority w:val="99"/>
    <w:rPr>
      <w:sz w:val="18"/>
      <w:szCs w:val="18"/>
    </w:rPr>
  </w:style>
  <w:style w:type="paragraph" w:styleId="9">
    <w:name w:val="footer"/>
    <w:basedOn w:val="1"/>
    <w:link w:val="30"/>
    <w:autoRedefine/>
    <w:qFormat/>
    <w:uiPriority w:val="99"/>
    <w:pPr>
      <w:tabs>
        <w:tab w:val="center" w:pos="4153"/>
        <w:tab w:val="right" w:pos="8306"/>
      </w:tabs>
      <w:snapToGrid w:val="0"/>
      <w:jc w:val="left"/>
    </w:pPr>
    <w:rPr>
      <w:sz w:val="18"/>
      <w:szCs w:val="18"/>
    </w:rPr>
  </w:style>
  <w:style w:type="paragraph" w:styleId="10">
    <w:name w:val="envelope return"/>
    <w:basedOn w:val="1"/>
    <w:autoRedefine/>
    <w:qFormat/>
    <w:uiPriority w:val="0"/>
    <w:pPr>
      <w:snapToGrid w:val="0"/>
    </w:pPr>
    <w:rPr>
      <w:rFonts w:ascii="Times New Roman" w:hAnsi="Times New Roman"/>
    </w:rPr>
  </w:style>
  <w:style w:type="paragraph" w:styleId="11">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2">
    <w:name w:val="toc 4"/>
    <w:basedOn w:val="1"/>
    <w:next w:val="1"/>
    <w:autoRedefine/>
    <w:unhideWhenUsed/>
    <w:qFormat/>
    <w:uiPriority w:val="39"/>
    <w:pPr>
      <w:tabs>
        <w:tab w:val="right" w:leader="dot" w:pos="9344"/>
      </w:tabs>
      <w:adjustRightInd w:val="0"/>
      <w:spacing w:line="300" w:lineRule="exact"/>
      <w:ind w:left="629"/>
    </w:pPr>
    <w:rPr>
      <w:rFonts w:ascii="宋体"/>
      <w:szCs w:val="21"/>
    </w:rPr>
  </w:style>
  <w:style w:type="paragraph" w:styleId="13">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cs="Times New Roman"/>
      <w:kern w:val="0"/>
      <w:sz w:val="24"/>
    </w:rPr>
  </w:style>
  <w:style w:type="paragraph" w:styleId="14">
    <w:name w:val="Normal (Web)"/>
    <w:basedOn w:val="1"/>
    <w:autoRedefine/>
    <w:semiHidden/>
    <w:unhideWhenUsed/>
    <w:qFormat/>
    <w:uiPriority w:val="99"/>
    <w:rPr>
      <w:sz w:val="24"/>
    </w:rPr>
  </w:style>
  <w:style w:type="paragraph" w:styleId="15">
    <w:name w:val="Title"/>
    <w:basedOn w:val="1"/>
    <w:link w:val="66"/>
    <w:qFormat/>
    <w:uiPriority w:val="10"/>
    <w:pPr>
      <w:spacing w:before="240" w:after="60"/>
      <w:jc w:val="center"/>
      <w:outlineLvl w:val="0"/>
    </w:pPr>
    <w:rPr>
      <w:rFonts w:ascii="Arial" w:hAnsi="Arial"/>
      <w:b/>
      <w:sz w:val="32"/>
    </w:rPr>
  </w:style>
  <w:style w:type="table" w:styleId="17">
    <w:name w:val="Table Grid"/>
    <w:basedOn w:val="16"/>
    <w:autoRedefine/>
    <w:qFormat/>
    <w:uiPriority w:val="39"/>
    <w:rPr>
      <w:rFonts w:ascii="Calibri" w:hAnsi="Calibri"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styleId="19">
    <w:name w:val="Strong"/>
    <w:basedOn w:val="18"/>
    <w:autoRedefine/>
    <w:qFormat/>
    <w:uiPriority w:val="22"/>
    <w:rPr>
      <w:b/>
    </w:rPr>
  </w:style>
  <w:style w:type="character" w:styleId="20">
    <w:name w:val="Emphasis"/>
    <w:basedOn w:val="18"/>
    <w:qFormat/>
    <w:uiPriority w:val="20"/>
    <w:rPr>
      <w:i/>
    </w:rPr>
  </w:style>
  <w:style w:type="character" w:styleId="21">
    <w:name w:val="line number"/>
    <w:autoRedefine/>
    <w:qFormat/>
    <w:uiPriority w:val="0"/>
  </w:style>
  <w:style w:type="character" w:styleId="22">
    <w:name w:val="Hyperlink"/>
    <w:autoRedefine/>
    <w:qFormat/>
    <w:uiPriority w:val="0"/>
    <w:rPr>
      <w:rFonts w:ascii="宋体" w:eastAsia="宋体"/>
      <w:color w:val="auto"/>
      <w:spacing w:val="0"/>
      <w:w w:val="100"/>
      <w:position w:val="0"/>
      <w:sz w:val="21"/>
      <w:u w:val="none"/>
      <w:vertAlign w:val="baseline"/>
    </w:rPr>
  </w:style>
  <w:style w:type="character" w:styleId="23">
    <w:name w:val="annotation reference"/>
    <w:basedOn w:val="18"/>
    <w:autoRedefine/>
    <w:qFormat/>
    <w:uiPriority w:val="99"/>
    <w:rPr>
      <w:sz w:val="21"/>
      <w:szCs w:val="21"/>
    </w:rPr>
  </w:style>
  <w:style w:type="character" w:styleId="24">
    <w:name w:val="footnote reference"/>
    <w:autoRedefine/>
    <w:qFormat/>
    <w:uiPriority w:val="0"/>
    <w:rPr>
      <w:vertAlign w:val="superscript"/>
    </w:rPr>
  </w:style>
  <w:style w:type="paragraph" w:customStyle="1" w:styleId="25">
    <w:name w:val="BodyText2"/>
    <w:basedOn w:val="1"/>
    <w:autoRedefine/>
    <w:qFormat/>
    <w:uiPriority w:val="0"/>
    <w:pPr>
      <w:spacing w:after="120" w:line="480" w:lineRule="auto"/>
      <w:textAlignment w:val="baseline"/>
    </w:pPr>
    <w:rPr>
      <w:rFonts w:cs="Times New Roman"/>
      <w:sz w:val="32"/>
      <w:szCs w:val="32"/>
    </w:rPr>
  </w:style>
  <w:style w:type="paragraph" w:customStyle="1" w:styleId="26">
    <w:name w:val="正文-公1"/>
    <w:autoRedefine/>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27">
    <w:name w:val="标题 7 字符"/>
    <w:link w:val="6"/>
    <w:autoRedefine/>
    <w:qFormat/>
    <w:uiPriority w:val="0"/>
    <w:rPr>
      <w:rFonts w:eastAsia="宋体"/>
      <w:b/>
      <w:bCs/>
      <w:kern w:val="2"/>
      <w:sz w:val="24"/>
      <w:szCs w:val="24"/>
    </w:rPr>
  </w:style>
  <w:style w:type="character" w:customStyle="1" w:styleId="28">
    <w:name w:val="批注文字 字符"/>
    <w:link w:val="7"/>
    <w:autoRedefine/>
    <w:semiHidden/>
    <w:qFormat/>
    <w:uiPriority w:val="99"/>
    <w:rPr>
      <w:rFonts w:ascii="Calibri" w:hAnsi="Calibri" w:eastAsia="宋体"/>
      <w:kern w:val="2"/>
      <w:sz w:val="21"/>
      <w:szCs w:val="21"/>
    </w:rPr>
  </w:style>
  <w:style w:type="character" w:customStyle="1" w:styleId="29">
    <w:name w:val="批注框文本 字符"/>
    <w:link w:val="8"/>
    <w:autoRedefine/>
    <w:semiHidden/>
    <w:qFormat/>
    <w:uiPriority w:val="99"/>
    <w:rPr>
      <w:rFonts w:eastAsia="宋体"/>
      <w:kern w:val="2"/>
      <w:sz w:val="18"/>
      <w:szCs w:val="18"/>
    </w:rPr>
  </w:style>
  <w:style w:type="character" w:customStyle="1" w:styleId="30">
    <w:name w:val="页脚 字符"/>
    <w:link w:val="9"/>
    <w:autoRedefine/>
    <w:qFormat/>
    <w:locked/>
    <w:uiPriority w:val="99"/>
    <w:rPr>
      <w:rFonts w:eastAsia="宋体"/>
      <w:kern w:val="2"/>
      <w:sz w:val="18"/>
      <w:szCs w:val="18"/>
    </w:rPr>
  </w:style>
  <w:style w:type="paragraph" w:customStyle="1" w:styleId="31">
    <w:name w:val="其他标准称谓"/>
    <w:autoRedefine/>
    <w:qFormat/>
    <w:uiPriority w:val="0"/>
    <w:pPr>
      <w:spacing w:line="0" w:lineRule="atLeast"/>
      <w:jc w:val="distribute"/>
    </w:pPr>
    <w:rPr>
      <w:rFonts w:ascii="黑体" w:hAnsi="Calibri" w:eastAsia="黑体" w:cs="Calibri"/>
      <w:sz w:val="52"/>
      <w:lang w:val="en-US" w:eastAsia="zh-CN" w:bidi="ar-SA"/>
    </w:rPr>
  </w:style>
  <w:style w:type="paragraph" w:customStyle="1" w:styleId="32">
    <w:name w:val="封面标准号1"/>
    <w:autoRedefine/>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33">
    <w:name w:val="标准文件_段"/>
    <w:link w:val="34"/>
    <w:autoRedefine/>
    <w:qFormat/>
    <w:uiPriority w:val="0"/>
    <w:pPr>
      <w:autoSpaceDE w:val="0"/>
      <w:autoSpaceDN w:val="0"/>
      <w:spacing w:before="156" w:beforeLines="50" w:after="156" w:afterLines="50" w:line="520" w:lineRule="exact"/>
      <w:ind w:firstLine="480" w:firstLineChars="200"/>
      <w:jc w:val="center"/>
    </w:pPr>
    <w:rPr>
      <w:rFonts w:ascii="黑体" w:hAnsi="黑体" w:eastAsia="黑体" w:cs="黑体"/>
      <w:bCs/>
      <w:sz w:val="24"/>
      <w:szCs w:val="24"/>
      <w:lang w:val="en-US" w:eastAsia="zh-CN" w:bidi="ar-SA"/>
    </w:rPr>
  </w:style>
  <w:style w:type="character" w:customStyle="1" w:styleId="34">
    <w:name w:val="标准文件_段 Char"/>
    <w:link w:val="33"/>
    <w:autoRedefine/>
    <w:qFormat/>
    <w:uiPriority w:val="0"/>
    <w:rPr>
      <w:rFonts w:ascii="黑体" w:hAnsi="黑体" w:eastAsia="黑体" w:cs="黑体"/>
      <w:bCs/>
      <w:sz w:val="24"/>
      <w:szCs w:val="24"/>
    </w:rPr>
  </w:style>
  <w:style w:type="paragraph" w:customStyle="1" w:styleId="35">
    <w:name w:val="标准文件_章标题"/>
    <w:next w:val="33"/>
    <w:autoRedefine/>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6">
    <w:name w:val="标准文件_二级条标题"/>
    <w:next w:val="33"/>
    <w:autoRedefine/>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7">
    <w:name w:val="标准文件_一级条标题"/>
    <w:basedOn w:val="35"/>
    <w:next w:val="33"/>
    <w:autoRedefine/>
    <w:qFormat/>
    <w:uiPriority w:val="0"/>
    <w:pPr>
      <w:numPr>
        <w:ilvl w:val="2"/>
      </w:numPr>
      <w:spacing w:before="50" w:beforeLines="0" w:after="50" w:afterLines="0"/>
      <w:outlineLvl w:val="1"/>
    </w:pPr>
  </w:style>
  <w:style w:type="paragraph" w:customStyle="1" w:styleId="38">
    <w:name w:val="标准文件_三级条标题"/>
    <w:basedOn w:val="36"/>
    <w:next w:val="33"/>
    <w:autoRedefine/>
    <w:qFormat/>
    <w:uiPriority w:val="0"/>
    <w:pPr>
      <w:outlineLvl w:val="3"/>
    </w:pPr>
  </w:style>
  <w:style w:type="paragraph" w:customStyle="1" w:styleId="39">
    <w:name w:val="标准文件_四级条标题"/>
    <w:next w:val="33"/>
    <w:autoRedefine/>
    <w:qFormat/>
    <w:uiPriority w:val="0"/>
    <w:pPr>
      <w:widowControl w:val="0"/>
      <w:spacing w:before="50" w:beforeLines="50" w:after="50" w:afterLines="50"/>
      <w:jc w:val="both"/>
      <w:outlineLvl w:val="4"/>
    </w:pPr>
    <w:rPr>
      <w:rFonts w:ascii="黑体" w:hAnsi="Calibri" w:eastAsia="黑体" w:cs="Calibri"/>
      <w:sz w:val="21"/>
      <w:lang w:val="en-US" w:eastAsia="zh-CN" w:bidi="ar-SA"/>
    </w:rPr>
  </w:style>
  <w:style w:type="paragraph" w:customStyle="1" w:styleId="40">
    <w:name w:val="标准文件_五级条标题"/>
    <w:next w:val="36"/>
    <w:autoRedefine/>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41">
    <w:name w:val="前言标题"/>
    <w:next w:val="1"/>
    <w:autoRedefine/>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42">
    <w:name w:val="标准文件_四级无标题"/>
    <w:basedOn w:val="39"/>
    <w:autoRedefine/>
    <w:qFormat/>
    <w:uiPriority w:val="0"/>
    <w:pPr>
      <w:numPr>
        <w:ilvl w:val="5"/>
        <w:numId w:val="1"/>
      </w:numPr>
    </w:pPr>
    <w:rPr>
      <w:rFonts w:ascii="宋体" w:eastAsia="宋体"/>
      <w:szCs w:val="52"/>
    </w:rPr>
  </w:style>
  <w:style w:type="paragraph" w:customStyle="1" w:styleId="43">
    <w:name w:val="标准文件_三级无标题"/>
    <w:basedOn w:val="38"/>
    <w:autoRedefine/>
    <w:qFormat/>
    <w:uiPriority w:val="0"/>
    <w:pPr>
      <w:numPr>
        <w:ilvl w:val="4"/>
        <w:numId w:val="1"/>
      </w:numPr>
    </w:pPr>
    <w:rPr>
      <w:rFonts w:ascii="宋体" w:eastAsia="宋体"/>
    </w:rPr>
  </w:style>
  <w:style w:type="paragraph" w:customStyle="1" w:styleId="44">
    <w:name w:val="标准文件_正文表标题"/>
    <w:autoRedefine/>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5">
    <w:name w:val="font11"/>
    <w:autoRedefine/>
    <w:qFormat/>
    <w:uiPriority w:val="0"/>
    <w:rPr>
      <w:rFonts w:ascii="等线" w:eastAsia="等线"/>
      <w:b/>
      <w:bCs/>
      <w:color w:val="FF0000"/>
      <w:sz w:val="22"/>
      <w:szCs w:val="22"/>
      <w:u w:val="none"/>
    </w:rPr>
  </w:style>
  <w:style w:type="character" w:customStyle="1" w:styleId="46">
    <w:name w:val="font01"/>
    <w:autoRedefine/>
    <w:qFormat/>
    <w:uiPriority w:val="0"/>
    <w:rPr>
      <w:rFonts w:ascii="等线" w:eastAsia="等线"/>
      <w:color w:val="000000"/>
      <w:sz w:val="22"/>
      <w:szCs w:val="22"/>
      <w:u w:val="none"/>
    </w:rPr>
  </w:style>
  <w:style w:type="paragraph" w:customStyle="1" w:styleId="47">
    <w:name w:val="段"/>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8">
    <w:name w:val="二级无"/>
    <w:basedOn w:val="1"/>
    <w:autoRedefine/>
    <w:qFormat/>
    <w:uiPriority w:val="0"/>
    <w:pPr>
      <w:widowControl/>
      <w:numPr>
        <w:ilvl w:val="2"/>
        <w:numId w:val="3"/>
      </w:numPr>
      <w:tabs>
        <w:tab w:val="left" w:pos="780"/>
      </w:tabs>
      <w:jc w:val="left"/>
      <w:outlineLvl w:val="3"/>
    </w:pPr>
    <w:rPr>
      <w:rFonts w:ascii="宋体"/>
      <w:kern w:val="0"/>
      <w:szCs w:val="21"/>
    </w:rPr>
  </w:style>
  <w:style w:type="paragraph" w:customStyle="1" w:styleId="49">
    <w:name w:val="标准文件_二级无标题"/>
    <w:basedOn w:val="36"/>
    <w:autoRedefine/>
    <w:qFormat/>
    <w:uiPriority w:val="0"/>
    <w:pPr>
      <w:numPr>
        <w:ilvl w:val="3"/>
        <w:numId w:val="4"/>
      </w:numPr>
      <w:tabs>
        <w:tab w:val="left" w:pos="1200"/>
      </w:tabs>
      <w:spacing w:before="0" w:beforeLines="0" w:after="0" w:afterLines="0"/>
      <w:outlineLvl w:val="9"/>
    </w:pPr>
    <w:rPr>
      <w:rFonts w:ascii="宋体" w:eastAsia="宋体"/>
    </w:rPr>
  </w:style>
  <w:style w:type="paragraph" w:customStyle="1" w:styleId="50">
    <w:name w:val="Char Char Char Char"/>
    <w:basedOn w:val="1"/>
    <w:autoRedefine/>
    <w:qFormat/>
    <w:uiPriority w:val="0"/>
  </w:style>
  <w:style w:type="paragraph" w:customStyle="1" w:styleId="51">
    <w:name w:val="标准文件_数字编号列项（二级）"/>
    <w:autoRedefine/>
    <w:qFormat/>
    <w:uiPriority w:val="0"/>
    <w:pPr>
      <w:numPr>
        <w:ilvl w:val="1"/>
        <w:numId w:val="5"/>
      </w:numPr>
      <w:jc w:val="both"/>
    </w:pPr>
    <w:rPr>
      <w:rFonts w:ascii="宋体" w:hAnsi="Calibri" w:eastAsia="宋体" w:cs="Calibri"/>
      <w:sz w:val="21"/>
      <w:lang w:val="en-US" w:eastAsia="zh-CN" w:bidi="ar-SA"/>
    </w:rPr>
  </w:style>
  <w:style w:type="paragraph" w:customStyle="1" w:styleId="52">
    <w:name w:val="标准文件_编号列项（三级）"/>
    <w:autoRedefine/>
    <w:qFormat/>
    <w:uiPriority w:val="0"/>
    <w:pPr>
      <w:numPr>
        <w:ilvl w:val="2"/>
        <w:numId w:val="5"/>
      </w:numPr>
    </w:pPr>
    <w:rPr>
      <w:rFonts w:ascii="宋体" w:hAnsi="Calibri" w:eastAsia="宋体" w:cs="Calibri"/>
      <w:sz w:val="21"/>
      <w:lang w:val="en-US" w:eastAsia="zh-CN" w:bidi="ar-SA"/>
    </w:rPr>
  </w:style>
  <w:style w:type="paragraph" w:customStyle="1" w:styleId="53">
    <w:name w:val="标准文件_字母编号列项（一级）"/>
    <w:autoRedefine/>
    <w:qFormat/>
    <w:uiPriority w:val="0"/>
    <w:pPr>
      <w:numPr>
        <w:ilvl w:val="0"/>
        <w:numId w:val="5"/>
      </w:numPr>
      <w:jc w:val="both"/>
    </w:pPr>
    <w:rPr>
      <w:rFonts w:ascii="宋体" w:hAnsi="Calibri" w:eastAsia="宋体" w:cs="Calibri"/>
      <w:sz w:val="21"/>
      <w:lang w:val="en-US" w:eastAsia="zh-CN" w:bidi="ar-SA"/>
    </w:rPr>
  </w:style>
  <w:style w:type="paragraph" w:customStyle="1" w:styleId="54">
    <w:name w:val="标准文件_术语条一"/>
    <w:basedOn w:val="1"/>
    <w:next w:val="33"/>
    <w:autoRedefine/>
    <w:qFormat/>
    <w:uiPriority w:val="0"/>
    <w:pPr>
      <w:widowControl/>
    </w:pPr>
    <w:rPr>
      <w:rFonts w:ascii="宋体"/>
      <w:kern w:val="0"/>
      <w:szCs w:val="20"/>
    </w:rPr>
  </w:style>
  <w:style w:type="paragraph" w:customStyle="1" w:styleId="55">
    <w:name w:val="abstract"/>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56">
    <w:name w:val="abstract_more"/>
    <w:basedOn w:val="1"/>
    <w:autoRedefine/>
    <w:qFormat/>
    <w:uiPriority w:val="0"/>
    <w:pPr>
      <w:widowControl/>
      <w:spacing w:before="100" w:beforeAutospacing="1" w:after="100" w:afterAutospacing="1"/>
      <w:jc w:val="left"/>
    </w:pPr>
    <w:rPr>
      <w:rFonts w:ascii="宋体" w:hAnsi="宋体" w:cs="宋体"/>
      <w:kern w:val="0"/>
      <w:sz w:val="24"/>
    </w:rPr>
  </w:style>
  <w:style w:type="paragraph" w:styleId="57">
    <w:name w:val="No Spacing"/>
    <w:autoRedefine/>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8">
    <w:name w:val="标准文件_一级项"/>
    <w:autoRedefine/>
    <w:qFormat/>
    <w:uiPriority w:val="0"/>
    <w:pPr>
      <w:numPr>
        <w:ilvl w:val="0"/>
        <w:numId w:val="6"/>
      </w:numPr>
    </w:pPr>
    <w:rPr>
      <w:rFonts w:ascii="宋体" w:hAnsi="Times New Roman" w:eastAsia="宋体" w:cs="Times New Roman"/>
      <w:sz w:val="21"/>
      <w:lang w:val="en-US" w:eastAsia="zh-CN" w:bidi="ar-SA"/>
    </w:rPr>
  </w:style>
  <w:style w:type="paragraph" w:customStyle="1" w:styleId="59">
    <w:name w:val="普通(网站) Char"/>
    <w:basedOn w:val="1"/>
    <w:qFormat/>
    <w:uiPriority w:val="0"/>
    <w:pPr>
      <w:spacing w:beforeAutospacing="1" w:afterAutospacing="1"/>
      <w:jc w:val="left"/>
    </w:pPr>
    <w:rPr>
      <w:rFonts w:hint="eastAsia" w:ascii="宋体" w:hAnsi="宋体" w:cs="Times New Roman"/>
      <w:kern w:val="0"/>
      <w:sz w:val="24"/>
    </w:rPr>
  </w:style>
  <w:style w:type="paragraph" w:customStyle="1" w:styleId="60">
    <w:name w:val="标准文件_五级无标题"/>
    <w:qFormat/>
    <w:uiPriority w:val="0"/>
    <w:pPr>
      <w:widowControl w:val="0"/>
      <w:numPr>
        <w:ilvl w:val="6"/>
        <w:numId w:val="7"/>
      </w:numPr>
      <w:jc w:val="both"/>
    </w:pPr>
    <w:rPr>
      <w:rFonts w:hint="eastAsia" w:ascii="宋体" w:hAnsi="Times New Roman" w:eastAsia="宋体" w:cs="Times New Roman"/>
      <w:sz w:val="21"/>
      <w:lang w:val="en-US" w:eastAsia="zh-CN" w:bidi="ar-SA"/>
    </w:rPr>
  </w:style>
  <w:style w:type="paragraph" w:customStyle="1" w:styleId="61">
    <w:name w:val="标准文件_注×："/>
    <w:basedOn w:val="1"/>
    <w:qFormat/>
    <w:uiPriority w:val="0"/>
    <w:pPr>
      <w:numPr>
        <w:ilvl w:val="0"/>
        <w:numId w:val="8"/>
      </w:numPr>
      <w:autoSpaceDE w:val="0"/>
      <w:autoSpaceDN w:val="0"/>
    </w:pPr>
    <w:rPr>
      <w:rFonts w:hint="eastAsia" w:ascii="宋体" w:hAnsi="Times New Roman" w:cs="Times New Roman"/>
      <w:kern w:val="0"/>
      <w:sz w:val="18"/>
      <w:szCs w:val="18"/>
    </w:rPr>
  </w:style>
  <w:style w:type="paragraph" w:customStyle="1" w:styleId="62">
    <w:name w:val="标准文件_表格"/>
    <w:basedOn w:val="1"/>
    <w:qFormat/>
    <w:uiPriority w:val="0"/>
    <w:pPr>
      <w:widowControl/>
      <w:autoSpaceDE w:val="0"/>
      <w:autoSpaceDN w:val="0"/>
      <w:jc w:val="center"/>
    </w:pPr>
    <w:rPr>
      <w:rFonts w:hint="eastAsia" w:ascii="宋体" w:hAnsi="Times New Roman" w:cs="Times New Roman"/>
      <w:kern w:val="0"/>
      <w:sz w:val="18"/>
      <w:szCs w:val="20"/>
    </w:rPr>
  </w:style>
  <w:style w:type="paragraph" w:customStyle="1" w:styleId="63">
    <w:name w:val="标准文件_附录表标题"/>
    <w:basedOn w:val="1"/>
    <w:next w:val="1"/>
    <w:qFormat/>
    <w:uiPriority w:val="0"/>
    <w:pPr>
      <w:widowControl/>
      <w:numPr>
        <w:ilvl w:val="1"/>
        <w:numId w:val="9"/>
      </w:numPr>
      <w:adjustRightInd w:val="0"/>
      <w:snapToGrid w:val="0"/>
      <w:spacing w:before="50" w:beforeLines="50" w:after="50" w:afterLines="50"/>
      <w:jc w:val="center"/>
    </w:pPr>
    <w:rPr>
      <w:rFonts w:hint="eastAsia" w:ascii="黑体" w:hAnsi="Times New Roman" w:eastAsia="黑体" w:cs="Times New Roman"/>
      <w:kern w:val="21"/>
      <w:szCs w:val="20"/>
    </w:rPr>
  </w:style>
  <w:style w:type="character" w:customStyle="1" w:styleId="64">
    <w:name w:val="font31"/>
    <w:basedOn w:val="18"/>
    <w:qFormat/>
    <w:uiPriority w:val="0"/>
    <w:rPr>
      <w:rFonts w:hint="eastAsia" w:ascii="宋体" w:hAnsi="宋体" w:eastAsia="宋体" w:cs="宋体"/>
      <w:color w:val="1F2329"/>
      <w:sz w:val="24"/>
      <w:szCs w:val="24"/>
      <w:u w:val="none"/>
    </w:rPr>
  </w:style>
  <w:style w:type="paragraph" w:customStyle="1" w:styleId="65">
    <w:name w:val="标准文件_附录一级条标题"/>
    <w:basedOn w:val="1"/>
    <w:next w:val="1"/>
    <w:qFormat/>
    <w:uiPriority w:val="0"/>
    <w:pPr>
      <w:numPr>
        <w:ilvl w:val="1"/>
        <w:numId w:val="10"/>
      </w:numPr>
      <w:spacing w:before="50" w:beforeLines="50" w:after="50" w:afterLines="50"/>
      <w:outlineLvl w:val="2"/>
    </w:pPr>
    <w:rPr>
      <w:rFonts w:hint="eastAsia" w:ascii="黑体" w:hAnsi="Times New Roman" w:eastAsia="黑体" w:cs="Times New Roman"/>
      <w:kern w:val="21"/>
      <w:szCs w:val="20"/>
    </w:rPr>
  </w:style>
  <w:style w:type="character" w:customStyle="1" w:styleId="66">
    <w:name w:val="标题 字符"/>
    <w:basedOn w:val="18"/>
    <w:link w:val="15"/>
    <w:qFormat/>
    <w:uiPriority w:val="0"/>
    <w:rPr>
      <w:rFonts w:ascii="等线 Light" w:hAnsi="等线 Light" w:eastAsia="等线 Light" w:cs="Times New Roman"/>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22</Pages>
  <Words>1399</Words>
  <Characters>1415</Characters>
  <Lines>91</Lines>
  <Paragraphs>25</Paragraphs>
  <TotalTime>5</TotalTime>
  <ScaleCrop>false</ScaleCrop>
  <LinksUpToDate>false</LinksUpToDate>
  <CharactersWithSpaces>1415</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2026-03-26T03:14:00Z</dcterms:created>
  <dc:creator>Administrator</dc:creator>
  <cp:lastModifiedBy>对方正在输入...</cp:lastModifiedBy>
  <cp:lastPrinted>2025-09-04T06:54:00Z</cp:lastPrinted>
  <dcterms:modified xsi:type="dcterms:W3CDTF">2026-03-27T03:55:11Z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E5421A8AE74B45F584C4C9D7558C74F0_13</vt:lpwstr>
  </property>
  <property fmtid="{D5CDD505-2E9C-101B-9397-08002B2CF9AE}" pid="4" name="KSOTemplateDocerSaveRecord">
    <vt:lpwstr>eyJoZGlkIjoiMzg2YTk3YWJlMzJiOWE4NmU5OTkxNmM1MjU1OThkOTQiLCJ1c2VySWQiOiIzMjAyMTY5NjkifQ==</vt:lpwstr>
  </property>
</Properties>
</file>