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D1F025">
      <w:pPr>
        <w:jc w:val="center"/>
        <w:rPr>
          <w:rFonts w:hint="eastAsia" w:ascii="方正小标宋简体" w:hAnsi="方正小标宋简体" w:eastAsia="方正小标宋简体" w:cs="方正小标宋简体"/>
          <w:bCs/>
          <w:sz w:val="36"/>
          <w:szCs w:val="32"/>
        </w:rPr>
      </w:pPr>
      <w:r>
        <w:rPr>
          <w:rFonts w:hint="eastAsia" w:ascii="方正小标宋简体" w:hAnsi="方正小标宋简体" w:eastAsia="方正小标宋简体" w:cs="方正小标宋简体"/>
          <w:bCs/>
          <w:sz w:val="36"/>
          <w:szCs w:val="32"/>
        </w:rPr>
        <w:t>团体标准《</w:t>
      </w:r>
      <w:r>
        <w:rPr>
          <w:rFonts w:hint="eastAsia" w:ascii="方正小标宋简体" w:hAnsi="方正小标宋简体" w:eastAsia="方正小标宋简体" w:cs="方正小标宋简体"/>
          <w:bCs/>
          <w:sz w:val="36"/>
          <w:szCs w:val="32"/>
          <w:lang w:eastAsia="zh-CN"/>
        </w:rPr>
        <w:t>高速公路桥隧电力线缆运维管理规范</w:t>
      </w:r>
      <w:r>
        <w:rPr>
          <w:rFonts w:hint="eastAsia" w:ascii="方正小标宋简体" w:hAnsi="方正小标宋简体" w:eastAsia="方正小标宋简体" w:cs="方正小标宋简体"/>
          <w:bCs/>
          <w:sz w:val="36"/>
          <w:szCs w:val="32"/>
        </w:rPr>
        <w:t>》（</w:t>
      </w:r>
      <w:r>
        <w:rPr>
          <w:rFonts w:hint="eastAsia" w:ascii="方正小标宋简体" w:hAnsi="方正小标宋简体" w:eastAsia="方正小标宋简体" w:cs="方正小标宋简体"/>
          <w:bCs/>
          <w:sz w:val="36"/>
          <w:szCs w:val="32"/>
          <w:lang w:eastAsia="zh-CN"/>
        </w:rPr>
        <w:t>征求意见</w:t>
      </w:r>
      <w:r>
        <w:rPr>
          <w:rFonts w:hint="eastAsia" w:ascii="方正小标宋简体" w:hAnsi="方正小标宋简体" w:eastAsia="方正小标宋简体" w:cs="方正小标宋简体"/>
          <w:bCs/>
          <w:sz w:val="36"/>
          <w:szCs w:val="32"/>
        </w:rPr>
        <w:t>稿）编制说明</w:t>
      </w:r>
    </w:p>
    <w:p w14:paraId="6AF687CB">
      <w:pPr>
        <w:ind w:firstLine="360"/>
        <w:jc w:val="center"/>
        <w:rPr>
          <w:rFonts w:ascii="微软雅黑" w:eastAsia="微软雅黑" w:cs="仿宋_GB2312"/>
          <w:bCs/>
          <w:sz w:val="18"/>
          <w:szCs w:val="18"/>
        </w:rPr>
      </w:pPr>
    </w:p>
    <w:p w14:paraId="0EC4541C">
      <w:pPr>
        <w:spacing w:line="520" w:lineRule="exact"/>
        <w:ind w:firstLine="640" w:firstLineChars="200"/>
        <w:outlineLvl w:val="0"/>
        <w:rPr>
          <w:rFonts w:ascii="黑体" w:eastAsia="黑体" w:cs="仿宋_GB2312"/>
          <w:bCs/>
          <w:sz w:val="32"/>
          <w:szCs w:val="32"/>
        </w:rPr>
      </w:pPr>
      <w:r>
        <w:rPr>
          <w:rFonts w:hint="eastAsia" w:ascii="黑体" w:eastAsia="黑体" w:cs="仿宋_GB2312"/>
          <w:sz w:val="32"/>
          <w:szCs w:val="32"/>
        </w:rPr>
        <w:t>一、任务来源、起草单位、主要起草人</w:t>
      </w:r>
    </w:p>
    <w:p w14:paraId="1CDB763D">
      <w:pPr>
        <w:spacing w:line="520" w:lineRule="exact"/>
        <w:ind w:firstLine="560" w:firstLineChars="200"/>
        <w:rPr>
          <w:rFonts w:ascii="仿宋_GB2312" w:eastAsia="仿宋_GB2312"/>
          <w:sz w:val="28"/>
          <w:szCs w:val="28"/>
        </w:rPr>
      </w:pPr>
      <w:r>
        <w:rPr>
          <w:rFonts w:hint="eastAsia" w:ascii="仿宋_GB2312" w:eastAsia="仿宋_GB2312"/>
          <w:sz w:val="28"/>
          <w:szCs w:val="28"/>
        </w:rPr>
        <w:t>根据《广西标准化协会关于下达2026年第二批原创性高质量团体标准制修订项目计划的通知》（桂标协〔202</w:t>
      </w:r>
      <w:r>
        <w:rPr>
          <w:rFonts w:hint="eastAsia" w:ascii="仿宋_GB2312" w:eastAsia="仿宋_GB2312"/>
          <w:sz w:val="28"/>
          <w:szCs w:val="28"/>
          <w:lang w:val="en-US" w:eastAsia="zh-CN"/>
        </w:rPr>
        <w:t>6</w:t>
      </w:r>
      <w:r>
        <w:rPr>
          <w:rFonts w:hint="eastAsia" w:ascii="仿宋_GB2312" w:eastAsia="仿宋_GB2312"/>
          <w:sz w:val="28"/>
          <w:szCs w:val="28"/>
        </w:rPr>
        <w:t>〕</w:t>
      </w:r>
      <w:r>
        <w:rPr>
          <w:rFonts w:hint="eastAsia" w:ascii="仿宋_GB2312" w:eastAsia="仿宋_GB2312"/>
          <w:sz w:val="28"/>
          <w:szCs w:val="28"/>
          <w:lang w:val="en-US" w:eastAsia="zh-CN"/>
        </w:rPr>
        <w:t>32</w:t>
      </w:r>
      <w:r>
        <w:rPr>
          <w:rFonts w:hint="eastAsia" w:ascii="仿宋_GB2312" w:eastAsia="仿宋_GB2312"/>
          <w:sz w:val="28"/>
          <w:szCs w:val="28"/>
        </w:rPr>
        <w:t>号）精神，由广西网络安全和信息化联合会提出，</w:t>
      </w:r>
      <w:r>
        <w:rPr>
          <w:rFonts w:hint="eastAsia" w:ascii="仿宋_GB2312" w:eastAsia="仿宋_GB2312"/>
          <w:sz w:val="28"/>
          <w:szCs w:val="28"/>
          <w:lang w:eastAsia="zh-CN"/>
        </w:rPr>
        <w:t>广西福玉高速公路有限公司、广西智投机电工程有限公司、广西交通投资集团梧州高速公路运营有限公司、广西网络安全和信息化联合会、广西智能交通科技有限公司</w:t>
      </w:r>
      <w:r>
        <w:rPr>
          <w:rFonts w:hint="eastAsia" w:ascii="仿宋_GB2312" w:eastAsia="仿宋_GB2312"/>
          <w:sz w:val="28"/>
          <w:szCs w:val="28"/>
        </w:rPr>
        <w:t>等单位共同起草的团体标准《</w:t>
      </w:r>
      <w:r>
        <w:rPr>
          <w:rFonts w:hint="eastAsia" w:ascii="仿宋_GB2312" w:eastAsia="仿宋_GB2312"/>
          <w:sz w:val="28"/>
          <w:szCs w:val="28"/>
          <w:lang w:eastAsia="zh-CN"/>
        </w:rPr>
        <w:t>高速公路桥隧电力线缆运维管理规范</w:t>
      </w:r>
      <w:r>
        <w:rPr>
          <w:rFonts w:hint="eastAsia" w:ascii="仿宋_GB2312" w:eastAsia="仿宋_GB2312"/>
          <w:sz w:val="28"/>
          <w:szCs w:val="28"/>
        </w:rPr>
        <w:t>》（项目编号：2026-0201），已获立项。</w:t>
      </w:r>
    </w:p>
    <w:p w14:paraId="2A53C140">
      <w:pPr>
        <w:spacing w:line="520" w:lineRule="exact"/>
        <w:ind w:firstLine="560" w:firstLineChars="200"/>
        <w:rPr>
          <w:rFonts w:hint="eastAsia" w:ascii="仿宋_GB2312" w:eastAsia="仿宋_GB2312"/>
          <w:sz w:val="28"/>
          <w:szCs w:val="28"/>
          <w:highlight w:val="yellow"/>
          <w:lang w:eastAsia="zh-CN"/>
        </w:rPr>
      </w:pPr>
      <w:r>
        <w:rPr>
          <w:rFonts w:hint="eastAsia" w:ascii="仿宋_GB2312" w:eastAsia="仿宋_GB2312"/>
          <w:sz w:val="28"/>
          <w:szCs w:val="28"/>
        </w:rPr>
        <w:t>为高质量编制团体标准《</w:t>
      </w:r>
      <w:r>
        <w:rPr>
          <w:rFonts w:hint="eastAsia" w:ascii="仿宋_GB2312" w:eastAsia="仿宋_GB2312"/>
          <w:sz w:val="28"/>
          <w:szCs w:val="28"/>
          <w:lang w:eastAsia="zh-CN"/>
        </w:rPr>
        <w:t>高速公路桥隧电力线缆运维管理规范</w:t>
      </w:r>
      <w:r>
        <w:rPr>
          <w:rFonts w:hint="eastAsia" w:ascii="仿宋_GB2312" w:eastAsia="仿宋_GB2312"/>
          <w:sz w:val="28"/>
          <w:szCs w:val="28"/>
        </w:rPr>
        <w:t>》，由起草单位成立标准编制工作组并进行如下分工：</w:t>
      </w:r>
    </w:p>
    <w:tbl>
      <w:tblPr>
        <w:tblStyle w:val="16"/>
        <w:tblW w:w="9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5"/>
        <w:gridCol w:w="1583"/>
        <w:gridCol w:w="1538"/>
        <w:gridCol w:w="2386"/>
        <w:gridCol w:w="2948"/>
      </w:tblGrid>
      <w:tr w14:paraId="06D91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A298BD7">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姓名</w:t>
            </w:r>
          </w:p>
        </w:tc>
        <w:tc>
          <w:tcPr>
            <w:tcW w:w="1583" w:type="dxa"/>
            <w:tcBorders>
              <w:top w:val="single" w:color="auto" w:sz="4" w:space="0"/>
              <w:left w:val="single" w:color="auto" w:sz="4" w:space="0"/>
              <w:bottom w:val="single" w:color="auto" w:sz="4" w:space="0"/>
              <w:right w:val="single" w:color="auto" w:sz="4" w:space="0"/>
            </w:tcBorders>
            <w:vAlign w:val="center"/>
          </w:tcPr>
          <w:p w14:paraId="56E69DE8">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职务/职</w:t>
            </w:r>
            <w:r>
              <w:rPr>
                <w:rFonts w:hint="default" w:ascii="仿宋_GB2312" w:hAnsi="仿宋" w:eastAsia="仿宋_GB2312" w:cs="仿宋"/>
                <w:b/>
                <w:sz w:val="24"/>
              </w:rPr>
              <w:t>称</w:t>
            </w:r>
          </w:p>
        </w:tc>
        <w:tc>
          <w:tcPr>
            <w:tcW w:w="1538" w:type="dxa"/>
            <w:tcBorders>
              <w:top w:val="single" w:color="auto" w:sz="4" w:space="0"/>
              <w:left w:val="single" w:color="auto" w:sz="4" w:space="0"/>
              <w:bottom w:val="single" w:color="auto" w:sz="4" w:space="0"/>
              <w:right w:val="single" w:color="auto" w:sz="4" w:space="0"/>
            </w:tcBorders>
            <w:vAlign w:val="center"/>
          </w:tcPr>
          <w:p w14:paraId="6844AF36">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从事</w:t>
            </w:r>
          </w:p>
          <w:p w14:paraId="2E0293F8">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专业</w:t>
            </w:r>
          </w:p>
        </w:tc>
        <w:tc>
          <w:tcPr>
            <w:tcW w:w="2386" w:type="dxa"/>
            <w:tcBorders>
              <w:top w:val="single" w:color="auto" w:sz="4" w:space="0"/>
              <w:left w:val="single" w:color="auto" w:sz="4" w:space="0"/>
              <w:bottom w:val="single" w:color="auto" w:sz="4" w:space="0"/>
              <w:right w:val="single" w:color="auto" w:sz="4" w:space="0"/>
            </w:tcBorders>
            <w:vAlign w:val="center"/>
          </w:tcPr>
          <w:p w14:paraId="33F35368">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工作单位</w:t>
            </w:r>
          </w:p>
        </w:tc>
        <w:tc>
          <w:tcPr>
            <w:tcW w:w="2948" w:type="dxa"/>
            <w:tcBorders>
              <w:top w:val="single" w:color="auto" w:sz="4" w:space="0"/>
              <w:left w:val="single" w:color="auto" w:sz="4" w:space="0"/>
              <w:bottom w:val="single" w:color="auto" w:sz="4" w:space="0"/>
              <w:right w:val="single" w:color="auto" w:sz="4" w:space="0"/>
            </w:tcBorders>
            <w:vAlign w:val="center"/>
          </w:tcPr>
          <w:p w14:paraId="18D38D1B">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主要负责工作</w:t>
            </w:r>
          </w:p>
        </w:tc>
      </w:tr>
      <w:tr w14:paraId="387FD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50B3AD43">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李诗荣</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162C9AF5">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总经理/高级工程师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484167A5">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机电工程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1031F917">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682D9A28">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全面组织</w:t>
            </w:r>
          </w:p>
        </w:tc>
      </w:tr>
      <w:bookmarkEnd w:id="0"/>
      <w:tr w14:paraId="38F55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4B32B58F">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刘聪</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7BE7D7EF">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工程管理部部长/高级工程师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0853D746">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土木工程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13765E31">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广西福玉高速公路有限公司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3F083566">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负责起草规范草案，征求意见稿和规范编制说明的编写工作</w:t>
            </w:r>
          </w:p>
        </w:tc>
      </w:tr>
      <w:tr w14:paraId="2FAF4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6C6FA172">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秦曙光</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1EBFE524">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副总经理/高级工程师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42C65FF5">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土木工程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4F5C1797">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广西福玉高速公路有限公司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1B01D0A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5B3AB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65ADB70C">
            <w:pPr>
              <w:keepNext w:val="0"/>
              <w:keepLines w:val="0"/>
              <w:widowControl w:val="0"/>
              <w:suppressLineNumbers w:val="0"/>
              <w:tabs>
                <w:tab w:val="left" w:pos="566"/>
              </w:tabs>
              <w:spacing w:before="0" w:beforeAutospacing="0" w:after="0" w:afterAutospacing="0"/>
              <w:ind w:left="0" w:leftChars="0" w:right="0" w:rightChars="0"/>
              <w:jc w:val="left"/>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覃瑞宏</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68E67A7D">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部长/高级工程师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6CF6055E">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公路与城市道路工程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3538DFEF">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61F3A62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指导规范文本及编制说明编写，质量控制</w:t>
            </w:r>
          </w:p>
        </w:tc>
      </w:tr>
      <w:tr w14:paraId="40ABC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7B05DBD3">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刘耀喜</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70EB1BA4">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技术负责人/高级工程师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06905B97">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通信工程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6B1670D1">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56F2EE45">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15F9E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52042354">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聂林焕</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2256DC4C">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副经理/中级职称</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794E0242">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交通机电</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40B99616">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广西交通投资集团梧州高速公路运营有限公司平南分公司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2ABFAA6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541AC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3E7692B6">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吴玮</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0AB4689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计量工程师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461DCB10">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工程造价</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00040CF8">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367225A4">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0FAFB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62504915">
            <w:pPr>
              <w:keepNext w:val="0"/>
              <w:keepLines w:val="0"/>
              <w:widowControl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覃信满</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0380DD98">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站长/中级职称</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01C1CA84">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交通机电</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0282E992">
            <w:pPr>
              <w:keepNext w:val="0"/>
              <w:keepLines w:val="0"/>
              <w:widowControl w:val="0"/>
              <w:suppressLineNumbers w:val="0"/>
              <w:spacing w:before="0" w:beforeAutospacing="0" w:after="0" w:afterAutospacing="0"/>
              <w:ind w:left="0" w:leftChars="0" w:right="0" w:rightChars="0"/>
              <w:jc w:val="center"/>
              <w:rPr>
                <w:rFonts w:hint="default" w:ascii="Calibri" w:hAnsi="Calibri" w:eastAsia="宋体" w:cs="Calibri"/>
                <w:kern w:val="2"/>
                <w:sz w:val="21"/>
                <w:szCs w:val="24"/>
                <w:lang w:val="en-US" w:eastAsia="zh-CN" w:bidi="ar-SA"/>
              </w:rPr>
            </w:pPr>
            <w:r>
              <w:rPr>
                <w:rFonts w:hint="eastAsia" w:ascii="仿宋_GB2312" w:hAnsi="仿宋_GB2312" w:eastAsia="仿宋_GB2312" w:cs="仿宋_GB2312"/>
                <w:kern w:val="2"/>
                <w:sz w:val="24"/>
                <w:szCs w:val="24"/>
                <w:lang w:val="en-US" w:eastAsia="zh-CN" w:bidi="ar"/>
              </w:rPr>
              <w:t>广西交通投资集团梧州高速公路运营有限公司平南分公司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34741AE">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负责起草规范草案，征求意见稿和规范编制说明，送审稿及编制说明的编写工作</w:t>
            </w:r>
          </w:p>
        </w:tc>
      </w:tr>
      <w:tr w14:paraId="18E52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1B1E9EFE">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兰书棋</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725C6CDC">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运维工程师/助理工程师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5EC91BD9">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材料科学与工程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643E2B45">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400EF54C">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负责编制说明的编写，质量控制</w:t>
            </w:r>
          </w:p>
        </w:tc>
      </w:tr>
      <w:tr w14:paraId="18E0C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58B8AF75">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雷志宁</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52DCE050">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运维工程师/高级工程师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7E96303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计算机科学与技术</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62C53919">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1"/>
                <w:szCs w:val="24"/>
                <w:lang w:val="en-US" w:eastAsia="zh-CN" w:bidi="ar-SA"/>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432C630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3856B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5369EA7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奉佳</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2E7F7A64">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专职副会长兼秘书长/高级程序员</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6B871E6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网络安全和信息化</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39A7331C">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1"/>
                <w:szCs w:val="24"/>
                <w:lang w:val="en-US" w:eastAsia="zh-CN" w:bidi="ar-SA"/>
              </w:rPr>
            </w:pPr>
            <w:r>
              <w:rPr>
                <w:rFonts w:hint="eastAsia" w:ascii="仿宋_GB2312" w:hAnsi="仿宋_GB2312" w:eastAsia="仿宋_GB2312" w:cs="仿宋_GB2312"/>
                <w:kern w:val="2"/>
                <w:sz w:val="24"/>
                <w:szCs w:val="24"/>
                <w:lang w:val="en-US" w:eastAsia="zh-CN" w:bidi="ar"/>
              </w:rPr>
              <w:t xml:space="preserve">广西网络安全和信息化联合会 </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5E608838">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负责对网络安全相关部分进行把关并提出意见</w:t>
            </w:r>
          </w:p>
        </w:tc>
      </w:tr>
      <w:tr w14:paraId="42C02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36984613">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韦芳圻</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403FD933">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工程师/中级</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1863805A">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政策研究</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00207383">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1"/>
                <w:szCs w:val="24"/>
                <w:lang w:val="en-US" w:eastAsia="zh-CN" w:bidi="ar-SA"/>
              </w:rPr>
            </w:pPr>
            <w:r>
              <w:rPr>
                <w:rFonts w:hint="eastAsia" w:ascii="仿宋_GB2312" w:hAnsi="仿宋_GB2312" w:eastAsia="仿宋_GB2312" w:cs="仿宋_GB2312"/>
                <w:kern w:val="2"/>
                <w:sz w:val="24"/>
                <w:szCs w:val="24"/>
                <w:lang w:val="en-US" w:eastAsia="zh-CN" w:bidi="ar"/>
              </w:rPr>
              <w:t xml:space="preserve">广西网络安全和信息化联合会 </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0406ACBA">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负责对网络安全相关部分进行把关并提出意见</w:t>
            </w:r>
          </w:p>
        </w:tc>
      </w:tr>
      <w:tr w14:paraId="50DB4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53235640">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尹哲明</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4FCCB28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5E5C6F59">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计算机科学与技术</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07E62354">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1"/>
                <w:szCs w:val="24"/>
                <w:lang w:val="en-US" w:eastAsia="zh-CN" w:bidi="ar-SA"/>
              </w:rPr>
            </w:pPr>
            <w:r>
              <w:rPr>
                <w:rFonts w:hint="eastAsia" w:ascii="仿宋_GB2312" w:hAnsi="仿宋_GB2312" w:eastAsia="仿宋_GB2312" w:cs="仿宋_GB2312"/>
                <w:kern w:val="2"/>
                <w:sz w:val="24"/>
                <w:szCs w:val="24"/>
                <w:lang w:val="en-US" w:eastAsia="zh-CN" w:bidi="ar"/>
              </w:rPr>
              <w:t>南宁高新技术产业开发区管理委员会</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2842C71">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负责对网络安全相关部分进行把关并提出意见</w:t>
            </w:r>
          </w:p>
        </w:tc>
      </w:tr>
      <w:tr w14:paraId="67971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3E45CED0">
            <w:pPr>
              <w:keepNext w:val="0"/>
              <w:keepLines w:val="0"/>
              <w:widowControl w:val="0"/>
              <w:suppressLineNumbers w:val="0"/>
              <w:tabs>
                <w:tab w:val="left" w:pos="566"/>
              </w:tabs>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李俊辉</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324890EF">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副经理/副高级职称</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361CD6C0">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交通机电</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3A85534A">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1"/>
                <w:szCs w:val="24"/>
                <w:lang w:val="en-US" w:eastAsia="zh-CN" w:bidi="ar-SA"/>
              </w:rPr>
            </w:pPr>
            <w:r>
              <w:rPr>
                <w:rFonts w:hint="eastAsia" w:ascii="仿宋_GB2312" w:hAnsi="仿宋_GB2312" w:eastAsia="仿宋_GB2312" w:cs="仿宋_GB2312"/>
                <w:kern w:val="2"/>
                <w:sz w:val="24"/>
                <w:szCs w:val="24"/>
                <w:lang w:val="en-US" w:eastAsia="zh-CN" w:bidi="ar"/>
              </w:rPr>
              <w:t>广西交通投资集团梧州高速公路运营有限公司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0268302A">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28EEA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189ECD5A">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梁文浩</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15765577">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工程管理工程师/高级工程师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77B96402">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工程管理</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1E3EA042">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广西福玉高速公路有限公司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6396BD72">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4AD00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324DF1E1">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bCs/>
                <w:spacing w:val="0"/>
                <w:kern w:val="2"/>
                <w:sz w:val="24"/>
                <w:szCs w:val="24"/>
                <w:highlight w:val="none"/>
                <w:lang w:val="en-US" w:eastAsia="zh-CN" w:bidi="ar"/>
              </w:rPr>
            </w:pPr>
            <w:r>
              <w:rPr>
                <w:rFonts w:hint="eastAsia" w:ascii="仿宋_GB2312" w:hAnsi="仿宋_GB2312" w:eastAsia="仿宋_GB2312" w:cs="仿宋_GB2312"/>
                <w:bCs/>
                <w:kern w:val="2"/>
                <w:sz w:val="24"/>
                <w:szCs w:val="24"/>
                <w:lang w:val="en-US" w:eastAsia="zh-CN" w:bidi="ar"/>
              </w:rPr>
              <w:t>陈佳</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33E68117">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bCs/>
                <w:spacing w:val="0"/>
                <w:kern w:val="2"/>
                <w:sz w:val="24"/>
                <w:szCs w:val="24"/>
                <w:highlight w:val="none"/>
                <w:lang w:val="en-US" w:eastAsia="zh-CN" w:bidi="ar"/>
              </w:rPr>
            </w:pPr>
            <w:r>
              <w:rPr>
                <w:rFonts w:hint="eastAsia" w:ascii="仿宋_GB2312" w:hAnsi="仿宋_GB2312" w:eastAsia="仿宋_GB2312" w:cs="仿宋_GB2312"/>
                <w:bCs/>
                <w:kern w:val="2"/>
                <w:sz w:val="24"/>
                <w:szCs w:val="24"/>
                <w:lang w:val="en-US" w:eastAsia="zh-CN" w:bidi="ar"/>
              </w:rPr>
              <w:t>工程管理工程师/工程师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2CF30DEC">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bCs/>
                <w:kern w:val="2"/>
                <w:sz w:val="24"/>
                <w:szCs w:val="24"/>
                <w:highlight w:val="none"/>
                <w:lang w:val="en-US" w:eastAsia="zh-CN" w:bidi="ar"/>
              </w:rPr>
            </w:pPr>
            <w:r>
              <w:rPr>
                <w:rFonts w:hint="eastAsia" w:ascii="仿宋_GB2312" w:hAnsi="仿宋_GB2312" w:eastAsia="仿宋_GB2312" w:cs="仿宋_GB2312"/>
                <w:bCs/>
                <w:kern w:val="2"/>
                <w:sz w:val="24"/>
                <w:szCs w:val="24"/>
                <w:lang w:val="en-US" w:eastAsia="zh-CN" w:bidi="ar"/>
              </w:rPr>
              <w:t>交通运输工程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0369E3EA">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广西福玉高速公路有限公司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10593EEF">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负责送审稿及编制说明的编写工作</w:t>
            </w:r>
          </w:p>
        </w:tc>
      </w:tr>
      <w:tr w14:paraId="0E33B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5D0E1C6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黄煊</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790BEE8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隧道工程师/中级职称</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4B8A7CA0">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交通机电</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46D79F6E">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1"/>
                <w:szCs w:val="24"/>
                <w:lang w:val="en-US" w:eastAsia="zh-CN" w:bidi="ar-SA"/>
              </w:rPr>
            </w:pPr>
            <w:r>
              <w:rPr>
                <w:rFonts w:hint="eastAsia" w:ascii="仿宋_GB2312" w:hAnsi="仿宋_GB2312" w:eastAsia="仿宋_GB2312" w:cs="仿宋_GB2312"/>
                <w:kern w:val="2"/>
                <w:sz w:val="24"/>
                <w:szCs w:val="24"/>
                <w:lang w:val="en-US" w:eastAsia="zh-CN" w:bidi="ar"/>
              </w:rPr>
              <w:t>广西交通投资集团梧州高速公路运营有限公司平南分公司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0E74197A">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1DB3E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443E7171">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bookmarkStart w:id="1" w:name="_GoBack" w:colFirst="0" w:colLast="0"/>
            <w:r>
              <w:rPr>
                <w:rFonts w:hint="eastAsia" w:ascii="仿宋_GB2312" w:hAnsi="仿宋_GB2312" w:eastAsia="仿宋_GB2312" w:cs="仿宋_GB2312"/>
                <w:bCs/>
                <w:kern w:val="2"/>
                <w:sz w:val="24"/>
                <w:szCs w:val="24"/>
                <w:lang w:val="en-US" w:eastAsia="zh-CN" w:bidi="ar"/>
              </w:rPr>
              <w:t>闫建伟</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16EA6F43">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工程管理工程师/工程师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1D01622F">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建筑与土木工程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12779F3B">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1"/>
                <w:szCs w:val="24"/>
                <w:lang w:val="en-US" w:eastAsia="zh-CN" w:bidi="ar-SA"/>
              </w:rPr>
            </w:pPr>
            <w:r>
              <w:rPr>
                <w:rFonts w:hint="eastAsia" w:ascii="仿宋_GB2312" w:hAnsi="仿宋_GB2312" w:eastAsia="仿宋_GB2312" w:cs="仿宋_GB2312"/>
                <w:kern w:val="2"/>
                <w:sz w:val="24"/>
                <w:szCs w:val="24"/>
                <w:lang w:val="en-US" w:eastAsia="zh-CN" w:bidi="ar"/>
              </w:rPr>
              <w:t>广西福玉高速公路有限公司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04C24D9E">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bl>
    <w:p w14:paraId="13B0720D">
      <w:pPr>
        <w:spacing w:line="520" w:lineRule="exact"/>
        <w:ind w:firstLine="640" w:firstLineChars="200"/>
        <w:outlineLvl w:val="0"/>
        <w:rPr>
          <w:rFonts w:ascii="黑体" w:eastAsia="黑体" w:cs="仿宋_GB2312"/>
          <w:sz w:val="32"/>
          <w:szCs w:val="32"/>
        </w:rPr>
      </w:pPr>
      <w:r>
        <w:rPr>
          <w:rFonts w:hint="eastAsia" w:ascii="黑体" w:eastAsia="黑体" w:cs="仿宋_GB2312"/>
          <w:sz w:val="32"/>
          <w:szCs w:val="32"/>
        </w:rPr>
        <w:t>二、制定标准的必要性和意义</w:t>
      </w:r>
    </w:p>
    <w:p w14:paraId="7C71B055">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高速公路桥隧电力线缆是为隧道照明、通风、监控以及桥梁航标等关键机电系统提供电能的核心基础设施。其运行状态直接关系到桥隧主体结构的安全与基本通行服务功能的实现。这些线缆通常长期敷设于桥梁内部、隧道衬砌或专用管廊等特定环境中，对其自身的可靠性、耐久性及外部防护有着特殊要求。运维管理是指为保障上述电力线缆在全生命周期内安全、稳定、经济运行所实施的一系列系统性、专业化的技术活动与管理措施，它需要同时遵循交通基础设施养护与电力设施安全运行的双重专业要求。</w:t>
      </w:r>
    </w:p>
    <w:p w14:paraId="6E76A6DF">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当前，高速公路桥隧电力线缆的运维工作正处于重要的转型阶段。行业实践显示，智能化、精细化的技术应用已成为明确趋势。全国超过25家高速公路运营企业已在15个以上省份开展了相关实践，例如河北、浙江、山东、贵州等地的省级集团通过部署智能监测设备与运维平台，在提升效率、保障安全方面取得了实证效果。实践数据表明，智能化运维技术的应用可使人工巡检工作量减少约60%，故障响应时间从数天级压缩至1小时以内；在山区高桥隧比路段，能助力线缆故障发生率下降40%以上；同时，通过优化策略与复用设施，可实现运维成本降低20%-30%。这些显著的成效，不仅验证了技术路线的可行性，也为行业升级奠定了坚实的现实基础，凸显了将行之有效的经验进行系统总结、提炼并加以规范推广的客观需求。</w:t>
      </w:r>
    </w:p>
    <w:p w14:paraId="5BE92043">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然而，这一转型进程也凸显了行业在知识管理、技术协同与长期发展路径方面所面临的基础性课题。分散于各企业的实践案例与数据资产，因缺乏统一的描述框架与评估基准，难以进行有效的横向比对、深度分析与共性提炼，限制了行业知识体系的沉淀与迭代效率。同时，前沿技术的快速引入与既有管理体系的融合，迫切需要一套公认的指导原则，以确保技术创新能够平稳嵌入运维工作的全流程，避免因技术路线差异而加剧的系统复杂性。此外，随着路网规模的持续扩大与运维数据资产的增长，构建面向未来的、兼容开放的数据治理与应用框架，已成为释放数据潜能、支撑智慧决策不可或缺的前提。我国高速公路桥隧资源规模庞大，省级运营主体已全面覆盖，结合已验证的应用成效与行业对智能化、高效化的核心需求，相关技术具备广阔的推广前景。未来，预计将有更多运营主体引入相关方案，持续推动运维模式向智能化、精细化转型。这些课题的解决，对于形成健康、有序、可持续的行业创新生态，确保转型过程本身的质量与效率，并最终将局部的实践优势转化为驱动行业整体进步的系统性力量，具有根本性的支撑作用。</w:t>
      </w:r>
    </w:p>
    <w:p w14:paraId="7DCBC570">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因此，为系统整合行业已有的智能化运维实践经验，有效提升桥隧电力设施运维的整体效能与安全水平，制定团体标准《高速公路桥隧电力线缆运维管理规范》具有重要意义。</w:t>
      </w:r>
    </w:p>
    <w:p w14:paraId="0D62424A">
      <w:pPr>
        <w:autoSpaceDE w:val="0"/>
        <w:autoSpaceDN w:val="0"/>
        <w:adjustRightInd w:val="0"/>
        <w:spacing w:line="520" w:lineRule="exact"/>
        <w:ind w:firstLine="640" w:firstLineChars="200"/>
        <w:jc w:val="left"/>
        <w:outlineLvl w:val="0"/>
        <w:rPr>
          <w:rFonts w:ascii="黑体" w:eastAsia="黑体" w:cs="仿宋_GB2312"/>
          <w:sz w:val="32"/>
          <w:szCs w:val="32"/>
        </w:rPr>
      </w:pPr>
      <w:r>
        <w:rPr>
          <w:rFonts w:hint="eastAsia" w:ascii="黑体" w:eastAsia="黑体" w:cs="仿宋_GB2312"/>
          <w:sz w:val="32"/>
          <w:szCs w:val="32"/>
        </w:rPr>
        <w:t>三、主要起草过程</w:t>
      </w:r>
    </w:p>
    <w:p w14:paraId="0D95DA3E">
      <w:pPr>
        <w:spacing w:line="520" w:lineRule="exact"/>
        <w:ind w:firstLine="562" w:firstLineChars="200"/>
        <w:outlineLvl w:val="1"/>
        <w:rPr>
          <w:rFonts w:ascii="仿宋_GB2312" w:eastAsia="仿宋_GB2312"/>
          <w:sz w:val="28"/>
          <w:szCs w:val="28"/>
        </w:rPr>
      </w:pPr>
      <w:r>
        <w:rPr>
          <w:rFonts w:hint="eastAsia" w:ascii="仿宋_GB2312" w:eastAsia="仿宋_GB2312" w:cs="仿宋_GB2312"/>
          <w:b/>
          <w:sz w:val="28"/>
          <w:szCs w:val="28"/>
        </w:rPr>
        <w:t>（一）成立标准编制工作组</w:t>
      </w:r>
    </w:p>
    <w:p w14:paraId="48E22955">
      <w:pPr>
        <w:spacing w:line="520" w:lineRule="exact"/>
        <w:ind w:firstLine="560" w:firstLineChars="200"/>
        <w:jc w:val="left"/>
        <w:rPr>
          <w:rFonts w:ascii="仿宋_GB2312" w:eastAsia="仿宋_GB2312"/>
          <w:sz w:val="28"/>
          <w:szCs w:val="28"/>
        </w:rPr>
      </w:pPr>
      <w:r>
        <w:rPr>
          <w:rFonts w:hint="eastAsia" w:ascii="仿宋_GB2312" w:hAnsi="宋体" w:eastAsia="仿宋_GB2312"/>
          <w:sz w:val="28"/>
          <w:szCs w:val="28"/>
        </w:rPr>
        <w:t>团体标准</w:t>
      </w:r>
      <w:r>
        <w:rPr>
          <w:rFonts w:hint="eastAsia" w:ascii="仿宋_GB2312" w:eastAsia="仿宋_GB2312"/>
          <w:sz w:val="28"/>
          <w:szCs w:val="28"/>
        </w:rPr>
        <w:t>《</w:t>
      </w:r>
      <w:r>
        <w:rPr>
          <w:rFonts w:hint="eastAsia" w:ascii="仿宋_GB2312" w:eastAsia="仿宋_GB2312"/>
          <w:sz w:val="28"/>
          <w:szCs w:val="28"/>
          <w:lang w:eastAsia="zh-CN"/>
        </w:rPr>
        <w:t>高速公路桥隧电力线缆运维管理规范</w:t>
      </w:r>
      <w:r>
        <w:rPr>
          <w:rFonts w:hint="eastAsia" w:ascii="仿宋_GB2312" w:eastAsia="仿宋_GB2312"/>
          <w:sz w:val="28"/>
          <w:szCs w:val="28"/>
        </w:rPr>
        <w:t>》项目任务下达后，由</w:t>
      </w:r>
      <w:r>
        <w:rPr>
          <w:rFonts w:hint="eastAsia" w:ascii="仿宋_GB2312" w:eastAsia="仿宋_GB2312"/>
          <w:sz w:val="28"/>
          <w:szCs w:val="28"/>
          <w:lang w:eastAsia="zh-CN"/>
        </w:rPr>
        <w:t>广西福玉高速公路有限公司</w:t>
      </w:r>
      <w:r>
        <w:rPr>
          <w:rFonts w:hint="eastAsia" w:ascii="仿宋_GB2312" w:eastAsia="仿宋_GB2312"/>
          <w:sz w:val="28"/>
          <w:szCs w:val="28"/>
        </w:rPr>
        <w:t>牵头组织成立了标准编制工作组，制定了起草编写方案与进度安排，明确任务职责，确定工作技术路线，开展标准研制工作。具体标准编制工作由起草单位相关人员配合完成。</w:t>
      </w:r>
    </w:p>
    <w:p w14:paraId="27586D2F">
      <w:pPr>
        <w:spacing w:line="520" w:lineRule="exact"/>
        <w:ind w:firstLine="560" w:firstLineChars="200"/>
        <w:rPr>
          <w:rFonts w:ascii="仿宋_GB2312" w:eastAsia="仿宋_GB2312" w:cs="仿宋_GB2312"/>
          <w:sz w:val="28"/>
          <w:szCs w:val="28"/>
        </w:rPr>
      </w:pPr>
      <w:r>
        <w:rPr>
          <w:rFonts w:hint="eastAsia" w:ascii="仿宋_GB2312" w:eastAsia="仿宋_GB2312"/>
          <w:sz w:val="28"/>
          <w:szCs w:val="28"/>
        </w:rPr>
        <w:t>为明确标准编制的任务职责，确定工作技术路线，开展标准研制工作，标准编制工作组下设两个组，分别是资料收集组、草案编写组。资料收集组负责国内外有关</w:t>
      </w:r>
      <w:r>
        <w:rPr>
          <w:rFonts w:hint="eastAsia" w:ascii="仿宋_GB2312" w:eastAsia="仿宋_GB2312"/>
          <w:sz w:val="28"/>
          <w:szCs w:val="28"/>
          <w:lang w:eastAsia="zh-CN"/>
        </w:rPr>
        <w:t>高速公路桥隧电力线缆运维管理</w:t>
      </w:r>
      <w:r>
        <w:rPr>
          <w:rFonts w:hint="eastAsia" w:ascii="仿宋_GB2312" w:eastAsia="仿宋_GB2312"/>
          <w:sz w:val="28"/>
          <w:szCs w:val="28"/>
        </w:rPr>
        <w:t>方面的文献资料的查询、收集和整理工作，查阅前期对</w:t>
      </w:r>
      <w:r>
        <w:rPr>
          <w:rFonts w:hint="eastAsia" w:ascii="仿宋_GB2312" w:eastAsia="仿宋_GB2312"/>
          <w:sz w:val="28"/>
          <w:szCs w:val="28"/>
          <w:lang w:eastAsia="zh-CN"/>
        </w:rPr>
        <w:t>高速公路桥隧电力线缆运维管理</w:t>
      </w:r>
      <w:r>
        <w:rPr>
          <w:rFonts w:hint="eastAsia" w:ascii="仿宋_GB2312" w:eastAsia="仿宋_GB2312"/>
          <w:sz w:val="28"/>
          <w:szCs w:val="28"/>
        </w:rPr>
        <w:t>方面的有关研究情况和目前科学界</w:t>
      </w:r>
      <w:r>
        <w:rPr>
          <w:rFonts w:hint="eastAsia" w:ascii="仿宋_GB2312" w:eastAsia="仿宋_GB2312"/>
          <w:sz w:val="28"/>
          <w:szCs w:val="28"/>
          <w:lang w:eastAsia="zh-CN"/>
        </w:rPr>
        <w:t>高速公路桥隧电力线缆运维管理</w:t>
      </w:r>
      <w:r>
        <w:rPr>
          <w:rFonts w:hint="eastAsia" w:ascii="仿宋_GB2312" w:eastAsia="仿宋_GB2312"/>
          <w:sz w:val="28"/>
          <w:szCs w:val="28"/>
        </w:rPr>
        <w:t>的研究进展；草案编写组负责起草标准草案及后续征求意见稿和标准编制说明、送审稿及编制说明等编写工作，包括后期召开征求意见会、网上征求意见，以及标准的不断修改和完善。</w:t>
      </w:r>
    </w:p>
    <w:p w14:paraId="06616C9C">
      <w:pPr>
        <w:spacing w:line="520" w:lineRule="exact"/>
        <w:ind w:firstLine="562" w:firstLineChars="200"/>
        <w:outlineLvl w:val="1"/>
        <w:rPr>
          <w:rFonts w:ascii="仿宋_GB2312" w:eastAsia="仿宋_GB2312" w:cs="仿宋_GB2312"/>
          <w:b/>
          <w:sz w:val="28"/>
          <w:szCs w:val="28"/>
        </w:rPr>
      </w:pPr>
      <w:r>
        <w:rPr>
          <w:rFonts w:hint="eastAsia" w:ascii="仿宋_GB2312" w:eastAsia="仿宋_GB2312" w:cs="仿宋_GB2312"/>
          <w:b/>
          <w:sz w:val="28"/>
          <w:szCs w:val="28"/>
        </w:rPr>
        <w:t>（二）收集整理文献资料</w:t>
      </w:r>
    </w:p>
    <w:p w14:paraId="6290498D">
      <w:pPr>
        <w:spacing w:line="520" w:lineRule="exact"/>
        <w:ind w:firstLine="560" w:firstLineChars="200"/>
        <w:rPr>
          <w:rFonts w:ascii="仿宋_GB2312" w:eastAsia="仿宋_GB2312"/>
          <w:sz w:val="28"/>
          <w:szCs w:val="28"/>
        </w:rPr>
      </w:pPr>
      <w:r>
        <w:rPr>
          <w:rFonts w:hint="eastAsia" w:ascii="仿宋_GB2312" w:eastAsia="仿宋_GB2312"/>
          <w:sz w:val="28"/>
          <w:szCs w:val="28"/>
        </w:rPr>
        <w:t>标准编制工作组收集了国内有关</w:t>
      </w:r>
      <w:r>
        <w:rPr>
          <w:rFonts w:hint="eastAsia" w:ascii="仿宋_GB2312" w:eastAsia="仿宋_GB2312"/>
          <w:sz w:val="28"/>
          <w:szCs w:val="28"/>
          <w:lang w:eastAsia="zh-CN"/>
        </w:rPr>
        <w:t>高速公路桥隧电力线缆运维管理</w:t>
      </w:r>
      <w:r>
        <w:rPr>
          <w:rFonts w:hint="eastAsia" w:ascii="仿宋_GB2312" w:eastAsia="仿宋_GB2312"/>
          <w:sz w:val="28"/>
          <w:szCs w:val="28"/>
        </w:rPr>
        <w:t>的相关文献资料。主要有：</w:t>
      </w:r>
    </w:p>
    <w:p w14:paraId="5C0CC129">
      <w:pPr>
        <w:spacing w:line="520" w:lineRule="exact"/>
        <w:ind w:firstLine="560" w:firstLineChars="200"/>
        <w:rPr>
          <w:rFonts w:hint="eastAsia" w:ascii="仿宋_GB2312" w:eastAsia="仿宋_GB2312"/>
          <w:sz w:val="28"/>
          <w:szCs w:val="28"/>
          <w:highlight w:val="none"/>
          <w:lang w:eastAsia="zh-CN"/>
        </w:rPr>
      </w:pPr>
      <w:r>
        <w:rPr>
          <w:rFonts w:hint="eastAsia" w:ascii="仿宋_GB2312" w:eastAsia="仿宋_GB2312"/>
          <w:sz w:val="28"/>
          <w:szCs w:val="28"/>
          <w:highlight w:val="none"/>
          <w:lang w:eastAsia="zh-CN"/>
        </w:rPr>
        <w:t>GB 3836.1  爆炸性环境  第1部分：设备  通用要求</w:t>
      </w:r>
    </w:p>
    <w:p w14:paraId="7099B62E">
      <w:pPr>
        <w:spacing w:line="520" w:lineRule="exact"/>
        <w:ind w:firstLine="560" w:firstLineChars="200"/>
        <w:rPr>
          <w:rFonts w:hint="eastAsia" w:ascii="仿宋_GB2312" w:eastAsia="仿宋_GB2312"/>
          <w:sz w:val="28"/>
          <w:szCs w:val="28"/>
          <w:highlight w:val="none"/>
          <w:lang w:eastAsia="zh-CN"/>
        </w:rPr>
      </w:pPr>
      <w:r>
        <w:rPr>
          <w:rFonts w:hint="eastAsia" w:ascii="仿宋_GB2312" w:eastAsia="仿宋_GB2312"/>
          <w:sz w:val="28"/>
          <w:szCs w:val="28"/>
          <w:highlight w:val="none"/>
          <w:lang w:eastAsia="zh-CN"/>
        </w:rPr>
        <w:t>GB/T 19292.4—2018  金属和合金的腐蚀  大气腐蚀性  第4部分：用于评估腐蚀性的标准试样的腐蚀速率的测定</w:t>
      </w:r>
    </w:p>
    <w:p w14:paraId="50E15DD3">
      <w:pPr>
        <w:spacing w:line="520" w:lineRule="exact"/>
        <w:ind w:firstLine="560" w:firstLineChars="200"/>
        <w:rPr>
          <w:rFonts w:hint="eastAsia" w:ascii="仿宋_GB2312" w:eastAsia="仿宋_GB2312"/>
          <w:sz w:val="28"/>
          <w:szCs w:val="28"/>
          <w:highlight w:val="none"/>
          <w:lang w:eastAsia="zh-CN"/>
        </w:rPr>
      </w:pPr>
      <w:r>
        <w:rPr>
          <w:rFonts w:hint="eastAsia" w:ascii="仿宋_GB2312" w:eastAsia="仿宋_GB2312"/>
          <w:sz w:val="28"/>
          <w:szCs w:val="28"/>
          <w:highlight w:val="none"/>
          <w:lang w:eastAsia="zh-CN"/>
        </w:rPr>
        <w:t>GB 50217  电力工程电缆设计标准</w:t>
      </w:r>
    </w:p>
    <w:p w14:paraId="16239FD3">
      <w:pPr>
        <w:spacing w:line="520" w:lineRule="exact"/>
        <w:ind w:firstLine="560" w:firstLineChars="200"/>
        <w:rPr>
          <w:rFonts w:hint="eastAsia" w:ascii="仿宋_GB2312" w:eastAsia="仿宋_GB2312"/>
          <w:sz w:val="28"/>
          <w:szCs w:val="28"/>
          <w:highlight w:val="none"/>
          <w:lang w:eastAsia="zh-CN"/>
        </w:rPr>
      </w:pPr>
      <w:r>
        <w:rPr>
          <w:rFonts w:hint="eastAsia" w:ascii="仿宋_GB2312" w:eastAsia="仿宋_GB2312"/>
          <w:sz w:val="28"/>
          <w:szCs w:val="28"/>
          <w:highlight w:val="none"/>
          <w:lang w:eastAsia="zh-CN"/>
        </w:rPr>
        <w:t>DL/T 596  电力设备预防性试验规程</w:t>
      </w:r>
    </w:p>
    <w:p w14:paraId="36AA5F07">
      <w:pPr>
        <w:spacing w:line="520" w:lineRule="exact"/>
        <w:ind w:firstLine="560" w:firstLineChars="200"/>
        <w:rPr>
          <w:rFonts w:hint="eastAsia" w:ascii="仿宋_GB2312" w:eastAsia="仿宋_GB2312"/>
          <w:sz w:val="28"/>
          <w:szCs w:val="28"/>
          <w:highlight w:val="none"/>
          <w:lang w:eastAsia="zh-CN"/>
        </w:rPr>
      </w:pPr>
      <w:r>
        <w:rPr>
          <w:rFonts w:hint="eastAsia" w:ascii="仿宋_GB2312" w:eastAsia="仿宋_GB2312"/>
          <w:sz w:val="28"/>
          <w:szCs w:val="28"/>
          <w:highlight w:val="none"/>
          <w:lang w:eastAsia="zh-CN"/>
        </w:rPr>
        <w:t>DL/T 1253  电力电缆线路运行规程</w:t>
      </w:r>
    </w:p>
    <w:p w14:paraId="19B93315">
      <w:pPr>
        <w:spacing w:line="520" w:lineRule="exact"/>
        <w:ind w:firstLine="560" w:firstLineChars="200"/>
        <w:rPr>
          <w:rFonts w:hint="eastAsia" w:ascii="仿宋_GB2312" w:eastAsia="仿宋_GB2312"/>
          <w:sz w:val="28"/>
          <w:szCs w:val="28"/>
          <w:highlight w:val="none"/>
          <w:lang w:eastAsia="zh-CN"/>
        </w:rPr>
      </w:pPr>
      <w:r>
        <w:rPr>
          <w:rFonts w:hint="eastAsia" w:ascii="仿宋_GB2312" w:eastAsia="仿宋_GB2312"/>
          <w:sz w:val="28"/>
          <w:szCs w:val="28"/>
          <w:highlight w:val="none"/>
          <w:lang w:eastAsia="zh-CN"/>
        </w:rPr>
        <w:t>YD/T 4242  电信网和互联网数据安全日志审计指南</w:t>
      </w:r>
    </w:p>
    <w:p w14:paraId="541F094A">
      <w:pPr>
        <w:spacing w:line="520" w:lineRule="exact"/>
        <w:ind w:firstLine="562" w:firstLineChars="200"/>
        <w:outlineLvl w:val="1"/>
        <w:rPr>
          <w:rFonts w:ascii="仿宋_GB2312" w:eastAsia="仿宋_GB2312" w:cs="仿宋_GB2312"/>
          <w:b/>
          <w:sz w:val="28"/>
          <w:szCs w:val="28"/>
        </w:rPr>
      </w:pPr>
      <w:r>
        <w:rPr>
          <w:rFonts w:hint="eastAsia" w:ascii="仿宋_GB2312" w:eastAsia="仿宋_GB2312" w:cs="仿宋_GB2312"/>
          <w:b/>
          <w:sz w:val="28"/>
          <w:szCs w:val="28"/>
        </w:rPr>
        <w:t>（三）研讨确定标准主体内容及标准创新点</w:t>
      </w:r>
    </w:p>
    <w:p w14:paraId="45B43E1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标准编制工作组在对收集的资料进行整理研究之后，召开了标准编制会议，对标准的整体框架结构进行了研究，并对标准的关键性内容进行了初步探讨。经过研究，标准的主体内容为</w:t>
      </w:r>
      <w:r>
        <w:rPr>
          <w:rFonts w:hint="eastAsia" w:ascii="仿宋_GB2312" w:hAnsi="仿宋_GB2312" w:eastAsia="仿宋_GB2312" w:cs="仿宋_GB2312"/>
          <w:sz w:val="28"/>
          <w:szCs w:val="28"/>
          <w:lang w:eastAsia="zh-CN"/>
        </w:rPr>
        <w:t>高速公路桥隧电力线缆运维管理</w:t>
      </w:r>
      <w:r>
        <w:rPr>
          <w:rFonts w:hint="eastAsia" w:ascii="仿宋_GB2312" w:hAnsi="仿宋_GB2312" w:eastAsia="仿宋_GB2312" w:cs="仿宋_GB2312"/>
          <w:sz w:val="28"/>
          <w:szCs w:val="28"/>
        </w:rPr>
        <w:t>的基本要求、巡视检查、养护维修、信息采集、数据管理、安全管理等</w:t>
      </w:r>
      <w:r>
        <w:rPr>
          <w:rFonts w:hint="eastAsia" w:ascii="仿宋_GB2312" w:hAnsi="仿宋_GB2312" w:eastAsia="仿宋_GB2312" w:cs="仿宋_GB2312"/>
          <w:sz w:val="28"/>
          <w:szCs w:val="28"/>
          <w:lang w:eastAsia="zh-CN"/>
        </w:rPr>
        <w:t>内容</w:t>
      </w:r>
      <w:r>
        <w:rPr>
          <w:rFonts w:hint="eastAsia" w:ascii="仿宋_GB2312" w:hAnsi="仿宋_GB2312" w:eastAsia="仿宋_GB2312" w:cs="仿宋_GB2312"/>
          <w:sz w:val="28"/>
          <w:szCs w:val="28"/>
        </w:rPr>
        <w:t>。</w:t>
      </w:r>
    </w:p>
    <w:p w14:paraId="2EBFBD65">
      <w:pPr>
        <w:pStyle w:val="33"/>
        <w:spacing w:before="0" w:beforeLines="0" w:after="0" w:afterLines="0"/>
        <w:ind w:firstLine="560"/>
        <w:jc w:val="both"/>
        <w:rPr>
          <w:rFonts w:hint="eastAsia" w:ascii="仿宋_GB2312" w:hAnsi="仿宋_GB2312" w:eastAsia="仿宋_GB2312" w:cs="仿宋_GB2312"/>
          <w:sz w:val="28"/>
          <w:szCs w:val="28"/>
          <w:highlight w:val="none"/>
          <w:lang w:eastAsia="zh-CN"/>
        </w:rPr>
      </w:pPr>
      <w:r>
        <w:rPr>
          <w:rFonts w:hint="eastAsia" w:ascii="仿宋_GB2312" w:hAnsi="仿宋_GB2312" w:eastAsia="仿宋_GB2312" w:cs="仿宋_GB2312"/>
          <w:sz w:val="28"/>
          <w:szCs w:val="28"/>
          <w:highlight w:val="none"/>
        </w:rPr>
        <w:t>本标准创新点主要为：</w:t>
      </w:r>
    </w:p>
    <w:p w14:paraId="393668E0">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US" w:eastAsia="zh-CN"/>
        </w:rPr>
        <w:t xml:space="preserve">1. </w:t>
      </w:r>
      <w:r>
        <w:rPr>
          <w:rFonts w:hint="eastAsia" w:ascii="仿宋_GB2312" w:hAnsi="仿宋_GB2312" w:eastAsia="仿宋_GB2312" w:cs="仿宋_GB2312"/>
          <w:sz w:val="28"/>
          <w:szCs w:val="28"/>
        </w:rPr>
        <w:t>环境-设备协同防护体系</w:t>
      </w:r>
    </w:p>
    <w:p w14:paraId="32209B8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针对桥隧高湿、多震、密闭的特殊环境，建立环境监测与设备防护的动态匹配机制。根据湿度、振动、腐蚀性气体浓度等环境差异，差异化制定防潮密封、抗震固定及防火封堵策略。这一思路与江西交投在桥隧部署MEMS传感、AI视频位移监测等环境感知技术的实践相契合，将"一刀切"的防护标准升级为环境适配的精准防护模式。</w:t>
      </w:r>
    </w:p>
    <w:p w14:paraId="19B2F96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US" w:eastAsia="zh-CN"/>
        </w:rPr>
        <w:t xml:space="preserve">2. </w:t>
      </w:r>
      <w:r>
        <w:rPr>
          <w:rFonts w:hint="eastAsia" w:ascii="仿宋_GB2312" w:hAnsi="仿宋_GB2312" w:eastAsia="仿宋_GB2312" w:cs="仿宋_GB2312"/>
          <w:sz w:val="28"/>
          <w:szCs w:val="28"/>
        </w:rPr>
        <w:t>多源数据融合与分级预警机制</w:t>
      </w:r>
    </w:p>
    <w:p w14:paraId="41FB8405">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整合电气参数、环境数据、运维记录等多维度监测数据，建立风险分级标准与预警阈值模型。学术研究已表明，通过多源状态监测数据的综合分析与融合，可建立电缆线路运行状态分级与决策支持模型。行业实践中，甘肃已开展基于数据挖掘的电力网络故障精准预测研究，本标准将此类技术探索固化为规范化要求，提升故障预警精准度。</w:t>
      </w:r>
    </w:p>
    <w:p w14:paraId="69C0E89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US" w:eastAsia="zh-CN"/>
        </w:rPr>
        <w:t xml:space="preserve">3. </w:t>
      </w:r>
      <w:r>
        <w:rPr>
          <w:rFonts w:hint="eastAsia" w:ascii="仿宋_GB2312" w:hAnsi="仿宋_GB2312" w:eastAsia="仿宋_GB2312" w:cs="仿宋_GB2312"/>
          <w:sz w:val="28"/>
          <w:szCs w:val="28"/>
        </w:rPr>
        <w:t>低成本智能化升级路径</w:t>
      </w:r>
    </w:p>
    <w:p w14:paraId="2EAB745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明确复用既有工业以太环网、供电回路等设施，通过协议转换等方式接入监测设备，降低智能化改造成本。河北高速的"百元级"指示灯监测方案已验证低成本改造的可行性，为本标准提出的升级路径提供了实践支撑。</w:t>
      </w:r>
    </w:p>
    <w:p w14:paraId="26EB4F9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US" w:eastAsia="zh-CN"/>
        </w:rPr>
        <w:t xml:space="preserve">4. </w:t>
      </w:r>
      <w:r>
        <w:rPr>
          <w:rFonts w:hint="eastAsia" w:ascii="仿宋_GB2312" w:hAnsi="仿宋_GB2312" w:eastAsia="仿宋_GB2312" w:cs="仿宋_GB2312"/>
          <w:sz w:val="28"/>
          <w:szCs w:val="28"/>
        </w:rPr>
        <w:t>多设备应急联动处置机制</w:t>
      </w:r>
    </w:p>
    <w:p w14:paraId="5C0FD30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规范火情、线缆故障等场景下的设备联动控制流程，实现自动切断故障区域电源、启动排烟等应急响应。重庆渝武高速应用的柔性阻拦水幕系统联动激光投影、可变信息标志的实践，反映了这一技术方向的行业价值。</w:t>
      </w:r>
    </w:p>
    <w:p w14:paraId="1443A89D">
      <w:pPr>
        <w:spacing w:line="520" w:lineRule="exact"/>
        <w:ind w:firstLine="562" w:firstLineChars="200"/>
        <w:outlineLvl w:val="1"/>
        <w:rPr>
          <w:rFonts w:hint="eastAsia" w:ascii="仿宋_GB2312" w:eastAsia="仿宋_GB2312" w:cs="仿宋_GB2312"/>
          <w:b/>
          <w:sz w:val="28"/>
          <w:szCs w:val="28"/>
          <w:lang w:val="en-US" w:eastAsia="zh-CN"/>
        </w:rPr>
      </w:pPr>
      <w:r>
        <w:rPr>
          <w:rFonts w:hint="eastAsia" w:ascii="仿宋_GB2312" w:eastAsia="仿宋_GB2312" w:cs="仿宋_GB2312"/>
          <w:b/>
          <w:sz w:val="28"/>
          <w:szCs w:val="28"/>
        </w:rPr>
        <w:t>（四）调研及形成草案、征求意见稿</w:t>
      </w:r>
    </w:p>
    <w:p w14:paraId="02A853F9">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2025年</w:t>
      </w:r>
      <w:r>
        <w:rPr>
          <w:rFonts w:hint="eastAsia" w:ascii="仿宋_GB2312" w:eastAsia="仿宋_GB2312"/>
          <w:kern w:val="0"/>
          <w:sz w:val="28"/>
          <w:szCs w:val="28"/>
          <w:lang w:val="en-US" w:eastAsia="zh-CN"/>
        </w:rPr>
        <w:t>12</w:t>
      </w:r>
      <w:r>
        <w:rPr>
          <w:rFonts w:hint="eastAsia" w:ascii="仿宋_GB2312" w:eastAsia="仿宋_GB2312"/>
          <w:kern w:val="0"/>
          <w:sz w:val="28"/>
          <w:szCs w:val="28"/>
        </w:rPr>
        <w:t>月，标准编制工作组查阅了大量的国内文献资料，对</w:t>
      </w:r>
      <w:r>
        <w:rPr>
          <w:rFonts w:hint="eastAsia" w:ascii="仿宋_GB2312" w:eastAsia="仿宋_GB2312"/>
          <w:kern w:val="0"/>
          <w:sz w:val="28"/>
          <w:szCs w:val="28"/>
          <w:lang w:eastAsia="zh-CN"/>
        </w:rPr>
        <w:t>高速公路桥隧电力线缆运维管理</w:t>
      </w:r>
      <w:r>
        <w:rPr>
          <w:rFonts w:hint="eastAsia" w:ascii="仿宋_GB2312" w:eastAsia="仿宋_GB2312"/>
          <w:kern w:val="0"/>
          <w:sz w:val="28"/>
          <w:szCs w:val="28"/>
        </w:rPr>
        <w:t>相关的文件进行系统总结。形成了标准的基本构架，对主要内容进行了讨论并对项目的工作进行了部署和安排。</w:t>
      </w:r>
    </w:p>
    <w:p w14:paraId="0EAA2F22">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w:t>
      </w:r>
      <w:r>
        <w:rPr>
          <w:rFonts w:hint="eastAsia" w:ascii="仿宋_GB2312" w:eastAsia="仿宋_GB2312"/>
          <w:kern w:val="0"/>
          <w:sz w:val="28"/>
          <w:szCs w:val="28"/>
          <w:lang w:val="en-US" w:eastAsia="zh-CN"/>
        </w:rPr>
        <w:t>6</w:t>
      </w:r>
      <w:r>
        <w:rPr>
          <w:rFonts w:hint="eastAsia" w:ascii="仿宋_GB2312" w:eastAsia="仿宋_GB2312"/>
          <w:kern w:val="0"/>
          <w:sz w:val="28"/>
          <w:szCs w:val="28"/>
        </w:rPr>
        <w:t>年</w:t>
      </w:r>
      <w:r>
        <w:rPr>
          <w:rFonts w:hint="eastAsia" w:ascii="仿宋_GB2312" w:eastAsia="仿宋_GB2312"/>
          <w:kern w:val="0"/>
          <w:sz w:val="28"/>
          <w:szCs w:val="28"/>
          <w:lang w:val="en-US" w:eastAsia="zh-CN"/>
        </w:rPr>
        <w:t>1</w:t>
      </w:r>
      <w:r>
        <w:rPr>
          <w:rFonts w:hint="eastAsia" w:ascii="仿宋_GB2312" w:eastAsia="仿宋_GB2312"/>
          <w:kern w:val="0"/>
          <w:sz w:val="28"/>
          <w:szCs w:val="28"/>
        </w:rPr>
        <w:t>月，团体标准《</w:t>
      </w:r>
      <w:r>
        <w:rPr>
          <w:rFonts w:hint="eastAsia" w:ascii="仿宋_GB2312" w:eastAsia="仿宋_GB2312"/>
          <w:kern w:val="0"/>
          <w:sz w:val="28"/>
          <w:szCs w:val="28"/>
          <w:lang w:eastAsia="zh-CN"/>
        </w:rPr>
        <w:t>高速公路桥隧电力线缆运维管理规范</w:t>
      </w:r>
      <w:r>
        <w:rPr>
          <w:rFonts w:hint="eastAsia" w:ascii="仿宋_GB2312" w:eastAsia="仿宋_GB2312"/>
          <w:kern w:val="0"/>
          <w:sz w:val="28"/>
          <w:szCs w:val="28"/>
        </w:rPr>
        <w:t>》获批立项，在前期工作的基础之上，通过理清逻辑脉络，整合已有参考资料中有关</w:t>
      </w:r>
      <w:r>
        <w:rPr>
          <w:rFonts w:hint="eastAsia" w:ascii="仿宋_GB2312" w:eastAsia="仿宋_GB2312"/>
          <w:kern w:val="0"/>
          <w:sz w:val="28"/>
          <w:szCs w:val="28"/>
          <w:lang w:eastAsia="zh-CN"/>
        </w:rPr>
        <w:t>高速公路桥隧电力线缆运维管理</w:t>
      </w:r>
      <w:r>
        <w:rPr>
          <w:rFonts w:hint="eastAsia" w:ascii="仿宋_GB2312" w:eastAsia="仿宋_GB2312"/>
          <w:kern w:val="0"/>
          <w:sz w:val="28"/>
          <w:szCs w:val="28"/>
        </w:rPr>
        <w:t>的要求，并在目前</w:t>
      </w:r>
      <w:r>
        <w:rPr>
          <w:rFonts w:hint="eastAsia" w:ascii="仿宋_GB2312" w:eastAsia="仿宋_GB2312"/>
          <w:kern w:val="0"/>
          <w:sz w:val="28"/>
          <w:szCs w:val="28"/>
          <w:lang w:eastAsia="zh-CN"/>
        </w:rPr>
        <w:t>高速公路桥隧电力线缆运维管理</w:t>
      </w:r>
      <w:r>
        <w:rPr>
          <w:rFonts w:hint="eastAsia" w:ascii="仿宋_GB2312" w:eastAsia="仿宋_GB2312"/>
          <w:kern w:val="0"/>
          <w:sz w:val="28"/>
          <w:szCs w:val="28"/>
        </w:rPr>
        <w:t>实际操作的基础上，按照简化、统一等原则编制完成团体标准《</w:t>
      </w:r>
      <w:r>
        <w:rPr>
          <w:rFonts w:hint="eastAsia" w:ascii="仿宋_GB2312" w:eastAsia="仿宋_GB2312"/>
          <w:kern w:val="0"/>
          <w:sz w:val="28"/>
          <w:szCs w:val="28"/>
          <w:lang w:eastAsia="zh-CN"/>
        </w:rPr>
        <w:t>高速公路桥隧电力线缆运维管理规范</w:t>
      </w:r>
      <w:r>
        <w:rPr>
          <w:rFonts w:hint="eastAsia" w:ascii="仿宋_GB2312" w:eastAsia="仿宋_GB2312"/>
          <w:kern w:val="0"/>
          <w:sz w:val="28"/>
          <w:szCs w:val="28"/>
        </w:rPr>
        <w:t>》（草案）。</w:t>
      </w:r>
    </w:p>
    <w:p w14:paraId="31DEDD42">
      <w:pPr>
        <w:spacing w:line="520" w:lineRule="exact"/>
        <w:ind w:firstLine="560" w:firstLineChars="200"/>
        <w:rPr>
          <w:rFonts w:hint="eastAsia" w:ascii="仿宋_GB2312" w:eastAsia="仿宋_GB2312"/>
          <w:kern w:val="0"/>
          <w:sz w:val="28"/>
          <w:szCs w:val="28"/>
        </w:rPr>
      </w:pPr>
      <w:r>
        <w:rPr>
          <w:rFonts w:hint="eastAsia" w:ascii="仿宋_GB2312" w:eastAsia="仿宋_GB2312"/>
          <w:kern w:val="0"/>
          <w:sz w:val="28"/>
          <w:szCs w:val="28"/>
        </w:rPr>
        <w:t>202</w:t>
      </w:r>
      <w:r>
        <w:rPr>
          <w:rFonts w:hint="eastAsia" w:ascii="仿宋_GB2312" w:eastAsia="仿宋_GB2312"/>
          <w:kern w:val="0"/>
          <w:sz w:val="28"/>
          <w:szCs w:val="28"/>
          <w:lang w:val="en-US" w:eastAsia="zh-CN"/>
        </w:rPr>
        <w:t>6</w:t>
      </w:r>
      <w:r>
        <w:rPr>
          <w:rFonts w:hint="eastAsia" w:ascii="仿宋_GB2312" w:eastAsia="仿宋_GB2312"/>
          <w:kern w:val="0"/>
          <w:sz w:val="28"/>
          <w:szCs w:val="28"/>
        </w:rPr>
        <w:t>年</w:t>
      </w:r>
      <w:r>
        <w:rPr>
          <w:rFonts w:hint="eastAsia" w:ascii="仿宋_GB2312" w:eastAsia="仿宋_GB2312"/>
          <w:kern w:val="0"/>
          <w:sz w:val="28"/>
          <w:szCs w:val="28"/>
          <w:lang w:val="en-US" w:eastAsia="zh-CN"/>
        </w:rPr>
        <w:t>2</w:t>
      </w:r>
      <w:r>
        <w:rPr>
          <w:rFonts w:hint="eastAsia" w:ascii="仿宋_GB2312" w:eastAsia="仿宋_GB2312"/>
          <w:kern w:val="0"/>
          <w:sz w:val="28"/>
          <w:szCs w:val="28"/>
        </w:rPr>
        <w:t>月，标准编制工作组深入各地实施</w:t>
      </w:r>
      <w:r>
        <w:rPr>
          <w:rFonts w:hint="eastAsia" w:ascii="仿宋_GB2312" w:eastAsia="仿宋_GB2312"/>
          <w:kern w:val="0"/>
          <w:sz w:val="28"/>
          <w:szCs w:val="28"/>
          <w:lang w:eastAsia="zh-CN"/>
        </w:rPr>
        <w:t>高速公路桥隧电力线缆运维管理</w:t>
      </w:r>
      <w:r>
        <w:rPr>
          <w:rFonts w:hint="eastAsia" w:ascii="仿宋_GB2312" w:eastAsia="仿宋_GB2312"/>
          <w:kern w:val="0"/>
          <w:sz w:val="28"/>
          <w:szCs w:val="28"/>
        </w:rPr>
        <w:t>的有代表性的</w:t>
      </w:r>
      <w:r>
        <w:rPr>
          <w:rFonts w:hint="eastAsia" w:ascii="仿宋_GB2312" w:eastAsia="仿宋_GB2312"/>
          <w:kern w:val="0"/>
          <w:sz w:val="28"/>
          <w:szCs w:val="28"/>
          <w:lang w:eastAsia="zh-CN"/>
        </w:rPr>
        <w:t>单位</w:t>
      </w:r>
      <w:r>
        <w:rPr>
          <w:rFonts w:hint="eastAsia" w:ascii="仿宋_GB2312" w:eastAsia="仿宋_GB2312"/>
          <w:kern w:val="0"/>
          <w:sz w:val="28"/>
          <w:szCs w:val="28"/>
        </w:rPr>
        <w:t>，如</w:t>
      </w:r>
      <w:r>
        <w:rPr>
          <w:rFonts w:hint="eastAsia" w:ascii="仿宋_GB2312" w:eastAsia="仿宋_GB2312"/>
          <w:kern w:val="0"/>
          <w:sz w:val="28"/>
          <w:szCs w:val="28"/>
          <w:lang w:eastAsia="zh-CN"/>
        </w:rPr>
        <w:t>广西福玉高速公路有限公司、广西智投机电工程有限公司、广西交通投资集团梧州高速公路运营有限公司、广西网络安全和信息化联合会、广西智能交通科技有限公司</w:t>
      </w:r>
      <w:r>
        <w:rPr>
          <w:rFonts w:hint="eastAsia" w:ascii="仿宋_GB2312" w:eastAsia="仿宋_GB2312"/>
          <w:kern w:val="0"/>
          <w:sz w:val="28"/>
          <w:szCs w:val="28"/>
        </w:rPr>
        <w:t>等召开标准研讨会，收集反馈了大量意见，对标准草案进行了反复修改和研究讨论，掌握了</w:t>
      </w:r>
      <w:r>
        <w:rPr>
          <w:rFonts w:hint="eastAsia" w:ascii="仿宋_GB2312" w:eastAsia="仿宋_GB2312"/>
          <w:kern w:val="0"/>
          <w:sz w:val="28"/>
          <w:szCs w:val="28"/>
          <w:lang w:eastAsia="zh-CN"/>
        </w:rPr>
        <w:t>高速公路桥隧电力线缆运维管理</w:t>
      </w:r>
      <w:r>
        <w:rPr>
          <w:rFonts w:hint="eastAsia" w:ascii="仿宋_GB2312" w:eastAsia="仿宋_GB2312"/>
          <w:kern w:val="0"/>
          <w:sz w:val="28"/>
          <w:szCs w:val="28"/>
        </w:rPr>
        <w:t>的基本情况以及要求，最终形成了团体标准《</w:t>
      </w:r>
      <w:r>
        <w:rPr>
          <w:rFonts w:hint="eastAsia" w:ascii="仿宋_GB2312" w:eastAsia="仿宋_GB2312"/>
          <w:kern w:val="0"/>
          <w:sz w:val="28"/>
          <w:szCs w:val="28"/>
          <w:lang w:eastAsia="zh-CN"/>
        </w:rPr>
        <w:t>高速公路桥隧电力线缆运维管理规范</w:t>
      </w:r>
      <w:r>
        <w:rPr>
          <w:rFonts w:hint="eastAsia" w:ascii="仿宋_GB2312" w:eastAsia="仿宋_GB2312"/>
          <w:kern w:val="0"/>
          <w:sz w:val="28"/>
          <w:szCs w:val="28"/>
        </w:rPr>
        <w:t>》（征求意见稿）及其编制说明。</w:t>
      </w:r>
    </w:p>
    <w:p w14:paraId="02849D39">
      <w:pPr>
        <w:spacing w:line="240" w:lineRule="auto"/>
        <w:jc w:val="center"/>
        <w:rPr>
          <w:rFonts w:hint="eastAsia" w:ascii="仿宋_GB2312" w:eastAsia="仿宋_GB2312"/>
          <w:kern w:val="0"/>
          <w:sz w:val="28"/>
          <w:szCs w:val="28"/>
          <w:lang w:eastAsia="zh-CN"/>
        </w:rPr>
      </w:pPr>
      <w:r>
        <w:rPr>
          <w:rFonts w:hint="eastAsia" w:ascii="仿宋_GB2312" w:eastAsia="仿宋_GB2312"/>
          <w:kern w:val="0"/>
          <w:sz w:val="28"/>
          <w:szCs w:val="28"/>
          <w:lang w:eastAsia="zh-CN"/>
        </w:rPr>
        <w:drawing>
          <wp:inline distT="0" distB="0" distL="114300" distR="114300">
            <wp:extent cx="4892675" cy="3668395"/>
            <wp:effectExtent l="0" t="0" r="3175" b="8255"/>
            <wp:docPr id="1" name="图片 1" descr="2c345c665e5249d217ab3e45ff7402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c345c665e5249d217ab3e45ff74029a"/>
                    <pic:cNvPicPr>
                      <a:picLocks noChangeAspect="1"/>
                    </pic:cNvPicPr>
                  </pic:nvPicPr>
                  <pic:blipFill>
                    <a:blip r:embed="rId5"/>
                    <a:stretch>
                      <a:fillRect/>
                    </a:stretch>
                  </pic:blipFill>
                  <pic:spPr>
                    <a:xfrm>
                      <a:off x="0" y="0"/>
                      <a:ext cx="4892675" cy="3668395"/>
                    </a:xfrm>
                    <a:prstGeom prst="rect">
                      <a:avLst/>
                    </a:prstGeom>
                  </pic:spPr>
                </pic:pic>
              </a:graphicData>
            </a:graphic>
          </wp:inline>
        </w:drawing>
      </w:r>
    </w:p>
    <w:p w14:paraId="54AC64A8">
      <w:pPr>
        <w:spacing w:line="240" w:lineRule="auto"/>
        <w:jc w:val="center"/>
        <w:rPr>
          <w:rFonts w:hint="eastAsia" w:ascii="黑体" w:hAnsi="黑体" w:eastAsia="黑体" w:cs="黑体"/>
          <w:kern w:val="0"/>
          <w:sz w:val="24"/>
          <w:szCs w:val="24"/>
          <w:lang w:eastAsia="zh-CN"/>
        </w:rPr>
      </w:pPr>
      <w:r>
        <w:rPr>
          <w:rFonts w:hint="eastAsia" w:ascii="黑体" w:hAnsi="黑体" w:eastAsia="黑体" w:cs="黑体"/>
          <w:kern w:val="0"/>
          <w:sz w:val="24"/>
          <w:szCs w:val="24"/>
          <w:lang w:eastAsia="zh-CN"/>
        </w:rPr>
        <w:t>团体标准《高速公路桥隧电力线缆运维管理规范》研讨会现场</w:t>
      </w:r>
    </w:p>
    <w:p w14:paraId="1A4D1624">
      <w:pPr>
        <w:spacing w:line="240" w:lineRule="auto"/>
        <w:jc w:val="center"/>
        <w:rPr>
          <w:rFonts w:hint="eastAsia" w:ascii="黑体" w:hAnsi="黑体" w:eastAsia="黑体" w:cs="黑体"/>
          <w:kern w:val="0"/>
          <w:sz w:val="24"/>
          <w:szCs w:val="24"/>
          <w:lang w:eastAsia="zh-CN"/>
        </w:rPr>
      </w:pPr>
      <w:r>
        <w:rPr>
          <w:rFonts w:hint="eastAsia" w:ascii="黑体" w:hAnsi="黑体" w:eastAsia="黑体" w:cs="黑体"/>
          <w:kern w:val="0"/>
          <w:sz w:val="24"/>
          <w:szCs w:val="24"/>
          <w:lang w:eastAsia="zh-CN"/>
        </w:rPr>
        <w:drawing>
          <wp:inline distT="0" distB="0" distL="114300" distR="114300">
            <wp:extent cx="4265295" cy="4014470"/>
            <wp:effectExtent l="0" t="0" r="1905" b="5080"/>
            <wp:docPr id="4" name="图片 4" descr="6ddd3107df1c881dbedb97e6283d2c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6ddd3107df1c881dbedb97e6283d2ce6"/>
                    <pic:cNvPicPr>
                      <a:picLocks noChangeAspect="1"/>
                    </pic:cNvPicPr>
                  </pic:nvPicPr>
                  <pic:blipFill>
                    <a:blip r:embed="rId6"/>
                    <a:stretch>
                      <a:fillRect/>
                    </a:stretch>
                  </pic:blipFill>
                  <pic:spPr>
                    <a:xfrm>
                      <a:off x="0" y="0"/>
                      <a:ext cx="4265295" cy="4014470"/>
                    </a:xfrm>
                    <a:prstGeom prst="rect">
                      <a:avLst/>
                    </a:prstGeom>
                  </pic:spPr>
                </pic:pic>
              </a:graphicData>
            </a:graphic>
          </wp:inline>
        </w:drawing>
      </w:r>
    </w:p>
    <w:p w14:paraId="2D782DD2">
      <w:pPr>
        <w:spacing w:line="240" w:lineRule="auto"/>
        <w:jc w:val="center"/>
        <w:rPr>
          <w:rFonts w:hint="eastAsia" w:ascii="黑体" w:hAnsi="黑体" w:eastAsia="黑体" w:cs="黑体"/>
          <w:kern w:val="0"/>
          <w:sz w:val="24"/>
          <w:szCs w:val="24"/>
          <w:lang w:val="en-US" w:eastAsia="zh-CN"/>
        </w:rPr>
      </w:pPr>
      <w:r>
        <w:rPr>
          <w:rFonts w:hint="eastAsia" w:ascii="黑体" w:hAnsi="黑体" w:eastAsia="黑体" w:cs="黑体"/>
          <w:kern w:val="0"/>
          <w:sz w:val="24"/>
          <w:szCs w:val="24"/>
          <w:lang w:eastAsia="zh-CN"/>
        </w:rPr>
        <w:t>团体标准《高速公路桥隧电力线缆运维管理规范》研讨会签到表</w:t>
      </w:r>
    </w:p>
    <w:p w14:paraId="10C20948">
      <w:pPr>
        <w:autoSpaceDE w:val="0"/>
        <w:autoSpaceDN w:val="0"/>
        <w:adjustRightInd w:val="0"/>
        <w:spacing w:line="520" w:lineRule="exact"/>
        <w:ind w:firstLine="640" w:firstLineChars="200"/>
        <w:jc w:val="left"/>
        <w:outlineLvl w:val="0"/>
        <w:rPr>
          <w:rFonts w:ascii="黑体" w:eastAsia="黑体" w:cs="仿宋_GB2312"/>
          <w:sz w:val="32"/>
          <w:szCs w:val="32"/>
        </w:rPr>
      </w:pPr>
      <w:r>
        <w:rPr>
          <w:rFonts w:hint="eastAsia" w:ascii="黑体" w:eastAsia="黑体" w:cs="仿宋_GB2312"/>
          <w:sz w:val="32"/>
          <w:szCs w:val="32"/>
        </w:rPr>
        <w:t>四、制定标准的原则和依据，与现行法律法规的关系，与有关国家标准、行业标准的协调情况</w:t>
      </w:r>
    </w:p>
    <w:p w14:paraId="7EEAB897">
      <w:pPr>
        <w:widowControl/>
        <w:tabs>
          <w:tab w:val="center" w:pos="4201"/>
          <w:tab w:val="right" w:leader="dot" w:pos="9298"/>
        </w:tabs>
        <w:autoSpaceDE w:val="0"/>
        <w:autoSpaceDN w:val="0"/>
        <w:spacing w:line="520" w:lineRule="exact"/>
        <w:ind w:firstLine="562" w:firstLineChars="200"/>
        <w:outlineLvl w:val="1"/>
        <w:rPr>
          <w:rFonts w:ascii="仿宋_GB2312" w:eastAsia="仿宋_GB2312"/>
          <w:b/>
          <w:bCs/>
          <w:kern w:val="0"/>
          <w:sz w:val="28"/>
          <w:szCs w:val="28"/>
        </w:rPr>
      </w:pPr>
      <w:r>
        <w:rPr>
          <w:rFonts w:hint="eastAsia" w:ascii="仿宋_GB2312" w:eastAsia="仿宋_GB2312"/>
          <w:b/>
          <w:bCs/>
          <w:kern w:val="0"/>
          <w:sz w:val="28"/>
          <w:szCs w:val="28"/>
        </w:rPr>
        <w:t>（一）编制原则</w:t>
      </w:r>
    </w:p>
    <w:p w14:paraId="0DB863DB">
      <w:pPr>
        <w:spacing w:line="520" w:lineRule="exact"/>
        <w:ind w:firstLine="562" w:firstLineChars="200"/>
        <w:rPr>
          <w:rFonts w:ascii="仿宋_GB2312" w:eastAsia="仿宋_GB2312"/>
          <w:b/>
          <w:sz w:val="28"/>
          <w:szCs w:val="28"/>
        </w:rPr>
      </w:pPr>
      <w:r>
        <w:rPr>
          <w:rFonts w:hint="eastAsia" w:ascii="仿宋_GB2312" w:eastAsia="仿宋_GB2312"/>
          <w:b/>
          <w:sz w:val="28"/>
          <w:szCs w:val="28"/>
        </w:rPr>
        <w:t>1.实用性原则</w:t>
      </w:r>
    </w:p>
    <w:p w14:paraId="75DB8AB8">
      <w:pPr>
        <w:spacing w:line="520" w:lineRule="exact"/>
        <w:ind w:firstLine="560" w:firstLineChars="200"/>
        <w:rPr>
          <w:rFonts w:ascii="仿宋_GB2312" w:eastAsia="仿宋_GB2312" w:cs="仿宋"/>
          <w:sz w:val="28"/>
          <w:szCs w:val="28"/>
        </w:rPr>
      </w:pPr>
      <w:r>
        <w:rPr>
          <w:rFonts w:hint="eastAsia" w:ascii="仿宋_GB2312" w:eastAsia="仿宋_GB2312" w:cs="仿宋"/>
          <w:sz w:val="28"/>
          <w:szCs w:val="28"/>
        </w:rPr>
        <w:t>本标准是在充分收集国内外相关资料和文献、调研分析</w:t>
      </w:r>
      <w:r>
        <w:rPr>
          <w:rFonts w:hint="eastAsia" w:ascii="仿宋_GB2312" w:eastAsia="仿宋_GB2312"/>
          <w:kern w:val="0"/>
          <w:sz w:val="28"/>
          <w:szCs w:val="28"/>
          <w:lang w:eastAsia="zh-CN"/>
        </w:rPr>
        <w:t>高速公路桥隧电力线缆运维管理</w:t>
      </w:r>
      <w:r>
        <w:rPr>
          <w:rFonts w:hint="eastAsia" w:ascii="仿宋_GB2312" w:eastAsia="仿宋_GB2312" w:cs="仿宋"/>
          <w:sz w:val="28"/>
          <w:szCs w:val="28"/>
        </w:rPr>
        <w:t>现状，结合起草单位前期研究工作取得的研究成果及积累的</w:t>
      </w:r>
      <w:r>
        <w:rPr>
          <w:rFonts w:hint="eastAsia" w:ascii="仿宋_GB2312" w:eastAsia="仿宋_GB2312"/>
          <w:kern w:val="0"/>
          <w:sz w:val="28"/>
          <w:szCs w:val="28"/>
          <w:lang w:eastAsia="zh-CN"/>
        </w:rPr>
        <w:t>高速公路桥隧电力线缆运维管理</w:t>
      </w:r>
      <w:r>
        <w:rPr>
          <w:rFonts w:hint="eastAsia" w:ascii="仿宋_GB2312" w:eastAsia="仿宋_GB2312" w:cs="仿宋"/>
          <w:sz w:val="28"/>
          <w:szCs w:val="28"/>
        </w:rPr>
        <w:t>实践经验，并借鉴国内</w:t>
      </w:r>
      <w:r>
        <w:rPr>
          <w:rFonts w:hint="eastAsia" w:ascii="仿宋_GB2312" w:eastAsia="仿宋_GB2312"/>
          <w:kern w:val="0"/>
          <w:sz w:val="28"/>
          <w:szCs w:val="28"/>
          <w:lang w:eastAsia="zh-CN"/>
        </w:rPr>
        <w:t>高速公路桥隧电力线缆运维管理</w:t>
      </w:r>
      <w:r>
        <w:rPr>
          <w:rFonts w:hint="eastAsia" w:ascii="仿宋_GB2312" w:eastAsia="仿宋_GB2312" w:cs="仿宋"/>
          <w:sz w:val="28"/>
          <w:szCs w:val="28"/>
        </w:rPr>
        <w:t>进行总结起草的，符合工作实际，利于</w:t>
      </w:r>
      <w:r>
        <w:rPr>
          <w:rFonts w:hint="eastAsia" w:ascii="仿宋_GB2312" w:eastAsia="仿宋_GB2312"/>
          <w:kern w:val="0"/>
          <w:sz w:val="28"/>
          <w:szCs w:val="28"/>
          <w:lang w:eastAsia="zh-CN"/>
        </w:rPr>
        <w:t>高速公路桥隧电力线缆运维管理</w:t>
      </w:r>
      <w:r>
        <w:rPr>
          <w:rFonts w:hint="eastAsia" w:ascii="仿宋_GB2312" w:eastAsia="仿宋_GB2312" w:cs="仿宋"/>
          <w:sz w:val="28"/>
          <w:szCs w:val="28"/>
        </w:rPr>
        <w:t>的实施与推广，具有可操作性和实用性。</w:t>
      </w:r>
    </w:p>
    <w:p w14:paraId="02659D99">
      <w:pPr>
        <w:spacing w:line="520" w:lineRule="exact"/>
        <w:ind w:firstLine="562" w:firstLineChars="200"/>
        <w:rPr>
          <w:rFonts w:ascii="仿宋_GB2312" w:eastAsia="仿宋_GB2312"/>
          <w:b/>
          <w:sz w:val="28"/>
          <w:szCs w:val="28"/>
        </w:rPr>
      </w:pPr>
      <w:r>
        <w:rPr>
          <w:rFonts w:hint="eastAsia" w:ascii="仿宋_GB2312" w:eastAsia="仿宋_GB2312"/>
          <w:b/>
          <w:sz w:val="28"/>
          <w:szCs w:val="28"/>
        </w:rPr>
        <w:t>2.协调性原则</w:t>
      </w:r>
    </w:p>
    <w:p w14:paraId="0F5BA7AA">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本文件编写过程中注意了与</w:t>
      </w:r>
      <w:r>
        <w:rPr>
          <w:rFonts w:hint="eastAsia" w:ascii="仿宋_GB2312" w:eastAsia="仿宋_GB2312"/>
          <w:kern w:val="0"/>
          <w:sz w:val="28"/>
          <w:szCs w:val="28"/>
          <w:lang w:eastAsia="zh-CN"/>
        </w:rPr>
        <w:t>高速公路桥隧电力线缆运维管理</w:t>
      </w:r>
      <w:r>
        <w:rPr>
          <w:rFonts w:hint="eastAsia" w:ascii="仿宋_GB2312" w:eastAsia="仿宋_GB2312"/>
          <w:sz w:val="28"/>
          <w:szCs w:val="28"/>
        </w:rPr>
        <w:t>相关法律法规的协调问题，在内容上与现行法律法规、标准协调一致。</w:t>
      </w:r>
    </w:p>
    <w:p w14:paraId="4A3BD743">
      <w:pPr>
        <w:spacing w:line="520" w:lineRule="exact"/>
        <w:ind w:firstLine="562" w:firstLineChars="200"/>
        <w:rPr>
          <w:rFonts w:ascii="仿宋_GB2312" w:eastAsia="仿宋_GB2312"/>
          <w:b/>
          <w:sz w:val="28"/>
          <w:szCs w:val="28"/>
        </w:rPr>
      </w:pPr>
      <w:r>
        <w:rPr>
          <w:rFonts w:hint="eastAsia" w:ascii="仿宋_GB2312" w:eastAsia="仿宋_GB2312"/>
          <w:b/>
          <w:sz w:val="28"/>
          <w:szCs w:val="28"/>
        </w:rPr>
        <w:t>3.规范性原则</w:t>
      </w:r>
    </w:p>
    <w:p w14:paraId="74BE0026">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本文件严格按照GB/T 1.1—2020《标准化工作导则  第1部分：标准化文件的结构和起草规则》编写本标准的内容，保证标准的编写质量。</w:t>
      </w:r>
    </w:p>
    <w:p w14:paraId="3818B7B4">
      <w:pPr>
        <w:spacing w:line="520" w:lineRule="exact"/>
        <w:ind w:firstLine="562" w:firstLineChars="200"/>
        <w:rPr>
          <w:rFonts w:ascii="仿宋_GB2312" w:eastAsia="仿宋_GB2312"/>
          <w:b/>
          <w:sz w:val="28"/>
          <w:szCs w:val="28"/>
        </w:rPr>
      </w:pPr>
      <w:r>
        <w:rPr>
          <w:rFonts w:hint="eastAsia" w:ascii="仿宋_GB2312" w:eastAsia="仿宋_GB2312"/>
          <w:b/>
          <w:sz w:val="28"/>
          <w:szCs w:val="28"/>
        </w:rPr>
        <w:t>4.前瞻性原则</w:t>
      </w:r>
    </w:p>
    <w:p w14:paraId="274C3EA5">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本文件在兼顾当前区内</w:t>
      </w:r>
      <w:r>
        <w:rPr>
          <w:rFonts w:hint="eastAsia" w:ascii="仿宋_GB2312" w:eastAsia="仿宋_GB2312"/>
          <w:kern w:val="0"/>
          <w:sz w:val="28"/>
          <w:szCs w:val="28"/>
          <w:lang w:eastAsia="zh-CN"/>
        </w:rPr>
        <w:t>高速公路桥隧电力线缆运维管理</w:t>
      </w:r>
      <w:r>
        <w:rPr>
          <w:rFonts w:hint="eastAsia" w:ascii="仿宋_GB2312" w:eastAsia="仿宋_GB2312"/>
          <w:sz w:val="28"/>
          <w:szCs w:val="28"/>
        </w:rPr>
        <w:t>现实情况的同时，还考虑到了</w:t>
      </w:r>
      <w:r>
        <w:rPr>
          <w:rFonts w:hint="eastAsia" w:ascii="仿宋_GB2312" w:eastAsia="仿宋_GB2312"/>
          <w:kern w:val="0"/>
          <w:sz w:val="28"/>
          <w:szCs w:val="28"/>
          <w:lang w:eastAsia="zh-CN"/>
        </w:rPr>
        <w:t>高速公路桥隧电力线缆运维管理</w:t>
      </w:r>
      <w:r>
        <w:rPr>
          <w:rFonts w:hint="eastAsia" w:ascii="仿宋_GB2312" w:eastAsia="仿宋_GB2312"/>
          <w:sz w:val="28"/>
          <w:szCs w:val="28"/>
        </w:rPr>
        <w:t>的需要，在标准中体现了个别特色性、前瞻性和先进性条款，作为对</w:t>
      </w:r>
      <w:r>
        <w:rPr>
          <w:rFonts w:hint="eastAsia" w:ascii="仿宋_GB2312" w:eastAsia="仿宋_GB2312"/>
          <w:kern w:val="0"/>
          <w:sz w:val="28"/>
          <w:szCs w:val="28"/>
          <w:lang w:eastAsia="zh-CN"/>
        </w:rPr>
        <w:t>高速公路桥隧电力线缆运维管理</w:t>
      </w:r>
      <w:r>
        <w:rPr>
          <w:rFonts w:hint="eastAsia" w:ascii="仿宋_GB2312" w:eastAsia="仿宋_GB2312"/>
          <w:sz w:val="28"/>
          <w:szCs w:val="28"/>
        </w:rPr>
        <w:t>发展的指导。</w:t>
      </w:r>
    </w:p>
    <w:p w14:paraId="330C1A02">
      <w:pPr>
        <w:spacing w:line="520" w:lineRule="exact"/>
        <w:ind w:firstLine="562" w:firstLineChars="200"/>
        <w:outlineLvl w:val="1"/>
        <w:rPr>
          <w:rFonts w:ascii="仿宋_GB2312" w:eastAsia="仿宋_GB2312"/>
          <w:b/>
          <w:bCs/>
          <w:sz w:val="28"/>
          <w:szCs w:val="28"/>
        </w:rPr>
      </w:pPr>
      <w:r>
        <w:rPr>
          <w:rFonts w:hint="eastAsia" w:ascii="仿宋_GB2312" w:eastAsia="仿宋_GB2312"/>
          <w:b/>
          <w:bCs/>
          <w:sz w:val="28"/>
          <w:szCs w:val="28"/>
        </w:rPr>
        <w:t>（二）编制依据</w:t>
      </w:r>
    </w:p>
    <w:p w14:paraId="724E7EF0">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本标准严格按照GB/T 1.1—2020《标准化工作导则  第1部分：标准化文件的结构和起草规则》的规则起草，标准主要内容依据起草单位在</w:t>
      </w:r>
      <w:r>
        <w:rPr>
          <w:rFonts w:hint="eastAsia" w:ascii="仿宋_GB2312" w:eastAsia="仿宋_GB2312"/>
          <w:kern w:val="0"/>
          <w:sz w:val="28"/>
          <w:szCs w:val="28"/>
          <w:lang w:eastAsia="zh-CN"/>
        </w:rPr>
        <w:t>高速公路桥隧电力线缆运维管理</w:t>
      </w:r>
      <w:r>
        <w:rPr>
          <w:rFonts w:hint="eastAsia" w:ascii="仿宋_GB2312" w:eastAsia="仿宋_GB2312"/>
          <w:sz w:val="28"/>
          <w:szCs w:val="28"/>
        </w:rPr>
        <w:t>研究应用过程中的实践经验确定。</w:t>
      </w:r>
    </w:p>
    <w:p w14:paraId="4868B094">
      <w:pPr>
        <w:spacing w:line="520" w:lineRule="exact"/>
        <w:ind w:firstLine="562" w:firstLineChars="200"/>
        <w:outlineLvl w:val="1"/>
        <w:rPr>
          <w:rFonts w:ascii="仿宋_GB2312" w:eastAsia="仿宋_GB2312"/>
          <w:b/>
          <w:bCs/>
          <w:sz w:val="28"/>
          <w:szCs w:val="28"/>
        </w:rPr>
      </w:pPr>
      <w:r>
        <w:rPr>
          <w:rFonts w:hint="eastAsia" w:ascii="仿宋_GB2312" w:eastAsia="仿宋_GB2312"/>
          <w:b/>
          <w:bCs/>
          <w:sz w:val="28"/>
          <w:szCs w:val="28"/>
        </w:rPr>
        <w:t>（三）与现行法律法规的关系，与有关国家标准、行业标准的协调情况</w:t>
      </w:r>
    </w:p>
    <w:p w14:paraId="537E8905">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经查阅，与“高速公路桥隧电力线缆运维管理规范”有关的标准有：GB 50168-2018《电气装置安装工程 电缆线路施工及验收标准》、GB 50217-2018《电力工程电缆设计标准》、DL/T 1253-2013《电力电缆线路运行规程》、DL/T 5484-2024《电力电缆隧道设计规程》、DL/T 1636-2016《电缆隧道机器人巡检技术导则》、T/CES 196-2023《110(66)kV-220kV电缆桥梁敷设工程技术规范》、T/CEC 1134-2025《直流电缆线路运行维护与检修规程》、T/CEC 117-2016《160kV～500kV挤包绝缘直流电缆系统运行维护与试验导则》、T/CEC 556-2021《高压交流电缆在线监测装置安装调试与运行维护导则》。</w:t>
      </w:r>
    </w:p>
    <w:p w14:paraId="4804C908">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GB 50168-2018《电气装置安装工程 电缆线路施工及验收标准》规定了电缆线路从敷设、附件安装到防火设施施工及工程交接验收的全过程施工技术要求与质量控制标准。</w:t>
      </w:r>
    </w:p>
    <w:p w14:paraId="5EAC2767">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GB 50217-2018《电力工程电缆设计标准》：规定了电力工程中电缆及其附件的型式选择、截面计算、各类敷设方式（如直埋、沟道、隧道、竖井及在其他公用设施中敷设）的设计原则、电缆支持与固定方法以及防火阻燃措施等通用设计要求。</w:t>
      </w:r>
    </w:p>
    <w:p w14:paraId="757928F3">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DL/T 1253-2013《电力电缆线路运行规程》规定了500kV及以下交流电力电缆线路的一般工作要求、运行技术性能、使用条件、验收、运行管理、维护检修及故障处理等全周期运行管理要求。</w:t>
      </w:r>
    </w:p>
    <w:p w14:paraId="56A0833E">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DL/T 5484-2024《电力电缆隧道设计规程》规定了新建、改建及扩建电力电缆隧道本体结构的设计要求与标准，适用于隧道本体设计。</w:t>
      </w:r>
    </w:p>
    <w:p w14:paraId="3CB1BCA8">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DL/T 1636-2016《电缆隧道机器人巡检技术导则》：规定了在专用电力电缆隧道环境中，采用机器人系统进行自动巡检所涉及的技术要求，包括机器人本体性能、定位导航方式、检测功能（如可见光、红外、气体检测）以及后台管理系统的构成与要求。</w:t>
      </w:r>
    </w:p>
    <w:p w14:paraId="487793A4">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T/CES 196-2023《110(66)kV～220kV电缆桥梁敷设工程技术规范》规定了在跨越江河湖泊的交通桥梁上敷设110(66)kV至220kV高压电力电缆的通道设计、电缆选型、附属设施、运行维护及环境保护的专项技术要求。</w:t>
      </w:r>
    </w:p>
    <w:p w14:paraId="4A064C5D">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T/CEC 1134-2025《直流电缆线路运行维护与检修规程》：规定了陆地及海底直流电缆线路的运行维护管理、状态监测、预防性试验、检修策略及故障处理等方面的专用技术要求。</w:t>
      </w:r>
    </w:p>
    <w:p w14:paraId="0A773D13">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T/CEC 117-2016《160kV～500kV挤包绝缘直流电缆系统运行维护与试验导则》：进一步规定了超高压直流挤包绝缘电缆系统在投运后的巡视检查内容、例行试验项目、诊断性试验方法及状态评估等深度技术指导。</w:t>
      </w:r>
    </w:p>
    <w:p w14:paraId="46205AA7">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T/CEC 556-2021《高压交流电缆在线监测装置安装调试与运行维护导则》：规定了用于高压交流电缆的分布式光纤测温、局部放电等在线监测装置在设备选型、现场安装、调试校准、数据应用及装置本身维护等方面的具体技术要求。</w:t>
      </w:r>
    </w:p>
    <w:p w14:paraId="409F64FE">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本标准的主要内容是针对高速公路桥梁与隧道这一特殊交通场景，建立一套跨行业的电力线缆运维管理体系。它系统整合了环境适配性防护、低成本智能化改造以及“监测-预警-处置”的闭环管理流程，旨在解决桥隧环境下特有的运维协同问题。这与仅规定通用设计、施工、巡检或特定电缆技术的现有标准均不一样。本标准的制定将填补行业空白，因此制定团体标准《高速公路桥隧电力线缆运维管理规范》具有创新性，先进性。</w:t>
      </w:r>
    </w:p>
    <w:p w14:paraId="4D4A4D62">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当前未制定有团体标准《</w:t>
      </w:r>
      <w:r>
        <w:rPr>
          <w:rFonts w:hint="eastAsia" w:ascii="仿宋_GB2312" w:eastAsia="仿宋_GB2312"/>
          <w:sz w:val="28"/>
          <w:szCs w:val="28"/>
          <w:lang w:eastAsia="zh-CN"/>
        </w:rPr>
        <w:t>高速公路桥隧电力线缆运维管理</w:t>
      </w:r>
      <w:r>
        <w:rPr>
          <w:rFonts w:hint="eastAsia" w:ascii="仿宋_GB2312" w:eastAsia="仿宋_GB2312"/>
          <w:sz w:val="28"/>
          <w:szCs w:val="28"/>
        </w:rPr>
        <w:t>规范》。</w:t>
      </w:r>
    </w:p>
    <w:p w14:paraId="61181925">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本标准的内容与现行的法律法规及强制性标准无冲突，标准的编写符合GB/T 1.1—2020的要求。</w:t>
      </w:r>
    </w:p>
    <w:p w14:paraId="74898E49">
      <w:pPr>
        <w:spacing w:before="240" w:after="60" w:line="520" w:lineRule="exact"/>
        <w:ind w:firstLine="640" w:firstLineChars="200"/>
        <w:jc w:val="left"/>
        <w:outlineLvl w:val="0"/>
        <w:rPr>
          <w:rFonts w:ascii="仿宋_GB2312" w:eastAsia="仿宋_GB2312" w:cs="仿宋"/>
          <w:bCs/>
          <w:sz w:val="28"/>
          <w:szCs w:val="28"/>
        </w:rPr>
      </w:pPr>
      <w:r>
        <w:rPr>
          <w:rFonts w:hint="eastAsia" w:ascii="黑体" w:eastAsia="黑体"/>
          <w:bCs/>
          <w:sz w:val="32"/>
          <w:szCs w:val="32"/>
        </w:rPr>
        <w:t>五、主要条款的说明</w:t>
      </w:r>
    </w:p>
    <w:p w14:paraId="5C246B4C">
      <w:pPr>
        <w:pStyle w:val="33"/>
        <w:spacing w:before="0" w:beforeLines="0" w:after="0" w:afterLines="0"/>
        <w:ind w:firstLine="562"/>
        <w:jc w:val="both"/>
        <w:outlineLvl w:val="1"/>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（一）术语和定义</w:t>
      </w:r>
    </w:p>
    <w:p w14:paraId="5B6A347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b/>
          <w:bCs w:val="0"/>
          <w:sz w:val="28"/>
          <w:szCs w:val="28"/>
        </w:rPr>
        <w:t>高速公路桥隧电力线缆</w:t>
      </w:r>
    </w:p>
    <w:p w14:paraId="0D47B9E4">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“高速公路桥隧电力线缆”这一术语及定义，主要参考了GB 50168-2018《电气装置安装工程 电缆线路施工及验收标准》、GB 50217-2018《电力工程电缆设计标准》等国家标准，并结合起草单位在高速公路桥隧电力系统运维工作中的实际经验确定。</w:t>
      </w:r>
    </w:p>
    <w:p w14:paraId="0E7E4C3A">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val="en-US" w:eastAsia="zh-CN"/>
        </w:rPr>
        <w:t xml:space="preserve">1. </w:t>
      </w:r>
      <w:r>
        <w:rPr>
          <w:rFonts w:hint="eastAsia" w:ascii="仿宋_GB2312" w:hAnsi="仿宋_GB2312" w:eastAsia="仿宋_GB2312" w:cs="仿宋_GB2312"/>
          <w:sz w:val="28"/>
          <w:szCs w:val="28"/>
          <w:lang w:eastAsia="zh-CN"/>
        </w:rPr>
        <w:t>定义范围的扩展：传统电力电缆定义通常指“用于传输电能的绝缘导体”。本定义在传统基础上增加了“包括接头、终端、保护套管等部件以及主线供电线缆与分支配电线缆”，原因是：</w:t>
      </w:r>
    </w:p>
    <w:p w14:paraId="45E83EBA">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1</w:t>
      </w:r>
      <w:r>
        <w:rPr>
          <w:rFonts w:hint="eastAsia" w:ascii="仿宋_GB2312" w:hAnsi="仿宋_GB2312" w:eastAsia="仿宋_GB2312" w:cs="仿宋_GB2312"/>
          <w:sz w:val="28"/>
          <w:szCs w:val="28"/>
          <w:lang w:eastAsia="zh-CN"/>
        </w:rPr>
        <w:t>）桥隧电力系统故障统计：接头故障占38%，终端故障占17%，分支点故障占12%，线缆本体故障仅占28%，其他占5%。若定义仅限于线缆本体，将遗漏超过70%的故障对象。</w:t>
      </w:r>
    </w:p>
    <w:p w14:paraId="2F1DC1E0">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2</w:t>
      </w:r>
      <w:r>
        <w:rPr>
          <w:rFonts w:hint="eastAsia" w:ascii="仿宋_GB2312" w:hAnsi="仿宋_GB2312" w:eastAsia="仿宋_GB2312" w:cs="仿宋_GB2312"/>
          <w:sz w:val="28"/>
          <w:szCs w:val="28"/>
          <w:lang w:eastAsia="zh-CN"/>
        </w:rPr>
        <w:t>）保护套管、分支线缆等附属部件在桥隧环境下易因振动、腐蚀、积水等受损，且其状态直接影响线缆安全（如保护套管破损导致外护套直接暴露）。</w:t>
      </w:r>
    </w:p>
    <w:p w14:paraId="11E1F07C">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val="en-US" w:eastAsia="zh-CN"/>
        </w:rPr>
        <w:t xml:space="preserve">2. </w:t>
      </w:r>
      <w:r>
        <w:rPr>
          <w:rFonts w:hint="eastAsia" w:ascii="仿宋_GB2312" w:hAnsi="仿宋_GB2312" w:eastAsia="仿宋_GB2312" w:cs="仿宋_GB2312"/>
          <w:sz w:val="28"/>
          <w:szCs w:val="28"/>
          <w:lang w:eastAsia="zh-CN"/>
        </w:rPr>
        <w:t>服务对象的列举：列举“照明、通风、监控、应急救援”，是因为这四类设施直接关系隧道行车安全和桥梁结构安全。照明失效导致视距不足；通风失效导致有害气体积聚；监控失效导致无法及时响应异常；应急救援设施失效则危及人员生命。这些是桥隧电力线缆的“关键负荷”，应优先保障供电可靠性。</w:t>
      </w:r>
    </w:p>
    <w:p w14:paraId="5B750FF1">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val="en-US" w:eastAsia="zh-CN"/>
        </w:rPr>
        <w:t xml:space="preserve">3. </w:t>
      </w:r>
      <w:r>
        <w:rPr>
          <w:rFonts w:hint="eastAsia" w:ascii="仿宋_GB2312" w:hAnsi="仿宋_GB2312" w:eastAsia="仿宋_GB2312" w:cs="仿宋_GB2312"/>
          <w:sz w:val="28"/>
          <w:szCs w:val="28"/>
          <w:lang w:eastAsia="zh-CN"/>
        </w:rPr>
        <w:t>“主线缆与分支配电线缆”的区分：主线缆是供电主干，分支线缆是接入各类设施的支路。区分两者是为了在故障分级、抢修优先级、备品备件储备中分别对待——主线缆故障通常为Ⅰ级故障，分支线缆故障可能为Ⅱ级或Ⅲ级。</w:t>
      </w:r>
    </w:p>
    <w:p w14:paraId="083ECC06">
      <w:pPr>
        <w:pStyle w:val="33"/>
        <w:spacing w:before="0" w:beforeLines="0" w:after="0" w:afterLines="0" w:line="240" w:lineRule="auto"/>
        <w:ind w:firstLine="0" w:firstLineChars="0"/>
        <w:jc w:val="center"/>
      </w:pPr>
      <w:r>
        <w:drawing>
          <wp:inline distT="0" distB="0" distL="114300" distR="114300">
            <wp:extent cx="2727325" cy="3388995"/>
            <wp:effectExtent l="9525" t="9525" r="25400" b="1143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2727325" cy="3388995"/>
                    </a:xfrm>
                    <a:prstGeom prst="rect">
                      <a:avLst/>
                    </a:prstGeom>
                    <a:noFill/>
                    <a:ln>
                      <a:solidFill>
                        <a:schemeClr val="tx1"/>
                      </a:solidFill>
                    </a:ln>
                  </pic:spPr>
                </pic:pic>
              </a:graphicData>
            </a:graphic>
          </wp:inline>
        </w:drawing>
      </w:r>
    </w:p>
    <w:p w14:paraId="3F15B08F">
      <w:pPr>
        <w:pStyle w:val="33"/>
        <w:spacing w:before="0" w:beforeLines="0" w:after="0" w:afterLines="0" w:line="240" w:lineRule="auto"/>
        <w:ind w:firstLine="0" w:firstLineChars="0"/>
        <w:jc w:val="center"/>
        <w:rPr>
          <w:rFonts w:hint="eastAsia"/>
        </w:rPr>
      </w:pPr>
      <w:r>
        <w:rPr>
          <w:rFonts w:hint="eastAsia"/>
        </w:rPr>
        <w:t>来源：GB 50168</w:t>
      </w:r>
      <w:r>
        <w:rPr>
          <w:rFonts w:hint="eastAsia"/>
          <w:lang w:val="en-US" w:eastAsia="zh-CN"/>
        </w:rPr>
        <w:t xml:space="preserve">  </w:t>
      </w:r>
      <w:r>
        <w:rPr>
          <w:rFonts w:hint="eastAsia"/>
        </w:rPr>
        <w:t>电气装置安装工程 电缆线路施工及验收标准</w:t>
      </w:r>
    </w:p>
    <w:p w14:paraId="663FB9B0">
      <w:pPr>
        <w:pStyle w:val="33"/>
        <w:spacing w:before="0" w:beforeLines="0" w:after="0" w:afterLines="0"/>
        <w:ind w:firstLine="562"/>
        <w:jc w:val="both"/>
        <w:outlineLvl w:val="1"/>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（二）</w:t>
      </w:r>
      <w:r>
        <w:rPr>
          <w:rFonts w:hint="eastAsia" w:ascii="仿宋_GB2312" w:hAnsi="仿宋_GB2312" w:eastAsia="仿宋_GB2312" w:cs="仿宋_GB2312"/>
          <w:b/>
          <w:bCs w:val="0"/>
          <w:sz w:val="28"/>
          <w:szCs w:val="28"/>
          <w:lang w:eastAsia="zh-CN"/>
        </w:rPr>
        <w:t>基本</w:t>
      </w:r>
      <w:r>
        <w:rPr>
          <w:rFonts w:hint="eastAsia" w:ascii="仿宋_GB2312" w:hAnsi="仿宋_GB2312" w:eastAsia="仿宋_GB2312" w:cs="仿宋_GB2312"/>
          <w:b/>
          <w:bCs w:val="0"/>
          <w:sz w:val="28"/>
          <w:szCs w:val="28"/>
        </w:rPr>
        <w:t>要求</w:t>
      </w:r>
    </w:p>
    <w:p w14:paraId="7C088FE4">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 组织与人员</w:t>
      </w:r>
    </w:p>
    <w:p w14:paraId="56FF906D">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1.1 “覆盖线缆全生命周期”指线缆从投运到退役的整个过程中，不同阶段（初期、稳定期、老化期）的故障特征和运维重点不同，全生命周期管理要求运维策略随线缆状态动态调整，而非一成不变，例如运行初期重点在接头工艺验证，稳定期重点在负荷监测，老化期重点在绝缘检测和局部放电监测；“智能巡检—精准评估—分级预警—协同处置”闭环中，智能巡检通过在线监测、机器人、无人机等技术替代人工盲区巡检，解决桥隧环境恶劣、人工巡检受限的问题，精准评估基于采集数据（温度、局放、负荷）对线缆健康状态进行量化评估，而非仅凭经验判断，分级预警将风险按严重程度分级，匹配差异化的响应资源，避免“小事大办”或“大事缓办”，协同处置因桥隧电力故障可能涉及机电、养护、交警、消防等多部门，协同机制可缩短响应时间；此闭环模式借鉴了行业先进运维理念，结合桥隧场景优化形成。</w:t>
      </w:r>
    </w:p>
    <w:p w14:paraId="356CA9E9">
      <w:pPr>
        <w:pStyle w:val="33"/>
        <w:spacing w:before="0" w:beforeLines="0" w:after="0" w:afterLines="0"/>
        <w:ind w:firstLine="560"/>
        <w:jc w:val="both"/>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 ““相应资质”指高压电工操作证、电缆专业技能证书、特种作业操作证（高处作业、有限空间作业）等，桥隧电力线缆涉及高压电、高空、隧道封闭空间等危险作业环境，无资质人员操作风险极高。</w:t>
      </w:r>
    </w:p>
    <w:p w14:paraId="51CAC47B">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1.3 培训内容包括电缆结构原理、故障诊断技术、安全操作规程、应急处置流程等，定期培训确保运维人员掌握技术和安全要求，新入职人员上岗前应通过培训考核。</w:t>
      </w:r>
    </w:p>
    <w:p w14:paraId="2B06CCA1">
      <w:pPr>
        <w:pStyle w:val="33"/>
        <w:spacing w:before="0" w:beforeLines="0" w:after="0" w:afterLines="0"/>
        <w:ind w:firstLine="560"/>
        <w:jc w:val="both"/>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1.4 培训档案记录每次培训的时间、内容、考核结果，作为人员资质管理和技能考核的依据；技能评估机制（如技能比武、实操考核）用于检验培训效果，发现技能短板，为差异化培训提供依据。</w:t>
      </w:r>
    </w:p>
    <w:p w14:paraId="7473A2C8">
      <w:pPr>
        <w:pStyle w:val="33"/>
        <w:spacing w:before="0" w:beforeLines="0" w:after="0" w:afterLines="0"/>
        <w:ind w:firstLine="560"/>
        <w:jc w:val="both"/>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1.5 第三方服务机构应具备相应资质（如承装（修、试）电力设施许可证、安全生产许可证），委托合同应明确服务标准（如响应时间、验收标准）和安全责任划分，避免责任不清导致推诿。</w:t>
      </w:r>
    </w:p>
    <w:p w14:paraId="636D7577">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2. 基础设施与环境</w:t>
      </w:r>
    </w:p>
    <w:p w14:paraId="47F76754">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1.1 防护措施：</w:t>
      </w:r>
    </w:p>
    <w:p w14:paraId="513CF7EF">
      <w:pPr>
        <w:pStyle w:val="33"/>
        <w:spacing w:before="0" w:beforeLines="0" w:after="0" w:afterLines="0"/>
        <w:ind w:firstLine="560"/>
        <w:jc w:val="both"/>
        <w:rPr>
          <w:rFonts w:hint="eastAsia" w:ascii="仿宋_GB2312" w:hAnsi="仿宋_GB2312" w:eastAsia="仿宋_GB2312" w:cs="仿宋_GB2312"/>
          <w:b w:val="0"/>
          <w:bCs/>
          <w:sz w:val="28"/>
          <w:szCs w:val="28"/>
          <w:lang w:val="en-US" w:eastAsia="zh-CN"/>
        </w:rPr>
      </w:pPr>
      <w:r>
        <w:rPr>
          <w:rFonts w:hint="eastAsia" w:ascii="仿宋_GB2312" w:hAnsi="仿宋_GB2312" w:eastAsia="仿宋_GB2312" w:cs="仿宋_GB2312"/>
          <w:b w:val="0"/>
          <w:bCs/>
          <w:sz w:val="28"/>
          <w:szCs w:val="28"/>
          <w:lang w:val="en-US" w:eastAsia="zh-CN"/>
        </w:rPr>
        <w:t>（1）隧道内湿度高、凝露现象普遍，水分渗入电缆接头会加速绝缘性能下降，增加击穿风险。因此，应采用防潮密封措施，必要时配置除湿装置；电缆接头处宜采用防水型接头，防护等级应满足隧道积水工况要求。除湿装置的配置可参考相关通风设计标准。</w:t>
      </w:r>
    </w:p>
    <w:p w14:paraId="7E56043D">
      <w:pPr>
        <w:pStyle w:val="33"/>
        <w:spacing w:before="0" w:beforeLines="0" w:after="0" w:afterLines="0"/>
        <w:ind w:firstLine="560"/>
        <w:jc w:val="both"/>
        <w:rPr>
          <w:rFonts w:hint="eastAsia" w:ascii="仿宋_GB2312" w:hAnsi="仿宋_GB2312" w:eastAsia="仿宋_GB2312" w:cs="仿宋_GB2312"/>
          <w:b w:val="0"/>
          <w:bCs/>
          <w:sz w:val="28"/>
          <w:szCs w:val="28"/>
          <w:lang w:val="en-US" w:eastAsia="zh-CN"/>
        </w:rPr>
      </w:pPr>
      <w:r>
        <w:rPr>
          <w:rFonts w:hint="eastAsia" w:ascii="仿宋_GB2312" w:hAnsi="仿宋_GB2312" w:eastAsia="仿宋_GB2312" w:cs="仿宋_GB2312"/>
          <w:b w:val="0"/>
          <w:bCs/>
          <w:sz w:val="28"/>
          <w:szCs w:val="28"/>
          <w:lang w:val="en-US" w:eastAsia="zh-CN"/>
        </w:rPr>
        <w:t>（2）隧道内可能因地质条件或车辆尾气积聚甲烷、一氧化碳、硫化氢等有害气体，当浓度达到一定限值时，不仅危害人员安全，还可能因电气设备产生火花引发爆炸事故。因此，应配置气体监测装置，隧道内使用</w:t>
      </w:r>
      <w:r>
        <w:rPr>
          <w:rFonts w:hint="eastAsia" w:ascii="仿宋_GB2312" w:hAnsi="仿宋_GB2312" w:eastAsia="仿宋_GB2312" w:cs="仿宋_GB2312"/>
          <w:b w:val="0"/>
          <w:bCs/>
          <w:sz w:val="28"/>
          <w:szCs w:val="28"/>
          <w:highlight w:val="none"/>
          <w:lang w:val="en-US" w:eastAsia="zh-CN"/>
        </w:rPr>
        <w:t>的电气设备（如传感器、摄像头、配电箱、巡检机器人等）的防爆性能应符合GB/T 3836.1的规</w:t>
      </w:r>
      <w:r>
        <w:rPr>
          <w:rFonts w:hint="eastAsia" w:ascii="仿宋_GB2312" w:hAnsi="仿宋_GB2312" w:eastAsia="仿宋_GB2312" w:cs="仿宋_GB2312"/>
          <w:b w:val="0"/>
          <w:bCs/>
          <w:sz w:val="28"/>
          <w:szCs w:val="28"/>
          <w:lang w:val="en-US" w:eastAsia="zh-CN"/>
        </w:rPr>
        <w:t>定。气体监测数据宜与通风系统联动，当浓度超限时自动启动风机。</w:t>
      </w:r>
    </w:p>
    <w:p w14:paraId="7527A771">
      <w:pPr>
        <w:pStyle w:val="33"/>
        <w:spacing w:before="0" w:beforeLines="0" w:after="0" w:afterLines="0"/>
        <w:ind w:firstLine="560"/>
        <w:jc w:val="both"/>
        <w:rPr>
          <w:rFonts w:hint="default" w:ascii="仿宋_GB2312" w:hAnsi="仿宋_GB2312" w:eastAsia="仿宋_GB2312" w:cs="仿宋_GB2312"/>
          <w:b w:val="0"/>
          <w:bCs/>
          <w:sz w:val="28"/>
          <w:szCs w:val="28"/>
          <w:lang w:val="en-US" w:eastAsia="zh-CN"/>
        </w:rPr>
      </w:pPr>
      <w:r>
        <w:rPr>
          <w:rFonts w:hint="eastAsia" w:ascii="仿宋_GB2312" w:hAnsi="仿宋_GB2312" w:eastAsia="仿宋_GB2312" w:cs="仿宋_GB2312"/>
          <w:b w:val="0"/>
          <w:bCs/>
          <w:sz w:val="28"/>
          <w:szCs w:val="28"/>
          <w:lang w:val="en-US" w:eastAsia="zh-CN"/>
        </w:rPr>
        <w:t>（3）桥梁露天环境下，紫外线辐射会导致电缆外护套材料老化、脆化、开裂，更换成本高；盐雾、工业污染物、酸雨等腐蚀因素会加速金属构件锈蚀。因此，电缆及附件应具备耐紫外线、耐老化性能，金属构件应加强防腐，防腐等级应根据环境腐蚀性确定，并按规定周期维护。</w:t>
      </w:r>
    </w:p>
    <w:p w14:paraId="7D69F011">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4</w:t>
      </w:r>
      <w:r>
        <w:rPr>
          <w:rFonts w:hint="eastAsia" w:ascii="仿宋_GB2312" w:hAnsi="仿宋_GB2312" w:eastAsia="仿宋_GB2312" w:cs="仿宋_GB2312"/>
          <w:sz w:val="28"/>
          <w:szCs w:val="28"/>
          <w:lang w:eastAsia="zh-CN"/>
        </w:rPr>
        <w:t>）桥梁在车辆通行、风载、温度变化下会产生持续振动和位移，普通固定方式易松动、疲劳断裂。因此，应采用抗振型固定方式，固定间距应适当加密；在伸缩缝处应设置柔性连接和余量补偿，吸收位移，避免线缆受力损坏。</w:t>
      </w:r>
    </w:p>
    <w:p w14:paraId="16F29BAB">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5</w:t>
      </w:r>
      <w:r>
        <w:rPr>
          <w:rFonts w:hint="eastAsia" w:ascii="仿宋_GB2312" w:hAnsi="仿宋_GB2312" w:eastAsia="仿宋_GB2312" w:cs="仿宋_GB2312"/>
          <w:sz w:val="28"/>
          <w:szCs w:val="28"/>
          <w:lang w:eastAsia="zh-CN"/>
        </w:rPr>
        <w:t>）沿海地区桥梁盐雾环境腐蚀性强，应采用防腐型线缆及金属构件，并按规定周期进行防腐涂层维护。</w:t>
      </w:r>
    </w:p>
    <w:p w14:paraId="1205582C">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6</w:t>
      </w:r>
      <w:r>
        <w:rPr>
          <w:rFonts w:hint="eastAsia" w:ascii="仿宋_GB2312" w:hAnsi="仿宋_GB2312" w:eastAsia="仿宋_GB2312" w:cs="仿宋_GB2312"/>
          <w:sz w:val="28"/>
          <w:szCs w:val="28"/>
          <w:lang w:eastAsia="zh-CN"/>
        </w:rPr>
        <w:t>）隧道低洼处、桥梁排水口等易积水区段，应设置自动排水装置，防止线缆长期浸泡；电缆支架高度应高于历史最高积水水位，并留有一定安全余量。</w:t>
      </w:r>
    </w:p>
    <w:p w14:paraId="63CC8FE9">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7</w:t>
      </w:r>
      <w:r>
        <w:rPr>
          <w:rFonts w:hint="eastAsia" w:ascii="仿宋_GB2312" w:hAnsi="仿宋_GB2312" w:eastAsia="仿宋_GB2312" w:cs="仿宋_GB2312"/>
          <w:sz w:val="28"/>
          <w:szCs w:val="28"/>
          <w:lang w:eastAsia="zh-CN"/>
        </w:rPr>
        <w:t>）隧道防火分区隔墙的电缆孔洞若封堵不严，火灾时烟气会通过孔洞迅速蔓延，导致防火分区失效。因此，封堵材料的耐火极限不应低于贯穿部位构件的耐火极限，且封堵应兼具防火、防水、防鼠功能。此条款引用</w:t>
      </w:r>
      <w:r>
        <w:rPr>
          <w:rFonts w:hint="eastAsia" w:ascii="仿宋_GB2312" w:hAnsi="仿宋_GB2312" w:eastAsia="仿宋_GB2312" w:cs="仿宋_GB2312"/>
          <w:sz w:val="28"/>
          <w:szCs w:val="28"/>
          <w:highlight w:val="none"/>
          <w:lang w:eastAsia="zh-CN"/>
        </w:rPr>
        <w:t>GB 50217</w:t>
      </w:r>
      <w:r>
        <w:rPr>
          <w:rFonts w:hint="eastAsia" w:ascii="仿宋_GB2312" w:hAnsi="仿宋_GB2312" w:eastAsia="仿宋_GB2312" w:cs="仿宋_GB2312"/>
          <w:sz w:val="28"/>
          <w:szCs w:val="28"/>
          <w:lang w:eastAsia="zh-CN"/>
        </w:rPr>
        <w:t>相关规定并进一步明确。</w:t>
      </w:r>
    </w:p>
    <w:p w14:paraId="7D5A2BD1">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8</w:t>
      </w:r>
      <w:r>
        <w:rPr>
          <w:rFonts w:hint="eastAsia" w:ascii="仿宋_GB2312" w:hAnsi="仿宋_GB2312" w:eastAsia="仿宋_GB2312" w:cs="仿宋_GB2312"/>
          <w:sz w:val="28"/>
          <w:szCs w:val="28"/>
          <w:lang w:eastAsia="zh-CN"/>
        </w:rPr>
        <w:t>）电缆及金属构件的防腐等级应达到GB/T 19292.4—2018中规定的C5-M级；防腐涂层的维护周期为1年/次；电缆接头宜采用IP68级防水密封设计，确保在积水环境下正常工作。</w:t>
      </w:r>
    </w:p>
    <w:p w14:paraId="342B1D4A">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9</w:t>
      </w:r>
      <w:r>
        <w:rPr>
          <w:rFonts w:hint="eastAsia" w:ascii="仿宋_GB2312" w:hAnsi="仿宋_GB2312" w:eastAsia="仿宋_GB2312" w:cs="仿宋_GB2312"/>
          <w:sz w:val="28"/>
          <w:szCs w:val="28"/>
          <w:lang w:eastAsia="zh-CN"/>
        </w:rPr>
        <w:t>）隧道电缆沟应增设防渗水垫层，厚度应≥5 cm，并设置纵向排水盲管；电缆支架的高度应高于历史最高积水水位，且高差应≥30 cm；桥梁电缆井底部应设置集水坑及自动排水泵，防止线缆长期浸泡。</w:t>
      </w:r>
    </w:p>
    <w:p w14:paraId="7C651F3D">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2.2</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eastAsia="zh-CN"/>
        </w:rPr>
        <w:t>接地可防止发生单相接地故障时金属构件产生危险接触电压，保护人身安全，接地电阻值应符合相关标准要求。桥隧出入口、高落差及过电压敏感区段易受雷击和过电压冲击，应设置多级防雷与过电压保护装置，并按规定周期检测其有效性。</w:t>
      </w:r>
    </w:p>
    <w:p w14:paraId="3E8D4EF0">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2.3</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eastAsia="zh-CN"/>
        </w:rPr>
        <w:t>桥隧线缆系统复杂、电缆数量多，无标识或标识不清会导致故障定位困难、作业误伤、交接混乱。因此，应建立统一、清晰、耐久的线缆标识体系，标识内容应足以让运维人员在无图纸情况下识别线缆。</w:t>
      </w:r>
    </w:p>
    <w:p w14:paraId="36BF20A4">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2.4</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eastAsia="zh-CN"/>
        </w:rPr>
        <w:t>隧道内应设置检修通道和照明，保障人员通行和作业安全；桥梁检修点位于行车道上或桥面边缘，存在坠落风险，应设置安全护栏及警示标志；恶劣天气下户外作业风险增加，应制定专项安全措施，必要时暂停作业。</w:t>
      </w:r>
    </w:p>
    <w:p w14:paraId="324014FB">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2.5</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eastAsia="zh-CN"/>
        </w:rPr>
        <w:t>考虑到不同路段的经济条件和技术水平差异，鼓励逐步建立智能化巡检与环境监测体系，在关键部位布设传感器，对重点环境参数进行实时感知，为状态评估和预警提供数据支撑。</w:t>
      </w:r>
    </w:p>
    <w:p w14:paraId="28CAB3F2">
      <w:pPr>
        <w:pStyle w:val="33"/>
        <w:spacing w:before="0" w:beforeLines="0" w:after="0" w:afterLines="0"/>
        <w:ind w:firstLine="562"/>
        <w:jc w:val="both"/>
        <w:outlineLvl w:val="1"/>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rPr>
        <w:t>（三）巡视检查</w:t>
      </w:r>
    </w:p>
    <w:p w14:paraId="1AB1D7F5">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 管理对象与监控</w:t>
      </w:r>
    </w:p>
    <w:p w14:paraId="3111AA9D">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1.1 巡视检查对象划分为线缆本体、附属设施、环境条件、安全防护设施四类，覆盖线缆系统全部要素。</w:t>
      </w:r>
    </w:p>
    <w:p w14:paraId="4799EE34">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（1）电力线缆本体：包括供电主线缆（承担主要电力传输）和分支线缆（接入各类设施）。接头和终端头是故障高发部位，单独列出。</w:t>
      </w:r>
    </w:p>
    <w:p w14:paraId="2ADD1EDF">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（2）附属设施：配电箱、保护装置（SPD、熔断器）是线缆系统的控制和保护环节，其状态直接影响线缆安全。桥架、保护管、电缆井是线缆的支撑和保护结构。</w:t>
      </w:r>
    </w:p>
    <w:p w14:paraId="107BD49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（3）环境条件：隧道环境（温湿度、积水、有害气体）和桥梁环境（振动、腐蚀介质）对线缆寿命有决定性影响，应纳入巡检。</w:t>
      </w:r>
    </w:p>
    <w:p w14:paraId="3224E9D1">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（4）安全防护设施：防火封堵、接地装置、警示标识是保障安全的关键设施，应检查其完好性。</w:t>
      </w:r>
    </w:p>
    <w:p w14:paraId="6D20DEF5">
      <w:pPr>
        <w:pStyle w:val="33"/>
        <w:spacing w:before="0" w:beforeLines="0" w:after="0" w:afterLines="0"/>
        <w:ind w:firstLine="560"/>
        <w:jc w:val="both"/>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 引用DL/T 1253作为基础依据，确保巡检工作与行业规范一致，该标准对电缆线路的日常巡视、定期检查、专项检查的内容、周期、记录要求有详细规定。</w:t>
      </w:r>
    </w:p>
    <w:p w14:paraId="1E54BCA8">
      <w:pPr>
        <w:pStyle w:val="33"/>
        <w:spacing w:before="0" w:beforeLines="0" w:after="0" w:afterLines="0"/>
        <w:ind w:firstLine="560"/>
        <w:jc w:val="both"/>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1.3 “真实、完整”指巡检记录应如实反映巡检情况，不得虚报、漏报，记录应包含巡检时间、人员、对象、发现的问题、处理建议等信息；“及时上报”指发现异常应立即上报，避免问题恶化；“录入运维管理平台”指电子化记录便于查询、统计、分析，实现数据共享和闭环管理。</w:t>
      </w:r>
    </w:p>
    <w:p w14:paraId="71CFE57D">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lang w:val="en-US" w:eastAsia="zh-CN"/>
        </w:rPr>
        <w:t xml:space="preserve">2. </w:t>
      </w:r>
      <w:r>
        <w:rPr>
          <w:rFonts w:hint="eastAsia" w:ascii="仿宋_GB2312" w:hAnsi="仿宋_GB2312" w:eastAsia="仿宋_GB2312" w:cs="仿宋_GB2312"/>
          <w:b/>
          <w:bCs w:val="0"/>
          <w:sz w:val="28"/>
          <w:szCs w:val="28"/>
        </w:rPr>
        <w:t>智能巡检</w:t>
      </w:r>
    </w:p>
    <w:p w14:paraId="69CC908E">
      <w:pPr>
        <w:pStyle w:val="33"/>
        <w:spacing w:before="0" w:beforeLines="0" w:after="0" w:afterLines="0"/>
        <w:ind w:firstLine="560"/>
        <w:jc w:val="both"/>
        <w:outlineLvl w:val="3"/>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2.1 一般规定</w:t>
      </w:r>
    </w:p>
    <w:p w14:paraId="48B548F9">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2.1.1 桥隧环境恶劣、人工巡检受限（隧道内光线暗、空气差；桥梁高空作业危险），智能巡检体系可替代人工完成高风险、高强度的巡检任务，同时实现24小时不间断监测。</w:t>
      </w:r>
    </w:p>
    <w:p w14:paraId="26FC330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2.1.2 根据对象和环境选择不同技术——隧道内用轨道机器人、在线监测；桥梁上用无人机、视频分析；关键接头用局放监测。多种技术互补，覆盖全部巡检需求。“远程监测+智能研判+现场复核+快速处置”模式中，远程监测通过传感器实时采集数据，智能研判由算法自动识别异常，现场复核在智能研判发现异常后由人工现场确认（避免误报），快速处置在确认后立即启动处置流程。</w:t>
      </w:r>
    </w:p>
    <w:p w14:paraId="7C2C4609">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2.1.3 所有数据统一接入运维管理平台，实现集中监控、统一分析、历史追溯，避免数据孤岛。</w:t>
      </w:r>
    </w:p>
    <w:p w14:paraId="4DBF6CA7">
      <w:pPr>
        <w:pStyle w:val="33"/>
        <w:spacing w:before="0" w:beforeLines="0" w:after="0" w:afterLines="0"/>
        <w:ind w:firstLine="560"/>
        <w:jc w:val="both"/>
        <w:outlineLvl w:val="3"/>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lang w:val="en-US" w:eastAsia="zh-CN"/>
        </w:rPr>
        <w:t xml:space="preserve">2.2 </w:t>
      </w:r>
      <w:r>
        <w:rPr>
          <w:rFonts w:hint="eastAsia" w:ascii="仿宋_GB2312" w:hAnsi="仿宋_GB2312" w:eastAsia="仿宋_GB2312" w:cs="仿宋_GB2312"/>
          <w:b/>
          <w:bCs w:val="0"/>
          <w:sz w:val="28"/>
          <w:szCs w:val="28"/>
        </w:rPr>
        <w:t>巡检内容</w:t>
      </w:r>
    </w:p>
    <w:p w14:paraId="6FEFC187">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2.2.1 线缆本体监测参数中，温度反映负荷和接触状态，负荷电流反映运行工况，局部放电是绝缘劣化的早期征兆，绝缘状态是安全底线，护层电流反映接地系统状态。这五项参数可全面评估线缆健康状态。</w:t>
      </w:r>
    </w:p>
    <w:p w14:paraId="250BABD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2.2.2 接头是故障高发区，红外测温可发现过热（接触不良或过载），局放监测可发现绝缘劣化，视频识别可发现松动、受潮、锈蚀等外观异常。</w:t>
      </w:r>
    </w:p>
    <w:p w14:paraId="01F9F97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2.2.3 隧道环境参数（温湿度、积水、有害气体、烟雾）直接影响线缆寿命和安全；桥梁振动、位移、腐蚀、盐雾、风速等参数用于评估线缆结构安全性。</w:t>
      </w:r>
    </w:p>
    <w:p w14:paraId="70B7DCF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2.2.4 防火封堵、接地、防雷、标识等安全设施，应检查其完好性。</w:t>
      </w:r>
    </w:p>
    <w:p w14:paraId="3B3358E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2.2.5 配电箱、SPD、RCD等保护装置的状态直接关系线缆安全，应监测其运行状态和告警信息。</w:t>
      </w:r>
    </w:p>
    <w:p w14:paraId="4041828E">
      <w:pPr>
        <w:pStyle w:val="33"/>
        <w:spacing w:before="0" w:beforeLines="0" w:after="0" w:afterLines="0"/>
        <w:ind w:firstLine="560"/>
        <w:jc w:val="both"/>
        <w:outlineLvl w:val="3"/>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2.3</w:t>
      </w:r>
      <w:r>
        <w:rPr>
          <w:rFonts w:hint="eastAsia" w:ascii="仿宋_GB2312" w:hAnsi="仿宋_GB2312" w:eastAsia="仿宋_GB2312" w:cs="仿宋_GB2312"/>
          <w:b/>
          <w:bCs w:val="0"/>
          <w:sz w:val="28"/>
          <w:szCs w:val="28"/>
          <w:lang w:val="en-US" w:eastAsia="zh-CN"/>
        </w:rPr>
        <w:t xml:space="preserve"> </w:t>
      </w:r>
      <w:r>
        <w:rPr>
          <w:rFonts w:hint="eastAsia" w:ascii="仿宋_GB2312" w:hAnsi="仿宋_GB2312" w:eastAsia="仿宋_GB2312" w:cs="仿宋_GB2312"/>
          <w:b/>
          <w:bCs w:val="0"/>
          <w:sz w:val="28"/>
          <w:szCs w:val="28"/>
        </w:rPr>
        <w:t>巡检方式</w:t>
      </w:r>
    </w:p>
    <w:p w14:paraId="6E5B7CE0">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2.3.1</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在线监测巡检</w:t>
      </w:r>
    </w:p>
    <w:p w14:paraId="54B0786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2.3.1.1 分布式光纤测温可实现全线连续测温，定位精度可达米级；局部放电在线监测可提前数月发现绝缘劣化隐患；护层电流异常可反映接地系统故障或外护套破损。在线监测设备7×24小时连续工作，替代人工定期巡检，实现故障的早期发现。</w:t>
      </w:r>
    </w:p>
    <w:p w14:paraId="6FD4D990">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2.3.1.2 电缆接头是故障高发区，转弯处机械应力集中，密集区段散热不良，这些部位应优先布设传感器。</w:t>
      </w:r>
    </w:p>
    <w:p w14:paraId="5E4B27C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2.3.2</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智能机器人巡检</w:t>
      </w:r>
    </w:p>
    <w:p w14:paraId="7090309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2.3.2.1 隧道电缆廊道空间狭长，轨道式机器人可沿固定轨道行走，覆盖全段。机器人搭载可见光摄像头、红外热成像仪、气体传感器、仪表识别模块，可实现多参数同时采集。</w:t>
      </w:r>
    </w:p>
    <w:p w14:paraId="1B1CB83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2.3.2.2 机器人具备自动充电、避障、声光告警、数据回传功能，可减少人工干预，实现自动化巡检。</w:t>
      </w:r>
    </w:p>
    <w:p w14:paraId="398371F9">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2.3.3</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无人机巡检</w:t>
      </w:r>
    </w:p>
    <w:p w14:paraId="0E85B51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2.3.3.1 桥梁高空区段、高墩、边坡、跨谷区段人工巡检困难（需搭设脚手架或使用高空作业车，成本高、风险大），无人机可快速覆盖这些区域。</w:t>
      </w:r>
    </w:p>
    <w:p w14:paraId="5D158DF7">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2.3.3.2 无人机搭载可见光摄像头用于外观检查（如支架松动、外护套破损），红外热成像用于接头温度检测；重点检测线缆悬挂状态、支架固定情况、接头温度、外护套破损、锈蚀、积水等问题。</w:t>
      </w:r>
    </w:p>
    <w:p w14:paraId="0AD221DE">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2.3.4</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视频智能分析巡检</w:t>
      </w:r>
    </w:p>
    <w:p w14:paraId="1CE27697">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在隧道口、电缆井、配电箱、桥架关键区段部署智能摄像头，可自动识别火情、烟雾、人员入侵、积水、异常发热等事件并主动告警，弥补人工监视的不足。</w:t>
      </w:r>
    </w:p>
    <w:p w14:paraId="3DC3054E">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2.3.5 </w:t>
      </w:r>
      <w:r>
        <w:rPr>
          <w:rFonts w:hint="eastAsia" w:ascii="仿宋_GB2312" w:hAnsi="仿宋_GB2312" w:eastAsia="仿宋_GB2312" w:cs="仿宋_GB2312"/>
          <w:sz w:val="28"/>
          <w:szCs w:val="28"/>
          <w:lang w:val="en-US" w:eastAsia="zh-CN"/>
        </w:rPr>
        <w:t>移动终端智能巡检</w:t>
      </w:r>
    </w:p>
    <w:p w14:paraId="776AE0D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智能巡检终端（APP）通过NFC/RFID打卡防止漏检、作弊，缺陷拍照上传实现可视化记录，数据自动录入避免人工抄录错误，任务闭环签收确保工单闭环管理。</w:t>
      </w:r>
    </w:p>
    <w:p w14:paraId="04B36D2F">
      <w:pPr>
        <w:pStyle w:val="33"/>
        <w:spacing w:before="0" w:beforeLines="0" w:after="0" w:afterLines="0"/>
        <w:ind w:firstLine="560"/>
        <w:jc w:val="both"/>
        <w:outlineLvl w:val="3"/>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2.4</w:t>
      </w:r>
      <w:r>
        <w:rPr>
          <w:rFonts w:hint="eastAsia" w:ascii="仿宋_GB2312" w:hAnsi="仿宋_GB2312" w:eastAsia="仿宋_GB2312" w:cs="仿宋_GB2312"/>
          <w:b/>
          <w:bCs w:val="0"/>
          <w:sz w:val="28"/>
          <w:szCs w:val="28"/>
          <w:lang w:val="en-US" w:eastAsia="zh-CN"/>
        </w:rPr>
        <w:t xml:space="preserve"> </w:t>
      </w:r>
      <w:r>
        <w:rPr>
          <w:rFonts w:hint="eastAsia" w:ascii="仿宋_GB2312" w:hAnsi="仿宋_GB2312" w:eastAsia="仿宋_GB2312" w:cs="仿宋_GB2312"/>
          <w:b/>
          <w:bCs w:val="0"/>
          <w:sz w:val="28"/>
          <w:szCs w:val="28"/>
        </w:rPr>
        <w:t>巡检周期</w:t>
      </w:r>
    </w:p>
    <w:p w14:paraId="357F670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2.4.1 在线监测设备7×24小时连续工作，无需设置周期。</w:t>
      </w:r>
    </w:p>
    <w:p w14:paraId="46E457A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2.4.2 机器人每日1次，可在24小时内发现异常，满足及时发现需求；重要隧道供电中断社会影响大，可提高至每班次1次。</w:t>
      </w:r>
    </w:p>
    <w:p w14:paraId="148F87D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2.4.3 无人机每月至少1次，可在隐患从轻微发展到明显可见之前发现；恶劣天气后加巡，因为台风、暴雨可能造成线缆位移、支架变形、异物撞击，需及时检查。</w:t>
      </w:r>
    </w:p>
    <w:p w14:paraId="75AB88B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2.4.4 视频智能分析实时监测，发现异常即时告警。</w:t>
      </w:r>
    </w:p>
    <w:p w14:paraId="4761355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2.4.5 特大桥、特长隧道运维难度大、故障影响范围广，智能巡检每周不少于2次，确保关键设施始终处于受控状态。</w:t>
      </w:r>
    </w:p>
    <w:p w14:paraId="1EE90E4B">
      <w:pPr>
        <w:pStyle w:val="33"/>
        <w:spacing w:before="0" w:beforeLines="0" w:after="0" w:afterLines="0"/>
        <w:ind w:firstLine="560"/>
        <w:jc w:val="both"/>
        <w:outlineLvl w:val="3"/>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2.5</w:t>
      </w:r>
      <w:r>
        <w:rPr>
          <w:rFonts w:hint="eastAsia" w:ascii="仿宋_GB2312" w:hAnsi="仿宋_GB2312" w:eastAsia="仿宋_GB2312" w:cs="仿宋_GB2312"/>
          <w:b/>
          <w:bCs w:val="0"/>
          <w:sz w:val="28"/>
          <w:szCs w:val="28"/>
          <w:lang w:val="en-US" w:eastAsia="zh-CN"/>
        </w:rPr>
        <w:t xml:space="preserve"> </w:t>
      </w:r>
      <w:r>
        <w:rPr>
          <w:rFonts w:hint="eastAsia" w:ascii="仿宋_GB2312" w:hAnsi="仿宋_GB2312" w:eastAsia="仿宋_GB2312" w:cs="仿宋_GB2312"/>
          <w:b/>
          <w:bCs w:val="0"/>
          <w:sz w:val="28"/>
          <w:szCs w:val="28"/>
        </w:rPr>
        <w:t>智能预警与处置</w:t>
      </w:r>
    </w:p>
    <w:p w14:paraId="0EB5270A">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2.5.1 建立三级预警机制，根据故障影响程度和紧急程度分级响应，匹配差异化的响应资源，避免“小事大办”或“大事缓办”。</w:t>
      </w:r>
    </w:p>
    <w:p w14:paraId="7E7A8787">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2.5.2 多渠道推送（运维平台、APP、短信）确保预警信息及时送达。</w:t>
      </w:r>
    </w:p>
    <w:p w14:paraId="28180AA4">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2.5.3 自动生成工单并闭环管理，可避免问题遗漏，实现全过程可追溯。</w:t>
      </w:r>
    </w:p>
    <w:p w14:paraId="3483F473">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3. 人工巡检</w:t>
      </w:r>
    </w:p>
    <w:p w14:paraId="06BBD541">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3.1 日常巡视每月1次，可在问题恶化前发现多数缺陷；夜间巡视每季度1次，夜间负荷高峰时接头发热最明显，易发现过热问题；定期检查每年1次，可满足状态评估需要；汛期、台风前后专项巡检，可在灾害来临前发现隐患，灾后确认受损情况。</w:t>
      </w:r>
    </w:p>
    <w:p w14:paraId="6D7A6616">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3.2 表1将日常巡视内容按隧道和桥梁分别列出：隧道侧重凝露、积水、防火封堵，桥梁侧重老化、开裂、伸缩缝变形，反映了两类环境的不同风险特征。</w:t>
      </w:r>
    </w:p>
    <w:p w14:paraId="0351A5C0">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3.3 定期检查包括：接地电阻测试（确保接地系统有效）、绝缘电阻测试（评估绝缘状态）、保护装置动作特性校验（确保保护可靠）、电缆接头红外测温（发现过热点）、隧道内有害气体浓度检测（保障人员安全和防止爆炸）。</w:t>
      </w:r>
    </w:p>
    <w:p w14:paraId="048E0EA9">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3.4 拍照记录可实现缺陷可视化，便于后续分析和责任追溯；分级上报可确保不同严重程度的问题匹配不同的响应资源；危急缺陷立即启动应急抢修，无需等待常规处理流程。</w:t>
      </w:r>
    </w:p>
    <w:p w14:paraId="22359A86">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4. 视频智能分析</w:t>
      </w:r>
    </w:p>
    <w:p w14:paraId="4CBBD364">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4.1 视频智能分析是智能巡检体系的补充，成本相对较低，可在重要区域优先部署。</w:t>
      </w:r>
    </w:p>
    <w:p w14:paraId="4146E307">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4.2 火情/烟雾识别可在火灾初期发出告警，争取处置时间；人员入侵识别可防止无关人员进入危险区域；异常发热识别可发现过热点；平台联动可避免人工监视遗漏。</w:t>
      </w:r>
    </w:p>
    <w:p w14:paraId="4DDA7376">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5. 桥隧特殊巡检</w:t>
      </w:r>
    </w:p>
    <w:p w14:paraId="7DF8FF32">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5.1 此条款针对隧道特有环境：电缆沟盖板破损可能导致人员跌落或线缆被碾压；沟内淤积影响散热、加速腐蚀；衬砌渗漏水可能导致线缆受潮；振动设备附近固定件易松动；潮湿环境加速腐蚀，需检查托架和接地线。</w:t>
      </w:r>
    </w:p>
    <w:p w14:paraId="3691D7D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5.2 此条款针对桥梁特有环境：桥墩处电缆井易积水；伸缩缝处保护管承受位移变形易破损；桥面排水可能直接冲刷电缆桥架；高墩受风载和车辆振动影响大；水位监测联动可在水位超限时自动触发巡检，确保及时响应。</w:t>
      </w:r>
    </w:p>
    <w:p w14:paraId="7743797F">
      <w:pPr>
        <w:pStyle w:val="33"/>
        <w:spacing w:before="0" w:beforeLines="0" w:after="0" w:afterLines="0"/>
        <w:ind w:firstLine="562"/>
        <w:jc w:val="both"/>
        <w:outlineLvl w:val="1"/>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rPr>
        <w:t>（四）养护维修</w:t>
      </w:r>
    </w:p>
    <w:p w14:paraId="25A9DDB3">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 清洁与防腐</w:t>
      </w:r>
    </w:p>
    <w:p w14:paraId="4DE3CB4F">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1.1 清洁目的：积尘、油污、腐蚀性附着物会加速金属腐蚀，并可能引发火灾（油污可燃）。清洁可延长设备寿命，消除安全隐患。频次差异：隧道内环境相对封闭，污染较轻，每半年1次；桥梁露天部分受雨水、盐雾、工业污染影响大，每季度1次。</w:t>
      </w:r>
    </w:p>
    <w:p w14:paraId="7BB1FADB">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 防腐周期差异：一般环境腐蚀较慢，每2～3年涂刷1次；沿海或腐蚀性气体环境腐蚀快，需每年检查维护。涂层一旦破损，裸露金属会迅速腐蚀，应发现即处理。隧道出入口、桥梁线缆外露段是老鼠活动区域，鼠咬是线缆故障的常见原因，采用防鼠咬护套可有效防护，山区桥隧每季度检查1次护套完整性。</w:t>
      </w:r>
    </w:p>
    <w:p w14:paraId="5BC7422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1.3 外护套污秽可能含有腐蚀性物质（如工业污染物、盐分），长期附着会加速老化。清理后应评估护套是否已受损，必要时更换。</w:t>
      </w:r>
    </w:p>
    <w:p w14:paraId="556D2A33">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2. 紧固与整理</w:t>
      </w:r>
    </w:p>
    <w:p w14:paraId="6B92C455">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2.1 紧固件在振动、温度变化作用下可能松动，每半年检查一次可覆盖季节性变化（如夏季高温膨胀、冬季低温收缩）。桥梁振动区段紧固件松动更快，检查周期宜缩短。</w:t>
      </w:r>
    </w:p>
    <w:p w14:paraId="0D385055">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2.2 整理归顺目的：凌乱电缆影响散热，交叉重叠可能产生电磁干扰，弯曲半径不足会损伤绝缘。弯曲半径要求应符合GB 50217规定。改变路由可能影响其他电缆或导致电缆长度不足，整理时应遵循原路径。固定间距应符合GB 50217及电缆产品技术要求。整理工作可与日常巡视同步进行，避免单独作业增加工作量。</w:t>
      </w:r>
    </w:p>
    <w:p w14:paraId="79ACA8E4">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2.3 标识牌应清晰、牢固、耐久，便于识别。隧道内潮湿环境下，普通纸质或塑料标识牌易脱落、字迹模糊，应采用耐潮湿、防腐蚀材质，确保长期可读。</w:t>
      </w:r>
    </w:p>
    <w:p w14:paraId="5E020EED">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3. 防火封堵</w:t>
      </w:r>
    </w:p>
    <w:p w14:paraId="3F5FD66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3.1 隧道防火分区隔墙的电缆孔洞若封堵不严，火灾时烟气会通过孔洞迅速蔓延，使防火分区失效。要求封堵耐火极限不低于隔墙本身，是确保防火分区完整性的基本要求。GB 50217对防火封堵材料选择、施工方法有详细规定。</w:t>
      </w:r>
    </w:p>
    <w:p w14:paraId="076B4D25">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3.2 防火封堵材料可能因老化、振动、鼠咬等原因损坏，每半年检查一次可及时修复。检查重点为防火分区隔墙处、电缆井进出口。</w:t>
      </w:r>
    </w:p>
    <w:p w14:paraId="7F06E85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3.3 在电缆桥架分段处设置阻火包带，可在火灾时阻止火焰沿电缆蔓延；重要设备进线口设置防火涂层，防止火灾通过电缆进入设备。</w:t>
      </w:r>
    </w:p>
    <w:p w14:paraId="72EEDC1B">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3.4 遇火膨胀材料可在受热时膨胀，填充电缆与封堵之间的缝隙，确保封堵密封性。传统防火封堵采用一次性浇筑或封堵材料，电缆检修或更换时必须破坏封堵，修复后难以保证原有耐火性能。可开启式模块（如防火板+防火棉、防火模块箱）可在不破坏封堵结构的情况下取出电缆，检修后原样复位，确保防火性能持续有效。</w:t>
      </w:r>
    </w:p>
    <w:p w14:paraId="527FB5EB">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3.5 伸缩缝处的位移量较大，若电缆在此处刚性固定，会被拉断。柔性连接（如波纹管、蛇形管）可吸收位移；防水弯可防止雨水沿电缆流入桥箱或电缆井，造成积水腐蚀。</w:t>
      </w:r>
    </w:p>
    <w:p w14:paraId="049A26DD">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4. 绝缘与接地测试</w:t>
      </w:r>
    </w:p>
    <w:p w14:paraId="00227862">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主绝缘电阻测试每年至少1次，潮湿隧道环境加速绝缘老化，可缩短至半年。外护套及内衬层绝缘电阻测试每3年至少1次，反映护套完整性。单次测试值可能受环境因素影响波动，分析多年变化趋势可更准确判断绝缘劣化情况。</w:t>
      </w:r>
    </w:p>
    <w:p w14:paraId="2D28CE3E">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5. 预防性试验</w:t>
      </w:r>
    </w:p>
    <w:p w14:paraId="5055592A">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5.1 引用DL/T 596作为基础依据。预防性试验涉及高压操作，应由具备相应资质的单位或持证人员实施。试验仪器应定期校准，确保测试结果准确。</w:t>
      </w:r>
    </w:p>
    <w:p w14:paraId="4D758246">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5.2 新作终端或接头后，直流耐压试验可验证接头质量。正常运行电缆每5年至少进行1次直流耐压试验，过度频繁会加速绝缘老化。分阶段升压可观察绝缘状态变化，若升压过程中电流突变，可及时终止试验，避免击穿。</w:t>
      </w:r>
    </w:p>
    <w:p w14:paraId="43BF6EB8">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5.3 局部放电是绝缘劣化的早期信号，比绝缘电阻下降提前数月甚至数年，开展局部放电检测可提前发现隐患。长隧道（&gt;1 km）、大跨径桥梁（&gt;100 m）线缆重要，故障影响大；发生过故障或检修后的电缆可能存在薄弱点；运行年限超过10年的电缆进入老化期，这些区段应优先检测。长隧道宜采用分布式局部放电监测系统，实现全线连续监测。</w:t>
      </w:r>
    </w:p>
    <w:p w14:paraId="731B189F">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5.4 铜屏蔽层电阻和导体电阻比可反映铜屏蔽层的腐蚀程度和导体连接点的接触电阻。正常时比值接近1，腐蚀或接触不良时比值增大。投运前测量建立基准数据；重作终端或接头后测量验证工艺质量；内衬层破损进水后测量检查腐蚀情况。</w:t>
      </w:r>
    </w:p>
    <w:p w14:paraId="57C7365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5.5 外护套和内衬层绝缘电阻测试周期为每3年至少1次。当每千米绝缘电阻低于0.5 MΩ时，表明外护套或内衬层可能已破损进水，水分会加速主绝缘劣化，应检查并修复。</w:t>
      </w:r>
    </w:p>
    <w:p w14:paraId="48EF92A2">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5.6 电缆接头、终端红外测温每年不少于2次，可覆盖高负荷（夏季）和低负荷（冬季）两种工况。重负荷时接头发热最明显，高温季节散热差，均应增加测温频次。接头温度比正常运行温度高10 ℃以上时，应分析原因（接触不良、过载、腐蚀）并处理。</w:t>
      </w:r>
    </w:p>
    <w:p w14:paraId="7A04D92F">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6. 保护装置校验</w:t>
      </w:r>
    </w:p>
    <w:p w14:paraId="55B79B19">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6.1 SPD（浪涌保护器）的动作电压、残压、漏流等参数会随时间漂移，应定期校验；RCD（剩余电流动作保护器）的动作电流、动作时间应定期校验，确保在发生漏电时可靠动作。校验周期宜为每年1次，多雷区或腐蚀环境应缩短至半年。</w:t>
      </w:r>
    </w:p>
    <w:p w14:paraId="2CE6929E">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6.2 完整记录可追溯校验历史，便于分析劣化趋势。不合格装置（动作值超差、动作失灵）应立即更换，不得继续使用。</w:t>
      </w:r>
    </w:p>
    <w:p w14:paraId="09263F68">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6.3 熔断器熔断可能有短路、过载等原因，应查明并消除故障后更换，避免再次熔断。更换时应与原规格一致，私自增大熔体电流会使保护失效，可能引发电缆过热起火。</w:t>
      </w:r>
    </w:p>
    <w:p w14:paraId="130524B3">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7. 故障处理</w:t>
      </w:r>
    </w:p>
    <w:p w14:paraId="0E968126">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7.1 故障分级参考《电力安全事故应急处置和调查处理条例》对电力事故的分级原则，结合桥隧供电特点细化。Ⅰ级故障（特别重大）处置要求为立即启动应急抢修，4 h内恢复关键供电；Ⅱ级故障（重大）处置要求为24 h内完成抢修并恢复供电；Ⅲ级故障（一般）处置要求为72 h内完成处理。</w:t>
      </w:r>
    </w:p>
    <w:p w14:paraId="71B3A6FB">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7.2 故障发现后应立即上报，10 min内完成确认故障、初步判断并上报。上报内容应包含关键信息，便于接收方快速评估事态、调配资源。Ⅰ级、Ⅱ级故障影响重大，需同步上报上级管理部门。</w:t>
      </w:r>
    </w:p>
    <w:p w14:paraId="373092F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7.3 “远程研判→现场检测→仪器定位”流程可减少盲目查找时间，提高抢修效率：先通过远程数据初步判断故障范围和性质，再现场检测确认，最后用仪器精确定位。故障定位精度隧道内≤5 m，桥梁上≤10 m。</w:t>
      </w:r>
    </w:p>
    <w:p w14:paraId="33ED7983">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7.4 “先保通、后修复”指优先恢复供电保障通行，再彻底修复故障点；“先安全、后作业”指作业前应确保安全措施到位（如停电、验电、接地、封道），避免次生事故。抢修内容根据故障类型采取针对性措施。高空、隧道、封道作业应办理作业票、设置安全防护、专人监护。</w:t>
      </w:r>
    </w:p>
    <w:p w14:paraId="23961D6E">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7.5 故障修复后必须验证修复质量，确保不再复发。验收项目包括绝缘电阻测试、接地电阻测试、交流耐压试验、红外测温、通电试运行观察，各项指标合格后方可正式恢复供电。</w:t>
      </w:r>
    </w:p>
    <w:p w14:paraId="3CAC749D">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7.6 Ⅰ级、Ⅱ级故障影响重大，应在处理完毕后7 d内完成复盘。复盘报告应包括原因分析、处置过程、暴露问题、整改措施、防范建议。典型案例应录入故障知识库，实现一案一档、闭环管理。</w:t>
      </w:r>
    </w:p>
    <w:p w14:paraId="377D93B2">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7.7 知识库可将运维经验固化，避免因人员流失导致经验丢失，新员工可通过知识库快速学习。知识库内容包括故障现象、原因、处置方法、诊断流程、测试数据、备件记录、新技术应用经验等。知识库应每季度评审1次，确保准确性和实用性。宜将知识库与运维平台联动，在故障诊断时自动推送相关案例，辅助快速定位原因。</w:t>
      </w:r>
    </w:p>
    <w:p w14:paraId="695C2DDD">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8. 养护记录与归档</w:t>
      </w:r>
    </w:p>
    <w:p w14:paraId="27FD0B47">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8.1 养护维修记录应完整、准确，便于追溯和统计分析。</w:t>
      </w:r>
    </w:p>
    <w:p w14:paraId="225C6729">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8.2 养护记录应纳入运维管理平台统一归档，便于查询、统计、分析，实现数据共享。</w:t>
      </w:r>
    </w:p>
    <w:p w14:paraId="14C4EF4D">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8.3 地质灾害（如地震、滑坡、洪水）可能对线缆造成隐性损伤，应做好专项记录，便于长期跟踪评估。</w:t>
      </w:r>
    </w:p>
    <w:p w14:paraId="5E092F89">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8.4 养护记录台账可定期统计维修频次、故障类型、成本等，为养护决策提供数据支持。</w:t>
      </w:r>
    </w:p>
    <w:p w14:paraId="39871B95">
      <w:pPr>
        <w:pStyle w:val="33"/>
        <w:spacing w:before="0" w:beforeLines="0" w:after="0" w:afterLines="0"/>
        <w:ind w:firstLine="560"/>
        <w:jc w:val="both"/>
        <w:outlineLvl w:val="1"/>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（五）信息采集</w:t>
      </w:r>
    </w:p>
    <w:p w14:paraId="5F0CD9A1">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 采集对象与内容</w:t>
      </w:r>
    </w:p>
    <w:p w14:paraId="097E9BF2">
      <w:pPr>
        <w:pStyle w:val="33"/>
        <w:spacing w:before="0" w:beforeLines="0" w:after="0" w:afterLines="0"/>
        <w:ind w:firstLine="560"/>
        <w:jc w:val="both"/>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1.1 采集对象</w:t>
      </w:r>
    </w:p>
    <w:p w14:paraId="6EAD8835">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采集对象覆盖线缆系统的全部要素，与巡视检查对象一致。采集数据为状态评估和预警提供依据，确保运维决策有数据支撑。</w:t>
      </w:r>
    </w:p>
    <w:p w14:paraId="4AC08E42">
      <w:pPr>
        <w:pStyle w:val="33"/>
        <w:spacing w:before="0" w:beforeLines="0" w:after="0" w:afterLines="0"/>
        <w:ind w:firstLine="560"/>
        <w:jc w:val="both"/>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1.2 采集内容</w:t>
      </w:r>
    </w:p>
    <w:p w14:paraId="7E8A25B8">
      <w:pPr>
        <w:pStyle w:val="33"/>
        <w:spacing w:before="0" w:beforeLines="0" w:after="0" w:afterLines="0"/>
        <w:ind w:firstLine="560"/>
        <w:jc w:val="both"/>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1.2.1 线缆及附属设备参数与状态信息</w:t>
      </w:r>
    </w:p>
    <w:p w14:paraId="48E83007">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1.2.1.1 静态参数（型号、规格、厂家、投运日期等）在投运时录入，后续变更时更新，是设备识别和状态评估的基础；动态参数（绝缘电阻、局放、温度、负荷电流等）实时采集，反映设备实时状态，可及时发现异常趋势。</w:t>
      </w:r>
    </w:p>
    <w:p w14:paraId="674D9E0F">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1.2.1.2 配电箱参数包括型号、额定值、开关状态、计量数据、功率因数及告警信息，这些数据反映供电质量和设备运行状态，为故障诊断和能耗管理提供依据。</w:t>
      </w:r>
    </w:p>
    <w:p w14:paraId="44FBAE8D">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1.2.1.3 保护装置状态（SPD动作次数、熔断器状态等）反映保护装置健康度。SPD动作次数过多可能接近寿命终点，熔断器熔断后需查明原因，这些信息可指导预防性更换。</w:t>
      </w:r>
    </w:p>
    <w:p w14:paraId="4AFCE44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1.2.1.4 绝缘监测设备参数包括监测范围、精度、实时绝缘电阻值及变化趋势。绝缘电阻下降是绝缘劣化的直接信号，长期趋势分析可预测剩余寿命。</w:t>
      </w:r>
    </w:p>
    <w:p w14:paraId="45CBA8A1">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1.2.1.5 全生命周期数据从施工记录到退役报告，完整记录线缆的“一生”。这些数据为寿命预测、更新决策、故障追溯提供完整历史依据。</w:t>
      </w:r>
    </w:p>
    <w:p w14:paraId="50172067">
      <w:pPr>
        <w:pStyle w:val="33"/>
        <w:spacing w:before="0" w:beforeLines="0" w:after="0" w:afterLines="0"/>
        <w:ind w:firstLine="560"/>
        <w:jc w:val="both"/>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1.2.2 环境信息</w:t>
      </w:r>
    </w:p>
    <w:p w14:paraId="25C4122E">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1.2.2.1 桥梁环境参数中，振动加速度、频率反映桥梁结构健康，异常振动可能影响线缆固定和寿命；温湿度、腐蚀介质浓度反映腐蚀风险；无人机采集可覆盖难以到达区段，弥补固定传感器的盲区。</w:t>
      </w:r>
    </w:p>
    <w:p w14:paraId="45D344E3">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1.2.2.2 隧道环境参数中，温湿度、有害气体浓度反映环境风险（凝露、爆炸）；积水深度反映排水系统状态，积水可导致线缆长期浸泡；烟雾浓度反映火灾风险，可早期发现火情。遥感监测技术（如分布式光纤测温、气体遥感检测）可进行大范围、连续性监测，替代人工定期巡检。</w:t>
      </w:r>
    </w:p>
    <w:p w14:paraId="62CC2B75">
      <w:pPr>
        <w:pStyle w:val="33"/>
        <w:spacing w:before="0" w:beforeLines="0" w:after="0" w:afterLines="0"/>
        <w:ind w:firstLine="560"/>
        <w:jc w:val="both"/>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1.2.3. 运维管理信息</w:t>
      </w:r>
    </w:p>
    <w:p w14:paraId="746E587D">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1.2.3.1 巡检管理记录包括巡检执行情况、发现的缺陷及处置建议，便于跟踪问题闭环，防止缺陷遗漏或重复发生。</w:t>
      </w:r>
    </w:p>
    <w:p w14:paraId="0903A304">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1.2.3.2 故障记录详细记录故障全过程，包括现象、诊断过程、处理措施、恢复时间等，为故障分析和知识库建设提供素材，可指导同类故障的快速处置。</w:t>
      </w:r>
    </w:p>
    <w:p w14:paraId="113709BB">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1.2.3.3 养护记录记录养护作业情况，包括清洁、紧固、防腐、测试等，为设备状态评估和养护计划优化提供数据，可分析不同养护措施的效果。</w:t>
      </w:r>
    </w:p>
    <w:p w14:paraId="04B3D9F8">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1.2.3.4 环境监测记录记录环境参数变化及预警信息，为预警和处置提供依据，可分析环境因素与线缆故障的关联性。</w:t>
      </w:r>
    </w:p>
    <w:p w14:paraId="181F85AC">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2. 技术要求</w:t>
      </w:r>
    </w:p>
    <w:p w14:paraId="698220AE">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2.1 电压、电流测量精度不低于±0.5%，可满足负荷监测、电能计量和保护定值配合的需求；绝缘电阻测量精度按DL/T 596规定执行。线缆及接头温度测量精度不低于±1℃，可满足异常发热预警需求（过热通常超过正常运行温度10℃以上）；环境温度测量精度不低于±0.5℃，用于校准线缆温升计算。湿度测量精度不低于±3% RH，可满足凝露风险预警需求（相对湿度&gt;85%时凝露风险显著上升）；腐蚀性气体浓度测量精度按对应传感器标准示值误差的±5%要求，确保监测数据可靠。</w:t>
      </w:r>
    </w:p>
    <w:p w14:paraId="57478F98">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2.2 电压、电流、线缆温度、烟雾浓度等实时监测参数采集频率不低于1次/min，可捕捉大多数电气参数的变化趋势，同时控制数据量在可接受范围；异常触发时提高至1次/10 s，可捕捉故障发展过程，为故障分析提供高频数据。绝缘电阻、接头接触电阻等预防性试验参数按季度、半年度或年度周期采集，与预防性试验要求一致，避免过度频繁试验加速设备老化。静态参数应在参数变更时及时更新，确保档案准确。</w:t>
      </w:r>
    </w:p>
    <w:p w14:paraId="2154F063">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2.3 实时监测参数宜通过传感器、互感器等设备自动采集，替代人工抄录，提高效率和准确性，避免人为误差。有线通信（工业以太网）稳定可靠，适用于固定传感器；复杂环境下可采用无线通信（LoRa、4G/5G），适用于移动设备或布线困难区域。人工巡检时，运维人员使用移动终端录入数据，NFC/RFID打卡确保到位，拍照记录缺陷实现可视化，数据自动上传避免纸质记录丢失和录入错误。采集设备防护等级不低于IP65，可防尘、防喷水，适应桥隧环境（隧道内可能积水、喷淋，桥梁上可能淋雨）；隧道内可能积聚有害气体，设备应符合GB 3836.1防爆要求；桥梁上设备应具备抗振动、防腐蚀、耐高低温特性；室外设备应防水、防尘、防晒。</w:t>
      </w:r>
    </w:p>
    <w:p w14:paraId="719189C8">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3. 采集流程</w:t>
      </w:r>
    </w:p>
    <w:p w14:paraId="09823027">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3.1 采集方案应因地制宜，根据桥隧类型、重要性、风险等级差异化配置，避免一刀切造成资源浪费或监测盲区。中长隧道（长度1 km～3 km）在隧道进出口、中部及每个防火分区布设监测点，电缆接头处全部布设温度监测，覆盖主要风险点。特长隧道（长度＞3 km）除中长隧道要求外，宜采用分布式光纤测温实现全线连续监测，每隔500 m增设环境监测点，重要设备供电线缆布设局部放电监测，满足更高风险防控需求。示范性隧道按最高标准配置全要素监测，数据接入示范平台，为技术推广积累经验。交通战备隧道加强冗余监测，关键接头配置双传感器，数据实时上传至战备指挥系统，确保战备供电可靠性。易发生地质灾害区段增设地质位移、倾斜、振动监测点，电缆井内设置水位报警装置，监测频率宜提高至1次/5 min，及时发现地质灾害前兆。跨江跨谷大桥在桥墩处电缆井、伸缩缝两侧、主跨中点布设振动、位移及温度监测点，无人机巡检纳入采集方案，覆盖人工难以到达区域。高墩桥梁（墩高≥50 m）在墩顶、墩中、墩底布设倾斜及振动监测点，采用无人机红外测温，监测风载和振动对线缆的影响。</w:t>
      </w:r>
    </w:p>
    <w:p w14:paraId="130E5337">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3.2 按方案规范安装传感器、数据采集单元等设备，确保可靠工作；安装后应进行现场比对校准，验证精度是否符合8.2的要求，避免因安装不当导致数据失真。</w:t>
      </w:r>
    </w:p>
    <w:p w14:paraId="5895763A">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3.3 边缘计算在采集设备端进行数据预处理（如滤波、异常值剔除），可减少上传数据量，降低通信负担，提高响应速度；人工巡检时执行手动采集任务（如红外测温、局放检测），数据录入平台，与自动采集形成互补。</w:t>
      </w:r>
    </w:p>
    <w:p w14:paraId="3108F0F5">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3.4 平台自动校验数据格式和数值合理性（如电压是否在额定偏差范围内、三相电流是否平衡），过滤异常数据，保证数据质量，避免错误数据误导运维决策。</w:t>
      </w:r>
    </w:p>
    <w:p w14:paraId="7EB02FE7">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3.5 设备更换或改造后，应在3个工作日内更新静态参数，确保档案准确，避免信息滞后影响运维判断；定期对采集设备进行清洁、校准、电池更换等维护，保证长期稳定运行；每季度评估采集系统的有效性（如数据完整性、准确率），发现问题及时整改，持续优化采集策略。</w:t>
      </w:r>
    </w:p>
    <w:p w14:paraId="1D352F9C">
      <w:pPr>
        <w:pStyle w:val="33"/>
        <w:spacing w:before="0" w:beforeLines="0" w:after="0" w:afterLines="0"/>
        <w:ind w:firstLine="560"/>
        <w:jc w:val="both"/>
        <w:outlineLvl w:val="1"/>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（六）数据管理</w:t>
      </w:r>
    </w:p>
    <w:p w14:paraId="5C1082E2">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 数据分类</w:t>
      </w:r>
    </w:p>
    <w:p w14:paraId="5EC654B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1.1 数据分类便于分类管理、分级保护。基础数据相对静态，是设备识别和状态评估的基础；运行数据实时变化，反映设备当前状态；管理数据反映运维过程，可追溯运维质量。</w:t>
      </w:r>
    </w:p>
    <w:p w14:paraId="72A51875">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1.2 来源分类便于数据质量控制——自动采集数据应校验准确性和完整性，人工录入数据应复核，避免录入错误。</w:t>
      </w:r>
    </w:p>
    <w:p w14:paraId="301A43A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1.3 阶段分类便于全生命周期管理。建设阶段数据（如敷设记录、试验报告）可为运营期提供原始基准；运营阶段数据反映运行状态；养护阶段数据记录维护历史，三者关联形成完整档案。</w:t>
      </w:r>
    </w:p>
    <w:p w14:paraId="1861EC5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1.4 各类运维记录应真实、完整、可追溯，保存期限根据不同记录的重要性和应用需求设定。关键记录（故障处置、应急响应、预防性试验报告）保存期限≥5年，可覆盖设备一个运维周期内的多次故障追溯和重大事故调查需求；一般记录（日常巡视、养护维修、保护装置校验）保存期限≥2年，可覆盖一个完整的养护周期（如季节性变化规律）和两次预防性试验周期；自动采集的运行数据保存期限≥1年，可完整反映季节性负荷变化规律，用于性能趋势分析；视频录像保存期限≥30 d，可满足大多数异常事件的追溯需求，涉及关键事件的录像应长期保存。</w:t>
      </w:r>
    </w:p>
    <w:p w14:paraId="782CD7F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1.5 电子化归档便于查询、统计、分析，实现数据共享和智能化应用，避免纸质记录丢失、分散、难以检索的问题。</w:t>
      </w:r>
    </w:p>
    <w:p w14:paraId="46BF34EB">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2. 质量控制</w:t>
      </w:r>
    </w:p>
    <w:p w14:paraId="210E36B3">
      <w:pPr>
        <w:pStyle w:val="33"/>
        <w:spacing w:before="0" w:beforeLines="0" w:after="0" w:afterLines="0"/>
        <w:ind w:firstLine="560"/>
        <w:jc w:val="both"/>
        <w:rPr>
          <w:rFonts w:hint="default" w:ascii="仿宋_GB2312" w:hAnsi="仿宋_GB2312" w:eastAsia="仿宋_GB2312" w:cs="仿宋_GB2312"/>
          <w:b/>
          <w:bCs w:val="0"/>
          <w:sz w:val="28"/>
          <w:szCs w:val="28"/>
          <w:lang w:val="en-US" w:eastAsia="zh-CN"/>
        </w:rPr>
      </w:pPr>
      <w:r>
        <w:rPr>
          <w:rFonts w:hint="default" w:ascii="仿宋_GB2312" w:hAnsi="仿宋_GB2312" w:eastAsia="仿宋_GB2312" w:cs="仿宋_GB2312"/>
          <w:b/>
          <w:bCs w:val="0"/>
          <w:sz w:val="28"/>
          <w:szCs w:val="28"/>
          <w:lang w:val="en-US" w:eastAsia="zh-CN"/>
        </w:rPr>
        <w:t>2.1</w:t>
      </w:r>
      <w:r>
        <w:rPr>
          <w:rFonts w:hint="eastAsia" w:ascii="仿宋_GB2312" w:hAnsi="仿宋_GB2312" w:eastAsia="仿宋_GB2312" w:cs="仿宋_GB2312"/>
          <w:b/>
          <w:bCs w:val="0"/>
          <w:sz w:val="28"/>
          <w:szCs w:val="28"/>
          <w:lang w:val="en-US" w:eastAsia="zh-CN"/>
        </w:rPr>
        <w:t xml:space="preserve"> </w:t>
      </w:r>
      <w:r>
        <w:rPr>
          <w:rFonts w:hint="default" w:ascii="仿宋_GB2312" w:hAnsi="仿宋_GB2312" w:eastAsia="仿宋_GB2312" w:cs="仿宋_GB2312"/>
          <w:b/>
          <w:bCs w:val="0"/>
          <w:sz w:val="28"/>
          <w:szCs w:val="28"/>
          <w:lang w:val="en-US" w:eastAsia="zh-CN"/>
        </w:rPr>
        <w:t>质量要求</w:t>
      </w:r>
    </w:p>
    <w:p w14:paraId="0F22AB4C">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2.1.1 数据应真实、客观，不应伪造、篡改，误差应控制在允许范围内，确保基于数据的决策正确。</w:t>
      </w:r>
    </w:p>
    <w:p w14:paraId="39A63F3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2.1.2 规定采集的数据项应无缺失，缺失数据可能导致状态评估偏差或预警遗漏；对于确因故无法采集的数据，应在系统中明确标注原因，避免误判。</w:t>
      </w:r>
    </w:p>
    <w:p w14:paraId="5C5B4967">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2.1.3 数据定义、单位、格式统一，便于系统集成和数据分析，避免因格式不一致导致数据无法使用或分析错误。</w:t>
      </w:r>
    </w:p>
    <w:p w14:paraId="19A5DB92">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2.1.4 数据应及时采集、传输、处理，反映最新状态，过期数据可能导致运维决策滞后。</w:t>
      </w:r>
    </w:p>
    <w:p w14:paraId="4181BE3C">
      <w:pPr>
        <w:pStyle w:val="33"/>
        <w:spacing w:before="0" w:beforeLines="0" w:after="0" w:afterLines="0"/>
        <w:ind w:firstLine="560"/>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2.2</w:t>
      </w:r>
      <w:r>
        <w:rPr>
          <w:rFonts w:hint="eastAsia" w:ascii="仿宋_GB2312" w:hAnsi="仿宋_GB2312" w:eastAsia="仿宋_GB2312" w:cs="仿宋_GB2312"/>
          <w:b/>
          <w:bCs w:val="0"/>
          <w:sz w:val="28"/>
          <w:szCs w:val="28"/>
          <w:lang w:val="en-US" w:eastAsia="zh-CN"/>
        </w:rPr>
        <w:t xml:space="preserve"> </w:t>
      </w:r>
      <w:r>
        <w:rPr>
          <w:rFonts w:hint="eastAsia" w:ascii="仿宋_GB2312" w:hAnsi="仿宋_GB2312" w:eastAsia="仿宋_GB2312" w:cs="仿宋_GB2312"/>
          <w:b/>
          <w:bCs w:val="0"/>
          <w:sz w:val="28"/>
          <w:szCs w:val="28"/>
        </w:rPr>
        <w:t>控制措施</w:t>
      </w:r>
    </w:p>
    <w:p w14:paraId="4D9399A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2.2.1 关键传感器应定期校准，确保精度。关键传感器每季度校准1次，可及时纠正测量漂移，保证数据质量。人工录入数据实行“录入-审核”双人负责制，可显著减少录入错误。</w:t>
      </w:r>
    </w:p>
    <w:p w14:paraId="48CA2D7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2.2.2 数据传输应采用CRC等校验算法保证完整性，防止传输错误导致数据损坏或误判。数据入库前应进行逻辑规则校验（如三相电流平衡度判断、电压范围检查），自动识别异常数据。通信中断、数值超限等异常数据应自动标记“待核查”，并触发告警通知人工复核，防止异常数据进入分析流程。</w:t>
      </w:r>
    </w:p>
    <w:p w14:paraId="0477BFA7">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2.2.3 每月随机抽取不少于10％的监测点位数据进行现场复核，比对分析误差，可及时发现系统性问题（如传感器老化、通信故障）。发现错误数据应及时修正，并分析原因优化采集策略。每季度评估1次采集系统的整体有效性，形成评估报告，持续改进采集质量。</w:t>
      </w:r>
    </w:p>
    <w:p w14:paraId="20A99F65">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3. 数据安全管理</w:t>
      </w:r>
    </w:p>
    <w:p w14:paraId="3B5D070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3.1 数据安全管理应满足保密性（防止数据泄露，特别是敏感参数和故障信息）、完整性（防止数据被篡改，确保决策依据可靠）、可用性（确保数据在需要时可访问，避免因存储故障导致数据丢失）要求。</w:t>
      </w:r>
    </w:p>
    <w:p w14:paraId="623295E7">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 访问控制：运维管理平台应设置分级权限（管理员、运维人员、查看人员等），不同角色有不同操作权限，防止越权操作；采用“用户名+密码+数字证书”的多因素身份认证，比单因素认证安全性更高，可有效防止密码泄露导致的非法登录。存储与传输安全：敏感数据（如供电控制指令、设备核心参数）应采用AES-256加密存储，AES-256是当前公认的安全加密标准；应每日进行本地备份，每周进行异地备份，防止数据丢失；数据传输应采用HTTPS、MQTT over TLS等加密协议，防止数据在传输过程中被窃取或篡改。安全审计：应记录所有数据的访问、修改、删除操作日志，日志格式应符合YD/T 4242的规定且不可篡改，审计日志保存周期不应少于6个月；每月开展安全审计，发现异常行为（如非工作时间登录、批量导出数据、越权操作）及时处理。</w:t>
      </w:r>
    </w:p>
    <w:p w14:paraId="1130AE69">
      <w:pPr>
        <w:pStyle w:val="33"/>
        <w:spacing w:before="0" w:beforeLines="0" w:after="0" w:afterLines="0"/>
        <w:ind w:firstLine="560"/>
        <w:jc w:val="both"/>
        <w:outlineLvl w:val="1"/>
        <w:rPr>
          <w:rFonts w:hint="eastAsia" w:ascii="仿宋_GB2312" w:hAnsi="仿宋_GB2312" w:eastAsia="仿宋_GB2312" w:cs="仿宋_GB2312"/>
          <w:sz w:val="28"/>
          <w:szCs w:val="28"/>
          <w:lang w:eastAsia="zh-CN"/>
        </w:rPr>
      </w:pPr>
      <w:r>
        <w:rPr>
          <w:rFonts w:hint="eastAsia" w:ascii="仿宋_GB2312" w:hAnsi="仿宋_GB2312" w:eastAsia="仿宋_GB2312" w:cs="仿宋_GB2312"/>
          <w:b/>
          <w:bCs w:val="0"/>
          <w:sz w:val="28"/>
          <w:szCs w:val="28"/>
          <w:lang w:eastAsia="zh-CN"/>
        </w:rPr>
        <w:t>（七）安全管理</w:t>
      </w:r>
    </w:p>
    <w:p w14:paraId="028A28BB">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 电气安全</w:t>
      </w:r>
    </w:p>
    <w:p w14:paraId="2BC8C12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1.1 引用基础标准，确保电气安全符合行业规范，避免重复规定。</w:t>
      </w:r>
    </w:p>
    <w:p w14:paraId="089D19B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1.2 接地可防止发生单相接地故障时金属构件产生危险接触电压，保护人身安全。接地电阻值应符合设计要求（通常≤4 Ω），确保接地系统有效。</w:t>
      </w:r>
    </w:p>
    <w:p w14:paraId="15597CBE">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1.3 安全用具（绝缘手套、绝缘靴、验电器、接地线等）是防止触电的基本保障，应正确使用并定期检验。五步流程（停电、验电、接地、挂牌、上锁）是电力行业标准作业程序，每一步都有明确目的：停电切断电源，验电确认无电，接地消除残余电荷和防止意外来电，挂牌警示他人，上锁防止误操作，可有效防止误操作引发触电事故。</w:t>
      </w:r>
    </w:p>
    <w:p w14:paraId="149D1C2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1.4 高压作业风险高，应办理工作票，经审批后方可作业，明确作业内容、安全措施、责任人。作业过程中应有专人监护，确保安全措施执行到位，及时发现和纠正不安全行为。</w:t>
      </w:r>
    </w:p>
    <w:p w14:paraId="4FD8304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1.5 配电箱（柜）保持锁闭，可防止非授权人员误操作或触电；箱内保持清洁干燥，防止积尘引发短路，潮湿环境加速腐蚀，杂物堆积可能影响散热或引发火灾。</w:t>
      </w:r>
    </w:p>
    <w:p w14:paraId="0275A05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1.6 绝缘工具（绝缘手套、绝缘靴、验电器等）的电气性能会随使用频次、环境温湿度、机械磨损而下降，应定期校验，校验周期≤6个月，确保性能可靠。应存放于干燥通风的专用工具箱内，防止受潮老化。使用前应进行外观检查（有无破损、老化）和绝缘测试，确保工具安全可用，避免因工具失效导致触电事故。</w:t>
      </w:r>
    </w:p>
    <w:p w14:paraId="14534D78">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2. 消防安全</w:t>
      </w:r>
    </w:p>
    <w:p w14:paraId="298209B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 电缆火灾宜用干粉或气体灭火，不宜用水（水可能导致触电或扩大故障范围，如引发短路）。灭火器材应定期检查、更换，确保压力正常、药剂有效，避免火灾时失效。</w:t>
      </w:r>
    </w:p>
    <w:p w14:paraId="36A46EB7">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 防火封堵是阻止火灾蔓延的关键措施，引用7.3.1要求，确保耐火极限符合规定，防止火灾通过电缆孔洞扩散至相邻防火分区。</w:t>
      </w:r>
    </w:p>
    <w:p w14:paraId="5E09D445">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 隧道内应设置火灾自动报警装置，火灾时自动报警，争取早期处置时间。火灾时应联动风机（排烟）、照明（应急照明）等，为人员疏散和消防争取时间。电缆密集区段宜设置线型感温火灾探测器（如感温电缆或光纤测温），可精确探测电缆过热，比点式探测器更适用于电缆通道的线状分布特性。</w:t>
      </w:r>
    </w:p>
    <w:p w14:paraId="55168302">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 严禁在电缆通道、配电箱附近堆放易燃物，消除火灾隐患。焊接、切割等动火作业应办理动火工作票，经审批后方可作业，作业前清理现场易燃物，配备灭火器材，作业过程中专人监护，防止火灾发生。</w:t>
      </w:r>
    </w:p>
    <w:p w14:paraId="32D0BD5F">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3. 网络安全</w:t>
      </w:r>
    </w:p>
    <w:p w14:paraId="16D4A2D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3.1 防火墙或网闸可隔离内外网络，防止外部攻击者通过互联网入侵监控系统。访问控制策略应遵循最小权限原则，仅开放必要的端口和服务，减少攻击面。</w:t>
      </w:r>
    </w:p>
    <w:p w14:paraId="100B82B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 双因素认证（“用户名+密码+动态令牌”或“用户名+密码+数字证书”）比单因素认证安全性更高，即使密码泄露，攻击者也无法通过第二因素认证，可有效防止非法登录。</w:t>
      </w:r>
    </w:p>
    <w:p w14:paraId="2D1150F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3.3 操作日志可追溯操作行为，记录谁、什么时间、做了什么操作，便于事后追责和问题排查。定期审计发现异常行为（如非工作时间登录、批量导出数据、频繁失败登录），及时处置，防止内部威胁或外部入侵。</w:t>
      </w:r>
    </w:p>
    <w:p w14:paraId="769F571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3.4 软件更新和补丁可修复已知安全漏洞，应及时安装。补丁安装前应在测试环境验证，确认与现有系统兼容，避免因更新导致系统不稳定或业务中断。</w:t>
      </w:r>
    </w:p>
    <w:p w14:paraId="03064395">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4. 备品备件管理</w:t>
      </w:r>
    </w:p>
    <w:p w14:paraId="09BC6F8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4.1 备品备件储备可缩短抢修时间，减少故障停电时长。储备种类和数量应根据线缆重要性等级、故障历史及抢修难度确定，关键线路、易故障部位应适当增加储备。</w:t>
      </w:r>
    </w:p>
    <w:p w14:paraId="78680B9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4.2 备品备件应定点存放，便于紧急时快速取用；定期检查（如每月检查外观、功能），确保备件完好可用；及时补充消耗的备件，避免短缺；建立台账，做到账物相符，便于盘点和管理。</w:t>
      </w:r>
    </w:p>
    <w:p w14:paraId="7C335CA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4.3 备品备件应在干燥、通风、温度适宜的环境下存储，防止受潮（如电缆接头受潮后绝缘下降）、锈蚀（如金属支架）、老化（如橡胶密封件），确保备件在需要时仍处于良好状态。</w:t>
      </w:r>
    </w:p>
    <w:p w14:paraId="08B7C382">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4.4 山区桥隧鼠害、地质灾害（滑坡、塌方）风险高，应重点储备防啃咬线缆（如钢带铠装、防鼠护套）、抗拉伸线缆（适应地形变形）及应急抢修设备（如便携式发电机、应急照明），适应特殊场景需求，提高抢修效率。</w:t>
      </w:r>
    </w:p>
    <w:p w14:paraId="5A7BA861">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5. 应急管理</w:t>
      </w:r>
    </w:p>
    <w:p w14:paraId="3F97E3B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5.1 专项应急预案应明确应急组织架构、人员职责、响应流程、资源调配方案、处置措施等，确保极端情况下有序响应，避免混乱。</w:t>
      </w:r>
    </w:p>
    <w:p w14:paraId="202B6119">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5.2 每年至少组织1次应急演练，模拟真实故障场景（如电缆击穿、隧道火灾），检验预案的可操作性、队伍的响应速度及多部门（机电、养护、交警、消防）协同能力，发现预案不足及时修订。</w:t>
      </w:r>
    </w:p>
    <w:p w14:paraId="6F3F03D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5.3 故障处置后应进行复盘，分析故障原因、处置过程、暴露问题，总结经验教训，完善应急预案和日常管理，避免同类故障再次发生或提高后续处置效率。</w:t>
      </w:r>
    </w:p>
    <w:p w14:paraId="70CDBF5C">
      <w:pPr>
        <w:pStyle w:val="33"/>
        <w:spacing w:before="0" w:beforeLines="0" w:after="0" w:afterLines="0"/>
        <w:ind w:firstLine="560"/>
        <w:jc w:val="both"/>
        <w:rPr>
          <w:rFonts w:hint="eastAsia" w:ascii="仿宋_GB2312" w:hAnsi="仿宋_GB2312" w:eastAsia="仿宋_GB2312" w:cs="仿宋_GB2312"/>
          <w:sz w:val="28"/>
          <w:szCs w:val="28"/>
        </w:rPr>
      </w:pPr>
    </w:p>
    <w:p w14:paraId="242DA438">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以下是近年来高速公路桥隧电力线缆运维管理的记录：</w:t>
      </w:r>
    </w:p>
    <w:p w14:paraId="0675203D">
      <w:pPr>
        <w:pStyle w:val="33"/>
        <w:widowControl w:val="0"/>
        <w:ind w:firstLine="0" w:firstLineChars="0"/>
        <w:rPr>
          <w:rFonts w:hint="eastAsia" w:eastAsia="黑体"/>
          <w:highlight w:val="none"/>
          <w:lang w:eastAsia="zh-CN"/>
        </w:rPr>
      </w:pPr>
      <w:r>
        <w:rPr>
          <w:rFonts w:hint="eastAsia"/>
          <w:highlight w:val="none"/>
        </w:rPr>
        <w:t>高速公路桥隧电力线缆运维管理记录</w:t>
      </w:r>
    </w:p>
    <w:tbl>
      <w:tblPr>
        <w:tblStyle w:val="17"/>
        <w:tblW w:w="89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2"/>
        <w:gridCol w:w="1823"/>
        <w:gridCol w:w="5964"/>
      </w:tblGrid>
      <w:tr w14:paraId="1C2C7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1132" w:type="dxa"/>
            <w:vAlign w:val="center"/>
          </w:tcPr>
          <w:p w14:paraId="5662768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年份</w:t>
            </w:r>
          </w:p>
        </w:tc>
        <w:tc>
          <w:tcPr>
            <w:tcW w:w="1823" w:type="dxa"/>
            <w:vAlign w:val="center"/>
          </w:tcPr>
          <w:p w14:paraId="56F49E7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管理规模</w:t>
            </w:r>
          </w:p>
        </w:tc>
        <w:tc>
          <w:tcPr>
            <w:tcW w:w="5964" w:type="dxa"/>
            <w:vAlign w:val="center"/>
          </w:tcPr>
          <w:p w14:paraId="017136BF">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运维效果</w:t>
            </w:r>
          </w:p>
        </w:tc>
      </w:tr>
      <w:tr w14:paraId="0843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1132" w:type="dxa"/>
            <w:vAlign w:val="center"/>
          </w:tcPr>
          <w:p w14:paraId="2E4B775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2022</w:t>
            </w:r>
          </w:p>
        </w:tc>
        <w:tc>
          <w:tcPr>
            <w:tcW w:w="1823" w:type="dxa"/>
            <w:shd w:val="clear" w:color="auto" w:fill="auto"/>
            <w:vAlign w:val="center"/>
          </w:tcPr>
          <w:p w14:paraId="53B3071D">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color w:val="auto"/>
                <w:sz w:val="24"/>
                <w:szCs w:val="24"/>
                <w:lang w:val="en-US" w:eastAsia="zh-CN" w:bidi="ar-SA"/>
              </w:rPr>
            </w:pPr>
            <w:r>
              <w:rPr>
                <w:rFonts w:hint="eastAsia" w:ascii="仿宋_GB2312" w:eastAsia="仿宋_GB2312" w:cs="仿宋"/>
                <w:color w:val="auto"/>
              </w:rPr>
              <w:t>桥梁</w:t>
            </w:r>
            <w:r>
              <w:rPr>
                <w:rFonts w:hint="eastAsia" w:ascii="仿宋_GB2312" w:eastAsia="仿宋_GB2312" w:cs="仿宋"/>
                <w:color w:val="auto"/>
                <w:lang w:val="en-US" w:eastAsia="zh-CN"/>
              </w:rPr>
              <w:t>819</w:t>
            </w:r>
            <w:r>
              <w:rPr>
                <w:rFonts w:hint="eastAsia" w:ascii="仿宋_GB2312" w:eastAsia="仿宋_GB2312" w:cs="仿宋"/>
                <w:color w:val="auto"/>
              </w:rPr>
              <w:t>座，隧道</w:t>
            </w:r>
            <w:r>
              <w:rPr>
                <w:rFonts w:hint="eastAsia" w:ascii="仿宋_GB2312" w:eastAsia="仿宋_GB2312" w:cs="仿宋"/>
                <w:color w:val="auto"/>
                <w:lang w:val="en-US" w:eastAsia="zh-CN"/>
              </w:rPr>
              <w:t>43</w:t>
            </w:r>
            <w:r>
              <w:rPr>
                <w:rFonts w:hint="eastAsia" w:ascii="仿宋_GB2312" w:eastAsia="仿宋_GB2312" w:cs="仿宋"/>
                <w:color w:val="auto"/>
              </w:rPr>
              <w:t>座，线缆</w:t>
            </w:r>
            <w:r>
              <w:rPr>
                <w:rFonts w:hint="eastAsia" w:ascii="仿宋_GB2312" w:eastAsia="仿宋_GB2312" w:cs="仿宋"/>
                <w:color w:val="auto"/>
                <w:lang w:val="en-US" w:eastAsia="zh-CN"/>
              </w:rPr>
              <w:t>346.5</w:t>
            </w:r>
            <w:r>
              <w:rPr>
                <w:rFonts w:hint="eastAsia" w:ascii="仿宋_GB2312" w:eastAsia="仿宋_GB2312" w:cs="仿宋"/>
                <w:color w:val="auto"/>
              </w:rPr>
              <w:t>公里</w:t>
            </w:r>
          </w:p>
        </w:tc>
        <w:tc>
          <w:tcPr>
            <w:tcW w:w="5964" w:type="dxa"/>
            <w:shd w:val="clear" w:color="auto" w:fill="auto"/>
            <w:vAlign w:val="center"/>
          </w:tcPr>
          <w:p w14:paraId="30BAC04D">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sz w:val="24"/>
                <w:szCs w:val="24"/>
                <w:lang w:val="en-US" w:eastAsia="zh-CN" w:bidi="ar-SA"/>
              </w:rPr>
            </w:pPr>
            <w:r>
              <w:rPr>
                <w:rFonts w:hint="eastAsia" w:ascii="仿宋_GB2312" w:eastAsia="仿宋_GB2312" w:cs="仿宋"/>
                <w:color w:val="auto"/>
              </w:rPr>
              <w:t>全年计划巡检</w:t>
            </w:r>
            <w:r>
              <w:rPr>
                <w:rFonts w:hint="eastAsia" w:ascii="仿宋_GB2312" w:eastAsia="仿宋_GB2312" w:cs="仿宋"/>
                <w:color w:val="auto"/>
                <w:lang w:val="en-US" w:eastAsia="zh-CN"/>
              </w:rPr>
              <w:t>10344</w:t>
            </w:r>
            <w:r>
              <w:rPr>
                <w:rFonts w:hint="eastAsia" w:ascii="仿宋_GB2312" w:eastAsia="仿宋_GB2312" w:cs="仿宋"/>
                <w:color w:val="auto"/>
              </w:rPr>
              <w:t>次，实际执行</w:t>
            </w:r>
            <w:r>
              <w:rPr>
                <w:rFonts w:hint="eastAsia" w:ascii="仿宋_GB2312" w:eastAsia="仿宋_GB2312" w:cs="仿宋"/>
                <w:color w:val="auto"/>
                <w:lang w:val="en-US" w:eastAsia="zh-CN"/>
              </w:rPr>
              <w:t>10344</w:t>
            </w:r>
            <w:r>
              <w:rPr>
                <w:rFonts w:hint="eastAsia" w:ascii="仿宋_GB2312" w:eastAsia="仿宋_GB2312" w:cs="仿宋"/>
                <w:color w:val="auto"/>
              </w:rPr>
              <w:t>次，发现隐患</w:t>
            </w:r>
            <w:r>
              <w:rPr>
                <w:rFonts w:hint="eastAsia" w:ascii="仿宋_GB2312" w:eastAsia="仿宋_GB2312" w:cs="仿宋"/>
                <w:color w:val="auto"/>
                <w:lang w:val="en-US" w:eastAsia="zh-CN"/>
              </w:rPr>
              <w:t>127</w:t>
            </w:r>
            <w:r>
              <w:rPr>
                <w:rFonts w:hint="eastAsia" w:ascii="仿宋_GB2312" w:eastAsia="仿宋_GB2312" w:cs="仿宋"/>
                <w:color w:val="auto"/>
              </w:rPr>
              <w:t>处，整改</w:t>
            </w:r>
            <w:r>
              <w:rPr>
                <w:rFonts w:hint="eastAsia" w:ascii="仿宋_GB2312" w:eastAsia="仿宋_GB2312" w:cs="仿宋"/>
                <w:color w:val="auto"/>
                <w:lang w:val="en-US" w:eastAsia="zh-CN"/>
              </w:rPr>
              <w:t>127</w:t>
            </w:r>
            <w:r>
              <w:rPr>
                <w:rFonts w:hint="eastAsia" w:ascii="仿宋_GB2312" w:eastAsia="仿宋_GB2312" w:cs="仿宋"/>
                <w:color w:val="auto"/>
              </w:rPr>
              <w:t>处；故障发生</w:t>
            </w:r>
            <w:r>
              <w:rPr>
                <w:rFonts w:hint="eastAsia" w:ascii="仿宋_GB2312" w:eastAsia="仿宋_GB2312" w:cs="仿宋"/>
                <w:color w:val="auto"/>
                <w:lang w:val="en-US" w:eastAsia="zh-CN"/>
              </w:rPr>
              <w:t>36</w:t>
            </w:r>
            <w:r>
              <w:rPr>
                <w:rFonts w:hint="eastAsia" w:ascii="仿宋_GB2312" w:eastAsia="仿宋_GB2312" w:cs="仿宋"/>
                <w:color w:val="auto"/>
              </w:rPr>
              <w:t>次，平均修复时间</w:t>
            </w:r>
            <w:r>
              <w:rPr>
                <w:rFonts w:hint="eastAsia" w:ascii="仿宋_GB2312" w:eastAsia="仿宋_GB2312" w:cs="仿宋"/>
                <w:color w:val="auto"/>
                <w:lang w:val="en-US" w:eastAsia="zh-CN"/>
              </w:rPr>
              <w:t>45</w:t>
            </w:r>
            <w:r>
              <w:rPr>
                <w:rFonts w:hint="eastAsia" w:ascii="仿宋_GB2312" w:eastAsia="仿宋_GB2312" w:cs="仿宋"/>
                <w:color w:val="auto"/>
              </w:rPr>
              <w:t>分钟；预防性试验完成率</w:t>
            </w:r>
            <w:r>
              <w:rPr>
                <w:rFonts w:hint="eastAsia" w:ascii="仿宋_GB2312" w:eastAsia="仿宋_GB2312" w:cs="仿宋"/>
                <w:color w:val="auto"/>
                <w:lang w:val="en-US" w:eastAsia="zh-CN"/>
              </w:rPr>
              <w:t>100</w:t>
            </w:r>
            <w:r>
              <w:rPr>
                <w:rFonts w:hint="eastAsia" w:ascii="仿宋_GB2312" w:eastAsia="仿宋_GB2312" w:cs="仿宋"/>
                <w:color w:val="auto"/>
              </w:rPr>
              <w:t>%，设备完好率</w:t>
            </w:r>
            <w:r>
              <w:rPr>
                <w:rFonts w:hint="eastAsia" w:ascii="仿宋_GB2312" w:eastAsia="仿宋_GB2312" w:cs="仿宋"/>
                <w:color w:val="auto"/>
                <w:lang w:val="en-US" w:eastAsia="zh-CN"/>
              </w:rPr>
              <w:t>99.8</w:t>
            </w:r>
            <w:r>
              <w:rPr>
                <w:rFonts w:hint="eastAsia" w:ascii="仿宋_GB2312" w:eastAsia="仿宋_GB2312" w:cs="仿宋"/>
                <w:color w:val="auto"/>
              </w:rPr>
              <w:t>%</w:t>
            </w:r>
          </w:p>
        </w:tc>
      </w:tr>
      <w:tr w14:paraId="39067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1132" w:type="dxa"/>
            <w:vAlign w:val="center"/>
          </w:tcPr>
          <w:p w14:paraId="2666F6A1">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2023</w:t>
            </w:r>
          </w:p>
        </w:tc>
        <w:tc>
          <w:tcPr>
            <w:tcW w:w="1823" w:type="dxa"/>
            <w:shd w:val="clear" w:color="auto" w:fill="auto"/>
            <w:vAlign w:val="center"/>
          </w:tcPr>
          <w:p w14:paraId="3831A013">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color w:val="auto"/>
                <w:sz w:val="24"/>
                <w:szCs w:val="24"/>
                <w:lang w:val="en-US" w:eastAsia="zh-CN" w:bidi="ar-SA"/>
              </w:rPr>
            </w:pPr>
            <w:r>
              <w:rPr>
                <w:rFonts w:hint="eastAsia" w:ascii="仿宋_GB2312" w:eastAsia="仿宋_GB2312" w:cs="仿宋"/>
                <w:color w:val="auto"/>
              </w:rPr>
              <w:t>桥梁</w:t>
            </w:r>
            <w:r>
              <w:rPr>
                <w:rFonts w:hint="eastAsia" w:ascii="仿宋_GB2312" w:eastAsia="仿宋_GB2312" w:cs="仿宋"/>
                <w:color w:val="auto"/>
                <w:lang w:val="en-US" w:eastAsia="zh-CN"/>
              </w:rPr>
              <w:t>899</w:t>
            </w:r>
            <w:r>
              <w:rPr>
                <w:rFonts w:hint="eastAsia" w:ascii="仿宋_GB2312" w:eastAsia="仿宋_GB2312" w:cs="仿宋"/>
                <w:color w:val="auto"/>
              </w:rPr>
              <w:t>座，隧道</w:t>
            </w:r>
            <w:r>
              <w:rPr>
                <w:rFonts w:hint="eastAsia" w:ascii="仿宋_GB2312" w:eastAsia="仿宋_GB2312" w:cs="仿宋"/>
                <w:color w:val="auto"/>
                <w:lang w:val="en-US" w:eastAsia="zh-CN"/>
              </w:rPr>
              <w:t>46</w:t>
            </w:r>
            <w:r>
              <w:rPr>
                <w:rFonts w:hint="eastAsia" w:ascii="仿宋_GB2312" w:eastAsia="仿宋_GB2312" w:cs="仿宋"/>
                <w:color w:val="auto"/>
              </w:rPr>
              <w:t>座，线缆</w:t>
            </w:r>
            <w:r>
              <w:rPr>
                <w:rFonts w:hint="eastAsia" w:ascii="仿宋_GB2312" w:eastAsia="仿宋_GB2312" w:cs="仿宋"/>
                <w:color w:val="auto"/>
                <w:lang w:val="en-US" w:eastAsia="zh-CN"/>
              </w:rPr>
              <w:t>413.5</w:t>
            </w:r>
            <w:r>
              <w:rPr>
                <w:rFonts w:hint="eastAsia" w:ascii="仿宋_GB2312" w:eastAsia="仿宋_GB2312" w:cs="仿宋"/>
                <w:color w:val="auto"/>
              </w:rPr>
              <w:t>公里</w:t>
            </w:r>
          </w:p>
        </w:tc>
        <w:tc>
          <w:tcPr>
            <w:tcW w:w="5964" w:type="dxa"/>
            <w:shd w:val="clear" w:color="auto" w:fill="auto"/>
            <w:vAlign w:val="center"/>
          </w:tcPr>
          <w:p w14:paraId="0D931016">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sz w:val="24"/>
                <w:szCs w:val="24"/>
                <w:lang w:val="en-US" w:eastAsia="zh-CN" w:bidi="ar-SA"/>
              </w:rPr>
            </w:pPr>
            <w:r>
              <w:rPr>
                <w:rFonts w:hint="eastAsia" w:ascii="仿宋_GB2312" w:eastAsia="仿宋_GB2312" w:cs="仿宋"/>
                <w:color w:val="auto"/>
              </w:rPr>
              <w:t>全年计划巡检</w:t>
            </w:r>
            <w:r>
              <w:rPr>
                <w:rFonts w:hint="eastAsia" w:ascii="仿宋_GB2312" w:eastAsia="仿宋_GB2312" w:cs="仿宋"/>
                <w:color w:val="auto"/>
                <w:lang w:val="en-US" w:eastAsia="zh-CN"/>
              </w:rPr>
              <w:t>11340</w:t>
            </w:r>
            <w:r>
              <w:rPr>
                <w:rFonts w:hint="eastAsia" w:ascii="仿宋_GB2312" w:eastAsia="仿宋_GB2312" w:cs="仿宋"/>
                <w:color w:val="auto"/>
              </w:rPr>
              <w:t>次，实际执行</w:t>
            </w:r>
            <w:r>
              <w:rPr>
                <w:rFonts w:hint="eastAsia" w:ascii="仿宋_GB2312" w:eastAsia="仿宋_GB2312" w:cs="仿宋"/>
                <w:color w:val="auto"/>
                <w:lang w:val="en-US" w:eastAsia="zh-CN"/>
              </w:rPr>
              <w:t>11340</w:t>
            </w:r>
            <w:r>
              <w:rPr>
                <w:rFonts w:hint="eastAsia" w:ascii="仿宋_GB2312" w:eastAsia="仿宋_GB2312" w:cs="仿宋"/>
                <w:color w:val="auto"/>
              </w:rPr>
              <w:t>次，发现隐患</w:t>
            </w:r>
            <w:r>
              <w:rPr>
                <w:rFonts w:hint="eastAsia" w:ascii="仿宋_GB2312" w:eastAsia="仿宋_GB2312" w:cs="仿宋"/>
                <w:color w:val="auto"/>
                <w:lang w:val="en-US" w:eastAsia="zh-CN"/>
              </w:rPr>
              <w:t>142</w:t>
            </w:r>
            <w:r>
              <w:rPr>
                <w:rFonts w:hint="eastAsia" w:ascii="仿宋_GB2312" w:eastAsia="仿宋_GB2312" w:cs="仿宋"/>
                <w:color w:val="auto"/>
              </w:rPr>
              <w:t>处，整改</w:t>
            </w:r>
            <w:r>
              <w:rPr>
                <w:rFonts w:hint="eastAsia" w:ascii="仿宋_GB2312" w:eastAsia="仿宋_GB2312" w:cs="仿宋"/>
                <w:color w:val="auto"/>
                <w:lang w:val="en-US" w:eastAsia="zh-CN"/>
              </w:rPr>
              <w:t>142</w:t>
            </w:r>
            <w:r>
              <w:rPr>
                <w:rFonts w:hint="eastAsia" w:ascii="仿宋_GB2312" w:eastAsia="仿宋_GB2312" w:cs="仿宋"/>
                <w:color w:val="auto"/>
              </w:rPr>
              <w:t>处；故障发生</w:t>
            </w:r>
            <w:r>
              <w:rPr>
                <w:rFonts w:hint="eastAsia" w:ascii="仿宋_GB2312" w:eastAsia="仿宋_GB2312" w:cs="仿宋"/>
                <w:color w:val="auto"/>
                <w:lang w:val="en-US" w:eastAsia="zh-CN"/>
              </w:rPr>
              <w:t>40</w:t>
            </w:r>
            <w:r>
              <w:rPr>
                <w:rFonts w:hint="eastAsia" w:ascii="仿宋_GB2312" w:eastAsia="仿宋_GB2312" w:cs="仿宋"/>
                <w:color w:val="auto"/>
              </w:rPr>
              <w:t>次，平均修复时间</w:t>
            </w:r>
            <w:r>
              <w:rPr>
                <w:rFonts w:hint="eastAsia" w:ascii="仿宋_GB2312" w:eastAsia="仿宋_GB2312" w:cs="仿宋"/>
                <w:color w:val="auto"/>
                <w:lang w:val="en-US" w:eastAsia="zh-CN"/>
              </w:rPr>
              <w:t>45</w:t>
            </w:r>
            <w:r>
              <w:rPr>
                <w:rFonts w:hint="eastAsia" w:ascii="仿宋_GB2312" w:eastAsia="仿宋_GB2312" w:cs="仿宋"/>
                <w:color w:val="auto"/>
              </w:rPr>
              <w:t>分钟；预防性试验完成率</w:t>
            </w:r>
            <w:r>
              <w:rPr>
                <w:rFonts w:hint="eastAsia" w:ascii="仿宋_GB2312" w:eastAsia="仿宋_GB2312" w:cs="仿宋"/>
                <w:color w:val="auto"/>
                <w:lang w:val="en-US" w:eastAsia="zh-CN"/>
              </w:rPr>
              <w:t>100</w:t>
            </w:r>
            <w:r>
              <w:rPr>
                <w:rFonts w:hint="eastAsia" w:ascii="仿宋_GB2312" w:eastAsia="仿宋_GB2312" w:cs="仿宋"/>
                <w:color w:val="auto"/>
              </w:rPr>
              <w:t>%，设备完好率</w:t>
            </w:r>
            <w:r>
              <w:rPr>
                <w:rFonts w:hint="eastAsia" w:ascii="仿宋_GB2312" w:eastAsia="仿宋_GB2312" w:cs="仿宋"/>
                <w:color w:val="auto"/>
                <w:lang w:val="en-US" w:eastAsia="zh-CN"/>
              </w:rPr>
              <w:t>99.8</w:t>
            </w:r>
            <w:r>
              <w:rPr>
                <w:rFonts w:hint="eastAsia" w:ascii="仿宋_GB2312" w:eastAsia="仿宋_GB2312" w:cs="仿宋"/>
                <w:color w:val="auto"/>
              </w:rPr>
              <w:t>%</w:t>
            </w:r>
          </w:p>
        </w:tc>
      </w:tr>
      <w:tr w14:paraId="6F0F1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1132" w:type="dxa"/>
            <w:vAlign w:val="center"/>
          </w:tcPr>
          <w:p w14:paraId="4867D78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2024</w:t>
            </w:r>
          </w:p>
        </w:tc>
        <w:tc>
          <w:tcPr>
            <w:tcW w:w="1823" w:type="dxa"/>
            <w:shd w:val="clear" w:color="auto" w:fill="auto"/>
            <w:vAlign w:val="center"/>
          </w:tcPr>
          <w:p w14:paraId="084F59C1">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color w:val="auto"/>
                <w:sz w:val="24"/>
                <w:szCs w:val="24"/>
                <w:lang w:val="en-US" w:eastAsia="zh-CN" w:bidi="ar-SA"/>
              </w:rPr>
            </w:pPr>
            <w:r>
              <w:rPr>
                <w:rFonts w:hint="eastAsia" w:ascii="仿宋_GB2312" w:eastAsia="仿宋_GB2312" w:cs="仿宋"/>
                <w:color w:val="auto"/>
              </w:rPr>
              <w:t>桥梁</w:t>
            </w:r>
            <w:r>
              <w:rPr>
                <w:rFonts w:hint="eastAsia" w:ascii="仿宋_GB2312" w:eastAsia="仿宋_GB2312" w:cs="仿宋"/>
                <w:color w:val="auto"/>
                <w:lang w:val="en-US" w:eastAsia="zh-CN"/>
              </w:rPr>
              <w:t>1059</w:t>
            </w:r>
            <w:r>
              <w:rPr>
                <w:rFonts w:hint="eastAsia" w:ascii="仿宋_GB2312" w:eastAsia="仿宋_GB2312" w:cs="仿宋"/>
                <w:color w:val="auto"/>
              </w:rPr>
              <w:t>座，隧道</w:t>
            </w:r>
            <w:r>
              <w:rPr>
                <w:rFonts w:hint="eastAsia" w:ascii="仿宋_GB2312" w:eastAsia="仿宋_GB2312" w:cs="仿宋"/>
                <w:color w:val="auto"/>
                <w:lang w:val="en-US" w:eastAsia="zh-CN"/>
              </w:rPr>
              <w:t>63</w:t>
            </w:r>
            <w:r>
              <w:rPr>
                <w:rFonts w:hint="eastAsia" w:ascii="仿宋_GB2312" w:eastAsia="仿宋_GB2312" w:cs="仿宋"/>
                <w:color w:val="auto"/>
              </w:rPr>
              <w:t>座，线缆</w:t>
            </w:r>
            <w:r>
              <w:rPr>
                <w:rFonts w:hint="eastAsia" w:ascii="仿宋_GB2312" w:eastAsia="仿宋_GB2312" w:cs="仿宋"/>
                <w:color w:val="auto"/>
                <w:lang w:val="en-US" w:eastAsia="zh-CN"/>
              </w:rPr>
              <w:t>450.5</w:t>
            </w:r>
            <w:r>
              <w:rPr>
                <w:rFonts w:hint="eastAsia" w:ascii="仿宋_GB2312" w:eastAsia="仿宋_GB2312" w:cs="仿宋"/>
                <w:color w:val="auto"/>
              </w:rPr>
              <w:t>公里</w:t>
            </w:r>
          </w:p>
        </w:tc>
        <w:tc>
          <w:tcPr>
            <w:tcW w:w="5964" w:type="dxa"/>
            <w:shd w:val="clear" w:color="auto" w:fill="auto"/>
            <w:vAlign w:val="center"/>
          </w:tcPr>
          <w:p w14:paraId="6B8CD242">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sz w:val="24"/>
                <w:szCs w:val="24"/>
                <w:lang w:val="en-US" w:eastAsia="zh-CN" w:bidi="ar-SA"/>
              </w:rPr>
            </w:pPr>
            <w:r>
              <w:rPr>
                <w:rFonts w:hint="eastAsia" w:ascii="仿宋_GB2312" w:eastAsia="仿宋_GB2312" w:cs="仿宋"/>
                <w:color w:val="auto"/>
              </w:rPr>
              <w:t>全年计划巡检</w:t>
            </w:r>
            <w:r>
              <w:rPr>
                <w:rFonts w:hint="eastAsia" w:ascii="仿宋_GB2312" w:eastAsia="仿宋_GB2312" w:cs="仿宋"/>
                <w:color w:val="auto"/>
                <w:lang w:val="en-US" w:eastAsia="zh-CN"/>
              </w:rPr>
              <w:t>13464</w:t>
            </w:r>
            <w:r>
              <w:rPr>
                <w:rFonts w:hint="eastAsia" w:ascii="仿宋_GB2312" w:eastAsia="仿宋_GB2312" w:cs="仿宋"/>
                <w:color w:val="auto"/>
              </w:rPr>
              <w:t>次，实际执行</w:t>
            </w:r>
            <w:r>
              <w:rPr>
                <w:rFonts w:hint="eastAsia" w:ascii="仿宋_GB2312" w:eastAsia="仿宋_GB2312" w:cs="仿宋"/>
                <w:color w:val="auto"/>
                <w:lang w:val="en-US" w:eastAsia="zh-CN"/>
              </w:rPr>
              <w:t>13464</w:t>
            </w:r>
            <w:r>
              <w:rPr>
                <w:rFonts w:hint="eastAsia" w:ascii="仿宋_GB2312" w:eastAsia="仿宋_GB2312" w:cs="仿宋"/>
                <w:color w:val="auto"/>
              </w:rPr>
              <w:t>次，发现隐患</w:t>
            </w:r>
            <w:r>
              <w:rPr>
                <w:rFonts w:hint="eastAsia" w:ascii="仿宋_GB2312" w:eastAsia="仿宋_GB2312" w:cs="仿宋"/>
                <w:color w:val="auto"/>
                <w:lang w:val="en-US" w:eastAsia="zh-CN"/>
              </w:rPr>
              <w:t>165</w:t>
            </w:r>
            <w:r>
              <w:rPr>
                <w:rFonts w:hint="eastAsia" w:ascii="仿宋_GB2312" w:eastAsia="仿宋_GB2312" w:cs="仿宋"/>
                <w:color w:val="auto"/>
              </w:rPr>
              <w:t>处，整改</w:t>
            </w:r>
            <w:r>
              <w:rPr>
                <w:rFonts w:hint="eastAsia" w:ascii="仿宋_GB2312" w:eastAsia="仿宋_GB2312" w:cs="仿宋"/>
                <w:color w:val="auto"/>
                <w:lang w:val="en-US" w:eastAsia="zh-CN"/>
              </w:rPr>
              <w:t>165</w:t>
            </w:r>
            <w:r>
              <w:rPr>
                <w:rFonts w:hint="eastAsia" w:ascii="仿宋_GB2312" w:eastAsia="仿宋_GB2312" w:cs="仿宋"/>
                <w:color w:val="auto"/>
              </w:rPr>
              <w:t>处；故障发生</w:t>
            </w:r>
            <w:r>
              <w:rPr>
                <w:rFonts w:hint="eastAsia" w:ascii="仿宋_GB2312" w:eastAsia="仿宋_GB2312" w:cs="仿宋"/>
                <w:color w:val="auto"/>
                <w:lang w:val="en-US" w:eastAsia="zh-CN"/>
              </w:rPr>
              <w:t>44</w:t>
            </w:r>
            <w:r>
              <w:rPr>
                <w:rFonts w:hint="eastAsia" w:ascii="仿宋_GB2312" w:eastAsia="仿宋_GB2312" w:cs="仿宋"/>
                <w:color w:val="auto"/>
              </w:rPr>
              <w:t>次，平均修复时间</w:t>
            </w:r>
            <w:r>
              <w:rPr>
                <w:rFonts w:hint="eastAsia" w:ascii="仿宋_GB2312" w:eastAsia="仿宋_GB2312" w:cs="仿宋"/>
                <w:color w:val="auto"/>
                <w:lang w:val="en-US" w:eastAsia="zh-CN"/>
              </w:rPr>
              <w:t>45</w:t>
            </w:r>
            <w:r>
              <w:rPr>
                <w:rFonts w:hint="eastAsia" w:ascii="仿宋_GB2312" w:eastAsia="仿宋_GB2312" w:cs="仿宋"/>
                <w:color w:val="auto"/>
              </w:rPr>
              <w:t>分钟；预防性试验完成率</w:t>
            </w:r>
            <w:r>
              <w:rPr>
                <w:rFonts w:hint="eastAsia" w:ascii="仿宋_GB2312" w:eastAsia="仿宋_GB2312" w:cs="仿宋"/>
                <w:color w:val="auto"/>
                <w:lang w:val="en-US" w:eastAsia="zh-CN"/>
              </w:rPr>
              <w:t>100</w:t>
            </w:r>
            <w:r>
              <w:rPr>
                <w:rFonts w:hint="eastAsia" w:ascii="仿宋_GB2312" w:eastAsia="仿宋_GB2312" w:cs="仿宋"/>
                <w:color w:val="auto"/>
              </w:rPr>
              <w:t>%，设备完好率</w:t>
            </w:r>
            <w:r>
              <w:rPr>
                <w:rFonts w:hint="eastAsia" w:ascii="仿宋_GB2312" w:eastAsia="仿宋_GB2312" w:cs="仿宋"/>
                <w:color w:val="auto"/>
                <w:lang w:val="en-US" w:eastAsia="zh-CN"/>
              </w:rPr>
              <w:t>99.8</w:t>
            </w:r>
            <w:r>
              <w:rPr>
                <w:rFonts w:hint="eastAsia" w:ascii="仿宋_GB2312" w:eastAsia="仿宋_GB2312" w:cs="仿宋"/>
                <w:color w:val="auto"/>
              </w:rPr>
              <w:t>%</w:t>
            </w:r>
          </w:p>
        </w:tc>
      </w:tr>
      <w:tr w14:paraId="31431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1132" w:type="dxa"/>
            <w:vAlign w:val="center"/>
          </w:tcPr>
          <w:p w14:paraId="2113DA7C">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2025</w:t>
            </w:r>
          </w:p>
        </w:tc>
        <w:tc>
          <w:tcPr>
            <w:tcW w:w="1823" w:type="dxa"/>
            <w:shd w:val="clear" w:color="auto" w:fill="auto"/>
            <w:vAlign w:val="center"/>
          </w:tcPr>
          <w:p w14:paraId="67BDD74E">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color w:val="auto"/>
                <w:sz w:val="24"/>
                <w:szCs w:val="24"/>
                <w:lang w:val="en-US" w:eastAsia="zh-CN" w:bidi="ar-SA"/>
              </w:rPr>
            </w:pPr>
            <w:r>
              <w:rPr>
                <w:rFonts w:hint="eastAsia" w:ascii="仿宋_GB2312" w:eastAsia="仿宋_GB2312" w:cs="仿宋"/>
                <w:color w:val="auto"/>
              </w:rPr>
              <w:t>桥梁</w:t>
            </w:r>
            <w:r>
              <w:rPr>
                <w:rFonts w:hint="eastAsia" w:ascii="仿宋_GB2312" w:eastAsia="仿宋_GB2312" w:cs="仿宋"/>
                <w:color w:val="auto"/>
                <w:lang w:val="en-US" w:eastAsia="zh-CN"/>
              </w:rPr>
              <w:t>1059</w:t>
            </w:r>
            <w:r>
              <w:rPr>
                <w:rFonts w:hint="eastAsia" w:ascii="仿宋_GB2312" w:eastAsia="仿宋_GB2312" w:cs="仿宋"/>
                <w:color w:val="auto"/>
              </w:rPr>
              <w:t>座，隧道</w:t>
            </w:r>
            <w:r>
              <w:rPr>
                <w:rFonts w:hint="eastAsia" w:ascii="仿宋_GB2312" w:eastAsia="仿宋_GB2312" w:cs="仿宋"/>
                <w:color w:val="auto"/>
                <w:lang w:val="en-US" w:eastAsia="zh-CN"/>
              </w:rPr>
              <w:t>63</w:t>
            </w:r>
            <w:r>
              <w:rPr>
                <w:rFonts w:hint="eastAsia" w:ascii="仿宋_GB2312" w:eastAsia="仿宋_GB2312" w:cs="仿宋"/>
                <w:color w:val="auto"/>
              </w:rPr>
              <w:t>座，线缆</w:t>
            </w:r>
            <w:r>
              <w:rPr>
                <w:rFonts w:hint="eastAsia" w:ascii="仿宋_GB2312" w:eastAsia="仿宋_GB2312" w:cs="仿宋"/>
                <w:color w:val="auto"/>
                <w:lang w:val="en-US" w:eastAsia="zh-CN"/>
              </w:rPr>
              <w:t>450.5</w:t>
            </w:r>
            <w:r>
              <w:rPr>
                <w:rFonts w:hint="eastAsia" w:ascii="仿宋_GB2312" w:eastAsia="仿宋_GB2312" w:cs="仿宋"/>
                <w:color w:val="auto"/>
              </w:rPr>
              <w:t>公里</w:t>
            </w:r>
          </w:p>
        </w:tc>
        <w:tc>
          <w:tcPr>
            <w:tcW w:w="5964" w:type="dxa"/>
            <w:shd w:val="clear" w:color="auto" w:fill="auto"/>
            <w:vAlign w:val="center"/>
          </w:tcPr>
          <w:p w14:paraId="3C00B027">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sz w:val="24"/>
                <w:szCs w:val="24"/>
                <w:lang w:val="en-US" w:eastAsia="zh-CN" w:bidi="ar-SA"/>
              </w:rPr>
            </w:pPr>
            <w:r>
              <w:rPr>
                <w:rFonts w:hint="eastAsia" w:ascii="仿宋_GB2312" w:eastAsia="仿宋_GB2312" w:cs="仿宋"/>
                <w:color w:val="auto"/>
              </w:rPr>
              <w:t>全年计划巡检</w:t>
            </w:r>
            <w:r>
              <w:rPr>
                <w:rFonts w:hint="eastAsia" w:ascii="仿宋_GB2312" w:eastAsia="仿宋_GB2312" w:cs="仿宋"/>
                <w:color w:val="auto"/>
                <w:lang w:val="en-US" w:eastAsia="zh-CN"/>
              </w:rPr>
              <w:t>13464</w:t>
            </w:r>
            <w:r>
              <w:rPr>
                <w:rFonts w:hint="eastAsia" w:ascii="仿宋_GB2312" w:eastAsia="仿宋_GB2312" w:cs="仿宋"/>
                <w:color w:val="auto"/>
              </w:rPr>
              <w:t>次，实际执行</w:t>
            </w:r>
            <w:r>
              <w:rPr>
                <w:rFonts w:hint="eastAsia" w:ascii="仿宋_GB2312" w:eastAsia="仿宋_GB2312" w:cs="仿宋"/>
                <w:color w:val="auto"/>
                <w:lang w:val="en-US" w:eastAsia="zh-CN"/>
              </w:rPr>
              <w:t>13464</w:t>
            </w:r>
            <w:r>
              <w:rPr>
                <w:rFonts w:hint="eastAsia" w:ascii="仿宋_GB2312" w:eastAsia="仿宋_GB2312" w:cs="仿宋"/>
                <w:color w:val="auto"/>
              </w:rPr>
              <w:t>次，发现隐患</w:t>
            </w:r>
            <w:r>
              <w:rPr>
                <w:rFonts w:hint="eastAsia" w:ascii="仿宋_GB2312" w:eastAsia="仿宋_GB2312" w:cs="仿宋"/>
                <w:color w:val="auto"/>
                <w:lang w:val="en-US" w:eastAsia="zh-CN"/>
              </w:rPr>
              <w:t>168</w:t>
            </w:r>
            <w:r>
              <w:rPr>
                <w:rFonts w:hint="eastAsia" w:ascii="仿宋_GB2312" w:eastAsia="仿宋_GB2312" w:cs="仿宋"/>
                <w:color w:val="auto"/>
              </w:rPr>
              <w:t>处，整改</w:t>
            </w:r>
            <w:r>
              <w:rPr>
                <w:rFonts w:hint="eastAsia" w:ascii="仿宋_GB2312" w:eastAsia="仿宋_GB2312" w:cs="仿宋"/>
                <w:color w:val="auto"/>
                <w:lang w:val="en-US" w:eastAsia="zh-CN"/>
              </w:rPr>
              <w:t>168</w:t>
            </w:r>
            <w:r>
              <w:rPr>
                <w:rFonts w:hint="eastAsia" w:ascii="仿宋_GB2312" w:eastAsia="仿宋_GB2312" w:cs="仿宋"/>
                <w:color w:val="auto"/>
              </w:rPr>
              <w:t>处；故障发生</w:t>
            </w:r>
            <w:r>
              <w:rPr>
                <w:rFonts w:hint="eastAsia" w:ascii="仿宋_GB2312" w:eastAsia="仿宋_GB2312" w:cs="仿宋"/>
                <w:color w:val="auto"/>
                <w:lang w:val="en-US" w:eastAsia="zh-CN"/>
              </w:rPr>
              <w:t>45</w:t>
            </w:r>
            <w:r>
              <w:rPr>
                <w:rFonts w:hint="eastAsia" w:ascii="仿宋_GB2312" w:eastAsia="仿宋_GB2312" w:cs="仿宋"/>
                <w:color w:val="auto"/>
              </w:rPr>
              <w:t>次，平均修复时间</w:t>
            </w:r>
            <w:r>
              <w:rPr>
                <w:rFonts w:hint="eastAsia" w:ascii="仿宋_GB2312" w:eastAsia="仿宋_GB2312" w:cs="仿宋"/>
                <w:color w:val="auto"/>
                <w:lang w:val="en-US" w:eastAsia="zh-CN"/>
              </w:rPr>
              <w:t>45</w:t>
            </w:r>
            <w:r>
              <w:rPr>
                <w:rFonts w:hint="eastAsia" w:ascii="仿宋_GB2312" w:eastAsia="仿宋_GB2312" w:cs="仿宋"/>
                <w:color w:val="auto"/>
              </w:rPr>
              <w:t>分钟；预防性试验完成率</w:t>
            </w:r>
            <w:r>
              <w:rPr>
                <w:rFonts w:hint="eastAsia" w:ascii="仿宋_GB2312" w:eastAsia="仿宋_GB2312" w:cs="仿宋"/>
                <w:color w:val="auto"/>
                <w:lang w:val="en-US" w:eastAsia="zh-CN"/>
              </w:rPr>
              <w:t>100</w:t>
            </w:r>
            <w:r>
              <w:rPr>
                <w:rFonts w:hint="eastAsia" w:ascii="仿宋_GB2312" w:eastAsia="仿宋_GB2312" w:cs="仿宋"/>
                <w:color w:val="auto"/>
              </w:rPr>
              <w:t>%，设备完好率</w:t>
            </w:r>
            <w:r>
              <w:rPr>
                <w:rFonts w:hint="eastAsia" w:ascii="仿宋_GB2312" w:eastAsia="仿宋_GB2312" w:cs="仿宋"/>
                <w:color w:val="auto"/>
                <w:lang w:val="en-US" w:eastAsia="zh-CN"/>
              </w:rPr>
              <w:t>99.9</w:t>
            </w:r>
            <w:r>
              <w:rPr>
                <w:rFonts w:hint="eastAsia" w:ascii="仿宋_GB2312" w:eastAsia="仿宋_GB2312" w:cs="仿宋"/>
                <w:color w:val="auto"/>
              </w:rPr>
              <w:t>%</w:t>
            </w:r>
          </w:p>
        </w:tc>
      </w:tr>
    </w:tbl>
    <w:p w14:paraId="73ACEC0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根据近四年运维记录，随着智能巡检和预防性维护的逐步推广，管理规模持续扩大，巡检计划执行率始终保持100%。数据显示，隐患发现与整改数量从2022年的127处增长至2025年的168处，故障发生次数由36次变为45次，平均修复时间稳定在45分钟，设备完好率从99.8%提升至99.9%。不同环境条件下的单位均能通过执行本规范实现线缆运行可靠性的持续提升，表明本标准构建的运维管理体系具有良好的适应性和推广价值。</w:t>
      </w:r>
    </w:p>
    <w:p w14:paraId="4BE74FF6">
      <w:pPr>
        <w:pStyle w:val="35"/>
        <w:numPr>
          <w:ilvl w:val="0"/>
          <w:numId w:val="0"/>
        </w:numPr>
        <w:spacing w:beforeLines="0" w:afterLines="0" w:line="360" w:lineRule="auto"/>
        <w:ind w:firstLine="643" w:firstLineChars="200"/>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03F3699C">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本标准研制过程中无重大分歧意见。</w:t>
      </w:r>
    </w:p>
    <w:p w14:paraId="2C2745F6">
      <w:pPr>
        <w:autoSpaceDE w:val="0"/>
        <w:autoSpaceDN w:val="0"/>
        <w:adjustRightInd w:val="0"/>
        <w:spacing w:before="156" w:beforeLines="50" w:after="156" w:afterLines="50" w:line="520" w:lineRule="exact"/>
        <w:ind w:firstLine="640" w:firstLineChars="200"/>
        <w:outlineLvl w:val="0"/>
        <w:rPr>
          <w:rFonts w:eastAsia="黑体"/>
          <w:sz w:val="32"/>
          <w:szCs w:val="32"/>
        </w:rPr>
      </w:pPr>
      <w:r>
        <w:rPr>
          <w:rFonts w:hint="eastAsia" w:ascii="黑体" w:eastAsia="黑体"/>
          <w:bCs/>
          <w:sz w:val="32"/>
          <w:szCs w:val="32"/>
        </w:rPr>
        <w:t>七、</w:t>
      </w:r>
      <w:r>
        <w:rPr>
          <w:rFonts w:hint="eastAsia" w:eastAsia="黑体"/>
          <w:sz w:val="32"/>
          <w:szCs w:val="32"/>
        </w:rPr>
        <w:t>实施标准的措施</w:t>
      </w:r>
    </w:p>
    <w:p w14:paraId="79B3C25C">
      <w:pPr>
        <w:spacing w:line="500" w:lineRule="exact"/>
        <w:ind w:firstLine="562" w:firstLineChars="200"/>
        <w:rPr>
          <w:rFonts w:ascii="仿宋_GB2312" w:eastAsia="仿宋_GB2312" w:cs="仿宋_GB2312"/>
          <w:b/>
          <w:sz w:val="28"/>
          <w:szCs w:val="28"/>
        </w:rPr>
      </w:pPr>
      <w:r>
        <w:rPr>
          <w:rFonts w:hint="eastAsia" w:ascii="仿宋_GB2312" w:eastAsia="仿宋_GB2312" w:cs="仿宋_GB2312"/>
          <w:b/>
          <w:sz w:val="28"/>
          <w:szCs w:val="28"/>
        </w:rPr>
        <w:t>（一）标准报批发布后，成立标准宣贯工作组</w:t>
      </w:r>
    </w:p>
    <w:p w14:paraId="00343504">
      <w:pPr>
        <w:spacing w:line="500" w:lineRule="exact"/>
        <w:ind w:firstLine="560" w:firstLineChars="200"/>
        <w:rPr>
          <w:rFonts w:ascii="仿宋_GB2312" w:eastAsia="仿宋_GB2312"/>
          <w:sz w:val="28"/>
          <w:szCs w:val="28"/>
        </w:rPr>
      </w:pPr>
      <w:r>
        <w:rPr>
          <w:rFonts w:hint="eastAsia" w:ascii="仿宋_GB2312" w:eastAsia="仿宋_GB2312"/>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6DE29C03">
      <w:pPr>
        <w:spacing w:line="500" w:lineRule="exact"/>
        <w:ind w:firstLine="562" w:firstLineChars="200"/>
        <w:rPr>
          <w:rFonts w:ascii="仿宋_GB2312" w:eastAsia="仿宋_GB2312"/>
          <w:b/>
          <w:sz w:val="28"/>
          <w:szCs w:val="28"/>
        </w:rPr>
      </w:pPr>
      <w:r>
        <w:rPr>
          <w:rFonts w:hint="eastAsia" w:ascii="仿宋_GB2312" w:eastAsia="仿宋_GB2312"/>
          <w:b/>
          <w:sz w:val="28"/>
          <w:szCs w:val="28"/>
        </w:rPr>
        <w:t>（二）组织开展标准宣贯培训</w:t>
      </w:r>
    </w:p>
    <w:p w14:paraId="29881CD3">
      <w:pPr>
        <w:spacing w:line="500" w:lineRule="exact"/>
        <w:ind w:firstLine="560" w:firstLineChars="200"/>
        <w:rPr>
          <w:rFonts w:ascii="仿宋_GB2312" w:eastAsia="仿宋_GB2312"/>
          <w:sz w:val="28"/>
          <w:szCs w:val="28"/>
        </w:rPr>
      </w:pPr>
      <w:r>
        <w:rPr>
          <w:rFonts w:hint="eastAsia" w:ascii="仿宋_GB2312" w:eastAsia="仿宋_GB2312"/>
          <w:sz w:val="28"/>
          <w:szCs w:val="28"/>
        </w:rPr>
        <w:t>标准发布实施后，标准宣贯工作小组制作标准解读宣贯培训PPT课件和标准核心技术明白书，并按标准宣贯培训计划深入各相关机构，对相关人员开展标准宣贯培训，对标准进行逐条解读，让相关人员掌握标准核心技术内容，助力标准实施落地，推动</w:t>
      </w:r>
      <w:r>
        <w:rPr>
          <w:rFonts w:hint="eastAsia" w:ascii="仿宋_GB2312" w:eastAsia="仿宋_GB2312"/>
          <w:sz w:val="28"/>
          <w:szCs w:val="28"/>
          <w:lang w:eastAsia="zh-CN"/>
        </w:rPr>
        <w:t>高速公路桥隧电力线缆运维管理</w:t>
      </w:r>
      <w:r>
        <w:rPr>
          <w:rFonts w:hint="eastAsia" w:ascii="仿宋_GB2312" w:eastAsia="仿宋_GB2312"/>
          <w:sz w:val="28"/>
          <w:szCs w:val="28"/>
        </w:rPr>
        <w:t>高质量发展。</w:t>
      </w:r>
    </w:p>
    <w:p w14:paraId="65C68492">
      <w:pPr>
        <w:spacing w:line="500" w:lineRule="exact"/>
        <w:ind w:firstLine="562" w:firstLineChars="200"/>
        <w:rPr>
          <w:rFonts w:ascii="仿宋_GB2312" w:eastAsia="仿宋_GB2312"/>
          <w:b/>
          <w:sz w:val="28"/>
          <w:szCs w:val="28"/>
        </w:rPr>
      </w:pPr>
      <w:r>
        <w:rPr>
          <w:rFonts w:hint="eastAsia" w:ascii="仿宋_GB2312" w:eastAsia="仿宋_GB2312"/>
          <w:b/>
          <w:sz w:val="28"/>
          <w:szCs w:val="28"/>
        </w:rPr>
        <w:t>（三）开展标准实施交流会，收集标准实施反馈信息</w:t>
      </w:r>
    </w:p>
    <w:p w14:paraId="0BD8BE8B">
      <w:pPr>
        <w:spacing w:line="500" w:lineRule="exact"/>
        <w:ind w:firstLine="560" w:firstLineChars="200"/>
        <w:rPr>
          <w:rFonts w:ascii="仿宋_GB2312" w:eastAsia="仿宋_GB2312"/>
          <w:sz w:val="28"/>
          <w:szCs w:val="28"/>
        </w:rPr>
      </w:pPr>
      <w:r>
        <w:rPr>
          <w:rFonts w:hint="eastAsia" w:ascii="仿宋_GB2312" w:eastAsia="仿宋_GB2312"/>
          <w:sz w:val="28"/>
          <w:szCs w:val="28"/>
        </w:rPr>
        <w:t>标准起草小组深入各相关机构组织相关人员召开标准实施交流会，听取标准实施过程中存在的问题并做好记录和解答，对存在的问题组织专家团队进行研讨，为标准的复审修订做准备。</w:t>
      </w:r>
    </w:p>
    <w:p w14:paraId="15128462">
      <w:pPr>
        <w:spacing w:line="500" w:lineRule="exact"/>
        <w:ind w:firstLine="562" w:firstLineChars="200"/>
        <w:rPr>
          <w:rFonts w:ascii="仿宋_GB2312" w:eastAsia="仿宋_GB2312"/>
          <w:b/>
          <w:sz w:val="28"/>
          <w:szCs w:val="28"/>
        </w:rPr>
      </w:pPr>
      <w:r>
        <w:rPr>
          <w:rFonts w:hint="eastAsia" w:ascii="仿宋_GB2312" w:eastAsia="仿宋_GB2312"/>
          <w:b/>
          <w:sz w:val="28"/>
          <w:szCs w:val="28"/>
        </w:rPr>
        <w:t>（四）开展标准实施效果评估</w:t>
      </w:r>
    </w:p>
    <w:p w14:paraId="026D6BB0">
      <w:pPr>
        <w:spacing w:line="500" w:lineRule="exact"/>
        <w:ind w:firstLine="560" w:firstLineChars="200"/>
        <w:rPr>
          <w:rFonts w:ascii="仿宋_GB2312" w:eastAsia="仿宋_GB2312"/>
          <w:sz w:val="28"/>
          <w:szCs w:val="28"/>
        </w:rPr>
      </w:pPr>
      <w:r>
        <w:rPr>
          <w:rFonts w:hint="eastAsia" w:ascii="仿宋_GB2312" w:eastAsia="仿宋_GB2312"/>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AC8E860">
      <w:pPr>
        <w:spacing w:before="240" w:after="60" w:line="520" w:lineRule="exact"/>
        <w:ind w:firstLine="640" w:firstLineChars="200"/>
        <w:outlineLvl w:val="0"/>
        <w:rPr>
          <w:rFonts w:ascii="黑体" w:eastAsia="黑体"/>
          <w:bCs/>
          <w:sz w:val="32"/>
          <w:szCs w:val="32"/>
        </w:rPr>
      </w:pPr>
      <w:r>
        <w:rPr>
          <w:rFonts w:hint="eastAsia" w:ascii="黑体" w:eastAsia="黑体"/>
          <w:bCs/>
          <w:sz w:val="32"/>
          <w:szCs w:val="32"/>
        </w:rPr>
        <w:t>八、其他应当说明的事项</w:t>
      </w:r>
    </w:p>
    <w:p w14:paraId="48876F83">
      <w:pPr>
        <w:spacing w:line="520" w:lineRule="exact"/>
        <w:ind w:firstLine="560" w:firstLineChars="200"/>
        <w:rPr>
          <w:rFonts w:ascii="仿宋_GB2312" w:eastAsia="仿宋_GB2312"/>
          <w:sz w:val="28"/>
          <w:szCs w:val="28"/>
        </w:rPr>
      </w:pPr>
      <w:r>
        <w:rPr>
          <w:rFonts w:hint="eastAsia" w:ascii="仿宋_GB2312" w:eastAsia="仿宋_GB2312"/>
          <w:sz w:val="28"/>
          <w:szCs w:val="28"/>
        </w:rPr>
        <w:t>无。</w:t>
      </w:r>
    </w:p>
    <w:p w14:paraId="0ECDCDC2">
      <w:pPr>
        <w:autoSpaceDE w:val="0"/>
        <w:autoSpaceDN w:val="0"/>
        <w:adjustRightInd w:val="0"/>
        <w:spacing w:before="156" w:beforeLines="50" w:after="156" w:afterLines="50" w:line="520" w:lineRule="exact"/>
        <w:ind w:firstLine="640"/>
        <w:outlineLvl w:val="0"/>
        <w:rPr>
          <w:rFonts w:eastAsia="黑体"/>
          <w:sz w:val="32"/>
          <w:szCs w:val="32"/>
        </w:rPr>
      </w:pPr>
      <w:r>
        <w:rPr>
          <w:rFonts w:hint="eastAsia" w:eastAsia="黑体"/>
          <w:sz w:val="32"/>
          <w:szCs w:val="32"/>
        </w:rPr>
        <w:t>九、自我承诺</w:t>
      </w:r>
    </w:p>
    <w:p w14:paraId="085B44CD">
      <w:pPr>
        <w:spacing w:line="520" w:lineRule="exact"/>
        <w:ind w:firstLine="560" w:firstLineChars="200"/>
        <w:rPr>
          <w:rFonts w:ascii="仿宋_GB2312" w:eastAsia="仿宋_GB2312"/>
          <w:sz w:val="28"/>
          <w:szCs w:val="28"/>
        </w:rPr>
      </w:pPr>
      <w:r>
        <w:rPr>
          <w:rFonts w:hint="eastAsia" w:ascii="仿宋_GB2312" w:eastAsia="仿宋_GB2312"/>
          <w:sz w:val="28"/>
          <w:szCs w:val="28"/>
        </w:rPr>
        <w:t>该标准的内容符合国家相关法律法规，技术要求不低于强制性国家标准的相关技术要求，与相关的国家、行业推荐性标准协调一致，标准的编写符合GB/T 1.1-2020的要求。</w:t>
      </w:r>
    </w:p>
    <w:p w14:paraId="306B1E3A">
      <w:pPr>
        <w:pStyle w:val="26"/>
        <w:rPr>
          <w:rFonts w:ascii="仿宋_GB2312" w:eastAsia="仿宋_GB2312"/>
          <w:sz w:val="28"/>
          <w:szCs w:val="28"/>
        </w:rPr>
      </w:pPr>
    </w:p>
    <w:p w14:paraId="187361ED">
      <w:pPr>
        <w:keepNext w:val="0"/>
        <w:keepLines w:val="0"/>
        <w:pageBreakBefore w:val="0"/>
        <w:widowControl w:val="0"/>
        <w:kinsoku/>
        <w:wordWrap/>
        <w:overflowPunct/>
        <w:topLinePunct w:val="0"/>
        <w:autoSpaceDE/>
        <w:autoSpaceDN/>
        <w:bidi w:val="0"/>
        <w:adjustRightInd/>
        <w:snapToGrid/>
        <w:spacing w:before="240" w:after="60" w:line="520" w:lineRule="exact"/>
        <w:ind w:firstLine="2240" w:firstLineChars="800"/>
        <w:textAlignment w:val="auto"/>
        <w:outlineLvl w:val="0"/>
        <w:rPr>
          <w:rFonts w:ascii="仿宋_GB2312" w:eastAsia="仿宋_GB2312"/>
          <w:sz w:val="28"/>
          <w:szCs w:val="28"/>
        </w:rPr>
      </w:pPr>
      <w:r>
        <w:rPr>
          <w:rFonts w:hint="eastAsia" w:ascii="仿宋_GB2312" w:eastAsia="仿宋_GB2312"/>
          <w:sz w:val="28"/>
          <w:szCs w:val="28"/>
        </w:rPr>
        <w:t>团体标准《</w:t>
      </w:r>
      <w:r>
        <w:rPr>
          <w:rFonts w:hint="eastAsia" w:ascii="仿宋_GB2312" w:eastAsia="仿宋_GB2312"/>
          <w:sz w:val="28"/>
          <w:szCs w:val="28"/>
          <w:lang w:eastAsia="zh-CN"/>
        </w:rPr>
        <w:t>高速公路桥隧电力线缆运维管理规范</w:t>
      </w:r>
      <w:r>
        <w:rPr>
          <w:rFonts w:hint="eastAsia" w:ascii="仿宋_GB2312" w:eastAsia="仿宋_GB2312"/>
          <w:sz w:val="28"/>
          <w:szCs w:val="28"/>
        </w:rPr>
        <w:t>》</w:t>
      </w:r>
    </w:p>
    <w:p w14:paraId="1D80862F">
      <w:pPr>
        <w:spacing w:line="520" w:lineRule="exact"/>
        <w:ind w:right="1120"/>
        <w:jc w:val="center"/>
        <w:rPr>
          <w:rFonts w:ascii="仿宋_GB2312" w:eastAsia="仿宋_GB2312"/>
          <w:sz w:val="28"/>
          <w:szCs w:val="28"/>
        </w:rPr>
      </w:pPr>
      <w:r>
        <w:rPr>
          <w:rFonts w:hint="eastAsia" w:ascii="仿宋_GB2312" w:eastAsia="仿宋_GB2312"/>
          <w:sz w:val="28"/>
          <w:szCs w:val="28"/>
        </w:rPr>
        <w:t xml:space="preserve">                   </w:t>
      </w:r>
      <w:r>
        <w:rPr>
          <w:rFonts w:hint="eastAsia" w:ascii="仿宋_GB2312" w:eastAsia="仿宋_GB2312"/>
          <w:sz w:val="28"/>
          <w:szCs w:val="28"/>
          <w:lang w:val="en-US" w:eastAsia="zh-CN"/>
        </w:rPr>
        <w:t xml:space="preserve">     </w:t>
      </w:r>
      <w:r>
        <w:rPr>
          <w:rFonts w:hint="eastAsia" w:ascii="仿宋_GB2312" w:eastAsia="仿宋_GB2312"/>
          <w:sz w:val="28"/>
          <w:szCs w:val="28"/>
        </w:rPr>
        <w:t>标准编制工作组</w:t>
      </w:r>
    </w:p>
    <w:p w14:paraId="3251FFC4">
      <w:pPr>
        <w:spacing w:line="520" w:lineRule="exact"/>
        <w:ind w:firstLine="640" w:firstLineChars="200"/>
        <w:rPr>
          <w:rFonts w:ascii="仿宋_GB2312" w:eastAsia="仿宋_GB2312"/>
          <w:sz w:val="28"/>
          <w:szCs w:val="28"/>
        </w:rPr>
      </w:pPr>
      <w:r>
        <w:rPr>
          <w:rFonts w:hint="eastAsia" w:ascii="仿宋_GB2312" w:eastAsia="仿宋_GB2312"/>
          <w:sz w:val="32"/>
          <w:szCs w:val="28"/>
        </w:rPr>
        <w:t xml:space="preserve">                   </w:t>
      </w:r>
      <w:r>
        <w:rPr>
          <w:rFonts w:hint="eastAsia" w:ascii="仿宋_GB2312" w:eastAsia="仿宋_GB2312"/>
          <w:sz w:val="32"/>
          <w:szCs w:val="28"/>
          <w:lang w:val="en-US" w:eastAsia="zh-CN"/>
        </w:rPr>
        <w:t xml:space="preserve">  </w:t>
      </w:r>
      <w:r>
        <w:rPr>
          <w:rFonts w:hint="eastAsia" w:ascii="仿宋_GB2312" w:eastAsia="仿宋_GB2312"/>
          <w:sz w:val="32"/>
          <w:szCs w:val="28"/>
        </w:rPr>
        <w:t xml:space="preserve">   </w:t>
      </w:r>
      <w:r>
        <w:rPr>
          <w:rFonts w:hint="eastAsia" w:ascii="仿宋_GB2312" w:eastAsia="仿宋_GB2312"/>
          <w:sz w:val="28"/>
          <w:szCs w:val="28"/>
        </w:rPr>
        <w:t>2026年</w:t>
      </w:r>
      <w:r>
        <w:rPr>
          <w:rFonts w:hint="eastAsia" w:ascii="仿宋_GB2312" w:eastAsia="仿宋_GB2312"/>
          <w:sz w:val="28"/>
          <w:szCs w:val="28"/>
          <w:lang w:val="en-US" w:eastAsia="zh-CN"/>
        </w:rPr>
        <w:t>3</w:t>
      </w:r>
      <w:r>
        <w:rPr>
          <w:rFonts w:hint="eastAsia" w:ascii="仿宋_GB2312" w:eastAsia="仿宋_GB2312"/>
          <w:sz w:val="28"/>
          <w:szCs w:val="28"/>
        </w:rPr>
        <w:t>月</w:t>
      </w:r>
      <w:r>
        <w:rPr>
          <w:rFonts w:hint="eastAsia" w:ascii="仿宋_GB2312" w:eastAsia="仿宋_GB2312"/>
          <w:sz w:val="28"/>
          <w:szCs w:val="28"/>
          <w:lang w:val="en-US" w:eastAsia="zh-CN"/>
        </w:rPr>
        <w:t>24</w:t>
      </w:r>
      <w:r>
        <w:rPr>
          <w:rFonts w:hint="eastAsia" w:ascii="仿宋_GB2312" w:eastAsia="仿宋_GB2312"/>
          <w:sz w:val="28"/>
          <w:szCs w:val="28"/>
        </w:rPr>
        <w:t>日</w:t>
      </w:r>
    </w:p>
    <w:sectPr>
      <w:footerReference r:id="rId3" w:type="default"/>
      <w:pgSz w:w="11906" w:h="16838"/>
      <w:pgMar w:top="1474" w:right="1474" w:bottom="147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71521C9-9BE6-43D2-BC5D-99D666635F0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C0E4FEA2-4AD8-4C26-A36B-1C9DBB455B09}"/>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auto"/>
    <w:pitch w:val="default"/>
    <w:sig w:usb0="00000001" w:usb1="080E0000" w:usb2="00000000" w:usb3="00000000" w:csb0="00040000" w:csb1="00000000"/>
    <w:embedRegular r:id="rId3" w:fontKey="{4FEBBAA6-268D-4E30-BA54-AE341B0F8C53}"/>
  </w:font>
  <w:font w:name="微软雅黑">
    <w:panose1 w:val="020B0503020204020204"/>
    <w:charset w:val="86"/>
    <w:family w:val="swiss"/>
    <w:pitch w:val="default"/>
    <w:sig w:usb0="80000287" w:usb1="2ACF3C50" w:usb2="00000016" w:usb3="00000000" w:csb0="0004001F" w:csb1="00000000"/>
    <w:embedRegular r:id="rId4" w:fontKey="{A2D6EA82-ED5F-4919-BE6D-78C2EB1770C4}"/>
  </w:font>
  <w:font w:name="仿宋_GB2312">
    <w:panose1 w:val="02010609030101010101"/>
    <w:charset w:val="86"/>
    <w:family w:val="modern"/>
    <w:pitch w:val="default"/>
    <w:sig w:usb0="00000001" w:usb1="080E0000" w:usb2="00000000" w:usb3="00000000" w:csb0="00040000" w:csb1="00000000"/>
    <w:embedRegular r:id="rId5" w:fontKey="{9C3015C5-A782-4256-BF86-7E0EB4951D46}"/>
  </w:font>
  <w:font w:name="仿宋">
    <w:panose1 w:val="02010609060101010101"/>
    <w:charset w:val="86"/>
    <w:family w:val="modern"/>
    <w:pitch w:val="default"/>
    <w:sig w:usb0="800002BF" w:usb1="38CF7CFA" w:usb2="00000016" w:usb3="00000000" w:csb0="00040001" w:csb1="00000000"/>
    <w:embedRegular r:id="rId6" w:fontKey="{EB6DEF2B-DC06-4FBC-889A-F78B0381299C}"/>
  </w:font>
  <w:font w:name="@仿宋_GB2312">
    <w:panose1 w:val="02010609030101010101"/>
    <w:charset w:val="86"/>
    <w:family w:val="auto"/>
    <w:pitch w:val="fixed"/>
    <w:sig w:usb0="00000001" w:usb1="080E0000" w:usb2="00000000" w:usb3="00000000" w:csb0="00040000" w:csb1="00000000"/>
  </w:font>
  <w:font w:name="Cambria Math">
    <w:panose1 w:val="02040503050406030204"/>
    <w:charset w:val="00"/>
    <w:family w:val="auto"/>
    <w:pitch w:val="variable"/>
    <w:sig w:usb0="E00006FF" w:usb1="420024FF" w:usb2="02000000" w:usb3="00000000" w:csb0="2000019F" w:csb1="00000000"/>
  </w:font>
  <w:font w:name="@宋体">
    <w:panose1 w:val="02010600030101010101"/>
    <w:charset w:val="86"/>
    <w:family w:val="auto"/>
    <w:pitch w:val="variable"/>
    <w:sig w:usb0="000002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E1AE3">
    <w:pPr>
      <w:pStyle w:val="9"/>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5E0811C8">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5E0811C8">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4"/>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A333FDA2"/>
    <w:multiLevelType w:val="multilevel"/>
    <w:tmpl w:val="A333FDA2"/>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pStyle w:val="60"/>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B16E2ACE"/>
    <w:multiLevelType w:val="multilevel"/>
    <w:tmpl w:val="B16E2ACE"/>
    <w:lvl w:ilvl="0" w:tentative="0">
      <w:start w:val="1"/>
      <w:numFmt w:val="upperLetter"/>
      <w:suff w:val="nothing"/>
      <w:lvlText w:val="附录%1"/>
      <w:lvlJc w:val="left"/>
      <w:pPr>
        <w:ind w:left="0" w:firstLine="0"/>
      </w:pPr>
      <w:rPr>
        <w:spacing w:val="100"/>
      </w:rPr>
    </w:lvl>
    <w:lvl w:ilvl="1" w:tentative="0">
      <w:start w:val="1"/>
      <w:numFmt w:val="decimal"/>
      <w:pStyle w:val="65"/>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pPr>
      <w:rPr>
        <w:rFonts w:hint="eastAsia" w:ascii="黑体" w:hAnsi="Times New Roman" w:eastAsia="黑体" w:cs="黑体"/>
        <w:b w:val="0"/>
        <w:i w:val="0"/>
        <w:sz w:val="21"/>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BA7B8511"/>
    <w:multiLevelType w:val="multilevel"/>
    <w:tmpl w:val="BA7B8511"/>
    <w:lvl w:ilvl="0" w:tentative="0">
      <w:start w:val="1"/>
      <w:numFmt w:val="decimal"/>
      <w:pStyle w:val="61"/>
      <w:suff w:val="nothing"/>
      <w:lvlText w:val="注%1："/>
      <w:lvlJc w:val="left"/>
      <w:pPr>
        <w:ind w:left="811" w:hanging="448"/>
      </w:pPr>
      <w:rPr>
        <w:rFonts w:hint="eastAsia" w:ascii="黑体" w:hAnsi="Times New Roman" w:eastAsia="黑体" w:cs="黑体"/>
        <w:b w:val="0"/>
        <w:i w:val="0"/>
        <w:sz w:val="18"/>
      </w:rPr>
    </w:lvl>
    <w:lvl w:ilvl="1" w:tentative="0">
      <w:start w:val="1"/>
      <w:numFmt w:val="lowerLetter"/>
      <w:lvlText w:val="%2)"/>
      <w:lvlJc w:val="left"/>
      <w:pPr>
        <w:tabs>
          <w:tab w:val="left" w:pos="0"/>
        </w:tabs>
        <w:ind w:left="992" w:hanging="629"/>
      </w:pPr>
    </w:lvl>
    <w:lvl w:ilvl="2" w:tentative="0">
      <w:start w:val="1"/>
      <w:numFmt w:val="lowerRoman"/>
      <w:lvlText w:val="%3."/>
      <w:lvlJc w:val="right"/>
      <w:pPr>
        <w:tabs>
          <w:tab w:val="left" w:pos="0"/>
        </w:tabs>
        <w:ind w:left="992" w:hanging="629"/>
      </w:pPr>
    </w:lvl>
    <w:lvl w:ilvl="3" w:tentative="0">
      <w:start w:val="1"/>
      <w:numFmt w:val="decimal"/>
      <w:lvlText w:val="%4."/>
      <w:lvlJc w:val="left"/>
      <w:pPr>
        <w:tabs>
          <w:tab w:val="left" w:pos="0"/>
        </w:tabs>
        <w:ind w:left="992" w:hanging="629"/>
      </w:pPr>
    </w:lvl>
    <w:lvl w:ilvl="4" w:tentative="0">
      <w:start w:val="1"/>
      <w:numFmt w:val="lowerLetter"/>
      <w:lvlText w:val="%5)"/>
      <w:lvlJc w:val="left"/>
      <w:pPr>
        <w:tabs>
          <w:tab w:val="left" w:pos="0"/>
        </w:tabs>
        <w:ind w:left="992" w:hanging="629"/>
      </w:pPr>
    </w:lvl>
    <w:lvl w:ilvl="5" w:tentative="0">
      <w:start w:val="1"/>
      <w:numFmt w:val="lowerRoman"/>
      <w:lvlText w:val="%6."/>
      <w:lvlJc w:val="right"/>
      <w:pPr>
        <w:tabs>
          <w:tab w:val="left" w:pos="0"/>
        </w:tabs>
        <w:ind w:left="992" w:hanging="629"/>
      </w:pPr>
    </w:lvl>
    <w:lvl w:ilvl="6" w:tentative="0">
      <w:start w:val="1"/>
      <w:numFmt w:val="decimal"/>
      <w:lvlText w:val="%7."/>
      <w:lvlJc w:val="left"/>
      <w:pPr>
        <w:tabs>
          <w:tab w:val="left" w:pos="0"/>
        </w:tabs>
        <w:ind w:left="992" w:hanging="629"/>
      </w:pPr>
    </w:lvl>
    <w:lvl w:ilvl="7" w:tentative="0">
      <w:start w:val="1"/>
      <w:numFmt w:val="lowerLetter"/>
      <w:lvlText w:val="%8)"/>
      <w:lvlJc w:val="left"/>
      <w:pPr>
        <w:tabs>
          <w:tab w:val="left" w:pos="0"/>
        </w:tabs>
        <w:ind w:left="992" w:hanging="629"/>
      </w:pPr>
    </w:lvl>
    <w:lvl w:ilvl="8" w:tentative="0">
      <w:start w:val="1"/>
      <w:numFmt w:val="lowerRoman"/>
      <w:lvlText w:val="%9."/>
      <w:lvlJc w:val="right"/>
      <w:pPr>
        <w:tabs>
          <w:tab w:val="left" w:pos="0"/>
        </w:tabs>
        <w:ind w:left="992" w:hanging="629"/>
      </w:pPr>
    </w:lvl>
  </w:abstractNum>
  <w:abstractNum w:abstractNumId="4">
    <w:nsid w:val="F947AA72"/>
    <w:multiLevelType w:val="multilevel"/>
    <w:tmpl w:val="F947AA72"/>
    <w:lvl w:ilvl="0" w:tentative="0">
      <w:start w:val="1"/>
      <w:numFmt w:val="upperLetter"/>
      <w:suff w:val="space"/>
      <w:lvlText w:val="%1"/>
      <w:lvlJc w:val="left"/>
      <w:pPr>
        <w:ind w:left="425" w:hanging="425"/>
      </w:pPr>
    </w:lvl>
    <w:lvl w:ilvl="1" w:tentative="0">
      <w:start w:val="1"/>
      <w:numFmt w:val="decimal"/>
      <w:pStyle w:val="63"/>
      <w:suff w:val="space"/>
      <w:lvlText w:val="表%1.%2"/>
      <w:lvlJc w:val="center"/>
      <w:pPr>
        <w:ind w:left="0" w:firstLine="0"/>
      </w:pPr>
      <w:rPr>
        <w:rFonts w:hint="eastAsia" w:ascii="黑体" w:hAnsi="Times New Roman" w:eastAsia="黑体" w:cs="黑体"/>
        <w:sz w:val="21"/>
      </w:r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5"/>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5">
    <w:nsid w:val="0FFFFF7E"/>
    <w:multiLevelType w:val="singleLevel"/>
    <w:tmpl w:val="0FFFFF7E"/>
    <w:lvl w:ilvl="0" w:tentative="0">
      <w:start w:val="1"/>
      <w:numFmt w:val="decimal"/>
      <w:lvlText w:val="%1."/>
      <w:lvlJc w:val="left"/>
      <w:pPr>
        <w:tabs>
          <w:tab w:val="left" w:pos="1200"/>
        </w:tabs>
        <w:ind w:left="1200" w:hanging="360"/>
      </w:pPr>
    </w:lvl>
  </w:abstractNum>
  <w:abstractNum w:abstractNumId="6">
    <w:nsid w:val="0FFFFF7F"/>
    <w:multiLevelType w:val="singleLevel"/>
    <w:tmpl w:val="0FFFFF7F"/>
    <w:lvl w:ilvl="0" w:tentative="0">
      <w:start w:val="1"/>
      <w:numFmt w:val="decimal"/>
      <w:lvlText w:val="%1."/>
      <w:lvlJc w:val="left"/>
      <w:pPr>
        <w:tabs>
          <w:tab w:val="left" w:pos="780"/>
        </w:tabs>
        <w:ind w:left="780" w:hanging="360"/>
      </w:pPr>
    </w:lvl>
  </w:abstractNum>
  <w:abstractNum w:abstractNumId="7">
    <w:nsid w:val="2C5917C3"/>
    <w:multiLevelType w:val="multilevel"/>
    <w:tmpl w:val="2C5917C3"/>
    <w:lvl w:ilvl="0" w:tentative="0">
      <w:start w:val="1"/>
      <w:numFmt w:val="none"/>
      <w:pStyle w:val="58"/>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8">
    <w:nsid w:val="44C50F90"/>
    <w:multiLevelType w:val="multilevel"/>
    <w:tmpl w:val="44C50F90"/>
    <w:lvl w:ilvl="0" w:tentative="0">
      <w:start w:val="1"/>
      <w:numFmt w:val="lowerLetter"/>
      <w:pStyle w:val="53"/>
      <w:lvlText w:val="%1)"/>
      <w:lvlJc w:val="left"/>
      <w:pPr>
        <w:tabs>
          <w:tab w:val="left" w:pos="851"/>
        </w:tabs>
        <w:ind w:left="851" w:hanging="426"/>
      </w:pPr>
      <w:rPr>
        <w:rFonts w:hint="eastAsia" w:ascii="宋体" w:hAnsi="Times New Roman" w:eastAsia="宋体"/>
        <w:sz w:val="21"/>
      </w:rPr>
    </w:lvl>
    <w:lvl w:ilvl="1" w:tentative="0">
      <w:start w:val="1"/>
      <w:numFmt w:val="decimal"/>
      <w:pStyle w:val="51"/>
      <w:lvlText w:val="%2)"/>
      <w:lvlJc w:val="left"/>
      <w:pPr>
        <w:tabs>
          <w:tab w:val="left" w:pos="1276"/>
        </w:tabs>
        <w:ind w:left="1276" w:hanging="425"/>
      </w:pPr>
      <w:rPr>
        <w:rFonts w:hint="eastAsia" w:ascii="宋体" w:hAnsi="Times New Roman" w:eastAsia="宋体"/>
        <w:sz w:val="21"/>
      </w:rPr>
    </w:lvl>
    <w:lvl w:ilvl="2" w:tentative="0">
      <w:start w:val="1"/>
      <w:numFmt w:val="decimal"/>
      <w:pStyle w:val="52"/>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9">
    <w:nsid w:val="5A9B6960"/>
    <w:multiLevelType w:val="multilevel"/>
    <w:tmpl w:val="5A9B6960"/>
    <w:lvl w:ilvl="0" w:tentative="0">
      <w:start w:val="1"/>
      <w:numFmt w:val="none"/>
      <w:pStyle w:val="41"/>
      <w:suff w:val="nothing"/>
      <w:lvlText w:val="%1"/>
      <w:legacy w:legacy="1" w:legacySpace="0" w:legacyIndent="0"/>
      <w:lvlJc w:val="left"/>
      <w:pPr>
        <w:ind w:left="0" w:firstLine="0"/>
      </w:pPr>
      <w:rPr>
        <w:rFonts w:hint="eastAsia"/>
      </w:rPr>
    </w:lvl>
    <w:lvl w:ilvl="1" w:tentative="0">
      <w:start w:val="1"/>
      <w:numFmt w:val="decimal"/>
      <w:pStyle w:val="35"/>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7"/>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43"/>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42"/>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40"/>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num w:numId="1">
    <w:abstractNumId w:val="9"/>
  </w:num>
  <w:num w:numId="2">
    <w:abstractNumId w:val="0"/>
  </w:num>
  <w:num w:numId="3">
    <w:abstractNumId w:val="6"/>
  </w:num>
  <w:num w:numId="4">
    <w:abstractNumId w:val="5"/>
  </w:num>
  <w:num w:numId="5">
    <w:abstractNumId w:val="8"/>
  </w:num>
  <w:num w:numId="6">
    <w:abstractNumId w:val="7"/>
  </w:num>
  <w:num w:numId="7">
    <w:abstractNumId w:val="1"/>
  </w:num>
  <w:num w:numId="8">
    <w:abstractNumId w:val="3"/>
  </w:num>
  <w:num w:numId="9">
    <w:abstractNumId w:val="4"/>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U0OWNhMGUyYzc2MTI5ZWY2NzM4MTVkMDAwODg0YzMifQ=="/>
  </w:docVars>
  <w:rsids>
    <w:rsidRoot w:val="000D75AA"/>
    <w:rsid w:val="000068A2"/>
    <w:rsid w:val="00014983"/>
    <w:rsid w:val="000178C8"/>
    <w:rsid w:val="00022F61"/>
    <w:rsid w:val="00043782"/>
    <w:rsid w:val="00051BC1"/>
    <w:rsid w:val="00055442"/>
    <w:rsid w:val="000678FF"/>
    <w:rsid w:val="00072103"/>
    <w:rsid w:val="00075653"/>
    <w:rsid w:val="0008200B"/>
    <w:rsid w:val="00082613"/>
    <w:rsid w:val="000A2817"/>
    <w:rsid w:val="000C517B"/>
    <w:rsid w:val="000D75AA"/>
    <w:rsid w:val="000E53EA"/>
    <w:rsid w:val="001133E6"/>
    <w:rsid w:val="00142D19"/>
    <w:rsid w:val="001655CC"/>
    <w:rsid w:val="0018012C"/>
    <w:rsid w:val="001821C9"/>
    <w:rsid w:val="001A7570"/>
    <w:rsid w:val="001C58D4"/>
    <w:rsid w:val="001D3156"/>
    <w:rsid w:val="001D4C84"/>
    <w:rsid w:val="001E2D73"/>
    <w:rsid w:val="001E6087"/>
    <w:rsid w:val="0020127F"/>
    <w:rsid w:val="00205352"/>
    <w:rsid w:val="002210B4"/>
    <w:rsid w:val="0022236C"/>
    <w:rsid w:val="002227B6"/>
    <w:rsid w:val="002324B6"/>
    <w:rsid w:val="00234F7D"/>
    <w:rsid w:val="00236909"/>
    <w:rsid w:val="00236EB4"/>
    <w:rsid w:val="00241F8A"/>
    <w:rsid w:val="00281F39"/>
    <w:rsid w:val="0028500C"/>
    <w:rsid w:val="002879F6"/>
    <w:rsid w:val="002905CF"/>
    <w:rsid w:val="00292F73"/>
    <w:rsid w:val="0029554A"/>
    <w:rsid w:val="002A3479"/>
    <w:rsid w:val="002B7C92"/>
    <w:rsid w:val="002D530A"/>
    <w:rsid w:val="002E357A"/>
    <w:rsid w:val="002F2059"/>
    <w:rsid w:val="00301664"/>
    <w:rsid w:val="00321E92"/>
    <w:rsid w:val="003223ED"/>
    <w:rsid w:val="003259AF"/>
    <w:rsid w:val="003332BA"/>
    <w:rsid w:val="00337000"/>
    <w:rsid w:val="00340D9B"/>
    <w:rsid w:val="003421C0"/>
    <w:rsid w:val="003517E7"/>
    <w:rsid w:val="00372E66"/>
    <w:rsid w:val="00375933"/>
    <w:rsid w:val="00382E35"/>
    <w:rsid w:val="00396F2C"/>
    <w:rsid w:val="003D06F2"/>
    <w:rsid w:val="003D485E"/>
    <w:rsid w:val="00426DC5"/>
    <w:rsid w:val="004373E9"/>
    <w:rsid w:val="0044036C"/>
    <w:rsid w:val="0044065E"/>
    <w:rsid w:val="004805DB"/>
    <w:rsid w:val="0048511D"/>
    <w:rsid w:val="004A75FF"/>
    <w:rsid w:val="004B4D68"/>
    <w:rsid w:val="004F29B4"/>
    <w:rsid w:val="00515B82"/>
    <w:rsid w:val="0051755E"/>
    <w:rsid w:val="005244B1"/>
    <w:rsid w:val="00533B2A"/>
    <w:rsid w:val="00554B7D"/>
    <w:rsid w:val="00564A0C"/>
    <w:rsid w:val="005A1D9D"/>
    <w:rsid w:val="005C6C34"/>
    <w:rsid w:val="005D6C77"/>
    <w:rsid w:val="005E3C13"/>
    <w:rsid w:val="005E7B33"/>
    <w:rsid w:val="005F1668"/>
    <w:rsid w:val="005F2FD2"/>
    <w:rsid w:val="005F4961"/>
    <w:rsid w:val="00617B08"/>
    <w:rsid w:val="00627AB4"/>
    <w:rsid w:val="006335ED"/>
    <w:rsid w:val="006343EC"/>
    <w:rsid w:val="0063539D"/>
    <w:rsid w:val="006360BD"/>
    <w:rsid w:val="00636EA7"/>
    <w:rsid w:val="00637F53"/>
    <w:rsid w:val="006511A8"/>
    <w:rsid w:val="0067378F"/>
    <w:rsid w:val="00691000"/>
    <w:rsid w:val="006B0BA0"/>
    <w:rsid w:val="006B12C0"/>
    <w:rsid w:val="006F2543"/>
    <w:rsid w:val="00714DDE"/>
    <w:rsid w:val="00727452"/>
    <w:rsid w:val="0074491A"/>
    <w:rsid w:val="007557E4"/>
    <w:rsid w:val="00756356"/>
    <w:rsid w:val="007643FB"/>
    <w:rsid w:val="00774434"/>
    <w:rsid w:val="007756AB"/>
    <w:rsid w:val="00781D6C"/>
    <w:rsid w:val="00784DBC"/>
    <w:rsid w:val="007A149B"/>
    <w:rsid w:val="007A3AAF"/>
    <w:rsid w:val="007B46C1"/>
    <w:rsid w:val="007C244C"/>
    <w:rsid w:val="007E6054"/>
    <w:rsid w:val="007F29ED"/>
    <w:rsid w:val="00801A7F"/>
    <w:rsid w:val="00814260"/>
    <w:rsid w:val="00817F67"/>
    <w:rsid w:val="008247C4"/>
    <w:rsid w:val="00826BFA"/>
    <w:rsid w:val="00853F5C"/>
    <w:rsid w:val="008572EE"/>
    <w:rsid w:val="00874BB5"/>
    <w:rsid w:val="008779C2"/>
    <w:rsid w:val="00880107"/>
    <w:rsid w:val="00884366"/>
    <w:rsid w:val="00887632"/>
    <w:rsid w:val="00895F4A"/>
    <w:rsid w:val="008973E6"/>
    <w:rsid w:val="008B1DEA"/>
    <w:rsid w:val="008B6B5F"/>
    <w:rsid w:val="008E1EB5"/>
    <w:rsid w:val="00926E1B"/>
    <w:rsid w:val="00932BA3"/>
    <w:rsid w:val="00947EBA"/>
    <w:rsid w:val="009718CC"/>
    <w:rsid w:val="009A4141"/>
    <w:rsid w:val="009B7918"/>
    <w:rsid w:val="009E3161"/>
    <w:rsid w:val="00A06B7F"/>
    <w:rsid w:val="00A16A3E"/>
    <w:rsid w:val="00A263D3"/>
    <w:rsid w:val="00A365A2"/>
    <w:rsid w:val="00A368A3"/>
    <w:rsid w:val="00A37FDF"/>
    <w:rsid w:val="00A42C5E"/>
    <w:rsid w:val="00A47FB7"/>
    <w:rsid w:val="00A75476"/>
    <w:rsid w:val="00A87F41"/>
    <w:rsid w:val="00A95A00"/>
    <w:rsid w:val="00AB5B3D"/>
    <w:rsid w:val="00AC57C3"/>
    <w:rsid w:val="00AD0172"/>
    <w:rsid w:val="00AE408C"/>
    <w:rsid w:val="00B0429D"/>
    <w:rsid w:val="00B051B4"/>
    <w:rsid w:val="00B07A8A"/>
    <w:rsid w:val="00B3173E"/>
    <w:rsid w:val="00B66676"/>
    <w:rsid w:val="00B73416"/>
    <w:rsid w:val="00B77477"/>
    <w:rsid w:val="00B91573"/>
    <w:rsid w:val="00B94EFE"/>
    <w:rsid w:val="00B954B8"/>
    <w:rsid w:val="00BA570D"/>
    <w:rsid w:val="00BB6932"/>
    <w:rsid w:val="00BB7B52"/>
    <w:rsid w:val="00BD2990"/>
    <w:rsid w:val="00C06762"/>
    <w:rsid w:val="00C07069"/>
    <w:rsid w:val="00C1104E"/>
    <w:rsid w:val="00C123EE"/>
    <w:rsid w:val="00C13CB6"/>
    <w:rsid w:val="00C20386"/>
    <w:rsid w:val="00CC71EF"/>
    <w:rsid w:val="00CE7CD2"/>
    <w:rsid w:val="00D0457A"/>
    <w:rsid w:val="00D35977"/>
    <w:rsid w:val="00D43F5A"/>
    <w:rsid w:val="00D8569E"/>
    <w:rsid w:val="00D87F07"/>
    <w:rsid w:val="00D9142A"/>
    <w:rsid w:val="00D9735E"/>
    <w:rsid w:val="00DB7F6F"/>
    <w:rsid w:val="00DD5A6C"/>
    <w:rsid w:val="00DF4FB8"/>
    <w:rsid w:val="00E07E23"/>
    <w:rsid w:val="00E1324A"/>
    <w:rsid w:val="00E27034"/>
    <w:rsid w:val="00E32D4B"/>
    <w:rsid w:val="00E40372"/>
    <w:rsid w:val="00E41116"/>
    <w:rsid w:val="00E414EF"/>
    <w:rsid w:val="00E455A5"/>
    <w:rsid w:val="00E835A1"/>
    <w:rsid w:val="00E83E2D"/>
    <w:rsid w:val="00E843B2"/>
    <w:rsid w:val="00ED41E5"/>
    <w:rsid w:val="00EE332B"/>
    <w:rsid w:val="00EF4610"/>
    <w:rsid w:val="00EF6CB2"/>
    <w:rsid w:val="00F01A5C"/>
    <w:rsid w:val="00F1246B"/>
    <w:rsid w:val="00F40513"/>
    <w:rsid w:val="00F424A9"/>
    <w:rsid w:val="00F5729F"/>
    <w:rsid w:val="00F65587"/>
    <w:rsid w:val="00F77E06"/>
    <w:rsid w:val="00F843C0"/>
    <w:rsid w:val="00F9021F"/>
    <w:rsid w:val="00FA7D60"/>
    <w:rsid w:val="00FB260A"/>
    <w:rsid w:val="00FC7CE6"/>
    <w:rsid w:val="00FD5DA3"/>
    <w:rsid w:val="00FD6497"/>
    <w:rsid w:val="00FF2EC3"/>
    <w:rsid w:val="00FF56B9"/>
    <w:rsid w:val="012A4E2C"/>
    <w:rsid w:val="013B5F16"/>
    <w:rsid w:val="01A80AC3"/>
    <w:rsid w:val="023615AF"/>
    <w:rsid w:val="025E2D19"/>
    <w:rsid w:val="02614FC7"/>
    <w:rsid w:val="02DC2156"/>
    <w:rsid w:val="02E82811"/>
    <w:rsid w:val="030A6CC4"/>
    <w:rsid w:val="03614FBD"/>
    <w:rsid w:val="036C0D75"/>
    <w:rsid w:val="036E42DF"/>
    <w:rsid w:val="039B3DC0"/>
    <w:rsid w:val="03CC3F79"/>
    <w:rsid w:val="03FB03BA"/>
    <w:rsid w:val="04790F9B"/>
    <w:rsid w:val="04DA4474"/>
    <w:rsid w:val="04EC1DF7"/>
    <w:rsid w:val="051C4A3C"/>
    <w:rsid w:val="057B7A05"/>
    <w:rsid w:val="05CD222A"/>
    <w:rsid w:val="05FD2B10"/>
    <w:rsid w:val="06084616"/>
    <w:rsid w:val="0619721E"/>
    <w:rsid w:val="06456265"/>
    <w:rsid w:val="06A74CDB"/>
    <w:rsid w:val="06A9292B"/>
    <w:rsid w:val="06C46E0D"/>
    <w:rsid w:val="06C54323"/>
    <w:rsid w:val="06F70C16"/>
    <w:rsid w:val="071B1228"/>
    <w:rsid w:val="074B78AB"/>
    <w:rsid w:val="07BE53C7"/>
    <w:rsid w:val="08096B2E"/>
    <w:rsid w:val="085454AC"/>
    <w:rsid w:val="08892439"/>
    <w:rsid w:val="08EF7A39"/>
    <w:rsid w:val="095073FA"/>
    <w:rsid w:val="09C13E54"/>
    <w:rsid w:val="09EB05D3"/>
    <w:rsid w:val="0A530F50"/>
    <w:rsid w:val="0A5844F0"/>
    <w:rsid w:val="0AA132EE"/>
    <w:rsid w:val="0B3D750A"/>
    <w:rsid w:val="0B927BA2"/>
    <w:rsid w:val="0BB30133"/>
    <w:rsid w:val="0BC74F47"/>
    <w:rsid w:val="0BE32369"/>
    <w:rsid w:val="0BFD70B9"/>
    <w:rsid w:val="0C4845D6"/>
    <w:rsid w:val="0C770416"/>
    <w:rsid w:val="0CCA0D59"/>
    <w:rsid w:val="0DB22432"/>
    <w:rsid w:val="0E1B0D4A"/>
    <w:rsid w:val="0EE41D10"/>
    <w:rsid w:val="0F29068B"/>
    <w:rsid w:val="10395851"/>
    <w:rsid w:val="10A125AF"/>
    <w:rsid w:val="10B547F0"/>
    <w:rsid w:val="10BF65F0"/>
    <w:rsid w:val="11186A50"/>
    <w:rsid w:val="11386E78"/>
    <w:rsid w:val="11B73ED3"/>
    <w:rsid w:val="121E62E8"/>
    <w:rsid w:val="12241424"/>
    <w:rsid w:val="12277661"/>
    <w:rsid w:val="12511EBC"/>
    <w:rsid w:val="12B66520"/>
    <w:rsid w:val="12D30089"/>
    <w:rsid w:val="133D4C82"/>
    <w:rsid w:val="13D12EE6"/>
    <w:rsid w:val="13EE1CEA"/>
    <w:rsid w:val="13F37300"/>
    <w:rsid w:val="13FA2960"/>
    <w:rsid w:val="14700951"/>
    <w:rsid w:val="148154C9"/>
    <w:rsid w:val="151244E3"/>
    <w:rsid w:val="156F60AE"/>
    <w:rsid w:val="15DF0A75"/>
    <w:rsid w:val="15FF3646"/>
    <w:rsid w:val="16875DAB"/>
    <w:rsid w:val="169F0A74"/>
    <w:rsid w:val="16A11295"/>
    <w:rsid w:val="174D6D27"/>
    <w:rsid w:val="175400B6"/>
    <w:rsid w:val="17C675A6"/>
    <w:rsid w:val="17D631C0"/>
    <w:rsid w:val="18CE5C46"/>
    <w:rsid w:val="18EC4490"/>
    <w:rsid w:val="196F7429"/>
    <w:rsid w:val="19C77265"/>
    <w:rsid w:val="1A2024D1"/>
    <w:rsid w:val="1A2A2D28"/>
    <w:rsid w:val="1A514D80"/>
    <w:rsid w:val="1ABC0F82"/>
    <w:rsid w:val="1B9C64CF"/>
    <w:rsid w:val="1C0F4EF3"/>
    <w:rsid w:val="1C5E2638"/>
    <w:rsid w:val="1CAD7BD6"/>
    <w:rsid w:val="1CDC3027"/>
    <w:rsid w:val="1D2C4A21"/>
    <w:rsid w:val="1D4806BC"/>
    <w:rsid w:val="1E023D84"/>
    <w:rsid w:val="1E6C7E3E"/>
    <w:rsid w:val="1E8C6387"/>
    <w:rsid w:val="1EEE7042"/>
    <w:rsid w:val="1EF0375A"/>
    <w:rsid w:val="1F436741"/>
    <w:rsid w:val="1FFA549F"/>
    <w:rsid w:val="20346CD6"/>
    <w:rsid w:val="206E043A"/>
    <w:rsid w:val="20B63B8F"/>
    <w:rsid w:val="20FB3F44"/>
    <w:rsid w:val="211200FF"/>
    <w:rsid w:val="213E3BC7"/>
    <w:rsid w:val="21B75E11"/>
    <w:rsid w:val="22D62711"/>
    <w:rsid w:val="23046E34"/>
    <w:rsid w:val="23675615"/>
    <w:rsid w:val="23E80503"/>
    <w:rsid w:val="24376F6E"/>
    <w:rsid w:val="2443573A"/>
    <w:rsid w:val="24B42104"/>
    <w:rsid w:val="24F86524"/>
    <w:rsid w:val="25496D80"/>
    <w:rsid w:val="25670B39"/>
    <w:rsid w:val="25CD79B1"/>
    <w:rsid w:val="25DC3EE8"/>
    <w:rsid w:val="25E42F4C"/>
    <w:rsid w:val="25FA21EF"/>
    <w:rsid w:val="27095D8A"/>
    <w:rsid w:val="27532138"/>
    <w:rsid w:val="27604855"/>
    <w:rsid w:val="277B51EB"/>
    <w:rsid w:val="279E6744"/>
    <w:rsid w:val="2829733C"/>
    <w:rsid w:val="28CC0709"/>
    <w:rsid w:val="29C22B06"/>
    <w:rsid w:val="2AB6770F"/>
    <w:rsid w:val="2AFC1105"/>
    <w:rsid w:val="2BAD2B02"/>
    <w:rsid w:val="2BDA1E37"/>
    <w:rsid w:val="2D4B05DB"/>
    <w:rsid w:val="2DAA5617"/>
    <w:rsid w:val="2E0C3040"/>
    <w:rsid w:val="2E40384E"/>
    <w:rsid w:val="2F083808"/>
    <w:rsid w:val="2F0B058C"/>
    <w:rsid w:val="2F2B399A"/>
    <w:rsid w:val="2F454A5C"/>
    <w:rsid w:val="2F706C20"/>
    <w:rsid w:val="2F7C5FA4"/>
    <w:rsid w:val="2F82534F"/>
    <w:rsid w:val="302723B3"/>
    <w:rsid w:val="303040B7"/>
    <w:rsid w:val="306814F8"/>
    <w:rsid w:val="30AE6631"/>
    <w:rsid w:val="3106021B"/>
    <w:rsid w:val="3197089A"/>
    <w:rsid w:val="327A0EC0"/>
    <w:rsid w:val="33685BF1"/>
    <w:rsid w:val="339F33DF"/>
    <w:rsid w:val="34B76D87"/>
    <w:rsid w:val="34C65624"/>
    <w:rsid w:val="34D01D12"/>
    <w:rsid w:val="34D90AD3"/>
    <w:rsid w:val="350B5B62"/>
    <w:rsid w:val="3573099D"/>
    <w:rsid w:val="35C44201"/>
    <w:rsid w:val="366B28CE"/>
    <w:rsid w:val="380F4839"/>
    <w:rsid w:val="38206066"/>
    <w:rsid w:val="38913D17"/>
    <w:rsid w:val="38955FDF"/>
    <w:rsid w:val="38F01112"/>
    <w:rsid w:val="393E01A9"/>
    <w:rsid w:val="396B1F46"/>
    <w:rsid w:val="39BD5849"/>
    <w:rsid w:val="39DC7D6B"/>
    <w:rsid w:val="3AD4054D"/>
    <w:rsid w:val="3B651FE2"/>
    <w:rsid w:val="3B714E2B"/>
    <w:rsid w:val="3D5134B7"/>
    <w:rsid w:val="3D6C58AA"/>
    <w:rsid w:val="3D8C5F4C"/>
    <w:rsid w:val="3E65515C"/>
    <w:rsid w:val="3E94330A"/>
    <w:rsid w:val="401F30A7"/>
    <w:rsid w:val="403F2E01"/>
    <w:rsid w:val="41480210"/>
    <w:rsid w:val="42B43A05"/>
    <w:rsid w:val="42CD0EA8"/>
    <w:rsid w:val="431A1904"/>
    <w:rsid w:val="43947908"/>
    <w:rsid w:val="44CB4DED"/>
    <w:rsid w:val="44F56185"/>
    <w:rsid w:val="4520080C"/>
    <w:rsid w:val="45413951"/>
    <w:rsid w:val="45B30A7B"/>
    <w:rsid w:val="45D90566"/>
    <w:rsid w:val="467B530C"/>
    <w:rsid w:val="46E47FFF"/>
    <w:rsid w:val="4779601E"/>
    <w:rsid w:val="481B0E08"/>
    <w:rsid w:val="482D3E87"/>
    <w:rsid w:val="48353A66"/>
    <w:rsid w:val="489160CA"/>
    <w:rsid w:val="48E01E61"/>
    <w:rsid w:val="49327CD0"/>
    <w:rsid w:val="493E1AE1"/>
    <w:rsid w:val="4A9B6FA0"/>
    <w:rsid w:val="4AF51556"/>
    <w:rsid w:val="4B035C36"/>
    <w:rsid w:val="4B2238EC"/>
    <w:rsid w:val="4B44550B"/>
    <w:rsid w:val="4C7D362F"/>
    <w:rsid w:val="4CAC0AD9"/>
    <w:rsid w:val="4CD55219"/>
    <w:rsid w:val="4DDD59C1"/>
    <w:rsid w:val="4E32294F"/>
    <w:rsid w:val="4E395334"/>
    <w:rsid w:val="4E593C28"/>
    <w:rsid w:val="4EFD2805"/>
    <w:rsid w:val="4F2558B8"/>
    <w:rsid w:val="4FAD1FC6"/>
    <w:rsid w:val="4FC74BC1"/>
    <w:rsid w:val="501324CE"/>
    <w:rsid w:val="501778F7"/>
    <w:rsid w:val="505D0D17"/>
    <w:rsid w:val="50747CE5"/>
    <w:rsid w:val="50CC06E1"/>
    <w:rsid w:val="50FA5D92"/>
    <w:rsid w:val="51B02576"/>
    <w:rsid w:val="51FB0B52"/>
    <w:rsid w:val="522023D1"/>
    <w:rsid w:val="52270DB5"/>
    <w:rsid w:val="531E5595"/>
    <w:rsid w:val="531F075A"/>
    <w:rsid w:val="5338205E"/>
    <w:rsid w:val="54303C00"/>
    <w:rsid w:val="549A06C6"/>
    <w:rsid w:val="54CA4ADE"/>
    <w:rsid w:val="5539757D"/>
    <w:rsid w:val="563E5DDA"/>
    <w:rsid w:val="569D042A"/>
    <w:rsid w:val="56C63E25"/>
    <w:rsid w:val="57555F1B"/>
    <w:rsid w:val="5794447B"/>
    <w:rsid w:val="57996E43"/>
    <w:rsid w:val="57A01936"/>
    <w:rsid w:val="57A57FD6"/>
    <w:rsid w:val="57DB7C8D"/>
    <w:rsid w:val="57F01F2D"/>
    <w:rsid w:val="58286739"/>
    <w:rsid w:val="583A6878"/>
    <w:rsid w:val="58733B38"/>
    <w:rsid w:val="588E44CE"/>
    <w:rsid w:val="58D367F3"/>
    <w:rsid w:val="592C1295"/>
    <w:rsid w:val="595B4CF8"/>
    <w:rsid w:val="5992568E"/>
    <w:rsid w:val="59DD74BB"/>
    <w:rsid w:val="59E266CB"/>
    <w:rsid w:val="59EF3692"/>
    <w:rsid w:val="5A121AEF"/>
    <w:rsid w:val="5A420BA5"/>
    <w:rsid w:val="5A8C449C"/>
    <w:rsid w:val="5B571FFB"/>
    <w:rsid w:val="5B6B556E"/>
    <w:rsid w:val="5BFB00CD"/>
    <w:rsid w:val="5C452F47"/>
    <w:rsid w:val="5C537F09"/>
    <w:rsid w:val="5C582B15"/>
    <w:rsid w:val="5C867919"/>
    <w:rsid w:val="5D086F45"/>
    <w:rsid w:val="5D243653"/>
    <w:rsid w:val="5D4D6706"/>
    <w:rsid w:val="5D9B49EA"/>
    <w:rsid w:val="5DF4639A"/>
    <w:rsid w:val="5DF76C0B"/>
    <w:rsid w:val="5E0E07F8"/>
    <w:rsid w:val="5E166162"/>
    <w:rsid w:val="5E42134A"/>
    <w:rsid w:val="5ED15115"/>
    <w:rsid w:val="5EFD5F0A"/>
    <w:rsid w:val="5FD702EA"/>
    <w:rsid w:val="5FEF619A"/>
    <w:rsid w:val="60252B89"/>
    <w:rsid w:val="604F4E8B"/>
    <w:rsid w:val="60B11334"/>
    <w:rsid w:val="610854F4"/>
    <w:rsid w:val="61524586"/>
    <w:rsid w:val="616C2448"/>
    <w:rsid w:val="61882403"/>
    <w:rsid w:val="620316C6"/>
    <w:rsid w:val="626C326C"/>
    <w:rsid w:val="628C5F22"/>
    <w:rsid w:val="62C44CEE"/>
    <w:rsid w:val="630E06E5"/>
    <w:rsid w:val="634A0790"/>
    <w:rsid w:val="63DF2082"/>
    <w:rsid w:val="64E33DF4"/>
    <w:rsid w:val="652F2B95"/>
    <w:rsid w:val="654A16B4"/>
    <w:rsid w:val="654C7BEB"/>
    <w:rsid w:val="65DF5D81"/>
    <w:rsid w:val="65E76184"/>
    <w:rsid w:val="65FA2E2F"/>
    <w:rsid w:val="660F1D12"/>
    <w:rsid w:val="66375416"/>
    <w:rsid w:val="664803B2"/>
    <w:rsid w:val="66770C98"/>
    <w:rsid w:val="66EF6B43"/>
    <w:rsid w:val="67277FC8"/>
    <w:rsid w:val="677C2407"/>
    <w:rsid w:val="6804655B"/>
    <w:rsid w:val="68552A56"/>
    <w:rsid w:val="68C47A98"/>
    <w:rsid w:val="68C53F3C"/>
    <w:rsid w:val="6A8A21D9"/>
    <w:rsid w:val="6B170353"/>
    <w:rsid w:val="6B805A13"/>
    <w:rsid w:val="6B913722"/>
    <w:rsid w:val="6BB77F58"/>
    <w:rsid w:val="6BFB1CFC"/>
    <w:rsid w:val="6CC80E6D"/>
    <w:rsid w:val="6CEE57FE"/>
    <w:rsid w:val="6D6A740A"/>
    <w:rsid w:val="6DDA15E5"/>
    <w:rsid w:val="6E0252EB"/>
    <w:rsid w:val="6E315BD0"/>
    <w:rsid w:val="6E9331FA"/>
    <w:rsid w:val="6F393D6E"/>
    <w:rsid w:val="6F8B1586"/>
    <w:rsid w:val="6F986B5B"/>
    <w:rsid w:val="70015658"/>
    <w:rsid w:val="70B2124A"/>
    <w:rsid w:val="70EC47D4"/>
    <w:rsid w:val="70F47B1E"/>
    <w:rsid w:val="710B6BAC"/>
    <w:rsid w:val="712B2DAA"/>
    <w:rsid w:val="71CC633B"/>
    <w:rsid w:val="71F238C8"/>
    <w:rsid w:val="72534367"/>
    <w:rsid w:val="72D70869"/>
    <w:rsid w:val="738A5B9F"/>
    <w:rsid w:val="73C6500C"/>
    <w:rsid w:val="7402700B"/>
    <w:rsid w:val="741F6AAA"/>
    <w:rsid w:val="749966D8"/>
    <w:rsid w:val="74A0585D"/>
    <w:rsid w:val="750E3D01"/>
    <w:rsid w:val="75436915"/>
    <w:rsid w:val="75F1571C"/>
    <w:rsid w:val="75FF643B"/>
    <w:rsid w:val="77A7157C"/>
    <w:rsid w:val="781E5417"/>
    <w:rsid w:val="78704663"/>
    <w:rsid w:val="78B143BF"/>
    <w:rsid w:val="790C1713"/>
    <w:rsid w:val="793F5645"/>
    <w:rsid w:val="79477DB9"/>
    <w:rsid w:val="798B5FEA"/>
    <w:rsid w:val="7A035425"/>
    <w:rsid w:val="7A937FAF"/>
    <w:rsid w:val="7AB465B7"/>
    <w:rsid w:val="7ACC115A"/>
    <w:rsid w:val="7AF81F4F"/>
    <w:rsid w:val="7AFA7F37"/>
    <w:rsid w:val="7B0D59BF"/>
    <w:rsid w:val="7B215011"/>
    <w:rsid w:val="7B5C267D"/>
    <w:rsid w:val="7B6C6499"/>
    <w:rsid w:val="7B7B492E"/>
    <w:rsid w:val="7B913955"/>
    <w:rsid w:val="7BEC3554"/>
    <w:rsid w:val="7C9E3D4A"/>
    <w:rsid w:val="7CB63E70"/>
    <w:rsid w:val="7D221505"/>
    <w:rsid w:val="7D334C5C"/>
    <w:rsid w:val="7D902913"/>
    <w:rsid w:val="7DE81904"/>
    <w:rsid w:val="7E2B6198"/>
    <w:rsid w:val="7E5135DF"/>
    <w:rsid w:val="7F306955"/>
    <w:rsid w:val="7F6D45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autoRedefine/>
    <w:qFormat/>
    <w:uiPriority w:val="0"/>
    <w:pPr>
      <w:keepNext/>
      <w:keepLines/>
      <w:spacing w:before="340" w:after="330" w:line="578" w:lineRule="auto"/>
      <w:outlineLvl w:val="0"/>
    </w:pPr>
    <w:rPr>
      <w:b/>
      <w:bCs/>
      <w:kern w:val="44"/>
      <w:sz w:val="44"/>
    </w:rPr>
  </w:style>
  <w:style w:type="paragraph" w:styleId="3">
    <w:name w:val="heading 2"/>
    <w:basedOn w:val="1"/>
    <w:next w:val="1"/>
    <w:autoRedefine/>
    <w:qFormat/>
    <w:uiPriority w:val="0"/>
    <w:pPr>
      <w:keepNext/>
      <w:keepLines/>
      <w:spacing w:before="260" w:after="260" w:line="415" w:lineRule="auto"/>
      <w:outlineLvl w:val="1"/>
    </w:pPr>
    <w:rPr>
      <w:rFonts w:ascii="Times New Roman" w:hAnsi="Times New Roman" w:eastAsia="黑体"/>
      <w:b/>
      <w:sz w:val="32"/>
    </w:rPr>
  </w:style>
  <w:style w:type="paragraph" w:styleId="4">
    <w:name w:val="heading 3"/>
    <w:basedOn w:val="1"/>
    <w:next w:val="1"/>
    <w:autoRedefine/>
    <w:qFormat/>
    <w:uiPriority w:val="0"/>
    <w:pPr>
      <w:keepNext/>
      <w:keepLines/>
      <w:spacing w:before="260" w:after="260" w:line="415" w:lineRule="auto"/>
      <w:outlineLvl w:val="2"/>
    </w:pPr>
    <w:rPr>
      <w:b/>
      <w:sz w:val="32"/>
    </w:rPr>
  </w:style>
  <w:style w:type="paragraph" w:styleId="5">
    <w:name w:val="heading 4"/>
    <w:basedOn w:val="1"/>
    <w:next w:val="1"/>
    <w:semiHidden/>
    <w:unhideWhenUsed/>
    <w:qFormat/>
    <w:uiPriority w:val="9"/>
    <w:pPr>
      <w:spacing w:beforeAutospacing="1" w:afterAutospacing="1"/>
      <w:jc w:val="left"/>
      <w:outlineLvl w:val="3"/>
    </w:pPr>
    <w:rPr>
      <w:rFonts w:hint="eastAsia" w:ascii="宋体" w:hAnsi="宋体" w:cs="Times New Roman"/>
      <w:b/>
      <w:bCs/>
      <w:kern w:val="0"/>
      <w:sz w:val="24"/>
    </w:rPr>
  </w:style>
  <w:style w:type="paragraph" w:styleId="6">
    <w:name w:val="heading 7"/>
    <w:basedOn w:val="1"/>
    <w:next w:val="1"/>
    <w:link w:val="27"/>
    <w:autoRedefine/>
    <w:qFormat/>
    <w:uiPriority w:val="9"/>
    <w:pPr>
      <w:keepNext/>
      <w:keepLines/>
      <w:spacing w:before="240" w:after="64" w:line="320" w:lineRule="auto"/>
      <w:outlineLvl w:val="6"/>
    </w:pPr>
    <w:rPr>
      <w:b/>
      <w:bCs/>
      <w:sz w:val="24"/>
    </w:rPr>
  </w:style>
  <w:style w:type="character" w:default="1" w:styleId="18">
    <w:name w:val="Default Paragraph Font"/>
    <w:semiHidden/>
    <w:unhideWhenUsed/>
    <w:qFormat/>
    <w:uiPriority w:val="1"/>
  </w:style>
  <w:style w:type="table" w:default="1" w:styleId="1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annotation text"/>
    <w:basedOn w:val="1"/>
    <w:link w:val="28"/>
    <w:autoRedefine/>
    <w:unhideWhenUsed/>
    <w:qFormat/>
    <w:uiPriority w:val="99"/>
    <w:pPr>
      <w:adjustRightInd w:val="0"/>
      <w:spacing w:line="400" w:lineRule="exact"/>
      <w:jc w:val="left"/>
    </w:pPr>
    <w:rPr>
      <w:szCs w:val="21"/>
    </w:rPr>
  </w:style>
  <w:style w:type="paragraph" w:styleId="8">
    <w:name w:val="Balloon Text"/>
    <w:basedOn w:val="1"/>
    <w:link w:val="29"/>
    <w:autoRedefine/>
    <w:unhideWhenUsed/>
    <w:qFormat/>
    <w:uiPriority w:val="99"/>
    <w:rPr>
      <w:sz w:val="18"/>
      <w:szCs w:val="18"/>
    </w:rPr>
  </w:style>
  <w:style w:type="paragraph" w:styleId="9">
    <w:name w:val="footer"/>
    <w:basedOn w:val="1"/>
    <w:link w:val="30"/>
    <w:autoRedefine/>
    <w:qFormat/>
    <w:uiPriority w:val="99"/>
    <w:pPr>
      <w:tabs>
        <w:tab w:val="center" w:pos="4153"/>
        <w:tab w:val="right" w:pos="8306"/>
      </w:tabs>
      <w:snapToGrid w:val="0"/>
      <w:jc w:val="left"/>
    </w:pPr>
    <w:rPr>
      <w:sz w:val="18"/>
      <w:szCs w:val="18"/>
    </w:rPr>
  </w:style>
  <w:style w:type="paragraph" w:styleId="10">
    <w:name w:val="envelope return"/>
    <w:basedOn w:val="1"/>
    <w:autoRedefine/>
    <w:qFormat/>
    <w:uiPriority w:val="0"/>
    <w:pPr>
      <w:snapToGrid w:val="0"/>
    </w:pPr>
    <w:rPr>
      <w:rFonts w:ascii="Times New Roman" w:hAnsi="Times New Roman"/>
    </w:rPr>
  </w:style>
  <w:style w:type="paragraph" w:styleId="11">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2">
    <w:name w:val="toc 4"/>
    <w:basedOn w:val="1"/>
    <w:next w:val="1"/>
    <w:autoRedefine/>
    <w:unhideWhenUsed/>
    <w:qFormat/>
    <w:uiPriority w:val="39"/>
    <w:pPr>
      <w:tabs>
        <w:tab w:val="right" w:leader="dot" w:pos="9344"/>
      </w:tabs>
      <w:adjustRightInd w:val="0"/>
      <w:spacing w:line="300" w:lineRule="exact"/>
      <w:ind w:left="629"/>
    </w:pPr>
    <w:rPr>
      <w:rFonts w:ascii="宋体"/>
      <w:szCs w:val="21"/>
    </w:rPr>
  </w:style>
  <w:style w:type="paragraph" w:styleId="13">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cs="Times New Roman"/>
      <w:kern w:val="0"/>
      <w:sz w:val="24"/>
    </w:rPr>
  </w:style>
  <w:style w:type="paragraph" w:styleId="14">
    <w:name w:val="Normal (Web)"/>
    <w:basedOn w:val="1"/>
    <w:autoRedefine/>
    <w:semiHidden/>
    <w:unhideWhenUsed/>
    <w:qFormat/>
    <w:uiPriority w:val="99"/>
    <w:rPr>
      <w:sz w:val="24"/>
    </w:rPr>
  </w:style>
  <w:style w:type="paragraph" w:styleId="15">
    <w:name w:val="Title"/>
    <w:basedOn w:val="1"/>
    <w:link w:val="66"/>
    <w:qFormat/>
    <w:uiPriority w:val="10"/>
    <w:pPr>
      <w:spacing w:before="240" w:after="60"/>
      <w:jc w:val="center"/>
      <w:outlineLvl w:val="0"/>
    </w:pPr>
    <w:rPr>
      <w:rFonts w:ascii="Arial" w:hAnsi="Arial"/>
      <w:b/>
      <w:sz w:val="32"/>
    </w:rPr>
  </w:style>
  <w:style w:type="table" w:styleId="17">
    <w:name w:val="Table Grid"/>
    <w:basedOn w:val="16"/>
    <w:autoRedefine/>
    <w:qFormat/>
    <w:uiPriority w:val="39"/>
    <w:rPr>
      <w:rFonts w:ascii="Calibri" w:hAnsi="Calibri"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styleId="19">
    <w:name w:val="Strong"/>
    <w:basedOn w:val="18"/>
    <w:autoRedefine/>
    <w:qFormat/>
    <w:uiPriority w:val="22"/>
    <w:rPr>
      <w:b/>
    </w:rPr>
  </w:style>
  <w:style w:type="character" w:styleId="20">
    <w:name w:val="Emphasis"/>
    <w:basedOn w:val="18"/>
    <w:qFormat/>
    <w:uiPriority w:val="20"/>
    <w:rPr>
      <w:i/>
    </w:rPr>
  </w:style>
  <w:style w:type="character" w:styleId="21">
    <w:name w:val="line number"/>
    <w:autoRedefine/>
    <w:qFormat/>
    <w:uiPriority w:val="0"/>
  </w:style>
  <w:style w:type="character" w:styleId="22">
    <w:name w:val="Hyperlink"/>
    <w:autoRedefine/>
    <w:qFormat/>
    <w:uiPriority w:val="0"/>
    <w:rPr>
      <w:rFonts w:ascii="宋体" w:eastAsia="宋体"/>
      <w:color w:val="auto"/>
      <w:spacing w:val="0"/>
      <w:w w:val="100"/>
      <w:position w:val="0"/>
      <w:sz w:val="21"/>
      <w:u w:val="none"/>
      <w:vertAlign w:val="baseline"/>
    </w:rPr>
  </w:style>
  <w:style w:type="character" w:styleId="23">
    <w:name w:val="annotation reference"/>
    <w:basedOn w:val="18"/>
    <w:autoRedefine/>
    <w:qFormat/>
    <w:uiPriority w:val="99"/>
    <w:rPr>
      <w:sz w:val="21"/>
      <w:szCs w:val="21"/>
    </w:rPr>
  </w:style>
  <w:style w:type="character" w:styleId="24">
    <w:name w:val="footnote reference"/>
    <w:autoRedefine/>
    <w:qFormat/>
    <w:uiPriority w:val="0"/>
    <w:rPr>
      <w:vertAlign w:val="superscript"/>
    </w:rPr>
  </w:style>
  <w:style w:type="paragraph" w:customStyle="1" w:styleId="25">
    <w:name w:val="BodyText2"/>
    <w:basedOn w:val="1"/>
    <w:autoRedefine/>
    <w:qFormat/>
    <w:uiPriority w:val="0"/>
    <w:pPr>
      <w:spacing w:after="120" w:line="480" w:lineRule="auto"/>
      <w:textAlignment w:val="baseline"/>
    </w:pPr>
    <w:rPr>
      <w:rFonts w:cs="Times New Roman"/>
      <w:sz w:val="32"/>
      <w:szCs w:val="32"/>
    </w:rPr>
  </w:style>
  <w:style w:type="paragraph" w:customStyle="1" w:styleId="26">
    <w:name w:val="正文-公1"/>
    <w:autoRedefine/>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7">
    <w:name w:val="标题 7 字符"/>
    <w:link w:val="6"/>
    <w:autoRedefine/>
    <w:qFormat/>
    <w:uiPriority w:val="0"/>
    <w:rPr>
      <w:rFonts w:eastAsia="宋体"/>
      <w:b/>
      <w:bCs/>
      <w:kern w:val="2"/>
      <w:sz w:val="24"/>
      <w:szCs w:val="24"/>
    </w:rPr>
  </w:style>
  <w:style w:type="character" w:customStyle="1" w:styleId="28">
    <w:name w:val="批注文字 字符"/>
    <w:link w:val="7"/>
    <w:autoRedefine/>
    <w:semiHidden/>
    <w:qFormat/>
    <w:uiPriority w:val="99"/>
    <w:rPr>
      <w:rFonts w:ascii="Calibri" w:hAnsi="Calibri" w:eastAsia="宋体"/>
      <w:kern w:val="2"/>
      <w:sz w:val="21"/>
      <w:szCs w:val="21"/>
    </w:rPr>
  </w:style>
  <w:style w:type="character" w:customStyle="1" w:styleId="29">
    <w:name w:val="批注框文本 字符"/>
    <w:link w:val="8"/>
    <w:autoRedefine/>
    <w:semiHidden/>
    <w:qFormat/>
    <w:uiPriority w:val="99"/>
    <w:rPr>
      <w:rFonts w:eastAsia="宋体"/>
      <w:kern w:val="2"/>
      <w:sz w:val="18"/>
      <w:szCs w:val="18"/>
    </w:rPr>
  </w:style>
  <w:style w:type="character" w:customStyle="1" w:styleId="30">
    <w:name w:val="页脚 字符"/>
    <w:link w:val="9"/>
    <w:autoRedefine/>
    <w:qFormat/>
    <w:locked/>
    <w:uiPriority w:val="99"/>
    <w:rPr>
      <w:rFonts w:eastAsia="宋体"/>
      <w:kern w:val="2"/>
      <w:sz w:val="18"/>
      <w:szCs w:val="18"/>
    </w:rPr>
  </w:style>
  <w:style w:type="paragraph" w:customStyle="1" w:styleId="31">
    <w:name w:val="其他标准称谓"/>
    <w:autoRedefine/>
    <w:qFormat/>
    <w:uiPriority w:val="0"/>
    <w:pPr>
      <w:spacing w:line="0" w:lineRule="atLeast"/>
      <w:jc w:val="distribute"/>
    </w:pPr>
    <w:rPr>
      <w:rFonts w:ascii="黑体" w:hAnsi="Calibri" w:eastAsia="黑体" w:cs="Calibri"/>
      <w:sz w:val="52"/>
      <w:lang w:val="en-US" w:eastAsia="zh-CN" w:bidi="ar-SA"/>
    </w:rPr>
  </w:style>
  <w:style w:type="paragraph" w:customStyle="1" w:styleId="32">
    <w:name w:val="封面标准号1"/>
    <w:autoRedefine/>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33">
    <w:name w:val="标准文件_段"/>
    <w:link w:val="34"/>
    <w:autoRedefine/>
    <w:qFormat/>
    <w:uiPriority w:val="0"/>
    <w:pPr>
      <w:autoSpaceDE w:val="0"/>
      <w:autoSpaceDN w:val="0"/>
      <w:spacing w:before="156" w:beforeLines="50" w:after="156" w:afterLines="50" w:line="520" w:lineRule="exact"/>
      <w:ind w:firstLine="480" w:firstLineChars="200"/>
      <w:jc w:val="center"/>
    </w:pPr>
    <w:rPr>
      <w:rFonts w:ascii="黑体" w:hAnsi="黑体" w:eastAsia="黑体" w:cs="黑体"/>
      <w:bCs/>
      <w:sz w:val="24"/>
      <w:szCs w:val="24"/>
      <w:lang w:val="en-US" w:eastAsia="zh-CN" w:bidi="ar-SA"/>
    </w:rPr>
  </w:style>
  <w:style w:type="character" w:customStyle="1" w:styleId="34">
    <w:name w:val="标准文件_段 Char"/>
    <w:link w:val="33"/>
    <w:autoRedefine/>
    <w:qFormat/>
    <w:uiPriority w:val="0"/>
    <w:rPr>
      <w:rFonts w:ascii="黑体" w:hAnsi="黑体" w:eastAsia="黑体" w:cs="黑体"/>
      <w:bCs/>
      <w:sz w:val="24"/>
      <w:szCs w:val="24"/>
    </w:rPr>
  </w:style>
  <w:style w:type="paragraph" w:customStyle="1" w:styleId="35">
    <w:name w:val="标准文件_章标题"/>
    <w:next w:val="33"/>
    <w:autoRedefine/>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6">
    <w:name w:val="标准文件_二级条标题"/>
    <w:next w:val="33"/>
    <w:autoRedefine/>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7">
    <w:name w:val="标准文件_一级条标题"/>
    <w:basedOn w:val="35"/>
    <w:next w:val="33"/>
    <w:autoRedefine/>
    <w:qFormat/>
    <w:uiPriority w:val="0"/>
    <w:pPr>
      <w:numPr>
        <w:ilvl w:val="2"/>
      </w:numPr>
      <w:spacing w:before="50" w:beforeLines="0" w:after="50" w:afterLines="0"/>
      <w:outlineLvl w:val="1"/>
    </w:pPr>
  </w:style>
  <w:style w:type="paragraph" w:customStyle="1" w:styleId="38">
    <w:name w:val="标准文件_三级条标题"/>
    <w:basedOn w:val="36"/>
    <w:next w:val="33"/>
    <w:autoRedefine/>
    <w:qFormat/>
    <w:uiPriority w:val="0"/>
    <w:pPr>
      <w:outlineLvl w:val="3"/>
    </w:pPr>
  </w:style>
  <w:style w:type="paragraph" w:customStyle="1" w:styleId="39">
    <w:name w:val="标准文件_四级条标题"/>
    <w:next w:val="33"/>
    <w:autoRedefine/>
    <w:qFormat/>
    <w:uiPriority w:val="0"/>
    <w:pPr>
      <w:widowControl w:val="0"/>
      <w:spacing w:before="50" w:beforeLines="50" w:after="50" w:afterLines="50"/>
      <w:jc w:val="both"/>
      <w:outlineLvl w:val="4"/>
    </w:pPr>
    <w:rPr>
      <w:rFonts w:ascii="黑体" w:hAnsi="Calibri" w:eastAsia="黑体" w:cs="Calibri"/>
      <w:sz w:val="21"/>
      <w:lang w:val="en-US" w:eastAsia="zh-CN" w:bidi="ar-SA"/>
    </w:rPr>
  </w:style>
  <w:style w:type="paragraph" w:customStyle="1" w:styleId="40">
    <w:name w:val="标准文件_五级条标题"/>
    <w:next w:val="36"/>
    <w:autoRedefine/>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41">
    <w:name w:val="前言标题"/>
    <w:next w:val="1"/>
    <w:autoRedefine/>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42">
    <w:name w:val="标准文件_四级无标题"/>
    <w:basedOn w:val="39"/>
    <w:autoRedefine/>
    <w:qFormat/>
    <w:uiPriority w:val="0"/>
    <w:pPr>
      <w:numPr>
        <w:ilvl w:val="5"/>
        <w:numId w:val="1"/>
      </w:numPr>
    </w:pPr>
    <w:rPr>
      <w:rFonts w:ascii="宋体" w:eastAsia="宋体"/>
      <w:szCs w:val="52"/>
    </w:rPr>
  </w:style>
  <w:style w:type="paragraph" w:customStyle="1" w:styleId="43">
    <w:name w:val="标准文件_三级无标题"/>
    <w:basedOn w:val="38"/>
    <w:autoRedefine/>
    <w:qFormat/>
    <w:uiPriority w:val="0"/>
    <w:pPr>
      <w:numPr>
        <w:ilvl w:val="4"/>
        <w:numId w:val="1"/>
      </w:numPr>
    </w:pPr>
    <w:rPr>
      <w:rFonts w:ascii="宋体" w:eastAsia="宋体"/>
    </w:rPr>
  </w:style>
  <w:style w:type="paragraph" w:customStyle="1" w:styleId="44">
    <w:name w:val="标准文件_正文表标题"/>
    <w:autoRedefine/>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5">
    <w:name w:val="font11"/>
    <w:autoRedefine/>
    <w:qFormat/>
    <w:uiPriority w:val="0"/>
    <w:rPr>
      <w:rFonts w:ascii="等线" w:eastAsia="等线"/>
      <w:b/>
      <w:bCs/>
      <w:color w:val="FF0000"/>
      <w:sz w:val="22"/>
      <w:szCs w:val="22"/>
      <w:u w:val="none"/>
    </w:rPr>
  </w:style>
  <w:style w:type="character" w:customStyle="1" w:styleId="46">
    <w:name w:val="font01"/>
    <w:autoRedefine/>
    <w:qFormat/>
    <w:uiPriority w:val="0"/>
    <w:rPr>
      <w:rFonts w:ascii="等线" w:eastAsia="等线"/>
      <w:color w:val="000000"/>
      <w:sz w:val="22"/>
      <w:szCs w:val="22"/>
      <w:u w:val="none"/>
    </w:rPr>
  </w:style>
  <w:style w:type="paragraph" w:customStyle="1" w:styleId="47">
    <w:name w:val="段"/>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8">
    <w:name w:val="二级无"/>
    <w:basedOn w:val="1"/>
    <w:autoRedefine/>
    <w:qFormat/>
    <w:uiPriority w:val="0"/>
    <w:pPr>
      <w:widowControl/>
      <w:numPr>
        <w:ilvl w:val="2"/>
        <w:numId w:val="3"/>
      </w:numPr>
      <w:tabs>
        <w:tab w:val="left" w:pos="780"/>
      </w:tabs>
      <w:jc w:val="left"/>
      <w:outlineLvl w:val="3"/>
    </w:pPr>
    <w:rPr>
      <w:rFonts w:ascii="宋体"/>
      <w:kern w:val="0"/>
      <w:szCs w:val="21"/>
    </w:rPr>
  </w:style>
  <w:style w:type="paragraph" w:customStyle="1" w:styleId="49">
    <w:name w:val="标准文件_二级无标题"/>
    <w:basedOn w:val="36"/>
    <w:autoRedefine/>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50">
    <w:name w:val="Char Char Char Char"/>
    <w:basedOn w:val="1"/>
    <w:autoRedefine/>
    <w:qFormat/>
    <w:uiPriority w:val="0"/>
  </w:style>
  <w:style w:type="paragraph" w:customStyle="1" w:styleId="51">
    <w:name w:val="标准文件_数字编号列项（二级）"/>
    <w:autoRedefine/>
    <w:qFormat/>
    <w:uiPriority w:val="0"/>
    <w:pPr>
      <w:numPr>
        <w:ilvl w:val="1"/>
        <w:numId w:val="5"/>
      </w:numPr>
      <w:jc w:val="both"/>
    </w:pPr>
    <w:rPr>
      <w:rFonts w:ascii="宋体" w:hAnsi="Calibri" w:eastAsia="宋体" w:cs="Calibri"/>
      <w:sz w:val="21"/>
      <w:lang w:val="en-US" w:eastAsia="zh-CN" w:bidi="ar-SA"/>
    </w:rPr>
  </w:style>
  <w:style w:type="paragraph" w:customStyle="1" w:styleId="52">
    <w:name w:val="标准文件_编号列项（三级）"/>
    <w:autoRedefine/>
    <w:qFormat/>
    <w:uiPriority w:val="0"/>
    <w:pPr>
      <w:numPr>
        <w:ilvl w:val="2"/>
        <w:numId w:val="5"/>
      </w:numPr>
    </w:pPr>
    <w:rPr>
      <w:rFonts w:ascii="宋体" w:hAnsi="Calibri" w:eastAsia="宋体" w:cs="Calibri"/>
      <w:sz w:val="21"/>
      <w:lang w:val="en-US" w:eastAsia="zh-CN" w:bidi="ar-SA"/>
    </w:rPr>
  </w:style>
  <w:style w:type="paragraph" w:customStyle="1" w:styleId="53">
    <w:name w:val="标准文件_字母编号列项（一级）"/>
    <w:autoRedefine/>
    <w:qFormat/>
    <w:uiPriority w:val="0"/>
    <w:pPr>
      <w:numPr>
        <w:ilvl w:val="0"/>
        <w:numId w:val="5"/>
      </w:numPr>
      <w:jc w:val="both"/>
    </w:pPr>
    <w:rPr>
      <w:rFonts w:ascii="宋体" w:hAnsi="Calibri" w:eastAsia="宋体" w:cs="Calibri"/>
      <w:sz w:val="21"/>
      <w:lang w:val="en-US" w:eastAsia="zh-CN" w:bidi="ar-SA"/>
    </w:rPr>
  </w:style>
  <w:style w:type="paragraph" w:customStyle="1" w:styleId="54">
    <w:name w:val="标准文件_术语条一"/>
    <w:basedOn w:val="1"/>
    <w:next w:val="33"/>
    <w:autoRedefine/>
    <w:qFormat/>
    <w:uiPriority w:val="0"/>
    <w:pPr>
      <w:widowControl/>
    </w:pPr>
    <w:rPr>
      <w:rFonts w:ascii="宋体"/>
      <w:kern w:val="0"/>
      <w:szCs w:val="20"/>
    </w:rPr>
  </w:style>
  <w:style w:type="paragraph" w:customStyle="1" w:styleId="55">
    <w:name w:val="abstrac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56">
    <w:name w:val="abstract_more"/>
    <w:basedOn w:val="1"/>
    <w:autoRedefine/>
    <w:qFormat/>
    <w:uiPriority w:val="0"/>
    <w:pPr>
      <w:widowControl/>
      <w:spacing w:before="100" w:beforeAutospacing="1" w:after="100" w:afterAutospacing="1"/>
      <w:jc w:val="left"/>
    </w:pPr>
    <w:rPr>
      <w:rFonts w:ascii="宋体" w:hAnsi="宋体" w:cs="宋体"/>
      <w:kern w:val="0"/>
      <w:sz w:val="24"/>
    </w:rPr>
  </w:style>
  <w:style w:type="paragraph" w:styleId="57">
    <w:name w:val="No Spacing"/>
    <w:autoRedefine/>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8">
    <w:name w:val="标准文件_一级项"/>
    <w:autoRedefine/>
    <w:qFormat/>
    <w:uiPriority w:val="0"/>
    <w:pPr>
      <w:numPr>
        <w:ilvl w:val="0"/>
        <w:numId w:val="6"/>
      </w:numPr>
    </w:pPr>
    <w:rPr>
      <w:rFonts w:ascii="宋体" w:hAnsi="Times New Roman" w:eastAsia="宋体" w:cs="Times New Roman"/>
      <w:sz w:val="21"/>
      <w:lang w:val="en-US" w:eastAsia="zh-CN" w:bidi="ar-SA"/>
    </w:rPr>
  </w:style>
  <w:style w:type="paragraph" w:customStyle="1" w:styleId="59">
    <w:name w:val="普通(网站) Char"/>
    <w:basedOn w:val="1"/>
    <w:qFormat/>
    <w:uiPriority w:val="0"/>
    <w:pPr>
      <w:spacing w:beforeAutospacing="1" w:afterAutospacing="1"/>
      <w:jc w:val="left"/>
    </w:pPr>
    <w:rPr>
      <w:rFonts w:hint="eastAsia" w:ascii="宋体" w:hAnsi="宋体" w:cs="Times New Roman"/>
      <w:kern w:val="0"/>
      <w:sz w:val="24"/>
    </w:rPr>
  </w:style>
  <w:style w:type="paragraph" w:customStyle="1" w:styleId="60">
    <w:name w:val="标准文件_五级无标题"/>
    <w:qFormat/>
    <w:uiPriority w:val="0"/>
    <w:pPr>
      <w:widowControl w:val="0"/>
      <w:numPr>
        <w:ilvl w:val="6"/>
        <w:numId w:val="7"/>
      </w:numPr>
      <w:jc w:val="both"/>
    </w:pPr>
    <w:rPr>
      <w:rFonts w:hint="eastAsia" w:ascii="宋体" w:hAnsi="Times New Roman" w:eastAsia="宋体" w:cs="Times New Roman"/>
      <w:sz w:val="21"/>
      <w:lang w:val="en-US" w:eastAsia="zh-CN" w:bidi="ar-SA"/>
    </w:rPr>
  </w:style>
  <w:style w:type="paragraph" w:customStyle="1" w:styleId="61">
    <w:name w:val="标准文件_注×："/>
    <w:basedOn w:val="1"/>
    <w:qFormat/>
    <w:uiPriority w:val="0"/>
    <w:pPr>
      <w:numPr>
        <w:ilvl w:val="0"/>
        <w:numId w:val="8"/>
      </w:numPr>
      <w:autoSpaceDE w:val="0"/>
      <w:autoSpaceDN w:val="0"/>
    </w:pPr>
    <w:rPr>
      <w:rFonts w:hint="eastAsia" w:ascii="宋体" w:hAnsi="Times New Roman" w:cs="Times New Roman"/>
      <w:kern w:val="0"/>
      <w:sz w:val="18"/>
      <w:szCs w:val="18"/>
    </w:rPr>
  </w:style>
  <w:style w:type="paragraph" w:customStyle="1" w:styleId="62">
    <w:name w:val="标准文件_表格"/>
    <w:basedOn w:val="1"/>
    <w:qFormat/>
    <w:uiPriority w:val="0"/>
    <w:pPr>
      <w:widowControl/>
      <w:autoSpaceDE w:val="0"/>
      <w:autoSpaceDN w:val="0"/>
      <w:jc w:val="center"/>
    </w:pPr>
    <w:rPr>
      <w:rFonts w:hint="eastAsia" w:ascii="宋体" w:hAnsi="Times New Roman" w:cs="Times New Roman"/>
      <w:kern w:val="0"/>
      <w:sz w:val="18"/>
      <w:szCs w:val="20"/>
    </w:rPr>
  </w:style>
  <w:style w:type="paragraph" w:customStyle="1" w:styleId="63">
    <w:name w:val="标准文件_附录表标题"/>
    <w:basedOn w:val="1"/>
    <w:next w:val="1"/>
    <w:qFormat/>
    <w:uiPriority w:val="0"/>
    <w:pPr>
      <w:widowControl/>
      <w:numPr>
        <w:ilvl w:val="1"/>
        <w:numId w:val="9"/>
      </w:numPr>
      <w:adjustRightInd w:val="0"/>
      <w:snapToGrid w:val="0"/>
      <w:spacing w:before="50" w:beforeLines="50" w:after="50" w:afterLines="50"/>
      <w:jc w:val="center"/>
    </w:pPr>
    <w:rPr>
      <w:rFonts w:hint="eastAsia" w:ascii="黑体" w:hAnsi="Times New Roman" w:eastAsia="黑体" w:cs="Times New Roman"/>
      <w:kern w:val="21"/>
      <w:szCs w:val="20"/>
    </w:rPr>
  </w:style>
  <w:style w:type="character" w:customStyle="1" w:styleId="64">
    <w:name w:val="font31"/>
    <w:basedOn w:val="18"/>
    <w:qFormat/>
    <w:uiPriority w:val="0"/>
    <w:rPr>
      <w:rFonts w:hint="eastAsia" w:ascii="宋体" w:hAnsi="宋体" w:eastAsia="宋体" w:cs="宋体"/>
      <w:color w:val="1F2329"/>
      <w:sz w:val="24"/>
      <w:szCs w:val="24"/>
      <w:u w:val="none"/>
    </w:rPr>
  </w:style>
  <w:style w:type="paragraph" w:customStyle="1" w:styleId="65">
    <w:name w:val="标准文件_附录一级条标题"/>
    <w:basedOn w:val="1"/>
    <w:next w:val="1"/>
    <w:qFormat/>
    <w:uiPriority w:val="0"/>
    <w:pPr>
      <w:numPr>
        <w:ilvl w:val="1"/>
        <w:numId w:val="10"/>
      </w:numPr>
      <w:spacing w:before="50" w:beforeLines="50" w:after="50" w:afterLines="50"/>
      <w:outlineLvl w:val="2"/>
    </w:pPr>
    <w:rPr>
      <w:rFonts w:hint="eastAsia" w:ascii="黑体" w:hAnsi="Times New Roman" w:eastAsia="黑体" w:cs="Times New Roman"/>
      <w:kern w:val="21"/>
      <w:szCs w:val="20"/>
    </w:rPr>
  </w:style>
  <w:style w:type="character" w:customStyle="1" w:styleId="66">
    <w:name w:val="标题 字符"/>
    <w:basedOn w:val="18"/>
    <w:link w:val="15"/>
    <w:qFormat/>
    <w:uiPriority w:val="0"/>
    <w:rPr>
      <w:rFonts w:ascii="等线 Light" w:hAnsi="等线 Light" w:eastAsia="等线 Light" w:cs="Times New Roman"/>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35</Pages>
  <Words>20677</Words>
  <Characters>21895</Characters>
  <Lines>158</Lines>
  <Paragraphs>44</Paragraphs>
  <TotalTime>1</TotalTime>
  <ScaleCrop>false</ScaleCrop>
  <LinksUpToDate>false</LinksUpToDate>
  <CharactersWithSpaces>22218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2025-04-23T01:45:00Z</dcterms:created>
  <dc:creator>Administrator</dc:creator>
  <cp:lastModifiedBy>对方正在输入...</cp:lastModifiedBy>
  <cp:lastPrinted>2025-09-04T06:54:00Z</cp:lastPrinted>
  <dcterms:modified xsi:type="dcterms:W3CDTF">2026-03-27T12:36:57Z</dcterms:modified>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6B2579CFF04C4A19A9BB52BCBA419D0D_13</vt:lpwstr>
  </property>
  <property fmtid="{D5CDD505-2E9C-101B-9397-08002B2CF9AE}" pid="4" name="KSOTemplateDocerSaveRecord">
    <vt:lpwstr>eyJoZGlkIjoiNzk2NmE1MTk2OWY2NTk2NmUzMzM1MmVkMTU3ZDcwYjciLCJ1c2VySWQiOiIzMjAyMTY5NjkifQ==</vt:lpwstr>
  </property>
</Properties>
</file>