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8DAA0">
      <w:pPr>
        <w:jc w:val="center"/>
        <w:rPr>
          <w:rFonts w:hint="eastAsia" w:ascii="微软雅黑" w:eastAsia="微软雅黑" w:cs="仿宋_GB2312"/>
          <w:b w:val="0"/>
          <w:bCs/>
          <w:color w:val="000000"/>
          <w:sz w:val="36"/>
          <w:szCs w:val="32"/>
        </w:rPr>
      </w:pPr>
      <w:r>
        <w:rPr>
          <w:rFonts w:hint="eastAsia" w:ascii="微软雅黑" w:eastAsia="微软雅黑" w:cs="仿宋_GB2312"/>
          <w:b w:val="0"/>
          <w:bCs/>
          <w:color w:val="000000"/>
          <w:sz w:val="36"/>
          <w:szCs w:val="32"/>
        </w:rPr>
        <w:t>团体标准《</w:t>
      </w:r>
      <w:r>
        <w:rPr>
          <w:rFonts w:hint="eastAsia" w:ascii="微软雅黑" w:eastAsia="微软雅黑" w:cs="仿宋_GB2312"/>
          <w:b w:val="0"/>
          <w:bCs/>
          <w:color w:val="000000"/>
          <w:sz w:val="36"/>
          <w:szCs w:val="32"/>
          <w:lang w:eastAsia="zh-CN"/>
        </w:rPr>
        <w:t>儿童青少年精神障碍入院风险评估规范</w:t>
      </w:r>
      <w:r>
        <w:rPr>
          <w:rFonts w:hint="eastAsia" w:ascii="微软雅黑" w:eastAsia="微软雅黑" w:cs="仿宋_GB2312"/>
          <w:b w:val="0"/>
          <w:bCs/>
          <w:color w:val="000000"/>
          <w:sz w:val="36"/>
          <w:szCs w:val="32"/>
        </w:rPr>
        <w:t>》</w:t>
      </w:r>
    </w:p>
    <w:p w14:paraId="3849E0FA">
      <w:pPr>
        <w:jc w:val="center"/>
        <w:rPr>
          <w:rFonts w:ascii="微软雅黑" w:eastAsia="微软雅黑" w:cs="仿宋_GB2312"/>
          <w:b w:val="0"/>
          <w:bCs/>
          <w:color w:val="000000"/>
          <w:sz w:val="36"/>
          <w:szCs w:val="32"/>
        </w:rPr>
      </w:pPr>
      <w:r>
        <w:rPr>
          <w:rFonts w:hint="eastAsia" w:ascii="微软雅黑" w:eastAsia="微软雅黑" w:cs="仿宋_GB2312"/>
          <w:b w:val="0"/>
          <w:bCs/>
          <w:color w:val="000000"/>
          <w:sz w:val="36"/>
          <w:szCs w:val="32"/>
        </w:rPr>
        <w:t>（</w:t>
      </w:r>
      <w:r>
        <w:rPr>
          <w:rFonts w:hint="eastAsia" w:ascii="微软雅黑" w:eastAsia="微软雅黑" w:cs="仿宋_GB2312"/>
          <w:b w:val="0"/>
          <w:bCs/>
          <w:color w:val="000000"/>
          <w:sz w:val="36"/>
          <w:szCs w:val="32"/>
          <w:lang w:val="en-US" w:eastAsia="zh-CN"/>
        </w:rPr>
        <w:t>征求意见</w:t>
      </w:r>
      <w:r>
        <w:rPr>
          <w:rFonts w:hint="eastAsia" w:ascii="微软雅黑" w:eastAsia="微软雅黑" w:cs="仿宋_GB2312"/>
          <w:b w:val="0"/>
          <w:bCs/>
          <w:color w:val="000000"/>
          <w:sz w:val="36"/>
          <w:szCs w:val="32"/>
        </w:rPr>
        <w:t>稿）编制说明</w:t>
      </w:r>
    </w:p>
    <w:p w14:paraId="01B1F6BF">
      <w:pPr>
        <w:jc w:val="center"/>
        <w:rPr>
          <w:rFonts w:ascii="微软雅黑" w:eastAsia="微软雅黑" w:cs="仿宋_GB2312"/>
          <w:bCs/>
          <w:color w:val="000000"/>
          <w:sz w:val="18"/>
          <w:szCs w:val="18"/>
        </w:rPr>
      </w:pPr>
    </w:p>
    <w:p w14:paraId="3DA60CA7">
      <w:pPr>
        <w:spacing w:line="520" w:lineRule="exact"/>
        <w:ind w:firstLine="640" w:firstLineChars="200"/>
        <w:rPr>
          <w:rFonts w:ascii="黑体" w:eastAsia="黑体" w:cs="仿宋_GB2312"/>
          <w:bCs/>
          <w:sz w:val="32"/>
          <w:szCs w:val="32"/>
        </w:rPr>
      </w:pPr>
      <w:r>
        <w:rPr>
          <w:rFonts w:hint="eastAsia" w:ascii="黑体" w:eastAsia="黑体" w:cs="仿宋_GB2312"/>
          <w:sz w:val="32"/>
          <w:szCs w:val="32"/>
        </w:rPr>
        <w:t>一、任务来源、起草单位、主要起草人</w:t>
      </w:r>
    </w:p>
    <w:p w14:paraId="7AF89231">
      <w:pPr>
        <w:spacing w:line="520" w:lineRule="exact"/>
        <w:ind w:firstLine="560" w:firstLineChars="200"/>
        <w:rPr>
          <w:rFonts w:ascii="仿宋_GB2312" w:eastAsia="仿宋_GB2312"/>
          <w:sz w:val="28"/>
          <w:szCs w:val="28"/>
        </w:rPr>
      </w:pPr>
      <w:r>
        <w:rPr>
          <w:rFonts w:hint="eastAsia" w:ascii="仿宋_GB2312" w:eastAsia="仿宋_GB2312"/>
          <w:sz w:val="28"/>
          <w:szCs w:val="28"/>
        </w:rPr>
        <w:t>根据《广西标准化协会关于印发2026年第七批团体标准制修订项目计划的通知》（桂标协﹝2026﹞79号）文件精神，由广西医学会提出，广西壮族自治区脑科医院、广西医科大学第二附属医院、广西壮族自治区人民医院、广西壮族自治区荣军优抚医院、桂林市社会福利医院、贺州市第五人民医院、来宾市第二人民医院、防城港市精神病医院、北海市合浦精神病医院等单位共同起草的团体标准《儿童青少年精神障碍入院风险评估规范》（项目编号：2026-0701），已获立项。</w:t>
      </w:r>
    </w:p>
    <w:p w14:paraId="25869A75">
      <w:pPr>
        <w:spacing w:line="520" w:lineRule="exact"/>
        <w:ind w:firstLine="560" w:firstLineChars="200"/>
        <w:rPr>
          <w:rFonts w:hint="default" w:eastAsia="仿宋_GB2312"/>
          <w:color w:val="0000FF"/>
          <w:lang w:val="en-US" w:eastAsia="zh-CN"/>
        </w:rPr>
      </w:pPr>
      <w:r>
        <w:rPr>
          <w:rFonts w:hint="eastAsia" w:ascii="仿宋_GB2312" w:eastAsia="仿宋_GB2312"/>
          <w:sz w:val="28"/>
          <w:szCs w:val="28"/>
        </w:rPr>
        <w:t>为高质量编制团体标准《</w:t>
      </w:r>
      <w:r>
        <w:rPr>
          <w:rFonts w:hint="eastAsia" w:ascii="仿宋_GB2312" w:eastAsia="仿宋_GB2312"/>
          <w:sz w:val="28"/>
          <w:szCs w:val="28"/>
          <w:lang w:eastAsia="zh-CN"/>
        </w:rPr>
        <w:t>儿童青少年精神障碍入院风险评估规范</w:t>
      </w:r>
      <w:r>
        <w:rPr>
          <w:rFonts w:hint="eastAsia" w:ascii="仿宋_GB2312" w:eastAsia="仿宋_GB2312"/>
          <w:sz w:val="28"/>
          <w:szCs w:val="28"/>
        </w:rPr>
        <w:t>》，由起草单位成立标准编制工作组并进行如下分工：</w:t>
      </w:r>
    </w:p>
    <w:tbl>
      <w:tblPr>
        <w:tblStyle w:val="23"/>
        <w:tblW w:w="8924"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759"/>
        <w:gridCol w:w="1420"/>
        <w:gridCol w:w="2271"/>
        <w:gridCol w:w="2625"/>
      </w:tblGrid>
      <w:tr w14:paraId="65EB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0FD94664">
            <w:pPr>
              <w:keepNext w:val="0"/>
              <w:keepLines w:val="0"/>
              <w:widowControl w:val="0"/>
              <w:suppressLineNumbers w:val="0"/>
              <w:tabs>
                <w:tab w:val="center" w:pos="4153"/>
                <w:tab w:val="right" w:pos="8306"/>
              </w:tabs>
              <w:snapToGrid w:val="0"/>
              <w:spacing w:before="0" w:beforeAutospacing="0" w:after="0" w:afterAutospacing="0" w:line="240" w:lineRule="auto"/>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姓名</w:t>
            </w:r>
          </w:p>
        </w:tc>
        <w:tc>
          <w:tcPr>
            <w:tcW w:w="1759" w:type="dxa"/>
            <w:vAlign w:val="center"/>
          </w:tcPr>
          <w:p w14:paraId="7C28B283">
            <w:pPr>
              <w:keepNext w:val="0"/>
              <w:keepLines w:val="0"/>
              <w:widowControl w:val="0"/>
              <w:suppressLineNumbers w:val="0"/>
              <w:tabs>
                <w:tab w:val="center" w:pos="4153"/>
                <w:tab w:val="right" w:pos="8306"/>
              </w:tabs>
              <w:snapToGrid w:val="0"/>
              <w:spacing w:before="0" w:beforeAutospacing="0" w:after="0" w:afterAutospacing="0" w:line="240" w:lineRule="auto"/>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职称/职务</w:t>
            </w:r>
          </w:p>
        </w:tc>
        <w:tc>
          <w:tcPr>
            <w:tcW w:w="1420" w:type="dxa"/>
            <w:vAlign w:val="center"/>
          </w:tcPr>
          <w:p w14:paraId="3DE385BA">
            <w:pPr>
              <w:keepNext w:val="0"/>
              <w:keepLines w:val="0"/>
              <w:widowControl w:val="0"/>
              <w:suppressLineNumbers w:val="0"/>
              <w:tabs>
                <w:tab w:val="center" w:pos="4153"/>
                <w:tab w:val="right" w:pos="8306"/>
              </w:tabs>
              <w:snapToGrid w:val="0"/>
              <w:spacing w:before="0" w:beforeAutospacing="0" w:after="0" w:afterAutospacing="0" w:line="240" w:lineRule="auto"/>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专业</w:t>
            </w:r>
          </w:p>
        </w:tc>
        <w:tc>
          <w:tcPr>
            <w:tcW w:w="2271" w:type="dxa"/>
            <w:vAlign w:val="center"/>
          </w:tcPr>
          <w:p w14:paraId="5660C8C4">
            <w:pPr>
              <w:keepNext w:val="0"/>
              <w:keepLines w:val="0"/>
              <w:widowControl w:val="0"/>
              <w:suppressLineNumbers w:val="0"/>
              <w:tabs>
                <w:tab w:val="center" w:pos="4153"/>
                <w:tab w:val="right" w:pos="8306"/>
              </w:tabs>
              <w:snapToGrid w:val="0"/>
              <w:spacing w:before="0" w:beforeAutospacing="0" w:after="0" w:afterAutospacing="0" w:line="240" w:lineRule="auto"/>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工作单位</w:t>
            </w:r>
          </w:p>
        </w:tc>
        <w:tc>
          <w:tcPr>
            <w:tcW w:w="2625" w:type="dxa"/>
            <w:vAlign w:val="center"/>
          </w:tcPr>
          <w:p w14:paraId="72B42D60">
            <w:pPr>
              <w:keepNext w:val="0"/>
              <w:keepLines w:val="0"/>
              <w:widowControl w:val="0"/>
              <w:suppressLineNumbers w:val="0"/>
              <w:tabs>
                <w:tab w:val="center" w:pos="4153"/>
                <w:tab w:val="right" w:pos="8306"/>
              </w:tabs>
              <w:snapToGrid w:val="0"/>
              <w:spacing w:before="0" w:beforeAutospacing="0" w:after="0" w:afterAutospacing="0" w:line="240" w:lineRule="auto"/>
              <w:ind w:left="0" w:right="0"/>
              <w:jc w:val="center"/>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职责分工</w:t>
            </w:r>
          </w:p>
        </w:tc>
      </w:tr>
      <w:tr w14:paraId="47FC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1E990EA3">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杨盼</w:t>
            </w:r>
          </w:p>
        </w:tc>
        <w:tc>
          <w:tcPr>
            <w:tcW w:w="1759" w:type="dxa"/>
            <w:vAlign w:val="center"/>
          </w:tcPr>
          <w:p w14:paraId="5E8C3F52">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科室副主任/副主任医师</w:t>
            </w:r>
          </w:p>
        </w:tc>
        <w:tc>
          <w:tcPr>
            <w:tcW w:w="1420" w:type="dxa"/>
            <w:vAlign w:val="center"/>
          </w:tcPr>
          <w:p w14:paraId="158966A6">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1559D696">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广西壮族自治区脑科医院</w:t>
            </w:r>
          </w:p>
        </w:tc>
        <w:tc>
          <w:tcPr>
            <w:tcW w:w="2625" w:type="dxa"/>
            <w:vAlign w:val="center"/>
          </w:tcPr>
          <w:p w14:paraId="1EB93519">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统筹主持标准编制工作</w:t>
            </w:r>
          </w:p>
        </w:tc>
      </w:tr>
      <w:tr w14:paraId="4E44F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0F31107E">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韦鑫</w:t>
            </w:r>
          </w:p>
        </w:tc>
        <w:tc>
          <w:tcPr>
            <w:tcW w:w="1759" w:type="dxa"/>
            <w:vAlign w:val="center"/>
          </w:tcPr>
          <w:p w14:paraId="2A787427">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副院长/副主任医师</w:t>
            </w:r>
          </w:p>
        </w:tc>
        <w:tc>
          <w:tcPr>
            <w:tcW w:w="1420" w:type="dxa"/>
            <w:vAlign w:val="center"/>
          </w:tcPr>
          <w:p w14:paraId="2DCF28DC">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1A8FD82F">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广西壮族自治区脑科医院</w:t>
            </w:r>
          </w:p>
        </w:tc>
        <w:tc>
          <w:tcPr>
            <w:tcW w:w="2625" w:type="dxa"/>
            <w:vAlign w:val="center"/>
          </w:tcPr>
          <w:p w14:paraId="7865688A">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参与标准文本及编制说明编写，质量控制</w:t>
            </w:r>
          </w:p>
        </w:tc>
      </w:tr>
      <w:tr w14:paraId="78A1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45863385">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郁镠宇</w:t>
            </w:r>
          </w:p>
        </w:tc>
        <w:tc>
          <w:tcPr>
            <w:tcW w:w="1759" w:type="dxa"/>
            <w:vAlign w:val="center"/>
          </w:tcPr>
          <w:p w14:paraId="7BAB419C">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科主任/主任医师</w:t>
            </w:r>
          </w:p>
        </w:tc>
        <w:tc>
          <w:tcPr>
            <w:tcW w:w="1420" w:type="dxa"/>
            <w:vAlign w:val="center"/>
          </w:tcPr>
          <w:p w14:paraId="714BCB60">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30B6D328">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广西医科大学第二附属医院</w:t>
            </w:r>
          </w:p>
        </w:tc>
        <w:tc>
          <w:tcPr>
            <w:tcW w:w="2625" w:type="dxa"/>
            <w:vAlign w:val="center"/>
          </w:tcPr>
          <w:p w14:paraId="3F130F5E">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参与标准文本及编制说明编写，质量控制</w:t>
            </w:r>
          </w:p>
        </w:tc>
      </w:tr>
      <w:tr w14:paraId="418E0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4B60BD5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梁佳</w:t>
            </w:r>
          </w:p>
        </w:tc>
        <w:tc>
          <w:tcPr>
            <w:tcW w:w="1759" w:type="dxa"/>
            <w:vAlign w:val="center"/>
          </w:tcPr>
          <w:p w14:paraId="556490BB">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科主任/主任医师</w:t>
            </w:r>
          </w:p>
        </w:tc>
        <w:tc>
          <w:tcPr>
            <w:tcW w:w="1420" w:type="dxa"/>
            <w:vAlign w:val="center"/>
          </w:tcPr>
          <w:p w14:paraId="178AE1BC">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0C626329">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广西壮族自治区人民医院</w:t>
            </w:r>
          </w:p>
        </w:tc>
        <w:tc>
          <w:tcPr>
            <w:tcW w:w="2625" w:type="dxa"/>
            <w:vAlign w:val="center"/>
          </w:tcPr>
          <w:p w14:paraId="337CDD8C">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参与标准编制工作，组织人员进行标准发布后的宣贯培训</w:t>
            </w:r>
          </w:p>
        </w:tc>
      </w:tr>
      <w:tr w14:paraId="6747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25A0927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潘江艳</w:t>
            </w:r>
          </w:p>
        </w:tc>
        <w:tc>
          <w:tcPr>
            <w:tcW w:w="1759" w:type="dxa"/>
            <w:vAlign w:val="center"/>
          </w:tcPr>
          <w:p w14:paraId="33073443">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科主任/主任医师</w:t>
            </w:r>
          </w:p>
        </w:tc>
        <w:tc>
          <w:tcPr>
            <w:tcW w:w="1420" w:type="dxa"/>
            <w:vAlign w:val="center"/>
          </w:tcPr>
          <w:p w14:paraId="38A59CF3">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6B469B5F">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广西壮族自治区脑科医院</w:t>
            </w:r>
          </w:p>
        </w:tc>
        <w:tc>
          <w:tcPr>
            <w:tcW w:w="2625" w:type="dxa"/>
            <w:vAlign w:val="center"/>
          </w:tcPr>
          <w:p w14:paraId="0EE9960C">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参与标准文本及编制说明编写，质量控制</w:t>
            </w:r>
          </w:p>
        </w:tc>
      </w:tr>
      <w:tr w14:paraId="603FB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0A66BB5C">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黄媛媛</w:t>
            </w:r>
          </w:p>
        </w:tc>
        <w:tc>
          <w:tcPr>
            <w:tcW w:w="1759" w:type="dxa"/>
            <w:vAlign w:val="center"/>
          </w:tcPr>
          <w:p w14:paraId="6BAEF0BA">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科主任/副主任医师</w:t>
            </w:r>
          </w:p>
        </w:tc>
        <w:tc>
          <w:tcPr>
            <w:tcW w:w="1420" w:type="dxa"/>
            <w:vAlign w:val="center"/>
          </w:tcPr>
          <w:p w14:paraId="712F180D">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27817DA0">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桂林市社会福利医院</w:t>
            </w:r>
          </w:p>
        </w:tc>
        <w:tc>
          <w:tcPr>
            <w:tcW w:w="2625" w:type="dxa"/>
            <w:vAlign w:val="center"/>
          </w:tcPr>
          <w:p w14:paraId="382A38BD">
            <w:pPr>
              <w:keepNext w:val="0"/>
              <w:keepLines w:val="0"/>
              <w:suppressLineNumbers w:val="0"/>
              <w:spacing w:before="0" w:beforeAutospacing="0" w:after="0" w:afterAutospacing="0"/>
              <w:ind w:left="0" w:right="0"/>
              <w:jc w:val="center"/>
              <w:rPr>
                <w:rFonts w:hint="eastAsia" w:ascii="仿宋_GB2312" w:eastAsia="仿宋_GB2312"/>
                <w:sz w:val="21"/>
                <w:szCs w:val="21"/>
                <w:lang w:val="en-US" w:eastAsia="zh-CN"/>
              </w:rPr>
            </w:pPr>
            <w:r>
              <w:rPr>
                <w:rFonts w:hint="eastAsia" w:ascii="仿宋_GB2312" w:hAnsi="仿宋_GB2312" w:eastAsia="仿宋_GB2312" w:cs="仿宋_GB2312"/>
                <w:sz w:val="21"/>
                <w:szCs w:val="21"/>
                <w:lang w:bidi="ar"/>
              </w:rPr>
              <w:t>组织开展标准征求意见会；不断对标准提出修正意见</w:t>
            </w:r>
          </w:p>
        </w:tc>
      </w:tr>
      <w:tr w14:paraId="61D0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2C55ADA1">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黄光影</w:t>
            </w:r>
          </w:p>
        </w:tc>
        <w:tc>
          <w:tcPr>
            <w:tcW w:w="1759" w:type="dxa"/>
            <w:vAlign w:val="center"/>
          </w:tcPr>
          <w:p w14:paraId="0B7DF61A">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副院长/副主任医师</w:t>
            </w:r>
          </w:p>
        </w:tc>
        <w:tc>
          <w:tcPr>
            <w:tcW w:w="1420" w:type="dxa"/>
            <w:vAlign w:val="center"/>
          </w:tcPr>
          <w:p w14:paraId="4E62FD8F">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7EE8C2D2">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贺州市第五人民医院</w:t>
            </w:r>
          </w:p>
        </w:tc>
        <w:tc>
          <w:tcPr>
            <w:tcW w:w="2625" w:type="dxa"/>
            <w:vAlign w:val="center"/>
          </w:tcPr>
          <w:p w14:paraId="651B6C6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bidi="ar"/>
              </w:rPr>
            </w:pPr>
            <w:r>
              <w:rPr>
                <w:rFonts w:hint="eastAsia" w:ascii="仿宋_GB2312" w:hAnsi="仿宋_GB2312" w:eastAsia="仿宋_GB2312" w:cs="仿宋_GB2312"/>
                <w:sz w:val="21"/>
                <w:szCs w:val="21"/>
                <w:lang w:bidi="ar"/>
              </w:rPr>
              <w:t>组织开展标准征求意见会；不断对标准提出修正意见</w:t>
            </w:r>
          </w:p>
        </w:tc>
      </w:tr>
      <w:tr w14:paraId="0CF37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vAlign w:val="center"/>
          </w:tcPr>
          <w:p w14:paraId="06E87B97">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周景方</w:t>
            </w:r>
          </w:p>
        </w:tc>
        <w:tc>
          <w:tcPr>
            <w:tcW w:w="1759" w:type="dxa"/>
            <w:vAlign w:val="center"/>
          </w:tcPr>
          <w:p w14:paraId="5BC91A8A">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副院长/副主任医师</w:t>
            </w:r>
          </w:p>
        </w:tc>
        <w:tc>
          <w:tcPr>
            <w:tcW w:w="1420" w:type="dxa"/>
            <w:vAlign w:val="center"/>
          </w:tcPr>
          <w:p w14:paraId="291D036C">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2B238383">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来宾市第二人民医院</w:t>
            </w:r>
          </w:p>
        </w:tc>
        <w:tc>
          <w:tcPr>
            <w:tcW w:w="2625" w:type="dxa"/>
            <w:vAlign w:val="center"/>
          </w:tcPr>
          <w:p w14:paraId="03D0054B">
            <w:pPr>
              <w:keepNext w:val="0"/>
              <w:keepLines w:val="0"/>
              <w:suppressLineNumbers w:val="0"/>
              <w:spacing w:before="0" w:beforeAutospacing="0" w:after="0" w:afterAutospacing="0"/>
              <w:ind w:left="0" w:right="0"/>
              <w:jc w:val="both"/>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1"/>
                <w:szCs w:val="21"/>
                <w:lang w:bidi="ar"/>
              </w:rPr>
              <w:t>组织开展标准征求意见会；不断对标准提出修正意见</w:t>
            </w:r>
          </w:p>
        </w:tc>
      </w:tr>
      <w:tr w14:paraId="7068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49" w:type="dxa"/>
            <w:vAlign w:val="center"/>
          </w:tcPr>
          <w:p w14:paraId="6E60504B">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黄燕</w:t>
            </w:r>
          </w:p>
        </w:tc>
        <w:tc>
          <w:tcPr>
            <w:tcW w:w="1759" w:type="dxa"/>
            <w:vAlign w:val="center"/>
          </w:tcPr>
          <w:p w14:paraId="2C3F4801">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科主任/主治医师</w:t>
            </w:r>
          </w:p>
        </w:tc>
        <w:tc>
          <w:tcPr>
            <w:tcW w:w="1420" w:type="dxa"/>
            <w:vAlign w:val="center"/>
          </w:tcPr>
          <w:p w14:paraId="5DD950BF">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2094D478">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广西壮族自治区第二荣军优抚医院</w:t>
            </w:r>
          </w:p>
        </w:tc>
        <w:tc>
          <w:tcPr>
            <w:tcW w:w="2625" w:type="dxa"/>
            <w:vAlign w:val="center"/>
          </w:tcPr>
          <w:p w14:paraId="5ACFAA8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bidi="ar"/>
              </w:rPr>
            </w:pPr>
            <w:r>
              <w:rPr>
                <w:rFonts w:hint="eastAsia" w:ascii="仿宋_GB2312" w:hAnsi="仿宋_GB2312" w:eastAsia="仿宋_GB2312" w:cs="仿宋_GB2312"/>
                <w:sz w:val="21"/>
                <w:szCs w:val="21"/>
                <w:lang w:bidi="ar"/>
              </w:rPr>
              <w:t>组织开展标准征求意见会；不断对标准提出修正意见</w:t>
            </w:r>
          </w:p>
        </w:tc>
      </w:tr>
      <w:tr w14:paraId="0700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49" w:type="dxa"/>
            <w:vAlign w:val="center"/>
          </w:tcPr>
          <w:p w14:paraId="6897A2AB">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颜以庚</w:t>
            </w:r>
          </w:p>
        </w:tc>
        <w:tc>
          <w:tcPr>
            <w:tcW w:w="1759" w:type="dxa"/>
            <w:vAlign w:val="center"/>
          </w:tcPr>
          <w:p w14:paraId="1AB22033">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副院长/副主任医师</w:t>
            </w:r>
          </w:p>
        </w:tc>
        <w:tc>
          <w:tcPr>
            <w:tcW w:w="1420" w:type="dxa"/>
            <w:vAlign w:val="center"/>
          </w:tcPr>
          <w:p w14:paraId="1771EC9E">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51D53698">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北海市合浦精神病医院</w:t>
            </w:r>
          </w:p>
        </w:tc>
        <w:tc>
          <w:tcPr>
            <w:tcW w:w="2625" w:type="dxa"/>
            <w:vAlign w:val="center"/>
          </w:tcPr>
          <w:p w14:paraId="6402522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1"/>
                <w:szCs w:val="21"/>
                <w:lang w:bidi="ar"/>
              </w:rPr>
            </w:pPr>
            <w:r>
              <w:rPr>
                <w:rFonts w:hint="eastAsia" w:ascii="仿宋_GB2312" w:hAnsi="仿宋_GB2312" w:eastAsia="仿宋_GB2312" w:cs="仿宋_GB2312"/>
                <w:sz w:val="21"/>
                <w:szCs w:val="21"/>
                <w:lang w:bidi="ar"/>
              </w:rPr>
              <w:t>组织开展标准征求意见会；不断对标准提出修正意见</w:t>
            </w:r>
          </w:p>
        </w:tc>
      </w:tr>
      <w:tr w14:paraId="4EB21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49" w:type="dxa"/>
            <w:vAlign w:val="center"/>
          </w:tcPr>
          <w:p w14:paraId="7F4544C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李翠兰</w:t>
            </w:r>
          </w:p>
        </w:tc>
        <w:tc>
          <w:tcPr>
            <w:tcW w:w="1759" w:type="dxa"/>
            <w:vAlign w:val="center"/>
          </w:tcPr>
          <w:p w14:paraId="15402B7F">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科主任/副主任医师</w:t>
            </w:r>
          </w:p>
        </w:tc>
        <w:tc>
          <w:tcPr>
            <w:tcW w:w="1420" w:type="dxa"/>
            <w:vAlign w:val="center"/>
          </w:tcPr>
          <w:p w14:paraId="1BF9FF86">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5F224863">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防城港市精神病医院</w:t>
            </w:r>
          </w:p>
        </w:tc>
        <w:tc>
          <w:tcPr>
            <w:tcW w:w="2625" w:type="dxa"/>
            <w:vAlign w:val="center"/>
          </w:tcPr>
          <w:p w14:paraId="6A6FAFD6">
            <w:pPr>
              <w:keepNext w:val="0"/>
              <w:keepLines w:val="0"/>
              <w:suppressLineNumbers w:val="0"/>
              <w:spacing w:before="0" w:beforeAutospacing="0" w:after="0" w:afterAutospacing="0"/>
              <w:ind w:left="0" w:leftChars="0" w:right="0" w:rightChars="0"/>
              <w:jc w:val="both"/>
              <w:rPr>
                <w:rFonts w:hint="eastAsia" w:ascii="仿宋_GB2312" w:hAnsi="仿宋_GB2312" w:eastAsia="仿宋_GB2312" w:cs="仿宋_GB2312"/>
                <w:sz w:val="21"/>
                <w:szCs w:val="21"/>
                <w:lang w:bidi="ar"/>
              </w:rPr>
            </w:pPr>
            <w:r>
              <w:rPr>
                <w:rFonts w:hint="eastAsia" w:ascii="仿宋_GB2312" w:hAnsi="仿宋_GB2312" w:eastAsia="仿宋_GB2312" w:cs="仿宋_GB2312"/>
                <w:sz w:val="21"/>
                <w:szCs w:val="21"/>
                <w:lang w:bidi="ar"/>
              </w:rPr>
              <w:t>组织开展标准征求意见会；不断对标准提出修正意见</w:t>
            </w:r>
          </w:p>
        </w:tc>
      </w:tr>
      <w:tr w14:paraId="68AF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49" w:type="dxa"/>
            <w:vAlign w:val="center"/>
          </w:tcPr>
          <w:p w14:paraId="3DD2E337">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黄蓓</w:t>
            </w:r>
          </w:p>
        </w:tc>
        <w:tc>
          <w:tcPr>
            <w:tcW w:w="1759" w:type="dxa"/>
            <w:vAlign w:val="center"/>
          </w:tcPr>
          <w:p w14:paraId="4FEC514E">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主治医师</w:t>
            </w:r>
          </w:p>
        </w:tc>
        <w:tc>
          <w:tcPr>
            <w:tcW w:w="1420" w:type="dxa"/>
            <w:vAlign w:val="center"/>
          </w:tcPr>
          <w:p w14:paraId="306BCC51">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6C67030D">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广西壮族自治区脑科医院</w:t>
            </w:r>
          </w:p>
        </w:tc>
        <w:tc>
          <w:tcPr>
            <w:tcW w:w="2625" w:type="dxa"/>
            <w:vAlign w:val="center"/>
          </w:tcPr>
          <w:p w14:paraId="528F259D">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bidi="ar"/>
              </w:rPr>
            </w:pPr>
            <w:r>
              <w:rPr>
                <w:rFonts w:hint="eastAsia" w:ascii="仿宋_GB2312" w:hAnsi="仿宋_GB2312" w:eastAsia="仿宋_GB2312" w:cs="仿宋_GB2312"/>
                <w:sz w:val="21"/>
                <w:szCs w:val="21"/>
                <w:lang w:bidi="ar"/>
              </w:rPr>
              <w:t>组织开展标准征求意见会；不断对标准提出修正意见</w:t>
            </w:r>
          </w:p>
        </w:tc>
      </w:tr>
      <w:tr w14:paraId="4691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49" w:type="dxa"/>
            <w:vAlign w:val="center"/>
          </w:tcPr>
          <w:p w14:paraId="5568E222">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陆丽花</w:t>
            </w:r>
          </w:p>
        </w:tc>
        <w:tc>
          <w:tcPr>
            <w:tcW w:w="1759" w:type="dxa"/>
            <w:vAlign w:val="center"/>
          </w:tcPr>
          <w:p w14:paraId="217BA48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主治医师</w:t>
            </w:r>
          </w:p>
        </w:tc>
        <w:tc>
          <w:tcPr>
            <w:tcW w:w="1420" w:type="dxa"/>
            <w:vAlign w:val="center"/>
          </w:tcPr>
          <w:p w14:paraId="2D22C9AC">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精神卫生</w:t>
            </w:r>
          </w:p>
        </w:tc>
        <w:tc>
          <w:tcPr>
            <w:tcW w:w="2271" w:type="dxa"/>
            <w:vAlign w:val="center"/>
          </w:tcPr>
          <w:p w14:paraId="28DEC560">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val="en-US" w:eastAsia="zh-CN" w:bidi="ar"/>
              </w:rPr>
            </w:pPr>
            <w:r>
              <w:rPr>
                <w:rFonts w:hint="eastAsia" w:ascii="仿宋_GB2312" w:hAnsi="仿宋_GB2312" w:eastAsia="仿宋_GB2312" w:cs="仿宋_GB2312"/>
                <w:sz w:val="21"/>
                <w:szCs w:val="21"/>
                <w:lang w:val="en-US" w:eastAsia="zh-CN" w:bidi="ar"/>
              </w:rPr>
              <w:t>广西壮族自治区脑科医院</w:t>
            </w:r>
          </w:p>
        </w:tc>
        <w:tc>
          <w:tcPr>
            <w:tcW w:w="2625" w:type="dxa"/>
            <w:vAlign w:val="center"/>
          </w:tcPr>
          <w:p w14:paraId="0A957376">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1"/>
                <w:szCs w:val="21"/>
                <w:lang w:bidi="ar"/>
              </w:rPr>
            </w:pPr>
            <w:r>
              <w:rPr>
                <w:rFonts w:hint="eastAsia" w:ascii="仿宋_GB2312" w:hAnsi="仿宋_GB2312" w:eastAsia="仿宋_GB2312" w:cs="仿宋_GB2312"/>
                <w:sz w:val="21"/>
                <w:szCs w:val="21"/>
                <w:lang w:bidi="ar"/>
              </w:rPr>
              <w:t>组织开展标准征求意见会；不断对标准提出修正意见</w:t>
            </w:r>
          </w:p>
        </w:tc>
      </w:tr>
    </w:tbl>
    <w:p w14:paraId="5495D506">
      <w:pPr>
        <w:spacing w:line="520" w:lineRule="exact"/>
        <w:ind w:firstLine="640" w:firstLineChars="200"/>
        <w:rPr>
          <w:rFonts w:ascii="黑体" w:eastAsia="黑体" w:cs="仿宋_GB2312"/>
          <w:sz w:val="32"/>
          <w:szCs w:val="32"/>
        </w:rPr>
      </w:pPr>
      <w:bookmarkStart w:id="6" w:name="_GoBack"/>
      <w:bookmarkEnd w:id="6"/>
      <w:r>
        <w:rPr>
          <w:rFonts w:hint="eastAsia" w:ascii="黑体" w:eastAsia="黑体" w:cs="仿宋_GB2312"/>
          <w:sz w:val="32"/>
          <w:szCs w:val="32"/>
        </w:rPr>
        <w:t>二、制定标准的必要性和意义</w:t>
      </w:r>
    </w:p>
    <w:p w14:paraId="6F950574">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习近平总书记在党的二十大报告中强调，要重视心理健康和精神卫生。心理健康和精神卫生是健康的重要组成部分，儿童青少年的健康成长牵动着千家万户，加强心理健康促进工作是保障儿童青少年健康成长的必然要求。国家卫生健康委将第32个“世界精神卫生日”宣传主题确定为“促进儿童心理健康 共同守护美好未来”，呼吁全社会共同关注儿童青少年心理健康，增进健康福祉。从2021年起，我国在重大公共卫生项目中设立儿童青少年心理健康促进试点项目，开展社会动员、科普宣传、筛查评估等工作，不断总结经验并推广。2023年，国家卫生健康委会同有关部门印发《关于加强心理健康服务的有关意见》，对儿童青少年心理健康工作作出具体部署；同时，多部门联合开展全国社会心理服务体系试点，将完善教育系统心理服务网络、加强各阶段学生心理健康教育、心理辅导与支持作为重点。2023年，教育部、国家卫生健康委等17个部门联合印发《全面加强和改进新时代学生心理健康工作专项行动计划（2023—2025 年）》，标志着学生心理健康工作上升为国家战略，摆在更加突出重要的位置。2025年，教育部出台《进一步加强中小学生心理健康工作十条措施》，国家卫生健康委等部门启动儿科和精神卫生服务年行动，进一步强化学生心理健康监测、服务供给与减负增效。2025年底至2026年，《儿童青少年“五健”促进行动计划（2026—2030年）》《关于全面推进健康学校建设的指导意见》等政策相继发布，将心理健康服务延伸至0—6岁学龄前儿童，完善全年龄段、全方位、多部门协同的心理健康促进体系，推动我国儿童青少年心理健康工作从体系构建迈向系统化、常态化、高质量落地实施。</w:t>
      </w:r>
    </w:p>
    <w:p w14:paraId="1BE08133">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精神障碍的诊断不同于大多数其他疾病｡它依赖于对症状的主观报告和功能损害的程度｡在儿童精神病学领域,父母或老师认为严重的、值得注意的问题，是由普遍的文化信仰和价值观形成的，因此，某些症状的识别和损害的标识取决于特定文化所接受的行为规范。近年来，家庭和学校对儿童青少年心理健康问题的重视程度不断提高，社会对精神疾病的“污名化”现象有所减少。越来越多的家长和教师意识到心理健康问题对孩子成长的影响，主动寻求专业帮助的意愿增强。在对医疗机构研究时发现，2021-2024年，广西儿童青少年精神障碍新入院患者共10775例，新入院人数以平均每年35-40％左右的年度变化百分率相对平稳上升。但仍存在以下问题：社会对常见精神障碍和心理行为问题的认知率较低，大部分未成年人及其家属仍然有较为强烈的病耻感，部分家长缺乏科学防治知识和主动就医意识。</w:t>
      </w:r>
    </w:p>
    <w:p w14:paraId="1ABB35D9">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经编制组前期调研调查显示，广西区内需要进行儿童青少年精神障碍入院风险评估儿童青少年人群大概占比估算至少90%以上，儿童青少年精神障碍入院风险评估在广西各家精神专科医院（广西脑科医院、广西壮族自治区脑科医院、玉林市第四人民医院、广西医科大学附属第一医院、广西区人民医院、南宁市社会福利医院、梧州市第二人民医院、南宁市第一人民医院、南宁市社会福利医院、桂林市社会福利医院等）均有应用，但评估人员要求、评估方法、评估工具、评估方式尚未达成共识，效果欠理想。</w:t>
      </w:r>
    </w:p>
    <w:p w14:paraId="49E10FBF">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通过制定团体标准《儿童青少年精神障碍入院风险评估规范》，以标准为抓手，统一规范儿童青少年精神障碍入院风险评估涉及的术语和定义、评估原则、评估人员要求、评估流程及要求等要求，用标准化和规范化将更好的指导儿童青少年精神障碍入院风险评估工作，对促进医疗机构工作职能社会化、精细化、效益化发展，有助于完善医疗机构儿童青少年精神障碍入院风险评估标准化体系，尽快建立统一完善的儿童青少年精神障碍入院风险评估操作体系，对促进儿童青少年精神障碍入院风险评估操作专业化具有重要意义。因此制定团体标准《儿童青少年精神障碍入院风险评估规范》对贯彻儿童青少年优先发展理念，确保儿童青少年健康事业可持续发展的要求与地区经济社会发展非常紧密、非常必要。</w:t>
      </w:r>
    </w:p>
    <w:p w14:paraId="178F0FD7">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据统计，我国精神心理疾病患病率约17.5%，青少年患病率逐年上升，就诊率却不足25%，许多患者因此延误最佳治疗时机。2019年至2021年间，中国某三级医院精神科住院的儿童青少年患者中，最常见的五类疾病分别为：抑郁障碍（35.3%）、精神分裂症及其他原发性精神病性障碍（29.7%）、双相障碍（8.7%）、焦虑障碍（7.4%）和神经发育障碍（6.4%）。这表明，抑郁障碍和精神分裂症是儿童青少年精神障碍住院的主要原因。此外，儿童青少年住院患者的比例逐年上升，从2019年的5.8%上升至2021年的9.8%，显示出儿童青少年精神障碍的患病率和住院需求在不断增长。尽管儿童青少年精神障碍的住院需求在不断上升，但我国目前的精神卫生资源仍然严重不足。例如，各医院儿童青少年精神科床位数量平均为27.7±22.9张，儿童青少年精神科床位占比平均为3.2%，有6家医院尚未设置儿童青少年精神科床位。此外，经济发达地区与欠发达地区在儿童青少年精神科床位数量和占比方面存在显著差异，经济欠发达地区的床位数量和占比明显低于经济发达地区。这表明，我国儿童青少年精神障碍的医疗资源分布不均，且总体上资源匮乏。</w:t>
      </w:r>
    </w:p>
    <w:p w14:paraId="0E532940">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据前期调查，目前广西儿童青少年精神健康服务存在明显的规范缺失和资源碎片化问题：1.评估标准不一：广西各精神专科医院在儿童青少年精神障碍的入院风险评估及干预方面“尚未达成共识”，干预人员资质、方式及内容缺乏统一标准；2.资源分布不均：全区仍有66个县（区）无公立精神卫生医疗机构，基层筛查能力薄弱；3.转诊机制缺失：学校心理问题识别与医疗机构收治之间缺乏规范化转介通道，导致高风险患者无法及时获得专科干预。</w:t>
      </w:r>
    </w:p>
    <w:p w14:paraId="64994944">
      <w:pPr>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儿童青少年精神障碍的入院风险评估是一个复杂的过程，涉及临床特征、社会因素、家庭环境和医疗资源等多个方面。目前，我国儿童青少年精神障碍的住院需求在不断上升，但医疗资源仍然严重不足。通过加强儿童青少年精神科的建设、优化非自愿住院和约束隔离措施的使用标准、推广风险评估工具的应用、加强家庭支持和父母教育，以及推动社区与医院的协作，可以有效降低儿童青少年精神障碍的住院风险，提高治疗效果，保障患者的身心健康。因此，针对儿童青少年精神障碍入院风险评估影响因素，制定团体标准《儿童青少年精神障碍入院风险评估规范》十分紧迫，规范相关的综合措施显得至关重要。</w:t>
      </w:r>
    </w:p>
    <w:p w14:paraId="32D264E7">
      <w:pPr>
        <w:spacing w:line="520" w:lineRule="exact"/>
        <w:ind w:firstLine="560" w:firstLineChars="200"/>
        <w:rPr>
          <w:rFonts w:ascii="仿宋_GB2312" w:eastAsia="仿宋_GB2312"/>
          <w:sz w:val="28"/>
          <w:szCs w:val="28"/>
        </w:rPr>
      </w:pPr>
      <w:r>
        <w:rPr>
          <w:rFonts w:hint="eastAsia" w:ascii="仿宋_GB2312" w:eastAsia="仿宋_GB2312"/>
          <w:sz w:val="28"/>
          <w:szCs w:val="28"/>
        </w:rPr>
        <w:t>通过制定《儿童青少年精神障碍入院风险评估规范》，以标准为抓手，统一规范儿童青少年精神障碍入院风险评估要求，对加强儿童青少年精神科的建设、优化非自愿住院和约束隔离措施的使用标准、推广风险评估工具的应用、加强家庭支持和父母教育，以及推动社区与医院的协作，可以有效降低儿童青少年精神障碍的住院风险，提高治疗效果，保障儿童青少年患者的身心健康具有重要意义。</w:t>
      </w:r>
    </w:p>
    <w:p w14:paraId="3E8AE2E3">
      <w:pPr>
        <w:autoSpaceDE w:val="0"/>
        <w:autoSpaceDN w:val="0"/>
        <w:adjustRightInd w:val="0"/>
        <w:spacing w:line="520" w:lineRule="exact"/>
        <w:ind w:firstLine="640" w:firstLineChars="200"/>
        <w:jc w:val="left"/>
        <w:rPr>
          <w:rFonts w:ascii="黑体" w:eastAsia="黑体" w:cs="仿宋_GB2312"/>
          <w:sz w:val="32"/>
          <w:szCs w:val="32"/>
        </w:rPr>
      </w:pPr>
      <w:r>
        <w:rPr>
          <w:rFonts w:hint="eastAsia" w:ascii="黑体" w:eastAsia="黑体" w:cs="仿宋_GB2312"/>
          <w:sz w:val="32"/>
          <w:szCs w:val="32"/>
        </w:rPr>
        <w:t>三、主要起草过程</w:t>
      </w:r>
    </w:p>
    <w:p w14:paraId="2F2453D7">
      <w:pPr>
        <w:spacing w:line="520" w:lineRule="exact"/>
        <w:ind w:firstLine="562" w:firstLineChars="200"/>
        <w:rPr>
          <w:rFonts w:ascii="仿宋_GB2312" w:eastAsia="仿宋_GB2312"/>
          <w:sz w:val="28"/>
          <w:szCs w:val="28"/>
        </w:rPr>
      </w:pPr>
      <w:r>
        <w:rPr>
          <w:rFonts w:hint="eastAsia" w:ascii="仿宋_GB2312" w:eastAsia="仿宋_GB2312" w:cs="仿宋_GB2312"/>
          <w:b/>
          <w:sz w:val="28"/>
          <w:szCs w:val="28"/>
        </w:rPr>
        <w:t>（一）成立标准编制工作组</w:t>
      </w:r>
    </w:p>
    <w:p w14:paraId="7D731110">
      <w:pPr>
        <w:spacing w:line="520" w:lineRule="exact"/>
        <w:ind w:firstLine="560" w:firstLineChars="200"/>
        <w:jc w:val="left"/>
        <w:rPr>
          <w:rFonts w:ascii="仿宋_GB2312" w:eastAsia="仿宋_GB2312"/>
          <w:sz w:val="28"/>
          <w:szCs w:val="28"/>
        </w:rPr>
      </w:pPr>
      <w:r>
        <w:rPr>
          <w:rFonts w:hint="eastAsia" w:ascii="仿宋_GB2312" w:hAnsi="宋体" w:eastAsia="仿宋_GB2312"/>
          <w:sz w:val="28"/>
          <w:szCs w:val="28"/>
        </w:rPr>
        <w:t>团体标准</w:t>
      </w:r>
      <w:r>
        <w:rPr>
          <w:rFonts w:hint="eastAsia" w:ascii="仿宋_GB2312" w:eastAsia="仿宋_GB2312"/>
          <w:sz w:val="28"/>
          <w:szCs w:val="28"/>
        </w:rPr>
        <w:t>《</w:t>
      </w:r>
      <w:r>
        <w:rPr>
          <w:rFonts w:hint="eastAsia" w:ascii="仿宋_GB2312" w:eastAsia="仿宋_GB2312"/>
          <w:sz w:val="28"/>
          <w:szCs w:val="28"/>
          <w:lang w:eastAsia="zh-CN"/>
        </w:rPr>
        <w:t>儿童青少年精神障碍入院风险评估规范</w:t>
      </w:r>
      <w:r>
        <w:rPr>
          <w:rFonts w:hint="eastAsia" w:ascii="仿宋_GB2312" w:eastAsia="仿宋_GB2312"/>
          <w:sz w:val="28"/>
          <w:szCs w:val="28"/>
        </w:rPr>
        <w:t>》项目任务下达后，</w:t>
      </w:r>
      <w:r>
        <w:rPr>
          <w:rFonts w:hint="eastAsia" w:ascii="仿宋_GB2312" w:eastAsia="仿宋_GB2312"/>
          <w:sz w:val="28"/>
          <w:szCs w:val="28"/>
          <w:lang w:val="en-US" w:eastAsia="zh-CN"/>
        </w:rPr>
        <w:t>广西壮族自治区脑科医院、广西医科大学第二附属医院、广西壮族自治区人民医院、广西壮族自治区荣军优抚医院、桂林市社会福利医院、贺州市第五人民医院、来宾市第二人民医院、防城港市精神病医院、北海市合浦精神病医院</w:t>
      </w:r>
      <w:r>
        <w:rPr>
          <w:rFonts w:hint="eastAsia" w:ascii="仿宋_GB2312" w:eastAsia="仿宋_GB2312"/>
          <w:sz w:val="28"/>
          <w:szCs w:val="28"/>
          <w:lang w:eastAsia="zh-CN"/>
        </w:rPr>
        <w:t>等单位</w:t>
      </w:r>
      <w:r>
        <w:rPr>
          <w:rFonts w:hint="eastAsia" w:ascii="仿宋_GB2312" w:eastAsia="仿宋_GB2312"/>
          <w:sz w:val="28"/>
          <w:szCs w:val="28"/>
        </w:rPr>
        <w:t>成立了标准编制工作组，制定了起草编写方案与进度安排，明确任务职责，确定工作技术路线，开展标准研制工作。具体标准编制工作由起草单位相关人员配合完成。</w:t>
      </w:r>
    </w:p>
    <w:p w14:paraId="05850743">
      <w:pPr>
        <w:spacing w:line="520" w:lineRule="exact"/>
        <w:ind w:firstLine="560" w:firstLineChars="200"/>
        <w:rPr>
          <w:rFonts w:ascii="仿宋_GB2312" w:eastAsia="仿宋_GB2312" w:cs="仿宋_GB2312"/>
          <w:sz w:val="28"/>
          <w:szCs w:val="28"/>
        </w:rPr>
      </w:pPr>
      <w:r>
        <w:rPr>
          <w:rFonts w:hint="eastAsia" w:ascii="仿宋_GB2312" w:eastAsia="仿宋_GB2312"/>
          <w:sz w:val="28"/>
          <w:szCs w:val="28"/>
        </w:rPr>
        <w:t>为了明确标准编制的任务职责，确定工作技术路线，开展标准研制工作。标准编制工作组下设二个组，分别是资料收集组、草案编写组。资料收集组负责有关</w:t>
      </w:r>
      <w:r>
        <w:rPr>
          <w:rFonts w:hint="eastAsia" w:ascii="仿宋_GB2312" w:eastAsia="仿宋_GB2312"/>
          <w:sz w:val="28"/>
          <w:szCs w:val="28"/>
          <w:lang w:eastAsia="zh-CN"/>
        </w:rPr>
        <w:t>儿童青少年精神障碍入院风险评估</w:t>
      </w:r>
      <w:r>
        <w:rPr>
          <w:rFonts w:hint="eastAsia" w:ascii="仿宋_GB2312" w:eastAsia="仿宋_GB2312"/>
          <w:sz w:val="28"/>
          <w:szCs w:val="28"/>
        </w:rPr>
        <w:t>方面的文献资料的查询、收集和整理工作，查阅前期对</w:t>
      </w:r>
      <w:r>
        <w:rPr>
          <w:rFonts w:hint="eastAsia" w:ascii="仿宋_GB2312" w:eastAsia="仿宋_GB2312"/>
          <w:sz w:val="28"/>
          <w:szCs w:val="28"/>
          <w:lang w:eastAsia="zh-CN"/>
        </w:rPr>
        <w:t>儿童青少年精神障碍入院风险评估</w:t>
      </w:r>
      <w:r>
        <w:rPr>
          <w:rFonts w:hint="eastAsia" w:ascii="仿宋_GB2312" w:eastAsia="仿宋_GB2312"/>
          <w:sz w:val="28"/>
          <w:szCs w:val="28"/>
        </w:rPr>
        <w:t>方面的有关研究情况和目前</w:t>
      </w:r>
      <w:r>
        <w:rPr>
          <w:rFonts w:hint="eastAsia" w:ascii="仿宋_GB2312" w:eastAsia="仿宋_GB2312"/>
          <w:sz w:val="28"/>
          <w:szCs w:val="28"/>
          <w:lang w:val="en-US" w:eastAsia="zh-CN"/>
        </w:rPr>
        <w:t>学术界有关该</w:t>
      </w:r>
      <w:r>
        <w:rPr>
          <w:rFonts w:hint="eastAsia" w:ascii="仿宋_GB2312" w:eastAsia="仿宋_GB2312"/>
          <w:sz w:val="28"/>
          <w:szCs w:val="28"/>
        </w:rPr>
        <w:t>病的研究进展；草案编写组负责起草标准草案及后续征求意见稿和标准编制说明、送审稿及编制说明等编写工作，包括后期召开征求意见会、网上征求意见，以及标准的不断修改和完善。</w:t>
      </w:r>
    </w:p>
    <w:p w14:paraId="4F73A71E">
      <w:pPr>
        <w:spacing w:line="52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（二）收集整理文献资料</w:t>
      </w:r>
    </w:p>
    <w:p w14:paraId="107A02F5">
      <w:pPr>
        <w:spacing w:line="520" w:lineRule="exact"/>
        <w:ind w:firstLine="560" w:firstLineChars="200"/>
        <w:rPr>
          <w:rFonts w:ascii="仿宋_GB2312" w:eastAsia="仿宋_GB2312"/>
          <w:sz w:val="28"/>
          <w:szCs w:val="28"/>
        </w:rPr>
      </w:pPr>
      <w:r>
        <w:rPr>
          <w:rFonts w:hint="eastAsia" w:ascii="仿宋_GB2312" w:eastAsia="仿宋_GB2312"/>
          <w:sz w:val="28"/>
          <w:szCs w:val="28"/>
        </w:rPr>
        <w:t>标准编制工作组收集了有关</w:t>
      </w:r>
      <w:r>
        <w:rPr>
          <w:rFonts w:hint="eastAsia" w:ascii="仿宋_GB2312" w:eastAsia="仿宋_GB2312"/>
          <w:sz w:val="28"/>
          <w:szCs w:val="28"/>
          <w:lang w:eastAsia="zh-CN"/>
        </w:rPr>
        <w:t>儿童青少年精神障碍入院风险评估</w:t>
      </w:r>
      <w:r>
        <w:rPr>
          <w:rFonts w:hint="eastAsia" w:ascii="仿宋_GB2312" w:eastAsia="仿宋_GB2312"/>
          <w:sz w:val="28"/>
          <w:szCs w:val="28"/>
        </w:rPr>
        <w:t>的相关文献资料。主要有：</w:t>
      </w:r>
    </w:p>
    <w:p w14:paraId="254A003A">
      <w:pPr>
        <w:spacing w:line="520" w:lineRule="exact"/>
        <w:ind w:firstLine="560" w:firstLineChars="200"/>
        <w:rPr>
          <w:rFonts w:hint="eastAsia" w:ascii="仿宋_GB2312" w:eastAsia="仿宋_GB2312" w:cs="仿宋_GB2312"/>
          <w:bCs/>
          <w:sz w:val="28"/>
          <w:szCs w:val="28"/>
        </w:rPr>
      </w:pPr>
      <w:r>
        <w:rPr>
          <w:rFonts w:hint="eastAsia" w:ascii="仿宋_GB2312" w:eastAsia="仿宋_GB2312" w:cs="仿宋_GB2312"/>
          <w:bCs/>
          <w:sz w:val="28"/>
          <w:szCs w:val="28"/>
        </w:rPr>
        <w:t>《T/CNAS 30－2023住院精神疾病患者攻击行为预防护理》</w:t>
      </w:r>
    </w:p>
    <w:p w14:paraId="2E03B221">
      <w:pPr>
        <w:spacing w:line="520" w:lineRule="exact"/>
        <w:ind w:firstLine="560" w:firstLineChars="200"/>
        <w:rPr>
          <w:rFonts w:hint="eastAsia" w:ascii="仿宋_GB2312" w:eastAsia="仿宋_GB2312" w:cs="仿宋_GB2312"/>
          <w:bCs/>
          <w:sz w:val="28"/>
          <w:szCs w:val="28"/>
        </w:rPr>
      </w:pPr>
      <w:r>
        <w:rPr>
          <w:rFonts w:hint="eastAsia" w:ascii="仿宋_GB2312" w:eastAsia="仿宋_GB2312" w:cs="仿宋_GB2312"/>
          <w:bCs/>
          <w:sz w:val="28"/>
          <w:szCs w:val="28"/>
        </w:rPr>
        <w:t>《DB4209/T15-2018精神障碍患者住院期间常见护理风险评估服务规范》</w:t>
      </w:r>
    </w:p>
    <w:p w14:paraId="3660FE56">
      <w:pPr>
        <w:spacing w:line="52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（三）研讨确定标准特色、创新点及主体内容</w:t>
      </w:r>
    </w:p>
    <w:p w14:paraId="3143A6A6">
      <w:pPr>
        <w:pStyle w:val="39"/>
        <w:spacing w:line="520" w:lineRule="exact"/>
        <w:ind w:firstLine="560"/>
        <w:rPr>
          <w:rFonts w:ascii="仿宋_GB2312" w:eastAsia="仿宋_GB2312"/>
          <w:sz w:val="28"/>
          <w:szCs w:val="28"/>
        </w:rPr>
      </w:pPr>
      <w:r>
        <w:rPr>
          <w:rFonts w:hint="eastAsia" w:ascii="仿宋_GB2312" w:eastAsia="仿宋_GB2312"/>
          <w:sz w:val="28"/>
          <w:szCs w:val="28"/>
        </w:rPr>
        <w:t>1.主要特色和创新点</w:t>
      </w:r>
    </w:p>
    <w:p w14:paraId="5BADB865">
      <w:pPr>
        <w:pStyle w:val="39"/>
        <w:spacing w:line="520" w:lineRule="exact"/>
        <w:ind w:firstLine="560"/>
        <w:rPr>
          <w:rFonts w:hint="eastAsia" w:ascii="仿宋_GB2312" w:eastAsia="仿宋_GB2312"/>
          <w:sz w:val="28"/>
          <w:szCs w:val="28"/>
          <w:lang w:val="en-US" w:eastAsia="zh-CN"/>
        </w:rPr>
      </w:pPr>
      <w:r>
        <w:rPr>
          <w:rFonts w:hint="eastAsia" w:ascii="仿宋_GB2312" w:eastAsia="仿宋_GB2312"/>
          <w:sz w:val="28"/>
          <w:szCs w:val="28"/>
          <w:lang w:val="en-US" w:eastAsia="zh-CN"/>
        </w:rPr>
        <w:t>儿童青少年精神障碍入院风险评估的实践经验，涵盖技术工具、分层管理、多学科协作及特殊群体适配等多个维度。在从事儿童青少年精神卫生工作10多年来，在临床工作中不断积累管理经验，在实践中不断改善提升，目前我院已形成较为完善的风险评估体系。该体系通过动态监测和定期评估，有效识别高风险患者，及时介入干预，显著降低了不良事件发生率，提升了治疗效果和患者满意度。</w:t>
      </w:r>
    </w:p>
    <w:p w14:paraId="4E453BCD">
      <w:pPr>
        <w:pStyle w:val="39"/>
        <w:spacing w:line="520" w:lineRule="exact"/>
        <w:ind w:firstLine="560"/>
        <w:rPr>
          <w:rFonts w:ascii="仿宋_GB2312" w:eastAsia="仿宋_GB2312"/>
          <w:sz w:val="28"/>
          <w:szCs w:val="28"/>
        </w:rPr>
      </w:pPr>
      <w:r>
        <w:rPr>
          <w:rFonts w:hint="eastAsia" w:ascii="仿宋_GB2312" w:eastAsia="仿宋_GB2312"/>
          <w:sz w:val="28"/>
          <w:szCs w:val="28"/>
        </w:rPr>
        <w:t>儿童青少年精神障碍入院评估以四大核心评估原则为根本遵循，坚守儿童权益优先、多维度综合研判、动态追踪调整、文化敏感适配的底线，构建了严谨的全流程评估体系。评估工作对从业人员提出复合型资质要求，需兼备专业理论知识、临床实操经验、沟通观察能力与心理韧性，采用临床访谈结合量表评估的科学方法，通过初步筛查、综合评估、多学科会商、记录上报四大标准化环节，实现入院风险的精准把控与规范处置，全程严守专业伦理与法规要求，保障评估工作合法、高效、安全。通过多学科协同、动态闭环管控的创新模式，实现了病情评估、风险防控、干预决策的有机衔接，切实筑牢未成年人精神健康防护屏障，凸显了地域适配性、流程规范性与专业创新性的核心优势。</w:t>
      </w:r>
    </w:p>
    <w:p w14:paraId="79CCFEC7">
      <w:pPr>
        <w:pStyle w:val="39"/>
        <w:spacing w:line="520" w:lineRule="exact"/>
        <w:ind w:firstLine="560"/>
        <w:rPr>
          <w:rFonts w:ascii="仿宋_GB2312" w:eastAsia="仿宋_GB2312"/>
          <w:sz w:val="28"/>
          <w:szCs w:val="28"/>
        </w:rPr>
      </w:pPr>
      <w:r>
        <w:rPr>
          <w:rFonts w:hint="eastAsia" w:ascii="仿宋_GB2312" w:eastAsia="仿宋_GB2312"/>
          <w:sz w:val="28"/>
          <w:szCs w:val="28"/>
        </w:rPr>
        <w:t>2.主体内容</w:t>
      </w:r>
    </w:p>
    <w:p w14:paraId="3946A23A">
      <w:pPr>
        <w:pStyle w:val="39"/>
        <w:spacing w:line="520" w:lineRule="exact"/>
        <w:ind w:firstLine="560"/>
        <w:rPr>
          <w:rFonts w:ascii="仿宋_GB2312" w:eastAsia="仿宋_GB2312"/>
          <w:sz w:val="28"/>
          <w:szCs w:val="28"/>
        </w:rPr>
      </w:pPr>
      <w:r>
        <w:rPr>
          <w:rFonts w:hint="eastAsia" w:ascii="仿宋_GB2312" w:eastAsia="仿宋_GB2312"/>
          <w:sz w:val="28"/>
          <w:szCs w:val="28"/>
        </w:rPr>
        <w:t>标准编制工作组在对收集的资料进行整理研究之后，标准编制工作组召开了标准编制会议，对标准的整体框架结构进行了研究，并对标准的关键性内容进行了初步探讨。经过研究，标准的主体内容为</w:t>
      </w:r>
      <w:r>
        <w:rPr>
          <w:rFonts w:hint="eastAsia" w:ascii="仿宋_GB2312" w:eastAsia="仿宋_GB2312"/>
          <w:sz w:val="28"/>
          <w:szCs w:val="28"/>
          <w:lang w:eastAsia="zh-CN"/>
        </w:rPr>
        <w:t>儿童青少年精神障碍入院风险评估</w:t>
      </w:r>
      <w:r>
        <w:rPr>
          <w:rFonts w:hint="eastAsia" w:ascii="仿宋_GB2312" w:eastAsia="仿宋_GB2312"/>
          <w:sz w:val="28"/>
          <w:szCs w:val="28"/>
        </w:rPr>
        <w:t>的评估原则、评估人员要求、评估流程、评估内容及要求。</w:t>
      </w:r>
    </w:p>
    <w:p w14:paraId="0DE941F3">
      <w:pPr>
        <w:spacing w:line="520" w:lineRule="exact"/>
        <w:ind w:firstLine="562" w:firstLineChars="200"/>
        <w:rPr>
          <w:rFonts w:hint="default" w:ascii="仿宋_GB2312" w:eastAsia="仿宋_GB2312" w:cs="仿宋_GB2312"/>
          <w:b/>
          <w:sz w:val="28"/>
          <w:szCs w:val="28"/>
          <w:lang w:val="en-US" w:eastAsia="zh-CN"/>
        </w:rPr>
      </w:pPr>
      <w:r>
        <w:rPr>
          <w:rFonts w:hint="eastAsia" w:ascii="仿宋_GB2312" w:eastAsia="仿宋_GB2312" w:cs="仿宋_GB2312"/>
          <w:b/>
          <w:sz w:val="28"/>
          <w:szCs w:val="28"/>
        </w:rPr>
        <w:t>（四）调研及形成草案、征求意见稿</w:t>
      </w:r>
    </w:p>
    <w:p w14:paraId="16ABBAE8">
      <w:pPr>
        <w:spacing w:line="520" w:lineRule="exact"/>
        <w:ind w:firstLine="560" w:firstLineChars="200"/>
        <w:rPr>
          <w:rFonts w:ascii="仿宋_GB2312" w:eastAsia="仿宋_GB2312"/>
          <w:kern w:val="0"/>
          <w:sz w:val="28"/>
          <w:szCs w:val="28"/>
        </w:rPr>
      </w:pPr>
      <w:r>
        <w:rPr>
          <w:rFonts w:hint="eastAsia" w:ascii="仿宋_GB2312" w:eastAsia="仿宋_GB2312"/>
          <w:kern w:val="0"/>
          <w:sz w:val="28"/>
          <w:szCs w:val="28"/>
        </w:rPr>
        <w:t>2025</w:t>
      </w:r>
      <w:r>
        <w:rPr>
          <w:rFonts w:hint="eastAsia" w:ascii="仿宋_GB2312" w:eastAsia="仿宋_GB2312"/>
          <w:kern w:val="0"/>
          <w:sz w:val="28"/>
          <w:szCs w:val="28"/>
          <w:lang w:eastAsia="zh-CN"/>
        </w:rPr>
        <w:t>年</w:t>
      </w:r>
      <w:r>
        <w:rPr>
          <w:rFonts w:hint="eastAsia" w:ascii="仿宋_GB2312" w:eastAsia="仿宋_GB2312"/>
          <w:kern w:val="0"/>
          <w:sz w:val="28"/>
          <w:szCs w:val="28"/>
          <w:lang w:val="en-US" w:eastAsia="zh-CN"/>
        </w:rPr>
        <w:t>12</w:t>
      </w:r>
      <w:r>
        <w:rPr>
          <w:rFonts w:hint="eastAsia" w:ascii="仿宋_GB2312" w:eastAsia="仿宋_GB2312"/>
          <w:kern w:val="0"/>
          <w:sz w:val="28"/>
          <w:szCs w:val="28"/>
        </w:rPr>
        <w:t>月，标准编制工作组查阅了大量的国内文献资料，对</w:t>
      </w:r>
      <w:r>
        <w:rPr>
          <w:rFonts w:hint="eastAsia" w:ascii="仿宋_GB2312" w:eastAsia="仿宋_GB2312"/>
          <w:sz w:val="28"/>
          <w:szCs w:val="28"/>
          <w:lang w:eastAsia="zh-CN"/>
        </w:rPr>
        <w:t>儿童青少年精神障碍入院风险评估</w:t>
      </w:r>
      <w:r>
        <w:rPr>
          <w:rFonts w:hint="eastAsia" w:ascii="仿宋_GB2312" w:eastAsia="仿宋_GB2312"/>
          <w:kern w:val="0"/>
          <w:sz w:val="28"/>
          <w:szCs w:val="28"/>
        </w:rPr>
        <w:t>相关的文件进行系统总结。形成了标准的基本构架，对主要内容进行了讨论并对项目的工作进行了部署和安排。</w:t>
      </w:r>
    </w:p>
    <w:p w14:paraId="66E4013E">
      <w:pPr>
        <w:spacing w:line="520" w:lineRule="exact"/>
        <w:ind w:firstLine="560" w:firstLineChars="200"/>
        <w:rPr>
          <w:sz w:val="28"/>
          <w:szCs w:val="28"/>
        </w:rPr>
      </w:pPr>
      <w:r>
        <w:rPr>
          <w:rFonts w:hint="eastAsia" w:ascii="仿宋_GB2312" w:eastAsia="仿宋_GB2312"/>
          <w:kern w:val="0"/>
          <w:sz w:val="28"/>
          <w:szCs w:val="28"/>
        </w:rPr>
        <w:t>202</w:t>
      </w:r>
      <w:r>
        <w:rPr>
          <w:rFonts w:hint="eastAsia" w:ascii="仿宋_GB2312" w:eastAsia="仿宋_GB2312"/>
          <w:kern w:val="0"/>
          <w:sz w:val="28"/>
          <w:szCs w:val="28"/>
          <w:lang w:val="en-US" w:eastAsia="zh-CN"/>
        </w:rPr>
        <w:t>6</w:t>
      </w:r>
      <w:r>
        <w:rPr>
          <w:rFonts w:hint="eastAsia" w:ascii="仿宋_GB2312" w:eastAsia="仿宋_GB2312"/>
          <w:kern w:val="0"/>
          <w:sz w:val="28"/>
          <w:szCs w:val="28"/>
        </w:rPr>
        <w:t>年</w:t>
      </w:r>
      <w:r>
        <w:rPr>
          <w:rFonts w:hint="eastAsia" w:ascii="仿宋_GB2312" w:eastAsia="仿宋_GB2312"/>
          <w:kern w:val="0"/>
          <w:sz w:val="28"/>
          <w:szCs w:val="28"/>
          <w:lang w:val="en-US" w:eastAsia="zh-CN"/>
        </w:rPr>
        <w:t>1</w:t>
      </w:r>
      <w:r>
        <w:rPr>
          <w:rFonts w:hint="eastAsia" w:ascii="仿宋_GB2312" w:eastAsia="仿宋_GB2312"/>
          <w:kern w:val="0"/>
          <w:sz w:val="28"/>
          <w:szCs w:val="28"/>
        </w:rPr>
        <w:t>月，团体标准《</w:t>
      </w:r>
      <w:r>
        <w:rPr>
          <w:rFonts w:hint="eastAsia" w:ascii="仿宋_GB2312" w:eastAsia="仿宋_GB2312"/>
          <w:kern w:val="0"/>
          <w:sz w:val="28"/>
          <w:szCs w:val="28"/>
          <w:lang w:eastAsia="zh-CN"/>
        </w:rPr>
        <w:t>儿童青少年精神障碍入院风险评估规范</w:t>
      </w:r>
      <w:r>
        <w:rPr>
          <w:rFonts w:hint="eastAsia" w:ascii="仿宋_GB2312" w:eastAsia="仿宋_GB2312"/>
          <w:kern w:val="0"/>
          <w:sz w:val="28"/>
          <w:szCs w:val="28"/>
        </w:rPr>
        <w:t>》</w:t>
      </w:r>
      <w:r>
        <w:rPr>
          <w:rFonts w:hint="eastAsia" w:ascii="仿宋_GB2312" w:hAnsi="宋体" w:eastAsia="仿宋_GB2312"/>
          <w:sz w:val="28"/>
          <w:szCs w:val="28"/>
        </w:rPr>
        <w:t>获批立项</w:t>
      </w:r>
      <w:r>
        <w:rPr>
          <w:rFonts w:hint="eastAsia" w:ascii="仿宋_GB2312" w:eastAsia="仿宋_GB2312"/>
          <w:kern w:val="0"/>
          <w:sz w:val="28"/>
          <w:szCs w:val="28"/>
        </w:rPr>
        <w:t>，在前期工作的基础之上，通过理清逻辑脉络，整合已有参考资料中有关</w:t>
      </w:r>
      <w:r>
        <w:rPr>
          <w:rFonts w:hint="eastAsia" w:ascii="仿宋_GB2312" w:eastAsia="仿宋_GB2312"/>
          <w:sz w:val="28"/>
          <w:szCs w:val="28"/>
          <w:lang w:eastAsia="zh-CN"/>
        </w:rPr>
        <w:t>儿童青少年精神障碍入院风险评估</w:t>
      </w:r>
      <w:r>
        <w:rPr>
          <w:rFonts w:hint="eastAsia" w:ascii="仿宋_GB2312" w:eastAsia="仿宋_GB2312"/>
          <w:kern w:val="0"/>
          <w:sz w:val="28"/>
          <w:szCs w:val="28"/>
        </w:rPr>
        <w:t>的要求，并在目前</w:t>
      </w:r>
      <w:r>
        <w:rPr>
          <w:rFonts w:hint="eastAsia" w:ascii="仿宋_GB2312" w:eastAsia="仿宋_GB2312"/>
          <w:sz w:val="28"/>
          <w:szCs w:val="28"/>
          <w:lang w:eastAsia="zh-CN"/>
        </w:rPr>
        <w:t>儿童青少年精神障碍入院风险评估</w:t>
      </w:r>
      <w:r>
        <w:rPr>
          <w:rFonts w:hint="eastAsia" w:ascii="仿宋_GB2312" w:eastAsia="仿宋_GB2312"/>
          <w:kern w:val="0"/>
          <w:sz w:val="28"/>
          <w:szCs w:val="28"/>
        </w:rPr>
        <w:t>的基础上，按照简化、统一等原则编制完成团体标准《</w:t>
      </w:r>
      <w:r>
        <w:rPr>
          <w:rFonts w:hint="eastAsia" w:ascii="仿宋_GB2312" w:eastAsia="仿宋_GB2312"/>
          <w:kern w:val="0"/>
          <w:sz w:val="28"/>
          <w:szCs w:val="28"/>
          <w:lang w:eastAsia="zh-CN"/>
        </w:rPr>
        <w:t>儿童青少年精神障碍入院风险评估规范</w:t>
      </w:r>
      <w:r>
        <w:rPr>
          <w:rFonts w:hint="eastAsia" w:ascii="仿宋_GB2312" w:eastAsia="仿宋_GB2312"/>
          <w:kern w:val="0"/>
          <w:sz w:val="28"/>
          <w:szCs w:val="28"/>
        </w:rPr>
        <w:t>》（草案）。</w:t>
      </w:r>
    </w:p>
    <w:p w14:paraId="1A44661E">
      <w:pPr>
        <w:spacing w:line="520" w:lineRule="exact"/>
        <w:ind w:firstLine="560" w:firstLineChars="200"/>
        <w:rPr>
          <w:rFonts w:hint="eastAsia" w:ascii="仿宋_GB2312" w:eastAsia="仿宋_GB2312"/>
          <w:kern w:val="0"/>
          <w:sz w:val="28"/>
          <w:szCs w:val="28"/>
        </w:rPr>
      </w:pPr>
      <w:r>
        <w:rPr>
          <w:rFonts w:hint="eastAsia" w:ascii="仿宋_GB2312" w:eastAsia="仿宋_GB2312"/>
          <w:kern w:val="0"/>
          <w:sz w:val="28"/>
          <w:szCs w:val="28"/>
        </w:rPr>
        <w:t>202</w:t>
      </w:r>
      <w:r>
        <w:rPr>
          <w:rFonts w:hint="eastAsia" w:ascii="仿宋_GB2312" w:eastAsia="仿宋_GB2312"/>
          <w:kern w:val="0"/>
          <w:sz w:val="28"/>
          <w:szCs w:val="28"/>
          <w:lang w:val="en-US" w:eastAsia="zh-CN"/>
        </w:rPr>
        <w:t>6</w:t>
      </w:r>
      <w:r>
        <w:rPr>
          <w:rFonts w:hint="eastAsia" w:ascii="仿宋_GB2312" w:eastAsia="仿宋_GB2312"/>
          <w:kern w:val="0"/>
          <w:sz w:val="28"/>
          <w:szCs w:val="28"/>
        </w:rPr>
        <w:t>年</w:t>
      </w:r>
      <w:r>
        <w:rPr>
          <w:rFonts w:hint="eastAsia" w:ascii="仿宋_GB2312" w:eastAsia="仿宋_GB2312"/>
          <w:kern w:val="0"/>
          <w:sz w:val="28"/>
          <w:szCs w:val="28"/>
          <w:lang w:val="en-US" w:eastAsia="zh-CN"/>
        </w:rPr>
        <w:t>2-3</w:t>
      </w:r>
      <w:r>
        <w:rPr>
          <w:rFonts w:hint="eastAsia" w:ascii="仿宋_GB2312" w:eastAsia="仿宋_GB2312"/>
          <w:kern w:val="0"/>
          <w:sz w:val="28"/>
          <w:szCs w:val="28"/>
        </w:rPr>
        <w:t>月，标准编制工作组深入</w:t>
      </w:r>
      <w:r>
        <w:rPr>
          <w:rFonts w:hint="eastAsia" w:ascii="仿宋_GB2312" w:eastAsia="仿宋_GB2312"/>
          <w:kern w:val="0"/>
          <w:sz w:val="28"/>
          <w:szCs w:val="28"/>
          <w:lang w:val="en-US" w:eastAsia="zh-CN"/>
        </w:rPr>
        <w:t>广西医科大学第二附属医院、广西壮族自治区人民医院、广西壮族自治区荣军优抚医院、桂林市社会福利医院、贺州市第五人民医院、来宾市第二人民医院、防城港市精神病医院、北海市合浦精神病医院</w:t>
      </w:r>
      <w:r>
        <w:rPr>
          <w:rFonts w:hint="eastAsia" w:ascii="仿宋_GB2312" w:eastAsia="仿宋_GB2312"/>
          <w:kern w:val="0"/>
          <w:sz w:val="28"/>
          <w:szCs w:val="28"/>
        </w:rPr>
        <w:t>等各</w:t>
      </w:r>
      <w:r>
        <w:rPr>
          <w:rFonts w:hint="eastAsia" w:ascii="仿宋_GB2312" w:eastAsia="仿宋_GB2312"/>
          <w:kern w:val="0"/>
          <w:sz w:val="28"/>
          <w:szCs w:val="28"/>
          <w:lang w:eastAsia="zh-CN"/>
        </w:rPr>
        <w:t>医院</w:t>
      </w:r>
      <w:r>
        <w:rPr>
          <w:rFonts w:hint="eastAsia" w:ascii="仿宋_GB2312" w:eastAsia="仿宋_GB2312"/>
          <w:kern w:val="0"/>
          <w:sz w:val="28"/>
          <w:szCs w:val="28"/>
        </w:rPr>
        <w:t>实施</w:t>
      </w:r>
      <w:r>
        <w:rPr>
          <w:rFonts w:hint="eastAsia" w:ascii="仿宋_GB2312" w:eastAsia="仿宋_GB2312"/>
          <w:kern w:val="0"/>
          <w:sz w:val="28"/>
          <w:szCs w:val="28"/>
          <w:lang w:eastAsia="zh-CN"/>
        </w:rPr>
        <w:t>儿童青少年精神障碍入院风险评估</w:t>
      </w:r>
      <w:r>
        <w:rPr>
          <w:rFonts w:hint="eastAsia" w:ascii="仿宋_GB2312" w:hAnsi="宋体" w:eastAsia="仿宋_GB2312"/>
          <w:sz w:val="28"/>
          <w:szCs w:val="28"/>
        </w:rPr>
        <w:t>的有代表性的医院</w:t>
      </w:r>
      <w:r>
        <w:rPr>
          <w:rFonts w:hint="eastAsia" w:ascii="仿宋_GB2312" w:eastAsia="仿宋_GB2312"/>
          <w:kern w:val="0"/>
          <w:sz w:val="28"/>
          <w:szCs w:val="28"/>
        </w:rPr>
        <w:t>进行实地调研，并组织起草单位等召开标准研讨会，收集反馈了大量意见，对标准草案进行了反复修改和研究讨论，掌握了</w:t>
      </w:r>
      <w:r>
        <w:rPr>
          <w:rFonts w:hint="eastAsia" w:ascii="仿宋_GB2312" w:eastAsia="仿宋_GB2312"/>
          <w:kern w:val="0"/>
          <w:sz w:val="28"/>
          <w:szCs w:val="28"/>
          <w:lang w:eastAsia="zh-CN"/>
        </w:rPr>
        <w:t>儿童青少年精神障碍入院风险评估</w:t>
      </w:r>
      <w:r>
        <w:rPr>
          <w:rFonts w:hint="eastAsia" w:ascii="仿宋_GB2312" w:eastAsia="仿宋_GB2312"/>
          <w:kern w:val="0"/>
          <w:sz w:val="28"/>
          <w:szCs w:val="28"/>
        </w:rPr>
        <w:t>的基本情况以及要求，最终形成了</w:t>
      </w:r>
      <w:bookmarkStart w:id="0" w:name="_Hlk120181503"/>
      <w:r>
        <w:rPr>
          <w:rFonts w:hint="eastAsia" w:ascii="仿宋_GB2312" w:eastAsia="仿宋_GB2312"/>
          <w:kern w:val="0"/>
          <w:sz w:val="28"/>
          <w:szCs w:val="28"/>
        </w:rPr>
        <w:t>团体标准《</w:t>
      </w:r>
      <w:r>
        <w:rPr>
          <w:rFonts w:hint="eastAsia" w:ascii="仿宋_GB2312" w:eastAsia="仿宋_GB2312"/>
          <w:kern w:val="0"/>
          <w:sz w:val="28"/>
          <w:szCs w:val="28"/>
          <w:lang w:eastAsia="zh-CN"/>
        </w:rPr>
        <w:t>儿童青少年精神障碍入院风险评估规范</w:t>
      </w:r>
      <w:r>
        <w:rPr>
          <w:rFonts w:hint="eastAsia" w:ascii="仿宋_GB2312" w:eastAsia="仿宋_GB2312"/>
          <w:kern w:val="0"/>
          <w:sz w:val="28"/>
          <w:szCs w:val="28"/>
        </w:rPr>
        <w:t>》（征求意见稿）及其编制说明。</w:t>
      </w:r>
      <w:bookmarkEnd w:id="0"/>
    </w:p>
    <w:p w14:paraId="58C3D290">
      <w:pPr>
        <w:autoSpaceDE w:val="0"/>
        <w:autoSpaceDN w:val="0"/>
        <w:adjustRightInd w:val="0"/>
        <w:spacing w:line="520" w:lineRule="exact"/>
        <w:ind w:firstLine="640" w:firstLineChars="200"/>
        <w:jc w:val="left"/>
        <w:rPr>
          <w:rFonts w:ascii="黑体" w:eastAsia="黑体" w:cs="仿宋_GB2312"/>
          <w:sz w:val="32"/>
          <w:szCs w:val="32"/>
        </w:rPr>
      </w:pPr>
      <w:r>
        <w:rPr>
          <w:rFonts w:hint="eastAsia" w:ascii="黑体" w:eastAsia="黑体" w:cs="仿宋_GB2312"/>
          <w:sz w:val="32"/>
          <w:szCs w:val="32"/>
        </w:rPr>
        <w:t>四、制定标准的原则和依据，与现行法律、法规的关系，与有关国家标准、行业标准的协调情况</w:t>
      </w:r>
    </w:p>
    <w:p w14:paraId="271D6467">
      <w:pPr>
        <w:widowControl/>
        <w:tabs>
          <w:tab w:val="center" w:pos="4201"/>
          <w:tab w:val="right" w:leader="dot" w:pos="9298"/>
        </w:tabs>
        <w:autoSpaceDE w:val="0"/>
        <w:autoSpaceDN w:val="0"/>
        <w:spacing w:line="520" w:lineRule="exact"/>
        <w:ind w:firstLine="562" w:firstLineChars="200"/>
        <w:outlineLvl w:val="1"/>
        <w:rPr>
          <w:rFonts w:ascii="仿宋_GB2312" w:eastAsia="仿宋_GB2312"/>
          <w:b/>
          <w:bCs/>
          <w:kern w:val="0"/>
          <w:sz w:val="28"/>
          <w:szCs w:val="28"/>
        </w:rPr>
      </w:pPr>
      <w:r>
        <w:rPr>
          <w:rFonts w:hint="eastAsia" w:ascii="仿宋_GB2312" w:eastAsia="仿宋_GB2312"/>
          <w:b/>
          <w:bCs/>
          <w:kern w:val="0"/>
          <w:sz w:val="28"/>
          <w:szCs w:val="28"/>
        </w:rPr>
        <w:t>（一）编制原则</w:t>
      </w:r>
    </w:p>
    <w:p w14:paraId="49B2D13B">
      <w:pPr>
        <w:spacing w:line="520" w:lineRule="exact"/>
        <w:ind w:firstLine="562" w:firstLineChars="200"/>
        <w:rPr>
          <w:rFonts w:ascii="仿宋_GB2312" w:eastAsia="仿宋_GB2312"/>
          <w:b/>
          <w:sz w:val="28"/>
          <w:szCs w:val="28"/>
        </w:rPr>
      </w:pPr>
      <w:r>
        <w:rPr>
          <w:rFonts w:hint="eastAsia" w:ascii="仿宋_GB2312" w:eastAsia="仿宋_GB2312"/>
          <w:b/>
          <w:sz w:val="28"/>
          <w:szCs w:val="28"/>
        </w:rPr>
        <w:t>1、实用性原则</w:t>
      </w:r>
    </w:p>
    <w:p w14:paraId="05B93C23">
      <w:pPr>
        <w:spacing w:line="520" w:lineRule="exact"/>
        <w:ind w:firstLine="560" w:firstLineChars="200"/>
        <w:rPr>
          <w:rFonts w:ascii="仿宋_GB2312" w:eastAsia="仿宋_GB2312" w:cs="仿宋"/>
          <w:sz w:val="28"/>
          <w:szCs w:val="28"/>
        </w:rPr>
      </w:pPr>
      <w:r>
        <w:rPr>
          <w:rFonts w:hint="eastAsia" w:ascii="仿宋_GB2312" w:eastAsia="仿宋_GB2312" w:cs="仿宋"/>
          <w:sz w:val="28"/>
          <w:szCs w:val="28"/>
        </w:rPr>
        <w:t>本标准是在充分收集国内外相关资料和文献、调研分析</w:t>
      </w:r>
      <w:r>
        <w:rPr>
          <w:rFonts w:hint="eastAsia" w:ascii="仿宋_GB2312" w:eastAsia="仿宋_GB2312"/>
          <w:kern w:val="0"/>
          <w:sz w:val="28"/>
          <w:szCs w:val="28"/>
          <w:lang w:eastAsia="zh-CN"/>
        </w:rPr>
        <w:t>儿童青少年精神障碍入院风险评估</w:t>
      </w:r>
      <w:r>
        <w:rPr>
          <w:rFonts w:hint="eastAsia" w:ascii="仿宋_GB2312" w:eastAsia="仿宋_GB2312" w:cs="仿宋"/>
          <w:sz w:val="28"/>
          <w:szCs w:val="28"/>
        </w:rPr>
        <w:t>现状，结合起草单位前期研究工作取得的研究成果及积累的实践经验，并借鉴国内</w:t>
      </w:r>
      <w:r>
        <w:rPr>
          <w:rFonts w:hint="eastAsia" w:ascii="仿宋_GB2312" w:eastAsia="仿宋_GB2312"/>
          <w:kern w:val="0"/>
          <w:sz w:val="28"/>
          <w:szCs w:val="28"/>
          <w:lang w:eastAsia="zh-CN"/>
        </w:rPr>
        <w:t>儿童青少年精神障碍入院风险评估</w:t>
      </w:r>
      <w:r>
        <w:rPr>
          <w:rFonts w:hint="eastAsia" w:ascii="仿宋_GB2312" w:eastAsia="仿宋_GB2312" w:cs="仿宋"/>
          <w:sz w:val="28"/>
          <w:szCs w:val="28"/>
        </w:rPr>
        <w:t>进行总结起草的，符合工作实际，利于</w:t>
      </w:r>
      <w:r>
        <w:rPr>
          <w:rFonts w:hint="eastAsia" w:ascii="仿宋_GB2312" w:eastAsia="仿宋_GB2312"/>
          <w:kern w:val="0"/>
          <w:sz w:val="28"/>
          <w:szCs w:val="28"/>
          <w:lang w:eastAsia="zh-CN"/>
        </w:rPr>
        <w:t>儿童青少年精神障碍入院风险评估</w:t>
      </w:r>
      <w:r>
        <w:rPr>
          <w:rFonts w:hint="eastAsia" w:ascii="仿宋_GB2312" w:eastAsia="仿宋_GB2312" w:cs="仿宋"/>
          <w:sz w:val="28"/>
          <w:szCs w:val="28"/>
        </w:rPr>
        <w:t>的实施与推广，具有可操作性和实用性。</w:t>
      </w:r>
    </w:p>
    <w:p w14:paraId="41534A43">
      <w:pPr>
        <w:spacing w:line="520" w:lineRule="exact"/>
        <w:ind w:firstLine="562" w:firstLineChars="200"/>
        <w:rPr>
          <w:rFonts w:ascii="仿宋_GB2312" w:eastAsia="仿宋_GB2312"/>
          <w:b/>
          <w:sz w:val="28"/>
          <w:szCs w:val="28"/>
        </w:rPr>
      </w:pPr>
      <w:r>
        <w:rPr>
          <w:rFonts w:hint="eastAsia" w:ascii="仿宋_GB2312" w:eastAsia="仿宋_GB2312"/>
          <w:b/>
          <w:sz w:val="28"/>
          <w:szCs w:val="28"/>
        </w:rPr>
        <w:t>2、协调性原则</w:t>
      </w:r>
    </w:p>
    <w:p w14:paraId="52512CCA">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本文件编写过程中注意了与</w:t>
      </w:r>
      <w:r>
        <w:rPr>
          <w:rFonts w:hint="eastAsia" w:ascii="仿宋_GB2312" w:eastAsia="仿宋_GB2312"/>
          <w:kern w:val="0"/>
          <w:sz w:val="28"/>
          <w:szCs w:val="28"/>
          <w:lang w:eastAsia="zh-CN"/>
        </w:rPr>
        <w:t>儿童青少年精神障碍入院风险评估</w:t>
      </w:r>
      <w:r>
        <w:rPr>
          <w:rFonts w:hint="eastAsia" w:ascii="仿宋_GB2312" w:eastAsia="仿宋_GB2312"/>
          <w:sz w:val="28"/>
          <w:szCs w:val="28"/>
        </w:rPr>
        <w:t>相关法律法规的协调问题，在内容上与现行法律法规、标准协调一致。</w:t>
      </w:r>
    </w:p>
    <w:p w14:paraId="74DB7C34">
      <w:pPr>
        <w:spacing w:line="520" w:lineRule="exact"/>
        <w:ind w:firstLine="562" w:firstLineChars="200"/>
        <w:rPr>
          <w:rFonts w:ascii="仿宋_GB2312" w:eastAsia="仿宋_GB2312"/>
          <w:b/>
          <w:sz w:val="28"/>
          <w:szCs w:val="28"/>
        </w:rPr>
      </w:pPr>
      <w:r>
        <w:rPr>
          <w:rFonts w:hint="eastAsia" w:ascii="仿宋_GB2312" w:eastAsia="仿宋_GB2312"/>
          <w:b/>
          <w:sz w:val="28"/>
          <w:szCs w:val="28"/>
        </w:rPr>
        <w:t>3、规范性原则</w:t>
      </w:r>
    </w:p>
    <w:p w14:paraId="70BA34D5">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本文件严格按照GB/T 1.1—2020《标准化工作导则  第1部分：标准化文件的结构和起草规则》编写本标准的内容，保证标准的编写质量。</w:t>
      </w:r>
    </w:p>
    <w:p w14:paraId="6E17638F">
      <w:pPr>
        <w:spacing w:line="520" w:lineRule="exact"/>
        <w:ind w:firstLine="562" w:firstLineChars="200"/>
        <w:rPr>
          <w:rFonts w:ascii="仿宋_GB2312" w:eastAsia="仿宋_GB2312"/>
          <w:b/>
          <w:sz w:val="28"/>
          <w:szCs w:val="28"/>
        </w:rPr>
      </w:pPr>
      <w:r>
        <w:rPr>
          <w:rFonts w:hint="eastAsia" w:ascii="仿宋_GB2312" w:eastAsia="仿宋_GB2312"/>
          <w:b/>
          <w:sz w:val="28"/>
          <w:szCs w:val="28"/>
        </w:rPr>
        <w:t>4、前瞻性原则</w:t>
      </w:r>
    </w:p>
    <w:p w14:paraId="5709C23C">
      <w:pPr>
        <w:spacing w:line="520" w:lineRule="exact"/>
        <w:ind w:firstLine="560" w:firstLineChars="200"/>
        <w:rPr>
          <w:rFonts w:ascii="仿宋_GB2312" w:eastAsia="仿宋_GB2312"/>
          <w:sz w:val="28"/>
          <w:szCs w:val="28"/>
        </w:rPr>
      </w:pPr>
      <w:r>
        <w:rPr>
          <w:rFonts w:hint="eastAsia" w:ascii="仿宋_GB2312" w:eastAsia="仿宋_GB2312"/>
          <w:sz w:val="28"/>
          <w:szCs w:val="28"/>
        </w:rPr>
        <w:t>本文件在兼顾当前区内</w:t>
      </w:r>
      <w:r>
        <w:rPr>
          <w:rFonts w:hint="eastAsia" w:ascii="仿宋_GB2312" w:eastAsia="仿宋_GB2312"/>
          <w:kern w:val="0"/>
          <w:sz w:val="28"/>
          <w:szCs w:val="28"/>
          <w:lang w:eastAsia="zh-CN"/>
        </w:rPr>
        <w:t>儿童青少年精神障碍入院风险评估</w:t>
      </w:r>
      <w:r>
        <w:rPr>
          <w:rFonts w:hint="eastAsia" w:ascii="仿宋_GB2312" w:eastAsia="仿宋_GB2312"/>
          <w:sz w:val="28"/>
          <w:szCs w:val="28"/>
        </w:rPr>
        <w:t>现实情况的同时，还考虑到了</w:t>
      </w:r>
      <w:r>
        <w:rPr>
          <w:rFonts w:hint="eastAsia" w:ascii="仿宋_GB2312" w:eastAsia="仿宋_GB2312"/>
          <w:kern w:val="0"/>
          <w:sz w:val="28"/>
          <w:szCs w:val="28"/>
          <w:lang w:eastAsia="zh-CN"/>
        </w:rPr>
        <w:t>儿童青少年精神障碍入院风险评估</w:t>
      </w:r>
      <w:r>
        <w:rPr>
          <w:rFonts w:hint="eastAsia" w:ascii="仿宋_GB2312" w:eastAsia="仿宋_GB2312"/>
          <w:sz w:val="28"/>
          <w:szCs w:val="28"/>
        </w:rPr>
        <w:t>的需要，在标准中体现了个别特色性、前瞻性和先进性条款，作为对</w:t>
      </w:r>
      <w:r>
        <w:rPr>
          <w:rFonts w:hint="eastAsia" w:ascii="仿宋_GB2312" w:eastAsia="仿宋_GB2312"/>
          <w:kern w:val="0"/>
          <w:sz w:val="28"/>
          <w:szCs w:val="28"/>
          <w:lang w:eastAsia="zh-CN"/>
        </w:rPr>
        <w:t>儿童青少年精神障碍入院风险评估</w:t>
      </w:r>
      <w:r>
        <w:rPr>
          <w:rFonts w:hint="eastAsia" w:ascii="仿宋_GB2312" w:eastAsia="仿宋_GB2312"/>
          <w:sz w:val="28"/>
          <w:szCs w:val="28"/>
        </w:rPr>
        <w:t>发展的指导。</w:t>
      </w:r>
    </w:p>
    <w:p w14:paraId="28036EA4">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（二）编制依据</w:t>
      </w:r>
    </w:p>
    <w:p w14:paraId="2E4A3F7C">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本标准严格按照GB/T 1.1—2020《标准化工作导则  第1部分：标准化文件的结构和起草规则》的规则起草，标准主要内容依据《轻度认知损害的神经心理评估专家共识（2025版）》《老年患者衰弱评估与干预专家共识指南》</w:t>
      </w:r>
      <w:r>
        <w:rPr>
          <w:rFonts w:hint="eastAsia" w:ascii="仿宋_GB2312" w:eastAsia="仿宋_GB2312"/>
          <w:sz w:val="28"/>
          <w:szCs w:val="28"/>
          <w:lang w:val="en-US" w:eastAsia="zh-CN"/>
        </w:rPr>
        <w:t>等相关专家共识</w:t>
      </w:r>
      <w:r>
        <w:rPr>
          <w:rFonts w:hint="eastAsia" w:ascii="仿宋_GB2312" w:eastAsia="仿宋_GB2312"/>
          <w:sz w:val="28"/>
          <w:szCs w:val="28"/>
          <w:lang w:eastAsia="zh-CN"/>
        </w:rPr>
        <w:t>及</w:t>
      </w:r>
      <w:r>
        <w:rPr>
          <w:rFonts w:hint="eastAsia" w:ascii="仿宋_GB2312" w:eastAsia="仿宋_GB2312"/>
          <w:sz w:val="28"/>
          <w:szCs w:val="28"/>
        </w:rPr>
        <w:t>起草单位在</w:t>
      </w:r>
      <w:r>
        <w:rPr>
          <w:rFonts w:hint="eastAsia" w:ascii="仿宋_GB2312" w:eastAsia="仿宋_GB2312"/>
          <w:kern w:val="0"/>
          <w:sz w:val="28"/>
          <w:szCs w:val="28"/>
          <w:lang w:eastAsia="zh-CN"/>
        </w:rPr>
        <w:t>儿童青少年精神障碍入院风险评估</w:t>
      </w:r>
      <w:r>
        <w:rPr>
          <w:rFonts w:hint="eastAsia" w:ascii="仿宋_GB2312" w:eastAsia="仿宋_GB2312"/>
          <w:sz w:val="28"/>
          <w:szCs w:val="28"/>
        </w:rPr>
        <w:t>研究应用过程中的实践经验确定。</w:t>
      </w:r>
    </w:p>
    <w:p w14:paraId="5D035386">
      <w:pPr>
        <w:spacing w:line="520" w:lineRule="exact"/>
        <w:ind w:firstLine="562" w:firstLineChars="200"/>
        <w:rPr>
          <w:rFonts w:ascii="仿宋_GB2312" w:eastAsia="仿宋_GB2312"/>
          <w:b/>
          <w:bCs/>
          <w:sz w:val="28"/>
          <w:szCs w:val="28"/>
        </w:rPr>
      </w:pPr>
      <w:r>
        <w:rPr>
          <w:rFonts w:hint="eastAsia" w:ascii="仿宋_GB2312" w:eastAsia="仿宋_GB2312"/>
          <w:b/>
          <w:bCs/>
          <w:sz w:val="28"/>
          <w:szCs w:val="28"/>
        </w:rPr>
        <w:t>（三）与现行法律、法规的关系，与有关国家标准、行业标准的协调情况</w:t>
      </w:r>
    </w:p>
    <w:p w14:paraId="3917549A">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本标准与相关法律法规、强制性标准协调一致，无冲突。</w:t>
      </w:r>
    </w:p>
    <w:p w14:paraId="2858621B">
      <w:pPr>
        <w:adjustRightInd w:val="0"/>
        <w:snapToGrid w:val="0"/>
        <w:spacing w:line="520" w:lineRule="exact"/>
        <w:ind w:firstLine="560" w:firstLineChars="200"/>
        <w:rPr>
          <w:rFonts w:hint="eastAsia" w:ascii="仿宋_GB2312" w:eastAsia="仿宋_GB2312"/>
          <w:sz w:val="28"/>
          <w:szCs w:val="28"/>
        </w:rPr>
      </w:pPr>
      <w:r>
        <w:rPr>
          <w:rFonts w:hint="eastAsia" w:ascii="仿宋_GB2312" w:eastAsia="仿宋_GB2312"/>
          <w:sz w:val="28"/>
          <w:szCs w:val="28"/>
        </w:rPr>
        <w:t>经查阅，截至目前，未</w:t>
      </w:r>
      <w:r>
        <w:rPr>
          <w:rFonts w:hint="eastAsia" w:ascii="仿宋_GB2312" w:eastAsia="仿宋_GB2312"/>
          <w:sz w:val="28"/>
          <w:szCs w:val="28"/>
          <w:lang w:val="en-US" w:eastAsia="zh-CN"/>
        </w:rPr>
        <w:t>有</w:t>
      </w:r>
      <w:r>
        <w:rPr>
          <w:rFonts w:hint="eastAsia" w:ascii="仿宋_GB2312" w:eastAsia="仿宋_GB2312"/>
          <w:sz w:val="28"/>
          <w:szCs w:val="28"/>
        </w:rPr>
        <w:t>“儿童青少年精神障碍入院风险评估”“精神障碍入院风险评估”相关的标准。与“精神障碍  风险评估”相关的标准有：《DB4209/T15-2018</w:t>
      </w:r>
      <w:r>
        <w:rPr>
          <w:rFonts w:hint="eastAsia" w:ascii="仿宋_GB2312" w:eastAsia="仿宋_GB2312"/>
          <w:sz w:val="28"/>
          <w:szCs w:val="28"/>
        </w:rPr>
        <w:tab/>
      </w:r>
      <w:r>
        <w:rPr>
          <w:rFonts w:hint="eastAsia" w:ascii="仿宋_GB2312" w:eastAsia="仿宋_GB2312"/>
          <w:sz w:val="28"/>
          <w:szCs w:val="28"/>
        </w:rPr>
        <w:t>精神障碍患者住院期间常见护理风险评估服务规范》。分析如下：</w:t>
      </w:r>
    </w:p>
    <w:p w14:paraId="1C503AB9">
      <w:pPr>
        <w:adjustRightInd w:val="0"/>
        <w:snapToGrid w:val="0"/>
        <w:spacing w:line="520" w:lineRule="exact"/>
        <w:ind w:firstLine="560" w:firstLineChars="200"/>
      </w:pPr>
      <w:r>
        <w:rPr>
          <w:rFonts w:hint="eastAsia" w:ascii="仿宋_GB2312" w:eastAsia="仿宋_GB2312"/>
          <w:sz w:val="28"/>
          <w:szCs w:val="28"/>
        </w:rPr>
        <w:t>《DB4209/T15-2018精神障碍患者住院期间常见护理风险评估服务规范》，该文件是孝感市地方标准，其提出了孝感市医疗机构精神科住院患者常见护理风险评估的评估指标、评估实施、评估结果、质量评价与改进。适用于各级精神专科医院及综合医院精神科开展常见护理风险评估服务。而本文件适用于儿童青少年精神障碍入院风险评估。两者针对的工作内容不一致。</w:t>
      </w:r>
    </w:p>
    <w:p w14:paraId="01EB6A88">
      <w:pPr>
        <w:spacing w:before="240" w:after="60" w:line="520" w:lineRule="exact"/>
        <w:ind w:firstLine="640" w:firstLineChars="200"/>
        <w:jc w:val="left"/>
        <w:outlineLvl w:val="0"/>
        <w:rPr>
          <w:rFonts w:ascii="黑体" w:eastAsia="黑体"/>
          <w:bCs/>
          <w:sz w:val="32"/>
          <w:szCs w:val="32"/>
        </w:rPr>
      </w:pPr>
      <w:r>
        <w:rPr>
          <w:rFonts w:hint="eastAsia" w:ascii="黑体" w:eastAsia="黑体"/>
          <w:bCs/>
          <w:sz w:val="32"/>
          <w:szCs w:val="32"/>
        </w:rPr>
        <w:t>五、主要条款的说明</w:t>
      </w:r>
    </w:p>
    <w:p w14:paraId="06912F65">
      <w:pPr>
        <w:pStyle w:val="39"/>
        <w:spacing w:line="520" w:lineRule="exact"/>
        <w:ind w:firstLine="562"/>
        <w:rPr>
          <w:rFonts w:hint="eastAsia" w:ascii="仿宋_GB2312" w:eastAsia="仿宋_GB2312" w:cs="仿宋"/>
          <w:sz w:val="28"/>
          <w:szCs w:val="28"/>
        </w:rPr>
      </w:pPr>
      <w:r>
        <w:rPr>
          <w:rFonts w:hint="eastAsia" w:ascii="仿宋_GB2312" w:eastAsia="仿宋_GB2312" w:cs="仿宋"/>
          <w:b/>
          <w:bCs/>
          <w:sz w:val="28"/>
          <w:szCs w:val="28"/>
        </w:rPr>
        <w:t>标准核心技术主要在于</w:t>
      </w:r>
      <w:r>
        <w:rPr>
          <w:rFonts w:hint="eastAsia" w:ascii="仿宋_GB2312" w:eastAsia="仿宋_GB2312" w:cs="仿宋"/>
          <w:b/>
          <w:bCs/>
          <w:sz w:val="28"/>
          <w:szCs w:val="28"/>
          <w:lang w:eastAsia="zh-CN"/>
        </w:rPr>
        <w:t>：</w:t>
      </w:r>
      <w:r>
        <w:rPr>
          <w:rFonts w:hint="eastAsia" w:ascii="仿宋_GB2312" w:eastAsia="仿宋_GB2312" w:cs="仿宋"/>
          <w:b w:val="0"/>
          <w:bCs w:val="0"/>
          <w:sz w:val="28"/>
          <w:szCs w:val="28"/>
          <w:lang w:val="en-US" w:eastAsia="zh-CN"/>
        </w:rPr>
        <w:t>主要评估方法包括：临床访谈、量表评估。评估流程包括：1.初步筛查。工具：使用《儿童青少年精神障碍风险筛查表（广西版）》。内容：自杀/自伤风险、暴力倾向、精神病性症状、进食障碍、社会功能（如辍学、家庭冲突）。2.综合评估。临床访谈：结构化访谈患者及监护人，重点评估症状严重度、病程、治疗史。量表评估：自杀风险：Columbia自杀严重程度评定量表（C-SSRS）。环境评估：家庭支持能力、学校/社区资源、既往治疗依从性。3.多学科会商：由精神科医师、心理师、社工、护士组成团队，综合医学、心理、社会因素决策。4.记录与报告。文书规范：使用全区统一的《儿童青少年入院风险评估表》，记录症状、风险等级、决策依据。上报要求：高风险病例24小时内报属地精神卫生中心备案</w:t>
      </w:r>
      <w:r>
        <w:rPr>
          <w:rFonts w:hint="eastAsia" w:ascii="仿宋_GB2312" w:eastAsia="仿宋_GB2312" w:cs="仿宋"/>
          <w:sz w:val="28"/>
          <w:szCs w:val="28"/>
        </w:rPr>
        <w:t>。</w:t>
      </w:r>
    </w:p>
    <w:p w14:paraId="531197B0">
      <w:pPr>
        <w:pStyle w:val="39"/>
        <w:numPr>
          <w:ilvl w:val="0"/>
          <w:numId w:val="0"/>
        </w:numPr>
        <w:spacing w:line="520" w:lineRule="exact"/>
        <w:ind w:firstLine="562" w:firstLineChars="200"/>
        <w:rPr>
          <w:rFonts w:hint="eastAsia" w:ascii="仿宋_GB2312" w:eastAsia="仿宋_GB2312" w:cs="仿宋"/>
          <w:sz w:val="28"/>
          <w:szCs w:val="28"/>
          <w:lang w:val="en-US" w:eastAsia="zh-CN"/>
        </w:rPr>
      </w:pPr>
      <w:r>
        <w:rPr>
          <w:rFonts w:hint="eastAsia" w:ascii="仿宋_GB2312" w:hAnsi="Calibri" w:eastAsia="仿宋_GB2312" w:cs="仿宋"/>
          <w:b/>
          <w:bCs/>
          <w:sz w:val="28"/>
          <w:szCs w:val="28"/>
          <w:lang w:val="en-US" w:eastAsia="zh-CN" w:bidi="ar-SA"/>
        </w:rPr>
        <w:t>（一）</w:t>
      </w:r>
      <w:r>
        <w:rPr>
          <w:rFonts w:hint="eastAsia" w:ascii="仿宋_GB2312" w:eastAsia="仿宋_GB2312" w:cs="仿宋"/>
          <w:b/>
          <w:bCs/>
          <w:sz w:val="28"/>
          <w:szCs w:val="28"/>
          <w:lang w:val="en-US" w:eastAsia="zh-CN"/>
        </w:rPr>
        <w:t>术语和定义</w:t>
      </w:r>
    </w:p>
    <w:p w14:paraId="579BB2D3">
      <w:pPr>
        <w:pStyle w:val="39"/>
        <w:spacing w:line="520" w:lineRule="exact"/>
        <w:ind w:firstLine="562"/>
        <w:rPr>
          <w:rFonts w:hint="eastAsia" w:ascii="仿宋_GB2312" w:eastAsia="仿宋_GB2312" w:cs="仿宋"/>
          <w:sz w:val="28"/>
          <w:szCs w:val="28"/>
          <w:lang w:val="en-US" w:eastAsia="zh-CN"/>
        </w:rPr>
      </w:pPr>
      <w:r>
        <w:rPr>
          <w:rFonts w:hint="eastAsia" w:ascii="仿宋_GB2312" w:eastAsia="仿宋_GB2312" w:cs="仿宋"/>
          <w:sz w:val="28"/>
          <w:szCs w:val="28"/>
          <w:lang w:val="en-US" w:eastAsia="zh-CN"/>
        </w:rPr>
        <w:t>儿童青少年精神障碍：在18岁之前出现的情绪、行为、认知或社会功能方面的异常，影响其正常成长、学习和社交能力的一类疾病。主要在参考世界卫生组织（WHO）《国际疾病分类》（ICD）、美国精神医学学会（APA）《精神障碍诊断与统计手册》（DSM）的基础上结合起草单位实际临床经验界定。</w:t>
      </w:r>
    </w:p>
    <w:p w14:paraId="3F8352D8">
      <w:pPr>
        <w:pStyle w:val="39"/>
        <w:numPr>
          <w:ilvl w:val="0"/>
          <w:numId w:val="0"/>
        </w:numPr>
        <w:spacing w:line="520" w:lineRule="exact"/>
        <w:ind w:firstLine="562" w:firstLineChars="200"/>
        <w:rPr>
          <w:rFonts w:hint="default" w:ascii="仿宋_GB2312" w:eastAsia="仿宋_GB2312"/>
          <w:sz w:val="28"/>
          <w:szCs w:val="28"/>
          <w:lang w:val="en-US" w:eastAsia="zh-CN"/>
        </w:rPr>
      </w:pPr>
      <w:r>
        <w:rPr>
          <w:rFonts w:hint="eastAsia" w:ascii="仿宋_GB2312" w:eastAsia="仿宋_GB2312" w:cs="仿宋"/>
          <w:b/>
          <w:sz w:val="28"/>
          <w:szCs w:val="28"/>
        </w:rPr>
        <w:t>（</w:t>
      </w:r>
      <w:r>
        <w:rPr>
          <w:rFonts w:hint="eastAsia" w:ascii="仿宋_GB2312" w:eastAsia="仿宋_GB2312" w:cs="仿宋"/>
          <w:b/>
          <w:sz w:val="28"/>
          <w:szCs w:val="28"/>
          <w:lang w:val="en-US" w:eastAsia="zh-CN"/>
        </w:rPr>
        <w:t>二</w:t>
      </w:r>
      <w:r>
        <w:rPr>
          <w:rFonts w:hint="eastAsia" w:ascii="仿宋_GB2312" w:eastAsia="仿宋_GB2312" w:cs="仿宋"/>
          <w:b/>
          <w:sz w:val="28"/>
          <w:szCs w:val="28"/>
        </w:rPr>
        <w:t>）</w:t>
      </w:r>
      <w:r>
        <w:rPr>
          <w:rFonts w:hint="eastAsia" w:ascii="仿宋_GB2312" w:eastAsia="仿宋_GB2312" w:cs="仿宋"/>
          <w:b/>
          <w:sz w:val="28"/>
          <w:szCs w:val="28"/>
          <w:lang w:val="en-US" w:eastAsia="zh-CN"/>
        </w:rPr>
        <w:t>评估原则</w:t>
      </w:r>
    </w:p>
    <w:p w14:paraId="44DE87B3">
      <w:pPr>
        <w:pStyle w:val="39"/>
        <w:spacing w:line="520" w:lineRule="exact"/>
        <w:ind w:firstLine="560"/>
        <w:rPr>
          <w:rFonts w:hint="eastAsia" w:ascii="仿宋_GB2312" w:eastAsia="仿宋_GB2312"/>
          <w:b w:val="0"/>
          <w:bCs w:val="0"/>
          <w:sz w:val="28"/>
          <w:szCs w:val="28"/>
          <w:lang w:eastAsia="zh-CN"/>
        </w:rPr>
      </w:pPr>
      <w:r>
        <w:rPr>
          <w:rFonts w:hint="eastAsia" w:ascii="仿宋_GB2312" w:eastAsia="仿宋_GB2312"/>
          <w:b w:val="0"/>
          <w:bCs w:val="0"/>
          <w:sz w:val="28"/>
          <w:szCs w:val="28"/>
          <w:lang w:eastAsia="zh-CN"/>
        </w:rPr>
        <w:t>功能定向、全面</w:t>
      </w:r>
      <w:r>
        <w:rPr>
          <w:rFonts w:hint="eastAsia" w:ascii="仿宋_GB2312" w:eastAsia="仿宋_GB2312"/>
          <w:b w:val="0"/>
          <w:bCs w:val="0"/>
          <w:sz w:val="28"/>
          <w:szCs w:val="28"/>
          <w:lang w:val="en-US" w:eastAsia="zh-CN"/>
        </w:rPr>
        <w:t>性</w:t>
      </w:r>
      <w:r>
        <w:rPr>
          <w:rFonts w:hint="eastAsia" w:ascii="仿宋_GB2312" w:eastAsia="仿宋_GB2312"/>
          <w:b w:val="0"/>
          <w:bCs w:val="0"/>
          <w:sz w:val="28"/>
          <w:szCs w:val="28"/>
          <w:lang w:eastAsia="zh-CN"/>
        </w:rPr>
        <w:t>、保密性、个性化、协作性</w:t>
      </w:r>
      <w:r>
        <w:rPr>
          <w:rFonts w:hint="eastAsia" w:ascii="仿宋_GB2312" w:eastAsia="仿宋_GB2312"/>
          <w:b w:val="0"/>
          <w:bCs w:val="0"/>
          <w:sz w:val="28"/>
          <w:szCs w:val="28"/>
          <w:lang w:val="en-US" w:eastAsia="zh-CN"/>
        </w:rPr>
        <w:t>的</w:t>
      </w:r>
      <w:r>
        <w:rPr>
          <w:rFonts w:hint="eastAsia" w:ascii="仿宋_GB2312" w:eastAsia="仿宋_GB2312"/>
          <w:b w:val="0"/>
          <w:bCs w:val="0"/>
          <w:sz w:val="28"/>
          <w:szCs w:val="28"/>
          <w:lang w:eastAsia="zh-CN"/>
        </w:rPr>
        <w:t>评估原则，是为了系统构建适配儿童青少年身心发育特点的入院风险评估体系，从目标定位、科学实施、伦理合规、个体适配和多方协同五个关键维度进行规范。功能定向原则以未成年人健康成长为核心，强调从身体结构与功能、活动参与、生理心理社会风险三个维度开展评估，确保评估服务于精准心理干预；全面性原则要求基于循证医学，遵循儿童青少年心理发展规律，结合其身体功能水平选用适宜工具，保障评估的科学性与完整性；保密性原则严格遵循《精神卫生法》《未成年人保护法》等法律法规，在保护未成年人隐私权的同时，明确生命安全与法定情形下的保密例外，平衡伦理要求与风险防控；个性化原则充分考虑年龄、性别、文化背景等个体差异，避免评估与干预的 “一刀切”，确保方案贴合个体需求；协作性原则则通过整合医护、心理、教育等多专业力量，联动家庭与学校，形成全方位、跨场景的风险防控机制。五项原则彼此衔接、有机统一，共同构成了科学严谨、合法合规且具备临床可操作性的评估准则。其既契合 ICD、DSM 等国际精神卫生评估的核心理念，又紧密结合我国儿童青少年精神障碍诊疗的实际场景，为入院风险评估的标准化、专业化实施提供了系统性指导，同时也为后续干预方案的制定与风险防控闭环的形成奠定了坚实基础。</w:t>
      </w:r>
    </w:p>
    <w:p w14:paraId="257D8AC1">
      <w:pPr>
        <w:pStyle w:val="3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2" w:firstLineChars="200"/>
        <w:textAlignment w:val="auto"/>
        <w:rPr>
          <w:rFonts w:hint="eastAsia" w:ascii="仿宋_GB2312" w:eastAsia="仿宋_GB2312" w:cs="仿宋"/>
          <w:b/>
          <w:sz w:val="28"/>
          <w:szCs w:val="28"/>
          <w:lang w:eastAsia="zh-CN"/>
        </w:rPr>
      </w:pPr>
      <w:r>
        <w:rPr>
          <w:rFonts w:hint="eastAsia" w:ascii="仿宋_GB2312" w:hAnsi="Calibri" w:eastAsia="仿宋_GB2312" w:cs="仿宋"/>
          <w:b/>
          <w:sz w:val="28"/>
          <w:szCs w:val="28"/>
          <w:lang w:val="en-US" w:eastAsia="zh-CN" w:bidi="ar-SA"/>
        </w:rPr>
        <w:t>（三）</w:t>
      </w:r>
      <w:r>
        <w:rPr>
          <w:rFonts w:hint="eastAsia" w:ascii="仿宋_GB2312" w:eastAsia="仿宋_GB2312" w:cs="仿宋"/>
          <w:b/>
          <w:sz w:val="28"/>
          <w:szCs w:val="28"/>
          <w:lang w:val="en-US" w:eastAsia="zh-CN"/>
        </w:rPr>
        <w:t>评估人员</w:t>
      </w:r>
    </w:p>
    <w:p w14:paraId="1B571411">
      <w:pPr>
        <w:pStyle w:val="3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firstLine="560" w:firstLineChars="200"/>
        <w:textAlignment w:val="auto"/>
        <w:rPr>
          <w:rFonts w:hint="eastAsia" w:ascii="仿宋_GB2312" w:eastAsia="仿宋_GB2312" w:cs="仿宋"/>
          <w:b/>
          <w:sz w:val="28"/>
          <w:szCs w:val="28"/>
          <w:lang w:eastAsia="zh-CN"/>
        </w:rPr>
      </w:pPr>
      <w:r>
        <w:rPr>
          <w:rFonts w:hint="eastAsia" w:ascii="仿宋_GB2312" w:eastAsia="仿宋_GB2312" w:cs="仿宋"/>
          <w:b w:val="0"/>
          <w:bCs/>
          <w:sz w:val="28"/>
          <w:szCs w:val="28"/>
          <w:lang w:eastAsia="zh-CN"/>
        </w:rPr>
        <w:t>评估人员的资质与能力要求，主要依据《中华人民共和国精神卫生法》《未成年人保护法》等法律法规对心理健康服务人员执业资质的刚性规定，同时结合儿童青少年精神障碍尤其是非自杀性自伤行为的高临床风险、多学科协作诊疗需求以及未成年人心理发展的特殊性，明确要求人员须经专项培训合格、具备相关执业证书与领域工作经验，掌握专业沟通技巧并熟悉儿童青少年心理发展及自伤相关规律，从而保障评估过程合法合规、结果科学可靠，满足临床风险防控与精准干预的实际需要。</w:t>
      </w:r>
    </w:p>
    <w:p w14:paraId="482EFF80">
      <w:pPr>
        <w:pStyle w:val="39"/>
        <w:keepNext w:val="0"/>
        <w:keepLines w:val="0"/>
        <w:pageBreakBefore w:val="0"/>
        <w:widowControl/>
        <w:kinsoku/>
        <w:wordWrap/>
        <w:overflowPunct/>
        <w:topLinePunct w:val="0"/>
        <w:autoSpaceDE w:val="0"/>
        <w:autoSpaceDN w:val="0"/>
        <w:bidi w:val="0"/>
        <w:adjustRightInd/>
        <w:snapToGrid/>
        <w:spacing w:line="520" w:lineRule="exact"/>
        <w:ind w:firstLine="562" w:firstLineChars="200"/>
        <w:textAlignment w:val="auto"/>
        <w:rPr>
          <w:rFonts w:hint="default" w:ascii="仿宋_GB2312" w:eastAsia="仿宋_GB2312"/>
          <w:b/>
          <w:sz w:val="28"/>
          <w:szCs w:val="28"/>
          <w:lang w:val="en-US" w:eastAsia="zh-CN"/>
        </w:rPr>
      </w:pPr>
      <w:r>
        <w:rPr>
          <w:rFonts w:hint="eastAsia" w:ascii="仿宋_GB2312" w:eastAsia="仿宋_GB2312" w:cs="仿宋"/>
          <w:b/>
          <w:sz w:val="28"/>
          <w:szCs w:val="28"/>
        </w:rPr>
        <w:t>（</w:t>
      </w:r>
      <w:r>
        <w:rPr>
          <w:rFonts w:hint="eastAsia" w:ascii="仿宋_GB2312" w:eastAsia="仿宋_GB2312" w:cs="仿宋"/>
          <w:b/>
          <w:sz w:val="28"/>
          <w:szCs w:val="28"/>
          <w:lang w:val="en-US" w:eastAsia="zh-CN"/>
        </w:rPr>
        <w:t>四</w:t>
      </w:r>
      <w:r>
        <w:rPr>
          <w:rFonts w:hint="eastAsia" w:ascii="仿宋_GB2312" w:eastAsia="仿宋_GB2312" w:cs="仿宋"/>
          <w:b/>
          <w:sz w:val="28"/>
          <w:szCs w:val="28"/>
        </w:rPr>
        <w:t>）</w:t>
      </w:r>
      <w:bookmarkStart w:id="1" w:name="_Toc130001751"/>
      <w:bookmarkStart w:id="2" w:name="_Toc129855215"/>
      <w:bookmarkStart w:id="3" w:name="_Toc129855049"/>
      <w:bookmarkStart w:id="4" w:name="_Toc130001592"/>
      <w:bookmarkStart w:id="5" w:name="_Toc130001562"/>
      <w:r>
        <w:rPr>
          <w:rFonts w:hint="eastAsia" w:ascii="仿宋_GB2312" w:eastAsia="仿宋_GB2312" w:cs="仿宋"/>
          <w:b/>
          <w:sz w:val="28"/>
          <w:szCs w:val="28"/>
          <w:lang w:val="en-US" w:eastAsia="zh-CN"/>
        </w:rPr>
        <w:t>评估</w:t>
      </w:r>
      <w:r>
        <w:rPr>
          <w:rFonts w:hint="eastAsia" w:ascii="仿宋_GB2312" w:eastAsia="仿宋_GB2312" w:cs="仿宋"/>
          <w:b/>
          <w:sz w:val="28"/>
          <w:szCs w:val="28"/>
          <w:lang w:eastAsia="zh-CN"/>
        </w:rPr>
        <w:t>流程及要求</w:t>
      </w:r>
    </w:p>
    <w:bookmarkEnd w:id="1"/>
    <w:bookmarkEnd w:id="2"/>
    <w:bookmarkEnd w:id="3"/>
    <w:bookmarkEnd w:id="4"/>
    <w:bookmarkEnd w:id="5"/>
    <w:p w14:paraId="2975EC0B">
      <w:pPr>
        <w:pStyle w:val="39"/>
        <w:spacing w:line="520" w:lineRule="exact"/>
        <w:ind w:firstLine="562"/>
        <w:rPr>
          <w:rFonts w:hint="eastAsia" w:ascii="仿宋_GB2312" w:eastAsia="仿宋_GB2312" w:cs="仿宋"/>
          <w:b/>
          <w:bCs w:val="0"/>
          <w:sz w:val="28"/>
          <w:szCs w:val="28"/>
          <w:lang w:eastAsia="zh-CN"/>
        </w:rPr>
      </w:pPr>
      <w:r>
        <w:rPr>
          <w:rFonts w:hint="eastAsia" w:ascii="仿宋_GB2312" w:eastAsia="仿宋_GB2312" w:cs="仿宋"/>
          <w:b/>
          <w:bCs w:val="0"/>
          <w:sz w:val="28"/>
          <w:szCs w:val="28"/>
          <w:lang w:val="en-US" w:eastAsia="zh-CN"/>
        </w:rPr>
        <w:t>1.评估</w:t>
      </w:r>
      <w:r>
        <w:rPr>
          <w:rFonts w:hint="eastAsia" w:ascii="仿宋_GB2312" w:eastAsia="仿宋_GB2312" w:cs="仿宋"/>
          <w:b/>
          <w:bCs w:val="0"/>
          <w:sz w:val="28"/>
          <w:szCs w:val="28"/>
          <w:lang w:eastAsia="zh-CN"/>
        </w:rPr>
        <w:t>流程</w:t>
      </w:r>
    </w:p>
    <w:p w14:paraId="5646B8E7">
      <w:pPr>
        <w:pStyle w:val="39"/>
        <w:spacing w:line="520" w:lineRule="exact"/>
        <w:ind w:firstLine="562"/>
        <w:rPr>
          <w:rFonts w:hint="eastAsia" w:ascii="仿宋_GB2312" w:eastAsia="仿宋_GB2312" w:cs="仿宋"/>
          <w:b w:val="0"/>
          <w:bCs/>
          <w:sz w:val="28"/>
          <w:szCs w:val="28"/>
          <w:lang w:eastAsia="zh-CN"/>
        </w:rPr>
      </w:pPr>
      <w:r>
        <w:rPr>
          <w:rFonts w:hint="eastAsia" w:ascii="仿宋_GB2312" w:eastAsia="仿宋_GB2312" w:cs="仿宋"/>
          <w:b w:val="0"/>
          <w:bCs/>
          <w:sz w:val="28"/>
          <w:szCs w:val="28"/>
          <w:lang w:eastAsia="zh-CN"/>
        </w:rPr>
        <w:t>经过调研区内外多地区</w:t>
      </w:r>
      <w:r>
        <w:rPr>
          <w:rFonts w:hint="eastAsia" w:ascii="仿宋_GB2312" w:eastAsia="仿宋_GB2312" w:cs="仿宋"/>
          <w:b w:val="0"/>
          <w:bCs/>
          <w:sz w:val="28"/>
          <w:szCs w:val="28"/>
          <w:lang w:val="en-US" w:eastAsia="zh-CN"/>
        </w:rPr>
        <w:t>进行儿童青少年精神障碍入院风险评估的</w:t>
      </w:r>
      <w:r>
        <w:rPr>
          <w:rFonts w:hint="eastAsia" w:ascii="仿宋_GB2312" w:eastAsia="仿宋_GB2312" w:cs="仿宋"/>
          <w:b w:val="0"/>
          <w:bCs/>
          <w:sz w:val="28"/>
          <w:szCs w:val="28"/>
          <w:lang w:eastAsia="zh-CN"/>
        </w:rPr>
        <w:t>医疗机构，明确</w:t>
      </w:r>
      <w:r>
        <w:rPr>
          <w:rFonts w:hint="eastAsia" w:ascii="仿宋_GB2312" w:eastAsia="仿宋_GB2312" w:cs="仿宋"/>
          <w:b w:val="0"/>
          <w:bCs/>
          <w:sz w:val="28"/>
          <w:szCs w:val="28"/>
          <w:lang w:val="en-US" w:eastAsia="zh-CN"/>
        </w:rPr>
        <w:t>干预流程</w:t>
      </w:r>
      <w:r>
        <w:rPr>
          <w:rFonts w:hint="eastAsia" w:ascii="仿宋_GB2312" w:eastAsia="仿宋_GB2312" w:cs="仿宋"/>
          <w:b w:val="0"/>
          <w:bCs/>
          <w:sz w:val="28"/>
          <w:szCs w:val="28"/>
          <w:lang w:eastAsia="zh-CN"/>
        </w:rPr>
        <w:t>包括</w:t>
      </w:r>
      <w:r>
        <w:rPr>
          <w:rFonts w:hint="eastAsia" w:ascii="仿宋_GB2312" w:eastAsia="仿宋_GB2312" w:cs="仿宋"/>
          <w:b w:val="0"/>
          <w:bCs/>
          <w:sz w:val="28"/>
          <w:szCs w:val="28"/>
          <w:lang w:val="en-US" w:eastAsia="zh-CN"/>
        </w:rPr>
        <w:t>接诊</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沟通</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筛查</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实施评估</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评估结果判定、住院</w:t>
      </w:r>
      <w:r>
        <w:rPr>
          <w:rFonts w:hint="eastAsia" w:ascii="仿宋_GB2312" w:eastAsia="仿宋_GB2312" w:cs="仿宋"/>
          <w:b w:val="0"/>
          <w:bCs/>
          <w:sz w:val="28"/>
          <w:szCs w:val="28"/>
          <w:lang w:eastAsia="zh-CN"/>
        </w:rPr>
        <w:t>等内容。</w:t>
      </w:r>
    </w:p>
    <w:p w14:paraId="64571AB4">
      <w:pPr>
        <w:pStyle w:val="39"/>
        <w:spacing w:line="520" w:lineRule="exact"/>
        <w:ind w:firstLine="562"/>
        <w:rPr>
          <w:rFonts w:hint="default" w:ascii="仿宋_GB2312" w:eastAsia="仿宋_GB2312" w:cs="仿宋"/>
          <w:b/>
          <w:bCs w:val="0"/>
          <w:sz w:val="28"/>
          <w:szCs w:val="28"/>
          <w:lang w:val="en-US" w:eastAsia="zh-CN"/>
        </w:rPr>
      </w:pPr>
      <w:r>
        <w:rPr>
          <w:rFonts w:hint="eastAsia" w:ascii="仿宋_GB2312" w:eastAsia="仿宋_GB2312" w:cs="仿宋"/>
          <w:b/>
          <w:bCs w:val="0"/>
          <w:sz w:val="28"/>
          <w:szCs w:val="28"/>
          <w:lang w:val="en-US" w:eastAsia="zh-CN"/>
        </w:rPr>
        <w:t>2.评估要求</w:t>
      </w:r>
    </w:p>
    <w:p w14:paraId="25A064EB">
      <w:pPr>
        <w:pStyle w:val="3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为实现儿童青少年精神障碍入院风险评估的标准化、规范化与可操作化，严格遵循法律法规、伦理规范、循证临床实践与危机干预行业共识</w:t>
      </w:r>
      <w:r>
        <w:rPr>
          <w:rFonts w:hint="eastAsia" w:ascii="仿宋_GB2312" w:eastAsia="仿宋_GB2312" w:cs="仿宋"/>
          <w:b w:val="0"/>
          <w:bCs/>
          <w:sz w:val="28"/>
          <w:szCs w:val="28"/>
          <w:lang w:eastAsia="zh-CN"/>
        </w:rPr>
        <w:t>，</w:t>
      </w:r>
      <w:r>
        <w:rPr>
          <w:rFonts w:hint="eastAsia" w:ascii="仿宋_GB2312" w:eastAsia="仿宋_GB2312" w:cs="仿宋"/>
          <w:b w:val="0"/>
          <w:bCs/>
          <w:sz w:val="28"/>
          <w:szCs w:val="28"/>
          <w:lang w:val="en-US" w:eastAsia="zh-CN"/>
        </w:rPr>
        <w:t>制定流程要求</w:t>
      </w:r>
      <w:r>
        <w:rPr>
          <w:rFonts w:hint="eastAsia" w:ascii="仿宋_GB2312" w:eastAsia="仿宋_GB2312" w:cs="仿宋"/>
          <w:b w:val="0"/>
          <w:bCs/>
          <w:sz w:val="28"/>
          <w:szCs w:val="28"/>
        </w:rPr>
        <w:t>。依据《精神卫生法》《未成年人保护法》《基本医疗卫生与健康促进法》等法律，明确必须保障未成年人知情同意、隐私保护、医疗安全及监护人知情决策，因此规范了接诊沟通、知情同意、档案管理与住院告知流程；依据儿童青少年发育心理学与临床沟通伦理，通过安全环境、共情沟通、清晰解释评估目的与保密原则，建立信任关系，提升信息真实性与依从性，减少隐瞒与抵触；依据生物 - 心理 - 社会医学模式与多因素风险模型，全面采集基本信息、危险因素与保护因素，覆盖个体、家庭、学校、社会等层面，避免漏评关键风险与保护性资源；依据国家卫健委及精神医学领域的自杀风险、自伤行为、儿童青少年精神障碍诊疗规范与专家共识，采用 Columbia 自杀严重程度评定量表等信效度明确的标准化工具，实现评估客观化、量化，减少主观偏差；依据危机干预分级处置原则，将风险划分为高、中、低三个等级并匹配对应的干预措施，实现精准分流与资源合理配置，最大限度降低即刻危险；依据医疗质量安全与病案管理要求，通过建立档案、动态评估，实现评估 — 干预 — 随访的闭环管理，保障诊疗连续性与医疗安全追溯。</w:t>
      </w:r>
    </w:p>
    <w:p w14:paraId="539FDB21">
      <w:pPr>
        <w:pStyle w:val="39"/>
        <w:numPr>
          <w:ilvl w:val="0"/>
          <w:numId w:val="0"/>
        </w:numPr>
        <w:spacing w:line="520" w:lineRule="exact"/>
        <w:ind w:firstLine="560" w:firstLineChars="200"/>
        <w:rPr>
          <w:rFonts w:hint="eastAsia" w:ascii="仿宋_GB2312" w:eastAsia="仿宋_GB2312" w:cs="仿宋"/>
          <w:b w:val="0"/>
          <w:bCs/>
          <w:sz w:val="28"/>
          <w:szCs w:val="28"/>
          <w:lang w:eastAsia="zh-CN"/>
        </w:rPr>
      </w:pPr>
      <w:r>
        <w:rPr>
          <w:rFonts w:hint="eastAsia" w:ascii="仿宋_GB2312" w:hAnsi="Calibri" w:eastAsia="仿宋_GB2312" w:cs="仿宋"/>
          <w:b w:val="0"/>
          <w:bCs/>
          <w:sz w:val="28"/>
          <w:szCs w:val="28"/>
          <w:lang w:val="en-US" w:eastAsia="zh-CN" w:bidi="ar-SA"/>
        </w:rPr>
        <w:t>（1）</w:t>
      </w:r>
      <w:r>
        <w:rPr>
          <w:rFonts w:hint="eastAsia" w:ascii="仿宋_GB2312" w:eastAsia="仿宋_GB2312" w:cs="仿宋"/>
          <w:b/>
          <w:bCs w:val="0"/>
          <w:sz w:val="28"/>
          <w:szCs w:val="28"/>
          <w:lang w:val="en-US" w:eastAsia="zh-CN"/>
        </w:rPr>
        <w:t>接诊</w:t>
      </w:r>
    </w:p>
    <w:p w14:paraId="63907035">
      <w:pPr>
        <w:pStyle w:val="3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应详细询问儿童青少年的现病史、既往史，了解儿童青少年心理和社会风险因素。</w:t>
      </w:r>
    </w:p>
    <w:p w14:paraId="35996799">
      <w:pPr>
        <w:pStyle w:val="39"/>
        <w:spacing w:line="520" w:lineRule="exact"/>
        <w:ind w:firstLine="562"/>
        <w:rPr>
          <w:rFonts w:hint="default" w:ascii="仿宋_GB2312" w:eastAsia="仿宋_GB2312" w:cs="仿宋"/>
          <w:b w:val="0"/>
          <w:bCs/>
          <w:sz w:val="28"/>
          <w:szCs w:val="28"/>
          <w:lang w:val="en-US" w:eastAsia="zh-CN"/>
        </w:rPr>
      </w:pP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2</w:t>
      </w: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沟通</w:t>
      </w:r>
    </w:p>
    <w:p w14:paraId="687908A4">
      <w:pPr>
        <w:pStyle w:val="39"/>
        <w:spacing w:line="520" w:lineRule="exact"/>
        <w:ind w:firstLine="562"/>
        <w:rPr>
          <w:rFonts w:hint="eastAsia" w:ascii="仿宋_GB2312" w:eastAsia="仿宋_GB2312" w:cs="仿宋"/>
          <w:b/>
          <w:bCs w:val="0"/>
          <w:sz w:val="28"/>
          <w:szCs w:val="28"/>
        </w:rPr>
      </w:pPr>
      <w:r>
        <w:rPr>
          <w:rFonts w:hint="eastAsia" w:ascii="仿宋_GB2312" w:eastAsia="仿宋_GB2312" w:cs="仿宋"/>
          <w:b w:val="0"/>
          <w:bCs/>
          <w:sz w:val="28"/>
          <w:szCs w:val="28"/>
        </w:rPr>
        <w:t>应提供安全、安静的环境，使用眼神接触，身体微微前倾等非言语信号打消儿童青少年的紧张顾虑情绪，增强儿童青少年的信任感和舒适度。应解释评估的功能、目的、过程以及保密性原则，获得儿童青少年理解并同意参与。要求提供安全安静环境、运用眼神接触与身体前倾等非言语信号，是因为儿童青少年情绪敏感、防御性强，舒适且受尊重的沟通环境能有效降低焦虑与戒备，建立信任关系，从而使其更愿意暴露真实心理状态与风险信息，避免因紧张隐瞒关键内容，保证评估结果可靠。其次，解释评估目的、过程与保密原则并获得同意，既是遵循知情同意这一临床与科研伦理的基本准则，也符合《未成年人保护法》《精神卫生法》对未成年人参与心理健康服务时知情权与自愿参与权的法定要求，同时明确保密边界能进一步提升安全感，减少抵触与抗拒，确保评估在合法、合规且符合伦理的前提下顺利开展。</w:t>
      </w:r>
    </w:p>
    <w:p w14:paraId="5539343F">
      <w:pPr>
        <w:pStyle w:val="3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left="0" w:leftChars="0" w:firstLine="562" w:firstLineChars="200"/>
        <w:textAlignment w:val="auto"/>
        <w:rPr>
          <w:rFonts w:hint="eastAsia" w:ascii="仿宋_GB2312" w:eastAsia="仿宋_GB2312" w:cs="仿宋"/>
          <w:b/>
          <w:bCs w:val="0"/>
          <w:sz w:val="28"/>
          <w:szCs w:val="28"/>
          <w:lang w:val="en-US" w:eastAsia="zh-CN"/>
        </w:rPr>
      </w:pPr>
      <w:r>
        <w:rPr>
          <w:rFonts w:hint="eastAsia" w:ascii="仿宋_GB2312" w:hAnsi="Calibri" w:eastAsia="仿宋_GB2312" w:cs="仿宋"/>
          <w:b/>
          <w:bCs w:val="0"/>
          <w:sz w:val="28"/>
          <w:szCs w:val="28"/>
          <w:lang w:val="en-US" w:eastAsia="zh-CN" w:bidi="ar-SA"/>
        </w:rPr>
        <w:t>（</w:t>
      </w:r>
      <w:r>
        <w:rPr>
          <w:rFonts w:hint="eastAsia" w:ascii="仿宋_GB2312" w:eastAsia="仿宋_GB2312" w:cs="仿宋"/>
          <w:b/>
          <w:bCs w:val="0"/>
          <w:sz w:val="28"/>
          <w:szCs w:val="28"/>
          <w:lang w:val="en-US" w:eastAsia="zh-CN" w:bidi="ar-SA"/>
        </w:rPr>
        <w:t>3</w:t>
      </w:r>
      <w:r>
        <w:rPr>
          <w:rFonts w:hint="eastAsia" w:ascii="仿宋_GB2312" w:hAnsi="Calibri" w:eastAsia="仿宋_GB2312" w:cs="仿宋"/>
          <w:b/>
          <w:bCs w:val="0"/>
          <w:sz w:val="28"/>
          <w:szCs w:val="28"/>
          <w:lang w:val="en-US" w:eastAsia="zh-CN" w:bidi="ar-SA"/>
        </w:rPr>
        <w:t>）</w:t>
      </w:r>
      <w:r>
        <w:rPr>
          <w:rFonts w:hint="eastAsia" w:ascii="仿宋_GB2312" w:eastAsia="仿宋_GB2312" w:cs="仿宋"/>
          <w:b/>
          <w:bCs w:val="0"/>
          <w:sz w:val="28"/>
          <w:szCs w:val="28"/>
          <w:lang w:val="en-US" w:eastAsia="zh-CN"/>
        </w:rPr>
        <w:t>筛查</w:t>
      </w:r>
    </w:p>
    <w:p w14:paraId="4C210B25">
      <w:pPr>
        <w:pStyle w:val="39"/>
        <w:keepNext w:val="0"/>
        <w:keepLines w:val="0"/>
        <w:pageBreakBefore w:val="0"/>
        <w:widowControl/>
        <w:numPr>
          <w:ilvl w:val="0"/>
          <w:numId w:val="0"/>
        </w:numPr>
        <w:kinsoku/>
        <w:wordWrap/>
        <w:overflowPunct/>
        <w:topLinePunct w:val="0"/>
        <w:autoSpaceDE w:val="0"/>
        <w:autoSpaceDN w:val="0"/>
        <w:bidi w:val="0"/>
        <w:adjustRightInd/>
        <w:snapToGrid/>
        <w:spacing w:line="520" w:lineRule="exact"/>
        <w:ind w:leftChars="0" w:firstLine="560" w:firstLineChars="200"/>
        <w:textAlignment w:val="auto"/>
        <w:rPr>
          <w:rFonts w:hint="eastAsia" w:ascii="仿宋_GB2312" w:eastAsia="仿宋_GB2312" w:cs="仿宋"/>
          <w:b w:val="0"/>
          <w:bCs/>
          <w:sz w:val="28"/>
          <w:szCs w:val="28"/>
          <w:lang w:val="en-US" w:eastAsia="zh-CN"/>
        </w:rPr>
      </w:pPr>
      <w:r>
        <w:rPr>
          <w:rFonts w:hint="eastAsia" w:ascii="仿宋_GB2312" w:eastAsia="仿宋_GB2312" w:cs="仿宋"/>
          <w:b w:val="0"/>
          <w:bCs/>
          <w:sz w:val="28"/>
          <w:szCs w:val="28"/>
          <w:lang w:val="en-US" w:eastAsia="zh-CN"/>
        </w:rPr>
        <w:t>筛查内容的设置，核心依据是生物‑心理‑社会医学模式、儿童青少年精神障碍多因素病因理论、风险与保护因素双维度评估模型，同时契合临床诊疗规范与危机干预的行业共识，目的是实现全面、系统、无遗漏的风险识别，为分级干预提供科学依据。在基本信息方面，纳入年龄、家族史、父母婚姻与教育程度、家庭结构等内容，是因为这些人口学与社会学变量是精神障碍发生、发展的重要背景因素，家族史直接关联遗传易感性，家庭相关信息则反映早期成长环境与照护质量，是判断风险成因与预后的基础依据。在重要信息方面，同时采集危险因素与保护因素，是现代风险评估的核心逻辑：危险因素用于识别即刻与潜在风险，如精神障碍、自伤自杀行为、校园欺凌、不良童年经历等均是入院与危机事件的强预测因子，必须全面覆盖以避免漏评高风险情况；保护因素用于评估个体韧性与可利用资源，积极认知、家庭支持、社会关系、学业表现等能够缓冲风险、改善预后，明确保护因素有助于制定精准且可行的干预方案，实现风险防控与资源利用的平衡。</w:t>
      </w:r>
    </w:p>
    <w:p w14:paraId="2573646B">
      <w:pPr>
        <w:pStyle w:val="39"/>
        <w:numPr>
          <w:ilvl w:val="0"/>
          <w:numId w:val="0"/>
        </w:numPr>
        <w:spacing w:line="520" w:lineRule="exact"/>
        <w:ind w:leftChars="200"/>
        <w:rPr>
          <w:rFonts w:hint="default" w:ascii="仿宋_GB2312" w:eastAsia="仿宋_GB2312" w:cs="仿宋"/>
          <w:b/>
          <w:bCs w:val="0"/>
          <w:sz w:val="28"/>
          <w:szCs w:val="28"/>
          <w:lang w:val="en-US" w:eastAsia="zh-CN"/>
        </w:rPr>
      </w:pPr>
      <w:r>
        <w:rPr>
          <w:rFonts w:hint="eastAsia" w:ascii="仿宋_GB2312" w:eastAsia="仿宋_GB2312" w:cs="仿宋"/>
          <w:b/>
          <w:bCs w:val="0"/>
          <w:sz w:val="28"/>
          <w:szCs w:val="28"/>
          <w:lang w:val="en-US" w:eastAsia="zh-CN"/>
        </w:rPr>
        <w:t>（4）实施评估</w:t>
      </w:r>
    </w:p>
    <w:p w14:paraId="6178320D">
      <w:pPr>
        <w:pStyle w:val="3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使用《儿童青少年入院风险评估表》、《儿童青少年精神障碍风险筛查表》、《Columbia自杀严重程度评定量表》对儿童青少年进行风险因素筛查，主要包括生理风险、精神心理风险及特殊风险等因素进行评估。针对儿童青少年存在的心理问题进行针对性的指导，同时进行健康宣教。儿童青少年精神障碍与自杀风险具有高度主观性，仅靠经验判断易出现偏差；采用经过信效度验证的标准化工具，能够统一评估维度、量化风险水平，保证不同评估人员的判断具有一致性与可比性，同时 Columbia 量表作为国际公认的自杀风险评估工具，其使用符合国家卫健委及精神医学领域关于自杀风险筛查的权威指南，为后续分级干预提供客观、可靠的数据支撑。要求同步开展针对性指导与健康宣教，是基于未成年人心理健康服务 “评估即干预” 的实践理念，在评估过程中及时给予专业指导可缓解即时心理困扰，健康宣教则能提升儿童青少年及其家庭对疾病与风险的认知水平，增强自我保护与求助意识，既提升服务依从性，也为后续干预与康复奠定基础，符合全程、连续的心理健康服务规范。</w:t>
      </w:r>
    </w:p>
    <w:p w14:paraId="39A77134">
      <w:pPr>
        <w:pStyle w:val="39"/>
        <w:spacing w:line="520" w:lineRule="exact"/>
        <w:ind w:firstLine="562"/>
        <w:rPr>
          <w:rFonts w:hint="default" w:ascii="仿宋_GB2312" w:eastAsia="仿宋_GB2312" w:cs="仿宋"/>
          <w:b/>
          <w:bCs w:val="0"/>
          <w:sz w:val="28"/>
          <w:szCs w:val="28"/>
          <w:lang w:val="en-US" w:eastAsia="zh-CN"/>
        </w:rPr>
      </w:pP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5</w:t>
      </w: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评估结果判断</w:t>
      </w:r>
    </w:p>
    <w:p w14:paraId="2E3DCDCC">
      <w:pPr>
        <w:pStyle w:val="39"/>
        <w:spacing w:line="520" w:lineRule="exact"/>
        <w:ind w:firstLine="562"/>
        <w:rPr>
          <w:rFonts w:hint="eastAsia" w:ascii="仿宋_GB2312" w:eastAsia="仿宋_GB2312" w:cs="仿宋"/>
          <w:b w:val="0"/>
          <w:bCs/>
          <w:sz w:val="28"/>
          <w:szCs w:val="28"/>
          <w:lang w:eastAsia="zh-CN"/>
        </w:rPr>
      </w:pPr>
      <w:r>
        <w:rPr>
          <w:rFonts w:hint="eastAsia" w:ascii="仿宋_GB2312" w:eastAsia="仿宋_GB2312" w:cs="仿宋"/>
          <w:b w:val="0"/>
          <w:bCs/>
          <w:sz w:val="28"/>
          <w:szCs w:val="28"/>
        </w:rPr>
        <w:t>评估人员根据《儿童青少年入院风险评估表》测评结果统计条目得分，判断入院风险等级。确保风险判断客观统一、避免主观偏差，为入院决策提供可量化、可追溯的科学依据，同时实现医疗资源的合理配置与安全防控。通过对评估表条目进行量化计分并划分风险等级，能够统一不同评估人员的判断标准，减少经验判断带来的误差与漏评、误判风险，使入院指征更加明确规范；量化结果也便于医疗质量管控与数据追溯，符合临床诊疗规范化管理要求，进而为高、中、低不同风险等级匹配对应的干预措施提供坚实支撑，保障未成年人得到及时、精准、安全的医疗处置。</w:t>
      </w:r>
    </w:p>
    <w:p w14:paraId="78BDE13F">
      <w:pPr>
        <w:pStyle w:val="39"/>
        <w:numPr>
          <w:ilvl w:val="0"/>
          <w:numId w:val="0"/>
        </w:numPr>
        <w:spacing w:line="520" w:lineRule="exact"/>
        <w:ind w:firstLine="562" w:firstLineChars="200"/>
        <w:rPr>
          <w:rFonts w:hint="eastAsia" w:ascii="仿宋_GB2312" w:eastAsia="仿宋_GB2312" w:cs="仿宋"/>
          <w:b/>
          <w:bCs w:val="0"/>
          <w:sz w:val="28"/>
          <w:szCs w:val="28"/>
          <w:lang w:val="en-US" w:eastAsia="zh-CN"/>
        </w:rPr>
      </w:pPr>
      <w:r>
        <w:rPr>
          <w:rFonts w:hint="eastAsia" w:ascii="仿宋_GB2312" w:hAnsi="Calibri" w:eastAsia="仿宋_GB2312" w:cs="仿宋"/>
          <w:b/>
          <w:bCs w:val="0"/>
          <w:sz w:val="28"/>
          <w:szCs w:val="28"/>
          <w:lang w:val="en-US" w:eastAsia="zh-CN" w:bidi="ar-SA"/>
        </w:rPr>
        <w:t>（6）</w:t>
      </w:r>
      <w:r>
        <w:rPr>
          <w:rFonts w:hint="eastAsia" w:ascii="仿宋_GB2312" w:eastAsia="仿宋_GB2312" w:cs="仿宋"/>
          <w:b/>
          <w:bCs w:val="0"/>
          <w:sz w:val="28"/>
          <w:szCs w:val="28"/>
          <w:lang w:val="en-US" w:eastAsia="zh-CN"/>
        </w:rPr>
        <w:t>住院</w:t>
      </w:r>
    </w:p>
    <w:p w14:paraId="7C0ED53D">
      <w:pPr>
        <w:pStyle w:val="39"/>
        <w:spacing w:line="520" w:lineRule="exact"/>
        <w:ind w:firstLine="562"/>
        <w:rPr>
          <w:rFonts w:hint="eastAsia" w:ascii="仿宋_GB2312" w:eastAsia="仿宋_GB2312" w:cs="仿宋"/>
          <w:b w:val="0"/>
          <w:bCs/>
          <w:sz w:val="28"/>
          <w:szCs w:val="28"/>
          <w:lang w:val="en-US" w:eastAsia="zh-CN"/>
        </w:rPr>
      </w:pPr>
      <w:r>
        <w:rPr>
          <w:rFonts w:hint="eastAsia" w:ascii="仿宋_GB2312" w:eastAsia="仿宋_GB2312" w:cs="仿宋"/>
          <w:b w:val="0"/>
          <w:bCs/>
          <w:sz w:val="28"/>
          <w:szCs w:val="28"/>
          <w:lang w:val="en-US" w:eastAsia="zh-CN"/>
        </w:rPr>
        <w:t>向建议住院的儿童青少年监护人详细说明住院的目的及配合要点等，确认监护人了解风险和结果，征得同意并签署知情同意书。对住院的儿童青少年建立档案记录，动态评估治疗效果。向监护人说明住院事宜并签署知情同意书，是因为未成年人属于限制民事行为能力人，法律规定其医疗决策必须由监护人知情同意，同时充分告知风险、目的与配合要点既是保障监护人知情权与决策权的法定要求，也是医疗伦理的核心准则，可明确医患双方权责、规避医疗纠纷，确保住院决策在自愿、知情、理解风险的前提下进行。要求建立档案并动态评估，是依据病案管理规范与医疗质量控制要求，通过档案记录实现评估、治疗、随访全过程可追溯，而动态评估则能及时监测病情变化与治疗效果，便于调整干预方案，形成闭环管理，保障住院诊疗的科学性、连续性与安全性。</w:t>
      </w:r>
    </w:p>
    <w:p w14:paraId="581F84FB">
      <w:pPr>
        <w:pStyle w:val="39"/>
        <w:spacing w:line="520" w:lineRule="exact"/>
        <w:ind w:firstLine="562"/>
        <w:rPr>
          <w:rFonts w:hint="eastAsia" w:ascii="仿宋_GB2312" w:eastAsia="仿宋_GB2312" w:cs="仿宋"/>
          <w:b w:val="0"/>
          <w:bCs/>
          <w:sz w:val="28"/>
          <w:szCs w:val="28"/>
        </w:rPr>
      </w:pPr>
      <w:r>
        <w:rPr>
          <w:rFonts w:hint="eastAsia" w:ascii="仿宋_GB2312" w:eastAsia="仿宋_GB2312" w:cs="仿宋"/>
          <w:b/>
          <w:bCs w:val="0"/>
          <w:sz w:val="28"/>
          <w:szCs w:val="28"/>
          <w:lang w:eastAsia="zh-CN"/>
        </w:rPr>
        <w:t>（</w:t>
      </w:r>
      <w:r>
        <w:rPr>
          <w:rFonts w:hint="eastAsia" w:ascii="仿宋_GB2312" w:eastAsia="仿宋_GB2312" w:cs="仿宋"/>
          <w:b/>
          <w:bCs w:val="0"/>
          <w:sz w:val="28"/>
          <w:szCs w:val="28"/>
          <w:lang w:val="en-US" w:eastAsia="zh-CN"/>
        </w:rPr>
        <w:t>四</w:t>
      </w:r>
      <w:r>
        <w:rPr>
          <w:rFonts w:hint="eastAsia" w:ascii="仿宋_GB2312" w:eastAsia="仿宋_GB2312" w:cs="仿宋"/>
          <w:b/>
          <w:bCs w:val="0"/>
          <w:sz w:val="28"/>
          <w:szCs w:val="28"/>
          <w:lang w:eastAsia="zh-CN"/>
        </w:rPr>
        <w:t>）</w:t>
      </w:r>
      <w:r>
        <w:rPr>
          <w:rFonts w:hint="eastAsia" w:ascii="仿宋_GB2312" w:eastAsia="仿宋_GB2312" w:cs="仿宋"/>
          <w:b/>
          <w:bCs w:val="0"/>
          <w:sz w:val="28"/>
          <w:szCs w:val="28"/>
        </w:rPr>
        <w:t>档案管理</w:t>
      </w:r>
    </w:p>
    <w:p w14:paraId="77A7D130">
      <w:pPr>
        <w:pStyle w:val="39"/>
        <w:spacing w:line="520" w:lineRule="exact"/>
        <w:ind w:firstLine="562"/>
        <w:rPr>
          <w:rFonts w:hint="eastAsia" w:ascii="仿宋_GB2312" w:eastAsia="仿宋_GB2312" w:cs="仿宋"/>
          <w:b w:val="0"/>
          <w:bCs/>
          <w:sz w:val="28"/>
          <w:szCs w:val="28"/>
        </w:rPr>
      </w:pPr>
      <w:r>
        <w:rPr>
          <w:rFonts w:hint="eastAsia" w:ascii="仿宋_GB2312" w:eastAsia="仿宋_GB2312" w:cs="仿宋"/>
          <w:b w:val="0"/>
          <w:bCs/>
          <w:sz w:val="28"/>
          <w:szCs w:val="28"/>
        </w:rPr>
        <w:t>应对所接诊的儿童青少年建立档案记录，有专人负责管理，进行日常管理、协调与持续质量评价评估质量。应严格保护患者隐私，不应泄露患者信息。应妥善处理投诉，定期收集患者反馈意见，核实、分析与整改。</w:t>
      </w:r>
    </w:p>
    <w:p w14:paraId="3291E6DA">
      <w:pPr>
        <w:pStyle w:val="41"/>
        <w:numPr>
          <w:ilvl w:val="0"/>
          <w:numId w:val="0"/>
        </w:numPr>
        <w:spacing w:beforeLines="0" w:afterLines="0" w:line="360" w:lineRule="auto"/>
        <w:rPr>
          <w:bCs/>
          <w:sz w:val="32"/>
          <w:szCs w:val="32"/>
        </w:rPr>
      </w:pPr>
      <w:r>
        <w:rPr>
          <w:rFonts w:hint="eastAsia"/>
          <w:b/>
          <w:bCs/>
          <w:sz w:val="32"/>
          <w:szCs w:val="32"/>
        </w:rPr>
        <w:t>六</w:t>
      </w:r>
      <w:r>
        <w:rPr>
          <w:rFonts w:hint="eastAsia"/>
          <w:bCs/>
          <w:sz w:val="32"/>
          <w:szCs w:val="32"/>
        </w:rPr>
        <w:t>、</w:t>
      </w:r>
      <w:r>
        <w:rPr>
          <w:rFonts w:hint="eastAsia"/>
          <w:sz w:val="32"/>
          <w:szCs w:val="32"/>
        </w:rPr>
        <w:t>重大意见分歧的处理依据和结果</w:t>
      </w:r>
    </w:p>
    <w:p w14:paraId="77488839">
      <w:pPr>
        <w:spacing w:line="520" w:lineRule="exact"/>
        <w:ind w:firstLine="560" w:firstLineChars="200"/>
        <w:rPr>
          <w:rFonts w:ascii="仿宋_GB2312" w:eastAsia="仿宋_GB2312"/>
          <w:sz w:val="28"/>
          <w:szCs w:val="28"/>
        </w:rPr>
      </w:pPr>
      <w:r>
        <w:rPr>
          <w:rFonts w:hint="eastAsia" w:ascii="仿宋_GB2312" w:eastAsia="仿宋_GB2312"/>
          <w:sz w:val="28"/>
          <w:szCs w:val="28"/>
        </w:rPr>
        <w:t>本标准研制过程中无重大分歧意见。</w:t>
      </w:r>
    </w:p>
    <w:p w14:paraId="54323522">
      <w:pPr>
        <w:autoSpaceDE w:val="0"/>
        <w:autoSpaceDN w:val="0"/>
        <w:adjustRightInd w:val="0"/>
        <w:spacing w:before="156" w:beforeLines="50" w:after="156" w:afterLines="50" w:line="520" w:lineRule="exact"/>
        <w:ind w:firstLine="640" w:firstLineChars="200"/>
        <w:outlineLvl w:val="0"/>
        <w:rPr>
          <w:rFonts w:eastAsia="黑体"/>
          <w:sz w:val="32"/>
          <w:szCs w:val="32"/>
        </w:rPr>
      </w:pPr>
      <w:r>
        <w:rPr>
          <w:rFonts w:hint="eastAsia" w:ascii="黑体" w:eastAsia="黑体"/>
          <w:bCs/>
          <w:sz w:val="32"/>
          <w:szCs w:val="32"/>
        </w:rPr>
        <w:t>七、</w:t>
      </w:r>
      <w:r>
        <w:rPr>
          <w:rFonts w:hint="eastAsia" w:eastAsia="黑体"/>
          <w:sz w:val="32"/>
          <w:szCs w:val="32"/>
        </w:rPr>
        <w:t>实施标准的措施</w:t>
      </w:r>
    </w:p>
    <w:p w14:paraId="17B37D2B">
      <w:pPr>
        <w:spacing w:line="500" w:lineRule="exact"/>
        <w:ind w:firstLine="562" w:firstLineChars="200"/>
        <w:rPr>
          <w:rFonts w:ascii="仿宋_GB2312" w:eastAsia="仿宋_GB2312" w:cs="仿宋_GB2312"/>
          <w:b/>
          <w:sz w:val="28"/>
          <w:szCs w:val="28"/>
        </w:rPr>
      </w:pPr>
      <w:r>
        <w:rPr>
          <w:rFonts w:hint="eastAsia" w:ascii="仿宋_GB2312" w:eastAsia="仿宋_GB2312" w:cs="仿宋_GB2312"/>
          <w:b/>
          <w:sz w:val="28"/>
          <w:szCs w:val="28"/>
        </w:rPr>
        <w:t>（一）标准报批发布后，成立标准宣贯工作组</w:t>
      </w:r>
    </w:p>
    <w:p w14:paraId="20B72740">
      <w:pPr>
        <w:spacing w:line="500" w:lineRule="exact"/>
        <w:ind w:firstLine="560" w:firstLineChars="200"/>
        <w:rPr>
          <w:rFonts w:ascii="仿宋_GB2312" w:eastAsia="仿宋_GB2312"/>
          <w:sz w:val="28"/>
          <w:szCs w:val="28"/>
        </w:rPr>
      </w:pPr>
      <w:r>
        <w:rPr>
          <w:rFonts w:hint="eastAsia" w:ascii="仿宋_GB2312" w:eastAsia="仿宋_GB2312"/>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4187DE20">
      <w:pPr>
        <w:spacing w:line="500" w:lineRule="exact"/>
        <w:ind w:firstLine="562" w:firstLineChars="200"/>
        <w:rPr>
          <w:rFonts w:ascii="仿宋_GB2312" w:eastAsia="仿宋_GB2312"/>
          <w:b/>
          <w:sz w:val="28"/>
          <w:szCs w:val="28"/>
        </w:rPr>
      </w:pPr>
      <w:r>
        <w:rPr>
          <w:rFonts w:hint="eastAsia" w:ascii="仿宋_GB2312" w:eastAsia="仿宋_GB2312"/>
          <w:b/>
          <w:sz w:val="28"/>
          <w:szCs w:val="28"/>
        </w:rPr>
        <w:t>（二）组织开展标准宣贯培训</w:t>
      </w:r>
    </w:p>
    <w:p w14:paraId="74E3CDA6">
      <w:pPr>
        <w:spacing w:line="500" w:lineRule="exact"/>
        <w:ind w:firstLine="560" w:firstLineChars="200"/>
        <w:rPr>
          <w:rFonts w:ascii="仿宋_GB2312" w:eastAsia="仿宋_GB2312"/>
          <w:sz w:val="28"/>
          <w:szCs w:val="28"/>
        </w:rPr>
      </w:pPr>
      <w:r>
        <w:rPr>
          <w:rFonts w:hint="eastAsia" w:ascii="仿宋_GB2312" w:eastAsia="仿宋_GB2312"/>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医师和医护人员掌握标准核心技术内容，助力标准实施落地，推动广西</w:t>
      </w:r>
      <w:r>
        <w:rPr>
          <w:rFonts w:hint="eastAsia" w:ascii="仿宋_GB2312" w:eastAsia="仿宋_GB2312"/>
          <w:sz w:val="28"/>
          <w:szCs w:val="28"/>
          <w:lang w:val="en-US" w:eastAsia="zh-CN"/>
        </w:rPr>
        <w:t>医疗服务事业</w:t>
      </w:r>
      <w:r>
        <w:rPr>
          <w:rFonts w:hint="eastAsia" w:ascii="仿宋_GB2312" w:eastAsia="仿宋_GB2312"/>
          <w:sz w:val="28"/>
          <w:szCs w:val="28"/>
        </w:rPr>
        <w:t>高质量发展。</w:t>
      </w:r>
    </w:p>
    <w:p w14:paraId="0E511345">
      <w:pPr>
        <w:spacing w:line="500" w:lineRule="exact"/>
        <w:ind w:firstLine="562" w:firstLineChars="200"/>
        <w:rPr>
          <w:rFonts w:ascii="仿宋_GB2312" w:eastAsia="仿宋_GB2312"/>
          <w:b/>
          <w:sz w:val="28"/>
          <w:szCs w:val="28"/>
        </w:rPr>
      </w:pPr>
      <w:r>
        <w:rPr>
          <w:rFonts w:hint="eastAsia" w:ascii="仿宋_GB2312" w:eastAsia="仿宋_GB2312"/>
          <w:b/>
          <w:sz w:val="28"/>
          <w:szCs w:val="28"/>
        </w:rPr>
        <w:t>（三）开展标准实施交流会，收集标准实施反馈信息</w:t>
      </w:r>
    </w:p>
    <w:p w14:paraId="2F43BE2E">
      <w:pPr>
        <w:spacing w:line="500" w:lineRule="exact"/>
        <w:ind w:firstLine="560" w:firstLineChars="200"/>
        <w:rPr>
          <w:rFonts w:ascii="仿宋_GB2312" w:eastAsia="仿宋_GB2312"/>
          <w:sz w:val="28"/>
          <w:szCs w:val="28"/>
        </w:rPr>
      </w:pPr>
      <w:r>
        <w:rPr>
          <w:rFonts w:hint="eastAsia" w:ascii="仿宋_GB2312" w:eastAsia="仿宋_GB2312"/>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08F60A95">
      <w:pPr>
        <w:spacing w:line="500" w:lineRule="exact"/>
        <w:ind w:firstLine="562" w:firstLineChars="200"/>
        <w:rPr>
          <w:rFonts w:ascii="仿宋_GB2312" w:eastAsia="仿宋_GB2312"/>
          <w:b/>
          <w:sz w:val="28"/>
          <w:szCs w:val="28"/>
        </w:rPr>
      </w:pPr>
      <w:r>
        <w:rPr>
          <w:rFonts w:hint="eastAsia" w:ascii="仿宋_GB2312" w:eastAsia="仿宋_GB2312"/>
          <w:b/>
          <w:sz w:val="28"/>
          <w:szCs w:val="28"/>
        </w:rPr>
        <w:t>（四）开展标准实施效果评估</w:t>
      </w:r>
    </w:p>
    <w:p w14:paraId="285979AA">
      <w:pPr>
        <w:spacing w:line="500" w:lineRule="exact"/>
        <w:ind w:firstLine="560" w:firstLineChars="200"/>
        <w:rPr>
          <w:rFonts w:ascii="仿宋_GB2312" w:eastAsia="仿宋_GB2312"/>
          <w:sz w:val="28"/>
          <w:szCs w:val="28"/>
        </w:rPr>
      </w:pPr>
      <w:r>
        <w:rPr>
          <w:rFonts w:hint="eastAsia" w:ascii="仿宋_GB2312" w:eastAsia="仿宋_GB2312"/>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567A706E">
      <w:pPr>
        <w:spacing w:before="240" w:after="60" w:line="520" w:lineRule="exact"/>
        <w:ind w:firstLine="640" w:firstLineChars="200"/>
        <w:outlineLvl w:val="0"/>
        <w:rPr>
          <w:rFonts w:ascii="黑体" w:eastAsia="黑体"/>
          <w:bCs/>
          <w:sz w:val="32"/>
          <w:szCs w:val="32"/>
        </w:rPr>
      </w:pPr>
      <w:r>
        <w:rPr>
          <w:rFonts w:hint="eastAsia" w:ascii="黑体" w:eastAsia="黑体"/>
          <w:bCs/>
          <w:sz w:val="32"/>
          <w:szCs w:val="32"/>
        </w:rPr>
        <w:t>八、其他应当说明的事项</w:t>
      </w:r>
    </w:p>
    <w:p w14:paraId="5E7BD1DA">
      <w:pPr>
        <w:spacing w:line="520" w:lineRule="exact"/>
        <w:ind w:firstLine="560" w:firstLineChars="200"/>
        <w:rPr>
          <w:rFonts w:ascii="仿宋_GB2312" w:eastAsia="仿宋_GB2312"/>
          <w:sz w:val="28"/>
          <w:szCs w:val="28"/>
        </w:rPr>
      </w:pPr>
      <w:r>
        <w:rPr>
          <w:rFonts w:hint="eastAsia" w:ascii="仿宋_GB2312" w:eastAsia="仿宋_GB2312"/>
          <w:sz w:val="28"/>
          <w:szCs w:val="28"/>
        </w:rPr>
        <w:t>无。</w:t>
      </w:r>
    </w:p>
    <w:p w14:paraId="551997B1">
      <w:pPr>
        <w:autoSpaceDE w:val="0"/>
        <w:autoSpaceDN w:val="0"/>
        <w:adjustRightInd w:val="0"/>
        <w:spacing w:before="156" w:beforeLines="50" w:after="156" w:afterLines="50" w:line="520" w:lineRule="exact"/>
        <w:ind w:firstLine="640"/>
        <w:outlineLvl w:val="0"/>
        <w:rPr>
          <w:rFonts w:eastAsia="黑体"/>
          <w:sz w:val="32"/>
          <w:szCs w:val="32"/>
        </w:rPr>
      </w:pPr>
      <w:r>
        <w:rPr>
          <w:rFonts w:hint="eastAsia" w:eastAsia="黑体"/>
          <w:sz w:val="32"/>
          <w:szCs w:val="32"/>
        </w:rPr>
        <w:t>九、自我承诺</w:t>
      </w:r>
    </w:p>
    <w:p w14:paraId="7C228D99">
      <w:pPr>
        <w:spacing w:line="520" w:lineRule="exact"/>
        <w:ind w:firstLine="560" w:firstLineChars="200"/>
        <w:rPr>
          <w:rFonts w:ascii="仿宋_GB2312" w:eastAsia="仿宋_GB2312"/>
          <w:sz w:val="28"/>
          <w:szCs w:val="28"/>
        </w:rPr>
      </w:pPr>
      <w:r>
        <w:rPr>
          <w:rFonts w:hint="eastAsia" w:ascii="仿宋_GB2312" w:eastAsia="仿宋_GB2312"/>
          <w:sz w:val="28"/>
          <w:szCs w:val="28"/>
        </w:rPr>
        <w:t>该标准的内容符合国家相关法律法规，技术要求不低于强制性国家标准的相关技术要求，与相关的国家、行业推荐性标准协调一致，标准的编写符合GB/T 1.1-2020的要求。</w:t>
      </w:r>
    </w:p>
    <w:p w14:paraId="776778BD">
      <w:pPr>
        <w:spacing w:before="240" w:after="60" w:line="520" w:lineRule="exact"/>
        <w:ind w:firstLine="2800" w:firstLineChars="1000"/>
        <w:outlineLvl w:val="0"/>
        <w:rPr>
          <w:rFonts w:ascii="仿宋_GB2312" w:eastAsia="仿宋_GB2312"/>
          <w:sz w:val="28"/>
          <w:szCs w:val="28"/>
        </w:rPr>
      </w:pPr>
      <w:r>
        <w:rPr>
          <w:rFonts w:hint="eastAsia" w:ascii="仿宋_GB2312" w:eastAsia="仿宋_GB2312"/>
          <w:sz w:val="28"/>
          <w:szCs w:val="28"/>
        </w:rPr>
        <w:t>团体标准《</w:t>
      </w:r>
      <w:r>
        <w:rPr>
          <w:rFonts w:hint="eastAsia" w:ascii="仿宋_GB2312" w:eastAsia="仿宋_GB2312"/>
          <w:sz w:val="28"/>
          <w:szCs w:val="28"/>
          <w:lang w:eastAsia="zh-CN"/>
        </w:rPr>
        <w:t>儿童青少年精神障碍入院风险评估规范</w:t>
      </w:r>
      <w:r>
        <w:rPr>
          <w:rFonts w:hint="eastAsia" w:ascii="仿宋_GB2312" w:eastAsia="仿宋_GB2312"/>
          <w:sz w:val="28"/>
          <w:szCs w:val="28"/>
        </w:rPr>
        <w:t>》</w:t>
      </w:r>
    </w:p>
    <w:p w14:paraId="3B325D5F">
      <w:pPr>
        <w:spacing w:line="520" w:lineRule="exact"/>
        <w:ind w:right="1120"/>
        <w:jc w:val="center"/>
        <w:rPr>
          <w:rFonts w:ascii="仿宋_GB2312" w:eastAsia="仿宋_GB2312"/>
          <w:sz w:val="28"/>
          <w:szCs w:val="28"/>
        </w:rPr>
      </w:pPr>
      <w:r>
        <w:rPr>
          <w:rFonts w:hint="eastAsia" w:ascii="仿宋_GB2312" w:eastAsia="仿宋_GB2312"/>
          <w:sz w:val="28"/>
          <w:szCs w:val="28"/>
        </w:rPr>
        <w:t xml:space="preserve">                                  标准编制工作组</w:t>
      </w:r>
    </w:p>
    <w:p w14:paraId="16256467">
      <w:pPr>
        <w:spacing w:line="520" w:lineRule="exact"/>
        <w:ind w:firstLine="640" w:firstLineChars="200"/>
        <w:rPr>
          <w:rFonts w:ascii="仿宋_GB2312" w:eastAsia="仿宋_GB2312"/>
          <w:sz w:val="28"/>
          <w:szCs w:val="28"/>
        </w:rPr>
      </w:pPr>
      <w:r>
        <w:rPr>
          <w:rFonts w:hint="eastAsia" w:ascii="仿宋_GB2312" w:eastAsia="仿宋_GB2312"/>
          <w:sz w:val="32"/>
          <w:szCs w:val="28"/>
        </w:rPr>
        <w:t xml:space="preserve">                             </w:t>
      </w:r>
      <w:r>
        <w:rPr>
          <w:rFonts w:hint="eastAsia" w:ascii="仿宋_GB2312" w:eastAsia="仿宋_GB2312"/>
          <w:sz w:val="28"/>
          <w:szCs w:val="28"/>
        </w:rPr>
        <w:t>202</w:t>
      </w:r>
      <w:r>
        <w:rPr>
          <w:rFonts w:hint="eastAsia" w:ascii="仿宋_GB2312" w:eastAsia="仿宋_GB2312"/>
          <w:sz w:val="28"/>
          <w:szCs w:val="28"/>
          <w:lang w:val="en-US" w:eastAsia="zh-CN"/>
        </w:rPr>
        <w:t>6</w:t>
      </w:r>
      <w:r>
        <w:rPr>
          <w:rFonts w:hint="eastAsia" w:ascii="仿宋_GB2312" w:eastAsia="仿宋_GB2312"/>
          <w:sz w:val="28"/>
          <w:szCs w:val="28"/>
        </w:rPr>
        <w:t>年</w:t>
      </w:r>
      <w:r>
        <w:rPr>
          <w:rFonts w:hint="eastAsia" w:ascii="仿宋_GB2312" w:eastAsia="仿宋_GB2312"/>
          <w:sz w:val="28"/>
          <w:szCs w:val="28"/>
          <w:lang w:val="en-US" w:eastAsia="zh-CN"/>
        </w:rPr>
        <w:t>3</w:t>
      </w:r>
      <w:r>
        <w:rPr>
          <w:rFonts w:hint="eastAsia" w:ascii="仿宋_GB2312" w:eastAsia="仿宋_GB2312"/>
          <w:sz w:val="28"/>
          <w:szCs w:val="28"/>
        </w:rPr>
        <w:t>月</w:t>
      </w:r>
      <w:r>
        <w:rPr>
          <w:rFonts w:hint="eastAsia" w:ascii="仿宋_GB2312" w:eastAsia="仿宋_GB2312"/>
          <w:sz w:val="28"/>
          <w:szCs w:val="28"/>
          <w:lang w:val="en-US" w:eastAsia="zh-CN"/>
        </w:rPr>
        <w:t>26</w:t>
      </w:r>
      <w:r>
        <w:rPr>
          <w:rFonts w:hint="eastAsia" w:ascii="仿宋_GB2312" w:eastAsia="仿宋_GB2312"/>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AAC974-D3F3-4FFD-9790-5AB572C53F5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D912B77-1CC7-4362-83A9-7937FE47E01F}"/>
  </w:font>
  <w:font w:name="微软雅黑">
    <w:panose1 w:val="020B0503020204020204"/>
    <w:charset w:val="86"/>
    <w:family w:val="auto"/>
    <w:pitch w:val="default"/>
    <w:sig w:usb0="80000287" w:usb1="2ACF3C50" w:usb2="00000016" w:usb3="00000000" w:csb0="0004001F" w:csb1="00000000"/>
    <w:embedRegular r:id="rId3" w:fontKey="{7659A052-D596-4F7A-A9BB-0643E1AB78A7}"/>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10AC947B-2F16-4884-A91B-4140A6B3F557}"/>
  </w:font>
  <w:font w:name="仿宋">
    <w:panose1 w:val="02010609060101010101"/>
    <w:charset w:val="86"/>
    <w:family w:val="modern"/>
    <w:pitch w:val="default"/>
    <w:sig w:usb0="800002BF" w:usb1="38CF7CFA" w:usb2="00000016" w:usb3="00000000" w:csb0="00040001" w:csb1="00000000"/>
    <w:embedRegular r:id="rId5" w:fontKey="{2CFC11C8-ED14-4D65-A619-EDF3E90F87C7}"/>
  </w:font>
  <w:font w:name="WPSEMBED1">
    <w:panose1 w:val="02010609030101010101"/>
    <w:charset w:val="86"/>
    <w:family w:val="auto"/>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A4D30">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9F5FEAA">
                          <w:pPr>
                            <w:pStyle w:val="15"/>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9F5FEAA">
                    <w:pPr>
                      <w:pStyle w:val="15"/>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F8329"/>
    <w:multiLevelType w:val="multilevel"/>
    <w:tmpl w:val="8DDF8329"/>
    <w:lvl w:ilvl="0" w:tentative="0">
      <w:start w:val="1"/>
      <w:numFmt w:val="decimal"/>
      <w:pStyle w:val="50"/>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1">
    <w:nsid w:val="2C5917C3"/>
    <w:multiLevelType w:val="multilevel"/>
    <w:tmpl w:val="2C5917C3"/>
    <w:lvl w:ilvl="0" w:tentative="0">
      <w:start w:val="1"/>
      <w:numFmt w:val="none"/>
      <w:pStyle w:val="64"/>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2">
    <w:nsid w:val="44C50F90"/>
    <w:multiLevelType w:val="multilevel"/>
    <w:tmpl w:val="44C50F90"/>
    <w:lvl w:ilvl="0" w:tentative="0">
      <w:start w:val="1"/>
      <w:numFmt w:val="lowerLetter"/>
      <w:pStyle w:val="59"/>
      <w:lvlText w:val="%1)"/>
      <w:lvlJc w:val="left"/>
      <w:pPr>
        <w:tabs>
          <w:tab w:val="left" w:pos="851"/>
        </w:tabs>
        <w:ind w:left="851" w:hanging="426"/>
      </w:pPr>
      <w:rPr>
        <w:rFonts w:hint="eastAsia" w:ascii="宋体" w:hAnsi="Times New Roman" w:eastAsia="宋体"/>
        <w:sz w:val="21"/>
      </w:rPr>
    </w:lvl>
    <w:lvl w:ilvl="1" w:tentative="0">
      <w:start w:val="1"/>
      <w:numFmt w:val="decimal"/>
      <w:pStyle w:val="57"/>
      <w:lvlText w:val="%2)"/>
      <w:lvlJc w:val="left"/>
      <w:pPr>
        <w:tabs>
          <w:tab w:val="left" w:pos="1276"/>
        </w:tabs>
        <w:ind w:left="1276" w:hanging="425"/>
      </w:pPr>
      <w:rPr>
        <w:rFonts w:hint="eastAsia" w:ascii="宋体" w:hAnsi="Times New Roman" w:eastAsia="宋体"/>
        <w:sz w:val="21"/>
      </w:rPr>
    </w:lvl>
    <w:lvl w:ilvl="2" w:tentative="0">
      <w:start w:val="1"/>
      <w:numFmt w:val="decimal"/>
      <w:pStyle w:val="5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5A9B6960"/>
    <w:multiLevelType w:val="multilevel"/>
    <w:tmpl w:val="5A9B6960"/>
    <w:lvl w:ilvl="0" w:tentative="0">
      <w:start w:val="1"/>
      <w:numFmt w:val="none"/>
      <w:pStyle w:val="47"/>
      <w:suff w:val="nothing"/>
      <w:lvlText w:val="%1"/>
      <w:legacy w:legacy="1" w:legacySpace="0" w:legacyIndent="0"/>
      <w:lvlJc w:val="left"/>
      <w:pPr>
        <w:ind w:left="0" w:firstLine="0"/>
      </w:pPr>
      <w:rPr>
        <w:rFonts w:hint="eastAsia"/>
      </w:rPr>
    </w:lvl>
    <w:lvl w:ilvl="1" w:tentative="0">
      <w:start w:val="1"/>
      <w:numFmt w:val="decimal"/>
      <w:pStyle w:val="41"/>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9"/>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8"/>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46"/>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3ZTY1Y2ZmNzhlMGVjNWZkNjRmZWE2OWFjYTdjMTcifQ=="/>
  </w:docVars>
  <w:rsids>
    <w:rsidRoot w:val="000D75AA"/>
    <w:rsid w:val="000068A2"/>
    <w:rsid w:val="00014983"/>
    <w:rsid w:val="000178C8"/>
    <w:rsid w:val="00055442"/>
    <w:rsid w:val="00072103"/>
    <w:rsid w:val="00075653"/>
    <w:rsid w:val="00082613"/>
    <w:rsid w:val="000857DA"/>
    <w:rsid w:val="0008716D"/>
    <w:rsid w:val="000C517B"/>
    <w:rsid w:val="000D75AA"/>
    <w:rsid w:val="000E306A"/>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36F9C"/>
    <w:rsid w:val="00340D9B"/>
    <w:rsid w:val="003517E7"/>
    <w:rsid w:val="003709DC"/>
    <w:rsid w:val="00372E66"/>
    <w:rsid w:val="00375933"/>
    <w:rsid w:val="00382E35"/>
    <w:rsid w:val="00396F2C"/>
    <w:rsid w:val="003C008B"/>
    <w:rsid w:val="003D485E"/>
    <w:rsid w:val="003F6FB2"/>
    <w:rsid w:val="00426DC5"/>
    <w:rsid w:val="004333E5"/>
    <w:rsid w:val="004373E9"/>
    <w:rsid w:val="0044036C"/>
    <w:rsid w:val="0044065E"/>
    <w:rsid w:val="004805DB"/>
    <w:rsid w:val="0048511D"/>
    <w:rsid w:val="004A75FF"/>
    <w:rsid w:val="004B4D68"/>
    <w:rsid w:val="004E0926"/>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6C5EAA"/>
    <w:rsid w:val="00714DDE"/>
    <w:rsid w:val="0074491A"/>
    <w:rsid w:val="00744D10"/>
    <w:rsid w:val="007557E4"/>
    <w:rsid w:val="00756356"/>
    <w:rsid w:val="00774434"/>
    <w:rsid w:val="007756AB"/>
    <w:rsid w:val="00781D6C"/>
    <w:rsid w:val="007A149B"/>
    <w:rsid w:val="007C244C"/>
    <w:rsid w:val="007C4AFF"/>
    <w:rsid w:val="00801A7F"/>
    <w:rsid w:val="00814260"/>
    <w:rsid w:val="008247C4"/>
    <w:rsid w:val="00826BFA"/>
    <w:rsid w:val="00853F5C"/>
    <w:rsid w:val="0086614F"/>
    <w:rsid w:val="00874BB5"/>
    <w:rsid w:val="008779C2"/>
    <w:rsid w:val="00887632"/>
    <w:rsid w:val="00895F4A"/>
    <w:rsid w:val="008973E6"/>
    <w:rsid w:val="008B6B5F"/>
    <w:rsid w:val="008E1EB5"/>
    <w:rsid w:val="008F78EC"/>
    <w:rsid w:val="0090442F"/>
    <w:rsid w:val="00907450"/>
    <w:rsid w:val="00926E1B"/>
    <w:rsid w:val="00932BA3"/>
    <w:rsid w:val="00947EBA"/>
    <w:rsid w:val="009718CC"/>
    <w:rsid w:val="0099500A"/>
    <w:rsid w:val="009A4141"/>
    <w:rsid w:val="009E3161"/>
    <w:rsid w:val="009F1A1B"/>
    <w:rsid w:val="00A16A3E"/>
    <w:rsid w:val="00A263D3"/>
    <w:rsid w:val="00A365A2"/>
    <w:rsid w:val="00A37FDF"/>
    <w:rsid w:val="00A42C5E"/>
    <w:rsid w:val="00A467FF"/>
    <w:rsid w:val="00A75476"/>
    <w:rsid w:val="00A87F41"/>
    <w:rsid w:val="00AC57C3"/>
    <w:rsid w:val="00AD0172"/>
    <w:rsid w:val="00AE5D2F"/>
    <w:rsid w:val="00B07A8A"/>
    <w:rsid w:val="00B66676"/>
    <w:rsid w:val="00B73416"/>
    <w:rsid w:val="00B77477"/>
    <w:rsid w:val="00B94EFE"/>
    <w:rsid w:val="00B954B8"/>
    <w:rsid w:val="00BA570D"/>
    <w:rsid w:val="00BB6932"/>
    <w:rsid w:val="00BB7B52"/>
    <w:rsid w:val="00BC216F"/>
    <w:rsid w:val="00BC4498"/>
    <w:rsid w:val="00BD2990"/>
    <w:rsid w:val="00C07069"/>
    <w:rsid w:val="00C123EE"/>
    <w:rsid w:val="00C13CB6"/>
    <w:rsid w:val="00C20386"/>
    <w:rsid w:val="00C9037B"/>
    <w:rsid w:val="00CB1B06"/>
    <w:rsid w:val="00CC71EF"/>
    <w:rsid w:val="00CE7CD2"/>
    <w:rsid w:val="00D0457A"/>
    <w:rsid w:val="00D35977"/>
    <w:rsid w:val="00D43F5A"/>
    <w:rsid w:val="00D52F10"/>
    <w:rsid w:val="00D544D5"/>
    <w:rsid w:val="00D54B9D"/>
    <w:rsid w:val="00D75DFA"/>
    <w:rsid w:val="00D87F07"/>
    <w:rsid w:val="00D9142A"/>
    <w:rsid w:val="00D9735E"/>
    <w:rsid w:val="00DB7F6F"/>
    <w:rsid w:val="00DD1E43"/>
    <w:rsid w:val="00DF4FB8"/>
    <w:rsid w:val="00E27034"/>
    <w:rsid w:val="00E32D4B"/>
    <w:rsid w:val="00E41116"/>
    <w:rsid w:val="00E414EF"/>
    <w:rsid w:val="00E455A5"/>
    <w:rsid w:val="00E5127E"/>
    <w:rsid w:val="00E568FB"/>
    <w:rsid w:val="00E635AB"/>
    <w:rsid w:val="00E75387"/>
    <w:rsid w:val="00E835A1"/>
    <w:rsid w:val="00E83E2D"/>
    <w:rsid w:val="00E911B3"/>
    <w:rsid w:val="00EB4AB2"/>
    <w:rsid w:val="00ED41E5"/>
    <w:rsid w:val="00ED5986"/>
    <w:rsid w:val="00EE332B"/>
    <w:rsid w:val="00EF4610"/>
    <w:rsid w:val="00EF6CB2"/>
    <w:rsid w:val="00F01A5C"/>
    <w:rsid w:val="00F06270"/>
    <w:rsid w:val="00F40513"/>
    <w:rsid w:val="00F424A9"/>
    <w:rsid w:val="00F5729F"/>
    <w:rsid w:val="00F65587"/>
    <w:rsid w:val="00F77E06"/>
    <w:rsid w:val="00F805D2"/>
    <w:rsid w:val="00F9021F"/>
    <w:rsid w:val="00F93181"/>
    <w:rsid w:val="00F94C4C"/>
    <w:rsid w:val="00FA7D60"/>
    <w:rsid w:val="00FB260A"/>
    <w:rsid w:val="00FC7CE6"/>
    <w:rsid w:val="00FD6497"/>
    <w:rsid w:val="00FE31A4"/>
    <w:rsid w:val="00FF2EC3"/>
    <w:rsid w:val="012A4E2C"/>
    <w:rsid w:val="016F5397"/>
    <w:rsid w:val="017E4CA1"/>
    <w:rsid w:val="01FE5971"/>
    <w:rsid w:val="02451F0E"/>
    <w:rsid w:val="026C35BF"/>
    <w:rsid w:val="027125E7"/>
    <w:rsid w:val="029439C7"/>
    <w:rsid w:val="02DC2156"/>
    <w:rsid w:val="036C0D75"/>
    <w:rsid w:val="03887864"/>
    <w:rsid w:val="03CC3F79"/>
    <w:rsid w:val="05454DD3"/>
    <w:rsid w:val="057B7A05"/>
    <w:rsid w:val="05CD222A"/>
    <w:rsid w:val="06084616"/>
    <w:rsid w:val="065B3392"/>
    <w:rsid w:val="06A9292B"/>
    <w:rsid w:val="072851B2"/>
    <w:rsid w:val="07320DFA"/>
    <w:rsid w:val="07B94814"/>
    <w:rsid w:val="07BE53C7"/>
    <w:rsid w:val="08CD7283"/>
    <w:rsid w:val="08EF7A39"/>
    <w:rsid w:val="096A7AF4"/>
    <w:rsid w:val="09DA6CC4"/>
    <w:rsid w:val="09EB05D3"/>
    <w:rsid w:val="0A5844F0"/>
    <w:rsid w:val="0A6E1714"/>
    <w:rsid w:val="0A8E1F88"/>
    <w:rsid w:val="0B1B3304"/>
    <w:rsid w:val="0B6D076D"/>
    <w:rsid w:val="0B927BA2"/>
    <w:rsid w:val="0C036C46"/>
    <w:rsid w:val="0DAE4B32"/>
    <w:rsid w:val="0E060087"/>
    <w:rsid w:val="0EE3661B"/>
    <w:rsid w:val="0EE41D10"/>
    <w:rsid w:val="0F4867E1"/>
    <w:rsid w:val="10FB1A89"/>
    <w:rsid w:val="10FD39C4"/>
    <w:rsid w:val="11386E78"/>
    <w:rsid w:val="11427629"/>
    <w:rsid w:val="11592BC4"/>
    <w:rsid w:val="116057CE"/>
    <w:rsid w:val="11B73ED3"/>
    <w:rsid w:val="11B779C1"/>
    <w:rsid w:val="12277661"/>
    <w:rsid w:val="12891287"/>
    <w:rsid w:val="132A0B32"/>
    <w:rsid w:val="133D4C82"/>
    <w:rsid w:val="1384217A"/>
    <w:rsid w:val="13D12EE6"/>
    <w:rsid w:val="13D22765"/>
    <w:rsid w:val="13EE1CEA"/>
    <w:rsid w:val="13F37300"/>
    <w:rsid w:val="144C471F"/>
    <w:rsid w:val="14863CD0"/>
    <w:rsid w:val="14C06E26"/>
    <w:rsid w:val="16A2256F"/>
    <w:rsid w:val="170E4FF3"/>
    <w:rsid w:val="174D6D27"/>
    <w:rsid w:val="18574301"/>
    <w:rsid w:val="18B36892"/>
    <w:rsid w:val="18C43E6B"/>
    <w:rsid w:val="18CE5C46"/>
    <w:rsid w:val="197928A1"/>
    <w:rsid w:val="198E5EAA"/>
    <w:rsid w:val="1A2A2D28"/>
    <w:rsid w:val="1A9A61FE"/>
    <w:rsid w:val="1A9D1D74"/>
    <w:rsid w:val="1AA93651"/>
    <w:rsid w:val="1B943177"/>
    <w:rsid w:val="1B9C64CF"/>
    <w:rsid w:val="1BE372A3"/>
    <w:rsid w:val="1BE96AFB"/>
    <w:rsid w:val="1BF82772"/>
    <w:rsid w:val="1C5E2638"/>
    <w:rsid w:val="1CA613B3"/>
    <w:rsid w:val="1CB3587E"/>
    <w:rsid w:val="1D066672"/>
    <w:rsid w:val="1DCE7476"/>
    <w:rsid w:val="1DF70B2D"/>
    <w:rsid w:val="1E511407"/>
    <w:rsid w:val="1E6C7E3E"/>
    <w:rsid w:val="1EEE7042"/>
    <w:rsid w:val="1EF503D0"/>
    <w:rsid w:val="1FDE2C12"/>
    <w:rsid w:val="20346CD6"/>
    <w:rsid w:val="206E043A"/>
    <w:rsid w:val="20B9542D"/>
    <w:rsid w:val="20D55501"/>
    <w:rsid w:val="20F46465"/>
    <w:rsid w:val="211017CA"/>
    <w:rsid w:val="213D1BBA"/>
    <w:rsid w:val="21B75E11"/>
    <w:rsid w:val="22123047"/>
    <w:rsid w:val="226B06BA"/>
    <w:rsid w:val="239C706C"/>
    <w:rsid w:val="23C432C5"/>
    <w:rsid w:val="23ED78C8"/>
    <w:rsid w:val="2443573A"/>
    <w:rsid w:val="24A60095"/>
    <w:rsid w:val="24C90335"/>
    <w:rsid w:val="24DA0D94"/>
    <w:rsid w:val="25357650"/>
    <w:rsid w:val="25496D80"/>
    <w:rsid w:val="257F5FA5"/>
    <w:rsid w:val="25BF5294"/>
    <w:rsid w:val="262E1479"/>
    <w:rsid w:val="267A48B3"/>
    <w:rsid w:val="26B431D0"/>
    <w:rsid w:val="26E52D8C"/>
    <w:rsid w:val="27095D8A"/>
    <w:rsid w:val="271433BD"/>
    <w:rsid w:val="277B51EB"/>
    <w:rsid w:val="279E6744"/>
    <w:rsid w:val="27E965F8"/>
    <w:rsid w:val="280F4A23"/>
    <w:rsid w:val="286B2CA4"/>
    <w:rsid w:val="28A95D87"/>
    <w:rsid w:val="29312005"/>
    <w:rsid w:val="297A4E53"/>
    <w:rsid w:val="2A821F7F"/>
    <w:rsid w:val="2B16303E"/>
    <w:rsid w:val="2B3C5095"/>
    <w:rsid w:val="2BAD2B02"/>
    <w:rsid w:val="2BEF4B23"/>
    <w:rsid w:val="2C23203F"/>
    <w:rsid w:val="2CD930DF"/>
    <w:rsid w:val="2D1041D5"/>
    <w:rsid w:val="2D1759B5"/>
    <w:rsid w:val="2D382F2D"/>
    <w:rsid w:val="2DF40CF2"/>
    <w:rsid w:val="2E0C3040"/>
    <w:rsid w:val="2E40384E"/>
    <w:rsid w:val="2E62025B"/>
    <w:rsid w:val="2E954DE4"/>
    <w:rsid w:val="2EC349B6"/>
    <w:rsid w:val="2ED243C3"/>
    <w:rsid w:val="2EEB0EA8"/>
    <w:rsid w:val="2EF44169"/>
    <w:rsid w:val="2F083808"/>
    <w:rsid w:val="2F0B058C"/>
    <w:rsid w:val="2F454A5C"/>
    <w:rsid w:val="2F6B1FE9"/>
    <w:rsid w:val="2F7C5FA4"/>
    <w:rsid w:val="2F82534F"/>
    <w:rsid w:val="2FBD0A96"/>
    <w:rsid w:val="302723B3"/>
    <w:rsid w:val="30446AC1"/>
    <w:rsid w:val="30C361D9"/>
    <w:rsid w:val="31091AB9"/>
    <w:rsid w:val="31097D0B"/>
    <w:rsid w:val="3159659D"/>
    <w:rsid w:val="32BD2B5B"/>
    <w:rsid w:val="3304078A"/>
    <w:rsid w:val="34130C75"/>
    <w:rsid w:val="357A3838"/>
    <w:rsid w:val="35972EC8"/>
    <w:rsid w:val="3614429B"/>
    <w:rsid w:val="36454AF6"/>
    <w:rsid w:val="36AC53C0"/>
    <w:rsid w:val="373C4996"/>
    <w:rsid w:val="37865C12"/>
    <w:rsid w:val="37F825E8"/>
    <w:rsid w:val="381551E7"/>
    <w:rsid w:val="383E64EC"/>
    <w:rsid w:val="38E30E42"/>
    <w:rsid w:val="39697599"/>
    <w:rsid w:val="3A695377"/>
    <w:rsid w:val="3A7C7AFE"/>
    <w:rsid w:val="3B20012B"/>
    <w:rsid w:val="3B56386B"/>
    <w:rsid w:val="3BBA232E"/>
    <w:rsid w:val="3BDC22A4"/>
    <w:rsid w:val="3BDC6776"/>
    <w:rsid w:val="3C2854E9"/>
    <w:rsid w:val="3C553E04"/>
    <w:rsid w:val="3C5F2CE2"/>
    <w:rsid w:val="3D361E88"/>
    <w:rsid w:val="3D6C58AA"/>
    <w:rsid w:val="3F1E0F39"/>
    <w:rsid w:val="3F982986"/>
    <w:rsid w:val="3FA330D9"/>
    <w:rsid w:val="40183AC7"/>
    <w:rsid w:val="403F2E01"/>
    <w:rsid w:val="40676A47"/>
    <w:rsid w:val="41611513"/>
    <w:rsid w:val="41630D72"/>
    <w:rsid w:val="431A1904"/>
    <w:rsid w:val="4320610A"/>
    <w:rsid w:val="43222DDF"/>
    <w:rsid w:val="43486471"/>
    <w:rsid w:val="436A00C3"/>
    <w:rsid w:val="4379487C"/>
    <w:rsid w:val="440727AF"/>
    <w:rsid w:val="44401594"/>
    <w:rsid w:val="446077EA"/>
    <w:rsid w:val="44CD110C"/>
    <w:rsid w:val="44F56185"/>
    <w:rsid w:val="45005F3C"/>
    <w:rsid w:val="453C3DB3"/>
    <w:rsid w:val="45413951"/>
    <w:rsid w:val="45F2070C"/>
    <w:rsid w:val="45FD7702"/>
    <w:rsid w:val="46437899"/>
    <w:rsid w:val="46535859"/>
    <w:rsid w:val="46E47FFF"/>
    <w:rsid w:val="4779601E"/>
    <w:rsid w:val="47E75418"/>
    <w:rsid w:val="47E81FD1"/>
    <w:rsid w:val="481B0E08"/>
    <w:rsid w:val="493E1AE1"/>
    <w:rsid w:val="494476DB"/>
    <w:rsid w:val="494E2307"/>
    <w:rsid w:val="498521CD"/>
    <w:rsid w:val="4A437992"/>
    <w:rsid w:val="4A493AF2"/>
    <w:rsid w:val="4A724196"/>
    <w:rsid w:val="4AB608F6"/>
    <w:rsid w:val="4AF97651"/>
    <w:rsid w:val="4B2238EC"/>
    <w:rsid w:val="4B5D4A84"/>
    <w:rsid w:val="4C4F6AC2"/>
    <w:rsid w:val="4C7C718B"/>
    <w:rsid w:val="4CCE79E7"/>
    <w:rsid w:val="4DDD59C1"/>
    <w:rsid w:val="4E872798"/>
    <w:rsid w:val="4EC83C2B"/>
    <w:rsid w:val="4EEA4880"/>
    <w:rsid w:val="51FB0B52"/>
    <w:rsid w:val="528B0128"/>
    <w:rsid w:val="52BF7DD2"/>
    <w:rsid w:val="531F075A"/>
    <w:rsid w:val="53400F13"/>
    <w:rsid w:val="543E34F5"/>
    <w:rsid w:val="54A32092"/>
    <w:rsid w:val="54B8090D"/>
    <w:rsid w:val="55B6370E"/>
    <w:rsid w:val="561A3C9D"/>
    <w:rsid w:val="563D14B9"/>
    <w:rsid w:val="5641747C"/>
    <w:rsid w:val="56614AC6"/>
    <w:rsid w:val="568C2219"/>
    <w:rsid w:val="56C63E25"/>
    <w:rsid w:val="576D604E"/>
    <w:rsid w:val="578453FF"/>
    <w:rsid w:val="579C750F"/>
    <w:rsid w:val="57A01936"/>
    <w:rsid w:val="57A57FD6"/>
    <w:rsid w:val="57BC2B32"/>
    <w:rsid w:val="57EB6225"/>
    <w:rsid w:val="57F01F2D"/>
    <w:rsid w:val="583C439E"/>
    <w:rsid w:val="58484328"/>
    <w:rsid w:val="58D367F3"/>
    <w:rsid w:val="58D77C23"/>
    <w:rsid w:val="59123221"/>
    <w:rsid w:val="592C1295"/>
    <w:rsid w:val="59432E91"/>
    <w:rsid w:val="59790A89"/>
    <w:rsid w:val="59DD74BB"/>
    <w:rsid w:val="5A8C449C"/>
    <w:rsid w:val="5AED1980"/>
    <w:rsid w:val="5B23040F"/>
    <w:rsid w:val="5B24111A"/>
    <w:rsid w:val="5B571FFB"/>
    <w:rsid w:val="5BAB0BC1"/>
    <w:rsid w:val="5BC621D1"/>
    <w:rsid w:val="5BDF731D"/>
    <w:rsid w:val="5BF679A0"/>
    <w:rsid w:val="5BFB00CD"/>
    <w:rsid w:val="5C452F47"/>
    <w:rsid w:val="5C571080"/>
    <w:rsid w:val="5C5F70B0"/>
    <w:rsid w:val="5C867919"/>
    <w:rsid w:val="5CD62CE9"/>
    <w:rsid w:val="5D086F45"/>
    <w:rsid w:val="5D292A17"/>
    <w:rsid w:val="5D4D6706"/>
    <w:rsid w:val="5E03770C"/>
    <w:rsid w:val="5E1B6804"/>
    <w:rsid w:val="5E3E2C7C"/>
    <w:rsid w:val="5F290718"/>
    <w:rsid w:val="5F4C0C3F"/>
    <w:rsid w:val="5F702B80"/>
    <w:rsid w:val="5F9D7E80"/>
    <w:rsid w:val="60252B89"/>
    <w:rsid w:val="603C6679"/>
    <w:rsid w:val="604F4E8B"/>
    <w:rsid w:val="616C2448"/>
    <w:rsid w:val="61AB7E9F"/>
    <w:rsid w:val="61C939A0"/>
    <w:rsid w:val="61C947C9"/>
    <w:rsid w:val="61CB4225"/>
    <w:rsid w:val="622B7232"/>
    <w:rsid w:val="62571DD5"/>
    <w:rsid w:val="62A3501A"/>
    <w:rsid w:val="6397110D"/>
    <w:rsid w:val="63DF2082"/>
    <w:rsid w:val="64047D3A"/>
    <w:rsid w:val="6457283E"/>
    <w:rsid w:val="645E7808"/>
    <w:rsid w:val="64920E2E"/>
    <w:rsid w:val="651E4E2C"/>
    <w:rsid w:val="654A16B4"/>
    <w:rsid w:val="65E36256"/>
    <w:rsid w:val="660F1D12"/>
    <w:rsid w:val="663E7534"/>
    <w:rsid w:val="669453A6"/>
    <w:rsid w:val="66E540BC"/>
    <w:rsid w:val="67277FC8"/>
    <w:rsid w:val="677C2407"/>
    <w:rsid w:val="68C33D20"/>
    <w:rsid w:val="68C47A98"/>
    <w:rsid w:val="68C53F3C"/>
    <w:rsid w:val="69180510"/>
    <w:rsid w:val="695D3FBA"/>
    <w:rsid w:val="69823BDB"/>
    <w:rsid w:val="698C1452"/>
    <w:rsid w:val="69DB32EB"/>
    <w:rsid w:val="69E3344D"/>
    <w:rsid w:val="6A505A87"/>
    <w:rsid w:val="6AC41FD2"/>
    <w:rsid w:val="6AC50C1E"/>
    <w:rsid w:val="6B697C4B"/>
    <w:rsid w:val="6CC80E6D"/>
    <w:rsid w:val="6E1C1856"/>
    <w:rsid w:val="6E6F1069"/>
    <w:rsid w:val="6EA6036C"/>
    <w:rsid w:val="6F685621"/>
    <w:rsid w:val="6FD44A65"/>
    <w:rsid w:val="703E6382"/>
    <w:rsid w:val="710475CC"/>
    <w:rsid w:val="710B6BAC"/>
    <w:rsid w:val="71A16BC9"/>
    <w:rsid w:val="71CC633B"/>
    <w:rsid w:val="71F238C8"/>
    <w:rsid w:val="71F4601C"/>
    <w:rsid w:val="72113D4E"/>
    <w:rsid w:val="72534367"/>
    <w:rsid w:val="726245AA"/>
    <w:rsid w:val="738A5B9F"/>
    <w:rsid w:val="741F6AAA"/>
    <w:rsid w:val="74A0585D"/>
    <w:rsid w:val="74AC5C4D"/>
    <w:rsid w:val="759F78C3"/>
    <w:rsid w:val="76157B85"/>
    <w:rsid w:val="761A2E11"/>
    <w:rsid w:val="76396ED2"/>
    <w:rsid w:val="76F53C3E"/>
    <w:rsid w:val="777E4749"/>
    <w:rsid w:val="77A7157C"/>
    <w:rsid w:val="77CD0717"/>
    <w:rsid w:val="78B143BF"/>
    <w:rsid w:val="78F63C9E"/>
    <w:rsid w:val="79D613A7"/>
    <w:rsid w:val="7A035425"/>
    <w:rsid w:val="7A044199"/>
    <w:rsid w:val="7A3A3172"/>
    <w:rsid w:val="7A8C2DBF"/>
    <w:rsid w:val="7A937FAF"/>
    <w:rsid w:val="7AB465B7"/>
    <w:rsid w:val="7B0C1557"/>
    <w:rsid w:val="7B215011"/>
    <w:rsid w:val="7BED75DA"/>
    <w:rsid w:val="7BFC7C22"/>
    <w:rsid w:val="7C037EE7"/>
    <w:rsid w:val="7CB63E70"/>
    <w:rsid w:val="7D221505"/>
    <w:rsid w:val="7D3F20B7"/>
    <w:rsid w:val="7DC205F3"/>
    <w:rsid w:val="7E2B6198"/>
    <w:rsid w:val="7E5D031B"/>
    <w:rsid w:val="7E7E0DAC"/>
    <w:rsid w:val="7EA76B4B"/>
    <w:rsid w:val="7F203312"/>
    <w:rsid w:val="7F6E0A32"/>
    <w:rsid w:val="7FB36CBE"/>
    <w:rsid w:val="7FEC7BA9"/>
    <w:rsid w:val="F7451F19"/>
    <w:rsid w:val="FFD73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Calibri"/>
      <w:kern w:val="2"/>
      <w:sz w:val="21"/>
      <w:szCs w:val="24"/>
      <w:lang w:val="en-US" w:eastAsia="zh-CN" w:bidi="ar-SA"/>
    </w:rPr>
  </w:style>
  <w:style w:type="paragraph" w:styleId="3">
    <w:name w:val="heading 1"/>
    <w:basedOn w:val="1"/>
    <w:next w:val="1"/>
    <w:link w:val="68"/>
    <w:autoRedefine/>
    <w:qFormat/>
    <w:uiPriority w:val="0"/>
    <w:pPr>
      <w:keepNext/>
      <w:keepLines/>
      <w:spacing w:before="340" w:after="330" w:line="578" w:lineRule="auto"/>
      <w:outlineLvl w:val="0"/>
    </w:pPr>
    <w:rPr>
      <w:b/>
      <w:bCs/>
      <w:kern w:val="44"/>
      <w:sz w:val="44"/>
    </w:rPr>
  </w:style>
  <w:style w:type="paragraph" w:styleId="4">
    <w:name w:val="heading 2"/>
    <w:basedOn w:val="1"/>
    <w:next w:val="1"/>
    <w:link w:val="69"/>
    <w:autoRedefine/>
    <w:qFormat/>
    <w:uiPriority w:val="0"/>
    <w:pPr>
      <w:keepNext/>
      <w:keepLines/>
      <w:spacing w:before="260" w:after="260" w:line="415" w:lineRule="auto"/>
      <w:outlineLvl w:val="1"/>
    </w:pPr>
    <w:rPr>
      <w:rFonts w:ascii="Times New Roman" w:hAnsi="Times New Roman" w:eastAsia="黑体"/>
      <w:b/>
      <w:sz w:val="32"/>
    </w:rPr>
  </w:style>
  <w:style w:type="paragraph" w:styleId="5">
    <w:name w:val="heading 3"/>
    <w:basedOn w:val="1"/>
    <w:next w:val="1"/>
    <w:link w:val="70"/>
    <w:autoRedefine/>
    <w:qFormat/>
    <w:uiPriority w:val="0"/>
    <w:pPr>
      <w:keepNext/>
      <w:keepLines/>
      <w:spacing w:before="260" w:after="260" w:line="415" w:lineRule="auto"/>
      <w:outlineLvl w:val="2"/>
    </w:pPr>
    <w:rPr>
      <w:b/>
      <w:sz w:val="32"/>
    </w:rPr>
  </w:style>
  <w:style w:type="paragraph" w:styleId="6">
    <w:name w:val="heading 4"/>
    <w:basedOn w:val="1"/>
    <w:next w:val="1"/>
    <w:link w:val="7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5"/>
    <w:basedOn w:val="1"/>
    <w:next w:val="1"/>
    <w:link w:val="72"/>
    <w:semiHidden/>
    <w:unhideWhenUsed/>
    <w:qFormat/>
    <w:uiPriority w:val="9"/>
    <w:pPr>
      <w:keepNext/>
      <w:keepLines/>
      <w:spacing w:before="280" w:beforeLines="0" w:beforeAutospacing="0" w:after="290" w:afterLines="0" w:afterAutospacing="0" w:line="372" w:lineRule="auto"/>
      <w:outlineLvl w:val="4"/>
    </w:pPr>
    <w:rPr>
      <w:b/>
      <w:sz w:val="28"/>
    </w:rPr>
  </w:style>
  <w:style w:type="paragraph" w:styleId="8">
    <w:name w:val="heading 6"/>
    <w:basedOn w:val="1"/>
    <w:next w:val="1"/>
    <w:link w:val="73"/>
    <w:semiHidden/>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paragraph" w:styleId="9">
    <w:name w:val="heading 7"/>
    <w:basedOn w:val="1"/>
    <w:next w:val="1"/>
    <w:link w:val="33"/>
    <w:autoRedefine/>
    <w:qFormat/>
    <w:uiPriority w:val="9"/>
    <w:pPr>
      <w:keepNext/>
      <w:keepLines/>
      <w:spacing w:before="240" w:after="64" w:line="320" w:lineRule="auto"/>
      <w:outlineLvl w:val="6"/>
    </w:pPr>
    <w:rPr>
      <w:b/>
      <w:bCs/>
      <w:sz w:val="24"/>
    </w:rPr>
  </w:style>
  <w:style w:type="paragraph" w:styleId="10">
    <w:name w:val="heading 8"/>
    <w:basedOn w:val="1"/>
    <w:next w:val="1"/>
    <w:link w:val="74"/>
    <w:semiHidden/>
    <w:unhideWhenUsed/>
    <w:qFormat/>
    <w:uiPriority w:val="9"/>
    <w:pPr>
      <w:keepNext/>
      <w:keepLines/>
      <w:spacing w:before="240" w:beforeLines="0" w:beforeAutospacing="0" w:after="64" w:afterLines="0" w:afterAutospacing="0" w:line="317" w:lineRule="auto"/>
      <w:outlineLvl w:val="7"/>
    </w:pPr>
    <w:rPr>
      <w:rFonts w:ascii="Arial" w:hAnsi="Arial" w:eastAsia="黑体"/>
      <w:sz w:val="24"/>
    </w:rPr>
  </w:style>
  <w:style w:type="paragraph" w:styleId="11">
    <w:name w:val="heading 9"/>
    <w:basedOn w:val="1"/>
    <w:next w:val="1"/>
    <w:link w:val="75"/>
    <w:semiHidden/>
    <w:unhideWhenUsed/>
    <w:qFormat/>
    <w:uiPriority w:val="9"/>
    <w:pPr>
      <w:keepNext/>
      <w:keepLines/>
      <w:spacing w:before="240" w:beforeLines="0" w:beforeAutospacing="0" w:after="64" w:afterLines="0" w:afterAutospacing="0" w:line="317" w:lineRule="auto"/>
      <w:outlineLvl w:val="8"/>
    </w:pPr>
    <w:rPr>
      <w:rFonts w:ascii="Arial" w:hAnsi="Arial" w:eastAsia="黑体"/>
      <w:sz w:val="21"/>
    </w:r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customStyle="1" w:styleId="2">
    <w:name w:val="BodyText2"/>
    <w:basedOn w:val="1"/>
    <w:autoRedefine/>
    <w:qFormat/>
    <w:uiPriority w:val="0"/>
    <w:pPr>
      <w:spacing w:after="120" w:line="480" w:lineRule="auto"/>
      <w:textAlignment w:val="baseline"/>
    </w:pPr>
    <w:rPr>
      <w:rFonts w:cs="Times New Roman"/>
      <w:sz w:val="32"/>
      <w:szCs w:val="32"/>
    </w:rPr>
  </w:style>
  <w:style w:type="paragraph" w:styleId="12">
    <w:name w:val="annotation text"/>
    <w:basedOn w:val="1"/>
    <w:link w:val="34"/>
    <w:autoRedefine/>
    <w:unhideWhenUsed/>
    <w:qFormat/>
    <w:uiPriority w:val="99"/>
    <w:pPr>
      <w:adjustRightInd w:val="0"/>
      <w:spacing w:line="400" w:lineRule="exact"/>
      <w:jc w:val="left"/>
    </w:pPr>
    <w:rPr>
      <w:szCs w:val="21"/>
    </w:rPr>
  </w:style>
  <w:style w:type="paragraph" w:styleId="13">
    <w:name w:val="Body Text"/>
    <w:basedOn w:val="1"/>
    <w:link w:val="76"/>
    <w:semiHidden/>
    <w:unhideWhenUsed/>
    <w:qFormat/>
    <w:uiPriority w:val="99"/>
    <w:pPr>
      <w:spacing w:after="120" w:afterLines="0" w:afterAutospacing="0"/>
    </w:pPr>
  </w:style>
  <w:style w:type="paragraph" w:styleId="14">
    <w:name w:val="Balloon Text"/>
    <w:basedOn w:val="1"/>
    <w:link w:val="35"/>
    <w:autoRedefine/>
    <w:unhideWhenUsed/>
    <w:qFormat/>
    <w:uiPriority w:val="99"/>
    <w:rPr>
      <w:sz w:val="18"/>
      <w:szCs w:val="18"/>
    </w:rPr>
  </w:style>
  <w:style w:type="paragraph" w:styleId="15">
    <w:name w:val="footer"/>
    <w:basedOn w:val="1"/>
    <w:link w:val="36"/>
    <w:autoRedefine/>
    <w:qFormat/>
    <w:uiPriority w:val="99"/>
    <w:pPr>
      <w:tabs>
        <w:tab w:val="center" w:pos="4153"/>
        <w:tab w:val="right" w:pos="8306"/>
      </w:tabs>
      <w:snapToGrid w:val="0"/>
      <w:jc w:val="left"/>
    </w:pPr>
    <w:rPr>
      <w:sz w:val="18"/>
      <w:szCs w:val="18"/>
    </w:rPr>
  </w:style>
  <w:style w:type="paragraph" w:styleId="16">
    <w:name w:val="envelope return"/>
    <w:basedOn w:val="1"/>
    <w:autoRedefine/>
    <w:qFormat/>
    <w:uiPriority w:val="0"/>
    <w:pPr>
      <w:snapToGrid w:val="0"/>
    </w:pPr>
    <w:rPr>
      <w:rFonts w:ascii="Times New Roman" w:hAnsi="Times New Roman"/>
    </w:rPr>
  </w:style>
  <w:style w:type="paragraph" w:styleId="17">
    <w:name w:val="header"/>
    <w:basedOn w:val="1"/>
    <w:link w:val="77"/>
    <w:autoRedefine/>
    <w:qFormat/>
    <w:uiPriority w:val="0"/>
    <w:pPr>
      <w:pBdr>
        <w:bottom w:val="single" w:color="auto" w:sz="6" w:space="1"/>
      </w:pBdr>
      <w:tabs>
        <w:tab w:val="center" w:pos="4153"/>
        <w:tab w:val="right" w:pos="8306"/>
      </w:tabs>
      <w:snapToGrid w:val="0"/>
      <w:jc w:val="center"/>
    </w:pPr>
    <w:rPr>
      <w:sz w:val="18"/>
      <w:szCs w:val="18"/>
    </w:rPr>
  </w:style>
  <w:style w:type="paragraph" w:styleId="18">
    <w:name w:val="toc 4"/>
    <w:basedOn w:val="1"/>
    <w:next w:val="1"/>
    <w:autoRedefine/>
    <w:unhideWhenUsed/>
    <w:qFormat/>
    <w:uiPriority w:val="39"/>
    <w:pPr>
      <w:tabs>
        <w:tab w:val="right" w:leader="dot" w:pos="9344"/>
      </w:tabs>
      <w:adjustRightInd w:val="0"/>
      <w:spacing w:line="300" w:lineRule="exact"/>
      <w:ind w:left="629"/>
    </w:pPr>
    <w:rPr>
      <w:rFonts w:ascii="宋体"/>
      <w:szCs w:val="21"/>
    </w:rPr>
  </w:style>
  <w:style w:type="paragraph" w:styleId="19">
    <w:name w:val="footnote text"/>
    <w:basedOn w:val="1"/>
    <w:link w:val="78"/>
    <w:semiHidden/>
    <w:unhideWhenUsed/>
    <w:qFormat/>
    <w:uiPriority w:val="99"/>
    <w:pPr>
      <w:snapToGrid w:val="0"/>
      <w:jc w:val="left"/>
    </w:pPr>
    <w:rPr>
      <w:sz w:val="18"/>
    </w:rPr>
  </w:style>
  <w:style w:type="paragraph" w:styleId="20">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21">
    <w:name w:val="Title"/>
    <w:next w:val="1"/>
    <w:link w:val="79"/>
    <w:qFormat/>
    <w:uiPriority w:val="10"/>
    <w:pPr>
      <w:widowControl w:val="0"/>
      <w:spacing w:before="60" w:after="120" w:line="560" w:lineRule="exact"/>
      <w:jc w:val="center"/>
      <w:outlineLvl w:val="0"/>
    </w:pPr>
    <w:rPr>
      <w:rFonts w:ascii="Times New Roman" w:hAnsi="Times New Roman" w:eastAsia="微软雅黑" w:cs="Calibri"/>
      <w:bCs/>
      <w:kern w:val="2"/>
      <w:sz w:val="44"/>
      <w:szCs w:val="32"/>
      <w:lang w:val="en-US" w:eastAsia="zh-CN" w:bidi="ar-SA"/>
    </w:rPr>
  </w:style>
  <w:style w:type="table" w:styleId="23">
    <w:name w:val="Table Grid"/>
    <w:basedOn w:val="22"/>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autoRedefine/>
    <w:qFormat/>
    <w:uiPriority w:val="22"/>
    <w:rPr>
      <w:b/>
    </w:rPr>
  </w:style>
  <w:style w:type="character" w:styleId="26">
    <w:name w:val="page number"/>
    <w:basedOn w:val="24"/>
    <w:semiHidden/>
    <w:unhideWhenUsed/>
    <w:qFormat/>
    <w:uiPriority w:val="99"/>
    <w:rPr>
      <w:rFonts w:hint="eastAsia" w:ascii="宋体" w:hAnsi="Times New Roman" w:eastAsia="宋体" w:cs="宋体"/>
      <w:sz w:val="18"/>
    </w:rPr>
  </w:style>
  <w:style w:type="character" w:styleId="27">
    <w:name w:val="FollowedHyperlink"/>
    <w:basedOn w:val="24"/>
    <w:semiHidden/>
    <w:unhideWhenUsed/>
    <w:qFormat/>
    <w:uiPriority w:val="99"/>
    <w:rPr>
      <w:color w:val="954F72"/>
      <w:u w:val="single"/>
    </w:rPr>
  </w:style>
  <w:style w:type="character" w:styleId="28">
    <w:name w:val="line number"/>
    <w:autoRedefine/>
    <w:qFormat/>
    <w:uiPriority w:val="0"/>
  </w:style>
  <w:style w:type="character" w:styleId="29">
    <w:name w:val="Hyperlink"/>
    <w:autoRedefine/>
    <w:qFormat/>
    <w:uiPriority w:val="0"/>
    <w:rPr>
      <w:rFonts w:ascii="宋体" w:eastAsia="宋体"/>
      <w:color w:val="auto"/>
      <w:spacing w:val="0"/>
      <w:w w:val="100"/>
      <w:position w:val="0"/>
      <w:sz w:val="21"/>
      <w:u w:val="none"/>
      <w:vertAlign w:val="baseline"/>
    </w:rPr>
  </w:style>
  <w:style w:type="character" w:styleId="30">
    <w:name w:val="annotation reference"/>
    <w:autoRedefine/>
    <w:qFormat/>
    <w:uiPriority w:val="99"/>
    <w:rPr>
      <w:sz w:val="21"/>
    </w:rPr>
  </w:style>
  <w:style w:type="character" w:styleId="31">
    <w:name w:val="footnote reference"/>
    <w:autoRedefine/>
    <w:qFormat/>
    <w:uiPriority w:val="0"/>
    <w:rPr>
      <w:vertAlign w:val="superscript"/>
    </w:rPr>
  </w:style>
  <w:style w:type="paragraph" w:customStyle="1" w:styleId="32">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33">
    <w:name w:val="标题 7 Char"/>
    <w:link w:val="9"/>
    <w:autoRedefine/>
    <w:qFormat/>
    <w:uiPriority w:val="0"/>
    <w:rPr>
      <w:rFonts w:eastAsia="宋体"/>
      <w:b/>
      <w:bCs/>
      <w:kern w:val="2"/>
      <w:sz w:val="24"/>
      <w:szCs w:val="24"/>
    </w:rPr>
  </w:style>
  <w:style w:type="character" w:customStyle="1" w:styleId="34">
    <w:name w:val="批注文字 Char"/>
    <w:link w:val="12"/>
    <w:autoRedefine/>
    <w:semiHidden/>
    <w:qFormat/>
    <w:uiPriority w:val="99"/>
    <w:rPr>
      <w:rFonts w:ascii="Calibri" w:hAnsi="Calibri" w:eastAsia="宋体"/>
      <w:kern w:val="2"/>
      <w:sz w:val="21"/>
      <w:szCs w:val="21"/>
    </w:rPr>
  </w:style>
  <w:style w:type="character" w:customStyle="1" w:styleId="35">
    <w:name w:val="批注框文本 Char"/>
    <w:link w:val="14"/>
    <w:autoRedefine/>
    <w:semiHidden/>
    <w:qFormat/>
    <w:uiPriority w:val="99"/>
    <w:rPr>
      <w:rFonts w:eastAsia="宋体"/>
      <w:kern w:val="2"/>
      <w:sz w:val="18"/>
      <w:szCs w:val="18"/>
    </w:rPr>
  </w:style>
  <w:style w:type="character" w:customStyle="1" w:styleId="36">
    <w:name w:val="页脚 Char"/>
    <w:link w:val="15"/>
    <w:autoRedefine/>
    <w:qFormat/>
    <w:locked/>
    <w:uiPriority w:val="99"/>
    <w:rPr>
      <w:rFonts w:eastAsia="宋体"/>
      <w:kern w:val="2"/>
      <w:sz w:val="18"/>
      <w:szCs w:val="18"/>
    </w:rPr>
  </w:style>
  <w:style w:type="paragraph" w:customStyle="1" w:styleId="37">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38">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9">
    <w:name w:val="标准文件_段"/>
    <w:link w:val="40"/>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40">
    <w:name w:val="标准文件_段 Char"/>
    <w:link w:val="39"/>
    <w:autoRedefine/>
    <w:qFormat/>
    <w:uiPriority w:val="0"/>
    <w:rPr>
      <w:rFonts w:ascii="宋体" w:eastAsia="宋体"/>
      <w:sz w:val="21"/>
    </w:rPr>
  </w:style>
  <w:style w:type="paragraph" w:customStyle="1" w:styleId="41">
    <w:name w:val="标准文件_章标题"/>
    <w:next w:val="39"/>
    <w:autoRedefine/>
    <w:qFormat/>
    <w:uiPriority w:val="0"/>
    <w:pPr>
      <w:numPr>
        <w:ilvl w:val="1"/>
        <w:numId w:val="1"/>
      </w:numPr>
      <w:spacing w:before="100" w:beforeLines="100" w:after="100" w:afterLines="100"/>
      <w:jc w:val="both"/>
      <w:outlineLvl w:val="0"/>
    </w:pPr>
    <w:rPr>
      <w:rFonts w:ascii="黑体" w:hAnsi="Calibri" w:eastAsia="黑体" w:cs="Calibri"/>
      <w:sz w:val="21"/>
      <w:lang w:val="en-US" w:eastAsia="zh-CN" w:bidi="ar-SA"/>
    </w:rPr>
  </w:style>
  <w:style w:type="paragraph" w:customStyle="1" w:styleId="42">
    <w:name w:val="标准文件_二级条标题"/>
    <w:next w:val="39"/>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43">
    <w:name w:val="标准文件_一级条标题"/>
    <w:basedOn w:val="41"/>
    <w:next w:val="39"/>
    <w:autoRedefine/>
    <w:qFormat/>
    <w:uiPriority w:val="0"/>
    <w:pPr>
      <w:numPr>
        <w:ilvl w:val="0"/>
        <w:numId w:val="0"/>
      </w:numPr>
      <w:spacing w:before="50" w:beforeLines="0" w:after="50" w:afterLines="0" w:line="520" w:lineRule="exact"/>
      <w:ind w:left="560"/>
      <w:outlineLvl w:val="1"/>
    </w:pPr>
  </w:style>
  <w:style w:type="paragraph" w:customStyle="1" w:styleId="44">
    <w:name w:val="标准文件_三级条标题"/>
    <w:basedOn w:val="42"/>
    <w:next w:val="39"/>
    <w:autoRedefine/>
    <w:qFormat/>
    <w:uiPriority w:val="0"/>
    <w:pPr>
      <w:outlineLvl w:val="3"/>
    </w:pPr>
  </w:style>
  <w:style w:type="paragraph" w:customStyle="1" w:styleId="45">
    <w:name w:val="标准文件_四级条标题"/>
    <w:next w:val="39"/>
    <w:autoRedefine/>
    <w:qFormat/>
    <w:uiPriority w:val="0"/>
    <w:pPr>
      <w:widowControl w:val="0"/>
      <w:spacing w:before="50" w:beforeLines="50" w:after="50" w:afterLines="50"/>
      <w:jc w:val="both"/>
      <w:outlineLvl w:val="4"/>
    </w:pPr>
    <w:rPr>
      <w:rFonts w:ascii="黑体" w:hAnsi="Calibri" w:eastAsia="黑体" w:cs="Calibri"/>
      <w:sz w:val="21"/>
      <w:lang w:val="en-US" w:eastAsia="zh-CN" w:bidi="ar-SA"/>
    </w:rPr>
  </w:style>
  <w:style w:type="paragraph" w:customStyle="1" w:styleId="46">
    <w:name w:val="标准文件_五级条标题"/>
    <w:next w:val="42"/>
    <w:autoRedefine/>
    <w:qFormat/>
    <w:uiPriority w:val="0"/>
    <w:pPr>
      <w:widowControl w:val="0"/>
      <w:numPr>
        <w:ilvl w:val="6"/>
        <w:numId w:val="1"/>
      </w:numPr>
      <w:spacing w:before="50" w:beforeLines="50" w:after="50" w:afterLines="50"/>
      <w:jc w:val="both"/>
      <w:outlineLvl w:val="5"/>
    </w:pPr>
    <w:rPr>
      <w:rFonts w:ascii="黑体" w:hAnsi="Calibri" w:eastAsia="黑体" w:cs="Calibri"/>
      <w:sz w:val="21"/>
      <w:lang w:val="en-US" w:eastAsia="zh-CN" w:bidi="ar-SA"/>
    </w:rPr>
  </w:style>
  <w:style w:type="paragraph" w:customStyle="1" w:styleId="47">
    <w:name w:val="前言标题"/>
    <w:next w:val="1"/>
    <w:autoRedefine/>
    <w:qFormat/>
    <w:uiPriority w:val="0"/>
    <w:pPr>
      <w:numPr>
        <w:ilvl w:val="0"/>
        <w:numId w:val="1"/>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8">
    <w:name w:val="标准文件_四级无标题"/>
    <w:basedOn w:val="45"/>
    <w:autoRedefine/>
    <w:qFormat/>
    <w:uiPriority w:val="0"/>
    <w:pPr>
      <w:numPr>
        <w:ilvl w:val="5"/>
        <w:numId w:val="1"/>
      </w:numPr>
    </w:pPr>
    <w:rPr>
      <w:rFonts w:ascii="宋体" w:eastAsia="宋体"/>
      <w:szCs w:val="52"/>
    </w:rPr>
  </w:style>
  <w:style w:type="paragraph" w:customStyle="1" w:styleId="49">
    <w:name w:val="标准文件_三级无标题"/>
    <w:basedOn w:val="44"/>
    <w:autoRedefine/>
    <w:qFormat/>
    <w:uiPriority w:val="0"/>
    <w:pPr>
      <w:numPr>
        <w:ilvl w:val="4"/>
        <w:numId w:val="1"/>
      </w:numPr>
    </w:pPr>
    <w:rPr>
      <w:rFonts w:ascii="宋体" w:eastAsia="宋体"/>
    </w:rPr>
  </w:style>
  <w:style w:type="paragraph" w:customStyle="1" w:styleId="50">
    <w:name w:val="标准文件_正文表标题"/>
    <w:autoRedefine/>
    <w:qFormat/>
    <w:uiPriority w:val="0"/>
    <w:pPr>
      <w:numPr>
        <w:ilvl w:val="0"/>
        <w:numId w:val="2"/>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51">
    <w:name w:val="font11"/>
    <w:autoRedefine/>
    <w:qFormat/>
    <w:uiPriority w:val="0"/>
    <w:rPr>
      <w:rFonts w:ascii="等线" w:eastAsia="等线"/>
      <w:b/>
      <w:bCs/>
      <w:color w:val="FF0000"/>
      <w:sz w:val="22"/>
      <w:szCs w:val="22"/>
      <w:u w:val="none"/>
    </w:rPr>
  </w:style>
  <w:style w:type="character" w:customStyle="1" w:styleId="52">
    <w:name w:val="font01"/>
    <w:autoRedefine/>
    <w:qFormat/>
    <w:uiPriority w:val="0"/>
    <w:rPr>
      <w:rFonts w:ascii="等线" w:eastAsia="等线"/>
      <w:color w:val="000000"/>
      <w:sz w:val="22"/>
      <w:szCs w:val="22"/>
      <w:u w:val="none"/>
    </w:rPr>
  </w:style>
  <w:style w:type="paragraph" w:customStyle="1" w:styleId="53">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54">
    <w:name w:val="二级无"/>
    <w:basedOn w:val="1"/>
    <w:autoRedefine/>
    <w:qFormat/>
    <w:uiPriority w:val="0"/>
    <w:pPr>
      <w:widowControl/>
      <w:tabs>
        <w:tab w:val="left" w:pos="780"/>
      </w:tabs>
      <w:ind w:left="780" w:hanging="360"/>
      <w:jc w:val="left"/>
      <w:outlineLvl w:val="3"/>
    </w:pPr>
    <w:rPr>
      <w:rFonts w:ascii="宋体"/>
      <w:kern w:val="0"/>
      <w:szCs w:val="21"/>
    </w:rPr>
  </w:style>
  <w:style w:type="paragraph" w:customStyle="1" w:styleId="55">
    <w:name w:val="标准文件_二级无标题"/>
    <w:basedOn w:val="42"/>
    <w:autoRedefine/>
    <w:qFormat/>
    <w:uiPriority w:val="0"/>
    <w:pPr>
      <w:tabs>
        <w:tab w:val="left" w:pos="1200"/>
      </w:tabs>
      <w:spacing w:before="0" w:beforeLines="0" w:after="0" w:afterLines="0"/>
      <w:ind w:left="1200" w:hanging="360"/>
      <w:outlineLvl w:val="9"/>
    </w:pPr>
    <w:rPr>
      <w:rFonts w:ascii="宋体" w:eastAsia="宋体"/>
    </w:rPr>
  </w:style>
  <w:style w:type="paragraph" w:customStyle="1" w:styleId="56">
    <w:name w:val="Char Char Char Char"/>
    <w:basedOn w:val="1"/>
    <w:autoRedefine/>
    <w:qFormat/>
    <w:uiPriority w:val="0"/>
  </w:style>
  <w:style w:type="paragraph" w:customStyle="1" w:styleId="57">
    <w:name w:val="标准文件_数字编号列项（二级）"/>
    <w:autoRedefine/>
    <w:qFormat/>
    <w:uiPriority w:val="0"/>
    <w:pPr>
      <w:numPr>
        <w:ilvl w:val="1"/>
        <w:numId w:val="3"/>
      </w:numPr>
      <w:jc w:val="both"/>
    </w:pPr>
    <w:rPr>
      <w:rFonts w:ascii="宋体" w:hAnsi="Calibri" w:eastAsia="宋体" w:cs="Calibri"/>
      <w:sz w:val="21"/>
      <w:lang w:val="en-US" w:eastAsia="zh-CN" w:bidi="ar-SA"/>
    </w:rPr>
  </w:style>
  <w:style w:type="paragraph" w:customStyle="1" w:styleId="58">
    <w:name w:val="标准文件_编号列项（三级）"/>
    <w:autoRedefine/>
    <w:qFormat/>
    <w:uiPriority w:val="0"/>
    <w:pPr>
      <w:numPr>
        <w:ilvl w:val="2"/>
        <w:numId w:val="3"/>
      </w:numPr>
    </w:pPr>
    <w:rPr>
      <w:rFonts w:ascii="宋体" w:hAnsi="Calibri" w:eastAsia="宋体" w:cs="Calibri"/>
      <w:sz w:val="21"/>
      <w:lang w:val="en-US" w:eastAsia="zh-CN" w:bidi="ar-SA"/>
    </w:rPr>
  </w:style>
  <w:style w:type="paragraph" w:customStyle="1" w:styleId="59">
    <w:name w:val="标准文件_字母编号列项（一级）"/>
    <w:autoRedefine/>
    <w:qFormat/>
    <w:uiPriority w:val="0"/>
    <w:pPr>
      <w:numPr>
        <w:ilvl w:val="0"/>
        <w:numId w:val="3"/>
      </w:numPr>
      <w:jc w:val="both"/>
    </w:pPr>
    <w:rPr>
      <w:rFonts w:ascii="宋体" w:hAnsi="Calibri" w:eastAsia="宋体" w:cs="Calibri"/>
      <w:sz w:val="21"/>
      <w:lang w:val="en-US" w:eastAsia="zh-CN" w:bidi="ar-SA"/>
    </w:rPr>
  </w:style>
  <w:style w:type="paragraph" w:customStyle="1" w:styleId="60">
    <w:name w:val="标准文件_术语条一"/>
    <w:basedOn w:val="1"/>
    <w:next w:val="39"/>
    <w:autoRedefine/>
    <w:qFormat/>
    <w:uiPriority w:val="0"/>
    <w:pPr>
      <w:widowControl/>
    </w:pPr>
    <w:rPr>
      <w:rFonts w:ascii="宋体"/>
      <w:kern w:val="0"/>
      <w:szCs w:val="20"/>
    </w:rPr>
  </w:style>
  <w:style w:type="paragraph" w:customStyle="1" w:styleId="61">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2">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63">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64">
    <w:name w:val="标准文件_一级项"/>
    <w:autoRedefine/>
    <w:qFormat/>
    <w:uiPriority w:val="0"/>
    <w:pPr>
      <w:numPr>
        <w:ilvl w:val="0"/>
        <w:numId w:val="4"/>
      </w:numPr>
    </w:pPr>
    <w:rPr>
      <w:rFonts w:ascii="宋体" w:hAnsi="Times New Roman" w:eastAsia="宋体" w:cs="Times New Roman"/>
      <w:sz w:val="21"/>
      <w:lang w:val="en-US" w:eastAsia="zh-CN" w:bidi="ar-SA"/>
    </w:rPr>
  </w:style>
  <w:style w:type="character" w:customStyle="1" w:styleId="65">
    <w:name w:val="标准文件_示例X后 字符"/>
    <w:qFormat/>
    <w:uiPriority w:val="0"/>
    <w:rPr>
      <w:rFonts w:hint="eastAsia" w:ascii="宋体" w:hAnsi="Times New Roman" w:eastAsia="宋体" w:cs="宋体"/>
      <w:sz w:val="18"/>
    </w:rPr>
  </w:style>
  <w:style w:type="character" w:customStyle="1" w:styleId="66">
    <w:name w:val="不明显参考1"/>
    <w:basedOn w:val="24"/>
    <w:qFormat/>
    <w:uiPriority w:val="0"/>
    <w:rPr>
      <w:smallCaps/>
      <w:color w:val="C0504D"/>
      <w:u w:val="single"/>
    </w:rPr>
  </w:style>
  <w:style w:type="character" w:customStyle="1" w:styleId="67">
    <w:name w:val="msoplaceholdertext"/>
    <w:basedOn w:val="24"/>
    <w:qFormat/>
    <w:uiPriority w:val="0"/>
    <w:rPr>
      <w:color w:val="808080"/>
    </w:rPr>
  </w:style>
  <w:style w:type="character" w:customStyle="1" w:styleId="68">
    <w:name w:val="标题 1 Char"/>
    <w:basedOn w:val="24"/>
    <w:link w:val="3"/>
    <w:qFormat/>
    <w:uiPriority w:val="0"/>
    <w:rPr>
      <w:b/>
      <w:bCs/>
      <w:kern w:val="44"/>
      <w:sz w:val="44"/>
      <w:szCs w:val="44"/>
    </w:rPr>
  </w:style>
  <w:style w:type="character" w:customStyle="1" w:styleId="69">
    <w:name w:val="标题 2 Char"/>
    <w:basedOn w:val="24"/>
    <w:link w:val="4"/>
    <w:qFormat/>
    <w:uiPriority w:val="0"/>
    <w:rPr>
      <w:rFonts w:ascii="Arial" w:hAnsi="Arial" w:eastAsia="黑体" w:cs="Arial"/>
      <w:b/>
      <w:bCs/>
      <w:kern w:val="2"/>
      <w:sz w:val="32"/>
      <w:szCs w:val="32"/>
    </w:rPr>
  </w:style>
  <w:style w:type="character" w:customStyle="1" w:styleId="70">
    <w:name w:val="标题 3 Char"/>
    <w:basedOn w:val="24"/>
    <w:link w:val="5"/>
    <w:qFormat/>
    <w:uiPriority w:val="0"/>
    <w:rPr>
      <w:b/>
      <w:bCs/>
      <w:kern w:val="2"/>
      <w:sz w:val="32"/>
      <w:szCs w:val="32"/>
    </w:rPr>
  </w:style>
  <w:style w:type="character" w:customStyle="1" w:styleId="71">
    <w:name w:val="标题 4 Char"/>
    <w:basedOn w:val="24"/>
    <w:link w:val="6"/>
    <w:qFormat/>
    <w:uiPriority w:val="0"/>
    <w:rPr>
      <w:rFonts w:hint="default" w:ascii="Arial" w:hAnsi="Arial" w:eastAsia="黑体" w:cs="Arial"/>
      <w:b/>
      <w:bCs/>
      <w:kern w:val="2"/>
      <w:sz w:val="28"/>
      <w:szCs w:val="28"/>
    </w:rPr>
  </w:style>
  <w:style w:type="character" w:customStyle="1" w:styleId="72">
    <w:name w:val="标题 5 Char"/>
    <w:basedOn w:val="24"/>
    <w:link w:val="7"/>
    <w:qFormat/>
    <w:uiPriority w:val="0"/>
    <w:rPr>
      <w:b/>
      <w:bCs/>
      <w:kern w:val="2"/>
      <w:sz w:val="28"/>
      <w:szCs w:val="28"/>
    </w:rPr>
  </w:style>
  <w:style w:type="character" w:customStyle="1" w:styleId="73">
    <w:name w:val="标题 6 Char"/>
    <w:basedOn w:val="24"/>
    <w:link w:val="8"/>
    <w:qFormat/>
    <w:uiPriority w:val="0"/>
    <w:rPr>
      <w:rFonts w:hint="default" w:ascii="Arial" w:hAnsi="Arial" w:eastAsia="黑体" w:cs="Arial"/>
      <w:b/>
      <w:bCs/>
      <w:kern w:val="2"/>
      <w:sz w:val="24"/>
      <w:szCs w:val="24"/>
    </w:rPr>
  </w:style>
  <w:style w:type="character" w:customStyle="1" w:styleId="74">
    <w:name w:val="标题 8 Char"/>
    <w:basedOn w:val="24"/>
    <w:link w:val="10"/>
    <w:qFormat/>
    <w:uiPriority w:val="0"/>
    <w:rPr>
      <w:rFonts w:hint="default" w:ascii="Arial" w:hAnsi="Arial" w:eastAsia="黑体" w:cs="Arial"/>
      <w:kern w:val="2"/>
      <w:sz w:val="24"/>
      <w:szCs w:val="24"/>
    </w:rPr>
  </w:style>
  <w:style w:type="character" w:customStyle="1" w:styleId="75">
    <w:name w:val="标题 9 Char"/>
    <w:basedOn w:val="24"/>
    <w:link w:val="11"/>
    <w:qFormat/>
    <w:uiPriority w:val="0"/>
    <w:rPr>
      <w:rFonts w:hint="default" w:ascii="Arial" w:hAnsi="Arial" w:eastAsia="黑体" w:cs="Arial"/>
      <w:kern w:val="2"/>
      <w:sz w:val="21"/>
      <w:szCs w:val="21"/>
    </w:rPr>
  </w:style>
  <w:style w:type="character" w:customStyle="1" w:styleId="76">
    <w:name w:val="正文文本 Char"/>
    <w:basedOn w:val="24"/>
    <w:link w:val="13"/>
    <w:qFormat/>
    <w:uiPriority w:val="0"/>
    <w:rPr>
      <w:kern w:val="2"/>
      <w:sz w:val="21"/>
      <w:szCs w:val="21"/>
    </w:rPr>
  </w:style>
  <w:style w:type="character" w:customStyle="1" w:styleId="77">
    <w:name w:val="页眉 Char"/>
    <w:basedOn w:val="24"/>
    <w:link w:val="17"/>
    <w:qFormat/>
    <w:uiPriority w:val="0"/>
    <w:rPr>
      <w:kern w:val="2"/>
      <w:sz w:val="18"/>
      <w:szCs w:val="18"/>
    </w:rPr>
  </w:style>
  <w:style w:type="character" w:customStyle="1" w:styleId="78">
    <w:name w:val="脚注文本 Char"/>
    <w:basedOn w:val="24"/>
    <w:link w:val="19"/>
    <w:qFormat/>
    <w:uiPriority w:val="0"/>
    <w:rPr>
      <w:rFonts w:hint="eastAsia" w:ascii="宋体" w:hAnsi="宋体" w:eastAsia="宋体" w:cs="宋体"/>
      <w:kern w:val="2"/>
      <w:sz w:val="18"/>
      <w:szCs w:val="18"/>
    </w:rPr>
  </w:style>
  <w:style w:type="character" w:customStyle="1" w:styleId="79">
    <w:name w:val="标题 Char"/>
    <w:basedOn w:val="24"/>
    <w:link w:val="21"/>
    <w:qFormat/>
    <w:uiPriority w:val="0"/>
    <w:rPr>
      <w:rFonts w:hint="default" w:ascii="Arial" w:hAnsi="Arial" w:cs="Arial"/>
      <w:b/>
      <w:bCs/>
      <w:kern w:val="2"/>
      <w:sz w:val="32"/>
      <w:szCs w:val="32"/>
    </w:rPr>
  </w:style>
  <w:style w:type="character" w:customStyle="1" w:styleId="80">
    <w:name w:val="引用 Char"/>
    <w:basedOn w:val="24"/>
    <w:qFormat/>
    <w:uiPriority w:val="0"/>
    <w:rPr>
      <w:i/>
      <w:iCs/>
      <w:color w:val="000000"/>
      <w:kern w:val="2"/>
      <w:sz w:val="21"/>
      <w:szCs w:val="21"/>
    </w:rPr>
  </w:style>
  <w:style w:type="character" w:customStyle="1" w:styleId="81">
    <w:name w:val="标准文件_发布"/>
    <w:basedOn w:val="24"/>
    <w:qFormat/>
    <w:uiPriority w:val="0"/>
    <w:rPr>
      <w:rFonts w:hint="eastAsia" w:ascii="黑体" w:hAnsi="宋体" w:eastAsia="黑体" w:cs="黑体"/>
      <w:spacing w:val="0"/>
      <w:w w:val="100"/>
      <w:position w:val="3"/>
      <w:sz w:val="28"/>
    </w:rPr>
  </w:style>
  <w:style w:type="character" w:customStyle="1" w:styleId="82">
    <w:name w:val="标准文件_图表脚注内容"/>
    <w:basedOn w:val="24"/>
    <w:qFormat/>
    <w:uiPriority w:val="0"/>
    <w:rPr>
      <w:rFonts w:hint="eastAsia" w:ascii="宋体" w:hAnsi="宋体" w:eastAsia="宋体" w:cs="Times New Roman"/>
      <w:spacing w:val="0"/>
      <w:sz w:val="18"/>
      <w:vertAlign w:val="superscript"/>
    </w:rPr>
  </w:style>
  <w:style w:type="character" w:customStyle="1" w:styleId="83">
    <w:name w:val="个人答复风格"/>
    <w:basedOn w:val="24"/>
    <w:qFormat/>
    <w:uiPriority w:val="0"/>
    <w:rPr>
      <w:rFonts w:hint="default" w:ascii="Arial" w:hAnsi="Arial" w:eastAsia="宋体" w:cs="Arial"/>
      <w:color w:val="auto"/>
      <w:spacing w:val="0"/>
      <w:sz w:val="20"/>
    </w:rPr>
  </w:style>
  <w:style w:type="character" w:customStyle="1" w:styleId="84">
    <w:name w:val="个人撰写风格"/>
    <w:basedOn w:val="24"/>
    <w:qFormat/>
    <w:uiPriority w:val="0"/>
    <w:rPr>
      <w:rFonts w:hint="default" w:ascii="Arial" w:hAnsi="Arial" w:eastAsia="宋体" w:cs="Arial"/>
      <w:color w:val="auto"/>
      <w:spacing w:val="0"/>
      <w:sz w:val="20"/>
    </w:rPr>
  </w:style>
  <w:style w:type="character" w:customStyle="1" w:styleId="85">
    <w:name w:val="发布"/>
    <w:basedOn w:val="24"/>
    <w:qFormat/>
    <w:uiPriority w:val="0"/>
    <w:rPr>
      <w:rFonts w:hint="eastAsia" w:ascii="黑体" w:hAnsi="宋体" w:eastAsia="黑体" w:cs="黑体"/>
      <w:spacing w:val="85"/>
      <w:w w:val="100"/>
      <w:position w:val="3"/>
      <w:sz w:val="28"/>
      <w:szCs w:val="28"/>
    </w:rPr>
  </w:style>
  <w:style w:type="character" w:customStyle="1" w:styleId="86">
    <w:name w:val="标准文件_来源"/>
    <w:basedOn w:val="24"/>
    <w:qFormat/>
    <w:uiPriority w:val="0"/>
    <w:rPr>
      <w:rFonts w:hint="eastAsia" w:ascii="宋体" w:hAnsi="宋体" w:eastAsia="宋体" w:cs="宋体"/>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16</Pages>
  <Words>7480</Words>
  <Characters>7716</Characters>
  <Lines>92</Lines>
  <Paragraphs>26</Paragraphs>
  <TotalTime>1</TotalTime>
  <ScaleCrop>false</ScaleCrop>
  <LinksUpToDate>false</LinksUpToDate>
  <CharactersWithSpaces>7731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2023-11-08T15:48:00Z</dcterms:created>
  <dc:creator>Administrator</dc:creator>
  <cp:lastModifiedBy>冯流莹</cp:lastModifiedBy>
  <cp:lastPrinted>2025-07-29T02:40:00Z</cp:lastPrinted>
  <dcterms:modified xsi:type="dcterms:W3CDTF">2026-03-30T00:57:13Z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7C4ED75D8A7BF156241A0F69F3743FB0_43</vt:lpwstr>
  </property>
  <property fmtid="{D5CDD505-2E9C-101B-9397-08002B2CF9AE}" pid="4" name="KSOTemplateDocerSaveRecord">
    <vt:lpwstr>eyJoZGlkIjoiOGFkZjVhNDJiMGExNWUxMjVmMmMwZDU4OWJmZWEzNzAiLCJ1c2VySWQiOiIyNDQ0MTQwMzQifQ==</vt:lpwstr>
  </property>
</Properties>
</file>