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A85B2C">
      <w:pPr>
        <w:spacing w:line="520" w:lineRule="exact"/>
        <w:ind w:firstLine="720" w:firstLineChars="200"/>
        <w:jc w:val="center"/>
        <w:rPr>
          <w:rFonts w:hint="eastAsia" w:ascii="黑体" w:eastAsia="黑体" w:cs="仿宋_GB2312"/>
          <w:color w:val="auto"/>
          <w:sz w:val="36"/>
          <w:szCs w:val="36"/>
        </w:rPr>
      </w:pPr>
      <w:r>
        <w:rPr>
          <w:rFonts w:hint="eastAsia" w:ascii="黑体" w:eastAsia="黑体" w:cs="仿宋_GB2312"/>
          <w:color w:val="auto"/>
          <w:sz w:val="36"/>
          <w:szCs w:val="36"/>
          <w:lang w:eastAsia="zh-CN"/>
        </w:rPr>
        <w:t>团体标准《射波刀治疗肺癌患者围手术期护理规范》（征求意见</w:t>
      </w:r>
      <w:r>
        <w:rPr>
          <w:rFonts w:hint="eastAsia" w:ascii="黑体" w:eastAsia="黑体" w:cs="仿宋_GB2312"/>
          <w:color w:val="auto"/>
          <w:sz w:val="36"/>
          <w:szCs w:val="36"/>
        </w:rPr>
        <w:t>稿）编制说明</w:t>
      </w:r>
    </w:p>
    <w:p w14:paraId="5C534F24">
      <w:pPr>
        <w:jc w:val="center"/>
        <w:rPr>
          <w:rFonts w:hint="eastAsia" w:ascii="方正小标宋简体" w:eastAsia="方正小标宋简体" w:cs="仿宋_GB2312"/>
          <w:bCs/>
          <w:color w:val="auto"/>
          <w:sz w:val="18"/>
          <w:szCs w:val="18"/>
        </w:rPr>
      </w:pPr>
    </w:p>
    <w:p w14:paraId="2E0749D1">
      <w:pPr>
        <w:spacing w:line="520" w:lineRule="exact"/>
        <w:ind w:firstLine="640" w:firstLineChars="200"/>
        <w:rPr>
          <w:rFonts w:hint="eastAsia" w:ascii="黑体" w:eastAsia="黑体" w:cs="仿宋_GB2312"/>
          <w:bCs/>
          <w:color w:val="auto"/>
          <w:sz w:val="32"/>
          <w:szCs w:val="32"/>
        </w:rPr>
      </w:pPr>
      <w:r>
        <w:rPr>
          <w:rFonts w:hint="eastAsia" w:ascii="黑体" w:eastAsia="黑体" w:cs="仿宋_GB2312"/>
          <w:color w:val="auto"/>
          <w:sz w:val="32"/>
          <w:szCs w:val="32"/>
        </w:rPr>
        <w:t>一、任务来源、起草单位、主要起草人</w:t>
      </w:r>
    </w:p>
    <w:p w14:paraId="6E7ED8E7">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根据《广西标准化协会关于下达202</w:t>
      </w:r>
      <w:r>
        <w:rPr>
          <w:rFonts w:hint="eastAsia" w:ascii="仿宋_GB2312" w:eastAsia="仿宋_GB2312"/>
          <w:color w:val="auto"/>
          <w:sz w:val="28"/>
          <w:szCs w:val="28"/>
          <w:lang w:val="en-US" w:eastAsia="zh-CN"/>
        </w:rPr>
        <w:t>6</w:t>
      </w:r>
      <w:r>
        <w:rPr>
          <w:rFonts w:hint="eastAsia" w:ascii="仿宋_GB2312" w:eastAsia="仿宋_GB2312"/>
          <w:color w:val="auto"/>
          <w:sz w:val="28"/>
          <w:szCs w:val="28"/>
        </w:rPr>
        <w:t>年第</w:t>
      </w:r>
      <w:r>
        <w:rPr>
          <w:rFonts w:hint="eastAsia" w:ascii="仿宋_GB2312" w:eastAsia="仿宋_GB2312"/>
          <w:color w:val="auto"/>
          <w:sz w:val="28"/>
          <w:szCs w:val="28"/>
          <w:lang w:val="en-US" w:eastAsia="zh-CN"/>
        </w:rPr>
        <w:t>八</w:t>
      </w:r>
      <w:r>
        <w:rPr>
          <w:rFonts w:hint="eastAsia" w:ascii="仿宋_GB2312" w:eastAsia="仿宋_GB2312"/>
          <w:color w:val="auto"/>
          <w:sz w:val="28"/>
          <w:szCs w:val="28"/>
        </w:rPr>
        <w:t>批团体标准制修订项目计划的通知》（桂标协〔202</w:t>
      </w:r>
      <w:r>
        <w:rPr>
          <w:rFonts w:hint="eastAsia" w:ascii="仿宋_GB2312" w:eastAsia="仿宋_GB2312"/>
          <w:color w:val="auto"/>
          <w:sz w:val="28"/>
          <w:szCs w:val="28"/>
          <w:lang w:val="en-US" w:eastAsia="zh-CN"/>
        </w:rPr>
        <w:t>6</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96</w:t>
      </w:r>
      <w:r>
        <w:rPr>
          <w:rFonts w:hint="eastAsia" w:ascii="仿宋_GB2312" w:eastAsia="仿宋_GB2312"/>
          <w:color w:val="auto"/>
          <w:sz w:val="28"/>
          <w:szCs w:val="28"/>
        </w:rPr>
        <w:t>号）文件精神，由广西中医药大学第二附属医院提出，</w:t>
      </w:r>
      <w:bookmarkStart w:id="0" w:name="OLE_LINK1"/>
      <w:r>
        <w:rPr>
          <w:rFonts w:hint="eastAsia" w:ascii="仿宋_GB2312" w:eastAsia="仿宋_GB2312"/>
          <w:color w:val="auto"/>
          <w:sz w:val="28"/>
          <w:szCs w:val="28"/>
        </w:rPr>
        <w:t>广西中医药大学第二附属医院</w:t>
      </w:r>
      <w:bookmarkEnd w:id="0"/>
      <w:r>
        <w:rPr>
          <w:rFonts w:hint="eastAsia" w:ascii="仿宋_GB2312" w:eastAsia="仿宋_GB2312"/>
          <w:color w:val="auto"/>
          <w:sz w:val="28"/>
          <w:szCs w:val="28"/>
        </w:rPr>
        <w:t>、</w:t>
      </w:r>
      <w:bookmarkStart w:id="5" w:name="_GoBack"/>
      <w:bookmarkEnd w:id="5"/>
      <w:r>
        <w:rPr>
          <w:rFonts w:hint="eastAsia" w:ascii="仿宋_GB2312" w:eastAsia="仿宋_GB2312"/>
          <w:color w:val="auto"/>
          <w:sz w:val="28"/>
          <w:szCs w:val="28"/>
        </w:rPr>
        <w:t>四川省肿瘤医院、天津医科大学肿瘤医院、浙江大学医学院附属第一医院等单位共同起草的团体标准《射波刀治疗肺癌患者围手术期护理规范》（项目编号：202</w:t>
      </w:r>
      <w:r>
        <w:rPr>
          <w:rFonts w:hint="eastAsia" w:ascii="仿宋_GB2312" w:eastAsia="仿宋_GB2312"/>
          <w:color w:val="auto"/>
          <w:sz w:val="28"/>
          <w:szCs w:val="28"/>
          <w:lang w:val="en-US" w:eastAsia="zh-CN"/>
        </w:rPr>
        <w:t>6</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0806</w:t>
      </w:r>
      <w:r>
        <w:rPr>
          <w:rFonts w:hint="eastAsia" w:ascii="仿宋_GB2312" w:eastAsia="仿宋_GB2312"/>
          <w:color w:val="auto"/>
          <w:sz w:val="28"/>
          <w:szCs w:val="28"/>
        </w:rPr>
        <w:t>），已获立项</w:t>
      </w:r>
      <w:r>
        <w:rPr>
          <w:rFonts w:hint="eastAsia" w:ascii="仿宋_GB2312" w:eastAsia="仿宋_GB2312"/>
          <w:color w:val="auto"/>
          <w:sz w:val="28"/>
          <w:szCs w:val="28"/>
          <w:lang w:eastAsia="zh-CN"/>
        </w:rPr>
        <w:t>。</w:t>
      </w:r>
      <w:r>
        <w:rPr>
          <w:rFonts w:hint="eastAsia" w:ascii="仿宋_GB2312" w:eastAsia="仿宋_GB2312"/>
          <w:color w:val="auto"/>
          <w:sz w:val="28"/>
          <w:szCs w:val="28"/>
        </w:rPr>
        <w:t>为高质量编制</w:t>
      </w:r>
      <w:r>
        <w:rPr>
          <w:rFonts w:hint="eastAsia" w:ascii="仿宋_GB2312" w:eastAsia="仿宋_GB2312"/>
          <w:color w:val="auto"/>
          <w:sz w:val="28"/>
          <w:szCs w:val="28"/>
          <w:lang w:val="en-US" w:eastAsia="zh-CN"/>
        </w:rPr>
        <w:t>团体</w:t>
      </w:r>
      <w:r>
        <w:rPr>
          <w:rFonts w:hint="eastAsia" w:ascii="仿宋_GB2312" w:eastAsia="仿宋_GB2312"/>
          <w:color w:val="auto"/>
          <w:sz w:val="28"/>
          <w:szCs w:val="28"/>
        </w:rPr>
        <w:t>标准《射波刀治疗肺癌患者围手术期护理规范》，由起草单位成立标准编制工作组并进行如下分工：</w:t>
      </w:r>
    </w:p>
    <w:tbl>
      <w:tblPr>
        <w:tblStyle w:val="14"/>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760"/>
        <w:gridCol w:w="2086"/>
        <w:gridCol w:w="1314"/>
        <w:gridCol w:w="1976"/>
        <w:gridCol w:w="3034"/>
      </w:tblGrid>
      <w:tr w14:paraId="791E4D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800" w:hRule="atLeast"/>
        </w:trPr>
        <w:tc>
          <w:tcPr>
            <w:tcW w:w="552" w:type="pct"/>
            <w:shd w:val="clear" w:color="auto" w:fill="auto"/>
            <w:vAlign w:val="center"/>
          </w:tcPr>
          <w:p w14:paraId="4A2BB317">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姓名</w:t>
            </w:r>
          </w:p>
        </w:tc>
        <w:tc>
          <w:tcPr>
            <w:tcW w:w="1014" w:type="pct"/>
            <w:shd w:val="clear" w:color="auto" w:fill="auto"/>
            <w:vAlign w:val="center"/>
          </w:tcPr>
          <w:p w14:paraId="730D24B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职务/职称</w:t>
            </w:r>
          </w:p>
        </w:tc>
        <w:tc>
          <w:tcPr>
            <w:tcW w:w="854" w:type="pct"/>
            <w:shd w:val="clear" w:color="auto" w:fill="auto"/>
            <w:vAlign w:val="center"/>
          </w:tcPr>
          <w:p w14:paraId="073537E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从事专业</w:t>
            </w:r>
          </w:p>
        </w:tc>
        <w:tc>
          <w:tcPr>
            <w:tcW w:w="786" w:type="pct"/>
            <w:shd w:val="clear" w:color="auto" w:fill="auto"/>
            <w:vAlign w:val="center"/>
          </w:tcPr>
          <w:p w14:paraId="535A8EF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工作单位</w:t>
            </w:r>
          </w:p>
        </w:tc>
        <w:tc>
          <w:tcPr>
            <w:tcW w:w="1791" w:type="pct"/>
            <w:shd w:val="clear" w:color="auto" w:fill="auto"/>
            <w:vAlign w:val="center"/>
          </w:tcPr>
          <w:p w14:paraId="25D6C5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责任分工</w:t>
            </w:r>
          </w:p>
        </w:tc>
      </w:tr>
      <w:tr w14:paraId="0520AD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07789DA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唐富平</w:t>
            </w:r>
          </w:p>
        </w:tc>
        <w:tc>
          <w:tcPr>
            <w:tcW w:w="1014" w:type="pct"/>
            <w:shd w:val="clear" w:color="auto" w:fill="auto"/>
            <w:vAlign w:val="center"/>
          </w:tcPr>
          <w:p w14:paraId="161209D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副主任/主任护师</w:t>
            </w:r>
          </w:p>
        </w:tc>
        <w:tc>
          <w:tcPr>
            <w:tcW w:w="854" w:type="pct"/>
            <w:shd w:val="clear" w:color="auto" w:fill="auto"/>
            <w:vAlign w:val="center"/>
          </w:tcPr>
          <w:p w14:paraId="10B489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52AE2CA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043D435A">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统筹主持标准编制工作</w:t>
            </w:r>
          </w:p>
        </w:tc>
      </w:tr>
      <w:tr w14:paraId="5EF7C3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32E8CB8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李芯睿</w:t>
            </w:r>
          </w:p>
        </w:tc>
        <w:tc>
          <w:tcPr>
            <w:tcW w:w="1014" w:type="pct"/>
            <w:shd w:val="clear" w:color="auto" w:fill="auto"/>
            <w:vAlign w:val="center"/>
          </w:tcPr>
          <w:p w14:paraId="6E79D31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护士长/副主任护师</w:t>
            </w:r>
          </w:p>
        </w:tc>
        <w:tc>
          <w:tcPr>
            <w:tcW w:w="854" w:type="pct"/>
            <w:shd w:val="clear" w:color="auto" w:fill="auto"/>
            <w:vAlign w:val="center"/>
          </w:tcPr>
          <w:p w14:paraId="1D3F0C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3E6E962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75FC9953">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对标准实施情况进行总结分析，不断对标准提出修正意见。</w:t>
            </w:r>
          </w:p>
        </w:tc>
      </w:tr>
      <w:tr w14:paraId="0D9DE7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800" w:hRule="atLeast"/>
        </w:trPr>
        <w:tc>
          <w:tcPr>
            <w:tcW w:w="552" w:type="pct"/>
            <w:shd w:val="clear" w:color="auto" w:fill="auto"/>
            <w:vAlign w:val="center"/>
          </w:tcPr>
          <w:p w14:paraId="595CBA9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陈朝华</w:t>
            </w:r>
          </w:p>
        </w:tc>
        <w:tc>
          <w:tcPr>
            <w:tcW w:w="1014" w:type="pct"/>
            <w:shd w:val="clear" w:color="auto" w:fill="auto"/>
            <w:vAlign w:val="center"/>
          </w:tcPr>
          <w:p w14:paraId="372ED4B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主治医生</w:t>
            </w:r>
          </w:p>
        </w:tc>
        <w:tc>
          <w:tcPr>
            <w:tcW w:w="854" w:type="pct"/>
            <w:shd w:val="clear" w:color="auto" w:fill="auto"/>
            <w:vAlign w:val="center"/>
          </w:tcPr>
          <w:p w14:paraId="15E137C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医疗</w:t>
            </w:r>
          </w:p>
        </w:tc>
        <w:tc>
          <w:tcPr>
            <w:tcW w:w="786" w:type="pct"/>
            <w:shd w:val="clear" w:color="auto" w:fill="auto"/>
            <w:vAlign w:val="center"/>
          </w:tcPr>
          <w:p w14:paraId="493F68A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4AFDC325">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6CB092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4FAD26B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杨丽岚</w:t>
            </w:r>
          </w:p>
        </w:tc>
        <w:tc>
          <w:tcPr>
            <w:tcW w:w="1014" w:type="pct"/>
            <w:shd w:val="clear" w:color="auto" w:fill="auto"/>
            <w:vAlign w:val="center"/>
          </w:tcPr>
          <w:p w14:paraId="6D606E8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护士长/副主任护师</w:t>
            </w:r>
          </w:p>
        </w:tc>
        <w:tc>
          <w:tcPr>
            <w:tcW w:w="854" w:type="pct"/>
            <w:shd w:val="clear" w:color="auto" w:fill="auto"/>
            <w:vAlign w:val="center"/>
          </w:tcPr>
          <w:p w14:paraId="5114329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0BD50E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6E21D69E">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5EC5E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800" w:hRule="atLeast"/>
        </w:trPr>
        <w:tc>
          <w:tcPr>
            <w:tcW w:w="552" w:type="pct"/>
            <w:shd w:val="clear" w:color="auto" w:fill="auto"/>
            <w:vAlign w:val="center"/>
          </w:tcPr>
          <w:p w14:paraId="17B7E9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钟灿华</w:t>
            </w:r>
          </w:p>
        </w:tc>
        <w:tc>
          <w:tcPr>
            <w:tcW w:w="1014" w:type="pct"/>
            <w:shd w:val="clear" w:color="auto" w:fill="auto"/>
            <w:vAlign w:val="center"/>
          </w:tcPr>
          <w:p w14:paraId="6BAD1BE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护士长/副主任护师</w:t>
            </w:r>
          </w:p>
        </w:tc>
        <w:tc>
          <w:tcPr>
            <w:tcW w:w="854" w:type="pct"/>
            <w:shd w:val="clear" w:color="auto" w:fill="auto"/>
            <w:vAlign w:val="center"/>
          </w:tcPr>
          <w:p w14:paraId="4EF2E4B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1B2BEAB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34ED1C90">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22948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0ABD664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黄桂玉</w:t>
            </w:r>
          </w:p>
        </w:tc>
        <w:tc>
          <w:tcPr>
            <w:tcW w:w="1014" w:type="pct"/>
            <w:shd w:val="clear" w:color="auto" w:fill="auto"/>
            <w:vAlign w:val="center"/>
          </w:tcPr>
          <w:p w14:paraId="74227E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护士长/副主任护师</w:t>
            </w:r>
          </w:p>
        </w:tc>
        <w:tc>
          <w:tcPr>
            <w:tcW w:w="854" w:type="pct"/>
            <w:shd w:val="clear" w:color="auto" w:fill="auto"/>
            <w:vAlign w:val="center"/>
          </w:tcPr>
          <w:p w14:paraId="0071164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02FB376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四川省肿瘤医院</w:t>
            </w:r>
          </w:p>
        </w:tc>
        <w:tc>
          <w:tcPr>
            <w:tcW w:w="1791" w:type="pct"/>
            <w:shd w:val="clear" w:color="auto" w:fill="auto"/>
            <w:vAlign w:val="center"/>
          </w:tcPr>
          <w:p w14:paraId="3217DF2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37086C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noWrap/>
            <w:vAlign w:val="center"/>
          </w:tcPr>
          <w:p w14:paraId="3386B50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马骏</w:t>
            </w:r>
          </w:p>
        </w:tc>
        <w:tc>
          <w:tcPr>
            <w:tcW w:w="1014" w:type="pct"/>
            <w:shd w:val="clear" w:color="auto" w:fill="auto"/>
            <w:noWrap/>
            <w:vAlign w:val="center"/>
          </w:tcPr>
          <w:p w14:paraId="604EE3D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护士长/副主任护师</w:t>
            </w:r>
          </w:p>
        </w:tc>
        <w:tc>
          <w:tcPr>
            <w:tcW w:w="854" w:type="pct"/>
            <w:shd w:val="clear" w:color="auto" w:fill="auto"/>
            <w:noWrap/>
            <w:vAlign w:val="center"/>
          </w:tcPr>
          <w:p w14:paraId="1295A05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护理</w:t>
            </w:r>
          </w:p>
        </w:tc>
        <w:tc>
          <w:tcPr>
            <w:tcW w:w="786" w:type="pct"/>
            <w:shd w:val="clear" w:color="auto" w:fill="auto"/>
            <w:noWrap/>
            <w:vAlign w:val="center"/>
          </w:tcPr>
          <w:p w14:paraId="577ADC9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北京大学第三医院</w:t>
            </w:r>
          </w:p>
        </w:tc>
        <w:tc>
          <w:tcPr>
            <w:tcW w:w="1791" w:type="pct"/>
            <w:shd w:val="clear" w:color="auto" w:fill="auto"/>
            <w:vAlign w:val="center"/>
          </w:tcPr>
          <w:p w14:paraId="41F73F67">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1FA7B8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19529E1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唐志芳</w:t>
            </w:r>
          </w:p>
        </w:tc>
        <w:tc>
          <w:tcPr>
            <w:tcW w:w="1014" w:type="pct"/>
            <w:shd w:val="clear" w:color="auto" w:fill="auto"/>
            <w:vAlign w:val="center"/>
          </w:tcPr>
          <w:p w14:paraId="5632F6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护士长/副主任护师</w:t>
            </w:r>
          </w:p>
        </w:tc>
        <w:tc>
          <w:tcPr>
            <w:tcW w:w="854" w:type="pct"/>
            <w:shd w:val="clear" w:color="auto" w:fill="auto"/>
            <w:vAlign w:val="center"/>
          </w:tcPr>
          <w:p w14:paraId="78A6C30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22A3FC0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29754C60">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5A182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310F919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吴松波</w:t>
            </w:r>
          </w:p>
        </w:tc>
        <w:tc>
          <w:tcPr>
            <w:tcW w:w="1014" w:type="pct"/>
            <w:shd w:val="clear" w:color="auto" w:fill="auto"/>
            <w:vAlign w:val="center"/>
          </w:tcPr>
          <w:p w14:paraId="3F72F8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护士长/主管护师</w:t>
            </w:r>
          </w:p>
        </w:tc>
        <w:tc>
          <w:tcPr>
            <w:tcW w:w="854" w:type="pct"/>
            <w:shd w:val="clear" w:color="auto" w:fill="auto"/>
            <w:vAlign w:val="center"/>
          </w:tcPr>
          <w:p w14:paraId="30ADE51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4DC814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北京大学第三医院</w:t>
            </w:r>
          </w:p>
        </w:tc>
        <w:tc>
          <w:tcPr>
            <w:tcW w:w="1791" w:type="pct"/>
            <w:shd w:val="clear" w:color="auto" w:fill="auto"/>
            <w:vAlign w:val="center"/>
          </w:tcPr>
          <w:p w14:paraId="46B21C3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25AE20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4BAA579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张钟群</w:t>
            </w:r>
          </w:p>
        </w:tc>
        <w:tc>
          <w:tcPr>
            <w:tcW w:w="1014" w:type="pct"/>
            <w:shd w:val="clear" w:color="auto" w:fill="auto"/>
            <w:vAlign w:val="center"/>
          </w:tcPr>
          <w:p w14:paraId="535ED4D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护士长/副主任护师</w:t>
            </w:r>
          </w:p>
        </w:tc>
        <w:tc>
          <w:tcPr>
            <w:tcW w:w="854" w:type="pct"/>
            <w:shd w:val="clear" w:color="auto" w:fill="auto"/>
            <w:vAlign w:val="center"/>
          </w:tcPr>
          <w:p w14:paraId="372C420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207407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2834B931">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75819A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2EF5ED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蒋华艳</w:t>
            </w:r>
          </w:p>
        </w:tc>
        <w:tc>
          <w:tcPr>
            <w:tcW w:w="1014" w:type="pct"/>
            <w:shd w:val="clear" w:color="auto" w:fill="auto"/>
            <w:vAlign w:val="center"/>
          </w:tcPr>
          <w:p w14:paraId="3E0DA8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副主任护师</w:t>
            </w:r>
          </w:p>
        </w:tc>
        <w:tc>
          <w:tcPr>
            <w:tcW w:w="854" w:type="pct"/>
            <w:shd w:val="clear" w:color="auto" w:fill="auto"/>
            <w:vAlign w:val="center"/>
          </w:tcPr>
          <w:p w14:paraId="0259C89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5BE8DEC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114D608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42DD95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3842ED8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谢有科</w:t>
            </w:r>
          </w:p>
        </w:tc>
        <w:tc>
          <w:tcPr>
            <w:tcW w:w="1014" w:type="pct"/>
            <w:shd w:val="clear" w:color="auto" w:fill="auto"/>
            <w:vAlign w:val="center"/>
          </w:tcPr>
          <w:p w14:paraId="7A3BEA0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副主任医师</w:t>
            </w:r>
          </w:p>
        </w:tc>
        <w:tc>
          <w:tcPr>
            <w:tcW w:w="854" w:type="pct"/>
            <w:shd w:val="clear" w:color="auto" w:fill="auto"/>
            <w:vAlign w:val="center"/>
          </w:tcPr>
          <w:p w14:paraId="12A6DE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医生</w:t>
            </w:r>
          </w:p>
        </w:tc>
        <w:tc>
          <w:tcPr>
            <w:tcW w:w="786" w:type="pct"/>
            <w:shd w:val="clear" w:color="auto" w:fill="auto"/>
            <w:vAlign w:val="center"/>
          </w:tcPr>
          <w:p w14:paraId="65CAB4B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肿瘤科一区</w:t>
            </w:r>
          </w:p>
        </w:tc>
        <w:tc>
          <w:tcPr>
            <w:tcW w:w="1791" w:type="pct"/>
            <w:shd w:val="clear" w:color="auto" w:fill="auto"/>
            <w:vAlign w:val="center"/>
          </w:tcPr>
          <w:p w14:paraId="20F84F17">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25308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164F3B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唐阳</w:t>
            </w:r>
          </w:p>
        </w:tc>
        <w:tc>
          <w:tcPr>
            <w:tcW w:w="1014" w:type="pct"/>
            <w:shd w:val="clear" w:color="auto" w:fill="auto"/>
            <w:vAlign w:val="center"/>
          </w:tcPr>
          <w:p w14:paraId="6182D53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科室副主任/高级生物医学工程师/副教授</w:t>
            </w:r>
          </w:p>
        </w:tc>
        <w:tc>
          <w:tcPr>
            <w:tcW w:w="854" w:type="pct"/>
            <w:shd w:val="clear" w:color="auto" w:fill="auto"/>
            <w:vAlign w:val="center"/>
          </w:tcPr>
          <w:p w14:paraId="716E026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肿瘤放射治疗技术</w:t>
            </w:r>
          </w:p>
        </w:tc>
        <w:tc>
          <w:tcPr>
            <w:tcW w:w="786" w:type="pct"/>
            <w:shd w:val="clear" w:color="auto" w:fill="auto"/>
            <w:vAlign w:val="center"/>
          </w:tcPr>
          <w:p w14:paraId="4DCB51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3BC1FDA2">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27CE78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59BA094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黎春燕</w:t>
            </w:r>
          </w:p>
        </w:tc>
        <w:tc>
          <w:tcPr>
            <w:tcW w:w="1014" w:type="pct"/>
            <w:shd w:val="clear" w:color="auto" w:fill="auto"/>
            <w:vAlign w:val="center"/>
          </w:tcPr>
          <w:p w14:paraId="02DFA6F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副护士长/主管护师</w:t>
            </w:r>
          </w:p>
        </w:tc>
        <w:tc>
          <w:tcPr>
            <w:tcW w:w="854" w:type="pct"/>
            <w:shd w:val="clear" w:color="auto" w:fill="auto"/>
            <w:vAlign w:val="center"/>
          </w:tcPr>
          <w:p w14:paraId="49D6C32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6EFE4F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广西中医药大学第二附属医院</w:t>
            </w:r>
          </w:p>
        </w:tc>
        <w:tc>
          <w:tcPr>
            <w:tcW w:w="1791" w:type="pct"/>
            <w:shd w:val="clear" w:color="auto" w:fill="auto"/>
            <w:vAlign w:val="center"/>
          </w:tcPr>
          <w:p w14:paraId="670A1725">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r w14:paraId="25E4C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552" w:type="pct"/>
            <w:shd w:val="clear" w:color="auto" w:fill="auto"/>
            <w:vAlign w:val="center"/>
          </w:tcPr>
          <w:p w14:paraId="32EAAB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魏巍</w:t>
            </w:r>
          </w:p>
        </w:tc>
        <w:tc>
          <w:tcPr>
            <w:tcW w:w="1014" w:type="pct"/>
            <w:shd w:val="clear" w:color="auto" w:fill="auto"/>
            <w:vAlign w:val="center"/>
          </w:tcPr>
          <w:p w14:paraId="78EF467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护士长/主管护师</w:t>
            </w:r>
          </w:p>
        </w:tc>
        <w:tc>
          <w:tcPr>
            <w:tcW w:w="854" w:type="pct"/>
            <w:shd w:val="clear" w:color="auto" w:fill="auto"/>
            <w:vAlign w:val="center"/>
          </w:tcPr>
          <w:p w14:paraId="02EBE24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护理</w:t>
            </w:r>
          </w:p>
        </w:tc>
        <w:tc>
          <w:tcPr>
            <w:tcW w:w="786" w:type="pct"/>
            <w:shd w:val="clear" w:color="auto" w:fill="auto"/>
            <w:vAlign w:val="center"/>
          </w:tcPr>
          <w:p w14:paraId="32F6F50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浙江大学医学院附属第一医院</w:t>
            </w:r>
          </w:p>
        </w:tc>
        <w:tc>
          <w:tcPr>
            <w:tcW w:w="1791" w:type="pct"/>
            <w:shd w:val="clear" w:color="auto" w:fill="auto"/>
            <w:vAlign w:val="center"/>
          </w:tcPr>
          <w:p w14:paraId="404D5A5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参与标准文本及编制说明编写，组织开展标准征求意见会，协调各单位参与会议。</w:t>
            </w:r>
          </w:p>
        </w:tc>
      </w:tr>
    </w:tbl>
    <w:p w14:paraId="33BC8E98">
      <w:pPr>
        <w:spacing w:line="520" w:lineRule="exact"/>
        <w:ind w:firstLine="640" w:firstLineChars="200"/>
        <w:rPr>
          <w:rFonts w:hint="eastAsia" w:ascii="黑体" w:eastAsia="黑体" w:cs="仿宋_GB2312"/>
          <w:color w:val="auto"/>
          <w:sz w:val="32"/>
          <w:szCs w:val="32"/>
        </w:rPr>
      </w:pPr>
      <w:r>
        <w:rPr>
          <w:rFonts w:hint="eastAsia" w:ascii="黑体" w:eastAsia="黑体" w:cs="仿宋_GB2312"/>
          <w:color w:val="auto"/>
          <w:sz w:val="32"/>
          <w:szCs w:val="32"/>
        </w:rPr>
        <w:t>二、制定标准的必要性和意义</w:t>
      </w:r>
    </w:p>
    <w:p w14:paraId="261C65AB">
      <w:p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肺癌是我国发病率和死亡率较高的恶性肿瘤，严重威胁国民生命健康。射波刀</w:t>
      </w:r>
      <w:r>
        <w:rPr>
          <w:rFonts w:hint="eastAsia" w:ascii="宋体" w:hAnsi="宋体" w:eastAsia="宋体" w:cs="宋体"/>
          <w:color w:val="auto"/>
          <w:sz w:val="28"/>
          <w:szCs w:val="28"/>
          <w:lang w:val="en-US" w:eastAsia="zh-CN"/>
        </w:rPr>
        <w:t>（CyberKnife）</w:t>
      </w:r>
      <w:r>
        <w:rPr>
          <w:rFonts w:hint="eastAsia" w:ascii="仿宋_GB2312" w:eastAsia="仿宋_GB2312"/>
          <w:color w:val="auto"/>
          <w:sz w:val="28"/>
          <w:szCs w:val="28"/>
          <w:lang w:val="en-US" w:eastAsia="zh-CN"/>
        </w:rPr>
        <w:t>作为一种集实时影像引导、机器人追踪与呼吸动态补偿于一体的立体定向放射外科系统，以其亚毫米级的高精度照射和实时呼吸运动追踪能力，已成为早期及无法手术的非小细胞肺癌（</w:t>
      </w:r>
      <w:r>
        <w:rPr>
          <w:rFonts w:hint="eastAsia" w:ascii="宋体" w:hAnsi="宋体" w:eastAsia="宋体" w:cs="宋体"/>
          <w:color w:val="auto"/>
          <w:sz w:val="28"/>
          <w:szCs w:val="28"/>
          <w:lang w:val="en-US" w:eastAsia="zh-CN"/>
        </w:rPr>
        <w:t>NSCLC</w:t>
      </w:r>
      <w:r>
        <w:rPr>
          <w:rFonts w:hint="eastAsia" w:ascii="仿宋_GB2312" w:eastAsia="仿宋_GB2312"/>
          <w:color w:val="auto"/>
          <w:sz w:val="28"/>
          <w:szCs w:val="28"/>
          <w:lang w:val="en-US" w:eastAsia="zh-CN"/>
        </w:rPr>
        <w:t>）患者的重要治疗选择，为患者提供了高精度、无创的治疗路径。然而，射波刀治疗的高精度要求与多环节协作特点，使得其在护理流程、风险防控、并发症管理等方面与常规放疗存在明显差异。目前，国内尚缺乏统一的射波刀治疗肺癌围手术期护理规范，临床实践中存在护理措施不统一、风险识别不及时、中西医结合特色护理经验未形成标准化体系等问题，影响护理质量的同质化与患者治疗安全。</w:t>
      </w:r>
    </w:p>
    <w:p w14:paraId="1563A968">
      <w:pPr>
        <w:spacing w:line="52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lang w:val="en-US" w:eastAsia="zh-CN"/>
        </w:rPr>
        <w:t>射波刀治疗包含金标植入、呼吸训练、精准体位固定、动态治疗监护等多个高精度环节，均需专业化、标准化护理支持。为辅助影像追踪，需在CT引导下将金属标记物（金标）经皮穿刺植入肿瘤附近，此操作可能存在气胸、出血、感染等固有风险，需专业的植入术前准备、术中监护与术后观察。精准的体位固定需使用个性化的体膜或真空垫进行严格固定，并在每次治疗中实现体位的毫米级重复，这对摆位操作、皮肤减压护理提出了一定要求。动态治疗过程中的实时监护，患者处于相对封闭空间，需通过音视频系统持续监测其生命体征、舒适度及突发咳嗽等状况，并具备应急处理能力。现有通用护理标准无法覆盖这些专科操作，亟需建立针对性的护理规范，确保治疗流程的安全与精准。</w:t>
      </w:r>
    </w:p>
    <w:p w14:paraId="31E2C123">
      <w:p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射波刀的高剂量照射在杀灭肿瘤的同时，也对毗邻的。正常肺组织、皮肤、食管等构成风险。放射性肺炎（RP）是胸部放疗最常见且可能危及生命的并发症，其发生风险与肺受照体积、剂量密切相关。目前，临床对于RP的预防性护理措施、早期症状（如干咳、气短、低热）的标准化监测、以及基于严重程度（如CTCAE分级）的分级处理流程缺乏统一、可操作的规范，导致防治效果不均，影响患者生存质量与治疗连续性。此外，放射性皮炎、疼痛、疲乏等的管理也需结合该技术特点进行细化。</w:t>
      </w:r>
    </w:p>
    <w:p w14:paraId="27C7460C">
      <w:p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同时也是区域医疗同质化与中西医结合特色发展的迫切需求，目前各机构在护理实践上并未统一，从评估内容到干预措施均依赖个人经验。制定团体标准有助于推动区域内护理服务的规范化、同质化。近二十年，我院射波刀治疗肺癌患者接近上万例，具有丰富的护理临床经验，同时，我院在中医方面已积累丰富经验（如中药外用防治放射性皮炎），但尚未形成可推广的标准化方案。本规范将整合这些特色措施，促进中西医结合护理的标准化传承与推广。</w:t>
      </w:r>
    </w:p>
    <w:p w14:paraId="655321F5">
      <w:pPr>
        <w:spacing w:line="520" w:lineRule="exact"/>
        <w:ind w:firstLine="560" w:firstLineChars="200"/>
        <w:rPr>
          <w:rFonts w:hint="default" w:ascii="仿宋_GB2312" w:eastAsia="仿宋_GB2312"/>
          <w:color w:val="auto"/>
          <w:sz w:val="28"/>
          <w:szCs w:val="28"/>
          <w:lang w:val="en-US" w:eastAsia="zh-CN"/>
        </w:rPr>
      </w:pPr>
      <w:r>
        <w:rPr>
          <w:rFonts w:hint="eastAsia" w:ascii="仿宋_GB2312" w:eastAsia="仿宋_GB2312"/>
          <w:color w:val="auto"/>
          <w:sz w:val="28"/>
          <w:szCs w:val="28"/>
          <w:lang w:val="en-US" w:eastAsia="zh-CN"/>
        </w:rPr>
        <w:t>通过</w:t>
      </w:r>
      <w:r>
        <w:rPr>
          <w:rFonts w:hint="eastAsia" w:ascii="仿宋_GB2312" w:eastAsia="仿宋_GB2312"/>
          <w:color w:val="auto"/>
          <w:sz w:val="28"/>
          <w:szCs w:val="28"/>
          <w:lang w:eastAsia="zh-CN"/>
        </w:rPr>
        <w:t>制定团体标准《射波刀治疗肺癌患者围手术期护理规范》十分必要，以标准为抓手，规范术前评估、术中配合、术后观察及并发症处理要求，</w:t>
      </w:r>
      <w:r>
        <w:rPr>
          <w:rFonts w:hint="eastAsia" w:ascii="仿宋_GB2312" w:eastAsia="仿宋_GB2312"/>
          <w:color w:val="auto"/>
          <w:sz w:val="28"/>
          <w:szCs w:val="28"/>
          <w:lang w:val="en-US" w:eastAsia="zh-CN"/>
        </w:rPr>
        <w:t>提高</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lang w:val="en-US" w:eastAsia="zh-CN"/>
        </w:rPr>
        <w:t>水平，有效降低并发症发生率</w:t>
      </w:r>
      <w:r>
        <w:rPr>
          <w:rFonts w:hint="eastAsia" w:ascii="仿宋_GB2312" w:eastAsia="仿宋_GB2312"/>
          <w:color w:val="auto"/>
          <w:sz w:val="28"/>
          <w:szCs w:val="28"/>
          <w:lang w:eastAsia="zh-CN"/>
        </w:rPr>
        <w:t>，改善患者预后，促进护理事业高质量发展</w:t>
      </w:r>
      <w:r>
        <w:rPr>
          <w:rFonts w:hint="eastAsia" w:ascii="仿宋_GB2312" w:eastAsia="仿宋_GB2312"/>
          <w:color w:val="auto"/>
          <w:sz w:val="28"/>
          <w:szCs w:val="28"/>
        </w:rPr>
        <w:t>。</w:t>
      </w:r>
    </w:p>
    <w:p w14:paraId="6173DA4D">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三、主要起草过程</w:t>
      </w:r>
    </w:p>
    <w:p w14:paraId="63E78FA5">
      <w:pPr>
        <w:spacing w:line="520" w:lineRule="exact"/>
        <w:ind w:firstLine="562" w:firstLineChars="200"/>
        <w:rPr>
          <w:rFonts w:hint="eastAsia" w:ascii="仿宋_GB2312" w:eastAsia="仿宋_GB2312"/>
          <w:color w:val="auto"/>
          <w:sz w:val="28"/>
          <w:szCs w:val="28"/>
        </w:rPr>
      </w:pPr>
      <w:r>
        <w:rPr>
          <w:rFonts w:hint="eastAsia" w:ascii="仿宋_GB2312" w:eastAsia="仿宋_GB2312" w:cs="仿宋_GB2312"/>
          <w:b/>
          <w:color w:val="auto"/>
          <w:sz w:val="28"/>
          <w:szCs w:val="28"/>
        </w:rPr>
        <w:t>（一）成立标准编制工作组</w:t>
      </w:r>
    </w:p>
    <w:p w14:paraId="0880187A">
      <w:pPr>
        <w:spacing w:line="520" w:lineRule="exact"/>
        <w:ind w:firstLine="560" w:firstLineChars="200"/>
        <w:jc w:val="left"/>
        <w:rPr>
          <w:rFonts w:hint="eastAsia" w:ascii="仿宋_GB2312" w:eastAsia="仿宋_GB2312"/>
          <w:color w:val="auto"/>
          <w:sz w:val="28"/>
          <w:szCs w:val="28"/>
        </w:rPr>
      </w:pPr>
      <w:r>
        <w:rPr>
          <w:rFonts w:hint="eastAsia" w:ascii="仿宋_GB2312" w:hAnsi="宋体" w:eastAsia="仿宋_GB2312"/>
          <w:color w:val="auto"/>
          <w:sz w:val="28"/>
          <w:szCs w:val="28"/>
        </w:rPr>
        <w:t>团体标准</w:t>
      </w:r>
      <w:r>
        <w:rPr>
          <w:rFonts w:hint="eastAsia" w:ascii="仿宋_GB2312" w:eastAsia="仿宋_GB2312"/>
          <w:color w:val="auto"/>
          <w:sz w:val="28"/>
          <w:szCs w:val="28"/>
        </w:rPr>
        <w:t>《</w:t>
      </w:r>
      <w:r>
        <w:rPr>
          <w:rFonts w:hint="eastAsia" w:ascii="仿宋_GB2312" w:eastAsia="仿宋_GB2312"/>
          <w:color w:val="auto"/>
          <w:sz w:val="28"/>
          <w:szCs w:val="28"/>
          <w:lang w:eastAsia="zh-CN"/>
        </w:rPr>
        <w:t>射波刀治疗肺癌患者围手术期护理规范</w:t>
      </w:r>
      <w:r>
        <w:rPr>
          <w:rFonts w:hint="eastAsia" w:ascii="仿宋_GB2312" w:eastAsia="仿宋_GB2312"/>
          <w:color w:val="auto"/>
          <w:sz w:val="28"/>
          <w:szCs w:val="28"/>
        </w:rPr>
        <w:t>》项目任务下达后，广西中医药大学第二附属医院提出，广西中医药大学第二附属医院、四川省肿瘤医院、天津医科大学肿瘤医院、浙江大学医学院附属第一医院成立了标准编制工作组，制定了起草编写方案与进度安排，明确任务职责，确定工作技术路线，开展标准研制工作。具体标准编制工作由起草单位相关人员配合完成。</w:t>
      </w:r>
    </w:p>
    <w:p w14:paraId="3AC50CC4">
      <w:pPr>
        <w:spacing w:line="520" w:lineRule="exact"/>
        <w:ind w:firstLine="560" w:firstLineChars="200"/>
        <w:rPr>
          <w:rFonts w:hint="eastAsia" w:ascii="仿宋_GB2312" w:eastAsia="仿宋_GB2312" w:cs="仿宋_GB2312"/>
          <w:color w:val="auto"/>
          <w:sz w:val="28"/>
          <w:szCs w:val="28"/>
        </w:rPr>
      </w:pPr>
      <w:r>
        <w:rPr>
          <w:rFonts w:hint="eastAsia" w:ascii="仿宋_GB2312" w:eastAsia="仿宋_GB2312"/>
          <w:color w:val="auto"/>
          <w:sz w:val="28"/>
          <w:szCs w:val="28"/>
        </w:rPr>
        <w:t>为了明确标准编制的任务职责，确定工作技术路线，开展标准研制工作。标准编制工作组下设二个组，分别是资料收集组、草案编写组。资料收集组负责国内外有关</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rPr>
        <w:t>的文献资料的查询、收集和整理工作，查阅前</w:t>
      </w:r>
      <w:r>
        <w:rPr>
          <w:rFonts w:hint="eastAsia" w:ascii="仿宋_GB2312" w:eastAsia="仿宋_GB2312"/>
          <w:color w:val="auto"/>
          <w:sz w:val="28"/>
          <w:szCs w:val="28"/>
          <w:lang w:eastAsia="zh-CN"/>
        </w:rPr>
        <w:t>期</w:t>
      </w:r>
      <w:r>
        <w:rPr>
          <w:rFonts w:hint="eastAsia" w:ascii="仿宋_GB2312" w:eastAsia="仿宋_GB2312"/>
          <w:color w:val="auto"/>
          <w:sz w:val="28"/>
          <w:szCs w:val="28"/>
        </w:rPr>
        <w:t>对</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lang w:val="en-US" w:eastAsia="zh-CN"/>
        </w:rPr>
        <w:t>方面</w:t>
      </w:r>
      <w:r>
        <w:rPr>
          <w:rFonts w:hint="eastAsia" w:ascii="仿宋_GB2312" w:eastAsia="仿宋_GB2312"/>
          <w:color w:val="auto"/>
          <w:sz w:val="28"/>
          <w:szCs w:val="28"/>
        </w:rPr>
        <w:t>的有关研究情况和目前科学界</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rPr>
        <w:t>的研究进展；草案编写组负责起草标准草案及后续征求意见稿和标准编制说明、送审稿及编制说明等编写工作，包括后期召开征求意见会、网上征求意见，以及标准的不断修改和完善。</w:t>
      </w:r>
    </w:p>
    <w:p w14:paraId="4815D59F">
      <w:pPr>
        <w:spacing w:line="52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（二）收集整理文献资料</w:t>
      </w:r>
    </w:p>
    <w:p w14:paraId="16D557FE">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标准编制工作组收集了国内有关</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lang w:val="en-US" w:eastAsia="zh-CN"/>
        </w:rPr>
        <w:t>及编制工作组发表</w:t>
      </w:r>
      <w:r>
        <w:rPr>
          <w:rFonts w:hint="eastAsia" w:ascii="仿宋_GB2312" w:eastAsia="仿宋_GB2312"/>
          <w:color w:val="auto"/>
          <w:sz w:val="28"/>
          <w:szCs w:val="28"/>
        </w:rPr>
        <w:t>的相关文献资料。主要有：</w:t>
      </w:r>
    </w:p>
    <w:p w14:paraId="06996399">
      <w:pPr>
        <w:spacing w:line="520" w:lineRule="exact"/>
        <w:ind w:firstLine="560" w:firstLineChars="200"/>
        <w:rPr>
          <w:rFonts w:hint="eastAsia" w:ascii="仿宋_GB2312" w:eastAsia="仿宋_GB2312" w:cs="仿宋_GB2312"/>
          <w:b w:val="0"/>
          <w:bCs/>
          <w:color w:val="auto"/>
          <w:sz w:val="28"/>
          <w:szCs w:val="28"/>
          <w:lang w:val="en-US" w:eastAsia="zh-CN"/>
        </w:rPr>
      </w:pPr>
      <w:r>
        <w:rPr>
          <w:rFonts w:hint="eastAsia" w:ascii="仿宋_GB2312" w:eastAsia="仿宋_GB2312" w:cs="仿宋_GB2312"/>
          <w:b w:val="0"/>
          <w:bCs/>
          <w:color w:val="auto"/>
          <w:sz w:val="28"/>
          <w:szCs w:val="28"/>
          <w:lang w:val="en-US" w:eastAsia="zh-CN"/>
        </w:rPr>
        <w:t>[1]  邢秀亚.肿瘤微创介入治疗护理学[M].北京:人民卫生出版社, 2016.</w:t>
      </w:r>
    </w:p>
    <w:p w14:paraId="4D6A83F2">
      <w:pPr>
        <w:spacing w:line="520" w:lineRule="exact"/>
        <w:ind w:firstLine="560" w:firstLineChars="200"/>
        <w:rPr>
          <w:rFonts w:hint="eastAsia" w:ascii="仿宋_GB2312" w:eastAsia="仿宋_GB2312" w:cs="仿宋_GB2312"/>
          <w:b w:val="0"/>
          <w:bCs/>
          <w:color w:val="auto"/>
          <w:sz w:val="28"/>
          <w:szCs w:val="28"/>
          <w:lang w:val="en-US" w:eastAsia="zh-CN"/>
        </w:rPr>
      </w:pPr>
      <w:r>
        <w:rPr>
          <w:rFonts w:hint="eastAsia" w:ascii="仿宋_GB2312" w:eastAsia="仿宋_GB2312" w:cs="仿宋_GB2312"/>
          <w:b w:val="0"/>
          <w:bCs/>
          <w:color w:val="auto"/>
          <w:sz w:val="28"/>
          <w:szCs w:val="28"/>
          <w:lang w:val="en-US" w:eastAsia="zh-CN"/>
        </w:rPr>
        <w:t>[2]  李敏,等.射波刀立体定向放射外科治疗肺癌56例的护理[J].实用临床医药杂志, 2012, 16(10): 35-36.</w:t>
      </w:r>
    </w:p>
    <w:p w14:paraId="5CD7EE5B">
      <w:pPr>
        <w:spacing w:line="520" w:lineRule="exact"/>
        <w:ind w:firstLine="560" w:firstLineChars="200"/>
        <w:rPr>
          <w:rFonts w:hint="eastAsia" w:ascii="仿宋_GB2312" w:eastAsia="仿宋_GB2312" w:cs="仿宋_GB2312"/>
          <w:b w:val="0"/>
          <w:bCs/>
          <w:color w:val="auto"/>
          <w:sz w:val="28"/>
          <w:szCs w:val="28"/>
          <w:lang w:val="en-US" w:eastAsia="zh-CN"/>
        </w:rPr>
      </w:pPr>
      <w:r>
        <w:rPr>
          <w:rFonts w:hint="eastAsia" w:ascii="仿宋_GB2312" w:eastAsia="仿宋_GB2312" w:cs="仿宋_GB2312"/>
          <w:b w:val="0"/>
          <w:bCs/>
          <w:color w:val="auto"/>
          <w:sz w:val="28"/>
          <w:szCs w:val="28"/>
          <w:lang w:val="en-US" w:eastAsia="zh-CN"/>
        </w:rPr>
        <w:t>[3]  王小芬,等.DC-CIK联合射波刀治疗中晚期非小细胞肺癌的护理[J].浙江临床医学,2015,17(3): 485-486.</w:t>
      </w:r>
    </w:p>
    <w:p w14:paraId="4C891491">
      <w:pPr>
        <w:spacing w:line="520" w:lineRule="exact"/>
        <w:ind w:firstLine="560" w:firstLineChars="200"/>
        <w:rPr>
          <w:rFonts w:hint="eastAsia" w:ascii="仿宋_GB2312" w:eastAsia="仿宋_GB2312" w:cs="仿宋_GB2312"/>
          <w:b w:val="0"/>
          <w:bCs/>
          <w:color w:val="auto"/>
          <w:sz w:val="28"/>
          <w:szCs w:val="28"/>
          <w:lang w:val="en-US" w:eastAsia="zh-CN"/>
        </w:rPr>
      </w:pPr>
      <w:r>
        <w:rPr>
          <w:rFonts w:hint="eastAsia" w:ascii="仿宋_GB2312" w:eastAsia="仿宋_GB2312" w:cs="仿宋_GB2312"/>
          <w:b w:val="0"/>
          <w:bCs/>
          <w:color w:val="auto"/>
          <w:sz w:val="28"/>
          <w:szCs w:val="28"/>
          <w:lang w:val="en-US" w:eastAsia="zh-CN"/>
        </w:rPr>
        <w:t>[4]  卢幻真,李黎.射波刀治疗非小细胞肺癌的护理[J].实用临床护理学电子杂志,2018,3(17):179-180.</w:t>
      </w:r>
    </w:p>
    <w:p w14:paraId="5B8BF896">
      <w:pPr>
        <w:spacing w:line="520" w:lineRule="exact"/>
        <w:ind w:firstLine="560" w:firstLineChars="200"/>
        <w:rPr>
          <w:rFonts w:hint="eastAsia" w:ascii="仿宋_GB2312" w:eastAsia="仿宋_GB2312" w:cs="仿宋_GB2312"/>
          <w:b w:val="0"/>
          <w:bCs/>
          <w:color w:val="auto"/>
          <w:sz w:val="28"/>
          <w:szCs w:val="28"/>
          <w:lang w:val="en-US" w:eastAsia="zh-CN"/>
        </w:rPr>
      </w:pPr>
      <w:r>
        <w:rPr>
          <w:rFonts w:hint="eastAsia" w:ascii="仿宋_GB2312" w:eastAsia="仿宋_GB2312" w:cs="仿宋_GB2312"/>
          <w:b w:val="0"/>
          <w:bCs/>
          <w:color w:val="auto"/>
          <w:sz w:val="28"/>
          <w:szCs w:val="28"/>
          <w:lang w:val="en-US" w:eastAsia="zh-CN"/>
        </w:rPr>
        <w:t>[5]  黄兰英.射波刀治疗非小细胞肺癌50例护理体会[J].微创医学,2011,6(06):583-585.</w:t>
      </w:r>
    </w:p>
    <w:p w14:paraId="75D013E4">
      <w:pPr>
        <w:spacing w:line="520" w:lineRule="exact"/>
        <w:ind w:firstLine="560" w:firstLineChars="200"/>
        <w:rPr>
          <w:rFonts w:hint="eastAsia" w:ascii="仿宋_GB2312" w:eastAsia="仿宋_GB2312" w:cs="仿宋_GB2312"/>
          <w:b w:val="0"/>
          <w:bCs/>
          <w:color w:val="auto"/>
          <w:sz w:val="28"/>
          <w:szCs w:val="28"/>
          <w:lang w:val="en-US" w:eastAsia="zh-CN"/>
        </w:rPr>
      </w:pPr>
      <w:r>
        <w:rPr>
          <w:rFonts w:hint="eastAsia" w:ascii="仿宋_GB2312" w:eastAsia="仿宋_GB2312" w:cs="仿宋_GB2312"/>
          <w:b w:val="0"/>
          <w:bCs/>
          <w:color w:val="auto"/>
          <w:sz w:val="28"/>
          <w:szCs w:val="28"/>
          <w:lang w:val="en-US" w:eastAsia="zh-CN"/>
        </w:rPr>
        <w:t>[6]  许建刚,卢幻真,唐阳,等.射波刀治疗肿瘤患者特殊体位的摆位及定位模式的探讨[J].中外医学研究,2015,13(27):142-144.</w:t>
      </w:r>
    </w:p>
    <w:p w14:paraId="126E5415">
      <w:pPr>
        <w:spacing w:line="520" w:lineRule="exact"/>
        <w:ind w:firstLine="560" w:firstLineChars="200"/>
        <w:rPr>
          <w:rFonts w:hint="eastAsia" w:ascii="仿宋_GB2312" w:eastAsia="仿宋_GB2312" w:cs="仿宋_GB2312"/>
          <w:b w:val="0"/>
          <w:bCs/>
          <w:color w:val="auto"/>
          <w:sz w:val="28"/>
          <w:szCs w:val="28"/>
          <w:lang w:val="en-US" w:eastAsia="zh-CN"/>
        </w:rPr>
      </w:pPr>
      <w:r>
        <w:rPr>
          <w:rFonts w:hint="eastAsia" w:ascii="仿宋_GB2312" w:eastAsia="仿宋_GB2312" w:cs="仿宋_GB2312"/>
          <w:b w:val="0"/>
          <w:bCs/>
          <w:color w:val="auto"/>
          <w:sz w:val="28"/>
          <w:szCs w:val="28"/>
          <w:lang w:val="en-US" w:eastAsia="zh-CN"/>
        </w:rPr>
        <w:t>[7]  卢幻真,白广德,黄兰英,等.原发性肝癌射波刀治疗前金标植入术的观察护理[J].实用临床护理学电子杂志,2019,4(31):82-83.</w:t>
      </w:r>
    </w:p>
    <w:p w14:paraId="5F0BA8DB">
      <w:pPr>
        <w:spacing w:line="520" w:lineRule="exact"/>
        <w:ind w:firstLine="560" w:firstLineChars="200"/>
        <w:rPr>
          <w:rFonts w:hint="eastAsia" w:ascii="仿宋_GB2312" w:eastAsia="仿宋_GB2312" w:cs="仿宋_GB2312"/>
          <w:b w:val="0"/>
          <w:bCs/>
          <w:color w:val="auto"/>
          <w:sz w:val="28"/>
          <w:szCs w:val="28"/>
          <w:lang w:val="en-US" w:eastAsia="zh-CN"/>
        </w:rPr>
      </w:pPr>
      <w:r>
        <w:rPr>
          <w:rFonts w:hint="eastAsia" w:ascii="仿宋_GB2312" w:eastAsia="仿宋_GB2312" w:cs="仿宋_GB2312"/>
          <w:b w:val="0"/>
          <w:bCs/>
          <w:color w:val="auto"/>
          <w:sz w:val="28"/>
          <w:szCs w:val="28"/>
          <w:lang w:val="en-US" w:eastAsia="zh-CN"/>
        </w:rPr>
        <w:t>[8]  白广德,黄丁平,杨健,等.肿瘤靶区金标植入术并发症分析及处理体会[J].当代医学,2009,15(05):35-36.</w:t>
      </w:r>
    </w:p>
    <w:p w14:paraId="4C9FAB3A">
      <w:pPr>
        <w:spacing w:line="520" w:lineRule="exact"/>
        <w:ind w:firstLine="560" w:firstLineChars="200"/>
        <w:rPr>
          <w:rFonts w:hint="eastAsia" w:ascii="仿宋_GB2312" w:eastAsia="仿宋_GB2312" w:cs="仿宋_GB2312"/>
          <w:b w:val="0"/>
          <w:bCs/>
          <w:color w:val="auto"/>
          <w:sz w:val="28"/>
          <w:szCs w:val="28"/>
          <w:lang w:val="en-US" w:eastAsia="zh-CN"/>
        </w:rPr>
      </w:pPr>
      <w:r>
        <w:rPr>
          <w:rFonts w:hint="eastAsia" w:ascii="仿宋_GB2312" w:eastAsia="仿宋_GB2312" w:cs="仿宋_GB2312"/>
          <w:b w:val="0"/>
          <w:bCs/>
          <w:color w:val="auto"/>
          <w:sz w:val="28"/>
          <w:szCs w:val="28"/>
          <w:lang w:val="en-US" w:eastAsia="zh-CN"/>
        </w:rPr>
        <w:t>[9]  白广德,练祖平,黄丁平,等.115例体部实体恶性肿瘤赛博刀治疗前肿瘤靶区金标植入术并发症分析及处理体会[J].广西中医学院学报,2008,(02):20-22.</w:t>
      </w:r>
    </w:p>
    <w:p w14:paraId="419ABBF4">
      <w:pPr>
        <w:spacing w:line="520" w:lineRule="exact"/>
        <w:ind w:firstLine="562" w:firstLineChars="200"/>
        <w:rPr>
          <w:rFonts w:hint="eastAsia" w:ascii="仿宋_GB2312" w:eastAsia="仿宋_GB2312" w:cs="仿宋_GB2312"/>
          <w:b/>
          <w:color w:val="auto"/>
          <w:sz w:val="28"/>
          <w:szCs w:val="28"/>
          <w:lang w:eastAsia="zh-CN"/>
        </w:rPr>
      </w:pPr>
      <w:r>
        <w:rPr>
          <w:rFonts w:hint="eastAsia" w:ascii="仿宋_GB2312" w:eastAsia="仿宋_GB2312" w:cs="仿宋_GB2312"/>
          <w:b/>
          <w:color w:val="auto"/>
          <w:sz w:val="28"/>
          <w:szCs w:val="28"/>
        </w:rPr>
        <w:t>（三）研讨确定标准特色、创新点及主体内容</w:t>
      </w:r>
    </w:p>
    <w:p w14:paraId="7D714B21">
      <w:pPr>
        <w:pStyle w:val="30"/>
        <w:spacing w:line="520" w:lineRule="exact"/>
        <w:ind w:firstLine="560"/>
        <w:rPr>
          <w:rFonts w:hint="eastAsia" w:ascii="仿宋_GB2312" w:eastAsia="仿宋_GB2312"/>
          <w:color w:val="auto"/>
          <w:sz w:val="28"/>
          <w:szCs w:val="28"/>
        </w:rPr>
      </w:pPr>
      <w:r>
        <w:rPr>
          <w:rFonts w:hint="eastAsia" w:ascii="仿宋_GB2312" w:eastAsia="仿宋_GB2312"/>
          <w:color w:val="auto"/>
          <w:sz w:val="28"/>
          <w:szCs w:val="28"/>
        </w:rPr>
        <w:t>标准编制工作组在对收集的资料进行整理研究之后，标准编制工作组召开了标准编制会议，对标准的整体框架结构进行了研究，并对标准的关键性内容进行了初步探讨。经过研究，标准的主体内容为</w:t>
      </w:r>
      <w:r>
        <w:rPr>
          <w:rFonts w:hint="eastAsia" w:ascii="仿宋_GB2312" w:eastAsia="仿宋_GB2312"/>
          <w:color w:val="auto"/>
          <w:sz w:val="28"/>
          <w:szCs w:val="28"/>
          <w:lang w:val="en-US" w:eastAsia="zh-CN"/>
        </w:rPr>
        <w:t>规定了射波刀治疗肺癌患者围手术期护理的基本要求、治疗前、治疗中、治疗后护理、常见并发症处理、健康宣教的要求</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标准</w:t>
      </w:r>
      <w:r>
        <w:rPr>
          <w:rFonts w:hint="eastAsia" w:ascii="仿宋_GB2312" w:eastAsia="仿宋_GB2312"/>
          <w:color w:val="auto"/>
          <w:sz w:val="28"/>
          <w:szCs w:val="28"/>
          <w:lang w:eastAsia="zh-CN"/>
        </w:rPr>
        <w:t>核心技术及创新点在于：</w:t>
      </w:r>
    </w:p>
    <w:p w14:paraId="16EBBF9E">
      <w:pPr>
        <w:pStyle w:val="30"/>
        <w:numPr>
          <w:ilvl w:val="0"/>
          <w:numId w:val="7"/>
        </w:numPr>
        <w:spacing w:line="520" w:lineRule="exact"/>
        <w:ind w:firstLine="56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首次针对射波刀治疗肺癌这一特定技术，系统性地建立了从治疗前评估到出院后随访的全程护理标准，覆盖准备、心理支持、技术配合、康复指导等全方位。</w:t>
      </w:r>
    </w:p>
    <w:p w14:paraId="0AE77FAC">
      <w:pPr>
        <w:pStyle w:val="30"/>
        <w:numPr>
          <w:ilvl w:val="0"/>
          <w:numId w:val="7"/>
        </w:numPr>
        <w:spacing w:line="520" w:lineRule="exact"/>
        <w:ind w:firstLine="560"/>
        <w:rPr>
          <w:rFonts w:hint="default" w:ascii="仿宋_GB2312" w:eastAsia="仿宋_GB2312"/>
          <w:color w:val="auto"/>
          <w:sz w:val="28"/>
          <w:szCs w:val="28"/>
          <w:lang w:val="en-US" w:eastAsia="zh-CN"/>
        </w:rPr>
      </w:pPr>
      <w:r>
        <w:rPr>
          <w:rFonts w:hint="eastAsia" w:ascii="仿宋_GB2312" w:eastAsia="仿宋_GB2312"/>
          <w:color w:val="auto"/>
          <w:sz w:val="28"/>
          <w:szCs w:val="28"/>
          <w:lang w:val="en-US" w:eastAsia="zh-CN"/>
        </w:rPr>
        <w:t>标准深度融入射波刀治疗的技术特点，重点规范了金标植入术的围术期护理、个体化呼吸训练与治疗中呼吸追踪配合、基于实时影像引导的体位安全管理等关键技术环节的护理要求。紧密结合《放射相关性肺炎中国专家诊治共识》等最新循证证据，对放射性肺炎（RP）这一核心并发症，提供了从风险因素评估、早期症状监测到分级处理（参照CTCAE标准）的标准化护理路径，极具临床指导价值。重点依据起草组前期总结并发表的《射波刀治疗非小细胞肺癌的护理》《射波刀治疗非小细胞肺癌50例护理体会》《射波刀治疗肿瘤患者特殊体位的摆位及定位模式的探讨》《原发性肝癌射波刀治疗前金标植入术的观察护理》《肿瘤靶区金标植入术并发症分析及处理体会》等论文进行编制。</w:t>
      </w:r>
    </w:p>
    <w:p w14:paraId="30A53029">
      <w:pPr>
        <w:pStyle w:val="30"/>
        <w:numPr>
          <w:ilvl w:val="0"/>
          <w:numId w:val="7"/>
        </w:numPr>
        <w:spacing w:line="520" w:lineRule="exact"/>
        <w:ind w:firstLine="560"/>
        <w:rPr>
          <w:rFonts w:hint="eastAsia" w:ascii="仿宋_GB2312" w:eastAsia="仿宋_GB2312"/>
          <w:color w:val="auto"/>
          <w:sz w:val="28"/>
          <w:szCs w:val="28"/>
          <w:lang w:eastAsia="zh-CN"/>
        </w:rPr>
      </w:pPr>
      <w:r>
        <w:rPr>
          <w:rFonts w:hint="eastAsia" w:ascii="仿宋_GB2312" w:eastAsia="仿宋_GB2312"/>
          <w:color w:val="auto"/>
          <w:sz w:val="28"/>
          <w:szCs w:val="28"/>
          <w:lang w:val="en-US" w:eastAsia="zh-CN"/>
        </w:rPr>
        <w:t>明确护理人员在多学科团队中的协调作用，并强调通过标准化健康教育提升患者及家属的参与度和自我管理能力。配套实用评估工具：标准附录提供体力状况、心理状态、疼痛（NRS面部表情量表）及RP症状监测清单等标准化评估工具，增强标准的可操作性和实用性。</w:t>
      </w:r>
    </w:p>
    <w:p w14:paraId="31A81503">
      <w:pPr>
        <w:spacing w:line="520" w:lineRule="exact"/>
        <w:ind w:firstLine="562" w:firstLineChars="200"/>
        <w:rPr>
          <w:rFonts w:hint="eastAsia" w:ascii="仿宋_GB2312" w:eastAsia="仿宋_GB2312" w:cs="仿宋_GB2312"/>
          <w:b/>
          <w:color w:val="auto"/>
          <w:sz w:val="28"/>
          <w:szCs w:val="28"/>
          <w:lang w:eastAsia="zh-CN"/>
        </w:rPr>
      </w:pPr>
      <w:r>
        <w:rPr>
          <w:rFonts w:hint="eastAsia" w:ascii="仿宋_GB2312" w:eastAsia="仿宋_GB2312" w:cs="仿宋_GB2312"/>
          <w:b/>
          <w:color w:val="auto"/>
          <w:sz w:val="28"/>
          <w:szCs w:val="28"/>
        </w:rPr>
        <w:t>（四）调研及形成草案、征求意见稿</w:t>
      </w:r>
    </w:p>
    <w:p w14:paraId="5EF72E6E">
      <w:pPr>
        <w:spacing w:line="520" w:lineRule="exact"/>
        <w:ind w:firstLine="560" w:firstLineChars="200"/>
        <w:rPr>
          <w:rFonts w:hint="eastAsia" w:ascii="仿宋_GB2312" w:eastAsia="仿宋_GB2312"/>
          <w:color w:val="auto"/>
          <w:kern w:val="0"/>
          <w:sz w:val="28"/>
          <w:szCs w:val="28"/>
          <w:lang w:val="en-US" w:eastAsia="zh-CN"/>
        </w:rPr>
      </w:pPr>
      <w:r>
        <w:rPr>
          <w:rFonts w:hint="eastAsia" w:ascii="仿宋_GB2312" w:eastAsia="仿宋_GB2312"/>
          <w:color w:val="auto"/>
          <w:kern w:val="0"/>
          <w:sz w:val="28"/>
          <w:szCs w:val="28"/>
          <w:lang w:val="en-US" w:eastAsia="zh-CN"/>
        </w:rPr>
        <w:t>围绕射波刀治疗的护理实践，科室已建立了系统化、结构化的专业体系。护理团队历经近二十年的探索，构建了覆盖“治疗前评估与宣教—金标植入观察护理—治疗中精准配合—治疗后康复随访”的护理路径。团队不仅制定并完善了呼吸训练、体位固定、金标植入护理、放射性肺炎（RP）监测与分级处理等一系列标准化操作与管理制度，还积极运用品管圈（QCC）等工具开展质量持续改进，多项护理研究课题（癌痛管理、症状群干预）获得院内认可与同行肯定。团队牵头或参与的《射波刀治疗非小细胞肺癌的护理》、《原发性肝癌射波刀治疗前金标植入术的观察护理》等系列研究，为本标准制定提供了直接的循证依据。依托科室在肿瘤放疗区域内的引领地位，已通过专科联盟与多家医联体单位共享经验，为标准的未来推广奠定了广泛的协作网络。上述扎实的临床积淀、系统的流程建设、活跃的科研探索及成熟的区域协作，充分证明了本科室具备主导制定此项高专业性团体标准的全面能力与技术成熟度。</w:t>
      </w:r>
    </w:p>
    <w:p w14:paraId="40566B4E">
      <w:pPr>
        <w:spacing w:line="520" w:lineRule="exact"/>
        <w:ind w:firstLine="560" w:firstLineChars="200"/>
        <w:rPr>
          <w:rFonts w:ascii="仿宋_GB2312" w:eastAsia="仿宋_GB2312"/>
          <w:color w:val="auto"/>
          <w:kern w:val="0"/>
          <w:sz w:val="28"/>
          <w:szCs w:val="28"/>
        </w:rPr>
      </w:pPr>
      <w:r>
        <w:rPr>
          <w:rFonts w:hint="eastAsia" w:ascii="仿宋_GB2312" w:eastAsia="仿宋_GB2312"/>
          <w:color w:val="auto"/>
          <w:kern w:val="0"/>
          <w:sz w:val="28"/>
          <w:szCs w:val="28"/>
        </w:rPr>
        <w:t>20</w:t>
      </w:r>
      <w:r>
        <w:rPr>
          <w:rFonts w:hint="eastAsia" w:ascii="仿宋_GB2312" w:eastAsia="仿宋_GB2312"/>
          <w:color w:val="auto"/>
          <w:kern w:val="0"/>
          <w:sz w:val="28"/>
          <w:szCs w:val="28"/>
          <w:lang w:val="en-US" w:eastAsia="zh-CN"/>
        </w:rPr>
        <w:t>25</w:t>
      </w:r>
      <w:r>
        <w:rPr>
          <w:rFonts w:hint="eastAsia" w:ascii="仿宋_GB2312" w:eastAsia="仿宋_GB2312"/>
          <w:color w:val="auto"/>
          <w:kern w:val="0"/>
          <w:sz w:val="28"/>
          <w:szCs w:val="28"/>
        </w:rPr>
        <w:t>年</w:t>
      </w:r>
      <w:r>
        <w:rPr>
          <w:rFonts w:hint="eastAsia" w:ascii="仿宋_GB2312" w:eastAsia="仿宋_GB2312"/>
          <w:color w:val="auto"/>
          <w:kern w:val="0"/>
          <w:sz w:val="28"/>
          <w:szCs w:val="28"/>
          <w:lang w:val="en-US" w:eastAsia="zh-CN"/>
        </w:rPr>
        <w:t>12</w:t>
      </w:r>
      <w:r>
        <w:rPr>
          <w:rFonts w:hint="eastAsia" w:ascii="仿宋_GB2312" w:eastAsia="仿宋_GB2312"/>
          <w:color w:val="auto"/>
          <w:kern w:val="0"/>
          <w:sz w:val="28"/>
          <w:szCs w:val="28"/>
        </w:rPr>
        <w:t>月～202</w:t>
      </w:r>
      <w:r>
        <w:rPr>
          <w:rFonts w:hint="eastAsia" w:ascii="仿宋_GB2312" w:eastAsia="仿宋_GB2312"/>
          <w:color w:val="auto"/>
          <w:kern w:val="0"/>
          <w:sz w:val="28"/>
          <w:szCs w:val="28"/>
          <w:lang w:val="en-US" w:eastAsia="zh-CN"/>
        </w:rPr>
        <w:t>6</w:t>
      </w:r>
      <w:r>
        <w:rPr>
          <w:rFonts w:hint="eastAsia" w:ascii="仿宋_GB2312" w:eastAsia="仿宋_GB2312"/>
          <w:color w:val="auto"/>
          <w:kern w:val="0"/>
          <w:sz w:val="28"/>
          <w:szCs w:val="28"/>
        </w:rPr>
        <w:t>年</w:t>
      </w:r>
      <w:r>
        <w:rPr>
          <w:rFonts w:hint="eastAsia" w:ascii="仿宋_GB2312" w:eastAsia="仿宋_GB2312"/>
          <w:color w:val="auto"/>
          <w:kern w:val="0"/>
          <w:sz w:val="28"/>
          <w:szCs w:val="28"/>
          <w:lang w:val="en-US" w:eastAsia="zh-CN"/>
        </w:rPr>
        <w:t>1</w:t>
      </w:r>
      <w:r>
        <w:rPr>
          <w:rFonts w:hint="eastAsia" w:ascii="仿宋_GB2312" w:eastAsia="仿宋_GB2312"/>
          <w:color w:val="auto"/>
          <w:kern w:val="0"/>
          <w:sz w:val="28"/>
          <w:szCs w:val="28"/>
        </w:rPr>
        <w:t>月，标准编制工作组查阅了大量的国内文献资料，对</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kern w:val="0"/>
          <w:sz w:val="28"/>
          <w:szCs w:val="28"/>
        </w:rPr>
        <w:t>相关的文件进行系统总结。形成了标准的基本构架，对主要内容进行了讨论并对项目的工作进行了部署和安排。</w:t>
      </w:r>
    </w:p>
    <w:p w14:paraId="2D211D17">
      <w:pPr>
        <w:spacing w:line="520" w:lineRule="exact"/>
        <w:ind w:firstLine="560" w:firstLineChars="200"/>
        <w:rPr>
          <w:rFonts w:hint="eastAsia"/>
          <w:color w:val="auto"/>
          <w:sz w:val="28"/>
          <w:szCs w:val="28"/>
        </w:rPr>
      </w:pPr>
      <w:r>
        <w:rPr>
          <w:rFonts w:hint="eastAsia" w:ascii="仿宋_GB2312" w:eastAsia="仿宋_GB2312"/>
          <w:color w:val="auto"/>
          <w:kern w:val="0"/>
          <w:sz w:val="28"/>
          <w:szCs w:val="28"/>
        </w:rPr>
        <w:t>202</w:t>
      </w:r>
      <w:r>
        <w:rPr>
          <w:rFonts w:hint="eastAsia" w:ascii="仿宋_GB2312" w:eastAsia="仿宋_GB2312"/>
          <w:color w:val="auto"/>
          <w:kern w:val="0"/>
          <w:sz w:val="28"/>
          <w:szCs w:val="28"/>
          <w:lang w:val="en-US" w:eastAsia="zh-CN"/>
        </w:rPr>
        <w:t>6</w:t>
      </w:r>
      <w:r>
        <w:rPr>
          <w:rFonts w:hint="eastAsia" w:ascii="仿宋_GB2312" w:eastAsia="仿宋_GB2312"/>
          <w:color w:val="auto"/>
          <w:kern w:val="0"/>
          <w:sz w:val="28"/>
          <w:szCs w:val="28"/>
        </w:rPr>
        <w:t>年</w:t>
      </w:r>
      <w:r>
        <w:rPr>
          <w:rFonts w:hint="eastAsia" w:ascii="仿宋_GB2312" w:eastAsia="仿宋_GB2312"/>
          <w:color w:val="auto"/>
          <w:kern w:val="0"/>
          <w:sz w:val="28"/>
          <w:szCs w:val="28"/>
          <w:lang w:val="en-US" w:eastAsia="zh-CN"/>
        </w:rPr>
        <w:t>1</w:t>
      </w:r>
      <w:r>
        <w:rPr>
          <w:rFonts w:hint="eastAsia" w:ascii="仿宋_GB2312" w:eastAsia="仿宋_GB2312"/>
          <w:color w:val="auto"/>
          <w:kern w:val="0"/>
          <w:sz w:val="28"/>
          <w:szCs w:val="28"/>
        </w:rPr>
        <w:t>月～</w:t>
      </w:r>
      <w:r>
        <w:rPr>
          <w:rFonts w:hint="eastAsia" w:ascii="仿宋_GB2312" w:eastAsia="仿宋_GB2312"/>
          <w:color w:val="auto"/>
          <w:kern w:val="0"/>
          <w:sz w:val="28"/>
          <w:szCs w:val="28"/>
          <w:lang w:val="en-US" w:eastAsia="zh-CN"/>
        </w:rPr>
        <w:t>2</w:t>
      </w:r>
      <w:r>
        <w:rPr>
          <w:rFonts w:hint="eastAsia" w:ascii="仿宋_GB2312" w:eastAsia="仿宋_GB2312"/>
          <w:color w:val="auto"/>
          <w:kern w:val="0"/>
          <w:sz w:val="28"/>
          <w:szCs w:val="28"/>
        </w:rPr>
        <w:t>月，</w:t>
      </w:r>
      <w:r>
        <w:rPr>
          <w:rFonts w:hint="eastAsia" w:ascii="仿宋_GB2312" w:eastAsia="仿宋_GB2312"/>
          <w:color w:val="auto"/>
          <w:kern w:val="0"/>
          <w:sz w:val="28"/>
          <w:szCs w:val="28"/>
          <w:lang w:eastAsia="zh-CN"/>
        </w:rPr>
        <w:t>团体</w:t>
      </w:r>
      <w:r>
        <w:rPr>
          <w:rFonts w:hint="eastAsia" w:ascii="仿宋_GB2312" w:eastAsia="仿宋_GB2312"/>
          <w:color w:val="auto"/>
          <w:kern w:val="0"/>
          <w:sz w:val="28"/>
          <w:szCs w:val="28"/>
        </w:rPr>
        <w:t>标准《</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lang w:val="en-US" w:eastAsia="zh-CN"/>
        </w:rPr>
        <w:t>规范</w:t>
      </w:r>
      <w:r>
        <w:rPr>
          <w:rFonts w:hint="eastAsia" w:ascii="仿宋_GB2312" w:eastAsia="仿宋_GB2312"/>
          <w:color w:val="auto"/>
          <w:kern w:val="0"/>
          <w:sz w:val="28"/>
          <w:szCs w:val="28"/>
        </w:rPr>
        <w:t>》</w:t>
      </w:r>
      <w:r>
        <w:rPr>
          <w:rFonts w:hint="eastAsia" w:ascii="仿宋_GB2312" w:hAnsi="宋体" w:eastAsia="仿宋_GB2312"/>
          <w:color w:val="auto"/>
          <w:sz w:val="28"/>
          <w:szCs w:val="28"/>
        </w:rPr>
        <w:t>获批立项</w:t>
      </w:r>
      <w:r>
        <w:rPr>
          <w:rFonts w:hint="eastAsia" w:ascii="仿宋_GB2312" w:eastAsia="仿宋_GB2312"/>
          <w:color w:val="auto"/>
          <w:kern w:val="0"/>
          <w:sz w:val="28"/>
          <w:szCs w:val="28"/>
        </w:rPr>
        <w:t>，在前期工作的基础之上，通过理清逻辑脉络，整合已有参考资料中有关</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lang w:val="en-US" w:eastAsia="zh-CN"/>
        </w:rPr>
        <w:t>技术</w:t>
      </w:r>
      <w:r>
        <w:rPr>
          <w:rFonts w:hint="eastAsia" w:ascii="仿宋_GB2312" w:eastAsia="仿宋_GB2312"/>
          <w:color w:val="auto"/>
          <w:kern w:val="0"/>
          <w:sz w:val="28"/>
          <w:szCs w:val="28"/>
        </w:rPr>
        <w:t>的要求，并在</w:t>
      </w:r>
      <w:r>
        <w:rPr>
          <w:rFonts w:hint="eastAsia" w:ascii="仿宋_GB2312" w:eastAsia="仿宋_GB2312"/>
          <w:color w:val="auto"/>
          <w:kern w:val="0"/>
          <w:sz w:val="28"/>
          <w:szCs w:val="28"/>
          <w:lang w:eastAsia="zh-CN"/>
        </w:rPr>
        <w:t>目前</w:t>
      </w:r>
      <w:r>
        <w:rPr>
          <w:rFonts w:hint="eastAsia" w:ascii="仿宋_GB2312" w:eastAsia="仿宋_GB2312"/>
          <w:color w:val="auto"/>
          <w:kern w:val="0"/>
          <w:sz w:val="28"/>
          <w:szCs w:val="28"/>
          <w:lang w:val="en-US" w:eastAsia="zh-CN"/>
        </w:rPr>
        <w:t>现有的</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kern w:val="0"/>
          <w:sz w:val="28"/>
          <w:szCs w:val="28"/>
        </w:rPr>
        <w:t>的基础上，按照简化、统一等原则编制完成</w:t>
      </w:r>
      <w:r>
        <w:rPr>
          <w:rFonts w:hint="eastAsia" w:ascii="仿宋_GB2312" w:eastAsia="仿宋_GB2312"/>
          <w:color w:val="auto"/>
          <w:kern w:val="0"/>
          <w:sz w:val="28"/>
          <w:szCs w:val="28"/>
          <w:lang w:val="en-US" w:eastAsia="zh-CN"/>
        </w:rPr>
        <w:t>团体</w:t>
      </w:r>
      <w:r>
        <w:rPr>
          <w:rFonts w:hint="eastAsia" w:ascii="仿宋_GB2312" w:eastAsia="仿宋_GB2312"/>
          <w:color w:val="auto"/>
          <w:kern w:val="0"/>
          <w:sz w:val="28"/>
          <w:szCs w:val="28"/>
        </w:rPr>
        <w:t>标准《</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lang w:val="en-US" w:eastAsia="zh-CN"/>
        </w:rPr>
        <w:t>规范</w:t>
      </w:r>
      <w:r>
        <w:rPr>
          <w:rFonts w:hint="eastAsia" w:ascii="仿宋_GB2312" w:eastAsia="仿宋_GB2312"/>
          <w:color w:val="auto"/>
          <w:kern w:val="0"/>
          <w:sz w:val="28"/>
          <w:szCs w:val="28"/>
        </w:rPr>
        <w:t>》（草案）。</w:t>
      </w:r>
    </w:p>
    <w:p w14:paraId="24684DDC">
      <w:pPr>
        <w:spacing w:line="520" w:lineRule="exact"/>
        <w:ind w:firstLine="560" w:firstLineChars="200"/>
        <w:rPr>
          <w:rFonts w:ascii="仿宋_GB2312" w:eastAsia="仿宋_GB2312"/>
          <w:kern w:val="0"/>
          <w:sz w:val="28"/>
          <w:szCs w:val="28"/>
        </w:rPr>
      </w:pPr>
      <w:r>
        <w:rPr>
          <w:rFonts w:hint="eastAsia" w:ascii="仿宋_GB2312" w:eastAsia="仿宋_GB2312"/>
          <w:color w:val="auto"/>
          <w:kern w:val="0"/>
          <w:sz w:val="28"/>
          <w:szCs w:val="28"/>
        </w:rPr>
        <w:t>202</w:t>
      </w:r>
      <w:r>
        <w:rPr>
          <w:rFonts w:hint="eastAsia" w:ascii="仿宋_GB2312" w:eastAsia="仿宋_GB2312"/>
          <w:color w:val="auto"/>
          <w:kern w:val="0"/>
          <w:sz w:val="28"/>
          <w:szCs w:val="28"/>
          <w:lang w:val="en-US" w:eastAsia="zh-CN"/>
        </w:rPr>
        <w:t>6</w:t>
      </w:r>
      <w:r>
        <w:rPr>
          <w:rFonts w:hint="eastAsia" w:ascii="仿宋_GB2312" w:eastAsia="仿宋_GB2312"/>
          <w:color w:val="auto"/>
          <w:kern w:val="0"/>
          <w:sz w:val="28"/>
          <w:szCs w:val="28"/>
        </w:rPr>
        <w:t>年</w:t>
      </w:r>
      <w:r>
        <w:rPr>
          <w:rFonts w:hint="eastAsia" w:ascii="仿宋_GB2312" w:eastAsia="仿宋_GB2312"/>
          <w:color w:val="auto"/>
          <w:kern w:val="0"/>
          <w:sz w:val="28"/>
          <w:szCs w:val="28"/>
          <w:lang w:val="en-US" w:eastAsia="zh-CN"/>
        </w:rPr>
        <w:t>2</w:t>
      </w:r>
      <w:r>
        <w:rPr>
          <w:rFonts w:hint="eastAsia" w:ascii="仿宋_GB2312" w:eastAsia="仿宋_GB2312"/>
          <w:color w:val="auto"/>
          <w:kern w:val="0"/>
          <w:sz w:val="28"/>
          <w:szCs w:val="28"/>
        </w:rPr>
        <w:t>月～202</w:t>
      </w:r>
      <w:r>
        <w:rPr>
          <w:rFonts w:hint="eastAsia" w:ascii="仿宋_GB2312" w:eastAsia="仿宋_GB2312"/>
          <w:color w:val="auto"/>
          <w:kern w:val="0"/>
          <w:sz w:val="28"/>
          <w:szCs w:val="28"/>
          <w:lang w:val="en-US" w:eastAsia="zh-CN"/>
        </w:rPr>
        <w:t>6</w:t>
      </w:r>
      <w:r>
        <w:rPr>
          <w:rFonts w:hint="eastAsia" w:ascii="仿宋_GB2312" w:eastAsia="仿宋_GB2312"/>
          <w:color w:val="auto"/>
          <w:kern w:val="0"/>
          <w:sz w:val="28"/>
          <w:szCs w:val="28"/>
        </w:rPr>
        <w:t>年</w:t>
      </w:r>
      <w:r>
        <w:rPr>
          <w:rFonts w:hint="eastAsia" w:ascii="仿宋_GB2312" w:eastAsia="仿宋_GB2312"/>
          <w:color w:val="auto"/>
          <w:kern w:val="0"/>
          <w:sz w:val="28"/>
          <w:szCs w:val="28"/>
          <w:lang w:val="en-US" w:eastAsia="zh-CN"/>
        </w:rPr>
        <w:t>3</w:t>
      </w:r>
      <w:r>
        <w:rPr>
          <w:rFonts w:hint="eastAsia" w:ascii="仿宋_GB2312" w:eastAsia="仿宋_GB2312"/>
          <w:color w:val="auto"/>
          <w:kern w:val="0"/>
          <w:sz w:val="28"/>
          <w:szCs w:val="28"/>
        </w:rPr>
        <w:t>月，标准编制工作组充分调查分析了</w:t>
      </w:r>
      <w:r>
        <w:rPr>
          <w:rFonts w:hint="eastAsia" w:ascii="仿宋_GB2312" w:eastAsia="仿宋_GB2312"/>
          <w:color w:val="auto"/>
          <w:sz w:val="28"/>
          <w:szCs w:val="28"/>
        </w:rPr>
        <w:t>四川、</w:t>
      </w:r>
      <w:r>
        <w:rPr>
          <w:rFonts w:hint="eastAsia" w:ascii="仿宋_GB2312" w:eastAsia="仿宋_GB2312"/>
          <w:color w:val="auto"/>
          <w:sz w:val="28"/>
          <w:szCs w:val="28"/>
          <w:lang w:val="en-US" w:eastAsia="zh-CN"/>
        </w:rPr>
        <w:t>北京</w:t>
      </w:r>
      <w:r>
        <w:rPr>
          <w:rFonts w:hint="eastAsia" w:ascii="仿宋_GB2312" w:eastAsia="仿宋_GB2312"/>
          <w:color w:val="auto"/>
          <w:sz w:val="28"/>
          <w:szCs w:val="28"/>
        </w:rPr>
        <w:t>、天津、浙江、</w:t>
      </w:r>
      <w:r>
        <w:rPr>
          <w:rFonts w:hint="eastAsia" w:ascii="仿宋_GB2312" w:eastAsia="仿宋_GB2312"/>
          <w:color w:val="auto"/>
          <w:sz w:val="28"/>
          <w:szCs w:val="28"/>
          <w:lang w:val="en-US" w:eastAsia="zh-CN"/>
        </w:rPr>
        <w:t>南宁</w:t>
      </w:r>
      <w:r>
        <w:rPr>
          <w:rFonts w:hint="eastAsia" w:ascii="仿宋_GB2312" w:eastAsia="仿宋_GB2312"/>
          <w:color w:val="auto"/>
          <w:kern w:val="0"/>
          <w:sz w:val="28"/>
          <w:szCs w:val="28"/>
        </w:rPr>
        <w:t>等地的</w:t>
      </w:r>
      <w:r>
        <w:rPr>
          <w:rFonts w:hint="eastAsia" w:ascii="仿宋_GB2312" w:eastAsia="仿宋_GB2312"/>
          <w:color w:val="auto"/>
          <w:sz w:val="28"/>
          <w:szCs w:val="28"/>
        </w:rPr>
        <w:t>广西中医药大学第二附属医院、四川省肿瘤医院、天津医科大学肿瘤医院、浙江大学医学院附属第一医院、</w:t>
      </w:r>
      <w:r>
        <w:rPr>
          <w:rFonts w:hint="eastAsia" w:ascii="仿宋_GB2312" w:eastAsia="仿宋_GB2312"/>
          <w:color w:val="auto"/>
          <w:sz w:val="28"/>
          <w:szCs w:val="28"/>
          <w:lang w:val="en-US" w:eastAsia="zh-CN"/>
        </w:rPr>
        <w:t>北京大学第三医院</w:t>
      </w:r>
      <w:r>
        <w:rPr>
          <w:rFonts w:hint="eastAsia" w:ascii="仿宋_GB2312" w:eastAsia="仿宋_GB2312"/>
          <w:color w:val="auto"/>
          <w:kern w:val="0"/>
          <w:sz w:val="28"/>
          <w:szCs w:val="28"/>
        </w:rPr>
        <w:t>等实施</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lang w:val="en-US" w:eastAsia="zh-CN"/>
        </w:rPr>
        <w:t>医院</w:t>
      </w:r>
      <w:r>
        <w:rPr>
          <w:rFonts w:hint="eastAsia" w:ascii="仿宋_GB2312" w:eastAsia="仿宋_GB2312"/>
          <w:color w:val="auto"/>
          <w:kern w:val="0"/>
          <w:sz w:val="28"/>
          <w:szCs w:val="28"/>
        </w:rPr>
        <w:t>的代表性建议意见，并组织起草单位召开标准研讨会，收集反馈了大量意见，对标准草案进行了反复修改和研究讨论，掌握了</w:t>
      </w:r>
      <w:r>
        <w:rPr>
          <w:rFonts w:hint="eastAsia" w:ascii="仿宋_GB2312" w:eastAsia="仿宋_GB2312"/>
          <w:color w:val="auto"/>
          <w:kern w:val="0"/>
          <w:sz w:val="28"/>
          <w:szCs w:val="28"/>
          <w:lang w:eastAsia="zh-CN"/>
        </w:rPr>
        <w:t>射波刀治疗肺癌患者围手术期护理</w:t>
      </w:r>
      <w:r>
        <w:rPr>
          <w:rFonts w:hint="eastAsia" w:ascii="仿宋_GB2312" w:eastAsia="仿宋_GB2312"/>
          <w:color w:val="auto"/>
          <w:kern w:val="0"/>
          <w:sz w:val="28"/>
          <w:szCs w:val="28"/>
        </w:rPr>
        <w:t>的基本情况</w:t>
      </w:r>
      <w:r>
        <w:rPr>
          <w:rFonts w:hint="eastAsia" w:ascii="仿宋_GB2312" w:eastAsia="仿宋_GB2312"/>
          <w:color w:val="auto"/>
          <w:kern w:val="0"/>
          <w:sz w:val="28"/>
          <w:szCs w:val="28"/>
          <w:lang w:eastAsia="zh-CN"/>
        </w:rPr>
        <w:t>以及</w:t>
      </w:r>
      <w:r>
        <w:rPr>
          <w:rFonts w:hint="eastAsia" w:ascii="仿宋_GB2312" w:eastAsia="仿宋_GB2312"/>
          <w:color w:val="auto"/>
          <w:kern w:val="0"/>
          <w:sz w:val="28"/>
          <w:szCs w:val="28"/>
        </w:rPr>
        <w:t>要求，最终形成了</w:t>
      </w:r>
      <w:bookmarkStart w:id="1" w:name="_Hlk120181503"/>
      <w:r>
        <w:rPr>
          <w:rFonts w:hint="eastAsia" w:ascii="仿宋_GB2312" w:eastAsia="仿宋_GB2312"/>
          <w:color w:val="auto"/>
          <w:kern w:val="0"/>
          <w:sz w:val="28"/>
          <w:szCs w:val="28"/>
          <w:lang w:eastAsia="zh-CN"/>
        </w:rPr>
        <w:t>团体标准</w:t>
      </w:r>
      <w:r>
        <w:rPr>
          <w:rFonts w:hint="eastAsia" w:ascii="仿宋_GB2312" w:eastAsia="仿宋_GB2312"/>
          <w:color w:val="auto"/>
          <w:kern w:val="0"/>
          <w:sz w:val="28"/>
          <w:szCs w:val="28"/>
        </w:rPr>
        <w:t>《</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lang w:val="en-US" w:eastAsia="zh-CN"/>
        </w:rPr>
        <w:t>规范</w:t>
      </w:r>
      <w:r>
        <w:rPr>
          <w:rFonts w:hint="eastAsia" w:ascii="仿宋_GB2312" w:eastAsia="仿宋_GB2312"/>
          <w:color w:val="auto"/>
          <w:kern w:val="0"/>
          <w:sz w:val="28"/>
          <w:szCs w:val="28"/>
        </w:rPr>
        <w:t>》（征求意见稿）及其编制说明。</w:t>
      </w:r>
      <w:bookmarkEnd w:id="1"/>
    </w:p>
    <w:p w14:paraId="423E8998">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四、制定标准的原则和依据，与现行法律、法规的关系，与有关国家标准、行业标准的协调情况</w:t>
      </w:r>
    </w:p>
    <w:p w14:paraId="43D9D88F">
      <w:pPr>
        <w:widowControl/>
        <w:tabs>
          <w:tab w:val="center" w:pos="4201"/>
          <w:tab w:val="right" w:leader="dot" w:pos="9298"/>
        </w:tabs>
        <w:autoSpaceDE w:val="0"/>
        <w:autoSpaceDN w:val="0"/>
        <w:spacing w:line="520" w:lineRule="exact"/>
        <w:ind w:firstLine="562" w:firstLineChars="200"/>
        <w:outlineLvl w:val="1"/>
        <w:rPr>
          <w:rFonts w:hint="eastAsia" w:ascii="仿宋_GB2312" w:eastAsia="仿宋_GB2312"/>
          <w:b/>
          <w:bCs/>
          <w:color w:val="auto"/>
          <w:kern w:val="0"/>
          <w:sz w:val="28"/>
          <w:szCs w:val="28"/>
        </w:rPr>
      </w:pPr>
      <w:r>
        <w:rPr>
          <w:rFonts w:hint="eastAsia" w:ascii="仿宋_GB2312" w:eastAsia="仿宋_GB2312"/>
          <w:b/>
          <w:bCs/>
          <w:color w:val="auto"/>
          <w:kern w:val="0"/>
          <w:sz w:val="28"/>
          <w:szCs w:val="28"/>
        </w:rPr>
        <w:t>（一）编制原则</w:t>
      </w:r>
    </w:p>
    <w:p w14:paraId="1232FA9D">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1、实用性原则</w:t>
      </w:r>
    </w:p>
    <w:p w14:paraId="109FA20F">
      <w:pPr>
        <w:spacing w:line="520" w:lineRule="exact"/>
        <w:ind w:firstLine="560" w:firstLineChars="200"/>
        <w:rPr>
          <w:rFonts w:ascii="仿宋_GB2312" w:eastAsia="仿宋_GB2312" w:cs="仿宋"/>
          <w:color w:val="auto"/>
          <w:sz w:val="28"/>
          <w:szCs w:val="28"/>
        </w:rPr>
      </w:pPr>
      <w:r>
        <w:rPr>
          <w:rFonts w:hint="eastAsia" w:ascii="仿宋_GB2312" w:eastAsia="仿宋_GB2312" w:cs="仿宋"/>
          <w:color w:val="auto"/>
          <w:sz w:val="28"/>
          <w:szCs w:val="28"/>
        </w:rPr>
        <w:t>本标准是在充分收集国内外相关资料和文献、调研分析</w:t>
      </w:r>
      <w:r>
        <w:rPr>
          <w:rFonts w:hint="eastAsia" w:ascii="仿宋_GB2312" w:eastAsia="仿宋_GB2312"/>
          <w:color w:val="auto"/>
          <w:sz w:val="28"/>
          <w:szCs w:val="28"/>
          <w:lang w:eastAsia="zh-CN"/>
        </w:rPr>
        <w:t>射波刀治疗肺癌患者围手术期护理</w:t>
      </w:r>
      <w:r>
        <w:rPr>
          <w:rFonts w:hint="eastAsia" w:ascii="仿宋_GB2312" w:eastAsia="仿宋_GB2312" w:cs="仿宋"/>
          <w:color w:val="auto"/>
          <w:sz w:val="28"/>
          <w:szCs w:val="28"/>
        </w:rPr>
        <w:t>现状，结合起草单位前期研究工作取得的研究成果及积累的</w:t>
      </w:r>
      <w:r>
        <w:rPr>
          <w:rFonts w:hint="eastAsia" w:ascii="仿宋_GB2312" w:eastAsia="仿宋_GB2312" w:cs="仿宋"/>
          <w:color w:val="auto"/>
          <w:sz w:val="28"/>
          <w:szCs w:val="28"/>
          <w:lang w:val="en-US" w:eastAsia="zh-CN"/>
        </w:rPr>
        <w:t>临床</w:t>
      </w:r>
      <w:r>
        <w:rPr>
          <w:rFonts w:hint="eastAsia" w:ascii="仿宋_GB2312" w:eastAsia="仿宋_GB2312" w:cs="仿宋"/>
          <w:color w:val="auto"/>
          <w:sz w:val="28"/>
          <w:szCs w:val="28"/>
        </w:rPr>
        <w:t>实践经验，并借鉴国内</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kern w:val="0"/>
          <w:sz w:val="28"/>
          <w:szCs w:val="28"/>
          <w:lang w:eastAsia="zh-CN"/>
        </w:rPr>
        <w:t>操作</w:t>
      </w:r>
      <w:r>
        <w:rPr>
          <w:rFonts w:hint="eastAsia" w:ascii="仿宋_GB2312" w:eastAsia="仿宋_GB2312" w:cs="仿宋"/>
          <w:color w:val="auto"/>
          <w:sz w:val="28"/>
          <w:szCs w:val="28"/>
        </w:rPr>
        <w:t>进行总结起草的，符合工作实际，利于</w:t>
      </w:r>
      <w:r>
        <w:rPr>
          <w:rFonts w:hint="eastAsia" w:ascii="仿宋_GB2312" w:eastAsia="仿宋_GB2312"/>
          <w:color w:val="auto"/>
          <w:sz w:val="28"/>
          <w:szCs w:val="28"/>
          <w:lang w:eastAsia="zh-CN"/>
        </w:rPr>
        <w:t>射波刀治疗肺癌患者围手术期护理</w:t>
      </w:r>
      <w:r>
        <w:rPr>
          <w:rFonts w:hint="eastAsia" w:ascii="仿宋_GB2312" w:eastAsia="仿宋_GB2312" w:cs="仿宋"/>
          <w:color w:val="auto"/>
          <w:sz w:val="28"/>
          <w:szCs w:val="28"/>
        </w:rPr>
        <w:t>的实施与推广，具有可操作性和实用性。</w:t>
      </w:r>
    </w:p>
    <w:p w14:paraId="2CCAEDA8">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2、协调性原则</w:t>
      </w:r>
    </w:p>
    <w:p w14:paraId="2399442B">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本文件编写过程中注意了与</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rPr>
        <w:t>相关法律法规的协调问题，在内容上与现行法律法规、标准协调一致。</w:t>
      </w:r>
    </w:p>
    <w:p w14:paraId="7F77537C">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3、规范性原则</w:t>
      </w:r>
    </w:p>
    <w:p w14:paraId="2CA3FAA5">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本文件严格按照GB/T 1.1—2020《标准化工作导则  第1部分：标准化文件的结构和起草规则》编写本标准的内容，保证标准的编写质量。</w:t>
      </w:r>
    </w:p>
    <w:p w14:paraId="411641D6">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4、前瞻性原则</w:t>
      </w:r>
    </w:p>
    <w:p w14:paraId="480B9C6A">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本文件在兼顾当前区内</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rPr>
        <w:t>现实情况的同时，还考虑到了</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rPr>
        <w:t>的需要，在标准中体现了个别特色性、前瞻性和先进性条款，作为对</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rPr>
        <w:t>发展的指导。</w:t>
      </w:r>
    </w:p>
    <w:p w14:paraId="2D6EFC67">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（二）编制依据</w:t>
      </w:r>
    </w:p>
    <w:p w14:paraId="7621A57A">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本标准严格按照GB/T 1.1—2020《标准化工作导则  第1部分：标准化文件的结构和起草规则》的规则起草，标准主要内容依据起草单位在</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rPr>
        <w:t>研究应用过程中的实践经验确定。</w:t>
      </w:r>
    </w:p>
    <w:p w14:paraId="6D47F5E6">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（三）与现行法律、法规的关系，与有关国家标准、行业标准的协调情况</w:t>
      </w:r>
    </w:p>
    <w:p w14:paraId="32105D2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本标准与相关法律法规、强制性标准协调一致，无冲突。</w:t>
      </w:r>
    </w:p>
    <w:p w14:paraId="2AD8AE82">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经查询，目前暂无“</w:t>
      </w:r>
      <w:r>
        <w:rPr>
          <w:rFonts w:hint="eastAsia" w:ascii="仿宋_GB2312" w:eastAsia="仿宋_GB2312"/>
          <w:color w:val="auto"/>
          <w:sz w:val="28"/>
          <w:szCs w:val="28"/>
          <w:lang w:eastAsia="zh-CN"/>
        </w:rPr>
        <w:t>射波刀治疗肺癌患者围手术期护理</w:t>
      </w:r>
      <w:r>
        <w:rPr>
          <w:rFonts w:hint="eastAsia" w:ascii="仿宋_GB2312" w:eastAsia="仿宋_GB2312"/>
          <w:color w:val="auto"/>
          <w:sz w:val="28"/>
          <w:szCs w:val="28"/>
        </w:rPr>
        <w:t>”的标准。</w:t>
      </w:r>
    </w:p>
    <w:p w14:paraId="2769D90A">
      <w:p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与“射波刀”“放射治疗”相关的标准有：GB/Z 121-2020《放射治疗放射防护要求》，主要侧重于放射防护与安全通用要求，均未对射波刀这一具体技术平台在治疗肺癌时所特有的、全周期的围手术期护理流程、风险评估工具及并发症管理路径进行系统性、结构化的规定。《DB32/T 4200-2022</w:t>
      </w:r>
      <w:r>
        <w:rPr>
          <w:rFonts w:hint="eastAsia" w:ascii="仿宋_GB2312" w:eastAsia="仿宋_GB2312"/>
          <w:color w:val="auto"/>
          <w:sz w:val="28"/>
          <w:szCs w:val="28"/>
          <w:lang w:val="en-US" w:eastAsia="zh-CN"/>
        </w:rPr>
        <w:tab/>
      </w:r>
      <w:r>
        <w:rPr>
          <w:rFonts w:hint="eastAsia" w:ascii="仿宋_GB2312" w:eastAsia="仿宋_GB2312"/>
          <w:color w:val="auto"/>
          <w:sz w:val="28"/>
          <w:szCs w:val="28"/>
          <w:lang w:val="en-US" w:eastAsia="zh-CN"/>
        </w:rPr>
        <w:t xml:space="preserve"> 肿瘤放射治疗技术质量控制规范》规定了肿瘤放射治疗技术规范质量控制的总则、设备质控、治疗管理、辐射防护与安全应急、文档记录、设备维护；适用于江苏省内从事肿瘤放射治疗的医疗机构。不涉及射波刀治疗肺癌患者围手术期护理内容。</w:t>
      </w:r>
    </w:p>
    <w:p w14:paraId="1FB43CF0">
      <w:p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本标准的制定将填补这一领域空白，与现有通用放射防护标准相辅相成，共同构成更为完善的肿瘤放射治疗安全保障体系。标准内容与现行法律法规、政策及基础标准无冲突。</w:t>
      </w:r>
    </w:p>
    <w:p w14:paraId="566693C7">
      <w:pPr>
        <w:spacing w:line="520" w:lineRule="exact"/>
        <w:ind w:firstLine="560" w:firstLineChars="200"/>
        <w:rPr>
          <w:rFonts w:hint="eastAsia" w:ascii="仿宋_GB2312" w:eastAsia="仿宋_GB2312"/>
          <w:color w:val="auto"/>
          <w:sz w:val="28"/>
          <w:szCs w:val="28"/>
          <w:lang w:val="en-US" w:eastAsia="zh-CN"/>
        </w:rPr>
      </w:pPr>
      <w:r>
        <w:rPr>
          <w:rFonts w:hint="eastAsia" w:ascii="仿宋_GB2312" w:eastAsia="仿宋_GB2312"/>
          <w:color w:val="auto"/>
          <w:sz w:val="28"/>
          <w:szCs w:val="28"/>
          <w:lang w:val="en-US" w:eastAsia="zh-CN"/>
        </w:rPr>
        <w:t>在近二十年的射波刀临床治疗与护理实践中，广西中医药大学附属瑞康医院肿瘤放疗科针对肺癌患者的护理需求，系统总结并形成了一套行之有效的专科护理方案。射波刀治疗肺癌的护理实践面临着独特挑战：从金标植入术的并发症预防与观察、呼吸门控的精准配合训练、个体化体位固定的质量控制，到放射性肺炎（RP）的早期症状监测与分级干预，各个环节均对护理的专业性、规范性提出了极高要求。目前，由于缺乏统一标准，不同机构、甚至不同护理人员在实际操作中存在较大差异，这不仅影响了护理质量的同质化和患者安全，也制约了区域间技术交流与协作的深入开展。</w:t>
      </w:r>
    </w:p>
    <w:p w14:paraId="2A6DE736">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lang w:val="en-US" w:eastAsia="zh-CN"/>
        </w:rPr>
        <w:t>因此，基于我院积累的大量实践案例、已开展的相关临床研究（如射波刀护理、金标植入并发症处理、中西医结合防治放射性皮炎等）以及初步形成的标准化护理草案，研制团体标准《射波刀治疗肺癌患者围手术期护理规范》，是填补该领域标准空白的迫切需求。本标准的制定，将运用标准化手段，为广西乃至全国开展此项技术的医疗机构提供科学、权威、可操作的技术支撑，从根本上规范护理行为，提升服务质量，保障患者安全，推动肿瘤精准放疗护理专业的规范化、同质化发展</w:t>
      </w:r>
    </w:p>
    <w:p w14:paraId="7B6445AB">
      <w:pPr>
        <w:spacing w:before="240" w:after="60" w:line="520" w:lineRule="exact"/>
        <w:ind w:firstLine="640" w:firstLineChars="200"/>
        <w:jc w:val="left"/>
        <w:outlineLvl w:val="0"/>
        <w:rPr>
          <w:rFonts w:hint="eastAsia" w:ascii="黑体" w:eastAsia="黑体"/>
          <w:bCs/>
          <w:color w:val="auto"/>
          <w:sz w:val="32"/>
          <w:szCs w:val="32"/>
        </w:rPr>
      </w:pPr>
      <w:r>
        <w:rPr>
          <w:rFonts w:hint="eastAsia" w:ascii="黑体" w:eastAsia="黑体"/>
          <w:bCs/>
          <w:color w:val="auto"/>
          <w:sz w:val="32"/>
          <w:szCs w:val="32"/>
        </w:rPr>
        <w:t>五、主要条款的说明</w:t>
      </w:r>
    </w:p>
    <w:p w14:paraId="3ACAF5FA">
      <w:pPr>
        <w:pStyle w:val="30"/>
        <w:spacing w:line="520" w:lineRule="exact"/>
        <w:ind w:firstLine="562"/>
        <w:rPr>
          <w:rFonts w:hint="eastAsia" w:ascii="仿宋_GB2312" w:eastAsia="仿宋_GB2312" w:cs="仿宋"/>
          <w:b w:val="0"/>
          <w:bCs w:val="0"/>
          <w:color w:val="auto"/>
          <w:sz w:val="28"/>
          <w:szCs w:val="28"/>
          <w:lang w:val="en-US" w:eastAsia="zh-CN"/>
        </w:rPr>
      </w:pPr>
      <w:r>
        <w:rPr>
          <w:rFonts w:hint="eastAsia" w:ascii="仿宋_GB2312" w:eastAsia="仿宋_GB2312" w:cs="仿宋"/>
          <w:b w:val="0"/>
          <w:bCs w:val="0"/>
          <w:color w:val="auto"/>
          <w:sz w:val="28"/>
          <w:szCs w:val="28"/>
        </w:rPr>
        <w:t>标准</w:t>
      </w:r>
      <w:r>
        <w:rPr>
          <w:rFonts w:hint="eastAsia" w:ascii="仿宋_GB2312" w:eastAsia="仿宋_GB2312" w:cs="仿宋"/>
          <w:b w:val="0"/>
          <w:bCs w:val="0"/>
          <w:color w:val="auto"/>
          <w:sz w:val="28"/>
          <w:szCs w:val="28"/>
          <w:lang w:val="en-US" w:eastAsia="zh-CN"/>
        </w:rPr>
        <w:t>技术内容</w:t>
      </w:r>
      <w:bookmarkStart w:id="2" w:name="OLE_LINK2"/>
      <w:r>
        <w:rPr>
          <w:rFonts w:hint="eastAsia" w:ascii="仿宋_GB2312" w:eastAsia="仿宋_GB2312" w:cs="仿宋"/>
          <w:b w:val="0"/>
          <w:bCs w:val="0"/>
          <w:color w:val="auto"/>
          <w:sz w:val="28"/>
          <w:szCs w:val="28"/>
          <w:lang w:val="en-US" w:eastAsia="zh-CN"/>
        </w:rPr>
        <w:t>规定了射波刀治疗肺癌患者围手术期护理的基本要求、治疗前、治疗中、治疗后护理、常见并发症处理、健康宣教的要求</w:t>
      </w:r>
      <w:bookmarkEnd w:id="2"/>
      <w:r>
        <w:rPr>
          <w:rFonts w:hint="eastAsia" w:ascii="仿宋_GB2312" w:eastAsia="仿宋_GB2312" w:cs="仿宋"/>
          <w:b w:val="0"/>
          <w:bCs w:val="0"/>
          <w:color w:val="auto"/>
          <w:sz w:val="28"/>
          <w:szCs w:val="28"/>
          <w:lang w:val="en-US" w:eastAsia="zh-CN"/>
        </w:rPr>
        <w:t>。</w:t>
      </w:r>
    </w:p>
    <w:p w14:paraId="4F298ECC">
      <w:pPr>
        <w:pStyle w:val="30"/>
        <w:spacing w:line="520" w:lineRule="exact"/>
        <w:ind w:firstLine="562"/>
        <w:rPr>
          <w:rFonts w:hint="eastAsia" w:ascii="仿宋_GB2312" w:eastAsia="仿宋_GB2312" w:cs="仿宋"/>
          <w:b w:val="0"/>
          <w:bCs w:val="0"/>
          <w:color w:val="auto"/>
          <w:sz w:val="28"/>
          <w:szCs w:val="28"/>
        </w:rPr>
      </w:pPr>
      <w:r>
        <w:rPr>
          <w:rFonts w:hint="default" w:ascii="仿宋_GB2312" w:eastAsia="仿宋_GB2312" w:cs="仿宋"/>
          <w:b w:val="0"/>
          <w:bCs w:val="0"/>
          <w:color w:val="auto"/>
          <w:sz w:val="28"/>
          <w:szCs w:val="28"/>
          <w:lang w:val="en-US" w:eastAsia="zh-CN"/>
        </w:rPr>
        <w:t>自2007年率先在区内开展射波刀技术以来，科室已构建起以射波刀和直线加速器为核心，融合三维适形放疗、调强放疗、立体定向放射治疗（SBRT），并联合化疗、靶向、免疫、介入消融等现代肿瘤治疗技术，以及穴位贴敷、中药封包、雷火灸等中医特色疗法的综合诊疗体系，在肺癌、肝癌等疾病的放射治疗方面积累了</w:t>
      </w:r>
      <w:r>
        <w:rPr>
          <w:rFonts w:hint="eastAsia" w:ascii="仿宋_GB2312" w:eastAsia="仿宋_GB2312" w:cs="仿宋"/>
          <w:b w:val="0"/>
          <w:bCs w:val="0"/>
          <w:color w:val="auto"/>
          <w:sz w:val="28"/>
          <w:szCs w:val="28"/>
          <w:lang w:val="en-US" w:eastAsia="zh-CN"/>
        </w:rPr>
        <w:t>近二十</w:t>
      </w:r>
      <w:r>
        <w:rPr>
          <w:rFonts w:hint="default" w:ascii="仿宋_GB2312" w:eastAsia="仿宋_GB2312" w:cs="仿宋"/>
          <w:b w:val="0"/>
          <w:bCs w:val="0"/>
          <w:color w:val="auto"/>
          <w:sz w:val="28"/>
          <w:szCs w:val="28"/>
          <w:lang w:val="en-US" w:eastAsia="zh-CN"/>
        </w:rPr>
        <w:t>年的丰富经验和深厚的研究基础。</w:t>
      </w:r>
    </w:p>
    <w:p w14:paraId="3A3B9ADA">
      <w:pPr>
        <w:pStyle w:val="30"/>
        <w:spacing w:line="520" w:lineRule="exact"/>
        <w:ind w:firstLine="0" w:firstLineChars="0"/>
        <w:rPr>
          <w:rFonts w:hint="eastAsia" w:ascii="仿宋_GB2312" w:eastAsia="仿宋_GB2312" w:cs="仿宋"/>
          <w:b/>
          <w:bCs/>
          <w:color w:val="auto"/>
          <w:sz w:val="28"/>
          <w:szCs w:val="28"/>
        </w:rPr>
      </w:pPr>
      <w:r>
        <w:rPr>
          <w:rFonts w:hint="eastAsia" w:ascii="仿宋_GB2312" w:eastAsia="仿宋_GB2312" w:cs="仿宋"/>
          <w:b/>
          <w:bCs/>
          <w:color w:val="auto"/>
          <w:sz w:val="28"/>
          <w:szCs w:val="28"/>
          <w:lang w:eastAsia="zh-CN"/>
        </w:rPr>
        <w:t>（一）</w:t>
      </w:r>
      <w:r>
        <w:rPr>
          <w:rFonts w:hint="eastAsia" w:ascii="仿宋_GB2312" w:eastAsia="仿宋_GB2312" w:cs="仿宋"/>
          <w:b/>
          <w:bCs/>
          <w:color w:val="auto"/>
          <w:sz w:val="28"/>
          <w:szCs w:val="28"/>
        </w:rPr>
        <w:t>术语和定义</w:t>
      </w:r>
    </w:p>
    <w:p w14:paraId="7A67A355">
      <w:pPr>
        <w:pStyle w:val="30"/>
        <w:numPr>
          <w:ilvl w:val="0"/>
          <w:numId w:val="0"/>
        </w:numPr>
        <w:spacing w:line="520" w:lineRule="exact"/>
        <w:ind w:left="0" w:leftChars="0" w:firstLine="562" w:firstLineChars="200"/>
        <w:rPr>
          <w:rFonts w:hint="eastAsia" w:ascii="仿宋_GB2312" w:eastAsia="仿宋_GB2312" w:cs="仿宋"/>
          <w:b/>
          <w:bCs w:val="0"/>
          <w:color w:val="auto"/>
          <w:sz w:val="28"/>
          <w:szCs w:val="28"/>
          <w:highlight w:val="none"/>
          <w:lang w:val="en-US" w:eastAsia="zh-CN"/>
        </w:rPr>
      </w:pPr>
      <w:r>
        <w:rPr>
          <w:rFonts w:hint="eastAsia" w:ascii="仿宋_GB2312" w:eastAsia="仿宋_GB2312" w:cs="仿宋"/>
          <w:b/>
          <w:bCs w:val="0"/>
          <w:color w:val="auto"/>
          <w:sz w:val="28"/>
          <w:szCs w:val="28"/>
          <w:highlight w:val="none"/>
          <w:lang w:val="en-US" w:eastAsia="zh-CN"/>
        </w:rPr>
        <w:t>3.1 射波刀</w:t>
      </w:r>
    </w:p>
    <w:p w14:paraId="5755EDD2">
      <w:pPr>
        <w:pStyle w:val="30"/>
        <w:numPr>
          <w:ilvl w:val="0"/>
          <w:numId w:val="0"/>
        </w:numPr>
        <w:spacing w:line="520" w:lineRule="exact"/>
        <w:ind w:left="0" w:leftChars="0" w:firstLine="560" w:firstLineChars="200"/>
        <w:rPr>
          <w:rFonts w:hint="default" w:ascii="仿宋_GB2312" w:eastAsia="仿宋_GB2312" w:cs="仿宋"/>
          <w:b w:val="0"/>
          <w:bCs/>
          <w:color w:val="auto"/>
          <w:sz w:val="28"/>
          <w:szCs w:val="28"/>
          <w:highlight w:val="none"/>
          <w:lang w:val="en-US" w:eastAsia="zh-CN"/>
        </w:rPr>
      </w:pPr>
      <w:r>
        <w:rPr>
          <w:rFonts w:hint="eastAsia" w:ascii="仿宋_GB2312" w:eastAsia="仿宋_GB2312" w:cs="仿宋"/>
          <w:b w:val="0"/>
          <w:bCs/>
          <w:color w:val="auto"/>
          <w:sz w:val="28"/>
          <w:szCs w:val="28"/>
          <w:highlight w:val="none"/>
          <w:lang w:val="en-US" w:eastAsia="zh-CN"/>
        </w:rPr>
        <w:t>主要依据：</w:t>
      </w:r>
      <w:r>
        <w:rPr>
          <w:rFonts w:hint="default" w:ascii="仿宋_GB2312" w:eastAsia="仿宋_GB2312" w:cs="仿宋"/>
          <w:b w:val="0"/>
          <w:bCs/>
          <w:color w:val="auto"/>
          <w:sz w:val="28"/>
          <w:szCs w:val="28"/>
          <w:highlight w:val="none"/>
          <w:lang w:val="en-US" w:eastAsia="zh-CN"/>
        </w:rPr>
        <w:t>卢幻真,李黎.射波刀治疗非小细胞肺癌的护理[J].实用临床护理学电子杂志,2018,3(17):179-180.</w:t>
      </w:r>
    </w:p>
    <w:p w14:paraId="339CC637">
      <w:pPr>
        <w:pStyle w:val="30"/>
        <w:numPr>
          <w:ilvl w:val="0"/>
          <w:numId w:val="0"/>
        </w:numPr>
        <w:spacing w:line="520" w:lineRule="exact"/>
        <w:ind w:left="0" w:leftChars="0" w:firstLine="560" w:firstLineChars="200"/>
        <w:rPr>
          <w:rFonts w:hint="default" w:ascii="仿宋_GB2312" w:eastAsia="仿宋_GB2312" w:cs="仿宋"/>
          <w:b w:val="0"/>
          <w:bCs/>
          <w:color w:val="auto"/>
          <w:sz w:val="28"/>
          <w:szCs w:val="28"/>
          <w:highlight w:val="none"/>
          <w:lang w:val="en-US" w:eastAsia="zh-CN"/>
        </w:rPr>
      </w:pPr>
      <w:r>
        <w:rPr>
          <w:rFonts w:hint="eastAsia" w:ascii="仿宋_GB2312" w:eastAsia="仿宋_GB2312" w:cs="仿宋"/>
          <w:b w:val="0"/>
          <w:bCs/>
          <w:color w:val="auto"/>
          <w:sz w:val="28"/>
          <w:szCs w:val="28"/>
          <w:highlight w:val="none"/>
          <w:lang w:val="en-US" w:eastAsia="zh-CN"/>
        </w:rPr>
        <w:t>将界定为射波刀“一种实时图像引导系统和呼吸追踪系统的全身立体定向放射外科治疗技术”。射波刀的核心原理是立体定向，它利用多个方向的射线束，非共面、非等中心地聚焦到肿瘤靶区，形成陡峭的剂量梯度。这种技术要求极高的精准度（亚毫米级），以在杀死肿瘤的同时，最大限度保护周围正常组织。是基于其六轴机器人臂、非共面非等中心投照及同步呼吸追踪的核心特征，相关技术标准在AAPM TG-101及</w:t>
      </w:r>
      <w:r>
        <w:rPr>
          <w:rFonts w:hint="eastAsia" w:ascii="仿宋" w:hAnsi="仿宋" w:eastAsia="仿宋" w:cs="仿宋"/>
          <w:b w:val="0"/>
          <w:bCs/>
          <w:color w:val="auto"/>
          <w:sz w:val="28"/>
          <w:szCs w:val="28"/>
          <w:highlight w:val="none"/>
          <w:lang w:val="en-US" w:eastAsia="zh-CN"/>
        </w:rPr>
        <w:t>Ozhasoglu</w:t>
      </w:r>
      <w:r>
        <w:rPr>
          <w:rFonts w:hint="eastAsia" w:ascii="仿宋_GB2312" w:eastAsia="仿宋_GB2312" w:cs="仿宋"/>
          <w:b w:val="0"/>
          <w:bCs/>
          <w:color w:val="auto"/>
          <w:sz w:val="28"/>
          <w:szCs w:val="28"/>
          <w:highlight w:val="none"/>
          <w:lang w:val="en-US" w:eastAsia="zh-CN"/>
        </w:rPr>
        <w:t>等（2008）的文献中已有明确阐述，以区别于传统加速器与伽玛刀。</w:t>
      </w:r>
    </w:p>
    <w:p w14:paraId="1DB4C865">
      <w:pPr>
        <w:pStyle w:val="30"/>
        <w:keepNext w:val="0"/>
        <w:keepLines w:val="0"/>
        <w:pageBreakBefore w:val="0"/>
        <w:widowControl/>
        <w:numPr>
          <w:ilvl w:val="0"/>
          <w:numId w:val="0"/>
        </w:numPr>
        <w:kinsoku/>
        <w:wordWrap/>
        <w:overflowPunct/>
        <w:topLinePunct w:val="0"/>
        <w:autoSpaceDE w:val="0"/>
        <w:autoSpaceDN w:val="0"/>
        <w:bidi w:val="0"/>
        <w:adjustRightInd/>
        <w:snapToGrid/>
        <w:spacing w:line="240" w:lineRule="auto"/>
        <w:jc w:val="center"/>
        <w:textAlignment w:val="auto"/>
        <w:rPr>
          <w:bdr w:val="single" w:sz="4" w:space="0"/>
        </w:rPr>
      </w:pPr>
      <w:r>
        <w:rPr>
          <w:bdr w:val="single" w:sz="4" w:space="0"/>
        </w:rPr>
        <w:drawing>
          <wp:inline distT="0" distB="0" distL="114300" distR="114300">
            <wp:extent cx="4064635" cy="899160"/>
            <wp:effectExtent l="0" t="0" r="12065" b="152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4064635" cy="899160"/>
                    </a:xfrm>
                    <a:prstGeom prst="rect">
                      <a:avLst/>
                    </a:prstGeom>
                    <a:noFill/>
                    <a:ln>
                      <a:noFill/>
                    </a:ln>
                  </pic:spPr>
                </pic:pic>
              </a:graphicData>
            </a:graphic>
          </wp:inline>
        </w:drawing>
      </w:r>
    </w:p>
    <w:p w14:paraId="404A8D82">
      <w:pPr>
        <w:pStyle w:val="30"/>
        <w:numPr>
          <w:ilvl w:val="0"/>
          <w:numId w:val="0"/>
        </w:numPr>
        <w:spacing w:line="520" w:lineRule="exact"/>
        <w:jc w:val="center"/>
        <w:rPr>
          <w:rFonts w:hint="eastAsia" w:ascii="仿宋_GB2312" w:eastAsia="仿宋_GB2312" w:cs="仿宋"/>
          <w:b w:val="0"/>
          <w:bCs/>
          <w:color w:val="auto"/>
          <w:sz w:val="24"/>
          <w:szCs w:val="24"/>
          <w:highlight w:val="none"/>
          <w:lang w:val="en-US" w:eastAsia="zh-CN"/>
        </w:rPr>
      </w:pPr>
      <w:r>
        <w:rPr>
          <w:rFonts w:hint="eastAsia" w:ascii="仿宋_GB2312" w:eastAsia="仿宋_GB2312" w:cs="仿宋"/>
          <w:b w:val="0"/>
          <w:bCs/>
          <w:color w:val="auto"/>
          <w:sz w:val="24"/>
          <w:szCs w:val="24"/>
          <w:highlight w:val="none"/>
          <w:lang w:val="en-US" w:eastAsia="zh-CN"/>
        </w:rPr>
        <w:t>实用临床护理学杂志《</w:t>
      </w:r>
      <w:r>
        <w:rPr>
          <w:rFonts w:hint="default" w:ascii="仿宋_GB2312" w:eastAsia="仿宋_GB2312" w:cs="仿宋"/>
          <w:b w:val="0"/>
          <w:bCs/>
          <w:color w:val="auto"/>
          <w:sz w:val="24"/>
          <w:szCs w:val="24"/>
          <w:highlight w:val="none"/>
          <w:lang w:val="en-US" w:eastAsia="zh-CN"/>
        </w:rPr>
        <w:t>射波刀治疗非小细胞肺癌的护理</w:t>
      </w:r>
      <w:r>
        <w:rPr>
          <w:rFonts w:hint="eastAsia" w:ascii="仿宋_GB2312" w:eastAsia="仿宋_GB2312" w:cs="仿宋"/>
          <w:b w:val="0"/>
          <w:bCs/>
          <w:color w:val="auto"/>
          <w:sz w:val="24"/>
          <w:szCs w:val="24"/>
          <w:highlight w:val="none"/>
          <w:lang w:val="en-US" w:eastAsia="zh-CN"/>
        </w:rPr>
        <w:t>》</w:t>
      </w:r>
    </w:p>
    <w:p w14:paraId="5E650C27">
      <w:pPr>
        <w:pStyle w:val="30"/>
        <w:numPr>
          <w:ilvl w:val="0"/>
          <w:numId w:val="0"/>
        </w:numPr>
        <w:spacing w:line="520" w:lineRule="exact"/>
        <w:ind w:left="0" w:leftChars="0" w:firstLine="562" w:firstLineChars="200"/>
        <w:rPr>
          <w:rFonts w:hint="eastAsia" w:ascii="仿宋_GB2312" w:eastAsia="仿宋_GB2312" w:cs="仿宋"/>
          <w:b/>
          <w:bCs w:val="0"/>
          <w:color w:val="auto"/>
          <w:sz w:val="28"/>
          <w:szCs w:val="28"/>
          <w:highlight w:val="none"/>
          <w:lang w:val="en-US" w:eastAsia="zh-CN"/>
        </w:rPr>
      </w:pPr>
      <w:r>
        <w:rPr>
          <w:rFonts w:hint="eastAsia" w:ascii="仿宋_GB2312" w:eastAsia="仿宋_GB2312" w:cs="仿宋"/>
          <w:b/>
          <w:bCs w:val="0"/>
          <w:color w:val="auto"/>
          <w:sz w:val="28"/>
          <w:szCs w:val="28"/>
          <w:highlight w:val="none"/>
          <w:lang w:val="en-US" w:eastAsia="zh-CN"/>
        </w:rPr>
        <w:t>3.2</w:t>
      </w:r>
      <w:bookmarkStart w:id="3" w:name="OLE_LINK38"/>
      <w:r>
        <w:rPr>
          <w:rFonts w:hint="eastAsia" w:ascii="仿宋_GB2312" w:eastAsia="仿宋_GB2312" w:cs="仿宋"/>
          <w:b/>
          <w:bCs w:val="0"/>
          <w:color w:val="auto"/>
          <w:sz w:val="28"/>
          <w:szCs w:val="28"/>
          <w:highlight w:val="none"/>
          <w:lang w:val="en-US" w:eastAsia="zh-CN"/>
        </w:rPr>
        <w:t xml:space="preserve"> </w:t>
      </w:r>
      <w:bookmarkEnd w:id="3"/>
      <w:r>
        <w:rPr>
          <w:rFonts w:hint="eastAsia" w:ascii="仿宋_GB2312" w:eastAsia="仿宋_GB2312" w:cs="仿宋"/>
          <w:b/>
          <w:bCs w:val="0"/>
          <w:color w:val="auto"/>
          <w:sz w:val="28"/>
          <w:szCs w:val="28"/>
          <w:highlight w:val="none"/>
          <w:lang w:val="en-US" w:eastAsia="zh-CN"/>
        </w:rPr>
        <w:t>金标植入</w:t>
      </w:r>
    </w:p>
    <w:p w14:paraId="3463C549">
      <w:pPr>
        <w:pStyle w:val="30"/>
        <w:numPr>
          <w:ilvl w:val="0"/>
          <w:numId w:val="0"/>
        </w:numPr>
        <w:spacing w:line="520" w:lineRule="exact"/>
        <w:ind w:left="0" w:leftChars="0" w:firstLine="560" w:firstLineChars="200"/>
        <w:rPr>
          <w:rFonts w:hint="eastAsia" w:ascii="仿宋_GB2312" w:eastAsia="仿宋_GB2312" w:cs="仿宋"/>
          <w:b w:val="0"/>
          <w:bCs/>
          <w:color w:val="auto"/>
          <w:sz w:val="28"/>
          <w:szCs w:val="28"/>
          <w:highlight w:val="none"/>
          <w:lang w:val="en-US" w:eastAsia="zh-CN"/>
        </w:rPr>
      </w:pPr>
      <w:r>
        <w:rPr>
          <w:rFonts w:hint="eastAsia" w:ascii="仿宋_GB2312" w:eastAsia="仿宋_GB2312" w:cs="仿宋"/>
          <w:b w:val="0"/>
          <w:bCs/>
          <w:color w:val="auto"/>
          <w:sz w:val="28"/>
          <w:szCs w:val="28"/>
          <w:highlight w:val="none"/>
          <w:lang w:val="en-US" w:eastAsia="zh-CN"/>
        </w:rPr>
        <w:t>金标植入定义为“在CT或超声引导下经皮穿刺将微型金属标记物植入肿瘤附近组织”，其依据在于通过植入高密度、显影清晰的金标（通常2~4枚）作为呼吸运动中肿瘤位置的替代标记，实现亚毫米级的动态追踪，具体操作规范同样源自</w:t>
      </w:r>
      <w:r>
        <w:rPr>
          <w:rFonts w:hint="eastAsia" w:ascii="宋体" w:hAnsi="宋体" w:eastAsia="宋体" w:cs="宋体"/>
          <w:b w:val="0"/>
          <w:bCs/>
          <w:color w:val="auto"/>
          <w:sz w:val="28"/>
          <w:szCs w:val="28"/>
          <w:highlight w:val="none"/>
          <w:lang w:val="en-US" w:eastAsia="zh-CN"/>
        </w:rPr>
        <w:t>Ozhasoglu</w:t>
      </w:r>
      <w:r>
        <w:rPr>
          <w:rFonts w:hint="eastAsia" w:ascii="仿宋_GB2312" w:eastAsia="仿宋_GB2312" w:cs="仿宋"/>
          <w:b w:val="0"/>
          <w:bCs/>
          <w:color w:val="auto"/>
          <w:sz w:val="28"/>
          <w:szCs w:val="28"/>
          <w:highlight w:val="none"/>
          <w:lang w:val="en-US" w:eastAsia="zh-CN"/>
        </w:rPr>
        <w:t>等（2008）及吴拾瑶等（2024）的综述，旨在解决胸腹部肿瘤因呼吸移动导致的靶区偏移问题。</w:t>
      </w:r>
    </w:p>
    <w:p w14:paraId="5171340D">
      <w:pPr>
        <w:pStyle w:val="30"/>
        <w:spacing w:line="520" w:lineRule="exact"/>
        <w:ind w:firstLine="0" w:firstLineChars="0"/>
        <w:rPr>
          <w:rFonts w:hint="eastAsia" w:ascii="仿宋_GB2312" w:eastAsia="仿宋_GB2312" w:cs="仿宋"/>
          <w:b/>
          <w:bCs/>
          <w:color w:val="auto"/>
          <w:sz w:val="28"/>
          <w:szCs w:val="28"/>
          <w:lang w:val="en-US" w:eastAsia="zh-CN"/>
        </w:rPr>
      </w:pPr>
      <w:r>
        <w:rPr>
          <w:rFonts w:hint="eastAsia" w:ascii="仿宋_GB2312" w:eastAsia="仿宋_GB2312" w:cs="仿宋"/>
          <w:b/>
          <w:bCs/>
          <w:color w:val="auto"/>
          <w:sz w:val="28"/>
          <w:szCs w:val="28"/>
          <w:lang w:eastAsia="zh-CN"/>
        </w:rPr>
        <w:t>（二）</w:t>
      </w:r>
      <w:r>
        <w:rPr>
          <w:rFonts w:hint="eastAsia" w:ascii="仿宋_GB2312" w:eastAsia="仿宋_GB2312" w:cs="仿宋"/>
          <w:b/>
          <w:bCs/>
          <w:color w:val="auto"/>
          <w:sz w:val="28"/>
          <w:szCs w:val="28"/>
          <w:lang w:val="en-US" w:eastAsia="zh-CN"/>
        </w:rPr>
        <w:t>基本要求</w:t>
      </w:r>
    </w:p>
    <w:p w14:paraId="0AD75150">
      <w:pPr>
        <w:pStyle w:val="30"/>
        <w:numPr>
          <w:ilvl w:val="0"/>
          <w:numId w:val="0"/>
        </w:numPr>
        <w:spacing w:line="520" w:lineRule="exact"/>
        <w:ind w:left="0" w:leftChars="0" w:firstLine="562" w:firstLineChars="200"/>
        <w:rPr>
          <w:rFonts w:hint="eastAsia" w:ascii="仿宋_GB2312" w:eastAsia="仿宋_GB2312" w:cs="仿宋"/>
          <w:b w:val="0"/>
          <w:bCs/>
          <w:color w:val="auto"/>
          <w:sz w:val="28"/>
          <w:szCs w:val="28"/>
          <w:highlight w:val="none"/>
          <w:lang w:val="en-US" w:eastAsia="zh-CN"/>
        </w:rPr>
      </w:pPr>
      <w:r>
        <w:rPr>
          <w:rFonts w:hint="eastAsia" w:ascii="仿宋_GB2312" w:eastAsia="仿宋_GB2312" w:cs="仿宋"/>
          <w:b/>
          <w:bCs w:val="0"/>
          <w:color w:val="auto"/>
          <w:sz w:val="28"/>
          <w:szCs w:val="28"/>
          <w:highlight w:val="none"/>
          <w:lang w:val="en-US" w:eastAsia="zh-CN"/>
        </w:rPr>
        <w:t>人员要求</w:t>
      </w:r>
      <w:r>
        <w:rPr>
          <w:rFonts w:hint="eastAsia" w:ascii="仿宋_GB2312" w:eastAsia="仿宋_GB2312" w:cs="仿宋"/>
          <w:b w:val="0"/>
          <w:bCs/>
          <w:color w:val="auto"/>
          <w:sz w:val="28"/>
          <w:szCs w:val="28"/>
          <w:highlight w:val="none"/>
          <w:lang w:val="en-US" w:eastAsia="zh-CN"/>
        </w:rPr>
        <w:t>：人员要求之所以规定护理人员必须是注册护士并经过专业培训，是因为射波刀治疗涉及高精度定位、有创金标植入及呼吸追踪等复杂操作，护理人员需具备肿瘤放疗或介入护理背景，才能在治疗前准确配合金标植入与体位固定，治疗中熟练操作设备并实时监测患者生命体征，治疗后在出现气胸、出血、放射性损伤等并发症时迅速识别并实施急救。</w:t>
      </w:r>
    </w:p>
    <w:p w14:paraId="50A18AA5">
      <w:pPr>
        <w:pStyle w:val="30"/>
        <w:numPr>
          <w:ilvl w:val="0"/>
          <w:numId w:val="0"/>
        </w:numPr>
        <w:spacing w:line="520" w:lineRule="exact"/>
        <w:ind w:left="0" w:leftChars="0" w:firstLine="562" w:firstLineChars="200"/>
        <w:rPr>
          <w:rFonts w:hint="eastAsia" w:ascii="仿宋_GB2312" w:eastAsia="仿宋_GB2312" w:cs="仿宋"/>
          <w:b w:val="0"/>
          <w:bCs/>
          <w:color w:val="auto"/>
          <w:sz w:val="28"/>
          <w:szCs w:val="28"/>
          <w:highlight w:val="none"/>
          <w:lang w:val="en-US" w:eastAsia="zh-CN"/>
        </w:rPr>
      </w:pPr>
      <w:r>
        <w:rPr>
          <w:rFonts w:hint="eastAsia" w:ascii="仿宋_GB2312" w:eastAsia="仿宋_GB2312" w:cs="仿宋"/>
          <w:b/>
          <w:bCs w:val="0"/>
          <w:color w:val="auto"/>
          <w:sz w:val="28"/>
          <w:szCs w:val="28"/>
          <w:highlight w:val="none"/>
          <w:lang w:val="en-US" w:eastAsia="zh-CN"/>
        </w:rPr>
        <w:t>设备要求：</w:t>
      </w:r>
      <w:r>
        <w:rPr>
          <w:rFonts w:hint="eastAsia" w:ascii="仿宋_GB2312" w:eastAsia="仿宋_GB2312" w:cs="仿宋"/>
          <w:b w:val="0"/>
          <w:bCs/>
          <w:color w:val="auto"/>
          <w:sz w:val="28"/>
          <w:szCs w:val="28"/>
          <w:highlight w:val="none"/>
          <w:lang w:val="en-US" w:eastAsia="zh-CN"/>
        </w:rPr>
        <w:t>一方面强调必须配备射波刀系统与大孔径CT模拟定位机，因为前者是实现立体定向放射外科的核心设备，后者用于获取高精度定位图像以制定放疗计划，二者必须匹配才能保证从定位到治疗的几何精度；另一方面规定治疗室必须配置急救车、心电监护仪、氧气及负压吸引装置，并定期检查，这是因为胸腹部肿瘤患者在金标植入或治疗过程中可能出现呼吸骤停、气胸、过敏性休克等危急情况，急救设备必须处于即刻可用状态，上述要求依据AAPM TG-101及国内肿瘤放射治疗质控指南中关于人员资质和急救设施的强制性规定。</w:t>
      </w:r>
    </w:p>
    <w:p w14:paraId="26A65450">
      <w:pPr>
        <w:pStyle w:val="30"/>
        <w:numPr>
          <w:ilvl w:val="0"/>
          <w:numId w:val="0"/>
        </w:numPr>
        <w:spacing w:line="520" w:lineRule="exact"/>
        <w:ind w:firstLine="0" w:firstLineChars="0"/>
        <w:rPr>
          <w:rFonts w:hint="eastAsia" w:ascii="仿宋_GB2312" w:eastAsia="仿宋_GB2312" w:cs="仿宋"/>
          <w:b/>
          <w:bCs/>
          <w:color w:val="auto"/>
          <w:sz w:val="28"/>
          <w:szCs w:val="28"/>
          <w:lang w:val="en-US" w:eastAsia="zh-CN"/>
        </w:rPr>
      </w:pPr>
      <w:r>
        <w:rPr>
          <w:rFonts w:hint="eastAsia" w:ascii="仿宋_GB2312" w:hAnsi="Calibri" w:eastAsia="仿宋_GB2312" w:cs="仿宋"/>
          <w:b/>
          <w:bCs/>
          <w:color w:val="auto"/>
          <w:sz w:val="28"/>
          <w:szCs w:val="28"/>
          <w:lang w:val="en-US" w:eastAsia="zh-CN" w:bidi="ar-SA"/>
        </w:rPr>
        <w:t>（三）</w:t>
      </w:r>
      <w:r>
        <w:rPr>
          <w:rFonts w:hint="eastAsia" w:ascii="仿宋_GB2312" w:eastAsia="仿宋_GB2312" w:cs="仿宋"/>
          <w:b/>
          <w:bCs/>
          <w:color w:val="auto"/>
          <w:sz w:val="28"/>
          <w:szCs w:val="28"/>
          <w:lang w:val="en-US" w:eastAsia="zh-CN"/>
        </w:rPr>
        <w:t>术前护理</w:t>
      </w:r>
    </w:p>
    <w:p w14:paraId="2D4FEB30">
      <w:pPr>
        <w:pStyle w:val="30"/>
        <w:numPr>
          <w:ilvl w:val="0"/>
          <w:numId w:val="0"/>
        </w:numPr>
        <w:spacing w:line="520" w:lineRule="exact"/>
        <w:ind w:left="0" w:leftChars="0" w:firstLine="562" w:firstLineChars="200"/>
        <w:rPr>
          <w:rFonts w:hint="default" w:ascii="仿宋_GB2312" w:eastAsia="仿宋_GB2312" w:cs="仿宋"/>
          <w:b/>
          <w:bCs w:val="0"/>
          <w:color w:val="auto"/>
          <w:sz w:val="28"/>
          <w:szCs w:val="28"/>
          <w:highlight w:val="none"/>
          <w:lang w:val="en-US" w:eastAsia="zh-CN"/>
        </w:rPr>
      </w:pPr>
      <w:r>
        <w:rPr>
          <w:rFonts w:hint="eastAsia" w:ascii="仿宋_GB2312" w:eastAsia="仿宋_GB2312" w:cs="仿宋"/>
          <w:b/>
          <w:bCs w:val="0"/>
          <w:color w:val="auto"/>
          <w:sz w:val="28"/>
          <w:szCs w:val="28"/>
          <w:highlight w:val="none"/>
          <w:lang w:val="en-US" w:eastAsia="zh-CN"/>
        </w:rPr>
        <w:t>1、评估</w:t>
      </w:r>
    </w:p>
    <w:p w14:paraId="49D087E5">
      <w:pPr>
        <w:pStyle w:val="30"/>
        <w:numPr>
          <w:ilvl w:val="0"/>
          <w:numId w:val="0"/>
        </w:numPr>
        <w:spacing w:line="520" w:lineRule="exact"/>
        <w:ind w:left="0" w:leftChars="0" w:firstLine="560" w:firstLineChars="200"/>
        <w:rPr>
          <w:rFonts w:hint="eastAsia" w:ascii="仿宋_GB2312" w:eastAsia="仿宋_GB2312" w:cs="仿宋"/>
          <w:b w:val="0"/>
          <w:bCs/>
          <w:color w:val="auto"/>
          <w:sz w:val="28"/>
          <w:szCs w:val="28"/>
          <w:highlight w:val="none"/>
          <w:lang w:val="en-US" w:eastAsia="zh-CN"/>
        </w:rPr>
      </w:pPr>
      <w:r>
        <w:rPr>
          <w:rFonts w:hint="eastAsia" w:ascii="仿宋_GB2312" w:eastAsia="仿宋_GB2312" w:cs="仿宋"/>
          <w:b w:val="0"/>
          <w:bCs/>
          <w:color w:val="auto"/>
          <w:sz w:val="28"/>
          <w:szCs w:val="28"/>
          <w:highlight w:val="none"/>
          <w:lang w:val="en-US" w:eastAsia="zh-CN"/>
        </w:rPr>
        <w:t>了解疾病与治疗史的依据在于：肺癌的病理类型（如腺癌、鳞癌）影响肿瘤的生物学行为与放射敏感性；TNM分期决定了治疗目的（根治性还是姑息性）及靶区范围；既往治疗史（如手术、放疗、化疗）直接影响组织耐受性、金标植入的出血风险以及是否需要调整放疗剂量，上述评估内容符合肿瘤放射治疗前基线评估的临床规范。</w:t>
      </w:r>
    </w:p>
    <w:p w14:paraId="200E1221">
      <w:pPr>
        <w:pStyle w:val="30"/>
        <w:numPr>
          <w:ilvl w:val="0"/>
          <w:numId w:val="0"/>
        </w:numPr>
        <w:spacing w:line="520" w:lineRule="exact"/>
        <w:ind w:left="0" w:leftChars="0" w:firstLine="560" w:firstLineChars="200"/>
        <w:rPr>
          <w:rFonts w:hint="default" w:ascii="仿宋_GB2312" w:eastAsia="仿宋_GB2312" w:cs="仿宋"/>
          <w:b w:val="0"/>
          <w:bCs/>
          <w:color w:val="auto"/>
          <w:sz w:val="28"/>
          <w:szCs w:val="28"/>
          <w:highlight w:val="none"/>
          <w:lang w:val="en-US" w:eastAsia="zh-CN"/>
        </w:rPr>
      </w:pPr>
      <w:r>
        <w:rPr>
          <w:rFonts w:hint="eastAsia" w:ascii="仿宋_GB2312" w:eastAsia="仿宋_GB2312" w:cs="仿宋"/>
          <w:b w:val="0"/>
          <w:bCs/>
          <w:color w:val="auto"/>
          <w:sz w:val="28"/>
          <w:szCs w:val="28"/>
          <w:highlight w:val="none"/>
          <w:lang w:val="en-US" w:eastAsia="zh-CN"/>
        </w:rPr>
        <w:t>评估呼吸功能、疼痛、营养及活动能力</w:t>
      </w:r>
      <w:r>
        <w:rPr>
          <w:rFonts w:hint="default" w:ascii="仿宋_GB2312" w:eastAsia="仿宋_GB2312" w:cs="仿宋"/>
          <w:b w:val="0"/>
          <w:bCs/>
          <w:color w:val="auto"/>
          <w:sz w:val="28"/>
          <w:szCs w:val="28"/>
          <w:highlight w:val="none"/>
          <w:lang w:val="en-US" w:eastAsia="zh-CN"/>
        </w:rPr>
        <w:t>的依据在于射波刀治疗依赖呼吸追踪技术，患者咳嗽、咳痰、呼吸困难会干扰呼吸节律，导致金标追踪失败或靶区照射偏差；疼痛程度影响患者体位固定的耐受性及治疗中的配合度；营养状况和活动能力则与治疗耐受性、术后并发症（如气胸、感染）的发生风险密切相关，需据此制定个体化的护理干预措施。</w:t>
      </w:r>
    </w:p>
    <w:p w14:paraId="39BA19BC">
      <w:pPr>
        <w:pStyle w:val="30"/>
        <w:numPr>
          <w:ilvl w:val="0"/>
          <w:numId w:val="0"/>
        </w:numPr>
        <w:spacing w:line="520" w:lineRule="exact"/>
        <w:ind w:left="0" w:leftChars="0" w:firstLine="562" w:firstLineChars="200"/>
        <w:rPr>
          <w:rFonts w:hint="default" w:ascii="仿宋_GB2312" w:eastAsia="仿宋_GB2312" w:cs="仿宋"/>
          <w:b/>
          <w:bCs w:val="0"/>
          <w:color w:val="auto"/>
          <w:sz w:val="28"/>
          <w:szCs w:val="28"/>
          <w:highlight w:val="none"/>
          <w:lang w:val="en-US" w:eastAsia="zh-CN"/>
        </w:rPr>
      </w:pPr>
      <w:r>
        <w:rPr>
          <w:rFonts w:hint="eastAsia" w:ascii="仿宋_GB2312" w:eastAsia="仿宋_GB2312" w:cs="仿宋"/>
          <w:b/>
          <w:bCs w:val="0"/>
          <w:color w:val="auto"/>
          <w:sz w:val="28"/>
          <w:szCs w:val="28"/>
          <w:highlight w:val="none"/>
          <w:lang w:val="en-US" w:eastAsia="zh-CN"/>
        </w:rPr>
        <w:t>2.</w:t>
      </w:r>
      <w:r>
        <w:rPr>
          <w:rFonts w:hint="default" w:ascii="仿宋_GB2312" w:eastAsia="仿宋_GB2312" w:cs="仿宋"/>
          <w:b/>
          <w:bCs w:val="0"/>
          <w:color w:val="auto"/>
          <w:sz w:val="28"/>
          <w:szCs w:val="28"/>
          <w:highlight w:val="none"/>
          <w:lang w:val="en-US" w:eastAsia="zh-CN"/>
        </w:rPr>
        <w:t>心理护理</w:t>
      </w:r>
    </w:p>
    <w:p w14:paraId="72D04117">
      <w:pPr>
        <w:keepNext w:val="0"/>
        <w:keepLines w:val="0"/>
        <w:widowControl/>
        <w:suppressLineNumbers w:val="0"/>
        <w:ind w:firstLine="560" w:firstLineChars="200"/>
        <w:jc w:val="left"/>
        <w:rPr>
          <w:rFonts w:hint="default" w:ascii="仿宋_GB2312" w:eastAsia="仿宋_GB2312" w:cs="仿宋"/>
          <w:b w:val="0"/>
          <w:bCs/>
          <w:color w:val="auto"/>
          <w:sz w:val="28"/>
          <w:szCs w:val="28"/>
          <w:highlight w:val="none"/>
          <w:lang w:val="en-US" w:eastAsia="zh-CN"/>
        </w:rPr>
      </w:pPr>
      <w:r>
        <w:rPr>
          <w:rFonts w:hint="default" w:ascii="仿宋_GB2312" w:eastAsia="仿宋_GB2312" w:cs="仿宋"/>
          <w:b w:val="0"/>
          <w:bCs/>
          <w:color w:val="auto"/>
          <w:sz w:val="28"/>
          <w:szCs w:val="28"/>
          <w:highlight w:val="none"/>
          <w:lang w:val="en-US" w:eastAsia="zh-CN"/>
        </w:rPr>
        <w:t>主动与患者及家属沟通，给患者讲解射波刀治疗的过程及疗效，叙述成功的案例，使患者了解更多射波刀知识，增强战胜疾</w:t>
      </w:r>
      <w:r>
        <w:rPr>
          <w:rFonts w:hint="eastAsia" w:ascii="仿宋_GB2312" w:eastAsia="仿宋_GB2312" w:cs="仿宋"/>
          <w:b w:val="0"/>
          <w:bCs/>
          <w:color w:val="auto"/>
          <w:sz w:val="28"/>
          <w:szCs w:val="28"/>
          <w:highlight w:val="none"/>
          <w:lang w:val="en-US" w:eastAsia="zh-CN"/>
        </w:rPr>
        <w:t>病的信心，缓解患者的紧张情绪；告知患者在治疗过程中保持平稳缓慢呼吸，避免憋气或者深呼吸，不要随意乱动，有利于患者做好在治疗过程中的配合工作，使治疗顺利进行，避免不必要的危害发生或者使治疗延误。不规律的呼吸会影响射波刀立体定向治疗系统精准性，当误差＞</w:t>
      </w:r>
      <w:r>
        <w:rPr>
          <w:rFonts w:hint="default" w:ascii="仿宋_GB2312" w:eastAsia="仿宋_GB2312" w:cs="仿宋"/>
          <w:b w:val="0"/>
          <w:bCs/>
          <w:color w:val="auto"/>
          <w:sz w:val="28"/>
          <w:szCs w:val="28"/>
          <w:highlight w:val="none"/>
          <w:lang w:val="en-US" w:eastAsia="zh-CN"/>
        </w:rPr>
        <w:t>1 mm</w:t>
      </w:r>
      <w:r>
        <w:rPr>
          <w:rFonts w:hint="eastAsia" w:ascii="仿宋_GB2312" w:eastAsia="仿宋_GB2312" w:cs="仿宋"/>
          <w:b w:val="0"/>
          <w:bCs/>
          <w:color w:val="auto"/>
          <w:sz w:val="28"/>
          <w:szCs w:val="28"/>
          <w:highlight w:val="none"/>
          <w:lang w:val="en-US" w:eastAsia="zh-CN"/>
        </w:rPr>
        <w:t>时，射波刀立体定向治疗系统会自动停止治疗。主要参考起草组实用临床护理学杂志《射波刀治疗非小细胞肺癌的护理》。</w:t>
      </w:r>
    </w:p>
    <w:p w14:paraId="6076158B">
      <w:pPr>
        <w:keepNext w:val="0"/>
        <w:keepLines w:val="0"/>
        <w:widowControl/>
        <w:suppressLineNumbers w:val="0"/>
        <w:ind w:firstLine="562" w:firstLineChars="200"/>
        <w:jc w:val="left"/>
        <w:rPr>
          <w:rFonts w:hint="default" w:ascii="仿宋_GB2312" w:eastAsia="仿宋_GB2312" w:cs="仿宋"/>
          <w:b/>
          <w:bCs w:val="0"/>
          <w:color w:val="auto"/>
          <w:sz w:val="28"/>
          <w:szCs w:val="28"/>
          <w:highlight w:val="none"/>
          <w:lang w:val="en-US" w:eastAsia="zh-CN"/>
        </w:rPr>
      </w:pPr>
      <w:r>
        <w:rPr>
          <w:rFonts w:hint="eastAsia" w:ascii="仿宋_GB2312" w:eastAsia="仿宋_GB2312" w:cs="仿宋"/>
          <w:b/>
          <w:bCs w:val="0"/>
          <w:color w:val="auto"/>
          <w:sz w:val="28"/>
          <w:szCs w:val="28"/>
          <w:highlight w:val="none"/>
          <w:lang w:val="en-US" w:eastAsia="zh-CN"/>
        </w:rPr>
        <w:t>3.金标植入</w:t>
      </w:r>
    </w:p>
    <w:p w14:paraId="28E45FC8">
      <w:pPr>
        <w:keepNext w:val="0"/>
        <w:keepLines w:val="0"/>
        <w:widowControl/>
        <w:suppressLineNumbers w:val="0"/>
        <w:ind w:firstLine="560" w:firstLineChars="200"/>
        <w:jc w:val="left"/>
      </w:pPr>
      <w:r>
        <w:rPr>
          <w:rFonts w:hint="default" w:ascii="仿宋_GB2312" w:eastAsia="仿宋_GB2312" w:cs="仿宋"/>
          <w:b w:val="0"/>
          <w:bCs/>
          <w:color w:val="auto"/>
          <w:sz w:val="28"/>
          <w:szCs w:val="28"/>
          <w:highlight w:val="none"/>
          <w:lang w:val="en-US" w:eastAsia="zh-CN"/>
        </w:rPr>
        <w:t>金标植入准备条款的依据在于确保穿刺操作的无菌安全、防范术中并发症，并从患者全身状况出发规避出血及突发风险。</w:t>
      </w:r>
    </w:p>
    <w:p w14:paraId="1833AD58">
      <w:pPr>
        <w:keepNext w:val="0"/>
        <w:keepLines w:val="0"/>
        <w:widowControl/>
        <w:suppressLineNumbers w:val="0"/>
        <w:ind w:firstLine="560" w:firstLineChars="200"/>
        <w:jc w:val="left"/>
        <w:rPr>
          <w:rFonts w:hint="default" w:ascii="仿宋_GB2312" w:eastAsia="仿宋_GB2312" w:cs="仿宋"/>
          <w:b w:val="0"/>
          <w:bCs/>
          <w:color w:val="auto"/>
          <w:sz w:val="28"/>
          <w:szCs w:val="28"/>
          <w:highlight w:val="none"/>
          <w:lang w:val="en-US" w:eastAsia="zh-CN"/>
        </w:rPr>
      </w:pPr>
      <w:r>
        <w:rPr>
          <w:rFonts w:hint="default" w:ascii="仿宋_GB2312" w:eastAsia="仿宋_GB2312" w:cs="仿宋"/>
          <w:b w:val="0"/>
          <w:bCs/>
          <w:color w:val="auto"/>
          <w:sz w:val="28"/>
          <w:szCs w:val="28"/>
          <w:highlight w:val="none"/>
          <w:lang w:val="en-US" w:eastAsia="zh-CN"/>
        </w:rPr>
        <w:t>5.3.1 用物准备：金标消毒灭菌的依据是无菌操作原则，由于金标需经皮穿刺永久植入人体组织，若灭菌不彻底可导致局部感染、脓肿形成甚至败血症；准备抢救物品及灭菌穿刺包的依据是介入操作急救设备配置规范及急救应急预案，因金标植入为有创操作，术中可能发生气胸、肺出血、血胸、迷走神经反射或过敏反应，抢救物品与穿刺包必须处于即刻可用状态，以保障应急处理能力。</w:t>
      </w:r>
    </w:p>
    <w:p w14:paraId="7F2FFECF">
      <w:pPr>
        <w:keepNext w:val="0"/>
        <w:keepLines w:val="0"/>
        <w:widowControl/>
        <w:suppressLineNumbers w:val="0"/>
        <w:ind w:firstLine="560" w:firstLineChars="200"/>
        <w:jc w:val="left"/>
        <w:rPr>
          <w:rFonts w:hint="default" w:ascii="仿宋_GB2312" w:eastAsia="仿宋_GB2312" w:cs="仿宋"/>
          <w:b w:val="0"/>
          <w:bCs/>
          <w:color w:val="auto"/>
          <w:sz w:val="28"/>
          <w:szCs w:val="28"/>
          <w:highlight w:val="none"/>
          <w:lang w:val="en-US" w:eastAsia="zh-CN"/>
        </w:rPr>
      </w:pPr>
      <w:r>
        <w:rPr>
          <w:rFonts w:hint="default" w:ascii="仿宋_GB2312" w:eastAsia="仿宋_GB2312" w:cs="仿宋"/>
          <w:b w:val="0"/>
          <w:bCs/>
          <w:color w:val="auto"/>
          <w:sz w:val="28"/>
          <w:szCs w:val="28"/>
          <w:highlight w:val="none"/>
          <w:lang w:val="en-US" w:eastAsia="zh-CN"/>
        </w:rPr>
        <w:t>5.3.2 患者准备：检测血液生化、出凝血四项的依据是穿刺操作禁忌证管理要求，金标植入需经皮穿刺肺组织或邻近组织，若患者存在凝血功能障碍（如血小板低下、凝血酶原时间延长），可导致穿刺道难以止血，引发大出血或血胸，检测结果用于筛选适宜穿刺的患者；了解慢性基础疾病及合并症的依据是围术期风险评估与管理要求，患者合并严重高血压、心脏病、糖尿病或呼吸功能不全时，穿刺及后续治疗过程中病情可能急剧变化，提前掌握这些情况有助于护理人员预判风险，并在病情变化时及时配合医生实施抢救。</w:t>
      </w:r>
    </w:p>
    <w:p w14:paraId="077C3DD7">
      <w:pPr>
        <w:keepNext w:val="0"/>
        <w:keepLines w:val="0"/>
        <w:widowControl/>
        <w:suppressLineNumbers w:val="0"/>
        <w:ind w:firstLine="560" w:firstLineChars="200"/>
        <w:jc w:val="left"/>
        <w:rPr>
          <w:rFonts w:hint="default" w:ascii="仿宋_GB2312" w:hAnsi="Calibri" w:eastAsia="仿宋_GB2312" w:cs="仿宋"/>
          <w:b w:val="0"/>
          <w:bCs/>
          <w:color w:val="auto"/>
          <w:kern w:val="2"/>
          <w:sz w:val="28"/>
          <w:szCs w:val="28"/>
          <w:highlight w:val="none"/>
          <w:lang w:val="en-US" w:eastAsia="zh-CN" w:bidi="ar-SA"/>
        </w:rPr>
      </w:pPr>
      <w:r>
        <w:rPr>
          <w:rFonts w:hint="default" w:ascii="仿宋_GB2312" w:eastAsia="仿宋_GB2312" w:cs="仿宋"/>
          <w:b w:val="0"/>
          <w:bCs/>
          <w:color w:val="auto"/>
          <w:sz w:val="28"/>
          <w:szCs w:val="28"/>
          <w:highlight w:val="none"/>
          <w:lang w:val="en-US" w:eastAsia="zh-CN"/>
        </w:rPr>
        <w:t>5.3.</w:t>
      </w:r>
      <w:r>
        <w:rPr>
          <w:rFonts w:hint="eastAsia" w:ascii="仿宋_GB2312" w:eastAsia="仿宋_GB2312" w:cs="仿宋"/>
          <w:b w:val="0"/>
          <w:bCs/>
          <w:color w:val="auto"/>
          <w:sz w:val="28"/>
          <w:szCs w:val="28"/>
          <w:highlight w:val="none"/>
          <w:lang w:val="en-US" w:eastAsia="zh-CN"/>
        </w:rPr>
        <w:t>3</w:t>
      </w:r>
      <w:r>
        <w:rPr>
          <w:rFonts w:hint="default" w:ascii="仿宋_GB2312" w:eastAsia="仿宋_GB2312" w:cs="仿宋"/>
          <w:b w:val="0"/>
          <w:bCs/>
          <w:color w:val="auto"/>
          <w:sz w:val="28"/>
          <w:szCs w:val="28"/>
          <w:highlight w:val="none"/>
          <w:lang w:val="en-US" w:eastAsia="zh-CN"/>
        </w:rPr>
        <w:t xml:space="preserve"> </w:t>
      </w:r>
      <w:r>
        <w:rPr>
          <w:rFonts w:hint="eastAsia" w:ascii="仿宋_GB2312" w:eastAsia="仿宋_GB2312" w:cs="仿宋"/>
          <w:b w:val="0"/>
          <w:bCs/>
          <w:color w:val="auto"/>
          <w:sz w:val="28"/>
          <w:szCs w:val="28"/>
          <w:highlight w:val="none"/>
          <w:lang w:val="en-US" w:eastAsia="zh-CN"/>
        </w:rPr>
        <w:t>穿刺配合：</w:t>
      </w:r>
      <w:r>
        <w:rPr>
          <w:rFonts w:hint="default" w:ascii="仿宋_GB2312" w:eastAsia="仿宋_GB2312" w:cs="仿宋"/>
          <w:b w:val="0"/>
          <w:bCs/>
          <w:color w:val="auto"/>
          <w:sz w:val="28"/>
          <w:szCs w:val="28"/>
          <w:highlight w:val="none"/>
          <w:lang w:val="en-US" w:eastAsia="zh-CN"/>
        </w:rPr>
        <w:t>C</w:t>
      </w:r>
      <w:r>
        <w:rPr>
          <w:rFonts w:hint="default" w:ascii="仿宋_GB2312" w:hAnsi="Calibri" w:eastAsia="仿宋_GB2312" w:cs="仿宋"/>
          <w:b w:val="0"/>
          <w:bCs/>
          <w:color w:val="auto"/>
          <w:kern w:val="2"/>
          <w:sz w:val="28"/>
          <w:szCs w:val="28"/>
          <w:highlight w:val="none"/>
          <w:lang w:val="en-US" w:eastAsia="zh-CN" w:bidi="ar-SA"/>
        </w:rPr>
        <w:t>T引导能够实时显示穿刺针与肿瘤、血管、胸膜及周围脏器的空间位置关系，是实现金标精准植入并规避重要结构损伤的关键技术手段；穿刺后即刻行CT检查是为了验证金标是否位于预定位置（通常要求金标与肿瘤保持稳定的相对位置），若位置偏差过大或金标移位，可当场调整或补充植入，这一流程依据介入放射学操作质量验证规范。</w:t>
      </w:r>
    </w:p>
    <w:p w14:paraId="4C0851DB">
      <w:pPr>
        <w:keepNext w:val="0"/>
        <w:keepLines w:val="0"/>
        <w:widowControl/>
        <w:suppressLineNumbers w:val="0"/>
        <w:ind w:firstLine="560" w:firstLineChars="200"/>
        <w:jc w:val="left"/>
        <w:rPr>
          <w:rFonts w:hint="default" w:ascii="仿宋_GB2312" w:hAnsi="Calibri" w:eastAsia="仿宋_GB2312" w:cs="仿宋"/>
          <w:b w:val="0"/>
          <w:bCs/>
          <w:color w:val="auto"/>
          <w:kern w:val="2"/>
          <w:sz w:val="28"/>
          <w:szCs w:val="28"/>
          <w:highlight w:val="none"/>
          <w:lang w:val="en-US" w:eastAsia="zh-CN" w:bidi="ar-SA"/>
        </w:rPr>
      </w:pPr>
      <w:r>
        <w:rPr>
          <w:rFonts w:hint="default" w:ascii="仿宋_GB2312" w:hAnsi="Calibri" w:eastAsia="仿宋_GB2312" w:cs="仿宋"/>
          <w:b w:val="0"/>
          <w:bCs/>
          <w:color w:val="auto"/>
          <w:kern w:val="2"/>
          <w:sz w:val="28"/>
          <w:szCs w:val="28"/>
          <w:highlight w:val="none"/>
          <w:lang w:val="en-US" w:eastAsia="zh-CN" w:bidi="ar-SA"/>
        </w:rPr>
        <w:t>5.3.</w:t>
      </w:r>
      <w:r>
        <w:rPr>
          <w:rFonts w:hint="eastAsia" w:ascii="仿宋_GB2312" w:hAnsi="Calibri" w:eastAsia="仿宋_GB2312" w:cs="仿宋"/>
          <w:b w:val="0"/>
          <w:bCs/>
          <w:color w:val="auto"/>
          <w:kern w:val="2"/>
          <w:sz w:val="28"/>
          <w:szCs w:val="28"/>
          <w:highlight w:val="none"/>
          <w:lang w:val="en-US" w:eastAsia="zh-CN" w:bidi="ar-SA"/>
        </w:rPr>
        <w:t>4</w:t>
      </w:r>
      <w:r>
        <w:rPr>
          <w:rFonts w:hint="default" w:ascii="仿宋_GB2312" w:hAnsi="Calibri" w:eastAsia="仿宋_GB2312" w:cs="仿宋"/>
          <w:b w:val="0"/>
          <w:bCs/>
          <w:color w:val="auto"/>
          <w:kern w:val="2"/>
          <w:sz w:val="28"/>
          <w:szCs w:val="28"/>
          <w:highlight w:val="none"/>
          <w:lang w:val="en-US" w:eastAsia="zh-CN" w:bidi="ar-SA"/>
        </w:rPr>
        <w:t xml:space="preserve"> 植入后处理</w:t>
      </w:r>
      <w:r>
        <w:rPr>
          <w:rFonts w:hint="eastAsia" w:ascii="仿宋_GB2312" w:hAnsi="Calibri" w:eastAsia="仿宋_GB2312" w:cs="仿宋"/>
          <w:b w:val="0"/>
          <w:bCs/>
          <w:color w:val="auto"/>
          <w:kern w:val="2"/>
          <w:sz w:val="28"/>
          <w:szCs w:val="28"/>
          <w:highlight w:val="none"/>
          <w:lang w:val="en-US" w:eastAsia="zh-CN" w:bidi="ar-SA"/>
        </w:rPr>
        <w:t>：</w:t>
      </w:r>
      <w:r>
        <w:rPr>
          <w:rFonts w:hint="default" w:ascii="仿宋_GB2312" w:hAnsi="Calibri" w:eastAsia="仿宋_GB2312" w:cs="仿宋"/>
          <w:b w:val="0"/>
          <w:bCs/>
          <w:color w:val="auto"/>
          <w:kern w:val="2"/>
          <w:sz w:val="28"/>
          <w:szCs w:val="28"/>
          <w:highlight w:val="none"/>
          <w:lang w:val="en-US" w:eastAsia="zh-CN" w:bidi="ar-SA"/>
        </w:rPr>
        <w:t>每小时一次连测6次生命体征是针对经皮肺穿刺术后患者的标准监护方案，早期发现气胸、出血、血胸或胸膜反应等急性并发症，因气胸多发生于术后1-4小时内，密集监测可确保及时发现并处理；观察穿刺点出血与渗出是评估穿刺道止血情况的直接指标；嘱患者避免剧烈活动是为了防止因活动导致金标移位或穿刺道再出血；等待5-7天再进行CT定位是因为金标植入后初期存在微动，待其与组织嵌顿稳定后再定位可确保治疗时的追踪精度，对于一次性治疗的患者可根据实际情况当日治疗，依据金标稳定性研究及临床操作经验。</w:t>
      </w:r>
      <w:r>
        <w:rPr>
          <w:rFonts w:hint="eastAsia" w:ascii="仿宋_GB2312" w:eastAsia="仿宋_GB2312" w:cs="仿宋"/>
          <w:b w:val="0"/>
          <w:bCs/>
          <w:color w:val="auto"/>
          <w:kern w:val="2"/>
          <w:sz w:val="28"/>
          <w:szCs w:val="28"/>
          <w:highlight w:val="none"/>
          <w:lang w:val="en-US" w:eastAsia="zh-CN" w:bidi="ar-SA"/>
        </w:rPr>
        <w:t>主要参考编制组前期发表</w:t>
      </w:r>
      <w:r>
        <w:rPr>
          <w:rFonts w:hint="default" w:ascii="仿宋_GB2312" w:hAnsi="Calibri" w:eastAsia="仿宋_GB2312" w:cs="仿宋"/>
          <w:b w:val="0"/>
          <w:bCs/>
          <w:color w:val="auto"/>
          <w:kern w:val="2"/>
          <w:sz w:val="28"/>
          <w:szCs w:val="28"/>
          <w:highlight w:val="none"/>
          <w:lang w:val="en-US" w:eastAsia="zh-CN" w:bidi="ar-SA"/>
        </w:rPr>
        <w:t>临床护理学杂志《射波刀治疗非小细胞肺癌的护理》</w:t>
      </w:r>
      <w:r>
        <w:rPr>
          <w:rFonts w:hint="eastAsia" w:ascii="仿宋_GB2312" w:eastAsia="仿宋_GB2312" w:cs="仿宋"/>
          <w:b w:val="0"/>
          <w:bCs/>
          <w:color w:val="auto"/>
          <w:kern w:val="2"/>
          <w:sz w:val="28"/>
          <w:szCs w:val="28"/>
          <w:highlight w:val="none"/>
          <w:lang w:val="en-US" w:eastAsia="zh-CN" w:bidi="ar-SA"/>
        </w:rPr>
        <w:t>，并结合相关临床实践经验总结制定。</w:t>
      </w:r>
    </w:p>
    <w:p w14:paraId="14442312">
      <w:pPr>
        <w:keepNext w:val="0"/>
        <w:keepLines w:val="0"/>
        <w:widowControl/>
        <w:suppressLineNumbers w:val="0"/>
        <w:jc w:val="center"/>
        <w:rPr>
          <w:rFonts w:hint="default" w:ascii="仿宋_GB2312" w:hAnsi="Calibri" w:eastAsia="仿宋_GB2312" w:cs="仿宋"/>
          <w:b w:val="0"/>
          <w:bCs/>
          <w:color w:val="auto"/>
          <w:kern w:val="2"/>
          <w:sz w:val="28"/>
          <w:szCs w:val="28"/>
          <w:highlight w:val="none"/>
          <w:lang w:val="en-US" w:eastAsia="zh-CN" w:bidi="ar-SA"/>
        </w:rPr>
      </w:pPr>
      <w:r>
        <w:drawing>
          <wp:inline distT="0" distB="0" distL="114300" distR="114300">
            <wp:extent cx="3511550" cy="1168400"/>
            <wp:effectExtent l="0" t="0" r="12700" b="1270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3511550" cy="1168400"/>
                    </a:xfrm>
                    <a:prstGeom prst="rect">
                      <a:avLst/>
                    </a:prstGeom>
                    <a:noFill/>
                    <a:ln>
                      <a:noFill/>
                    </a:ln>
                  </pic:spPr>
                </pic:pic>
              </a:graphicData>
            </a:graphic>
          </wp:inline>
        </w:drawing>
      </w:r>
    </w:p>
    <w:p w14:paraId="5532386A">
      <w:pPr>
        <w:keepNext w:val="0"/>
        <w:keepLines w:val="0"/>
        <w:widowControl/>
        <w:suppressLineNumbers w:val="0"/>
        <w:jc w:val="center"/>
      </w:pPr>
      <w:r>
        <w:drawing>
          <wp:inline distT="0" distB="0" distL="114300" distR="114300">
            <wp:extent cx="3671570" cy="8940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rcRect b="6631"/>
                    <a:stretch>
                      <a:fillRect/>
                    </a:stretch>
                  </pic:blipFill>
                  <pic:spPr>
                    <a:xfrm>
                      <a:off x="0" y="0"/>
                      <a:ext cx="3671570" cy="894080"/>
                    </a:xfrm>
                    <a:prstGeom prst="rect">
                      <a:avLst/>
                    </a:prstGeom>
                    <a:noFill/>
                    <a:ln>
                      <a:noFill/>
                    </a:ln>
                  </pic:spPr>
                </pic:pic>
              </a:graphicData>
            </a:graphic>
          </wp:inline>
        </w:drawing>
      </w:r>
    </w:p>
    <w:p w14:paraId="3AE33B36">
      <w:pPr>
        <w:keepNext w:val="0"/>
        <w:keepLines w:val="0"/>
        <w:widowControl/>
        <w:suppressLineNumbers w:val="0"/>
        <w:jc w:val="center"/>
      </w:pPr>
      <w:r>
        <w:drawing>
          <wp:inline distT="0" distB="0" distL="114300" distR="114300">
            <wp:extent cx="3670935" cy="362585"/>
            <wp:effectExtent l="0" t="0" r="5715" b="184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rcRect t="15084"/>
                    <a:stretch>
                      <a:fillRect/>
                    </a:stretch>
                  </pic:blipFill>
                  <pic:spPr>
                    <a:xfrm>
                      <a:off x="0" y="0"/>
                      <a:ext cx="3670935" cy="362585"/>
                    </a:xfrm>
                    <a:prstGeom prst="rect">
                      <a:avLst/>
                    </a:prstGeom>
                    <a:noFill/>
                    <a:ln>
                      <a:noFill/>
                    </a:ln>
                  </pic:spPr>
                </pic:pic>
              </a:graphicData>
            </a:graphic>
          </wp:inline>
        </w:drawing>
      </w:r>
    </w:p>
    <w:p w14:paraId="2ED656F6">
      <w:pPr>
        <w:keepNext w:val="0"/>
        <w:keepLines w:val="0"/>
        <w:widowControl/>
        <w:suppressLineNumbers w:val="0"/>
        <w:jc w:val="center"/>
        <w:rPr>
          <w:rFonts w:hint="default"/>
          <w:lang w:val="en-US" w:eastAsia="zh-CN"/>
        </w:rPr>
      </w:pPr>
      <w:r>
        <w:rPr>
          <w:rFonts w:hint="default"/>
          <w:lang w:val="en-US" w:eastAsia="zh-CN"/>
        </w:rPr>
        <w:t>临床护理学杂志《射波刀治疗非小细胞肺癌的护理》</w:t>
      </w:r>
    </w:p>
    <w:p w14:paraId="189520B4">
      <w:pPr>
        <w:keepNext w:val="0"/>
        <w:keepLines w:val="0"/>
        <w:widowControl/>
        <w:suppressLineNumbers w:val="0"/>
        <w:ind w:firstLine="562" w:firstLineChars="200"/>
        <w:jc w:val="left"/>
        <w:rPr>
          <w:rFonts w:hint="default" w:ascii="仿宋_GB2312" w:eastAsia="仿宋_GB2312" w:cs="仿宋"/>
          <w:b/>
          <w:bCs w:val="0"/>
          <w:color w:val="auto"/>
          <w:sz w:val="28"/>
          <w:szCs w:val="28"/>
          <w:highlight w:val="none"/>
          <w:lang w:val="en-US" w:eastAsia="zh-CN"/>
        </w:rPr>
      </w:pPr>
      <w:r>
        <w:rPr>
          <w:rFonts w:hint="eastAsia" w:ascii="仿宋_GB2312" w:eastAsia="仿宋_GB2312" w:cs="仿宋"/>
          <w:b/>
          <w:bCs w:val="0"/>
          <w:color w:val="auto"/>
          <w:sz w:val="28"/>
          <w:szCs w:val="28"/>
          <w:highlight w:val="none"/>
          <w:lang w:val="en-US" w:eastAsia="zh-CN"/>
        </w:rPr>
        <w:t>4.体位固定</w:t>
      </w:r>
    </w:p>
    <w:p w14:paraId="07C06BB7">
      <w:pPr>
        <w:keepNext w:val="0"/>
        <w:keepLines w:val="0"/>
        <w:widowControl/>
        <w:suppressLineNumbers w:val="0"/>
        <w:ind w:firstLine="560" w:firstLineChars="200"/>
        <w:jc w:val="left"/>
        <w:rPr>
          <w:rFonts w:hint="default" w:ascii="仿宋_GB2312" w:hAnsi="Calibri" w:eastAsia="仿宋_GB2312" w:cs="仿宋"/>
          <w:b w:val="0"/>
          <w:bCs/>
          <w:color w:val="auto"/>
          <w:kern w:val="2"/>
          <w:sz w:val="28"/>
          <w:szCs w:val="28"/>
          <w:highlight w:val="none"/>
          <w:lang w:val="en-US" w:eastAsia="zh-CN" w:bidi="ar-SA"/>
        </w:rPr>
      </w:pPr>
      <w:r>
        <w:rPr>
          <w:rFonts w:hint="default" w:ascii="仿宋_GB2312" w:hAnsi="Calibri" w:eastAsia="仿宋_GB2312" w:cs="仿宋"/>
          <w:b w:val="0"/>
          <w:bCs/>
          <w:color w:val="auto"/>
          <w:kern w:val="2"/>
          <w:sz w:val="28"/>
          <w:szCs w:val="28"/>
          <w:highlight w:val="none"/>
          <w:lang w:val="en-US" w:eastAsia="zh-CN" w:bidi="ar-SA"/>
        </w:rPr>
        <w:t>仰卧位结合真空袋固定是实现体位重复性的标准方法，真空袋能够根据患者体廓塑形并保持固定形状，确保CT定位时与射波刀治疗时的体位一致，这是立体定向放射外科实现亚毫米级精准照射的前提；体表定位线用于辅助摆位，保持其清晰可辨是保证每日治疗摆位准确的基础</w:t>
      </w:r>
      <w:r>
        <w:rPr>
          <w:rFonts w:hint="eastAsia" w:ascii="仿宋_GB2312" w:eastAsia="仿宋_GB2312" w:cs="仿宋"/>
          <w:b w:val="0"/>
          <w:bCs/>
          <w:color w:val="auto"/>
          <w:kern w:val="2"/>
          <w:sz w:val="28"/>
          <w:szCs w:val="28"/>
          <w:highlight w:val="none"/>
          <w:lang w:val="en-US" w:eastAsia="zh-CN" w:bidi="ar-SA"/>
        </w:rPr>
        <w:t>。</w:t>
      </w:r>
    </w:p>
    <w:p w14:paraId="1B326FE5">
      <w:pPr>
        <w:keepNext w:val="0"/>
        <w:keepLines w:val="0"/>
        <w:widowControl/>
        <w:suppressLineNumbers w:val="0"/>
        <w:ind w:firstLine="560" w:firstLineChars="200"/>
        <w:jc w:val="left"/>
      </w:pPr>
      <w:r>
        <w:rPr>
          <w:rFonts w:hint="default" w:ascii="仿宋_GB2312" w:hAnsi="Calibri" w:eastAsia="仿宋_GB2312" w:cs="仿宋"/>
          <w:b w:val="0"/>
          <w:bCs/>
          <w:color w:val="auto"/>
          <w:kern w:val="2"/>
          <w:sz w:val="28"/>
          <w:szCs w:val="28"/>
          <w:highlight w:val="none"/>
          <w:lang w:val="en-US" w:eastAsia="zh-CN" w:bidi="ar-SA"/>
        </w:rPr>
        <w:t>影像定位的依据在于：CT或MRI模拟定位扫描用于获取三维图像数据以制定放疗计划，扫描层厚、范围及体位需与后续治疗完全匹配；禁食或排空肠道是为了减少胃肠内容物及蠕动对靶区图像质量的影响，避免因胃肠气体或粪便导致靶区勾画误差，尤其针对腹部或胸腹交界部位的肿瘤，依据放疗模拟定位操作规范。</w:t>
      </w:r>
    </w:p>
    <w:p w14:paraId="1782C6D7">
      <w:pPr>
        <w:pStyle w:val="30"/>
        <w:spacing w:line="520" w:lineRule="exact"/>
        <w:ind w:firstLine="0" w:firstLineChars="0"/>
        <w:rPr>
          <w:rFonts w:hint="eastAsia" w:ascii="仿宋_GB2312" w:eastAsia="仿宋_GB2312" w:cs="仿宋"/>
          <w:b/>
          <w:bCs/>
          <w:color w:val="auto"/>
          <w:sz w:val="28"/>
          <w:szCs w:val="28"/>
          <w:lang w:val="en-US" w:eastAsia="zh-CN"/>
        </w:rPr>
      </w:pPr>
      <w:r>
        <w:rPr>
          <w:rFonts w:hint="eastAsia" w:ascii="仿宋_GB2312" w:eastAsia="仿宋_GB2312" w:cs="仿宋"/>
          <w:b/>
          <w:bCs/>
          <w:color w:val="auto"/>
          <w:sz w:val="28"/>
          <w:szCs w:val="28"/>
          <w:lang w:eastAsia="zh-CN"/>
        </w:rPr>
        <w:t>（四）</w:t>
      </w:r>
      <w:bookmarkStart w:id="4" w:name="_Toc224888452"/>
      <w:r>
        <w:rPr>
          <w:rFonts w:hint="eastAsia" w:ascii="仿宋_GB2312" w:eastAsia="仿宋_GB2312" w:cs="仿宋"/>
          <w:b/>
          <w:bCs/>
          <w:color w:val="auto"/>
          <w:sz w:val="28"/>
          <w:szCs w:val="28"/>
          <w:lang w:eastAsia="zh-CN"/>
        </w:rPr>
        <w:t>术</w:t>
      </w:r>
      <w:r>
        <w:rPr>
          <w:rFonts w:hint="eastAsia" w:ascii="仿宋_GB2312" w:eastAsia="仿宋_GB2312" w:cs="仿宋"/>
          <w:b/>
          <w:bCs/>
          <w:color w:val="auto"/>
          <w:sz w:val="28"/>
          <w:szCs w:val="28"/>
          <w:lang w:val="en-US" w:eastAsia="zh-CN"/>
        </w:rPr>
        <w:t>中</w:t>
      </w:r>
      <w:r>
        <w:rPr>
          <w:rFonts w:hint="eastAsia" w:ascii="仿宋_GB2312" w:eastAsia="仿宋_GB2312" w:cs="仿宋"/>
          <w:b/>
          <w:bCs/>
          <w:color w:val="auto"/>
          <w:sz w:val="28"/>
          <w:szCs w:val="28"/>
          <w:lang w:eastAsia="zh-CN"/>
        </w:rPr>
        <w:t>护理</w:t>
      </w:r>
      <w:bookmarkEnd w:id="4"/>
    </w:p>
    <w:p w14:paraId="559920BE">
      <w:pPr>
        <w:keepNext w:val="0"/>
        <w:keepLines w:val="0"/>
        <w:widowControl/>
        <w:suppressLineNumbers w:val="0"/>
        <w:ind w:firstLine="560" w:firstLineChars="200"/>
        <w:jc w:val="left"/>
        <w:rPr>
          <w:rFonts w:hint="default" w:ascii="仿宋_GB2312" w:hAnsi="Calibri" w:eastAsia="仿宋_GB2312" w:cs="仿宋"/>
          <w:b w:val="0"/>
          <w:bCs/>
          <w:color w:val="auto"/>
          <w:kern w:val="2"/>
          <w:sz w:val="28"/>
          <w:szCs w:val="28"/>
          <w:highlight w:val="none"/>
          <w:lang w:val="en-US" w:eastAsia="zh-CN" w:bidi="ar-SA"/>
        </w:rPr>
      </w:pPr>
      <w:r>
        <w:rPr>
          <w:rFonts w:hint="default" w:ascii="仿宋_GB2312" w:hAnsi="Calibri" w:eastAsia="仿宋_GB2312" w:cs="仿宋"/>
          <w:b w:val="0"/>
          <w:bCs/>
          <w:color w:val="auto"/>
          <w:kern w:val="2"/>
          <w:sz w:val="28"/>
          <w:szCs w:val="28"/>
          <w:highlight w:val="none"/>
          <w:lang w:val="en-US" w:eastAsia="zh-CN" w:bidi="ar-SA"/>
        </w:rPr>
        <w:t>病情观察的核心依据是射波刀的同步呼吸追踪技术原理。该技术通过持续追踪金标或肺部结构的运动轨迹，建立呼吸模型并引导机器人手臂同步运动，若患者咳嗽、身体移动或呼吸节律突变，会直接破坏金标与肿瘤的运动相关性，导致照射靶区偏移，造成肿瘤脱靶或正常组织损伤。要求患者保持平稳缓慢呼吸、避免憋气，是因为该技术依赖规律且可预测的呼吸模式，憋气或深呼吸会打破追踪模型。通过音视频系统持续监测生命体征与舒适度，是由于治疗时护理人员需在控制室远程操作，无法直接接触患者，持续语言沟通可及时识别并安抚患者不适。当出现剧烈咳嗽、呼吸困难或恐慌时，立即安抚并暂停治疗，是依据放射治疗安全操作规范，在患者无法配合或出现危急状况时，优先保障患者安全，待稳定后再评估是否继续治疗。</w:t>
      </w:r>
    </w:p>
    <w:p w14:paraId="086525B7">
      <w:pPr>
        <w:keepNext w:val="0"/>
        <w:keepLines w:val="0"/>
        <w:widowControl/>
        <w:suppressLineNumbers w:val="0"/>
        <w:ind w:firstLine="560" w:firstLineChars="200"/>
        <w:jc w:val="left"/>
        <w:rPr>
          <w:rFonts w:hint="default" w:ascii="仿宋_GB2312" w:hAnsi="Calibri" w:eastAsia="仿宋_GB2312" w:cs="仿宋"/>
          <w:b w:val="0"/>
          <w:bCs/>
          <w:color w:val="auto"/>
          <w:kern w:val="2"/>
          <w:sz w:val="28"/>
          <w:szCs w:val="28"/>
          <w:highlight w:val="none"/>
          <w:lang w:val="en-US" w:eastAsia="zh-CN" w:bidi="ar-SA"/>
        </w:rPr>
      </w:pPr>
      <w:r>
        <w:rPr>
          <w:rFonts w:hint="default" w:ascii="仿宋_GB2312" w:hAnsi="Calibri" w:eastAsia="仿宋_GB2312" w:cs="仿宋"/>
          <w:b w:val="0"/>
          <w:bCs/>
          <w:color w:val="auto"/>
          <w:kern w:val="2"/>
          <w:sz w:val="28"/>
          <w:szCs w:val="28"/>
          <w:highlight w:val="none"/>
          <w:lang w:val="en-US" w:eastAsia="zh-CN" w:bidi="ar-SA"/>
        </w:rPr>
        <w:t>应急准备的依据在于射波刀治疗室属于辐射控制区，治疗过程中加速器出束，任何人员不得随意进入，但患者可能突发心跳骤停、严重呼吸困难、气胸加重或大出血等危急情况，需立即抢救。因此，护理人员必须熟悉治疗室环境、紧急进入流程及设备中断方法，确保在紧急情况下能安全、迅速地进入治疗室实施救援，同时避免辐射暴露风险。这一要求依据放射治疗场所应急管理规范及医疗机构急救应急预案，强调应急流程的熟悉度与响应能力是保障患者生命安全的关键。</w:t>
      </w:r>
    </w:p>
    <w:p w14:paraId="62D23805">
      <w:pPr>
        <w:pStyle w:val="30"/>
        <w:numPr>
          <w:ilvl w:val="0"/>
          <w:numId w:val="0"/>
        </w:numPr>
        <w:spacing w:line="520" w:lineRule="exact"/>
        <w:ind w:left="0" w:leftChars="0" w:firstLine="0" w:firstLineChars="0"/>
        <w:rPr>
          <w:rFonts w:hint="eastAsia" w:ascii="仿宋_GB2312" w:eastAsia="仿宋_GB2312" w:cs="仿宋"/>
          <w:b/>
          <w:bCs/>
          <w:color w:val="auto"/>
          <w:sz w:val="28"/>
          <w:szCs w:val="28"/>
          <w:lang w:eastAsia="zh-CN"/>
        </w:rPr>
      </w:pPr>
      <w:r>
        <w:rPr>
          <w:rFonts w:hint="eastAsia" w:ascii="仿宋_GB2312" w:hAnsi="Calibri" w:eastAsia="仿宋_GB2312" w:cs="仿宋"/>
          <w:b/>
          <w:bCs/>
          <w:color w:val="auto"/>
          <w:sz w:val="28"/>
          <w:szCs w:val="28"/>
          <w:lang w:val="en-US" w:eastAsia="zh-CN" w:bidi="ar-SA"/>
        </w:rPr>
        <w:t>（四）</w:t>
      </w:r>
      <w:r>
        <w:rPr>
          <w:rFonts w:hint="eastAsia" w:ascii="仿宋_GB2312" w:eastAsia="仿宋_GB2312" w:cs="仿宋"/>
          <w:b/>
          <w:bCs/>
          <w:color w:val="auto"/>
          <w:sz w:val="28"/>
          <w:szCs w:val="28"/>
          <w:lang w:eastAsia="zh-CN"/>
        </w:rPr>
        <w:t>术</w:t>
      </w:r>
      <w:r>
        <w:rPr>
          <w:rFonts w:hint="eastAsia" w:ascii="仿宋_GB2312" w:eastAsia="仿宋_GB2312" w:cs="仿宋"/>
          <w:b/>
          <w:bCs/>
          <w:color w:val="auto"/>
          <w:sz w:val="28"/>
          <w:szCs w:val="28"/>
          <w:lang w:val="en-US" w:eastAsia="zh-CN"/>
        </w:rPr>
        <w:t>后</w:t>
      </w:r>
      <w:r>
        <w:rPr>
          <w:rFonts w:hint="eastAsia" w:ascii="仿宋_GB2312" w:eastAsia="仿宋_GB2312" w:cs="仿宋"/>
          <w:b/>
          <w:bCs/>
          <w:color w:val="auto"/>
          <w:sz w:val="28"/>
          <w:szCs w:val="28"/>
          <w:lang w:eastAsia="zh-CN"/>
        </w:rPr>
        <w:t>护理</w:t>
      </w:r>
    </w:p>
    <w:p w14:paraId="5359265C">
      <w:pPr>
        <w:pStyle w:val="30"/>
        <w:numPr>
          <w:ilvl w:val="0"/>
          <w:numId w:val="0"/>
        </w:numPr>
        <w:spacing w:line="520" w:lineRule="exact"/>
        <w:ind w:left="0" w:leftChars="0" w:firstLine="560" w:firstLineChars="200"/>
        <w:rPr>
          <w:rFonts w:hint="default" w:ascii="仿宋_GB2312" w:eastAsia="仿宋_GB2312" w:cs="仿宋"/>
          <w:b w:val="0"/>
          <w:bCs/>
          <w:color w:val="auto"/>
          <w:sz w:val="28"/>
          <w:szCs w:val="28"/>
          <w:highlight w:val="none"/>
          <w:lang w:val="en-US" w:eastAsia="zh-CN"/>
        </w:rPr>
      </w:pPr>
      <w:r>
        <w:rPr>
          <w:rFonts w:hint="eastAsia" w:ascii="仿宋_GB2312" w:eastAsia="仿宋_GB2312" w:cs="仿宋"/>
          <w:b w:val="0"/>
          <w:bCs/>
          <w:color w:val="auto"/>
          <w:sz w:val="28"/>
          <w:szCs w:val="28"/>
          <w:highlight w:val="none"/>
          <w:lang w:val="en-US" w:eastAsia="zh-CN"/>
        </w:rPr>
        <w:t>主要考虑到保障患者治疗后安全离床、预防延迟性不良反应，并对接受镇静/全麻患者实施针对性复苏监护，确保生命体征平稳。</w:t>
      </w:r>
    </w:p>
    <w:p w14:paraId="4C927CB4">
      <w:pPr>
        <w:keepNext w:val="0"/>
        <w:keepLines w:val="0"/>
        <w:widowControl/>
        <w:suppressLineNumbers w:val="0"/>
        <w:ind w:firstLine="560" w:firstLineChars="200"/>
        <w:jc w:val="left"/>
        <w:rPr>
          <w:rFonts w:hint="default" w:ascii="仿宋_GB2312" w:hAnsi="Calibri" w:eastAsia="仿宋_GB2312" w:cs="仿宋"/>
          <w:b w:val="0"/>
          <w:bCs/>
          <w:color w:val="auto"/>
          <w:kern w:val="2"/>
          <w:sz w:val="28"/>
          <w:szCs w:val="28"/>
          <w:highlight w:val="none"/>
          <w:lang w:val="en-US" w:eastAsia="zh-CN" w:bidi="ar-SA"/>
        </w:rPr>
      </w:pPr>
      <w:r>
        <w:rPr>
          <w:rFonts w:hint="default" w:ascii="仿宋_GB2312" w:hAnsi="Calibri" w:eastAsia="仿宋_GB2312" w:cs="仿宋"/>
          <w:b w:val="0"/>
          <w:bCs/>
          <w:color w:val="auto"/>
          <w:kern w:val="2"/>
          <w:sz w:val="28"/>
          <w:szCs w:val="28"/>
          <w:highlight w:val="none"/>
          <w:lang w:val="en-US" w:eastAsia="zh-CN" w:bidi="ar-SA"/>
        </w:rPr>
        <w:t>射波刀治疗过程中患者需长时间保持固定体位（通常30~90分钟），突然改变体位易引发体位性低血压，导致头晕甚至跌倒；同时，部分患者因治疗过程中紧张、呼吸配合疲劳或肿瘤坏死物质释放，可能出现乏力、恶心等不适。协助离床并观察可有效预防跌倒事件。</w:t>
      </w:r>
      <w:r>
        <w:rPr>
          <w:rFonts w:hint="eastAsia" w:ascii="仿宋_GB2312" w:eastAsia="仿宋_GB2312" w:cs="仿宋"/>
          <w:b w:val="0"/>
          <w:bCs/>
          <w:color w:val="auto"/>
          <w:kern w:val="2"/>
          <w:sz w:val="28"/>
          <w:szCs w:val="28"/>
          <w:highlight w:val="none"/>
          <w:lang w:val="en-US" w:eastAsia="zh-CN" w:bidi="ar-SA"/>
        </w:rPr>
        <w:t>“</w:t>
      </w:r>
      <w:r>
        <w:rPr>
          <w:rFonts w:hint="default" w:ascii="仿宋_GB2312" w:hAnsi="Calibri" w:eastAsia="仿宋_GB2312" w:cs="仿宋"/>
          <w:b w:val="0"/>
          <w:bCs/>
          <w:color w:val="auto"/>
          <w:kern w:val="2"/>
          <w:sz w:val="28"/>
          <w:szCs w:val="28"/>
          <w:highlight w:val="none"/>
          <w:lang w:val="en-US" w:eastAsia="zh-CN" w:bidi="ar-SA"/>
        </w:rPr>
        <w:t>嘱患者多饮水</w:t>
      </w:r>
      <w:r>
        <w:rPr>
          <w:rFonts w:hint="eastAsia" w:ascii="仿宋_GB2312" w:eastAsia="仿宋_GB2312" w:cs="仿宋"/>
          <w:b w:val="0"/>
          <w:bCs/>
          <w:color w:val="auto"/>
          <w:kern w:val="2"/>
          <w:sz w:val="28"/>
          <w:szCs w:val="28"/>
          <w:highlight w:val="none"/>
          <w:lang w:val="en-US" w:eastAsia="zh-CN" w:bidi="ar-SA"/>
        </w:rPr>
        <w:t>”</w:t>
      </w:r>
      <w:r>
        <w:rPr>
          <w:rFonts w:hint="default" w:ascii="仿宋_GB2312" w:hAnsi="Calibri" w:eastAsia="仿宋_GB2312" w:cs="仿宋"/>
          <w:b w:val="0"/>
          <w:bCs/>
          <w:color w:val="auto"/>
          <w:kern w:val="2"/>
          <w:sz w:val="28"/>
          <w:szCs w:val="28"/>
          <w:highlight w:val="none"/>
          <w:lang w:val="en-US" w:eastAsia="zh-CN" w:bidi="ar-SA"/>
        </w:rPr>
        <w:t>是为了促进放射性代谢产物的排出，加速体内因射线作用产生的自由基及肿瘤坏死物质经肾脏排泄，减轻全身反应，依据放射治疗后常规护理指导。</w:t>
      </w:r>
    </w:p>
    <w:p w14:paraId="2F36B1A7">
      <w:pPr>
        <w:keepNext w:val="0"/>
        <w:keepLines w:val="0"/>
        <w:widowControl/>
        <w:suppressLineNumbers w:val="0"/>
        <w:ind w:firstLine="560" w:firstLineChars="200"/>
        <w:jc w:val="left"/>
        <w:rPr>
          <w:rFonts w:hint="default" w:ascii="仿宋_GB2312" w:hAnsi="Calibri" w:eastAsia="仿宋_GB2312" w:cs="仿宋"/>
          <w:b w:val="0"/>
          <w:bCs/>
          <w:color w:val="auto"/>
          <w:kern w:val="2"/>
          <w:sz w:val="28"/>
          <w:szCs w:val="28"/>
          <w:highlight w:val="none"/>
          <w:lang w:val="en-US" w:eastAsia="zh-CN" w:bidi="ar-SA"/>
        </w:rPr>
      </w:pPr>
      <w:r>
        <w:rPr>
          <w:rFonts w:hint="default" w:ascii="仿宋_GB2312" w:hAnsi="Calibri" w:eastAsia="仿宋_GB2312" w:cs="仿宋"/>
          <w:b w:val="0"/>
          <w:bCs/>
          <w:color w:val="auto"/>
          <w:kern w:val="2"/>
          <w:sz w:val="28"/>
          <w:szCs w:val="28"/>
          <w:highlight w:val="none"/>
          <w:lang w:val="en-US" w:eastAsia="zh-CN" w:bidi="ar-SA"/>
        </w:rPr>
        <w:t>部分无法配合体位固定或有幽闭恐惧症的患者，需在镇静或全麻状态下完成治疗。麻醉药物残留可导致呼吸抑制、气道梗阻、意识恢复延迟或循环波动等风险。因此，必须按麻醉复苏护理常规进行监护，包括监测意识状态、血氧饱和度、心率、血压及气道通畅度，直至患者完全清醒、生命体征平稳、定向力恢复后方可返回病房，这一要求依据麻醉后恢复室护理规范及围术期麻醉管理指南。</w:t>
      </w:r>
    </w:p>
    <w:p w14:paraId="1C478AA3">
      <w:pPr>
        <w:keepNext w:val="0"/>
        <w:keepLines w:val="0"/>
        <w:widowControl/>
        <w:suppressLineNumbers w:val="0"/>
        <w:ind w:firstLine="562" w:firstLineChars="200"/>
        <w:jc w:val="left"/>
        <w:rPr>
          <w:rFonts w:hint="default" w:ascii="仿宋_GB2312" w:hAnsi="Calibri" w:eastAsia="仿宋_GB2312" w:cs="仿宋"/>
          <w:b/>
          <w:bCs w:val="0"/>
          <w:color w:val="auto"/>
          <w:kern w:val="2"/>
          <w:sz w:val="28"/>
          <w:szCs w:val="28"/>
          <w:highlight w:val="none"/>
          <w:lang w:val="en-US" w:eastAsia="zh-CN" w:bidi="ar-SA"/>
        </w:rPr>
      </w:pPr>
      <w:r>
        <w:rPr>
          <w:rFonts w:hint="eastAsia" w:ascii="仿宋_GB2312" w:hAnsi="Calibri" w:eastAsia="仿宋_GB2312" w:cs="仿宋"/>
          <w:b/>
          <w:bCs w:val="0"/>
          <w:color w:val="auto"/>
          <w:kern w:val="2"/>
          <w:sz w:val="28"/>
          <w:szCs w:val="28"/>
          <w:highlight w:val="none"/>
          <w:lang w:val="en-US" w:eastAsia="zh-CN" w:bidi="ar-SA"/>
        </w:rPr>
        <w:t>（五）</w:t>
      </w:r>
      <w:r>
        <w:rPr>
          <w:rFonts w:hint="default" w:ascii="仿宋_GB2312" w:hAnsi="Calibri" w:eastAsia="仿宋_GB2312" w:cs="仿宋"/>
          <w:b/>
          <w:bCs w:val="0"/>
          <w:color w:val="auto"/>
          <w:kern w:val="2"/>
          <w:sz w:val="28"/>
          <w:szCs w:val="28"/>
          <w:highlight w:val="none"/>
          <w:lang w:val="en-US" w:eastAsia="zh-CN" w:bidi="ar-SA"/>
        </w:rPr>
        <w:t>常见并发症预防及处理</w:t>
      </w:r>
    </w:p>
    <w:p w14:paraId="72E629F7">
      <w:pPr>
        <w:keepNext w:val="0"/>
        <w:keepLines w:val="0"/>
        <w:widowControl/>
        <w:suppressLineNumbers w:val="0"/>
        <w:ind w:firstLine="560" w:firstLineChars="200"/>
        <w:jc w:val="left"/>
        <w:rPr>
          <w:rFonts w:hint="default" w:ascii="仿宋_GB2312" w:hAnsi="Calibri" w:eastAsia="仿宋_GB2312" w:cs="仿宋"/>
          <w:b w:val="0"/>
          <w:bCs/>
          <w:color w:val="auto"/>
          <w:kern w:val="2"/>
          <w:sz w:val="28"/>
          <w:szCs w:val="28"/>
          <w:highlight w:val="none"/>
          <w:lang w:val="en-US" w:eastAsia="zh-CN" w:bidi="ar-SA"/>
        </w:rPr>
      </w:pPr>
      <w:r>
        <w:rPr>
          <w:rFonts w:hint="default" w:ascii="仿宋_GB2312" w:hAnsi="Calibri" w:eastAsia="仿宋_GB2312" w:cs="仿宋"/>
          <w:b w:val="0"/>
          <w:bCs/>
          <w:color w:val="auto"/>
          <w:kern w:val="2"/>
          <w:sz w:val="28"/>
          <w:szCs w:val="28"/>
          <w:highlight w:val="none"/>
          <w:lang w:val="en-US" w:eastAsia="zh-CN" w:bidi="ar-SA"/>
        </w:rPr>
        <w:t>射波刀治疗后的症状护理</w:t>
      </w:r>
      <w:r>
        <w:rPr>
          <w:rFonts w:hint="eastAsia" w:ascii="仿宋_GB2312" w:eastAsia="仿宋_GB2312" w:cs="仿宋"/>
          <w:b w:val="0"/>
          <w:bCs/>
          <w:color w:val="auto"/>
          <w:sz w:val="28"/>
          <w:szCs w:val="28"/>
          <w:highlight w:val="none"/>
          <w:lang w:val="en-US" w:eastAsia="zh-CN"/>
        </w:rPr>
        <w:t>主要参考起草组实用临床护理学杂志《射波刀治疗非小细胞肺癌的护理》。</w:t>
      </w:r>
    </w:p>
    <w:p w14:paraId="0BE950EE">
      <w:pPr>
        <w:keepNext w:val="0"/>
        <w:keepLines w:val="0"/>
        <w:widowControl/>
        <w:suppressLineNumbers w:val="0"/>
        <w:jc w:val="center"/>
      </w:pPr>
      <w:r>
        <w:drawing>
          <wp:inline distT="0" distB="0" distL="114300" distR="114300">
            <wp:extent cx="2240280" cy="2677160"/>
            <wp:effectExtent l="0" t="0" r="762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2240280" cy="267716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734820" cy="2877185"/>
            <wp:effectExtent l="0" t="0" r="17780"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1734820" cy="2877185"/>
                    </a:xfrm>
                    <a:prstGeom prst="rect">
                      <a:avLst/>
                    </a:prstGeom>
                    <a:noFill/>
                    <a:ln>
                      <a:noFill/>
                    </a:ln>
                  </pic:spPr>
                </pic:pic>
              </a:graphicData>
            </a:graphic>
          </wp:inline>
        </w:drawing>
      </w:r>
    </w:p>
    <w:p w14:paraId="57EB7BED">
      <w:pPr>
        <w:keepNext w:val="0"/>
        <w:keepLines w:val="0"/>
        <w:widowControl/>
        <w:suppressLineNumbers w:val="0"/>
        <w:jc w:val="center"/>
        <w:rPr>
          <w:rFonts w:hint="default"/>
          <w:lang w:val="en-US" w:eastAsia="zh-CN"/>
        </w:rPr>
      </w:pPr>
      <w:r>
        <w:rPr>
          <w:rFonts w:hint="eastAsia" w:ascii="仿宋_GB2312" w:eastAsia="仿宋_GB2312" w:cs="仿宋"/>
          <w:b w:val="0"/>
          <w:bCs/>
          <w:color w:val="auto"/>
          <w:sz w:val="28"/>
          <w:szCs w:val="28"/>
          <w:highlight w:val="none"/>
          <w:lang w:val="en-US" w:eastAsia="zh-CN"/>
        </w:rPr>
        <w:t>临床护理学杂志《射波刀治疗非小细胞肺癌的护理》</w:t>
      </w:r>
    </w:p>
    <w:p w14:paraId="6B3B5C0D">
      <w:pPr>
        <w:keepNext w:val="0"/>
        <w:keepLines w:val="0"/>
        <w:widowControl/>
        <w:suppressLineNumbers w:val="0"/>
        <w:ind w:firstLine="562" w:firstLineChars="200"/>
        <w:jc w:val="left"/>
        <w:rPr>
          <w:rFonts w:hint="default" w:ascii="仿宋_GB2312" w:eastAsia="仿宋_GB2312" w:cs="仿宋"/>
          <w:b w:val="0"/>
          <w:bCs/>
          <w:color w:val="auto"/>
          <w:sz w:val="28"/>
          <w:szCs w:val="28"/>
          <w:highlight w:val="none"/>
          <w:lang w:val="en-US" w:eastAsia="zh-CN"/>
        </w:rPr>
      </w:pPr>
      <w:r>
        <w:rPr>
          <w:rFonts w:hint="eastAsia" w:ascii="仿宋_GB2312" w:eastAsia="仿宋_GB2312" w:cs="仿宋"/>
          <w:b/>
          <w:bCs w:val="0"/>
          <w:color w:val="auto"/>
          <w:kern w:val="2"/>
          <w:sz w:val="28"/>
          <w:szCs w:val="28"/>
          <w:highlight w:val="none"/>
          <w:lang w:val="en-US" w:eastAsia="zh-CN" w:bidi="ar-SA"/>
        </w:rPr>
        <w:t>（六）</w:t>
      </w:r>
      <w:r>
        <w:rPr>
          <w:rFonts w:hint="default" w:ascii="仿宋_GB2312" w:hAnsi="Calibri" w:eastAsia="仿宋_GB2312" w:cs="仿宋"/>
          <w:b/>
          <w:bCs w:val="0"/>
          <w:color w:val="auto"/>
          <w:kern w:val="2"/>
          <w:sz w:val="28"/>
          <w:szCs w:val="28"/>
          <w:highlight w:val="none"/>
          <w:lang w:val="en-US" w:eastAsia="zh-CN" w:bidi="ar-SA"/>
        </w:rPr>
        <w:t>健康</w:t>
      </w:r>
      <w:r>
        <w:rPr>
          <w:rFonts w:hint="eastAsia" w:ascii="仿宋_GB2312" w:hAnsi="Calibri" w:eastAsia="仿宋_GB2312" w:cs="仿宋"/>
          <w:b/>
          <w:bCs w:val="0"/>
          <w:color w:val="auto"/>
          <w:kern w:val="2"/>
          <w:sz w:val="28"/>
          <w:szCs w:val="28"/>
          <w:highlight w:val="none"/>
          <w:lang w:val="en-US" w:eastAsia="zh-CN" w:bidi="ar-SA"/>
        </w:rPr>
        <w:t>宣教</w:t>
      </w:r>
    </w:p>
    <w:p w14:paraId="728DA8B7">
      <w:pPr>
        <w:keepNext w:val="0"/>
        <w:keepLines w:val="0"/>
        <w:widowControl/>
        <w:suppressLineNumbers w:val="0"/>
        <w:ind w:firstLine="560" w:firstLineChars="200"/>
        <w:jc w:val="left"/>
        <w:rPr>
          <w:rFonts w:hint="eastAsia" w:ascii="仿宋_GB2312" w:eastAsia="仿宋_GB2312" w:cs="仿宋"/>
          <w:b w:val="0"/>
          <w:bCs/>
          <w:color w:val="auto"/>
          <w:sz w:val="28"/>
          <w:szCs w:val="28"/>
          <w:highlight w:val="none"/>
          <w:lang w:val="en-US" w:eastAsia="zh-CN"/>
        </w:rPr>
      </w:pPr>
      <w:r>
        <w:rPr>
          <w:rFonts w:hint="eastAsia" w:ascii="仿宋_GB2312" w:eastAsia="仿宋_GB2312" w:cs="仿宋"/>
          <w:b w:val="0"/>
          <w:bCs/>
          <w:color w:val="auto"/>
          <w:sz w:val="28"/>
          <w:szCs w:val="28"/>
          <w:highlight w:val="none"/>
          <w:lang w:val="en-US" w:eastAsia="zh-CN"/>
        </w:rPr>
        <w:t>射波刀疗程短，住院时间短，放射性皮炎、放射性肺炎及术后血象的改变大多是发生在院外，所以做好患者的出院指导对治疗的疗效、及时发现并发症的发生、甚至挽救患者生命都至关重要。当患者出现身体不适时立即到医院就诊，以免延误治疗。建立随访体系使大部分射波刀治疗患者在康复进程中得到及时指导，部分患者的复发或转移病灶得到了及时有效治疗。主要依据临床护理学杂志《射波刀治疗非小细胞肺癌的护理》。</w:t>
      </w:r>
    </w:p>
    <w:p w14:paraId="5FD6C428">
      <w:pPr>
        <w:pStyle w:val="13"/>
        <w:keepNext w:val="0"/>
        <w:keepLines w:val="0"/>
        <w:widowControl/>
        <w:suppressLineNumbers w:val="0"/>
        <w:spacing w:before="240" w:beforeAutospacing="0" w:after="0" w:afterAutospacing="0"/>
        <w:ind w:left="0" w:right="0"/>
        <w:rPr>
          <w:rFonts w:hint="default" w:ascii="仿宋_GB2312" w:eastAsia="仿宋_GB2312" w:cs="仿宋"/>
          <w:b w:val="0"/>
          <w:bCs/>
          <w:color w:val="auto"/>
          <w:sz w:val="28"/>
          <w:szCs w:val="28"/>
          <w:highlight w:val="none"/>
          <w:lang w:val="en-US" w:eastAsia="zh-CN"/>
        </w:rPr>
      </w:pPr>
      <w:r>
        <w:rPr>
          <w:rFonts w:hint="eastAsia" w:ascii="仿宋_GB2312" w:eastAsia="仿宋_GB2312" w:cs="仿宋"/>
          <w:b w:val="0"/>
          <w:bCs/>
          <w:color w:val="auto"/>
          <w:sz w:val="28"/>
          <w:szCs w:val="28"/>
          <w:highlight w:val="none"/>
          <w:lang w:val="en-US" w:eastAsia="zh-CN"/>
        </w:rPr>
        <w:t>生活和运动：射波刀属于无创或微创的立体定向放射治疗，相较于传统手术或常规放疗，对患者全身状态影响较小，多数患者治疗后无明显体力限制，可恢复正常活动，这一信息有助于缓解患者对治疗的恐惧和过度卧床行为。多饮水是为了促进放射性代谢产物及肿瘤坏死物质经肾脏排出，减轻全身反应，依据放射治疗后常规护理指导。高蛋白饮食有助于修复放疗引起的正常组织损伤、维持机体免疫功能；高维生素具有抗氧化作用，可减轻放射损伤；易消化食物则因部分患者可能出现放射性食管炎或胃肠道反应，清淡易消化饮食可减少消化道刺激，依据肿瘤放疗患者营养支持指南。放射性肺炎、放射性食管炎等并发症多在治疗后1~3个月内发生，充分休息有助于降低并发症发生率和严重程度，依据放射治疗后康复管理规范。同时，腹式呼吸和缩唇呼吸</w:t>
      </w:r>
      <w:r>
        <w:rPr>
          <w:rFonts w:hint="default" w:ascii="仿宋_GB2312" w:eastAsia="仿宋_GB2312" w:cs="仿宋"/>
          <w:b w:val="0"/>
          <w:bCs/>
          <w:color w:val="auto"/>
          <w:sz w:val="28"/>
          <w:szCs w:val="28"/>
          <w:highlight w:val="none"/>
          <w:lang w:val="en-US" w:eastAsia="zh-CN"/>
        </w:rPr>
        <w:t>可增加膈肌活动度、改善通气效率、减少呼吸做功；有效咳嗽排痰可促进气道分泌物排出，预防肺不张和继发感染。这一要求依据呼吸康复护理指南及肺癌患者围术期呼吸功能训练规范。</w:t>
      </w:r>
    </w:p>
    <w:p w14:paraId="0D6B7526">
      <w:pPr>
        <w:pStyle w:val="32"/>
        <w:numPr>
          <w:ilvl w:val="0"/>
          <w:numId w:val="0"/>
        </w:numPr>
        <w:spacing w:beforeLines="0" w:afterLines="0" w:line="360" w:lineRule="auto"/>
        <w:rPr>
          <w:rFonts w:hint="eastAsia"/>
          <w:bCs/>
          <w:color w:val="auto"/>
          <w:sz w:val="32"/>
          <w:szCs w:val="32"/>
        </w:rPr>
      </w:pPr>
      <w:r>
        <w:rPr>
          <w:rFonts w:hint="eastAsia"/>
          <w:b/>
          <w:bCs/>
          <w:color w:val="auto"/>
          <w:sz w:val="32"/>
          <w:szCs w:val="32"/>
        </w:rPr>
        <w:t>六</w:t>
      </w:r>
      <w:r>
        <w:rPr>
          <w:rFonts w:hint="eastAsia"/>
          <w:bCs/>
          <w:color w:val="auto"/>
          <w:sz w:val="32"/>
          <w:szCs w:val="32"/>
        </w:rPr>
        <w:t>、</w:t>
      </w:r>
      <w:r>
        <w:rPr>
          <w:rFonts w:hint="eastAsia"/>
          <w:color w:val="auto"/>
          <w:sz w:val="32"/>
          <w:szCs w:val="32"/>
        </w:rPr>
        <w:t>重大意见分歧的处理依据和结果</w:t>
      </w:r>
    </w:p>
    <w:p w14:paraId="5901BD9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本标准研制过程中无重大分歧意见。</w:t>
      </w:r>
    </w:p>
    <w:p w14:paraId="6B1FFC80">
      <w:pPr>
        <w:autoSpaceDE w:val="0"/>
        <w:autoSpaceDN w:val="0"/>
        <w:adjustRightInd w:val="0"/>
        <w:spacing w:before="156" w:beforeLines="50" w:after="156" w:afterLines="50" w:line="520" w:lineRule="exact"/>
        <w:ind w:firstLine="640" w:firstLineChars="200"/>
        <w:outlineLvl w:val="0"/>
        <w:rPr>
          <w:rFonts w:eastAsia="黑体"/>
          <w:color w:val="auto"/>
          <w:sz w:val="32"/>
          <w:szCs w:val="32"/>
        </w:rPr>
      </w:pPr>
      <w:r>
        <w:rPr>
          <w:rFonts w:hint="eastAsia" w:ascii="黑体" w:eastAsia="黑体"/>
          <w:bCs/>
          <w:color w:val="auto"/>
          <w:sz w:val="32"/>
          <w:szCs w:val="32"/>
        </w:rPr>
        <w:t>七、</w:t>
      </w:r>
      <w:r>
        <w:rPr>
          <w:rFonts w:hint="eastAsia" w:eastAsia="黑体"/>
          <w:color w:val="auto"/>
          <w:sz w:val="32"/>
          <w:szCs w:val="32"/>
        </w:rPr>
        <w:t>实施标准的措施</w:t>
      </w:r>
    </w:p>
    <w:p w14:paraId="43DE7DA7">
      <w:pPr>
        <w:spacing w:line="50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（一）标准报批发布后，成立标准宣贯工作组</w:t>
      </w:r>
    </w:p>
    <w:p w14:paraId="6254ED11">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55571FF">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（二）组织开展标准宣贯培训</w:t>
      </w:r>
    </w:p>
    <w:p w14:paraId="684177CD">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标准发布实施后，标准宣贯工作小组制作标准解读宣贯培训PPT课件和标准核心技术明白书，并按标准宣贯培训计划深入各市县医疗机构，对</w:t>
      </w:r>
      <w:r>
        <w:rPr>
          <w:rFonts w:hint="eastAsia" w:ascii="仿宋_GB2312" w:eastAsia="仿宋_GB2312"/>
          <w:color w:val="auto"/>
          <w:sz w:val="28"/>
          <w:szCs w:val="28"/>
          <w:lang w:val="en-US" w:eastAsia="zh-CN"/>
        </w:rPr>
        <w:t>相关</w:t>
      </w:r>
      <w:r>
        <w:rPr>
          <w:rFonts w:hint="eastAsia" w:ascii="仿宋_GB2312" w:eastAsia="仿宋_GB2312"/>
          <w:color w:val="auto"/>
          <w:sz w:val="28"/>
          <w:szCs w:val="28"/>
        </w:rPr>
        <w:t>医护人员开展标准宣贯培训，对标准进行逐条解读，让医师和医护人员掌握标准核心技术内容，助力标准实施落地，推动</w:t>
      </w:r>
      <w:r>
        <w:rPr>
          <w:rFonts w:hint="eastAsia" w:ascii="仿宋_GB2312" w:eastAsia="仿宋_GB2312"/>
          <w:color w:val="auto"/>
          <w:sz w:val="28"/>
          <w:szCs w:val="28"/>
          <w:lang w:val="en-US" w:eastAsia="zh-CN"/>
        </w:rPr>
        <w:t>医疗护理事业</w:t>
      </w:r>
      <w:r>
        <w:rPr>
          <w:rFonts w:hint="eastAsia" w:ascii="仿宋_GB2312" w:eastAsia="仿宋_GB2312"/>
          <w:color w:val="auto"/>
          <w:sz w:val="28"/>
          <w:szCs w:val="28"/>
        </w:rPr>
        <w:t>高质量发展。</w:t>
      </w:r>
    </w:p>
    <w:p w14:paraId="24F36826">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（三）开展标准实施交流会，收集标准实施反馈信息</w:t>
      </w:r>
    </w:p>
    <w:p w14:paraId="7488335B">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标准起草小组深入各市县医疗机构组织</w:t>
      </w:r>
      <w:r>
        <w:rPr>
          <w:rFonts w:hint="eastAsia" w:ascii="仿宋_GB2312" w:eastAsia="仿宋_GB2312"/>
          <w:color w:val="auto"/>
          <w:sz w:val="28"/>
          <w:szCs w:val="28"/>
          <w:lang w:val="en-US" w:eastAsia="zh-CN"/>
        </w:rPr>
        <w:t>相关</w:t>
      </w:r>
      <w:r>
        <w:rPr>
          <w:rFonts w:hint="eastAsia" w:ascii="仿宋_GB2312" w:eastAsia="仿宋_GB2312"/>
          <w:color w:val="auto"/>
          <w:sz w:val="28"/>
          <w:szCs w:val="28"/>
        </w:rPr>
        <w:t>医护人员召开标准实施交流会，听取标准实施过程中存在的问题并做好记录和解答，对存在的问题组织专家团队进行研讨，为标准的复审修订做准备。</w:t>
      </w:r>
    </w:p>
    <w:p w14:paraId="6712A9C8">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（四）开展标准实施效果评估</w:t>
      </w:r>
    </w:p>
    <w:p w14:paraId="6F26A459">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467B4A06">
      <w:pPr>
        <w:spacing w:before="240" w:after="60" w:line="520" w:lineRule="exact"/>
        <w:ind w:firstLine="640" w:firstLineChars="200"/>
        <w:outlineLvl w:val="0"/>
        <w:rPr>
          <w:rFonts w:hint="eastAsia" w:ascii="黑体" w:eastAsia="黑体"/>
          <w:bCs/>
          <w:color w:val="auto"/>
          <w:sz w:val="32"/>
          <w:szCs w:val="32"/>
        </w:rPr>
      </w:pPr>
      <w:r>
        <w:rPr>
          <w:rFonts w:hint="eastAsia" w:ascii="黑体" w:eastAsia="黑体"/>
          <w:bCs/>
          <w:color w:val="auto"/>
          <w:sz w:val="32"/>
          <w:szCs w:val="32"/>
        </w:rPr>
        <w:t>八、其他应当说明的事项</w:t>
      </w:r>
    </w:p>
    <w:p w14:paraId="6D062A51">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无。</w:t>
      </w:r>
    </w:p>
    <w:p w14:paraId="52787E3B">
      <w:pPr>
        <w:autoSpaceDE w:val="0"/>
        <w:autoSpaceDN w:val="0"/>
        <w:adjustRightInd w:val="0"/>
        <w:spacing w:before="156" w:beforeLines="50" w:after="156" w:afterLines="50" w:line="520" w:lineRule="exact"/>
        <w:ind w:firstLine="640"/>
        <w:outlineLvl w:val="0"/>
        <w:rPr>
          <w:rFonts w:hint="eastAsia" w:eastAsia="黑体"/>
          <w:color w:val="auto"/>
          <w:sz w:val="32"/>
          <w:szCs w:val="32"/>
        </w:rPr>
      </w:pPr>
      <w:r>
        <w:rPr>
          <w:rFonts w:hint="eastAsia" w:eastAsia="黑体"/>
          <w:color w:val="auto"/>
          <w:sz w:val="32"/>
          <w:szCs w:val="32"/>
        </w:rPr>
        <w:t>九、自我承诺</w:t>
      </w:r>
    </w:p>
    <w:p w14:paraId="1CA3DC93">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该标准的内容符合国家相关法律法规，技术要求不低于强制性国家标准的相关技术要求，与相关的国家、行业推荐性标准协调一致，标准的编写符合GB/T 1.1-2020的要求。</w:t>
      </w:r>
    </w:p>
    <w:p w14:paraId="3099184D">
      <w:pPr>
        <w:pStyle w:val="23"/>
        <w:rPr>
          <w:rFonts w:hint="eastAsia" w:ascii="仿宋_GB2312" w:eastAsia="仿宋_GB2312"/>
          <w:color w:val="auto"/>
          <w:sz w:val="28"/>
          <w:szCs w:val="28"/>
        </w:rPr>
      </w:pPr>
    </w:p>
    <w:p w14:paraId="7696C500">
      <w:pPr>
        <w:pStyle w:val="23"/>
        <w:rPr>
          <w:rFonts w:hint="eastAsia" w:ascii="仿宋_GB2312" w:eastAsia="仿宋_GB2312"/>
          <w:color w:val="auto"/>
          <w:sz w:val="28"/>
          <w:szCs w:val="28"/>
        </w:rPr>
      </w:pPr>
    </w:p>
    <w:p w14:paraId="62C157D1">
      <w:pPr>
        <w:pStyle w:val="23"/>
        <w:rPr>
          <w:rFonts w:hint="eastAsia" w:ascii="仿宋_GB2312" w:eastAsia="仿宋_GB2312"/>
          <w:color w:val="auto"/>
          <w:sz w:val="28"/>
          <w:szCs w:val="28"/>
        </w:rPr>
      </w:pPr>
    </w:p>
    <w:p w14:paraId="753963BB">
      <w:pPr>
        <w:spacing w:before="240" w:after="60" w:line="520" w:lineRule="exact"/>
        <w:ind w:firstLine="2240" w:firstLineChars="800"/>
        <w:outlineLvl w:val="0"/>
        <w:rPr>
          <w:rFonts w:hint="eastAsia" w:ascii="仿宋_GB2312" w:eastAsia="仿宋_GB2312"/>
          <w:color w:val="auto"/>
          <w:sz w:val="28"/>
          <w:szCs w:val="28"/>
        </w:rPr>
      </w:pPr>
      <w:r>
        <w:rPr>
          <w:rFonts w:hint="eastAsia" w:ascii="仿宋_GB2312" w:eastAsia="仿宋_GB2312"/>
          <w:color w:val="auto"/>
          <w:sz w:val="28"/>
          <w:szCs w:val="28"/>
          <w:lang w:val="en-US" w:eastAsia="zh-CN"/>
        </w:rPr>
        <w:t>团体标准</w:t>
      </w:r>
      <w:r>
        <w:rPr>
          <w:rFonts w:hint="eastAsia" w:ascii="仿宋_GB2312" w:eastAsia="仿宋_GB2312"/>
          <w:color w:val="auto"/>
          <w:sz w:val="28"/>
          <w:szCs w:val="28"/>
        </w:rPr>
        <w:t>《</w:t>
      </w:r>
      <w:r>
        <w:rPr>
          <w:rFonts w:hint="eastAsia" w:ascii="仿宋_GB2312" w:eastAsia="仿宋_GB2312"/>
          <w:color w:val="auto"/>
          <w:sz w:val="28"/>
          <w:szCs w:val="28"/>
          <w:lang w:eastAsia="zh-CN"/>
        </w:rPr>
        <w:t>射波刀治疗肺癌患者围手术期护理规范</w:t>
      </w:r>
      <w:r>
        <w:rPr>
          <w:rFonts w:hint="eastAsia" w:ascii="仿宋_GB2312" w:eastAsia="仿宋_GB2312"/>
          <w:color w:val="auto"/>
          <w:sz w:val="28"/>
          <w:szCs w:val="28"/>
        </w:rPr>
        <w:t>》</w:t>
      </w:r>
    </w:p>
    <w:p w14:paraId="59BB109D">
      <w:pPr>
        <w:spacing w:line="520" w:lineRule="exact"/>
        <w:ind w:right="1120"/>
        <w:jc w:val="center"/>
        <w:rPr>
          <w:rFonts w:hint="eastAsia" w:ascii="仿宋_GB2312" w:eastAsia="仿宋_GB2312"/>
          <w:color w:val="auto"/>
          <w:sz w:val="28"/>
          <w:szCs w:val="28"/>
        </w:rPr>
      </w:pPr>
      <w:r>
        <w:rPr>
          <w:rFonts w:hint="eastAsia" w:ascii="仿宋_GB2312" w:eastAsia="仿宋_GB2312"/>
          <w:color w:val="auto"/>
          <w:sz w:val="28"/>
          <w:szCs w:val="28"/>
        </w:rPr>
        <w:t xml:space="preserve">                                  标准编制工作组</w:t>
      </w:r>
    </w:p>
    <w:p w14:paraId="2804818C">
      <w:pPr>
        <w:spacing w:line="520" w:lineRule="exact"/>
        <w:ind w:firstLine="640" w:firstLineChars="200"/>
        <w:rPr>
          <w:rFonts w:hint="eastAsia" w:ascii="仿宋_GB2312" w:eastAsia="仿宋_GB2312"/>
          <w:color w:val="auto"/>
          <w:sz w:val="28"/>
          <w:szCs w:val="28"/>
        </w:rPr>
      </w:pPr>
      <w:r>
        <w:rPr>
          <w:rFonts w:hint="eastAsia" w:ascii="仿宋_GB2312" w:eastAsia="仿宋_GB2312"/>
          <w:color w:val="auto"/>
          <w:sz w:val="32"/>
          <w:szCs w:val="28"/>
        </w:rPr>
        <w:t xml:space="preserve">                             </w:t>
      </w:r>
      <w:r>
        <w:rPr>
          <w:rFonts w:hint="eastAsia" w:ascii="仿宋_GB2312" w:eastAsia="仿宋_GB2312"/>
          <w:color w:val="auto"/>
          <w:sz w:val="28"/>
          <w:szCs w:val="28"/>
        </w:rPr>
        <w:t>202</w:t>
      </w:r>
      <w:r>
        <w:rPr>
          <w:rFonts w:hint="eastAsia" w:ascii="仿宋_GB2312" w:eastAsia="仿宋_GB2312"/>
          <w:color w:val="auto"/>
          <w:sz w:val="28"/>
          <w:szCs w:val="28"/>
          <w:lang w:val="en-US" w:eastAsia="zh-CN"/>
        </w:rPr>
        <w:t>6</w:t>
      </w:r>
      <w:r>
        <w:rPr>
          <w:rFonts w:hint="eastAsia" w:ascii="仿宋_GB2312" w:eastAsia="仿宋_GB2312"/>
          <w:color w:val="auto"/>
          <w:sz w:val="28"/>
          <w:szCs w:val="28"/>
        </w:rPr>
        <w:t>年</w:t>
      </w:r>
      <w:r>
        <w:rPr>
          <w:rFonts w:hint="eastAsia" w:ascii="仿宋_GB2312" w:eastAsia="仿宋_GB2312"/>
          <w:color w:val="auto"/>
          <w:sz w:val="28"/>
          <w:szCs w:val="28"/>
          <w:lang w:val="en-US" w:eastAsia="zh-CN"/>
        </w:rPr>
        <w:t>3</w:t>
      </w:r>
      <w:r>
        <w:rPr>
          <w:rFonts w:hint="eastAsia" w:ascii="仿宋_GB2312" w:eastAsia="仿宋_GB2312"/>
          <w:color w:val="auto"/>
          <w:sz w:val="28"/>
          <w:szCs w:val="28"/>
        </w:rPr>
        <w:t>月</w:t>
      </w:r>
      <w:r>
        <w:rPr>
          <w:rFonts w:hint="eastAsia" w:ascii="仿宋_GB2312" w:eastAsia="仿宋_GB2312"/>
          <w:color w:val="auto"/>
          <w:sz w:val="28"/>
          <w:szCs w:val="28"/>
          <w:lang w:val="en-US" w:eastAsia="zh-CN"/>
        </w:rPr>
        <w:t>20</w:t>
      </w:r>
      <w:r>
        <w:rPr>
          <w:rFonts w:hint="eastAsia" w:ascii="仿宋_GB2312" w:eastAsia="仿宋_GB2312"/>
          <w:color w:val="auto"/>
          <w:sz w:val="28"/>
          <w:szCs w:val="28"/>
        </w:rPr>
        <w:t>日</w:t>
      </w:r>
    </w:p>
    <w:sectPr>
      <w:footerReference r:id="rId3" w:type="default"/>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AB17694-9304-46CC-8FE1-3EAD61A971F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2EF852E8-8D54-4718-AE4C-E39BC0A07751}"/>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embedRegular r:id="rId3" w:fontKey="{97E9C09D-AB3F-4110-A071-BCF4FC0DAD45}"/>
  </w:font>
  <w:font w:name="方正小标宋简体">
    <w:panose1 w:val="02000000000000000000"/>
    <w:charset w:val="86"/>
    <w:family w:val="script"/>
    <w:pitch w:val="default"/>
    <w:sig w:usb0="00000001" w:usb1="08000000" w:usb2="00000000" w:usb3="00000000" w:csb0="00040000" w:csb1="00000000"/>
    <w:embedRegular r:id="rId4" w:fontKey="{DD99D68F-2303-46A3-8FB8-0759AB697A32}"/>
  </w:font>
  <w:font w:name="仿宋">
    <w:panose1 w:val="02010609060101010101"/>
    <w:charset w:val="86"/>
    <w:family w:val="modern"/>
    <w:pitch w:val="default"/>
    <w:sig w:usb0="800002BF" w:usb1="38CF7CFA" w:usb2="00000016" w:usb3="00000000" w:csb0="00040001" w:csb1="00000000"/>
    <w:embedRegular r:id="rId5" w:fontKey="{9BE06875-AF8B-4AB7-A473-69E7F46A4995}"/>
  </w:font>
  <w:font w:name="WPSEMBED25">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D6AFB0">
    <w:pPr>
      <w:pStyle w:val="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3835A740">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3835A740">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1"/>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0FFFFF7E"/>
    <w:multiLevelType w:val="singleLevel"/>
    <w:tmpl w:val="0FFFFF7E"/>
    <w:lvl w:ilvl="0" w:tentative="0">
      <w:start w:val="1"/>
      <w:numFmt w:val="decimal"/>
      <w:lvlText w:val="%1."/>
      <w:lvlJc w:val="left"/>
      <w:pPr>
        <w:tabs>
          <w:tab w:val="left" w:pos="1200"/>
        </w:tabs>
        <w:ind w:left="1200" w:hanging="360"/>
      </w:pPr>
    </w:lvl>
  </w:abstractNum>
  <w:abstractNum w:abstractNumId="2">
    <w:nsid w:val="0FFFFF7F"/>
    <w:multiLevelType w:val="singleLevel"/>
    <w:tmpl w:val="0FFFFF7F"/>
    <w:lvl w:ilvl="0" w:tentative="0">
      <w:start w:val="1"/>
      <w:numFmt w:val="decimal"/>
      <w:lvlText w:val="%1."/>
      <w:lvlJc w:val="left"/>
      <w:pPr>
        <w:tabs>
          <w:tab w:val="left" w:pos="780"/>
        </w:tabs>
        <w:ind w:left="780" w:hanging="360"/>
      </w:pPr>
    </w:lvl>
  </w:abstractNum>
  <w:abstractNum w:abstractNumId="3">
    <w:nsid w:val="26756820"/>
    <w:multiLevelType w:val="singleLevel"/>
    <w:tmpl w:val="26756820"/>
    <w:lvl w:ilvl="0" w:tentative="0">
      <w:start w:val="1"/>
      <w:numFmt w:val="decimal"/>
      <w:suff w:val="nothing"/>
      <w:lvlText w:val="（%1）"/>
      <w:lvlJc w:val="left"/>
    </w:lvl>
  </w:abstractNum>
  <w:abstractNum w:abstractNumId="4">
    <w:nsid w:val="2C5917C3"/>
    <w:multiLevelType w:val="multilevel"/>
    <w:tmpl w:val="2C5917C3"/>
    <w:lvl w:ilvl="0" w:tentative="0">
      <w:start w:val="1"/>
      <w:numFmt w:val="none"/>
      <w:pStyle w:val="55"/>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5">
    <w:nsid w:val="44C50F90"/>
    <w:multiLevelType w:val="multilevel"/>
    <w:tmpl w:val="44C50F90"/>
    <w:lvl w:ilvl="0" w:tentative="0">
      <w:start w:val="1"/>
      <w:numFmt w:val="lowerLetter"/>
      <w:pStyle w:val="50"/>
      <w:lvlText w:val="%1)"/>
      <w:lvlJc w:val="left"/>
      <w:pPr>
        <w:tabs>
          <w:tab w:val="left" w:pos="851"/>
        </w:tabs>
        <w:ind w:left="851" w:hanging="426"/>
      </w:pPr>
      <w:rPr>
        <w:rFonts w:hint="eastAsia" w:ascii="宋体" w:hAnsi="Times New Roman" w:eastAsia="宋体"/>
        <w:sz w:val="21"/>
      </w:rPr>
    </w:lvl>
    <w:lvl w:ilvl="1" w:tentative="0">
      <w:start w:val="1"/>
      <w:numFmt w:val="decimal"/>
      <w:pStyle w:val="48"/>
      <w:lvlText w:val="%2)"/>
      <w:lvlJc w:val="left"/>
      <w:pPr>
        <w:tabs>
          <w:tab w:val="left" w:pos="1276"/>
        </w:tabs>
        <w:ind w:left="1276" w:hanging="425"/>
      </w:pPr>
      <w:rPr>
        <w:rFonts w:hint="eastAsia" w:ascii="宋体" w:hAnsi="Times New Roman" w:eastAsia="宋体"/>
        <w:sz w:val="21"/>
      </w:rPr>
    </w:lvl>
    <w:lvl w:ilvl="2" w:tentative="0">
      <w:start w:val="1"/>
      <w:numFmt w:val="decimal"/>
      <w:pStyle w:val="49"/>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6">
    <w:nsid w:val="5A9B6960"/>
    <w:multiLevelType w:val="multilevel"/>
    <w:tmpl w:val="5A9B6960"/>
    <w:lvl w:ilvl="0" w:tentative="0">
      <w:start w:val="1"/>
      <w:numFmt w:val="none"/>
      <w:pStyle w:val="38"/>
      <w:suff w:val="nothing"/>
      <w:lvlText w:val="%1"/>
      <w:legacy w:legacy="1" w:legacySpace="0" w:legacyIndent="0"/>
      <w:lvlJc w:val="left"/>
      <w:pPr>
        <w:ind w:left="0" w:firstLine="0"/>
      </w:pPr>
      <w:rPr>
        <w:rFonts w:hint="eastAsia"/>
      </w:rPr>
    </w:lvl>
    <w:lvl w:ilvl="1" w:tentative="0">
      <w:start w:val="1"/>
      <w:numFmt w:val="decimal"/>
      <w:pStyle w:val="32"/>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4"/>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0"/>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39"/>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37"/>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num w:numId="1">
    <w:abstractNumId w:val="6"/>
  </w:num>
  <w:num w:numId="2">
    <w:abstractNumId w:val="0"/>
  </w:num>
  <w:num w:numId="3">
    <w:abstractNumId w:val="2"/>
  </w:num>
  <w:num w:numId="4">
    <w:abstractNumId w:val="1"/>
  </w:num>
  <w:num w:numId="5">
    <w:abstractNumId w:val="5"/>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0OWNhMGUyYzc2MTI5ZWY2NzM4MTVkMDAwODg0YzMifQ=="/>
  </w:docVars>
  <w:rsids>
    <w:rsidRoot w:val="000D75AA"/>
    <w:rsid w:val="000068A2"/>
    <w:rsid w:val="00014983"/>
    <w:rsid w:val="000178C8"/>
    <w:rsid w:val="00055442"/>
    <w:rsid w:val="00072103"/>
    <w:rsid w:val="00075653"/>
    <w:rsid w:val="00082613"/>
    <w:rsid w:val="000C517B"/>
    <w:rsid w:val="000E53EA"/>
    <w:rsid w:val="001133E6"/>
    <w:rsid w:val="001655CC"/>
    <w:rsid w:val="0018012C"/>
    <w:rsid w:val="001821C9"/>
    <w:rsid w:val="001A7570"/>
    <w:rsid w:val="001D3156"/>
    <w:rsid w:val="001E2D73"/>
    <w:rsid w:val="0020127F"/>
    <w:rsid w:val="00205352"/>
    <w:rsid w:val="002210B4"/>
    <w:rsid w:val="0022236C"/>
    <w:rsid w:val="002324B6"/>
    <w:rsid w:val="00234F7D"/>
    <w:rsid w:val="00236909"/>
    <w:rsid w:val="00236EB4"/>
    <w:rsid w:val="00241F8A"/>
    <w:rsid w:val="00281F39"/>
    <w:rsid w:val="0028500C"/>
    <w:rsid w:val="002879F6"/>
    <w:rsid w:val="00292F73"/>
    <w:rsid w:val="0029554A"/>
    <w:rsid w:val="002A3479"/>
    <w:rsid w:val="002B7C92"/>
    <w:rsid w:val="002E357A"/>
    <w:rsid w:val="00321E92"/>
    <w:rsid w:val="003259AF"/>
    <w:rsid w:val="003332BA"/>
    <w:rsid w:val="00340D9B"/>
    <w:rsid w:val="003517E7"/>
    <w:rsid w:val="00372E66"/>
    <w:rsid w:val="00375933"/>
    <w:rsid w:val="00382E35"/>
    <w:rsid w:val="00396F2C"/>
    <w:rsid w:val="003D485E"/>
    <w:rsid w:val="00426DC5"/>
    <w:rsid w:val="004373E9"/>
    <w:rsid w:val="0044036C"/>
    <w:rsid w:val="0044065E"/>
    <w:rsid w:val="004805DB"/>
    <w:rsid w:val="0048511D"/>
    <w:rsid w:val="004A75FF"/>
    <w:rsid w:val="004B4D68"/>
    <w:rsid w:val="004F29B4"/>
    <w:rsid w:val="00515B82"/>
    <w:rsid w:val="0051755E"/>
    <w:rsid w:val="00533B2A"/>
    <w:rsid w:val="00554B7D"/>
    <w:rsid w:val="00564A0C"/>
    <w:rsid w:val="005E3C13"/>
    <w:rsid w:val="005E7B33"/>
    <w:rsid w:val="005F1668"/>
    <w:rsid w:val="005F2FD2"/>
    <w:rsid w:val="005F4961"/>
    <w:rsid w:val="00617B08"/>
    <w:rsid w:val="00627AB4"/>
    <w:rsid w:val="006335ED"/>
    <w:rsid w:val="006343EC"/>
    <w:rsid w:val="0063539D"/>
    <w:rsid w:val="00637F53"/>
    <w:rsid w:val="006511A8"/>
    <w:rsid w:val="0067378F"/>
    <w:rsid w:val="00691000"/>
    <w:rsid w:val="006B0BA0"/>
    <w:rsid w:val="006B12C0"/>
    <w:rsid w:val="00714DDE"/>
    <w:rsid w:val="0074491A"/>
    <w:rsid w:val="007557E4"/>
    <w:rsid w:val="00756356"/>
    <w:rsid w:val="00774434"/>
    <w:rsid w:val="007756AB"/>
    <w:rsid w:val="00781D6C"/>
    <w:rsid w:val="007A149B"/>
    <w:rsid w:val="007C244C"/>
    <w:rsid w:val="00801A7F"/>
    <w:rsid w:val="00814260"/>
    <w:rsid w:val="008247C4"/>
    <w:rsid w:val="00826BFA"/>
    <w:rsid w:val="00853F5C"/>
    <w:rsid w:val="00874BB5"/>
    <w:rsid w:val="008779C2"/>
    <w:rsid w:val="00887632"/>
    <w:rsid w:val="00895F4A"/>
    <w:rsid w:val="008973E6"/>
    <w:rsid w:val="008B6B5F"/>
    <w:rsid w:val="008E1EB5"/>
    <w:rsid w:val="00926E1B"/>
    <w:rsid w:val="00932BA3"/>
    <w:rsid w:val="00947EBA"/>
    <w:rsid w:val="009718CC"/>
    <w:rsid w:val="009A4141"/>
    <w:rsid w:val="009E3161"/>
    <w:rsid w:val="00A16A3E"/>
    <w:rsid w:val="00A263D3"/>
    <w:rsid w:val="00A365A2"/>
    <w:rsid w:val="00A37FDF"/>
    <w:rsid w:val="00A42C5E"/>
    <w:rsid w:val="00A75476"/>
    <w:rsid w:val="00A87F41"/>
    <w:rsid w:val="00AC57C3"/>
    <w:rsid w:val="00AD0172"/>
    <w:rsid w:val="00B07A8A"/>
    <w:rsid w:val="00B66676"/>
    <w:rsid w:val="00B73416"/>
    <w:rsid w:val="00B77477"/>
    <w:rsid w:val="00B94EFE"/>
    <w:rsid w:val="00B954B8"/>
    <w:rsid w:val="00BA570D"/>
    <w:rsid w:val="00BB6932"/>
    <w:rsid w:val="00BB7B52"/>
    <w:rsid w:val="00BD2990"/>
    <w:rsid w:val="00C07069"/>
    <w:rsid w:val="00C123EE"/>
    <w:rsid w:val="00C13CB6"/>
    <w:rsid w:val="00C20386"/>
    <w:rsid w:val="00CC71EF"/>
    <w:rsid w:val="00CE7CD2"/>
    <w:rsid w:val="00D0457A"/>
    <w:rsid w:val="00D35977"/>
    <w:rsid w:val="00D43F5A"/>
    <w:rsid w:val="00D87F07"/>
    <w:rsid w:val="00D9142A"/>
    <w:rsid w:val="00D9735E"/>
    <w:rsid w:val="00DB7F6F"/>
    <w:rsid w:val="00DF4FB8"/>
    <w:rsid w:val="00E27034"/>
    <w:rsid w:val="00E32D4B"/>
    <w:rsid w:val="00E41116"/>
    <w:rsid w:val="00E414EF"/>
    <w:rsid w:val="00E455A5"/>
    <w:rsid w:val="00E835A1"/>
    <w:rsid w:val="00E83E2D"/>
    <w:rsid w:val="00ED41E5"/>
    <w:rsid w:val="00EE332B"/>
    <w:rsid w:val="00EF4610"/>
    <w:rsid w:val="00EF6CB2"/>
    <w:rsid w:val="00F01A5C"/>
    <w:rsid w:val="00F40513"/>
    <w:rsid w:val="00F424A9"/>
    <w:rsid w:val="00F5729F"/>
    <w:rsid w:val="00F65587"/>
    <w:rsid w:val="00F77E06"/>
    <w:rsid w:val="00F9021F"/>
    <w:rsid w:val="00FA7D60"/>
    <w:rsid w:val="00FB260A"/>
    <w:rsid w:val="00FC7CE6"/>
    <w:rsid w:val="00FD6497"/>
    <w:rsid w:val="00FF2EC3"/>
    <w:rsid w:val="012A4E2C"/>
    <w:rsid w:val="02DC2156"/>
    <w:rsid w:val="03CC3F79"/>
    <w:rsid w:val="0462502C"/>
    <w:rsid w:val="05CD222A"/>
    <w:rsid w:val="06084616"/>
    <w:rsid w:val="06553B6D"/>
    <w:rsid w:val="06A9292B"/>
    <w:rsid w:val="082E6C88"/>
    <w:rsid w:val="08EF7A39"/>
    <w:rsid w:val="0A5844F0"/>
    <w:rsid w:val="0C364870"/>
    <w:rsid w:val="0CCE2B10"/>
    <w:rsid w:val="0EB92622"/>
    <w:rsid w:val="0EE41D10"/>
    <w:rsid w:val="11386E78"/>
    <w:rsid w:val="11B73ED3"/>
    <w:rsid w:val="11DF729D"/>
    <w:rsid w:val="12277661"/>
    <w:rsid w:val="133D4C82"/>
    <w:rsid w:val="13D12EE6"/>
    <w:rsid w:val="13EE1CEA"/>
    <w:rsid w:val="13F37300"/>
    <w:rsid w:val="15DB43B3"/>
    <w:rsid w:val="174D6D27"/>
    <w:rsid w:val="18CE5C46"/>
    <w:rsid w:val="1A2A2D28"/>
    <w:rsid w:val="1A611AD4"/>
    <w:rsid w:val="1B43291B"/>
    <w:rsid w:val="1B440441"/>
    <w:rsid w:val="1B9C64CF"/>
    <w:rsid w:val="1C080FDB"/>
    <w:rsid w:val="1CB859FA"/>
    <w:rsid w:val="1D7F38C8"/>
    <w:rsid w:val="1E4A1472"/>
    <w:rsid w:val="1E6C7E3E"/>
    <w:rsid w:val="1E85324A"/>
    <w:rsid w:val="20346CD6"/>
    <w:rsid w:val="206E043A"/>
    <w:rsid w:val="21B36690"/>
    <w:rsid w:val="21B75E11"/>
    <w:rsid w:val="23BA2C31"/>
    <w:rsid w:val="2443573A"/>
    <w:rsid w:val="25496D80"/>
    <w:rsid w:val="27095D8A"/>
    <w:rsid w:val="273250B0"/>
    <w:rsid w:val="27750300"/>
    <w:rsid w:val="277B51EB"/>
    <w:rsid w:val="279E6744"/>
    <w:rsid w:val="289B3715"/>
    <w:rsid w:val="2AB253C7"/>
    <w:rsid w:val="2BAD2B02"/>
    <w:rsid w:val="2C6C6F3C"/>
    <w:rsid w:val="2E0C3040"/>
    <w:rsid w:val="2E40384E"/>
    <w:rsid w:val="2E826991"/>
    <w:rsid w:val="2F083808"/>
    <w:rsid w:val="2F0B058C"/>
    <w:rsid w:val="2F7C5FA4"/>
    <w:rsid w:val="2FDD0EDC"/>
    <w:rsid w:val="31A33CBC"/>
    <w:rsid w:val="32F32A21"/>
    <w:rsid w:val="34337579"/>
    <w:rsid w:val="344833B2"/>
    <w:rsid w:val="34E4210D"/>
    <w:rsid w:val="35146A33"/>
    <w:rsid w:val="365D5864"/>
    <w:rsid w:val="38BB2A8E"/>
    <w:rsid w:val="39CD7B28"/>
    <w:rsid w:val="3D6C58AA"/>
    <w:rsid w:val="3E6639DC"/>
    <w:rsid w:val="3FC7172D"/>
    <w:rsid w:val="403F2E01"/>
    <w:rsid w:val="406246C5"/>
    <w:rsid w:val="41DB45A6"/>
    <w:rsid w:val="431A1904"/>
    <w:rsid w:val="442944F4"/>
    <w:rsid w:val="45413951"/>
    <w:rsid w:val="454F3408"/>
    <w:rsid w:val="46E47FFF"/>
    <w:rsid w:val="4779601E"/>
    <w:rsid w:val="493E1AE1"/>
    <w:rsid w:val="4B2238EC"/>
    <w:rsid w:val="4C6C7CEB"/>
    <w:rsid w:val="4DDD59C1"/>
    <w:rsid w:val="50370ABF"/>
    <w:rsid w:val="51A650B5"/>
    <w:rsid w:val="51FB0B52"/>
    <w:rsid w:val="52845057"/>
    <w:rsid w:val="531F075A"/>
    <w:rsid w:val="53F87A3F"/>
    <w:rsid w:val="56DA342C"/>
    <w:rsid w:val="578D63FB"/>
    <w:rsid w:val="57A01936"/>
    <w:rsid w:val="57A57FD6"/>
    <w:rsid w:val="57F01F2D"/>
    <w:rsid w:val="57FC3A9C"/>
    <w:rsid w:val="58D367F3"/>
    <w:rsid w:val="592B4413"/>
    <w:rsid w:val="592C1295"/>
    <w:rsid w:val="59DD74BB"/>
    <w:rsid w:val="5A8C449C"/>
    <w:rsid w:val="5B182905"/>
    <w:rsid w:val="5B571FFB"/>
    <w:rsid w:val="5BD06662"/>
    <w:rsid w:val="5BFB00CD"/>
    <w:rsid w:val="5C452F47"/>
    <w:rsid w:val="5D086F45"/>
    <w:rsid w:val="5D4D6706"/>
    <w:rsid w:val="60252B89"/>
    <w:rsid w:val="616C2448"/>
    <w:rsid w:val="63057E95"/>
    <w:rsid w:val="63DF2082"/>
    <w:rsid w:val="65071890"/>
    <w:rsid w:val="65361052"/>
    <w:rsid w:val="654A16B4"/>
    <w:rsid w:val="660F1D12"/>
    <w:rsid w:val="66A21530"/>
    <w:rsid w:val="67277FC8"/>
    <w:rsid w:val="677C2407"/>
    <w:rsid w:val="67C27CF0"/>
    <w:rsid w:val="68C47A98"/>
    <w:rsid w:val="68C53F3C"/>
    <w:rsid w:val="6AB2229E"/>
    <w:rsid w:val="6CC80E6D"/>
    <w:rsid w:val="703C4AC7"/>
    <w:rsid w:val="710B6BAC"/>
    <w:rsid w:val="71525B1E"/>
    <w:rsid w:val="716444DA"/>
    <w:rsid w:val="71CC633B"/>
    <w:rsid w:val="71F238C8"/>
    <w:rsid w:val="738A5B9F"/>
    <w:rsid w:val="741F6AAA"/>
    <w:rsid w:val="74A0585D"/>
    <w:rsid w:val="754A5489"/>
    <w:rsid w:val="763864CA"/>
    <w:rsid w:val="764D461B"/>
    <w:rsid w:val="77A7157C"/>
    <w:rsid w:val="77D048EE"/>
    <w:rsid w:val="78B143BF"/>
    <w:rsid w:val="7A035425"/>
    <w:rsid w:val="7AB465B7"/>
    <w:rsid w:val="7B215011"/>
    <w:rsid w:val="7B906520"/>
    <w:rsid w:val="7CB63E70"/>
    <w:rsid w:val="7D221505"/>
    <w:rsid w:val="7E2B6198"/>
    <w:rsid w:val="7EF26A8C"/>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widowControl w:val="0"/>
      <w:spacing w:before="340" w:after="330" w:line="578" w:lineRule="auto"/>
      <w:outlineLvl w:val="0"/>
    </w:pPr>
    <w:rPr>
      <w:b/>
      <w:bCs/>
      <w:kern w:val="44"/>
      <w:sz w:val="44"/>
    </w:rPr>
  </w:style>
  <w:style w:type="paragraph" w:styleId="3">
    <w:name w:val="heading 2"/>
    <w:basedOn w:val="1"/>
    <w:next w:val="1"/>
    <w:qFormat/>
    <w:uiPriority w:val="0"/>
    <w:pPr>
      <w:keepNext/>
      <w:keepLines/>
      <w:widowControl w:val="0"/>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widowControl w:val="0"/>
      <w:spacing w:before="260" w:after="260" w:line="415" w:lineRule="auto"/>
      <w:outlineLvl w:val="2"/>
    </w:pPr>
    <w:rPr>
      <w:b/>
      <w:sz w:val="32"/>
    </w:rPr>
  </w:style>
  <w:style w:type="paragraph" w:styleId="5">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paragraph" w:styleId="6">
    <w:name w:val="heading 7"/>
    <w:basedOn w:val="1"/>
    <w:next w:val="1"/>
    <w:link w:val="24"/>
    <w:autoRedefine/>
    <w:qFormat/>
    <w:uiPriority w:val="9"/>
    <w:pPr>
      <w:keepNext/>
      <w:keepLines/>
      <w:spacing w:before="240" w:after="64" w:line="320" w:lineRule="auto"/>
      <w:outlineLvl w:val="6"/>
    </w:pPr>
    <w:rPr>
      <w:b/>
      <w:bCs/>
      <w:sz w:val="24"/>
    </w:rPr>
  </w:style>
  <w:style w:type="character" w:default="1" w:styleId="16">
    <w:name w:val="Default Paragraph Font"/>
    <w:autoRedefine/>
    <w:qFormat/>
    <w:uiPriority w:val="0"/>
  </w:style>
  <w:style w:type="table" w:default="1" w:styleId="14">
    <w:name w:val="Normal Table"/>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7">
    <w:name w:val="annotation text"/>
    <w:basedOn w:val="1"/>
    <w:link w:val="25"/>
    <w:autoRedefine/>
    <w:unhideWhenUsed/>
    <w:qFormat/>
    <w:uiPriority w:val="99"/>
    <w:pPr>
      <w:adjustRightInd w:val="0"/>
      <w:spacing w:line="400" w:lineRule="exact"/>
      <w:jc w:val="left"/>
    </w:pPr>
    <w:rPr>
      <w:rFonts w:ascii="Calibri" w:hAnsi="Calibri"/>
      <w:szCs w:val="21"/>
    </w:rPr>
  </w:style>
  <w:style w:type="paragraph" w:styleId="8">
    <w:name w:val="Balloon Text"/>
    <w:basedOn w:val="1"/>
    <w:link w:val="26"/>
    <w:autoRedefine/>
    <w:unhideWhenUsed/>
    <w:qFormat/>
    <w:uiPriority w:val="99"/>
    <w:rPr>
      <w:sz w:val="18"/>
      <w:szCs w:val="18"/>
    </w:rPr>
  </w:style>
  <w:style w:type="paragraph" w:styleId="9">
    <w:name w:val="footer"/>
    <w:basedOn w:val="1"/>
    <w:link w:val="27"/>
    <w:autoRedefine/>
    <w:qFormat/>
    <w:uiPriority w:val="99"/>
    <w:pPr>
      <w:tabs>
        <w:tab w:val="center" w:pos="4153"/>
        <w:tab w:val="right" w:pos="8306"/>
      </w:tabs>
      <w:snapToGrid w:val="0"/>
      <w:jc w:val="left"/>
    </w:pPr>
    <w:rPr>
      <w:sz w:val="18"/>
      <w:szCs w:val="18"/>
    </w:rPr>
  </w:style>
  <w:style w:type="paragraph" w:styleId="10">
    <w:name w:val="envelope return"/>
    <w:basedOn w:val="1"/>
    <w:autoRedefine/>
    <w:qFormat/>
    <w:uiPriority w:val="0"/>
    <w:pPr>
      <w:snapToGrid w:val="0"/>
    </w:pPr>
    <w:rPr>
      <w:rFonts w:ascii="Times New Roman" w:hAnsi="Times New Roman"/>
    </w:rPr>
  </w:style>
  <w:style w:type="paragraph" w:styleId="11">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2">
    <w:name w:val="toc 4"/>
    <w:basedOn w:val="1"/>
    <w:next w:val="1"/>
    <w:autoRedefine/>
    <w:unhideWhenUsed/>
    <w:qFormat/>
    <w:uiPriority w:val="39"/>
    <w:pPr>
      <w:tabs>
        <w:tab w:val="right" w:leader="dot" w:pos="9344"/>
      </w:tabs>
      <w:adjustRightInd w:val="0"/>
      <w:spacing w:line="300" w:lineRule="exact"/>
      <w:ind w:left="629"/>
    </w:pPr>
    <w:rPr>
      <w:rFonts w:ascii="宋体" w:hAnsi="Calibri"/>
      <w:szCs w:val="21"/>
    </w:rPr>
  </w:style>
  <w:style w:type="paragraph" w:styleId="13">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table" w:styleId="15">
    <w:name w:val="Table Grid"/>
    <w:basedOn w:val="14"/>
    <w:autoRedefine/>
    <w:qFormat/>
    <w:uiPriority w:val="3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17">
    <w:name w:val="Strong"/>
    <w:basedOn w:val="16"/>
    <w:autoRedefine/>
    <w:qFormat/>
    <w:uiPriority w:val="22"/>
    <w:rPr>
      <w:b/>
    </w:rPr>
  </w:style>
  <w:style w:type="character" w:styleId="18">
    <w:name w:val="line number"/>
    <w:autoRedefine/>
    <w:qFormat/>
    <w:uiPriority w:val="0"/>
  </w:style>
  <w:style w:type="character" w:styleId="19">
    <w:name w:val="Hyperlink"/>
    <w:autoRedefine/>
    <w:qFormat/>
    <w:uiPriority w:val="0"/>
    <w:rPr>
      <w:rFonts w:ascii="宋体" w:eastAsia="宋体"/>
      <w:color w:val="auto"/>
      <w:spacing w:val="0"/>
      <w:w w:val="100"/>
      <w:position w:val="0"/>
      <w:sz w:val="21"/>
      <w:u w:val="none"/>
      <w:vertAlign w:val="baseline"/>
    </w:rPr>
  </w:style>
  <w:style w:type="character" w:styleId="20">
    <w:name w:val="annotation reference"/>
    <w:autoRedefine/>
    <w:qFormat/>
    <w:uiPriority w:val="99"/>
    <w:rPr>
      <w:sz w:val="21"/>
    </w:rPr>
  </w:style>
  <w:style w:type="character" w:styleId="21">
    <w:name w:val="footnote reference"/>
    <w:autoRedefine/>
    <w:qFormat/>
    <w:uiPriority w:val="0"/>
    <w:rPr>
      <w:vertAlign w:val="superscript"/>
    </w:rPr>
  </w:style>
  <w:style w:type="paragraph" w:customStyle="1" w:styleId="22">
    <w:name w:val="BodyText2"/>
    <w:basedOn w:val="1"/>
    <w:autoRedefine/>
    <w:qFormat/>
    <w:uiPriority w:val="0"/>
    <w:pPr>
      <w:spacing w:after="120" w:line="480" w:lineRule="auto"/>
      <w:textAlignment w:val="baseline"/>
    </w:pPr>
    <w:rPr>
      <w:rFonts w:ascii="Calibri" w:hAnsi="Calibri" w:eastAsia="宋体" w:cs="Times New Roman"/>
      <w:sz w:val="32"/>
      <w:szCs w:val="32"/>
      <w:lang w:bidi="ar-SA"/>
    </w:rPr>
  </w:style>
  <w:style w:type="paragraph" w:customStyle="1" w:styleId="23">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4">
    <w:name w:val="标题 7 字符"/>
    <w:link w:val="6"/>
    <w:autoRedefine/>
    <w:qFormat/>
    <w:uiPriority w:val="0"/>
    <w:rPr>
      <w:rFonts w:eastAsia="宋体"/>
      <w:b/>
      <w:bCs/>
      <w:kern w:val="2"/>
      <w:sz w:val="24"/>
      <w:szCs w:val="24"/>
    </w:rPr>
  </w:style>
  <w:style w:type="character" w:customStyle="1" w:styleId="25">
    <w:name w:val="批注文字 字符"/>
    <w:link w:val="7"/>
    <w:autoRedefine/>
    <w:semiHidden/>
    <w:qFormat/>
    <w:uiPriority w:val="99"/>
    <w:rPr>
      <w:rFonts w:ascii="Calibri" w:hAnsi="Calibri" w:eastAsia="宋体"/>
      <w:kern w:val="2"/>
      <w:sz w:val="21"/>
      <w:szCs w:val="21"/>
    </w:rPr>
  </w:style>
  <w:style w:type="character" w:customStyle="1" w:styleId="26">
    <w:name w:val="批注框文本 字符"/>
    <w:link w:val="8"/>
    <w:autoRedefine/>
    <w:semiHidden/>
    <w:qFormat/>
    <w:uiPriority w:val="99"/>
    <w:rPr>
      <w:rFonts w:eastAsia="宋体"/>
      <w:kern w:val="2"/>
      <w:sz w:val="18"/>
      <w:szCs w:val="18"/>
    </w:rPr>
  </w:style>
  <w:style w:type="character" w:customStyle="1" w:styleId="27">
    <w:name w:val="页脚 字符"/>
    <w:link w:val="9"/>
    <w:autoRedefine/>
    <w:qFormat/>
    <w:locked/>
    <w:uiPriority w:val="99"/>
    <w:rPr>
      <w:rFonts w:eastAsia="宋体"/>
      <w:kern w:val="2"/>
      <w:sz w:val="18"/>
      <w:szCs w:val="18"/>
    </w:rPr>
  </w:style>
  <w:style w:type="paragraph" w:customStyle="1" w:styleId="28">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29">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0">
    <w:name w:val="标准文件_段"/>
    <w:link w:val="31"/>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character" w:customStyle="1" w:styleId="31">
    <w:name w:val="标准文件_段 Char"/>
    <w:link w:val="30"/>
    <w:autoRedefine/>
    <w:qFormat/>
    <w:uiPriority w:val="0"/>
    <w:rPr>
      <w:rFonts w:ascii="宋体" w:eastAsia="宋体"/>
      <w:sz w:val="21"/>
    </w:rPr>
  </w:style>
  <w:style w:type="paragraph" w:customStyle="1" w:styleId="32">
    <w:name w:val="标准文件_章标题"/>
    <w:next w:val="30"/>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3">
    <w:name w:val="标准文件_二级条标题"/>
    <w:next w:val="30"/>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4">
    <w:name w:val="标准文件_一级条标题"/>
    <w:basedOn w:val="32"/>
    <w:next w:val="30"/>
    <w:autoRedefine/>
    <w:qFormat/>
    <w:uiPriority w:val="0"/>
    <w:pPr>
      <w:numPr>
        <w:ilvl w:val="2"/>
        <w:numId w:val="1"/>
      </w:numPr>
      <w:spacing w:before="50" w:beforeLines="0" w:after="50" w:afterLines="0"/>
      <w:outlineLvl w:val="1"/>
    </w:pPr>
  </w:style>
  <w:style w:type="paragraph" w:customStyle="1" w:styleId="35">
    <w:name w:val="标准文件_三级条标题"/>
    <w:basedOn w:val="33"/>
    <w:next w:val="30"/>
    <w:autoRedefine/>
    <w:qFormat/>
    <w:uiPriority w:val="0"/>
    <w:pPr>
      <w:numPr>
        <w:ilvl w:val="4"/>
        <w:numId w:val="1"/>
      </w:numPr>
      <w:spacing w:before="50" w:beforeLines="50" w:after="50" w:afterLines="50"/>
      <w:jc w:val="both"/>
      <w:outlineLvl w:val="3"/>
    </w:pPr>
    <w:rPr>
      <w:rFonts w:ascii="黑体" w:eastAsia="黑体"/>
      <w:sz w:val="21"/>
      <w:lang w:val="en-US" w:eastAsia="zh-CN" w:bidi="ar-SA"/>
    </w:rPr>
  </w:style>
  <w:style w:type="paragraph" w:customStyle="1" w:styleId="36">
    <w:name w:val="标准文件_四级条标题"/>
    <w:next w:val="30"/>
    <w:autoRedefine/>
    <w:qFormat/>
    <w:uiPriority w:val="0"/>
    <w:pPr>
      <w:widowControl w:val="0"/>
      <w:numPr>
        <w:ilvl w:val="5"/>
        <w:numId w:val="1"/>
      </w:numPr>
      <w:spacing w:before="50" w:beforeLines="50" w:after="50" w:afterLines="50"/>
      <w:jc w:val="both"/>
      <w:outlineLvl w:val="4"/>
    </w:pPr>
    <w:rPr>
      <w:rFonts w:ascii="黑体" w:hAnsi="Calibri" w:eastAsia="黑体" w:cs="Calibri"/>
      <w:sz w:val="21"/>
      <w:lang w:val="en-US" w:eastAsia="zh-CN" w:bidi="ar-SA"/>
    </w:rPr>
  </w:style>
  <w:style w:type="paragraph" w:customStyle="1" w:styleId="37">
    <w:name w:val="标准文件_五级条标题"/>
    <w:next w:val="33"/>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38">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39">
    <w:name w:val="标准文件_四级无标题"/>
    <w:basedOn w:val="36"/>
    <w:autoRedefine/>
    <w:qFormat/>
    <w:uiPriority w:val="0"/>
    <w:pPr>
      <w:widowControl w:val="0"/>
      <w:numPr>
        <w:ilvl w:val="5"/>
        <w:numId w:val="1"/>
      </w:numPr>
      <w:spacing w:before="50" w:after="50"/>
      <w:jc w:val="both"/>
    </w:pPr>
    <w:rPr>
      <w:rFonts w:ascii="宋体" w:hAnsi="Calibri" w:eastAsia="宋体" w:cs="Calibri"/>
      <w:sz w:val="21"/>
      <w:szCs w:val="52"/>
      <w:lang w:val="en-US" w:eastAsia="zh-CN" w:bidi="ar-SA"/>
    </w:rPr>
  </w:style>
  <w:style w:type="paragraph" w:customStyle="1" w:styleId="40">
    <w:name w:val="标准文件_三级无标题"/>
    <w:basedOn w:val="35"/>
    <w:autoRedefine/>
    <w:qFormat/>
    <w:uiPriority w:val="0"/>
    <w:pPr>
      <w:numPr>
        <w:ilvl w:val="4"/>
        <w:numId w:val="1"/>
      </w:numPr>
      <w:spacing w:before="50" w:after="50"/>
      <w:jc w:val="both"/>
    </w:pPr>
    <w:rPr>
      <w:rFonts w:ascii="宋体" w:eastAsia="宋体"/>
      <w:sz w:val="21"/>
      <w:lang w:val="en-US" w:eastAsia="zh-CN" w:bidi="ar-SA"/>
    </w:rPr>
  </w:style>
  <w:style w:type="paragraph" w:customStyle="1" w:styleId="41">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2">
    <w:name w:val="font11"/>
    <w:autoRedefine/>
    <w:qFormat/>
    <w:uiPriority w:val="0"/>
    <w:rPr>
      <w:rFonts w:ascii="等线" w:eastAsia="等线"/>
      <w:b/>
      <w:bCs/>
      <w:color w:val="FF0000"/>
      <w:sz w:val="22"/>
      <w:szCs w:val="22"/>
      <w:u w:val="none"/>
    </w:rPr>
  </w:style>
  <w:style w:type="character" w:customStyle="1" w:styleId="43">
    <w:name w:val="font01"/>
    <w:autoRedefine/>
    <w:qFormat/>
    <w:uiPriority w:val="0"/>
    <w:rPr>
      <w:rFonts w:ascii="等线" w:eastAsia="等线"/>
      <w:color w:val="000000"/>
      <w:sz w:val="22"/>
      <w:szCs w:val="22"/>
      <w:u w:val="none"/>
    </w:rPr>
  </w:style>
  <w:style w:type="paragraph" w:customStyle="1" w:styleId="44">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5">
    <w:name w:val="二级无"/>
    <w:basedOn w:val="1"/>
    <w:autoRedefine/>
    <w:qFormat/>
    <w:uiPriority w:val="0"/>
    <w:pPr>
      <w:widowControl/>
      <w:numPr>
        <w:ilvl w:val="2"/>
        <w:numId w:val="3"/>
      </w:numPr>
      <w:tabs>
        <w:tab w:val="left" w:pos="780"/>
      </w:tabs>
      <w:jc w:val="left"/>
      <w:outlineLvl w:val="3"/>
    </w:pPr>
    <w:rPr>
      <w:rFonts w:ascii="宋体"/>
      <w:kern w:val="0"/>
      <w:szCs w:val="21"/>
    </w:rPr>
  </w:style>
  <w:style w:type="paragraph" w:customStyle="1" w:styleId="46">
    <w:name w:val="标准文件_二级无标题"/>
    <w:basedOn w:val="33"/>
    <w:autoRedefine/>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47">
    <w:name w:val="Char Char Char Char"/>
    <w:basedOn w:val="1"/>
    <w:autoRedefine/>
    <w:qFormat/>
    <w:uiPriority w:val="0"/>
  </w:style>
  <w:style w:type="paragraph" w:customStyle="1" w:styleId="48">
    <w:name w:val="标准文件_数字编号列项（二级）"/>
    <w:autoRedefine/>
    <w:qFormat/>
    <w:uiPriority w:val="0"/>
    <w:pPr>
      <w:numPr>
        <w:ilvl w:val="1"/>
        <w:numId w:val="5"/>
      </w:numPr>
      <w:jc w:val="both"/>
    </w:pPr>
    <w:rPr>
      <w:rFonts w:ascii="宋体" w:hAnsi="Calibri" w:eastAsia="宋体" w:cs="Calibri"/>
      <w:sz w:val="21"/>
      <w:lang w:val="en-US" w:eastAsia="zh-CN" w:bidi="ar-SA"/>
    </w:rPr>
  </w:style>
  <w:style w:type="paragraph" w:customStyle="1" w:styleId="49">
    <w:name w:val="标准文件_编号列项（三级）"/>
    <w:autoRedefine/>
    <w:qFormat/>
    <w:uiPriority w:val="0"/>
    <w:pPr>
      <w:numPr>
        <w:ilvl w:val="2"/>
        <w:numId w:val="5"/>
      </w:numPr>
    </w:pPr>
    <w:rPr>
      <w:rFonts w:ascii="宋体" w:hAnsi="Calibri" w:eastAsia="宋体" w:cs="Calibri"/>
      <w:sz w:val="21"/>
      <w:lang w:val="en-US" w:eastAsia="zh-CN" w:bidi="ar-SA"/>
    </w:rPr>
  </w:style>
  <w:style w:type="paragraph" w:customStyle="1" w:styleId="50">
    <w:name w:val="标准文件_字母编号列项（一级）"/>
    <w:autoRedefine/>
    <w:qFormat/>
    <w:uiPriority w:val="0"/>
    <w:pPr>
      <w:numPr>
        <w:ilvl w:val="0"/>
        <w:numId w:val="5"/>
      </w:numPr>
      <w:jc w:val="both"/>
    </w:pPr>
    <w:rPr>
      <w:rFonts w:ascii="宋体" w:hAnsi="Calibri" w:eastAsia="宋体" w:cs="Calibri"/>
      <w:sz w:val="21"/>
      <w:lang w:val="en-US" w:eastAsia="zh-CN" w:bidi="ar-SA"/>
    </w:rPr>
  </w:style>
  <w:style w:type="paragraph" w:customStyle="1" w:styleId="51">
    <w:name w:val="标准文件_术语条一"/>
    <w:basedOn w:val="1"/>
    <w:next w:val="30"/>
    <w:autoRedefine/>
    <w:qFormat/>
    <w:uiPriority w:val="0"/>
    <w:pPr>
      <w:widowControl/>
    </w:pPr>
    <w:rPr>
      <w:rFonts w:ascii="宋体"/>
      <w:kern w:val="0"/>
      <w:szCs w:val="20"/>
    </w:rPr>
  </w:style>
  <w:style w:type="paragraph" w:customStyle="1" w:styleId="52">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3">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4">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5">
    <w:name w:val="标准文件_一级项"/>
    <w:autoRedefine/>
    <w:qFormat/>
    <w:uiPriority w:val="0"/>
    <w:pPr>
      <w:numPr>
        <w:ilvl w:val="0"/>
        <w:numId w:val="6"/>
      </w:numPr>
    </w:pPr>
    <w:rPr>
      <w:rFonts w:ascii="宋体" w:hAnsi="Times New Roman" w:eastAsia="宋体" w:cs="Times New Roman"/>
      <w:sz w:val="21"/>
      <w:lang w:val="en-US" w:eastAsia="zh-CN" w:bidi="ar-SA"/>
    </w:rPr>
  </w:style>
  <w:style w:type="paragraph" w:customStyle="1" w:styleId="56">
    <w:name w:val="标准文件_一级无标题"/>
    <w:basedOn w:val="34"/>
    <w:qFormat/>
    <w:uiPriority w:val="0"/>
    <w:pPr>
      <w:spacing w:before="0" w:beforeLines="0" w:after="0" w:afterLines="0"/>
      <w:outlineLvl w:val="9"/>
    </w:pPr>
    <w:rPr>
      <w:rFonts w:ascii="宋体" w:eastAsia="宋体"/>
    </w:rPr>
  </w:style>
  <w:style w:type="character" w:customStyle="1" w:styleId="57">
    <w:name w:val="font51"/>
    <w:basedOn w:val="16"/>
    <w:qFormat/>
    <w:uiPriority w:val="0"/>
    <w:rPr>
      <w:rFonts w:hint="eastAsia" w:ascii="宋体" w:hAnsi="宋体" w:eastAsia="宋体" w:cs="宋体"/>
      <w:color w:val="36363D"/>
      <w:sz w:val="20"/>
      <w:szCs w:val="20"/>
      <w:u w:val="none"/>
    </w:rPr>
  </w:style>
  <w:style w:type="character" w:customStyle="1" w:styleId="58">
    <w:name w:val="font41"/>
    <w:basedOn w:val="16"/>
    <w:qFormat/>
    <w:uiPriority w:val="0"/>
    <w:rPr>
      <w:rFonts w:hint="eastAsia" w:ascii="宋体" w:hAnsi="宋体" w:eastAsia="宋体" w:cs="宋体"/>
      <w:b/>
      <w:bCs/>
      <w:color w:val="36363D"/>
      <w:sz w:val="20"/>
      <w:szCs w:val="20"/>
      <w:u w:val="none"/>
    </w:rPr>
  </w:style>
  <w:style w:type="character" w:customStyle="1" w:styleId="59">
    <w:name w:val="font31"/>
    <w:basedOn w:val="16"/>
    <w:qFormat/>
    <w:uiPriority w:val="0"/>
    <w:rPr>
      <w:rFonts w:hint="eastAsia" w:ascii="宋体" w:hAnsi="宋体" w:eastAsia="宋体" w:cs="宋体"/>
      <w:b/>
      <w:bCs/>
      <w:color w:val="36363D"/>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7334</Words>
  <Characters>7718</Characters>
  <Lines>140</Lines>
  <Paragraphs>39</Paragraphs>
  <TotalTime>2</TotalTime>
  <ScaleCrop>false</ScaleCrop>
  <LinksUpToDate>false</LinksUpToDate>
  <CharactersWithSpaces>7755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2023-11-07T15:48:00Z</dcterms:created>
  <dc:creator>Administrator</dc:creator>
  <cp:lastModifiedBy>XIEX</cp:lastModifiedBy>
  <cp:lastPrinted>2025-06-12T03:01:00Z</cp:lastPrinted>
  <dcterms:modified xsi:type="dcterms:W3CDTF">2026-03-31T06:46:58Z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A922D90BF3B641DA8C66AE267C36FA1E_13</vt:lpwstr>
  </property>
  <property fmtid="{D5CDD505-2E9C-101B-9397-08002B2CF9AE}" pid="4" name="KSOTemplateDocerSaveRecord">
    <vt:lpwstr>eyJoZGlkIjoiNmU0OWNhMGUyYzc2MTI5ZWY2NzM4MTVkMDAwODg0YzMiLCJ1c2VySWQiOiI2ODM5ODUzMDMifQ==</vt:lpwstr>
  </property>
</Properties>
</file>