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90BAA1">
      <w:pPr>
        <w:spacing w:line="520" w:lineRule="exact"/>
        <w:ind w:firstLine="720" w:firstLineChars="200"/>
        <w:jc w:val="center"/>
        <w:rPr>
          <w:rFonts w:hint="eastAsia" w:ascii="黑体" w:eastAsia="黑体" w:cs="仿宋_GB2312"/>
          <w:color w:val="auto"/>
          <w:sz w:val="36"/>
          <w:szCs w:val="36"/>
          <w:lang w:eastAsia="zh-CN"/>
        </w:rPr>
      </w:pPr>
      <w:r>
        <w:rPr>
          <w:rFonts w:hint="eastAsia" w:ascii="黑体" w:eastAsia="黑体" w:cs="仿宋_GB2312"/>
          <w:color w:val="auto"/>
          <w:sz w:val="36"/>
          <w:szCs w:val="36"/>
          <w:lang w:eastAsia="zh-CN"/>
        </w:rPr>
        <w:t>团体标准《医疗护理员精神分裂症患者照护规范》</w:t>
      </w:r>
    </w:p>
    <w:p w14:paraId="2DA85B2C">
      <w:pPr>
        <w:spacing w:line="520" w:lineRule="exact"/>
        <w:ind w:firstLine="720" w:firstLineChars="200"/>
        <w:jc w:val="center"/>
        <w:rPr>
          <w:rFonts w:hint="eastAsia" w:ascii="黑体" w:eastAsia="黑体" w:cs="仿宋_GB2312"/>
          <w:color w:val="auto"/>
          <w:sz w:val="36"/>
          <w:szCs w:val="36"/>
        </w:rPr>
      </w:pPr>
      <w:r>
        <w:rPr>
          <w:rFonts w:hint="eastAsia" w:ascii="黑体" w:eastAsia="黑体" w:cs="仿宋_GB2312"/>
          <w:color w:val="auto"/>
          <w:sz w:val="36"/>
          <w:szCs w:val="36"/>
          <w:lang w:eastAsia="zh-CN"/>
        </w:rPr>
        <w:t>（征求意见</w:t>
      </w:r>
      <w:r>
        <w:rPr>
          <w:rFonts w:hint="eastAsia" w:ascii="黑体" w:eastAsia="黑体" w:cs="仿宋_GB2312"/>
          <w:color w:val="auto"/>
          <w:sz w:val="36"/>
          <w:szCs w:val="36"/>
        </w:rPr>
        <w:t>稿）编制说明</w:t>
      </w:r>
    </w:p>
    <w:p w14:paraId="5C534F24">
      <w:pPr>
        <w:jc w:val="center"/>
        <w:rPr>
          <w:rFonts w:hint="eastAsia" w:ascii="方正小标宋简体" w:eastAsia="方正小标宋简体" w:cs="仿宋_GB2312"/>
          <w:bCs/>
          <w:color w:val="auto"/>
          <w:sz w:val="18"/>
          <w:szCs w:val="18"/>
        </w:rPr>
      </w:pPr>
    </w:p>
    <w:p w14:paraId="2E0749D1">
      <w:pPr>
        <w:spacing w:line="520" w:lineRule="exact"/>
        <w:ind w:firstLine="640" w:firstLineChars="200"/>
        <w:rPr>
          <w:rFonts w:hint="eastAsia" w:ascii="黑体" w:eastAsia="黑体" w:cs="仿宋_GB2312"/>
          <w:bCs/>
          <w:color w:val="auto"/>
          <w:sz w:val="32"/>
          <w:szCs w:val="32"/>
        </w:rPr>
      </w:pPr>
      <w:r>
        <w:rPr>
          <w:rFonts w:hint="eastAsia" w:ascii="黑体" w:eastAsia="黑体" w:cs="仿宋_GB2312"/>
          <w:color w:val="auto"/>
          <w:sz w:val="32"/>
          <w:szCs w:val="32"/>
        </w:rPr>
        <w:t>一、任务来源、起草单位、主要起草人</w:t>
      </w:r>
    </w:p>
    <w:p w14:paraId="2F6512C4">
      <w:pPr>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rPr>
        <w:t>根据《广西标准化协会关于下达202</w:t>
      </w:r>
      <w:r>
        <w:rPr>
          <w:rFonts w:hint="eastAsia" w:ascii="仿宋_GB2312" w:eastAsia="仿宋_GB2312"/>
          <w:color w:val="auto"/>
          <w:sz w:val="28"/>
          <w:szCs w:val="28"/>
          <w:lang w:val="en-US" w:eastAsia="zh-CN"/>
        </w:rPr>
        <w:t>6</w:t>
      </w:r>
      <w:r>
        <w:rPr>
          <w:rFonts w:hint="eastAsia" w:ascii="仿宋_GB2312" w:eastAsia="仿宋_GB2312"/>
          <w:color w:val="auto"/>
          <w:sz w:val="28"/>
          <w:szCs w:val="28"/>
        </w:rPr>
        <w:t>年第</w:t>
      </w:r>
      <w:r>
        <w:rPr>
          <w:rFonts w:hint="eastAsia" w:ascii="仿宋_GB2312" w:eastAsia="仿宋_GB2312"/>
          <w:color w:val="auto"/>
          <w:sz w:val="28"/>
          <w:szCs w:val="28"/>
          <w:lang w:val="en-US" w:eastAsia="zh-CN"/>
        </w:rPr>
        <w:t>六</w:t>
      </w:r>
      <w:r>
        <w:rPr>
          <w:rFonts w:hint="eastAsia" w:ascii="仿宋_GB2312" w:eastAsia="仿宋_GB2312"/>
          <w:color w:val="auto"/>
          <w:sz w:val="28"/>
          <w:szCs w:val="28"/>
        </w:rPr>
        <w:t>批团体标准制修订项目计划的通知》（桂标协〔202</w:t>
      </w:r>
      <w:r>
        <w:rPr>
          <w:rFonts w:hint="eastAsia" w:ascii="仿宋_GB2312" w:eastAsia="仿宋_GB2312"/>
          <w:color w:val="auto"/>
          <w:sz w:val="28"/>
          <w:szCs w:val="28"/>
          <w:lang w:val="en-US" w:eastAsia="zh-CN"/>
        </w:rPr>
        <w:t>6</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71</w:t>
      </w:r>
      <w:r>
        <w:rPr>
          <w:rFonts w:hint="eastAsia" w:ascii="仿宋_GB2312" w:eastAsia="仿宋_GB2312"/>
          <w:color w:val="auto"/>
          <w:sz w:val="28"/>
          <w:szCs w:val="28"/>
        </w:rPr>
        <w:t>号）文件精神，由南宁市第五人民医院提出，南宁市第五人民医院、广州医科大学附属脑科医院、广西壮族自治区脑科医院、广西壮族自治区人民医院、南宁市社会福利医院、桂林社会福利医院、河池市荣军优抚医院（河池市第四人民医院）等单位共同起草的团体标准《医疗护理员精神分裂症患者照护规范》（项目编号：202</w:t>
      </w:r>
      <w:r>
        <w:rPr>
          <w:rFonts w:hint="eastAsia" w:ascii="仿宋_GB2312" w:eastAsia="仿宋_GB2312"/>
          <w:color w:val="auto"/>
          <w:sz w:val="28"/>
          <w:szCs w:val="28"/>
          <w:lang w:val="en-US" w:eastAsia="zh-CN"/>
        </w:rPr>
        <w:t>6</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0610</w:t>
      </w:r>
      <w:r>
        <w:rPr>
          <w:rFonts w:hint="eastAsia" w:ascii="仿宋_GB2312" w:eastAsia="仿宋_GB2312"/>
          <w:color w:val="auto"/>
          <w:sz w:val="28"/>
          <w:szCs w:val="28"/>
        </w:rPr>
        <w:t>），已获立项</w:t>
      </w:r>
      <w:r>
        <w:rPr>
          <w:rFonts w:hint="eastAsia" w:ascii="仿宋_GB2312" w:eastAsia="仿宋_GB2312"/>
          <w:color w:val="auto"/>
          <w:sz w:val="28"/>
          <w:szCs w:val="28"/>
          <w:lang w:eastAsia="zh-CN"/>
        </w:rPr>
        <w:t>。</w:t>
      </w:r>
    </w:p>
    <w:p w14:paraId="798FBBC6">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为高质量编制团体标准《医疗护理员精神分裂症患者照护规范》，标准起草小组并进行如下分工：</w:t>
      </w:r>
    </w:p>
    <w:tbl>
      <w:tblPr>
        <w:tblStyle w:val="14"/>
        <w:tblW w:w="509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45"/>
        <w:gridCol w:w="1526"/>
        <w:gridCol w:w="1545"/>
        <w:gridCol w:w="1941"/>
        <w:gridCol w:w="3189"/>
      </w:tblGrid>
      <w:tr w14:paraId="101980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12" w:type="pct"/>
            <w:tcBorders>
              <w:top w:val="single" w:color="auto" w:sz="4" w:space="0"/>
              <w:bottom w:val="single" w:color="auto" w:sz="4" w:space="0"/>
            </w:tcBorders>
            <w:noWrap w:val="0"/>
            <w:vAlign w:val="center"/>
          </w:tcPr>
          <w:p w14:paraId="527C3C9B">
            <w:pPr>
              <w:jc w:val="center"/>
              <w:rPr>
                <w:rFonts w:hint="eastAsia" w:ascii="仿宋" w:hAnsi="仿宋" w:eastAsia="仿宋"/>
                <w:b/>
                <w:sz w:val="24"/>
              </w:rPr>
            </w:pPr>
            <w:r>
              <w:rPr>
                <w:rFonts w:hint="eastAsia" w:ascii="仿宋" w:hAnsi="仿宋" w:eastAsia="仿宋"/>
                <w:b/>
                <w:sz w:val="24"/>
              </w:rPr>
              <w:t>姓名</w:t>
            </w:r>
          </w:p>
        </w:tc>
        <w:tc>
          <w:tcPr>
            <w:tcW w:w="816" w:type="pct"/>
            <w:tcBorders>
              <w:top w:val="single" w:color="auto" w:sz="4" w:space="0"/>
              <w:bottom w:val="single" w:color="auto" w:sz="4" w:space="0"/>
            </w:tcBorders>
            <w:noWrap w:val="0"/>
            <w:vAlign w:val="center"/>
          </w:tcPr>
          <w:p w14:paraId="4336CE61">
            <w:pPr>
              <w:jc w:val="center"/>
              <w:rPr>
                <w:rFonts w:hint="eastAsia" w:ascii="仿宋" w:hAnsi="仿宋" w:eastAsia="仿宋"/>
                <w:b/>
                <w:sz w:val="24"/>
              </w:rPr>
            </w:pPr>
            <w:r>
              <w:rPr>
                <w:rFonts w:hint="eastAsia" w:ascii="仿宋" w:hAnsi="仿宋" w:eastAsia="仿宋"/>
                <w:b/>
                <w:sz w:val="24"/>
              </w:rPr>
              <w:t>职务/职称</w:t>
            </w:r>
          </w:p>
        </w:tc>
        <w:tc>
          <w:tcPr>
            <w:tcW w:w="826" w:type="pct"/>
            <w:tcBorders>
              <w:top w:val="single" w:color="auto" w:sz="4" w:space="0"/>
              <w:bottom w:val="single" w:color="auto" w:sz="4" w:space="0"/>
            </w:tcBorders>
            <w:noWrap w:val="0"/>
            <w:vAlign w:val="center"/>
          </w:tcPr>
          <w:p w14:paraId="2D1AC552">
            <w:pPr>
              <w:jc w:val="center"/>
              <w:rPr>
                <w:rFonts w:hint="eastAsia" w:ascii="仿宋" w:hAnsi="仿宋" w:eastAsia="仿宋"/>
                <w:b/>
                <w:sz w:val="24"/>
              </w:rPr>
            </w:pPr>
            <w:r>
              <w:rPr>
                <w:rFonts w:hint="eastAsia" w:ascii="仿宋" w:hAnsi="仿宋" w:eastAsia="仿宋"/>
                <w:b/>
                <w:sz w:val="24"/>
              </w:rPr>
              <w:t>从事专业</w:t>
            </w:r>
          </w:p>
        </w:tc>
        <w:tc>
          <w:tcPr>
            <w:tcW w:w="1038" w:type="pct"/>
            <w:tcBorders>
              <w:top w:val="single" w:color="auto" w:sz="4" w:space="0"/>
              <w:bottom w:val="single" w:color="auto" w:sz="4" w:space="0"/>
            </w:tcBorders>
            <w:noWrap w:val="0"/>
            <w:vAlign w:val="center"/>
          </w:tcPr>
          <w:p w14:paraId="75D8A107">
            <w:pPr>
              <w:jc w:val="center"/>
              <w:rPr>
                <w:rFonts w:hint="eastAsia" w:ascii="仿宋" w:hAnsi="仿宋" w:eastAsia="仿宋"/>
                <w:b/>
                <w:sz w:val="24"/>
              </w:rPr>
            </w:pPr>
            <w:r>
              <w:rPr>
                <w:rFonts w:hint="eastAsia" w:ascii="仿宋" w:hAnsi="仿宋" w:eastAsia="仿宋"/>
                <w:b/>
                <w:sz w:val="24"/>
              </w:rPr>
              <w:t>工作单位</w:t>
            </w:r>
          </w:p>
        </w:tc>
        <w:tc>
          <w:tcPr>
            <w:tcW w:w="1705" w:type="pct"/>
            <w:tcBorders>
              <w:top w:val="single" w:color="auto" w:sz="4" w:space="0"/>
              <w:bottom w:val="single" w:color="auto" w:sz="4" w:space="0"/>
            </w:tcBorders>
            <w:noWrap w:val="0"/>
            <w:vAlign w:val="center"/>
          </w:tcPr>
          <w:p w14:paraId="092C188F">
            <w:pPr>
              <w:jc w:val="center"/>
              <w:rPr>
                <w:rFonts w:hint="eastAsia" w:ascii="仿宋" w:hAnsi="仿宋" w:eastAsia="仿宋"/>
                <w:b/>
                <w:sz w:val="24"/>
              </w:rPr>
            </w:pPr>
            <w:r>
              <w:rPr>
                <w:rFonts w:hint="eastAsia" w:ascii="仿宋" w:hAnsi="仿宋" w:eastAsia="仿宋"/>
                <w:b/>
                <w:sz w:val="24"/>
              </w:rPr>
              <w:t>责任分工</w:t>
            </w:r>
          </w:p>
        </w:tc>
      </w:tr>
      <w:tr w14:paraId="588377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12" w:type="pct"/>
            <w:tcBorders>
              <w:top w:val="single" w:color="auto" w:sz="4" w:space="0"/>
              <w:left w:val="single" w:color="auto" w:sz="4" w:space="0"/>
              <w:bottom w:val="single" w:color="auto" w:sz="4" w:space="0"/>
            </w:tcBorders>
            <w:noWrap w:val="0"/>
            <w:vAlign w:val="center"/>
          </w:tcPr>
          <w:p w14:paraId="46E23B9D">
            <w:pPr>
              <w:jc w:val="center"/>
              <w:rPr>
                <w:rFonts w:hint="eastAsia"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CN" w:bidi="ar"/>
              </w:rPr>
              <w:t>郑丹丹</w:t>
            </w:r>
          </w:p>
        </w:tc>
        <w:tc>
          <w:tcPr>
            <w:tcW w:w="816" w:type="pct"/>
            <w:tcBorders>
              <w:top w:val="single" w:color="auto" w:sz="4" w:space="0"/>
              <w:bottom w:val="single" w:color="auto" w:sz="4" w:space="0"/>
            </w:tcBorders>
            <w:noWrap w:val="0"/>
            <w:vAlign w:val="center"/>
          </w:tcPr>
          <w:p w14:paraId="1F869056">
            <w:pPr>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副院长/主任护师</w:t>
            </w:r>
          </w:p>
        </w:tc>
        <w:tc>
          <w:tcPr>
            <w:tcW w:w="826" w:type="pct"/>
            <w:tcBorders>
              <w:top w:val="single" w:color="auto" w:sz="4" w:space="0"/>
              <w:bottom w:val="single" w:color="auto" w:sz="4" w:space="0"/>
            </w:tcBorders>
            <w:noWrap w:val="0"/>
            <w:vAlign w:val="center"/>
          </w:tcPr>
          <w:p w14:paraId="4AB4C5CD">
            <w:pPr>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kern w:val="2"/>
                <w:sz w:val="24"/>
                <w:szCs w:val="24"/>
                <w:lang w:val="en-US" w:eastAsia="zh-CN" w:bidi="ar"/>
              </w:rPr>
              <w:t>护理管理</w:t>
            </w:r>
          </w:p>
        </w:tc>
        <w:tc>
          <w:tcPr>
            <w:tcW w:w="1038" w:type="pct"/>
            <w:tcBorders>
              <w:top w:val="single" w:color="auto" w:sz="4" w:space="0"/>
              <w:bottom w:val="single" w:color="auto" w:sz="4" w:space="0"/>
            </w:tcBorders>
            <w:noWrap w:val="0"/>
            <w:vAlign w:val="center"/>
          </w:tcPr>
          <w:p w14:paraId="7D71BC67">
            <w:pPr>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南宁市第五人民医院</w:t>
            </w:r>
          </w:p>
        </w:tc>
        <w:tc>
          <w:tcPr>
            <w:tcW w:w="1705" w:type="pct"/>
            <w:tcBorders>
              <w:top w:val="single" w:color="auto" w:sz="4" w:space="0"/>
              <w:bottom w:val="single" w:color="auto" w:sz="4" w:space="0"/>
              <w:right w:val="single" w:color="auto" w:sz="4" w:space="0"/>
            </w:tcBorders>
            <w:noWrap w:val="0"/>
            <w:vAlign w:val="center"/>
          </w:tcPr>
          <w:p w14:paraId="10A9E1A0">
            <w:pPr>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统筹主持标准编制工作</w:t>
            </w:r>
          </w:p>
        </w:tc>
      </w:tr>
      <w:tr w14:paraId="4B6B02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12" w:type="pct"/>
            <w:tcBorders>
              <w:top w:val="single" w:color="auto" w:sz="4" w:space="0"/>
              <w:left w:val="single" w:color="auto" w:sz="4" w:space="0"/>
              <w:bottom w:val="single" w:color="auto" w:sz="4" w:space="0"/>
            </w:tcBorders>
            <w:noWrap w:val="0"/>
            <w:vAlign w:val="center"/>
          </w:tcPr>
          <w:p w14:paraId="43910061">
            <w:pPr>
              <w:jc w:val="center"/>
              <w:rPr>
                <w:rFonts w:hint="default"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CN" w:bidi="ar"/>
              </w:rPr>
              <w:t>磨丽莉</w:t>
            </w:r>
          </w:p>
        </w:tc>
        <w:tc>
          <w:tcPr>
            <w:tcW w:w="816" w:type="pct"/>
            <w:tcBorders>
              <w:top w:val="single" w:color="auto" w:sz="4" w:space="0"/>
              <w:bottom w:val="single" w:color="auto" w:sz="4" w:space="0"/>
            </w:tcBorders>
            <w:noWrap w:val="0"/>
            <w:vAlign w:val="center"/>
          </w:tcPr>
          <w:p w14:paraId="01DDC395">
            <w:pPr>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护理主任/主任护师</w:t>
            </w:r>
          </w:p>
        </w:tc>
        <w:tc>
          <w:tcPr>
            <w:tcW w:w="826" w:type="pct"/>
            <w:tcBorders>
              <w:top w:val="single" w:color="auto" w:sz="4" w:space="0"/>
              <w:bottom w:val="single" w:color="auto" w:sz="4" w:space="0"/>
            </w:tcBorders>
            <w:noWrap w:val="0"/>
            <w:vAlign w:val="center"/>
          </w:tcPr>
          <w:p w14:paraId="54004FA2">
            <w:pPr>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kern w:val="2"/>
                <w:sz w:val="24"/>
                <w:szCs w:val="24"/>
                <w:lang w:val="en-US" w:eastAsia="zh-CN" w:bidi="ar"/>
              </w:rPr>
              <w:t>护理管理</w:t>
            </w:r>
          </w:p>
        </w:tc>
        <w:tc>
          <w:tcPr>
            <w:tcW w:w="1038" w:type="pct"/>
            <w:tcBorders>
              <w:top w:val="single" w:color="auto" w:sz="4" w:space="0"/>
              <w:bottom w:val="single" w:color="auto" w:sz="4" w:space="0"/>
            </w:tcBorders>
            <w:noWrap w:val="0"/>
            <w:vAlign w:val="center"/>
          </w:tcPr>
          <w:p w14:paraId="0EB5A1B4">
            <w:pPr>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南宁市第五人民医院</w:t>
            </w:r>
          </w:p>
        </w:tc>
        <w:tc>
          <w:tcPr>
            <w:tcW w:w="1705" w:type="pct"/>
            <w:tcBorders>
              <w:top w:val="single" w:color="auto" w:sz="4" w:space="0"/>
              <w:bottom w:val="single" w:color="auto" w:sz="4" w:space="0"/>
              <w:right w:val="single" w:color="auto" w:sz="4" w:space="0"/>
            </w:tcBorders>
            <w:noWrap w:val="0"/>
            <w:vAlign w:val="center"/>
          </w:tcPr>
          <w:p w14:paraId="6D741CDF">
            <w:pPr>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对标准实施情况进行总结分析，不断对标准提出修正意见。</w:t>
            </w:r>
          </w:p>
        </w:tc>
      </w:tr>
      <w:tr w14:paraId="1D0561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12" w:type="pct"/>
            <w:tcBorders>
              <w:top w:val="single" w:color="auto" w:sz="4" w:space="0"/>
              <w:left w:val="single" w:color="auto" w:sz="4" w:space="0"/>
              <w:bottom w:val="single" w:color="auto" w:sz="4" w:space="0"/>
            </w:tcBorders>
            <w:noWrap w:val="0"/>
            <w:vAlign w:val="center"/>
          </w:tcPr>
          <w:p w14:paraId="584162EE">
            <w:pPr>
              <w:jc w:val="center"/>
              <w:rPr>
                <w:rFonts w:hint="default"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kern w:val="2"/>
                <w:sz w:val="24"/>
                <w:szCs w:val="24"/>
                <w:highlight w:val="none"/>
                <w:lang w:val="en-US" w:eastAsia="zh-CN" w:bidi="ar"/>
              </w:rPr>
              <w:t>廖海岑</w:t>
            </w:r>
          </w:p>
        </w:tc>
        <w:tc>
          <w:tcPr>
            <w:tcW w:w="816" w:type="pct"/>
            <w:tcBorders>
              <w:top w:val="single" w:color="auto" w:sz="4" w:space="0"/>
              <w:bottom w:val="single" w:color="auto" w:sz="4" w:space="0"/>
            </w:tcBorders>
            <w:noWrap w:val="0"/>
            <w:vAlign w:val="center"/>
          </w:tcPr>
          <w:p w14:paraId="457AA69E">
            <w:pPr>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kern w:val="2"/>
                <w:sz w:val="24"/>
                <w:szCs w:val="24"/>
                <w:lang w:val="en-US" w:eastAsia="zh-CN" w:bidi="ar"/>
              </w:rPr>
              <w:t>护理部副主任/副主任护师</w:t>
            </w:r>
          </w:p>
        </w:tc>
        <w:tc>
          <w:tcPr>
            <w:tcW w:w="826" w:type="pct"/>
            <w:tcBorders>
              <w:top w:val="single" w:color="auto" w:sz="4" w:space="0"/>
              <w:bottom w:val="single" w:color="auto" w:sz="4" w:space="0"/>
            </w:tcBorders>
            <w:noWrap w:val="0"/>
            <w:vAlign w:val="center"/>
          </w:tcPr>
          <w:p w14:paraId="5CC4513C">
            <w:pPr>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kern w:val="2"/>
                <w:sz w:val="24"/>
                <w:szCs w:val="24"/>
                <w:lang w:val="en-US" w:eastAsia="zh-CN" w:bidi="ar"/>
              </w:rPr>
              <w:t>护理管理、临床护理</w:t>
            </w:r>
          </w:p>
        </w:tc>
        <w:tc>
          <w:tcPr>
            <w:tcW w:w="1038" w:type="pct"/>
            <w:tcBorders>
              <w:top w:val="single" w:color="auto" w:sz="4" w:space="0"/>
              <w:bottom w:val="single" w:color="auto" w:sz="4" w:space="0"/>
            </w:tcBorders>
            <w:noWrap w:val="0"/>
            <w:vAlign w:val="center"/>
          </w:tcPr>
          <w:p w14:paraId="7095708C">
            <w:pPr>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kern w:val="2"/>
                <w:sz w:val="24"/>
                <w:szCs w:val="24"/>
                <w:lang w:val="en-US" w:eastAsia="zh-CN" w:bidi="ar"/>
              </w:rPr>
              <w:t>南宁市第五人民医院</w:t>
            </w:r>
          </w:p>
        </w:tc>
        <w:tc>
          <w:tcPr>
            <w:tcW w:w="1705" w:type="pct"/>
            <w:tcBorders>
              <w:top w:val="single" w:color="auto" w:sz="4" w:space="0"/>
              <w:bottom w:val="single" w:color="auto" w:sz="4" w:space="0"/>
              <w:right w:val="single" w:color="auto" w:sz="4" w:space="0"/>
            </w:tcBorders>
            <w:noWrap w:val="0"/>
            <w:vAlign w:val="center"/>
          </w:tcPr>
          <w:p w14:paraId="21F977CC">
            <w:pPr>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6B7443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12" w:type="pct"/>
            <w:tcBorders>
              <w:top w:val="single" w:color="auto" w:sz="4" w:space="0"/>
              <w:left w:val="single" w:color="auto" w:sz="4" w:space="0"/>
              <w:bottom w:val="single" w:color="auto" w:sz="4" w:space="0"/>
            </w:tcBorders>
            <w:noWrap w:val="0"/>
            <w:vAlign w:val="center"/>
          </w:tcPr>
          <w:p w14:paraId="4E2D9339">
            <w:pPr>
              <w:jc w:val="center"/>
              <w:rPr>
                <w:rFonts w:hint="default"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CN" w:bidi="ar"/>
              </w:rPr>
              <w:t>零枝</w:t>
            </w:r>
          </w:p>
        </w:tc>
        <w:tc>
          <w:tcPr>
            <w:tcW w:w="816" w:type="pct"/>
            <w:tcBorders>
              <w:top w:val="single" w:color="auto" w:sz="4" w:space="0"/>
              <w:bottom w:val="single" w:color="auto" w:sz="4" w:space="0"/>
            </w:tcBorders>
            <w:noWrap w:val="0"/>
            <w:vAlign w:val="center"/>
          </w:tcPr>
          <w:p w14:paraId="26571C4C">
            <w:pPr>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病区护士长/副主任护师</w:t>
            </w:r>
          </w:p>
        </w:tc>
        <w:tc>
          <w:tcPr>
            <w:tcW w:w="826" w:type="pct"/>
            <w:tcBorders>
              <w:top w:val="single" w:color="auto" w:sz="4" w:space="0"/>
              <w:bottom w:val="single" w:color="auto" w:sz="4" w:space="0"/>
            </w:tcBorders>
            <w:noWrap w:val="0"/>
            <w:vAlign w:val="center"/>
          </w:tcPr>
          <w:p w14:paraId="283429DF">
            <w:pPr>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护理管理、临床护理</w:t>
            </w:r>
          </w:p>
        </w:tc>
        <w:tc>
          <w:tcPr>
            <w:tcW w:w="1038" w:type="pct"/>
            <w:tcBorders>
              <w:top w:val="single" w:color="auto" w:sz="4" w:space="0"/>
              <w:bottom w:val="single" w:color="auto" w:sz="4" w:space="0"/>
            </w:tcBorders>
            <w:noWrap w:val="0"/>
            <w:vAlign w:val="center"/>
          </w:tcPr>
          <w:p w14:paraId="3432F3A7">
            <w:pPr>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 w:bidi="ar"/>
              </w:rPr>
              <w:t>南宁市第五人民医院</w:t>
            </w:r>
          </w:p>
        </w:tc>
        <w:tc>
          <w:tcPr>
            <w:tcW w:w="1705" w:type="pct"/>
            <w:tcBorders>
              <w:top w:val="single" w:color="auto" w:sz="4" w:space="0"/>
              <w:bottom w:val="single" w:color="auto" w:sz="4" w:space="0"/>
              <w:right w:val="single" w:color="auto" w:sz="4" w:space="0"/>
            </w:tcBorders>
            <w:noWrap w:val="0"/>
            <w:vAlign w:val="center"/>
          </w:tcPr>
          <w:p w14:paraId="5D635E85">
            <w:pPr>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64287F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12" w:type="pct"/>
            <w:tcBorders>
              <w:top w:val="single" w:color="auto" w:sz="4" w:space="0"/>
              <w:left w:val="single" w:color="auto" w:sz="4" w:space="0"/>
              <w:bottom w:val="single" w:color="auto" w:sz="4" w:space="0"/>
            </w:tcBorders>
            <w:noWrap w:val="0"/>
            <w:vAlign w:val="center"/>
          </w:tcPr>
          <w:p w14:paraId="54BC1CEC">
            <w:pPr>
              <w:jc w:val="center"/>
              <w:rPr>
                <w:rFonts w:hint="default"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 w:bidi="ar"/>
              </w:rPr>
              <w:t>陈静</w:t>
            </w:r>
          </w:p>
        </w:tc>
        <w:tc>
          <w:tcPr>
            <w:tcW w:w="816" w:type="pct"/>
            <w:tcBorders>
              <w:top w:val="single" w:color="auto" w:sz="4" w:space="0"/>
              <w:bottom w:val="single" w:color="auto" w:sz="4" w:space="0"/>
            </w:tcBorders>
            <w:noWrap w:val="0"/>
            <w:vAlign w:val="center"/>
          </w:tcPr>
          <w:p w14:paraId="62EE2B6F">
            <w:pPr>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病区护士长/副主任护师</w:t>
            </w:r>
          </w:p>
        </w:tc>
        <w:tc>
          <w:tcPr>
            <w:tcW w:w="826" w:type="pct"/>
            <w:tcBorders>
              <w:top w:val="single" w:color="auto" w:sz="4" w:space="0"/>
              <w:bottom w:val="single" w:color="auto" w:sz="4" w:space="0"/>
            </w:tcBorders>
            <w:noWrap w:val="0"/>
            <w:vAlign w:val="center"/>
          </w:tcPr>
          <w:p w14:paraId="08C11F61">
            <w:pPr>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护理管理、临床护理</w:t>
            </w:r>
          </w:p>
        </w:tc>
        <w:tc>
          <w:tcPr>
            <w:tcW w:w="1038" w:type="pct"/>
            <w:tcBorders>
              <w:top w:val="single" w:color="auto" w:sz="4" w:space="0"/>
              <w:bottom w:val="single" w:color="auto" w:sz="4" w:space="0"/>
            </w:tcBorders>
            <w:noWrap w:val="0"/>
            <w:vAlign w:val="center"/>
          </w:tcPr>
          <w:p w14:paraId="0057C858">
            <w:pPr>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南宁市第五人民医院</w:t>
            </w:r>
          </w:p>
        </w:tc>
        <w:tc>
          <w:tcPr>
            <w:tcW w:w="1705" w:type="pct"/>
            <w:tcBorders>
              <w:top w:val="single" w:color="auto" w:sz="4" w:space="0"/>
              <w:bottom w:val="single" w:color="auto" w:sz="4" w:space="0"/>
              <w:right w:val="single" w:color="auto" w:sz="4" w:space="0"/>
            </w:tcBorders>
            <w:noWrap w:val="0"/>
            <w:vAlign w:val="center"/>
          </w:tcPr>
          <w:p w14:paraId="0260266D">
            <w:pPr>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7870C6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12" w:type="pct"/>
            <w:tcBorders>
              <w:top w:val="single" w:color="auto" w:sz="4" w:space="0"/>
              <w:left w:val="single" w:color="auto" w:sz="4" w:space="0"/>
              <w:bottom w:val="single" w:color="auto" w:sz="4" w:space="0"/>
            </w:tcBorders>
            <w:noWrap w:val="0"/>
            <w:vAlign w:val="center"/>
          </w:tcPr>
          <w:p w14:paraId="6A6E71E0">
            <w:pPr>
              <w:jc w:val="center"/>
              <w:rPr>
                <w:rFonts w:hint="default"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 w:bidi="ar"/>
              </w:rPr>
              <w:t>吴娟娟</w:t>
            </w:r>
          </w:p>
        </w:tc>
        <w:tc>
          <w:tcPr>
            <w:tcW w:w="816" w:type="pct"/>
            <w:tcBorders>
              <w:top w:val="single" w:color="auto" w:sz="4" w:space="0"/>
              <w:bottom w:val="single" w:color="auto" w:sz="4" w:space="0"/>
            </w:tcBorders>
            <w:noWrap w:val="0"/>
            <w:vAlign w:val="center"/>
          </w:tcPr>
          <w:p w14:paraId="2BBB8B61">
            <w:pPr>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病区护士长/主管护师</w:t>
            </w:r>
          </w:p>
        </w:tc>
        <w:tc>
          <w:tcPr>
            <w:tcW w:w="826" w:type="pct"/>
            <w:tcBorders>
              <w:top w:val="single" w:color="auto" w:sz="4" w:space="0"/>
              <w:bottom w:val="single" w:color="auto" w:sz="4" w:space="0"/>
            </w:tcBorders>
            <w:noWrap w:val="0"/>
            <w:vAlign w:val="center"/>
          </w:tcPr>
          <w:p w14:paraId="4EA31C47">
            <w:pPr>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护理管理、临床护理</w:t>
            </w:r>
          </w:p>
        </w:tc>
        <w:tc>
          <w:tcPr>
            <w:tcW w:w="1038" w:type="pct"/>
            <w:tcBorders>
              <w:top w:val="single" w:color="auto" w:sz="4" w:space="0"/>
              <w:bottom w:val="single" w:color="auto" w:sz="4" w:space="0"/>
            </w:tcBorders>
            <w:noWrap w:val="0"/>
            <w:vAlign w:val="center"/>
          </w:tcPr>
          <w:p w14:paraId="114408AF">
            <w:pPr>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南宁市第五人民医院</w:t>
            </w:r>
          </w:p>
        </w:tc>
        <w:tc>
          <w:tcPr>
            <w:tcW w:w="1705" w:type="pct"/>
            <w:tcBorders>
              <w:top w:val="single" w:color="auto" w:sz="4" w:space="0"/>
              <w:bottom w:val="single" w:color="auto" w:sz="4" w:space="0"/>
              <w:right w:val="single" w:color="auto" w:sz="4" w:space="0"/>
            </w:tcBorders>
            <w:noWrap w:val="0"/>
            <w:vAlign w:val="center"/>
          </w:tcPr>
          <w:p w14:paraId="2A694AC0">
            <w:pPr>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3168AF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12" w:type="pct"/>
            <w:tcBorders>
              <w:top w:val="single" w:color="auto" w:sz="4" w:space="0"/>
              <w:left w:val="single" w:color="auto" w:sz="4" w:space="0"/>
              <w:bottom w:val="single" w:color="auto" w:sz="4" w:space="0"/>
            </w:tcBorders>
            <w:noWrap w:val="0"/>
            <w:vAlign w:val="center"/>
          </w:tcPr>
          <w:p w14:paraId="34540E0A">
            <w:pPr>
              <w:jc w:val="center"/>
              <w:rPr>
                <w:rFonts w:hint="default" w:ascii="仿宋_GB2312" w:hAnsi="仿宋_GB2312" w:eastAsia="仿宋_GB2312" w:cs="仿宋_GB2312"/>
                <w:color w:val="0000FF"/>
                <w:kern w:val="2"/>
                <w:sz w:val="24"/>
                <w:szCs w:val="24"/>
                <w:highlight w:val="none"/>
                <w:lang w:val="en-US" w:eastAsia="zh-CN" w:bidi="ar"/>
              </w:rPr>
            </w:pPr>
            <w:r>
              <w:rPr>
                <w:rFonts w:hint="eastAsia" w:ascii="仿宋_GB2312" w:hAnsi="仿宋_GB2312" w:eastAsia="仿宋_GB2312" w:cs="仿宋_GB2312"/>
                <w:sz w:val="24"/>
                <w:highlight w:val="none"/>
                <w:lang w:val="en-US" w:eastAsia="zh" w:bidi="ar"/>
              </w:rPr>
              <w:t>苏小青</w:t>
            </w:r>
          </w:p>
        </w:tc>
        <w:tc>
          <w:tcPr>
            <w:tcW w:w="816" w:type="pct"/>
            <w:tcBorders>
              <w:top w:val="single" w:color="auto" w:sz="4" w:space="0"/>
              <w:bottom w:val="single" w:color="auto" w:sz="4" w:space="0"/>
            </w:tcBorders>
            <w:noWrap w:val="0"/>
            <w:vAlign w:val="center"/>
          </w:tcPr>
          <w:p w14:paraId="1AE25A21">
            <w:pPr>
              <w:jc w:val="center"/>
              <w:rPr>
                <w:rFonts w:hint="eastAsia" w:ascii="仿宋_GB2312" w:hAnsi="仿宋_GB2312" w:eastAsia="仿宋_GB2312" w:cs="仿宋_GB2312"/>
                <w:color w:val="0000FF"/>
                <w:kern w:val="2"/>
                <w:sz w:val="24"/>
                <w:szCs w:val="24"/>
                <w:highlight w:val="none"/>
                <w:lang w:val="en-US" w:eastAsia="zh" w:bidi="ar"/>
              </w:rPr>
            </w:pPr>
            <w:r>
              <w:rPr>
                <w:rFonts w:hint="eastAsia" w:ascii="仿宋_GB2312" w:hAnsi="仿宋_GB2312" w:eastAsia="仿宋_GB2312" w:cs="仿宋_GB2312"/>
                <w:sz w:val="24"/>
                <w:lang w:eastAsia="zh" w:bidi="ar"/>
              </w:rPr>
              <w:t>病区护士长/副主任护师</w:t>
            </w:r>
          </w:p>
        </w:tc>
        <w:tc>
          <w:tcPr>
            <w:tcW w:w="826" w:type="pct"/>
            <w:tcBorders>
              <w:top w:val="single" w:color="auto" w:sz="4" w:space="0"/>
              <w:bottom w:val="single" w:color="auto" w:sz="4" w:space="0"/>
            </w:tcBorders>
            <w:noWrap w:val="0"/>
            <w:vAlign w:val="center"/>
          </w:tcPr>
          <w:p w14:paraId="300290FE">
            <w:pPr>
              <w:jc w:val="center"/>
              <w:rPr>
                <w:rFonts w:hint="eastAsia" w:ascii="仿宋_GB2312" w:hAnsi="仿宋_GB2312" w:eastAsia="仿宋_GB2312" w:cs="仿宋_GB2312"/>
                <w:color w:val="0000FF"/>
                <w:kern w:val="2"/>
                <w:sz w:val="24"/>
                <w:szCs w:val="24"/>
                <w:lang w:val="en-US" w:eastAsia="zh" w:bidi="ar"/>
              </w:rPr>
            </w:pPr>
            <w:r>
              <w:rPr>
                <w:rFonts w:hint="eastAsia" w:ascii="仿宋_GB2312" w:hAnsi="仿宋_GB2312" w:eastAsia="仿宋_GB2312" w:cs="仿宋_GB2312"/>
                <w:sz w:val="24"/>
                <w:lang w:eastAsia="zh" w:bidi="ar"/>
              </w:rPr>
              <w:t>护理管理、临床护理</w:t>
            </w:r>
          </w:p>
        </w:tc>
        <w:tc>
          <w:tcPr>
            <w:tcW w:w="1038" w:type="pct"/>
            <w:tcBorders>
              <w:top w:val="single" w:color="auto" w:sz="4" w:space="0"/>
              <w:bottom w:val="single" w:color="auto" w:sz="4" w:space="0"/>
            </w:tcBorders>
            <w:noWrap w:val="0"/>
            <w:vAlign w:val="center"/>
          </w:tcPr>
          <w:p w14:paraId="358F40DF">
            <w:pPr>
              <w:jc w:val="center"/>
              <w:rPr>
                <w:rFonts w:hint="eastAsia" w:ascii="仿宋_GB2312" w:hAnsi="仿宋_GB2312" w:eastAsia="仿宋_GB2312" w:cs="仿宋_GB2312"/>
                <w:color w:val="0000FF"/>
                <w:kern w:val="2"/>
                <w:sz w:val="24"/>
                <w:szCs w:val="24"/>
                <w:lang w:val="en-US" w:eastAsia="zh" w:bidi="ar"/>
              </w:rPr>
            </w:pPr>
            <w:r>
              <w:rPr>
                <w:rFonts w:hint="eastAsia" w:ascii="仿宋_GB2312" w:hAnsi="仿宋_GB2312" w:eastAsia="仿宋_GB2312" w:cs="仿宋_GB2312"/>
                <w:sz w:val="24"/>
                <w:lang w:eastAsia="zh" w:bidi="ar"/>
              </w:rPr>
              <w:t>南宁市第五人民医院</w:t>
            </w:r>
          </w:p>
        </w:tc>
        <w:tc>
          <w:tcPr>
            <w:tcW w:w="1705" w:type="pct"/>
            <w:tcBorders>
              <w:top w:val="single" w:color="auto" w:sz="4" w:space="0"/>
              <w:bottom w:val="single" w:color="auto" w:sz="4" w:space="0"/>
              <w:right w:val="single" w:color="auto" w:sz="4" w:space="0"/>
            </w:tcBorders>
            <w:noWrap w:val="0"/>
            <w:vAlign w:val="center"/>
          </w:tcPr>
          <w:p w14:paraId="4DE08359">
            <w:pPr>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1BAABF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12" w:type="pct"/>
            <w:tcBorders>
              <w:top w:val="single" w:color="auto" w:sz="4" w:space="0"/>
              <w:left w:val="single" w:color="auto" w:sz="4" w:space="0"/>
              <w:bottom w:val="single" w:color="auto" w:sz="4" w:space="0"/>
            </w:tcBorders>
            <w:noWrap w:val="0"/>
            <w:vAlign w:val="center"/>
          </w:tcPr>
          <w:p w14:paraId="19811826">
            <w:pPr>
              <w:jc w:val="center"/>
              <w:rPr>
                <w:rFonts w:hint="eastAsia" w:ascii="仿宋_GB2312" w:hAnsi="仿宋_GB2312" w:eastAsia="仿宋_GB2312" w:cs="仿宋_GB2312"/>
                <w:color w:val="0000FF"/>
                <w:kern w:val="2"/>
                <w:sz w:val="24"/>
                <w:szCs w:val="24"/>
                <w:highlight w:val="none"/>
                <w:lang w:val="en-US" w:eastAsia="zh" w:bidi="ar"/>
              </w:rPr>
            </w:pPr>
            <w:r>
              <w:rPr>
                <w:rFonts w:hint="eastAsia" w:ascii="仿宋_GB2312" w:hAnsi="仿宋_GB2312" w:eastAsia="仿宋_GB2312" w:cs="仿宋_GB2312"/>
                <w:sz w:val="24"/>
                <w:highlight w:val="none"/>
                <w:lang w:eastAsia="zh" w:bidi="ar"/>
              </w:rPr>
              <w:t>蒙慧琼</w:t>
            </w:r>
          </w:p>
        </w:tc>
        <w:tc>
          <w:tcPr>
            <w:tcW w:w="816" w:type="pct"/>
            <w:tcBorders>
              <w:top w:val="single" w:color="auto" w:sz="4" w:space="0"/>
              <w:bottom w:val="single" w:color="auto" w:sz="4" w:space="0"/>
            </w:tcBorders>
            <w:noWrap w:val="0"/>
            <w:vAlign w:val="center"/>
          </w:tcPr>
          <w:p w14:paraId="4AB47299">
            <w:pPr>
              <w:jc w:val="center"/>
              <w:rPr>
                <w:rFonts w:hint="eastAsia" w:ascii="仿宋_GB2312" w:hAnsi="仿宋_GB2312" w:eastAsia="仿宋_GB2312" w:cs="仿宋_GB2312"/>
                <w:color w:val="0000FF"/>
                <w:kern w:val="2"/>
                <w:sz w:val="24"/>
                <w:szCs w:val="24"/>
                <w:lang w:val="en-US" w:eastAsia="zh-CN" w:bidi="ar"/>
              </w:rPr>
            </w:pPr>
            <w:r>
              <w:rPr>
                <w:rFonts w:hint="eastAsia" w:ascii="仿宋_GB2312" w:hAnsi="仿宋_GB2312" w:eastAsia="仿宋_GB2312" w:cs="仿宋_GB2312"/>
                <w:sz w:val="24"/>
                <w:lang w:eastAsia="zh" w:bidi="ar"/>
              </w:rPr>
              <w:t>病区护士长/主管护师</w:t>
            </w:r>
          </w:p>
        </w:tc>
        <w:tc>
          <w:tcPr>
            <w:tcW w:w="826" w:type="pct"/>
            <w:tcBorders>
              <w:top w:val="single" w:color="auto" w:sz="4" w:space="0"/>
              <w:bottom w:val="single" w:color="auto" w:sz="4" w:space="0"/>
            </w:tcBorders>
            <w:noWrap w:val="0"/>
            <w:vAlign w:val="center"/>
          </w:tcPr>
          <w:p w14:paraId="1828C96F">
            <w:pPr>
              <w:jc w:val="center"/>
              <w:rPr>
                <w:rFonts w:hint="eastAsia" w:ascii="仿宋_GB2312" w:hAnsi="仿宋_GB2312" w:eastAsia="仿宋_GB2312" w:cs="仿宋_GB2312"/>
                <w:color w:val="0000FF"/>
                <w:kern w:val="2"/>
                <w:sz w:val="24"/>
                <w:szCs w:val="24"/>
                <w:lang w:val="en-US" w:eastAsia="zh" w:bidi="ar"/>
              </w:rPr>
            </w:pPr>
            <w:r>
              <w:rPr>
                <w:rFonts w:hint="eastAsia" w:ascii="仿宋_GB2312" w:hAnsi="仿宋_GB2312" w:eastAsia="仿宋_GB2312" w:cs="仿宋_GB2312"/>
                <w:sz w:val="24"/>
                <w:lang w:eastAsia="zh" w:bidi="ar"/>
              </w:rPr>
              <w:t>护理管理、临床护理</w:t>
            </w:r>
          </w:p>
        </w:tc>
        <w:tc>
          <w:tcPr>
            <w:tcW w:w="1038" w:type="pct"/>
            <w:tcBorders>
              <w:top w:val="single" w:color="auto" w:sz="4" w:space="0"/>
              <w:bottom w:val="single" w:color="auto" w:sz="4" w:space="0"/>
            </w:tcBorders>
            <w:noWrap w:val="0"/>
            <w:vAlign w:val="center"/>
          </w:tcPr>
          <w:p w14:paraId="5913F0E0">
            <w:pPr>
              <w:jc w:val="center"/>
              <w:rPr>
                <w:rFonts w:hint="eastAsia" w:ascii="仿宋_GB2312" w:hAnsi="仿宋_GB2312" w:eastAsia="仿宋_GB2312" w:cs="仿宋_GB2312"/>
                <w:color w:val="0000FF"/>
                <w:kern w:val="2"/>
                <w:sz w:val="24"/>
                <w:szCs w:val="24"/>
                <w:lang w:val="en-US" w:eastAsia="zh" w:bidi="ar"/>
              </w:rPr>
            </w:pPr>
            <w:r>
              <w:rPr>
                <w:rFonts w:hint="eastAsia" w:ascii="仿宋_GB2312" w:hAnsi="仿宋_GB2312" w:eastAsia="仿宋_GB2312" w:cs="仿宋_GB2312"/>
                <w:sz w:val="24"/>
                <w:lang w:eastAsia="zh" w:bidi="ar"/>
              </w:rPr>
              <w:t>南宁市第五人民医院</w:t>
            </w:r>
          </w:p>
        </w:tc>
        <w:tc>
          <w:tcPr>
            <w:tcW w:w="1705" w:type="pct"/>
            <w:tcBorders>
              <w:top w:val="single" w:color="auto" w:sz="4" w:space="0"/>
              <w:bottom w:val="single" w:color="auto" w:sz="4" w:space="0"/>
              <w:right w:val="single" w:color="auto" w:sz="4" w:space="0"/>
            </w:tcBorders>
            <w:noWrap w:val="0"/>
            <w:vAlign w:val="center"/>
          </w:tcPr>
          <w:p w14:paraId="70ECD98E">
            <w:pPr>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0302FE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12" w:type="pct"/>
            <w:tcBorders>
              <w:top w:val="single" w:color="auto" w:sz="4" w:space="0"/>
              <w:left w:val="single" w:color="auto" w:sz="4" w:space="0"/>
              <w:bottom w:val="single" w:color="auto" w:sz="4" w:space="0"/>
            </w:tcBorders>
            <w:noWrap w:val="0"/>
            <w:vAlign w:val="center"/>
          </w:tcPr>
          <w:p w14:paraId="25B970C5">
            <w:pPr>
              <w:jc w:val="center"/>
              <w:rPr>
                <w:rFonts w:hint="eastAsia" w:ascii="仿宋_GB2312" w:hAnsi="仿宋_GB2312" w:eastAsia="仿宋_GB2312" w:cs="仿宋_GB2312"/>
                <w:kern w:val="2"/>
                <w:sz w:val="24"/>
                <w:szCs w:val="24"/>
                <w:highlight w:val="none"/>
                <w:lang w:val="en-US" w:eastAsia="zh" w:bidi="ar"/>
              </w:rPr>
            </w:pPr>
            <w:r>
              <w:rPr>
                <w:rFonts w:hint="eastAsia" w:ascii="仿宋_GB2312" w:hAnsi="仿宋_GB2312" w:eastAsia="仿宋_GB2312" w:cs="仿宋_GB2312"/>
                <w:sz w:val="24"/>
                <w:highlight w:val="none"/>
                <w:lang w:eastAsia="zh" w:bidi="ar"/>
              </w:rPr>
              <w:t>黄艳霞</w:t>
            </w:r>
          </w:p>
        </w:tc>
        <w:tc>
          <w:tcPr>
            <w:tcW w:w="816" w:type="pct"/>
            <w:tcBorders>
              <w:top w:val="single" w:color="auto" w:sz="4" w:space="0"/>
              <w:bottom w:val="single" w:color="auto" w:sz="4" w:space="0"/>
            </w:tcBorders>
            <w:noWrap w:val="0"/>
            <w:vAlign w:val="center"/>
          </w:tcPr>
          <w:p w14:paraId="23E219BA">
            <w:pPr>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 w:bidi="ar"/>
              </w:rPr>
              <w:t>护理部干事/主管护师</w:t>
            </w:r>
          </w:p>
        </w:tc>
        <w:tc>
          <w:tcPr>
            <w:tcW w:w="826" w:type="pct"/>
            <w:tcBorders>
              <w:top w:val="single" w:color="auto" w:sz="4" w:space="0"/>
              <w:bottom w:val="single" w:color="auto" w:sz="4" w:space="0"/>
            </w:tcBorders>
            <w:noWrap w:val="0"/>
            <w:vAlign w:val="center"/>
          </w:tcPr>
          <w:p w14:paraId="3B22C191">
            <w:pPr>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护理</w:t>
            </w:r>
          </w:p>
        </w:tc>
        <w:tc>
          <w:tcPr>
            <w:tcW w:w="1038" w:type="pct"/>
            <w:tcBorders>
              <w:top w:val="single" w:color="auto" w:sz="4" w:space="0"/>
              <w:bottom w:val="single" w:color="auto" w:sz="4" w:space="0"/>
            </w:tcBorders>
            <w:noWrap w:val="0"/>
            <w:vAlign w:val="center"/>
          </w:tcPr>
          <w:p w14:paraId="03D5B17D">
            <w:pPr>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南宁市第五人民医院</w:t>
            </w:r>
          </w:p>
        </w:tc>
        <w:tc>
          <w:tcPr>
            <w:tcW w:w="1705" w:type="pct"/>
            <w:tcBorders>
              <w:top w:val="single" w:color="auto" w:sz="4" w:space="0"/>
              <w:bottom w:val="single" w:color="auto" w:sz="4" w:space="0"/>
              <w:right w:val="single" w:color="auto" w:sz="4" w:space="0"/>
            </w:tcBorders>
            <w:noWrap w:val="0"/>
            <w:vAlign w:val="center"/>
          </w:tcPr>
          <w:p w14:paraId="136BB8B1">
            <w:pPr>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522925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12" w:type="pct"/>
            <w:tcBorders>
              <w:top w:val="single" w:color="auto" w:sz="4" w:space="0"/>
              <w:left w:val="single" w:color="auto" w:sz="4" w:space="0"/>
              <w:bottom w:val="single" w:color="auto" w:sz="4" w:space="0"/>
            </w:tcBorders>
            <w:noWrap w:val="0"/>
            <w:vAlign w:val="center"/>
          </w:tcPr>
          <w:p w14:paraId="64B0FADF">
            <w:pPr>
              <w:jc w:val="center"/>
              <w:rPr>
                <w:rFonts w:hint="eastAsia" w:ascii="仿宋_GB2312" w:hAnsi="仿宋_GB2312" w:eastAsia="仿宋_GB2312" w:cs="仿宋_GB2312"/>
                <w:kern w:val="2"/>
                <w:sz w:val="24"/>
                <w:szCs w:val="24"/>
                <w:highlight w:val="none"/>
                <w:lang w:val="en-US" w:eastAsia="zh" w:bidi="ar"/>
              </w:rPr>
            </w:pPr>
            <w:r>
              <w:rPr>
                <w:rFonts w:hint="eastAsia" w:ascii="仿宋_GB2312" w:hAnsi="仿宋_GB2312" w:eastAsia="仿宋_GB2312" w:cs="仿宋_GB2312"/>
                <w:sz w:val="24"/>
                <w:highlight w:val="none"/>
                <w:lang w:eastAsia="zh" w:bidi="ar"/>
              </w:rPr>
              <w:t>莫丹萍</w:t>
            </w:r>
          </w:p>
        </w:tc>
        <w:tc>
          <w:tcPr>
            <w:tcW w:w="816" w:type="pct"/>
            <w:tcBorders>
              <w:top w:val="single" w:color="auto" w:sz="4" w:space="0"/>
              <w:bottom w:val="single" w:color="auto" w:sz="4" w:space="0"/>
            </w:tcBorders>
            <w:noWrap w:val="0"/>
            <w:vAlign w:val="center"/>
          </w:tcPr>
          <w:p w14:paraId="1C3E2C4E">
            <w:pPr>
              <w:jc w:val="center"/>
              <w:rPr>
                <w:rFonts w:hint="eastAsia"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 w:bidi="ar"/>
              </w:rPr>
              <w:t>护理部干事/主管护师</w:t>
            </w:r>
          </w:p>
        </w:tc>
        <w:tc>
          <w:tcPr>
            <w:tcW w:w="826" w:type="pct"/>
            <w:tcBorders>
              <w:top w:val="single" w:color="auto" w:sz="4" w:space="0"/>
              <w:bottom w:val="single" w:color="auto" w:sz="4" w:space="0"/>
            </w:tcBorders>
            <w:noWrap w:val="0"/>
            <w:vAlign w:val="center"/>
          </w:tcPr>
          <w:p w14:paraId="57D23284">
            <w:pPr>
              <w:jc w:val="center"/>
              <w:rPr>
                <w:rFonts w:hint="eastAsia" w:ascii="仿宋_GB2312" w:hAnsi="仿宋_GB2312" w:eastAsia="仿宋_GB2312" w:cs="仿宋_GB2312"/>
                <w:kern w:val="2"/>
                <w:sz w:val="24"/>
                <w:szCs w:val="24"/>
                <w:highlight w:val="none"/>
                <w:lang w:val="en-US" w:eastAsia="zh" w:bidi="ar"/>
              </w:rPr>
            </w:pPr>
            <w:r>
              <w:rPr>
                <w:rFonts w:hint="eastAsia" w:ascii="仿宋_GB2312" w:hAnsi="仿宋_GB2312" w:eastAsia="仿宋_GB2312" w:cs="仿宋_GB2312"/>
                <w:sz w:val="24"/>
                <w:highlight w:val="none"/>
                <w:lang w:eastAsia="zh" w:bidi="ar"/>
              </w:rPr>
              <w:t>护理</w:t>
            </w:r>
          </w:p>
        </w:tc>
        <w:tc>
          <w:tcPr>
            <w:tcW w:w="1038" w:type="pct"/>
            <w:tcBorders>
              <w:top w:val="single" w:color="auto" w:sz="4" w:space="0"/>
              <w:bottom w:val="single" w:color="auto" w:sz="4" w:space="0"/>
            </w:tcBorders>
            <w:noWrap w:val="0"/>
            <w:vAlign w:val="center"/>
          </w:tcPr>
          <w:p w14:paraId="772E721D">
            <w:pPr>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南宁市第五人民医院</w:t>
            </w:r>
          </w:p>
        </w:tc>
        <w:tc>
          <w:tcPr>
            <w:tcW w:w="1705" w:type="pct"/>
            <w:tcBorders>
              <w:top w:val="single" w:color="auto" w:sz="4" w:space="0"/>
              <w:bottom w:val="single" w:color="auto" w:sz="4" w:space="0"/>
              <w:right w:val="single" w:color="auto" w:sz="4" w:space="0"/>
            </w:tcBorders>
            <w:noWrap w:val="0"/>
            <w:vAlign w:val="center"/>
          </w:tcPr>
          <w:p w14:paraId="7BC09AF7">
            <w:pPr>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7949D6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12" w:type="pct"/>
            <w:tcBorders>
              <w:top w:val="single" w:color="auto" w:sz="4" w:space="0"/>
              <w:left w:val="single" w:color="auto" w:sz="4" w:space="0"/>
              <w:bottom w:val="single" w:color="auto" w:sz="4" w:space="0"/>
            </w:tcBorders>
            <w:noWrap w:val="0"/>
            <w:vAlign w:val="center"/>
          </w:tcPr>
          <w:p w14:paraId="2A4A711E">
            <w:pPr>
              <w:jc w:val="center"/>
              <w:rPr>
                <w:rFonts w:hint="eastAsia" w:ascii="仿宋_GB2312" w:hAnsi="仿宋_GB2312" w:eastAsia="仿宋_GB2312" w:cs="仿宋_GB2312"/>
                <w:kern w:val="2"/>
                <w:sz w:val="24"/>
                <w:szCs w:val="24"/>
                <w:highlight w:val="none"/>
                <w:lang w:val="en-US" w:eastAsia="zh" w:bidi="ar"/>
              </w:rPr>
            </w:pPr>
            <w:r>
              <w:rPr>
                <w:rFonts w:hint="eastAsia" w:ascii="仿宋_GB2312" w:hAnsi="仿宋_GB2312" w:eastAsia="仿宋_GB2312" w:cs="仿宋_GB2312"/>
                <w:sz w:val="24"/>
                <w:highlight w:val="none"/>
                <w:lang w:eastAsia="zh" w:bidi="ar"/>
              </w:rPr>
              <w:t>甘易翘</w:t>
            </w:r>
          </w:p>
        </w:tc>
        <w:tc>
          <w:tcPr>
            <w:tcW w:w="816" w:type="pct"/>
            <w:tcBorders>
              <w:top w:val="single" w:color="auto" w:sz="4" w:space="0"/>
              <w:bottom w:val="single" w:color="auto" w:sz="4" w:space="0"/>
            </w:tcBorders>
            <w:noWrap w:val="0"/>
            <w:vAlign w:val="center"/>
          </w:tcPr>
          <w:p w14:paraId="350E86D7">
            <w:pPr>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 w:bidi="ar"/>
              </w:rPr>
              <w:t>急诊科护士长/副主任护师</w:t>
            </w:r>
          </w:p>
        </w:tc>
        <w:tc>
          <w:tcPr>
            <w:tcW w:w="826" w:type="pct"/>
            <w:tcBorders>
              <w:top w:val="single" w:color="auto" w:sz="4" w:space="0"/>
              <w:bottom w:val="single" w:color="auto" w:sz="4" w:space="0"/>
            </w:tcBorders>
            <w:noWrap w:val="0"/>
            <w:vAlign w:val="center"/>
          </w:tcPr>
          <w:p w14:paraId="340E3CA7">
            <w:pPr>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护理管理、急诊急救、临床护理</w:t>
            </w:r>
          </w:p>
        </w:tc>
        <w:tc>
          <w:tcPr>
            <w:tcW w:w="1038" w:type="pct"/>
            <w:tcBorders>
              <w:top w:val="single" w:color="auto" w:sz="4" w:space="0"/>
              <w:bottom w:val="single" w:color="auto" w:sz="4" w:space="0"/>
            </w:tcBorders>
            <w:noWrap w:val="0"/>
            <w:vAlign w:val="center"/>
          </w:tcPr>
          <w:p w14:paraId="3DBE9A4E">
            <w:pPr>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南宁市第五人民医院</w:t>
            </w:r>
          </w:p>
        </w:tc>
        <w:tc>
          <w:tcPr>
            <w:tcW w:w="1705" w:type="pct"/>
            <w:tcBorders>
              <w:top w:val="single" w:color="auto" w:sz="4" w:space="0"/>
              <w:bottom w:val="single" w:color="auto" w:sz="4" w:space="0"/>
              <w:right w:val="single" w:color="auto" w:sz="4" w:space="0"/>
            </w:tcBorders>
            <w:noWrap w:val="0"/>
            <w:vAlign w:val="center"/>
          </w:tcPr>
          <w:p w14:paraId="078EF1DA">
            <w:pPr>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78D045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12" w:type="pct"/>
            <w:tcBorders>
              <w:top w:val="single" w:color="auto" w:sz="4" w:space="0"/>
              <w:left w:val="single" w:color="auto" w:sz="4" w:space="0"/>
              <w:bottom w:val="single" w:color="auto" w:sz="4" w:space="0"/>
            </w:tcBorders>
            <w:noWrap w:val="0"/>
            <w:vAlign w:val="center"/>
          </w:tcPr>
          <w:p w14:paraId="1C1F7C75">
            <w:pPr>
              <w:jc w:val="center"/>
              <w:rPr>
                <w:rFonts w:hint="eastAsia" w:ascii="仿宋_GB2312" w:hAnsi="仿宋_GB2312" w:eastAsia="仿宋_GB2312" w:cs="仿宋_GB2312"/>
                <w:kern w:val="2"/>
                <w:sz w:val="24"/>
                <w:szCs w:val="24"/>
                <w:highlight w:val="none"/>
                <w:lang w:val="en-US" w:eastAsia="zh" w:bidi="ar"/>
              </w:rPr>
            </w:pPr>
            <w:r>
              <w:rPr>
                <w:rFonts w:hint="eastAsia" w:ascii="仿宋_GB2312" w:hAnsi="仿宋_GB2312" w:eastAsia="仿宋_GB2312" w:cs="仿宋_GB2312"/>
                <w:sz w:val="24"/>
                <w:highlight w:val="none"/>
                <w:lang w:eastAsia="zh" w:bidi="ar"/>
              </w:rPr>
              <w:t>李锦棉</w:t>
            </w:r>
          </w:p>
        </w:tc>
        <w:tc>
          <w:tcPr>
            <w:tcW w:w="816" w:type="pct"/>
            <w:tcBorders>
              <w:top w:val="single" w:color="auto" w:sz="4" w:space="0"/>
              <w:bottom w:val="single" w:color="auto" w:sz="4" w:space="0"/>
            </w:tcBorders>
            <w:noWrap w:val="0"/>
            <w:vAlign w:val="center"/>
          </w:tcPr>
          <w:p w14:paraId="50E392BB">
            <w:pPr>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 w:bidi="ar"/>
              </w:rPr>
              <w:t>儿童青少年心理科/副主任护师</w:t>
            </w:r>
          </w:p>
        </w:tc>
        <w:tc>
          <w:tcPr>
            <w:tcW w:w="826" w:type="pct"/>
            <w:tcBorders>
              <w:top w:val="single" w:color="auto" w:sz="4" w:space="0"/>
              <w:bottom w:val="single" w:color="auto" w:sz="4" w:space="0"/>
            </w:tcBorders>
            <w:noWrap w:val="0"/>
            <w:vAlign w:val="center"/>
          </w:tcPr>
          <w:p w14:paraId="5DCD2DCC">
            <w:pPr>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护理管理、临床护理</w:t>
            </w:r>
          </w:p>
        </w:tc>
        <w:tc>
          <w:tcPr>
            <w:tcW w:w="1038" w:type="pct"/>
            <w:tcBorders>
              <w:top w:val="single" w:color="auto" w:sz="4" w:space="0"/>
              <w:bottom w:val="single" w:color="auto" w:sz="4" w:space="0"/>
            </w:tcBorders>
            <w:noWrap w:val="0"/>
            <w:vAlign w:val="center"/>
          </w:tcPr>
          <w:p w14:paraId="49419BB9">
            <w:pPr>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南宁市第五人民医院</w:t>
            </w:r>
          </w:p>
        </w:tc>
        <w:tc>
          <w:tcPr>
            <w:tcW w:w="1705" w:type="pct"/>
            <w:tcBorders>
              <w:top w:val="single" w:color="auto" w:sz="4" w:space="0"/>
              <w:bottom w:val="single" w:color="auto" w:sz="4" w:space="0"/>
              <w:right w:val="single" w:color="auto" w:sz="4" w:space="0"/>
            </w:tcBorders>
            <w:noWrap w:val="0"/>
            <w:vAlign w:val="center"/>
          </w:tcPr>
          <w:p w14:paraId="022B853D">
            <w:pPr>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644510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12" w:type="pct"/>
            <w:tcBorders>
              <w:top w:val="single" w:color="auto" w:sz="4" w:space="0"/>
              <w:left w:val="single" w:color="auto" w:sz="4" w:space="0"/>
              <w:bottom w:val="single" w:color="auto" w:sz="4" w:space="0"/>
            </w:tcBorders>
            <w:noWrap w:val="0"/>
            <w:vAlign w:val="center"/>
          </w:tcPr>
          <w:p w14:paraId="7F72FA14">
            <w:pPr>
              <w:jc w:val="center"/>
              <w:rPr>
                <w:rFonts w:hint="eastAsia" w:ascii="仿宋_GB2312" w:hAnsi="仿宋_GB2312" w:eastAsia="仿宋_GB2312" w:cs="仿宋_GB2312"/>
                <w:color w:val="0000FF"/>
                <w:kern w:val="2"/>
                <w:sz w:val="24"/>
                <w:szCs w:val="24"/>
                <w:highlight w:val="none"/>
                <w:lang w:val="en-US" w:eastAsia="zh" w:bidi="ar"/>
              </w:rPr>
            </w:pPr>
            <w:r>
              <w:rPr>
                <w:rFonts w:hint="eastAsia" w:ascii="仿宋_GB2312" w:hAnsi="仿宋_GB2312" w:eastAsia="仿宋_GB2312" w:cs="仿宋_GB2312"/>
                <w:sz w:val="24"/>
                <w:highlight w:val="none"/>
                <w:lang w:eastAsia="zh" w:bidi="ar"/>
              </w:rPr>
              <w:t>黄宇勤</w:t>
            </w:r>
          </w:p>
        </w:tc>
        <w:tc>
          <w:tcPr>
            <w:tcW w:w="816" w:type="pct"/>
            <w:tcBorders>
              <w:top w:val="single" w:color="auto" w:sz="4" w:space="0"/>
              <w:bottom w:val="single" w:color="auto" w:sz="4" w:space="0"/>
            </w:tcBorders>
            <w:noWrap w:val="0"/>
            <w:vAlign w:val="center"/>
          </w:tcPr>
          <w:p w14:paraId="661DAB8E">
            <w:pPr>
              <w:jc w:val="center"/>
              <w:rPr>
                <w:rFonts w:hint="eastAsia" w:ascii="仿宋_GB2312" w:hAnsi="仿宋_GB2312" w:eastAsia="仿宋_GB2312" w:cs="仿宋_GB2312"/>
                <w:color w:val="0000FF"/>
                <w:kern w:val="2"/>
                <w:sz w:val="24"/>
                <w:szCs w:val="24"/>
                <w:lang w:val="en-US" w:eastAsia="zh-CN" w:bidi="ar"/>
              </w:rPr>
            </w:pPr>
            <w:r>
              <w:rPr>
                <w:rFonts w:hint="eastAsia" w:ascii="仿宋_GB2312" w:hAnsi="仿宋_GB2312" w:eastAsia="仿宋_GB2312" w:cs="仿宋_GB2312"/>
                <w:sz w:val="24"/>
                <w:lang w:eastAsia="zh" w:bidi="ar"/>
              </w:rPr>
              <w:t>病区护士长/主管护师</w:t>
            </w:r>
          </w:p>
        </w:tc>
        <w:tc>
          <w:tcPr>
            <w:tcW w:w="826" w:type="pct"/>
            <w:tcBorders>
              <w:top w:val="single" w:color="auto" w:sz="4" w:space="0"/>
              <w:bottom w:val="single" w:color="auto" w:sz="4" w:space="0"/>
            </w:tcBorders>
            <w:noWrap w:val="0"/>
            <w:vAlign w:val="center"/>
          </w:tcPr>
          <w:p w14:paraId="3D6D1AC1">
            <w:pPr>
              <w:jc w:val="center"/>
              <w:rPr>
                <w:rFonts w:hint="eastAsia" w:ascii="仿宋_GB2312" w:hAnsi="仿宋_GB2312" w:eastAsia="仿宋_GB2312" w:cs="仿宋_GB2312"/>
                <w:color w:val="0000FF"/>
                <w:kern w:val="2"/>
                <w:sz w:val="24"/>
                <w:szCs w:val="24"/>
                <w:lang w:val="en-US" w:eastAsia="zh" w:bidi="ar"/>
              </w:rPr>
            </w:pPr>
            <w:r>
              <w:rPr>
                <w:rFonts w:hint="eastAsia" w:ascii="仿宋_GB2312" w:hAnsi="仿宋_GB2312" w:eastAsia="仿宋_GB2312" w:cs="仿宋_GB2312"/>
                <w:sz w:val="24"/>
                <w:lang w:eastAsia="zh" w:bidi="ar"/>
              </w:rPr>
              <w:t>护理管理、临床护理</w:t>
            </w:r>
          </w:p>
        </w:tc>
        <w:tc>
          <w:tcPr>
            <w:tcW w:w="1038" w:type="pct"/>
            <w:tcBorders>
              <w:top w:val="single" w:color="auto" w:sz="4" w:space="0"/>
              <w:bottom w:val="single" w:color="auto" w:sz="4" w:space="0"/>
            </w:tcBorders>
            <w:noWrap w:val="0"/>
            <w:vAlign w:val="center"/>
          </w:tcPr>
          <w:p w14:paraId="48170335">
            <w:pPr>
              <w:jc w:val="center"/>
              <w:rPr>
                <w:rFonts w:hint="eastAsia" w:ascii="仿宋_GB2312" w:hAnsi="仿宋_GB2312" w:eastAsia="仿宋_GB2312" w:cs="仿宋_GB2312"/>
                <w:color w:val="0000FF"/>
                <w:kern w:val="2"/>
                <w:sz w:val="24"/>
                <w:szCs w:val="24"/>
                <w:lang w:val="en-US" w:eastAsia="zh" w:bidi="ar"/>
              </w:rPr>
            </w:pPr>
            <w:r>
              <w:rPr>
                <w:rFonts w:hint="eastAsia" w:ascii="仿宋_GB2312" w:hAnsi="仿宋_GB2312" w:eastAsia="仿宋_GB2312" w:cs="仿宋_GB2312"/>
                <w:sz w:val="24"/>
                <w:lang w:eastAsia="zh" w:bidi="ar"/>
              </w:rPr>
              <w:t>南宁市第五人民医院</w:t>
            </w:r>
          </w:p>
        </w:tc>
        <w:tc>
          <w:tcPr>
            <w:tcW w:w="1705" w:type="pct"/>
            <w:tcBorders>
              <w:top w:val="single" w:color="auto" w:sz="4" w:space="0"/>
              <w:bottom w:val="single" w:color="auto" w:sz="4" w:space="0"/>
              <w:right w:val="single" w:color="auto" w:sz="4" w:space="0"/>
            </w:tcBorders>
            <w:noWrap w:val="0"/>
            <w:vAlign w:val="center"/>
          </w:tcPr>
          <w:p w14:paraId="3DCD8879">
            <w:pPr>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6340F7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12" w:type="pct"/>
            <w:tcBorders>
              <w:top w:val="single" w:color="auto" w:sz="4" w:space="0"/>
              <w:left w:val="single" w:color="auto" w:sz="4" w:space="0"/>
              <w:bottom w:val="single" w:color="auto" w:sz="4" w:space="0"/>
            </w:tcBorders>
            <w:noWrap w:val="0"/>
            <w:vAlign w:val="center"/>
          </w:tcPr>
          <w:p w14:paraId="07F2E8FE">
            <w:pPr>
              <w:jc w:val="center"/>
              <w:rPr>
                <w:rFonts w:hint="eastAsia" w:ascii="仿宋_GB2312" w:hAnsi="仿宋_GB2312" w:eastAsia="仿宋_GB2312" w:cs="仿宋_GB2312"/>
                <w:kern w:val="2"/>
                <w:sz w:val="24"/>
                <w:szCs w:val="24"/>
                <w:highlight w:val="none"/>
                <w:lang w:val="en-US" w:eastAsia="zh" w:bidi="ar"/>
              </w:rPr>
            </w:pPr>
            <w:r>
              <w:rPr>
                <w:rFonts w:hint="eastAsia" w:ascii="仿宋_GB2312" w:hAnsi="仿宋_GB2312" w:eastAsia="仿宋_GB2312" w:cs="仿宋_GB2312"/>
                <w:sz w:val="24"/>
                <w:highlight w:val="none"/>
                <w:lang w:eastAsia="zh" w:bidi="ar"/>
              </w:rPr>
              <w:t>陆耀盛</w:t>
            </w:r>
          </w:p>
        </w:tc>
        <w:tc>
          <w:tcPr>
            <w:tcW w:w="816" w:type="pct"/>
            <w:tcBorders>
              <w:top w:val="single" w:color="auto" w:sz="4" w:space="0"/>
              <w:bottom w:val="single" w:color="auto" w:sz="4" w:space="0"/>
            </w:tcBorders>
            <w:noWrap w:val="0"/>
            <w:vAlign w:val="center"/>
          </w:tcPr>
          <w:p w14:paraId="797D7801">
            <w:pPr>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 w:bidi="ar"/>
              </w:rPr>
              <w:t>病区护士长/副主任护师</w:t>
            </w:r>
          </w:p>
        </w:tc>
        <w:tc>
          <w:tcPr>
            <w:tcW w:w="826" w:type="pct"/>
            <w:tcBorders>
              <w:top w:val="single" w:color="auto" w:sz="4" w:space="0"/>
              <w:bottom w:val="single" w:color="auto" w:sz="4" w:space="0"/>
            </w:tcBorders>
            <w:noWrap w:val="0"/>
            <w:vAlign w:val="center"/>
          </w:tcPr>
          <w:p w14:paraId="6AD8918B">
            <w:pPr>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护理管理、临床护理</w:t>
            </w:r>
          </w:p>
        </w:tc>
        <w:tc>
          <w:tcPr>
            <w:tcW w:w="1038" w:type="pct"/>
            <w:tcBorders>
              <w:top w:val="single" w:color="auto" w:sz="4" w:space="0"/>
              <w:bottom w:val="single" w:color="auto" w:sz="4" w:space="0"/>
            </w:tcBorders>
            <w:noWrap w:val="0"/>
            <w:vAlign w:val="center"/>
          </w:tcPr>
          <w:p w14:paraId="3D42892E">
            <w:pPr>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南宁市第五人民医院</w:t>
            </w:r>
          </w:p>
        </w:tc>
        <w:tc>
          <w:tcPr>
            <w:tcW w:w="1705" w:type="pct"/>
            <w:tcBorders>
              <w:top w:val="single" w:color="auto" w:sz="4" w:space="0"/>
              <w:bottom w:val="single" w:color="auto" w:sz="4" w:space="0"/>
              <w:right w:val="single" w:color="auto" w:sz="4" w:space="0"/>
            </w:tcBorders>
            <w:noWrap w:val="0"/>
            <w:vAlign w:val="center"/>
          </w:tcPr>
          <w:p w14:paraId="3013BB5D">
            <w:pPr>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182F18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12" w:type="pct"/>
            <w:tcBorders>
              <w:top w:val="single" w:color="auto" w:sz="4" w:space="0"/>
              <w:left w:val="single" w:color="auto" w:sz="4" w:space="0"/>
              <w:bottom w:val="single" w:color="auto" w:sz="4" w:space="0"/>
            </w:tcBorders>
            <w:noWrap w:val="0"/>
            <w:vAlign w:val="center"/>
          </w:tcPr>
          <w:p w14:paraId="13090955">
            <w:pPr>
              <w:jc w:val="center"/>
              <w:rPr>
                <w:rFonts w:hint="eastAsia" w:ascii="仿宋_GB2312" w:hAnsi="仿宋_GB2312" w:eastAsia="仿宋_GB2312" w:cs="仿宋_GB2312"/>
                <w:kern w:val="2"/>
                <w:sz w:val="24"/>
                <w:szCs w:val="24"/>
                <w:highlight w:val="none"/>
                <w:lang w:val="en-US" w:eastAsia="zh" w:bidi="ar"/>
              </w:rPr>
            </w:pPr>
            <w:r>
              <w:rPr>
                <w:rFonts w:hint="eastAsia" w:ascii="仿宋_GB2312" w:hAnsi="仿宋_GB2312" w:eastAsia="仿宋_GB2312" w:cs="仿宋_GB2312"/>
                <w:sz w:val="24"/>
                <w:highlight w:val="none"/>
                <w:lang w:eastAsia="zh" w:bidi="ar"/>
              </w:rPr>
              <w:t>曹永江</w:t>
            </w:r>
          </w:p>
        </w:tc>
        <w:tc>
          <w:tcPr>
            <w:tcW w:w="816" w:type="pct"/>
            <w:tcBorders>
              <w:top w:val="single" w:color="auto" w:sz="4" w:space="0"/>
              <w:bottom w:val="single" w:color="auto" w:sz="4" w:space="0"/>
            </w:tcBorders>
            <w:noWrap w:val="0"/>
            <w:vAlign w:val="center"/>
          </w:tcPr>
          <w:p w14:paraId="417C70F5">
            <w:pPr>
              <w:jc w:val="center"/>
              <w:rPr>
                <w:rFonts w:hint="eastAsia"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 w:bidi="ar"/>
              </w:rPr>
              <w:t>护理部干事/主管护师</w:t>
            </w:r>
          </w:p>
        </w:tc>
        <w:tc>
          <w:tcPr>
            <w:tcW w:w="826" w:type="pct"/>
            <w:tcBorders>
              <w:top w:val="single" w:color="auto" w:sz="4" w:space="0"/>
              <w:bottom w:val="single" w:color="auto" w:sz="4" w:space="0"/>
            </w:tcBorders>
            <w:noWrap w:val="0"/>
            <w:vAlign w:val="center"/>
          </w:tcPr>
          <w:p w14:paraId="563CF038">
            <w:pPr>
              <w:jc w:val="center"/>
              <w:rPr>
                <w:rFonts w:hint="eastAsia" w:ascii="仿宋_GB2312" w:hAnsi="仿宋_GB2312" w:eastAsia="仿宋_GB2312" w:cs="仿宋_GB2312"/>
                <w:kern w:val="2"/>
                <w:sz w:val="24"/>
                <w:szCs w:val="24"/>
                <w:highlight w:val="none"/>
                <w:lang w:val="en-US" w:eastAsia="zh" w:bidi="ar"/>
              </w:rPr>
            </w:pPr>
            <w:r>
              <w:rPr>
                <w:rFonts w:hint="eastAsia" w:ascii="仿宋_GB2312" w:hAnsi="仿宋_GB2312" w:eastAsia="仿宋_GB2312" w:cs="仿宋_GB2312"/>
                <w:sz w:val="24"/>
                <w:highlight w:val="none"/>
                <w:lang w:eastAsia="zh" w:bidi="ar"/>
              </w:rPr>
              <w:t>护理</w:t>
            </w:r>
          </w:p>
        </w:tc>
        <w:tc>
          <w:tcPr>
            <w:tcW w:w="1038" w:type="pct"/>
            <w:tcBorders>
              <w:top w:val="single" w:color="auto" w:sz="4" w:space="0"/>
              <w:bottom w:val="single" w:color="auto" w:sz="4" w:space="0"/>
            </w:tcBorders>
            <w:noWrap w:val="0"/>
            <w:vAlign w:val="center"/>
          </w:tcPr>
          <w:p w14:paraId="66746B7A">
            <w:pPr>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南宁市第五人民医院</w:t>
            </w:r>
          </w:p>
        </w:tc>
        <w:tc>
          <w:tcPr>
            <w:tcW w:w="1705" w:type="pct"/>
            <w:tcBorders>
              <w:top w:val="single" w:color="auto" w:sz="4" w:space="0"/>
              <w:bottom w:val="single" w:color="auto" w:sz="4" w:space="0"/>
              <w:right w:val="single" w:color="auto" w:sz="4" w:space="0"/>
            </w:tcBorders>
            <w:noWrap w:val="0"/>
            <w:vAlign w:val="center"/>
          </w:tcPr>
          <w:p w14:paraId="5463E6CE">
            <w:pPr>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158738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12" w:type="pct"/>
            <w:tcBorders>
              <w:top w:val="single" w:color="auto" w:sz="4" w:space="0"/>
              <w:left w:val="single" w:color="auto" w:sz="4" w:space="0"/>
              <w:bottom w:val="single" w:color="auto" w:sz="4" w:space="0"/>
            </w:tcBorders>
            <w:noWrap w:val="0"/>
            <w:vAlign w:val="center"/>
          </w:tcPr>
          <w:p w14:paraId="2F4ED973">
            <w:pPr>
              <w:jc w:val="center"/>
              <w:rPr>
                <w:rFonts w:hint="eastAsia" w:ascii="仿宋_GB2312" w:hAnsi="仿宋_GB2312" w:eastAsia="仿宋_GB2312" w:cs="仿宋_GB2312"/>
                <w:color w:val="0000FF"/>
                <w:kern w:val="2"/>
                <w:sz w:val="24"/>
                <w:szCs w:val="24"/>
                <w:highlight w:val="none"/>
                <w:lang w:val="en-US" w:eastAsia="zh" w:bidi="ar"/>
              </w:rPr>
            </w:pPr>
            <w:r>
              <w:rPr>
                <w:rFonts w:hint="eastAsia" w:ascii="仿宋_GB2312" w:hAnsi="仿宋_GB2312" w:eastAsia="仿宋_GB2312" w:cs="仿宋_GB2312"/>
                <w:sz w:val="24"/>
                <w:highlight w:val="none"/>
                <w:lang w:eastAsia="zh" w:bidi="ar"/>
              </w:rPr>
              <w:t>唐雅婷</w:t>
            </w:r>
          </w:p>
        </w:tc>
        <w:tc>
          <w:tcPr>
            <w:tcW w:w="816" w:type="pct"/>
            <w:tcBorders>
              <w:top w:val="single" w:color="auto" w:sz="4" w:space="0"/>
              <w:bottom w:val="single" w:color="auto" w:sz="4" w:space="0"/>
            </w:tcBorders>
            <w:noWrap w:val="0"/>
            <w:vAlign w:val="center"/>
          </w:tcPr>
          <w:p w14:paraId="5579A4CA">
            <w:pPr>
              <w:jc w:val="center"/>
              <w:rPr>
                <w:rFonts w:hint="eastAsia" w:ascii="仿宋_GB2312" w:hAnsi="仿宋_GB2312" w:eastAsia="仿宋_GB2312" w:cs="仿宋_GB2312"/>
                <w:color w:val="0000FF"/>
                <w:kern w:val="2"/>
                <w:sz w:val="24"/>
                <w:szCs w:val="24"/>
                <w:lang w:val="en-US" w:eastAsia="zh-CN" w:bidi="ar"/>
              </w:rPr>
            </w:pPr>
            <w:r>
              <w:rPr>
                <w:rFonts w:hint="eastAsia" w:ascii="仿宋_GB2312" w:hAnsi="仿宋_GB2312" w:eastAsia="仿宋_GB2312" w:cs="仿宋_GB2312"/>
                <w:sz w:val="24"/>
                <w:lang w:val="en-US" w:eastAsia="zh" w:bidi="ar"/>
              </w:rPr>
              <w:t>病区护士长</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eastAsia="zh" w:bidi="ar"/>
              </w:rPr>
              <w:t>副主任护师</w:t>
            </w:r>
          </w:p>
        </w:tc>
        <w:tc>
          <w:tcPr>
            <w:tcW w:w="826" w:type="pct"/>
            <w:tcBorders>
              <w:top w:val="single" w:color="auto" w:sz="4" w:space="0"/>
              <w:bottom w:val="single" w:color="auto" w:sz="4" w:space="0"/>
            </w:tcBorders>
            <w:noWrap w:val="0"/>
            <w:vAlign w:val="center"/>
          </w:tcPr>
          <w:p w14:paraId="22EB0F3C">
            <w:pPr>
              <w:jc w:val="center"/>
              <w:rPr>
                <w:rFonts w:hint="eastAsia" w:ascii="仿宋_GB2312" w:hAnsi="仿宋_GB2312" w:eastAsia="仿宋_GB2312" w:cs="仿宋_GB2312"/>
                <w:color w:val="0000FF"/>
                <w:kern w:val="2"/>
                <w:sz w:val="24"/>
                <w:szCs w:val="24"/>
                <w:lang w:val="en-US" w:eastAsia="zh" w:bidi="ar"/>
              </w:rPr>
            </w:pPr>
            <w:r>
              <w:rPr>
                <w:rFonts w:hint="eastAsia" w:ascii="仿宋_GB2312" w:hAnsi="仿宋_GB2312" w:eastAsia="仿宋_GB2312" w:cs="仿宋_GB2312"/>
                <w:sz w:val="24"/>
                <w:lang w:eastAsia="zh" w:bidi="ar"/>
              </w:rPr>
              <w:t>护理管理、临床护理</w:t>
            </w:r>
          </w:p>
        </w:tc>
        <w:tc>
          <w:tcPr>
            <w:tcW w:w="1038" w:type="pct"/>
            <w:tcBorders>
              <w:top w:val="single" w:color="auto" w:sz="4" w:space="0"/>
              <w:bottom w:val="single" w:color="auto" w:sz="4" w:space="0"/>
            </w:tcBorders>
            <w:noWrap w:val="0"/>
            <w:vAlign w:val="center"/>
          </w:tcPr>
          <w:p w14:paraId="2B3A96DD">
            <w:pPr>
              <w:jc w:val="center"/>
              <w:rPr>
                <w:rFonts w:hint="eastAsia" w:ascii="仿宋_GB2312" w:hAnsi="仿宋_GB2312" w:eastAsia="仿宋_GB2312" w:cs="仿宋_GB2312"/>
                <w:color w:val="0000FF"/>
                <w:kern w:val="2"/>
                <w:sz w:val="24"/>
                <w:szCs w:val="24"/>
                <w:lang w:val="en-US" w:eastAsia="zh" w:bidi="ar"/>
              </w:rPr>
            </w:pPr>
            <w:r>
              <w:rPr>
                <w:rFonts w:hint="eastAsia" w:ascii="仿宋_GB2312" w:hAnsi="仿宋_GB2312" w:eastAsia="仿宋_GB2312" w:cs="仿宋_GB2312"/>
                <w:sz w:val="24"/>
                <w:lang w:eastAsia="zh" w:bidi="ar"/>
              </w:rPr>
              <w:t>南宁市第五人民医院</w:t>
            </w:r>
          </w:p>
        </w:tc>
        <w:tc>
          <w:tcPr>
            <w:tcW w:w="1705" w:type="pct"/>
            <w:tcBorders>
              <w:top w:val="single" w:color="auto" w:sz="4" w:space="0"/>
              <w:bottom w:val="single" w:color="auto" w:sz="4" w:space="0"/>
              <w:right w:val="single" w:color="auto" w:sz="4" w:space="0"/>
            </w:tcBorders>
            <w:noWrap w:val="0"/>
            <w:vAlign w:val="center"/>
          </w:tcPr>
          <w:p w14:paraId="13F5B418">
            <w:pPr>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33DF6E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12" w:type="pct"/>
            <w:tcBorders>
              <w:top w:val="single" w:color="auto" w:sz="4" w:space="0"/>
              <w:left w:val="single" w:color="auto" w:sz="4" w:space="0"/>
              <w:bottom w:val="single" w:color="auto" w:sz="4" w:space="0"/>
            </w:tcBorders>
            <w:noWrap w:val="0"/>
            <w:vAlign w:val="center"/>
          </w:tcPr>
          <w:p w14:paraId="24D3D0C4">
            <w:pPr>
              <w:jc w:val="center"/>
              <w:rPr>
                <w:rFonts w:hint="eastAsia" w:ascii="仿宋_GB2312" w:hAnsi="仿宋_GB2312" w:eastAsia="仿宋_GB2312" w:cs="仿宋_GB2312"/>
                <w:kern w:val="2"/>
                <w:sz w:val="24"/>
                <w:szCs w:val="24"/>
                <w:highlight w:val="none"/>
                <w:lang w:val="en-US" w:eastAsia="zh" w:bidi="ar"/>
              </w:rPr>
            </w:pPr>
            <w:r>
              <w:rPr>
                <w:rFonts w:hint="eastAsia" w:ascii="仿宋_GB2312" w:hAnsi="仿宋_GB2312" w:eastAsia="仿宋_GB2312" w:cs="仿宋_GB2312"/>
                <w:sz w:val="24"/>
                <w:highlight w:val="none"/>
                <w:lang w:eastAsia="zh-CN" w:bidi="ar"/>
              </w:rPr>
              <w:t>陆沈艳</w:t>
            </w:r>
          </w:p>
        </w:tc>
        <w:tc>
          <w:tcPr>
            <w:tcW w:w="816" w:type="pct"/>
            <w:tcBorders>
              <w:top w:val="single" w:color="auto" w:sz="4" w:space="0"/>
              <w:bottom w:val="single" w:color="auto" w:sz="4" w:space="0"/>
            </w:tcBorders>
            <w:noWrap w:val="0"/>
            <w:vAlign w:val="center"/>
          </w:tcPr>
          <w:p w14:paraId="0DA95E06">
            <w:pPr>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 w:bidi="ar"/>
              </w:rPr>
              <w:t>病区护士长</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eastAsia="zh" w:bidi="ar"/>
              </w:rPr>
              <w:t>主任护师</w:t>
            </w:r>
          </w:p>
        </w:tc>
        <w:tc>
          <w:tcPr>
            <w:tcW w:w="826" w:type="pct"/>
            <w:tcBorders>
              <w:top w:val="single" w:color="auto" w:sz="4" w:space="0"/>
              <w:bottom w:val="single" w:color="auto" w:sz="4" w:space="0"/>
            </w:tcBorders>
            <w:noWrap w:val="0"/>
            <w:vAlign w:val="center"/>
          </w:tcPr>
          <w:p w14:paraId="344BCB02">
            <w:pPr>
              <w:jc w:val="center"/>
              <w:rPr>
                <w:rFonts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 w:bidi="ar"/>
              </w:rPr>
              <w:t>护理管理、临床护理</w:t>
            </w:r>
          </w:p>
        </w:tc>
        <w:tc>
          <w:tcPr>
            <w:tcW w:w="1038" w:type="pct"/>
            <w:tcBorders>
              <w:top w:val="single" w:color="auto" w:sz="4" w:space="0"/>
              <w:bottom w:val="single" w:color="auto" w:sz="4" w:space="0"/>
            </w:tcBorders>
            <w:noWrap w:val="0"/>
            <w:vAlign w:val="center"/>
          </w:tcPr>
          <w:p w14:paraId="2E4A1E44">
            <w:pPr>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南宁市第五人民医院</w:t>
            </w:r>
          </w:p>
        </w:tc>
        <w:tc>
          <w:tcPr>
            <w:tcW w:w="1705" w:type="pct"/>
            <w:tcBorders>
              <w:top w:val="single" w:color="auto" w:sz="4" w:space="0"/>
              <w:bottom w:val="single" w:color="auto" w:sz="4" w:space="0"/>
              <w:right w:val="single" w:color="auto" w:sz="4" w:space="0"/>
            </w:tcBorders>
            <w:noWrap w:val="0"/>
            <w:vAlign w:val="center"/>
          </w:tcPr>
          <w:p w14:paraId="7BF8771C">
            <w:pPr>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4B831C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612" w:type="pct"/>
            <w:tcBorders>
              <w:top w:val="single" w:color="auto" w:sz="4" w:space="0"/>
              <w:left w:val="single" w:color="auto" w:sz="4" w:space="0"/>
              <w:bottom w:val="single" w:color="auto" w:sz="4" w:space="0"/>
            </w:tcBorders>
            <w:noWrap w:val="0"/>
            <w:vAlign w:val="center"/>
          </w:tcPr>
          <w:p w14:paraId="685EA952">
            <w:pPr>
              <w:jc w:val="center"/>
              <w:rPr>
                <w:rFonts w:hint="eastAsia" w:ascii="仿宋_GB2312" w:hAnsi="仿宋_GB2312" w:eastAsia="仿宋_GB2312" w:cs="仿宋_GB2312"/>
                <w:kern w:val="2"/>
                <w:sz w:val="24"/>
                <w:szCs w:val="24"/>
                <w:highlight w:val="none"/>
                <w:lang w:val="en-US" w:eastAsia="zh" w:bidi="ar"/>
              </w:rPr>
            </w:pPr>
            <w:r>
              <w:rPr>
                <w:rFonts w:hint="eastAsia" w:ascii="仿宋_GB2312" w:hAnsi="仿宋_GB2312" w:eastAsia="仿宋_GB2312" w:cs="仿宋_GB2312"/>
                <w:sz w:val="24"/>
                <w:highlight w:val="none"/>
                <w:lang w:eastAsia="zh-CN" w:bidi="ar"/>
              </w:rPr>
              <w:t>杨带兰</w:t>
            </w:r>
          </w:p>
        </w:tc>
        <w:tc>
          <w:tcPr>
            <w:tcW w:w="816" w:type="pct"/>
            <w:tcBorders>
              <w:top w:val="single" w:color="auto" w:sz="4" w:space="0"/>
              <w:bottom w:val="single" w:color="auto" w:sz="4" w:space="0"/>
            </w:tcBorders>
            <w:noWrap w:val="0"/>
            <w:vAlign w:val="center"/>
          </w:tcPr>
          <w:p w14:paraId="0EF71556">
            <w:pPr>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 w:bidi="ar"/>
              </w:rPr>
              <w:t>病区护士长</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eastAsia="zh" w:bidi="ar"/>
              </w:rPr>
              <w:t>副主任护师</w:t>
            </w:r>
          </w:p>
        </w:tc>
        <w:tc>
          <w:tcPr>
            <w:tcW w:w="826" w:type="pct"/>
            <w:tcBorders>
              <w:top w:val="single" w:color="auto" w:sz="4" w:space="0"/>
              <w:bottom w:val="single" w:color="auto" w:sz="4" w:space="0"/>
            </w:tcBorders>
            <w:noWrap w:val="0"/>
            <w:vAlign w:val="center"/>
          </w:tcPr>
          <w:p w14:paraId="0CDFE832">
            <w:pPr>
              <w:jc w:val="center"/>
              <w:rPr>
                <w:rFonts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 w:bidi="ar"/>
              </w:rPr>
              <w:t>护理管理、临床护理</w:t>
            </w:r>
          </w:p>
        </w:tc>
        <w:tc>
          <w:tcPr>
            <w:tcW w:w="1038" w:type="pct"/>
            <w:tcBorders>
              <w:top w:val="single" w:color="auto" w:sz="4" w:space="0"/>
              <w:bottom w:val="single" w:color="auto" w:sz="4" w:space="0"/>
            </w:tcBorders>
            <w:noWrap w:val="0"/>
            <w:vAlign w:val="center"/>
          </w:tcPr>
          <w:p w14:paraId="3EC9B1BD">
            <w:pPr>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南宁市第五人民医院</w:t>
            </w:r>
          </w:p>
        </w:tc>
        <w:tc>
          <w:tcPr>
            <w:tcW w:w="1705" w:type="pct"/>
            <w:tcBorders>
              <w:top w:val="single" w:color="auto" w:sz="4" w:space="0"/>
              <w:bottom w:val="single" w:color="auto" w:sz="4" w:space="0"/>
              <w:right w:val="single" w:color="auto" w:sz="4" w:space="0"/>
            </w:tcBorders>
            <w:noWrap w:val="0"/>
            <w:vAlign w:val="center"/>
          </w:tcPr>
          <w:p w14:paraId="09E70AAF">
            <w:pPr>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79DA7D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12" w:type="pct"/>
            <w:tcBorders>
              <w:top w:val="single" w:color="auto" w:sz="4" w:space="0"/>
              <w:left w:val="single" w:color="auto" w:sz="4" w:space="0"/>
              <w:bottom w:val="single" w:color="auto" w:sz="4" w:space="0"/>
            </w:tcBorders>
            <w:noWrap w:val="0"/>
            <w:vAlign w:val="center"/>
          </w:tcPr>
          <w:p w14:paraId="02CC6EAE">
            <w:pPr>
              <w:jc w:val="center"/>
              <w:rPr>
                <w:rFonts w:hint="eastAsia"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CN" w:bidi="ar"/>
              </w:rPr>
              <w:t>潘巧淑</w:t>
            </w:r>
          </w:p>
        </w:tc>
        <w:tc>
          <w:tcPr>
            <w:tcW w:w="816" w:type="pct"/>
            <w:tcBorders>
              <w:top w:val="single" w:color="auto" w:sz="4" w:space="0"/>
              <w:bottom w:val="single" w:color="auto" w:sz="4" w:space="0"/>
            </w:tcBorders>
            <w:noWrap w:val="0"/>
            <w:vAlign w:val="center"/>
          </w:tcPr>
          <w:p w14:paraId="348DA178">
            <w:pPr>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 w:bidi="ar"/>
              </w:rPr>
              <w:t>护士长</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eastAsia="zh" w:bidi="ar"/>
              </w:rPr>
              <w:t>副主任护师</w:t>
            </w:r>
          </w:p>
        </w:tc>
        <w:tc>
          <w:tcPr>
            <w:tcW w:w="826" w:type="pct"/>
            <w:tcBorders>
              <w:top w:val="single" w:color="auto" w:sz="4" w:space="0"/>
              <w:bottom w:val="single" w:color="auto" w:sz="4" w:space="0"/>
            </w:tcBorders>
            <w:noWrap w:val="0"/>
            <w:vAlign w:val="center"/>
          </w:tcPr>
          <w:p w14:paraId="1BD7C948">
            <w:pPr>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eastAsia="zh" w:bidi="ar"/>
              </w:rPr>
              <w:t>护理管理、临床护理</w:t>
            </w:r>
          </w:p>
        </w:tc>
        <w:tc>
          <w:tcPr>
            <w:tcW w:w="1038" w:type="pct"/>
            <w:tcBorders>
              <w:top w:val="single" w:color="auto" w:sz="4" w:space="0"/>
              <w:bottom w:val="single" w:color="auto" w:sz="4" w:space="0"/>
            </w:tcBorders>
            <w:noWrap w:val="0"/>
            <w:vAlign w:val="center"/>
          </w:tcPr>
          <w:p w14:paraId="4597A576">
            <w:pPr>
              <w:jc w:val="center"/>
              <w:rPr>
                <w:rFonts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 w:bidi="ar"/>
              </w:rPr>
              <w:t>南宁市第五人民医院</w:t>
            </w:r>
          </w:p>
        </w:tc>
        <w:tc>
          <w:tcPr>
            <w:tcW w:w="1705" w:type="pct"/>
            <w:tcBorders>
              <w:top w:val="single" w:color="auto" w:sz="4" w:space="0"/>
              <w:bottom w:val="single" w:color="auto" w:sz="4" w:space="0"/>
              <w:right w:val="single" w:color="auto" w:sz="4" w:space="0"/>
            </w:tcBorders>
            <w:noWrap w:val="0"/>
            <w:vAlign w:val="center"/>
          </w:tcPr>
          <w:p w14:paraId="72725C60">
            <w:pPr>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3E19B0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12" w:type="pct"/>
            <w:tcBorders>
              <w:top w:val="single" w:color="auto" w:sz="4" w:space="0"/>
              <w:left w:val="single" w:color="auto" w:sz="4" w:space="0"/>
              <w:bottom w:val="single" w:color="auto" w:sz="4" w:space="0"/>
            </w:tcBorders>
            <w:noWrap w:val="0"/>
            <w:vAlign w:val="center"/>
          </w:tcPr>
          <w:p w14:paraId="4EA14188">
            <w:pPr>
              <w:jc w:val="center"/>
              <w:rPr>
                <w:rFonts w:hint="eastAsia"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CN" w:bidi="ar"/>
              </w:rPr>
              <w:t>农香善</w:t>
            </w:r>
          </w:p>
        </w:tc>
        <w:tc>
          <w:tcPr>
            <w:tcW w:w="816" w:type="pct"/>
            <w:tcBorders>
              <w:top w:val="single" w:color="auto" w:sz="4" w:space="0"/>
              <w:bottom w:val="single" w:color="auto" w:sz="4" w:space="0"/>
            </w:tcBorders>
            <w:noWrap w:val="0"/>
            <w:vAlign w:val="center"/>
          </w:tcPr>
          <w:p w14:paraId="7099E875">
            <w:pPr>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val="en-US" w:eastAsia="zh" w:bidi="ar"/>
              </w:rPr>
              <w:t>病区护士长</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eastAsia="zh" w:bidi="ar"/>
              </w:rPr>
              <w:t>副主任护师</w:t>
            </w:r>
          </w:p>
        </w:tc>
        <w:tc>
          <w:tcPr>
            <w:tcW w:w="826" w:type="pct"/>
            <w:tcBorders>
              <w:top w:val="single" w:color="auto" w:sz="4" w:space="0"/>
              <w:bottom w:val="single" w:color="auto" w:sz="4" w:space="0"/>
            </w:tcBorders>
            <w:noWrap w:val="0"/>
            <w:vAlign w:val="center"/>
          </w:tcPr>
          <w:p w14:paraId="26F61749">
            <w:pPr>
              <w:jc w:val="center"/>
              <w:rPr>
                <w:rFonts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 w:bidi="ar"/>
              </w:rPr>
              <w:t>护理管理、临床护理</w:t>
            </w:r>
          </w:p>
        </w:tc>
        <w:tc>
          <w:tcPr>
            <w:tcW w:w="1038" w:type="pct"/>
            <w:tcBorders>
              <w:top w:val="single" w:color="auto" w:sz="4" w:space="0"/>
              <w:bottom w:val="single" w:color="auto" w:sz="4" w:space="0"/>
            </w:tcBorders>
            <w:noWrap w:val="0"/>
            <w:vAlign w:val="center"/>
          </w:tcPr>
          <w:p w14:paraId="3F22249B">
            <w:pPr>
              <w:jc w:val="center"/>
              <w:rPr>
                <w:rFonts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 w:bidi="ar"/>
              </w:rPr>
              <w:t>南宁市第五人民医院</w:t>
            </w:r>
          </w:p>
        </w:tc>
        <w:tc>
          <w:tcPr>
            <w:tcW w:w="1705" w:type="pct"/>
            <w:tcBorders>
              <w:top w:val="single" w:color="auto" w:sz="4" w:space="0"/>
              <w:bottom w:val="single" w:color="auto" w:sz="4" w:space="0"/>
              <w:right w:val="single" w:color="auto" w:sz="4" w:space="0"/>
            </w:tcBorders>
            <w:noWrap w:val="0"/>
            <w:vAlign w:val="center"/>
          </w:tcPr>
          <w:p w14:paraId="39974FF2">
            <w:pPr>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7728DB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12" w:type="pct"/>
            <w:tcBorders>
              <w:top w:val="single" w:color="auto" w:sz="4" w:space="0"/>
              <w:left w:val="single" w:color="auto" w:sz="4" w:space="0"/>
              <w:bottom w:val="single" w:color="auto" w:sz="4" w:space="0"/>
            </w:tcBorders>
            <w:noWrap w:val="0"/>
            <w:vAlign w:val="center"/>
          </w:tcPr>
          <w:p w14:paraId="4E0B70E1">
            <w:pPr>
              <w:jc w:val="center"/>
              <w:rPr>
                <w:rFonts w:hint="eastAsia"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CN" w:bidi="ar"/>
              </w:rPr>
              <w:t>陈丽燕</w:t>
            </w:r>
          </w:p>
        </w:tc>
        <w:tc>
          <w:tcPr>
            <w:tcW w:w="816" w:type="pct"/>
            <w:tcBorders>
              <w:top w:val="single" w:color="auto" w:sz="4" w:space="0"/>
              <w:bottom w:val="single" w:color="auto" w:sz="4" w:space="0"/>
            </w:tcBorders>
            <w:noWrap w:val="0"/>
            <w:vAlign w:val="center"/>
          </w:tcPr>
          <w:p w14:paraId="33A66AEE">
            <w:pPr>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 w:bidi="ar"/>
              </w:rPr>
              <w:t>病区护士长</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eastAsia="zh" w:bidi="ar"/>
              </w:rPr>
              <w:t>副主任护师</w:t>
            </w:r>
          </w:p>
        </w:tc>
        <w:tc>
          <w:tcPr>
            <w:tcW w:w="826" w:type="pct"/>
            <w:tcBorders>
              <w:top w:val="single" w:color="auto" w:sz="4" w:space="0"/>
              <w:bottom w:val="single" w:color="auto" w:sz="4" w:space="0"/>
            </w:tcBorders>
            <w:noWrap w:val="0"/>
            <w:vAlign w:val="center"/>
          </w:tcPr>
          <w:p w14:paraId="18EC7BD8">
            <w:pPr>
              <w:jc w:val="center"/>
              <w:rPr>
                <w:rFonts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 w:bidi="ar"/>
              </w:rPr>
              <w:t>护理管理、临床护理</w:t>
            </w:r>
          </w:p>
        </w:tc>
        <w:tc>
          <w:tcPr>
            <w:tcW w:w="1038" w:type="pct"/>
            <w:tcBorders>
              <w:top w:val="single" w:color="auto" w:sz="4" w:space="0"/>
              <w:bottom w:val="single" w:color="auto" w:sz="4" w:space="0"/>
            </w:tcBorders>
            <w:noWrap w:val="0"/>
            <w:vAlign w:val="center"/>
          </w:tcPr>
          <w:p w14:paraId="770D5565">
            <w:pPr>
              <w:jc w:val="center"/>
              <w:rPr>
                <w:rFonts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 w:bidi="ar"/>
              </w:rPr>
              <w:t>南宁市第五人民医院</w:t>
            </w:r>
          </w:p>
        </w:tc>
        <w:tc>
          <w:tcPr>
            <w:tcW w:w="1705" w:type="pct"/>
            <w:tcBorders>
              <w:top w:val="single" w:color="auto" w:sz="4" w:space="0"/>
              <w:bottom w:val="single" w:color="auto" w:sz="4" w:space="0"/>
              <w:right w:val="single" w:color="auto" w:sz="4" w:space="0"/>
            </w:tcBorders>
            <w:noWrap w:val="0"/>
            <w:vAlign w:val="center"/>
          </w:tcPr>
          <w:p w14:paraId="335F8A6C">
            <w:pPr>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774EB5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612" w:type="pct"/>
            <w:tcBorders>
              <w:top w:val="single" w:color="auto" w:sz="4" w:space="0"/>
              <w:left w:val="single" w:color="auto" w:sz="4" w:space="0"/>
              <w:bottom w:val="single" w:color="auto" w:sz="4" w:space="0"/>
            </w:tcBorders>
            <w:noWrap w:val="0"/>
            <w:vAlign w:val="center"/>
          </w:tcPr>
          <w:p w14:paraId="5B70B9AD">
            <w:pPr>
              <w:jc w:val="center"/>
              <w:rPr>
                <w:rFonts w:hint="eastAsia"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CN" w:bidi="ar"/>
              </w:rPr>
              <w:t>黄小权</w:t>
            </w:r>
          </w:p>
        </w:tc>
        <w:tc>
          <w:tcPr>
            <w:tcW w:w="816" w:type="pct"/>
            <w:tcBorders>
              <w:top w:val="single" w:color="auto" w:sz="4" w:space="0"/>
              <w:bottom w:val="single" w:color="auto" w:sz="4" w:space="0"/>
            </w:tcBorders>
            <w:noWrap w:val="0"/>
            <w:vAlign w:val="center"/>
          </w:tcPr>
          <w:p w14:paraId="6619B317">
            <w:pPr>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 w:bidi="ar"/>
              </w:rPr>
              <w:t>护士长</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eastAsia="zh" w:bidi="ar"/>
              </w:rPr>
              <w:t>副主任护师</w:t>
            </w:r>
          </w:p>
        </w:tc>
        <w:tc>
          <w:tcPr>
            <w:tcW w:w="826" w:type="pct"/>
            <w:tcBorders>
              <w:top w:val="single" w:color="auto" w:sz="4" w:space="0"/>
              <w:bottom w:val="single" w:color="auto" w:sz="4" w:space="0"/>
            </w:tcBorders>
            <w:noWrap w:val="0"/>
            <w:vAlign w:val="center"/>
          </w:tcPr>
          <w:p w14:paraId="166933FA">
            <w:pPr>
              <w:jc w:val="center"/>
              <w:rPr>
                <w:rFonts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 w:bidi="ar"/>
              </w:rPr>
              <w:t>护理管理、临床护理</w:t>
            </w:r>
          </w:p>
        </w:tc>
        <w:tc>
          <w:tcPr>
            <w:tcW w:w="1038" w:type="pct"/>
            <w:tcBorders>
              <w:top w:val="single" w:color="auto" w:sz="4" w:space="0"/>
              <w:bottom w:val="single" w:color="auto" w:sz="4" w:space="0"/>
            </w:tcBorders>
            <w:noWrap w:val="0"/>
            <w:vAlign w:val="center"/>
          </w:tcPr>
          <w:p w14:paraId="26E01DF6">
            <w:pPr>
              <w:jc w:val="center"/>
              <w:rPr>
                <w:rFonts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 w:bidi="ar"/>
              </w:rPr>
              <w:t>南宁市第五人民医院</w:t>
            </w:r>
          </w:p>
        </w:tc>
        <w:tc>
          <w:tcPr>
            <w:tcW w:w="1705" w:type="pct"/>
            <w:tcBorders>
              <w:top w:val="single" w:color="auto" w:sz="4" w:space="0"/>
              <w:bottom w:val="single" w:color="auto" w:sz="4" w:space="0"/>
              <w:right w:val="single" w:color="auto" w:sz="4" w:space="0"/>
            </w:tcBorders>
            <w:noWrap w:val="0"/>
            <w:vAlign w:val="center"/>
          </w:tcPr>
          <w:p w14:paraId="7D1E20D8">
            <w:pPr>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3DE375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12" w:type="pct"/>
            <w:tcBorders>
              <w:top w:val="single" w:color="auto" w:sz="4" w:space="0"/>
              <w:left w:val="single" w:color="auto" w:sz="4" w:space="0"/>
              <w:bottom w:val="single" w:color="auto" w:sz="4" w:space="0"/>
            </w:tcBorders>
            <w:noWrap w:val="0"/>
            <w:vAlign w:val="center"/>
          </w:tcPr>
          <w:p w14:paraId="2D58F46E">
            <w:pPr>
              <w:jc w:val="center"/>
              <w:rPr>
                <w:rFonts w:hint="eastAsia"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val="en-US" w:eastAsia="zh-CN" w:bidi="ar"/>
              </w:rPr>
              <w:t>李子欢</w:t>
            </w:r>
          </w:p>
        </w:tc>
        <w:tc>
          <w:tcPr>
            <w:tcW w:w="816" w:type="pct"/>
            <w:tcBorders>
              <w:top w:val="single" w:color="auto" w:sz="4" w:space="0"/>
              <w:bottom w:val="single" w:color="auto" w:sz="4" w:space="0"/>
            </w:tcBorders>
            <w:noWrap w:val="0"/>
            <w:vAlign w:val="center"/>
          </w:tcPr>
          <w:p w14:paraId="1C9D5980">
            <w:pPr>
              <w:jc w:val="center"/>
              <w:rPr>
                <w:rFonts w:hint="eastAsia" w:ascii="仿宋_GB2312" w:hAnsi="仿宋_GB2312" w:eastAsia="仿宋_GB2312" w:cs="仿宋_GB2312"/>
                <w:kern w:val="2"/>
                <w:sz w:val="24"/>
                <w:szCs w:val="24"/>
                <w:lang w:val="en-US" w:eastAsia="zh" w:bidi="ar"/>
              </w:rPr>
            </w:pPr>
            <w:r>
              <w:rPr>
                <w:rFonts w:hint="eastAsia" w:ascii="仿宋_GB2312" w:hAnsi="仿宋_GB2312" w:eastAsia="仿宋_GB2312" w:cs="仿宋_GB2312"/>
                <w:sz w:val="24"/>
                <w:lang w:val="en-US" w:eastAsia="zh" w:bidi="ar"/>
              </w:rPr>
              <w:t>护士长</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eastAsia="zh" w:bidi="ar"/>
              </w:rPr>
              <w:t>副主任护师</w:t>
            </w:r>
          </w:p>
        </w:tc>
        <w:tc>
          <w:tcPr>
            <w:tcW w:w="826" w:type="pct"/>
            <w:tcBorders>
              <w:top w:val="single" w:color="auto" w:sz="4" w:space="0"/>
              <w:bottom w:val="single" w:color="auto" w:sz="4" w:space="0"/>
            </w:tcBorders>
            <w:noWrap w:val="0"/>
            <w:vAlign w:val="center"/>
          </w:tcPr>
          <w:p w14:paraId="19893F47">
            <w:pPr>
              <w:jc w:val="center"/>
              <w:rPr>
                <w:rFonts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 w:bidi="ar"/>
              </w:rPr>
              <w:t>护理管理、临床护理</w:t>
            </w:r>
          </w:p>
        </w:tc>
        <w:tc>
          <w:tcPr>
            <w:tcW w:w="1038" w:type="pct"/>
            <w:tcBorders>
              <w:top w:val="single" w:color="auto" w:sz="4" w:space="0"/>
              <w:bottom w:val="single" w:color="auto" w:sz="4" w:space="0"/>
            </w:tcBorders>
            <w:noWrap w:val="0"/>
            <w:vAlign w:val="center"/>
          </w:tcPr>
          <w:p w14:paraId="6D07E60B">
            <w:pPr>
              <w:jc w:val="center"/>
              <w:rPr>
                <w:rFonts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 w:bidi="ar"/>
              </w:rPr>
              <w:t>南宁市第五人民医院</w:t>
            </w:r>
          </w:p>
        </w:tc>
        <w:tc>
          <w:tcPr>
            <w:tcW w:w="1705" w:type="pct"/>
            <w:tcBorders>
              <w:top w:val="single" w:color="auto" w:sz="4" w:space="0"/>
              <w:bottom w:val="single" w:color="auto" w:sz="4" w:space="0"/>
              <w:right w:val="single" w:color="auto" w:sz="4" w:space="0"/>
            </w:tcBorders>
            <w:noWrap w:val="0"/>
            <w:vAlign w:val="center"/>
          </w:tcPr>
          <w:p w14:paraId="42E9C18F">
            <w:pPr>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bl>
    <w:p w14:paraId="7D361F66">
      <w:pPr>
        <w:spacing w:line="520" w:lineRule="exact"/>
        <w:ind w:firstLine="640" w:firstLineChars="200"/>
        <w:rPr>
          <w:rFonts w:hint="eastAsia" w:ascii="黑体" w:eastAsia="黑体" w:cs="仿宋_GB2312"/>
          <w:color w:val="auto"/>
          <w:sz w:val="32"/>
          <w:szCs w:val="32"/>
        </w:rPr>
      </w:pPr>
    </w:p>
    <w:p w14:paraId="33BC8E98">
      <w:pPr>
        <w:spacing w:line="520" w:lineRule="exact"/>
        <w:ind w:firstLine="640" w:firstLineChars="200"/>
        <w:rPr>
          <w:rFonts w:hint="eastAsia" w:ascii="黑体" w:eastAsia="黑体" w:cs="仿宋_GB2312"/>
          <w:color w:val="auto"/>
          <w:sz w:val="32"/>
          <w:szCs w:val="32"/>
        </w:rPr>
      </w:pPr>
      <w:r>
        <w:rPr>
          <w:rFonts w:hint="eastAsia" w:ascii="黑体" w:eastAsia="黑体" w:cs="仿宋_GB2312"/>
          <w:color w:val="auto"/>
          <w:sz w:val="32"/>
          <w:szCs w:val="32"/>
        </w:rPr>
        <w:t>二、制定标准的必要性和意义</w:t>
      </w:r>
    </w:p>
    <w:p w14:paraId="36690C80">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据中国疾控中心精神卫生中心等机构数据，中国精神分裂症患者人数超过640万，按中国人口基数计算，精神分裂症患病率约为0.5%至0.7%左右。精神分裂症作为一种重性精神障碍，其患者群体的照护需求与普通患者存在本质区别，具有极高的复杂性和专业性要求，绝非常规护理模式所能胜任。这种差异首先体现在疾病症状的独特性上。普通患者的护理通常围绕明确的躯体疾病展开，目标相对单一；而精神分裂症患者则深受幻觉、妄想等阳性症状，以及情感淡漠、</w:t>
      </w:r>
      <w:bookmarkStart w:id="5" w:name="_GoBack"/>
      <w:bookmarkEnd w:id="5"/>
      <w:r>
        <w:rPr>
          <w:rFonts w:hint="eastAsia" w:ascii="仿宋_GB2312" w:eastAsia="仿宋_GB2312"/>
          <w:color w:val="auto"/>
          <w:sz w:val="28"/>
          <w:szCs w:val="28"/>
          <w:lang w:val="en-US" w:eastAsia="zh-CN"/>
        </w:rPr>
        <w:t>社会退缩等阴性症状的双重困扰。这些症状导致患者可能无法区分现实与病态感知，从而出现自伤、自杀或伤害他人的风险行为。其次，照护的复杂性在于其影响的广泛性。疾病不仅损害患者的认知功能（如记忆力、注意力），还常常导致其忽略个人卫生、饮食规律，加之长期服用抗精神病药物可能引发的代谢副作用，使得躯体健康的维护变得异常困难。更重要的是，精神分裂症的护理是一个漫长甚至终身的过程，涉及急性期、巩固期和维持期等多个阶段，任何自行减药、停药都可能导致病情急剧反弹。最后，社会认知的偏差加剧了照护困境。社会对精神疾病的误解与歧视，使得患者及家属常背负沉重的“病耻感”，不愿主动就医，形成“不敢就医—病情加重—更难融入社会”的恶性循环。因此，针对这一特殊群体，沿用普通患者的照护理念与方法，不仅无效，甚至可能因“过度保护”或“放任不管”等常见误区而阻碍康复。建立一套科学、系统、专业的照护规范，已成为打破护理误区、应对多重挑战、帮助患者回归社会的当务之急。</w:t>
      </w:r>
    </w:p>
    <w:p w14:paraId="0EC2E68A">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在精神分裂症患者的全程照护中，经过专业培训的医疗护理员扮演着不可替代的关键角色，其作用远超出传统意义上的生活照料，已成为连接医疗干预与患者社会功能恢复的核心桥梁。与主要由家属或普通护工承担的陪护不同，专业医疗护理员的作用体现在多个维度。首要作用是保障患者安全与营造治疗环境。精神症状可能导致患者出现冲动行为，专业护理员提供的24小时不间断照护，能够实时监测患者行为动态，有效预防自伤、伤他等安全事件，同时减少非专业人员流动，降低病房管理风险，营造安静、安全的诊疗环境。护理员通过提供规律作息、饮食管理等标准化生活照护，不仅有助于患者维持基本生活秩序，其详细的护理记录也为医护人员评估病情、调整治疗方案提供了宝贵的一线数据。再者，他们是治疗与康复方案的协同实施者。精神分裂症的康复需要药物治疗、心理支持和生活护理的综合干预。专业护理员经培训后，能够更好地配合医护人员，在日常生活场景中协助进行康复训练、给予情感支持，弥补家属因缺乏专业知识而可能存在的照护能力不足。以现行推行的免陪照护模式为例，该模式由持证并接受专项培训的护理员提供核心服务，根据患者病情实施分级护理，实现了照护主体的专业化、服务内容的标准化和管理模式的规范化。这充分证明，一支专业化、规范化的医疗护理员队伍，是提升精神专科照护质量、促进患者康复、减轻家庭与社会负担的中坚力量。据统计，南宁市第五人民医院近三年接诊</w:t>
      </w:r>
      <w:r>
        <w:rPr>
          <w:rFonts w:hint="eastAsia" w:ascii="仿宋_GB2312" w:eastAsia="仿宋_GB2312"/>
          <w:color w:val="auto"/>
          <w:sz w:val="28"/>
          <w:szCs w:val="28"/>
          <w:lang w:val="zh-CN" w:eastAsia="zh-CN"/>
        </w:rPr>
        <w:t>精神分裂症</w:t>
      </w:r>
      <w:r>
        <w:rPr>
          <w:rFonts w:hint="eastAsia" w:ascii="仿宋_GB2312" w:eastAsia="仿宋_GB2312"/>
          <w:color w:val="auto"/>
          <w:sz w:val="28"/>
          <w:szCs w:val="28"/>
          <w:lang w:val="en-US" w:eastAsia="zh-CN"/>
        </w:rPr>
        <w:t>患者90505人次，从事服务</w:t>
      </w:r>
      <w:r>
        <w:rPr>
          <w:rFonts w:hint="eastAsia" w:ascii="仿宋_GB2312" w:eastAsia="仿宋_GB2312"/>
          <w:color w:val="auto"/>
          <w:sz w:val="28"/>
          <w:szCs w:val="28"/>
          <w:lang w:val="zh-CN" w:eastAsia="zh-CN"/>
        </w:rPr>
        <w:t>精神分裂症</w:t>
      </w:r>
      <w:r>
        <w:rPr>
          <w:rFonts w:hint="eastAsia" w:ascii="仿宋_GB2312" w:eastAsia="仿宋_GB2312"/>
          <w:color w:val="auto"/>
          <w:sz w:val="28"/>
          <w:szCs w:val="28"/>
          <w:lang w:val="en-US" w:eastAsia="zh-CN"/>
        </w:rPr>
        <w:t>患者的医疗护理员74余人。</w:t>
      </w:r>
    </w:p>
    <w:p w14:paraId="655321F5">
      <w:pPr>
        <w:spacing w:line="520" w:lineRule="exact"/>
        <w:ind w:firstLine="560" w:firstLineChars="200"/>
        <w:rPr>
          <w:rFonts w:hint="default" w:ascii="仿宋_GB2312" w:eastAsia="仿宋_GB2312"/>
          <w:color w:val="auto"/>
          <w:sz w:val="28"/>
          <w:szCs w:val="28"/>
          <w:lang w:val="en-US" w:eastAsia="zh-CN"/>
        </w:rPr>
      </w:pPr>
      <w:r>
        <w:rPr>
          <w:rFonts w:hint="eastAsia" w:ascii="仿宋_GB2312" w:eastAsia="仿宋_GB2312"/>
          <w:color w:val="auto"/>
          <w:sz w:val="28"/>
          <w:szCs w:val="28"/>
          <w:lang w:val="en-US" w:eastAsia="zh-CN"/>
        </w:rPr>
        <w:t>通过制定团体标准《</w:t>
      </w:r>
      <w:r>
        <w:rPr>
          <w:rFonts w:hint="eastAsia" w:ascii="仿宋_GB2312" w:eastAsia="仿宋_GB2312"/>
          <w:color w:val="auto"/>
          <w:sz w:val="28"/>
          <w:szCs w:val="28"/>
          <w:lang w:val="zh-CN" w:eastAsia="zh-CN"/>
        </w:rPr>
        <w:t>医疗护理员精神分裂症患者照护规范</w:t>
      </w:r>
      <w:r>
        <w:rPr>
          <w:rFonts w:hint="eastAsia" w:ascii="仿宋_GB2312" w:eastAsia="仿宋_GB2312"/>
          <w:color w:val="auto"/>
          <w:sz w:val="28"/>
          <w:szCs w:val="28"/>
          <w:lang w:val="en-US" w:eastAsia="zh-CN"/>
        </w:rPr>
        <w:t>》，以标准为抓手，统一规</w:t>
      </w:r>
      <w:r>
        <w:rPr>
          <w:rFonts w:hint="eastAsia" w:ascii="仿宋_GB2312" w:eastAsia="仿宋_GB2312"/>
          <w:color w:val="auto"/>
          <w:sz w:val="28"/>
          <w:szCs w:val="28"/>
          <w:lang w:val="zh-CN" w:eastAsia="zh-CN"/>
        </w:rPr>
        <w:t>医疗护理员精神分裂症患者照护</w:t>
      </w:r>
      <w:r>
        <w:rPr>
          <w:rFonts w:hint="eastAsia" w:ascii="仿宋_GB2312" w:eastAsia="仿宋_GB2312"/>
          <w:color w:val="auto"/>
          <w:sz w:val="28"/>
          <w:szCs w:val="28"/>
          <w:lang w:val="en-US" w:eastAsia="zh-CN"/>
        </w:rPr>
        <w:t>要求，整明确医疗护理员在精神分裂症照护中的职责边界、操作流程、风险应对措施（如针对幻觉、妄想、拒食等情况的处理）以及与医护人员的协作机制，从根本上减少因照护不当引发的安全事件和康复延误，确保患者在任何机构都能获得符合基准线的、安全的、有尊严的服务，推动我国精神卫生服务高质量发展、切实保障精神分裂症患者及其家庭具有重要意义</w:t>
      </w:r>
      <w:r>
        <w:rPr>
          <w:rFonts w:hint="eastAsia" w:ascii="仿宋_GB2312" w:eastAsia="仿宋_GB2312"/>
          <w:color w:val="auto"/>
          <w:sz w:val="28"/>
          <w:szCs w:val="28"/>
        </w:rPr>
        <w:t>。</w:t>
      </w:r>
    </w:p>
    <w:p w14:paraId="6173DA4D">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三、主要起草过程</w:t>
      </w:r>
    </w:p>
    <w:p w14:paraId="63E78FA5">
      <w:pPr>
        <w:spacing w:line="520" w:lineRule="exact"/>
        <w:ind w:firstLine="562" w:firstLineChars="200"/>
        <w:rPr>
          <w:rFonts w:hint="eastAsia" w:ascii="仿宋_GB2312" w:eastAsia="仿宋_GB2312"/>
          <w:color w:val="auto"/>
          <w:sz w:val="28"/>
          <w:szCs w:val="28"/>
        </w:rPr>
      </w:pPr>
      <w:r>
        <w:rPr>
          <w:rFonts w:hint="eastAsia" w:ascii="仿宋_GB2312" w:eastAsia="仿宋_GB2312" w:cs="仿宋_GB2312"/>
          <w:b/>
          <w:color w:val="auto"/>
          <w:sz w:val="28"/>
          <w:szCs w:val="28"/>
        </w:rPr>
        <w:t>（一）成立标准编制工作组</w:t>
      </w:r>
    </w:p>
    <w:p w14:paraId="0880187A">
      <w:pPr>
        <w:spacing w:line="520" w:lineRule="exact"/>
        <w:ind w:firstLine="560" w:firstLineChars="200"/>
        <w:jc w:val="left"/>
        <w:rPr>
          <w:rFonts w:hint="eastAsia" w:ascii="仿宋_GB2312" w:eastAsia="仿宋_GB2312"/>
          <w:color w:val="auto"/>
          <w:sz w:val="28"/>
          <w:szCs w:val="28"/>
        </w:rPr>
      </w:pPr>
      <w:r>
        <w:rPr>
          <w:rFonts w:hint="eastAsia" w:ascii="仿宋_GB2312" w:hAnsi="宋体" w:eastAsia="仿宋_GB2312"/>
          <w:color w:val="auto"/>
          <w:sz w:val="28"/>
          <w:szCs w:val="28"/>
        </w:rPr>
        <w:t>团体标准</w:t>
      </w:r>
      <w:r>
        <w:rPr>
          <w:rFonts w:hint="eastAsia" w:ascii="仿宋_GB2312" w:eastAsia="仿宋_GB2312"/>
          <w:color w:val="auto"/>
          <w:sz w:val="28"/>
          <w:szCs w:val="28"/>
        </w:rPr>
        <w:t>《</w:t>
      </w:r>
      <w:r>
        <w:rPr>
          <w:rFonts w:hint="eastAsia" w:ascii="仿宋_GB2312" w:eastAsia="仿宋_GB2312"/>
          <w:color w:val="auto"/>
          <w:sz w:val="28"/>
          <w:szCs w:val="28"/>
          <w:lang w:val="zh-CN" w:eastAsia="zh-CN"/>
        </w:rPr>
        <w:t>医疗护理员精神分裂症患者照护规范</w:t>
      </w:r>
      <w:r>
        <w:rPr>
          <w:rFonts w:hint="eastAsia" w:ascii="仿宋_GB2312" w:eastAsia="仿宋_GB2312"/>
          <w:color w:val="auto"/>
          <w:sz w:val="28"/>
          <w:szCs w:val="28"/>
        </w:rPr>
        <w:t>》项目任务下达后，南宁市第五人民医院提出，南宁市第五人民医院、广州医科大学附属脑科医院、广西壮族自治区脑科医院、广西壮族自治区人民医院、南宁市社会福利医院、桂林社会福利医院、河池市荣军优抚医院（河池市第四人民医院）成立了标准编制工作组，制定了起草编写方案与进度安排，明确任务职责，确定工作技术路线，开展标准研制工作。具体标准编制工作由起草单位相关人员配合完成。</w:t>
      </w:r>
    </w:p>
    <w:p w14:paraId="3AC50CC4">
      <w:pPr>
        <w:spacing w:line="520" w:lineRule="exact"/>
        <w:ind w:firstLine="560" w:firstLineChars="200"/>
        <w:rPr>
          <w:rFonts w:hint="eastAsia" w:ascii="仿宋_GB2312" w:eastAsia="仿宋_GB2312" w:cs="仿宋_GB2312"/>
          <w:color w:val="auto"/>
          <w:sz w:val="28"/>
          <w:szCs w:val="28"/>
        </w:rPr>
      </w:pPr>
      <w:r>
        <w:rPr>
          <w:rFonts w:hint="eastAsia" w:ascii="仿宋_GB2312" w:eastAsia="仿宋_GB2312"/>
          <w:color w:val="auto"/>
          <w:sz w:val="28"/>
          <w:szCs w:val="28"/>
        </w:rPr>
        <w:t>为了明确标准编制的任务职责，确定工作技术路线，开展标准研制工作。标准编制工作组下设二个组，分别是资料收集组、草案编写组。资料收集组负责国内外有关</w:t>
      </w:r>
      <w:r>
        <w:rPr>
          <w:rFonts w:hint="eastAsia" w:ascii="仿宋_GB2312" w:eastAsia="仿宋_GB2312"/>
          <w:color w:val="auto"/>
          <w:sz w:val="28"/>
          <w:szCs w:val="28"/>
          <w:lang w:val="zh-CN" w:eastAsia="zh-CN"/>
        </w:rPr>
        <w:t>医疗护理员精神分裂症患者照护</w:t>
      </w:r>
      <w:r>
        <w:rPr>
          <w:rFonts w:hint="eastAsia" w:ascii="仿宋_GB2312" w:eastAsia="仿宋_GB2312"/>
          <w:color w:val="auto"/>
          <w:sz w:val="28"/>
          <w:szCs w:val="28"/>
        </w:rPr>
        <w:t>的文献资料的查询、收集和整理工作，查阅前</w:t>
      </w:r>
      <w:r>
        <w:rPr>
          <w:rFonts w:hint="eastAsia" w:ascii="仿宋_GB2312" w:eastAsia="仿宋_GB2312"/>
          <w:color w:val="auto"/>
          <w:sz w:val="28"/>
          <w:szCs w:val="28"/>
          <w:lang w:eastAsia="zh-CN"/>
        </w:rPr>
        <w:t>期</w:t>
      </w:r>
      <w:r>
        <w:rPr>
          <w:rFonts w:hint="eastAsia" w:ascii="仿宋_GB2312" w:eastAsia="仿宋_GB2312"/>
          <w:color w:val="auto"/>
          <w:sz w:val="28"/>
          <w:szCs w:val="28"/>
        </w:rPr>
        <w:t>对</w:t>
      </w:r>
      <w:r>
        <w:rPr>
          <w:rFonts w:hint="eastAsia" w:ascii="仿宋_GB2312" w:eastAsia="仿宋_GB2312"/>
          <w:color w:val="auto"/>
          <w:sz w:val="28"/>
          <w:szCs w:val="28"/>
          <w:lang w:val="zh-CN" w:eastAsia="zh-CN"/>
        </w:rPr>
        <w:t>医疗护理员精神分裂症患者照护</w:t>
      </w:r>
      <w:r>
        <w:rPr>
          <w:rFonts w:hint="eastAsia" w:ascii="仿宋_GB2312" w:eastAsia="仿宋_GB2312"/>
          <w:color w:val="auto"/>
          <w:sz w:val="28"/>
          <w:szCs w:val="28"/>
          <w:lang w:val="en-US" w:eastAsia="zh-CN"/>
        </w:rPr>
        <w:t>方面</w:t>
      </w:r>
      <w:r>
        <w:rPr>
          <w:rFonts w:hint="eastAsia" w:ascii="仿宋_GB2312" w:eastAsia="仿宋_GB2312"/>
          <w:color w:val="auto"/>
          <w:sz w:val="28"/>
          <w:szCs w:val="28"/>
        </w:rPr>
        <w:t>的有关研究情况和目前科学界</w:t>
      </w:r>
      <w:r>
        <w:rPr>
          <w:rFonts w:hint="eastAsia" w:ascii="仿宋_GB2312" w:eastAsia="仿宋_GB2312"/>
          <w:color w:val="auto"/>
          <w:sz w:val="28"/>
          <w:szCs w:val="28"/>
          <w:lang w:val="zh-CN" w:eastAsia="zh-CN"/>
        </w:rPr>
        <w:t>医疗护理员精神分裂症患者照护</w:t>
      </w:r>
      <w:r>
        <w:rPr>
          <w:rFonts w:hint="eastAsia" w:ascii="仿宋_GB2312" w:eastAsia="仿宋_GB2312"/>
          <w:color w:val="auto"/>
          <w:sz w:val="28"/>
          <w:szCs w:val="28"/>
        </w:rPr>
        <w:t>的研究进展；草案编写组负责起草标准草案及后续征求意见稿和标准编制说明、送审稿及编制说明等编写工作，包括后期召开征求意见会、网上征求意见，以及标准的不断修改和完善。</w:t>
      </w:r>
    </w:p>
    <w:p w14:paraId="4815D59F">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（二）收集整理文献资料</w:t>
      </w:r>
    </w:p>
    <w:p w14:paraId="16D557FE">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标准编制工作组收集了国内有关</w:t>
      </w:r>
      <w:r>
        <w:rPr>
          <w:rFonts w:hint="eastAsia" w:ascii="仿宋_GB2312" w:eastAsia="仿宋_GB2312"/>
          <w:color w:val="auto"/>
          <w:sz w:val="28"/>
          <w:szCs w:val="28"/>
          <w:lang w:val="zh-CN" w:eastAsia="zh-CN"/>
        </w:rPr>
        <w:t>医疗护理员精神分裂症患者照护</w:t>
      </w:r>
      <w:r>
        <w:rPr>
          <w:rFonts w:hint="eastAsia" w:ascii="仿宋_GB2312" w:eastAsia="仿宋_GB2312"/>
          <w:color w:val="auto"/>
          <w:sz w:val="28"/>
          <w:szCs w:val="28"/>
          <w:lang w:val="en-US" w:eastAsia="zh-CN"/>
        </w:rPr>
        <w:t>及编制工作组发表</w:t>
      </w:r>
      <w:r>
        <w:rPr>
          <w:rFonts w:hint="eastAsia" w:ascii="仿宋_GB2312" w:eastAsia="仿宋_GB2312"/>
          <w:color w:val="auto"/>
          <w:sz w:val="28"/>
          <w:szCs w:val="28"/>
        </w:rPr>
        <w:t>的相关文献资料。主要有：</w:t>
      </w:r>
    </w:p>
    <w:p w14:paraId="06A1A339">
      <w:pPr>
        <w:spacing w:line="520" w:lineRule="exact"/>
        <w:ind w:firstLine="560" w:firstLineChars="200"/>
        <w:rPr>
          <w:rFonts w:hint="eastAsia" w:ascii="仿宋_GB2312" w:eastAsia="仿宋_GB2312" w:cs="仿宋_GB2312"/>
          <w:b w:val="0"/>
          <w:bCs/>
          <w:color w:val="auto"/>
          <w:sz w:val="28"/>
          <w:szCs w:val="28"/>
          <w:lang w:val="en-US" w:eastAsia="zh-CN"/>
        </w:rPr>
      </w:pPr>
      <w:r>
        <w:rPr>
          <w:rFonts w:hint="eastAsia" w:ascii="仿宋_GB2312" w:eastAsia="仿宋_GB2312" w:cs="仿宋_GB2312"/>
          <w:b w:val="0"/>
          <w:bCs/>
          <w:color w:val="auto"/>
          <w:sz w:val="28"/>
          <w:szCs w:val="28"/>
          <w:lang w:val="en-US" w:eastAsia="zh-CN"/>
        </w:rPr>
        <w:t>[1]  国家卫生计生委. 严重精神障碍管理治疗工作规范（2018年版）[Z]. 2018.</w:t>
      </w:r>
    </w:p>
    <w:p w14:paraId="3FB21D95">
      <w:pPr>
        <w:spacing w:line="520" w:lineRule="exact"/>
        <w:ind w:firstLine="560" w:firstLineChars="200"/>
        <w:rPr>
          <w:rFonts w:hint="eastAsia" w:ascii="仿宋_GB2312" w:eastAsia="仿宋_GB2312" w:cs="仿宋_GB2312"/>
          <w:b w:val="0"/>
          <w:bCs/>
          <w:color w:val="auto"/>
          <w:sz w:val="28"/>
          <w:szCs w:val="28"/>
          <w:lang w:val="en-US" w:eastAsia="zh-CN"/>
        </w:rPr>
      </w:pPr>
      <w:bookmarkStart w:id="0" w:name="OLE_LINK5"/>
      <w:r>
        <w:rPr>
          <w:rFonts w:hint="eastAsia" w:ascii="仿宋_GB2312" w:eastAsia="仿宋_GB2312" w:cs="仿宋_GB2312"/>
          <w:b w:val="0"/>
          <w:bCs/>
          <w:color w:val="auto"/>
          <w:sz w:val="28"/>
          <w:szCs w:val="28"/>
          <w:lang w:val="en-US" w:eastAsia="zh-CN"/>
        </w:rPr>
        <w:t xml:space="preserve">[2]  </w:t>
      </w:r>
      <w:bookmarkEnd w:id="0"/>
      <w:bookmarkStart w:id="1" w:name="OLE_LINK12"/>
      <w:r>
        <w:rPr>
          <w:rFonts w:hint="eastAsia" w:ascii="仿宋_GB2312" w:eastAsia="仿宋_GB2312" w:cs="仿宋_GB2312"/>
          <w:b w:val="0"/>
          <w:bCs/>
          <w:color w:val="auto"/>
          <w:sz w:val="28"/>
          <w:szCs w:val="28"/>
          <w:lang w:val="en-US" w:eastAsia="zh-CN"/>
        </w:rPr>
        <w:t>国家卫生计生委. 国家基本公共卫生服务规范（第三版）</w:t>
      </w:r>
      <w:bookmarkEnd w:id="1"/>
      <w:r>
        <w:rPr>
          <w:rFonts w:hint="eastAsia" w:ascii="仿宋_GB2312" w:eastAsia="仿宋_GB2312" w:cs="仿宋_GB2312"/>
          <w:b w:val="0"/>
          <w:bCs/>
          <w:color w:val="auto"/>
          <w:sz w:val="28"/>
          <w:szCs w:val="28"/>
          <w:lang w:val="en-US" w:eastAsia="zh-CN"/>
        </w:rPr>
        <w:t>[Z].2017.</w:t>
      </w:r>
    </w:p>
    <w:p w14:paraId="760F7AD3">
      <w:pPr>
        <w:spacing w:line="520" w:lineRule="exact"/>
        <w:ind w:firstLine="560" w:firstLineChars="200"/>
        <w:rPr>
          <w:rFonts w:hint="eastAsia" w:ascii="仿宋_GB2312" w:eastAsia="仿宋_GB2312" w:cs="仿宋_GB2312"/>
          <w:b w:val="0"/>
          <w:bCs/>
          <w:color w:val="auto"/>
          <w:sz w:val="28"/>
          <w:szCs w:val="28"/>
          <w:lang w:val="en-US" w:eastAsia="zh-CN"/>
        </w:rPr>
      </w:pPr>
      <w:r>
        <w:rPr>
          <w:rFonts w:hint="eastAsia" w:ascii="仿宋_GB2312" w:eastAsia="仿宋_GB2312" w:cs="仿宋_GB2312"/>
          <w:b w:val="0"/>
          <w:bCs/>
          <w:color w:val="auto"/>
          <w:sz w:val="28"/>
          <w:szCs w:val="28"/>
          <w:lang w:val="en-US" w:eastAsia="zh-CN"/>
        </w:rPr>
        <w:t>[3]  国家卫生健康委员会. 医疗护理员培训大纲（试行）.2019</w:t>
      </w:r>
    </w:p>
    <w:p w14:paraId="6D46F152">
      <w:pPr>
        <w:spacing w:line="520" w:lineRule="exact"/>
        <w:ind w:firstLine="560" w:firstLineChars="200"/>
        <w:rPr>
          <w:rFonts w:hint="eastAsia" w:ascii="仿宋_GB2312" w:eastAsia="仿宋_GB2312" w:cs="仿宋_GB2312"/>
          <w:b w:val="0"/>
          <w:bCs/>
          <w:color w:val="auto"/>
          <w:sz w:val="28"/>
          <w:szCs w:val="28"/>
          <w:lang w:val="en-US" w:eastAsia="zh-CN"/>
        </w:rPr>
      </w:pPr>
      <w:r>
        <w:rPr>
          <w:rFonts w:hint="eastAsia" w:ascii="仿宋_GB2312" w:eastAsia="仿宋_GB2312" w:cs="仿宋_GB2312"/>
          <w:b w:val="0"/>
          <w:bCs/>
          <w:color w:val="auto"/>
          <w:sz w:val="28"/>
          <w:szCs w:val="28"/>
          <w:lang w:val="en-US" w:eastAsia="zh-CN"/>
        </w:rPr>
        <w:t>《医疗护理员培训大纲（试行）》配套教材、《精神科护理实践指南》《精神卫生法解读》</w:t>
      </w:r>
    </w:p>
    <w:p w14:paraId="419ABBF4">
      <w:pPr>
        <w:spacing w:line="520" w:lineRule="exact"/>
        <w:ind w:firstLine="562" w:firstLineChars="200"/>
        <w:rPr>
          <w:rFonts w:hint="eastAsia" w:ascii="仿宋_GB2312" w:eastAsia="仿宋_GB2312" w:cs="仿宋_GB2312"/>
          <w:b/>
          <w:color w:val="auto"/>
          <w:sz w:val="28"/>
          <w:szCs w:val="28"/>
          <w:lang w:eastAsia="zh-CN"/>
        </w:rPr>
      </w:pPr>
      <w:r>
        <w:rPr>
          <w:rFonts w:hint="eastAsia" w:ascii="仿宋_GB2312" w:eastAsia="仿宋_GB2312" w:cs="仿宋_GB2312"/>
          <w:b/>
          <w:color w:val="auto"/>
          <w:sz w:val="28"/>
          <w:szCs w:val="28"/>
        </w:rPr>
        <w:t>（三）研讨确定标准特色、创新点及主体内容</w:t>
      </w:r>
    </w:p>
    <w:p w14:paraId="7D714B21">
      <w:pPr>
        <w:pStyle w:val="30"/>
        <w:spacing w:line="520" w:lineRule="exact"/>
        <w:ind w:firstLine="560"/>
        <w:rPr>
          <w:rFonts w:hint="eastAsia" w:ascii="仿宋_GB2312" w:eastAsia="仿宋_GB2312"/>
          <w:color w:val="auto"/>
          <w:sz w:val="28"/>
          <w:szCs w:val="28"/>
        </w:rPr>
      </w:pPr>
      <w:r>
        <w:rPr>
          <w:rFonts w:hint="eastAsia" w:ascii="仿宋_GB2312" w:eastAsia="仿宋_GB2312"/>
          <w:color w:val="auto"/>
          <w:sz w:val="28"/>
          <w:szCs w:val="28"/>
        </w:rPr>
        <w:t>标准编制工作组在对收集的资料进行整理研究之后，标准编制工作组召开了标准编制会议，对标准的整体框架结构进行了研究，并对标准的关键性内容进行了初步探讨。经过研究，标准的主体内容为</w:t>
      </w:r>
      <w:r>
        <w:rPr>
          <w:rFonts w:hint="eastAsia" w:ascii="仿宋_GB2312" w:eastAsia="仿宋_GB2312"/>
          <w:color w:val="auto"/>
          <w:sz w:val="28"/>
          <w:szCs w:val="28"/>
          <w:lang w:val="en-US" w:eastAsia="zh-CN"/>
        </w:rPr>
        <w:t>规定了医疗护理员精神分裂症患者照护的基本要求、</w:t>
      </w:r>
      <w:bookmarkStart w:id="2" w:name="OLE_LINK14"/>
      <w:r>
        <w:rPr>
          <w:rFonts w:hint="eastAsia" w:ascii="仿宋_GB2312" w:eastAsia="仿宋_GB2312"/>
          <w:color w:val="auto"/>
          <w:sz w:val="28"/>
          <w:szCs w:val="28"/>
          <w:lang w:val="en-US" w:eastAsia="zh-CN"/>
        </w:rPr>
        <w:t>照护内容</w:t>
      </w:r>
      <w:bookmarkEnd w:id="2"/>
      <w:r>
        <w:rPr>
          <w:rFonts w:hint="eastAsia" w:ascii="仿宋_GB2312" w:eastAsia="仿宋_GB2312"/>
          <w:color w:val="auto"/>
          <w:sz w:val="28"/>
          <w:szCs w:val="28"/>
          <w:lang w:val="en-US" w:eastAsia="zh-CN"/>
        </w:rPr>
        <w:t>、照护评价与改进的要求</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标准</w:t>
      </w:r>
      <w:r>
        <w:rPr>
          <w:rFonts w:hint="eastAsia" w:ascii="仿宋_GB2312" w:eastAsia="仿宋_GB2312"/>
          <w:color w:val="auto"/>
          <w:sz w:val="28"/>
          <w:szCs w:val="28"/>
          <w:lang w:eastAsia="zh-CN"/>
        </w:rPr>
        <w:t>核心技术及创新点在于：</w:t>
      </w:r>
    </w:p>
    <w:p w14:paraId="53571417">
      <w:pPr>
        <w:pStyle w:val="30"/>
        <w:spacing w:line="520" w:lineRule="exact"/>
        <w:ind w:firstLine="56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1、首创针对精神分裂症的医疗护理员专项照护标准框架：首次将《医疗护理员国家职业标准》中的通用要求与精神分裂症的疾病特点、照护难点深度融合，形成专门针对该病种的、覆盖安全、生活、症状、康复、协作五大维度的结构化照护规范，填补了细分领域专业照护标准的空白。</w:t>
      </w:r>
    </w:p>
    <w:p w14:paraId="2A829594">
      <w:pPr>
        <w:pStyle w:val="30"/>
        <w:spacing w:line="520" w:lineRule="exact"/>
        <w:ind w:firstLine="56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2、细化基于精神病理症状的个体化生活照护方案，如饮食护理：针对拒食、暴食、藏食、因药物副作用导致的吞咽困难或食欲亢进等，制定具体的观察要点、劝导技巧、进食协助方法及异常情况报告标准。排泄护理：对因药物副作用（如便秘）、行为退缩或自理能力下降导致的排泄问题，规范诱导协助方法及皮肤护理要求。皮肤护理：作为基础照护核心，规范对精神分裂症患者因精神症状导致的长期卧床、活动受限、失禁或药物副作用（如多汗、流涎）引发的皮肤问题的照护与报告流程。</w:t>
      </w:r>
    </w:p>
    <w:p w14:paraId="7735E652">
      <w:pPr>
        <w:pStyle w:val="30"/>
        <w:spacing w:line="520" w:lineRule="exact"/>
        <w:ind w:firstLine="56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3、规范症状发作期的专业应对与沟通技术：精神症状护理：针对幻觉、妄想、思维紊乱、情感淡漠等核心症状，提供具体的接触技巧、环境管理方法、分散注意力策略，并明确何时及如何寻求专业医护人员介入。心理护理沟通技术：提炼适用于护理员的、非治疗性但支持性的沟通原则，如共情式倾听、简单清晰的指令、非评判性态度、现实导向技术等，规范与处于不同症状期患者的日常交流方式。保护性约束病人的护理：严格遵循伦理与法律规范，明确规定医疗护理员在保护性约束实施前、中、后的职责与操作边界，包括约束期间的密切观察要点（血液循环、皮肤状况、情绪状态）等。强调护理员是患者安全与尊严的重要守护者。</w:t>
      </w:r>
    </w:p>
    <w:p w14:paraId="31A81503">
      <w:pPr>
        <w:spacing w:line="520" w:lineRule="exact"/>
        <w:ind w:firstLine="562" w:firstLineChars="200"/>
        <w:rPr>
          <w:rFonts w:hint="eastAsia" w:ascii="仿宋_GB2312" w:eastAsia="仿宋_GB2312" w:cs="仿宋_GB2312"/>
          <w:b/>
          <w:color w:val="auto"/>
          <w:sz w:val="28"/>
          <w:szCs w:val="28"/>
          <w:lang w:eastAsia="zh-CN"/>
        </w:rPr>
      </w:pPr>
      <w:r>
        <w:rPr>
          <w:rFonts w:hint="eastAsia" w:ascii="仿宋_GB2312" w:eastAsia="仿宋_GB2312" w:cs="仿宋_GB2312"/>
          <w:b/>
          <w:color w:val="auto"/>
          <w:sz w:val="28"/>
          <w:szCs w:val="28"/>
        </w:rPr>
        <w:t>（四）调研及形成草案、征求意见稿</w:t>
      </w:r>
    </w:p>
    <w:p w14:paraId="40566B4E">
      <w:pPr>
        <w:spacing w:line="52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20</w:t>
      </w:r>
      <w:r>
        <w:rPr>
          <w:rFonts w:hint="eastAsia" w:ascii="仿宋_GB2312" w:eastAsia="仿宋_GB2312"/>
          <w:color w:val="auto"/>
          <w:kern w:val="0"/>
          <w:sz w:val="28"/>
          <w:szCs w:val="28"/>
          <w:lang w:val="en-US" w:eastAsia="zh-CN"/>
        </w:rPr>
        <w:t>25</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12</w:t>
      </w:r>
      <w:r>
        <w:rPr>
          <w:rFonts w:hint="eastAsia" w:ascii="仿宋_GB2312" w:eastAsia="仿宋_GB2312"/>
          <w:color w:val="auto"/>
          <w:kern w:val="0"/>
          <w:sz w:val="28"/>
          <w:szCs w:val="28"/>
        </w:rPr>
        <w:t>月～202</w:t>
      </w:r>
      <w:r>
        <w:rPr>
          <w:rFonts w:hint="eastAsia" w:ascii="仿宋_GB2312" w:eastAsia="仿宋_GB2312"/>
          <w:color w:val="auto"/>
          <w:kern w:val="0"/>
          <w:sz w:val="28"/>
          <w:szCs w:val="28"/>
          <w:lang w:val="en-US" w:eastAsia="zh-CN"/>
        </w:rPr>
        <w:t>6</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1</w:t>
      </w:r>
      <w:r>
        <w:rPr>
          <w:rFonts w:hint="eastAsia" w:ascii="仿宋_GB2312" w:eastAsia="仿宋_GB2312"/>
          <w:color w:val="auto"/>
          <w:kern w:val="0"/>
          <w:sz w:val="28"/>
          <w:szCs w:val="28"/>
        </w:rPr>
        <w:t>月，标准编制工作组查阅了大量的国内文献资料，对</w:t>
      </w:r>
      <w:r>
        <w:rPr>
          <w:rFonts w:hint="eastAsia" w:ascii="仿宋_GB2312" w:eastAsia="仿宋_GB2312"/>
          <w:color w:val="auto"/>
          <w:sz w:val="28"/>
          <w:szCs w:val="28"/>
          <w:lang w:val="zh-CN" w:eastAsia="zh-CN"/>
        </w:rPr>
        <w:t>医疗护理员精神分裂症患者照护</w:t>
      </w:r>
      <w:r>
        <w:rPr>
          <w:rFonts w:hint="eastAsia" w:ascii="仿宋_GB2312" w:eastAsia="仿宋_GB2312"/>
          <w:color w:val="auto"/>
          <w:kern w:val="0"/>
          <w:sz w:val="28"/>
          <w:szCs w:val="28"/>
        </w:rPr>
        <w:t>相关的文件进行系统总结。形成了标准的基本构架，对主要内容进行了讨论并对项目的工作进行了部署和安排。</w:t>
      </w:r>
    </w:p>
    <w:p w14:paraId="2D211D17">
      <w:pPr>
        <w:spacing w:line="520" w:lineRule="exact"/>
        <w:ind w:firstLine="560" w:firstLineChars="200"/>
        <w:rPr>
          <w:rFonts w:hint="eastAsia"/>
          <w:color w:val="auto"/>
          <w:sz w:val="28"/>
          <w:szCs w:val="28"/>
        </w:rPr>
      </w:pPr>
      <w:r>
        <w:rPr>
          <w:rFonts w:hint="eastAsia" w:ascii="仿宋_GB2312" w:eastAsia="仿宋_GB2312"/>
          <w:color w:val="auto"/>
          <w:kern w:val="0"/>
          <w:sz w:val="28"/>
          <w:szCs w:val="28"/>
        </w:rPr>
        <w:t>202</w:t>
      </w:r>
      <w:r>
        <w:rPr>
          <w:rFonts w:hint="eastAsia" w:ascii="仿宋_GB2312" w:eastAsia="仿宋_GB2312"/>
          <w:color w:val="auto"/>
          <w:kern w:val="0"/>
          <w:sz w:val="28"/>
          <w:szCs w:val="28"/>
          <w:lang w:val="en-US" w:eastAsia="zh-CN"/>
        </w:rPr>
        <w:t>6</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1</w:t>
      </w:r>
      <w:r>
        <w:rPr>
          <w:rFonts w:hint="eastAsia" w:ascii="仿宋_GB2312" w:eastAsia="仿宋_GB2312"/>
          <w:color w:val="auto"/>
          <w:kern w:val="0"/>
          <w:sz w:val="28"/>
          <w:szCs w:val="28"/>
        </w:rPr>
        <w:t>月～</w:t>
      </w:r>
      <w:r>
        <w:rPr>
          <w:rFonts w:hint="eastAsia" w:ascii="仿宋_GB2312" w:eastAsia="仿宋_GB2312"/>
          <w:color w:val="auto"/>
          <w:kern w:val="0"/>
          <w:sz w:val="28"/>
          <w:szCs w:val="28"/>
          <w:lang w:val="en-US" w:eastAsia="zh-CN"/>
        </w:rPr>
        <w:t>2</w:t>
      </w:r>
      <w:r>
        <w:rPr>
          <w:rFonts w:hint="eastAsia" w:ascii="仿宋_GB2312" w:eastAsia="仿宋_GB2312"/>
          <w:color w:val="auto"/>
          <w:kern w:val="0"/>
          <w:sz w:val="28"/>
          <w:szCs w:val="28"/>
        </w:rPr>
        <w:t>月，</w:t>
      </w:r>
      <w:r>
        <w:rPr>
          <w:rFonts w:hint="eastAsia" w:ascii="仿宋_GB2312" w:eastAsia="仿宋_GB2312"/>
          <w:color w:val="auto"/>
          <w:kern w:val="0"/>
          <w:sz w:val="28"/>
          <w:szCs w:val="28"/>
          <w:lang w:eastAsia="zh-CN"/>
        </w:rPr>
        <w:t>团体</w:t>
      </w:r>
      <w:r>
        <w:rPr>
          <w:rFonts w:hint="eastAsia" w:ascii="仿宋_GB2312" w:eastAsia="仿宋_GB2312"/>
          <w:color w:val="auto"/>
          <w:kern w:val="0"/>
          <w:sz w:val="28"/>
          <w:szCs w:val="28"/>
        </w:rPr>
        <w:t>标准《</w:t>
      </w:r>
      <w:r>
        <w:rPr>
          <w:rFonts w:hint="eastAsia" w:ascii="仿宋_GB2312" w:eastAsia="仿宋_GB2312"/>
          <w:color w:val="auto"/>
          <w:kern w:val="0"/>
          <w:sz w:val="28"/>
          <w:szCs w:val="28"/>
          <w:lang w:eastAsia="zh-CN"/>
        </w:rPr>
        <w:t>医疗护理员精神分裂症患者照护规范</w:t>
      </w:r>
      <w:r>
        <w:rPr>
          <w:rFonts w:hint="eastAsia" w:ascii="仿宋_GB2312" w:eastAsia="仿宋_GB2312"/>
          <w:color w:val="auto"/>
          <w:kern w:val="0"/>
          <w:sz w:val="28"/>
          <w:szCs w:val="28"/>
        </w:rPr>
        <w:t>》</w:t>
      </w:r>
      <w:r>
        <w:rPr>
          <w:rFonts w:hint="eastAsia" w:ascii="仿宋_GB2312" w:hAnsi="宋体" w:eastAsia="仿宋_GB2312"/>
          <w:color w:val="auto"/>
          <w:sz w:val="28"/>
          <w:szCs w:val="28"/>
        </w:rPr>
        <w:t>获批立项</w:t>
      </w:r>
      <w:r>
        <w:rPr>
          <w:rFonts w:hint="eastAsia" w:ascii="仿宋_GB2312" w:eastAsia="仿宋_GB2312"/>
          <w:color w:val="auto"/>
          <w:kern w:val="0"/>
          <w:sz w:val="28"/>
          <w:szCs w:val="28"/>
        </w:rPr>
        <w:t>，在前期工作的基础之上，通过理清逻辑脉络，整合已有参考资料中有关</w:t>
      </w:r>
      <w:r>
        <w:rPr>
          <w:rFonts w:hint="eastAsia" w:ascii="仿宋_GB2312" w:eastAsia="仿宋_GB2312"/>
          <w:color w:val="auto"/>
          <w:kern w:val="0"/>
          <w:sz w:val="28"/>
          <w:szCs w:val="28"/>
          <w:lang w:eastAsia="zh-CN"/>
        </w:rPr>
        <w:t>医疗护理员精神分裂症患者照护</w:t>
      </w:r>
      <w:r>
        <w:rPr>
          <w:rFonts w:hint="eastAsia" w:ascii="仿宋_GB2312" w:eastAsia="仿宋_GB2312"/>
          <w:color w:val="auto"/>
          <w:kern w:val="0"/>
          <w:sz w:val="28"/>
          <w:szCs w:val="28"/>
        </w:rPr>
        <w:t>的要求，并在</w:t>
      </w:r>
      <w:r>
        <w:rPr>
          <w:rFonts w:hint="eastAsia" w:ascii="仿宋_GB2312" w:eastAsia="仿宋_GB2312"/>
          <w:color w:val="auto"/>
          <w:kern w:val="0"/>
          <w:sz w:val="28"/>
          <w:szCs w:val="28"/>
          <w:lang w:eastAsia="zh-CN"/>
        </w:rPr>
        <w:t>目前</w:t>
      </w:r>
      <w:r>
        <w:rPr>
          <w:rFonts w:hint="eastAsia" w:ascii="仿宋_GB2312" w:eastAsia="仿宋_GB2312"/>
          <w:color w:val="auto"/>
          <w:kern w:val="0"/>
          <w:sz w:val="28"/>
          <w:szCs w:val="28"/>
          <w:lang w:val="en-US" w:eastAsia="zh-CN"/>
        </w:rPr>
        <w:t>现有的</w:t>
      </w:r>
      <w:r>
        <w:rPr>
          <w:rFonts w:hint="eastAsia" w:ascii="仿宋_GB2312" w:eastAsia="仿宋_GB2312"/>
          <w:color w:val="auto"/>
          <w:kern w:val="0"/>
          <w:sz w:val="28"/>
          <w:szCs w:val="28"/>
          <w:lang w:eastAsia="zh-CN"/>
        </w:rPr>
        <w:t>医疗护理员精神分裂症</w:t>
      </w:r>
      <w:r>
        <w:rPr>
          <w:rFonts w:hint="eastAsia" w:ascii="仿宋_GB2312" w:eastAsia="仿宋_GB2312"/>
          <w:color w:val="auto"/>
          <w:kern w:val="0"/>
          <w:sz w:val="28"/>
          <w:szCs w:val="28"/>
          <w:lang w:val="en-US" w:eastAsia="zh-CN"/>
        </w:rPr>
        <w:t>照护实践</w:t>
      </w:r>
      <w:r>
        <w:rPr>
          <w:rFonts w:hint="eastAsia" w:ascii="仿宋_GB2312" w:eastAsia="仿宋_GB2312"/>
          <w:color w:val="auto"/>
          <w:kern w:val="0"/>
          <w:sz w:val="28"/>
          <w:szCs w:val="28"/>
        </w:rPr>
        <w:t>的基础上，按照简化、统一等原则编制完成</w:t>
      </w:r>
      <w:r>
        <w:rPr>
          <w:rFonts w:hint="eastAsia" w:ascii="仿宋_GB2312" w:eastAsia="仿宋_GB2312"/>
          <w:color w:val="auto"/>
          <w:kern w:val="0"/>
          <w:sz w:val="28"/>
          <w:szCs w:val="28"/>
          <w:lang w:val="en-US" w:eastAsia="zh-CN"/>
        </w:rPr>
        <w:t>团体</w:t>
      </w:r>
      <w:r>
        <w:rPr>
          <w:rFonts w:hint="eastAsia" w:ascii="仿宋_GB2312" w:eastAsia="仿宋_GB2312"/>
          <w:color w:val="auto"/>
          <w:kern w:val="0"/>
          <w:sz w:val="28"/>
          <w:szCs w:val="28"/>
        </w:rPr>
        <w:t>标准《</w:t>
      </w:r>
      <w:r>
        <w:rPr>
          <w:rFonts w:hint="eastAsia" w:ascii="仿宋_GB2312" w:eastAsia="仿宋_GB2312"/>
          <w:color w:val="auto"/>
          <w:kern w:val="0"/>
          <w:sz w:val="28"/>
          <w:szCs w:val="28"/>
          <w:lang w:eastAsia="zh-CN"/>
        </w:rPr>
        <w:t>医疗护理员精神分裂症患者照护规范</w:t>
      </w:r>
      <w:r>
        <w:rPr>
          <w:rFonts w:hint="eastAsia" w:ascii="仿宋_GB2312" w:eastAsia="仿宋_GB2312"/>
          <w:color w:val="auto"/>
          <w:kern w:val="0"/>
          <w:sz w:val="28"/>
          <w:szCs w:val="28"/>
        </w:rPr>
        <w:t>》（草案）。</w:t>
      </w:r>
    </w:p>
    <w:p w14:paraId="24684DDC">
      <w:pPr>
        <w:spacing w:line="520" w:lineRule="exact"/>
        <w:ind w:firstLine="560" w:firstLineChars="200"/>
        <w:rPr>
          <w:rFonts w:ascii="仿宋_GB2312" w:eastAsia="仿宋_GB2312"/>
          <w:kern w:val="0"/>
          <w:sz w:val="28"/>
          <w:szCs w:val="28"/>
        </w:rPr>
      </w:pPr>
      <w:r>
        <w:rPr>
          <w:rFonts w:hint="eastAsia" w:ascii="仿宋_GB2312" w:eastAsia="仿宋_GB2312"/>
          <w:color w:val="auto"/>
          <w:kern w:val="0"/>
          <w:sz w:val="28"/>
          <w:szCs w:val="28"/>
        </w:rPr>
        <w:t>202</w:t>
      </w:r>
      <w:r>
        <w:rPr>
          <w:rFonts w:hint="eastAsia" w:ascii="仿宋_GB2312" w:eastAsia="仿宋_GB2312"/>
          <w:color w:val="auto"/>
          <w:kern w:val="0"/>
          <w:sz w:val="28"/>
          <w:szCs w:val="28"/>
          <w:lang w:val="en-US" w:eastAsia="zh-CN"/>
        </w:rPr>
        <w:t>6</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2</w:t>
      </w:r>
      <w:r>
        <w:rPr>
          <w:rFonts w:hint="eastAsia" w:ascii="仿宋_GB2312" w:eastAsia="仿宋_GB2312"/>
          <w:color w:val="auto"/>
          <w:kern w:val="0"/>
          <w:sz w:val="28"/>
          <w:szCs w:val="28"/>
        </w:rPr>
        <w:t>月～202</w:t>
      </w:r>
      <w:r>
        <w:rPr>
          <w:rFonts w:hint="eastAsia" w:ascii="仿宋_GB2312" w:eastAsia="仿宋_GB2312"/>
          <w:color w:val="auto"/>
          <w:kern w:val="0"/>
          <w:sz w:val="28"/>
          <w:szCs w:val="28"/>
          <w:lang w:val="en-US" w:eastAsia="zh-CN"/>
        </w:rPr>
        <w:t>6</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3</w:t>
      </w:r>
      <w:r>
        <w:rPr>
          <w:rFonts w:hint="eastAsia" w:ascii="仿宋_GB2312" w:eastAsia="仿宋_GB2312"/>
          <w:color w:val="auto"/>
          <w:kern w:val="0"/>
          <w:sz w:val="28"/>
          <w:szCs w:val="28"/>
        </w:rPr>
        <w:t>月，标准编制工作组充分调查分析了</w:t>
      </w:r>
      <w:r>
        <w:rPr>
          <w:rFonts w:hint="eastAsia" w:ascii="仿宋_GB2312" w:eastAsia="仿宋_GB2312"/>
          <w:color w:val="auto"/>
          <w:sz w:val="28"/>
          <w:szCs w:val="28"/>
        </w:rPr>
        <w:t>南宁</w:t>
      </w:r>
      <w:r>
        <w:rPr>
          <w:rFonts w:hint="eastAsia" w:ascii="仿宋_GB2312" w:eastAsia="仿宋_GB2312"/>
          <w:color w:val="auto"/>
          <w:kern w:val="0"/>
          <w:sz w:val="28"/>
          <w:szCs w:val="28"/>
        </w:rPr>
        <w:t>、</w:t>
      </w:r>
      <w:r>
        <w:rPr>
          <w:rFonts w:hint="eastAsia" w:ascii="仿宋_GB2312" w:eastAsia="仿宋_GB2312"/>
          <w:color w:val="auto"/>
          <w:sz w:val="28"/>
          <w:szCs w:val="28"/>
        </w:rPr>
        <w:t>广州</w:t>
      </w:r>
      <w:r>
        <w:rPr>
          <w:rFonts w:hint="eastAsia" w:ascii="仿宋_GB2312" w:eastAsia="仿宋_GB2312"/>
          <w:color w:val="auto"/>
          <w:kern w:val="0"/>
          <w:sz w:val="28"/>
          <w:szCs w:val="28"/>
        </w:rPr>
        <w:t>、</w:t>
      </w:r>
      <w:r>
        <w:rPr>
          <w:rFonts w:hint="eastAsia" w:ascii="仿宋_GB2312" w:eastAsia="仿宋_GB2312"/>
          <w:color w:val="auto"/>
          <w:sz w:val="28"/>
          <w:szCs w:val="28"/>
        </w:rPr>
        <w:t>桂林</w:t>
      </w:r>
      <w:r>
        <w:rPr>
          <w:rFonts w:hint="eastAsia" w:ascii="仿宋_GB2312" w:eastAsia="仿宋_GB2312"/>
          <w:color w:val="auto"/>
          <w:kern w:val="0"/>
          <w:sz w:val="28"/>
          <w:szCs w:val="28"/>
        </w:rPr>
        <w:t>、</w:t>
      </w:r>
      <w:r>
        <w:rPr>
          <w:rFonts w:hint="eastAsia" w:ascii="仿宋_GB2312" w:eastAsia="仿宋_GB2312"/>
          <w:color w:val="auto"/>
          <w:sz w:val="28"/>
          <w:szCs w:val="28"/>
        </w:rPr>
        <w:t>河池</w:t>
      </w:r>
      <w:r>
        <w:rPr>
          <w:rFonts w:hint="eastAsia" w:ascii="仿宋_GB2312" w:eastAsia="仿宋_GB2312"/>
          <w:color w:val="auto"/>
          <w:kern w:val="0"/>
          <w:sz w:val="28"/>
          <w:szCs w:val="28"/>
        </w:rPr>
        <w:t>等地的</w:t>
      </w:r>
      <w:r>
        <w:rPr>
          <w:rFonts w:hint="eastAsia" w:ascii="仿宋_GB2312" w:eastAsia="仿宋_GB2312"/>
          <w:color w:val="auto"/>
          <w:sz w:val="28"/>
          <w:szCs w:val="28"/>
        </w:rPr>
        <w:t>南宁市第五人民医院提出，南宁市第五人民医院、广州医科大学附属脑科医院、广西壮族自治区脑科医院、广西壮族自治区人民医院、南宁市社会福利医院、桂林社会福利医院、河池市荣军优抚医院（河池市第四人民医院）</w:t>
      </w:r>
      <w:r>
        <w:rPr>
          <w:rFonts w:hint="eastAsia" w:ascii="仿宋_GB2312" w:eastAsia="仿宋_GB2312"/>
          <w:color w:val="auto"/>
          <w:kern w:val="0"/>
          <w:sz w:val="28"/>
          <w:szCs w:val="28"/>
          <w:lang w:val="en-US" w:eastAsia="zh-CN"/>
        </w:rPr>
        <w:t>等实施</w:t>
      </w:r>
      <w:r>
        <w:rPr>
          <w:rFonts w:hint="eastAsia" w:ascii="仿宋_GB2312" w:eastAsia="仿宋_GB2312"/>
          <w:color w:val="auto"/>
          <w:kern w:val="0"/>
          <w:sz w:val="28"/>
          <w:szCs w:val="28"/>
          <w:lang w:eastAsia="zh-CN"/>
        </w:rPr>
        <w:t>精神分裂症患者照护</w:t>
      </w:r>
      <w:r>
        <w:rPr>
          <w:rFonts w:hint="eastAsia" w:ascii="仿宋_GB2312" w:eastAsia="仿宋_GB2312"/>
          <w:color w:val="auto"/>
          <w:kern w:val="0"/>
          <w:sz w:val="28"/>
          <w:szCs w:val="28"/>
          <w:lang w:val="en-US" w:eastAsia="zh-CN"/>
        </w:rPr>
        <w:t>的医院的代</w:t>
      </w:r>
      <w:r>
        <w:rPr>
          <w:rFonts w:hint="eastAsia" w:ascii="仿宋_GB2312" w:eastAsia="仿宋_GB2312"/>
          <w:color w:val="auto"/>
          <w:kern w:val="0"/>
          <w:sz w:val="28"/>
          <w:szCs w:val="28"/>
        </w:rPr>
        <w:t>表性建议意见，并组织起草单位召开标准研讨会，收集反馈了大量意见，对标准草案进行了反复修改和研究讨论，掌握了</w:t>
      </w:r>
      <w:r>
        <w:rPr>
          <w:rFonts w:hint="eastAsia" w:ascii="仿宋_GB2312" w:eastAsia="仿宋_GB2312"/>
          <w:color w:val="auto"/>
          <w:kern w:val="0"/>
          <w:sz w:val="28"/>
          <w:szCs w:val="28"/>
          <w:lang w:eastAsia="zh-CN"/>
        </w:rPr>
        <w:t>精神科医疗护理员</w:t>
      </w:r>
      <w:r>
        <w:rPr>
          <w:rFonts w:hint="eastAsia" w:ascii="仿宋_GB2312" w:eastAsia="仿宋_GB2312"/>
          <w:color w:val="auto"/>
          <w:kern w:val="0"/>
          <w:sz w:val="28"/>
          <w:szCs w:val="28"/>
        </w:rPr>
        <w:t>的基本情况</w:t>
      </w:r>
      <w:r>
        <w:rPr>
          <w:rFonts w:hint="eastAsia" w:ascii="仿宋_GB2312" w:eastAsia="仿宋_GB2312"/>
          <w:color w:val="auto"/>
          <w:kern w:val="0"/>
          <w:sz w:val="28"/>
          <w:szCs w:val="28"/>
          <w:lang w:eastAsia="zh-CN"/>
        </w:rPr>
        <w:t>以及</w:t>
      </w:r>
      <w:r>
        <w:rPr>
          <w:rFonts w:hint="eastAsia" w:ascii="仿宋_GB2312" w:eastAsia="仿宋_GB2312"/>
          <w:color w:val="auto"/>
          <w:kern w:val="0"/>
          <w:sz w:val="28"/>
          <w:szCs w:val="28"/>
        </w:rPr>
        <w:t>要求，最终形成了</w:t>
      </w:r>
      <w:bookmarkStart w:id="3" w:name="_Hlk120181503"/>
      <w:r>
        <w:rPr>
          <w:rFonts w:hint="eastAsia" w:ascii="仿宋_GB2312" w:eastAsia="仿宋_GB2312"/>
          <w:color w:val="auto"/>
          <w:kern w:val="0"/>
          <w:sz w:val="28"/>
          <w:szCs w:val="28"/>
          <w:lang w:eastAsia="zh-CN"/>
        </w:rPr>
        <w:t>团体标准</w:t>
      </w:r>
      <w:r>
        <w:rPr>
          <w:rFonts w:hint="eastAsia" w:ascii="仿宋_GB2312" w:eastAsia="仿宋_GB2312"/>
          <w:color w:val="auto"/>
          <w:kern w:val="0"/>
          <w:sz w:val="28"/>
          <w:szCs w:val="28"/>
        </w:rPr>
        <w:t>《</w:t>
      </w:r>
      <w:r>
        <w:rPr>
          <w:rFonts w:hint="eastAsia" w:ascii="仿宋_GB2312" w:eastAsia="仿宋_GB2312"/>
          <w:color w:val="auto"/>
          <w:kern w:val="0"/>
          <w:sz w:val="28"/>
          <w:szCs w:val="28"/>
          <w:lang w:eastAsia="zh-CN"/>
        </w:rPr>
        <w:t>医疗护理员精神分裂症患者照护规范</w:t>
      </w:r>
      <w:r>
        <w:rPr>
          <w:rFonts w:hint="eastAsia" w:ascii="仿宋_GB2312" w:eastAsia="仿宋_GB2312"/>
          <w:color w:val="auto"/>
          <w:kern w:val="0"/>
          <w:sz w:val="28"/>
          <w:szCs w:val="28"/>
        </w:rPr>
        <w:t>》（征求意见稿）及其编制说明。</w:t>
      </w:r>
      <w:bookmarkEnd w:id="3"/>
    </w:p>
    <w:p w14:paraId="423E8998">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四、制定标准的原则和依据，与现行法律、法规的关系，与有关国家标准、行业标准的协调情况</w:t>
      </w:r>
    </w:p>
    <w:p w14:paraId="43D9D88F">
      <w:pPr>
        <w:widowControl/>
        <w:tabs>
          <w:tab w:val="center" w:pos="4201"/>
          <w:tab w:val="right" w:leader="dot" w:pos="9298"/>
        </w:tabs>
        <w:autoSpaceDE w:val="0"/>
        <w:autoSpaceDN w:val="0"/>
        <w:spacing w:line="520" w:lineRule="exact"/>
        <w:ind w:firstLine="562" w:firstLineChars="200"/>
        <w:outlineLvl w:val="1"/>
        <w:rPr>
          <w:rFonts w:hint="eastAsia" w:ascii="仿宋_GB2312" w:eastAsia="仿宋_GB2312"/>
          <w:b/>
          <w:bCs/>
          <w:color w:val="auto"/>
          <w:kern w:val="0"/>
          <w:sz w:val="28"/>
          <w:szCs w:val="28"/>
        </w:rPr>
      </w:pPr>
      <w:r>
        <w:rPr>
          <w:rFonts w:hint="eastAsia" w:ascii="仿宋_GB2312" w:eastAsia="仿宋_GB2312"/>
          <w:b/>
          <w:bCs/>
          <w:color w:val="auto"/>
          <w:kern w:val="0"/>
          <w:sz w:val="28"/>
          <w:szCs w:val="28"/>
        </w:rPr>
        <w:t>（一）编制原则</w:t>
      </w:r>
    </w:p>
    <w:p w14:paraId="1232FA9D">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1、实用性原则</w:t>
      </w:r>
    </w:p>
    <w:p w14:paraId="109FA20F">
      <w:pPr>
        <w:spacing w:line="520" w:lineRule="exact"/>
        <w:ind w:firstLine="560" w:firstLineChars="200"/>
        <w:rPr>
          <w:rFonts w:ascii="仿宋_GB2312" w:eastAsia="仿宋_GB2312" w:cs="仿宋"/>
          <w:color w:val="auto"/>
          <w:sz w:val="28"/>
          <w:szCs w:val="28"/>
        </w:rPr>
      </w:pPr>
      <w:r>
        <w:rPr>
          <w:rFonts w:hint="eastAsia" w:ascii="仿宋_GB2312" w:eastAsia="仿宋_GB2312" w:cs="仿宋"/>
          <w:color w:val="auto"/>
          <w:sz w:val="28"/>
          <w:szCs w:val="28"/>
        </w:rPr>
        <w:t>本标准是在充分收集国内外相关资料和文献、调研分析</w:t>
      </w:r>
      <w:r>
        <w:rPr>
          <w:rFonts w:hint="eastAsia" w:ascii="仿宋_GB2312" w:eastAsia="仿宋_GB2312"/>
          <w:color w:val="auto"/>
          <w:kern w:val="0"/>
          <w:sz w:val="28"/>
          <w:szCs w:val="28"/>
          <w:lang w:eastAsia="zh-CN"/>
        </w:rPr>
        <w:t>医疗护理员精神分裂症患者照护</w:t>
      </w:r>
      <w:r>
        <w:rPr>
          <w:rFonts w:hint="eastAsia" w:ascii="仿宋_GB2312" w:eastAsia="仿宋_GB2312" w:cs="仿宋"/>
          <w:color w:val="auto"/>
          <w:sz w:val="28"/>
          <w:szCs w:val="28"/>
        </w:rPr>
        <w:t>现状，结合起草单位前期研究工作取得的研究成果及积累的</w:t>
      </w:r>
      <w:r>
        <w:rPr>
          <w:rFonts w:hint="eastAsia" w:ascii="仿宋_GB2312" w:eastAsia="仿宋_GB2312" w:cs="仿宋"/>
          <w:color w:val="auto"/>
          <w:sz w:val="28"/>
          <w:szCs w:val="28"/>
          <w:lang w:val="en-US" w:eastAsia="zh-CN"/>
        </w:rPr>
        <w:t>临床</w:t>
      </w:r>
      <w:r>
        <w:rPr>
          <w:rFonts w:hint="eastAsia" w:ascii="仿宋_GB2312" w:eastAsia="仿宋_GB2312" w:cs="仿宋"/>
          <w:color w:val="auto"/>
          <w:sz w:val="28"/>
          <w:szCs w:val="28"/>
        </w:rPr>
        <w:t>实践经验，并借鉴国内</w:t>
      </w:r>
      <w:r>
        <w:rPr>
          <w:rFonts w:hint="eastAsia" w:ascii="仿宋_GB2312" w:eastAsia="仿宋_GB2312"/>
          <w:color w:val="auto"/>
          <w:kern w:val="0"/>
          <w:sz w:val="28"/>
          <w:szCs w:val="28"/>
          <w:lang w:eastAsia="zh-CN"/>
        </w:rPr>
        <w:t>医疗护理员精神分裂症患者照护</w:t>
      </w:r>
      <w:r>
        <w:rPr>
          <w:rFonts w:hint="eastAsia" w:ascii="仿宋_GB2312" w:eastAsia="仿宋_GB2312" w:cs="仿宋"/>
          <w:color w:val="auto"/>
          <w:sz w:val="28"/>
          <w:szCs w:val="28"/>
        </w:rPr>
        <w:t>进行总结起草的，符合工作实际，利于</w:t>
      </w:r>
      <w:r>
        <w:rPr>
          <w:rFonts w:hint="eastAsia" w:ascii="仿宋_GB2312" w:eastAsia="仿宋_GB2312"/>
          <w:color w:val="auto"/>
          <w:kern w:val="0"/>
          <w:sz w:val="28"/>
          <w:szCs w:val="28"/>
          <w:lang w:eastAsia="zh-CN"/>
        </w:rPr>
        <w:t>医疗护理员精神分裂症患者照护</w:t>
      </w:r>
      <w:r>
        <w:rPr>
          <w:rFonts w:hint="eastAsia" w:ascii="仿宋_GB2312" w:eastAsia="仿宋_GB2312" w:cs="仿宋"/>
          <w:color w:val="auto"/>
          <w:sz w:val="28"/>
          <w:szCs w:val="28"/>
        </w:rPr>
        <w:t>的实施与推广，具有可操作性和实用性。</w:t>
      </w:r>
    </w:p>
    <w:p w14:paraId="2CCAEDA8">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2、协调性原则</w:t>
      </w:r>
    </w:p>
    <w:p w14:paraId="2399442B">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本文件编写过程中注意了与</w:t>
      </w:r>
      <w:r>
        <w:rPr>
          <w:rFonts w:hint="eastAsia" w:ascii="仿宋_GB2312" w:eastAsia="仿宋_GB2312"/>
          <w:color w:val="auto"/>
          <w:kern w:val="0"/>
          <w:sz w:val="28"/>
          <w:szCs w:val="28"/>
          <w:lang w:eastAsia="zh-CN"/>
        </w:rPr>
        <w:t>医疗护理员精神分裂症患者照护</w:t>
      </w:r>
      <w:r>
        <w:rPr>
          <w:rFonts w:hint="eastAsia" w:ascii="仿宋_GB2312" w:eastAsia="仿宋_GB2312"/>
          <w:color w:val="auto"/>
          <w:sz w:val="28"/>
          <w:szCs w:val="28"/>
        </w:rPr>
        <w:t>相关法律法规的协调问题，在内容上与现行法律法规、标准协调一致。</w:t>
      </w:r>
    </w:p>
    <w:p w14:paraId="7F77537C">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3、规范性原则</w:t>
      </w:r>
    </w:p>
    <w:p w14:paraId="2CA3FAA5">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本文件严格按照GB/T 1.1—2020《标准化工作导则  第1部分：标准化文件的结构和起草规则》编写本标准的内容，保证标准的编写质量。</w:t>
      </w:r>
    </w:p>
    <w:p w14:paraId="411641D6">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4、前瞻性原则</w:t>
      </w:r>
    </w:p>
    <w:p w14:paraId="480B9C6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本文件在兼顾当前区内</w:t>
      </w:r>
      <w:r>
        <w:rPr>
          <w:rFonts w:hint="eastAsia" w:ascii="仿宋_GB2312" w:eastAsia="仿宋_GB2312"/>
          <w:color w:val="auto"/>
          <w:kern w:val="0"/>
          <w:sz w:val="28"/>
          <w:szCs w:val="28"/>
          <w:lang w:eastAsia="zh-CN"/>
        </w:rPr>
        <w:t>医疗护理员精神分裂症患者照护</w:t>
      </w:r>
      <w:r>
        <w:rPr>
          <w:rFonts w:hint="eastAsia" w:ascii="仿宋_GB2312" w:eastAsia="仿宋_GB2312"/>
          <w:color w:val="auto"/>
          <w:sz w:val="28"/>
          <w:szCs w:val="28"/>
        </w:rPr>
        <w:t>现实情况的同时，还考虑到了</w:t>
      </w:r>
      <w:r>
        <w:rPr>
          <w:rFonts w:hint="eastAsia" w:ascii="仿宋_GB2312" w:eastAsia="仿宋_GB2312"/>
          <w:color w:val="auto"/>
          <w:kern w:val="0"/>
          <w:sz w:val="28"/>
          <w:szCs w:val="28"/>
          <w:lang w:eastAsia="zh-CN"/>
        </w:rPr>
        <w:t>医疗护理员精神分裂症患者照护</w:t>
      </w:r>
      <w:r>
        <w:rPr>
          <w:rFonts w:hint="eastAsia" w:ascii="仿宋_GB2312" w:eastAsia="仿宋_GB2312"/>
          <w:color w:val="auto"/>
          <w:kern w:val="0"/>
          <w:sz w:val="28"/>
          <w:szCs w:val="28"/>
          <w:lang w:val="en-US" w:eastAsia="zh-CN"/>
        </w:rPr>
        <w:t>发展</w:t>
      </w:r>
      <w:r>
        <w:rPr>
          <w:rFonts w:hint="eastAsia" w:ascii="仿宋_GB2312" w:eastAsia="仿宋_GB2312"/>
          <w:color w:val="auto"/>
          <w:sz w:val="28"/>
          <w:szCs w:val="28"/>
        </w:rPr>
        <w:t>的需要，在标准中体现了个别特色性、前瞻性和先进性条款，作为对</w:t>
      </w:r>
      <w:r>
        <w:rPr>
          <w:rFonts w:hint="eastAsia" w:ascii="仿宋_GB2312" w:eastAsia="仿宋_GB2312"/>
          <w:color w:val="auto"/>
          <w:sz w:val="28"/>
          <w:szCs w:val="28"/>
          <w:lang w:val="en-US" w:eastAsia="zh-CN"/>
        </w:rPr>
        <w:t>精神专科</w:t>
      </w:r>
      <w:r>
        <w:rPr>
          <w:rFonts w:hint="eastAsia" w:ascii="仿宋_GB2312" w:eastAsia="仿宋_GB2312"/>
          <w:color w:val="auto"/>
          <w:kern w:val="0"/>
          <w:sz w:val="28"/>
          <w:szCs w:val="28"/>
          <w:lang w:eastAsia="zh-CN"/>
        </w:rPr>
        <w:t>医疗护理员</w:t>
      </w:r>
      <w:r>
        <w:rPr>
          <w:rFonts w:hint="eastAsia" w:ascii="仿宋_GB2312" w:eastAsia="仿宋_GB2312"/>
          <w:color w:val="auto"/>
          <w:sz w:val="28"/>
          <w:szCs w:val="28"/>
        </w:rPr>
        <w:t>发展的指导。</w:t>
      </w:r>
    </w:p>
    <w:p w14:paraId="2D6EFC67">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（二）编制依据</w:t>
      </w:r>
    </w:p>
    <w:p w14:paraId="7621A57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本标准严格按照GB/T 1.1—2020《标准化工作导则  第1部分：标准化文件的结构和起草规则》的规则起草，标准主要内容依据起草单位在</w:t>
      </w:r>
      <w:r>
        <w:rPr>
          <w:rFonts w:hint="eastAsia" w:ascii="仿宋_GB2312" w:eastAsia="仿宋_GB2312"/>
          <w:color w:val="auto"/>
          <w:kern w:val="0"/>
          <w:sz w:val="28"/>
          <w:szCs w:val="28"/>
          <w:lang w:eastAsia="zh-CN"/>
        </w:rPr>
        <w:t>精神科医疗护理员培训</w:t>
      </w:r>
      <w:r>
        <w:rPr>
          <w:rFonts w:hint="eastAsia" w:ascii="仿宋_GB2312" w:eastAsia="仿宋_GB2312"/>
          <w:color w:val="auto"/>
          <w:sz w:val="28"/>
          <w:szCs w:val="28"/>
        </w:rPr>
        <w:t>研究</w:t>
      </w:r>
      <w:r>
        <w:rPr>
          <w:rFonts w:hint="eastAsia" w:ascii="仿宋_GB2312" w:eastAsia="仿宋_GB2312"/>
          <w:color w:val="auto"/>
          <w:sz w:val="28"/>
          <w:szCs w:val="28"/>
          <w:lang w:val="en-US" w:eastAsia="zh-CN"/>
        </w:rPr>
        <w:t>及</w:t>
      </w:r>
      <w:r>
        <w:rPr>
          <w:rFonts w:hint="eastAsia" w:ascii="仿宋_GB2312" w:eastAsia="仿宋_GB2312"/>
          <w:color w:val="auto"/>
          <w:sz w:val="28"/>
          <w:szCs w:val="28"/>
        </w:rPr>
        <w:t>应用过程中的实践经验确定。</w:t>
      </w:r>
    </w:p>
    <w:p w14:paraId="6D47F5E6">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（三）与现行法律、法规的关系，与有关国家标准、行业标准的协调情况</w:t>
      </w:r>
    </w:p>
    <w:p w14:paraId="32105D2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本标准与相关法律法规、强制性标准协调一致，无冲突。</w:t>
      </w:r>
    </w:p>
    <w:p w14:paraId="443E870B">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eastAsia="zh-CN"/>
        </w:rPr>
        <w:t>与“医疗护理员”“精神分裂症患者”相关的标准有：《T/GXAS 1033-2025  医疗护理员服务操作规范》</w:t>
      </w:r>
      <w:r>
        <w:rPr>
          <w:rFonts w:hint="eastAsia" w:ascii="仿宋_GB2312" w:eastAsia="仿宋_GB2312"/>
          <w:color w:val="auto"/>
          <w:sz w:val="28"/>
          <w:szCs w:val="28"/>
          <w:lang w:val="en-US" w:eastAsia="zh-CN"/>
        </w:rPr>
        <w:t>《DB14/T 1736-2024  医疗护理员服务规范》《DB22/T 3257-2021  精神分裂症护理服务规范》《T/CACM 1130—2018 中医神志病临床诊疗指南 首发精神分裂症》《DB11/T 2473-2025  残疾人托养机构精神障碍者照护服务规范》</w:t>
      </w:r>
      <w:r>
        <w:rPr>
          <w:rFonts w:hint="eastAsia" w:ascii="仿宋_GB2312" w:eastAsia="仿宋_GB2312"/>
          <w:color w:val="auto"/>
          <w:sz w:val="28"/>
          <w:szCs w:val="28"/>
          <w:lang w:eastAsia="zh-CN"/>
        </w:rPr>
        <w:t>等。</w:t>
      </w:r>
      <w:r>
        <w:rPr>
          <w:rFonts w:hint="eastAsia" w:ascii="仿宋_GB2312" w:eastAsia="仿宋_GB2312"/>
          <w:color w:val="auto"/>
          <w:sz w:val="28"/>
          <w:szCs w:val="28"/>
          <w:lang w:val="en-US" w:eastAsia="zh-CN"/>
        </w:rPr>
        <w:t>以上标准不涉及</w:t>
      </w:r>
      <w:r>
        <w:rPr>
          <w:rFonts w:hint="eastAsia" w:ascii="仿宋_GB2312" w:eastAsia="仿宋_GB2312"/>
          <w:color w:val="auto"/>
          <w:sz w:val="28"/>
          <w:szCs w:val="28"/>
          <w:lang w:eastAsia="zh-CN"/>
        </w:rPr>
        <w:t>医疗护理员精神分裂症患者照护</w:t>
      </w:r>
      <w:r>
        <w:rPr>
          <w:rFonts w:hint="eastAsia" w:ascii="仿宋_GB2312" w:eastAsia="仿宋_GB2312"/>
          <w:color w:val="auto"/>
          <w:sz w:val="28"/>
          <w:szCs w:val="28"/>
          <w:lang w:val="en-US" w:eastAsia="zh-CN"/>
        </w:rPr>
        <w:t>的要求。</w:t>
      </w:r>
    </w:p>
    <w:p w14:paraId="373B05D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lang w:val="en-US" w:eastAsia="zh-CN"/>
        </w:rPr>
        <w:t>本标准构建了一个针对精神分裂症患者、面向医疗护理员的专业化照护服务框架，其核心内容围绕安全、规范、康复、协作，填补了细分病种照护标准的空白。本标准首次系统性地将通用护理技能与精神分裂症的疾病特点深度结合，实现了从普通照护到专科精准照护的结合和突出。</w:t>
      </w:r>
    </w:p>
    <w:p w14:paraId="7B6445AB">
      <w:pPr>
        <w:spacing w:before="240" w:after="60" w:line="520" w:lineRule="exact"/>
        <w:ind w:firstLine="640" w:firstLineChars="200"/>
        <w:jc w:val="left"/>
        <w:outlineLvl w:val="0"/>
        <w:rPr>
          <w:rFonts w:hint="eastAsia" w:ascii="黑体" w:eastAsia="黑体"/>
          <w:bCs/>
          <w:color w:val="auto"/>
          <w:sz w:val="32"/>
          <w:szCs w:val="32"/>
        </w:rPr>
      </w:pPr>
      <w:r>
        <w:rPr>
          <w:rFonts w:hint="eastAsia" w:ascii="黑体" w:eastAsia="黑体"/>
          <w:bCs/>
          <w:color w:val="auto"/>
          <w:sz w:val="32"/>
          <w:szCs w:val="32"/>
        </w:rPr>
        <w:t>五、主要条款的说明</w:t>
      </w:r>
    </w:p>
    <w:p w14:paraId="3ACAF5FA">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标准技术内容规定了医疗护理员精神分裂症患者照护的基本要求、照护内容、照护评价与改进的要求。</w:t>
      </w:r>
    </w:p>
    <w:p w14:paraId="5171340D">
      <w:pPr>
        <w:pStyle w:val="30"/>
        <w:spacing w:line="520" w:lineRule="exact"/>
        <w:ind w:firstLine="281" w:firstLineChars="100"/>
        <w:rPr>
          <w:rFonts w:hint="eastAsia" w:ascii="仿宋_GB2312" w:eastAsia="仿宋_GB2312" w:cs="仿宋"/>
          <w:b/>
          <w:bCs/>
          <w:color w:val="auto"/>
          <w:sz w:val="28"/>
          <w:szCs w:val="28"/>
          <w:lang w:val="en-US" w:eastAsia="zh-CN"/>
        </w:rPr>
      </w:pPr>
      <w:r>
        <w:rPr>
          <w:rFonts w:hint="eastAsia" w:ascii="仿宋_GB2312" w:eastAsia="仿宋_GB2312" w:cs="仿宋"/>
          <w:b/>
          <w:bCs/>
          <w:color w:val="auto"/>
          <w:sz w:val="28"/>
          <w:szCs w:val="28"/>
          <w:lang w:eastAsia="zh-CN"/>
        </w:rPr>
        <w:t>（</w:t>
      </w:r>
      <w:r>
        <w:rPr>
          <w:rFonts w:hint="eastAsia" w:ascii="仿宋_GB2312" w:eastAsia="仿宋_GB2312" w:cs="仿宋"/>
          <w:b/>
          <w:bCs/>
          <w:color w:val="auto"/>
          <w:sz w:val="28"/>
          <w:szCs w:val="28"/>
          <w:lang w:val="en-US" w:eastAsia="zh-CN"/>
        </w:rPr>
        <w:t>一</w:t>
      </w:r>
      <w:r>
        <w:rPr>
          <w:rFonts w:hint="eastAsia" w:ascii="仿宋_GB2312" w:eastAsia="仿宋_GB2312" w:cs="仿宋"/>
          <w:b/>
          <w:bCs/>
          <w:color w:val="auto"/>
          <w:sz w:val="28"/>
          <w:szCs w:val="28"/>
          <w:lang w:eastAsia="zh-CN"/>
        </w:rPr>
        <w:t>）</w:t>
      </w:r>
      <w:r>
        <w:rPr>
          <w:rFonts w:hint="eastAsia" w:ascii="仿宋_GB2312" w:eastAsia="仿宋_GB2312" w:cs="仿宋"/>
          <w:b/>
          <w:bCs/>
          <w:color w:val="auto"/>
          <w:sz w:val="28"/>
          <w:szCs w:val="28"/>
          <w:lang w:val="en-US" w:eastAsia="zh-CN"/>
        </w:rPr>
        <w:t>基本要求</w:t>
      </w:r>
    </w:p>
    <w:p w14:paraId="266B2DFB">
      <w:pPr>
        <w:spacing w:line="520" w:lineRule="exact"/>
        <w:ind w:firstLine="560" w:firstLineChars="200"/>
        <w:rPr>
          <w:rFonts w:hint="eastAsia" w:ascii="仿宋_GB2312" w:eastAsia="仿宋_GB2312"/>
          <w:color w:val="auto"/>
          <w:sz w:val="28"/>
          <w:szCs w:val="28"/>
          <w:lang w:val="en-US" w:eastAsia="zh-CN"/>
        </w:rPr>
      </w:pPr>
      <w:r>
        <w:rPr>
          <w:rFonts w:hint="default" w:ascii="仿宋_GB2312" w:eastAsia="仿宋_GB2312"/>
          <w:color w:val="auto"/>
          <w:sz w:val="28"/>
          <w:szCs w:val="28"/>
          <w:lang w:val="en-US" w:eastAsia="zh-CN"/>
        </w:rPr>
        <w:t>人员要求的设定，</w:t>
      </w:r>
      <w:r>
        <w:rPr>
          <w:rFonts w:hint="eastAsia" w:ascii="仿宋_GB2312" w:eastAsia="仿宋_GB2312"/>
          <w:color w:val="auto"/>
          <w:sz w:val="28"/>
          <w:szCs w:val="28"/>
          <w:lang w:val="en-US" w:eastAsia="zh-CN"/>
        </w:rPr>
        <w:t>主要考虑了</w:t>
      </w:r>
      <w:r>
        <w:rPr>
          <w:rFonts w:hint="default" w:ascii="仿宋_GB2312" w:eastAsia="仿宋_GB2312"/>
          <w:color w:val="auto"/>
          <w:sz w:val="28"/>
          <w:szCs w:val="28"/>
          <w:lang w:val="en-US" w:eastAsia="zh-CN"/>
        </w:rPr>
        <w:t>精神分裂症患者病情的复杂性与不可预测性。精神分裂症患者常伴有感知、思维、情感及行为等多方面的障碍，照护人员若缺乏基础的精神科知识与风险识别能力，不仅难以建立有效的护患关系，还可能因沟通不当诱发患者情绪激惹或冲动行为。因此，4.1.1强调医疗护理员必须经过专项培训并考核合格，以确保其具备必要的理论储备与实操技能。同时，考虑到精神分裂症患者社会功能受损、病耻感较强，尊重人格与保护隐私既是法律层面的基本要求，也是建立信任关系、保障照护顺利开展的前提。此外，精神科照护环境存在突发冲动、暴力、自伤等潜在风险，4.1.3与4.1.4明确了医疗护理员的自保意识与职责边界，强调其应在执业护士或精神科医师指导下开展工作，不得擅自处理病情变化或实施医疗护理专业技术性操作，这一规定既符合《医疗护理员培训大纲》对岗位职责的界定，也体现了风险分层管理与团队协作的临床原则。</w:t>
      </w:r>
    </w:p>
    <w:p w14:paraId="7536DBE9">
      <w:pPr>
        <w:spacing w:line="520" w:lineRule="exact"/>
        <w:ind w:firstLine="560" w:firstLineChars="200"/>
        <w:rPr>
          <w:rFonts w:hint="default" w:ascii="仿宋_GB2312" w:eastAsia="仿宋_GB2312"/>
          <w:color w:val="auto"/>
          <w:sz w:val="28"/>
          <w:szCs w:val="28"/>
          <w:lang w:val="en-US" w:eastAsia="zh-CN"/>
        </w:rPr>
      </w:pPr>
      <w:r>
        <w:rPr>
          <w:rFonts w:hint="default" w:ascii="仿宋_GB2312" w:eastAsia="仿宋_GB2312"/>
          <w:color w:val="auto"/>
          <w:sz w:val="28"/>
          <w:szCs w:val="28"/>
          <w:lang w:val="en-US" w:eastAsia="zh-CN"/>
        </w:rPr>
        <w:t>环境要求的制定，主要参考了精神专科医院建筑设计与安全管理相关规范，并结合精神分裂症患者冲动行为高发、自知力缺乏等特点。4.2.1中明确禁止存放危险物品，旨在从源头消除患者利用日常物品实施自伤、伤人或破坏行为的隐患，这是精神科病房安全管理的基础性措施。4.2.2中关于窗户限位、病室门管理及重点区域防护设施的要求，则针对精神分裂症患者可能出现的出走、坠楼、藏匿危险物品等行为进行物理防范。上述环境设置并非限制患者自由，而是在保障安全的前提下为患者提供稳定、有序的康复空间，相关要求在我国精神专科医院质量评价与患者安全管理标准中均有体现。</w:t>
      </w:r>
    </w:p>
    <w:p w14:paraId="73B43CA6">
      <w:pPr>
        <w:pStyle w:val="30"/>
        <w:numPr>
          <w:ilvl w:val="0"/>
          <w:numId w:val="0"/>
        </w:numPr>
        <w:spacing w:line="520" w:lineRule="exact"/>
        <w:ind w:left="0" w:leftChars="0" w:firstLine="562" w:firstLineChars="200"/>
        <w:rPr>
          <w:rFonts w:hint="default" w:ascii="仿宋_GB2312" w:eastAsia="仿宋_GB2312" w:cs="仿宋"/>
          <w:b/>
          <w:bCs w:val="0"/>
          <w:color w:val="auto"/>
          <w:sz w:val="28"/>
          <w:szCs w:val="28"/>
          <w:highlight w:val="none"/>
          <w:lang w:val="en-US" w:eastAsia="zh-CN"/>
        </w:rPr>
      </w:pPr>
      <w:bookmarkStart w:id="4" w:name="_Toc224835797"/>
      <w:r>
        <w:rPr>
          <w:rFonts w:hint="eastAsia" w:ascii="仿宋_GB2312" w:eastAsia="仿宋_GB2312" w:cs="仿宋"/>
          <w:b/>
          <w:bCs w:val="0"/>
          <w:color w:val="auto"/>
          <w:sz w:val="28"/>
          <w:szCs w:val="28"/>
          <w:highlight w:val="none"/>
          <w:lang w:val="en-US" w:eastAsia="zh-CN"/>
        </w:rPr>
        <w:t>（二）</w:t>
      </w:r>
      <w:r>
        <w:rPr>
          <w:rFonts w:hint="default" w:ascii="仿宋_GB2312" w:eastAsia="仿宋_GB2312" w:cs="仿宋"/>
          <w:b/>
          <w:bCs w:val="0"/>
          <w:color w:val="auto"/>
          <w:sz w:val="28"/>
          <w:szCs w:val="28"/>
          <w:highlight w:val="none"/>
          <w:lang w:val="en-US" w:eastAsia="zh-CN"/>
        </w:rPr>
        <w:t>照护内容</w:t>
      </w:r>
      <w:bookmarkEnd w:id="4"/>
    </w:p>
    <w:p w14:paraId="615DF46C">
      <w:pPr>
        <w:pStyle w:val="30"/>
        <w:numPr>
          <w:ilvl w:val="0"/>
          <w:numId w:val="0"/>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1.基本生活照护</w:t>
      </w:r>
    </w:p>
    <w:p w14:paraId="485B5910">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充分考虑了精神分裂症患者阴性症状与药物不良反应对基本生活能力的影响。5.1.1个人卫生部分，主要基于精神分裂症患者常见的生活懒散、被动、意志减退等阴性症状表现。照护中强调“督促或协助”与“鼓励其自行完成”相结合，既考虑到患者实际功能受损程度，又注重保护其残存的生活能力与自主尊严，避免因过度替代照护加速患者社会功能的衰退。5.1.2饮食照护的细化要求，主要源于精神分裂症患者进食行为的特殊性及药物相关风险。患者可能因幻觉、妄想而出现暴饮暴食、拒食或吞食异物等异常行为，同时抗精神病药物所致锥体外系反应可引发吞咽困难、噎食风险。因此，条款中明确了对不同进食异常情况的观察要点与应对措施，特别是对卧床或约束患者的喂食体位要求，直接针对窒息这一严重并发症的预防。5.1.3睡眠照护的制定，基于患者普遍存在的睡眠障碍——如入睡困难、早醒、睡眠颠倒，以及夜间可能发生的出走、自伤等安全风险。条款要求观察睡眠形态、营造安静环境、加强夜间巡视，旨在及时发现异常并防范意外事件的发生。5.1.4衣着与保暖的设定，考虑到患者可能因认知功能损害或阴性症状而出现衣着不合时宜、不整或怪异等现象，此类表现既影响患者形象与社会接纳度，也可能因季节变化导致躯体疾病。温和劝导的方式体现了对患者尊严的维护。。</w:t>
      </w:r>
    </w:p>
    <w:p w14:paraId="21031AB3">
      <w:pPr>
        <w:pStyle w:val="30"/>
        <w:numPr>
          <w:ilvl w:val="0"/>
          <w:numId w:val="0"/>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2.专项照护</w:t>
      </w:r>
    </w:p>
    <w:p w14:paraId="40742415">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主要依据《严重精神障碍管理治疗工作规范（2018年版）》《国家基本公共卫生服务规范（第三版）》中关于危险性评估分级的要求，以及《精神科护理学》与精神专科临床照护实践指南，同时参考了精神康复治疗与患者安全管理的相关文献。</w:t>
      </w:r>
    </w:p>
    <w:p w14:paraId="3C0535D7">
      <w:pPr>
        <w:pStyle w:val="30"/>
        <w:numPr>
          <w:ilvl w:val="0"/>
          <w:numId w:val="0"/>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（1）</w:t>
      </w:r>
      <w:r>
        <w:rPr>
          <w:rFonts w:hint="default" w:ascii="仿宋_GB2312" w:eastAsia="仿宋_GB2312" w:cs="仿宋"/>
          <w:b w:val="0"/>
          <w:bCs/>
          <w:color w:val="auto"/>
          <w:sz w:val="28"/>
          <w:szCs w:val="28"/>
          <w:highlight w:val="none"/>
          <w:lang w:val="en-US" w:eastAsia="zh-CN"/>
        </w:rPr>
        <w:t>危险性评估分级与照护要</w:t>
      </w:r>
      <w:r>
        <w:rPr>
          <w:rFonts w:hint="eastAsia" w:ascii="仿宋_GB2312" w:eastAsia="仿宋_GB2312" w:cs="仿宋"/>
          <w:b w:val="0"/>
          <w:bCs/>
          <w:color w:val="auto"/>
          <w:sz w:val="28"/>
          <w:szCs w:val="28"/>
          <w:highlight w:val="none"/>
          <w:lang w:val="en-US" w:eastAsia="zh-CN"/>
        </w:rPr>
        <w:t>点</w:t>
      </w:r>
    </w:p>
    <w:p w14:paraId="007C85DA">
      <w:pPr>
        <w:pStyle w:val="30"/>
        <w:numPr>
          <w:ilvl w:val="0"/>
          <w:numId w:val="0"/>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本部分内容的制定，充分体现了精神分裂症患者照护的专业性、风险分级管理原则以及康复导向的综合照护理念。危险性评估分级与照护要点直接引用《国家基本公共卫生服务规范》中0至5级的分级标准，并针对每一级别转化为医疗护理员可操作的具体照护措施。核心考虑在于：精神分裂症患者的冲动暴力风险与疾病严重程度密切相关，且具有动态变化的特点。通过分级照护，既能避免对稳定期患者的过度干预，保障其正常活动与康复参与，又能在风险升级时实现快速、有序的应急处置，体现了风险分层管理与团队协作的临床原则。</w:t>
      </w:r>
    </w:p>
    <w:p w14:paraId="0B0477C1">
      <w:pPr>
        <w:pStyle w:val="30"/>
        <w:numPr>
          <w:ilvl w:val="0"/>
          <w:numId w:val="0"/>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依据精神科风险评估的分级干预原则，将患者危险行为划分为六个等级，从“无危险”到“持械暴力或纵火爆炸”，形成由低到高的梯度响应机制。该分级体系参考《精神科危险行为评估量表》</w:t>
      </w:r>
      <w:r>
        <w:rPr>
          <w:rFonts w:hint="eastAsia" w:ascii="宋体" w:hAnsi="宋体" w:eastAsia="宋体" w:cs="宋体"/>
          <w:b w:val="0"/>
          <w:bCs/>
          <w:color w:val="auto"/>
          <w:sz w:val="28"/>
          <w:szCs w:val="28"/>
          <w:highlight w:val="none"/>
          <w:lang w:val="en-US" w:eastAsia="zh-CN"/>
        </w:rPr>
        <w:t>（HCR-20）</w:t>
      </w:r>
      <w:r>
        <w:rPr>
          <w:rFonts w:hint="default" w:ascii="仿宋_GB2312" w:eastAsia="仿宋_GB2312" w:cs="仿宋"/>
          <w:b w:val="0"/>
          <w:bCs/>
          <w:color w:val="auto"/>
          <w:sz w:val="28"/>
          <w:szCs w:val="28"/>
          <w:highlight w:val="none"/>
          <w:lang w:val="en-US" w:eastAsia="zh-CN"/>
        </w:rPr>
        <w:t>的临床应用逻辑，结合我国基层医疗机构的应急处置能力，明确不同等级下的照护重点：对低风险患者侧重社会功能恢复与心理支持；对中高风险患者强调环境控制、行为干预与多部门协作；对极高风险行为则突出应急预案启动、人员疏散与公安医疗联动。此设计既符合循证护理理念，也确保在保障安全的前提下最大限度减少约束性措施的使用。</w:t>
      </w:r>
    </w:p>
    <w:p w14:paraId="142F8B48">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hAnsi="Calibri" w:eastAsia="仿宋_GB2312" w:cs="仿宋"/>
          <w:b w:val="0"/>
          <w:bCs/>
          <w:color w:val="auto"/>
          <w:sz w:val="28"/>
          <w:szCs w:val="28"/>
          <w:lang w:val="en-US" w:eastAsia="zh-CN" w:bidi="ar-SA"/>
        </w:rPr>
        <w:t>（</w:t>
      </w:r>
      <w:r>
        <w:rPr>
          <w:rFonts w:hint="eastAsia" w:ascii="仿宋_GB2312" w:eastAsia="仿宋_GB2312" w:cs="仿宋"/>
          <w:b w:val="0"/>
          <w:bCs/>
          <w:color w:val="auto"/>
          <w:sz w:val="28"/>
          <w:szCs w:val="28"/>
          <w:lang w:val="en-US" w:eastAsia="zh-CN" w:bidi="ar-SA"/>
        </w:rPr>
        <w:t>2</w:t>
      </w:r>
      <w:r>
        <w:rPr>
          <w:rFonts w:hint="eastAsia" w:ascii="仿宋_GB2312" w:hAnsi="Calibri" w:eastAsia="仿宋_GB2312" w:cs="仿宋"/>
          <w:b w:val="0"/>
          <w:bCs/>
          <w:color w:val="auto"/>
          <w:sz w:val="28"/>
          <w:szCs w:val="28"/>
          <w:lang w:val="en-US" w:eastAsia="zh-CN" w:bidi="ar-SA"/>
        </w:rPr>
        <w:t>）</w:t>
      </w:r>
      <w:r>
        <w:rPr>
          <w:rFonts w:hint="default" w:ascii="仿宋_GB2312" w:eastAsia="仿宋_GB2312" w:cs="仿宋"/>
          <w:b w:val="0"/>
          <w:bCs/>
          <w:color w:val="auto"/>
          <w:sz w:val="28"/>
          <w:szCs w:val="28"/>
          <w:highlight w:val="none"/>
          <w:lang w:val="en-US" w:eastAsia="zh-CN"/>
        </w:rPr>
        <w:t>症状观察与应对的</w:t>
      </w:r>
      <w:r>
        <w:rPr>
          <w:rFonts w:hint="eastAsia" w:ascii="仿宋_GB2312" w:eastAsia="仿宋_GB2312" w:cs="仿宋"/>
          <w:b w:val="0"/>
          <w:bCs/>
          <w:color w:val="auto"/>
          <w:sz w:val="28"/>
          <w:szCs w:val="28"/>
          <w:highlight w:val="none"/>
          <w:lang w:val="en-US" w:eastAsia="zh-CN"/>
        </w:rPr>
        <w:t>方面</w:t>
      </w:r>
    </w:p>
    <w:p w14:paraId="40B60A9B">
      <w:pPr>
        <w:pStyle w:val="30"/>
        <w:numPr>
          <w:ilvl w:val="0"/>
          <w:numId w:val="0"/>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基于精神分裂症患者症状表现的复杂性与多样性。幻觉、妄想、行为紊乱是患者最常见且直接影响照护安全的精神症状，条款中针对每种症状提出了具体的识别表现与应对策略，强调“不争论、不刺激、转移注意”的沟通原则，旨在帮助医疗护理员在配合医护人员观察病情的同时，能够采取恰当的非药物干预措施，避免因不当应对诱发患者情绪激惹或症状加重。药物不良反应观察则针对抗精神病药物常见的锥体外系反应、自主神经症状等，设置了报告与配合处理的要求，体现了对患者躯体安全的关注。</w:t>
      </w:r>
    </w:p>
    <w:p w14:paraId="3F054D06">
      <w:pPr>
        <w:pStyle w:val="30"/>
        <w:numPr>
          <w:ilvl w:val="0"/>
          <w:numId w:val="0"/>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针对精神分裂症核心症状</w:t>
      </w:r>
      <w:r>
        <w:rPr>
          <w:rFonts w:hint="eastAsia" w:ascii="仿宋_GB2312" w:eastAsia="仿宋_GB2312" w:cs="仿宋"/>
          <w:b w:val="0"/>
          <w:bCs/>
          <w:color w:val="auto"/>
          <w:sz w:val="28"/>
          <w:szCs w:val="28"/>
          <w:highlight w:val="none"/>
          <w:lang w:val="en-US" w:eastAsia="zh-CN"/>
        </w:rPr>
        <w:t>，即</w:t>
      </w:r>
      <w:r>
        <w:rPr>
          <w:rFonts w:hint="default" w:ascii="仿宋_GB2312" w:eastAsia="仿宋_GB2312" w:cs="仿宋"/>
          <w:b w:val="0"/>
          <w:bCs/>
          <w:color w:val="auto"/>
          <w:sz w:val="28"/>
          <w:szCs w:val="28"/>
          <w:highlight w:val="none"/>
          <w:lang w:val="en-US" w:eastAsia="zh-CN"/>
        </w:rPr>
        <w:t>幻觉、妄想、行为紊乱及药物不良反应，制定系统性观察与非药物干预策略。幻觉与妄想的应对遵循“不争论、不强化、不忽视”原则，采用中立态度与注意力转移技术，避免刺激患者防御机制；行为紊乱的处理强调安全引导与环境管理，防止自伤或走失；药物不良反应的识别则依据《精神科药物副作用护理手册》，聚焦锥体外系反应等常见问题，明确护理员的观察职责与报告流程。整体内容体现“早发现、早报告、早干预”的护理闭环管理思想。</w:t>
      </w:r>
    </w:p>
    <w:p w14:paraId="6C0951CF">
      <w:pPr>
        <w:pStyle w:val="30"/>
        <w:numPr>
          <w:ilvl w:val="0"/>
          <w:numId w:val="0"/>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（3）</w:t>
      </w:r>
      <w:r>
        <w:rPr>
          <w:rFonts w:hint="default" w:ascii="仿宋_GB2312" w:eastAsia="仿宋_GB2312" w:cs="仿宋"/>
          <w:b w:val="0"/>
          <w:bCs/>
          <w:color w:val="auto"/>
          <w:sz w:val="28"/>
          <w:szCs w:val="28"/>
          <w:highlight w:val="none"/>
          <w:lang w:val="en-US" w:eastAsia="zh-CN"/>
        </w:rPr>
        <w:t>安全照护</w:t>
      </w:r>
    </w:p>
    <w:p w14:paraId="124023FB">
      <w:pPr>
        <w:pStyle w:val="30"/>
        <w:numPr>
          <w:ilvl w:val="0"/>
          <w:numId w:val="0"/>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整合了精神科病房安全管理的三个关键环节。防走失条款针对患者可能出现的出走风险，明确了外出陪同、出入口管理及重点交接班的要求；防跌倒/坠床条款考虑到药物镇静作用及患者自护能力下降的双重因素，提出了主动协助与环境管理的具体措施；危险品管理条款则从源头防范患者利用日常物品实施自伤、伤人或破坏行为，规定了每日检查与家属探视物品管控的要求。上述措施在精神专科临床管理规范中均有明确要求，是保障患者与照护人员双向安全的基础性工作。</w:t>
      </w:r>
    </w:p>
    <w:p w14:paraId="7082E3F2">
      <w:pPr>
        <w:pStyle w:val="30"/>
        <w:numPr>
          <w:ilvl w:val="0"/>
          <w:numId w:val="0"/>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安全是精神科照护的首要前提</w:t>
      </w:r>
      <w:r>
        <w:rPr>
          <w:rFonts w:hint="eastAsia" w:ascii="仿宋_GB2312" w:eastAsia="仿宋_GB2312" w:cs="仿宋"/>
          <w:b w:val="0"/>
          <w:bCs/>
          <w:color w:val="auto"/>
          <w:sz w:val="28"/>
          <w:szCs w:val="28"/>
          <w:highlight w:val="none"/>
          <w:lang w:val="en-US" w:eastAsia="zh-CN"/>
        </w:rPr>
        <w:t>，</w:t>
      </w:r>
      <w:r>
        <w:rPr>
          <w:rFonts w:hint="default" w:ascii="仿宋_GB2312" w:eastAsia="仿宋_GB2312" w:cs="仿宋"/>
          <w:b w:val="0"/>
          <w:bCs/>
          <w:color w:val="auto"/>
          <w:sz w:val="28"/>
          <w:szCs w:val="28"/>
          <w:highlight w:val="none"/>
          <w:lang w:val="en-US" w:eastAsia="zh-CN"/>
        </w:rPr>
        <w:t>防走失措施基于封闭式病区管理规范，通过全程陪同、出入口管控与重点交接班制度，构建物理与制度双重防线；防跌倒/坠床则参照《住院患者跌倒风险评估与预防指南》，关注药物影响与环境因素，落实床栏、防滑地面等物理防护；危险品管理严格执行每日清查制度，杜绝药品、锐器、绳索等物品的私藏与误用，体现对高风险物品的动态监管。三项措施共同织密患者安全防护网。</w:t>
      </w:r>
    </w:p>
    <w:p w14:paraId="146EEC1F">
      <w:pPr>
        <w:pStyle w:val="30"/>
        <w:numPr>
          <w:ilvl w:val="0"/>
          <w:numId w:val="0"/>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（4）</w:t>
      </w:r>
      <w:r>
        <w:rPr>
          <w:rFonts w:hint="default" w:ascii="仿宋_GB2312" w:eastAsia="仿宋_GB2312" w:cs="仿宋"/>
          <w:b w:val="0"/>
          <w:bCs/>
          <w:color w:val="auto"/>
          <w:sz w:val="28"/>
          <w:szCs w:val="28"/>
          <w:highlight w:val="none"/>
          <w:lang w:val="en-US" w:eastAsia="zh-CN"/>
        </w:rPr>
        <w:t>康复辅助与心理支持</w:t>
      </w:r>
    </w:p>
    <w:p w14:paraId="6B6E741D">
      <w:pPr>
        <w:pStyle w:val="30"/>
        <w:numPr>
          <w:ilvl w:val="0"/>
          <w:numId w:val="0"/>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体现了现代精神康复的理念。工娱疗法辅助、社交技能训练、心理支持等内容，旨在帮助患者在稳定病情的基础上逐步恢复社会功能。条款中强调“鼓励互动”“正面鼓励语言”“真诚接纳的态度”，这些非药物干预手段已被证实对改善精神分裂症患者的阴性症状、提升治疗依从性、促进社会融入具有积极作用。同时，将心理支持融入日常照护，有助于建立信任的护患关系，为长期照护奠定良好基础。</w:t>
      </w:r>
    </w:p>
    <w:p w14:paraId="3D8E9EC4">
      <w:pPr>
        <w:pStyle w:val="30"/>
        <w:numPr>
          <w:ilvl w:val="0"/>
          <w:numId w:val="0"/>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康复不仅是症状缓解，更是社会功能的重建。工娱疗法辅助依据《精神障碍患者工娱治疗操作规范》，通过广播操、手工、阅读等活动促进患者情绪稳定与行为规律化；社交技能训练采用角色扮演、情境模拟等方式，帮助患者学习礼貌用语、表达需求与处理冲突，贴近《精神康复社会技能训练指南》要求；心理支持则强调护理员的人文素养，以真诚、接纳、鼓励的态度建立治疗性护患关系，践行“以患者为中心”的护理理念。该部分内容凸显从“疾病照护”向“全人康复”的范式转变。</w:t>
      </w:r>
    </w:p>
    <w:p w14:paraId="1B3E6BA2">
      <w:pPr>
        <w:pStyle w:val="30"/>
        <w:numPr>
          <w:ilvl w:val="0"/>
          <w:numId w:val="0"/>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综上所述，本章节内容立足于政策依据、临床证据与实践可行性，兼顾安全性、专业性与人文性，力求为医疗护理员提供清晰、可操作的精神分裂症患者照护指引，推动精神卫生服务体系中辅助岗位的规范化建设。</w:t>
      </w:r>
    </w:p>
    <w:p w14:paraId="6B556632">
      <w:pPr>
        <w:pStyle w:val="30"/>
        <w:numPr>
          <w:ilvl w:val="0"/>
          <w:numId w:val="0"/>
        </w:numPr>
        <w:spacing w:line="520" w:lineRule="exact"/>
        <w:ind w:left="0" w:leftChars="0" w:firstLine="562" w:firstLineChars="200"/>
        <w:rPr>
          <w:rFonts w:hint="default" w:ascii="仿宋_GB2312" w:eastAsia="仿宋_GB2312" w:cs="仿宋"/>
          <w:b w:val="0"/>
          <w:bCs/>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（三）质量控制与持续改进</w:t>
      </w:r>
    </w:p>
    <w:p w14:paraId="46D3C53A">
      <w:pPr>
        <w:pStyle w:val="30"/>
        <w:numPr>
          <w:ilvl w:val="0"/>
          <w:numId w:val="0"/>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主要考虑到</w:t>
      </w:r>
      <w:r>
        <w:rPr>
          <w:rFonts w:hint="default" w:ascii="仿宋_GB2312" w:eastAsia="仿宋_GB2312" w:cs="仿宋"/>
          <w:b w:val="0"/>
          <w:bCs/>
          <w:color w:val="auto"/>
          <w:sz w:val="28"/>
          <w:szCs w:val="28"/>
          <w:highlight w:val="none"/>
          <w:lang w:val="en-US" w:eastAsia="zh-CN"/>
        </w:rPr>
        <w:t>构建照护质量的闭环管理机制，确保精神分裂症患者照护工作的规范性与可持续性。</w:t>
      </w:r>
    </w:p>
    <w:p w14:paraId="77E5A166">
      <w:pPr>
        <w:pStyle w:val="30"/>
        <w:numPr>
          <w:ilvl w:val="0"/>
          <w:numId w:val="7"/>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记录的设定，基于精神分裂症患者病情波动性大、行为表现多变的特点。客观、及时的记录是评估患者病情变化、识别潜在风险、调整照护方案的重要依据。条款强调“如实记录”，要求医疗护理员以观察事实为依据，避免主观臆断，这与精神科临床护理记录的基本原则相一致。</w:t>
      </w:r>
    </w:p>
    <w:p w14:paraId="2BE0D7A8">
      <w:pPr>
        <w:pStyle w:val="30"/>
        <w:numPr>
          <w:ilvl w:val="0"/>
          <w:numId w:val="7"/>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2交接班的制定，源于精神分裂症患者照护中信息传递的关键性。精神科患者病情复杂，重点患者（如新入院、有自杀自伤倾向、冲动倾向）的风险评估与照护要点需在交接班时准确传递。床旁交接班方式能够实现面对面沟通与现场确认，有效避免信息遗漏或误解，是精神科安全管理的重要环节。</w:t>
      </w:r>
    </w:p>
    <w:p w14:paraId="50F14A65">
      <w:pPr>
        <w:pStyle w:val="30"/>
        <w:numPr>
          <w:ilvl w:val="0"/>
          <w:numId w:val="7"/>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培训与考核的设定，考虑到精神分裂症患者照护的专业性与高风险性。医疗护理员需要持续更新相关知识、强化风险识别与应急处置能力。条款明确要求“每年至少一次”专项培训和考核，旨在通过制度化安排保障照护人员的专业素养与岗位胜任力，这一要求与医疗护理员培训管理的相关规定相契合。</w:t>
      </w:r>
    </w:p>
    <w:p w14:paraId="2B49BB5D">
      <w:pPr>
        <w:pStyle w:val="30"/>
        <w:numPr>
          <w:ilvl w:val="0"/>
          <w:numId w:val="7"/>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督导的制定，基于质量持续改进的管理理念。精神科护士长或责任护士作为照护团队的指导者，对医疗护理员的工作进行定期督导检查，有助于及时发现照护中存在的问题，通过分析原因、指导改进，实现照护质量的持续提升。这一机制体现了层级管理与团队协作相结合的质量保障思路。</w:t>
      </w:r>
    </w:p>
    <w:p w14:paraId="04D6BBAF">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主要依据《医疗护理员培训大纲（试行）》《严重精神障碍管理治疗工作规范（2018年版）》及医疗机构护理质量管理的相关要求，同时参考了精神科不良事件管理与持续质量改进的临床实践经验。</w:t>
      </w:r>
    </w:p>
    <w:p w14:paraId="0D6B7526">
      <w:pPr>
        <w:pStyle w:val="32"/>
        <w:numPr>
          <w:ilvl w:val="0"/>
          <w:numId w:val="0"/>
        </w:numPr>
        <w:spacing w:beforeLines="0" w:afterLines="0" w:line="360" w:lineRule="auto"/>
        <w:rPr>
          <w:rFonts w:hint="eastAsia"/>
          <w:bCs/>
          <w:color w:val="auto"/>
          <w:sz w:val="32"/>
          <w:szCs w:val="32"/>
        </w:rPr>
      </w:pPr>
      <w:r>
        <w:rPr>
          <w:rFonts w:hint="eastAsia"/>
          <w:b/>
          <w:bCs/>
          <w:color w:val="auto"/>
          <w:sz w:val="32"/>
          <w:szCs w:val="32"/>
        </w:rPr>
        <w:t>六</w:t>
      </w:r>
      <w:r>
        <w:rPr>
          <w:rFonts w:hint="eastAsia"/>
          <w:bCs/>
          <w:color w:val="auto"/>
          <w:sz w:val="32"/>
          <w:szCs w:val="32"/>
        </w:rPr>
        <w:t>、</w:t>
      </w:r>
      <w:r>
        <w:rPr>
          <w:rFonts w:hint="eastAsia"/>
          <w:color w:val="auto"/>
          <w:sz w:val="32"/>
          <w:szCs w:val="32"/>
        </w:rPr>
        <w:t>重大意见分歧的处理依据和结果</w:t>
      </w:r>
    </w:p>
    <w:p w14:paraId="5901BD9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本标准研制过程中无重大分歧意见。</w:t>
      </w:r>
    </w:p>
    <w:p w14:paraId="6B1FFC80">
      <w:pPr>
        <w:autoSpaceDE w:val="0"/>
        <w:autoSpaceDN w:val="0"/>
        <w:adjustRightInd w:val="0"/>
        <w:spacing w:before="156" w:beforeLines="50" w:after="156" w:afterLines="50" w:line="520" w:lineRule="exact"/>
        <w:ind w:firstLine="640" w:firstLineChars="200"/>
        <w:outlineLvl w:val="0"/>
        <w:rPr>
          <w:rFonts w:eastAsia="黑体"/>
          <w:color w:val="auto"/>
          <w:sz w:val="32"/>
          <w:szCs w:val="32"/>
        </w:rPr>
      </w:pPr>
      <w:r>
        <w:rPr>
          <w:rFonts w:hint="eastAsia" w:ascii="黑体" w:eastAsia="黑体"/>
          <w:bCs/>
          <w:color w:val="auto"/>
          <w:sz w:val="32"/>
          <w:szCs w:val="32"/>
        </w:rPr>
        <w:t>七、</w:t>
      </w:r>
      <w:r>
        <w:rPr>
          <w:rFonts w:hint="eastAsia" w:eastAsia="黑体"/>
          <w:color w:val="auto"/>
          <w:sz w:val="32"/>
          <w:szCs w:val="32"/>
        </w:rPr>
        <w:t>实施标准的措施</w:t>
      </w:r>
    </w:p>
    <w:p w14:paraId="43DE7DA7">
      <w:pPr>
        <w:spacing w:line="50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（一）标准报批发布后，成立标准宣贯工作组</w:t>
      </w:r>
    </w:p>
    <w:p w14:paraId="6254ED11">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255571FF">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（二）组织开展标准宣贯培训</w:t>
      </w:r>
    </w:p>
    <w:p w14:paraId="684177CD">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标准发布实施后，标准宣贯工作小组制作标准解读宣贯培训PPT课件和标准核心技术明白书，并按标准宣贯培训计划深入各市县医疗机构，对</w:t>
      </w:r>
      <w:r>
        <w:rPr>
          <w:rFonts w:hint="eastAsia" w:ascii="仿宋_GB2312" w:eastAsia="仿宋_GB2312"/>
          <w:color w:val="auto"/>
          <w:sz w:val="28"/>
          <w:szCs w:val="28"/>
          <w:lang w:val="en-US" w:eastAsia="zh-CN"/>
        </w:rPr>
        <w:t>相关</w:t>
      </w:r>
      <w:r>
        <w:rPr>
          <w:rFonts w:hint="eastAsia" w:ascii="仿宋_GB2312" w:eastAsia="仿宋_GB2312"/>
          <w:color w:val="auto"/>
          <w:sz w:val="28"/>
          <w:szCs w:val="28"/>
        </w:rPr>
        <w:t>医护人员开展标准宣贯培训，对标准进行逐条解读，让医师和医护人员掌握标准核心技术内容，助力标准实施落地，推动</w:t>
      </w:r>
      <w:r>
        <w:rPr>
          <w:rFonts w:hint="eastAsia" w:ascii="仿宋_GB2312" w:eastAsia="仿宋_GB2312"/>
          <w:color w:val="auto"/>
          <w:sz w:val="28"/>
          <w:szCs w:val="28"/>
          <w:lang w:val="en-US" w:eastAsia="zh-CN"/>
        </w:rPr>
        <w:t>医疗护理事业</w:t>
      </w:r>
      <w:r>
        <w:rPr>
          <w:rFonts w:hint="eastAsia" w:ascii="仿宋_GB2312" w:eastAsia="仿宋_GB2312"/>
          <w:color w:val="auto"/>
          <w:sz w:val="28"/>
          <w:szCs w:val="28"/>
        </w:rPr>
        <w:t>高质量发展。</w:t>
      </w:r>
    </w:p>
    <w:p w14:paraId="24F36826">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（三）开展标准实施交流会，收集标准实施反馈信息</w:t>
      </w:r>
    </w:p>
    <w:p w14:paraId="7488335B">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标准起草小组深入各市县医疗机构组织</w:t>
      </w:r>
      <w:r>
        <w:rPr>
          <w:rFonts w:hint="eastAsia" w:ascii="仿宋_GB2312" w:eastAsia="仿宋_GB2312"/>
          <w:color w:val="auto"/>
          <w:sz w:val="28"/>
          <w:szCs w:val="28"/>
          <w:lang w:val="en-US" w:eastAsia="zh-CN"/>
        </w:rPr>
        <w:t>相关</w:t>
      </w:r>
      <w:r>
        <w:rPr>
          <w:rFonts w:hint="eastAsia" w:ascii="仿宋_GB2312" w:eastAsia="仿宋_GB2312"/>
          <w:color w:val="auto"/>
          <w:sz w:val="28"/>
          <w:szCs w:val="28"/>
        </w:rPr>
        <w:t>医护人员召开标准实施交流会，听取标准实施过程中存在的问题并做好记录和解答，对存在的问题组织专家团队进行研讨，为标准的复审修订做准备。</w:t>
      </w:r>
    </w:p>
    <w:p w14:paraId="6712A9C8">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（四）开展标准实施效果评估</w:t>
      </w:r>
    </w:p>
    <w:p w14:paraId="6F26A459">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467B4A06">
      <w:pPr>
        <w:spacing w:before="240" w:after="60" w:line="520" w:lineRule="exact"/>
        <w:ind w:firstLine="640" w:firstLineChars="200"/>
        <w:outlineLvl w:val="0"/>
        <w:rPr>
          <w:rFonts w:hint="eastAsia" w:ascii="黑体" w:eastAsia="黑体"/>
          <w:bCs/>
          <w:color w:val="auto"/>
          <w:sz w:val="32"/>
          <w:szCs w:val="32"/>
        </w:rPr>
      </w:pPr>
      <w:r>
        <w:rPr>
          <w:rFonts w:hint="eastAsia" w:ascii="黑体" w:eastAsia="黑体"/>
          <w:bCs/>
          <w:color w:val="auto"/>
          <w:sz w:val="32"/>
          <w:szCs w:val="32"/>
        </w:rPr>
        <w:t>八、其他应当说明的事项</w:t>
      </w:r>
    </w:p>
    <w:p w14:paraId="6D062A51">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无。</w:t>
      </w:r>
    </w:p>
    <w:p w14:paraId="52787E3B">
      <w:pPr>
        <w:autoSpaceDE w:val="0"/>
        <w:autoSpaceDN w:val="0"/>
        <w:adjustRightInd w:val="0"/>
        <w:spacing w:before="156" w:beforeLines="50" w:after="156" w:afterLines="50" w:line="520" w:lineRule="exact"/>
        <w:ind w:firstLine="640"/>
        <w:outlineLvl w:val="0"/>
        <w:rPr>
          <w:rFonts w:hint="eastAsia" w:eastAsia="黑体"/>
          <w:color w:val="auto"/>
          <w:sz w:val="32"/>
          <w:szCs w:val="32"/>
        </w:rPr>
      </w:pPr>
      <w:r>
        <w:rPr>
          <w:rFonts w:hint="eastAsia" w:eastAsia="黑体"/>
          <w:color w:val="auto"/>
          <w:sz w:val="32"/>
          <w:szCs w:val="32"/>
        </w:rPr>
        <w:t>九、自我承诺</w:t>
      </w:r>
    </w:p>
    <w:p w14:paraId="1CA3DC93">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该标准的内容符合国家相关法律法规，技术要求不低于强制性国家标准的相关技术要求，与相关的国家、行业推荐性标准协调一致，标准的编写符合GB/T 1.1-2020的要求。</w:t>
      </w:r>
    </w:p>
    <w:p w14:paraId="3099184D">
      <w:pPr>
        <w:pStyle w:val="23"/>
        <w:rPr>
          <w:rFonts w:hint="eastAsia" w:ascii="仿宋_GB2312" w:eastAsia="仿宋_GB2312"/>
          <w:color w:val="auto"/>
          <w:sz w:val="28"/>
          <w:szCs w:val="28"/>
        </w:rPr>
      </w:pPr>
    </w:p>
    <w:p w14:paraId="7696C500">
      <w:pPr>
        <w:pStyle w:val="23"/>
        <w:rPr>
          <w:rFonts w:hint="eastAsia" w:ascii="仿宋_GB2312" w:eastAsia="仿宋_GB2312"/>
          <w:color w:val="auto"/>
          <w:sz w:val="28"/>
          <w:szCs w:val="28"/>
        </w:rPr>
      </w:pPr>
    </w:p>
    <w:p w14:paraId="62C157D1">
      <w:pPr>
        <w:pStyle w:val="23"/>
        <w:rPr>
          <w:rFonts w:hint="eastAsia" w:ascii="仿宋_GB2312" w:eastAsia="仿宋_GB2312"/>
          <w:color w:val="auto"/>
          <w:sz w:val="28"/>
          <w:szCs w:val="28"/>
        </w:rPr>
      </w:pPr>
    </w:p>
    <w:p w14:paraId="753963BB">
      <w:pPr>
        <w:spacing w:before="240" w:after="60" w:line="520" w:lineRule="exact"/>
        <w:ind w:firstLine="2240" w:firstLineChars="800"/>
        <w:outlineLvl w:val="0"/>
        <w:rPr>
          <w:rFonts w:hint="eastAsia" w:ascii="仿宋_GB2312" w:eastAsia="仿宋_GB2312"/>
          <w:color w:val="auto"/>
          <w:sz w:val="28"/>
          <w:szCs w:val="28"/>
        </w:rPr>
      </w:pPr>
      <w:r>
        <w:rPr>
          <w:rFonts w:hint="eastAsia" w:ascii="仿宋_GB2312" w:eastAsia="仿宋_GB2312"/>
          <w:color w:val="auto"/>
          <w:sz w:val="28"/>
          <w:szCs w:val="28"/>
          <w:lang w:val="en-US" w:eastAsia="zh-CN"/>
        </w:rPr>
        <w:t>团体标准</w:t>
      </w:r>
      <w:r>
        <w:rPr>
          <w:rFonts w:hint="eastAsia" w:ascii="仿宋_GB2312" w:eastAsia="仿宋_GB2312"/>
          <w:color w:val="auto"/>
          <w:sz w:val="28"/>
          <w:szCs w:val="28"/>
        </w:rPr>
        <w:t>《</w:t>
      </w:r>
      <w:r>
        <w:rPr>
          <w:rFonts w:hint="eastAsia" w:ascii="仿宋_GB2312" w:eastAsia="仿宋_GB2312"/>
          <w:color w:val="auto"/>
          <w:sz w:val="28"/>
          <w:szCs w:val="28"/>
          <w:lang w:eastAsia="zh-CN"/>
        </w:rPr>
        <w:t>医疗护理员精神分裂症患者照护规范</w:t>
      </w:r>
      <w:r>
        <w:rPr>
          <w:rFonts w:hint="eastAsia" w:ascii="仿宋_GB2312" w:eastAsia="仿宋_GB2312"/>
          <w:color w:val="auto"/>
          <w:sz w:val="28"/>
          <w:szCs w:val="28"/>
        </w:rPr>
        <w:t>》</w:t>
      </w:r>
    </w:p>
    <w:p w14:paraId="59BB109D">
      <w:pPr>
        <w:spacing w:line="520" w:lineRule="exact"/>
        <w:ind w:right="1120"/>
        <w:jc w:val="center"/>
        <w:rPr>
          <w:rFonts w:hint="eastAsia" w:ascii="仿宋_GB2312" w:eastAsia="仿宋_GB2312"/>
          <w:color w:val="auto"/>
          <w:sz w:val="28"/>
          <w:szCs w:val="28"/>
        </w:rPr>
      </w:pPr>
      <w:r>
        <w:rPr>
          <w:rFonts w:hint="eastAsia" w:ascii="仿宋_GB2312" w:eastAsia="仿宋_GB2312"/>
          <w:color w:val="auto"/>
          <w:sz w:val="28"/>
          <w:szCs w:val="28"/>
        </w:rPr>
        <w:t xml:space="preserve">                                  标准编制工作组</w:t>
      </w:r>
    </w:p>
    <w:p w14:paraId="2804818C">
      <w:pPr>
        <w:spacing w:line="520" w:lineRule="exact"/>
        <w:ind w:firstLine="640" w:firstLineChars="200"/>
        <w:rPr>
          <w:rFonts w:hint="eastAsia" w:ascii="仿宋_GB2312" w:eastAsia="仿宋_GB2312"/>
          <w:color w:val="auto"/>
          <w:sz w:val="28"/>
          <w:szCs w:val="28"/>
        </w:rPr>
      </w:pPr>
      <w:r>
        <w:rPr>
          <w:rFonts w:hint="eastAsia" w:ascii="仿宋_GB2312" w:eastAsia="仿宋_GB2312"/>
          <w:color w:val="auto"/>
          <w:sz w:val="32"/>
          <w:szCs w:val="28"/>
        </w:rPr>
        <w:t xml:space="preserve">                             </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6</w:t>
      </w:r>
      <w:r>
        <w:rPr>
          <w:rFonts w:hint="eastAsia" w:ascii="仿宋_GB2312" w:eastAsia="仿宋_GB2312"/>
          <w:color w:val="auto"/>
          <w:sz w:val="28"/>
          <w:szCs w:val="28"/>
        </w:rPr>
        <w:t>年</w:t>
      </w:r>
      <w:r>
        <w:rPr>
          <w:rFonts w:hint="eastAsia" w:ascii="仿宋_GB2312" w:eastAsia="仿宋_GB2312"/>
          <w:color w:val="auto"/>
          <w:sz w:val="28"/>
          <w:szCs w:val="28"/>
          <w:lang w:val="en-US" w:eastAsia="zh-CN"/>
        </w:rPr>
        <w:t>3</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30</w:t>
      </w:r>
      <w:r>
        <w:rPr>
          <w:rFonts w:hint="eastAsia" w:ascii="仿宋_GB2312" w:eastAsia="仿宋_GB2312"/>
          <w:color w:val="auto"/>
          <w:sz w:val="28"/>
          <w:szCs w:val="28"/>
        </w:rPr>
        <w:t>日</w:t>
      </w:r>
    </w:p>
    <w:sectPr>
      <w:footerReference r:id="rId3" w:type="default"/>
      <w:pgSz w:w="11906" w:h="16838"/>
      <w:pgMar w:top="1474" w:right="1474" w:bottom="1474" w:left="1474"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EA2EA47-A8C9-4B6F-A9EF-1E82E271C79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BDF1507-63A7-4F95-87A5-038CD643F12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3" w:fontKey="{096FC3F3-0E7D-455A-9F4F-B1F5C9F591B6}"/>
  </w:font>
  <w:font w:name="方正小标宋简体">
    <w:panose1 w:val="02000000000000000000"/>
    <w:charset w:val="86"/>
    <w:family w:val="script"/>
    <w:pitch w:val="default"/>
    <w:sig w:usb0="00000001" w:usb1="08000000" w:usb2="00000000" w:usb3="00000000" w:csb0="00040000" w:csb1="00000000"/>
    <w:embedRegular r:id="rId4" w:fontKey="{69413737-946B-45C9-9D6C-13C9C4214403}"/>
  </w:font>
  <w:font w:name="仿宋">
    <w:panose1 w:val="02010609060101010101"/>
    <w:charset w:val="86"/>
    <w:family w:val="modern"/>
    <w:pitch w:val="default"/>
    <w:sig w:usb0="800002BF" w:usb1="38CF7CFA" w:usb2="00000016" w:usb3="00000000" w:csb0="00040001" w:csb1="00000000"/>
    <w:embedRegular r:id="rId5" w:fontKey="{F2D43C57-1D58-4DD3-926D-1216751FA0D5}"/>
  </w:font>
  <w:font w:name="WPSEMBED1">
    <w:panose1 w:val="02010609030101010101"/>
    <w:charset w:val="86"/>
    <w:family w:val="auto"/>
    <w:pitch w:val="default"/>
    <w:sig w:usb0="00000001" w:usb1="080E0000" w:usb2="00000000" w:usb3="00000000" w:csb0="00040000"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 w:name="Segoe UI">
    <w:panose1 w:val="020B0502040204020203"/>
    <w:charset w:val="00"/>
    <w:family w:val="auto"/>
    <w:pitch w:val="default"/>
    <w:sig w:usb0="E4002EFF" w:usb1="C000E47F" w:usb2="00000009" w:usb3="00000000" w:csb0="200001FF" w:csb1="00000000"/>
  </w:font>
  <w:font w:name="@黑体">
    <w:panose1 w:val="02010609060101010101"/>
    <w:charset w:val="86"/>
    <w:family w:val="auto"/>
    <w:pitch w:val="fixed"/>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6AFB0">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3835A740">
                          <w:pPr>
                            <w:pStyle w:val="9"/>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0.35pt;width:4.45pt;mso-position-horizontal:center;mso-position-horizontal-relative:margin;mso-wrap-style:none;z-index:251659264;mso-width-relative:page;mso-height-relative:page;" filled="f" stroked="f" coordsize="21600,21600" o:gfxdata="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yXN5vRAAAAAgEAAA8AAAAAAAAAAQAgAAAAIgAA&#10;AGRycy9kb3ducmV2LnhtbFBLAQIUABQAAAAIAIdO4kAdICOU1gEAAKADAAAOAAAAAAAAAAEAIAAA&#10;ACABAABkcnMvZTJvRG9jLnhtbFBLBQYAAAAABgAGAFkBAABoBQAAAAA=&#10;">
              <v:fill on="f" focussize="0,0"/>
              <v:stroke on="f" weight="0.5pt"/>
              <v:imagedata o:title=""/>
              <o:lock v:ext="edit" aspectratio="f"/>
              <v:textbox inset="0mm,0mm,0mm,0mm" style="mso-fit-shape-to-text:t;">
                <w:txbxContent>
                  <w:p w14:paraId="3835A740">
                    <w:pPr>
                      <w:pStyle w:val="9"/>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F8329"/>
    <w:multiLevelType w:val="multilevel"/>
    <w:tmpl w:val="8DDF8329"/>
    <w:lvl w:ilvl="0" w:tentative="0">
      <w:start w:val="1"/>
      <w:numFmt w:val="decimal"/>
      <w:pStyle w:val="41"/>
      <w:suff w:val="nothing"/>
      <w:lvlText w:val="表%1　"/>
      <w:legacy w:legacy="1" w:legacySpace="0" w:legacyIndent="0"/>
      <w:lvlJc w:val="left"/>
      <w:pPr>
        <w:ind w:left="0" w:firstLine="0"/>
      </w:pPr>
    </w:lvl>
    <w:lvl w:ilvl="1" w:tentative="0">
      <w:start w:val="1"/>
      <w:numFmt w:val="decimal"/>
      <w:lvlText w:val="%1.%2"/>
      <w:legacy w:legacy="1" w:legacySpace="0" w:legacyIndent="567"/>
      <w:lvlJc w:val="left"/>
      <w:pPr>
        <w:ind w:left="992" w:hanging="567"/>
      </w:pPr>
    </w:lvl>
    <w:lvl w:ilvl="2" w:tentative="0">
      <w:start w:val="1"/>
      <w:numFmt w:val="decimal"/>
      <w:lvlText w:val="%1.%2.%3"/>
      <w:legacy w:legacy="1" w:legacySpace="0" w:legacyIndent="567"/>
      <w:lvlJc w:val="left"/>
      <w:pPr>
        <w:ind w:left="1417" w:hanging="567"/>
      </w:pPr>
    </w:lvl>
    <w:lvl w:ilvl="3" w:tentative="0">
      <w:start w:val="1"/>
      <w:numFmt w:val="decimal"/>
      <w:lvlText w:val="%1.%2.%3.%4"/>
      <w:legacy w:legacy="1" w:legacySpace="0" w:legacyIndent="708"/>
      <w:lvlJc w:val="left"/>
      <w:pPr>
        <w:ind w:left="1984" w:hanging="708"/>
      </w:pPr>
    </w:lvl>
    <w:lvl w:ilvl="4" w:tentative="0">
      <w:start w:val="1"/>
      <w:numFmt w:val="decimal"/>
      <w:lvlText w:val="%1.%2.%3.%4.%5"/>
      <w:legacy w:legacy="1" w:legacySpace="0" w:legacyIndent="850"/>
      <w:lvlJc w:val="left"/>
      <w:pPr>
        <w:ind w:left="2551" w:hanging="850"/>
      </w:pPr>
    </w:lvl>
    <w:lvl w:ilvl="5" w:tentative="0">
      <w:start w:val="1"/>
      <w:numFmt w:val="decimal"/>
      <w:lvlText w:val="%1.%2.%3.%4.%5.%6"/>
      <w:legacy w:legacy="1" w:legacySpace="0" w:legacyIndent="1134"/>
      <w:lvlJc w:val="left"/>
      <w:pPr>
        <w:ind w:left="3260" w:hanging="1134"/>
      </w:pPr>
    </w:lvl>
    <w:lvl w:ilvl="6" w:tentative="0">
      <w:start w:val="1"/>
      <w:numFmt w:val="decimal"/>
      <w:lvlText w:val="%1.%2.%3.%4.%5.%6.%7"/>
      <w:legacy w:legacy="1" w:legacySpace="0" w:legacyIndent="1276"/>
      <w:lvlJc w:val="left"/>
      <w:pPr>
        <w:ind w:left="3827" w:hanging="1276"/>
      </w:pPr>
    </w:lvl>
    <w:lvl w:ilvl="7" w:tentative="0">
      <w:start w:val="1"/>
      <w:numFmt w:val="decimal"/>
      <w:lvlText w:val="%1.%2.%3.%4.%5.%6.%7.%8"/>
      <w:legacy w:legacy="1" w:legacySpace="0" w:legacyIndent="1418"/>
      <w:lvlJc w:val="left"/>
      <w:pPr>
        <w:ind w:left="4394" w:hanging="1418"/>
      </w:pPr>
    </w:lvl>
    <w:lvl w:ilvl="8" w:tentative="0">
      <w:start w:val="1"/>
      <w:numFmt w:val="decimal"/>
      <w:lvlText w:val="%1.%2.%3.%4.%5.%6.%7.%8.%9"/>
      <w:legacy w:legacy="1" w:legacySpace="0" w:legacyIndent="1700"/>
      <w:lvlJc w:val="left"/>
      <w:pPr>
        <w:ind w:left="5102" w:hanging="1700"/>
      </w:pPr>
    </w:lvl>
  </w:abstractNum>
  <w:abstractNum w:abstractNumId="1">
    <w:nsid w:val="0FFFFF7E"/>
    <w:multiLevelType w:val="singleLevel"/>
    <w:tmpl w:val="0FFFFF7E"/>
    <w:lvl w:ilvl="0" w:tentative="0">
      <w:start w:val="1"/>
      <w:numFmt w:val="decimal"/>
      <w:lvlText w:val="%1."/>
      <w:lvlJc w:val="left"/>
      <w:pPr>
        <w:tabs>
          <w:tab w:val="left" w:pos="1200"/>
        </w:tabs>
        <w:ind w:left="1200" w:hanging="360"/>
      </w:pPr>
    </w:lvl>
  </w:abstractNum>
  <w:abstractNum w:abstractNumId="2">
    <w:nsid w:val="0FFFFF7F"/>
    <w:multiLevelType w:val="singleLevel"/>
    <w:tmpl w:val="0FFFFF7F"/>
    <w:lvl w:ilvl="0" w:tentative="0">
      <w:start w:val="1"/>
      <w:numFmt w:val="decimal"/>
      <w:lvlText w:val="%1."/>
      <w:lvlJc w:val="left"/>
      <w:pPr>
        <w:tabs>
          <w:tab w:val="left" w:pos="780"/>
        </w:tabs>
        <w:ind w:left="780" w:hanging="360"/>
      </w:pPr>
    </w:lvl>
  </w:abstractNum>
  <w:abstractNum w:abstractNumId="3">
    <w:nsid w:val="2C5917C3"/>
    <w:multiLevelType w:val="multilevel"/>
    <w:tmpl w:val="2C5917C3"/>
    <w:lvl w:ilvl="0" w:tentative="0">
      <w:start w:val="1"/>
      <w:numFmt w:val="none"/>
      <w:pStyle w:val="55"/>
      <w:lvlText w:val="%1——"/>
      <w:lvlJc w:val="left"/>
      <w:pPr>
        <w:tabs>
          <w:tab w:val="left" w:pos="851"/>
        </w:tabs>
        <w:ind w:left="636" w:hanging="426"/>
      </w:pPr>
      <w:rPr>
        <w:rFonts w:hint="eastAsia" w:ascii="宋体" w:hAnsi="Times New Roman" w:eastAsia="宋体"/>
        <w:b w:val="0"/>
        <w:i w:val="0"/>
        <w:sz w:val="21"/>
      </w:rPr>
    </w:lvl>
    <w:lvl w:ilvl="1" w:tentative="0">
      <w:start w:val="1"/>
      <w:numFmt w:val="none"/>
      <w:lvlText w:val=""/>
      <w:lvlJc w:val="left"/>
      <w:pPr>
        <w:ind w:left="636" w:hanging="431"/>
      </w:pPr>
      <w:rPr>
        <w:rFonts w:hint="default" w:ascii="Symbol" w:hAnsi="Symbol"/>
        <w:sz w:val="21"/>
      </w:rPr>
    </w:lvl>
    <w:lvl w:ilvl="2" w:tentative="0">
      <w:start w:val="1"/>
      <w:numFmt w:val="bullet"/>
      <w:lvlText w:val=""/>
      <w:lvlJc w:val="left"/>
      <w:pPr>
        <w:ind w:left="636" w:hanging="426"/>
      </w:pPr>
      <w:rPr>
        <w:rFonts w:hint="default" w:ascii="Wingdings" w:hAnsi="Wingdings"/>
        <w:sz w:val="21"/>
      </w:rPr>
    </w:lvl>
    <w:lvl w:ilvl="3" w:tentative="0">
      <w:start w:val="1"/>
      <w:numFmt w:val="decimal"/>
      <w:lvlText w:val="%4."/>
      <w:lvlJc w:val="left"/>
      <w:pPr>
        <w:tabs>
          <w:tab w:val="left" w:pos="2071"/>
        </w:tabs>
        <w:ind w:left="1669" w:hanging="528"/>
      </w:pPr>
      <w:rPr>
        <w:rFonts w:hint="eastAsia"/>
      </w:rPr>
    </w:lvl>
    <w:lvl w:ilvl="4" w:tentative="0">
      <w:start w:val="1"/>
      <w:numFmt w:val="lowerLetter"/>
      <w:lvlText w:val="%5)"/>
      <w:lvlJc w:val="left"/>
      <w:pPr>
        <w:tabs>
          <w:tab w:val="left" w:pos="2383"/>
        </w:tabs>
        <w:ind w:left="1981" w:hanging="528"/>
      </w:pPr>
      <w:rPr>
        <w:rFonts w:hint="eastAsia"/>
      </w:rPr>
    </w:lvl>
    <w:lvl w:ilvl="5" w:tentative="0">
      <w:start w:val="1"/>
      <w:numFmt w:val="lowerRoman"/>
      <w:lvlText w:val="%6."/>
      <w:lvlJc w:val="right"/>
      <w:pPr>
        <w:tabs>
          <w:tab w:val="left" w:pos="2695"/>
        </w:tabs>
        <w:ind w:left="2293" w:hanging="528"/>
      </w:pPr>
      <w:rPr>
        <w:rFonts w:hint="eastAsia"/>
      </w:rPr>
    </w:lvl>
    <w:lvl w:ilvl="6" w:tentative="0">
      <w:start w:val="1"/>
      <w:numFmt w:val="decimal"/>
      <w:lvlText w:val="%7."/>
      <w:lvlJc w:val="left"/>
      <w:pPr>
        <w:tabs>
          <w:tab w:val="left" w:pos="3007"/>
        </w:tabs>
        <w:ind w:left="2605" w:hanging="528"/>
      </w:pPr>
      <w:rPr>
        <w:rFonts w:hint="eastAsia"/>
      </w:rPr>
    </w:lvl>
    <w:lvl w:ilvl="7" w:tentative="0">
      <w:start w:val="1"/>
      <w:numFmt w:val="lowerLetter"/>
      <w:lvlText w:val="%8)"/>
      <w:lvlJc w:val="left"/>
      <w:pPr>
        <w:tabs>
          <w:tab w:val="left" w:pos="3319"/>
        </w:tabs>
        <w:ind w:left="2917" w:hanging="528"/>
      </w:pPr>
      <w:rPr>
        <w:rFonts w:hint="eastAsia"/>
      </w:rPr>
    </w:lvl>
    <w:lvl w:ilvl="8" w:tentative="0">
      <w:start w:val="1"/>
      <w:numFmt w:val="lowerRoman"/>
      <w:lvlText w:val="%9."/>
      <w:lvlJc w:val="right"/>
      <w:pPr>
        <w:tabs>
          <w:tab w:val="left" w:pos="3631"/>
        </w:tabs>
        <w:ind w:left="3229" w:hanging="528"/>
      </w:pPr>
      <w:rPr>
        <w:rFonts w:hint="eastAsia"/>
      </w:rPr>
    </w:lvl>
  </w:abstractNum>
  <w:abstractNum w:abstractNumId="4">
    <w:nsid w:val="44C50F90"/>
    <w:multiLevelType w:val="multilevel"/>
    <w:tmpl w:val="44C50F90"/>
    <w:lvl w:ilvl="0" w:tentative="0">
      <w:start w:val="1"/>
      <w:numFmt w:val="lowerLetter"/>
      <w:pStyle w:val="50"/>
      <w:lvlText w:val="%1)"/>
      <w:lvlJc w:val="left"/>
      <w:pPr>
        <w:tabs>
          <w:tab w:val="left" w:pos="851"/>
        </w:tabs>
        <w:ind w:left="851" w:hanging="426"/>
      </w:pPr>
      <w:rPr>
        <w:rFonts w:hint="eastAsia" w:ascii="宋体" w:hAnsi="Times New Roman" w:eastAsia="宋体"/>
        <w:sz w:val="21"/>
      </w:rPr>
    </w:lvl>
    <w:lvl w:ilvl="1" w:tentative="0">
      <w:start w:val="1"/>
      <w:numFmt w:val="decimal"/>
      <w:pStyle w:val="48"/>
      <w:lvlText w:val="%2)"/>
      <w:lvlJc w:val="left"/>
      <w:pPr>
        <w:tabs>
          <w:tab w:val="left" w:pos="1276"/>
        </w:tabs>
        <w:ind w:left="1276" w:hanging="425"/>
      </w:pPr>
      <w:rPr>
        <w:rFonts w:hint="eastAsia" w:ascii="宋体" w:hAnsi="Times New Roman" w:eastAsia="宋体"/>
        <w:sz w:val="21"/>
      </w:rPr>
    </w:lvl>
    <w:lvl w:ilvl="2" w:tentative="0">
      <w:start w:val="1"/>
      <w:numFmt w:val="decimal"/>
      <w:pStyle w:val="4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4B6642F5"/>
    <w:multiLevelType w:val="singleLevel"/>
    <w:tmpl w:val="4B6642F5"/>
    <w:lvl w:ilvl="0" w:tentative="0">
      <w:start w:val="1"/>
      <w:numFmt w:val="decimal"/>
      <w:suff w:val="nothing"/>
      <w:lvlText w:val="（%1）"/>
      <w:lvlJc w:val="left"/>
    </w:lvl>
  </w:abstractNum>
  <w:abstractNum w:abstractNumId="6">
    <w:nsid w:val="5A9B6960"/>
    <w:multiLevelType w:val="multilevel"/>
    <w:tmpl w:val="5A9B6960"/>
    <w:lvl w:ilvl="0" w:tentative="0">
      <w:start w:val="1"/>
      <w:numFmt w:val="none"/>
      <w:pStyle w:val="38"/>
      <w:suff w:val="nothing"/>
      <w:lvlText w:val="%1"/>
      <w:legacy w:legacy="1" w:legacySpace="0" w:legacyIndent="0"/>
      <w:lvlJc w:val="left"/>
      <w:pPr>
        <w:ind w:left="0" w:firstLine="0"/>
      </w:pPr>
      <w:rPr>
        <w:rFonts w:hint="eastAsia"/>
      </w:rPr>
    </w:lvl>
    <w:lvl w:ilvl="1" w:tentative="0">
      <w:start w:val="1"/>
      <w:numFmt w:val="decimal"/>
      <w:pStyle w:val="32"/>
      <w:suff w:val="nothing"/>
      <w:lvlText w:val="%1%2　"/>
      <w:legacy w:legacy="1" w:legacySpace="0" w:legacyIndent="0"/>
      <w:lvlJc w:val="left"/>
      <w:pPr>
        <w:ind w:left="0" w:firstLine="0"/>
      </w:pPr>
      <w:rPr>
        <w:rFonts w:hint="eastAsia" w:ascii="黑体" w:hAnsi="黑体" w:eastAsia="黑体"/>
        <w:b w:val="0"/>
        <w:i w:val="0"/>
        <w:sz w:val="21"/>
      </w:rPr>
    </w:lvl>
    <w:lvl w:ilvl="2" w:tentative="0">
      <w:start w:val="1"/>
      <w:numFmt w:val="decimal"/>
      <w:pStyle w:val="34"/>
      <w:suff w:val="nothing"/>
      <w:lvlText w:val="%1%2.%3　"/>
      <w:legacy w:legacy="1" w:legacySpace="0" w:legacyIndent="0"/>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egacy w:legacy="1" w:legacySpace="0" w:legacyIndent="0"/>
      <w:lvlJc w:val="left"/>
      <w:pPr>
        <w:ind w:left="0" w:firstLine="0"/>
      </w:pPr>
      <w:rPr>
        <w:rFonts w:hint="eastAsia" w:ascii="黑体" w:hAnsi="黑体" w:eastAsia="黑体"/>
        <w:b w:val="0"/>
        <w:i w:val="0"/>
        <w:sz w:val="21"/>
      </w:rPr>
    </w:lvl>
    <w:lvl w:ilvl="4" w:tentative="0">
      <w:start w:val="1"/>
      <w:numFmt w:val="decimal"/>
      <w:pStyle w:val="40"/>
      <w:suff w:val="nothing"/>
      <w:lvlText w:val="%1%2.%3.%4.%5　"/>
      <w:legacy w:legacy="1" w:legacySpace="0" w:legacyIndent="0"/>
      <w:lvlJc w:val="left"/>
      <w:pPr>
        <w:ind w:left="0" w:firstLine="0"/>
      </w:pPr>
      <w:rPr>
        <w:rFonts w:hint="eastAsia" w:ascii="黑体" w:hAnsi="黑体" w:eastAsia="黑体"/>
        <w:b w:val="0"/>
        <w:i w:val="0"/>
        <w:sz w:val="21"/>
      </w:rPr>
    </w:lvl>
    <w:lvl w:ilvl="5" w:tentative="0">
      <w:start w:val="1"/>
      <w:numFmt w:val="decimal"/>
      <w:pStyle w:val="39"/>
      <w:suff w:val="nothing"/>
      <w:lvlText w:val="%1%2.%3.%4.%5.%6　"/>
      <w:legacy w:legacy="1" w:legacySpace="0" w:legacyIndent="0"/>
      <w:lvlJc w:val="left"/>
      <w:pPr>
        <w:ind w:left="0" w:firstLine="0"/>
      </w:pPr>
      <w:rPr>
        <w:rFonts w:hint="eastAsia" w:ascii="黑体" w:hAnsi="黑体" w:eastAsia="黑体"/>
        <w:b w:val="0"/>
        <w:i w:val="0"/>
        <w:sz w:val="21"/>
      </w:rPr>
    </w:lvl>
    <w:lvl w:ilvl="6" w:tentative="0">
      <w:start w:val="1"/>
      <w:numFmt w:val="decimal"/>
      <w:pStyle w:val="37"/>
      <w:suff w:val="nothing"/>
      <w:lvlText w:val="%1%2.%3.%4.%5.%6.%7　"/>
      <w:legacy w:legacy="1" w:legacySpace="0" w:legacyIndent="0"/>
      <w:lvlJc w:val="left"/>
      <w:pPr>
        <w:ind w:left="0" w:firstLine="0"/>
      </w:pPr>
      <w:rPr>
        <w:rFonts w:hint="eastAsia" w:ascii="黑体" w:hAnsi="黑体" w:eastAsia="黑体"/>
        <w:b w:val="0"/>
        <w:i w:val="0"/>
        <w:sz w:val="21"/>
      </w:rPr>
    </w:lvl>
    <w:lvl w:ilvl="7" w:tentative="0">
      <w:start w:val="1"/>
      <w:numFmt w:val="decimal"/>
      <w:lvlText w:val="%1.%2.%3.%4.%5.%6.%7.%8"/>
      <w:legacy w:legacy="1" w:legacySpace="0" w:legacyIndent="1418"/>
      <w:lvlJc w:val="left"/>
      <w:pPr>
        <w:ind w:left="3969" w:hanging="1418"/>
      </w:pPr>
      <w:rPr>
        <w:rFonts w:hint="eastAsia"/>
      </w:rPr>
    </w:lvl>
    <w:lvl w:ilvl="8" w:tentative="0">
      <w:start w:val="1"/>
      <w:numFmt w:val="decimal"/>
      <w:lvlText w:val="%1.%2.%3.%4.%5.%6.%7.%8.%9"/>
      <w:legacy w:legacy="1" w:legacySpace="0" w:legacyIndent="1700"/>
      <w:lvlJc w:val="left"/>
      <w:pPr>
        <w:ind w:left="4677" w:hanging="1700"/>
      </w:pPr>
      <w:rPr>
        <w:rFonts w:hint="eastAsia"/>
      </w:rPr>
    </w:lvl>
  </w:abstractNum>
  <w:num w:numId="1">
    <w:abstractNumId w:val="6"/>
  </w:num>
  <w:num w:numId="2">
    <w:abstractNumId w:val="0"/>
  </w:num>
  <w:num w:numId="3">
    <w:abstractNumId w:val="2"/>
  </w:num>
  <w:num w:numId="4">
    <w:abstractNumId w:val="1"/>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0OWNhMGUyYzc2MTI5ZWY2NzM4MTVkMDAwODg0YzMifQ=="/>
  </w:docVars>
  <w:rsids>
    <w:rsidRoot w:val="000D75AA"/>
    <w:rsid w:val="000068A2"/>
    <w:rsid w:val="00014983"/>
    <w:rsid w:val="000178C8"/>
    <w:rsid w:val="00055442"/>
    <w:rsid w:val="00072103"/>
    <w:rsid w:val="00075653"/>
    <w:rsid w:val="00082613"/>
    <w:rsid w:val="000C517B"/>
    <w:rsid w:val="000E53EA"/>
    <w:rsid w:val="001133E6"/>
    <w:rsid w:val="001655CC"/>
    <w:rsid w:val="0018012C"/>
    <w:rsid w:val="001821C9"/>
    <w:rsid w:val="001A7570"/>
    <w:rsid w:val="001D3156"/>
    <w:rsid w:val="001E2D73"/>
    <w:rsid w:val="0020127F"/>
    <w:rsid w:val="00205352"/>
    <w:rsid w:val="002210B4"/>
    <w:rsid w:val="0022236C"/>
    <w:rsid w:val="002324B6"/>
    <w:rsid w:val="00234F7D"/>
    <w:rsid w:val="00236909"/>
    <w:rsid w:val="00236EB4"/>
    <w:rsid w:val="00241F8A"/>
    <w:rsid w:val="00281F39"/>
    <w:rsid w:val="0028500C"/>
    <w:rsid w:val="002879F6"/>
    <w:rsid w:val="00292F73"/>
    <w:rsid w:val="0029554A"/>
    <w:rsid w:val="002A3479"/>
    <w:rsid w:val="002B7C92"/>
    <w:rsid w:val="002E357A"/>
    <w:rsid w:val="00321E92"/>
    <w:rsid w:val="003259AF"/>
    <w:rsid w:val="003332BA"/>
    <w:rsid w:val="00340D9B"/>
    <w:rsid w:val="003517E7"/>
    <w:rsid w:val="00372E66"/>
    <w:rsid w:val="00375933"/>
    <w:rsid w:val="00382E35"/>
    <w:rsid w:val="00396F2C"/>
    <w:rsid w:val="003D485E"/>
    <w:rsid w:val="00426DC5"/>
    <w:rsid w:val="004373E9"/>
    <w:rsid w:val="0044036C"/>
    <w:rsid w:val="0044065E"/>
    <w:rsid w:val="004805DB"/>
    <w:rsid w:val="0048511D"/>
    <w:rsid w:val="004A75FF"/>
    <w:rsid w:val="004B4D68"/>
    <w:rsid w:val="004F29B4"/>
    <w:rsid w:val="00515B82"/>
    <w:rsid w:val="0051755E"/>
    <w:rsid w:val="00533B2A"/>
    <w:rsid w:val="00554B7D"/>
    <w:rsid w:val="00564A0C"/>
    <w:rsid w:val="005E3C13"/>
    <w:rsid w:val="005E7B33"/>
    <w:rsid w:val="005F1668"/>
    <w:rsid w:val="005F2FD2"/>
    <w:rsid w:val="005F4961"/>
    <w:rsid w:val="00617B08"/>
    <w:rsid w:val="00627AB4"/>
    <w:rsid w:val="006335ED"/>
    <w:rsid w:val="006343EC"/>
    <w:rsid w:val="0063539D"/>
    <w:rsid w:val="00637F53"/>
    <w:rsid w:val="006511A8"/>
    <w:rsid w:val="0067378F"/>
    <w:rsid w:val="00691000"/>
    <w:rsid w:val="006B0BA0"/>
    <w:rsid w:val="006B12C0"/>
    <w:rsid w:val="00714DDE"/>
    <w:rsid w:val="0074491A"/>
    <w:rsid w:val="007557E4"/>
    <w:rsid w:val="00756356"/>
    <w:rsid w:val="00774434"/>
    <w:rsid w:val="007756AB"/>
    <w:rsid w:val="00781D6C"/>
    <w:rsid w:val="007A149B"/>
    <w:rsid w:val="007C244C"/>
    <w:rsid w:val="00801A7F"/>
    <w:rsid w:val="00814260"/>
    <w:rsid w:val="008247C4"/>
    <w:rsid w:val="00826BFA"/>
    <w:rsid w:val="00853F5C"/>
    <w:rsid w:val="00874BB5"/>
    <w:rsid w:val="008779C2"/>
    <w:rsid w:val="00887632"/>
    <w:rsid w:val="00895F4A"/>
    <w:rsid w:val="008973E6"/>
    <w:rsid w:val="008B6B5F"/>
    <w:rsid w:val="008E1EB5"/>
    <w:rsid w:val="00926E1B"/>
    <w:rsid w:val="00932BA3"/>
    <w:rsid w:val="00947EBA"/>
    <w:rsid w:val="009718CC"/>
    <w:rsid w:val="009A4141"/>
    <w:rsid w:val="009E3161"/>
    <w:rsid w:val="00A16A3E"/>
    <w:rsid w:val="00A263D3"/>
    <w:rsid w:val="00A365A2"/>
    <w:rsid w:val="00A37FDF"/>
    <w:rsid w:val="00A42C5E"/>
    <w:rsid w:val="00A75476"/>
    <w:rsid w:val="00A87F41"/>
    <w:rsid w:val="00AC57C3"/>
    <w:rsid w:val="00AD0172"/>
    <w:rsid w:val="00B07A8A"/>
    <w:rsid w:val="00B66676"/>
    <w:rsid w:val="00B73416"/>
    <w:rsid w:val="00B77477"/>
    <w:rsid w:val="00B94EFE"/>
    <w:rsid w:val="00B954B8"/>
    <w:rsid w:val="00BA570D"/>
    <w:rsid w:val="00BB6932"/>
    <w:rsid w:val="00BB7B52"/>
    <w:rsid w:val="00BD2990"/>
    <w:rsid w:val="00C07069"/>
    <w:rsid w:val="00C123EE"/>
    <w:rsid w:val="00C13CB6"/>
    <w:rsid w:val="00C20386"/>
    <w:rsid w:val="00CC71EF"/>
    <w:rsid w:val="00CE7CD2"/>
    <w:rsid w:val="00D0457A"/>
    <w:rsid w:val="00D35977"/>
    <w:rsid w:val="00D43F5A"/>
    <w:rsid w:val="00D87F07"/>
    <w:rsid w:val="00D9142A"/>
    <w:rsid w:val="00D9735E"/>
    <w:rsid w:val="00DB7F6F"/>
    <w:rsid w:val="00DF4FB8"/>
    <w:rsid w:val="00E27034"/>
    <w:rsid w:val="00E32D4B"/>
    <w:rsid w:val="00E41116"/>
    <w:rsid w:val="00E414EF"/>
    <w:rsid w:val="00E455A5"/>
    <w:rsid w:val="00E835A1"/>
    <w:rsid w:val="00E83E2D"/>
    <w:rsid w:val="00ED41E5"/>
    <w:rsid w:val="00EE332B"/>
    <w:rsid w:val="00EF4610"/>
    <w:rsid w:val="00EF6CB2"/>
    <w:rsid w:val="00F01A5C"/>
    <w:rsid w:val="00F40513"/>
    <w:rsid w:val="00F424A9"/>
    <w:rsid w:val="00F5729F"/>
    <w:rsid w:val="00F65587"/>
    <w:rsid w:val="00F77E06"/>
    <w:rsid w:val="00F9021F"/>
    <w:rsid w:val="00FA7D60"/>
    <w:rsid w:val="00FB260A"/>
    <w:rsid w:val="00FC7CE6"/>
    <w:rsid w:val="00FD6497"/>
    <w:rsid w:val="00FF2EC3"/>
    <w:rsid w:val="012A4E2C"/>
    <w:rsid w:val="02DC2156"/>
    <w:rsid w:val="03CC3F79"/>
    <w:rsid w:val="0462502C"/>
    <w:rsid w:val="05CD222A"/>
    <w:rsid w:val="06084616"/>
    <w:rsid w:val="06553B6D"/>
    <w:rsid w:val="06A9292B"/>
    <w:rsid w:val="082E6C88"/>
    <w:rsid w:val="08EF7A39"/>
    <w:rsid w:val="0A5844F0"/>
    <w:rsid w:val="0C364870"/>
    <w:rsid w:val="0CCE2B10"/>
    <w:rsid w:val="0EB92622"/>
    <w:rsid w:val="0EE41D10"/>
    <w:rsid w:val="11386E78"/>
    <w:rsid w:val="11B73ED3"/>
    <w:rsid w:val="11DF729D"/>
    <w:rsid w:val="12277661"/>
    <w:rsid w:val="133D4C82"/>
    <w:rsid w:val="13D12EE6"/>
    <w:rsid w:val="13EE1CEA"/>
    <w:rsid w:val="13F37300"/>
    <w:rsid w:val="15DB43B3"/>
    <w:rsid w:val="174D6D27"/>
    <w:rsid w:val="18CE5C46"/>
    <w:rsid w:val="1A2A2D28"/>
    <w:rsid w:val="1A611AD4"/>
    <w:rsid w:val="1B43291B"/>
    <w:rsid w:val="1B440441"/>
    <w:rsid w:val="1B7C1227"/>
    <w:rsid w:val="1B9C64CF"/>
    <w:rsid w:val="1C080FDB"/>
    <w:rsid w:val="1D7F38C8"/>
    <w:rsid w:val="1E4A1472"/>
    <w:rsid w:val="1E6C7E3E"/>
    <w:rsid w:val="1E85324A"/>
    <w:rsid w:val="20346CD6"/>
    <w:rsid w:val="206E043A"/>
    <w:rsid w:val="21B36690"/>
    <w:rsid w:val="21B75E11"/>
    <w:rsid w:val="2443573A"/>
    <w:rsid w:val="25496D80"/>
    <w:rsid w:val="27095D8A"/>
    <w:rsid w:val="273250B0"/>
    <w:rsid w:val="27750300"/>
    <w:rsid w:val="277B51EB"/>
    <w:rsid w:val="279E6744"/>
    <w:rsid w:val="2AB253C7"/>
    <w:rsid w:val="2BAD2B02"/>
    <w:rsid w:val="2C6C6F3C"/>
    <w:rsid w:val="2E0C3040"/>
    <w:rsid w:val="2E40384E"/>
    <w:rsid w:val="2E826991"/>
    <w:rsid w:val="2F083808"/>
    <w:rsid w:val="2F0B058C"/>
    <w:rsid w:val="2F7C5FA4"/>
    <w:rsid w:val="2FDD0EDC"/>
    <w:rsid w:val="31A33CBC"/>
    <w:rsid w:val="32F32A21"/>
    <w:rsid w:val="34337579"/>
    <w:rsid w:val="344833B2"/>
    <w:rsid w:val="34E4210D"/>
    <w:rsid w:val="35146A33"/>
    <w:rsid w:val="365D5864"/>
    <w:rsid w:val="38BB2A8E"/>
    <w:rsid w:val="39CD7B28"/>
    <w:rsid w:val="3D6C58AA"/>
    <w:rsid w:val="3E6639DC"/>
    <w:rsid w:val="3FC7172D"/>
    <w:rsid w:val="403F2E01"/>
    <w:rsid w:val="406246C5"/>
    <w:rsid w:val="41DB45A6"/>
    <w:rsid w:val="431A1904"/>
    <w:rsid w:val="442944F4"/>
    <w:rsid w:val="45413951"/>
    <w:rsid w:val="454F3408"/>
    <w:rsid w:val="46E47FFF"/>
    <w:rsid w:val="4779601E"/>
    <w:rsid w:val="493E1AE1"/>
    <w:rsid w:val="4B2238EC"/>
    <w:rsid w:val="4C6C7CEB"/>
    <w:rsid w:val="4DDD59C1"/>
    <w:rsid w:val="50370ABF"/>
    <w:rsid w:val="51A650B5"/>
    <w:rsid w:val="51FB0B52"/>
    <w:rsid w:val="52845057"/>
    <w:rsid w:val="531F075A"/>
    <w:rsid w:val="53F87A3F"/>
    <w:rsid w:val="56DA342C"/>
    <w:rsid w:val="574202FF"/>
    <w:rsid w:val="578D63FB"/>
    <w:rsid w:val="57A01936"/>
    <w:rsid w:val="57A57FD6"/>
    <w:rsid w:val="57F01F2D"/>
    <w:rsid w:val="57FC3A9C"/>
    <w:rsid w:val="58D367F3"/>
    <w:rsid w:val="592B4413"/>
    <w:rsid w:val="592C1295"/>
    <w:rsid w:val="59DD74BB"/>
    <w:rsid w:val="5A8C449C"/>
    <w:rsid w:val="5B182905"/>
    <w:rsid w:val="5B571FFB"/>
    <w:rsid w:val="5BD06662"/>
    <w:rsid w:val="5BFB00CD"/>
    <w:rsid w:val="5C452F47"/>
    <w:rsid w:val="5D086F45"/>
    <w:rsid w:val="5D4D6706"/>
    <w:rsid w:val="5E08087F"/>
    <w:rsid w:val="60252B89"/>
    <w:rsid w:val="616C2448"/>
    <w:rsid w:val="63057E95"/>
    <w:rsid w:val="63DF2082"/>
    <w:rsid w:val="65071890"/>
    <w:rsid w:val="65361052"/>
    <w:rsid w:val="654A16B4"/>
    <w:rsid w:val="660F1D12"/>
    <w:rsid w:val="66A21530"/>
    <w:rsid w:val="67277FC8"/>
    <w:rsid w:val="677C2407"/>
    <w:rsid w:val="67C27CF0"/>
    <w:rsid w:val="68C47A98"/>
    <w:rsid w:val="68C53F3C"/>
    <w:rsid w:val="6AB2229E"/>
    <w:rsid w:val="6CC80E6D"/>
    <w:rsid w:val="6F5B5CF2"/>
    <w:rsid w:val="703C4AC7"/>
    <w:rsid w:val="710B6BAC"/>
    <w:rsid w:val="71525B1E"/>
    <w:rsid w:val="716444DA"/>
    <w:rsid w:val="71CC633B"/>
    <w:rsid w:val="71F238C8"/>
    <w:rsid w:val="738A5B9F"/>
    <w:rsid w:val="741F6AAA"/>
    <w:rsid w:val="74A0585D"/>
    <w:rsid w:val="74FA31C0"/>
    <w:rsid w:val="754A5489"/>
    <w:rsid w:val="763864CA"/>
    <w:rsid w:val="764D461B"/>
    <w:rsid w:val="77A7157C"/>
    <w:rsid w:val="77D048EE"/>
    <w:rsid w:val="78B143BF"/>
    <w:rsid w:val="7A035425"/>
    <w:rsid w:val="7AB465B7"/>
    <w:rsid w:val="7B215011"/>
    <w:rsid w:val="7B906520"/>
    <w:rsid w:val="7CB63E70"/>
    <w:rsid w:val="7D221505"/>
    <w:rsid w:val="7E2B6198"/>
    <w:rsid w:val="7EF26A8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nhideWhenUsed="0"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4"/>
      <w:lang w:val="en-US" w:eastAsia="zh-CN" w:bidi="ar-SA"/>
    </w:rPr>
  </w:style>
  <w:style w:type="paragraph" w:styleId="2">
    <w:name w:val="heading 1"/>
    <w:basedOn w:val="1"/>
    <w:next w:val="1"/>
    <w:autoRedefine/>
    <w:qFormat/>
    <w:uiPriority w:val="0"/>
    <w:pPr>
      <w:keepNext/>
      <w:keepLines/>
      <w:widowControl w:val="0"/>
      <w:spacing w:before="340" w:after="330" w:line="578" w:lineRule="auto"/>
      <w:outlineLvl w:val="0"/>
    </w:pPr>
    <w:rPr>
      <w:b/>
      <w:bCs/>
      <w:kern w:val="44"/>
      <w:sz w:val="44"/>
    </w:rPr>
  </w:style>
  <w:style w:type="paragraph" w:styleId="3">
    <w:name w:val="heading 2"/>
    <w:basedOn w:val="1"/>
    <w:next w:val="1"/>
    <w:qFormat/>
    <w:uiPriority w:val="0"/>
    <w:pPr>
      <w:keepNext/>
      <w:keepLines/>
      <w:widowControl w:val="0"/>
      <w:spacing w:before="260" w:after="260" w:line="415" w:lineRule="auto"/>
      <w:outlineLvl w:val="1"/>
    </w:pPr>
    <w:rPr>
      <w:rFonts w:ascii="Times New Roman" w:hAnsi="Times New Roman" w:eastAsia="黑体"/>
      <w:b/>
      <w:sz w:val="32"/>
    </w:rPr>
  </w:style>
  <w:style w:type="paragraph" w:styleId="4">
    <w:name w:val="heading 3"/>
    <w:basedOn w:val="1"/>
    <w:next w:val="1"/>
    <w:autoRedefine/>
    <w:qFormat/>
    <w:uiPriority w:val="0"/>
    <w:pPr>
      <w:keepNext/>
      <w:keepLines/>
      <w:widowControl w:val="0"/>
      <w:spacing w:before="260" w:after="260" w:line="415" w:lineRule="auto"/>
      <w:outlineLvl w:val="2"/>
    </w:pPr>
    <w:rPr>
      <w:b/>
      <w:sz w:val="32"/>
    </w:rPr>
  </w:style>
  <w:style w:type="paragraph" w:styleId="5">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7"/>
    <w:basedOn w:val="1"/>
    <w:next w:val="1"/>
    <w:link w:val="24"/>
    <w:autoRedefine/>
    <w:qFormat/>
    <w:uiPriority w:val="9"/>
    <w:pPr>
      <w:keepNext/>
      <w:keepLines/>
      <w:spacing w:before="240" w:after="64" w:line="320" w:lineRule="auto"/>
      <w:outlineLvl w:val="6"/>
    </w:pPr>
    <w:rPr>
      <w:b/>
      <w:bCs/>
      <w:sz w:val="24"/>
    </w:rPr>
  </w:style>
  <w:style w:type="character" w:default="1" w:styleId="16">
    <w:name w:val="Default Paragraph Font"/>
    <w:autoRedefine/>
    <w:qFormat/>
    <w:uiPriority w:val="0"/>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7">
    <w:name w:val="annotation text"/>
    <w:basedOn w:val="1"/>
    <w:link w:val="25"/>
    <w:autoRedefine/>
    <w:unhideWhenUsed/>
    <w:qFormat/>
    <w:uiPriority w:val="99"/>
    <w:pPr>
      <w:adjustRightInd w:val="0"/>
      <w:spacing w:line="400" w:lineRule="exact"/>
      <w:jc w:val="left"/>
    </w:pPr>
    <w:rPr>
      <w:rFonts w:ascii="Calibri" w:hAnsi="Calibri"/>
      <w:szCs w:val="21"/>
    </w:rPr>
  </w:style>
  <w:style w:type="paragraph" w:styleId="8">
    <w:name w:val="Balloon Text"/>
    <w:basedOn w:val="1"/>
    <w:link w:val="26"/>
    <w:autoRedefine/>
    <w:unhideWhenUsed/>
    <w:qFormat/>
    <w:uiPriority w:val="99"/>
    <w:rPr>
      <w:sz w:val="18"/>
      <w:szCs w:val="18"/>
    </w:rPr>
  </w:style>
  <w:style w:type="paragraph" w:styleId="9">
    <w:name w:val="footer"/>
    <w:basedOn w:val="1"/>
    <w:link w:val="27"/>
    <w:autoRedefine/>
    <w:qFormat/>
    <w:uiPriority w:val="99"/>
    <w:pPr>
      <w:tabs>
        <w:tab w:val="center" w:pos="4153"/>
        <w:tab w:val="right" w:pos="8306"/>
      </w:tabs>
      <w:snapToGrid w:val="0"/>
      <w:jc w:val="left"/>
    </w:pPr>
    <w:rPr>
      <w:sz w:val="18"/>
      <w:szCs w:val="18"/>
    </w:rPr>
  </w:style>
  <w:style w:type="paragraph" w:styleId="10">
    <w:name w:val="envelope return"/>
    <w:basedOn w:val="1"/>
    <w:autoRedefine/>
    <w:qFormat/>
    <w:uiPriority w:val="0"/>
    <w:pPr>
      <w:snapToGrid w:val="0"/>
    </w:pPr>
    <w:rPr>
      <w:rFonts w:ascii="Times New Roman" w:hAnsi="Times New Roman"/>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toc 4"/>
    <w:basedOn w:val="1"/>
    <w:next w:val="1"/>
    <w:autoRedefine/>
    <w:unhideWhenUsed/>
    <w:qFormat/>
    <w:uiPriority w:val="39"/>
    <w:pPr>
      <w:tabs>
        <w:tab w:val="right" w:leader="dot" w:pos="9344"/>
      </w:tabs>
      <w:adjustRightInd w:val="0"/>
      <w:spacing w:line="300" w:lineRule="exact"/>
      <w:ind w:left="629"/>
    </w:pPr>
    <w:rPr>
      <w:rFonts w:ascii="宋体" w:hAnsi="Calibri"/>
      <w:szCs w:val="21"/>
    </w:rPr>
  </w:style>
  <w:style w:type="paragraph" w:styleId="13">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15">
    <w:name w:val="Table Grid"/>
    <w:basedOn w:val="14"/>
    <w:autoRedefine/>
    <w:qFormat/>
    <w:uiPriority w:val="3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7">
    <w:name w:val="Strong"/>
    <w:basedOn w:val="16"/>
    <w:autoRedefine/>
    <w:qFormat/>
    <w:uiPriority w:val="22"/>
    <w:rPr>
      <w:b/>
    </w:rPr>
  </w:style>
  <w:style w:type="character" w:styleId="18">
    <w:name w:val="line number"/>
    <w:autoRedefine/>
    <w:qFormat/>
    <w:uiPriority w:val="0"/>
  </w:style>
  <w:style w:type="character" w:styleId="19">
    <w:name w:val="Hyperlink"/>
    <w:autoRedefine/>
    <w:qFormat/>
    <w:uiPriority w:val="0"/>
    <w:rPr>
      <w:rFonts w:ascii="宋体" w:eastAsia="宋体"/>
      <w:color w:val="auto"/>
      <w:spacing w:val="0"/>
      <w:w w:val="100"/>
      <w:position w:val="0"/>
      <w:sz w:val="21"/>
      <w:u w:val="none"/>
      <w:vertAlign w:val="baseline"/>
    </w:rPr>
  </w:style>
  <w:style w:type="character" w:styleId="20">
    <w:name w:val="annotation reference"/>
    <w:autoRedefine/>
    <w:qFormat/>
    <w:uiPriority w:val="99"/>
    <w:rPr>
      <w:sz w:val="21"/>
    </w:rPr>
  </w:style>
  <w:style w:type="character" w:styleId="21">
    <w:name w:val="footnote reference"/>
    <w:autoRedefine/>
    <w:qFormat/>
    <w:uiPriority w:val="0"/>
    <w:rPr>
      <w:vertAlign w:val="superscript"/>
    </w:rPr>
  </w:style>
  <w:style w:type="paragraph" w:customStyle="1" w:styleId="22">
    <w:name w:val="BodyText2"/>
    <w:basedOn w:val="1"/>
    <w:autoRedefine/>
    <w:qFormat/>
    <w:uiPriority w:val="0"/>
    <w:pPr>
      <w:spacing w:after="120" w:line="480" w:lineRule="auto"/>
      <w:textAlignment w:val="baseline"/>
    </w:pPr>
    <w:rPr>
      <w:rFonts w:ascii="Calibri" w:hAnsi="Calibri" w:eastAsia="宋体" w:cs="Times New Roman"/>
      <w:sz w:val="32"/>
      <w:szCs w:val="32"/>
      <w:lang w:bidi="ar-SA"/>
    </w:rPr>
  </w:style>
  <w:style w:type="paragraph" w:customStyle="1" w:styleId="23">
    <w:name w:val="正文-公1"/>
    <w:autoRedefine/>
    <w:qFormat/>
    <w:uiPriority w:val="99"/>
    <w:pPr>
      <w:widowControl w:val="0"/>
      <w:suppressAutoHyphens/>
      <w:jc w:val="both"/>
    </w:pPr>
    <w:rPr>
      <w:rFonts w:ascii="Calibri" w:hAnsi="Calibri" w:eastAsia="宋体" w:cs="Times New Roman"/>
      <w:kern w:val="2"/>
      <w:sz w:val="21"/>
      <w:szCs w:val="24"/>
      <w:lang w:val="en-US" w:eastAsia="zh-CN" w:bidi="ar-SA"/>
    </w:rPr>
  </w:style>
  <w:style w:type="character" w:customStyle="1" w:styleId="24">
    <w:name w:val="标题 7 字符"/>
    <w:link w:val="6"/>
    <w:autoRedefine/>
    <w:qFormat/>
    <w:uiPriority w:val="0"/>
    <w:rPr>
      <w:rFonts w:eastAsia="宋体"/>
      <w:b/>
      <w:bCs/>
      <w:kern w:val="2"/>
      <w:sz w:val="24"/>
      <w:szCs w:val="24"/>
    </w:rPr>
  </w:style>
  <w:style w:type="character" w:customStyle="1" w:styleId="25">
    <w:name w:val="批注文字 字符"/>
    <w:link w:val="7"/>
    <w:autoRedefine/>
    <w:semiHidden/>
    <w:qFormat/>
    <w:uiPriority w:val="99"/>
    <w:rPr>
      <w:rFonts w:ascii="Calibri" w:hAnsi="Calibri" w:eastAsia="宋体"/>
      <w:kern w:val="2"/>
      <w:sz w:val="21"/>
      <w:szCs w:val="21"/>
    </w:rPr>
  </w:style>
  <w:style w:type="character" w:customStyle="1" w:styleId="26">
    <w:name w:val="批注框文本 字符"/>
    <w:link w:val="8"/>
    <w:autoRedefine/>
    <w:semiHidden/>
    <w:qFormat/>
    <w:uiPriority w:val="99"/>
    <w:rPr>
      <w:rFonts w:eastAsia="宋体"/>
      <w:kern w:val="2"/>
      <w:sz w:val="18"/>
      <w:szCs w:val="18"/>
    </w:rPr>
  </w:style>
  <w:style w:type="character" w:customStyle="1" w:styleId="27">
    <w:name w:val="页脚 字符"/>
    <w:link w:val="9"/>
    <w:autoRedefine/>
    <w:qFormat/>
    <w:locked/>
    <w:uiPriority w:val="99"/>
    <w:rPr>
      <w:rFonts w:eastAsia="宋体"/>
      <w:kern w:val="2"/>
      <w:sz w:val="18"/>
      <w:szCs w:val="18"/>
    </w:rPr>
  </w:style>
  <w:style w:type="paragraph" w:customStyle="1" w:styleId="28">
    <w:name w:val="其他标准称谓"/>
    <w:autoRedefine/>
    <w:qFormat/>
    <w:uiPriority w:val="0"/>
    <w:pPr>
      <w:spacing w:line="0" w:lineRule="atLeast"/>
      <w:jc w:val="distribute"/>
    </w:pPr>
    <w:rPr>
      <w:rFonts w:ascii="黑体" w:hAnsi="Calibri" w:eastAsia="黑体" w:cs="Calibri"/>
      <w:sz w:val="52"/>
      <w:lang w:val="en-US" w:eastAsia="zh-CN" w:bidi="ar-SA"/>
    </w:rPr>
  </w:style>
  <w:style w:type="paragraph" w:customStyle="1" w:styleId="29">
    <w:name w:val="封面标准号1"/>
    <w:autoRedefine/>
    <w:qFormat/>
    <w:uiPriority w:val="0"/>
    <w:pPr>
      <w:widowControl w:val="0"/>
      <w:kinsoku w:val="0"/>
      <w:overflowPunct w:val="0"/>
      <w:autoSpaceDE w:val="0"/>
      <w:autoSpaceDN w:val="0"/>
      <w:spacing w:before="308"/>
      <w:jc w:val="right"/>
      <w:textAlignment w:val="center"/>
    </w:pPr>
    <w:rPr>
      <w:rFonts w:ascii="Calibri" w:hAnsi="Calibri" w:eastAsia="宋体" w:cs="Calibri"/>
      <w:sz w:val="28"/>
      <w:lang w:val="en-US" w:eastAsia="zh-CN" w:bidi="ar-SA"/>
    </w:rPr>
  </w:style>
  <w:style w:type="paragraph" w:customStyle="1" w:styleId="30">
    <w:name w:val="标准文件_段"/>
    <w:link w:val="31"/>
    <w:autoRedefine/>
    <w:qFormat/>
    <w:uiPriority w:val="0"/>
    <w:pPr>
      <w:autoSpaceDE w:val="0"/>
      <w:autoSpaceDN w:val="0"/>
      <w:ind w:firstLine="200" w:firstLineChars="200"/>
      <w:jc w:val="both"/>
    </w:pPr>
    <w:rPr>
      <w:rFonts w:ascii="宋体" w:hAnsi="Calibri" w:eastAsia="宋体" w:cs="Calibri"/>
      <w:sz w:val="21"/>
      <w:lang w:val="en-US" w:eastAsia="zh-CN" w:bidi="ar-SA"/>
    </w:rPr>
  </w:style>
  <w:style w:type="character" w:customStyle="1" w:styleId="31">
    <w:name w:val="标准文件_段 Char"/>
    <w:link w:val="30"/>
    <w:autoRedefine/>
    <w:qFormat/>
    <w:uiPriority w:val="0"/>
    <w:rPr>
      <w:rFonts w:ascii="宋体" w:eastAsia="宋体"/>
      <w:sz w:val="21"/>
    </w:rPr>
  </w:style>
  <w:style w:type="paragraph" w:customStyle="1" w:styleId="32">
    <w:name w:val="标准文件_章标题"/>
    <w:next w:val="30"/>
    <w:autoRedefine/>
    <w:qFormat/>
    <w:uiPriority w:val="0"/>
    <w:pPr>
      <w:numPr>
        <w:ilvl w:val="1"/>
        <w:numId w:val="1"/>
      </w:numPr>
      <w:spacing w:before="100" w:beforeLines="100" w:after="100" w:afterLines="100"/>
      <w:jc w:val="both"/>
      <w:outlineLvl w:val="0"/>
    </w:pPr>
    <w:rPr>
      <w:rFonts w:ascii="黑体" w:hAnsi="Calibri" w:eastAsia="黑体" w:cs="Calibri"/>
      <w:sz w:val="21"/>
      <w:lang w:val="en-US" w:eastAsia="zh-CN" w:bidi="ar-SA"/>
    </w:rPr>
  </w:style>
  <w:style w:type="paragraph" w:customStyle="1" w:styleId="33">
    <w:name w:val="标准文件_二级条标题"/>
    <w:next w:val="30"/>
    <w:autoRedefine/>
    <w:qFormat/>
    <w:uiPriority w:val="0"/>
    <w:pPr>
      <w:widowControl w:val="0"/>
      <w:spacing w:before="50" w:beforeLines="50" w:after="50" w:afterLines="50"/>
      <w:jc w:val="both"/>
      <w:outlineLvl w:val="2"/>
    </w:pPr>
    <w:rPr>
      <w:rFonts w:ascii="黑体" w:hAnsi="Calibri" w:eastAsia="黑体" w:cs="Calibri"/>
      <w:sz w:val="21"/>
      <w:lang w:val="en-US" w:eastAsia="zh-CN" w:bidi="ar-SA"/>
    </w:rPr>
  </w:style>
  <w:style w:type="paragraph" w:customStyle="1" w:styleId="34">
    <w:name w:val="标准文件_一级条标题"/>
    <w:basedOn w:val="32"/>
    <w:next w:val="30"/>
    <w:autoRedefine/>
    <w:qFormat/>
    <w:uiPriority w:val="0"/>
    <w:pPr>
      <w:numPr>
        <w:ilvl w:val="2"/>
        <w:numId w:val="1"/>
      </w:numPr>
      <w:spacing w:before="50" w:beforeLines="0" w:after="50" w:afterLines="0"/>
      <w:outlineLvl w:val="1"/>
    </w:pPr>
  </w:style>
  <w:style w:type="paragraph" w:customStyle="1" w:styleId="35">
    <w:name w:val="标准文件_三级条标题"/>
    <w:basedOn w:val="33"/>
    <w:next w:val="30"/>
    <w:autoRedefine/>
    <w:qFormat/>
    <w:uiPriority w:val="0"/>
    <w:pPr>
      <w:numPr>
        <w:ilvl w:val="4"/>
        <w:numId w:val="1"/>
      </w:numPr>
      <w:spacing w:before="50" w:beforeLines="50" w:after="50" w:afterLines="50"/>
      <w:jc w:val="both"/>
      <w:outlineLvl w:val="3"/>
    </w:pPr>
    <w:rPr>
      <w:rFonts w:ascii="黑体" w:eastAsia="黑体"/>
      <w:sz w:val="21"/>
      <w:lang w:val="en-US" w:eastAsia="zh-CN" w:bidi="ar-SA"/>
    </w:rPr>
  </w:style>
  <w:style w:type="paragraph" w:customStyle="1" w:styleId="36">
    <w:name w:val="标准文件_四级条标题"/>
    <w:next w:val="30"/>
    <w:autoRedefine/>
    <w:qFormat/>
    <w:uiPriority w:val="0"/>
    <w:pPr>
      <w:widowControl w:val="0"/>
      <w:numPr>
        <w:ilvl w:val="5"/>
        <w:numId w:val="1"/>
      </w:numPr>
      <w:spacing w:before="50" w:beforeLines="50" w:after="50" w:afterLines="50"/>
      <w:jc w:val="both"/>
      <w:outlineLvl w:val="4"/>
    </w:pPr>
    <w:rPr>
      <w:rFonts w:ascii="黑体" w:hAnsi="Calibri" w:eastAsia="黑体" w:cs="Calibri"/>
      <w:sz w:val="21"/>
      <w:lang w:val="en-US" w:eastAsia="zh-CN" w:bidi="ar-SA"/>
    </w:rPr>
  </w:style>
  <w:style w:type="paragraph" w:customStyle="1" w:styleId="37">
    <w:name w:val="标准文件_五级条标题"/>
    <w:next w:val="33"/>
    <w:autoRedefine/>
    <w:qFormat/>
    <w:uiPriority w:val="0"/>
    <w:pPr>
      <w:widowControl w:val="0"/>
      <w:numPr>
        <w:ilvl w:val="6"/>
        <w:numId w:val="1"/>
      </w:numPr>
      <w:spacing w:before="50" w:beforeLines="50" w:after="50" w:afterLines="50"/>
      <w:jc w:val="both"/>
      <w:outlineLvl w:val="5"/>
    </w:pPr>
    <w:rPr>
      <w:rFonts w:ascii="黑体" w:hAnsi="Calibri" w:eastAsia="黑体" w:cs="Calibri"/>
      <w:sz w:val="21"/>
      <w:lang w:val="en-US" w:eastAsia="zh-CN" w:bidi="ar-SA"/>
    </w:rPr>
  </w:style>
  <w:style w:type="paragraph" w:customStyle="1" w:styleId="38">
    <w:name w:val="前言标题"/>
    <w:next w:val="1"/>
    <w:autoRedefine/>
    <w:qFormat/>
    <w:uiPriority w:val="0"/>
    <w:pPr>
      <w:numPr>
        <w:ilvl w:val="0"/>
        <w:numId w:val="1"/>
      </w:numPr>
      <w:shd w:val="clear" w:color="FFFFFF" w:fill="FFFFFF"/>
      <w:spacing w:before="540" w:after="600"/>
      <w:jc w:val="center"/>
      <w:outlineLvl w:val="0"/>
    </w:pPr>
    <w:rPr>
      <w:rFonts w:ascii="黑体" w:hAnsi="Calibri" w:eastAsia="黑体" w:cs="Calibri"/>
      <w:sz w:val="32"/>
      <w:lang w:val="en-US" w:eastAsia="zh-CN" w:bidi="ar-SA"/>
    </w:rPr>
  </w:style>
  <w:style w:type="paragraph" w:customStyle="1" w:styleId="39">
    <w:name w:val="标准文件_四级无标题"/>
    <w:basedOn w:val="36"/>
    <w:autoRedefine/>
    <w:qFormat/>
    <w:uiPriority w:val="0"/>
    <w:pPr>
      <w:widowControl w:val="0"/>
      <w:numPr>
        <w:ilvl w:val="5"/>
        <w:numId w:val="1"/>
      </w:numPr>
      <w:spacing w:before="50" w:after="50"/>
      <w:jc w:val="both"/>
    </w:pPr>
    <w:rPr>
      <w:rFonts w:ascii="宋体" w:hAnsi="Calibri" w:eastAsia="宋体" w:cs="Calibri"/>
      <w:sz w:val="21"/>
      <w:szCs w:val="52"/>
      <w:lang w:val="en-US" w:eastAsia="zh-CN" w:bidi="ar-SA"/>
    </w:rPr>
  </w:style>
  <w:style w:type="paragraph" w:customStyle="1" w:styleId="40">
    <w:name w:val="标准文件_三级无标题"/>
    <w:basedOn w:val="35"/>
    <w:autoRedefine/>
    <w:qFormat/>
    <w:uiPriority w:val="0"/>
    <w:pPr>
      <w:numPr>
        <w:ilvl w:val="4"/>
        <w:numId w:val="1"/>
      </w:numPr>
      <w:spacing w:before="50" w:after="50"/>
      <w:jc w:val="both"/>
    </w:pPr>
    <w:rPr>
      <w:rFonts w:ascii="宋体" w:eastAsia="宋体"/>
      <w:sz w:val="21"/>
      <w:lang w:val="en-US" w:eastAsia="zh-CN" w:bidi="ar-SA"/>
    </w:rPr>
  </w:style>
  <w:style w:type="paragraph" w:customStyle="1" w:styleId="41">
    <w:name w:val="标准文件_正文表标题"/>
    <w:autoRedefine/>
    <w:qFormat/>
    <w:uiPriority w:val="0"/>
    <w:pPr>
      <w:numPr>
        <w:ilvl w:val="0"/>
        <w:numId w:val="2"/>
      </w:numPr>
      <w:tabs>
        <w:tab w:val="left" w:pos="0"/>
      </w:tabs>
      <w:spacing w:before="50" w:beforeLines="50" w:after="50" w:afterLines="50"/>
      <w:jc w:val="center"/>
    </w:pPr>
    <w:rPr>
      <w:rFonts w:ascii="黑体" w:hAnsi="Calibri" w:eastAsia="黑体" w:cs="Calibri"/>
      <w:sz w:val="21"/>
      <w:lang w:val="en-US" w:eastAsia="zh-CN" w:bidi="ar-SA"/>
    </w:rPr>
  </w:style>
  <w:style w:type="character" w:customStyle="1" w:styleId="42">
    <w:name w:val="font11"/>
    <w:autoRedefine/>
    <w:qFormat/>
    <w:uiPriority w:val="0"/>
    <w:rPr>
      <w:rFonts w:ascii="等线" w:eastAsia="等线"/>
      <w:b/>
      <w:bCs/>
      <w:color w:val="FF0000"/>
      <w:sz w:val="22"/>
      <w:szCs w:val="22"/>
      <w:u w:val="none"/>
    </w:rPr>
  </w:style>
  <w:style w:type="character" w:customStyle="1" w:styleId="43">
    <w:name w:val="font01"/>
    <w:autoRedefine/>
    <w:qFormat/>
    <w:uiPriority w:val="0"/>
    <w:rPr>
      <w:rFonts w:ascii="等线" w:eastAsia="等线"/>
      <w:color w:val="000000"/>
      <w:sz w:val="22"/>
      <w:szCs w:val="22"/>
      <w:u w:val="none"/>
    </w:rPr>
  </w:style>
  <w:style w:type="paragraph" w:customStyle="1" w:styleId="44">
    <w:name w:val="段"/>
    <w:autoRedefine/>
    <w:qFormat/>
    <w:uiPriority w:val="0"/>
    <w:pPr>
      <w:autoSpaceDE w:val="0"/>
      <w:autoSpaceDN w:val="0"/>
      <w:ind w:firstLine="200" w:firstLineChars="200"/>
      <w:jc w:val="both"/>
    </w:pPr>
    <w:rPr>
      <w:rFonts w:ascii="宋体" w:hAnsi="Calibri" w:eastAsia="宋体" w:cs="Calibri"/>
      <w:sz w:val="21"/>
      <w:lang w:val="en-US" w:eastAsia="zh-CN" w:bidi="ar-SA"/>
    </w:rPr>
  </w:style>
  <w:style w:type="paragraph" w:customStyle="1" w:styleId="45">
    <w:name w:val="二级无"/>
    <w:basedOn w:val="1"/>
    <w:autoRedefine/>
    <w:qFormat/>
    <w:uiPriority w:val="0"/>
    <w:pPr>
      <w:widowControl/>
      <w:numPr>
        <w:ilvl w:val="2"/>
        <w:numId w:val="3"/>
      </w:numPr>
      <w:tabs>
        <w:tab w:val="left" w:pos="780"/>
      </w:tabs>
      <w:jc w:val="left"/>
      <w:outlineLvl w:val="3"/>
    </w:pPr>
    <w:rPr>
      <w:rFonts w:ascii="宋体"/>
      <w:kern w:val="0"/>
      <w:szCs w:val="21"/>
    </w:rPr>
  </w:style>
  <w:style w:type="paragraph" w:customStyle="1" w:styleId="46">
    <w:name w:val="标准文件_二级无标题"/>
    <w:basedOn w:val="33"/>
    <w:autoRedefine/>
    <w:qFormat/>
    <w:uiPriority w:val="0"/>
    <w:pPr>
      <w:numPr>
        <w:ilvl w:val="3"/>
        <w:numId w:val="4"/>
      </w:numPr>
      <w:tabs>
        <w:tab w:val="left" w:pos="1200"/>
      </w:tabs>
      <w:spacing w:before="0" w:beforeLines="0" w:after="0" w:afterLines="0"/>
      <w:outlineLvl w:val="9"/>
    </w:pPr>
    <w:rPr>
      <w:rFonts w:ascii="宋体" w:eastAsia="宋体"/>
    </w:rPr>
  </w:style>
  <w:style w:type="paragraph" w:customStyle="1" w:styleId="47">
    <w:name w:val="Char Char Char Char"/>
    <w:basedOn w:val="1"/>
    <w:autoRedefine/>
    <w:qFormat/>
    <w:uiPriority w:val="0"/>
  </w:style>
  <w:style w:type="paragraph" w:customStyle="1" w:styleId="48">
    <w:name w:val="标准文件_数字编号列项（二级）"/>
    <w:autoRedefine/>
    <w:qFormat/>
    <w:uiPriority w:val="0"/>
    <w:pPr>
      <w:numPr>
        <w:ilvl w:val="1"/>
        <w:numId w:val="5"/>
      </w:numPr>
      <w:jc w:val="both"/>
    </w:pPr>
    <w:rPr>
      <w:rFonts w:ascii="宋体" w:hAnsi="Calibri" w:eastAsia="宋体" w:cs="Calibri"/>
      <w:sz w:val="21"/>
      <w:lang w:val="en-US" w:eastAsia="zh-CN" w:bidi="ar-SA"/>
    </w:rPr>
  </w:style>
  <w:style w:type="paragraph" w:customStyle="1" w:styleId="49">
    <w:name w:val="标准文件_编号列项（三级）"/>
    <w:autoRedefine/>
    <w:qFormat/>
    <w:uiPriority w:val="0"/>
    <w:pPr>
      <w:numPr>
        <w:ilvl w:val="2"/>
        <w:numId w:val="5"/>
      </w:numPr>
    </w:pPr>
    <w:rPr>
      <w:rFonts w:ascii="宋体" w:hAnsi="Calibri" w:eastAsia="宋体" w:cs="Calibri"/>
      <w:sz w:val="21"/>
      <w:lang w:val="en-US" w:eastAsia="zh-CN" w:bidi="ar-SA"/>
    </w:rPr>
  </w:style>
  <w:style w:type="paragraph" w:customStyle="1" w:styleId="50">
    <w:name w:val="标准文件_字母编号列项（一级）"/>
    <w:autoRedefine/>
    <w:qFormat/>
    <w:uiPriority w:val="0"/>
    <w:pPr>
      <w:numPr>
        <w:ilvl w:val="0"/>
        <w:numId w:val="5"/>
      </w:numPr>
      <w:jc w:val="both"/>
    </w:pPr>
    <w:rPr>
      <w:rFonts w:ascii="宋体" w:hAnsi="Calibri" w:eastAsia="宋体" w:cs="Calibri"/>
      <w:sz w:val="21"/>
      <w:lang w:val="en-US" w:eastAsia="zh-CN" w:bidi="ar-SA"/>
    </w:rPr>
  </w:style>
  <w:style w:type="paragraph" w:customStyle="1" w:styleId="51">
    <w:name w:val="标准文件_术语条一"/>
    <w:basedOn w:val="1"/>
    <w:next w:val="30"/>
    <w:autoRedefine/>
    <w:qFormat/>
    <w:uiPriority w:val="0"/>
    <w:pPr>
      <w:widowControl/>
    </w:pPr>
    <w:rPr>
      <w:rFonts w:ascii="宋体"/>
      <w:kern w:val="0"/>
      <w:szCs w:val="20"/>
    </w:rPr>
  </w:style>
  <w:style w:type="paragraph" w:customStyle="1" w:styleId="52">
    <w:name w:val="abstrac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53">
    <w:name w:val="abstract_more"/>
    <w:basedOn w:val="1"/>
    <w:autoRedefine/>
    <w:qFormat/>
    <w:uiPriority w:val="0"/>
    <w:pPr>
      <w:widowControl/>
      <w:spacing w:before="100" w:beforeAutospacing="1" w:after="100" w:afterAutospacing="1"/>
      <w:jc w:val="left"/>
    </w:pPr>
    <w:rPr>
      <w:rFonts w:ascii="宋体" w:hAnsi="宋体" w:cs="宋体"/>
      <w:kern w:val="0"/>
      <w:sz w:val="24"/>
    </w:rPr>
  </w:style>
  <w:style w:type="paragraph" w:styleId="54">
    <w:name w:val="No Spacing"/>
    <w:autoRedefine/>
    <w:qFormat/>
    <w:uiPriority w:val="99"/>
    <w:pPr>
      <w:widowControl w:val="0"/>
      <w:jc w:val="both"/>
    </w:pPr>
    <w:rPr>
      <w:rFonts w:ascii="Calibri" w:hAnsi="Calibri" w:eastAsia="宋体" w:cs="Times New Roman"/>
      <w:kern w:val="2"/>
      <w:sz w:val="21"/>
      <w:szCs w:val="24"/>
      <w:lang w:val="en-US" w:eastAsia="zh-CN" w:bidi="ar-SA"/>
    </w:rPr>
  </w:style>
  <w:style w:type="paragraph" w:customStyle="1" w:styleId="55">
    <w:name w:val="标准文件_一级项"/>
    <w:autoRedefine/>
    <w:qFormat/>
    <w:uiPriority w:val="0"/>
    <w:pPr>
      <w:numPr>
        <w:ilvl w:val="0"/>
        <w:numId w:val="6"/>
      </w:numPr>
    </w:pPr>
    <w:rPr>
      <w:rFonts w:ascii="宋体" w:hAnsi="Times New Roman" w:eastAsia="宋体" w:cs="Times New Roman"/>
      <w:sz w:val="21"/>
      <w:lang w:val="en-US" w:eastAsia="zh-CN" w:bidi="ar-SA"/>
    </w:rPr>
  </w:style>
  <w:style w:type="paragraph" w:customStyle="1" w:styleId="56">
    <w:name w:val="标准文件_一级无标题"/>
    <w:basedOn w:val="34"/>
    <w:qFormat/>
    <w:uiPriority w:val="0"/>
    <w:pPr>
      <w:spacing w:before="0" w:beforeLines="0" w:after="0" w:afterLines="0"/>
      <w:outlineLvl w:val="9"/>
    </w:pPr>
    <w:rPr>
      <w:rFonts w:ascii="宋体" w:eastAsia="宋体"/>
    </w:rPr>
  </w:style>
  <w:style w:type="character" w:customStyle="1" w:styleId="57">
    <w:name w:val="font51"/>
    <w:basedOn w:val="16"/>
    <w:qFormat/>
    <w:uiPriority w:val="0"/>
    <w:rPr>
      <w:rFonts w:hint="eastAsia" w:ascii="宋体" w:hAnsi="宋体" w:eastAsia="宋体" w:cs="宋体"/>
      <w:color w:val="36363D"/>
      <w:sz w:val="20"/>
      <w:szCs w:val="20"/>
      <w:u w:val="none"/>
    </w:rPr>
  </w:style>
  <w:style w:type="character" w:customStyle="1" w:styleId="58">
    <w:name w:val="font41"/>
    <w:basedOn w:val="16"/>
    <w:qFormat/>
    <w:uiPriority w:val="0"/>
    <w:rPr>
      <w:rFonts w:hint="eastAsia" w:ascii="宋体" w:hAnsi="宋体" w:eastAsia="宋体" w:cs="宋体"/>
      <w:b/>
      <w:bCs/>
      <w:color w:val="36363D"/>
      <w:sz w:val="20"/>
      <w:szCs w:val="20"/>
      <w:u w:val="none"/>
    </w:rPr>
  </w:style>
  <w:style w:type="character" w:customStyle="1" w:styleId="59">
    <w:name w:val="font31"/>
    <w:basedOn w:val="16"/>
    <w:qFormat/>
    <w:uiPriority w:val="0"/>
    <w:rPr>
      <w:rFonts w:hint="eastAsia" w:ascii="宋体" w:hAnsi="宋体" w:eastAsia="宋体" w:cs="宋体"/>
      <w:b/>
      <w:bCs/>
      <w:color w:val="36363D"/>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8541</Words>
  <Characters>8705</Characters>
  <Lines>140</Lines>
  <Paragraphs>39</Paragraphs>
  <TotalTime>0</TotalTime>
  <ScaleCrop>false</ScaleCrop>
  <LinksUpToDate>false</LinksUpToDate>
  <CharactersWithSpaces>8735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2023-11-07T15:48:00Z</dcterms:created>
  <dc:creator>Administrator</dc:creator>
  <cp:lastModifiedBy>XIEX</cp:lastModifiedBy>
  <cp:lastPrinted>2025-06-12T03:01:00Z</cp:lastPrinted>
  <dcterms:modified xsi:type="dcterms:W3CDTF">2026-03-31T10:56:58Z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A922D90BF3B641DA8C66AE267C36FA1E_13</vt:lpwstr>
  </property>
  <property fmtid="{D5CDD505-2E9C-101B-9397-08002B2CF9AE}" pid="4" name="KSOTemplateDocerSaveRecord">
    <vt:lpwstr>eyJoZGlkIjoiNmU0OWNhMGUyYzc2MTI5ZWY2NzM4MTVkMDAwODg0YzMiLCJ1c2VySWQiOiI2ODM5ODUzMDMifQ==</vt:lpwstr>
  </property>
</Properties>
</file>