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BD873">
      <w:pPr>
        <w:spacing w:line="520" w:lineRule="exact"/>
        <w:ind w:firstLine="720" w:firstLineChars="200"/>
        <w:jc w:val="center"/>
        <w:rPr>
          <w:rFonts w:hint="eastAsia" w:ascii="黑体" w:eastAsia="黑体" w:cs="仿宋_GB2312"/>
          <w:color w:val="auto"/>
          <w:sz w:val="36"/>
          <w:szCs w:val="36"/>
          <w:lang w:eastAsia="zh-CN"/>
        </w:rPr>
      </w:pPr>
      <w:r>
        <w:rPr>
          <w:rFonts w:hint="eastAsia" w:ascii="黑体" w:eastAsia="黑体" w:cs="仿宋_GB2312"/>
          <w:color w:val="auto"/>
          <w:sz w:val="36"/>
          <w:szCs w:val="36"/>
          <w:lang w:eastAsia="zh-CN"/>
        </w:rPr>
        <w:t>团体标准《住院精神患者护理文书书写规范》</w:t>
      </w:r>
    </w:p>
    <w:p w14:paraId="2DA85B2C">
      <w:pPr>
        <w:spacing w:line="520" w:lineRule="exact"/>
        <w:ind w:firstLine="720" w:firstLineChars="200"/>
        <w:jc w:val="center"/>
        <w:rPr>
          <w:rFonts w:hint="eastAsia" w:ascii="黑体" w:eastAsia="黑体" w:cs="仿宋_GB2312"/>
          <w:color w:val="auto"/>
          <w:sz w:val="36"/>
          <w:szCs w:val="36"/>
        </w:rPr>
      </w:pPr>
      <w:r>
        <w:rPr>
          <w:rFonts w:hint="eastAsia" w:ascii="黑体" w:eastAsia="黑体" w:cs="仿宋_GB2312"/>
          <w:color w:val="auto"/>
          <w:sz w:val="36"/>
          <w:szCs w:val="36"/>
          <w:lang w:eastAsia="zh-CN"/>
        </w:rPr>
        <w:t>（征求意见</w:t>
      </w:r>
      <w:r>
        <w:rPr>
          <w:rFonts w:hint="eastAsia" w:ascii="黑体" w:eastAsia="黑体" w:cs="仿宋_GB2312"/>
          <w:color w:val="auto"/>
          <w:sz w:val="36"/>
          <w:szCs w:val="36"/>
        </w:rPr>
        <w:t>稿）编制说明</w:t>
      </w:r>
    </w:p>
    <w:p w14:paraId="5C534F24">
      <w:pPr>
        <w:jc w:val="center"/>
        <w:rPr>
          <w:rFonts w:hint="eastAsia" w:ascii="方正小标宋简体" w:eastAsia="方正小标宋简体"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79C71603">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根据《广西标准化协会关于下达202</w:t>
      </w:r>
      <w:r>
        <w:rPr>
          <w:rFonts w:hint="eastAsia" w:ascii="仿宋_GB2312" w:eastAsia="仿宋_GB2312"/>
          <w:color w:val="auto"/>
          <w:sz w:val="28"/>
          <w:szCs w:val="28"/>
          <w:lang w:val="en-US" w:eastAsia="zh-CN"/>
        </w:rPr>
        <w:t>6</w:t>
      </w:r>
      <w:r>
        <w:rPr>
          <w:rFonts w:hint="eastAsia" w:ascii="仿宋_GB2312" w:eastAsia="仿宋_GB2312"/>
          <w:color w:val="auto"/>
          <w:sz w:val="28"/>
          <w:szCs w:val="28"/>
          <w:lang w:eastAsia="zh-CN"/>
        </w:rPr>
        <w:t>年第</w:t>
      </w:r>
      <w:r>
        <w:rPr>
          <w:rFonts w:hint="eastAsia" w:ascii="仿宋_GB2312" w:eastAsia="仿宋_GB2312"/>
          <w:color w:val="auto"/>
          <w:sz w:val="28"/>
          <w:szCs w:val="28"/>
          <w:lang w:val="en-US" w:eastAsia="zh-CN"/>
        </w:rPr>
        <w:t>七</w:t>
      </w:r>
      <w:r>
        <w:rPr>
          <w:rFonts w:hint="eastAsia" w:ascii="仿宋_GB2312" w:eastAsia="仿宋_GB2312"/>
          <w:color w:val="auto"/>
          <w:sz w:val="28"/>
          <w:szCs w:val="28"/>
          <w:lang w:eastAsia="zh-CN"/>
        </w:rPr>
        <w:t>批团体标准制修订项目计划的通知》（桂标协〔202</w:t>
      </w:r>
      <w:r>
        <w:rPr>
          <w:rFonts w:hint="eastAsia" w:ascii="仿宋_GB2312" w:eastAsia="仿宋_GB2312"/>
          <w:color w:val="auto"/>
          <w:sz w:val="28"/>
          <w:szCs w:val="28"/>
          <w:lang w:val="en-US" w:eastAsia="zh-CN"/>
        </w:rPr>
        <w:t>6</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79</w:t>
      </w:r>
      <w:r>
        <w:rPr>
          <w:rFonts w:hint="eastAsia" w:ascii="仿宋_GB2312" w:eastAsia="仿宋_GB2312"/>
          <w:color w:val="auto"/>
          <w:sz w:val="28"/>
          <w:szCs w:val="28"/>
          <w:lang w:eastAsia="zh-CN"/>
        </w:rPr>
        <w:t>号）文件精神，由</w:t>
      </w:r>
      <w:r>
        <w:rPr>
          <w:rFonts w:hint="eastAsia" w:ascii="仿宋_GB2312" w:eastAsia="仿宋_GB2312"/>
          <w:color w:val="auto"/>
          <w:sz w:val="28"/>
          <w:szCs w:val="28"/>
          <w:lang w:val="en-US" w:eastAsia="zh-CN"/>
        </w:rPr>
        <w:t>广西护理学会</w:t>
      </w:r>
      <w:r>
        <w:rPr>
          <w:rFonts w:hint="eastAsia" w:ascii="仿宋_GB2312" w:eastAsia="仿宋_GB2312"/>
          <w:color w:val="auto"/>
          <w:sz w:val="28"/>
          <w:szCs w:val="28"/>
          <w:lang w:eastAsia="zh-CN"/>
        </w:rPr>
        <w:t>提出，</w:t>
      </w:r>
      <w:r>
        <w:rPr>
          <w:rFonts w:hint="eastAsia" w:ascii="仿宋_GB2312" w:eastAsia="仿宋_GB2312"/>
          <w:color w:val="auto"/>
          <w:sz w:val="28"/>
          <w:szCs w:val="28"/>
          <w:lang w:val="en-US" w:eastAsia="zh-CN"/>
        </w:rPr>
        <w:t>广西壮族自治区脑科医院、北京回龙观医院、首都医科大学附属北京安定医院、南京医科大学附属脑科医院、湖南省脑科医院、广州医科大学附属脑科医院、安徽省精神卫生防治中心、重庆市精神卫生中心、山东省精神卫生中心、河北省精神卫生中心、吉林省神经精神病医院、内蒙古自治区精神卫生中心、厦门市仙岳医院、赣州市第三人民医院、中国人民解放军空军军医大学第一附属医院、广西医科大学第二附属医院、广西壮族自治区工人医院、南宁市第五人民医院、百色市第二人民医院、崇左市荣军优抚医院、河池市荣军优抚医院、南宁市社会福利医院、右江民族医院附属医院、玉林市荣军优抚医院、贵港市人民医院、河池市宜州区第三人民医院</w:t>
      </w:r>
      <w:r>
        <w:rPr>
          <w:rFonts w:hint="eastAsia" w:ascii="仿宋_GB2312" w:eastAsia="仿宋_GB2312"/>
          <w:color w:val="auto"/>
          <w:sz w:val="28"/>
          <w:szCs w:val="28"/>
          <w:lang w:eastAsia="zh-CN"/>
        </w:rPr>
        <w:t>等单位共同起草的团体标准《住院精神障碍患者护理文书书写规范》（项目编号：202</w:t>
      </w:r>
      <w:r>
        <w:rPr>
          <w:rFonts w:hint="eastAsia" w:ascii="仿宋_GB2312" w:eastAsia="仿宋_GB2312"/>
          <w:color w:val="auto"/>
          <w:sz w:val="28"/>
          <w:szCs w:val="28"/>
          <w:lang w:val="en-US" w:eastAsia="zh-CN"/>
        </w:rPr>
        <w:t>6</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0704</w:t>
      </w:r>
      <w:r>
        <w:rPr>
          <w:rFonts w:hint="eastAsia" w:ascii="仿宋_GB2312" w:eastAsia="仿宋_GB2312"/>
          <w:color w:val="auto"/>
          <w:sz w:val="28"/>
          <w:szCs w:val="28"/>
          <w:lang w:eastAsia="zh-CN"/>
        </w:rPr>
        <w:t>），已获立项。</w:t>
      </w:r>
    </w:p>
    <w:p w14:paraId="6E7ED8E7">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为高质量编制团体标准《住院精神障碍患者护理文书书写规范》，标准起草小组并进行如下分工：</w:t>
      </w:r>
    </w:p>
    <w:tbl>
      <w:tblPr>
        <w:tblStyle w:val="16"/>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527"/>
        <w:gridCol w:w="1366"/>
        <w:gridCol w:w="2340"/>
        <w:gridCol w:w="2794"/>
      </w:tblGrid>
      <w:tr w14:paraId="023B83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blHeader/>
        </w:trPr>
        <w:tc>
          <w:tcPr>
            <w:tcW w:w="625" w:type="pct"/>
            <w:tcBorders>
              <w:top w:val="single" w:color="auto" w:sz="4" w:space="0"/>
              <w:bottom w:val="single" w:color="auto" w:sz="4" w:space="0"/>
            </w:tcBorders>
            <w:noWrap w:val="0"/>
            <w:vAlign w:val="center"/>
          </w:tcPr>
          <w:p w14:paraId="48ED01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b/>
                <w:sz w:val="24"/>
              </w:rPr>
            </w:pPr>
            <w:r>
              <w:rPr>
                <w:rFonts w:hint="eastAsia" w:ascii="仿宋" w:hAnsi="仿宋" w:eastAsia="仿宋"/>
                <w:b/>
                <w:sz w:val="24"/>
              </w:rPr>
              <w:t>姓名</w:t>
            </w:r>
          </w:p>
        </w:tc>
        <w:tc>
          <w:tcPr>
            <w:tcW w:w="832" w:type="pct"/>
            <w:tcBorders>
              <w:top w:val="single" w:color="auto" w:sz="4" w:space="0"/>
              <w:bottom w:val="single" w:color="auto" w:sz="4" w:space="0"/>
            </w:tcBorders>
            <w:noWrap w:val="0"/>
            <w:vAlign w:val="center"/>
          </w:tcPr>
          <w:p w14:paraId="27AAFD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b/>
                <w:sz w:val="24"/>
              </w:rPr>
            </w:pPr>
            <w:r>
              <w:rPr>
                <w:rFonts w:hint="eastAsia" w:ascii="仿宋" w:hAnsi="仿宋" w:eastAsia="仿宋"/>
                <w:b/>
                <w:sz w:val="24"/>
              </w:rPr>
              <w:t>职务/职称</w:t>
            </w:r>
          </w:p>
        </w:tc>
        <w:tc>
          <w:tcPr>
            <w:tcW w:w="744" w:type="pct"/>
            <w:tcBorders>
              <w:top w:val="single" w:color="auto" w:sz="4" w:space="0"/>
              <w:bottom w:val="single" w:color="auto" w:sz="4" w:space="0"/>
            </w:tcBorders>
            <w:noWrap w:val="0"/>
            <w:vAlign w:val="center"/>
          </w:tcPr>
          <w:p w14:paraId="29EBD0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b/>
                <w:sz w:val="24"/>
              </w:rPr>
            </w:pPr>
            <w:r>
              <w:rPr>
                <w:rFonts w:hint="eastAsia" w:ascii="仿宋" w:hAnsi="仿宋" w:eastAsia="仿宋"/>
                <w:b/>
                <w:sz w:val="24"/>
              </w:rPr>
              <w:t>从事专业</w:t>
            </w:r>
          </w:p>
        </w:tc>
        <w:tc>
          <w:tcPr>
            <w:tcW w:w="1275" w:type="pct"/>
            <w:tcBorders>
              <w:top w:val="single" w:color="auto" w:sz="4" w:space="0"/>
              <w:bottom w:val="single" w:color="auto" w:sz="4" w:space="0"/>
            </w:tcBorders>
            <w:noWrap w:val="0"/>
            <w:vAlign w:val="center"/>
          </w:tcPr>
          <w:p w14:paraId="3872E7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b/>
                <w:sz w:val="24"/>
              </w:rPr>
            </w:pPr>
            <w:r>
              <w:rPr>
                <w:rFonts w:hint="eastAsia" w:ascii="仿宋" w:hAnsi="仿宋" w:eastAsia="仿宋"/>
                <w:b/>
                <w:sz w:val="24"/>
              </w:rPr>
              <w:t>工作单位</w:t>
            </w:r>
          </w:p>
        </w:tc>
        <w:tc>
          <w:tcPr>
            <w:tcW w:w="1522" w:type="pct"/>
            <w:tcBorders>
              <w:top w:val="single" w:color="auto" w:sz="4" w:space="0"/>
              <w:bottom w:val="single" w:color="auto" w:sz="4" w:space="0"/>
            </w:tcBorders>
            <w:noWrap w:val="0"/>
            <w:vAlign w:val="center"/>
          </w:tcPr>
          <w:p w14:paraId="3F09B4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 w:hAnsi="仿宋" w:eastAsia="仿宋"/>
                <w:b/>
                <w:sz w:val="24"/>
              </w:rPr>
            </w:pPr>
            <w:r>
              <w:rPr>
                <w:rFonts w:hint="eastAsia" w:ascii="仿宋" w:hAnsi="仿宋" w:eastAsia="仿宋"/>
                <w:b/>
                <w:sz w:val="24"/>
              </w:rPr>
              <w:t>责任分工</w:t>
            </w:r>
          </w:p>
        </w:tc>
      </w:tr>
      <w:tr w14:paraId="115D4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C9A3A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黄欣</w:t>
            </w:r>
          </w:p>
        </w:tc>
        <w:tc>
          <w:tcPr>
            <w:tcW w:w="832" w:type="pct"/>
            <w:tcBorders>
              <w:top w:val="single" w:color="auto" w:sz="4" w:space="0"/>
              <w:bottom w:val="single" w:color="auto" w:sz="4" w:space="0"/>
            </w:tcBorders>
            <w:noWrap w:val="0"/>
            <w:vAlign w:val="center"/>
          </w:tcPr>
          <w:p w14:paraId="6A14EE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744" w:type="pct"/>
            <w:tcBorders>
              <w:top w:val="single" w:color="auto" w:sz="4" w:space="0"/>
              <w:bottom w:val="single" w:color="auto" w:sz="4" w:space="0"/>
            </w:tcBorders>
            <w:noWrap w:val="0"/>
            <w:vAlign w:val="center"/>
          </w:tcPr>
          <w:p w14:paraId="6E7AAE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408B5E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495935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统筹主持标准编制工作</w:t>
            </w:r>
          </w:p>
        </w:tc>
      </w:tr>
      <w:tr w14:paraId="46394E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23D9D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覃凤琼</w:t>
            </w:r>
          </w:p>
        </w:tc>
        <w:tc>
          <w:tcPr>
            <w:tcW w:w="832" w:type="pct"/>
            <w:tcBorders>
              <w:top w:val="single" w:color="auto" w:sz="4" w:space="0"/>
              <w:bottom w:val="single" w:color="auto" w:sz="4" w:space="0"/>
            </w:tcBorders>
            <w:noWrap w:val="0"/>
            <w:vAlign w:val="center"/>
          </w:tcPr>
          <w:p w14:paraId="5CBFDE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240F74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0A2583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2928AC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对标准实施情况进行总结分析，不断对标准提出修正意见。</w:t>
            </w:r>
          </w:p>
        </w:tc>
      </w:tr>
      <w:tr w14:paraId="291927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50540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陈美贵</w:t>
            </w:r>
          </w:p>
        </w:tc>
        <w:tc>
          <w:tcPr>
            <w:tcW w:w="832" w:type="pct"/>
            <w:tcBorders>
              <w:top w:val="single" w:color="auto" w:sz="4" w:space="0"/>
              <w:bottom w:val="single" w:color="auto" w:sz="4" w:space="0"/>
            </w:tcBorders>
            <w:noWrap w:val="0"/>
            <w:vAlign w:val="center"/>
          </w:tcPr>
          <w:p w14:paraId="29AF2B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594440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42A79E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650F25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20AB4B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1F24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邓金兰</w:t>
            </w:r>
          </w:p>
        </w:tc>
        <w:tc>
          <w:tcPr>
            <w:tcW w:w="832" w:type="pct"/>
            <w:tcBorders>
              <w:top w:val="single" w:color="auto" w:sz="4" w:space="0"/>
              <w:bottom w:val="single" w:color="auto" w:sz="4" w:space="0"/>
            </w:tcBorders>
            <w:noWrap w:val="0"/>
            <w:vAlign w:val="center"/>
          </w:tcPr>
          <w:p w14:paraId="454FF8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6033F4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25B263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783224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1DC4ED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D25D0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覃正斌</w:t>
            </w:r>
          </w:p>
        </w:tc>
        <w:tc>
          <w:tcPr>
            <w:tcW w:w="832" w:type="pct"/>
            <w:tcBorders>
              <w:top w:val="single" w:color="auto" w:sz="4" w:space="0"/>
              <w:bottom w:val="single" w:color="auto" w:sz="4" w:space="0"/>
            </w:tcBorders>
            <w:noWrap w:val="0"/>
            <w:vAlign w:val="center"/>
          </w:tcPr>
          <w:p w14:paraId="257D3A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744" w:type="pct"/>
            <w:tcBorders>
              <w:top w:val="single" w:color="auto" w:sz="4" w:space="0"/>
              <w:bottom w:val="single" w:color="auto" w:sz="4" w:space="0"/>
            </w:tcBorders>
            <w:noWrap w:val="0"/>
            <w:vAlign w:val="center"/>
          </w:tcPr>
          <w:p w14:paraId="6816F5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5CE943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5A92CE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2BFD2F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A37B9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罗兰芳</w:t>
            </w:r>
          </w:p>
        </w:tc>
        <w:tc>
          <w:tcPr>
            <w:tcW w:w="832" w:type="pct"/>
            <w:tcBorders>
              <w:top w:val="single" w:color="auto" w:sz="4" w:space="0"/>
              <w:bottom w:val="single" w:color="auto" w:sz="4" w:space="0"/>
            </w:tcBorders>
            <w:noWrap w:val="0"/>
            <w:vAlign w:val="center"/>
          </w:tcPr>
          <w:p w14:paraId="300F8A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506585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1DCAC5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237387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0C9DAD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41F50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张春丹</w:t>
            </w:r>
          </w:p>
        </w:tc>
        <w:tc>
          <w:tcPr>
            <w:tcW w:w="832" w:type="pct"/>
            <w:tcBorders>
              <w:top w:val="single" w:color="auto" w:sz="4" w:space="0"/>
              <w:bottom w:val="single" w:color="auto" w:sz="4" w:space="0"/>
            </w:tcBorders>
            <w:noWrap w:val="0"/>
            <w:vAlign w:val="center"/>
          </w:tcPr>
          <w:p w14:paraId="44958C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7EF0B9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B18B7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360B23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28CCE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5A096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覃海萍</w:t>
            </w:r>
          </w:p>
        </w:tc>
        <w:tc>
          <w:tcPr>
            <w:tcW w:w="832" w:type="pct"/>
            <w:tcBorders>
              <w:top w:val="single" w:color="auto" w:sz="4" w:space="0"/>
              <w:bottom w:val="single" w:color="auto" w:sz="4" w:space="0"/>
            </w:tcBorders>
            <w:noWrap w:val="0"/>
            <w:vAlign w:val="center"/>
          </w:tcPr>
          <w:p w14:paraId="0382E8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1626C2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4FC405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3D4F6D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1ED84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00CCD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黎显梅</w:t>
            </w:r>
          </w:p>
        </w:tc>
        <w:tc>
          <w:tcPr>
            <w:tcW w:w="832" w:type="pct"/>
            <w:tcBorders>
              <w:top w:val="single" w:color="auto" w:sz="4" w:space="0"/>
              <w:bottom w:val="single" w:color="auto" w:sz="4" w:space="0"/>
            </w:tcBorders>
            <w:noWrap w:val="0"/>
            <w:vAlign w:val="center"/>
          </w:tcPr>
          <w:p w14:paraId="0C1075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744" w:type="pct"/>
            <w:tcBorders>
              <w:top w:val="single" w:color="auto" w:sz="4" w:space="0"/>
              <w:bottom w:val="single" w:color="auto" w:sz="4" w:space="0"/>
            </w:tcBorders>
            <w:noWrap w:val="0"/>
            <w:vAlign w:val="center"/>
          </w:tcPr>
          <w:p w14:paraId="68AFF7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56F12A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66F4F6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0E1673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834E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周茜</w:t>
            </w:r>
          </w:p>
        </w:tc>
        <w:tc>
          <w:tcPr>
            <w:tcW w:w="832" w:type="pct"/>
            <w:tcBorders>
              <w:top w:val="single" w:color="auto" w:sz="4" w:space="0"/>
              <w:bottom w:val="single" w:color="auto" w:sz="4" w:space="0"/>
            </w:tcBorders>
            <w:noWrap w:val="0"/>
            <w:vAlign w:val="center"/>
          </w:tcPr>
          <w:p w14:paraId="032DE9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744" w:type="pct"/>
            <w:tcBorders>
              <w:top w:val="single" w:color="auto" w:sz="4" w:space="0"/>
              <w:bottom w:val="single" w:color="auto" w:sz="4" w:space="0"/>
            </w:tcBorders>
            <w:noWrap w:val="0"/>
            <w:vAlign w:val="center"/>
          </w:tcPr>
          <w:p w14:paraId="47A3FE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5142C8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760BB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3F7D82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DEB2E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王智</w:t>
            </w:r>
          </w:p>
        </w:tc>
        <w:tc>
          <w:tcPr>
            <w:tcW w:w="832" w:type="pct"/>
            <w:tcBorders>
              <w:top w:val="single" w:color="auto" w:sz="4" w:space="0"/>
              <w:bottom w:val="single" w:color="auto" w:sz="4" w:space="0"/>
            </w:tcBorders>
            <w:noWrap w:val="0"/>
            <w:vAlign w:val="center"/>
          </w:tcPr>
          <w:p w14:paraId="1D6528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主治医师</w:t>
            </w:r>
          </w:p>
        </w:tc>
        <w:tc>
          <w:tcPr>
            <w:tcW w:w="744" w:type="pct"/>
            <w:tcBorders>
              <w:top w:val="single" w:color="auto" w:sz="4" w:space="0"/>
              <w:bottom w:val="single" w:color="auto" w:sz="4" w:space="0"/>
            </w:tcBorders>
            <w:noWrap w:val="0"/>
            <w:vAlign w:val="center"/>
          </w:tcPr>
          <w:p w14:paraId="781E35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精神科</w:t>
            </w:r>
          </w:p>
        </w:tc>
        <w:tc>
          <w:tcPr>
            <w:tcW w:w="1275" w:type="pct"/>
            <w:tcBorders>
              <w:top w:val="single" w:color="auto" w:sz="4" w:space="0"/>
              <w:bottom w:val="single" w:color="auto" w:sz="4" w:space="0"/>
            </w:tcBorders>
            <w:noWrap w:val="0"/>
            <w:vAlign w:val="center"/>
          </w:tcPr>
          <w:p w14:paraId="7CFC15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1F47D6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538C30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7DA4A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叶凡佩</w:t>
            </w:r>
          </w:p>
        </w:tc>
        <w:tc>
          <w:tcPr>
            <w:tcW w:w="832" w:type="pct"/>
            <w:tcBorders>
              <w:top w:val="single" w:color="auto" w:sz="4" w:space="0"/>
              <w:bottom w:val="single" w:color="auto" w:sz="4" w:space="0"/>
            </w:tcBorders>
            <w:noWrap w:val="0"/>
            <w:vAlign w:val="center"/>
          </w:tcPr>
          <w:p w14:paraId="5E0BF5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副主任医师</w:t>
            </w:r>
          </w:p>
        </w:tc>
        <w:tc>
          <w:tcPr>
            <w:tcW w:w="744" w:type="pct"/>
            <w:tcBorders>
              <w:top w:val="single" w:color="auto" w:sz="4" w:space="0"/>
              <w:bottom w:val="single" w:color="auto" w:sz="4" w:space="0"/>
            </w:tcBorders>
            <w:noWrap w:val="0"/>
            <w:vAlign w:val="center"/>
          </w:tcPr>
          <w:p w14:paraId="432973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精神科</w:t>
            </w:r>
          </w:p>
        </w:tc>
        <w:tc>
          <w:tcPr>
            <w:tcW w:w="1275" w:type="pct"/>
            <w:tcBorders>
              <w:top w:val="single" w:color="auto" w:sz="4" w:space="0"/>
              <w:bottom w:val="single" w:color="auto" w:sz="4" w:space="0"/>
            </w:tcBorders>
            <w:noWrap w:val="0"/>
            <w:vAlign w:val="center"/>
          </w:tcPr>
          <w:p w14:paraId="597A5E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广西壮族自治区脑科医院</w:t>
            </w:r>
          </w:p>
        </w:tc>
        <w:tc>
          <w:tcPr>
            <w:tcW w:w="1522" w:type="pct"/>
            <w:tcBorders>
              <w:top w:val="single" w:color="auto" w:sz="4" w:space="0"/>
              <w:bottom w:val="single" w:color="auto" w:sz="4" w:space="0"/>
              <w:right w:val="single" w:color="auto" w:sz="4" w:space="0"/>
            </w:tcBorders>
            <w:noWrap w:val="0"/>
            <w:vAlign w:val="center"/>
          </w:tcPr>
          <w:p w14:paraId="4324EE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3B56E4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7F34B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安凤荣</w:t>
            </w:r>
          </w:p>
        </w:tc>
        <w:tc>
          <w:tcPr>
            <w:tcW w:w="832" w:type="pct"/>
            <w:tcBorders>
              <w:top w:val="single" w:color="auto" w:sz="4" w:space="0"/>
              <w:bottom w:val="single" w:color="auto" w:sz="4" w:space="0"/>
            </w:tcBorders>
            <w:noWrap w:val="0"/>
            <w:vAlign w:val="center"/>
          </w:tcPr>
          <w:p w14:paraId="0716D4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p>
        </w:tc>
        <w:tc>
          <w:tcPr>
            <w:tcW w:w="744" w:type="pct"/>
            <w:tcBorders>
              <w:top w:val="single" w:color="auto" w:sz="4" w:space="0"/>
              <w:bottom w:val="single" w:color="auto" w:sz="4" w:space="0"/>
            </w:tcBorders>
            <w:noWrap w:val="0"/>
            <w:vAlign w:val="center"/>
          </w:tcPr>
          <w:p w14:paraId="0D99EB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7B8694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首都医科大学附属北京安定医院</w:t>
            </w:r>
          </w:p>
        </w:tc>
        <w:tc>
          <w:tcPr>
            <w:tcW w:w="1522" w:type="pct"/>
            <w:tcBorders>
              <w:top w:val="single" w:color="auto" w:sz="4" w:space="0"/>
              <w:bottom w:val="single" w:color="auto" w:sz="4" w:space="0"/>
              <w:right w:val="single" w:color="auto" w:sz="4" w:space="0"/>
            </w:tcBorders>
            <w:noWrap w:val="0"/>
            <w:vAlign w:val="center"/>
          </w:tcPr>
          <w:p w14:paraId="7515D0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04B8EC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BBF5A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邵静</w:t>
            </w:r>
          </w:p>
        </w:tc>
        <w:tc>
          <w:tcPr>
            <w:tcW w:w="832" w:type="pct"/>
            <w:tcBorders>
              <w:top w:val="single" w:color="auto" w:sz="4" w:space="0"/>
              <w:bottom w:val="single" w:color="auto" w:sz="4" w:space="0"/>
            </w:tcBorders>
            <w:noWrap w:val="0"/>
            <w:vAlign w:val="center"/>
          </w:tcPr>
          <w:p w14:paraId="3DCC3F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1DE01B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0DFCA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北京回龙观医院</w:t>
            </w:r>
          </w:p>
        </w:tc>
        <w:tc>
          <w:tcPr>
            <w:tcW w:w="1522" w:type="pct"/>
            <w:tcBorders>
              <w:top w:val="single" w:color="auto" w:sz="4" w:space="0"/>
              <w:bottom w:val="single" w:color="auto" w:sz="4" w:space="0"/>
              <w:right w:val="single" w:color="auto" w:sz="4" w:space="0"/>
            </w:tcBorders>
            <w:noWrap w:val="0"/>
            <w:vAlign w:val="center"/>
          </w:tcPr>
          <w:p w14:paraId="732BB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32812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13DA0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张燕红</w:t>
            </w:r>
          </w:p>
        </w:tc>
        <w:tc>
          <w:tcPr>
            <w:tcW w:w="832" w:type="pct"/>
            <w:tcBorders>
              <w:top w:val="single" w:color="auto" w:sz="4" w:space="0"/>
              <w:bottom w:val="single" w:color="auto" w:sz="4" w:space="0"/>
            </w:tcBorders>
            <w:noWrap w:val="0"/>
            <w:vAlign w:val="center"/>
          </w:tcPr>
          <w:p w14:paraId="00B98A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4E26B0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9071A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南京医科大学附属脑科医院</w:t>
            </w:r>
          </w:p>
        </w:tc>
        <w:tc>
          <w:tcPr>
            <w:tcW w:w="1522" w:type="pct"/>
            <w:tcBorders>
              <w:top w:val="single" w:color="auto" w:sz="4" w:space="0"/>
              <w:bottom w:val="single" w:color="auto" w:sz="4" w:space="0"/>
              <w:right w:val="single" w:color="auto" w:sz="4" w:space="0"/>
            </w:tcBorders>
            <w:noWrap w:val="0"/>
            <w:vAlign w:val="center"/>
          </w:tcPr>
          <w:p w14:paraId="604730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42D793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0DF6A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肖爱祥</w:t>
            </w:r>
          </w:p>
        </w:tc>
        <w:tc>
          <w:tcPr>
            <w:tcW w:w="832" w:type="pct"/>
            <w:tcBorders>
              <w:top w:val="single" w:color="auto" w:sz="4" w:space="0"/>
              <w:bottom w:val="single" w:color="auto" w:sz="4" w:space="0"/>
            </w:tcBorders>
            <w:noWrap w:val="0"/>
            <w:vAlign w:val="center"/>
          </w:tcPr>
          <w:p w14:paraId="627224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64CD02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8EACB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广州医科大学附属脑科医院</w:t>
            </w:r>
          </w:p>
        </w:tc>
        <w:tc>
          <w:tcPr>
            <w:tcW w:w="1522" w:type="pct"/>
            <w:tcBorders>
              <w:top w:val="single" w:color="auto" w:sz="4" w:space="0"/>
              <w:bottom w:val="single" w:color="auto" w:sz="4" w:space="0"/>
              <w:right w:val="single" w:color="auto" w:sz="4" w:space="0"/>
            </w:tcBorders>
            <w:noWrap w:val="0"/>
            <w:vAlign w:val="center"/>
          </w:tcPr>
          <w:p w14:paraId="7EE2A1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40F997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A37C5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陈娟</w:t>
            </w:r>
          </w:p>
        </w:tc>
        <w:tc>
          <w:tcPr>
            <w:tcW w:w="832" w:type="pct"/>
            <w:tcBorders>
              <w:top w:val="single" w:color="auto" w:sz="4" w:space="0"/>
              <w:bottom w:val="single" w:color="auto" w:sz="4" w:space="0"/>
            </w:tcBorders>
            <w:noWrap w:val="0"/>
            <w:vAlign w:val="center"/>
          </w:tcPr>
          <w:p w14:paraId="454125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554BC1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2B7758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安徽省精神卫生防治中心</w:t>
            </w:r>
          </w:p>
        </w:tc>
        <w:tc>
          <w:tcPr>
            <w:tcW w:w="1522" w:type="pct"/>
            <w:tcBorders>
              <w:top w:val="single" w:color="auto" w:sz="4" w:space="0"/>
              <w:bottom w:val="single" w:color="auto" w:sz="4" w:space="0"/>
              <w:right w:val="single" w:color="auto" w:sz="4" w:space="0"/>
            </w:tcBorders>
            <w:noWrap w:val="0"/>
            <w:vAlign w:val="center"/>
          </w:tcPr>
          <w:p w14:paraId="6CB72E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568BA5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A5A4E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廖慧黠</w:t>
            </w:r>
          </w:p>
        </w:tc>
        <w:tc>
          <w:tcPr>
            <w:tcW w:w="832" w:type="pct"/>
            <w:tcBorders>
              <w:top w:val="single" w:color="auto" w:sz="4" w:space="0"/>
              <w:bottom w:val="single" w:color="auto" w:sz="4" w:space="0"/>
            </w:tcBorders>
            <w:noWrap w:val="0"/>
            <w:vAlign w:val="center"/>
          </w:tcPr>
          <w:p w14:paraId="673D71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531678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6CD4A4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重庆市精神卫生中心</w:t>
            </w:r>
          </w:p>
        </w:tc>
        <w:tc>
          <w:tcPr>
            <w:tcW w:w="1522" w:type="pct"/>
            <w:tcBorders>
              <w:top w:val="single" w:color="auto" w:sz="4" w:space="0"/>
              <w:bottom w:val="single" w:color="auto" w:sz="4" w:space="0"/>
              <w:right w:val="single" w:color="auto" w:sz="4" w:space="0"/>
            </w:tcBorders>
            <w:noWrap w:val="0"/>
            <w:vAlign w:val="center"/>
          </w:tcPr>
          <w:p w14:paraId="0E444E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301FF5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522D4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王丽娜</w:t>
            </w:r>
          </w:p>
        </w:tc>
        <w:tc>
          <w:tcPr>
            <w:tcW w:w="832" w:type="pct"/>
            <w:tcBorders>
              <w:top w:val="single" w:color="auto" w:sz="4" w:space="0"/>
              <w:bottom w:val="single" w:color="auto" w:sz="4" w:space="0"/>
            </w:tcBorders>
            <w:noWrap w:val="0"/>
            <w:vAlign w:val="center"/>
          </w:tcPr>
          <w:p w14:paraId="3804D1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5888F7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60E4E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河北省精神卫生中心</w:t>
            </w:r>
          </w:p>
        </w:tc>
        <w:tc>
          <w:tcPr>
            <w:tcW w:w="1522" w:type="pct"/>
            <w:tcBorders>
              <w:top w:val="single" w:color="auto" w:sz="4" w:space="0"/>
              <w:bottom w:val="single" w:color="auto" w:sz="4" w:space="0"/>
              <w:right w:val="single" w:color="auto" w:sz="4" w:space="0"/>
            </w:tcBorders>
            <w:noWrap w:val="0"/>
            <w:vAlign w:val="center"/>
          </w:tcPr>
          <w:p w14:paraId="22266A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2E8B56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5E04C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王爱青</w:t>
            </w:r>
          </w:p>
        </w:tc>
        <w:tc>
          <w:tcPr>
            <w:tcW w:w="832" w:type="pct"/>
            <w:tcBorders>
              <w:top w:val="single" w:color="auto" w:sz="4" w:space="0"/>
              <w:bottom w:val="single" w:color="auto" w:sz="4" w:space="0"/>
            </w:tcBorders>
            <w:noWrap w:val="0"/>
            <w:vAlign w:val="center"/>
          </w:tcPr>
          <w:p w14:paraId="71002F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532C81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6E6829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山东省精神卫生中心</w:t>
            </w:r>
          </w:p>
        </w:tc>
        <w:tc>
          <w:tcPr>
            <w:tcW w:w="1522" w:type="pct"/>
            <w:tcBorders>
              <w:top w:val="single" w:color="auto" w:sz="4" w:space="0"/>
              <w:bottom w:val="single" w:color="auto" w:sz="4" w:space="0"/>
              <w:right w:val="single" w:color="auto" w:sz="4" w:space="0"/>
            </w:tcBorders>
            <w:noWrap w:val="0"/>
            <w:vAlign w:val="center"/>
          </w:tcPr>
          <w:p w14:paraId="26EFB4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534180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30E0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窦丽波</w:t>
            </w:r>
          </w:p>
        </w:tc>
        <w:tc>
          <w:tcPr>
            <w:tcW w:w="832" w:type="pct"/>
            <w:tcBorders>
              <w:top w:val="single" w:color="auto" w:sz="4" w:space="0"/>
              <w:bottom w:val="single" w:color="auto" w:sz="4" w:space="0"/>
            </w:tcBorders>
            <w:noWrap w:val="0"/>
            <w:vAlign w:val="center"/>
          </w:tcPr>
          <w:p w14:paraId="4B2058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241378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981D5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吉林省神经精神病医院</w:t>
            </w:r>
          </w:p>
        </w:tc>
        <w:tc>
          <w:tcPr>
            <w:tcW w:w="1522" w:type="pct"/>
            <w:tcBorders>
              <w:top w:val="single" w:color="auto" w:sz="4" w:space="0"/>
              <w:bottom w:val="single" w:color="auto" w:sz="4" w:space="0"/>
              <w:right w:val="single" w:color="auto" w:sz="4" w:space="0"/>
            </w:tcBorders>
            <w:noWrap w:val="0"/>
            <w:vAlign w:val="center"/>
          </w:tcPr>
          <w:p w14:paraId="1EFF40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63170F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37845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王海燕</w:t>
            </w:r>
          </w:p>
        </w:tc>
        <w:tc>
          <w:tcPr>
            <w:tcW w:w="832" w:type="pct"/>
            <w:tcBorders>
              <w:top w:val="single" w:color="auto" w:sz="4" w:space="0"/>
              <w:bottom w:val="single" w:color="auto" w:sz="4" w:space="0"/>
            </w:tcBorders>
            <w:noWrap w:val="0"/>
            <w:vAlign w:val="center"/>
          </w:tcPr>
          <w:p w14:paraId="4EA6E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53DF3A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17882A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内蒙古自治区精神卫生中心</w:t>
            </w:r>
          </w:p>
        </w:tc>
        <w:tc>
          <w:tcPr>
            <w:tcW w:w="1522" w:type="pct"/>
            <w:tcBorders>
              <w:top w:val="single" w:color="auto" w:sz="4" w:space="0"/>
              <w:bottom w:val="single" w:color="auto" w:sz="4" w:space="0"/>
              <w:right w:val="single" w:color="auto" w:sz="4" w:space="0"/>
            </w:tcBorders>
            <w:noWrap w:val="0"/>
            <w:vAlign w:val="center"/>
          </w:tcPr>
          <w:p w14:paraId="767E5B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7B0762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C69E0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林美容</w:t>
            </w:r>
          </w:p>
        </w:tc>
        <w:tc>
          <w:tcPr>
            <w:tcW w:w="832" w:type="pct"/>
            <w:tcBorders>
              <w:top w:val="single" w:color="auto" w:sz="4" w:space="0"/>
              <w:bottom w:val="single" w:color="auto" w:sz="4" w:space="0"/>
            </w:tcBorders>
            <w:noWrap w:val="0"/>
            <w:vAlign w:val="center"/>
          </w:tcPr>
          <w:p w14:paraId="516CCD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556A6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6E2C5B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厦门市仙岳医院</w:t>
            </w:r>
          </w:p>
        </w:tc>
        <w:tc>
          <w:tcPr>
            <w:tcW w:w="1522" w:type="pct"/>
            <w:tcBorders>
              <w:top w:val="single" w:color="auto" w:sz="4" w:space="0"/>
              <w:bottom w:val="single" w:color="auto" w:sz="4" w:space="0"/>
              <w:right w:val="single" w:color="auto" w:sz="4" w:space="0"/>
            </w:tcBorders>
            <w:noWrap w:val="0"/>
            <w:vAlign w:val="center"/>
          </w:tcPr>
          <w:p w14:paraId="215EF4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3B8117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D1184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温世萍</w:t>
            </w:r>
          </w:p>
        </w:tc>
        <w:tc>
          <w:tcPr>
            <w:tcW w:w="832" w:type="pct"/>
            <w:tcBorders>
              <w:top w:val="single" w:color="auto" w:sz="4" w:space="0"/>
              <w:bottom w:val="single" w:color="auto" w:sz="4" w:space="0"/>
            </w:tcBorders>
            <w:noWrap w:val="0"/>
            <w:vAlign w:val="center"/>
          </w:tcPr>
          <w:p w14:paraId="009A32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2A6F75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09481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赣州市第三人民医院</w:t>
            </w:r>
          </w:p>
        </w:tc>
        <w:tc>
          <w:tcPr>
            <w:tcW w:w="1522" w:type="pct"/>
            <w:tcBorders>
              <w:top w:val="single" w:color="auto" w:sz="4" w:space="0"/>
              <w:bottom w:val="single" w:color="auto" w:sz="4" w:space="0"/>
              <w:right w:val="single" w:color="auto" w:sz="4" w:space="0"/>
            </w:tcBorders>
            <w:noWrap w:val="0"/>
            <w:vAlign w:val="center"/>
          </w:tcPr>
          <w:p w14:paraId="31FE6B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参与标准文本及编制说明编写，组织开展标准征求意见会，协调各单位参与会议。</w:t>
            </w:r>
          </w:p>
        </w:tc>
      </w:tr>
      <w:tr w14:paraId="59B621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74567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highlight w:val="none"/>
                <w:lang w:bidi="ar"/>
              </w:rPr>
            </w:pPr>
            <w:r>
              <w:rPr>
                <w:rFonts w:hint="eastAsia" w:ascii="仿宋_GB2312" w:hAnsi="仿宋_GB2312" w:eastAsia="仿宋_GB2312" w:cs="仿宋_GB2312"/>
                <w:sz w:val="24"/>
                <w:highlight w:val="none"/>
                <w:lang w:bidi="ar"/>
              </w:rPr>
              <w:t>史艳茹</w:t>
            </w:r>
          </w:p>
        </w:tc>
        <w:tc>
          <w:tcPr>
            <w:tcW w:w="832" w:type="pct"/>
            <w:tcBorders>
              <w:top w:val="single" w:color="auto" w:sz="4" w:space="0"/>
              <w:bottom w:val="single" w:color="auto" w:sz="4" w:space="0"/>
            </w:tcBorders>
            <w:noWrap w:val="0"/>
            <w:vAlign w:val="center"/>
          </w:tcPr>
          <w:p w14:paraId="728284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主任护师</w:t>
            </w:r>
          </w:p>
        </w:tc>
        <w:tc>
          <w:tcPr>
            <w:tcW w:w="744" w:type="pct"/>
            <w:tcBorders>
              <w:top w:val="single" w:color="auto" w:sz="4" w:space="0"/>
              <w:bottom w:val="single" w:color="auto" w:sz="4" w:space="0"/>
            </w:tcBorders>
            <w:noWrap w:val="0"/>
            <w:vAlign w:val="center"/>
          </w:tcPr>
          <w:p w14:paraId="601CC4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E273F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中国人民解放军空军军医大学第一附属医院</w:t>
            </w:r>
          </w:p>
        </w:tc>
        <w:tc>
          <w:tcPr>
            <w:tcW w:w="1522" w:type="pct"/>
            <w:tcBorders>
              <w:top w:val="single" w:color="auto" w:sz="4" w:space="0"/>
              <w:bottom w:val="single" w:color="auto" w:sz="4" w:space="0"/>
              <w:right w:val="single" w:color="auto" w:sz="4" w:space="0"/>
            </w:tcBorders>
            <w:noWrap w:val="0"/>
            <w:vAlign w:val="center"/>
          </w:tcPr>
          <w:p w14:paraId="47E5F0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672A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C8E2D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highlight w:val="none"/>
                <w:lang w:bidi="ar"/>
              </w:rPr>
            </w:pPr>
            <w:r>
              <w:rPr>
                <w:rFonts w:hint="eastAsia" w:ascii="仿宋_GB2312" w:hAnsi="仿宋_GB2312" w:eastAsia="仿宋_GB2312" w:cs="仿宋_GB2312"/>
                <w:sz w:val="24"/>
                <w:highlight w:val="none"/>
                <w:lang w:bidi="ar"/>
              </w:rPr>
              <w:t>李梅枝</w:t>
            </w:r>
          </w:p>
        </w:tc>
        <w:tc>
          <w:tcPr>
            <w:tcW w:w="832" w:type="pct"/>
            <w:tcBorders>
              <w:top w:val="single" w:color="auto" w:sz="4" w:space="0"/>
              <w:bottom w:val="single" w:color="auto" w:sz="4" w:space="0"/>
            </w:tcBorders>
            <w:noWrap w:val="0"/>
            <w:vAlign w:val="center"/>
          </w:tcPr>
          <w:p w14:paraId="2B0D93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p>
        </w:tc>
        <w:tc>
          <w:tcPr>
            <w:tcW w:w="744" w:type="pct"/>
            <w:tcBorders>
              <w:top w:val="single" w:color="auto" w:sz="4" w:space="0"/>
              <w:bottom w:val="single" w:color="auto" w:sz="4" w:space="0"/>
            </w:tcBorders>
            <w:noWrap w:val="0"/>
            <w:vAlign w:val="center"/>
          </w:tcPr>
          <w:p w14:paraId="50CB8C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1D12D2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湖南省脑科医院</w:t>
            </w:r>
          </w:p>
        </w:tc>
        <w:tc>
          <w:tcPr>
            <w:tcW w:w="1522" w:type="pct"/>
            <w:tcBorders>
              <w:top w:val="single" w:color="auto" w:sz="4" w:space="0"/>
              <w:bottom w:val="single" w:color="auto" w:sz="4" w:space="0"/>
              <w:right w:val="single" w:color="auto" w:sz="4" w:space="0"/>
            </w:tcBorders>
            <w:noWrap w:val="0"/>
            <w:vAlign w:val="center"/>
          </w:tcPr>
          <w:p w14:paraId="6773B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15BA1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625" w:type="pct"/>
            <w:tcBorders>
              <w:top w:val="single" w:color="auto" w:sz="4" w:space="0"/>
              <w:left w:val="single" w:color="auto" w:sz="4" w:space="0"/>
              <w:bottom w:val="single" w:color="auto" w:sz="4" w:space="0"/>
            </w:tcBorders>
            <w:noWrap w:val="0"/>
            <w:vAlign w:val="center"/>
          </w:tcPr>
          <w:p w14:paraId="7D6B9E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highlight w:val="none"/>
                <w:lang w:bidi="ar"/>
              </w:rPr>
            </w:pPr>
            <w:r>
              <w:rPr>
                <w:rFonts w:hint="eastAsia" w:ascii="仿宋_GB2312" w:hAnsi="仿宋_GB2312" w:eastAsia="仿宋_GB2312" w:cs="仿宋_GB2312"/>
                <w:sz w:val="24"/>
                <w:highlight w:val="none"/>
                <w:lang w:bidi="ar"/>
              </w:rPr>
              <w:t>滕小芸</w:t>
            </w:r>
          </w:p>
        </w:tc>
        <w:tc>
          <w:tcPr>
            <w:tcW w:w="832" w:type="pct"/>
            <w:tcBorders>
              <w:top w:val="single" w:color="auto" w:sz="4" w:space="0"/>
              <w:bottom w:val="single" w:color="auto" w:sz="4" w:space="0"/>
            </w:tcBorders>
            <w:noWrap w:val="0"/>
            <w:vAlign w:val="center"/>
          </w:tcPr>
          <w:p w14:paraId="4FC7EB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lang w:val="en-US" w:eastAsia="zh-CN" w:bidi="ar"/>
              </w:rPr>
            </w:pPr>
          </w:p>
        </w:tc>
        <w:tc>
          <w:tcPr>
            <w:tcW w:w="744" w:type="pct"/>
            <w:tcBorders>
              <w:top w:val="single" w:color="auto" w:sz="4" w:space="0"/>
              <w:bottom w:val="single" w:color="auto" w:sz="4" w:space="0"/>
            </w:tcBorders>
            <w:noWrap w:val="0"/>
            <w:vAlign w:val="center"/>
          </w:tcPr>
          <w:p w14:paraId="288F63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45A5EF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广西医科大学第二附属医院</w:t>
            </w:r>
          </w:p>
        </w:tc>
        <w:tc>
          <w:tcPr>
            <w:tcW w:w="1522" w:type="pct"/>
            <w:tcBorders>
              <w:top w:val="single" w:color="auto" w:sz="4" w:space="0"/>
              <w:bottom w:val="single" w:color="auto" w:sz="4" w:space="0"/>
              <w:right w:val="single" w:color="auto" w:sz="4" w:space="0"/>
            </w:tcBorders>
            <w:noWrap w:val="0"/>
            <w:vAlign w:val="center"/>
          </w:tcPr>
          <w:p w14:paraId="3E25FB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9F3B8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DBB18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詹宗芳</w:t>
            </w:r>
          </w:p>
        </w:tc>
        <w:tc>
          <w:tcPr>
            <w:tcW w:w="832" w:type="pct"/>
            <w:tcBorders>
              <w:top w:val="single" w:color="auto" w:sz="4" w:space="0"/>
              <w:bottom w:val="single" w:color="auto" w:sz="4" w:space="0"/>
            </w:tcBorders>
            <w:noWrap w:val="0"/>
            <w:vAlign w:val="center"/>
          </w:tcPr>
          <w:p w14:paraId="31163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p>
        </w:tc>
        <w:tc>
          <w:tcPr>
            <w:tcW w:w="744" w:type="pct"/>
            <w:tcBorders>
              <w:top w:val="single" w:color="auto" w:sz="4" w:space="0"/>
              <w:bottom w:val="single" w:color="auto" w:sz="4" w:space="0"/>
            </w:tcBorders>
            <w:noWrap w:val="0"/>
            <w:vAlign w:val="center"/>
          </w:tcPr>
          <w:p w14:paraId="67FC9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35C9DE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广西壮族自治区工人医院</w:t>
            </w:r>
          </w:p>
        </w:tc>
        <w:tc>
          <w:tcPr>
            <w:tcW w:w="1522" w:type="pct"/>
            <w:tcBorders>
              <w:top w:val="single" w:color="auto" w:sz="4" w:space="0"/>
              <w:bottom w:val="single" w:color="auto" w:sz="4" w:space="0"/>
              <w:right w:val="single" w:color="auto" w:sz="4" w:space="0"/>
            </w:tcBorders>
            <w:noWrap w:val="0"/>
            <w:vAlign w:val="center"/>
          </w:tcPr>
          <w:p w14:paraId="6A5CF9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18E41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A0C7D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磨丽莉</w:t>
            </w:r>
          </w:p>
        </w:tc>
        <w:tc>
          <w:tcPr>
            <w:tcW w:w="832" w:type="pct"/>
            <w:tcBorders>
              <w:top w:val="single" w:color="auto" w:sz="4" w:space="0"/>
              <w:bottom w:val="single" w:color="auto" w:sz="4" w:space="0"/>
            </w:tcBorders>
            <w:noWrap w:val="0"/>
            <w:vAlign w:val="center"/>
          </w:tcPr>
          <w:p w14:paraId="29EF8E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5AF5AC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670C25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南宁市第五人民医院</w:t>
            </w:r>
          </w:p>
        </w:tc>
        <w:tc>
          <w:tcPr>
            <w:tcW w:w="1522" w:type="pct"/>
            <w:tcBorders>
              <w:top w:val="single" w:color="auto" w:sz="4" w:space="0"/>
              <w:bottom w:val="single" w:color="auto" w:sz="4" w:space="0"/>
              <w:right w:val="single" w:color="auto" w:sz="4" w:space="0"/>
            </w:tcBorders>
            <w:noWrap w:val="0"/>
            <w:vAlign w:val="center"/>
          </w:tcPr>
          <w:p w14:paraId="417551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D7391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12197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唐雪萍</w:t>
            </w:r>
          </w:p>
        </w:tc>
        <w:tc>
          <w:tcPr>
            <w:tcW w:w="832" w:type="pct"/>
            <w:tcBorders>
              <w:top w:val="single" w:color="auto" w:sz="4" w:space="0"/>
              <w:bottom w:val="single" w:color="auto" w:sz="4" w:space="0"/>
            </w:tcBorders>
            <w:noWrap w:val="0"/>
            <w:vAlign w:val="center"/>
          </w:tcPr>
          <w:p w14:paraId="0BD6A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744" w:type="pct"/>
            <w:tcBorders>
              <w:top w:val="single" w:color="auto" w:sz="4" w:space="0"/>
              <w:bottom w:val="single" w:color="auto" w:sz="4" w:space="0"/>
            </w:tcBorders>
            <w:noWrap w:val="0"/>
            <w:vAlign w:val="center"/>
          </w:tcPr>
          <w:p w14:paraId="0E5BBD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791139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河池市荣军优抚医院</w:t>
            </w:r>
          </w:p>
        </w:tc>
        <w:tc>
          <w:tcPr>
            <w:tcW w:w="1522" w:type="pct"/>
            <w:tcBorders>
              <w:top w:val="single" w:color="auto" w:sz="4" w:space="0"/>
              <w:bottom w:val="single" w:color="auto" w:sz="4" w:space="0"/>
              <w:right w:val="single" w:color="auto" w:sz="4" w:space="0"/>
            </w:tcBorders>
            <w:noWrap w:val="0"/>
            <w:vAlign w:val="center"/>
          </w:tcPr>
          <w:p w14:paraId="36FA32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7ADD3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25" w:type="pct"/>
            <w:tcBorders>
              <w:top w:val="single" w:color="auto" w:sz="4" w:space="0"/>
              <w:left w:val="single" w:color="auto" w:sz="4" w:space="0"/>
              <w:bottom w:val="single" w:color="auto" w:sz="4" w:space="0"/>
            </w:tcBorders>
            <w:noWrap w:val="0"/>
            <w:vAlign w:val="center"/>
          </w:tcPr>
          <w:p w14:paraId="62C6C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陆爱香</w:t>
            </w:r>
          </w:p>
        </w:tc>
        <w:tc>
          <w:tcPr>
            <w:tcW w:w="832" w:type="pct"/>
            <w:tcBorders>
              <w:top w:val="single" w:color="auto" w:sz="4" w:space="0"/>
              <w:bottom w:val="single" w:color="auto" w:sz="4" w:space="0"/>
            </w:tcBorders>
            <w:noWrap w:val="0"/>
            <w:vAlign w:val="center"/>
          </w:tcPr>
          <w:p w14:paraId="641DF1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4D1EC9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13D1E9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百色市第二人民医院</w:t>
            </w:r>
          </w:p>
        </w:tc>
        <w:tc>
          <w:tcPr>
            <w:tcW w:w="1522" w:type="pct"/>
            <w:tcBorders>
              <w:top w:val="single" w:color="auto" w:sz="4" w:space="0"/>
              <w:bottom w:val="single" w:color="auto" w:sz="4" w:space="0"/>
              <w:right w:val="single" w:color="auto" w:sz="4" w:space="0"/>
            </w:tcBorders>
            <w:noWrap w:val="0"/>
            <w:vAlign w:val="center"/>
          </w:tcPr>
          <w:p w14:paraId="527815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2C9B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8287A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陈鸷志</w:t>
            </w:r>
          </w:p>
        </w:tc>
        <w:tc>
          <w:tcPr>
            <w:tcW w:w="832" w:type="pct"/>
            <w:tcBorders>
              <w:top w:val="single" w:color="auto" w:sz="4" w:space="0"/>
              <w:bottom w:val="single" w:color="auto" w:sz="4" w:space="0"/>
            </w:tcBorders>
            <w:noWrap w:val="0"/>
            <w:vAlign w:val="center"/>
          </w:tcPr>
          <w:p w14:paraId="002785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23FC0D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0892E4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崇左市荣军优抚医院</w:t>
            </w:r>
          </w:p>
        </w:tc>
        <w:tc>
          <w:tcPr>
            <w:tcW w:w="1522" w:type="pct"/>
            <w:tcBorders>
              <w:top w:val="single" w:color="auto" w:sz="4" w:space="0"/>
              <w:bottom w:val="single" w:color="auto" w:sz="4" w:space="0"/>
              <w:right w:val="single" w:color="auto" w:sz="4" w:space="0"/>
            </w:tcBorders>
            <w:noWrap w:val="0"/>
            <w:vAlign w:val="center"/>
          </w:tcPr>
          <w:p w14:paraId="7EBF01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D7A2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FDADB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黄桂玲</w:t>
            </w:r>
          </w:p>
        </w:tc>
        <w:tc>
          <w:tcPr>
            <w:tcW w:w="832" w:type="pct"/>
            <w:tcBorders>
              <w:top w:val="single" w:color="auto" w:sz="4" w:space="0"/>
              <w:bottom w:val="single" w:color="auto" w:sz="4" w:space="0"/>
            </w:tcBorders>
            <w:noWrap w:val="0"/>
            <w:vAlign w:val="center"/>
          </w:tcPr>
          <w:p w14:paraId="6033B9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2CACD1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6036EC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南宁市社会福利医院</w:t>
            </w:r>
          </w:p>
        </w:tc>
        <w:tc>
          <w:tcPr>
            <w:tcW w:w="1522" w:type="pct"/>
            <w:tcBorders>
              <w:top w:val="single" w:color="auto" w:sz="4" w:space="0"/>
              <w:bottom w:val="single" w:color="auto" w:sz="4" w:space="0"/>
              <w:right w:val="single" w:color="auto" w:sz="4" w:space="0"/>
            </w:tcBorders>
            <w:noWrap w:val="0"/>
            <w:vAlign w:val="center"/>
          </w:tcPr>
          <w:p w14:paraId="7558A3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45B6A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552DD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黄曲云</w:t>
            </w:r>
          </w:p>
        </w:tc>
        <w:tc>
          <w:tcPr>
            <w:tcW w:w="832" w:type="pct"/>
            <w:tcBorders>
              <w:top w:val="single" w:color="auto" w:sz="4" w:space="0"/>
              <w:bottom w:val="single" w:color="auto" w:sz="4" w:space="0"/>
            </w:tcBorders>
            <w:noWrap w:val="0"/>
            <w:vAlign w:val="center"/>
          </w:tcPr>
          <w:p w14:paraId="4550DE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37B43D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75B655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右江民族医院附属医院</w:t>
            </w:r>
          </w:p>
        </w:tc>
        <w:tc>
          <w:tcPr>
            <w:tcW w:w="1522" w:type="pct"/>
            <w:tcBorders>
              <w:top w:val="single" w:color="auto" w:sz="4" w:space="0"/>
              <w:bottom w:val="single" w:color="auto" w:sz="4" w:space="0"/>
              <w:right w:val="single" w:color="auto" w:sz="4" w:space="0"/>
            </w:tcBorders>
            <w:noWrap w:val="0"/>
            <w:vAlign w:val="center"/>
          </w:tcPr>
          <w:p w14:paraId="60A2F3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9AD92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0C689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黄芳</w:t>
            </w:r>
          </w:p>
        </w:tc>
        <w:tc>
          <w:tcPr>
            <w:tcW w:w="832" w:type="pct"/>
            <w:tcBorders>
              <w:top w:val="single" w:color="auto" w:sz="4" w:space="0"/>
              <w:bottom w:val="single" w:color="auto" w:sz="4" w:space="0"/>
            </w:tcBorders>
            <w:noWrap w:val="0"/>
            <w:vAlign w:val="center"/>
          </w:tcPr>
          <w:p w14:paraId="0191E4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058DC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5B1BE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玉林市荣军优抚医院</w:t>
            </w:r>
          </w:p>
        </w:tc>
        <w:tc>
          <w:tcPr>
            <w:tcW w:w="1522" w:type="pct"/>
            <w:tcBorders>
              <w:top w:val="single" w:color="auto" w:sz="4" w:space="0"/>
              <w:bottom w:val="single" w:color="auto" w:sz="4" w:space="0"/>
              <w:right w:val="single" w:color="auto" w:sz="4" w:space="0"/>
            </w:tcBorders>
            <w:noWrap w:val="0"/>
            <w:vAlign w:val="center"/>
          </w:tcPr>
          <w:p w14:paraId="405304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0A38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B3266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杨昆城</w:t>
            </w:r>
          </w:p>
        </w:tc>
        <w:tc>
          <w:tcPr>
            <w:tcW w:w="832" w:type="pct"/>
            <w:tcBorders>
              <w:top w:val="single" w:color="auto" w:sz="4" w:space="0"/>
              <w:bottom w:val="single" w:color="auto" w:sz="4" w:space="0"/>
            </w:tcBorders>
            <w:noWrap w:val="0"/>
            <w:vAlign w:val="center"/>
          </w:tcPr>
          <w:p w14:paraId="29ABFF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3BF1D0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29EFED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贵港市人民医院</w:t>
            </w:r>
          </w:p>
        </w:tc>
        <w:tc>
          <w:tcPr>
            <w:tcW w:w="1522" w:type="pct"/>
            <w:tcBorders>
              <w:top w:val="single" w:color="auto" w:sz="4" w:space="0"/>
              <w:bottom w:val="single" w:color="auto" w:sz="4" w:space="0"/>
              <w:right w:val="single" w:color="auto" w:sz="4" w:space="0"/>
            </w:tcBorders>
            <w:noWrap w:val="0"/>
            <w:vAlign w:val="center"/>
          </w:tcPr>
          <w:p w14:paraId="16979C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841E1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D1810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兰苗</w:t>
            </w:r>
          </w:p>
        </w:tc>
        <w:tc>
          <w:tcPr>
            <w:tcW w:w="832" w:type="pct"/>
            <w:tcBorders>
              <w:top w:val="single" w:color="auto" w:sz="4" w:space="0"/>
              <w:bottom w:val="single" w:color="auto" w:sz="4" w:space="0"/>
            </w:tcBorders>
            <w:noWrap w:val="0"/>
            <w:vAlign w:val="center"/>
          </w:tcPr>
          <w:p w14:paraId="704D6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p>
        </w:tc>
        <w:tc>
          <w:tcPr>
            <w:tcW w:w="744" w:type="pct"/>
            <w:tcBorders>
              <w:top w:val="single" w:color="auto" w:sz="4" w:space="0"/>
              <w:bottom w:val="single" w:color="auto" w:sz="4" w:space="0"/>
            </w:tcBorders>
            <w:noWrap w:val="0"/>
            <w:vAlign w:val="center"/>
          </w:tcPr>
          <w:p w14:paraId="5705E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275" w:type="pct"/>
            <w:tcBorders>
              <w:top w:val="single" w:color="auto" w:sz="4" w:space="0"/>
              <w:bottom w:val="single" w:color="auto" w:sz="4" w:space="0"/>
            </w:tcBorders>
            <w:noWrap w:val="0"/>
            <w:vAlign w:val="center"/>
          </w:tcPr>
          <w:p w14:paraId="4AC9C6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河池市宜州区第三人民医院</w:t>
            </w:r>
          </w:p>
        </w:tc>
        <w:tc>
          <w:tcPr>
            <w:tcW w:w="1522" w:type="pct"/>
            <w:tcBorders>
              <w:top w:val="single" w:color="auto" w:sz="4" w:space="0"/>
              <w:bottom w:val="single" w:color="auto" w:sz="4" w:space="0"/>
              <w:right w:val="single" w:color="auto" w:sz="4" w:space="0"/>
            </w:tcBorders>
            <w:noWrap w:val="0"/>
            <w:vAlign w:val="center"/>
          </w:tcPr>
          <w:p w14:paraId="4505A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bl>
    <w:p w14:paraId="33BC8E9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71987BA7">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精神疾病是指在各种因素（包括生物、心理、社会环境因素）作用下造成大脑功能失调，出现以感知觉、思维、情感、意志行为等障碍为主的一类疾病。基于全国流行病学调查结果显示，我国l8岁以上人口精神疾病的终生患病率高达16．57％，推算我国超过2亿人患有精神疾病。</w:t>
      </w:r>
    </w:p>
    <w:p w14:paraId="6183724C">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精神疾病的特点是由于人类的精神活动受社会环境、自然环境及个体功能状态的影响，病理状态下的精神症状千差万别、错综复杂。具体表现在：一是患方无法客观、真实地描述当前的疾病状态，部分患者或不语不动、或自语乱语，毫无逻辑；部分患者虽能对一些行为、症状进行表述，但受精神症状及病耻感等因素的影响，有可能出现欺骗、隐瞒、表述不全等情况，其所表述的真实性、客观性存疑。二是与综合科疾病不同，综合科的疾病往往有较为客观的、可测量的症状特点（如某伤口长度、压力性损伤伤口的面积等），但精神科的症状往往只能使用一些描述性的语言（如患者表现行为紊乱，大喊大叫），临床护士受限于工作经验、法律观念不强、精神疾病掌握不全面等原因，对精神症状的观察、评估、描述、记录等均有不同程度的缺陷，同一精神症状在不同护士的记录中有可能出现表述不一致的情况。</w:t>
      </w:r>
    </w:p>
    <w:p w14:paraId="6DCABD23">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精神科护理文书是护士对精神障碍患者病情观察、治疗措施及护理过程的原始记录，承载着患者病情演变和治疗护理的全过程。根据国家严重精神障碍信息系统数据，我国登记在册的严重精神障碍患者数量呈增长趋势，2020年全国登记在册的严重精神障碍患者约643万例，给医疗卫生系统带来较大压力。如精神科护理记录存在不客观真实，管理不规范，一是无法客观反映患者住院期间的病情变化，二是可能导致涉及精神病患者数的隐秘信息外泄，三是发生医疗纠纷后，即使护士在患者住院治疗期间实施的护理措施是规范的，但不规范的护理记录仍可能让护士处于极为不利的位置。</w:t>
      </w:r>
    </w:p>
    <w:p w14:paraId="67243369">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然而，多项调查研究显示，精神科护理文书的书写质量不容乐观。一项对360份精神科住院患者病历的调查发现，一般护理记录单中存在缺陷的比例高达44.4%，体温单缺陷占16.1%，医嘱单缺陷占12.5%。另一项针对南通市7所精神病专科医院380份出院护理文书的调查也揭示了类似问题，各地精神病院在护理文书书写方面存在不同程度的缺陷和不足。更为严峻的是，精神障碍患者具有病情复杂、认知功能受损、自知力缺失等特点，常出现冲动、伤人、自伤、外走等风险行为，这些特殊临床表现对护理观察和记录提出了更高要求。护理文书若不能客观、真实、及时地反映患者的病情动态和精神症状变化，还可能延误病情识别和干预时机，造成不可挽回的后果。</w:t>
      </w:r>
    </w:p>
    <w:p w14:paraId="2905FD2B">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住院精神障碍患者护理文书是一套系统的记录文件，涵盖体温单、医嘱单、入院评估单、护理记录单、约束保护记录单、无抽搐电休克治疗记录单等多种表单。护理记录单则是核心文书，需要客观记录患者的精神症状表现、病情动态变化、躯体疾病状况以及护士给予的各项护理措施。针对精神科的特殊性，约束保护记录单详细记载患者因冲动、伤人行为而实施保护性约束的原因、时间、措施及观察情况；无抽搐电休克治疗记录单则记录治疗前后患者的生命体征、意识状态及并发症观察等。精神科护理文书的书写有其特殊要求：必须使用规范的医学术语，客观描述患者的精神症状而不应有主观推测；要体现以病人为中心的理念，记录患者的健康需求和护士给予的照护；时间记录应当精确到分钟，字迹工整清晰，修改时需按规定方式注明。这些内容共同构成了精神科护理文书的核心框架，规范其书写对于保障护理质量和患者安全至关重要。</w:t>
      </w:r>
    </w:p>
    <w:p w14:paraId="56ACE8AC">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制定住院精神障碍患者护理文书书写规范，具有多方面的积极作用，规范书写能够显著提升护理文书质量。研究显示，通过加强护理文书三级质量控制及缺陷管理，制定统一的书写标准并持续改进，可减少运行病历中的缺陷文书，归档病历复查极少发现问题。同时，规范书写有助于防范和减少护理纠纷，自《医疗事故处理条例》实施后，护理文书成为重要的举证倒置材料，具有重要的法律效力。护理人员通过客观、真实、及时、准确地记录护理内容，能够杜绝因记录缺陷引起的护理纠纷。规范、完整的护理记录能够证明医疗护理行为的正确与合法性，对保障医务人员和患者的合法权益起着重要作用。</w:t>
      </w:r>
    </w:p>
    <w:p w14:paraId="08C6DC21">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近年来,随着广西及全国严重精神障碍患者报告患病率逐年上升，登记在册的严重精神障碍患者数逐年增加，广西精神卫生服务出现巨大市场需求,加之原本精神卫生服务资源较为匮乏,以及精神医疗卫生机构设置准入门槛较低、精神科治疗低成本性等原因导致民营资本蜂拥进入广西精神卫生服务市场,但各级卫生健康行政部门的监管未能同步跟上,导致了广西精神卫生服务质量总体不高的现状。广西壮族自治区脑科医院作为广西精神卫生质量控制中心，承担着全区各级医院的精神卫生质量监控工作，在实际的工作中，也发现全区各级精神卫生机构的护理文件书写存在不规范、不统一、明显错漏等情况，对于护士执业安全有一定的风险。</w:t>
      </w:r>
    </w:p>
    <w:p w14:paraId="57A36F62">
      <w:pPr>
        <w:spacing w:line="520" w:lineRule="exact"/>
        <w:ind w:firstLine="560" w:firstLineChars="200"/>
        <w:rPr>
          <w:rFonts w:hint="default" w:ascii="仿宋_GB2312" w:eastAsia="仿宋_GB2312"/>
          <w:color w:val="auto"/>
          <w:sz w:val="28"/>
          <w:szCs w:val="28"/>
          <w:lang w:val="en-US" w:eastAsia="zh-CN"/>
        </w:rPr>
      </w:pPr>
      <w:r>
        <w:rPr>
          <w:rFonts w:hint="default" w:ascii="仿宋_GB2312" w:eastAsia="仿宋_GB2312"/>
          <w:color w:val="auto"/>
          <w:sz w:val="28"/>
          <w:szCs w:val="28"/>
          <w:lang w:val="en-US" w:eastAsia="zh-CN"/>
        </w:rPr>
        <w:t>通过制定团体标准《住院精神障碍患者护理文书书写规范》，统一规范住院精神障碍患者护理文书书写要求，提高医护人员文书书写水平，降低书写缺陷和不足，避免护理风险及隐患，有效保障患方及院方相关人员的合法权益保障患者安全，为医疗团队调整治疗方案提供关键依据，确保护理措施精准有效，对提升护理服务质量、推动精神卫生服务体系高质量发展具有重要作用。</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团体标准《住院精神障碍患者护理文书书写规范》</w:t>
      </w:r>
      <w:r>
        <w:rPr>
          <w:rFonts w:hint="eastAsia" w:ascii="仿宋_GB2312" w:eastAsia="仿宋_GB2312"/>
          <w:color w:val="auto"/>
          <w:sz w:val="28"/>
          <w:szCs w:val="28"/>
        </w:rPr>
        <w:t>项目任务下达后，</w:t>
      </w:r>
      <w:r>
        <w:rPr>
          <w:rFonts w:hint="eastAsia" w:ascii="仿宋_GB2312" w:eastAsia="仿宋_GB2312"/>
          <w:color w:val="auto"/>
          <w:sz w:val="28"/>
          <w:szCs w:val="28"/>
          <w:lang w:val="en-US" w:eastAsia="zh-CN"/>
        </w:rPr>
        <w:t>广西壮族自治区脑科医院</w:t>
      </w:r>
      <w:r>
        <w:rPr>
          <w:rFonts w:hint="eastAsia" w:ascii="仿宋_GB2312" w:eastAsia="仿宋_GB2312"/>
          <w:color w:val="auto"/>
          <w:sz w:val="28"/>
          <w:szCs w:val="28"/>
        </w:rPr>
        <w:t>提出，</w:t>
      </w:r>
      <w:r>
        <w:rPr>
          <w:rFonts w:hint="eastAsia" w:ascii="仿宋_GB2312" w:eastAsia="仿宋_GB2312"/>
          <w:color w:val="auto"/>
          <w:sz w:val="28"/>
          <w:szCs w:val="28"/>
          <w:lang w:val="en-US" w:eastAsia="zh-CN"/>
        </w:rPr>
        <w:t>广西壮族自治区脑科医院、北京回龙观医院、首都医科大学附属北京安定医院、南京医科大学附属脑科医院、湖南省脑科医院、广州医科大学附属脑科医院、安徽省精神卫生防治中心、重庆市精神卫生中心、山东省精神卫生中心、河北省精神卫生中心、吉林省神经精神病医院、内蒙古自治区精神卫生中心、厦门市仙岳医院、赣州市第三人民医院、中国人民解放军空军军医大学第一附属医院等单位</w:t>
      </w:r>
      <w:r>
        <w:rPr>
          <w:rFonts w:hint="eastAsia" w:ascii="仿宋_GB2312" w:eastAsia="仿宋_GB2312"/>
          <w:color w:val="auto"/>
          <w:sz w:val="28"/>
          <w:szCs w:val="28"/>
        </w:rPr>
        <w:t>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住院精神障碍患者护理文书书写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对住院精神障碍患者护理文书书写</w:t>
      </w:r>
      <w:r>
        <w:rPr>
          <w:rFonts w:hint="eastAsia" w:ascii="仿宋_GB2312" w:eastAsia="仿宋_GB2312"/>
          <w:color w:val="auto"/>
          <w:sz w:val="28"/>
          <w:szCs w:val="28"/>
          <w:lang w:val="en-US" w:eastAsia="zh-CN"/>
        </w:rPr>
        <w:t>方面</w:t>
      </w:r>
      <w:r>
        <w:rPr>
          <w:rFonts w:hint="eastAsia" w:ascii="仿宋_GB2312" w:eastAsia="仿宋_GB2312"/>
          <w:color w:val="auto"/>
          <w:sz w:val="28"/>
          <w:szCs w:val="28"/>
        </w:rPr>
        <w:t>的有关研究情况和目前科学界住院精神障碍患者护理文书书写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标准编制工作组收集了国内有关住院精神障碍患者护理文书书写</w:t>
      </w:r>
      <w:r>
        <w:rPr>
          <w:rFonts w:hint="eastAsia" w:ascii="仿宋_GB2312" w:eastAsia="仿宋_GB2312"/>
          <w:color w:val="auto"/>
          <w:sz w:val="28"/>
          <w:szCs w:val="28"/>
          <w:lang w:val="en-US" w:eastAsia="zh-CN"/>
        </w:rPr>
        <w:t>及编制工作组发表</w:t>
      </w:r>
      <w:r>
        <w:rPr>
          <w:rFonts w:hint="eastAsia" w:ascii="仿宋_GB2312" w:eastAsia="仿宋_GB2312"/>
          <w:color w:val="auto"/>
          <w:sz w:val="28"/>
          <w:szCs w:val="28"/>
        </w:rPr>
        <w:t>的相关文献资料。主要有：</w:t>
      </w:r>
    </w:p>
    <w:p w14:paraId="725E10B8">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[1]  DB22/T 3469-2023  医疗机构护理文书书写规范</w:t>
      </w:r>
    </w:p>
    <w:p w14:paraId="1818DF88">
      <w:pPr>
        <w:spacing w:line="520" w:lineRule="exact"/>
        <w:ind w:firstLine="560" w:firstLineChars="200"/>
        <w:rPr>
          <w:rFonts w:hint="eastAsia" w:ascii="仿宋_GB2312" w:eastAsia="仿宋_GB2312" w:cs="仿宋_GB2312"/>
          <w:b w:val="0"/>
          <w:bCs/>
          <w:color w:val="auto"/>
          <w:sz w:val="28"/>
          <w:szCs w:val="28"/>
          <w:lang w:val="en-US" w:eastAsia="zh-CN"/>
        </w:rPr>
      </w:pPr>
      <w:bookmarkStart w:id="0" w:name="OLE_LINK17"/>
      <w:r>
        <w:rPr>
          <w:rFonts w:hint="eastAsia" w:ascii="仿宋_GB2312" w:eastAsia="仿宋_GB2312" w:cs="仿宋_GB2312"/>
          <w:b w:val="0"/>
          <w:bCs/>
          <w:color w:val="auto"/>
          <w:sz w:val="28"/>
          <w:szCs w:val="28"/>
          <w:lang w:val="en-US" w:eastAsia="zh-CN"/>
        </w:rPr>
        <w:t xml:space="preserve">[2]  </w:t>
      </w:r>
      <w:bookmarkEnd w:id="0"/>
      <w:r>
        <w:rPr>
          <w:rFonts w:hint="eastAsia" w:ascii="仿宋_GB2312" w:eastAsia="仿宋_GB2312" w:cs="仿宋_GB2312"/>
          <w:b w:val="0"/>
          <w:bCs/>
          <w:color w:val="auto"/>
          <w:sz w:val="28"/>
          <w:szCs w:val="28"/>
          <w:lang w:val="en-US" w:eastAsia="zh-CN"/>
        </w:rPr>
        <w:t>T/CNAS 30  住院精神疾病患者攻击行为预防</w:t>
      </w:r>
    </w:p>
    <w:p w14:paraId="59005C17">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[3]  T/CNAS 38  住院精神疾病患者自杀风险护理</w:t>
      </w:r>
    </w:p>
    <w:p w14:paraId="1337AF32">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[4]  国家卫生计生委,国家中医药管理局.医疗机构病历管理规定(2013年版):国卫医发〔2013〕31号</w:t>
      </w:r>
    </w:p>
    <w:p w14:paraId="3D9D3CAC">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[5]  刘哲宁,杨芳宇,主编. 精神科护理学[M].5版.北京:人民卫生出版社,2022.</w:t>
      </w:r>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（三）研讨确定标准特色、创新点及主体内容</w:t>
      </w:r>
    </w:p>
    <w:p w14:paraId="7D714B21">
      <w:pPr>
        <w:pStyle w:val="32"/>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规定了住院精神障碍患者护理文书书写的基本要求、护理</w:t>
      </w:r>
      <w:r>
        <w:rPr>
          <w:rFonts w:hint="eastAsia" w:ascii="仿宋_GB2312" w:eastAsia="仿宋_GB2312"/>
          <w:color w:val="auto"/>
          <w:sz w:val="28"/>
          <w:szCs w:val="28"/>
          <w:lang w:val="en-US" w:eastAsia="zh-CN"/>
        </w:rPr>
        <w:t>评估</w:t>
      </w:r>
      <w:r>
        <w:rPr>
          <w:rFonts w:hint="eastAsia" w:ascii="仿宋_GB2312" w:eastAsia="仿宋_GB2312"/>
          <w:color w:val="auto"/>
          <w:sz w:val="28"/>
          <w:szCs w:val="28"/>
        </w:rPr>
        <w:t>单</w:t>
      </w:r>
      <w:r>
        <w:rPr>
          <w:rFonts w:hint="eastAsia" w:ascii="仿宋_GB2312" w:eastAsia="仿宋_GB2312"/>
          <w:color w:val="auto"/>
          <w:sz w:val="28"/>
          <w:szCs w:val="28"/>
          <w:lang w:val="en-US" w:eastAsia="zh-CN"/>
        </w:rPr>
        <w:t>要求</w:t>
      </w:r>
      <w:r>
        <w:rPr>
          <w:rFonts w:hint="eastAsia" w:ascii="仿宋_GB2312" w:eastAsia="仿宋_GB2312"/>
          <w:color w:val="auto"/>
          <w:sz w:val="28"/>
          <w:szCs w:val="28"/>
        </w:rPr>
        <w:t>、记录内容及要求。</w:t>
      </w:r>
      <w:r>
        <w:rPr>
          <w:rFonts w:hint="eastAsia" w:ascii="仿宋_GB2312" w:eastAsia="仿宋_GB2312"/>
          <w:color w:val="auto"/>
          <w:sz w:val="28"/>
          <w:szCs w:val="28"/>
          <w:lang w:val="en-US" w:eastAsia="zh-CN"/>
        </w:rPr>
        <w:t>标准</w:t>
      </w:r>
      <w:r>
        <w:rPr>
          <w:rFonts w:hint="eastAsia" w:ascii="仿宋_GB2312" w:eastAsia="仿宋_GB2312"/>
          <w:color w:val="auto"/>
          <w:sz w:val="28"/>
          <w:szCs w:val="28"/>
          <w:lang w:eastAsia="zh-CN"/>
        </w:rPr>
        <w:t>核心技术及创新点在于：</w:t>
      </w:r>
    </w:p>
    <w:p w14:paraId="103687B9">
      <w:pPr>
        <w:pStyle w:val="32"/>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1）标准建立了覆盖住院全周期的风险评估体系，涵盖暴力攻击、自杀/自伤、擅自离院、噎食/窒息、跌倒/坠床、压力性损伤、静脉血栓、非计划性拔管、营养评估等九大类风险。每项风险评估均配有量化评分表（如布罗塞特暴力风险评估量表、NGASR自杀风险评估量表、Padua静脉血栓评估表等），并根据评分结果将患者风险划分为低度、中度、高度危险等级，实现分级预警和分层干预。本规范首次系统集成了精神科特有的高风险因素评估工具，，填补了精神科护理文书在专科风险量化管理方面的空白。</w:t>
      </w:r>
    </w:p>
    <w:p w14:paraId="02097236">
      <w:pPr>
        <w:pStyle w:val="32"/>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2）针对精神科特有的保护性约束措施，规范设计了约束前评估、约束中观察、解除前评估、解除后记录的闭环管理流程。约束前需评估意识状态、自杀自伤行为、攻击行为、精神症状等，约束中每15-30分钟记录一次约束部位、皮肤血运、肢体活动、松解情况等，解除前再次评估患者精神症状、合作程度及对约束的认知，确保约束措施的合法、必要、安全、可追溯。实现约束措施的动态调整和必要性审查，有效防范约束滥用和法律风险。</w:t>
      </w:r>
    </w:p>
    <w:p w14:paraId="6FCF9172">
      <w:pPr>
        <w:pStyle w:val="32"/>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3）提出风险等级决定记录频次的动态管理机制，根据患者风险等级和病情变化，规范明确了差异化的记录频次要求：高风险患者（如自杀/自伤、噎食/窒息评估为中危及以上）每班记录，至少连续记录3天；病情变化随时记录；生命体征每日记录，体重、血压每周记录；MECT治疗前后2小时内记录生命体征，术后24小时内连续观察记录。</w:t>
      </w:r>
    </w:p>
    <w:p w14:paraId="288C5707">
      <w:pPr>
        <w:pStyle w:val="32"/>
        <w:numPr>
          <w:ilvl w:val="0"/>
          <w:numId w:val="0"/>
        </w:num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4）提供了精神科住院病人护理评估单和保护性约束观察记录单等标准化表单。评估单采用多级结构、量化评分、勾选式填写，涵盖入院情况、入院前情况、入院后精神症状、九大风险评估、告知情况等内容，既保证信息采集的完整性，又提高书写效率和规范性。</w:t>
      </w:r>
    </w:p>
    <w:p w14:paraId="31A81503">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w:t>
      </w:r>
      <w:r>
        <w:rPr>
          <w:rFonts w:hint="eastAsia" w:ascii="仿宋_GB2312" w:eastAsia="仿宋_GB2312"/>
          <w:color w:val="auto"/>
          <w:kern w:val="0"/>
          <w:sz w:val="28"/>
          <w:szCs w:val="28"/>
          <w:lang w:val="en-US" w:eastAsia="zh-CN"/>
        </w:rPr>
        <w:t>25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月，标准编制工作组查阅了大量的国内文献资料，对</w:t>
      </w:r>
      <w:r>
        <w:rPr>
          <w:rFonts w:hint="eastAsia" w:ascii="仿宋_GB2312" w:hAnsi="宋体" w:eastAsia="仿宋_GB2312"/>
          <w:color w:val="auto"/>
          <w:sz w:val="28"/>
          <w:szCs w:val="28"/>
        </w:rPr>
        <w:t>住院精神障碍患者护理文书书写</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ascii="仿宋_GB2312" w:hAnsi="宋体" w:eastAsia="仿宋_GB2312"/>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月，在前期工作的基础之上，通过理清逻辑脉络，整合</w:t>
      </w:r>
      <w:r>
        <w:rPr>
          <w:rFonts w:hint="eastAsia" w:ascii="仿宋_GB2312" w:hAnsi="宋体" w:eastAsia="仿宋_GB2312"/>
          <w:color w:val="auto"/>
          <w:sz w:val="28"/>
          <w:szCs w:val="28"/>
        </w:rPr>
        <w:t>已有参考资料中有关住院精神障碍患者护理文书书写的要求，并在</w:t>
      </w:r>
      <w:r>
        <w:rPr>
          <w:rFonts w:hint="eastAsia" w:ascii="仿宋_GB2312" w:hAnsi="宋体" w:eastAsia="仿宋_GB2312"/>
          <w:color w:val="auto"/>
          <w:sz w:val="28"/>
          <w:szCs w:val="28"/>
          <w:lang w:eastAsia="zh-CN"/>
        </w:rPr>
        <w:t>目前</w:t>
      </w:r>
      <w:r>
        <w:rPr>
          <w:rFonts w:hint="eastAsia" w:ascii="仿宋_GB2312" w:hAnsi="宋体" w:eastAsia="仿宋_GB2312"/>
          <w:color w:val="auto"/>
          <w:sz w:val="28"/>
          <w:szCs w:val="28"/>
          <w:lang w:val="en-US" w:eastAsia="zh-CN"/>
        </w:rPr>
        <w:t>现有的</w:t>
      </w:r>
      <w:r>
        <w:rPr>
          <w:rFonts w:hint="eastAsia" w:ascii="仿宋_GB2312" w:hAnsi="宋体" w:eastAsia="仿宋_GB2312"/>
          <w:color w:val="auto"/>
          <w:sz w:val="28"/>
          <w:szCs w:val="28"/>
        </w:rPr>
        <w:t>住院精神障碍患者护理文书书写的基础上，按照简化、统一等原则编制完成</w:t>
      </w:r>
      <w:r>
        <w:rPr>
          <w:rFonts w:hint="eastAsia" w:ascii="仿宋_GB2312" w:hAnsi="宋体" w:eastAsia="仿宋_GB2312"/>
          <w:color w:val="auto"/>
          <w:sz w:val="28"/>
          <w:szCs w:val="28"/>
          <w:lang w:val="en-US" w:eastAsia="zh-CN"/>
        </w:rPr>
        <w:t>团体</w:t>
      </w:r>
      <w:r>
        <w:rPr>
          <w:rFonts w:hint="eastAsia" w:ascii="仿宋_GB2312" w:hAnsi="宋体" w:eastAsia="仿宋_GB2312"/>
          <w:color w:val="auto"/>
          <w:sz w:val="28"/>
          <w:szCs w:val="28"/>
        </w:rPr>
        <w:t>标准《住院精神障碍患者护理文书书写</w:t>
      </w:r>
      <w:r>
        <w:rPr>
          <w:rFonts w:hint="eastAsia" w:ascii="仿宋_GB2312" w:hAnsi="宋体" w:eastAsia="仿宋_GB2312"/>
          <w:color w:val="auto"/>
          <w:sz w:val="28"/>
          <w:szCs w:val="28"/>
          <w:lang w:val="en-US" w:eastAsia="zh-CN"/>
        </w:rPr>
        <w:t>规范</w:t>
      </w:r>
      <w:r>
        <w:rPr>
          <w:rFonts w:hint="eastAsia" w:ascii="仿宋_GB2312" w:hAnsi="宋体" w:eastAsia="仿宋_GB2312"/>
          <w:color w:val="auto"/>
          <w:sz w:val="28"/>
          <w:szCs w:val="28"/>
        </w:rPr>
        <w:t>》（草案）。</w:t>
      </w:r>
    </w:p>
    <w:p w14:paraId="24684DDC">
      <w:pPr>
        <w:spacing w:line="520" w:lineRule="exact"/>
        <w:ind w:firstLine="560" w:firstLineChars="200"/>
        <w:rPr>
          <w:rFonts w:ascii="仿宋_GB2312" w:eastAsia="仿宋_GB2312"/>
          <w:kern w:val="0"/>
          <w:sz w:val="28"/>
          <w:szCs w:val="28"/>
        </w:rPr>
      </w:pPr>
      <w:r>
        <w:rPr>
          <w:rFonts w:hint="eastAsia" w:ascii="仿宋_GB2312" w:hAnsi="宋体" w:eastAsia="仿宋_GB2312"/>
          <w:color w:val="auto"/>
          <w:sz w:val="28"/>
          <w:szCs w:val="28"/>
        </w:rPr>
        <w:t>202</w:t>
      </w: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年</w:t>
      </w:r>
      <w:r>
        <w:rPr>
          <w:rFonts w:hint="eastAsia" w:ascii="仿宋_GB2312" w:hAnsi="宋体" w:eastAsia="仿宋_GB2312"/>
          <w:color w:val="auto"/>
          <w:sz w:val="28"/>
          <w:szCs w:val="28"/>
          <w:lang w:val="en-US" w:eastAsia="zh-CN"/>
        </w:rPr>
        <w:t>2</w:t>
      </w:r>
      <w:r>
        <w:rPr>
          <w:rFonts w:hint="eastAsia" w:ascii="仿宋_GB2312" w:hAnsi="宋体" w:eastAsia="仿宋_GB2312"/>
          <w:color w:val="auto"/>
          <w:sz w:val="28"/>
          <w:szCs w:val="28"/>
        </w:rPr>
        <w:t>月～202</w:t>
      </w:r>
      <w:r>
        <w:rPr>
          <w:rFonts w:hint="eastAsia" w:ascii="仿宋_GB2312" w:hAnsi="宋体" w:eastAsia="仿宋_GB2312"/>
          <w:color w:val="auto"/>
          <w:sz w:val="28"/>
          <w:szCs w:val="28"/>
          <w:lang w:val="en-US" w:eastAsia="zh-CN"/>
        </w:rPr>
        <w:t>6</w:t>
      </w:r>
      <w:r>
        <w:rPr>
          <w:rFonts w:hint="eastAsia" w:ascii="仿宋_GB2312" w:hAnsi="宋体" w:eastAsia="仿宋_GB2312"/>
          <w:color w:val="auto"/>
          <w:sz w:val="28"/>
          <w:szCs w:val="28"/>
        </w:rPr>
        <w:t>年</w:t>
      </w:r>
      <w:r>
        <w:rPr>
          <w:rFonts w:hint="eastAsia" w:ascii="仿宋_GB2312" w:hAnsi="宋体" w:eastAsia="仿宋_GB2312"/>
          <w:color w:val="auto"/>
          <w:sz w:val="28"/>
          <w:szCs w:val="28"/>
          <w:lang w:val="en-US" w:eastAsia="zh-CN"/>
        </w:rPr>
        <w:t>3</w:t>
      </w:r>
      <w:r>
        <w:rPr>
          <w:rFonts w:hint="eastAsia" w:ascii="仿宋_GB2312" w:hAnsi="宋体" w:eastAsia="仿宋_GB2312"/>
          <w:color w:val="auto"/>
          <w:sz w:val="28"/>
          <w:szCs w:val="28"/>
        </w:rPr>
        <w:t>月，标准编制工作组充分调查分析了</w:t>
      </w:r>
      <w:r>
        <w:rPr>
          <w:rFonts w:hint="eastAsia" w:ascii="仿宋_GB2312" w:hAnsi="宋体" w:eastAsia="仿宋_GB2312"/>
          <w:color w:val="auto"/>
          <w:sz w:val="28"/>
          <w:szCs w:val="28"/>
          <w:lang w:val="en-US" w:eastAsia="zh-CN"/>
        </w:rPr>
        <w:t>广西</w:t>
      </w:r>
      <w:r>
        <w:rPr>
          <w:rFonts w:hint="eastAsia" w:ascii="仿宋_GB2312" w:hAnsi="宋体" w:eastAsia="仿宋_GB2312"/>
          <w:color w:val="auto"/>
          <w:sz w:val="28"/>
          <w:szCs w:val="28"/>
        </w:rPr>
        <w:t>、</w:t>
      </w:r>
      <w:r>
        <w:rPr>
          <w:rFonts w:hint="eastAsia" w:ascii="仿宋_GB2312" w:hAnsi="宋体" w:eastAsia="仿宋_GB2312"/>
          <w:color w:val="auto"/>
          <w:sz w:val="28"/>
          <w:szCs w:val="28"/>
          <w:lang w:val="en-US" w:eastAsia="zh-CN"/>
        </w:rPr>
        <w:t>北京</w:t>
      </w:r>
      <w:r>
        <w:rPr>
          <w:rFonts w:hint="eastAsia" w:ascii="仿宋_GB2312" w:hAnsi="宋体" w:eastAsia="仿宋_GB2312"/>
          <w:color w:val="auto"/>
          <w:sz w:val="28"/>
          <w:szCs w:val="28"/>
        </w:rPr>
        <w:t>、</w:t>
      </w:r>
      <w:r>
        <w:rPr>
          <w:rFonts w:hint="eastAsia" w:ascii="仿宋_GB2312" w:hAnsi="宋体" w:eastAsia="仿宋_GB2312"/>
          <w:color w:val="auto"/>
          <w:sz w:val="28"/>
          <w:szCs w:val="28"/>
          <w:lang w:val="en-US" w:eastAsia="zh-CN"/>
        </w:rPr>
        <w:t>南京</w:t>
      </w:r>
      <w:r>
        <w:rPr>
          <w:rFonts w:hint="eastAsia" w:ascii="仿宋_GB2312" w:hAnsi="宋体" w:eastAsia="仿宋_GB2312"/>
          <w:color w:val="auto"/>
          <w:sz w:val="28"/>
          <w:szCs w:val="28"/>
        </w:rPr>
        <w:t>、浙江、</w:t>
      </w:r>
      <w:r>
        <w:rPr>
          <w:rFonts w:hint="eastAsia" w:ascii="仿宋_GB2312" w:hAnsi="宋体" w:eastAsia="仿宋_GB2312"/>
          <w:color w:val="auto"/>
          <w:sz w:val="28"/>
          <w:szCs w:val="28"/>
          <w:lang w:val="en-US" w:eastAsia="zh-CN"/>
        </w:rPr>
        <w:t>湖南</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广州</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安徽</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山东</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河北</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吉林</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内蒙古</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厦门</w:t>
      </w:r>
      <w:r>
        <w:rPr>
          <w:rFonts w:hint="eastAsia" w:ascii="仿宋_GB2312" w:hAnsi="宋体" w:eastAsia="仿宋_GB2312"/>
          <w:color w:val="auto"/>
          <w:sz w:val="28"/>
          <w:szCs w:val="28"/>
          <w:lang w:eastAsia="zh-CN"/>
        </w:rPr>
        <w:t>、</w:t>
      </w:r>
      <w:r>
        <w:rPr>
          <w:rFonts w:hint="eastAsia" w:ascii="仿宋_GB2312" w:hAnsi="宋体" w:eastAsia="仿宋_GB2312"/>
          <w:color w:val="auto"/>
          <w:sz w:val="28"/>
          <w:szCs w:val="28"/>
          <w:lang w:val="en-US" w:eastAsia="zh-CN"/>
        </w:rPr>
        <w:t>赣州</w:t>
      </w:r>
      <w:r>
        <w:rPr>
          <w:rFonts w:hint="eastAsia" w:ascii="仿宋_GB2312" w:hAnsi="宋体" w:eastAsia="仿宋_GB2312"/>
          <w:color w:val="auto"/>
          <w:sz w:val="28"/>
          <w:szCs w:val="28"/>
        </w:rPr>
        <w:t>等地的</w:t>
      </w:r>
      <w:r>
        <w:rPr>
          <w:rFonts w:hint="eastAsia" w:ascii="仿宋_GB2312" w:hAnsi="宋体" w:eastAsia="仿宋_GB2312"/>
          <w:color w:val="auto"/>
          <w:sz w:val="28"/>
          <w:szCs w:val="28"/>
          <w:lang w:val="en-US" w:eastAsia="zh-CN"/>
        </w:rPr>
        <w:t>广西壮族自治区脑科医院、北京回龙观医院、首都医科大学附属北京安定医院、南京医科大学附属脑科医院、湖南省脑科医院、广州医科大学附属脑科医院、安徽省精神卫生防治中心、重庆市精神卫生中心、山东省精神卫生中心、河北省精神卫生中心、吉林省神经精神病医院、内蒙古自治区精神卫生中心、厦门市仙岳医院、赣州市第三人民医院、中国人民解放军空军军医大学第一附属医院、广西医科大学第二附属</w:t>
      </w:r>
      <w:r>
        <w:rPr>
          <w:rFonts w:hint="eastAsia" w:ascii="仿宋_GB2312" w:eastAsia="仿宋_GB2312"/>
          <w:color w:val="auto"/>
          <w:kern w:val="0"/>
          <w:sz w:val="28"/>
          <w:szCs w:val="28"/>
          <w:lang w:val="en-US" w:eastAsia="zh-CN"/>
        </w:rPr>
        <w:t>医院、广西壮族自治区工人医院、南宁市第五人民医院、百色市第二人民医院、崇左市荣军优抚医院、河池市荣军优抚医院、南宁市社会福利医院、右江民族医院附属医院、玉林市荣军优抚医院、贵港市人民医院、河池市宜州区第三人民医院</w:t>
      </w:r>
      <w:r>
        <w:rPr>
          <w:rFonts w:hint="eastAsia" w:ascii="仿宋_GB2312" w:eastAsia="仿宋_GB2312"/>
          <w:color w:val="auto"/>
          <w:kern w:val="0"/>
          <w:sz w:val="28"/>
          <w:szCs w:val="28"/>
        </w:rPr>
        <w:t>等</w:t>
      </w:r>
      <w:r>
        <w:rPr>
          <w:rFonts w:hint="eastAsia" w:ascii="仿宋_GB2312" w:eastAsia="仿宋_GB2312"/>
          <w:color w:val="auto"/>
          <w:kern w:val="0"/>
          <w:sz w:val="28"/>
          <w:szCs w:val="28"/>
          <w:lang w:val="en-US" w:eastAsia="zh-CN"/>
        </w:rPr>
        <w:t>涉及</w:t>
      </w:r>
      <w:r>
        <w:rPr>
          <w:rFonts w:hint="eastAsia" w:ascii="仿宋_GB2312" w:hAnsi="宋体" w:eastAsia="仿宋_GB2312"/>
          <w:color w:val="auto"/>
          <w:sz w:val="28"/>
          <w:szCs w:val="28"/>
        </w:rPr>
        <w:t>住院精神障碍患者护理文书书写</w:t>
      </w:r>
      <w:r>
        <w:rPr>
          <w:rFonts w:hint="eastAsia" w:ascii="仿宋_GB2312" w:eastAsia="仿宋_GB2312"/>
          <w:color w:val="auto"/>
          <w:kern w:val="0"/>
          <w:sz w:val="28"/>
          <w:szCs w:val="28"/>
        </w:rPr>
        <w:t>实施的</w:t>
      </w:r>
      <w:r>
        <w:rPr>
          <w:rFonts w:hint="eastAsia" w:ascii="仿宋_GB2312" w:eastAsia="仿宋_GB2312"/>
          <w:color w:val="auto"/>
          <w:kern w:val="0"/>
          <w:sz w:val="28"/>
          <w:szCs w:val="28"/>
          <w:lang w:val="en-US" w:eastAsia="zh-CN"/>
        </w:rPr>
        <w:t>医院的</w:t>
      </w:r>
      <w:r>
        <w:rPr>
          <w:rFonts w:hint="eastAsia" w:ascii="仿宋_GB2312" w:eastAsia="仿宋_GB2312"/>
          <w:color w:val="auto"/>
          <w:kern w:val="0"/>
          <w:sz w:val="28"/>
          <w:szCs w:val="28"/>
        </w:rPr>
        <w:t>代表性建议意见，并组织起草单位召开标准研讨会，收集反馈了大量意见，对标准草案进行了反复修改和研究讨论，掌握了</w:t>
      </w:r>
      <w:r>
        <w:rPr>
          <w:rFonts w:hint="eastAsia" w:ascii="仿宋_GB2312" w:hAnsi="宋体" w:eastAsia="仿宋_GB2312"/>
          <w:color w:val="auto"/>
          <w:sz w:val="28"/>
          <w:szCs w:val="28"/>
        </w:rPr>
        <w:t>住院精神障碍患者护理文书书写</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1"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hAnsi="宋体" w:eastAsia="仿宋_GB2312"/>
          <w:color w:val="auto"/>
          <w:sz w:val="28"/>
          <w:szCs w:val="28"/>
        </w:rPr>
        <w:t>住院精神障碍患者护理文书书写</w:t>
      </w:r>
      <w:r>
        <w:rPr>
          <w:rFonts w:hint="eastAsia" w:ascii="仿宋_GB2312" w:eastAsia="仿宋_GB2312"/>
          <w:color w:val="auto"/>
          <w:sz w:val="28"/>
          <w:szCs w:val="28"/>
          <w:lang w:val="en-US" w:eastAsia="zh-CN"/>
        </w:rPr>
        <w:t>规范</w:t>
      </w:r>
      <w:r>
        <w:rPr>
          <w:rFonts w:hint="eastAsia" w:ascii="仿宋_GB2312" w:eastAsia="仿宋_GB2312"/>
          <w:color w:val="auto"/>
          <w:kern w:val="0"/>
          <w:sz w:val="28"/>
          <w:szCs w:val="28"/>
        </w:rPr>
        <w:t>》（征求意见稿）及其编制说明。</w:t>
      </w:r>
      <w:bookmarkEnd w:id="1"/>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hAnsi="宋体" w:eastAsia="仿宋_GB2312"/>
          <w:color w:val="auto"/>
          <w:sz w:val="28"/>
          <w:szCs w:val="28"/>
        </w:rPr>
        <w:t>住院精神障碍患者护理文书书写</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val="en-US" w:eastAsia="zh-CN"/>
        </w:rPr>
        <w:t>临床</w:t>
      </w:r>
      <w:r>
        <w:rPr>
          <w:rFonts w:hint="eastAsia" w:ascii="仿宋_GB2312" w:eastAsia="仿宋_GB2312" w:cs="仿宋"/>
          <w:color w:val="auto"/>
          <w:sz w:val="28"/>
          <w:szCs w:val="28"/>
        </w:rPr>
        <w:t>实践经验，并借鉴国内</w:t>
      </w:r>
      <w:r>
        <w:rPr>
          <w:rFonts w:hint="eastAsia" w:ascii="仿宋_GB2312" w:hAnsi="宋体" w:eastAsia="仿宋_GB2312"/>
          <w:color w:val="auto"/>
          <w:sz w:val="28"/>
          <w:szCs w:val="28"/>
        </w:rPr>
        <w:t>住院精神障碍患者护理文书书写</w:t>
      </w:r>
      <w:r>
        <w:rPr>
          <w:rFonts w:hint="eastAsia" w:ascii="仿宋_GB2312" w:eastAsia="仿宋_GB2312" w:cs="仿宋"/>
          <w:color w:val="auto"/>
          <w:sz w:val="28"/>
          <w:szCs w:val="28"/>
        </w:rPr>
        <w:t>进行总结起草的，符合工作实际，利于</w:t>
      </w:r>
      <w:r>
        <w:rPr>
          <w:rFonts w:hint="eastAsia" w:ascii="仿宋_GB2312" w:hAnsi="宋体" w:eastAsia="仿宋_GB2312"/>
          <w:color w:val="auto"/>
          <w:sz w:val="28"/>
          <w:szCs w:val="28"/>
        </w:rPr>
        <w:t>住院精神障碍患者护理文书书写</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hAnsi="宋体" w:eastAsia="仿宋_GB2312"/>
          <w:color w:val="auto"/>
          <w:sz w:val="28"/>
          <w:szCs w:val="28"/>
        </w:rPr>
        <w:t>住院精神障碍患者护理文书书写</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hAnsi="宋体" w:eastAsia="仿宋_GB2312"/>
          <w:color w:val="auto"/>
          <w:sz w:val="28"/>
          <w:szCs w:val="28"/>
        </w:rPr>
        <w:t>住院精神障碍患者护理文书书写</w:t>
      </w:r>
      <w:r>
        <w:rPr>
          <w:rFonts w:hint="eastAsia" w:ascii="仿宋_GB2312" w:eastAsia="仿宋_GB2312"/>
          <w:color w:val="auto"/>
          <w:sz w:val="28"/>
          <w:szCs w:val="28"/>
        </w:rPr>
        <w:t>现实情况的同时，还考虑到了</w:t>
      </w:r>
      <w:r>
        <w:rPr>
          <w:rFonts w:hint="eastAsia" w:ascii="仿宋_GB2312" w:hAnsi="宋体" w:eastAsia="仿宋_GB2312"/>
          <w:color w:val="auto"/>
          <w:sz w:val="28"/>
          <w:szCs w:val="28"/>
        </w:rPr>
        <w:t>住院精神障碍患者护理文书书写</w:t>
      </w:r>
      <w:r>
        <w:rPr>
          <w:rFonts w:hint="eastAsia" w:ascii="仿宋_GB2312" w:eastAsia="仿宋_GB2312"/>
          <w:color w:val="auto"/>
          <w:sz w:val="28"/>
          <w:szCs w:val="28"/>
        </w:rPr>
        <w:t>的需要，在标准中体现了个别特色性、前瞻性和先进性条款，作为对</w:t>
      </w:r>
      <w:r>
        <w:rPr>
          <w:rFonts w:hint="eastAsia" w:ascii="仿宋_GB2312" w:hAnsi="宋体" w:eastAsia="仿宋_GB2312"/>
          <w:color w:val="auto"/>
          <w:sz w:val="28"/>
          <w:szCs w:val="28"/>
        </w:rPr>
        <w:t>住院精神障碍患者护理</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hAnsi="宋体" w:eastAsia="仿宋_GB2312"/>
          <w:color w:val="auto"/>
          <w:sz w:val="28"/>
          <w:szCs w:val="28"/>
        </w:rPr>
        <w:t>住院精神障碍患者护理文书书写</w:t>
      </w:r>
      <w:bookmarkStart w:id="2" w:name="_GoBack"/>
      <w:bookmarkEnd w:id="2"/>
      <w:r>
        <w:rPr>
          <w:rFonts w:hint="eastAsia" w:ascii="仿宋_GB2312" w:eastAsia="仿宋_GB2312"/>
          <w:color w:val="auto"/>
          <w:sz w:val="28"/>
          <w:szCs w:val="28"/>
        </w:rPr>
        <w:t>研究应用过程中的实践经验确定。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2AD8AE8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经查询，目前暂无“</w:t>
      </w:r>
      <w:r>
        <w:rPr>
          <w:rFonts w:hint="eastAsia" w:ascii="仿宋_GB2312" w:hAnsi="宋体" w:eastAsia="仿宋_GB2312"/>
          <w:color w:val="auto"/>
          <w:sz w:val="28"/>
          <w:szCs w:val="28"/>
        </w:rPr>
        <w:t>住院精神障碍患者护理文书书写</w:t>
      </w:r>
      <w:r>
        <w:rPr>
          <w:rFonts w:hint="eastAsia" w:ascii="仿宋_GB2312" w:eastAsia="仿宋_GB2312"/>
          <w:color w:val="auto"/>
          <w:sz w:val="28"/>
          <w:szCs w:val="28"/>
        </w:rPr>
        <w:t>”的标准。</w:t>
      </w:r>
    </w:p>
    <w:p w14:paraId="46C26CB3">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与“文书书写”“护理文件”“护理文书”相关的标准主要有：DB22/T 3469-2023  医疗机构护理文书书写规范、DB22/T 3373-2022  儿童动态心电图诊断电子文书书写规范、DB14/T 2147-2020  养老机构护理文书书写规范、DB1301/T540-2024  养老服务机构老年人健康档案书写规范、DB2201/T 58-2023  养老机构护理文件书写与管理规范、T/CEMA 039—2025中西医结合护理文件书写规范。其中《DB22/T 3469-2023  医疗机构护理文书书写规范》未考虑到精神专科医院的如MECT治疗、保护性约束等具有专科特色的护理文件的书写要求。</w:t>
      </w:r>
    </w:p>
    <w:p w14:paraId="0F8DA26B">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上述标准涉及医疗机构护理文书、儿童动态心电图诊断文书、养老机构护理文书、中西医结合护理文书，但不涉及精神专科护理文书书写相关内容。申报的团体标准《精神专科医院护理文件书写与管理规范》的主要规定了精神专科医院护理文件书写的基本要求、记录内容及要求和档案管理，适用于精神专科医院护理文件书写与管理工作。其核心内容是精神疾病患者住院期间，护理人员需根据对患者实施的各项评估、治疗措施、护理措施等实际情况书写护理文件，做到规范记录、规范管理。主要内容一是明确精神科入院风险评估的项目、记录要求和记录时限。二是明确精神专科医院住院患者日常护理记录的内容，对生命征测量及记录、MECT治疗护理记录、保护性约束护理记录等作出了要求。</w:t>
      </w:r>
    </w:p>
    <w:p w14:paraId="63BA941F">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目前广西精神科护理文件书写主要还是依据卫生部2010年下发的《病历书写基本规范》和2017年2月15日国家卫生计生委、国家中医药管理局印发的《电子病历应用管理规范（试行）》，相关规范从基本层面规定了病历书写应当客观、真实、准确、及时、完整、规范，也要求专科情况应当根据专科需要记录专科特殊情况，但未给精神专科医院的护理文书的书写作出明确的要求及指导。</w:t>
      </w:r>
    </w:p>
    <w:p w14:paraId="7B6445AB">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4F298ECC">
      <w:pPr>
        <w:pStyle w:val="32"/>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标准</w:t>
      </w:r>
      <w:r>
        <w:rPr>
          <w:rFonts w:hint="eastAsia" w:ascii="仿宋_GB2312" w:eastAsia="仿宋_GB2312" w:cs="仿宋"/>
          <w:b w:val="0"/>
          <w:bCs w:val="0"/>
          <w:color w:val="auto"/>
          <w:sz w:val="28"/>
          <w:szCs w:val="28"/>
          <w:lang w:val="en-US" w:eastAsia="zh-CN"/>
        </w:rPr>
        <w:t>技术内容规定了住院精神障碍患者护理文书书写的基本要求、护理评估单要求、记录内容及要求。广西壮族自治区脑科医院对精神障碍患者治疗与护理方面进行大量的研究和临床实践，承担了多项课题，发表了多篇论文，取得了显著的成果。</w:t>
      </w:r>
    </w:p>
    <w:p w14:paraId="3A3B9ADA">
      <w:pPr>
        <w:pStyle w:val="32"/>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（一）</w:t>
      </w:r>
      <w:r>
        <w:rPr>
          <w:rFonts w:hint="eastAsia" w:ascii="仿宋_GB2312" w:eastAsia="仿宋_GB2312" w:cs="仿宋"/>
          <w:b/>
          <w:bCs/>
          <w:color w:val="auto"/>
          <w:sz w:val="28"/>
          <w:szCs w:val="28"/>
        </w:rPr>
        <w:t>术语和定义</w:t>
      </w:r>
    </w:p>
    <w:p w14:paraId="5755EDD2">
      <w:pPr>
        <w:pStyle w:val="32"/>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bCs w:val="0"/>
          <w:color w:val="auto"/>
          <w:sz w:val="28"/>
          <w:szCs w:val="28"/>
          <w:highlight w:val="none"/>
          <w:lang w:val="en-US" w:eastAsia="zh-CN"/>
        </w:rPr>
        <w:t>护理文书</w:t>
      </w:r>
      <w:r>
        <w:rPr>
          <w:rFonts w:hint="eastAsia" w:ascii="仿宋_GB2312" w:eastAsia="仿宋_GB2312" w:cs="仿宋"/>
          <w:b w:val="0"/>
          <w:bCs/>
          <w:color w:val="auto"/>
          <w:sz w:val="28"/>
          <w:szCs w:val="28"/>
          <w:highlight w:val="none"/>
          <w:lang w:val="en-US" w:eastAsia="zh-CN"/>
        </w:rPr>
        <w:t>：</w:t>
      </w:r>
      <w:r>
        <w:rPr>
          <w:rFonts w:hint="default" w:ascii="仿宋_GB2312" w:eastAsia="仿宋_GB2312" w:cs="仿宋"/>
          <w:b w:val="0"/>
          <w:bCs/>
          <w:color w:val="auto"/>
          <w:sz w:val="28"/>
          <w:szCs w:val="28"/>
          <w:highlight w:val="none"/>
          <w:lang w:val="en-US" w:eastAsia="zh-CN"/>
        </w:rPr>
        <w:t>护</w:t>
      </w:r>
      <w:r>
        <w:rPr>
          <w:rFonts w:hint="default" w:ascii="仿宋_GB2312" w:eastAsia="仿宋_GB2312" w:cs="仿宋"/>
          <w:b w:val="0"/>
          <w:bCs w:val="0"/>
          <w:color w:val="auto"/>
          <w:sz w:val="28"/>
          <w:szCs w:val="28"/>
          <w:lang w:val="en-US" w:eastAsia="zh-CN"/>
        </w:rPr>
        <w:t>理人员在护理过程中形成的客观记录文件。</w:t>
      </w:r>
      <w:r>
        <w:rPr>
          <w:rFonts w:hint="eastAsia" w:ascii="仿宋_GB2312" w:eastAsia="仿宋_GB2312" w:cs="仿宋"/>
          <w:b w:val="0"/>
          <w:bCs w:val="0"/>
          <w:color w:val="auto"/>
          <w:sz w:val="28"/>
          <w:szCs w:val="28"/>
          <w:lang w:val="en-US" w:eastAsia="zh-CN"/>
        </w:rPr>
        <w:t>根据《病历书写基本规范》（卫医政发〔2010〕11号）</w:t>
      </w:r>
      <w:r>
        <w:rPr>
          <w:rFonts w:hint="default" w:ascii="仿宋_GB2312" w:eastAsia="仿宋_GB2312" w:cs="仿宋"/>
          <w:b w:val="0"/>
          <w:bCs w:val="0"/>
          <w:color w:val="auto"/>
          <w:sz w:val="28"/>
          <w:szCs w:val="28"/>
          <w:lang w:val="en-US" w:eastAsia="zh-CN"/>
        </w:rPr>
        <w:t>明确了护理文书（如体温单、医嘱单、护理记录等）是病历的法定组成部分，必须客观、真实、准确、及时、规范地记录</w:t>
      </w:r>
      <w:r>
        <w:rPr>
          <w:rFonts w:hint="eastAsia" w:ascii="仿宋_GB2312" w:eastAsia="仿宋_GB2312" w:cs="仿宋"/>
          <w:b w:val="0"/>
          <w:bCs w:val="0"/>
          <w:color w:val="auto"/>
          <w:sz w:val="28"/>
          <w:szCs w:val="28"/>
          <w:lang w:val="en-US" w:eastAsia="zh-CN"/>
        </w:rPr>
        <w:t>。《关于在医疗机构推行表格式护理文书的通知》（卫办医政发〔2010〕125号）该通知对护理文书的类别进行了界定，明确规定护士需要填写、书写的护理文书包括：体温单、医嘱单、手术清点记录、病重（病危）患者护理记录。</w:t>
      </w:r>
    </w:p>
    <w:p w14:paraId="339CC637">
      <w:pPr>
        <w:pStyle w:val="32"/>
        <w:numPr>
          <w:ilvl w:val="0"/>
          <w:numId w:val="0"/>
        </w:numPr>
        <w:spacing w:line="520" w:lineRule="exact"/>
        <w:ind w:left="0" w:leftChars="0" w:firstLine="562"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住院精神障碍患者</w:t>
      </w:r>
      <w:r>
        <w:rPr>
          <w:rFonts w:hint="eastAsia" w:ascii="仿宋_GB2312" w:eastAsia="仿宋_GB2312" w:cs="仿宋"/>
          <w:b w:val="0"/>
          <w:bCs/>
          <w:color w:val="auto"/>
          <w:sz w:val="28"/>
          <w:szCs w:val="28"/>
          <w:highlight w:val="none"/>
          <w:lang w:val="en-US" w:eastAsia="zh-CN"/>
        </w:rPr>
        <w:t>：由于患者大脑功能活动异常，从而导致其情感、认知、行为等精神活动出现不同程度障碍，经专业医师诊断确认需在医疗机构接受系统评估、监护和综合治疗的患者。</w:t>
      </w:r>
    </w:p>
    <w:p w14:paraId="0E38D06D">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default" w:ascii="仿宋_GB2312" w:eastAsia="仿宋_GB2312" w:cs="仿宋"/>
          <w:b w:val="0"/>
          <w:bCs/>
          <w:color w:val="auto"/>
          <w:sz w:val="28"/>
          <w:szCs w:val="28"/>
          <w:highlight w:val="none"/>
          <w:lang w:val="en-US" w:eastAsia="zh-CN"/>
        </w:rPr>
        <w:t>《中华人民共和国精神卫生法》（第三十条）该条款规定了精神障碍住院治疗的两种情形：自愿原则；对于严重精神障碍患者，若已经发生伤害自身的行为或危险、已经发生危害他人安全的行为或危险，应当实施住院治疗</w:t>
      </w:r>
      <w:r>
        <w:rPr>
          <w:rFonts w:hint="eastAsia" w:ascii="仿宋_GB2312" w:eastAsia="仿宋_GB2312" w:cs="仿宋"/>
          <w:b w:val="0"/>
          <w:bCs/>
          <w:color w:val="auto"/>
          <w:sz w:val="28"/>
          <w:szCs w:val="28"/>
          <w:highlight w:val="none"/>
          <w:lang w:val="en-US" w:eastAsia="zh-CN"/>
        </w:rPr>
        <w:t>。《严重精神障碍管理治疗工作规范（2018年版）》（国家卫生健康委发布）“指精神疾病症状严重，导致患者社会适应等功能严重损害、对自身健康状况或者客观现实不能完整认识，或者不能处理自身事物的精神障碍。”明确了精神分裂症、分裂情感性障碍、偏执性精神病、双相（情感）障碍、癫痫所致精神障碍、精神发育迟滞伴发精神障碍等六类严重精神障碍的确诊患者。</w:t>
      </w:r>
    </w:p>
    <w:p w14:paraId="606CA196">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住院精神障碍患者的诊断与住院决定必须由经专业医师诊断确认，符合《精神卫生法》规定的法定情形。</w:t>
      </w:r>
    </w:p>
    <w:p w14:paraId="1DB4C865">
      <w:pPr>
        <w:pStyle w:val="32"/>
        <w:keepNext w:val="0"/>
        <w:keepLines w:val="0"/>
        <w:pageBreakBefore w:val="0"/>
        <w:widowControl/>
        <w:numPr>
          <w:ilvl w:val="0"/>
          <w:numId w:val="0"/>
        </w:numPr>
        <w:kinsoku/>
        <w:wordWrap/>
        <w:overflowPunct/>
        <w:topLinePunct w:val="0"/>
        <w:autoSpaceDE w:val="0"/>
        <w:autoSpaceDN w:val="0"/>
        <w:bidi w:val="0"/>
        <w:adjustRightInd/>
        <w:snapToGrid/>
        <w:spacing w:line="240" w:lineRule="auto"/>
        <w:jc w:val="both"/>
        <w:textAlignment w:val="auto"/>
        <w:rPr>
          <w:bdr w:val="single" w:sz="4" w:space="0"/>
        </w:rPr>
      </w:pPr>
    </w:p>
    <w:p w14:paraId="5171340D">
      <w:pPr>
        <w:pStyle w:val="32"/>
        <w:spacing w:line="520" w:lineRule="exact"/>
        <w:ind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eastAsia="zh-CN"/>
        </w:rPr>
        <w:t>（二）</w:t>
      </w:r>
      <w:r>
        <w:rPr>
          <w:rFonts w:hint="eastAsia" w:ascii="仿宋_GB2312" w:eastAsia="仿宋_GB2312" w:cs="仿宋"/>
          <w:b/>
          <w:bCs/>
          <w:color w:val="auto"/>
          <w:sz w:val="28"/>
          <w:szCs w:val="28"/>
          <w:lang w:val="en-US" w:eastAsia="zh-CN"/>
        </w:rPr>
        <w:t>基本要求</w:t>
      </w:r>
    </w:p>
    <w:p w14:paraId="0AD75150">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1、要求按照临床护理工作程序和内容选择相应的护理文书记录单，并强调记录内容的客观、真实、准确、及时、规范、完整。这一原则直接来源于卫生部《病历书写基本规范》（卫医政发〔2010〕11号）第三条关于病历书写应当客观、真实、准确、及时、完整、规范的规定，同时参照《卫生部办公厅关于在医疗机构推行表格式护理文书的通知》（卫办医政发〔2010〕125号），旨在统一护理文书格式，减轻护士书写负担，并保证护理记录与医疗病历的逻辑一致性。</w:t>
      </w:r>
    </w:p>
    <w:p w14:paraId="545E85AF">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2、规定手写护理文书应使用蓝黑墨水或碳素墨水书写，患者出院后归档且不可修改。参考了《医疗机构病历管理规定》中关于病历保存与修改的总体原则，同时沿用通用档案书写标准，确保字迹耐久、清晰可辨，防止因墨水褪色或涂改引发法律风险。电子护理文书采用电子数据方式保存，并保留操作痕迹，其依据为国家卫健委《电子病历应用管理规范（试行）》中关于电子病历的身份识别、操作留痕、时间标记等要求，以保障电子医疗信息的可追溯性和安全性。</w:t>
      </w:r>
    </w:p>
    <w:p w14:paraId="507CF91D">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3、要求规范使用中文、医学术语及通用外文缩写，文字工整，语句通顺，标点正确。依据《中华人民共和国国家通用语言文字法》及《病历书写基本规范》第六条，确保医疗信息传递的标准化与准确性，避免因书写歧义导致医疗差错。计量单位必须使用中华人民共和国法定计量单位，日期和时间采用阿拉伯数字、24小时制记录，依据《中华人民共和国计量法》及《病历书写基本规范》第九条，保证护理数据在临床、科研及统计中的通用性与精确性。</w:t>
      </w:r>
    </w:p>
    <w:p w14:paraId="72C8D7BD">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4、电子护理文书的修改由当事人、护士长或备案质控护士审查并签名，保留历次修改痕迹；手写文书记录出现错误时，应在错误处划双线、保留原记录清楚可辨、注明修改时间及修改人签名，禁止刮、粘、涂等方法掩盖原字迹，每个版面修改不超过两次。遵循《病历书写基本规范》第七条关于修改的规定，同时参考《医疗事故处理条例》中关于病历作为法律证据的真实性要求，以及司法鉴定实践中对原始记录可追溯性的需要，防范篡改病历的法律风险。</w:t>
      </w:r>
    </w:p>
    <w:p w14:paraId="4649F920">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5、护理文书应由在本医疗机构注册、具有合法执业资质的护士记录。实习生、进修生、未取得护士资格证书或未在本机构注册的护士，须由具有注册资质的老师审阅、修改并签名，署名方式为“老师姓名/学生签名”。依据国务院《护士条例》关于护士执业注册与执业规范的要求，同时参考洛阳市卫健委《洛阳市电子病历护理文书书写专家共识（2023版）》等地方性实践，明确教学责任与法律责任，保障护理记录的法律效力。</w:t>
      </w:r>
    </w:p>
    <w:p w14:paraId="39FF949C">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6、对需取得患者书面同意方可进行的护理活动，应由患者本人签署知情同意书；患者不具备完全民事行为能力时由其法定代理人签字，因病无法签字时由授权人员签字。来源于《中华人民共和国民法典》关于患者知情同意权的规定，以及《医疗机构管理条例》第三十三条关于手术、特殊检查与特殊治疗需征得患者同意的要求，体现了对患者自主决定权与特殊群体权益的法律保护。</w:t>
      </w:r>
    </w:p>
    <w:p w14:paraId="008508F9">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7、明确电子护理文书与纸质护理文书具有同等法律效力，依据《电子病历应用管理规范（试行）》第四条及《中华人民共和国电子签名法》的相关规定，适应医疗信息化发展趋势，确保护理记录在不同载体形式下的司法采信度与管理效力。</w:t>
      </w:r>
    </w:p>
    <w:p w14:paraId="331C2F4D">
      <w:pPr>
        <w:pStyle w:val="32"/>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8、针对精神障碍患者，护理记录单应记录精神症状观察、护理措施落实、病情变化及患者诉求等核心内容。依据《中华人民共和国精神卫生法》关于精神障碍诊断、治疗与康复的特殊要求，参考洛阳市卫健委《洛阳市电子病历护理文书书写专家共识（2023版）》中精神专科护理记录的建议，强调精神症状的动态评估与患者诉求的真实记录，保障精神障碍患者的合法权益与护理安全。</w:t>
      </w:r>
    </w:p>
    <w:p w14:paraId="26A65450">
      <w:pPr>
        <w:pStyle w:val="32"/>
        <w:numPr>
          <w:ilvl w:val="0"/>
          <w:numId w:val="0"/>
        </w:numPr>
        <w:spacing w:line="520" w:lineRule="exact"/>
        <w:ind w:firstLine="0" w:firstLineChars="0"/>
        <w:rPr>
          <w:rFonts w:hint="eastAsia" w:ascii="仿宋_GB2312" w:eastAsia="仿宋_GB2312" w:cs="仿宋"/>
          <w:b/>
          <w:bCs/>
          <w:color w:val="auto"/>
          <w:sz w:val="28"/>
          <w:szCs w:val="28"/>
          <w:lang w:val="en-US" w:eastAsia="zh-CN"/>
        </w:rPr>
      </w:pPr>
      <w:r>
        <w:rPr>
          <w:rFonts w:hint="eastAsia" w:ascii="仿宋_GB2312" w:hAnsi="Calibri" w:eastAsia="仿宋_GB2312" w:cs="仿宋"/>
          <w:b/>
          <w:bCs/>
          <w:color w:val="auto"/>
          <w:sz w:val="28"/>
          <w:szCs w:val="28"/>
          <w:lang w:val="en-US" w:eastAsia="zh-CN" w:bidi="ar-SA"/>
        </w:rPr>
        <w:t>（三）护理评估单要求</w:t>
      </w:r>
    </w:p>
    <w:p w14:paraId="1C907426">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护理评估单是护理文书的核心组成部分，其内容与操作要求依据国家护理规范、精神卫生法律法规及临床风险管理指南制定，旨在系统收集患者健康资料，识别护理问题与风险，为制定个性化护理计划提供依据。</w:t>
      </w:r>
    </w:p>
    <w:p w14:paraId="2D4FEB30">
      <w:pPr>
        <w:pStyle w:val="32"/>
        <w:numPr>
          <w:ilvl w:val="0"/>
          <w:numId w:val="0"/>
        </w:numPr>
        <w:spacing w:line="520" w:lineRule="exact"/>
        <w:ind w:left="0" w:leftChars="0" w:firstLine="562" w:firstLineChars="200"/>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1、入院护理评估单</w:t>
      </w:r>
    </w:p>
    <w:p w14:paraId="49D087E5">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要求患者入院时填写入院护理评估单，内容包括过敏史、既往史、文化程度、婚姻状况、宗教信仰、精神症状、护理风险评估，并允许医疗机构根据实际情况增加护理查体、资料来源等内容。此规定参照卫生部《病历书写基本规范》中关于入院记录的要求，同时依据《中华人民共和国精神卫生法》关于精神障碍患者诊疗需全面了解患者社会背景与精神状况的规定。强调与患者、家属、送医人员及医生的综合沟通，确保评估结果的全面性，体现了多源信息交叉验证的原则。要求在当班完成评估，并允许因患方隐瞒病史或精神症状影响而于入院24小时内补充完善，这是基于精神科临床实践中患者自知力不全、病史采集困难的实际考量，参考了精神科护理质量评价标准中关于评估时限的弹性设计，兼顾及时性与准确性。</w:t>
      </w:r>
    </w:p>
    <w:p w14:paraId="5FB3B957">
      <w:pPr>
        <w:pStyle w:val="32"/>
        <w:numPr>
          <w:ilvl w:val="0"/>
          <w:numId w:val="7"/>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日常生活能力评估单</w:t>
      </w:r>
    </w:p>
    <w:p w14:paraId="58264961">
      <w:pPr>
        <w:pStyle w:val="32"/>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要求在入院时、病情变化时、转科前后、出院前进行评估，并选用Katz指数评定量表或Barthel指数评定量表，具体按T/GXAS 1263的规定执行。Barthel指数评定量表是国际通用的日常生活能力评估工具，其信效度在多项护理研究中得到验证（参见李小寒等《基础护理学》第6版及中华护理学会相关团体标准）。评估结果用于确定生活自理能力等级，并对结果为“大部分需他人照护”者规定至少每天评估1次、每周记录1次。该频率要求参考了国家护理质量指标监测平台关于长期照护患者评估频率的推荐，旨在动态监测患者功能变化，及时调整护理措施。</w:t>
      </w:r>
    </w:p>
    <w:p w14:paraId="39BA19BC">
      <w:pPr>
        <w:pStyle w:val="32"/>
        <w:numPr>
          <w:ilvl w:val="0"/>
          <w:numId w:val="0"/>
        </w:numPr>
        <w:spacing w:line="520" w:lineRule="exact"/>
        <w:ind w:left="0" w:leftChars="0" w:firstLine="562" w:firstLineChars="200"/>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3.精神科风险评估及防范措施记录单</w:t>
      </w:r>
    </w:p>
    <w:p w14:paraId="72D04117">
      <w:pPr>
        <w:keepNext w:val="0"/>
        <w:keepLines w:val="0"/>
        <w:widowControl/>
        <w:suppressLineNumbers w:val="0"/>
        <w:ind w:firstLine="560" w:firstLineChars="200"/>
        <w:jc w:val="left"/>
        <w:rPr>
          <w:rFonts w:hint="eastAsia" w:ascii="仿宋_GB2312" w:eastAsia="宋体"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针对精神科特有的暴力攻击、自杀自伤、擅自离院三类风险，分别要求使用中文版布罗塞特攻击行为量表（BVC）、护士用自杀风险评估量表（NGASR）、擅自离院风险评估量表进行评估。BVC量表在国际精神科暴力风险评估中具有较高预测效度，中文版已由国内学者进行跨文化调适并验证信度（参见张素娟等《中国实用护理杂志》相关研究），主要参照中华护理学会T/CNAS 30-2023《住院精神疾病患者攻击行为预防》；NGASR量表是专门为护士设计的自杀风险评估工具，其敏感性与特异性在精神科临床中得到广泛认可，主要参照T/CNAS 38-2023《住院精神疾病患者自杀风险护理》。对高风险或中风险及以上者，要求每班评估、每周记录，连续一周低风险后可停止评估。这一动态评估与退出机制参考了《精神卫生法》关于危险性评估的规定以及国家卫健委《严重精神障碍管理治疗工作规范》，既保障患者安全，又避免不必要的记录负担。同时规定护士长至少每周复评并审签，体现了质量控制的层级管理原则。擅自离院风险应使用擅自离院风险评估量表进行评估，评估量表及记录单见附录D。主要参照《精神科护理学》第五版。</w:t>
      </w:r>
    </w:p>
    <w:p w14:paraId="6076158B">
      <w:pPr>
        <w:keepNext w:val="0"/>
        <w:keepLines w:val="0"/>
        <w:widowControl/>
        <w:suppressLineNumbers w:val="0"/>
        <w:ind w:firstLine="562" w:firstLineChars="200"/>
        <w:jc w:val="left"/>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4.精神科住院患者保护性约束评估及观察记录单</w:t>
      </w:r>
    </w:p>
    <w:p w14:paraId="4C0851DB">
      <w:pPr>
        <w:keepNext w:val="0"/>
        <w:keepLines w:val="0"/>
        <w:widowControl/>
        <w:suppressLineNumbers w:val="0"/>
        <w:ind w:firstLine="560" w:firstLineChars="200"/>
        <w:jc w:val="left"/>
        <w:rPr>
          <w:rFonts w:hint="default" w:ascii="仿宋_GB2312" w:hAnsi="Calibri" w:eastAsia="仿宋_GB2312" w:cs="仿宋"/>
          <w:b w:val="0"/>
          <w:bCs/>
          <w:color w:val="auto"/>
          <w:kern w:val="2"/>
          <w:sz w:val="28"/>
          <w:szCs w:val="28"/>
          <w:highlight w:val="none"/>
          <w:lang w:val="en-US" w:eastAsia="zh-CN" w:bidi="ar-SA"/>
        </w:rPr>
      </w:pPr>
      <w:r>
        <w:rPr>
          <w:rFonts w:hint="eastAsia" w:ascii="仿宋_GB2312" w:eastAsia="仿宋_GB2312" w:cs="仿宋"/>
          <w:b w:val="0"/>
          <w:bCs/>
          <w:color w:val="auto"/>
          <w:kern w:val="2"/>
          <w:sz w:val="28"/>
          <w:szCs w:val="28"/>
          <w:highlight w:val="none"/>
          <w:lang w:val="en-US" w:eastAsia="zh-CN" w:bidi="ar-SA"/>
        </w:rPr>
        <w:t>保护性约束的使用严格限定于患者发生或将要发生伤害自身、危害他人安全、扰乱医疗秩序且无其他可替代措施的情形，此规定直接来源于《中华人民共和国精神卫生法》第四十条。要求实施前由至少2名医务人员共同使用保护性约束实施评估单进行评估，并双人确认后方可执行，体现了约束决策的审慎性与多学科协作精神。约束期间每1小时使用解除评估单进行双人评估，达到标准即予解除，旨在缩短不必要的约束时间。每30分钟巡视、每2小时活动肢体、观察约束部位皮肤完整性及末梢循环等要求，参考了国家卫健委《护理分级》标准及精神科约束护理实践指南（如中华护理学会精神科专业委员会《精神科护理工作指南》）。约束期间需记录饮水、如厕、进餐、心理护理等措施，体现了约束过程中的人道主义护理。关于紧急情况下可先行约束、30分钟内补记医嘱及告知家属的规定，借鉴了《医疗机构管理条例》第三十三条关于紧急救治的例外条款，确保在突发暴力或自伤行为时能够及时保护患者与他人安全。</w:t>
      </w:r>
    </w:p>
    <w:p w14:paraId="3AE33B36">
      <w:pPr>
        <w:keepNext w:val="0"/>
        <w:keepLines w:val="0"/>
        <w:widowControl/>
        <w:suppressLineNumbers w:val="0"/>
        <w:jc w:val="center"/>
      </w:pPr>
    </w:p>
    <w:p w14:paraId="5242409D">
      <w:pPr>
        <w:pStyle w:val="32"/>
        <w:spacing w:line="520" w:lineRule="exact"/>
        <w:ind w:firstLine="0" w:firstLineChars="0"/>
        <w:rPr>
          <w:rFonts w:hint="eastAsia" w:ascii="仿宋_GB2312" w:eastAsia="仿宋_GB2312" w:cs="仿宋"/>
          <w:b/>
          <w:bCs/>
          <w:color w:val="auto"/>
          <w:sz w:val="28"/>
          <w:szCs w:val="28"/>
          <w:lang w:eastAsia="zh-CN"/>
        </w:rPr>
      </w:pPr>
      <w:r>
        <w:rPr>
          <w:rFonts w:hint="eastAsia" w:ascii="仿宋_GB2312" w:eastAsia="仿宋_GB2312" w:cs="仿宋"/>
          <w:b/>
          <w:bCs/>
          <w:color w:val="auto"/>
          <w:sz w:val="28"/>
          <w:szCs w:val="28"/>
          <w:lang w:eastAsia="zh-CN"/>
        </w:rPr>
        <w:t>（四）护理记录内容及要求</w:t>
      </w:r>
    </w:p>
    <w:p w14:paraId="702E6AFD">
      <w:pPr>
        <w:keepNext w:val="0"/>
        <w:keepLines w:val="0"/>
        <w:widowControl/>
        <w:suppressLineNumbers w:val="0"/>
        <w:ind w:firstLine="560" w:firstLineChars="200"/>
        <w:jc w:val="left"/>
        <w:rPr>
          <w:rFonts w:hint="default" w:ascii="仿宋_GB2312" w:hAnsi="Calibri"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护理记录是护理文书的核心组成部分，是对患者住院期间护理过程的客观记载，具有法律证据、质量评价和临床教研等多重功能。本条款的制定以《医疗事故处理条例》《病历书写基本规范》及精神卫生相关法律法规为基础，结合精神科临床护理实践特点，对护理记录的内容要素、分场景记录要求和书写原则作出系统规定。</w:t>
      </w:r>
    </w:p>
    <w:p w14:paraId="5DE6E9DD">
      <w:pPr>
        <w:pStyle w:val="2"/>
        <w:rPr>
          <w:rFonts w:hint="default"/>
          <w:b/>
          <w:bCs w:val="0"/>
          <w:lang w:val="en-US" w:eastAsia="zh-CN"/>
        </w:rPr>
      </w:pPr>
      <w:r>
        <w:rPr>
          <w:rFonts w:hint="eastAsia" w:cs="仿宋"/>
          <w:b/>
          <w:bCs w:val="0"/>
          <w:color w:val="auto"/>
          <w:kern w:val="2"/>
          <w:sz w:val="28"/>
          <w:szCs w:val="28"/>
          <w:highlight w:val="none"/>
          <w:lang w:val="en-US" w:eastAsia="zh-CN" w:bidi="ar-SA"/>
        </w:rPr>
        <w:t>1.基本记录</w:t>
      </w:r>
    </w:p>
    <w:p w14:paraId="559920BE">
      <w:pPr>
        <w:keepNext w:val="0"/>
        <w:keepLines w:val="0"/>
        <w:widowControl/>
        <w:suppressLineNumbers w:val="0"/>
        <w:ind w:firstLine="560" w:firstLineChars="200"/>
        <w:jc w:val="left"/>
        <w:rPr>
          <w:rFonts w:hint="eastAsia" w:ascii="仿宋_GB2312"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要求护理记录包含基础信息、生理指标、精神专科内容、风险相关内容、诊疗相关内容、沟通相关内容、异常事件等七类核心内容。这一规定来源于《医疗事故处理条例》及《病历书写基本规范》对护理记录定义的扩展——护理记录是指护士根据医嘱和病情观察对患者住院期间护理过程的客观记录，包括病情观察情况、护理措施和效果。七类内容的划分参考了山东省《护理文书书写基本要求和格式（2018年修订版）》及《精神卫生专业护理文书书写基本要求和格式（2018年修订版）》的分类框架，同时结合精神科护理的特点，特别强化了精神症状变化（感知觉、思维、情感、意志行为、自知力等）、风险相关内容及患者/家属诉求的记录要求，体现了精神科护理记录的专业性与特殊性。精神科护理记录电子化系统的研究也表明，采用焦点记录法（Focus Charting Method）围绕护理焦点问题（Focus）进行结构化记录，可显著提升记录的完整性与临床适用性</w:t>
      </w:r>
      <w:r>
        <w:rPr>
          <w:rFonts w:hint="eastAsia" w:ascii="仿宋_GB2312" w:eastAsia="仿宋_GB2312" w:cs="仿宋"/>
          <w:b w:val="0"/>
          <w:bCs/>
          <w:color w:val="auto"/>
          <w:kern w:val="2"/>
          <w:sz w:val="28"/>
          <w:szCs w:val="28"/>
          <w:highlight w:val="none"/>
          <w:lang w:val="en-US" w:eastAsia="zh-CN" w:bidi="ar-SA"/>
        </w:rPr>
        <w:t>。</w:t>
      </w:r>
    </w:p>
    <w:p w14:paraId="3F7A3619">
      <w:pPr>
        <w:pStyle w:val="2"/>
        <w:rPr>
          <w:rFonts w:hint="default"/>
          <w:b/>
          <w:bCs w:val="0"/>
          <w:color w:val="auto"/>
          <w:lang w:val="en-US" w:eastAsia="zh-CN"/>
        </w:rPr>
      </w:pPr>
      <w:r>
        <w:rPr>
          <w:rFonts w:hint="eastAsia"/>
          <w:b/>
          <w:bCs w:val="0"/>
          <w:color w:val="auto"/>
          <w:lang w:val="en-US" w:eastAsia="zh-CN"/>
        </w:rPr>
        <w:t>2.新入/转入护理记录的要求</w:t>
      </w:r>
    </w:p>
    <w:p w14:paraId="086525B7">
      <w:pPr>
        <w:keepNext w:val="0"/>
        <w:keepLines w:val="0"/>
        <w:widowControl/>
        <w:suppressLineNumbers w:val="0"/>
        <w:ind w:firstLine="560" w:firstLineChars="200"/>
        <w:jc w:val="left"/>
        <w:rPr>
          <w:rFonts w:hint="default" w:ascii="仿宋_GB2312" w:hAnsi="Calibri"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要求在患者入科当班内完成护理记录，内容包括入院/转入时间、送入人员、入院方式、主诉、入院诊断、生命体征、核心精神症状表现、行为情绪状态、各项风险评估结果、存在/潜在的护理问题、初步落实的护理措施以及与患者/家属的重要沟通内容。此规定与第五章入院护理评估单的要求相衔接，强调评估与记录的同步性。要求在当班内完成，体现了护理记录的及时性原则，其依据为《病历书写基本规范》第三条关于“及时”记录的规定。记录内容涵盖评估结果与初步护理措施，符合“记录我所评估、记录我所做”的护理文书基本原则。</w:t>
      </w:r>
    </w:p>
    <w:p w14:paraId="3577BE21">
      <w:pPr>
        <w:pStyle w:val="2"/>
        <w:rPr>
          <w:rFonts w:hint="eastAsia"/>
          <w:b/>
          <w:bCs w:val="0"/>
          <w:color w:val="auto"/>
          <w:lang w:val="en-US" w:eastAsia="zh-CN"/>
        </w:rPr>
      </w:pPr>
      <w:r>
        <w:rPr>
          <w:rFonts w:hint="eastAsia"/>
          <w:b/>
          <w:bCs w:val="0"/>
          <w:color w:val="auto"/>
          <w:lang w:val="en-US" w:eastAsia="zh-CN"/>
        </w:rPr>
        <w:t>3.日常护理记录频次与重点</w:t>
      </w:r>
    </w:p>
    <w:p w14:paraId="0782246F">
      <w:pPr>
        <w:keepNext w:val="0"/>
        <w:keepLines w:val="0"/>
        <w:widowControl/>
        <w:suppressLineNumbers w:val="0"/>
        <w:ind w:firstLine="560" w:firstLineChars="200"/>
        <w:jc w:val="left"/>
        <w:rPr>
          <w:rFonts w:hint="default" w:ascii="仿宋_GB2312" w:hAnsi="Calibri"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针对不同病情和风险等级的患者，规定了差异化的记录频次与记录重点。新入院/转入患者3天内每班书写护理记录至少1次，这一频率要求参考了精神科分级护理的临床实践标准。根据</w:t>
      </w:r>
      <w:r>
        <w:rPr>
          <w:rFonts w:hint="eastAsia" w:ascii="仿宋_GB2312" w:hAnsi="Calibri" w:eastAsia="仿宋_GB2312" w:cs="仿宋"/>
          <w:b w:val="0"/>
          <w:bCs/>
          <w:color w:val="auto"/>
          <w:kern w:val="2"/>
          <w:sz w:val="28"/>
          <w:szCs w:val="28"/>
          <w:highlight w:val="none"/>
          <w:lang w:val="en-US" w:eastAsia="zh-CN" w:bidi="ar-SA"/>
        </w:rPr>
        <w:t>起草组前期发布的团体标准T/GXAS 1263</w:t>
      </w:r>
      <w:r>
        <w:rPr>
          <w:rFonts w:hint="default" w:ascii="仿宋_GB2312" w:hAnsi="Calibri" w:eastAsia="仿宋_GB2312" w:cs="仿宋"/>
          <w:b w:val="0"/>
          <w:bCs/>
          <w:color w:val="auto"/>
          <w:kern w:val="2"/>
          <w:sz w:val="28"/>
          <w:szCs w:val="28"/>
          <w:highlight w:val="none"/>
          <w:lang w:val="en-US" w:eastAsia="zh-CN" w:bidi="ar-SA"/>
        </w:rPr>
        <w:t>《住院精神障碍患者分级护理规范》团体标准，精神科护理级别依据患者病情和生活自理能力确定为特级、一级、二级、三级护理，并根据其动态变化进行实时调整。暴力攻击高风险、擅自离院高风险、自杀/自伤中风险及以上患者，每班书写护理记录至少1次，并针对各类风险规定了相应的记录重点——暴力攻击高风险需记录情绪稳定度、激惹程度及攻击先兆；自杀/自伤中高风险需记录消极言语/行为及危险物品排查；擅自离院高风险需记录住院接受度及陪护落实情况。这些细化要求源于精神科临床风险管理实践，高风险患者近年来爆发式增长，冲动、自伤、擅自离院等风险事件发生率达20%～30%</w:t>
      </w:r>
      <w:r>
        <w:rPr>
          <w:rFonts w:hint="default" w:ascii="仿宋_GB2312" w:hAnsi="Calibri" w:eastAsia="仿宋_GB2312" w:cs="仿宋"/>
          <w:b w:val="0"/>
          <w:bCs/>
          <w:color w:val="auto"/>
          <w:kern w:val="2"/>
          <w:sz w:val="28"/>
          <w:szCs w:val="28"/>
          <w:highlight w:val="none"/>
          <w:lang w:val="en-US" w:eastAsia="zh-CN" w:bidi="ar-SA"/>
        </w:rPr>
        <w:fldChar w:fldCharType="begin"/>
      </w:r>
      <w:r>
        <w:rPr>
          <w:rFonts w:hint="default" w:ascii="仿宋_GB2312" w:hAnsi="Calibri" w:eastAsia="仿宋_GB2312" w:cs="仿宋"/>
          <w:b w:val="0"/>
          <w:bCs/>
          <w:color w:val="auto"/>
          <w:kern w:val="2"/>
          <w:sz w:val="28"/>
          <w:szCs w:val="28"/>
          <w:highlight w:val="none"/>
          <w:lang w:val="en-US" w:eastAsia="zh-CN" w:bidi="ar-SA"/>
        </w:rPr>
        <w:instrText xml:space="preserve"> HYPERLINK "https://www.ttbz.org.cn/Home/Show/118053" \t "https://chat.deepseek.com/a/chat/s/_blank" </w:instrText>
      </w:r>
      <w:r>
        <w:rPr>
          <w:rFonts w:hint="default" w:ascii="仿宋_GB2312" w:hAnsi="Calibri" w:eastAsia="仿宋_GB2312" w:cs="仿宋"/>
          <w:b w:val="0"/>
          <w:bCs/>
          <w:color w:val="auto"/>
          <w:kern w:val="2"/>
          <w:sz w:val="28"/>
          <w:szCs w:val="28"/>
          <w:highlight w:val="none"/>
          <w:lang w:val="en-US" w:eastAsia="zh-CN" w:bidi="ar-SA"/>
        </w:rPr>
        <w:fldChar w:fldCharType="separate"/>
      </w:r>
      <w:r>
        <w:rPr>
          <w:rFonts w:hint="default" w:ascii="仿宋_GB2312" w:hAnsi="Calibri" w:eastAsia="仿宋_GB2312" w:cs="仿宋"/>
          <w:b w:val="0"/>
          <w:bCs/>
          <w:color w:val="auto"/>
          <w:kern w:val="2"/>
          <w:sz w:val="28"/>
          <w:szCs w:val="28"/>
          <w:highlight w:val="none"/>
          <w:lang w:val="en-US" w:eastAsia="zh-CN" w:bidi="ar-SA"/>
        </w:rPr>
        <w:fldChar w:fldCharType="end"/>
      </w:r>
      <w:r>
        <w:rPr>
          <w:rFonts w:hint="default" w:ascii="仿宋_GB2312" w:hAnsi="Calibri" w:eastAsia="仿宋_GB2312" w:cs="仿宋"/>
          <w:b w:val="0"/>
          <w:bCs/>
          <w:color w:val="auto"/>
          <w:kern w:val="2"/>
          <w:sz w:val="28"/>
          <w:szCs w:val="28"/>
          <w:highlight w:val="none"/>
          <w:lang w:val="en-US" w:eastAsia="zh-CN" w:bidi="ar-SA"/>
        </w:rPr>
        <w:t>，高频次、针对性的记录是实现风险动态监测和有效防控的基础。</w:t>
      </w:r>
    </w:p>
    <w:p w14:paraId="585F60F2">
      <w:pPr>
        <w:keepNext w:val="0"/>
        <w:keepLines w:val="0"/>
        <w:widowControl/>
        <w:suppressLineNumbers w:val="0"/>
        <w:ind w:firstLine="560" w:firstLineChars="200"/>
        <w:jc w:val="left"/>
        <w:rPr>
          <w:rFonts w:hint="default" w:ascii="仿宋_GB2312" w:hAnsi="Calibri"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关于生理指标的记录频率——每日记录体温、脉搏、呼吸1次，每周记录体重、血压1次，女性患者每月记录月经情况——参考了《护理文书书写规范》中关于生命体征记录的一般要求，同时结合精神科患者长期住院的特点，对体重、月经等指标的定期记录作出了专门规定，以监测药物不良反应及患者生理状况。</w:t>
      </w:r>
    </w:p>
    <w:p w14:paraId="5BE2C1F4">
      <w:pPr>
        <w:pStyle w:val="2"/>
        <w:numPr>
          <w:ilvl w:val="0"/>
          <w:numId w:val="0"/>
        </w:numPr>
        <w:ind w:firstLine="281" w:firstLineChars="100"/>
        <w:rPr>
          <w:rFonts w:hint="eastAsia"/>
          <w:b/>
          <w:bCs w:val="0"/>
          <w:color w:val="auto"/>
          <w:lang w:val="en-US" w:eastAsia="zh-CN"/>
        </w:rPr>
      </w:pPr>
      <w:r>
        <w:rPr>
          <w:rFonts w:hint="eastAsia" w:ascii="仿宋_GB2312" w:hAnsi="Calibri" w:eastAsia="仿宋_GB2312" w:cs="Calibri"/>
          <w:b/>
          <w:bCs w:val="0"/>
          <w:color w:val="auto"/>
          <w:kern w:val="2"/>
          <w:sz w:val="28"/>
          <w:szCs w:val="24"/>
          <w:lang w:val="en-US" w:eastAsia="zh-CN" w:bidi="ar-SA"/>
        </w:rPr>
        <w:t>4.</w:t>
      </w:r>
      <w:r>
        <w:rPr>
          <w:rFonts w:hint="eastAsia"/>
          <w:b/>
          <w:bCs w:val="0"/>
          <w:color w:val="auto"/>
          <w:lang w:val="en-US" w:eastAsia="zh-CN"/>
        </w:rPr>
        <w:t>病情变化/特殊事件护理记录的要求</w:t>
      </w:r>
    </w:p>
    <w:p w14:paraId="7C967DCF">
      <w:pPr>
        <w:keepNext w:val="0"/>
        <w:keepLines w:val="0"/>
        <w:widowControl/>
        <w:suppressLineNumbers w:val="0"/>
        <w:ind w:firstLine="560" w:firstLineChars="200"/>
        <w:jc w:val="left"/>
        <w:rPr>
          <w:rFonts w:hint="default" w:ascii="仿宋_GB2312" w:hAnsi="Calibri"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要求患者出现病情波动、精神症状加重、发生不良事件/意外事件时随时记录，内容包括事件发生时间、具体经过、处理措施、患者后续状态及告知情况，必要时需有家属签字确认。来源于《病历书写基本规范》关于“及时记录病情变化”的要求，同时也是《医疗事故处理条例》背景下护理记录作为法律证据的功能体现。“随时记录”体现了护理记录的及时性原则，“必要时需有家属签字确认”则与第四章知情同意的要求相呼应，确保在发生不良事件时医患双方对事实的确认，防范医疗纠纷。</w:t>
      </w:r>
    </w:p>
    <w:p w14:paraId="3A2651B1">
      <w:pPr>
        <w:pStyle w:val="2"/>
        <w:numPr>
          <w:ilvl w:val="0"/>
          <w:numId w:val="0"/>
        </w:numPr>
        <w:ind w:firstLine="281" w:firstLineChars="100"/>
        <w:rPr>
          <w:rFonts w:hint="eastAsia"/>
          <w:b/>
          <w:bCs w:val="0"/>
          <w:color w:val="auto"/>
          <w:lang w:val="en-US" w:eastAsia="zh-CN"/>
        </w:rPr>
      </w:pPr>
      <w:r>
        <w:rPr>
          <w:rFonts w:hint="eastAsia" w:ascii="仿宋_GB2312" w:hAnsi="Calibri" w:eastAsia="仿宋_GB2312" w:cs="Calibri"/>
          <w:b/>
          <w:bCs w:val="0"/>
          <w:color w:val="auto"/>
          <w:kern w:val="2"/>
          <w:sz w:val="28"/>
          <w:szCs w:val="24"/>
          <w:lang w:val="en-US" w:eastAsia="zh-CN" w:bidi="ar-SA"/>
        </w:rPr>
        <w:t>5.</w:t>
      </w:r>
      <w:r>
        <w:rPr>
          <w:rFonts w:hint="eastAsia"/>
          <w:b/>
          <w:bCs w:val="0"/>
          <w:color w:val="auto"/>
          <w:lang w:val="en-US" w:eastAsia="zh-CN"/>
        </w:rPr>
        <w:t>特殊治疗/操作护理记录</w:t>
      </w:r>
    </w:p>
    <w:p w14:paraId="6E7FB2A8">
      <w:pPr>
        <w:keepNext w:val="0"/>
        <w:keepLines w:val="0"/>
        <w:widowControl/>
        <w:suppressLineNumbers w:val="0"/>
        <w:ind w:firstLine="560" w:firstLineChars="200"/>
        <w:jc w:val="left"/>
        <w:rPr>
          <w:rFonts w:hint="eastAsia" w:ascii="仿宋_GB2312"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要求患者接受无抽搐电休克治疗、保护性约束、特殊药物治疗等特殊干预时，实时记录干预前评估、干预过程、干预后患者反应及效果评价，并与专项记录单内容保持一致。此规定与第五章保护性约束评估及观察记录单的要求相衔接，体现了护理文书中通用记录与专项记录的协同一致原则。无抽搐电休克治疗、特殊药物治疗的不良反应记录等内容，是精神科护理记录区别于普通科护理记录的核心要素之一，其依据为精神科护理文书书写规范中对专科护理记录的特殊要求</w:t>
      </w:r>
      <w:r>
        <w:rPr>
          <w:rFonts w:hint="eastAsia" w:ascii="仿宋_GB2312" w:eastAsia="仿宋_GB2312" w:cs="仿宋"/>
          <w:b w:val="0"/>
          <w:bCs/>
          <w:color w:val="auto"/>
          <w:kern w:val="2"/>
          <w:sz w:val="28"/>
          <w:szCs w:val="28"/>
          <w:highlight w:val="none"/>
          <w:lang w:val="en-US" w:eastAsia="zh-CN" w:bidi="ar-SA"/>
        </w:rPr>
        <w:t>。</w:t>
      </w:r>
    </w:p>
    <w:p w14:paraId="21F26484">
      <w:pPr>
        <w:pStyle w:val="2"/>
        <w:numPr>
          <w:ilvl w:val="0"/>
          <w:numId w:val="0"/>
        </w:numPr>
        <w:ind w:firstLine="281" w:firstLineChars="100"/>
        <w:rPr>
          <w:rFonts w:hint="eastAsia"/>
          <w:b/>
          <w:bCs w:val="0"/>
          <w:color w:val="auto"/>
          <w:lang w:val="en-US" w:eastAsia="zh-CN"/>
        </w:rPr>
      </w:pPr>
      <w:r>
        <w:rPr>
          <w:rFonts w:hint="eastAsia"/>
          <w:b/>
          <w:bCs w:val="0"/>
          <w:color w:val="auto"/>
          <w:lang w:val="en-US" w:eastAsia="zh-CN"/>
        </w:rPr>
        <w:t>6.出院前护理记录</w:t>
      </w:r>
    </w:p>
    <w:p w14:paraId="50AFFB6F">
      <w:pPr>
        <w:keepNext w:val="0"/>
        <w:keepLines w:val="0"/>
        <w:widowControl/>
        <w:suppressLineNumbers w:val="0"/>
        <w:ind w:firstLine="560" w:firstLineChars="200"/>
        <w:jc w:val="left"/>
        <w:rPr>
          <w:rFonts w:hint="eastAsia" w:ascii="仿宋_GB2312"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要求患者出院前完成出院护理记录，内容包括住院期间核心病情转归、风险变化、出院时精神状态、自理能力、出院指导内容及患者/家属知晓情况。此规定依据《病历书写基本规范》中关于出院记录的要求，同时结合精神科患者出院后康复管理的需要，特别强调服药指导、复诊要求、家庭照护注意事项等内容，与《精神卫生法》关于精神障碍患者康复服务的要求相衔接</w:t>
      </w:r>
      <w:r>
        <w:rPr>
          <w:rFonts w:hint="eastAsia" w:ascii="仿宋_GB2312" w:eastAsia="仿宋_GB2312" w:cs="仿宋"/>
          <w:b w:val="0"/>
          <w:bCs/>
          <w:color w:val="auto"/>
          <w:kern w:val="2"/>
          <w:sz w:val="28"/>
          <w:szCs w:val="28"/>
          <w:highlight w:val="none"/>
          <w:lang w:val="en-US" w:eastAsia="zh-CN" w:bidi="ar-SA"/>
        </w:rPr>
        <w:t>。</w:t>
      </w:r>
    </w:p>
    <w:p w14:paraId="1F9809C9">
      <w:pPr>
        <w:pStyle w:val="2"/>
        <w:numPr>
          <w:ilvl w:val="0"/>
          <w:numId w:val="0"/>
        </w:numPr>
        <w:ind w:firstLine="281" w:firstLineChars="100"/>
        <w:rPr>
          <w:rFonts w:hint="eastAsia"/>
          <w:b/>
          <w:bCs w:val="0"/>
          <w:color w:val="auto"/>
          <w:lang w:val="en-US" w:eastAsia="zh-CN"/>
        </w:rPr>
      </w:pPr>
      <w:r>
        <w:rPr>
          <w:rFonts w:hint="eastAsia" w:ascii="仿宋_GB2312" w:hAnsi="Calibri" w:eastAsia="仿宋_GB2312" w:cs="Calibri"/>
          <w:b/>
          <w:bCs w:val="0"/>
          <w:color w:val="auto"/>
          <w:kern w:val="2"/>
          <w:sz w:val="28"/>
          <w:szCs w:val="24"/>
          <w:lang w:val="en-US" w:eastAsia="zh-CN" w:bidi="ar-SA"/>
        </w:rPr>
        <w:t>7.</w:t>
      </w:r>
      <w:r>
        <w:rPr>
          <w:rFonts w:hint="eastAsia"/>
          <w:b/>
          <w:bCs w:val="0"/>
          <w:color w:val="auto"/>
          <w:lang w:val="en-US" w:eastAsia="zh-CN"/>
        </w:rPr>
        <w:t>记录书写通用要求</w:t>
      </w:r>
    </w:p>
    <w:p w14:paraId="4349A7FA">
      <w:pPr>
        <w:keepNext w:val="0"/>
        <w:keepLines w:val="0"/>
        <w:widowControl/>
        <w:suppressLineNumbers w:val="0"/>
        <w:ind w:firstLine="560" w:firstLineChars="200"/>
        <w:jc w:val="left"/>
        <w:rPr>
          <w:rFonts w:hint="default" w:ascii="仿宋_GB2312" w:hAnsi="Calibri"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规定记录应遵循“写我所做、做我所写、记录我所评估、记录我所观察”原则，内容前后连贯，重点突出，避免流水账式记录。记录时间精确到分钟，签名为护理人员法定全名，清晰可辨。记录应体现个性化，针对不同病情、不同风险等级的患者突出记录重点。所有风险评估结果、特殊护理措施、病情变化均需在护理记录中体现相应的处理措施及效果跟踪。《医疗事故处理条例》明确规定病人有权复印护理记录在内的病历资料，这要求护理记录必须真实反映护理行为，做到言行一致。记录时间精确到分钟、签名清晰可辨，是确保护理记录可追溯性的基本要求，其依据为《病历书写基本规范》及《电子病历应用管理规范（试行）》中关于操作留痕的规定。个性化记录要求针对精神科患者“病症复杂多样、需求个体差异大”的临床特点，既减轻护士书写负担，又提升记录的有效性。效果跟踪要求体现了护理记录从评估到措施再到评价的闭环管理理念，符合护理程序的科学框架。</w:t>
      </w:r>
    </w:p>
    <w:p w14:paraId="41AB187E">
      <w:pPr>
        <w:pStyle w:val="2"/>
        <w:rPr>
          <w:rFonts w:hint="default" w:ascii="仿宋_GB2312" w:hAnsi="Calibri" w:eastAsia="仿宋_GB2312" w:cs="仿宋"/>
          <w:b w:val="0"/>
          <w:bCs/>
          <w:color w:val="auto"/>
          <w:kern w:val="2"/>
          <w:sz w:val="28"/>
          <w:szCs w:val="28"/>
          <w:highlight w:val="none"/>
          <w:lang w:val="en-US" w:eastAsia="zh-CN" w:bidi="ar-SA"/>
        </w:rPr>
      </w:pPr>
      <w:r>
        <w:rPr>
          <w:rFonts w:hint="default" w:ascii="仿宋_GB2312" w:hAnsi="Calibri" w:eastAsia="仿宋_GB2312" w:cs="仿宋"/>
          <w:b w:val="0"/>
          <w:bCs/>
          <w:color w:val="auto"/>
          <w:kern w:val="2"/>
          <w:sz w:val="28"/>
          <w:szCs w:val="28"/>
          <w:highlight w:val="none"/>
          <w:lang w:val="en-US" w:eastAsia="zh-CN" w:bidi="ar-SA"/>
        </w:rPr>
        <w:t>以《医疗事故处理条例》《病历书写基本规范》《精神卫生法》为法律基础，参考了山东省《护理文书书写基本要求和格式（2018年修订版）》《精神卫生专业护理文书书写基本要求和格式（2018年修订版）》</w:t>
      </w:r>
      <w:r>
        <w:rPr>
          <w:rFonts w:hint="default" w:ascii="仿宋_GB2312" w:hAnsi="Calibri" w:eastAsia="仿宋_GB2312" w:cs="仿宋"/>
          <w:b w:val="0"/>
          <w:bCs/>
          <w:color w:val="auto"/>
          <w:kern w:val="2"/>
          <w:sz w:val="28"/>
          <w:szCs w:val="28"/>
          <w:highlight w:val="none"/>
          <w:lang w:val="en-US" w:eastAsia="zh-CN" w:bidi="ar-SA"/>
        </w:rPr>
        <w:fldChar w:fldCharType="begin"/>
      </w:r>
      <w:r>
        <w:rPr>
          <w:rFonts w:hint="default" w:ascii="仿宋_GB2312" w:hAnsi="Calibri" w:eastAsia="仿宋_GB2312" w:cs="仿宋"/>
          <w:b w:val="0"/>
          <w:bCs/>
          <w:color w:val="auto"/>
          <w:kern w:val="2"/>
          <w:sz w:val="28"/>
          <w:szCs w:val="28"/>
          <w:highlight w:val="none"/>
          <w:lang w:val="en-US" w:eastAsia="zh-CN" w:bidi="ar-SA"/>
        </w:rPr>
        <w:instrText xml:space="preserve"> HYPERLINK "https://wap.cnki.net/touch/web/Journal/Article/SDZB201824009.html" \t "https://chat.deepseek.com/a/chat/s/_blank" </w:instrText>
      </w:r>
      <w:r>
        <w:rPr>
          <w:rFonts w:hint="default" w:ascii="仿宋_GB2312" w:hAnsi="Calibri" w:eastAsia="仿宋_GB2312" w:cs="仿宋"/>
          <w:b w:val="0"/>
          <w:bCs/>
          <w:color w:val="auto"/>
          <w:kern w:val="2"/>
          <w:sz w:val="28"/>
          <w:szCs w:val="28"/>
          <w:highlight w:val="none"/>
          <w:lang w:val="en-US" w:eastAsia="zh-CN" w:bidi="ar-SA"/>
        </w:rPr>
        <w:fldChar w:fldCharType="separate"/>
      </w:r>
      <w:r>
        <w:rPr>
          <w:rFonts w:hint="default" w:ascii="仿宋_GB2312" w:hAnsi="Calibri" w:eastAsia="仿宋_GB2312" w:cs="仿宋"/>
          <w:b w:val="0"/>
          <w:bCs/>
          <w:color w:val="auto"/>
          <w:kern w:val="2"/>
          <w:sz w:val="28"/>
          <w:szCs w:val="28"/>
          <w:highlight w:val="none"/>
          <w:lang w:val="en-US" w:eastAsia="zh-CN" w:bidi="ar-SA"/>
        </w:rPr>
        <w:fldChar w:fldCharType="end"/>
      </w:r>
      <w:r>
        <w:rPr>
          <w:rFonts w:hint="default" w:ascii="仿宋_GB2312" w:hAnsi="Calibri" w:eastAsia="仿宋_GB2312" w:cs="仿宋"/>
          <w:b w:val="0"/>
          <w:bCs/>
          <w:color w:val="auto"/>
          <w:kern w:val="2"/>
          <w:sz w:val="28"/>
          <w:szCs w:val="28"/>
          <w:highlight w:val="none"/>
          <w:lang w:val="en-US" w:eastAsia="zh-CN" w:bidi="ar-SA"/>
        </w:rPr>
        <w:t>及《住院精神障碍患者分级护理规范》团体标准</w:t>
      </w:r>
      <w:r>
        <w:rPr>
          <w:rFonts w:hint="default" w:ascii="仿宋_GB2312" w:hAnsi="Calibri" w:eastAsia="仿宋_GB2312" w:cs="仿宋"/>
          <w:b w:val="0"/>
          <w:bCs/>
          <w:color w:val="auto"/>
          <w:kern w:val="2"/>
          <w:sz w:val="28"/>
          <w:szCs w:val="28"/>
          <w:highlight w:val="none"/>
          <w:lang w:val="en-US" w:eastAsia="zh-CN" w:bidi="ar-SA"/>
        </w:rPr>
        <w:fldChar w:fldCharType="begin"/>
      </w:r>
      <w:r>
        <w:rPr>
          <w:rFonts w:hint="default" w:ascii="仿宋_GB2312" w:hAnsi="Calibri" w:eastAsia="仿宋_GB2312" w:cs="仿宋"/>
          <w:b w:val="0"/>
          <w:bCs/>
          <w:color w:val="auto"/>
          <w:kern w:val="2"/>
          <w:sz w:val="28"/>
          <w:szCs w:val="28"/>
          <w:highlight w:val="none"/>
          <w:lang w:val="en-US" w:eastAsia="zh-CN" w:bidi="ar-SA"/>
        </w:rPr>
        <w:instrText xml:space="preserve"> HYPERLINK "https://www.ttbz.org.cn/Home/Show/118053" \t "https://chat.deepseek.com/a/chat/s/_blank" </w:instrText>
      </w:r>
      <w:r>
        <w:rPr>
          <w:rFonts w:hint="default" w:ascii="仿宋_GB2312" w:hAnsi="Calibri" w:eastAsia="仿宋_GB2312" w:cs="仿宋"/>
          <w:b w:val="0"/>
          <w:bCs/>
          <w:color w:val="auto"/>
          <w:kern w:val="2"/>
          <w:sz w:val="28"/>
          <w:szCs w:val="28"/>
          <w:highlight w:val="none"/>
          <w:lang w:val="en-US" w:eastAsia="zh-CN" w:bidi="ar-SA"/>
        </w:rPr>
        <w:fldChar w:fldCharType="separate"/>
      </w:r>
      <w:r>
        <w:rPr>
          <w:rFonts w:hint="default" w:ascii="仿宋_GB2312" w:hAnsi="Calibri" w:eastAsia="仿宋_GB2312" w:cs="仿宋"/>
          <w:b w:val="0"/>
          <w:bCs/>
          <w:color w:val="auto"/>
          <w:kern w:val="2"/>
          <w:sz w:val="28"/>
          <w:szCs w:val="28"/>
          <w:highlight w:val="none"/>
          <w:lang w:val="en-US" w:eastAsia="zh-CN" w:bidi="ar-SA"/>
        </w:rPr>
        <w:fldChar w:fldCharType="end"/>
      </w:r>
      <w:r>
        <w:rPr>
          <w:rFonts w:hint="default" w:ascii="仿宋_GB2312" w:hAnsi="Calibri" w:eastAsia="仿宋_GB2312" w:cs="仿宋"/>
          <w:b w:val="0"/>
          <w:bCs/>
          <w:color w:val="auto"/>
          <w:kern w:val="2"/>
          <w:sz w:val="28"/>
          <w:szCs w:val="28"/>
          <w:highlight w:val="none"/>
          <w:lang w:val="en-US" w:eastAsia="zh-CN" w:bidi="ar-SA"/>
        </w:rPr>
        <w:t>等规范性文件，同时融入了精神科临床风险管理实践和护理记录电子化研究成果。通过分场景、分风险等级、分记录重点的差异化设计，形成了既符合法律法规要求、又适应精神科临床实际的护理记录规范体系，在保障患者安全、防控医疗风险、提升护理质量等方面具有重要实践意义。</w:t>
      </w:r>
    </w:p>
    <w:p w14:paraId="0D6B7526">
      <w:pPr>
        <w:pStyle w:val="34"/>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医护人员开展标准宣贯培训，对标准进行逐条解读，让医师和医护人员掌握标准核心技术内容，助力标准实施落地，推动</w:t>
      </w:r>
      <w:r>
        <w:rPr>
          <w:rFonts w:hint="eastAsia" w:ascii="仿宋_GB2312" w:eastAsia="仿宋_GB2312"/>
          <w:color w:val="auto"/>
          <w:sz w:val="28"/>
          <w:szCs w:val="28"/>
          <w:lang w:val="en-US" w:eastAsia="zh-CN"/>
        </w:rPr>
        <w:t>医疗护理事业</w:t>
      </w:r>
      <w:r>
        <w:rPr>
          <w:rFonts w:hint="eastAsia" w:ascii="仿宋_GB2312" w:eastAsia="仿宋_GB2312"/>
          <w:color w:val="auto"/>
          <w:sz w:val="28"/>
          <w:szCs w:val="28"/>
        </w:rPr>
        <w:t>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3099184D">
      <w:pPr>
        <w:pStyle w:val="25"/>
        <w:rPr>
          <w:rFonts w:hint="eastAsia" w:ascii="仿宋_GB2312" w:eastAsia="仿宋_GB2312"/>
          <w:color w:val="auto"/>
          <w:sz w:val="28"/>
          <w:szCs w:val="28"/>
        </w:rPr>
      </w:pPr>
    </w:p>
    <w:p w14:paraId="753963BB">
      <w:pPr>
        <w:spacing w:before="240" w:after="60" w:line="520" w:lineRule="exact"/>
        <w:ind w:firstLine="2240" w:firstLineChars="8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《住院精神患者护理文书书写规范》</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78F63D85">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30</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2C0BD7-BF47-4119-8855-A13B043CD2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59A0A2E-401A-4CD6-88C0-D8B6022C1DF3}"/>
  </w:font>
  <w:font w:name="仿宋_GB2312">
    <w:panose1 w:val="02010609030101010101"/>
    <w:charset w:val="86"/>
    <w:family w:val="modern"/>
    <w:pitch w:val="default"/>
    <w:sig w:usb0="00000001" w:usb1="080E0000" w:usb2="00000000" w:usb3="00000000" w:csb0="00040000" w:csb1="00000000"/>
    <w:embedRegular r:id="rId3" w:fontKey="{9FFBD69A-8D33-424E-B137-2903568E155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4" w:fontKey="{21D8DD11-BCF3-4D08-85BE-F1E2F88F8D61}"/>
  </w:font>
  <w:font w:name="仿宋">
    <w:panose1 w:val="02010609060101010101"/>
    <w:charset w:val="86"/>
    <w:family w:val="modern"/>
    <w:pitch w:val="default"/>
    <w:sig w:usb0="800002BF" w:usb1="38CF7CFA" w:usb2="00000016" w:usb3="00000000" w:csb0="00040001" w:csb1="00000000"/>
    <w:embedRegular r:id="rId5" w:fontKey="{9D00A2B9-384E-4FDB-BE62-D890EA360749}"/>
  </w:font>
  <w:font w:name="WPSEMBED2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3"/>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0FFFFF7E"/>
    <w:multiLevelType w:val="singleLevel"/>
    <w:tmpl w:val="0FFFFF7E"/>
    <w:lvl w:ilvl="0" w:tentative="0">
      <w:start w:val="1"/>
      <w:numFmt w:val="decimal"/>
      <w:lvlText w:val="%1."/>
      <w:lvlJc w:val="left"/>
      <w:pPr>
        <w:tabs>
          <w:tab w:val="left" w:pos="1200"/>
        </w:tabs>
        <w:ind w:left="1200" w:hanging="360"/>
      </w:pPr>
    </w:lvl>
  </w:abstractNum>
  <w:abstractNum w:abstractNumId="2">
    <w:nsid w:val="0FFFFF7F"/>
    <w:multiLevelType w:val="singleLevel"/>
    <w:tmpl w:val="0FFFFF7F"/>
    <w:lvl w:ilvl="0" w:tentative="0">
      <w:start w:val="1"/>
      <w:numFmt w:val="decimal"/>
      <w:lvlText w:val="%1."/>
      <w:lvlJc w:val="left"/>
      <w:pPr>
        <w:tabs>
          <w:tab w:val="left" w:pos="780"/>
        </w:tabs>
        <w:ind w:left="780" w:hanging="360"/>
      </w:pPr>
    </w:lvl>
  </w:abstractNum>
  <w:abstractNum w:abstractNumId="3">
    <w:nsid w:val="2C5917C3"/>
    <w:multiLevelType w:val="multilevel"/>
    <w:tmpl w:val="2C5917C3"/>
    <w:lvl w:ilvl="0" w:tentative="0">
      <w:start w:val="1"/>
      <w:numFmt w:val="none"/>
      <w:pStyle w:val="57"/>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4">
    <w:nsid w:val="44C50F90"/>
    <w:multiLevelType w:val="multilevel"/>
    <w:tmpl w:val="44C50F90"/>
    <w:lvl w:ilvl="0" w:tentative="0">
      <w:start w:val="1"/>
      <w:numFmt w:val="lowerLetter"/>
      <w:pStyle w:val="52"/>
      <w:lvlText w:val="%1)"/>
      <w:lvlJc w:val="left"/>
      <w:pPr>
        <w:tabs>
          <w:tab w:val="left" w:pos="851"/>
        </w:tabs>
        <w:ind w:left="851" w:hanging="426"/>
      </w:pPr>
      <w:rPr>
        <w:rFonts w:hint="eastAsia" w:ascii="宋体" w:hAnsi="Times New Roman" w:eastAsia="宋体"/>
        <w:sz w:val="21"/>
      </w:rPr>
    </w:lvl>
    <w:lvl w:ilvl="1" w:tentative="0">
      <w:start w:val="1"/>
      <w:numFmt w:val="decimal"/>
      <w:pStyle w:val="50"/>
      <w:lvlText w:val="%2)"/>
      <w:lvlJc w:val="left"/>
      <w:pPr>
        <w:tabs>
          <w:tab w:val="left" w:pos="1276"/>
        </w:tabs>
        <w:ind w:left="1276" w:hanging="425"/>
      </w:pPr>
      <w:rPr>
        <w:rFonts w:hint="eastAsia" w:ascii="宋体" w:hAnsi="Times New Roman" w:eastAsia="宋体"/>
        <w:sz w:val="21"/>
      </w:rPr>
    </w:lvl>
    <w:lvl w:ilvl="2" w:tentative="0">
      <w:start w:val="1"/>
      <w:numFmt w:val="decimal"/>
      <w:pStyle w:val="5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5A9B6960"/>
    <w:multiLevelType w:val="multilevel"/>
    <w:tmpl w:val="5A9B6960"/>
    <w:lvl w:ilvl="0" w:tentative="0">
      <w:start w:val="1"/>
      <w:numFmt w:val="none"/>
      <w:pStyle w:val="40"/>
      <w:suff w:val="nothing"/>
      <w:lvlText w:val="%1"/>
      <w:legacy w:legacy="1" w:legacySpace="0" w:legacyIndent="0"/>
      <w:lvlJc w:val="left"/>
      <w:pPr>
        <w:ind w:left="0" w:firstLine="0"/>
      </w:pPr>
      <w:rPr>
        <w:rFonts w:hint="eastAsia"/>
      </w:rPr>
    </w:lvl>
    <w:lvl w:ilvl="1" w:tentative="0">
      <w:start w:val="1"/>
      <w:numFmt w:val="decimal"/>
      <w:pStyle w:val="34"/>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6"/>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2"/>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41"/>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9"/>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6">
    <w:nsid w:val="62E7418E"/>
    <w:multiLevelType w:val="singleLevel"/>
    <w:tmpl w:val="62E7418E"/>
    <w:lvl w:ilvl="0" w:tentative="0">
      <w:start w:val="2"/>
      <w:numFmt w:val="decimal"/>
      <w:suff w:val="nothing"/>
      <w:lvlText w:val="%1、"/>
      <w:lvlJc w:val="left"/>
    </w:lvl>
  </w:abstractNum>
  <w:num w:numId="1">
    <w:abstractNumId w:val="5"/>
  </w:num>
  <w:num w:numId="2">
    <w:abstractNumId w:val="0"/>
  </w:num>
  <w:num w:numId="3">
    <w:abstractNumId w:val="2"/>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462502C"/>
    <w:rsid w:val="057B6F7F"/>
    <w:rsid w:val="05CD222A"/>
    <w:rsid w:val="06084616"/>
    <w:rsid w:val="06553B6D"/>
    <w:rsid w:val="06A9292B"/>
    <w:rsid w:val="082E6C88"/>
    <w:rsid w:val="088B2B3B"/>
    <w:rsid w:val="08EF7A39"/>
    <w:rsid w:val="0A5844F0"/>
    <w:rsid w:val="0C364870"/>
    <w:rsid w:val="0CCE2B10"/>
    <w:rsid w:val="0EB92622"/>
    <w:rsid w:val="0EE41D10"/>
    <w:rsid w:val="11386E78"/>
    <w:rsid w:val="11B73ED3"/>
    <w:rsid w:val="11DF729D"/>
    <w:rsid w:val="12277661"/>
    <w:rsid w:val="133D4C82"/>
    <w:rsid w:val="13D12EE6"/>
    <w:rsid w:val="13EE1CEA"/>
    <w:rsid w:val="13F37300"/>
    <w:rsid w:val="15DB43B3"/>
    <w:rsid w:val="174D6D27"/>
    <w:rsid w:val="18CE5C46"/>
    <w:rsid w:val="1A2A2D28"/>
    <w:rsid w:val="1A611AD4"/>
    <w:rsid w:val="1B43291B"/>
    <w:rsid w:val="1B440441"/>
    <w:rsid w:val="1B9C64CF"/>
    <w:rsid w:val="1C080FDB"/>
    <w:rsid w:val="1D7F38C8"/>
    <w:rsid w:val="1E4A1472"/>
    <w:rsid w:val="1E6C7E3E"/>
    <w:rsid w:val="1E85324A"/>
    <w:rsid w:val="20346CD6"/>
    <w:rsid w:val="206E043A"/>
    <w:rsid w:val="21B36690"/>
    <w:rsid w:val="21B75E11"/>
    <w:rsid w:val="2443573A"/>
    <w:rsid w:val="25496D80"/>
    <w:rsid w:val="27095D8A"/>
    <w:rsid w:val="273250B0"/>
    <w:rsid w:val="27750300"/>
    <w:rsid w:val="277B51EB"/>
    <w:rsid w:val="279E6744"/>
    <w:rsid w:val="2AB253C7"/>
    <w:rsid w:val="2BAD2B02"/>
    <w:rsid w:val="2C6C6F3C"/>
    <w:rsid w:val="2E0C3040"/>
    <w:rsid w:val="2E40384E"/>
    <w:rsid w:val="2E826991"/>
    <w:rsid w:val="2F083808"/>
    <w:rsid w:val="2F0B058C"/>
    <w:rsid w:val="2F7C5FA4"/>
    <w:rsid w:val="2FDD0EDC"/>
    <w:rsid w:val="31A33CBC"/>
    <w:rsid w:val="32F32A21"/>
    <w:rsid w:val="34337579"/>
    <w:rsid w:val="344833B2"/>
    <w:rsid w:val="34E4210D"/>
    <w:rsid w:val="35146A33"/>
    <w:rsid w:val="365D5864"/>
    <w:rsid w:val="38BB2A8E"/>
    <w:rsid w:val="39CD7B28"/>
    <w:rsid w:val="3D6C58AA"/>
    <w:rsid w:val="3D736D65"/>
    <w:rsid w:val="3E6639DC"/>
    <w:rsid w:val="3FC7172D"/>
    <w:rsid w:val="403F2E01"/>
    <w:rsid w:val="406246C5"/>
    <w:rsid w:val="41DB45A6"/>
    <w:rsid w:val="431A1904"/>
    <w:rsid w:val="442944F4"/>
    <w:rsid w:val="45413951"/>
    <w:rsid w:val="454F3408"/>
    <w:rsid w:val="46E47FFF"/>
    <w:rsid w:val="4779601E"/>
    <w:rsid w:val="493E1AE1"/>
    <w:rsid w:val="4B2238EC"/>
    <w:rsid w:val="4C6C7CEB"/>
    <w:rsid w:val="4DDD59C1"/>
    <w:rsid w:val="50370ABF"/>
    <w:rsid w:val="51A650B5"/>
    <w:rsid w:val="51FB0B52"/>
    <w:rsid w:val="528172AA"/>
    <w:rsid w:val="52845057"/>
    <w:rsid w:val="531F075A"/>
    <w:rsid w:val="53F87A3F"/>
    <w:rsid w:val="56DA342C"/>
    <w:rsid w:val="578D63FB"/>
    <w:rsid w:val="57A01936"/>
    <w:rsid w:val="57A57FD6"/>
    <w:rsid w:val="57F01F2D"/>
    <w:rsid w:val="57FC3A9C"/>
    <w:rsid w:val="58D367F3"/>
    <w:rsid w:val="592B4413"/>
    <w:rsid w:val="592C1295"/>
    <w:rsid w:val="59DD74BB"/>
    <w:rsid w:val="5A8C449C"/>
    <w:rsid w:val="5B182905"/>
    <w:rsid w:val="5B571FFB"/>
    <w:rsid w:val="5BAF2C42"/>
    <w:rsid w:val="5BD06662"/>
    <w:rsid w:val="5BFB00CD"/>
    <w:rsid w:val="5C452F47"/>
    <w:rsid w:val="5D086F45"/>
    <w:rsid w:val="5D4D6706"/>
    <w:rsid w:val="60252B89"/>
    <w:rsid w:val="616C2448"/>
    <w:rsid w:val="63057E95"/>
    <w:rsid w:val="63DF2082"/>
    <w:rsid w:val="64C46DBE"/>
    <w:rsid w:val="65071890"/>
    <w:rsid w:val="65361052"/>
    <w:rsid w:val="654A16B4"/>
    <w:rsid w:val="660F1D12"/>
    <w:rsid w:val="66A21530"/>
    <w:rsid w:val="67277FC8"/>
    <w:rsid w:val="677C2407"/>
    <w:rsid w:val="67C27CF0"/>
    <w:rsid w:val="68C47A98"/>
    <w:rsid w:val="68C53F3C"/>
    <w:rsid w:val="6AB2229E"/>
    <w:rsid w:val="6CC80E6D"/>
    <w:rsid w:val="6F330F95"/>
    <w:rsid w:val="703C4AC7"/>
    <w:rsid w:val="710B6BAC"/>
    <w:rsid w:val="71525B1E"/>
    <w:rsid w:val="716444DA"/>
    <w:rsid w:val="71CC633B"/>
    <w:rsid w:val="71F238C8"/>
    <w:rsid w:val="738A5B9F"/>
    <w:rsid w:val="741F6AAA"/>
    <w:rsid w:val="74A0585D"/>
    <w:rsid w:val="754A5489"/>
    <w:rsid w:val="763864CA"/>
    <w:rsid w:val="764D461B"/>
    <w:rsid w:val="77A7157C"/>
    <w:rsid w:val="77D048EE"/>
    <w:rsid w:val="78B143BF"/>
    <w:rsid w:val="7A035425"/>
    <w:rsid w:val="7AB465B7"/>
    <w:rsid w:val="7B215011"/>
    <w:rsid w:val="7B906520"/>
    <w:rsid w:val="7CB63E70"/>
    <w:rsid w:val="7D221505"/>
    <w:rsid w:val="7D7E1AC1"/>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Calibri"/>
      <w:kern w:val="2"/>
      <w:sz w:val="21"/>
      <w:szCs w:val="24"/>
      <w:lang w:val="en-US" w:eastAsia="zh-CN" w:bidi="ar-SA"/>
    </w:rPr>
  </w:style>
  <w:style w:type="paragraph" w:styleId="4">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5">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6">
    <w:name w:val="heading 3"/>
    <w:basedOn w:val="1"/>
    <w:next w:val="1"/>
    <w:autoRedefine/>
    <w:qFormat/>
    <w:uiPriority w:val="0"/>
    <w:pPr>
      <w:keepNext/>
      <w:keepLines/>
      <w:widowControl w:val="0"/>
      <w:spacing w:before="260" w:after="260" w:line="415" w:lineRule="auto"/>
      <w:outlineLvl w:val="2"/>
    </w:pPr>
    <w:rPr>
      <w:b/>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8">
    <w:name w:val="heading 7"/>
    <w:basedOn w:val="1"/>
    <w:next w:val="1"/>
    <w:link w:val="26"/>
    <w:autoRedefine/>
    <w:qFormat/>
    <w:uiPriority w:val="9"/>
    <w:pPr>
      <w:keepNext/>
      <w:keepLines/>
      <w:spacing w:before="240" w:after="64" w:line="320" w:lineRule="auto"/>
      <w:outlineLvl w:val="6"/>
    </w:pPr>
    <w:rPr>
      <w:b/>
      <w:bCs/>
      <w:sz w:val="24"/>
    </w:rPr>
  </w:style>
  <w:style w:type="character" w:default="1" w:styleId="18">
    <w:name w:val="Default Paragraph Font"/>
    <w:autoRedefine/>
    <w:qFormat/>
    <w:uiPriority w:val="0"/>
  </w:style>
  <w:style w:type="table" w:default="1" w:styleId="16">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rPr>
      <w:rFonts w:ascii="仿宋_GB2312" w:eastAsia="仿宋_GB2312"/>
      <w:color w:val="FF0000"/>
      <w:sz w:val="28"/>
      <w:szCs w:val="24"/>
    </w:rPr>
  </w:style>
  <w:style w:type="paragraph" w:styleId="9">
    <w:name w:val="annotation text"/>
    <w:basedOn w:val="1"/>
    <w:link w:val="27"/>
    <w:autoRedefine/>
    <w:unhideWhenUsed/>
    <w:qFormat/>
    <w:uiPriority w:val="99"/>
    <w:pPr>
      <w:adjustRightInd w:val="0"/>
      <w:spacing w:line="400" w:lineRule="exact"/>
      <w:jc w:val="left"/>
    </w:pPr>
    <w:rPr>
      <w:rFonts w:ascii="Calibri" w:hAnsi="Calibri"/>
      <w:szCs w:val="21"/>
    </w:rPr>
  </w:style>
  <w:style w:type="paragraph" w:styleId="10">
    <w:name w:val="Balloon Text"/>
    <w:basedOn w:val="1"/>
    <w:link w:val="28"/>
    <w:autoRedefine/>
    <w:unhideWhenUsed/>
    <w:qFormat/>
    <w:uiPriority w:val="99"/>
    <w:rPr>
      <w:sz w:val="18"/>
      <w:szCs w:val="18"/>
    </w:rPr>
  </w:style>
  <w:style w:type="paragraph" w:styleId="11">
    <w:name w:val="footer"/>
    <w:basedOn w:val="1"/>
    <w:link w:val="29"/>
    <w:autoRedefine/>
    <w:qFormat/>
    <w:uiPriority w:val="99"/>
    <w:pPr>
      <w:tabs>
        <w:tab w:val="center" w:pos="4153"/>
        <w:tab w:val="right" w:pos="8306"/>
      </w:tabs>
      <w:snapToGrid w:val="0"/>
      <w:jc w:val="left"/>
    </w:pPr>
    <w:rPr>
      <w:sz w:val="18"/>
      <w:szCs w:val="18"/>
    </w:rPr>
  </w:style>
  <w:style w:type="paragraph" w:styleId="12">
    <w:name w:val="envelope return"/>
    <w:basedOn w:val="1"/>
    <w:autoRedefine/>
    <w:qFormat/>
    <w:uiPriority w:val="0"/>
    <w:pPr>
      <w:snapToGrid w:val="0"/>
    </w:pPr>
    <w:rPr>
      <w:rFonts w:ascii="Times New Roman" w:hAnsi="Times New Roman"/>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9">
    <w:name w:val="Strong"/>
    <w:basedOn w:val="18"/>
    <w:autoRedefine/>
    <w:qFormat/>
    <w:uiPriority w:val="22"/>
    <w:rPr>
      <w:b/>
    </w:rPr>
  </w:style>
  <w:style w:type="character" w:styleId="20">
    <w:name w:val="line number"/>
    <w:autoRedefine/>
    <w:qFormat/>
    <w:uiPriority w:val="0"/>
  </w:style>
  <w:style w:type="character" w:styleId="21">
    <w:name w:val="Hyperlink"/>
    <w:autoRedefine/>
    <w:qFormat/>
    <w:uiPriority w:val="0"/>
    <w:rPr>
      <w:rFonts w:ascii="宋体" w:eastAsia="宋体"/>
      <w:color w:val="auto"/>
      <w:spacing w:val="0"/>
      <w:w w:val="100"/>
      <w:position w:val="0"/>
      <w:sz w:val="21"/>
      <w:u w:val="none"/>
      <w:vertAlign w:val="baseline"/>
    </w:rPr>
  </w:style>
  <w:style w:type="character" w:styleId="22">
    <w:name w:val="annotation reference"/>
    <w:basedOn w:val="18"/>
    <w:autoRedefine/>
    <w:qFormat/>
    <w:uiPriority w:val="99"/>
    <w:rPr>
      <w:sz w:val="21"/>
    </w:rPr>
  </w:style>
  <w:style w:type="character" w:styleId="23">
    <w:name w:val="footnote reference"/>
    <w:autoRedefine/>
    <w:qFormat/>
    <w:uiPriority w:val="0"/>
    <w:rPr>
      <w:vertAlign w:val="superscript"/>
    </w:rPr>
  </w:style>
  <w:style w:type="paragraph" w:customStyle="1" w:styleId="24">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5">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6">
    <w:name w:val="标题 7 字符"/>
    <w:link w:val="8"/>
    <w:autoRedefine/>
    <w:qFormat/>
    <w:uiPriority w:val="0"/>
    <w:rPr>
      <w:rFonts w:eastAsia="宋体"/>
      <w:b/>
      <w:bCs/>
      <w:kern w:val="2"/>
      <w:sz w:val="24"/>
      <w:szCs w:val="24"/>
    </w:rPr>
  </w:style>
  <w:style w:type="character" w:customStyle="1" w:styleId="27">
    <w:name w:val="批注文字 字符"/>
    <w:link w:val="9"/>
    <w:autoRedefine/>
    <w:semiHidden/>
    <w:qFormat/>
    <w:uiPriority w:val="99"/>
    <w:rPr>
      <w:rFonts w:ascii="Calibri" w:hAnsi="Calibri" w:eastAsia="宋体"/>
      <w:kern w:val="2"/>
      <w:sz w:val="21"/>
      <w:szCs w:val="21"/>
    </w:rPr>
  </w:style>
  <w:style w:type="character" w:customStyle="1" w:styleId="28">
    <w:name w:val="批注框文本 字符"/>
    <w:link w:val="10"/>
    <w:autoRedefine/>
    <w:semiHidden/>
    <w:qFormat/>
    <w:uiPriority w:val="99"/>
    <w:rPr>
      <w:rFonts w:eastAsia="宋体"/>
      <w:kern w:val="2"/>
      <w:sz w:val="18"/>
      <w:szCs w:val="18"/>
    </w:rPr>
  </w:style>
  <w:style w:type="character" w:customStyle="1" w:styleId="29">
    <w:name w:val="页脚 字符"/>
    <w:link w:val="11"/>
    <w:autoRedefine/>
    <w:qFormat/>
    <w:locked/>
    <w:uiPriority w:val="99"/>
    <w:rPr>
      <w:rFonts w:eastAsia="宋体"/>
      <w:kern w:val="2"/>
      <w:sz w:val="18"/>
      <w:szCs w:val="18"/>
    </w:rPr>
  </w:style>
  <w:style w:type="paragraph" w:customStyle="1" w:styleId="30">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31">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2">
    <w:name w:val="标准文件_段"/>
    <w:link w:val="33"/>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3">
    <w:name w:val="标准文件_段 Char"/>
    <w:link w:val="32"/>
    <w:autoRedefine/>
    <w:qFormat/>
    <w:uiPriority w:val="0"/>
    <w:rPr>
      <w:rFonts w:ascii="宋体" w:eastAsia="宋体"/>
      <w:sz w:val="21"/>
    </w:rPr>
  </w:style>
  <w:style w:type="paragraph" w:customStyle="1" w:styleId="34">
    <w:name w:val="标准文件_章标题"/>
    <w:next w:val="32"/>
    <w:autoRedefine/>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5">
    <w:name w:val="标准文件_二级条标题"/>
    <w:next w:val="32"/>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6">
    <w:name w:val="标准文件_一级条标题"/>
    <w:basedOn w:val="34"/>
    <w:next w:val="32"/>
    <w:autoRedefine/>
    <w:qFormat/>
    <w:uiPriority w:val="0"/>
    <w:pPr>
      <w:numPr>
        <w:ilvl w:val="2"/>
        <w:numId w:val="1"/>
      </w:numPr>
      <w:spacing w:before="50" w:beforeLines="0" w:after="50" w:afterLines="0"/>
      <w:outlineLvl w:val="1"/>
    </w:pPr>
  </w:style>
  <w:style w:type="paragraph" w:customStyle="1" w:styleId="37">
    <w:name w:val="标准文件_三级条标题"/>
    <w:basedOn w:val="35"/>
    <w:next w:val="32"/>
    <w:autoRedefine/>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8">
    <w:name w:val="标准文件_四级条标题"/>
    <w:next w:val="32"/>
    <w:autoRedefine/>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9">
    <w:name w:val="标准文件_五级条标题"/>
    <w:next w:val="35"/>
    <w:autoRedefine/>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40">
    <w:name w:val="前言标题"/>
    <w:next w:val="1"/>
    <w:autoRedefine/>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41">
    <w:name w:val="标准文件_四级无标题"/>
    <w:basedOn w:val="38"/>
    <w:autoRedefine/>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42">
    <w:name w:val="标准文件_三级无标题"/>
    <w:basedOn w:val="37"/>
    <w:autoRedefine/>
    <w:qFormat/>
    <w:uiPriority w:val="0"/>
    <w:pPr>
      <w:numPr>
        <w:ilvl w:val="4"/>
        <w:numId w:val="1"/>
      </w:numPr>
      <w:spacing w:before="50" w:after="50"/>
      <w:jc w:val="both"/>
    </w:pPr>
    <w:rPr>
      <w:rFonts w:ascii="宋体" w:eastAsia="宋体"/>
      <w:sz w:val="21"/>
      <w:lang w:val="en-US" w:eastAsia="zh-CN" w:bidi="ar-SA"/>
    </w:rPr>
  </w:style>
  <w:style w:type="paragraph" w:customStyle="1" w:styleId="43">
    <w:name w:val="标准文件_正文表标题"/>
    <w:autoRedefine/>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4">
    <w:name w:val="font11"/>
    <w:autoRedefine/>
    <w:qFormat/>
    <w:uiPriority w:val="0"/>
    <w:rPr>
      <w:rFonts w:ascii="等线" w:eastAsia="等线"/>
      <w:b/>
      <w:bCs/>
      <w:color w:val="FF0000"/>
      <w:sz w:val="22"/>
      <w:szCs w:val="22"/>
      <w:u w:val="none"/>
    </w:rPr>
  </w:style>
  <w:style w:type="character" w:customStyle="1" w:styleId="45">
    <w:name w:val="font01"/>
    <w:autoRedefine/>
    <w:qFormat/>
    <w:uiPriority w:val="0"/>
    <w:rPr>
      <w:rFonts w:ascii="等线" w:eastAsia="等线"/>
      <w:color w:val="000000"/>
      <w:sz w:val="22"/>
      <w:szCs w:val="22"/>
      <w:u w:val="none"/>
    </w:rPr>
  </w:style>
  <w:style w:type="paragraph" w:customStyle="1" w:styleId="46">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7">
    <w:name w:val="二级无"/>
    <w:basedOn w:val="1"/>
    <w:autoRedefine/>
    <w:qFormat/>
    <w:uiPriority w:val="0"/>
    <w:pPr>
      <w:widowControl/>
      <w:numPr>
        <w:ilvl w:val="2"/>
        <w:numId w:val="3"/>
      </w:numPr>
      <w:tabs>
        <w:tab w:val="left" w:pos="780"/>
      </w:tabs>
      <w:jc w:val="left"/>
      <w:outlineLvl w:val="3"/>
    </w:pPr>
    <w:rPr>
      <w:rFonts w:ascii="宋体"/>
      <w:kern w:val="0"/>
      <w:szCs w:val="21"/>
    </w:rPr>
  </w:style>
  <w:style w:type="paragraph" w:customStyle="1" w:styleId="48">
    <w:name w:val="标准文件_二级无标题"/>
    <w:basedOn w:val="35"/>
    <w:autoRedefine/>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9">
    <w:name w:val="Char Char Char Char"/>
    <w:basedOn w:val="1"/>
    <w:autoRedefine/>
    <w:qFormat/>
    <w:uiPriority w:val="0"/>
  </w:style>
  <w:style w:type="paragraph" w:customStyle="1" w:styleId="50">
    <w:name w:val="标准文件_数字编号列项（二级）"/>
    <w:autoRedefine/>
    <w:qFormat/>
    <w:uiPriority w:val="0"/>
    <w:pPr>
      <w:numPr>
        <w:ilvl w:val="1"/>
        <w:numId w:val="5"/>
      </w:numPr>
      <w:jc w:val="both"/>
    </w:pPr>
    <w:rPr>
      <w:rFonts w:ascii="宋体" w:hAnsi="Calibri" w:eastAsia="宋体" w:cs="Calibri"/>
      <w:sz w:val="21"/>
      <w:lang w:val="en-US" w:eastAsia="zh-CN" w:bidi="ar-SA"/>
    </w:rPr>
  </w:style>
  <w:style w:type="paragraph" w:customStyle="1" w:styleId="51">
    <w:name w:val="标准文件_编号列项（三级）"/>
    <w:autoRedefine/>
    <w:qFormat/>
    <w:uiPriority w:val="0"/>
    <w:pPr>
      <w:numPr>
        <w:ilvl w:val="2"/>
        <w:numId w:val="5"/>
      </w:numPr>
    </w:pPr>
    <w:rPr>
      <w:rFonts w:ascii="宋体" w:hAnsi="Calibri" w:eastAsia="宋体" w:cs="Calibri"/>
      <w:sz w:val="21"/>
      <w:lang w:val="en-US" w:eastAsia="zh-CN" w:bidi="ar-SA"/>
    </w:rPr>
  </w:style>
  <w:style w:type="paragraph" w:customStyle="1" w:styleId="52">
    <w:name w:val="标准文件_字母编号列项（一级）"/>
    <w:autoRedefine/>
    <w:qFormat/>
    <w:uiPriority w:val="0"/>
    <w:pPr>
      <w:numPr>
        <w:ilvl w:val="0"/>
        <w:numId w:val="5"/>
      </w:numPr>
      <w:jc w:val="both"/>
    </w:pPr>
    <w:rPr>
      <w:rFonts w:ascii="宋体" w:hAnsi="Calibri" w:eastAsia="宋体" w:cs="Calibri"/>
      <w:sz w:val="21"/>
      <w:lang w:val="en-US" w:eastAsia="zh-CN" w:bidi="ar-SA"/>
    </w:rPr>
  </w:style>
  <w:style w:type="paragraph" w:customStyle="1" w:styleId="53">
    <w:name w:val="标准文件_术语条一"/>
    <w:basedOn w:val="1"/>
    <w:next w:val="32"/>
    <w:autoRedefine/>
    <w:qFormat/>
    <w:uiPriority w:val="0"/>
    <w:pPr>
      <w:widowControl/>
    </w:pPr>
    <w:rPr>
      <w:rFonts w:ascii="宋体"/>
      <w:kern w:val="0"/>
      <w:szCs w:val="20"/>
    </w:rPr>
  </w:style>
  <w:style w:type="paragraph" w:customStyle="1" w:styleId="54">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5">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6">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7">
    <w:name w:val="标准文件_一级项"/>
    <w:autoRedefine/>
    <w:qFormat/>
    <w:uiPriority w:val="0"/>
    <w:pPr>
      <w:numPr>
        <w:ilvl w:val="0"/>
        <w:numId w:val="6"/>
      </w:numPr>
    </w:pPr>
    <w:rPr>
      <w:rFonts w:ascii="宋体" w:hAnsi="Times New Roman" w:eastAsia="宋体" w:cs="Times New Roman"/>
      <w:sz w:val="21"/>
      <w:lang w:val="en-US" w:eastAsia="zh-CN" w:bidi="ar-SA"/>
    </w:rPr>
  </w:style>
  <w:style w:type="paragraph" w:customStyle="1" w:styleId="58">
    <w:name w:val="标准文件_一级无标题"/>
    <w:basedOn w:val="36"/>
    <w:qFormat/>
    <w:uiPriority w:val="0"/>
    <w:pPr>
      <w:spacing w:before="0" w:beforeLines="0" w:after="0" w:afterLines="0"/>
      <w:outlineLvl w:val="9"/>
    </w:pPr>
    <w:rPr>
      <w:rFonts w:ascii="宋体" w:eastAsia="宋体"/>
    </w:rPr>
  </w:style>
  <w:style w:type="character" w:customStyle="1" w:styleId="59">
    <w:name w:val="font51"/>
    <w:basedOn w:val="18"/>
    <w:qFormat/>
    <w:uiPriority w:val="0"/>
    <w:rPr>
      <w:rFonts w:hint="eastAsia" w:ascii="宋体" w:hAnsi="宋体" w:eastAsia="宋体" w:cs="宋体"/>
      <w:color w:val="36363D"/>
      <w:sz w:val="20"/>
      <w:szCs w:val="20"/>
      <w:u w:val="none"/>
    </w:rPr>
  </w:style>
  <w:style w:type="character" w:customStyle="1" w:styleId="60">
    <w:name w:val="font41"/>
    <w:basedOn w:val="18"/>
    <w:qFormat/>
    <w:uiPriority w:val="0"/>
    <w:rPr>
      <w:rFonts w:hint="eastAsia" w:ascii="宋体" w:hAnsi="宋体" w:eastAsia="宋体" w:cs="宋体"/>
      <w:b/>
      <w:bCs/>
      <w:color w:val="36363D"/>
      <w:sz w:val="20"/>
      <w:szCs w:val="20"/>
      <w:u w:val="none"/>
    </w:rPr>
  </w:style>
  <w:style w:type="character" w:customStyle="1" w:styleId="61">
    <w:name w:val="font31"/>
    <w:basedOn w:val="18"/>
    <w:qFormat/>
    <w:uiPriority w:val="0"/>
    <w:rPr>
      <w:rFonts w:hint="eastAsia" w:ascii="宋体" w:hAnsi="宋体" w:eastAsia="宋体" w:cs="宋体"/>
      <w:b/>
      <w:bCs/>
      <w:color w:val="36363D"/>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7325</Words>
  <Characters>7457</Characters>
  <Lines>140</Lines>
  <Paragraphs>39</Paragraphs>
  <TotalTime>0</TotalTime>
  <ScaleCrop>false</ScaleCrop>
  <LinksUpToDate>false</LinksUpToDate>
  <CharactersWithSpaces>7480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XIEX</cp:lastModifiedBy>
  <cp:lastPrinted>2025-06-12T03:01:00Z</cp:lastPrinted>
  <dcterms:modified xsi:type="dcterms:W3CDTF">2026-03-31T08:18:55Z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A922D90BF3B641DA8C66AE267C36FA1E_13</vt:lpwstr>
  </property>
  <property fmtid="{D5CDD505-2E9C-101B-9397-08002B2CF9AE}" pid="4" name="KSOTemplateDocerSaveRecord">
    <vt:lpwstr>eyJoZGlkIjoiNmU0OWNhMGUyYzc2MTI5ZWY2NzM4MTVkMDAwODg0YzMiLCJ1c2VySWQiOiI2ODM5ODUzMDMifQ==</vt:lpwstr>
  </property>
</Properties>
</file>