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020F3" w:rsidRDefault="0030623C">
      <w:pPr>
        <w:spacing w:line="600" w:lineRule="exact"/>
        <w:jc w:val="center"/>
        <w:rPr>
          <w:rFonts w:ascii="方正小标宋简体" w:eastAsia="方正小标宋简体" w:hAnsi="黑体" w:cs="黑体"/>
          <w:color w:val="000000"/>
          <w:sz w:val="44"/>
          <w:szCs w:val="44"/>
        </w:rPr>
      </w:pPr>
      <w:r w:rsidRPr="0030623C">
        <w:rPr>
          <w:rFonts w:ascii="方正小标宋简体" w:eastAsia="方正小标宋简体" w:hAnsi="黑体" w:cs="黑体" w:hint="eastAsia"/>
          <w:color w:val="000000"/>
          <w:sz w:val="44"/>
          <w:szCs w:val="44"/>
        </w:rPr>
        <w:t>团体标准《废铅蓄电池收贮运全流程信息化管理规范》</w:t>
      </w:r>
      <w:r w:rsidR="00B51959">
        <w:rPr>
          <w:rFonts w:ascii="方正小标宋简体" w:eastAsia="方正小标宋简体" w:hAnsi="黑体" w:cs="黑体" w:hint="eastAsia"/>
          <w:color w:val="000000"/>
          <w:sz w:val="44"/>
          <w:szCs w:val="44"/>
        </w:rPr>
        <w:t>（征求意见稿）</w:t>
      </w:r>
    </w:p>
    <w:p w:rsidR="00F020F3" w:rsidRDefault="00B51959">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rsidR="00F020F3" w:rsidRDefault="00B51959">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F020F3" w:rsidRDefault="0030623C">
      <w:pPr>
        <w:spacing w:line="560" w:lineRule="exact"/>
        <w:ind w:firstLineChars="200" w:firstLine="600"/>
        <w:rPr>
          <w:rFonts w:ascii="仿宋_GB2312" w:eastAsia="仿宋_GB2312" w:hAnsi="仿宋"/>
          <w:sz w:val="30"/>
          <w:szCs w:val="30"/>
        </w:rPr>
      </w:pPr>
      <w:r w:rsidRPr="0030623C">
        <w:rPr>
          <w:rFonts w:ascii="仿宋_GB2312" w:eastAsia="仿宋_GB2312" w:hAnsi="Calibri" w:hint="eastAsia"/>
          <w:sz w:val="30"/>
          <w:szCs w:val="30"/>
        </w:rPr>
        <w:t>根据《广西标准化协会关于下达2026年第一批批团体标准制修订项目计划的通知》（桂标协〔2026〕25号）文件精神，由广西固体废物利用处置联合会提出，广西维云再生资源回收有限责任公司、生态环境部对外合作与交流中心、生态环境部固体废物与化学品管理技术中心、深圳点废成金科技有限公司、广州八大科技有限公司、广西五环环保科技有限公司、广西聚睿天合新能源环保科技有限公司、玉林市海威环保科技有限责任公司、桂林市博月环保有限公司、崇左市长盈环保科技有限责任公司、梧州市川宇环保科技有限责任公司、南宁市川志环保科技有限责任公司、钦州市东浩环保科技有限责任公司、河池市辰久环保科技有限责任公司、广西地山环保有限责任公司等单位共同起草的团体标准《废铅蓄电池收贮运全流程信息化管理规范》(项目编号：2026-0121)，</w:t>
      </w:r>
      <w:r w:rsidR="00B51959">
        <w:rPr>
          <w:rFonts w:ascii="仿宋_GB2312" w:eastAsia="仿宋_GB2312" w:hAnsi="仿宋" w:hint="eastAsia"/>
          <w:sz w:val="30"/>
          <w:szCs w:val="30"/>
        </w:rPr>
        <w:t>已获批立项。</w:t>
      </w:r>
      <w:bookmarkStart w:id="0" w:name="_Hlk199142511"/>
      <w:r w:rsidR="00B51959">
        <w:rPr>
          <w:rFonts w:ascii="仿宋_GB2312" w:eastAsia="仿宋_GB2312" w:hAnsi="仿宋" w:hint="eastAsia"/>
          <w:sz w:val="30"/>
          <w:szCs w:val="30"/>
        </w:rPr>
        <w:t>主要起草人姓名及分工情况如下：</w:t>
      </w:r>
      <w:r w:rsidR="00B51959">
        <w:rPr>
          <w:rFonts w:ascii="仿宋_GB2312" w:eastAsia="仿宋_GB2312" w:hAnsi="仿宋"/>
          <w:sz w:val="30"/>
          <w:szCs w:val="3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888"/>
        <w:gridCol w:w="1388"/>
        <w:gridCol w:w="2323"/>
        <w:gridCol w:w="3270"/>
      </w:tblGrid>
      <w:tr w:rsidR="00F020F3">
        <w:trPr>
          <w:cantSplit/>
          <w:trHeight w:val="851"/>
          <w:jc w:val="center"/>
        </w:trPr>
        <w:tc>
          <w:tcPr>
            <w:tcW w:w="0" w:type="auto"/>
            <w:vAlign w:val="center"/>
          </w:tcPr>
          <w:p w:rsidR="00F020F3" w:rsidRDefault="00B51959">
            <w:pPr>
              <w:jc w:val="center"/>
              <w:rPr>
                <w:rFonts w:ascii="宋体" w:hAnsi="宋体"/>
                <w:bCs/>
                <w:szCs w:val="21"/>
              </w:rPr>
            </w:pPr>
            <w:bookmarkStart w:id="1" w:name="_Hlk199142527"/>
            <w:r>
              <w:rPr>
                <w:rFonts w:ascii="宋体" w:hAnsi="宋体" w:cs="宋体" w:hint="eastAsia"/>
                <w:b/>
                <w:bCs/>
                <w:szCs w:val="21"/>
              </w:rPr>
              <w:t>序号</w:t>
            </w:r>
          </w:p>
        </w:tc>
        <w:tc>
          <w:tcPr>
            <w:tcW w:w="888" w:type="dxa"/>
            <w:vAlign w:val="center"/>
          </w:tcPr>
          <w:p w:rsidR="00F020F3" w:rsidRDefault="00B51959">
            <w:pPr>
              <w:jc w:val="center"/>
              <w:rPr>
                <w:rFonts w:ascii="宋体" w:hAnsi="宋体"/>
                <w:bCs/>
                <w:szCs w:val="21"/>
              </w:rPr>
            </w:pPr>
            <w:r>
              <w:rPr>
                <w:rFonts w:ascii="宋体" w:hAnsi="宋体" w:cs="宋体" w:hint="eastAsia"/>
                <w:b/>
                <w:bCs/>
                <w:szCs w:val="21"/>
              </w:rPr>
              <w:t>姓名</w:t>
            </w:r>
          </w:p>
        </w:tc>
        <w:tc>
          <w:tcPr>
            <w:tcW w:w="1388" w:type="dxa"/>
            <w:vAlign w:val="center"/>
          </w:tcPr>
          <w:p w:rsidR="00F020F3" w:rsidRDefault="00B51959">
            <w:pPr>
              <w:jc w:val="center"/>
              <w:rPr>
                <w:rFonts w:ascii="宋体" w:hAnsi="宋体"/>
                <w:bCs/>
                <w:szCs w:val="21"/>
              </w:rPr>
            </w:pPr>
            <w:r>
              <w:rPr>
                <w:rFonts w:ascii="宋体" w:hAnsi="宋体" w:cs="宋体" w:hint="eastAsia"/>
                <w:b/>
                <w:szCs w:val="21"/>
              </w:rPr>
              <w:t>单位</w:t>
            </w:r>
          </w:p>
        </w:tc>
        <w:tc>
          <w:tcPr>
            <w:tcW w:w="0" w:type="auto"/>
            <w:vAlign w:val="center"/>
          </w:tcPr>
          <w:p w:rsidR="00F020F3" w:rsidRDefault="00B51959">
            <w:pPr>
              <w:jc w:val="center"/>
              <w:rPr>
                <w:rFonts w:ascii="宋体" w:hAnsi="宋体"/>
                <w:bCs/>
                <w:szCs w:val="21"/>
              </w:rPr>
            </w:pPr>
            <w:r>
              <w:rPr>
                <w:rFonts w:ascii="宋体" w:hAnsi="宋体" w:cs="宋体" w:hint="eastAsia"/>
                <w:b/>
                <w:bCs/>
                <w:szCs w:val="21"/>
              </w:rPr>
              <w:t>职务/职称</w:t>
            </w:r>
          </w:p>
        </w:tc>
        <w:tc>
          <w:tcPr>
            <w:tcW w:w="3270" w:type="dxa"/>
            <w:vAlign w:val="center"/>
          </w:tcPr>
          <w:p w:rsidR="00F020F3" w:rsidRDefault="00B51959">
            <w:pPr>
              <w:jc w:val="center"/>
              <w:rPr>
                <w:rFonts w:ascii="宋体" w:hAnsi="宋体"/>
                <w:bCs/>
                <w:szCs w:val="21"/>
              </w:rPr>
            </w:pPr>
            <w:r>
              <w:rPr>
                <w:rFonts w:ascii="宋体" w:hAnsi="宋体" w:cs="宋体" w:hint="eastAsia"/>
                <w:b/>
                <w:bCs/>
                <w:szCs w:val="21"/>
              </w:rPr>
              <w:t>参与编制标准分工情况</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widowControl/>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李晟靓</w:t>
            </w:r>
          </w:p>
        </w:tc>
        <w:tc>
          <w:tcPr>
            <w:tcW w:w="1388" w:type="dxa"/>
            <w:vAlign w:val="center"/>
          </w:tcPr>
          <w:p w:rsidR="0030623C" w:rsidRPr="0030623C" w:rsidRDefault="0030623C" w:rsidP="0030623C">
            <w:pPr>
              <w:widowControl/>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0" w:type="auto"/>
            <w:vAlign w:val="center"/>
          </w:tcPr>
          <w:p w:rsidR="0030623C" w:rsidRPr="0030623C" w:rsidRDefault="0030623C" w:rsidP="0030623C">
            <w:pPr>
              <w:widowControl/>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董事长</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陈文静</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生态环境部对外合作与交流中心</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高级工程师</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赖劲宇</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生态环境部对外合作与交流中心</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工程师</w:t>
            </w:r>
          </w:p>
        </w:tc>
        <w:tc>
          <w:tcPr>
            <w:tcW w:w="3270" w:type="dxa"/>
            <w:vAlign w:val="center"/>
          </w:tcPr>
          <w:p w:rsidR="0030623C" w:rsidRDefault="0030623C" w:rsidP="0030623C">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周荃</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生态环境部固体废物与化学品管理技术中心</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高级工程师</w:t>
            </w:r>
          </w:p>
        </w:tc>
        <w:tc>
          <w:tcPr>
            <w:tcW w:w="3270" w:type="dxa"/>
            <w:vAlign w:val="center"/>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薛宁宁</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生态环境部固体废物与化学品管理技术中心</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高级工程师</w:t>
            </w:r>
          </w:p>
        </w:tc>
        <w:tc>
          <w:tcPr>
            <w:tcW w:w="3270" w:type="dxa"/>
            <w:vAlign w:val="center"/>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黎凯</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总经理</w:t>
            </w:r>
          </w:p>
        </w:tc>
        <w:tc>
          <w:tcPr>
            <w:tcW w:w="3270" w:type="dxa"/>
            <w:vAlign w:val="center"/>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黄飞</w:t>
            </w:r>
          </w:p>
        </w:tc>
        <w:tc>
          <w:tcPr>
            <w:tcW w:w="1388"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2323"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工程师</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蔡圃</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2323"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高级工程师</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农丽霞</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高级工程师</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华可宁</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广西地山环保有限责任公司</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总经理</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张藜</w:t>
            </w:r>
            <w:r w:rsidRPr="0030623C">
              <w:rPr>
                <w:rFonts w:ascii="微软雅黑" w:eastAsia="微软雅黑" w:hAnsi="微软雅黑" w:cs="微软雅黑" w:hint="eastAsia"/>
                <w:bCs/>
                <w:sz w:val="24"/>
              </w:rPr>
              <w:t>苧</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广西地山环保有限责任公司</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副总经理</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朱广博</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0" w:type="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市场部经理</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梁威</w:t>
            </w:r>
          </w:p>
        </w:tc>
        <w:tc>
          <w:tcPr>
            <w:tcW w:w="1388"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2323" w:type="dxa"/>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经营管理部经理</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杨迅诚</w:t>
            </w:r>
          </w:p>
        </w:tc>
        <w:tc>
          <w:tcPr>
            <w:tcW w:w="1388"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2323"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助理工程师</w:t>
            </w:r>
          </w:p>
        </w:tc>
        <w:tc>
          <w:tcPr>
            <w:tcW w:w="3270" w:type="dxa"/>
          </w:tcPr>
          <w:p w:rsidR="0030623C" w:rsidRDefault="0030623C" w:rsidP="0030623C">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30623C">
        <w:trPr>
          <w:cantSplit/>
          <w:trHeight w:val="851"/>
          <w:jc w:val="center"/>
        </w:trPr>
        <w:tc>
          <w:tcPr>
            <w:tcW w:w="0" w:type="auto"/>
            <w:vAlign w:val="center"/>
          </w:tcPr>
          <w:p w:rsidR="0030623C" w:rsidRDefault="0030623C" w:rsidP="0030623C">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30623C" w:rsidRPr="0030623C" w:rsidRDefault="0030623C" w:rsidP="0030623C">
            <w:pPr>
              <w:widowControl/>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蓝春玉</w:t>
            </w:r>
          </w:p>
        </w:tc>
        <w:tc>
          <w:tcPr>
            <w:tcW w:w="1388"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广西维云再生资源回收有限责任公司</w:t>
            </w:r>
          </w:p>
        </w:tc>
        <w:tc>
          <w:tcPr>
            <w:tcW w:w="2323" w:type="dxa"/>
            <w:shd w:val="clear" w:color="auto" w:fill="auto"/>
            <w:vAlign w:val="center"/>
          </w:tcPr>
          <w:p w:rsidR="0030623C" w:rsidRPr="0030623C" w:rsidRDefault="0030623C" w:rsidP="0030623C">
            <w:pPr>
              <w:jc w:val="center"/>
              <w:rPr>
                <w:rFonts w:ascii="仿宋_GB2312" w:eastAsia="仿宋_GB2312" w:hAnsi="仿宋_GB2312" w:cs="仿宋_GB2312"/>
                <w:bCs/>
                <w:sz w:val="24"/>
              </w:rPr>
            </w:pPr>
            <w:r w:rsidRPr="0030623C">
              <w:rPr>
                <w:rFonts w:ascii="仿宋_GB2312" w:eastAsia="仿宋_GB2312" w:hAnsi="仿宋_GB2312" w:cs="仿宋_GB2312" w:hint="eastAsia"/>
                <w:bCs/>
                <w:sz w:val="24"/>
              </w:rPr>
              <w:t>技术专员</w:t>
            </w:r>
          </w:p>
        </w:tc>
        <w:tc>
          <w:tcPr>
            <w:tcW w:w="3270" w:type="dxa"/>
          </w:tcPr>
          <w:p w:rsidR="0030623C" w:rsidRDefault="0030623C" w:rsidP="0030623C">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bl>
    <w:bookmarkEnd w:id="0"/>
    <w:bookmarkEnd w:id="1"/>
    <w:p w:rsidR="00F020F3" w:rsidRDefault="00B51959">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广西维云再生资源回收有限责任公司是全国首个省级循环产业平台广西循环产业集团有限责任公司二级子公司，是全国唯一一家获得全球环境基金“中国再生铝、铅、锌、锂行业绿色生产与可持续发展项目”之废铅蓄电池回收行业示范企业，连续两年入选南宁市电动自行车以旧换新回收企业名单。主要从事危险废物智能收集贮存、道路危险货物运输（含普货运输）、润滑油销售、软件系统开发运营、电动自行车以旧换新回收、人工智能（AI）及区块链技术在环保领域的研发与应用等业务，持有自治区生态环境厅颁发《危险废物经营许可证》，服务范围覆盖广西14个地市危险废物产生单位，并已在危险废物收集行业深耕多年，拥有一支专业的管理运营团队及广泛的市场渠道。维云公司配备有运输车队和危险货物运输车辆，持有广西交通运输主管部门颁发的《道路运输经营许可证》，经营范围为危险货物（9类、危险废物），可有效解决危险废物最后一公里运输难题，搭建广西危险废物收运一张网体系。</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目前，废铅蓄电池回收队伍主要以传统的废旧物资回收队伍转型而成，对废铅蓄电池的危害和规范化转移要求认识不足。主要表现有：采用非运营车辆进行收集转运；没有危险废物收集资</w:t>
      </w:r>
      <w:r w:rsidRPr="0030623C">
        <w:rPr>
          <w:rFonts w:ascii="仿宋_GB2312" w:eastAsia="仿宋_GB2312" w:hAnsi="Calibri" w:hint="eastAsia"/>
          <w:sz w:val="30"/>
          <w:szCs w:val="30"/>
        </w:rPr>
        <w:lastRenderedPageBreak/>
        <w:t>质进行非法收集；在收集过程中随意倒酸；跨区域“偷渡”式转移；收集过程不开票、不交税或者“收多开少”、“收多交少”；将收集的危险废物非法转移到没有资质的作坊式“铅厂”；甚至一些具有危废收集资质的回收队伍，打着合规的幌子，干着非法转运、偷税漏税的勾当。通过各种形式躲避监管，偷税漏税，使得行业“走黑”和“台下交易”盛行，这些行为导致了行业出现了“劣币驱逐良币”的现象。</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废铅蓄电池贮存仓库是废铅蓄电池的集中贮存场所，贮存量大，面临的安全、环保风险比社会源门店更集中。合格的危险废物贮存仓库要考虑选址、环保、消防、安全、职业卫生等因素，需要从设施建设、设备配置、人员配置、制度建设和内部管理等多方面进行保障。</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目前，大多数危险废物收集企业只关注前期手续办理，不注重设施设备的投资建设；只注重生态环境部门危险废物经营许可证管理提出的要求，不重视消防、安全、职业卫生的投入。这些行为导致了仓库建设出现了“头痛医头、脚痛医脚”的现象，有人检查提出时才整改，不提出不整改，使得仓库长期“带病”运行，与危险废物管理要求不匹配，具有严重的安全环保隐患。</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为了达到躲避监管、偷税漏税的目的，一部分从业单位或人员通过不运行联单、不记录车辆轨迹、不记录台账、不录制视频等形式，通过“台下交易”或者“小部分台上、大部分台下”交易，严重败坏了行业良好的竞争环境和市场风气。</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当前固体废物管理信息系统填报要求高，需要配备电脑或者移动终端以及具有相关知识的专业人员进行填报。大中型企业设</w:t>
      </w:r>
      <w:r w:rsidRPr="0030623C">
        <w:rPr>
          <w:rFonts w:ascii="仿宋_GB2312" w:eastAsia="仿宋_GB2312" w:hAnsi="Calibri" w:hint="eastAsia"/>
          <w:sz w:val="30"/>
          <w:szCs w:val="30"/>
        </w:rPr>
        <w:lastRenderedPageBreak/>
        <w:t>置有安环科和环保管理岗位，能够很好的进行申报。对于没有安排专人的小微企业或者社会源，难以进行专业、准确的申报，所以存在不登记不申报、不按时申报、不准确申报等问题，使得整个监管过程难以发挥实效。此外，监管部门只关注废物的起运单位、运输单位、接收单位和废物信息等能够精准监管的业务信息，对企业内部运转的财务、税务和资金信息关注较少。企业为实现正常运转，需要将外部监管功能和内部运行功能进行整合，实现业务顺畅运转和闭环管理。</w:t>
      </w:r>
    </w:p>
    <w:p w:rsidR="0030623C" w:rsidRPr="0030623C"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2023年8月，自治区生态环境厅印发《广西壮族自治区小微企业危险废物收集试点工作方案》。广西维云再生资源回收有限责任公司作为试点单位，开展了危废收运“一张网”建设和运营工作。在试点工作过程中发现，危险废物集中收集单位的定位与利用处置单位完全不同，服务对象和经营方式也与国家重点监管的年产废量100吨以上的企业有很大差异。目前的行业标准、规范主要针对100吨以上重点企业合规建设和运行的技术要求，结合小微企业危险废物的特点和收集单位的服务内容，当前缺乏系统性的指导性规范。当前，小微企业和社会源危险废物具有点多面广、量小分散等特性，小微企业产生的危险废物往往面临收运不及时、转运困难、处理费用高等问题，从而埋下发生危险废物非法转移处置的违法隐患和衍生的环境风险。针对行业存在的上述问题，为控制危险废物的系统风险，促进生产源合规运行，提高收集单位建设、运行管理和服务要求，需要出台相关的服务规范，对行业提供指导。</w:t>
      </w:r>
    </w:p>
    <w:p w:rsidR="00F020F3" w:rsidRDefault="0030623C" w:rsidP="0030623C">
      <w:pPr>
        <w:spacing w:line="560" w:lineRule="exact"/>
        <w:ind w:firstLineChars="200" w:firstLine="600"/>
        <w:rPr>
          <w:rFonts w:ascii="仿宋_GB2312" w:eastAsia="仿宋_GB2312" w:hAnsi="Calibri"/>
          <w:sz w:val="30"/>
          <w:szCs w:val="30"/>
        </w:rPr>
      </w:pPr>
      <w:r w:rsidRPr="0030623C">
        <w:rPr>
          <w:rFonts w:ascii="仿宋_GB2312" w:eastAsia="仿宋_GB2312" w:hAnsi="Calibri" w:hint="eastAsia"/>
          <w:sz w:val="30"/>
          <w:szCs w:val="30"/>
        </w:rPr>
        <w:t>通过制定团体标准《</w:t>
      </w:r>
      <w:bookmarkStart w:id="2" w:name="OLE_LINK5"/>
      <w:r w:rsidRPr="0030623C">
        <w:rPr>
          <w:rFonts w:ascii="仿宋_GB2312" w:eastAsia="仿宋_GB2312" w:hAnsi="Calibri" w:hint="eastAsia"/>
          <w:sz w:val="30"/>
          <w:szCs w:val="30"/>
        </w:rPr>
        <w:t>废铅蓄电池收贮运全流程信息化管理规</w:t>
      </w:r>
      <w:r w:rsidRPr="0030623C">
        <w:rPr>
          <w:rFonts w:ascii="仿宋_GB2312" w:eastAsia="仿宋_GB2312" w:hAnsi="Calibri" w:hint="eastAsia"/>
          <w:sz w:val="30"/>
          <w:szCs w:val="30"/>
        </w:rPr>
        <w:lastRenderedPageBreak/>
        <w:t>范</w:t>
      </w:r>
      <w:bookmarkEnd w:id="2"/>
      <w:r w:rsidRPr="0030623C">
        <w:rPr>
          <w:rFonts w:ascii="仿宋_GB2312" w:eastAsia="仿宋_GB2312" w:hAnsi="Calibri" w:hint="eastAsia"/>
          <w:sz w:val="30"/>
          <w:szCs w:val="30"/>
        </w:rPr>
        <w:t>》，规范废铅蓄电池收贮运全流程，对实现业务运转的“闭环”，促进行业自律、促进绿色低碳发展具有重要的现实意义。</w:t>
      </w:r>
    </w:p>
    <w:p w:rsidR="00F020F3" w:rsidRDefault="00B51959">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F020F3" w:rsidRDefault="00B51959">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团体标准《</w:t>
      </w:r>
      <w:r w:rsidR="0030623C">
        <w:rPr>
          <w:rFonts w:ascii="仿宋_GB2312" w:eastAsia="仿宋_GB2312" w:hAnsi="Calibri" w:hint="eastAsia"/>
          <w:sz w:val="30"/>
          <w:szCs w:val="30"/>
        </w:rPr>
        <w:t>废铅蓄电池收贮运全流程信息化管理规范</w:t>
      </w:r>
      <w:r>
        <w:rPr>
          <w:rFonts w:ascii="仿宋_GB2312" w:eastAsia="仿宋_GB2312" w:hAnsi="Calibri" w:hint="eastAsia"/>
          <w:sz w:val="30"/>
          <w:szCs w:val="30"/>
        </w:rPr>
        <w:t>》项目任务下达后，由</w:t>
      </w:r>
      <w:r w:rsidR="0030623C" w:rsidRPr="0030623C">
        <w:rPr>
          <w:rFonts w:ascii="仿宋_GB2312" w:eastAsia="仿宋_GB2312" w:hAnsi="Calibri" w:hint="eastAsia"/>
          <w:sz w:val="30"/>
          <w:szCs w:val="30"/>
        </w:rPr>
        <w:t>广西维云再生资源回收有限责任公司</w:t>
      </w:r>
      <w:r>
        <w:rPr>
          <w:rFonts w:ascii="仿宋_GB2312" w:eastAsia="仿宋_GB2312" w:hAnsi="Calibri" w:hint="eastAsia"/>
          <w:sz w:val="30"/>
          <w:szCs w:val="30"/>
        </w:rPr>
        <w:t>牵头组织成立了标准编制组，制定了标准编写方案，明确任务职责，确定工作技术路线，开展标准研制工作。具体编制工作由</w:t>
      </w:r>
      <w:r w:rsidR="0030623C" w:rsidRPr="0030623C">
        <w:rPr>
          <w:rFonts w:ascii="仿宋_GB2312" w:eastAsia="仿宋_GB2312" w:hAnsi="Calibri" w:hint="eastAsia"/>
          <w:sz w:val="30"/>
          <w:szCs w:val="30"/>
        </w:rPr>
        <w:t>广西维云再生资源回收有限责任公司、生态环境部对外合作与交流中心、生态环境部固体废物与化学品管理技术中心、深圳点废成金科技有限公司、广州八大科技有限公司、广西五环环保科技有限公司、广西聚睿天合新能源环保科技有限公司、玉林市海威环保科技有限责任公司、桂林市博月环保有限公司、崇左市长盈环保科技有限责任公司、梧州市川宇环保科技有限责任公司、南宁市川志环保科技有限责任公司、钦州市东浩环保科技有限责任公司、河池市辰久环保科技有限责任公司、广西地山环保有限责任公司</w:t>
      </w:r>
      <w:r>
        <w:rPr>
          <w:rFonts w:ascii="仿宋_GB2312" w:eastAsia="仿宋_GB2312" w:hAnsi="Calibri" w:hint="eastAsia"/>
          <w:sz w:val="30"/>
          <w:szCs w:val="30"/>
        </w:rPr>
        <w:t>组成的标准编制组负责。编制组下设三个小组，分别是资料收集组、草案编写组、标准实施组。</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资料收集组：负责国内外关于</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相关文献资料的查询、收集和整理工作，查阅现存关于相关研究以及国内相关标准的制定。</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草案编写组：负责标准立项、征求意见、审定、报批等阶段的标准文本及编制说明的起草工作，包括标准制定过程各阶段标准文本及相关材料的修改和完善。</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lastRenderedPageBreak/>
        <w:t>标准实施组：负责团体标准《</w:t>
      </w:r>
      <w:r w:rsidR="0030623C">
        <w:rPr>
          <w:rFonts w:ascii="仿宋_GB2312" w:eastAsia="仿宋_GB2312" w:hAnsi="Calibri" w:hint="eastAsia"/>
          <w:sz w:val="30"/>
          <w:szCs w:val="30"/>
        </w:rPr>
        <w:t>废铅蓄电池收贮运全流程信息化管理规范</w:t>
      </w:r>
      <w:r>
        <w:rPr>
          <w:rFonts w:ascii="仿宋_GB2312" w:eastAsia="仿宋_GB2312" w:hAnsi="Calibri" w:hint="eastAsia"/>
          <w:sz w:val="30"/>
          <w:szCs w:val="30"/>
        </w:rPr>
        <w:t>》标准发布后，组织相关部门、</w:t>
      </w:r>
      <w:r w:rsidR="0030623C">
        <w:rPr>
          <w:rFonts w:ascii="仿宋_GB2312" w:eastAsia="仿宋_GB2312" w:hAnsi="Calibri" w:hint="eastAsia"/>
          <w:sz w:val="30"/>
          <w:szCs w:val="30"/>
        </w:rPr>
        <w:t>企业</w:t>
      </w:r>
      <w:r>
        <w:rPr>
          <w:rFonts w:ascii="仿宋_GB2312" w:eastAsia="仿宋_GB2312" w:hAnsi="Calibri" w:hint="eastAsia"/>
          <w:sz w:val="30"/>
          <w:szCs w:val="30"/>
        </w:rPr>
        <w:t>等，开展标准宣贯培训会，对标准进行研讨和详细解读，使相关人员了解标准，熟悉标准，并能熟练运用标准；为确保标准的实施效果和综合运用率，对标准实施情况进行总结分析，对标准提出持续改进意见。</w:t>
      </w:r>
    </w:p>
    <w:p w:rsidR="00F020F3" w:rsidRDefault="00B51959">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通过资料收集组对文献资料的收集和整理，草案编写组主要参考了以下国内外相关的标准和期刊书籍：</w:t>
      </w:r>
    </w:p>
    <w:p w:rsidR="000B6FB0" w:rsidRPr="000B6FB0" w:rsidRDefault="00B51959" w:rsidP="000B6FB0">
      <w:pPr>
        <w:spacing w:line="560" w:lineRule="exact"/>
        <w:ind w:firstLineChars="200" w:firstLine="600"/>
        <w:rPr>
          <w:rFonts w:ascii="仿宋_GB2312" w:eastAsia="仿宋_GB2312" w:hAnsi="Calibri" w:hint="eastAsia"/>
          <w:sz w:val="30"/>
          <w:szCs w:val="30"/>
        </w:rPr>
      </w:pPr>
      <w:r>
        <w:rPr>
          <w:rFonts w:ascii="仿宋_GB2312" w:eastAsia="仿宋_GB2312" w:hAnsi="Calibri" w:hint="eastAsia"/>
          <w:sz w:val="30"/>
          <w:szCs w:val="30"/>
        </w:rPr>
        <w:t xml:space="preserve">[1]  </w:t>
      </w:r>
      <w:r w:rsidR="000B6FB0" w:rsidRPr="000B6FB0">
        <w:rPr>
          <w:rFonts w:ascii="仿宋_GB2312" w:eastAsia="仿宋_GB2312" w:hAnsi="Calibri" w:hint="eastAsia"/>
          <w:sz w:val="30"/>
          <w:szCs w:val="30"/>
        </w:rPr>
        <w:t>中华人民共和国.中华人民共和国固体废物污染环境防治法[EB/OL]. (2020-04-29).</w:t>
      </w:r>
    </w:p>
    <w:p w:rsidR="000B6FB0" w:rsidRPr="000B6FB0" w:rsidRDefault="000B6FB0" w:rsidP="000B6FB0">
      <w:pPr>
        <w:spacing w:line="560" w:lineRule="exact"/>
        <w:ind w:firstLineChars="200" w:firstLine="600"/>
        <w:rPr>
          <w:rFonts w:ascii="仿宋_GB2312" w:eastAsia="仿宋_GB2312" w:hAnsi="Calibri" w:hint="eastAsia"/>
          <w:sz w:val="30"/>
          <w:szCs w:val="30"/>
        </w:rPr>
      </w:pPr>
      <w:r w:rsidRPr="000B6FB0">
        <w:rPr>
          <w:rFonts w:ascii="仿宋_GB2312" w:eastAsia="仿宋_GB2312" w:hAnsi="Calibri" w:hint="eastAsia"/>
          <w:sz w:val="30"/>
          <w:szCs w:val="30"/>
        </w:rPr>
        <w:t>[2]  生态环境部,公安部,交通运输部.危险废物转移管理办法[EB/OL]. (2021-11-30).</w:t>
      </w:r>
    </w:p>
    <w:p w:rsidR="000B6FB0" w:rsidRPr="000B6FB0" w:rsidRDefault="000B6FB0" w:rsidP="000B6FB0">
      <w:pPr>
        <w:spacing w:line="560" w:lineRule="exact"/>
        <w:ind w:firstLineChars="200" w:firstLine="600"/>
        <w:rPr>
          <w:rFonts w:ascii="仿宋_GB2312" w:eastAsia="仿宋_GB2312" w:hAnsi="Calibri" w:hint="eastAsia"/>
          <w:sz w:val="30"/>
          <w:szCs w:val="30"/>
        </w:rPr>
      </w:pPr>
      <w:r w:rsidRPr="000B6FB0">
        <w:rPr>
          <w:rFonts w:ascii="仿宋_GB2312" w:eastAsia="仿宋_GB2312" w:hAnsi="Calibri" w:hint="eastAsia"/>
          <w:sz w:val="30"/>
          <w:szCs w:val="30"/>
        </w:rPr>
        <w:t>[3]  生态环境部办公厅.关于进一步加强危险废物规范化环境管理有关工作的通知[EB/OL]. (2023-11-07).</w:t>
      </w:r>
    </w:p>
    <w:p w:rsidR="000B6FB0" w:rsidRDefault="000B6FB0" w:rsidP="000B6FB0">
      <w:pPr>
        <w:spacing w:line="560" w:lineRule="exact"/>
        <w:ind w:firstLineChars="200" w:firstLine="600"/>
        <w:rPr>
          <w:rFonts w:ascii="仿宋_GB2312" w:eastAsia="仿宋_GB2312" w:hAnsi="Calibri"/>
          <w:sz w:val="30"/>
          <w:szCs w:val="30"/>
        </w:rPr>
      </w:pPr>
      <w:r w:rsidRPr="000B6FB0">
        <w:rPr>
          <w:rFonts w:ascii="仿宋_GB2312" w:eastAsia="仿宋_GB2312" w:hAnsi="Calibri" w:hint="eastAsia"/>
          <w:sz w:val="30"/>
          <w:szCs w:val="30"/>
        </w:rPr>
        <w:t>[4]  生态环境部.关于进一步加强危险废物环境治理严密防控环境风险的指导意见[EB/OL]. (2025-02-05).</w:t>
      </w:r>
    </w:p>
    <w:p w:rsidR="00F020F3" w:rsidRDefault="000B6FB0">
      <w:pPr>
        <w:spacing w:line="560" w:lineRule="exact"/>
        <w:ind w:firstLineChars="200" w:firstLine="600"/>
        <w:rPr>
          <w:rFonts w:ascii="仿宋_GB2312" w:eastAsia="仿宋_GB2312" w:hAnsi="Calibri"/>
          <w:sz w:val="30"/>
          <w:szCs w:val="30"/>
        </w:rPr>
      </w:pPr>
      <w:r w:rsidRPr="000B6FB0">
        <w:rPr>
          <w:rFonts w:ascii="仿宋_GB2312" w:eastAsia="仿宋_GB2312" w:hAnsi="Calibri" w:hint="eastAsia"/>
          <w:sz w:val="30"/>
          <w:szCs w:val="30"/>
        </w:rPr>
        <w:t>[</w:t>
      </w:r>
      <w:r>
        <w:rPr>
          <w:rFonts w:ascii="仿宋_GB2312" w:eastAsia="仿宋_GB2312" w:hAnsi="Calibri"/>
          <w:sz w:val="30"/>
          <w:szCs w:val="30"/>
        </w:rPr>
        <w:t>5</w:t>
      </w:r>
      <w:r w:rsidRPr="000B6FB0">
        <w:rPr>
          <w:rFonts w:ascii="仿宋_GB2312" w:eastAsia="仿宋_GB2312" w:hAnsi="Calibri" w:hint="eastAsia"/>
          <w:sz w:val="30"/>
          <w:szCs w:val="30"/>
        </w:rPr>
        <w:t>]</w:t>
      </w:r>
      <w:r>
        <w:rPr>
          <w:rFonts w:ascii="仿宋_GB2312" w:eastAsia="仿宋_GB2312" w:hAnsi="Calibri"/>
          <w:sz w:val="30"/>
          <w:szCs w:val="30"/>
        </w:rPr>
        <w:t xml:space="preserve">  </w:t>
      </w:r>
      <w:r w:rsidR="0030623C" w:rsidRPr="0030623C">
        <w:rPr>
          <w:rFonts w:ascii="仿宋_GB2312" w:eastAsia="仿宋_GB2312" w:hAnsi="Calibri" w:hint="eastAsia"/>
          <w:sz w:val="30"/>
          <w:szCs w:val="30"/>
        </w:rPr>
        <w:t>《广西强化危险废物监管和利用处置能力改革实施方案》（桂政办函〔2021〕25号）</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w:t>
      </w:r>
      <w:r w:rsidR="000B6FB0">
        <w:rPr>
          <w:rFonts w:ascii="仿宋_GB2312" w:eastAsia="仿宋_GB2312" w:hAnsi="Calibri"/>
          <w:sz w:val="30"/>
          <w:szCs w:val="30"/>
        </w:rPr>
        <w:t>6</w:t>
      </w:r>
      <w:r>
        <w:rPr>
          <w:rFonts w:ascii="仿宋_GB2312" w:eastAsia="仿宋_GB2312" w:hAnsi="Calibri" w:hint="eastAsia"/>
          <w:sz w:val="30"/>
          <w:szCs w:val="30"/>
        </w:rPr>
        <w:t xml:space="preserve">]  </w:t>
      </w:r>
      <w:r w:rsidR="0030623C" w:rsidRPr="0030623C">
        <w:rPr>
          <w:rFonts w:ascii="仿宋_GB2312" w:eastAsia="仿宋_GB2312" w:hAnsi="Calibri" w:hint="eastAsia"/>
          <w:sz w:val="30"/>
          <w:szCs w:val="30"/>
        </w:rPr>
        <w:t>《广西危险废物闭环管理体系建设方案》（桂环发〔2022〕39号）</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w:t>
      </w:r>
      <w:r w:rsidR="000B6FB0">
        <w:rPr>
          <w:rFonts w:ascii="仿宋_GB2312" w:eastAsia="仿宋_GB2312" w:hAnsi="Calibri"/>
          <w:sz w:val="30"/>
          <w:szCs w:val="30"/>
        </w:rPr>
        <w:t>7</w:t>
      </w:r>
      <w:r>
        <w:rPr>
          <w:rFonts w:ascii="仿宋_GB2312" w:eastAsia="仿宋_GB2312" w:hAnsi="Calibri" w:hint="eastAsia"/>
          <w:sz w:val="30"/>
          <w:szCs w:val="30"/>
        </w:rPr>
        <w:t xml:space="preserve">]  </w:t>
      </w:r>
      <w:r w:rsidR="0030623C" w:rsidRPr="0030623C">
        <w:rPr>
          <w:rFonts w:ascii="仿宋_GB2312" w:eastAsia="仿宋_GB2312" w:hAnsi="Calibri" w:hint="eastAsia"/>
          <w:sz w:val="30"/>
          <w:szCs w:val="30"/>
        </w:rPr>
        <w:t>HJ 519  废铅蓄电池处理污染控制技术规范</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w:t>
      </w:r>
      <w:r w:rsidR="000B6FB0">
        <w:rPr>
          <w:rFonts w:ascii="仿宋_GB2312" w:eastAsia="仿宋_GB2312" w:hAnsi="Calibri"/>
          <w:sz w:val="30"/>
          <w:szCs w:val="30"/>
        </w:rPr>
        <w:t>8</w:t>
      </w:r>
      <w:bookmarkStart w:id="3" w:name="_GoBack"/>
      <w:bookmarkEnd w:id="3"/>
      <w:r>
        <w:rPr>
          <w:rFonts w:ascii="仿宋_GB2312" w:eastAsia="仿宋_GB2312" w:hAnsi="Calibri" w:hint="eastAsia"/>
          <w:sz w:val="30"/>
          <w:szCs w:val="30"/>
        </w:rPr>
        <w:t xml:space="preserve">]  </w:t>
      </w:r>
      <w:r w:rsidR="0030623C" w:rsidRPr="0030623C">
        <w:rPr>
          <w:rFonts w:ascii="仿宋_GB2312" w:eastAsia="仿宋_GB2312" w:hAnsi="Calibri" w:hint="eastAsia"/>
          <w:sz w:val="30"/>
          <w:szCs w:val="30"/>
        </w:rPr>
        <w:t>HJ 2025</w:t>
      </w:r>
      <w:r w:rsidR="0030623C" w:rsidRPr="0030623C">
        <w:rPr>
          <w:rFonts w:ascii="仿宋_GB2312" w:eastAsia="仿宋_GB2312" w:hAnsi="Calibri" w:hint="eastAsia"/>
          <w:sz w:val="30"/>
          <w:szCs w:val="30"/>
        </w:rPr>
        <w:tab/>
        <w:t xml:space="preserve"> 危险废物收集、贮存、运输技术规范</w:t>
      </w:r>
    </w:p>
    <w:p w:rsidR="00F020F3" w:rsidRDefault="00B51959">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标准编制组在对收集的资料进行整理研究之后，标准编制组</w:t>
      </w:r>
      <w:r>
        <w:rPr>
          <w:rFonts w:ascii="仿宋_GB2312" w:eastAsia="仿宋_GB2312" w:hAnsi="Calibri" w:hint="eastAsia"/>
          <w:sz w:val="30"/>
          <w:szCs w:val="30"/>
        </w:rPr>
        <w:lastRenderedPageBreak/>
        <w:t>召开了标准编制会议，对标准的整体框架结构进行了研究，并对标准的特色、创新点及关键性内容进行了初步探讨。</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 xml:space="preserve">经研究，本标准的特色、创新点确定为： </w:t>
      </w:r>
    </w:p>
    <w:p w:rsidR="0030623C" w:rsidRPr="0030623C" w:rsidRDefault="00B51959" w:rsidP="0030623C">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 xml:space="preserve">1. </w:t>
      </w:r>
      <w:r w:rsidR="0030623C" w:rsidRPr="0030623C">
        <w:rPr>
          <w:rFonts w:ascii="仿宋_GB2312" w:eastAsia="仿宋_GB2312" w:hAnsi="Calibri" w:hint="eastAsia"/>
          <w:sz w:val="30"/>
          <w:szCs w:val="30"/>
        </w:rPr>
        <w:t>结合政府监管需求和企业内部业务运转全过程“闭环”要求，整合业务、财务、税务、银行要求，从平台框架、基本信息、人员角色、主要功能、数据接口、报表管理、数据库管理、数据安全等提出要求，实现信息流、票据流、合同流、运输流、资金流“五流合一”。</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 xml:space="preserve">2. </w:t>
      </w:r>
      <w:r w:rsidR="0030623C" w:rsidRPr="0030623C">
        <w:rPr>
          <w:rFonts w:ascii="仿宋_GB2312" w:eastAsia="仿宋_GB2312" w:hAnsi="Calibri" w:hint="eastAsia"/>
          <w:sz w:val="30"/>
          <w:szCs w:val="30"/>
        </w:rPr>
        <w:t>与以往标准的不同之处主要有：首次将政府监管功能和内部业务运转功能整体“闭环”考虑；提出企业系统和政府系统的数据接口要求；信息系统涵盖业财税银全流程。</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标准的主体内容确定为</w:t>
      </w:r>
      <w:r w:rsidR="0030623C" w:rsidRPr="0030623C">
        <w:rPr>
          <w:rFonts w:ascii="仿宋_GB2312" w:eastAsia="仿宋_GB2312" w:hAnsi="Calibri" w:hint="eastAsia"/>
          <w:sz w:val="30"/>
          <w:szCs w:val="30"/>
        </w:rPr>
        <w:t>废铅蓄电池收贮运全流程信息化管理的基本要求、信息化管理要求、信息反馈与闭环管理、信息安全与数据管理的要求</w:t>
      </w:r>
      <w:r>
        <w:rPr>
          <w:rFonts w:ascii="仿宋_GB2312" w:eastAsia="仿宋_GB2312" w:hAnsi="Calibri" w:hint="eastAsia"/>
          <w:sz w:val="30"/>
          <w:szCs w:val="30"/>
        </w:rPr>
        <w:t>。</w:t>
      </w:r>
    </w:p>
    <w:p w:rsidR="00F020F3" w:rsidRDefault="00B51959">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20</w:t>
      </w:r>
      <w:r w:rsidR="00667641">
        <w:rPr>
          <w:rFonts w:ascii="仿宋_GB2312" w:eastAsia="仿宋_GB2312" w:hAnsi="Calibri"/>
          <w:sz w:val="30"/>
          <w:szCs w:val="30"/>
        </w:rPr>
        <w:t>26</w:t>
      </w:r>
      <w:r>
        <w:rPr>
          <w:rFonts w:ascii="仿宋_GB2312" w:eastAsia="仿宋_GB2312" w:hAnsi="Calibri" w:hint="eastAsia"/>
          <w:sz w:val="30"/>
          <w:szCs w:val="30"/>
        </w:rPr>
        <w:t>年</w:t>
      </w:r>
      <w:r w:rsidR="00667641">
        <w:rPr>
          <w:rFonts w:ascii="仿宋_GB2312" w:eastAsia="仿宋_GB2312" w:hAnsi="Calibri"/>
          <w:sz w:val="30"/>
          <w:szCs w:val="30"/>
        </w:rPr>
        <w:t>1</w:t>
      </w:r>
      <w:r>
        <w:rPr>
          <w:rFonts w:ascii="仿宋_GB2312" w:eastAsia="仿宋_GB2312" w:hAnsi="Calibri" w:hint="eastAsia"/>
          <w:sz w:val="30"/>
          <w:szCs w:val="30"/>
        </w:rPr>
        <w:t>月，标准编制组通过查阅了大量的国内外文献资料，对</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的相关文件进行系统总结。形成了标准的基本构架，对主要内容进行了讨论并对项目的工作进行了部署和安排。</w:t>
      </w:r>
    </w:p>
    <w:p w:rsidR="00F020F3" w:rsidRDefault="00B51959">
      <w:pPr>
        <w:spacing w:line="560" w:lineRule="exact"/>
        <w:ind w:firstLineChars="200" w:firstLine="600"/>
        <w:rPr>
          <w:rFonts w:ascii="仿宋_GB2312" w:eastAsia="仿宋_GB2312" w:hAnsi="Calibri"/>
          <w:sz w:val="30"/>
          <w:szCs w:val="30"/>
        </w:rPr>
      </w:pPr>
      <w:bookmarkStart w:id="4" w:name="_Hlk132042443"/>
      <w:r>
        <w:rPr>
          <w:rFonts w:ascii="仿宋_GB2312" w:eastAsia="仿宋_GB2312" w:hAnsi="Calibri" w:hint="eastAsia"/>
          <w:sz w:val="30"/>
          <w:szCs w:val="30"/>
        </w:rPr>
        <w:t>202</w:t>
      </w:r>
      <w:r w:rsidR="00667641">
        <w:rPr>
          <w:rFonts w:ascii="仿宋_GB2312" w:eastAsia="仿宋_GB2312" w:hAnsi="Calibri"/>
          <w:sz w:val="30"/>
          <w:szCs w:val="30"/>
        </w:rPr>
        <w:t>6</w:t>
      </w:r>
      <w:r>
        <w:rPr>
          <w:rFonts w:ascii="仿宋_GB2312" w:eastAsia="仿宋_GB2312" w:hAnsi="Calibri" w:hint="eastAsia"/>
          <w:sz w:val="30"/>
          <w:szCs w:val="30"/>
        </w:rPr>
        <w:t>年</w:t>
      </w:r>
      <w:bookmarkEnd w:id="4"/>
      <w:r w:rsidR="00667641">
        <w:rPr>
          <w:rFonts w:ascii="仿宋_GB2312" w:eastAsia="仿宋_GB2312" w:hAnsi="Calibri"/>
          <w:sz w:val="30"/>
          <w:szCs w:val="30"/>
        </w:rPr>
        <w:t>2</w:t>
      </w:r>
      <w:r>
        <w:rPr>
          <w:rFonts w:ascii="仿宋_GB2312" w:eastAsia="仿宋_GB2312" w:hAnsi="Calibri" w:hint="eastAsia"/>
          <w:sz w:val="30"/>
          <w:szCs w:val="30"/>
        </w:rPr>
        <w:t>月，在前期工作的基础之上，通过理清逻辑脉络，整合已有参考资料中有关</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的内容，并结合</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实际要求的基础上，按照简化、统一等原则编制完成团体标准《</w:t>
      </w:r>
      <w:r w:rsidR="0030623C">
        <w:rPr>
          <w:rFonts w:ascii="仿宋_GB2312" w:eastAsia="仿宋_GB2312" w:hAnsi="Calibri" w:hint="eastAsia"/>
          <w:sz w:val="30"/>
          <w:szCs w:val="30"/>
        </w:rPr>
        <w:t>废铅蓄电池收贮运全流程信息化管理规范</w:t>
      </w:r>
      <w:r>
        <w:rPr>
          <w:rFonts w:ascii="仿宋_GB2312" w:eastAsia="仿宋_GB2312" w:hAnsi="Calibri" w:hint="eastAsia"/>
          <w:sz w:val="30"/>
          <w:szCs w:val="30"/>
        </w:rPr>
        <w:t>》（草案）。</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lastRenderedPageBreak/>
        <w:t>202</w:t>
      </w:r>
      <w:r w:rsidR="00667641">
        <w:rPr>
          <w:rFonts w:ascii="仿宋_GB2312" w:eastAsia="仿宋_GB2312" w:hAnsi="Calibri"/>
          <w:sz w:val="30"/>
          <w:szCs w:val="30"/>
        </w:rPr>
        <w:t>6</w:t>
      </w:r>
      <w:r>
        <w:rPr>
          <w:rFonts w:ascii="仿宋_GB2312" w:eastAsia="仿宋_GB2312" w:hAnsi="Calibri" w:hint="eastAsia"/>
          <w:sz w:val="30"/>
          <w:szCs w:val="30"/>
        </w:rPr>
        <w:t>年</w:t>
      </w:r>
      <w:r w:rsidR="00667641">
        <w:rPr>
          <w:rFonts w:ascii="仿宋_GB2312" w:eastAsia="仿宋_GB2312" w:hAnsi="Calibri"/>
          <w:sz w:val="30"/>
          <w:szCs w:val="30"/>
        </w:rPr>
        <w:t>3</w:t>
      </w:r>
      <w:r>
        <w:rPr>
          <w:rFonts w:ascii="仿宋_GB2312" w:eastAsia="仿宋_GB2312" w:hAnsi="Calibri" w:hint="eastAsia"/>
          <w:sz w:val="30"/>
          <w:szCs w:val="30"/>
        </w:rPr>
        <w:t>月-</w:t>
      </w:r>
      <w:r w:rsidR="00667641">
        <w:rPr>
          <w:rFonts w:ascii="仿宋_GB2312" w:eastAsia="仿宋_GB2312" w:hAnsi="Calibri"/>
          <w:sz w:val="30"/>
          <w:szCs w:val="30"/>
        </w:rPr>
        <w:t>4</w:t>
      </w:r>
      <w:r>
        <w:rPr>
          <w:rFonts w:ascii="仿宋_GB2312" w:eastAsia="仿宋_GB2312" w:hAnsi="Calibri" w:hint="eastAsia"/>
          <w:sz w:val="30"/>
          <w:szCs w:val="30"/>
        </w:rPr>
        <w:t>月，标准编制组组织</w:t>
      </w:r>
      <w:r w:rsidR="00667641" w:rsidRPr="00667641">
        <w:rPr>
          <w:rFonts w:ascii="仿宋_GB2312" w:eastAsia="仿宋_GB2312" w:hAnsi="Calibri" w:hint="eastAsia"/>
          <w:sz w:val="30"/>
          <w:szCs w:val="30"/>
        </w:rPr>
        <w:t>广西维云再生资源回收有限责任公司、生态环境部对外合作与交流中心、生态环境部固体废物与化学品管理技术中心、深圳点废成金科技有限公司、广州八大科技有限公司、广西五环环保科技有限公司、广西聚睿天合新能源环保科技有限公司、玉林市海威环保科技有限责任公司、桂林市博月环保有限公司、崇左市长盈环保科技有限责任公司、梧州市川宇环保科技有限责任公司、南宁市川志环保科技有限责任公司、钦州市东浩环保科技有限责任公司、河池市辰久环保科技有限责任公司、广西地山环保有限责任公司</w:t>
      </w:r>
      <w:r>
        <w:rPr>
          <w:rFonts w:ascii="仿宋_GB2312" w:eastAsia="仿宋_GB2312" w:hAnsi="Calibri" w:hint="eastAsia"/>
          <w:sz w:val="30"/>
          <w:szCs w:val="30"/>
        </w:rPr>
        <w:t>等单位召开标准研讨会，收集反馈了大量意见，掌握</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的基本要求。标准编制组对标准草案进行了反复修改和研究讨论。最终形成了团体标准《</w:t>
      </w:r>
      <w:r w:rsidR="0030623C">
        <w:rPr>
          <w:rFonts w:ascii="仿宋_GB2312" w:eastAsia="仿宋_GB2312" w:hAnsi="Calibri" w:hint="eastAsia"/>
          <w:sz w:val="30"/>
          <w:szCs w:val="30"/>
        </w:rPr>
        <w:t>废铅蓄电池收贮运全流程信息化管理规范</w:t>
      </w:r>
      <w:r>
        <w:rPr>
          <w:rFonts w:ascii="仿宋_GB2312" w:eastAsia="仿宋_GB2312" w:hAnsi="Calibri" w:hint="eastAsia"/>
          <w:sz w:val="30"/>
          <w:szCs w:val="30"/>
        </w:rPr>
        <w:t>》（征求意见稿）及其编制说明。</w:t>
      </w:r>
      <w:bookmarkStart w:id="5" w:name="_Hlk137230187"/>
    </w:p>
    <w:p w:rsidR="00F020F3" w:rsidRDefault="00B51959">
      <w:pPr>
        <w:spacing w:line="560" w:lineRule="exact"/>
        <w:ind w:firstLineChars="200" w:firstLine="640"/>
        <w:outlineLvl w:val="0"/>
        <w:rPr>
          <w:rFonts w:ascii="黑体" w:eastAsia="黑体" w:hAnsi="黑体" w:cs="仿宋_GB2312"/>
          <w:sz w:val="32"/>
          <w:szCs w:val="32"/>
        </w:rPr>
      </w:pPr>
      <w:bookmarkStart w:id="6" w:name="_Toc526940083"/>
      <w:bookmarkEnd w:id="5"/>
      <w:r>
        <w:rPr>
          <w:rFonts w:ascii="黑体" w:eastAsia="黑体" w:hAnsi="黑体" w:cs="仿宋_GB2312" w:hint="eastAsia"/>
          <w:sz w:val="32"/>
          <w:szCs w:val="32"/>
        </w:rPr>
        <w:t>四、</w:t>
      </w:r>
      <w:bookmarkEnd w:id="6"/>
      <w:r>
        <w:rPr>
          <w:rFonts w:ascii="黑体" w:eastAsia="黑体" w:hAnsi="黑体" w:cs="仿宋_GB2312" w:hint="eastAsia"/>
          <w:sz w:val="32"/>
          <w:szCs w:val="32"/>
        </w:rPr>
        <w:t>制定标准的原则和依据，与现行法律、法规的关系，与有关国家标准、行业标准的协调情况</w:t>
      </w:r>
    </w:p>
    <w:p w:rsidR="00F020F3" w:rsidRDefault="00B51959">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1.实用性原则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本文件是在充分收集相关资料，分析当前现状、调研的实际情况，在现有文献中参考与</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相关内容的基础上，结合多年经验而总结起草的。符合当前</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的需要，有利于行业的长远发展，具有较强的实用性和可操作性。</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2.协调性原则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本文件编写过程中注意了与</w:t>
      </w:r>
      <w:r w:rsidR="0030623C">
        <w:rPr>
          <w:rFonts w:ascii="仿宋_GB2312" w:eastAsia="仿宋_GB2312" w:hAnsi="Calibri" w:hint="eastAsia"/>
          <w:sz w:val="30"/>
          <w:szCs w:val="30"/>
        </w:rPr>
        <w:t>废铅蓄电池收贮运全流程信息</w:t>
      </w:r>
      <w:r w:rsidR="0030623C">
        <w:rPr>
          <w:rFonts w:ascii="仿宋_GB2312" w:eastAsia="仿宋_GB2312" w:hAnsi="Calibri" w:hint="eastAsia"/>
          <w:sz w:val="30"/>
          <w:szCs w:val="30"/>
        </w:rPr>
        <w:lastRenderedPageBreak/>
        <w:t>化管理</w:t>
      </w:r>
      <w:r>
        <w:rPr>
          <w:rFonts w:ascii="仿宋_GB2312" w:eastAsia="仿宋_GB2312" w:hAnsi="Calibri" w:hint="eastAsia"/>
          <w:sz w:val="30"/>
          <w:szCs w:val="30"/>
        </w:rPr>
        <w:t>相关法律法规的协调问题，在内容上与现行法律法规、标准协调一致。</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3.规范性原则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本文件严格按照GB/T 1.1—2020《标准化工作导则 第1部分：标准化文件的结构和起草规则》的要求和规定编写本标准的内容，保证标准的编写质量。</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4.前瞻性原则</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本文件在兼顾当前</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现实情况的同时，还考虑到了</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快速发展的趋势和需要，在标准中体现了个别特色性、前瞻性和先进性条款，作为对开展</w:t>
      </w:r>
      <w:r w:rsidR="0030623C">
        <w:rPr>
          <w:rFonts w:ascii="仿宋_GB2312" w:eastAsia="仿宋_GB2312" w:hAnsi="Calibri" w:hint="eastAsia"/>
          <w:sz w:val="30"/>
          <w:szCs w:val="30"/>
        </w:rPr>
        <w:t>废铅蓄电池收贮运全流程信息化管理</w:t>
      </w:r>
      <w:r>
        <w:rPr>
          <w:rFonts w:ascii="仿宋_GB2312" w:eastAsia="仿宋_GB2312" w:hAnsi="Calibri" w:hint="eastAsia"/>
          <w:sz w:val="30"/>
          <w:szCs w:val="30"/>
        </w:rPr>
        <w:t>的指导。</w:t>
      </w:r>
    </w:p>
    <w:p w:rsidR="00F020F3" w:rsidRDefault="00B51959">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本标准的内容与现行的法律、法规及强制性标准无冲突，标准的编写符合GB/T 1.1—2020的要求。</w:t>
      </w:r>
    </w:p>
    <w:p w:rsidR="00667641" w:rsidRPr="00667641"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 xml:space="preserve">经查阅，国内与“废铅酸蓄电池”“收贮运”“信息化”相关的国家标准、行业标准、地方标准：1.GB/T 37281-2019《废铅酸蓄电池回收技术规范》:对废铅蓄电池生产、收集、贮存、运输、转移提出了技术要求。2. WB/T 1061-2016《废蓄电池回收管理规范》:对废铅蓄电池分类、收集、运输和贮存提出了回收管理要求。3. WB/T 1120-2022《废旧动力蓄电池回收服务规范》:规定了废旧动力电池（含锂电池）回收服务要求，包括回收方要求、服务要求、异常处理要求、信息反馈要求、评价和改进。4. </w:t>
      </w:r>
      <w:r w:rsidRPr="00667641">
        <w:rPr>
          <w:rFonts w:ascii="仿宋_GB2312" w:eastAsia="仿宋_GB2312" w:hAnsi="Calibri" w:hint="eastAsia"/>
          <w:sz w:val="30"/>
          <w:szCs w:val="30"/>
        </w:rPr>
        <w:lastRenderedPageBreak/>
        <w:t>T/CMSS 0018-2025《废铅蓄电池规范回收管理指南》：规定了铅蓄电池回收全流程中回收人员的操作规范、安全防护、数据追溯及监督管理要求。5. T/GXSES 0002—2023《危险废物全流程监控与信息化管理规范》：规定了危险废物全流程监控与信息化管理的基本要求、系统设计、信息系统管理和追溯管理的要求。</w:t>
      </w:r>
    </w:p>
    <w:p w:rsidR="00667641" w:rsidRPr="00667641"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关键区别：</w:t>
      </w:r>
    </w:p>
    <w:p w:rsidR="00667641" w:rsidRPr="00667641"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结合政府监管需求和企业内部业务运转全过程“闭环”要求，整合业务、财务、税务、银行要求，从平台框架、基本信息、人员角色、主要功能、数据接口、报表管理、数据库管理、数据安全等提出要求，实现信息流、票据流、合同流、运输流、资金流“五流合一”。</w:t>
      </w:r>
    </w:p>
    <w:p w:rsidR="00F020F3"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与以往标准的不同之处主要有：首次将政府监管功能和内部业务运转功能整体“闭环”考虑；提出企业系统和政府系统的数据接口要求；信息系统涵盖业财税银全流程。</w:t>
      </w:r>
      <w:r w:rsidR="00B51959">
        <w:rPr>
          <w:rFonts w:ascii="仿宋_GB2312" w:eastAsia="仿宋_GB2312" w:hAnsi="Calibri" w:hint="eastAsia"/>
          <w:sz w:val="30"/>
          <w:szCs w:val="30"/>
        </w:rPr>
        <w:t>当前未制定有</w:t>
      </w:r>
      <w:bookmarkStart w:id="7" w:name="OLE_LINK15"/>
      <w:r w:rsidR="00B51959">
        <w:rPr>
          <w:rFonts w:ascii="仿宋_GB2312" w:eastAsia="仿宋_GB2312" w:hAnsi="Calibri" w:hint="eastAsia"/>
          <w:sz w:val="30"/>
          <w:szCs w:val="30"/>
        </w:rPr>
        <w:t>团体标准</w:t>
      </w:r>
      <w:bookmarkStart w:id="8" w:name="OLE_LINK11"/>
      <w:bookmarkStart w:id="9" w:name="OLE_LINK9"/>
      <w:r w:rsidR="00B51959">
        <w:rPr>
          <w:rFonts w:ascii="仿宋_GB2312" w:eastAsia="仿宋_GB2312" w:hAnsi="Calibri" w:hint="eastAsia"/>
          <w:sz w:val="30"/>
          <w:szCs w:val="30"/>
        </w:rPr>
        <w:t>《</w:t>
      </w:r>
      <w:r w:rsidR="0030623C">
        <w:rPr>
          <w:rFonts w:ascii="仿宋_GB2312" w:eastAsia="仿宋_GB2312" w:hAnsi="Calibri" w:hint="eastAsia"/>
          <w:sz w:val="30"/>
          <w:szCs w:val="30"/>
        </w:rPr>
        <w:t>废铅蓄电池收贮运全流程信息化管理规范</w:t>
      </w:r>
      <w:r w:rsidR="00B51959">
        <w:rPr>
          <w:rFonts w:ascii="仿宋_GB2312" w:eastAsia="仿宋_GB2312" w:hAnsi="Calibri" w:hint="eastAsia"/>
          <w:sz w:val="30"/>
          <w:szCs w:val="30"/>
        </w:rPr>
        <w:t>》</w:t>
      </w:r>
      <w:bookmarkEnd w:id="7"/>
      <w:bookmarkEnd w:id="8"/>
      <w:bookmarkEnd w:id="9"/>
      <w:r w:rsidR="00B51959">
        <w:rPr>
          <w:rFonts w:ascii="仿宋_GB2312" w:eastAsia="仿宋_GB2312" w:hAnsi="Calibri" w:hint="eastAsia"/>
          <w:sz w:val="30"/>
          <w:szCs w:val="30"/>
        </w:rPr>
        <w:t>。</w:t>
      </w:r>
    </w:p>
    <w:p w:rsidR="00F020F3" w:rsidRDefault="00B51959">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本标准主要章节内容包括术语和定义、基本要求、操作流程及要求、不良事件预防和处理。</w:t>
      </w:r>
    </w:p>
    <w:p w:rsidR="00667641" w:rsidRPr="00667641"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广西维云再生资源回收有限责任公司是全国首个省级循环产业平台广西循环产业集团有限责任公司二级子公司，是全国唯一一家获得全球环境基金“中国再生铝、铅、锌、锂行业绿色生产与可持续发展项目”之废铅蓄电池回收行业示范企业，连续两年入选南宁市电动自行车以旧换新回收企业名单。主要从事危险</w:t>
      </w:r>
      <w:r w:rsidRPr="00667641">
        <w:rPr>
          <w:rFonts w:ascii="仿宋_GB2312" w:eastAsia="仿宋_GB2312" w:hAnsi="Calibri" w:hint="eastAsia"/>
          <w:sz w:val="30"/>
          <w:szCs w:val="30"/>
        </w:rPr>
        <w:lastRenderedPageBreak/>
        <w:t>废物智能收集贮存、道路危险货物运输（含普货运输）、润滑油销售、软件系统开发运营、电动自行车以旧换新回收、人工智能（AI）及区块链技术在环保领域的研发与应用等业务，持有自治区生态环境厅颁发《危险废物经营许可证》，服务范围覆盖广西14个地市危险废物产生单位，并已在危险废物收集行业深耕多年，拥有一支专业的管理运营团队及广泛的市场渠道。维云公司配备有运输车队和危险货物运输车辆，持有广西交通运输主管部门颁发的《道路运输经营许可证》，经营范围为危险货物（9类、危险废物），可有效解决危险废物最后一公里运输难题，搭建广西危险废物收运一张网体系。公司高度重视核心技术开发和参与行业标准制定，与国内各大高校、科研院所、协会等单位合作开发危险废物收集贮存利用处置技术研发，参与广西地方标准和危险废物行业或团体标准制定。截止2025年10月，拥有1项发明专利、4项实用新型专利、1项外观设计专利以及</w:t>
      </w:r>
      <w:r w:rsidR="005B64BB" w:rsidRPr="005B64BB">
        <w:rPr>
          <w:rFonts w:ascii="仿宋_GB2312" w:eastAsia="仿宋_GB2312" w:hAnsi="Calibri" w:hint="eastAsia"/>
          <w:sz w:val="30"/>
          <w:szCs w:val="30"/>
        </w:rPr>
        <w:t>《广西危废管家平台v1.0》《广西危废收运“一张网”信息服务平台[简称：广西危废管家]v1.0》</w:t>
      </w:r>
      <w:r w:rsidR="005B64BB">
        <w:rPr>
          <w:rFonts w:ascii="仿宋_GB2312" w:eastAsia="仿宋_GB2312" w:hAnsi="Calibri" w:hint="eastAsia"/>
          <w:sz w:val="30"/>
          <w:szCs w:val="30"/>
        </w:rPr>
        <w:t>等</w:t>
      </w:r>
      <w:r w:rsidRPr="00667641">
        <w:rPr>
          <w:rFonts w:ascii="仿宋_GB2312" w:eastAsia="仿宋_GB2312" w:hAnsi="Calibri" w:hint="eastAsia"/>
          <w:sz w:val="30"/>
          <w:szCs w:val="30"/>
        </w:rPr>
        <w:t>8项计算机软件著作。</w:t>
      </w:r>
    </w:p>
    <w:p w:rsidR="00F020F3" w:rsidRDefault="00667641" w:rsidP="00667641">
      <w:pPr>
        <w:spacing w:line="560" w:lineRule="exact"/>
        <w:ind w:firstLineChars="200" w:firstLine="600"/>
        <w:rPr>
          <w:rFonts w:ascii="仿宋_GB2312" w:eastAsia="仿宋_GB2312" w:hAnsi="Calibri"/>
          <w:sz w:val="30"/>
          <w:szCs w:val="30"/>
        </w:rPr>
      </w:pPr>
      <w:r w:rsidRPr="00667641">
        <w:rPr>
          <w:rFonts w:ascii="仿宋_GB2312" w:eastAsia="仿宋_GB2312" w:hAnsi="Calibri" w:hint="eastAsia"/>
          <w:sz w:val="30"/>
          <w:szCs w:val="30"/>
        </w:rPr>
        <w:t>目前，广西维云再生资源回收有限责任公司已完成配套建设广西危险废物收运“一张网”信息服务系统建设工作，并和国家固体废物管理信息系统完成转移联单数据接口对接，整个系统已在南宁、钦州、北海等地废铅蓄电池业务中进行测试和应用。该系统已申请软件著作权3项。</w:t>
      </w:r>
    </w:p>
    <w:p w:rsidR="00CF5868" w:rsidRPr="00CF5868" w:rsidRDefault="00CF5868" w:rsidP="00667641">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该“一张网”项目采用“新建+改造”模式，在广西14个地市布局25个综合危险废物收集点，直击行业关键痛点，针对可解决小微企业及社会源危险废物转运不规范、效率低、环境风险</w:t>
      </w:r>
      <w:r w:rsidRPr="00CF5868">
        <w:rPr>
          <w:rFonts w:ascii="仿宋_GB2312" w:eastAsia="仿宋_GB2312" w:hAnsi="Calibri" w:hint="eastAsia"/>
          <w:sz w:val="30"/>
          <w:szCs w:val="30"/>
        </w:rPr>
        <w:lastRenderedPageBreak/>
        <w:t>高、成本高等问题，通过标准化站点建设，实现此类收运危险废物从收集、贮存与转运的全流程规范化管理，从源头降低环境隐患。同时，公司开发运营的“一张网”信息服务平台，依托数字化技术构建危险废物全生命周期管理体系，对收集、转移、贮存、利用处置等各环节进行实时追踪与数据记录，形成全过程可溯源闭环管理，为广西危险废物治理提供“安全、高效、透明”的一体化解决方案。</w:t>
      </w:r>
    </w:p>
    <w:p w:rsidR="00667641" w:rsidRDefault="00667641" w:rsidP="00667641">
      <w:pPr>
        <w:rPr>
          <w:rFonts w:ascii="仿宋_GB2312" w:eastAsia="仿宋_GB2312" w:hAnsi="Calibri"/>
          <w:sz w:val="30"/>
          <w:szCs w:val="30"/>
        </w:rPr>
      </w:pPr>
      <w:r>
        <w:rPr>
          <w:noProof/>
        </w:rPr>
        <w:drawing>
          <wp:inline distT="0" distB="0" distL="0" distR="0" wp14:anchorId="66BD36A9" wp14:editId="097E6B4C">
            <wp:extent cx="5274310" cy="258572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585720"/>
                    </a:xfrm>
                    <a:prstGeom prst="rect">
                      <a:avLst/>
                    </a:prstGeom>
                  </pic:spPr>
                </pic:pic>
              </a:graphicData>
            </a:graphic>
          </wp:inline>
        </w:drawing>
      </w:r>
    </w:p>
    <w:p w:rsidR="00667641" w:rsidRDefault="00667641" w:rsidP="00667641">
      <w:pPr>
        <w:jc w:val="center"/>
        <w:rPr>
          <w:rFonts w:ascii="仿宋_GB2312" w:eastAsia="仿宋_GB2312" w:hAnsi="Calibri"/>
          <w:sz w:val="30"/>
          <w:szCs w:val="30"/>
        </w:rPr>
      </w:pPr>
      <w:r w:rsidRPr="00667641">
        <w:rPr>
          <w:rFonts w:ascii="仿宋_GB2312" w:eastAsia="仿宋_GB2312" w:hAnsi="Calibri" w:hint="eastAsia"/>
          <w:sz w:val="30"/>
          <w:szCs w:val="30"/>
        </w:rPr>
        <w:t>广西危险废物收运“一张网”信息服务</w:t>
      </w:r>
      <w:r>
        <w:rPr>
          <w:rFonts w:ascii="仿宋_GB2312" w:eastAsia="仿宋_GB2312" w:hAnsi="Calibri" w:hint="eastAsia"/>
          <w:sz w:val="30"/>
          <w:szCs w:val="30"/>
        </w:rPr>
        <w:t>平台</w:t>
      </w:r>
    </w:p>
    <w:p w:rsidR="00667641" w:rsidRDefault="00667641" w:rsidP="00667641">
      <w:pPr>
        <w:rPr>
          <w:rFonts w:ascii="仿宋_GB2312" w:eastAsia="仿宋_GB2312" w:hAnsi="Calibri"/>
          <w:sz w:val="30"/>
          <w:szCs w:val="30"/>
        </w:rPr>
      </w:pPr>
      <w:r>
        <w:rPr>
          <w:noProof/>
        </w:rPr>
        <w:drawing>
          <wp:inline distT="0" distB="0" distL="0" distR="0" wp14:anchorId="3895299E" wp14:editId="5CE9DEB1">
            <wp:extent cx="5274310" cy="2602230"/>
            <wp:effectExtent l="0" t="0" r="254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02230"/>
                    </a:xfrm>
                    <a:prstGeom prst="rect">
                      <a:avLst/>
                    </a:prstGeom>
                  </pic:spPr>
                </pic:pic>
              </a:graphicData>
            </a:graphic>
          </wp:inline>
        </w:drawing>
      </w:r>
    </w:p>
    <w:p w:rsidR="00667641" w:rsidRDefault="00667641" w:rsidP="00667641">
      <w:pPr>
        <w:jc w:val="center"/>
        <w:rPr>
          <w:rFonts w:ascii="仿宋_GB2312" w:eastAsia="仿宋_GB2312" w:hAnsi="Calibri"/>
          <w:sz w:val="30"/>
          <w:szCs w:val="30"/>
        </w:rPr>
      </w:pPr>
      <w:r w:rsidRPr="00667641">
        <w:rPr>
          <w:rFonts w:ascii="仿宋_GB2312" w:eastAsia="仿宋_GB2312" w:hAnsi="Calibri" w:hint="eastAsia"/>
          <w:sz w:val="30"/>
          <w:szCs w:val="30"/>
        </w:rPr>
        <w:t>广西危险废物收运“一张网”信息服务</w:t>
      </w:r>
      <w:r>
        <w:rPr>
          <w:rFonts w:ascii="仿宋_GB2312" w:eastAsia="仿宋_GB2312" w:hAnsi="Calibri" w:hint="eastAsia"/>
          <w:sz w:val="30"/>
          <w:szCs w:val="30"/>
        </w:rPr>
        <w:t>平台</w:t>
      </w:r>
    </w:p>
    <w:p w:rsidR="00667641" w:rsidRDefault="00667641" w:rsidP="00667641">
      <w:pPr>
        <w:jc w:val="center"/>
        <w:rPr>
          <w:rFonts w:ascii="仿宋_GB2312" w:eastAsia="仿宋_GB2312" w:hAnsi="Calibri"/>
          <w:sz w:val="30"/>
          <w:szCs w:val="30"/>
        </w:rPr>
      </w:pPr>
      <w:r w:rsidRPr="00667641">
        <w:rPr>
          <w:rFonts w:ascii="仿宋_GB2312" w:eastAsia="仿宋_GB2312" w:hAnsi="Calibri"/>
          <w:noProof/>
          <w:sz w:val="30"/>
          <w:szCs w:val="30"/>
        </w:rPr>
        <w:lastRenderedPageBreak/>
        <w:drawing>
          <wp:inline distT="0" distB="0" distL="0" distR="0">
            <wp:extent cx="3988435" cy="81819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5481" b="2207"/>
                    <a:stretch/>
                  </pic:blipFill>
                  <pic:spPr bwMode="auto">
                    <a:xfrm>
                      <a:off x="0" y="0"/>
                      <a:ext cx="3988435" cy="8181975"/>
                    </a:xfrm>
                    <a:prstGeom prst="rect">
                      <a:avLst/>
                    </a:prstGeom>
                    <a:noFill/>
                    <a:ln>
                      <a:noFill/>
                    </a:ln>
                    <a:extLst>
                      <a:ext uri="{53640926-AAD7-44D8-BBD7-CCE9431645EC}">
                        <a14:shadowObscured xmlns:a14="http://schemas.microsoft.com/office/drawing/2010/main"/>
                      </a:ext>
                    </a:extLst>
                  </pic:spPr>
                </pic:pic>
              </a:graphicData>
            </a:graphic>
          </wp:inline>
        </w:drawing>
      </w:r>
    </w:p>
    <w:p w:rsidR="00667641" w:rsidRDefault="00667641" w:rsidP="00667641">
      <w:pPr>
        <w:jc w:val="center"/>
        <w:rPr>
          <w:rFonts w:ascii="仿宋_GB2312" w:eastAsia="仿宋_GB2312" w:hAnsi="Calibri"/>
          <w:sz w:val="30"/>
          <w:szCs w:val="30"/>
        </w:rPr>
      </w:pPr>
      <w:r>
        <w:rPr>
          <w:rFonts w:ascii="仿宋_GB2312" w:eastAsia="仿宋_GB2312" w:hAnsi="Calibri" w:hint="eastAsia"/>
          <w:sz w:val="30"/>
          <w:szCs w:val="30"/>
        </w:rPr>
        <w:t>广</w:t>
      </w:r>
      <w:r w:rsidRPr="00667641">
        <w:rPr>
          <w:rFonts w:ascii="仿宋_GB2312" w:eastAsia="仿宋_GB2312" w:hAnsi="Calibri" w:hint="eastAsia"/>
          <w:sz w:val="30"/>
          <w:szCs w:val="30"/>
        </w:rPr>
        <w:t>西危废管家APP</w:t>
      </w:r>
    </w:p>
    <w:p w:rsidR="00375CAF" w:rsidRDefault="00375CAF" w:rsidP="00667641">
      <w:pPr>
        <w:jc w:val="center"/>
        <w:rPr>
          <w:rFonts w:ascii="仿宋_GB2312" w:eastAsia="仿宋_GB2312" w:hAnsi="Calibri"/>
          <w:sz w:val="30"/>
          <w:szCs w:val="30"/>
        </w:rPr>
      </w:pPr>
      <w:r>
        <w:rPr>
          <w:rFonts w:eastAsia="黑体"/>
          <w:noProof/>
          <w:sz w:val="32"/>
        </w:rPr>
        <w:lastRenderedPageBreak/>
        <w:drawing>
          <wp:inline distT="0" distB="0" distL="114300" distR="114300" wp14:anchorId="551C4769" wp14:editId="38EC77FD">
            <wp:extent cx="5273675" cy="5953125"/>
            <wp:effectExtent l="0" t="0" r="3175" b="9525"/>
            <wp:docPr id="62" name="图片 62" descr="截止2025年9月知识产权统计表_页面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截止2025年9月知识产权统计表_页面_10"/>
                    <pic:cNvPicPr>
                      <a:picLocks noChangeAspect="1"/>
                    </pic:cNvPicPr>
                  </pic:nvPicPr>
                  <pic:blipFill rotWithShape="1">
                    <a:blip r:embed="rId10"/>
                    <a:srcRect t="11365" b="8822"/>
                    <a:stretch/>
                  </pic:blipFill>
                  <pic:spPr bwMode="auto">
                    <a:xfrm>
                      <a:off x="0" y="0"/>
                      <a:ext cx="5274310" cy="5953842"/>
                    </a:xfrm>
                    <a:prstGeom prst="rect">
                      <a:avLst/>
                    </a:prstGeom>
                    <a:ln>
                      <a:noFill/>
                    </a:ln>
                    <a:extLst>
                      <a:ext uri="{53640926-AAD7-44D8-BBD7-CCE9431645EC}">
                        <a14:shadowObscured xmlns:a14="http://schemas.microsoft.com/office/drawing/2010/main"/>
                      </a:ext>
                    </a:extLst>
                  </pic:spPr>
                </pic:pic>
              </a:graphicData>
            </a:graphic>
          </wp:inline>
        </w:drawing>
      </w:r>
    </w:p>
    <w:p w:rsidR="00375CAF" w:rsidRDefault="00375CAF" w:rsidP="00667641">
      <w:pPr>
        <w:jc w:val="center"/>
        <w:rPr>
          <w:rFonts w:ascii="仿宋_GB2312" w:eastAsia="仿宋_GB2312" w:hAnsi="Calibri"/>
          <w:sz w:val="30"/>
          <w:szCs w:val="30"/>
        </w:rPr>
      </w:pPr>
      <w:r w:rsidRPr="00375CAF">
        <w:rPr>
          <w:rFonts w:ascii="仿宋_GB2312" w:eastAsia="仿宋_GB2312" w:hAnsi="Calibri" w:hint="eastAsia"/>
          <w:sz w:val="30"/>
          <w:szCs w:val="30"/>
        </w:rPr>
        <w:t>广西危险废物收运</w:t>
      </w:r>
      <w:r>
        <w:rPr>
          <w:rFonts w:ascii="仿宋_GB2312" w:eastAsia="仿宋_GB2312" w:hAnsi="Calibri" w:hint="eastAsia"/>
          <w:sz w:val="30"/>
          <w:szCs w:val="30"/>
        </w:rPr>
        <w:t>“</w:t>
      </w:r>
      <w:r w:rsidRPr="00375CAF">
        <w:rPr>
          <w:rFonts w:ascii="仿宋_GB2312" w:eastAsia="仿宋_GB2312" w:hAnsi="Calibri" w:hint="eastAsia"/>
          <w:sz w:val="30"/>
          <w:szCs w:val="30"/>
        </w:rPr>
        <w:t>一张网</w:t>
      </w:r>
      <w:r>
        <w:rPr>
          <w:rFonts w:ascii="仿宋_GB2312" w:eastAsia="仿宋_GB2312" w:hAnsi="Calibri" w:hint="eastAsia"/>
          <w:sz w:val="30"/>
          <w:szCs w:val="30"/>
        </w:rPr>
        <w:t>”</w:t>
      </w:r>
      <w:r w:rsidRPr="00375CAF">
        <w:rPr>
          <w:rFonts w:ascii="仿宋_GB2312" w:eastAsia="仿宋_GB2312" w:hAnsi="Calibri" w:hint="eastAsia"/>
          <w:sz w:val="30"/>
          <w:szCs w:val="30"/>
        </w:rPr>
        <w:t>信息服务平台[简称:广西危废管家]V1.0</w:t>
      </w:r>
      <w:r w:rsidRPr="00667641">
        <w:rPr>
          <w:rFonts w:ascii="仿宋_GB2312" w:eastAsia="仿宋_GB2312" w:hAnsi="Calibri" w:hint="eastAsia"/>
          <w:sz w:val="30"/>
          <w:szCs w:val="30"/>
        </w:rPr>
        <w:t>软件著作权</w:t>
      </w:r>
      <w:r>
        <w:rPr>
          <w:rFonts w:ascii="仿宋_GB2312" w:eastAsia="仿宋_GB2312" w:hAnsi="Calibri" w:hint="eastAsia"/>
          <w:sz w:val="30"/>
          <w:szCs w:val="30"/>
        </w:rPr>
        <w:t>登记证书</w:t>
      </w:r>
    </w:p>
    <w:p w:rsidR="00375CAF" w:rsidRDefault="00375CAF" w:rsidP="00667641">
      <w:pPr>
        <w:jc w:val="center"/>
        <w:rPr>
          <w:rFonts w:ascii="仿宋_GB2312" w:eastAsia="仿宋_GB2312" w:hAnsi="Calibri"/>
          <w:sz w:val="30"/>
          <w:szCs w:val="30"/>
        </w:rPr>
      </w:pPr>
      <w:r>
        <w:rPr>
          <w:rFonts w:eastAsia="黑体"/>
          <w:noProof/>
          <w:sz w:val="32"/>
        </w:rPr>
        <w:lastRenderedPageBreak/>
        <w:drawing>
          <wp:inline distT="0" distB="0" distL="114300" distR="114300" wp14:anchorId="61550A94" wp14:editId="1683B047">
            <wp:extent cx="5273675" cy="5715000"/>
            <wp:effectExtent l="0" t="0" r="3175" b="0"/>
            <wp:docPr id="63" name="图片 63" descr="截止2025年9月知识产权统计表_页面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截止2025年9月知识产权统计表_页面_09"/>
                    <pic:cNvPicPr>
                      <a:picLocks noChangeAspect="1"/>
                    </pic:cNvPicPr>
                  </pic:nvPicPr>
                  <pic:blipFill rotWithShape="1">
                    <a:blip r:embed="rId11"/>
                    <a:srcRect t="11997" b="11418"/>
                    <a:stretch/>
                  </pic:blipFill>
                  <pic:spPr bwMode="auto">
                    <a:xfrm>
                      <a:off x="0" y="0"/>
                      <a:ext cx="5274310" cy="5715688"/>
                    </a:xfrm>
                    <a:prstGeom prst="rect">
                      <a:avLst/>
                    </a:prstGeom>
                    <a:ln>
                      <a:noFill/>
                    </a:ln>
                    <a:extLst>
                      <a:ext uri="{53640926-AAD7-44D8-BBD7-CCE9431645EC}">
                        <a14:shadowObscured xmlns:a14="http://schemas.microsoft.com/office/drawing/2010/main"/>
                      </a:ext>
                    </a:extLst>
                  </pic:spPr>
                </pic:pic>
              </a:graphicData>
            </a:graphic>
          </wp:inline>
        </w:drawing>
      </w:r>
    </w:p>
    <w:p w:rsidR="00375CAF" w:rsidRDefault="00375CAF" w:rsidP="00667641">
      <w:pPr>
        <w:jc w:val="center"/>
        <w:rPr>
          <w:rFonts w:ascii="仿宋_GB2312" w:eastAsia="仿宋_GB2312" w:hAnsi="Calibri"/>
          <w:sz w:val="30"/>
          <w:szCs w:val="30"/>
        </w:rPr>
      </w:pPr>
      <w:r w:rsidRPr="00375CAF">
        <w:rPr>
          <w:rFonts w:ascii="仿宋_GB2312" w:eastAsia="仿宋_GB2312" w:hAnsi="Calibri" w:hint="eastAsia"/>
          <w:sz w:val="30"/>
          <w:szCs w:val="30"/>
        </w:rPr>
        <w:t>广西危废管家平台V1.0</w:t>
      </w:r>
      <w:r w:rsidRPr="00667641">
        <w:rPr>
          <w:rFonts w:ascii="仿宋_GB2312" w:eastAsia="仿宋_GB2312" w:hAnsi="Calibri" w:hint="eastAsia"/>
          <w:sz w:val="30"/>
          <w:szCs w:val="30"/>
        </w:rPr>
        <w:t>软件著作权</w:t>
      </w:r>
      <w:r>
        <w:rPr>
          <w:rFonts w:ascii="仿宋_GB2312" w:eastAsia="仿宋_GB2312" w:hAnsi="Calibri" w:hint="eastAsia"/>
          <w:sz w:val="30"/>
          <w:szCs w:val="30"/>
        </w:rPr>
        <w:t>登记证书</w:t>
      </w:r>
    </w:p>
    <w:p w:rsidR="00F020F3" w:rsidRDefault="00B51959">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标准编制组前期丰富的临床实践及研究情况，为本标准条款要求的确定奠定了坚实基础。本标准具体依据来源说明如下：</w:t>
      </w:r>
    </w:p>
    <w:p w:rsidR="00F020F3" w:rsidRDefault="00B51959">
      <w:pPr>
        <w:ind w:firstLineChars="200" w:firstLine="643"/>
        <w:rPr>
          <w:rFonts w:ascii="楷体" w:eastAsia="楷体" w:hAnsi="楷体"/>
          <w:b/>
          <w:sz w:val="32"/>
          <w:szCs w:val="32"/>
        </w:rPr>
      </w:pPr>
      <w:r>
        <w:rPr>
          <w:rFonts w:ascii="楷体" w:eastAsia="楷体" w:hAnsi="楷体" w:hint="eastAsia"/>
          <w:b/>
          <w:sz w:val="32"/>
          <w:szCs w:val="32"/>
        </w:rPr>
        <w:t>（</w:t>
      </w:r>
      <w:r w:rsidR="005B64BB">
        <w:rPr>
          <w:rFonts w:ascii="楷体" w:eastAsia="楷体" w:hAnsi="楷体" w:hint="eastAsia"/>
          <w:b/>
          <w:sz w:val="32"/>
          <w:szCs w:val="32"/>
        </w:rPr>
        <w:t>一</w:t>
      </w:r>
      <w:r>
        <w:rPr>
          <w:rFonts w:ascii="楷体" w:eastAsia="楷体" w:hAnsi="楷体"/>
          <w:b/>
          <w:sz w:val="32"/>
          <w:szCs w:val="32"/>
        </w:rPr>
        <w:t>）</w:t>
      </w:r>
      <w:r>
        <w:rPr>
          <w:rFonts w:ascii="楷体" w:eastAsia="楷体" w:hAnsi="楷体" w:hint="eastAsia"/>
          <w:b/>
          <w:sz w:val="32"/>
          <w:szCs w:val="32"/>
        </w:rPr>
        <w:t>基本要求</w:t>
      </w:r>
    </w:p>
    <w:p w:rsidR="00845E7F" w:rsidRDefault="00375CAF" w:rsidP="00845E7F">
      <w:pPr>
        <w:spacing w:line="560" w:lineRule="exact"/>
        <w:ind w:firstLineChars="200" w:firstLine="600"/>
        <w:rPr>
          <w:rFonts w:ascii="仿宋_GB2312" w:eastAsia="仿宋_GB2312" w:hAnsi="Calibri"/>
          <w:sz w:val="30"/>
          <w:szCs w:val="30"/>
        </w:rPr>
      </w:pPr>
      <w:r w:rsidRPr="00375CAF">
        <w:rPr>
          <w:rFonts w:ascii="仿宋_GB2312" w:eastAsia="仿宋_GB2312" w:hAnsi="Calibri" w:hint="eastAsia"/>
          <w:sz w:val="30"/>
          <w:szCs w:val="30"/>
        </w:rPr>
        <w:t>废铅蓄电池属于危险废物，其整个生命周期涉及收集、贮存、运输、利用、处置等多个环节，每个环节都存在环境与安全风险。要求各项活动全面符合相关法律法规，是为了确保全链条规范化运作，防止出现监管真空。</w:t>
      </w:r>
      <w:r w:rsidR="00845E7F" w:rsidRPr="00845E7F">
        <w:rPr>
          <w:rFonts w:ascii="仿宋_GB2312" w:eastAsia="仿宋_GB2312" w:hAnsi="Calibri" w:hint="eastAsia"/>
          <w:sz w:val="30"/>
          <w:szCs w:val="30"/>
        </w:rPr>
        <w:t>废铅蓄电池含有铅和硫酸等有害物质，</w:t>
      </w:r>
      <w:r w:rsidR="00845E7F" w:rsidRPr="00845E7F">
        <w:rPr>
          <w:rFonts w:ascii="仿宋_GB2312" w:eastAsia="仿宋_GB2312" w:hAnsi="Calibri" w:hint="eastAsia"/>
          <w:sz w:val="30"/>
          <w:szCs w:val="30"/>
        </w:rPr>
        <w:lastRenderedPageBreak/>
        <w:t>若收集、贮存、运输不当，可能导致电解液泄漏、重金属污染等环境事故。引用HJ 519和GB 18597两个专项技术标准，是为了对收贮运各环节的污染控制措施和贮存场所的规范化建设提出具体、可操作的技术要求。电子台账是全过程追溯的基础。要求台账记录符合HJ 1259，是为了统一数据格式、确保信息真实准确；关于保存期限的要求，源自《固废法》等相关法律法规对危险废物管理台账的存档年限规定（10年），以确保可追溯性。“一物一码”是实现危险废物全生命周期追溯的技术关键。通过二维码或RFID电子标签，每一批次废铅蓄电池从产生、入库、出库到转移、处置各环节均可实时扫码流转，实现废物信息流与物理流合一的“一码贯通”跟踪管理。</w:t>
      </w:r>
    </w:p>
    <w:p w:rsidR="00845E7F" w:rsidRPr="00845E7F" w:rsidRDefault="00845E7F" w:rsidP="00845E7F">
      <w:pPr>
        <w:ind w:firstLineChars="200" w:firstLine="643"/>
        <w:rPr>
          <w:rFonts w:ascii="楷体" w:eastAsia="楷体" w:hAnsi="楷体"/>
          <w:b/>
          <w:sz w:val="32"/>
          <w:szCs w:val="32"/>
        </w:rPr>
      </w:pPr>
      <w:bookmarkStart w:id="10" w:name="OLE_LINK17"/>
      <w:r w:rsidRPr="00845E7F">
        <w:rPr>
          <w:rFonts w:ascii="楷体" w:eastAsia="楷体" w:hAnsi="楷体" w:hint="eastAsia"/>
          <w:b/>
          <w:sz w:val="32"/>
          <w:szCs w:val="32"/>
        </w:rPr>
        <w:t>（二）信息化平台建设</w:t>
      </w:r>
    </w:p>
    <w:bookmarkEnd w:id="10"/>
    <w:p w:rsidR="00845E7F" w:rsidRDefault="00845E7F" w:rsidP="00845E7F">
      <w:pPr>
        <w:spacing w:line="560" w:lineRule="exact"/>
        <w:ind w:firstLineChars="200" w:firstLine="600"/>
        <w:rPr>
          <w:rFonts w:ascii="仿宋_GB2312" w:eastAsia="仿宋_GB2312" w:hAnsi="Calibri"/>
          <w:sz w:val="30"/>
          <w:szCs w:val="30"/>
        </w:rPr>
      </w:pPr>
      <w:r w:rsidRPr="00845E7F">
        <w:rPr>
          <w:rFonts w:ascii="仿宋_GB2312" w:eastAsia="仿宋_GB2312" w:hAnsi="Calibri" w:hint="eastAsia"/>
          <w:sz w:val="30"/>
          <w:szCs w:val="30"/>
        </w:rPr>
        <w:t>《</w:t>
      </w:r>
      <w:bookmarkStart w:id="11" w:name="OLE_LINK34"/>
      <w:r w:rsidRPr="00845E7F">
        <w:rPr>
          <w:rFonts w:ascii="仿宋_GB2312" w:eastAsia="仿宋_GB2312" w:hAnsi="Calibri" w:hint="eastAsia"/>
          <w:sz w:val="30"/>
          <w:szCs w:val="30"/>
        </w:rPr>
        <w:t>固体废物污染环境防治法</w:t>
      </w:r>
      <w:bookmarkEnd w:id="11"/>
      <w:r w:rsidRPr="00845E7F">
        <w:rPr>
          <w:rFonts w:ascii="仿宋_GB2312" w:eastAsia="仿宋_GB2312" w:hAnsi="Calibri" w:hint="eastAsia"/>
          <w:sz w:val="30"/>
          <w:szCs w:val="30"/>
        </w:rPr>
        <w:t>》明确要求推进固体废物收集、贮存、运输、利用、处置等全过程监控和信息化追溯。生态环境部办公厅《关于进一步加强危险废物规范化环境管理有关工作的通知》进一步要求危险废物产生单位落实“产生情况在线申报、管理计划在线备案、转移联单在线运行、利用处置情况在线报告”等信息化管理措施。广西生态环境厅发布的《关于开展危险废物“五即”规范化建设与“一码贯通”工作的通知》明确要求通过智能终端设备进行危险废物称重赋码，实现全过程“一码贯通”信息化跟踪管理，要求2026年6月底前完成物联网智能设备（包括智能称重计量设备、智能终端、扫码设备、视频监控等）安装。交通运输部等部门发布的《</w:t>
      </w:r>
      <w:bookmarkStart w:id="12" w:name="OLE_LINK13"/>
      <w:r w:rsidRPr="00845E7F">
        <w:rPr>
          <w:rFonts w:ascii="仿宋_GB2312" w:eastAsia="仿宋_GB2312" w:hAnsi="Calibri" w:hint="eastAsia"/>
          <w:sz w:val="30"/>
          <w:szCs w:val="30"/>
        </w:rPr>
        <w:t>道路运输车辆动态监督管理办法</w:t>
      </w:r>
      <w:bookmarkEnd w:id="12"/>
      <w:r w:rsidRPr="00845E7F">
        <w:rPr>
          <w:rFonts w:ascii="仿宋_GB2312" w:eastAsia="仿宋_GB2312" w:hAnsi="Calibri" w:hint="eastAsia"/>
          <w:sz w:val="30"/>
          <w:szCs w:val="30"/>
        </w:rPr>
        <w:t>》规定，危险货物运输车辆应当安装符合标准的卫星定位装置，并接</w:t>
      </w:r>
      <w:r w:rsidRPr="00845E7F">
        <w:rPr>
          <w:rFonts w:ascii="仿宋_GB2312" w:eastAsia="仿宋_GB2312" w:hAnsi="Calibri" w:hint="eastAsia"/>
          <w:sz w:val="30"/>
          <w:szCs w:val="30"/>
        </w:rPr>
        <w:lastRenderedPageBreak/>
        <w:t>入监控平台进行实时监控</w:t>
      </w:r>
      <w:r>
        <w:rPr>
          <w:rFonts w:ascii="仿宋_GB2312" w:eastAsia="仿宋_GB2312" w:hAnsi="Calibri" w:hint="eastAsia"/>
          <w:sz w:val="30"/>
          <w:szCs w:val="30"/>
        </w:rPr>
        <w:t>。因此</w:t>
      </w:r>
      <w:r w:rsidRPr="00845E7F">
        <w:rPr>
          <w:rFonts w:ascii="仿宋_GB2312" w:eastAsia="仿宋_GB2312" w:hAnsi="Calibri" w:hint="eastAsia"/>
          <w:sz w:val="30"/>
          <w:szCs w:val="30"/>
        </w:rPr>
        <w:t>数据自动采集和实时上传可减少人工干预，保证数据真实准确；在线审批可提升行政效率；视频监控接入和GPS定位实现对贮存场所和运输过程的远程监管；异常报警和全程追溯则为监管部门提供实时风险预警与事后追责的技术手段，最终实现“来源可查、去向可追、责任可究”的闭环管理目标。</w:t>
      </w:r>
    </w:p>
    <w:p w:rsidR="00845E7F" w:rsidRDefault="00845E7F" w:rsidP="00845E7F">
      <w:pPr>
        <w:spacing w:line="560" w:lineRule="exact"/>
        <w:ind w:firstLineChars="200" w:firstLine="600"/>
        <w:rPr>
          <w:rFonts w:ascii="仿宋_GB2312" w:eastAsia="仿宋_GB2312" w:hAnsi="Calibri"/>
          <w:sz w:val="30"/>
          <w:szCs w:val="30"/>
        </w:rPr>
      </w:pPr>
      <w:r w:rsidRPr="00845E7F">
        <w:rPr>
          <w:rFonts w:ascii="仿宋_GB2312" w:eastAsia="仿宋_GB2312" w:hAnsi="Calibri" w:hint="eastAsia"/>
          <w:sz w:val="30"/>
          <w:szCs w:val="30"/>
        </w:rPr>
        <w:t>《固废法》要求危险废物相关单位建立管理台账并申报相关信息。《危险废物转移管理办法》第七条明确规定，转移危险废物的应当通过国家危险废物信息管理系统填写、运行危险废物电子转移联单</w:t>
      </w:r>
      <w:r>
        <w:rPr>
          <w:rFonts w:ascii="仿宋_GB2312" w:eastAsia="仿宋_GB2312" w:hAnsi="Calibri" w:hint="eastAsia"/>
          <w:sz w:val="30"/>
          <w:szCs w:val="30"/>
        </w:rPr>
        <w:t>，因此</w:t>
      </w:r>
      <w:r w:rsidRPr="00845E7F">
        <w:rPr>
          <w:rFonts w:ascii="仿宋_GB2312" w:eastAsia="仿宋_GB2312" w:hAnsi="Calibri" w:hint="eastAsia"/>
          <w:sz w:val="30"/>
          <w:szCs w:val="30"/>
        </w:rPr>
        <w:t>废铅蓄电池收贮运涉及产生、收集、运输、处置四个环节，各单位处于链条中的不同位置，运行状态各异。实时监测四类单位的运行数据，有利于实现全链条穿透式监管，防止某一环节出现信息盲区或监管真空。</w:t>
      </w:r>
    </w:p>
    <w:p w:rsidR="00845E7F" w:rsidRDefault="00845E7F" w:rsidP="00845E7F">
      <w:pPr>
        <w:spacing w:line="560" w:lineRule="exact"/>
        <w:ind w:firstLineChars="200" w:firstLine="600"/>
        <w:rPr>
          <w:rFonts w:ascii="仿宋_GB2312" w:eastAsia="仿宋_GB2312" w:hAnsi="Calibri"/>
          <w:sz w:val="30"/>
          <w:szCs w:val="30"/>
        </w:rPr>
      </w:pPr>
      <w:r w:rsidRPr="00845E7F">
        <w:rPr>
          <w:rFonts w:ascii="仿宋_GB2312" w:eastAsia="仿宋_GB2312" w:hAnsi="Calibri" w:hint="eastAsia"/>
          <w:sz w:val="30"/>
          <w:szCs w:val="30"/>
        </w:rPr>
        <w:t>生态环境部办公厅通知要求“建立与国家固废系统实时对接的电子管理台账”。广西固废系统全面推行“即产生、即包装、即称重、即打码、即入库”的“五即”规范化管理，其核心之一就是通过智能终端实时采集入库数据，动态更新库存信息。</w:t>
      </w:r>
      <w:r>
        <w:rPr>
          <w:rFonts w:ascii="仿宋_GB2312" w:eastAsia="仿宋_GB2312" w:hAnsi="Calibri" w:hint="eastAsia"/>
          <w:sz w:val="30"/>
          <w:szCs w:val="30"/>
        </w:rPr>
        <w:t>因此，</w:t>
      </w:r>
      <w:r w:rsidRPr="00845E7F">
        <w:rPr>
          <w:rFonts w:ascii="仿宋_GB2312" w:eastAsia="仿宋_GB2312" w:hAnsi="Calibri" w:hint="eastAsia"/>
          <w:sz w:val="30"/>
          <w:szCs w:val="30"/>
        </w:rPr>
        <w:t>废铅蓄电池含有铅和硫酸等有害物质，长时间不当存放可能导致环境污染和安全风险。实时掌握库存信息并设置预警，有助于防止超量贮存、超期存放，避免环境事故发生。</w:t>
      </w:r>
    </w:p>
    <w:p w:rsidR="00845E7F" w:rsidRDefault="00845E7F" w:rsidP="00845E7F">
      <w:pPr>
        <w:spacing w:line="560" w:lineRule="exact"/>
        <w:ind w:firstLineChars="200" w:firstLine="600"/>
        <w:rPr>
          <w:rFonts w:ascii="仿宋_GB2312" w:eastAsia="仿宋_GB2312" w:hAnsi="Calibri"/>
          <w:sz w:val="30"/>
          <w:szCs w:val="30"/>
        </w:rPr>
      </w:pPr>
      <w:r w:rsidRPr="00845E7F">
        <w:rPr>
          <w:rFonts w:ascii="仿宋_GB2312" w:eastAsia="仿宋_GB2312" w:hAnsi="Calibri" w:hint="eastAsia"/>
          <w:sz w:val="30"/>
          <w:szCs w:val="30"/>
        </w:rPr>
        <w:t>《</w:t>
      </w:r>
      <w:bookmarkStart w:id="13" w:name="_Hlk227163946"/>
      <w:r w:rsidRPr="00845E7F">
        <w:rPr>
          <w:rFonts w:ascii="仿宋_GB2312" w:eastAsia="仿宋_GB2312" w:hAnsi="Calibri" w:hint="eastAsia"/>
          <w:sz w:val="30"/>
          <w:szCs w:val="30"/>
        </w:rPr>
        <w:t>危险废物转移管理办法</w:t>
      </w:r>
      <w:bookmarkEnd w:id="13"/>
      <w:r w:rsidRPr="00845E7F">
        <w:rPr>
          <w:rFonts w:ascii="仿宋_GB2312" w:eastAsia="仿宋_GB2312" w:hAnsi="Calibri" w:hint="eastAsia"/>
          <w:sz w:val="30"/>
          <w:szCs w:val="30"/>
        </w:rPr>
        <w:t>》第七条要求通过国家危险废物信息管理系统记录危险废物转移轨迹。生态环境部进一步明确“危险废物转移轨迹应通过国家固废信息系统记录”。废铅蓄电池属于危险废物，运输过程中发生偏离路线、超时停留、超速行驶等</w:t>
      </w:r>
      <w:r w:rsidRPr="00845E7F">
        <w:rPr>
          <w:rFonts w:ascii="仿宋_GB2312" w:eastAsia="仿宋_GB2312" w:hAnsi="Calibri" w:hint="eastAsia"/>
          <w:sz w:val="30"/>
          <w:szCs w:val="30"/>
        </w:rPr>
        <w:lastRenderedPageBreak/>
        <w:t>异常情况可能意味着非法倾倒、事故或盗窃风险。</w:t>
      </w:r>
      <w:r>
        <w:rPr>
          <w:rFonts w:ascii="仿宋_GB2312" w:eastAsia="仿宋_GB2312" w:hAnsi="Calibri" w:hint="eastAsia"/>
          <w:sz w:val="30"/>
          <w:szCs w:val="30"/>
        </w:rPr>
        <w:t>因此，</w:t>
      </w:r>
      <w:r w:rsidRPr="00845E7F">
        <w:rPr>
          <w:rFonts w:ascii="仿宋_GB2312" w:eastAsia="仿宋_GB2312" w:hAnsi="Calibri" w:hint="eastAsia"/>
          <w:sz w:val="30"/>
          <w:szCs w:val="30"/>
        </w:rPr>
        <w:t>建立运输过程预警机制，可实现对在途危险废物的实时监控和快速干预。</w:t>
      </w:r>
    </w:p>
    <w:p w:rsidR="00955863" w:rsidRDefault="00955863" w:rsidP="00845E7F">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运输过程的完整记录是危险废物全流程追溯的关键环节。从启运到交接确认，每一批废物的时间节点、路线信息和交接情况都应当有据可查，以形成完整的管理证据链。废铅蓄电池最终必须经过合法处置才能消除环境风险。处置完成后及时更新库存并通知各方，有利于形成闭环管理，防止废物被非法转移或处置。异常事件（如泄漏、超期未处置等）的发生不可避免，关键在于能否及时发现、有效处置、总结改进。事件管理功能将异常事件的发现、上报、处理、反馈全过程纳入系统管理，形成闭环，防止同类问题反复发生。废铅蓄电池管理涉及大量空间信息（如产废单位位置、收集点分布、运输路线、处置设施选址等）。GIS的可视化展示可让监管者直观掌握全局情况，路径规划和热力图分析则为运输优化和风险防控提供数据支持。传统的异常预警是“事后”或“事中”的被动响应，智能预测功能则基于大数据分析，对即将发生的风险（如库存即将超限、运输可能延迟等）提前发出预警，变被动管理为主动干预，提升管理的前瞻性。废铅蓄电池产废单位数量多、分布广、规模差异大，PC端操作存在不便。移动端应用可降低信息化管理的门槛和成本，提升用户操作便利性，从而提高平台普及率和数据填报的及时性、准确性。信息化管理的最终目的不仅是实现监管，更在于为决策提供科学依据。数据分析与可视化展示可将海量的原始数据转化为直观的统计报表和趋势分析，帮助监管部门识别风险高发区域、优化资源配置、制定更有针对性的管理政策。</w:t>
      </w:r>
    </w:p>
    <w:p w:rsidR="00955863" w:rsidRDefault="00955863" w:rsidP="00845E7F">
      <w:pPr>
        <w:spacing w:line="560" w:lineRule="exact"/>
        <w:ind w:firstLineChars="200" w:firstLine="600"/>
        <w:rPr>
          <w:rFonts w:ascii="仿宋_GB2312" w:eastAsia="仿宋_GB2312" w:hAnsi="Calibri"/>
          <w:sz w:val="30"/>
          <w:szCs w:val="30"/>
        </w:rPr>
      </w:pPr>
    </w:p>
    <w:p w:rsidR="00845E7F" w:rsidRDefault="00845E7F" w:rsidP="00845E7F">
      <w:pPr>
        <w:rPr>
          <w:rFonts w:ascii="仿宋_GB2312" w:eastAsia="仿宋_GB2312" w:hAnsi="Calibri"/>
          <w:sz w:val="30"/>
          <w:szCs w:val="30"/>
        </w:rPr>
      </w:pPr>
      <w:bookmarkStart w:id="14" w:name="OLE_LINK18"/>
      <w:r>
        <w:rPr>
          <w:noProof/>
        </w:rPr>
        <w:drawing>
          <wp:inline distT="0" distB="0" distL="0" distR="0" wp14:anchorId="17BCA508" wp14:editId="4BA80B14">
            <wp:extent cx="5274310" cy="425196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4251960"/>
                    </a:xfrm>
                    <a:prstGeom prst="rect">
                      <a:avLst/>
                    </a:prstGeom>
                  </pic:spPr>
                </pic:pic>
              </a:graphicData>
            </a:graphic>
          </wp:inline>
        </w:drawing>
      </w:r>
    </w:p>
    <w:p w:rsidR="00845E7F" w:rsidRDefault="00845E7F" w:rsidP="00845E7F">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bookmarkEnd w:id="14"/>
    <w:p w:rsidR="00845E7F" w:rsidRDefault="00845E7F" w:rsidP="00845E7F">
      <w:pPr>
        <w:jc w:val="center"/>
        <w:rPr>
          <w:rFonts w:ascii="仿宋_GB2312" w:eastAsia="仿宋_GB2312" w:hAnsi="Calibri"/>
          <w:sz w:val="30"/>
          <w:szCs w:val="30"/>
        </w:rPr>
      </w:pPr>
      <w:r>
        <w:rPr>
          <w:noProof/>
        </w:rPr>
        <w:drawing>
          <wp:inline distT="0" distB="0" distL="0" distR="0" wp14:anchorId="2D8EEAEE" wp14:editId="30F01198">
            <wp:extent cx="5274310" cy="2414905"/>
            <wp:effectExtent l="0" t="0" r="254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414905"/>
                    </a:xfrm>
                    <a:prstGeom prst="rect">
                      <a:avLst/>
                    </a:prstGeom>
                  </pic:spPr>
                </pic:pic>
              </a:graphicData>
            </a:graphic>
          </wp:inline>
        </w:drawing>
      </w:r>
    </w:p>
    <w:p w:rsidR="00845E7F" w:rsidRDefault="00845E7F" w:rsidP="00845E7F">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道路运输车辆动态监督管理办法</w:t>
      </w:r>
    </w:p>
    <w:p w:rsidR="00955863" w:rsidRDefault="00955863" w:rsidP="00845E7F">
      <w:pPr>
        <w:jc w:val="center"/>
        <w:rPr>
          <w:rFonts w:ascii="仿宋_GB2312" w:eastAsia="仿宋_GB2312" w:hAnsi="Calibri"/>
          <w:sz w:val="30"/>
          <w:szCs w:val="30"/>
        </w:rPr>
      </w:pPr>
      <w:bookmarkStart w:id="15" w:name="OLE_LINK19"/>
      <w:r>
        <w:rPr>
          <w:noProof/>
        </w:rPr>
        <w:lastRenderedPageBreak/>
        <w:drawing>
          <wp:inline distT="0" distB="0" distL="0" distR="0" wp14:anchorId="495BD1E3" wp14:editId="6B468CB1">
            <wp:extent cx="5274310" cy="394652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946525"/>
                    </a:xfrm>
                    <a:prstGeom prst="rect">
                      <a:avLst/>
                    </a:prstGeom>
                  </pic:spPr>
                </pic:pic>
              </a:graphicData>
            </a:graphic>
          </wp:inline>
        </w:drawing>
      </w:r>
    </w:p>
    <w:p w:rsidR="00955863" w:rsidRDefault="00955863" w:rsidP="00955863">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p w:rsidR="00955863" w:rsidRPr="00845E7F" w:rsidRDefault="00955863" w:rsidP="00955863">
      <w:pPr>
        <w:ind w:firstLineChars="200" w:firstLine="643"/>
        <w:rPr>
          <w:rFonts w:ascii="楷体" w:eastAsia="楷体" w:hAnsi="楷体"/>
          <w:b/>
          <w:sz w:val="32"/>
          <w:szCs w:val="32"/>
        </w:rPr>
      </w:pPr>
      <w:bookmarkStart w:id="16" w:name="OLE_LINK27"/>
      <w:bookmarkEnd w:id="15"/>
      <w:r w:rsidRPr="00845E7F">
        <w:rPr>
          <w:rFonts w:ascii="楷体" w:eastAsia="楷体" w:hAnsi="楷体" w:hint="eastAsia"/>
          <w:b/>
          <w:sz w:val="32"/>
          <w:szCs w:val="32"/>
        </w:rPr>
        <w:t>（</w:t>
      </w:r>
      <w:r>
        <w:rPr>
          <w:rFonts w:ascii="楷体" w:eastAsia="楷体" w:hAnsi="楷体" w:hint="eastAsia"/>
          <w:b/>
          <w:sz w:val="32"/>
          <w:szCs w:val="32"/>
        </w:rPr>
        <w:t>三</w:t>
      </w:r>
      <w:r w:rsidRPr="00845E7F">
        <w:rPr>
          <w:rFonts w:ascii="楷体" w:eastAsia="楷体" w:hAnsi="楷体" w:hint="eastAsia"/>
          <w:b/>
          <w:sz w:val="32"/>
          <w:szCs w:val="32"/>
        </w:rPr>
        <w:t>）</w:t>
      </w:r>
      <w:r>
        <w:rPr>
          <w:rFonts w:ascii="楷体" w:eastAsia="楷体" w:hAnsi="楷体" w:hint="eastAsia"/>
          <w:b/>
          <w:sz w:val="32"/>
          <w:szCs w:val="32"/>
        </w:rPr>
        <w:t>信息化管理要求</w:t>
      </w:r>
    </w:p>
    <w:p w:rsidR="00F020F3" w:rsidRDefault="00955863">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1</w:t>
      </w:r>
      <w:r w:rsidR="00B51959">
        <w:rPr>
          <w:rFonts w:ascii="仿宋_GB2312" w:eastAsia="仿宋_GB2312" w:hAnsi="宋体"/>
          <w:b/>
          <w:bCs/>
          <w:sz w:val="32"/>
          <w:szCs w:val="32"/>
        </w:rPr>
        <w:t>.</w:t>
      </w:r>
      <w:r>
        <w:rPr>
          <w:rFonts w:ascii="仿宋_GB2312" w:eastAsia="仿宋_GB2312" w:hAnsi="宋体" w:hint="eastAsia"/>
          <w:b/>
          <w:bCs/>
          <w:sz w:val="32"/>
          <w:szCs w:val="32"/>
        </w:rPr>
        <w:t>产废环节</w:t>
      </w:r>
    </w:p>
    <w:p w:rsidR="00955863" w:rsidRDefault="00955863">
      <w:pPr>
        <w:spacing w:line="560" w:lineRule="exact"/>
        <w:ind w:firstLineChars="200" w:firstLine="600"/>
        <w:rPr>
          <w:rFonts w:ascii="仿宋_GB2312" w:eastAsia="仿宋_GB2312" w:hAnsi="Calibri"/>
          <w:sz w:val="30"/>
          <w:szCs w:val="30"/>
        </w:rPr>
      </w:pPr>
      <w:bookmarkStart w:id="17" w:name="OLE_LINK20"/>
      <w:bookmarkEnd w:id="16"/>
      <w:r>
        <w:rPr>
          <w:rFonts w:ascii="仿宋_GB2312" w:eastAsia="仿宋_GB2312" w:hAnsi="Calibri" w:hint="eastAsia"/>
          <w:sz w:val="30"/>
          <w:szCs w:val="30"/>
        </w:rPr>
        <w:t>主要是依据</w:t>
      </w:r>
      <w:r w:rsidRPr="00955863">
        <w:rPr>
          <w:rFonts w:ascii="仿宋_GB2312" w:eastAsia="仿宋_GB2312" w:hAnsi="Calibri" w:hint="eastAsia"/>
          <w:sz w:val="30"/>
          <w:szCs w:val="30"/>
        </w:rPr>
        <w:t>《中华人民共和国固体废物污染环境防治法》</w:t>
      </w:r>
      <w:r w:rsidRPr="00955863">
        <w:rPr>
          <w:rFonts w:ascii="仿宋_GB2312" w:eastAsia="仿宋_GB2312" w:hAnsi="Calibri"/>
          <w:sz w:val="30"/>
          <w:szCs w:val="30"/>
        </w:rPr>
        <w:t>《危险废物转移管理办法》</w:t>
      </w:r>
      <w:r w:rsidRPr="00955863">
        <w:rPr>
          <w:rFonts w:ascii="仿宋_GB2312" w:eastAsia="仿宋_GB2312" w:hAnsi="Calibri" w:hint="eastAsia"/>
          <w:sz w:val="30"/>
          <w:szCs w:val="30"/>
        </w:rPr>
        <w:t>《关于进一步加强危险废物规范化环境管理有关工作的通知》</w:t>
      </w:r>
      <w:r>
        <w:rPr>
          <w:rFonts w:ascii="仿宋_GB2312" w:eastAsia="仿宋_GB2312" w:hAnsi="Calibri" w:hint="eastAsia"/>
          <w:sz w:val="30"/>
          <w:szCs w:val="30"/>
        </w:rPr>
        <w:t>等文件要求并结合起草单位工作实际来确定。</w:t>
      </w:r>
      <w:bookmarkEnd w:id="17"/>
      <w:r w:rsidRPr="00955863">
        <w:rPr>
          <w:rFonts w:ascii="仿宋_GB2312" w:eastAsia="仿宋_GB2312" w:hAnsi="Calibri" w:hint="eastAsia"/>
          <w:sz w:val="30"/>
          <w:szCs w:val="30"/>
        </w:rPr>
        <w:t>产废单位（包括小微企业、机动车维修企业、通信基站等）是废铅蓄电池产生的源头，将产废单位作为申报主体，是为了落实“谁产生、谁负责”的主体责任原则。将全部产废单位统一纳入广西固体废物管理信息系统或“一张网”信息服务平台进行管理，可实现“来源可查、去向可追、责任可究”的全流程信息化监管目标。这一要求与第4.2条“所有参与单位应统一纳入广西固体废物管理信息系统”的规定相呼应，体现了危险废物全过程信息化</w:t>
      </w:r>
      <w:r w:rsidRPr="00955863">
        <w:rPr>
          <w:rFonts w:ascii="仿宋_GB2312" w:eastAsia="仿宋_GB2312" w:hAnsi="Calibri" w:hint="eastAsia"/>
          <w:sz w:val="30"/>
          <w:szCs w:val="30"/>
        </w:rPr>
        <w:lastRenderedPageBreak/>
        <w:t>管理的制度设计。</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要求产废单位在线申报废铅蓄电池的种类、数量、产生时间、管理计划、包装形式、贮存设施等信息，是为了建立完整的源头信息档案。这些信息既是后续台账管理的基础数据，也是监管部门掌握产废底数、评估区域风险、制定管理政策的重要依据。</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危险废物管理计划是产废单位全年危废管理工作的纲领性文件，规定了产废种类、数量、去向等关键信息。要求在线申报、备案与更新，一方面确保计划内容真实、准确、及时，另一方面便于监管部门实时掌握产废单位的管理动态，发现异常可及时介入。</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电子台账是全过程追溯的核心工具。要求通过平台实时记录产生批次、种类、数量、产生时间、存放位置等信息，可实现废铅蓄电池“从产生到处置”全流程数据的即时采集和动态更新，确保数据的真实性和完整性，避免纸质台账易篡改、易丢失、难统计的弊端。</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废铅蓄电池产生量的准确记录是全流程管理的基础。配备智能称重设备并实现数据自动采集上传，可从根本上杜绝人工称重、手工录入可能出现的误差、遗漏甚至造假问题，确保数据的真实性和可追溯性。称重数据自动上传并与联单信息绑定，进一步强化了“废物产生—转移—处置”各环节数据的逻辑闭合。</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电子标签是实现“一物一码”全程追溯的关键载体。要求通过平台自助打印符合HJ 1276要求的电子标签，并规范粘贴于包装物显著位置，可确保每批次废铅蓄电池都拥有唯一的“电子身份证”。标签内容应与联单编号、批次信息关联，为后续入库、</w:t>
      </w:r>
      <w:r w:rsidRPr="00955863">
        <w:rPr>
          <w:rFonts w:ascii="仿宋_GB2312" w:eastAsia="仿宋_GB2312" w:hAnsi="Calibri" w:hint="eastAsia"/>
          <w:sz w:val="30"/>
          <w:szCs w:val="30"/>
        </w:rPr>
        <w:lastRenderedPageBreak/>
        <w:t>出库、转移各环节的扫码流转提供技术基础。</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废铅蓄电池属于危险废物，长时间不当存放可能导致环境污染和安全风险。建立贮存电子台账、实时记录库存变化，并在库存达到设定阈值时自动提醒发起转移申请，有助于防止超量贮存、超期存放，实现“存量可控、转移及时”的动态管理目标。</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废铅蓄电池的转移是全过程管理的关键环节，涉及产废单位、运输单位、处置单位等多方主体。要求在线提交转移申请，明确废物种类、数量、收运单位、处置单位、计划转移时间等信息，可确保转移行为全程留痕、各方责任清晰可查，杜绝非法转移和无序流转。</w:t>
      </w:r>
    </w:p>
    <w:p w:rsidR="00955863" w:rsidRDefault="00955863">
      <w:pPr>
        <w:spacing w:line="560" w:lineRule="exact"/>
        <w:ind w:firstLineChars="200" w:firstLine="600"/>
        <w:rPr>
          <w:rFonts w:ascii="仿宋_GB2312" w:eastAsia="仿宋_GB2312" w:hAnsi="Calibri"/>
          <w:sz w:val="30"/>
          <w:szCs w:val="30"/>
        </w:rPr>
      </w:pPr>
      <w:r w:rsidRPr="00955863">
        <w:rPr>
          <w:rFonts w:ascii="仿宋_GB2312" w:eastAsia="仿宋_GB2312" w:hAnsi="Calibri" w:hint="eastAsia"/>
          <w:sz w:val="30"/>
          <w:szCs w:val="30"/>
        </w:rPr>
        <w:t>“产废登记”是废铅蓄电池产生环节的入口操作，是后续全过程管理的数据起点。要求通过平台完成产废登记，明确废物产生批次、数量、贮存位置，系统自动生成电子台账，可确保“产生即登记、登记即入库”，从源头上实现数据的即时性、真实性和规范性，避免事后补录、漏录等问题。</w:t>
      </w:r>
    </w:p>
    <w:p w:rsidR="00955863" w:rsidRDefault="00955863" w:rsidP="00955863">
      <w:pPr>
        <w:rPr>
          <w:rFonts w:ascii="仿宋_GB2312" w:eastAsia="仿宋_GB2312" w:hAnsi="Calibri"/>
          <w:sz w:val="30"/>
          <w:szCs w:val="30"/>
        </w:rPr>
      </w:pPr>
      <w:bookmarkStart w:id="18" w:name="OLE_LINK24"/>
      <w:r>
        <w:rPr>
          <w:noProof/>
        </w:rPr>
        <w:lastRenderedPageBreak/>
        <w:drawing>
          <wp:inline distT="0" distB="0" distL="0" distR="0" wp14:anchorId="53374256" wp14:editId="09F8BE34">
            <wp:extent cx="5274310" cy="425196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4251960"/>
                    </a:xfrm>
                    <a:prstGeom prst="rect">
                      <a:avLst/>
                    </a:prstGeom>
                  </pic:spPr>
                </pic:pic>
              </a:graphicData>
            </a:graphic>
          </wp:inline>
        </w:drawing>
      </w:r>
    </w:p>
    <w:p w:rsidR="00955863" w:rsidRDefault="00955863" w:rsidP="00955863">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bookmarkEnd w:id="18"/>
    <w:p w:rsidR="00955863" w:rsidRDefault="00955863" w:rsidP="00955863">
      <w:pPr>
        <w:jc w:val="center"/>
        <w:rPr>
          <w:rFonts w:ascii="仿宋_GB2312" w:eastAsia="仿宋_GB2312" w:hAnsi="Calibri"/>
          <w:sz w:val="30"/>
          <w:szCs w:val="30"/>
        </w:rPr>
      </w:pPr>
      <w:r>
        <w:rPr>
          <w:noProof/>
        </w:rPr>
        <w:drawing>
          <wp:inline distT="0" distB="0" distL="0" distR="0" wp14:anchorId="6E1F5E30" wp14:editId="446D3F10">
            <wp:extent cx="4931410" cy="3689949"/>
            <wp:effectExtent l="0" t="0" r="254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36532" cy="3693782"/>
                    </a:xfrm>
                    <a:prstGeom prst="rect">
                      <a:avLst/>
                    </a:prstGeom>
                  </pic:spPr>
                </pic:pic>
              </a:graphicData>
            </a:graphic>
          </wp:inline>
        </w:drawing>
      </w:r>
    </w:p>
    <w:p w:rsidR="00955863" w:rsidRDefault="00955863" w:rsidP="00955863">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p w:rsidR="00955863" w:rsidRPr="00955863" w:rsidRDefault="00955863" w:rsidP="00955863">
      <w:pPr>
        <w:jc w:val="center"/>
        <w:rPr>
          <w:rFonts w:ascii="仿宋_GB2312" w:eastAsia="仿宋_GB2312" w:hAnsi="Calibri"/>
          <w:sz w:val="30"/>
          <w:szCs w:val="30"/>
        </w:rPr>
      </w:pPr>
    </w:p>
    <w:p w:rsidR="00955863" w:rsidRDefault="00955863" w:rsidP="00955863">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2.</w:t>
      </w:r>
      <w:r>
        <w:rPr>
          <w:rFonts w:ascii="仿宋_GB2312" w:eastAsia="仿宋_GB2312" w:hAnsi="宋体" w:hint="eastAsia"/>
          <w:b/>
          <w:bCs/>
          <w:sz w:val="32"/>
          <w:szCs w:val="32"/>
        </w:rPr>
        <w:t>收集环节</w:t>
      </w:r>
    </w:p>
    <w:p w:rsidR="00955863" w:rsidRDefault="00955863" w:rsidP="00955863">
      <w:pPr>
        <w:spacing w:line="560" w:lineRule="exact"/>
        <w:ind w:firstLineChars="200" w:firstLine="600"/>
        <w:rPr>
          <w:rFonts w:ascii="仿宋_GB2312" w:eastAsia="仿宋_GB2312" w:hAnsi="Calibri"/>
          <w:sz w:val="30"/>
          <w:szCs w:val="30"/>
        </w:rPr>
      </w:pPr>
      <w:bookmarkStart w:id="19" w:name="OLE_LINK23"/>
      <w:r>
        <w:rPr>
          <w:rFonts w:ascii="仿宋_GB2312" w:eastAsia="仿宋_GB2312" w:hAnsi="Calibri" w:hint="eastAsia"/>
          <w:sz w:val="30"/>
          <w:szCs w:val="30"/>
        </w:rPr>
        <w:t>主要是依据</w:t>
      </w:r>
      <w:r w:rsidRPr="00955863">
        <w:rPr>
          <w:rFonts w:ascii="仿宋_GB2312" w:eastAsia="仿宋_GB2312" w:hAnsi="Calibri" w:hint="eastAsia"/>
          <w:sz w:val="30"/>
          <w:szCs w:val="30"/>
        </w:rPr>
        <w:t>《</w:t>
      </w:r>
      <w:bookmarkStart w:id="20" w:name="OLE_LINK22"/>
      <w:r w:rsidRPr="00955863">
        <w:rPr>
          <w:rFonts w:ascii="仿宋_GB2312" w:eastAsia="仿宋_GB2312" w:hAnsi="Calibri" w:hint="eastAsia"/>
          <w:sz w:val="30"/>
          <w:szCs w:val="30"/>
        </w:rPr>
        <w:t>中华人民共和国固体废物污染环境防治法</w:t>
      </w:r>
      <w:bookmarkEnd w:id="20"/>
      <w:r w:rsidRPr="00955863">
        <w:rPr>
          <w:rFonts w:ascii="仿宋_GB2312" w:eastAsia="仿宋_GB2312" w:hAnsi="Calibri" w:hint="eastAsia"/>
          <w:sz w:val="30"/>
          <w:szCs w:val="30"/>
        </w:rPr>
        <w:t>》</w:t>
      </w:r>
      <w:r w:rsidRPr="00955863">
        <w:rPr>
          <w:rFonts w:ascii="仿宋_GB2312" w:eastAsia="仿宋_GB2312" w:hAnsi="Calibri"/>
          <w:sz w:val="30"/>
          <w:szCs w:val="30"/>
        </w:rPr>
        <w:t>《危险废物转移管理办法》</w:t>
      </w:r>
      <w:r w:rsidRPr="00955863">
        <w:rPr>
          <w:rFonts w:ascii="仿宋_GB2312" w:eastAsia="仿宋_GB2312" w:hAnsi="Calibri" w:hint="eastAsia"/>
          <w:sz w:val="30"/>
          <w:szCs w:val="30"/>
        </w:rPr>
        <w:t>《关于进一步加强危险废物规范化环境管理有关工作的通知》</w:t>
      </w:r>
      <w:bookmarkStart w:id="21" w:name="OLE_LINK35"/>
      <w:r w:rsidR="004C2FEC" w:rsidRPr="004C2FEC">
        <w:rPr>
          <w:rFonts w:ascii="仿宋_GB2312" w:eastAsia="仿宋_GB2312" w:hAnsi="Calibri" w:hint="eastAsia"/>
          <w:sz w:val="30"/>
          <w:szCs w:val="30"/>
        </w:rPr>
        <w:t>《关于进一步加强危险废物环境治理严密防控环境风险的指导意见》</w:t>
      </w:r>
      <w:bookmarkEnd w:id="21"/>
      <w:r>
        <w:rPr>
          <w:rFonts w:ascii="仿宋_GB2312" w:eastAsia="仿宋_GB2312" w:hAnsi="Calibri" w:hint="eastAsia"/>
          <w:sz w:val="30"/>
          <w:szCs w:val="30"/>
        </w:rPr>
        <w:t>等文件要求并结合起草单位工作实际来确定。</w:t>
      </w:r>
      <w:bookmarkEnd w:id="19"/>
    </w:p>
    <w:p w:rsidR="00955863"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预约对接、现场核验、称重确认、接收确认四个环节对收集单位接收废铅蓄电池提出了全流程信息化管理要求。四项要求环环相扣，旨在确保废物来源合法、信息真实、交接规范，防止不明来源或未申报废铅蓄电池流入收集环节，从源头杜绝非法转移和处置。</w:t>
      </w:r>
    </w:p>
    <w:p w:rsidR="004C2FEC"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废铅蓄电池收集活动涉及产废单位、收集单位、运输单位、处置单位等多方主体，各方之间的权利义务关系必须通过合同明确。要求通过平台在线签订电子合同并支持多角色会签和附件上传，一方面可落实法定合同义务，另一方面可实现合同的电子化统一管理，便于监管部门核查各方责任落实情况。</w:t>
      </w:r>
    </w:p>
    <w:p w:rsidR="004C2FEC"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称重数据的准确性是废铅蓄电池数量核验的基础，也是后续联单填报、费用结算的依据。要求通过智能称重设备自动采集重量并与产废单位申报数据进行比对，一方面可确保称重数据的真实性和不可篡改性，另一方面可及时发现申报与实际不符的异常情况，防止数据造假。</w:t>
      </w:r>
    </w:p>
    <w:p w:rsidR="004C2FEC"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收集单位的车辆和运力是有限的，而产废单位的收运需求是分散的、动态变化的。要求收集单位根据产废单位的转移申请和</w:t>
      </w:r>
      <w:r w:rsidRPr="004C2FEC">
        <w:rPr>
          <w:rFonts w:ascii="仿宋_GB2312" w:eastAsia="仿宋_GB2312" w:hAnsi="Calibri" w:hint="eastAsia"/>
          <w:sz w:val="30"/>
          <w:szCs w:val="30"/>
        </w:rPr>
        <w:lastRenderedPageBreak/>
        <w:t>自身库存情况，通过平台制定拉运计划、合理安排车辆和路线，可提高收运效率，减少车辆空驶和不必要的运输成本，同时确保产废单位的废物及时清运，防止超期存放。</w:t>
      </w:r>
    </w:p>
    <w:p w:rsidR="004C2FEC"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废铅蓄电池在收集、运输、贮存过程中可能出现破损、渗漏等情况。破损电池的酸液泄漏可能导致环境污染，必须与完好电池分区存放、单独处理。要求收集单位对接收的废铅蓄电池进行外观检查、破损情况判断、酸液泄漏检测等，并通过平台形成电子检测报告，可及时发现和处理问题电池，防范环境风险。</w:t>
      </w:r>
    </w:p>
    <w:p w:rsidR="004C2FEC" w:rsidRDefault="004C2FEC" w:rsidP="00955863">
      <w:pPr>
        <w:spacing w:line="560" w:lineRule="exact"/>
        <w:ind w:firstLineChars="200" w:firstLine="600"/>
        <w:rPr>
          <w:rFonts w:ascii="仿宋_GB2312" w:eastAsia="仿宋_GB2312" w:hAnsi="Calibri"/>
          <w:sz w:val="30"/>
          <w:szCs w:val="30"/>
        </w:rPr>
      </w:pPr>
      <w:r w:rsidRPr="004C2FEC">
        <w:rPr>
          <w:rFonts w:ascii="仿宋_GB2312" w:eastAsia="仿宋_GB2312" w:hAnsi="Calibri" w:hint="eastAsia"/>
          <w:sz w:val="30"/>
          <w:szCs w:val="30"/>
        </w:rPr>
        <w:t>“一键入库”是实现收集环节高效信息化的关键功能。在核对废物信息无误后，通过平台一键完成入库操作，系统自动生成入库记录、更新库存台账，并推送入库过磅单至相关人员签字确认，可确保“废物物理流”与“信息流”同步一致，避免手工录入造成的延误、遗漏或错误。</w:t>
      </w:r>
    </w:p>
    <w:p w:rsidR="005B6D84" w:rsidRDefault="005B6D84" w:rsidP="00955863">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电子台账是全过程追溯管理的核心工具。收集单位作为废铅蓄电池的“中转站”，其入库、出库、库存信息既是产废环节管理的延续，又是处置环节管理的前提。要求通过平台建立电子台账，可确保收集环节的数据与上下游环节无缝衔接，形成完整的可追溯证据链。</w:t>
      </w:r>
    </w:p>
    <w:p w:rsidR="005B6D84" w:rsidRDefault="005B6D84" w:rsidP="00955863">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出库环节是收集单位与运输单位交接的关键节点。要求扫描废物标签二维码进行出库操作，系统自动核对出库信息、生成出库记录并关联转移联单，可确保“一物一码”在出库环节继续流转，实现从产生到收集、从收集到运输、从运输到处置的全链条“一码贯通”。</w:t>
      </w:r>
    </w:p>
    <w:p w:rsidR="005B6D84" w:rsidRDefault="005B6D84" w:rsidP="00955863">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破损废铅蓄电池存在电解液泄漏风险，若与完好电池混存混</w:t>
      </w:r>
      <w:r w:rsidRPr="005B6D84">
        <w:rPr>
          <w:rFonts w:ascii="仿宋_GB2312" w:eastAsia="仿宋_GB2312" w:hAnsi="Calibri" w:hint="eastAsia"/>
          <w:sz w:val="30"/>
          <w:szCs w:val="30"/>
        </w:rPr>
        <w:lastRenderedPageBreak/>
        <w:t>放，不仅会污染环境，还可能腐蚀其他电池包装，引发更大范围的环境安全事故。要求对破损电池进行单独标记与分区管理，通过平台记录破损电池的数量、位置和处理状态，可实现对高风险废物的精准管控，确保其得到及时、安全处置。</w:t>
      </w:r>
    </w:p>
    <w:p w:rsidR="005B6D84" w:rsidRDefault="005B6D84" w:rsidP="00955863">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废铅蓄电池贮存库房通常分为完好电池区、破损电池区、待检区等多个功能区域。要求通过平台对贮存库房进行电子化分区管理，明确各区域的库存情况，支持分区查询与统计，可实现对库房空间和废物分布的精细化、可视化管理，便于库房作业安排、库存盘点和应急处置。</w:t>
      </w:r>
    </w:p>
    <w:p w:rsidR="005B6D84" w:rsidRDefault="005B6D84" w:rsidP="00955863">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回收人员是收集单位执行收运任务的一线操作人员，其身份资质、合同关系、账户权限、车辆绑定等信息直接关系到收运活动的合规性和安全性。要求通过平台对回收人员进行统一管理，可确保“人、车、账、权”四要素清晰可查，防止无资质人员从事危险废物收运活动，落实“谁操作、谁负责”的主体责任。</w:t>
      </w:r>
    </w:p>
    <w:p w:rsidR="004C2FEC" w:rsidRDefault="004C2FEC" w:rsidP="004C2FEC">
      <w:pPr>
        <w:rPr>
          <w:rFonts w:ascii="仿宋_GB2312" w:eastAsia="仿宋_GB2312" w:hAnsi="Calibri"/>
          <w:sz w:val="30"/>
          <w:szCs w:val="30"/>
        </w:rPr>
      </w:pPr>
      <w:bookmarkStart w:id="22" w:name="OLE_LINK26"/>
      <w:r>
        <w:rPr>
          <w:noProof/>
        </w:rPr>
        <w:drawing>
          <wp:inline distT="0" distB="0" distL="0" distR="0" wp14:anchorId="0546F0F3" wp14:editId="355AAE05">
            <wp:extent cx="5274310" cy="887095"/>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887095"/>
                    </a:xfrm>
                    <a:prstGeom prst="rect">
                      <a:avLst/>
                    </a:prstGeom>
                  </pic:spPr>
                </pic:pic>
              </a:graphicData>
            </a:graphic>
          </wp:inline>
        </w:drawing>
      </w:r>
    </w:p>
    <w:p w:rsidR="004C2FEC" w:rsidRDefault="004C2FEC" w:rsidP="004C2FEC">
      <w:pPr>
        <w:rPr>
          <w:rFonts w:ascii="仿宋_GB2312" w:eastAsia="仿宋_GB2312" w:hAnsi="Calibri"/>
          <w:sz w:val="30"/>
          <w:szCs w:val="30"/>
        </w:rPr>
      </w:pPr>
      <w:r>
        <w:rPr>
          <w:noProof/>
        </w:rPr>
        <w:drawing>
          <wp:inline distT="0" distB="0" distL="0" distR="0" wp14:anchorId="22AC8717" wp14:editId="58D2A80E">
            <wp:extent cx="5274310" cy="205740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057400"/>
                    </a:xfrm>
                    <a:prstGeom prst="rect">
                      <a:avLst/>
                    </a:prstGeom>
                  </pic:spPr>
                </pic:pic>
              </a:graphicData>
            </a:graphic>
          </wp:inline>
        </w:drawing>
      </w:r>
    </w:p>
    <w:p w:rsidR="004C2FEC" w:rsidRPr="00955863" w:rsidRDefault="004C2FEC" w:rsidP="004C2FEC">
      <w:pPr>
        <w:jc w:val="center"/>
        <w:rPr>
          <w:rFonts w:ascii="仿宋_GB2312" w:eastAsia="仿宋_GB2312" w:hAnsi="Calibri"/>
          <w:sz w:val="30"/>
          <w:szCs w:val="30"/>
        </w:rPr>
      </w:pPr>
      <w:r>
        <w:rPr>
          <w:rFonts w:ascii="仿宋_GB2312" w:eastAsia="仿宋_GB2312" w:hAnsi="Calibri" w:hint="eastAsia"/>
          <w:sz w:val="30"/>
          <w:szCs w:val="30"/>
        </w:rPr>
        <w:t>来源：中华人民共和国固体废物污染环境防治法</w:t>
      </w:r>
    </w:p>
    <w:bookmarkEnd w:id="22"/>
    <w:p w:rsidR="004C2FEC" w:rsidRDefault="005B6D84" w:rsidP="004C2FEC">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lastRenderedPageBreak/>
        <w:t>3</w:t>
      </w:r>
      <w:r w:rsidR="004C2FEC">
        <w:rPr>
          <w:rFonts w:ascii="仿宋_GB2312" w:eastAsia="仿宋_GB2312" w:hAnsi="宋体"/>
          <w:b/>
          <w:bCs/>
          <w:sz w:val="32"/>
          <w:szCs w:val="32"/>
        </w:rPr>
        <w:t>.</w:t>
      </w:r>
      <w:r>
        <w:rPr>
          <w:rFonts w:ascii="仿宋_GB2312" w:eastAsia="仿宋_GB2312" w:hAnsi="宋体" w:hint="eastAsia"/>
          <w:b/>
          <w:bCs/>
          <w:sz w:val="32"/>
          <w:szCs w:val="32"/>
        </w:rPr>
        <w:t>运输</w:t>
      </w:r>
      <w:r w:rsidR="004C2FEC">
        <w:rPr>
          <w:rFonts w:ascii="仿宋_GB2312" w:eastAsia="仿宋_GB2312" w:hAnsi="宋体" w:hint="eastAsia"/>
          <w:b/>
          <w:bCs/>
          <w:sz w:val="32"/>
          <w:szCs w:val="32"/>
        </w:rPr>
        <w:t>环节</w:t>
      </w:r>
    </w:p>
    <w:p w:rsidR="004C2FEC" w:rsidRDefault="005B6D84">
      <w:pPr>
        <w:spacing w:line="560" w:lineRule="exact"/>
        <w:ind w:firstLineChars="200" w:firstLine="600"/>
        <w:rPr>
          <w:rFonts w:ascii="仿宋_GB2312" w:eastAsia="仿宋_GB2312" w:hAnsi="Calibri"/>
          <w:sz w:val="30"/>
          <w:szCs w:val="30"/>
        </w:rPr>
      </w:pPr>
      <w:bookmarkStart w:id="23" w:name="OLE_LINK25"/>
      <w:r>
        <w:rPr>
          <w:rFonts w:ascii="仿宋_GB2312" w:eastAsia="仿宋_GB2312" w:hAnsi="Calibri" w:hint="eastAsia"/>
          <w:sz w:val="30"/>
          <w:szCs w:val="30"/>
        </w:rPr>
        <w:t>主要是依据</w:t>
      </w:r>
      <w:r w:rsidRPr="00955863">
        <w:rPr>
          <w:rFonts w:ascii="仿宋_GB2312" w:eastAsia="仿宋_GB2312" w:hAnsi="Calibri" w:hint="eastAsia"/>
          <w:sz w:val="30"/>
          <w:szCs w:val="30"/>
        </w:rPr>
        <w:t>《中华人民共和国固体废物污染环境防治法》</w:t>
      </w:r>
      <w:r w:rsidRPr="00955863">
        <w:rPr>
          <w:rFonts w:ascii="仿宋_GB2312" w:eastAsia="仿宋_GB2312" w:hAnsi="Calibri"/>
          <w:sz w:val="30"/>
          <w:szCs w:val="30"/>
        </w:rPr>
        <w:t>《危险废物转移管理办法》</w:t>
      </w:r>
      <w:r w:rsidRPr="005B6D84">
        <w:rPr>
          <w:rFonts w:ascii="仿宋_GB2312" w:eastAsia="仿宋_GB2312" w:hAnsi="Calibri" w:hint="eastAsia"/>
          <w:sz w:val="30"/>
          <w:szCs w:val="30"/>
        </w:rPr>
        <w:t>《道路危险货物运输管理规定》</w:t>
      </w:r>
      <w:r>
        <w:rPr>
          <w:rFonts w:ascii="仿宋_GB2312" w:eastAsia="仿宋_GB2312" w:hAnsi="Calibri" w:hint="eastAsia"/>
          <w:sz w:val="30"/>
          <w:szCs w:val="30"/>
        </w:rPr>
        <w:t>等文件要求并结合起草单位工作实际来确定。</w:t>
      </w:r>
      <w:bookmarkEnd w:id="23"/>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本条五项要求从装卸操作、完整电池运输规范、破损电池运输规范、运输资质要求、驾驶员培训五个维度对运输管控提出了全流程信息化管理要求。五项要求相辅相成，旨在确保废铅蓄电池在运输环节的污染控制到位、资质合规、人员专业，防止运输过程中发生泄漏、遗撒等环境安全事故。</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运输任务状态的可视化管理是实现运输环节全过程监管的基础。要求通过平台实时查看所有运输任务的状态（待派发、待接单、运输中、已完成等），实现任务全局可视化管理，可确保运输调度的透明性和可追溯性。支持智能派单与人工派单两种方式，可适应不同规模和类型的运输需求。</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运输环节是连接产废（或收集）单位和处置单位的桥梁。要求运输单位在接收任务时通过平台与产废单位（或收集单位）及处置单位进行双向确认，核对货物信息无误后方可启运，可确保废物信息在各环节传递中保持一致，防止信息错漏、货物错运或非法转移。</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废铅蓄电池运输涉及不同的废物状态（完好电池、破损电池），对运输车辆和驾驶员资质有不同要求。要求根据任务需求通过平台将运输任务派发给指定的驾驶员和车辆，支持智能派单和人工派单两种方式，可确保“人车匹配、资质合规、任务精准”。</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驾驶员是运输任务的一线执行者。要求驾驶员通过移动端应</w:t>
      </w:r>
      <w:r w:rsidRPr="005B6D84">
        <w:rPr>
          <w:rFonts w:ascii="仿宋_GB2312" w:eastAsia="仿宋_GB2312" w:hAnsi="Calibri" w:hint="eastAsia"/>
          <w:sz w:val="30"/>
          <w:szCs w:val="30"/>
        </w:rPr>
        <w:lastRenderedPageBreak/>
        <w:t>用（APP）接收任务通知、在线确认接单、实时更新任务状态，可确保运输任务状态实时同步、信息真实准确，实现运输环节的“移动化、无纸化、实时化”管理。</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驾驶员是危险废物运输的关键人员，其资质能力直接关系到运输安全和环境安全。要求通过平台建立驾驶员电子档案，包括资质信息、培训记录、历史任务记录等，可实现驾驶员的规范化管理，确保从业人员符合法定要求，并为事中监管和事后追责提供依据。</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电子运单是运输环节的核心管理工具。要求运输单位通过平台实现电子运单管理，运单信息包括运输任务编号、货物信息、起运点、到达点、驾驶员信息、车辆信息、计划路线等，并与国家转移联单系统对接，支持联单状态上报（上报确认、运输开始、运输结束），可确保运输信息与转移联单信息一致、运输状态实时可查。</w:t>
      </w:r>
    </w:p>
    <w:p w:rsid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装卸货环节是运输全过程中废物交接的关键节点，也是环境风险易发环节。要求运输单位通过平台记录装卸货过程的关键信息（如装卸时间、现场照片、交接确认），实现运输环节全过程留痕，可为废物交接提供完整证据链，防止责任不清、纠纷难解。</w:t>
      </w:r>
    </w:p>
    <w:p w:rsidR="005B6D84" w:rsidRPr="005B6D84" w:rsidRDefault="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危险废物运输车辆在途运行轨迹是监管的重要内容。要求运输车辆安装GPS定位设备并实时接入平台，实现车辆运行轨迹的实时监控和历史轨迹回放，支持偏离路线预警、超时停留预警，可有效防止非法倾倒、路线偏离、超时停留等异常情况，提高运输过程的安全性和可追溯性。</w:t>
      </w:r>
    </w:p>
    <w:p w:rsidR="005B6D84" w:rsidRDefault="005B6D84" w:rsidP="005B6D84">
      <w:pPr>
        <w:spacing w:line="560" w:lineRule="exact"/>
        <w:rPr>
          <w:rFonts w:ascii="仿宋_GB2312" w:eastAsia="仿宋_GB2312" w:hAnsi="Calibri"/>
          <w:sz w:val="30"/>
          <w:szCs w:val="30"/>
        </w:rPr>
      </w:pPr>
    </w:p>
    <w:p w:rsidR="005B6D84" w:rsidRDefault="005B6D84" w:rsidP="005B6D84">
      <w:pPr>
        <w:rPr>
          <w:rFonts w:ascii="仿宋_GB2312" w:eastAsia="仿宋_GB2312" w:hAnsi="Calibri"/>
          <w:sz w:val="30"/>
          <w:szCs w:val="30"/>
        </w:rPr>
      </w:pPr>
      <w:r>
        <w:rPr>
          <w:noProof/>
        </w:rPr>
        <w:lastRenderedPageBreak/>
        <w:drawing>
          <wp:inline distT="0" distB="0" distL="0" distR="0" wp14:anchorId="2347247E" wp14:editId="7B4FB370">
            <wp:extent cx="5274310" cy="425196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4251960"/>
                    </a:xfrm>
                    <a:prstGeom prst="rect">
                      <a:avLst/>
                    </a:prstGeom>
                  </pic:spPr>
                </pic:pic>
              </a:graphicData>
            </a:graphic>
          </wp:inline>
        </w:drawing>
      </w:r>
    </w:p>
    <w:p w:rsidR="005B6D84" w:rsidRDefault="005B6D84" w:rsidP="005B6D84">
      <w:pPr>
        <w:rPr>
          <w:rFonts w:ascii="仿宋_GB2312" w:eastAsia="仿宋_GB2312" w:hAnsi="Calibri"/>
          <w:sz w:val="30"/>
          <w:szCs w:val="30"/>
        </w:rPr>
      </w:pPr>
      <w:r>
        <w:rPr>
          <w:noProof/>
        </w:rPr>
        <w:drawing>
          <wp:inline distT="0" distB="0" distL="0" distR="0" wp14:anchorId="02618044" wp14:editId="288E283A">
            <wp:extent cx="5274310" cy="406590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065905"/>
                    </a:xfrm>
                    <a:prstGeom prst="rect">
                      <a:avLst/>
                    </a:prstGeom>
                  </pic:spPr>
                </pic:pic>
              </a:graphicData>
            </a:graphic>
          </wp:inline>
        </w:drawing>
      </w:r>
    </w:p>
    <w:p w:rsidR="005B6D84" w:rsidRDefault="005B6D84" w:rsidP="005B6D84">
      <w:pPr>
        <w:rPr>
          <w:rFonts w:ascii="仿宋_GB2312" w:eastAsia="仿宋_GB2312" w:hAnsi="Calibri"/>
          <w:sz w:val="30"/>
          <w:szCs w:val="30"/>
        </w:rPr>
      </w:pPr>
      <w:r>
        <w:rPr>
          <w:noProof/>
        </w:rPr>
        <w:lastRenderedPageBreak/>
        <w:drawing>
          <wp:inline distT="0" distB="0" distL="0" distR="0" wp14:anchorId="6E9FBC37" wp14:editId="4C008A11">
            <wp:extent cx="5274310" cy="3940175"/>
            <wp:effectExtent l="0" t="0" r="254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940175"/>
                    </a:xfrm>
                    <a:prstGeom prst="rect">
                      <a:avLst/>
                    </a:prstGeom>
                  </pic:spPr>
                </pic:pic>
              </a:graphicData>
            </a:graphic>
          </wp:inline>
        </w:drawing>
      </w:r>
    </w:p>
    <w:p w:rsidR="005B6D84" w:rsidRDefault="005B6D84" w:rsidP="005B6D84">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p w:rsidR="005B6D84" w:rsidRDefault="005B6D84" w:rsidP="005B6D84">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4.</w:t>
      </w:r>
      <w:r>
        <w:rPr>
          <w:rFonts w:ascii="仿宋_GB2312" w:eastAsia="仿宋_GB2312" w:hAnsi="宋体" w:hint="eastAsia"/>
          <w:b/>
          <w:bCs/>
          <w:sz w:val="32"/>
          <w:szCs w:val="32"/>
        </w:rPr>
        <w:t>利用处置环节</w:t>
      </w:r>
    </w:p>
    <w:p w:rsidR="005B6D84" w:rsidRDefault="005B6D84" w:rsidP="005B6D84">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主要是依据</w:t>
      </w:r>
      <w:r w:rsidRPr="00955863">
        <w:rPr>
          <w:rFonts w:ascii="仿宋_GB2312" w:eastAsia="仿宋_GB2312" w:hAnsi="Calibri" w:hint="eastAsia"/>
          <w:sz w:val="30"/>
          <w:szCs w:val="30"/>
        </w:rPr>
        <w:t>《中华人民共和国固体废物污染环境防治法》</w:t>
      </w:r>
      <w:r w:rsidRPr="00955863">
        <w:rPr>
          <w:rFonts w:ascii="仿宋_GB2312" w:eastAsia="仿宋_GB2312" w:hAnsi="Calibri"/>
          <w:sz w:val="30"/>
          <w:szCs w:val="30"/>
        </w:rPr>
        <w:t>《危险废物转移管理办法》</w:t>
      </w:r>
      <w:r w:rsidRPr="005B6D84">
        <w:rPr>
          <w:rFonts w:ascii="仿宋_GB2312" w:eastAsia="仿宋_GB2312" w:hAnsi="Calibri" w:hint="eastAsia"/>
          <w:sz w:val="30"/>
          <w:szCs w:val="30"/>
        </w:rPr>
        <w:t>《危险废物经营许可证管理办法》</w:t>
      </w:r>
      <w:r>
        <w:rPr>
          <w:rFonts w:ascii="仿宋_GB2312" w:eastAsia="仿宋_GB2312" w:hAnsi="Calibri" w:hint="eastAsia"/>
          <w:sz w:val="30"/>
          <w:szCs w:val="30"/>
        </w:rPr>
        <w:t>等文件要求并结合起草单位工作实际来确定。</w:t>
      </w:r>
    </w:p>
    <w:p w:rsidR="005B6D84" w:rsidRDefault="005B6D84" w:rsidP="005B6D84">
      <w:pPr>
        <w:spacing w:line="560" w:lineRule="exact"/>
        <w:ind w:firstLineChars="200" w:firstLine="600"/>
        <w:rPr>
          <w:rFonts w:ascii="仿宋_GB2312" w:eastAsia="仿宋_GB2312" w:hAnsi="Calibri"/>
          <w:sz w:val="30"/>
          <w:szCs w:val="30"/>
        </w:rPr>
      </w:pPr>
      <w:r w:rsidRPr="005B6D84">
        <w:rPr>
          <w:rFonts w:ascii="仿宋_GB2312" w:eastAsia="仿宋_GB2312" w:hAnsi="Calibri" w:hint="eastAsia"/>
          <w:sz w:val="30"/>
          <w:szCs w:val="30"/>
        </w:rPr>
        <w:t>处置环节是废铅蓄电池生命周期的终点。要求处置单位通过平台扫描废物标签二维码或读取RFID标签，自动调取转移联单信息，现场核对废物种类、数量、包装方式等，确认是否与联单一致，并在平台实时记录核对结果，支持拍照或视频留证，可确保接收废物信息准确无误、交接记录完整可查，实现“一码贯通”在处置环节的闭环管理。</w:t>
      </w:r>
    </w:p>
    <w:p w:rsidR="005B6D84"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称重数据的准确性是废物数量核验的基础。要求处置单位在入场处配备智能称重设备，自动采集接收废物的重量数据，并与</w:t>
      </w:r>
      <w:r w:rsidRPr="00673A40">
        <w:rPr>
          <w:rFonts w:ascii="仿宋_GB2312" w:eastAsia="仿宋_GB2312" w:hAnsi="Calibri" w:hint="eastAsia"/>
          <w:sz w:val="30"/>
          <w:szCs w:val="30"/>
        </w:rPr>
        <w:lastRenderedPageBreak/>
        <w:t>转移联单申报重量进行比对，若重量偏差超出允许范围，系统自动预警并提示复核，可确保废物计量准确、防止短少或超额，为费用结算和环保统计提供可靠数据。</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利用处置过程涉及破碎、熔炼等高风险工序，环境风险较高。要求处置单位在废物入场、卸货、贮存、预处理、处置车间等关键区域安装高清视频监控设备并实时接入平台，视频监控覆盖废物接收、暂存、处置全过程，视频资料保存期限应符合相关管理规定，可实现“远程看、实时管、事后查”，及时发现异常情况，提高监管效率。</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电子台账是全过程追溯管理的核心工具。要求处置单位通过平台建立电子台账，详细记录废物接收批次、接收时间、来源单位、废物种类、数量、包装方式、暂存位置、暂存时间、利用或处置方式、开始时间、结束时间、利用或处置量、剩余库存等信息，可确保处置环节的数据与上下游环节无缝衔接，形成完整的可追溯证据链。</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利用处置过程是废铅蓄电池污染控制的核心环节。要求处置单位通过平台对利用处置过程进行信息化记录，包括利用或处置工艺参数（如温度、压力、处理时长等）、关键工序操作记录、设备运行状态、环保设施运行情况等，支持自动采集和人工录入两种方式，可确保利用处置过程合规可控，为环境监管和工艺优化提供数据支撑。</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利用处置过程的关键设备（如破碎机、熔炼炉）的运行状态直接影响污染控制效果和产品质量。要求关键设备接入平台，记录运行参数与维护记录，可实现设备状态的实时监控和预防性维</w:t>
      </w:r>
      <w:r w:rsidRPr="00673A40">
        <w:rPr>
          <w:rFonts w:ascii="仿宋_GB2312" w:eastAsia="仿宋_GB2312" w:hAnsi="Calibri" w:hint="eastAsia"/>
          <w:sz w:val="30"/>
          <w:szCs w:val="30"/>
        </w:rPr>
        <w:lastRenderedPageBreak/>
        <w:t>护，防止因设备故障导致环境污染或安全事故。</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废铅蓄电池的资源化利用涉及破碎、分选、铅膏脱硫、熔炼、合金调配等多个关键工序，各工序的污染控制要求和技术参数在HJ 519中有明确规定。要求利用单位按照HJ 519及相关技术规范进行预处理和资源化利用，并在平台中记录工艺参数及运行情况，可确保利用过程合规、产品质量达标、环境风险可控。</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利用处置后产生的产物（如再生铅、塑料、硫酸钠等）去向不明可能导致二次污染或非法流入市场。要求处置单位通过平台对产物进行信息化管理，记录产物的种类、数量、去向、接收单位等信息，产物转移应按照危险废物或相关产品管理规定执行，并生成电子转移记录，可确保产物“来源可查、去向可追”，防止二次污染。</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利用处置报告是证明废物已得到合规处置的重要凭证。要求处置单位在利用处置完成后通过平台自动生成电子利用处置报告，报告内容涵盖接收废物信息、利用或处置方式及工艺说明、实际利用或处置量、利用或处置时间、产物信息及去向、环保设施运行情况、处置单位确认信息等，加盖电子签章后自动推送至产废单位、收集单位及生态环境部门，可形成“产生—转移—接收—利用处置—反馈”的完整数据链。</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管理需要形成“产生—转移—接收—利用处置—反馈”的完整闭环。要求处置单位通过平台将利用处置结果信息反馈至系统，可确保数据链完整闭合，为监管部门提供全流程可追溯的监管依据，也为产废单位完成法定申报义务提供凭证。</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利用处置环节是废铅蓄电池环境风险防控的最后一道关口。</w:t>
      </w:r>
      <w:r w:rsidRPr="00673A40">
        <w:rPr>
          <w:rFonts w:ascii="仿宋_GB2312" w:eastAsia="仿宋_GB2312" w:hAnsi="Calibri" w:hint="eastAsia"/>
          <w:sz w:val="30"/>
          <w:szCs w:val="30"/>
        </w:rPr>
        <w:lastRenderedPageBreak/>
        <w:t>要求平台设置利用处置环节异常预警规则，包括接收废物与转移联单信息不符、重量偏差超限、超期未利用或未处置、环保设施运行异常、产物去向不明等异常情况的自动预警，可实现从“人防”到“技防”的转变，让异常情况在第一时间被发现并处置。</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预警信息的价值在于“及时发现、快速响应、有效处置”。要求预警信息实时推送至利用或处置单位管理人员及生态环境监管部门，并记录异常处理过程，形成闭环，可确保异常情况得到及时响应和妥善处理，防止隐患演变为事故。</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利用处置涉及产废单位、收集单位、运输单位、处置单位等多方主体，各方之间的权利义务关系必须通过合同明确。要求处置单位通过平台与产废单位、收集单位、运输单位在线签订电子合同，明确各方责任、服务内容、利用处置价格、费用结算等条款，实现合同的电子化归档与管理，一方面可落实法定合同义务，另一方面可实现合同的电子化统一管理，便于监管部门核查各方责任落实情况。</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关键利用处置设备（如破碎机、熔炼炉、环保设施等）的运行状况直接决定污染控制效果和产品质量。要求处置单位通过平台对关键设备进行信息化管理，记录设备运行状态、维护保养记录、故障维修记录等，支持设备生命周期管理，可确保设备始终处于良好运行状态，防止因设备故障导致的环境污染和安全事故。</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利用处置过程会产生废气（如铅尘、二氧化硫等）和废水，环保监测数据是判断污染控制是否达标的重要依据。要求处置单位按照国家及地方要求，将利用处置过程的环保监测数据（如废气排放浓度、废水排放指标等）实时接入平台，实现环</w:t>
      </w:r>
      <w:r w:rsidRPr="00673A40">
        <w:rPr>
          <w:rFonts w:ascii="仿宋_GB2312" w:eastAsia="仿宋_GB2312" w:hAnsi="Calibri" w:hint="eastAsia"/>
          <w:sz w:val="30"/>
          <w:szCs w:val="30"/>
        </w:rPr>
        <w:lastRenderedPageBreak/>
        <w:t>保数据的在线监控和异常报警，可确保利用处置过程污染物排放达标，防止超标排放造成环境污染。</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关键设备运行参数的异常波动往往是设备故障或工艺异常的前兆。要求利用单位通过平台对关键设备的运行参数进行自动采集与实时监控，数据异常时自动预警，可实现对设备运行状态的“全天候、自动化”监控，及时发现异常并采取应对措施，防止因设备故障导致环境污染。</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利用处置后产生的产物（如再生铅、塑料、硫酸钠等）去向不明可能导致二次污染或非法流入市场。要求利用单位通过平台建立产物去向电子台账，记录产物种类、数量、接收单位、运输车辆、交接确认等信息，可确保产物“来源可查、去向可追”，防止二次污染。</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处置环节的接收与处置确认是废铅蓄电池管理链条的重要节点。要求处置单位通过平台接收“出库申请”信息，并根据申请内容进行扫码入库与处置确认，可确保废物转移信息在处置环节得到准确核验和记录，形成从产废出库到处置入库的完整追溯链条。</w:t>
      </w:r>
    </w:p>
    <w:p w:rsidR="00673A40" w:rsidRDefault="00673A40" w:rsidP="005B6D84">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处置报告上传和联单闭环核销是废铅蓄电池管理全流程的“收官”环节。要求处置单位在处置完成后通过平台上传处置报告，并与原转移联单进行闭环核销，可确保每一批次废铅蓄电池的处置结果得到确认和记录，形成“产生—转移—接收—处置—核销”的完整闭环，为监管部门提供全流程可追溯的监管依据。</w:t>
      </w:r>
    </w:p>
    <w:p w:rsidR="00673A40" w:rsidRDefault="00673A40" w:rsidP="00673A40">
      <w:pPr>
        <w:rPr>
          <w:rFonts w:ascii="仿宋_GB2312" w:eastAsia="仿宋_GB2312" w:hAnsi="Calibri"/>
          <w:sz w:val="30"/>
          <w:szCs w:val="30"/>
        </w:rPr>
      </w:pPr>
      <w:r>
        <w:rPr>
          <w:noProof/>
        </w:rPr>
        <w:lastRenderedPageBreak/>
        <w:drawing>
          <wp:inline distT="0" distB="0" distL="0" distR="0" wp14:anchorId="48C74BB1" wp14:editId="20AF969A">
            <wp:extent cx="5274310" cy="406590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065905"/>
                    </a:xfrm>
                    <a:prstGeom prst="rect">
                      <a:avLst/>
                    </a:prstGeom>
                  </pic:spPr>
                </pic:pic>
              </a:graphicData>
            </a:graphic>
          </wp:inline>
        </w:drawing>
      </w:r>
    </w:p>
    <w:p w:rsidR="00673A40" w:rsidRDefault="00673A40" w:rsidP="00673A40">
      <w:pPr>
        <w:rPr>
          <w:rFonts w:ascii="仿宋_GB2312" w:eastAsia="仿宋_GB2312" w:hAnsi="Calibri"/>
          <w:sz w:val="30"/>
          <w:szCs w:val="30"/>
        </w:rPr>
      </w:pPr>
      <w:r>
        <w:rPr>
          <w:noProof/>
        </w:rPr>
        <w:drawing>
          <wp:inline distT="0" distB="0" distL="0" distR="0" wp14:anchorId="0B31487F" wp14:editId="7CB6EC9A">
            <wp:extent cx="5274310" cy="3940175"/>
            <wp:effectExtent l="0" t="0" r="254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940175"/>
                    </a:xfrm>
                    <a:prstGeom prst="rect">
                      <a:avLst/>
                    </a:prstGeom>
                  </pic:spPr>
                </pic:pic>
              </a:graphicData>
            </a:graphic>
          </wp:inline>
        </w:drawing>
      </w:r>
    </w:p>
    <w:p w:rsidR="00673A40" w:rsidRDefault="00673A40" w:rsidP="00673A40">
      <w:pPr>
        <w:jc w:val="center"/>
        <w:rPr>
          <w:rFonts w:ascii="仿宋_GB2312" w:eastAsia="仿宋_GB2312" w:hAnsi="Calibri"/>
          <w:sz w:val="30"/>
          <w:szCs w:val="30"/>
        </w:rPr>
      </w:pPr>
      <w:r>
        <w:rPr>
          <w:rFonts w:ascii="仿宋_GB2312" w:eastAsia="仿宋_GB2312" w:hAnsi="Calibri" w:hint="eastAsia"/>
          <w:sz w:val="30"/>
          <w:szCs w:val="30"/>
        </w:rPr>
        <w:t>来源：</w:t>
      </w:r>
      <w:r w:rsidRPr="00845E7F">
        <w:rPr>
          <w:rFonts w:ascii="仿宋_GB2312" w:eastAsia="仿宋_GB2312" w:hAnsi="Calibri" w:hint="eastAsia"/>
          <w:sz w:val="30"/>
          <w:szCs w:val="30"/>
        </w:rPr>
        <w:t>危险废物转移管理办法</w:t>
      </w:r>
    </w:p>
    <w:p w:rsidR="00673A40" w:rsidRDefault="00673A40" w:rsidP="00673A40">
      <w:pPr>
        <w:rPr>
          <w:rFonts w:ascii="仿宋_GB2312" w:eastAsia="仿宋_GB2312" w:hAnsi="Calibri"/>
          <w:sz w:val="30"/>
          <w:szCs w:val="30"/>
        </w:rPr>
      </w:pPr>
      <w:r>
        <w:rPr>
          <w:noProof/>
        </w:rPr>
        <w:lastRenderedPageBreak/>
        <w:drawing>
          <wp:inline distT="0" distB="0" distL="0" distR="0" wp14:anchorId="794A14EE" wp14:editId="2A11F688">
            <wp:extent cx="5274310" cy="887095"/>
            <wp:effectExtent l="0" t="0" r="254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887095"/>
                    </a:xfrm>
                    <a:prstGeom prst="rect">
                      <a:avLst/>
                    </a:prstGeom>
                  </pic:spPr>
                </pic:pic>
              </a:graphicData>
            </a:graphic>
          </wp:inline>
        </w:drawing>
      </w:r>
    </w:p>
    <w:p w:rsidR="00673A40" w:rsidRDefault="00673A40" w:rsidP="00673A40">
      <w:pPr>
        <w:rPr>
          <w:rFonts w:ascii="仿宋_GB2312" w:eastAsia="仿宋_GB2312" w:hAnsi="Calibri"/>
          <w:sz w:val="30"/>
          <w:szCs w:val="30"/>
        </w:rPr>
      </w:pPr>
      <w:r>
        <w:rPr>
          <w:noProof/>
        </w:rPr>
        <w:drawing>
          <wp:inline distT="0" distB="0" distL="0" distR="0" wp14:anchorId="0E2B93DB" wp14:editId="38D3E0DF">
            <wp:extent cx="5274310" cy="205740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057400"/>
                    </a:xfrm>
                    <a:prstGeom prst="rect">
                      <a:avLst/>
                    </a:prstGeom>
                  </pic:spPr>
                </pic:pic>
              </a:graphicData>
            </a:graphic>
          </wp:inline>
        </w:drawing>
      </w:r>
    </w:p>
    <w:p w:rsidR="00673A40" w:rsidRPr="00955863" w:rsidRDefault="00673A40" w:rsidP="00673A40">
      <w:pPr>
        <w:jc w:val="center"/>
        <w:rPr>
          <w:rFonts w:ascii="仿宋_GB2312" w:eastAsia="仿宋_GB2312" w:hAnsi="Calibri"/>
          <w:sz w:val="30"/>
          <w:szCs w:val="30"/>
        </w:rPr>
      </w:pPr>
      <w:r>
        <w:rPr>
          <w:rFonts w:ascii="仿宋_GB2312" w:eastAsia="仿宋_GB2312" w:hAnsi="Calibri" w:hint="eastAsia"/>
          <w:sz w:val="30"/>
          <w:szCs w:val="30"/>
        </w:rPr>
        <w:t>来源：中华人民共和国固体废物污染环境防治法</w:t>
      </w:r>
    </w:p>
    <w:p w:rsidR="00673A40" w:rsidRPr="00845E7F" w:rsidRDefault="00673A40" w:rsidP="00673A40">
      <w:pPr>
        <w:ind w:firstLineChars="200" w:firstLine="643"/>
        <w:rPr>
          <w:rFonts w:ascii="楷体" w:eastAsia="楷体" w:hAnsi="楷体"/>
          <w:b/>
          <w:sz w:val="32"/>
          <w:szCs w:val="32"/>
        </w:rPr>
      </w:pPr>
      <w:bookmarkStart w:id="24" w:name="OLE_LINK31"/>
      <w:r w:rsidRPr="00845E7F">
        <w:rPr>
          <w:rFonts w:ascii="楷体" w:eastAsia="楷体" w:hAnsi="楷体" w:hint="eastAsia"/>
          <w:b/>
          <w:sz w:val="32"/>
          <w:szCs w:val="32"/>
        </w:rPr>
        <w:t>（</w:t>
      </w:r>
      <w:r>
        <w:rPr>
          <w:rFonts w:ascii="楷体" w:eastAsia="楷体" w:hAnsi="楷体" w:hint="eastAsia"/>
          <w:b/>
          <w:sz w:val="32"/>
          <w:szCs w:val="32"/>
        </w:rPr>
        <w:t>四</w:t>
      </w:r>
      <w:r w:rsidRPr="00845E7F">
        <w:rPr>
          <w:rFonts w:ascii="楷体" w:eastAsia="楷体" w:hAnsi="楷体" w:hint="eastAsia"/>
          <w:b/>
          <w:sz w:val="32"/>
          <w:szCs w:val="32"/>
        </w:rPr>
        <w:t>）</w:t>
      </w:r>
      <w:r>
        <w:rPr>
          <w:rFonts w:ascii="楷体" w:eastAsia="楷体" w:hAnsi="楷体" w:hint="eastAsia"/>
          <w:b/>
          <w:sz w:val="32"/>
          <w:szCs w:val="32"/>
        </w:rPr>
        <w:t>信息反馈与闭环要求</w:t>
      </w:r>
    </w:p>
    <w:p w:rsidR="00673A40" w:rsidRDefault="00673A40" w:rsidP="00673A40">
      <w:pPr>
        <w:spacing w:line="560" w:lineRule="exact"/>
        <w:ind w:firstLineChars="200" w:firstLine="643"/>
        <w:rPr>
          <w:rFonts w:ascii="仿宋_GB2312" w:eastAsia="仿宋_GB2312" w:hAnsi="宋体"/>
          <w:b/>
          <w:bCs/>
          <w:sz w:val="32"/>
          <w:szCs w:val="32"/>
        </w:rPr>
      </w:pPr>
      <w:bookmarkStart w:id="25" w:name="OLE_LINK28"/>
      <w:r>
        <w:rPr>
          <w:rFonts w:ascii="仿宋_GB2312" w:eastAsia="仿宋_GB2312" w:hAnsi="宋体"/>
          <w:b/>
          <w:bCs/>
          <w:sz w:val="32"/>
          <w:szCs w:val="32"/>
        </w:rPr>
        <w:t>1.</w:t>
      </w:r>
      <w:r>
        <w:rPr>
          <w:rFonts w:ascii="仿宋_GB2312" w:eastAsia="仿宋_GB2312" w:hAnsi="宋体" w:hint="eastAsia"/>
          <w:b/>
          <w:bCs/>
          <w:sz w:val="32"/>
          <w:szCs w:val="32"/>
        </w:rPr>
        <w:t>信息反馈</w:t>
      </w:r>
    </w:p>
    <w:bookmarkEnd w:id="24"/>
    <w:bookmarkEnd w:id="25"/>
    <w:p w:rsidR="00673A40" w:rsidRDefault="00673A40">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废铅蓄电池从产生到处置的完整链条中，处置环节是终点。处置单位作为全流程的最后一环，其接收状态、处置进度和处置结果的信息反馈，是产废单位履行法定核实义务的前提，也是监管部门判断废物是否得到合规处置的依据。要求处置完成后标记“已处置”并同步推送至收集单位和产废单位，可实现“产生—转移—处置”全链条信息的闭环传递，让每一批次废物的最终去向清晰可查。</w:t>
      </w:r>
    </w:p>
    <w:p w:rsidR="00673A40" w:rsidRDefault="00673A40">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收集单位处于废铅蓄电池收运链条的中间环节，既接收来自产废单位的废物，又向处置单位转运废物。其暂存、出库、转运信息的实时反馈，是连接产废端和处置端信息流的关键桥梁。要求同步更新台账状态，可确保废物的物理流向与电子台账信息保持实时一致，防止信息滞后或错漏。</w:t>
      </w:r>
    </w:p>
    <w:p w:rsidR="00673A40" w:rsidRDefault="00673A40">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lastRenderedPageBreak/>
        <w:t>运输环节是废铅蓄电池在空间上转移的过程，其起运、在途、到达信息以及轨迹数据，是判断废物是否按计划路线运输、是否存在异常停留或偏离的重要依据。要求运输单位反馈这些信息并自动上传轨迹数据，可实现对运输过程的实时监控和事后追溯，防止非法倾倒、中途卸载等违法行为。</w:t>
      </w:r>
    </w:p>
    <w:p w:rsidR="00673A40" w:rsidRDefault="00673A40" w:rsidP="00673A40">
      <w:pPr>
        <w:spacing w:line="560" w:lineRule="exact"/>
        <w:ind w:firstLineChars="200" w:firstLine="643"/>
        <w:rPr>
          <w:rFonts w:ascii="仿宋_GB2312" w:eastAsia="仿宋_GB2312" w:hAnsi="宋体"/>
          <w:b/>
          <w:bCs/>
          <w:sz w:val="32"/>
          <w:szCs w:val="32"/>
        </w:rPr>
      </w:pPr>
      <w:bookmarkStart w:id="26" w:name="OLE_LINK29"/>
      <w:r>
        <w:rPr>
          <w:rFonts w:ascii="仿宋_GB2312" w:eastAsia="仿宋_GB2312" w:hAnsi="宋体"/>
          <w:b/>
          <w:bCs/>
          <w:sz w:val="32"/>
          <w:szCs w:val="32"/>
        </w:rPr>
        <w:t>2.</w:t>
      </w:r>
      <w:r>
        <w:rPr>
          <w:rFonts w:ascii="仿宋_GB2312" w:eastAsia="仿宋_GB2312" w:hAnsi="宋体" w:hint="eastAsia"/>
          <w:b/>
          <w:bCs/>
          <w:sz w:val="32"/>
          <w:szCs w:val="32"/>
        </w:rPr>
        <w:t>全流程追溯查询</w:t>
      </w:r>
    </w:p>
    <w:bookmarkEnd w:id="26"/>
    <w:p w:rsidR="00673A40" w:rsidRDefault="00673A40">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全流程追溯查询是实现“来源可查、去向可追、责任可究”管理目标的核心功能。各责任主体可通过信息化平台，按联单编号、产废单位、时间范围、处置单位等维度，一键追溯废铅蓄电池从产生到处置的全链条信息，包括申报记录、接收凭证、联单信息、运输轨迹、称重数据、处置报告、监管记录。这一功能为产废单位履行核实义务、监管部门开展执法检查、公众进行社会监督提供了便捷的信息工具。</w:t>
      </w:r>
    </w:p>
    <w:p w:rsidR="00673A40" w:rsidRDefault="00673A40" w:rsidP="00673A40">
      <w:pPr>
        <w:spacing w:line="560" w:lineRule="exact"/>
        <w:ind w:firstLineChars="200" w:firstLine="643"/>
        <w:rPr>
          <w:rFonts w:ascii="仿宋_GB2312" w:eastAsia="仿宋_GB2312" w:hAnsi="宋体"/>
          <w:b/>
          <w:bCs/>
          <w:sz w:val="32"/>
          <w:szCs w:val="32"/>
        </w:rPr>
      </w:pPr>
      <w:bookmarkStart w:id="27" w:name="OLE_LINK30"/>
      <w:r>
        <w:rPr>
          <w:rFonts w:ascii="仿宋_GB2312" w:eastAsia="仿宋_GB2312" w:hAnsi="宋体"/>
          <w:b/>
          <w:bCs/>
          <w:sz w:val="32"/>
          <w:szCs w:val="32"/>
        </w:rPr>
        <w:t>3.</w:t>
      </w:r>
      <w:r>
        <w:rPr>
          <w:rFonts w:ascii="仿宋_GB2312" w:eastAsia="仿宋_GB2312" w:hAnsi="宋体" w:hint="eastAsia"/>
          <w:b/>
          <w:bCs/>
          <w:sz w:val="32"/>
          <w:szCs w:val="32"/>
        </w:rPr>
        <w:t>闭环核销管理</w:t>
      </w:r>
    </w:p>
    <w:bookmarkEnd w:id="27"/>
    <w:p w:rsidR="00673A40" w:rsidRPr="00673A40" w:rsidRDefault="00673A40" w:rsidP="00673A40">
      <w:pPr>
        <w:spacing w:line="560" w:lineRule="exact"/>
        <w:ind w:firstLineChars="200" w:firstLine="640"/>
        <w:rPr>
          <w:rFonts w:ascii="仿宋_GB2312" w:eastAsia="仿宋_GB2312" w:hAnsi="宋体"/>
          <w:sz w:val="32"/>
          <w:szCs w:val="32"/>
        </w:rPr>
      </w:pPr>
      <w:r w:rsidRPr="00673A40">
        <w:rPr>
          <w:rFonts w:ascii="仿宋_GB2312" w:eastAsia="仿宋_GB2312" w:hAnsi="宋体" w:hint="eastAsia"/>
          <w:sz w:val="32"/>
          <w:szCs w:val="32"/>
        </w:rPr>
        <w:t>闭环核销是废铅蓄电池全流程管理的“收官”环节。要求处置报告审核通过后，平台自动对该批次废铅蓄电池进行闭环核销，同步更新产废申报、收集台账、转移联单状态，形成“申报→接收→转移→运输→处置→反馈→核销”完整闭环。未完成闭环核销的批次，平台标记为异常，纳入重点监管。这一机制可确保每一批次废铅蓄电池都有明确的处置结果，防止废物“下落不明”，实现对监管漏洞的主动识别和追踪。</w:t>
      </w:r>
    </w:p>
    <w:p w:rsidR="00673A40" w:rsidRDefault="00673A40" w:rsidP="00673A40">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4.</w:t>
      </w:r>
      <w:r>
        <w:rPr>
          <w:rFonts w:ascii="仿宋_GB2312" w:eastAsia="仿宋_GB2312" w:hAnsi="宋体" w:hint="eastAsia"/>
          <w:b/>
          <w:bCs/>
          <w:sz w:val="32"/>
          <w:szCs w:val="32"/>
        </w:rPr>
        <w:t>异常处理闭环管理</w:t>
      </w:r>
    </w:p>
    <w:p w:rsidR="00673A40" w:rsidRDefault="00673A40">
      <w:pPr>
        <w:spacing w:line="560" w:lineRule="exact"/>
        <w:ind w:firstLineChars="200" w:firstLine="600"/>
        <w:rPr>
          <w:rFonts w:ascii="仿宋_GB2312" w:eastAsia="仿宋_GB2312" w:hAnsi="Calibri"/>
          <w:sz w:val="30"/>
          <w:szCs w:val="30"/>
        </w:rPr>
      </w:pPr>
      <w:r w:rsidRPr="00673A40">
        <w:rPr>
          <w:rFonts w:ascii="仿宋_GB2312" w:eastAsia="仿宋_GB2312" w:hAnsi="Calibri" w:hint="eastAsia"/>
          <w:sz w:val="30"/>
          <w:szCs w:val="30"/>
        </w:rPr>
        <w:t>异常事件（如信息不符、重量偏差、运输偏离、超期未处置</w:t>
      </w:r>
      <w:r w:rsidRPr="00673A40">
        <w:rPr>
          <w:rFonts w:ascii="仿宋_GB2312" w:eastAsia="仿宋_GB2312" w:hAnsi="Calibri" w:hint="eastAsia"/>
          <w:sz w:val="30"/>
          <w:szCs w:val="30"/>
        </w:rPr>
        <w:lastRenderedPageBreak/>
        <w:t>等）是废铅蓄电池管理中的风险信号。要求平台记录所有异常事件，可为后续分析、改进和追责提供完整的数据基础，避免异常事件被忽视或遗漏。</w:t>
      </w:r>
    </w:p>
    <w:p w:rsidR="00673A40"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异常事件的价值在于“及时发现、快速响应、有效处置”。要求异常事件自动推送至相关责任单位，并记录处理措施、处理人、处理时间、处理结果等全过程信息，可确保异常情况得到及时响应和妥善处理，防止隐患演变为事故，同时为事后追责提供完整证据链。</w:t>
      </w:r>
    </w:p>
    <w:p w:rsidR="00673A40"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异常事件从发现到处理完成的完整记录，才能构成管理闭环。要求平台在处理完成后自动核销异常标记，可确保每个异常事件都有明确的“结案”状态，防止异常事件被遗忘或半途而废，形成“发现—推送—处理—核销”的完整管理闭环。</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异常处理记录不仅是个案的解决，更是管理改进的依据。要求将异常处理记录纳入统计分析与监管考核，可帮助监管部门识别风险高发环节、评估各单位管理绩效、优化管理政策，实现“以数据驱动管理改进”。</w:t>
      </w:r>
    </w:p>
    <w:p w:rsidR="00CF5868" w:rsidRPr="00845E7F" w:rsidRDefault="00CF5868" w:rsidP="00CF5868">
      <w:pPr>
        <w:ind w:firstLineChars="200" w:firstLine="643"/>
        <w:rPr>
          <w:rFonts w:ascii="楷体" w:eastAsia="楷体" w:hAnsi="楷体"/>
          <w:b/>
          <w:sz w:val="32"/>
          <w:szCs w:val="32"/>
        </w:rPr>
      </w:pPr>
      <w:r w:rsidRPr="00845E7F">
        <w:rPr>
          <w:rFonts w:ascii="楷体" w:eastAsia="楷体" w:hAnsi="楷体" w:hint="eastAsia"/>
          <w:b/>
          <w:sz w:val="32"/>
          <w:szCs w:val="32"/>
        </w:rPr>
        <w:t>（</w:t>
      </w:r>
      <w:r>
        <w:rPr>
          <w:rFonts w:ascii="楷体" w:eastAsia="楷体" w:hAnsi="楷体" w:hint="eastAsia"/>
          <w:b/>
          <w:sz w:val="32"/>
          <w:szCs w:val="32"/>
        </w:rPr>
        <w:t>五</w:t>
      </w:r>
      <w:r w:rsidRPr="00845E7F">
        <w:rPr>
          <w:rFonts w:ascii="楷体" w:eastAsia="楷体" w:hAnsi="楷体" w:hint="eastAsia"/>
          <w:b/>
          <w:sz w:val="32"/>
          <w:szCs w:val="32"/>
        </w:rPr>
        <w:t>）</w:t>
      </w:r>
      <w:r>
        <w:rPr>
          <w:rFonts w:ascii="楷体" w:eastAsia="楷体" w:hAnsi="楷体" w:hint="eastAsia"/>
          <w:b/>
          <w:sz w:val="32"/>
          <w:szCs w:val="32"/>
        </w:rPr>
        <w:t>信息安全与数据管理</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信息化管理的核心价值建立在数据真实、准确、完整的基础之上。如果接入平台的数据存在虚假、遗漏或错误，不仅会导致管理决策失误，还可能掩盖非法转移和处置行为，造成严重的环境风险。要求各相关单位对数据的真实性负责，是落实“谁产生、谁负责”“谁填报、谁负责”主体责任的体现。</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电子台账、转移联单、检测报告、处置报告等电子文件是废铅蓄电池全流程管理的重要记录，是事后追溯、审计和执法的核</w:t>
      </w:r>
      <w:r w:rsidRPr="00CF5868">
        <w:rPr>
          <w:rFonts w:ascii="仿宋_GB2312" w:eastAsia="仿宋_GB2312" w:hAnsi="Calibri" w:hint="eastAsia"/>
          <w:sz w:val="30"/>
          <w:szCs w:val="30"/>
        </w:rPr>
        <w:lastRenderedPageBreak/>
        <w:t>心依据。要求按国家有关规定保存，可确保这些记录在需要时能够被调取和使用，满足法定保存期限的要求，也为监管部门提供完整的执法证据链。</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信息化平台承载着废铅蓄电池全流程管理的海量数据，涉及产废单位、收集单位、运输单位、处置单位等多方主体的商业秘密和监管信息。平台运营方作为系统的建设者和维护者，有义务保障系统安全稳定运行，采取必要的技术和管理措施防范网络攻击、数据泄露、系统瘫痪等风险。</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GB/T 20270、GB/T 20271、GB/T 20272、GB/T 20273这四个国家标准是信息安全技术领域的基础性标准，分别从网络基础安全、信息系统通用安全、操作系统安全、数据库安全四个维度对信息系统的安全技术要求作出了规定。要求平台安全符合这些标准，可确保平台在底层网络、整体系统、操作系统和数据库层面具备足够的安全防护能力。</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信息化平台建成后，其运行与维护质量直接影响系统的稳定性和可靠性。GB/T 28827.1《信息技术服务 运行维护 第1部分：通用要求》规定了运行维护服务能力模型，明确了运行维护服务组织在人员、资源、技术和过程方面应具备的条件和能力。要求平台运行与维护符合该标准，可确保平台获得专业、规范的运维保障。</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网络安全等级保护制度是我国网络安全领域的基本制度。GB/T 22239《信息安全技术 网络安全等级保护基本要求》是等保制度的核心标准。要求平台按照该标准开展定级、备案、测评与整改工作，是平台满足国家网络安全合规要求的必要措施，也</w:t>
      </w:r>
      <w:r w:rsidRPr="00CF5868">
        <w:rPr>
          <w:rFonts w:ascii="仿宋_GB2312" w:eastAsia="仿宋_GB2312" w:hAnsi="Calibri" w:hint="eastAsia"/>
          <w:sz w:val="30"/>
          <w:szCs w:val="30"/>
        </w:rPr>
        <w:lastRenderedPageBreak/>
        <w:t>是防范网络攻击和数据泄露风险的基本保障。</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废铅蓄电池管理数据一旦因系统故障、网络攻击、自然灾害等原因丢失或损坏，将造成不可挽回的损失。要求平台运营方建立数据备份与恢复机制，定期开展演练，可确保在发生意外时能够及时恢复数据，保障业务的连续性和数据的完整性。</w:t>
      </w:r>
    </w:p>
    <w:p w:rsidR="00CF5868" w:rsidRDefault="00CF5868">
      <w:pPr>
        <w:spacing w:line="560" w:lineRule="exact"/>
        <w:ind w:firstLineChars="200" w:firstLine="600"/>
        <w:rPr>
          <w:rFonts w:ascii="仿宋_GB2312" w:eastAsia="仿宋_GB2312" w:hAnsi="Calibri"/>
          <w:sz w:val="30"/>
          <w:szCs w:val="30"/>
        </w:rPr>
      </w:pPr>
      <w:r w:rsidRPr="00CF5868">
        <w:rPr>
          <w:rFonts w:ascii="仿宋_GB2312" w:eastAsia="仿宋_GB2312" w:hAnsi="Calibri" w:hint="eastAsia"/>
          <w:sz w:val="30"/>
          <w:szCs w:val="30"/>
        </w:rPr>
        <w:t>平台的使用者包括产废单位、收集单位、运输单位、处置单位、监管部门等不同角色，各角色的业务范围和操作需求各不相同。建立用户权限管理制度，根据不同角色配置差异化操作权限，可确保用户只能访问其职责范围内的数据和功能，防止越权操作和数据泄露，同时实现“谁操作、谁负责”的责任追溯。</w:t>
      </w:r>
    </w:p>
    <w:p w:rsidR="00F020F3" w:rsidRDefault="00B51959">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F020F3" w:rsidRDefault="00B51959">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本标准研制过程中无重大分歧意见。</w:t>
      </w:r>
    </w:p>
    <w:p w:rsidR="00F020F3" w:rsidRDefault="00B51959">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F020F3" w:rsidRDefault="00B51959">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团体标准《</w:t>
      </w:r>
      <w:r w:rsidR="0030623C">
        <w:rPr>
          <w:rFonts w:ascii="仿宋_GB2312" w:eastAsia="仿宋_GB2312" w:hAnsi="仿宋" w:cs="仿宋_GB2312" w:hint="eastAsia"/>
          <w:sz w:val="30"/>
          <w:szCs w:val="30"/>
          <w:lang w:bidi="ar"/>
        </w:rPr>
        <w:t>废铅蓄电池收贮运全流程信息化管理</w:t>
      </w:r>
      <w:r>
        <w:rPr>
          <w:rFonts w:ascii="仿宋_GB2312" w:eastAsia="仿宋_GB2312" w:hAnsi="仿宋" w:cs="仿宋_GB2312" w:hint="eastAsia"/>
          <w:sz w:val="30"/>
          <w:szCs w:val="30"/>
          <w:lang w:bidi="ar"/>
        </w:rPr>
        <w:t>规范》发布后，积极向各级相关行政部门、</w:t>
      </w:r>
      <w:r w:rsidR="00CF5868">
        <w:rPr>
          <w:rFonts w:ascii="仿宋_GB2312" w:eastAsia="仿宋_GB2312" w:hAnsi="仿宋" w:cs="仿宋_GB2312" w:hint="eastAsia"/>
          <w:sz w:val="30"/>
          <w:szCs w:val="30"/>
          <w:lang w:bidi="ar"/>
        </w:rPr>
        <w:t>废铅蓄电池收贮运机构</w:t>
      </w:r>
      <w:r>
        <w:rPr>
          <w:rFonts w:ascii="仿宋_GB2312" w:eastAsia="仿宋_GB2312" w:hAnsi="仿宋" w:cs="仿宋_GB2312" w:hint="eastAsia"/>
          <w:sz w:val="30"/>
          <w:szCs w:val="30"/>
          <w:lang w:bidi="ar"/>
        </w:rPr>
        <w:t>宣传，向所有</w:t>
      </w:r>
      <w:r w:rsidR="00CF5868">
        <w:rPr>
          <w:rFonts w:ascii="仿宋_GB2312" w:eastAsia="仿宋_GB2312" w:hAnsi="仿宋" w:cs="仿宋_GB2312" w:hint="eastAsia"/>
          <w:sz w:val="30"/>
          <w:szCs w:val="30"/>
          <w:lang w:bidi="ar"/>
        </w:rPr>
        <w:t>废铅蓄电池收贮运机构</w:t>
      </w:r>
      <w:r>
        <w:rPr>
          <w:rFonts w:ascii="仿宋_GB2312" w:eastAsia="仿宋_GB2312" w:hAnsi="仿宋" w:cs="仿宋_GB2312" w:hint="eastAsia"/>
          <w:sz w:val="30"/>
          <w:szCs w:val="30"/>
          <w:lang w:bidi="ar"/>
        </w:rPr>
        <w:t>推荐执行本标准。</w:t>
      </w:r>
    </w:p>
    <w:p w:rsidR="00F020F3" w:rsidRDefault="00B51959">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F020F3" w:rsidRDefault="00B51959">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无。</w:t>
      </w:r>
    </w:p>
    <w:p w:rsidR="00F020F3" w:rsidRDefault="00B51959">
      <w:pPr>
        <w:spacing w:line="560" w:lineRule="exact"/>
        <w:ind w:firstLineChars="200" w:firstLine="600"/>
        <w:jc w:val="center"/>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团体标准</w:t>
      </w:r>
    </w:p>
    <w:p w:rsidR="00F020F3" w:rsidRDefault="00B51959">
      <w:pPr>
        <w:spacing w:line="560" w:lineRule="exact"/>
        <w:ind w:firstLineChars="200" w:firstLine="600"/>
        <w:jc w:val="center"/>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w:t>
      </w:r>
      <w:r w:rsidR="0030623C">
        <w:rPr>
          <w:rFonts w:ascii="仿宋_GB2312" w:eastAsia="仿宋_GB2312" w:hAnsi="仿宋" w:cs="仿宋_GB2312" w:hint="eastAsia"/>
          <w:sz w:val="30"/>
          <w:szCs w:val="30"/>
          <w:lang w:bidi="ar"/>
        </w:rPr>
        <w:t>废铅蓄电池收贮运全流程信息化管理</w:t>
      </w:r>
      <w:r>
        <w:rPr>
          <w:rFonts w:ascii="仿宋_GB2312" w:eastAsia="仿宋_GB2312" w:hAnsi="仿宋" w:cs="仿宋_GB2312" w:hint="eastAsia"/>
          <w:sz w:val="30"/>
          <w:szCs w:val="30"/>
          <w:lang w:bidi="ar"/>
        </w:rPr>
        <w:t>规范》</w:t>
      </w:r>
    </w:p>
    <w:p w:rsidR="00F020F3" w:rsidRDefault="00B51959">
      <w:pPr>
        <w:spacing w:line="560" w:lineRule="exact"/>
        <w:ind w:firstLineChars="200" w:firstLine="600"/>
        <w:jc w:val="center"/>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标准编制组</w:t>
      </w:r>
    </w:p>
    <w:p w:rsidR="00F020F3" w:rsidRDefault="00B51959">
      <w:pPr>
        <w:spacing w:line="560" w:lineRule="exact"/>
        <w:ind w:firstLineChars="200" w:firstLine="600"/>
        <w:jc w:val="center"/>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2026年</w:t>
      </w:r>
      <w:r w:rsidR="00CF5868">
        <w:rPr>
          <w:rFonts w:ascii="仿宋_GB2312" w:eastAsia="仿宋_GB2312" w:hAnsi="仿宋" w:cs="仿宋_GB2312"/>
          <w:sz w:val="30"/>
          <w:szCs w:val="30"/>
          <w:lang w:bidi="ar"/>
        </w:rPr>
        <w:t>3</w:t>
      </w:r>
      <w:r>
        <w:rPr>
          <w:rFonts w:ascii="仿宋_GB2312" w:eastAsia="仿宋_GB2312" w:hAnsi="仿宋" w:cs="仿宋_GB2312" w:hint="eastAsia"/>
          <w:sz w:val="30"/>
          <w:szCs w:val="30"/>
          <w:lang w:bidi="ar"/>
        </w:rPr>
        <w:t>月</w:t>
      </w:r>
      <w:r w:rsidR="00CF5868">
        <w:rPr>
          <w:rFonts w:ascii="仿宋_GB2312" w:eastAsia="仿宋_GB2312" w:hAnsi="仿宋" w:cs="仿宋_GB2312"/>
          <w:sz w:val="30"/>
          <w:szCs w:val="30"/>
          <w:lang w:bidi="ar"/>
        </w:rPr>
        <w:t>30</w:t>
      </w:r>
      <w:r>
        <w:rPr>
          <w:rFonts w:ascii="仿宋_GB2312" w:eastAsia="仿宋_GB2312" w:hAnsi="仿宋" w:cs="仿宋_GB2312" w:hint="eastAsia"/>
          <w:sz w:val="30"/>
          <w:szCs w:val="30"/>
          <w:lang w:bidi="ar"/>
        </w:rPr>
        <w:t>日</w:t>
      </w:r>
    </w:p>
    <w:sectPr w:rsidR="00F020F3">
      <w:footerReference w:type="default" r:id="rId19"/>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13B0" w:rsidRDefault="009713B0">
      <w:r>
        <w:separator/>
      </w:r>
    </w:p>
  </w:endnote>
  <w:endnote w:type="continuationSeparator" w:id="0">
    <w:p w:rsidR="009713B0" w:rsidRDefault="009713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B94907FF-988E-4235-8735-31B4514714B2}"/>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C7DA8AE2-4CA1-4A50-8ACC-1D22DC766902}"/>
  </w:font>
  <w:font w:name="仿宋_GB2312">
    <w:panose1 w:val="02010609030101010101"/>
    <w:charset w:val="86"/>
    <w:family w:val="modern"/>
    <w:pitch w:val="fixed"/>
    <w:sig w:usb0="00000001" w:usb1="080E0000" w:usb2="00000010" w:usb3="00000000" w:csb0="00040000" w:csb1="00000000"/>
    <w:embedRegular r:id="rId3" w:subsetted="1" w:fontKey="{617F22EC-1A08-4B5A-A7CA-BB3224B60125}"/>
    <w:embedBold r:id="rId4" w:subsetted="1" w:fontKey="{561ED66A-6901-4550-B411-7A5557AE5867}"/>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embedRegular r:id="rId5" w:subsetted="1" w:fontKey="{E6A9718D-1C27-4CAF-9638-12B0726B23E8}"/>
  </w:font>
  <w:font w:name="楷体">
    <w:panose1 w:val="02010609060101010101"/>
    <w:charset w:val="86"/>
    <w:family w:val="modern"/>
    <w:pitch w:val="fixed"/>
    <w:sig w:usb0="800002BF" w:usb1="38CF7CFA" w:usb2="00000016" w:usb3="00000000" w:csb0="00040001" w:csb1="00000000"/>
    <w:embedBold r:id="rId6" w:subsetted="1" w:fontKey="{8EEBD302-DA0F-4412-A379-E5B80DD180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F020F3" w:rsidRDefault="00B51959">
        <w:pPr>
          <w:pStyle w:val="af8"/>
          <w:jc w:val="center"/>
        </w:pPr>
        <w:r>
          <w:fldChar w:fldCharType="begin"/>
        </w:r>
        <w:r>
          <w:instrText>PAGE   \* MERGEFORMAT</w:instrText>
        </w:r>
        <w:r>
          <w:fldChar w:fldCharType="separate"/>
        </w:r>
        <w:r>
          <w:rPr>
            <w:lang w:val="zh-CN"/>
          </w:rPr>
          <w:t>22</w:t>
        </w:r>
        <w:r>
          <w:fldChar w:fldCharType="end"/>
        </w:r>
      </w:p>
    </w:sdtContent>
  </w:sdt>
  <w:p w:rsidR="00F020F3" w:rsidRDefault="00F020F3">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13B0" w:rsidRDefault="009713B0">
      <w:r>
        <w:separator/>
      </w:r>
    </w:p>
  </w:footnote>
  <w:footnote w:type="continuationSeparator" w:id="0">
    <w:p w:rsidR="009713B0" w:rsidRDefault="009713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7"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7"/>
  </w:num>
  <w:num w:numId="3">
    <w:abstractNumId w:val="4"/>
  </w:num>
  <w:num w:numId="4">
    <w:abstractNumId w:val="1"/>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57A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6EA3"/>
    <w:rsid w:val="000B6FB0"/>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3B91"/>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23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5CAF"/>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2FEC"/>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B64BB"/>
    <w:rsid w:val="005B6D84"/>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641"/>
    <w:rsid w:val="00667F91"/>
    <w:rsid w:val="006700B4"/>
    <w:rsid w:val="0067189A"/>
    <w:rsid w:val="00671B56"/>
    <w:rsid w:val="00672920"/>
    <w:rsid w:val="006733C1"/>
    <w:rsid w:val="00673A40"/>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0BF0"/>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1FA6"/>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E7F"/>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48E2"/>
    <w:rsid w:val="00955863"/>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3B0"/>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600"/>
    <w:rsid w:val="00B515D4"/>
    <w:rsid w:val="00B51959"/>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5763"/>
    <w:rsid w:val="00C46800"/>
    <w:rsid w:val="00C47018"/>
    <w:rsid w:val="00C47059"/>
    <w:rsid w:val="00C472BB"/>
    <w:rsid w:val="00C47DDD"/>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868"/>
    <w:rsid w:val="00CF5965"/>
    <w:rsid w:val="00CF5C74"/>
    <w:rsid w:val="00CF69C5"/>
    <w:rsid w:val="00CF6C41"/>
    <w:rsid w:val="00D00F9A"/>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FC3"/>
    <w:rsid w:val="00D75020"/>
    <w:rsid w:val="00D754E1"/>
    <w:rsid w:val="00D75C57"/>
    <w:rsid w:val="00D77FB9"/>
    <w:rsid w:val="00D8072E"/>
    <w:rsid w:val="00D8194D"/>
    <w:rsid w:val="00D82094"/>
    <w:rsid w:val="00D82B5B"/>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0F3"/>
    <w:rsid w:val="00F0282C"/>
    <w:rsid w:val="00F04397"/>
    <w:rsid w:val="00F04AFE"/>
    <w:rsid w:val="00F05A8B"/>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7DF2906"/>
    <w:rsid w:val="09EA05ED"/>
    <w:rsid w:val="0A8F6E15"/>
    <w:rsid w:val="0C9A711D"/>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91588A"/>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F9B7AE0"/>
    <w:rsid w:val="5FE7FAD5"/>
    <w:rsid w:val="5FF4247C"/>
    <w:rsid w:val="618D6C67"/>
    <w:rsid w:val="639C1F53"/>
    <w:rsid w:val="639C7CF6"/>
    <w:rsid w:val="64095E7F"/>
    <w:rsid w:val="64414325"/>
    <w:rsid w:val="658C7FE7"/>
    <w:rsid w:val="66411775"/>
    <w:rsid w:val="669D265B"/>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9DED36"/>
  <w15:docId w15:val="{9B17E2AE-2F04-466E-83EF-B349B8FB9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0">
    <w:name w:val="修订1"/>
    <w:hidden/>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15046">
      <w:bodyDiv w:val="1"/>
      <w:marLeft w:val="0"/>
      <w:marRight w:val="0"/>
      <w:marTop w:val="0"/>
      <w:marBottom w:val="0"/>
      <w:divBdr>
        <w:top w:val="none" w:sz="0" w:space="0" w:color="auto"/>
        <w:left w:val="none" w:sz="0" w:space="0" w:color="auto"/>
        <w:bottom w:val="none" w:sz="0" w:space="0" w:color="auto"/>
        <w:right w:val="none" w:sz="0" w:space="0" w:color="auto"/>
      </w:divBdr>
    </w:div>
    <w:div w:id="59523819">
      <w:bodyDiv w:val="1"/>
      <w:marLeft w:val="0"/>
      <w:marRight w:val="0"/>
      <w:marTop w:val="0"/>
      <w:marBottom w:val="0"/>
      <w:divBdr>
        <w:top w:val="none" w:sz="0" w:space="0" w:color="auto"/>
        <w:left w:val="none" w:sz="0" w:space="0" w:color="auto"/>
        <w:bottom w:val="none" w:sz="0" w:space="0" w:color="auto"/>
        <w:right w:val="none" w:sz="0" w:space="0" w:color="auto"/>
      </w:divBdr>
      <w:divsChild>
        <w:div w:id="119424861">
          <w:marLeft w:val="0"/>
          <w:marRight w:val="0"/>
          <w:marTop w:val="0"/>
          <w:marBottom w:val="0"/>
          <w:divBdr>
            <w:top w:val="none" w:sz="0" w:space="0" w:color="auto"/>
            <w:left w:val="none" w:sz="0" w:space="0" w:color="auto"/>
            <w:bottom w:val="none" w:sz="0" w:space="0" w:color="auto"/>
            <w:right w:val="none" w:sz="0" w:space="0" w:color="auto"/>
          </w:divBdr>
          <w:divsChild>
            <w:div w:id="1971590284">
              <w:marLeft w:val="0"/>
              <w:marRight w:val="0"/>
              <w:marTop w:val="0"/>
              <w:marBottom w:val="0"/>
              <w:divBdr>
                <w:top w:val="none" w:sz="0" w:space="0" w:color="auto"/>
                <w:left w:val="none" w:sz="0" w:space="0" w:color="auto"/>
                <w:bottom w:val="none" w:sz="0" w:space="0" w:color="auto"/>
                <w:right w:val="none" w:sz="0" w:space="0" w:color="auto"/>
              </w:divBdr>
            </w:div>
            <w:div w:id="968130029">
              <w:marLeft w:val="0"/>
              <w:marRight w:val="0"/>
              <w:marTop w:val="240"/>
              <w:marBottom w:val="0"/>
              <w:divBdr>
                <w:top w:val="none" w:sz="0" w:space="0" w:color="auto"/>
                <w:left w:val="none" w:sz="0" w:space="0" w:color="auto"/>
                <w:bottom w:val="none" w:sz="0" w:space="0" w:color="auto"/>
                <w:right w:val="none" w:sz="0" w:space="0" w:color="auto"/>
              </w:divBdr>
            </w:div>
            <w:div w:id="1398480024">
              <w:marLeft w:val="0"/>
              <w:marRight w:val="0"/>
              <w:marTop w:val="240"/>
              <w:marBottom w:val="0"/>
              <w:divBdr>
                <w:top w:val="none" w:sz="0" w:space="0" w:color="auto"/>
                <w:left w:val="none" w:sz="0" w:space="0" w:color="auto"/>
                <w:bottom w:val="none" w:sz="0" w:space="0" w:color="auto"/>
                <w:right w:val="none" w:sz="0" w:space="0" w:color="auto"/>
              </w:divBdr>
              <w:divsChild>
                <w:div w:id="347491148">
                  <w:marLeft w:val="90"/>
                  <w:marRight w:val="0"/>
                  <w:marTop w:val="0"/>
                  <w:marBottom w:val="0"/>
                  <w:divBdr>
                    <w:top w:val="none" w:sz="0" w:space="0" w:color="auto"/>
                    <w:left w:val="none" w:sz="0" w:space="0" w:color="auto"/>
                    <w:bottom w:val="none" w:sz="0" w:space="0" w:color="auto"/>
                    <w:right w:val="none" w:sz="0" w:space="0" w:color="auto"/>
                  </w:divBdr>
                  <w:divsChild>
                    <w:div w:id="672687386">
                      <w:marLeft w:val="-60"/>
                      <w:marRight w:val="0"/>
                      <w:marTop w:val="0"/>
                      <w:marBottom w:val="0"/>
                      <w:divBdr>
                        <w:top w:val="none" w:sz="0" w:space="0" w:color="auto"/>
                        <w:left w:val="none" w:sz="0" w:space="0" w:color="auto"/>
                        <w:bottom w:val="none" w:sz="0" w:space="0" w:color="auto"/>
                        <w:right w:val="none" w:sz="0" w:space="0" w:color="auto"/>
                      </w:divBdr>
                    </w:div>
                    <w:div w:id="871498391">
                      <w:marLeft w:val="-60"/>
                      <w:marRight w:val="0"/>
                      <w:marTop w:val="0"/>
                      <w:marBottom w:val="0"/>
                      <w:divBdr>
                        <w:top w:val="none" w:sz="0" w:space="0" w:color="auto"/>
                        <w:left w:val="none" w:sz="0" w:space="0" w:color="auto"/>
                        <w:bottom w:val="none" w:sz="0" w:space="0" w:color="auto"/>
                        <w:right w:val="none" w:sz="0" w:space="0" w:color="auto"/>
                      </w:divBdr>
                    </w:div>
                    <w:div w:id="1817800335">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0951752">
      <w:bodyDiv w:val="1"/>
      <w:marLeft w:val="0"/>
      <w:marRight w:val="0"/>
      <w:marTop w:val="0"/>
      <w:marBottom w:val="0"/>
      <w:divBdr>
        <w:top w:val="none" w:sz="0" w:space="0" w:color="auto"/>
        <w:left w:val="none" w:sz="0" w:space="0" w:color="auto"/>
        <w:bottom w:val="none" w:sz="0" w:space="0" w:color="auto"/>
        <w:right w:val="none" w:sz="0" w:space="0" w:color="auto"/>
      </w:divBdr>
    </w:div>
    <w:div w:id="11686420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3152</TotalTime>
  <Pages>41</Pages>
  <Words>2853</Words>
  <Characters>16265</Characters>
  <Application>Microsoft Office Word</Application>
  <DocSecurity>0</DocSecurity>
  <Lines>135</Lines>
  <Paragraphs>38</Paragraphs>
  <ScaleCrop>false</ScaleCrop>
  <Company>Microsoft</Company>
  <LinksUpToDate>false</LinksUpToDate>
  <CharactersWithSpaces>19080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581</cp:revision>
  <cp:lastPrinted>2025-04-24T00:12:00Z</cp:lastPrinted>
  <dcterms:created xsi:type="dcterms:W3CDTF">2023-04-16T11:33:00Z</dcterms:created>
  <dcterms:modified xsi:type="dcterms:W3CDTF">2026-04-15T10:04:00Z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AB6060C678A642A689B8585AA1686E0B_13</vt:lpwstr>
  </property>
  <property fmtid="{D5CDD505-2E9C-101B-9397-08002B2CF9AE}" pid="4" name="KSOTemplateDocerSaveRecord">
    <vt:lpwstr>eyJoZGlkIjoiNjU0MzJlMGRkMGMyY2UzNzhkNzc2Yjc0NzE1YTJmYmUiLCJ1c2VySWQiOiIxMDQzMzEwNTUzIn0=</vt:lpwstr>
  </property>
</Properties>
</file>