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CC94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CA67505">
            <w:pPr>
              <w:pStyle w:val="20"/>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bookmarkStart w:id="238" w:name="_GoBack"/>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68E3F8B6">
            <w:pPr>
              <w:pStyle w:val="20"/>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91.120.25</w:t>
            </w:r>
            <w:r>
              <w:rPr>
                <w:rFonts w:ascii="黑体" w:hAnsi="黑体" w:eastAsia="黑体"/>
                <w:color w:val="auto"/>
                <w:sz w:val="21"/>
                <w:szCs w:val="21"/>
              </w:rPr>
              <w:fldChar w:fldCharType="end"/>
            </w:r>
            <w:bookmarkEnd w:id="0"/>
          </w:p>
        </w:tc>
      </w:tr>
      <w:tr w14:paraId="2D521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5A2250">
            <w:pPr>
              <w:pStyle w:val="20"/>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7AA8FB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9E31508">
                  <w:pPr>
                    <w:pStyle w:val="53"/>
                    <w:framePr w:wrap="notBeside" w:vAnchor="page" w:hAnchor="page" w:x="1372" w:y="568"/>
                    <w:ind w:left="420" w:right="624"/>
                    <w:rPr>
                      <w:rFonts w:hint="eastAsia" w:ascii="宋体" w:hAnsi="宋体"/>
                      <w:color w:val="auto"/>
                      <w:sz w:val="28"/>
                      <w:szCs w:val="28"/>
                    </w:rPr>
                  </w:pPr>
                  <w:r>
                    <w:rPr>
                      <w:color w:val="auto"/>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sz w:val="21"/>
                      <w:szCs w:val="21"/>
                    </w:rPr>
                    <w:t xml:space="preserve"> </w:t>
                  </w:r>
                  <w:r>
                    <w:rPr>
                      <w:color w:val="auto"/>
                    </w:rPr>
                    <w:fldChar w:fldCharType="begin">
                      <w:ffData>
                        <w:name w:val="c1"/>
                        <w:enabled/>
                        <w:calcOnExit w:val="0"/>
                        <w:textInput>
                          <w:maxLength w:val="7"/>
                        </w:textInput>
                      </w:ffData>
                    </w:fldChar>
                  </w:r>
                  <w:bookmarkStart w:id="1" w:name="c1"/>
                  <w:r>
                    <w:rPr>
                      <w:color w:val="auto"/>
                    </w:rPr>
                    <w:instrText xml:space="preserve"> FORMTEXT </w:instrText>
                  </w:r>
                  <w:r>
                    <w:rPr>
                      <w:color w:val="auto"/>
                    </w:rPr>
                    <w:fldChar w:fldCharType="separate"/>
                  </w:r>
                  <w:r>
                    <w:rPr>
                      <w:color w:val="auto"/>
                    </w:rPr>
                    <w:t>GXAS</w:t>
                  </w:r>
                  <w:r>
                    <w:rPr>
                      <w:color w:val="auto"/>
                    </w:rPr>
                    <w:fldChar w:fldCharType="end"/>
                  </w:r>
                  <w:bookmarkEnd w:id="1"/>
                </w:p>
              </w:tc>
            </w:tr>
          </w:tbl>
          <w:p w14:paraId="25579DEC">
            <w:pPr>
              <w:pStyle w:val="20"/>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2"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P 15</w:t>
            </w:r>
            <w:r>
              <w:rPr>
                <w:rFonts w:ascii="黑体" w:hAnsi="黑体" w:eastAsia="黑体"/>
                <w:color w:val="auto"/>
                <w:sz w:val="21"/>
                <w:szCs w:val="21"/>
              </w:rPr>
              <w:fldChar w:fldCharType="end"/>
            </w:r>
            <w:bookmarkEnd w:id="2"/>
          </w:p>
        </w:tc>
      </w:tr>
    </w:tbl>
    <w:p w14:paraId="42233705">
      <w:pPr>
        <w:pStyle w:val="54"/>
        <w:framePr w:w="9639" w:h="624" w:hRule="exact" w:hSpace="181" w:vSpace="181" w:wrap="around" w:hAnchor="page" w:x="1305" w:y="2269"/>
        <w:rPr>
          <w:rFonts w:hint="eastAsia" w:ascii="黑体" w:hAnsi="黑体" w:eastAsia="黑体"/>
          <w:b w:val="0"/>
          <w:bCs w:val="0"/>
          <w:color w:val="auto"/>
          <w:w w:val="100"/>
          <w:sz w:val="48"/>
          <w:szCs w:val="48"/>
        </w:rPr>
      </w:pPr>
      <w:bookmarkStart w:id="3" w:name="_Hlk26473981"/>
      <w:r>
        <w:rPr>
          <w:rFonts w:ascii="黑体" w:eastAsia="黑体"/>
          <w:b w:val="0"/>
          <w:color w:val="auto"/>
          <w:w w:val="100"/>
          <w:sz w:val="48"/>
        </w:rPr>
        <w:fldChar w:fldCharType="begin">
          <w:ffData>
            <w:name w:val="c2"/>
            <w:enabled/>
            <w:calcOnExit w:val="0"/>
            <w:textInput>
              <w:default w:val="团体标准"/>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团体标准</w:t>
      </w:r>
      <w:r>
        <w:rPr>
          <w:rFonts w:ascii="黑体" w:eastAsia="黑体"/>
          <w:b w:val="0"/>
          <w:color w:val="auto"/>
          <w:w w:val="100"/>
          <w:sz w:val="48"/>
        </w:rPr>
        <w:fldChar w:fldCharType="end"/>
      </w:r>
      <w:bookmarkEnd w:id="4"/>
    </w:p>
    <w:bookmarkEnd w:id="3"/>
    <w:p w14:paraId="5C02A5AA">
      <w:pPr>
        <w:pStyle w:val="199"/>
        <w:framePr/>
        <w:rPr>
          <w:color w:val="auto"/>
        </w:rPr>
      </w:pPr>
      <w:r>
        <w:rPr>
          <w:color w:val="auto"/>
        </w:rPr>
        <w:t>T/</w:t>
      </w:r>
      <w:r>
        <w:rPr>
          <w:color w:val="auto"/>
        </w:rPr>
        <w:fldChar w:fldCharType="begin">
          <w:ffData>
            <w:name w:val="文字1"/>
            <w:enabled/>
            <w:calcOnExit w:val="0"/>
            <w:textInput>
              <w:default w:val="XXX"/>
            </w:textInput>
          </w:ffData>
        </w:fldChar>
      </w:r>
      <w:bookmarkStart w:id="5" w:name="文字1"/>
      <w:r>
        <w:rPr>
          <w:color w:val="auto"/>
        </w:rPr>
        <w:instrText xml:space="preserve"> FORMTEXT </w:instrText>
      </w:r>
      <w:r>
        <w:rPr>
          <w:color w:val="auto"/>
        </w:rPr>
        <w:fldChar w:fldCharType="separate"/>
      </w:r>
      <w:r>
        <w:rPr>
          <w:color w:val="auto"/>
        </w:rPr>
        <w:t>GXAS</w:t>
      </w:r>
      <w:r>
        <w:rPr>
          <w:color w:val="auto"/>
        </w:rPr>
        <w:fldChar w:fldCharType="end"/>
      </w:r>
      <w:bookmarkEnd w:id="5"/>
      <w:r>
        <w:rPr>
          <w:color w:val="auto"/>
        </w:rPr>
        <w:t xml:space="preserve"> </w:t>
      </w:r>
      <w:r>
        <w:rPr>
          <w:color w:val="auto"/>
        </w:rPr>
        <w:fldChar w:fldCharType="begin">
          <w:ffData>
            <w:name w:val="NSTD_CODE_F"/>
            <w:enabled/>
            <w:calcOnExit w:val="0"/>
            <w:textInput>
              <w:default w:val="XXXX"/>
            </w:textInput>
          </w:ffData>
        </w:fldChar>
      </w:r>
      <w:bookmarkStart w:id="6" w:name="NSTD_CODE_F"/>
      <w:r>
        <w:rPr>
          <w:color w:val="auto"/>
        </w:rPr>
        <w:instrText xml:space="preserve"> FORMTEXT </w:instrText>
      </w:r>
      <w:r>
        <w:rPr>
          <w:color w:val="auto"/>
        </w:rPr>
        <w:fldChar w:fldCharType="separate"/>
      </w:r>
      <w:r>
        <w:rPr>
          <w:color w:val="auto"/>
        </w:rPr>
        <w:t>XXXX</w:t>
      </w:r>
      <w:r>
        <w:rPr>
          <w:color w:val="auto"/>
        </w:rPr>
        <w:fldChar w:fldCharType="end"/>
      </w:r>
      <w:bookmarkEnd w:id="6"/>
      <w:r>
        <w:rPr>
          <w:rFonts w:hAnsi="黑体"/>
          <w:color w:val="auto"/>
        </w:rPr>
        <w:t>—</w:t>
      </w:r>
      <w:r>
        <w:rPr>
          <w:color w:val="auto"/>
        </w:rPr>
        <w:fldChar w:fldCharType="begin">
          <w:ffData>
            <w:name w:val="NSTD_CODE_B"/>
            <w:enabled/>
            <w:calcOnExit w:val="0"/>
            <w:textInput>
              <w:default w:val="XXXX"/>
            </w:textInput>
          </w:ffData>
        </w:fldChar>
      </w:r>
      <w:bookmarkStart w:id="7" w:name="NSTD_CODE_B"/>
      <w:r>
        <w:rPr>
          <w:color w:val="auto"/>
        </w:rPr>
        <w:instrText xml:space="preserve"> FORMTEXT </w:instrText>
      </w:r>
      <w:r>
        <w:rPr>
          <w:color w:val="auto"/>
        </w:rPr>
        <w:fldChar w:fldCharType="separate"/>
      </w:r>
      <w:r>
        <w:rPr>
          <w:color w:val="auto"/>
        </w:rPr>
        <w:t>XXXX</w:t>
      </w:r>
      <w:r>
        <w:rPr>
          <w:color w:val="auto"/>
        </w:rPr>
        <w:fldChar w:fldCharType="end"/>
      </w:r>
      <w:bookmarkEnd w:id="7"/>
    </w:p>
    <w:p w14:paraId="6C9A4558">
      <w:pPr>
        <w:pStyle w:val="200"/>
        <w:framePr/>
        <w:rPr>
          <w:rFonts w:hint="eastAsia" w:hAnsi="黑体"/>
          <w:color w:val="auto"/>
        </w:rPr>
      </w:pPr>
      <w:r>
        <w:rPr>
          <w:rFonts w:hAnsi="黑体"/>
          <w:color w:val="auto"/>
        </w:rPr>
        <w:fldChar w:fldCharType="begin">
          <w:ffData>
            <w:name w:val="OSTD_CODE"/>
            <w:enabled/>
            <w:calcOnExit w:val="0"/>
            <w:textInput/>
          </w:ffData>
        </w:fldChar>
      </w:r>
      <w:bookmarkStart w:id="8"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8"/>
    </w:p>
    <w:p w14:paraId="756331F5">
      <w:pPr>
        <w:spacing w:line="240" w:lineRule="auto"/>
        <w:rPr>
          <w:rFonts w:hint="eastAsia" w:ascii="黑体" w:hAnsi="黑体" w:eastAsia="黑体"/>
          <w:color w:val="auto"/>
          <w:kern w:val="0"/>
          <w:sz w:val="10"/>
          <w:szCs w:val="10"/>
        </w:rPr>
      </w:pPr>
      <w:r>
        <w:rPr>
          <w:rFonts w:hint="eastAsia" w:ascii="黑体" w:hAnsi="黑体" w:eastAsia="黑体"/>
          <w:color w:val="auto"/>
          <w:kern w:val="0"/>
          <w:sz w:val="10"/>
          <w:szCs w:val="10"/>
        </w:rPr>
        <w:pict>
          <v:line id="直接连接符 73" o:spid="_x0000_s1027"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798080E8">
      <w:pPr>
        <w:pStyle w:val="54"/>
        <w:framePr w:w="9639" w:h="6976" w:hRule="exact" w:hSpace="0" w:vSpace="0" w:wrap="around" w:hAnchor="page" w:y="6408"/>
        <w:jc w:val="center"/>
        <w:rPr>
          <w:rFonts w:hint="eastAsia" w:ascii="黑体" w:hAnsi="黑体" w:eastAsia="黑体"/>
          <w:b w:val="0"/>
          <w:bCs w:val="0"/>
          <w:color w:val="auto"/>
          <w:w w:val="100"/>
        </w:rPr>
      </w:pPr>
    </w:p>
    <w:p w14:paraId="51DE3CB1">
      <w:pPr>
        <w:pStyle w:val="201"/>
        <w:framePr w:h="6974" w:hRule="exact" w:wrap="around" w:x="1419" w:anchorLock="1"/>
        <w:rPr>
          <w:rFonts w:hint="eastAsia"/>
          <w:color w:val="auto"/>
        </w:rPr>
      </w:pPr>
      <w:r>
        <w:rPr>
          <w:color w:val="auto"/>
        </w:rPr>
        <w:fldChar w:fldCharType="begin">
          <w:ffData>
            <w:name w:val="CSTD_NAME"/>
            <w:enabled/>
            <w:calcOnExit w:val="0"/>
            <w:textInput>
              <w:default w:val="点击此处添加标准名称"/>
            </w:textInput>
          </w:ffData>
        </w:fldChar>
      </w:r>
      <w:bookmarkStart w:id="9" w:name="CSTD_NAME"/>
      <w:r>
        <w:rPr>
          <w:color w:val="auto"/>
        </w:rPr>
        <w:instrText xml:space="preserve"> FORMTEXT </w:instrText>
      </w:r>
      <w:r>
        <w:rPr>
          <w:color w:val="auto"/>
        </w:rPr>
        <w:fldChar w:fldCharType="separate"/>
      </w:r>
      <w:r>
        <w:rPr>
          <w:rFonts w:hint="eastAsia"/>
          <w:color w:val="auto"/>
        </w:rPr>
        <w:t>地震安全性评价现场工作技术规范</w:t>
      </w:r>
      <w:r>
        <w:rPr>
          <w:color w:val="auto"/>
        </w:rPr>
        <w:fldChar w:fldCharType="end"/>
      </w:r>
      <w:bookmarkEnd w:id="9"/>
    </w:p>
    <w:p w14:paraId="55CB283E">
      <w:pPr>
        <w:framePr w:w="9639" w:h="6974" w:hRule="exact" w:wrap="around" w:vAnchor="page" w:hAnchor="page" w:x="1419" w:y="6408" w:anchorLock="1"/>
        <w:ind w:left="-1418"/>
        <w:rPr>
          <w:color w:val="auto"/>
        </w:rPr>
      </w:pPr>
    </w:p>
    <w:p w14:paraId="6DD3B979">
      <w:pPr>
        <w:pStyle w:val="129"/>
        <w:framePr w:w="9639" w:h="6974" w:hRule="exact" w:wrap="around" w:vAnchor="page" w:hAnchor="page" w:x="1419" w:y="6408" w:anchorLock="1"/>
        <w:textAlignment w:val="bottom"/>
        <w:rPr>
          <w:rFonts w:hint="eastAsia" w:ascii="黑体" w:hAnsi="黑体" w:eastAsia="黑体"/>
          <w:color w:val="auto"/>
          <w:szCs w:val="28"/>
        </w:rPr>
      </w:pPr>
      <w:r>
        <w:rPr>
          <w:rFonts w:ascii="黑体" w:hAnsi="黑体" w:eastAsia="黑体"/>
          <w:color w:val="auto"/>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color w:val="auto"/>
          <w:szCs w:val="28"/>
        </w:rPr>
        <w:instrText xml:space="preserve"> FORMTEXT </w:instrText>
      </w:r>
      <w:r>
        <w:rPr>
          <w:rFonts w:ascii="黑体" w:hAnsi="黑体" w:eastAsia="黑体"/>
          <w:color w:val="auto"/>
          <w:szCs w:val="28"/>
        </w:rPr>
        <w:fldChar w:fldCharType="separate"/>
      </w:r>
      <w:r>
        <w:rPr>
          <w:rFonts w:hint="eastAsia" w:ascii="黑体" w:hAnsi="黑体" w:eastAsia="黑体"/>
          <w:color w:val="auto"/>
          <w:szCs w:val="28"/>
        </w:rPr>
        <w:t>Technical specification for field work of seismic safety evaluation</w:t>
      </w:r>
      <w:r>
        <w:rPr>
          <w:rFonts w:ascii="黑体" w:hAnsi="黑体" w:eastAsia="黑体"/>
          <w:color w:val="auto"/>
          <w:szCs w:val="28"/>
        </w:rPr>
        <w:fldChar w:fldCharType="end"/>
      </w:r>
      <w:bookmarkEnd w:id="10"/>
    </w:p>
    <w:p w14:paraId="6E7F46D3">
      <w:pPr>
        <w:framePr w:w="9639" w:h="6974" w:hRule="exact" w:wrap="around" w:vAnchor="page" w:hAnchor="page" w:x="1419" w:y="6408" w:anchorLock="1"/>
        <w:spacing w:line="760" w:lineRule="exact"/>
        <w:ind w:left="-1418"/>
        <w:rPr>
          <w:color w:val="auto"/>
        </w:rPr>
      </w:pPr>
    </w:p>
    <w:p w14:paraId="23CCEDD6">
      <w:pPr>
        <w:pStyle w:val="129"/>
        <w:framePr w:w="9639" w:h="6974" w:hRule="exact" w:wrap="around" w:vAnchor="page" w:hAnchor="page" w:x="1419" w:y="6408" w:anchorLock="1"/>
        <w:textAlignment w:val="bottom"/>
        <w:rPr>
          <w:rFonts w:eastAsia="黑体"/>
          <w:color w:val="auto"/>
          <w:szCs w:val="28"/>
        </w:rPr>
      </w:pPr>
    </w:p>
    <w:p w14:paraId="07CCF4DA">
      <w:pPr>
        <w:pStyle w:val="129"/>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11"/>
    </w:p>
    <w:p w14:paraId="5CD9F4F5">
      <w:pPr>
        <w:pStyle w:val="129"/>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2"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2"/>
    </w:p>
    <w:p w14:paraId="309749D3">
      <w:pPr>
        <w:pStyle w:val="129"/>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3"/>
    </w:p>
    <w:p w14:paraId="36F7EFEE">
      <w:pPr>
        <w:pStyle w:val="197"/>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4"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5"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6"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6"/>
      <w:r>
        <w:rPr>
          <w:rFonts w:hint="eastAsia"/>
          <w:color w:val="auto"/>
        </w:rPr>
        <w:t>发布</w:t>
      </w:r>
    </w:p>
    <w:p w14:paraId="60BC53DA">
      <w:pPr>
        <w:pStyle w:val="198"/>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7"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8"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9"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9"/>
      <w:r>
        <w:rPr>
          <w:rFonts w:hint="eastAsia"/>
          <w:color w:val="auto"/>
        </w:rPr>
        <w:t>实施</w:t>
      </w:r>
    </w:p>
    <w:p w14:paraId="33E9BC98">
      <w:pPr>
        <w:pStyle w:val="155"/>
        <w:framePr w:h="584" w:hRule="exact" w:hSpace="181" w:vSpace="181" w:wrap="around" w:y="14800"/>
        <w:rPr>
          <w:rFonts w:hint="eastAsia" w:hAnsi="黑体"/>
          <w:color w:val="auto"/>
        </w:rPr>
      </w:pPr>
      <w:r>
        <w:rPr>
          <w:rFonts w:hAnsi="黑体"/>
          <w:color w:val="auto"/>
          <w:w w:val="100"/>
          <w:sz w:val="28"/>
        </w:rPr>
        <w:fldChar w:fldCharType="begin">
          <w:ffData>
            <w:name w:val="fm"/>
            <w:enabled/>
            <w:calcOnExit w:val="0"/>
            <w:textInput/>
          </w:ffData>
        </w:fldChar>
      </w:r>
      <w:bookmarkStart w:id="20"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广西标准化协会</w:t>
      </w:r>
      <w:r>
        <w:rPr>
          <w:rFonts w:hAnsi="黑体"/>
          <w:color w:val="auto"/>
          <w:w w:val="100"/>
          <w:sz w:val="28"/>
        </w:rPr>
        <w:fldChar w:fldCharType="end"/>
      </w:r>
      <w:bookmarkEnd w:id="20"/>
      <w:r>
        <w:rPr>
          <w:rFonts w:ascii="Times New Roman"/>
          <w:color w:val="auto"/>
          <w:w w:val="100"/>
          <w:sz w:val="28"/>
        </w:rPr>
        <w:t>  </w:t>
      </w:r>
      <w:r>
        <w:rPr>
          <w:rStyle w:val="233"/>
          <w:rFonts w:hint="eastAsia" w:hAnsi="黑体"/>
          <w:color w:val="auto"/>
          <w:position w:val="0"/>
        </w:rPr>
        <w:t>发</w:t>
      </w:r>
      <w:r>
        <w:rPr>
          <w:rStyle w:val="233"/>
          <w:rFonts w:hint="eastAsia" w:hAnsi="黑体"/>
          <w:color w:val="auto"/>
          <w:spacing w:val="0"/>
          <w:position w:val="0"/>
        </w:rPr>
        <w:t>布</w:t>
      </w:r>
    </w:p>
    <w:p w14:paraId="28F4EA5D">
      <w:pPr>
        <w:rPr>
          <w:rFonts w:hint="eastAsia"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rP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21B84272">
      <w:pPr>
        <w:pStyle w:val="95"/>
        <w:spacing w:after="360"/>
        <w:rPr>
          <w:color w:val="auto"/>
        </w:rPr>
      </w:pPr>
      <w:bookmarkStart w:id="21" w:name="BookMark1"/>
      <w:bookmarkStart w:id="22" w:name="_Toc225514715"/>
      <w:bookmarkStart w:id="23" w:name="_Toc227048075"/>
      <w:bookmarkStart w:id="24" w:name="_Toc224899492"/>
      <w:bookmarkStart w:id="25" w:name="_Toc228292180"/>
      <w:bookmarkStart w:id="26" w:name="_Toc227048090"/>
      <w:bookmarkStart w:id="27" w:name="_Toc225318560"/>
      <w:bookmarkStart w:id="28" w:name="_Toc225318606"/>
      <w:r>
        <w:rPr>
          <w:rFonts w:hint="eastAsia"/>
          <w:color w:val="auto"/>
          <w:spacing w:val="320"/>
        </w:rPr>
        <w:t>目</w:t>
      </w:r>
      <w:r>
        <w:rPr>
          <w:rFonts w:hint="eastAsia"/>
          <w:color w:val="auto"/>
        </w:rPr>
        <w:t>次</w:t>
      </w:r>
    </w:p>
    <w:p w14:paraId="6C3A23DB">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TOC \o "1-1" \h \t "标准文件_一级条标题,2,标准文件_附录一级条标题,2," </w:instrText>
      </w:r>
      <w:r>
        <w:rPr>
          <w:color w:val="auto"/>
        </w:rPr>
        <w:fldChar w:fldCharType="separate"/>
      </w:r>
      <w:r>
        <w:rPr>
          <w:color w:val="auto"/>
        </w:rPr>
        <w:fldChar w:fldCharType="begin"/>
      </w:r>
      <w:r>
        <w:rPr>
          <w:color w:val="auto"/>
        </w:rPr>
        <w:instrText xml:space="preserve"> HYPERLINK \l "_Toc228350757" </w:instrText>
      </w:r>
      <w:r>
        <w:rPr>
          <w:color w:val="auto"/>
        </w:rPr>
        <w:fldChar w:fldCharType="separate"/>
      </w:r>
      <w:r>
        <w:rPr>
          <w:rStyle w:val="35"/>
          <w:rFonts w:hint="eastAsia"/>
          <w:color w:val="auto"/>
        </w:rPr>
        <w:t>前言</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_Toc228350757 \h</w:instrText>
      </w:r>
      <w:r>
        <w:rPr>
          <w:rFonts w:hint="eastAsia"/>
          <w:color w:val="auto"/>
        </w:rPr>
        <w:instrText xml:space="preserve"> </w:instrText>
      </w:r>
      <w:r>
        <w:rPr>
          <w:rFonts w:hint="eastAsia"/>
          <w:color w:val="auto"/>
        </w:rPr>
        <w:fldChar w:fldCharType="separate"/>
      </w:r>
      <w:r>
        <w:rPr>
          <w:color w:val="auto"/>
        </w:rPr>
        <w:t>II</w:t>
      </w:r>
      <w:r>
        <w:rPr>
          <w:rFonts w:hint="eastAsia"/>
          <w:color w:val="auto"/>
        </w:rPr>
        <w:fldChar w:fldCharType="end"/>
      </w:r>
      <w:r>
        <w:rPr>
          <w:rFonts w:hint="eastAsia"/>
          <w:color w:val="auto"/>
        </w:rPr>
        <w:fldChar w:fldCharType="end"/>
      </w:r>
    </w:p>
    <w:p w14:paraId="0D7E8278">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"_Toc228350758" </w:instrText>
      </w:r>
      <w:r>
        <w:rPr>
          <w:color w:val="auto"/>
        </w:rPr>
        <w:fldChar w:fldCharType="separate"/>
      </w:r>
      <w:r>
        <w:rPr>
          <w:rStyle w:val="35"/>
          <w:rFonts w:hint="eastAsia"/>
          <w:color w:val="auto"/>
        </w:rPr>
        <w:t>1</w:t>
      </w:r>
      <w:r>
        <w:rPr>
          <w:rStyle w:val="35"/>
          <w:color w:val="auto"/>
        </w:rPr>
        <w:t xml:space="preserve"> </w:t>
      </w:r>
      <w:r>
        <w:rPr>
          <w:rStyle w:val="35"/>
          <w:rFonts w:hint="eastAsia"/>
          <w:color w:val="auto"/>
        </w:rPr>
        <w:t xml:space="preserve"> 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_Toc228350758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495FFD73">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"_Toc228350759" </w:instrText>
      </w:r>
      <w:r>
        <w:rPr>
          <w:color w:val="auto"/>
        </w:rPr>
        <w:fldChar w:fldCharType="separate"/>
      </w:r>
      <w:r>
        <w:rPr>
          <w:rStyle w:val="35"/>
          <w:rFonts w:hint="eastAsia"/>
          <w:color w:val="auto"/>
        </w:rPr>
        <w:t>2</w:t>
      </w:r>
      <w:r>
        <w:rPr>
          <w:rStyle w:val="35"/>
          <w:color w:val="auto"/>
        </w:rPr>
        <w:t xml:space="preserve"> </w:t>
      </w:r>
      <w:r>
        <w:rPr>
          <w:rStyle w:val="35"/>
          <w:rFonts w:hint="eastAsia"/>
          <w:color w:val="auto"/>
        </w:rPr>
        <w:t xml:space="preserve"> 规范性引用文件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_Toc228350759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028B060A">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"_Toc228350760" </w:instrText>
      </w:r>
      <w:r>
        <w:rPr>
          <w:color w:val="auto"/>
        </w:rPr>
        <w:fldChar w:fldCharType="separate"/>
      </w:r>
      <w:r>
        <w:rPr>
          <w:rStyle w:val="35"/>
          <w:rFonts w:hint="eastAsia"/>
          <w:color w:val="auto"/>
        </w:rPr>
        <w:t>3</w:t>
      </w:r>
      <w:r>
        <w:rPr>
          <w:rStyle w:val="35"/>
          <w:color w:val="auto"/>
        </w:rPr>
        <w:t xml:space="preserve"> </w:t>
      </w:r>
      <w:r>
        <w:rPr>
          <w:rStyle w:val="35"/>
          <w:rFonts w:hint="eastAsia"/>
          <w:color w:val="auto"/>
        </w:rPr>
        <w:t xml:space="preserve"> 术语和定义</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_Toc228350760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2A735845">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"_Toc228350761" </w:instrText>
      </w:r>
      <w:r>
        <w:rPr>
          <w:color w:val="auto"/>
        </w:rPr>
        <w:fldChar w:fldCharType="separate"/>
      </w:r>
      <w:r>
        <w:rPr>
          <w:rStyle w:val="35"/>
          <w:rFonts w:hint="eastAsia"/>
          <w:color w:val="auto"/>
        </w:rPr>
        <w:t>4</w:t>
      </w:r>
      <w:r>
        <w:rPr>
          <w:rStyle w:val="35"/>
          <w:color w:val="auto"/>
        </w:rPr>
        <w:t xml:space="preserve"> </w:t>
      </w:r>
      <w:r>
        <w:rPr>
          <w:rStyle w:val="35"/>
          <w:rFonts w:hint="eastAsia"/>
          <w:color w:val="auto"/>
        </w:rPr>
        <w:t xml:space="preserve"> 工作准备</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_Toc228350761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260E101C">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"_Toc228350762" </w:instrText>
      </w:r>
      <w:r>
        <w:rPr>
          <w:color w:val="auto"/>
        </w:rPr>
        <w:fldChar w:fldCharType="separate"/>
      </w:r>
      <w:r>
        <w:rPr>
          <w:rStyle w:val="35"/>
          <w:rFonts w:hint="eastAsia"/>
          <w:color w:val="auto"/>
        </w:rPr>
        <w:t>4.1</w:t>
      </w:r>
      <w:r>
        <w:rPr>
          <w:rStyle w:val="35"/>
          <w:color w:val="auto"/>
        </w:rPr>
        <w:t xml:space="preserve"> </w:t>
      </w:r>
      <w:r>
        <w:rPr>
          <w:rStyle w:val="35"/>
          <w:rFonts w:hint="eastAsia"/>
          <w:color w:val="auto"/>
        </w:rPr>
        <w:t xml:space="preserve"> 资料收集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_Toc228350762 \h</w:instrText>
      </w:r>
      <w:r>
        <w:rPr>
          <w:rFonts w:hint="eastAsia"/>
          <w:color w:val="auto"/>
        </w:rPr>
        <w:instrText xml:space="preserve"> </w:instrText>
      </w:r>
      <w:r>
        <w:rPr>
          <w:rFonts w:hint="eastAsia"/>
          <w:color w:val="auto"/>
        </w:rPr>
        <w:fldChar w:fldCharType="separate"/>
      </w:r>
      <w:r>
        <w:rPr>
          <w:color w:val="auto"/>
        </w:rPr>
        <w:t>1</w:t>
      </w:r>
      <w:r>
        <w:rPr>
          <w:rFonts w:hint="eastAsia"/>
          <w:color w:val="auto"/>
        </w:rPr>
        <w:fldChar w:fldCharType="end"/>
      </w:r>
      <w:r>
        <w:rPr>
          <w:rFonts w:hint="eastAsia"/>
          <w:color w:val="auto"/>
        </w:rPr>
        <w:fldChar w:fldCharType="end"/>
      </w:r>
    </w:p>
    <w:p w14:paraId="048CBFC4">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"_Toc228350763" </w:instrText>
      </w:r>
      <w:r>
        <w:rPr>
          <w:color w:val="auto"/>
        </w:rPr>
        <w:fldChar w:fldCharType="separate"/>
      </w:r>
      <w:r>
        <w:rPr>
          <w:rStyle w:val="35"/>
          <w:rFonts w:hint="eastAsia"/>
          <w:color w:val="auto"/>
        </w:rPr>
        <w:t>4.2</w:t>
      </w:r>
      <w:r>
        <w:rPr>
          <w:rStyle w:val="35"/>
          <w:color w:val="auto"/>
        </w:rPr>
        <w:t xml:space="preserve"> </w:t>
      </w:r>
      <w:r>
        <w:rPr>
          <w:rStyle w:val="35"/>
          <w:rFonts w:hint="eastAsia"/>
          <w:color w:val="auto"/>
        </w:rPr>
        <w:t xml:space="preserve"> 现场踏勘</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_Toc228350763 \h</w:instrText>
      </w:r>
      <w:r>
        <w:rPr>
          <w:rFonts w:hint="eastAsia"/>
          <w:color w:val="auto"/>
        </w:rPr>
        <w:instrText xml:space="preserve"> </w:instrText>
      </w:r>
      <w:r>
        <w:rPr>
          <w:rFonts w:hint="eastAsia"/>
          <w:color w:val="auto"/>
        </w:rPr>
        <w:fldChar w:fldCharType="separate"/>
      </w:r>
      <w:r>
        <w:rPr>
          <w:color w:val="auto"/>
        </w:rPr>
        <w:t>2</w:t>
      </w:r>
      <w:r>
        <w:rPr>
          <w:rFonts w:hint="eastAsia"/>
          <w:color w:val="auto"/>
        </w:rPr>
        <w:fldChar w:fldCharType="end"/>
      </w:r>
      <w:r>
        <w:rPr>
          <w:rFonts w:hint="eastAsia"/>
          <w:color w:val="auto"/>
        </w:rPr>
        <w:fldChar w:fldCharType="end"/>
      </w:r>
    </w:p>
    <w:p w14:paraId="26A58185">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"_Toc228350764" </w:instrText>
      </w:r>
      <w:r>
        <w:rPr>
          <w:color w:val="auto"/>
        </w:rPr>
        <w:fldChar w:fldCharType="separate"/>
      </w:r>
      <w:r>
        <w:rPr>
          <w:rStyle w:val="35"/>
          <w:rFonts w:hint="eastAsia"/>
          <w:color w:val="auto"/>
        </w:rPr>
        <w:t>4.3</w:t>
      </w:r>
      <w:r>
        <w:rPr>
          <w:rStyle w:val="35"/>
          <w:color w:val="auto"/>
        </w:rPr>
        <w:t xml:space="preserve"> </w:t>
      </w:r>
      <w:r>
        <w:rPr>
          <w:rStyle w:val="35"/>
          <w:rFonts w:hint="eastAsia"/>
          <w:color w:val="auto"/>
        </w:rPr>
        <w:t xml:space="preserve"> 实施方案编制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_Toc228350764 \h</w:instrText>
      </w:r>
      <w:r>
        <w:rPr>
          <w:rFonts w:hint="eastAsia"/>
          <w:color w:val="auto"/>
        </w:rPr>
        <w:instrText xml:space="preserve"> </w:instrText>
      </w:r>
      <w:r>
        <w:rPr>
          <w:rFonts w:hint="eastAsia"/>
          <w:color w:val="auto"/>
        </w:rPr>
        <w:fldChar w:fldCharType="separate"/>
      </w:r>
      <w:r>
        <w:rPr>
          <w:color w:val="auto"/>
        </w:rPr>
        <w:t>2</w:t>
      </w:r>
      <w:r>
        <w:rPr>
          <w:rFonts w:hint="eastAsia"/>
          <w:color w:val="auto"/>
        </w:rPr>
        <w:fldChar w:fldCharType="end"/>
      </w:r>
      <w:r>
        <w:rPr>
          <w:rFonts w:hint="eastAsia"/>
          <w:color w:val="auto"/>
        </w:rPr>
        <w:fldChar w:fldCharType="end"/>
      </w:r>
    </w:p>
    <w:p w14:paraId="36669173">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"_Toc228350765" </w:instrText>
      </w:r>
      <w:r>
        <w:rPr>
          <w:color w:val="auto"/>
        </w:rPr>
        <w:fldChar w:fldCharType="separate"/>
      </w:r>
      <w:r>
        <w:rPr>
          <w:rStyle w:val="35"/>
          <w:rFonts w:hint="eastAsia"/>
          <w:color w:val="auto"/>
        </w:rPr>
        <w:t>5</w:t>
      </w:r>
      <w:r>
        <w:rPr>
          <w:rStyle w:val="35"/>
          <w:color w:val="auto"/>
        </w:rPr>
        <w:t xml:space="preserve"> </w:t>
      </w:r>
      <w:r>
        <w:rPr>
          <w:rStyle w:val="35"/>
          <w:rFonts w:hint="eastAsia"/>
          <w:color w:val="auto"/>
        </w:rPr>
        <w:t xml:space="preserve"> 近场区断层活动性调查</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_Toc228350765 \h</w:instrText>
      </w:r>
      <w:r>
        <w:rPr>
          <w:rFonts w:hint="eastAsia"/>
          <w:color w:val="auto"/>
        </w:rPr>
        <w:instrText xml:space="preserve"> </w:instrText>
      </w:r>
      <w:r>
        <w:rPr>
          <w:rFonts w:hint="eastAsia"/>
          <w:color w:val="auto"/>
        </w:rPr>
        <w:fldChar w:fldCharType="separate"/>
      </w:r>
      <w:r>
        <w:rPr>
          <w:color w:val="auto"/>
        </w:rPr>
        <w:t>2</w:t>
      </w:r>
      <w:r>
        <w:rPr>
          <w:rFonts w:hint="eastAsia"/>
          <w:color w:val="auto"/>
        </w:rPr>
        <w:fldChar w:fldCharType="end"/>
      </w:r>
      <w:r>
        <w:rPr>
          <w:rFonts w:hint="eastAsia"/>
          <w:color w:val="auto"/>
        </w:rPr>
        <w:fldChar w:fldCharType="end"/>
      </w:r>
    </w:p>
    <w:p w14:paraId="17E6C338">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"_Toc228350766" </w:instrText>
      </w:r>
      <w:r>
        <w:rPr>
          <w:color w:val="auto"/>
        </w:rPr>
        <w:fldChar w:fldCharType="separate"/>
      </w:r>
      <w:r>
        <w:rPr>
          <w:rStyle w:val="35"/>
          <w:rFonts w:hint="eastAsia"/>
          <w:color w:val="auto"/>
        </w:rPr>
        <w:t>5.1</w:t>
      </w:r>
      <w:r>
        <w:rPr>
          <w:rStyle w:val="35"/>
          <w:color w:val="auto"/>
        </w:rPr>
        <w:t xml:space="preserve"> </w:t>
      </w:r>
      <w:r>
        <w:rPr>
          <w:rStyle w:val="35"/>
          <w:rFonts w:hint="eastAsia"/>
          <w:color w:val="auto"/>
        </w:rPr>
        <w:t xml:space="preserve"> 近场区范围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_Toc228350766 \h</w:instrText>
      </w:r>
      <w:r>
        <w:rPr>
          <w:rFonts w:hint="eastAsia"/>
          <w:color w:val="auto"/>
        </w:rPr>
        <w:instrText xml:space="preserve"> </w:instrText>
      </w:r>
      <w:r>
        <w:rPr>
          <w:rFonts w:hint="eastAsia"/>
          <w:color w:val="auto"/>
        </w:rPr>
        <w:fldChar w:fldCharType="separate"/>
      </w:r>
      <w:r>
        <w:rPr>
          <w:color w:val="auto"/>
        </w:rPr>
        <w:t>2</w:t>
      </w:r>
      <w:r>
        <w:rPr>
          <w:rFonts w:hint="eastAsia"/>
          <w:color w:val="auto"/>
        </w:rPr>
        <w:fldChar w:fldCharType="end"/>
      </w:r>
      <w:r>
        <w:rPr>
          <w:rFonts w:hint="eastAsia"/>
          <w:color w:val="auto"/>
        </w:rPr>
        <w:fldChar w:fldCharType="end"/>
      </w:r>
    </w:p>
    <w:p w14:paraId="0ADBF80A">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"_Toc228350767" </w:instrText>
      </w:r>
      <w:r>
        <w:rPr>
          <w:color w:val="auto"/>
        </w:rPr>
        <w:fldChar w:fldCharType="separate"/>
      </w:r>
      <w:r>
        <w:rPr>
          <w:rStyle w:val="35"/>
          <w:rFonts w:hint="eastAsia"/>
          <w:color w:val="auto"/>
        </w:rPr>
        <w:t>5.2</w:t>
      </w:r>
      <w:r>
        <w:rPr>
          <w:rStyle w:val="35"/>
          <w:color w:val="auto"/>
        </w:rPr>
        <w:t xml:space="preserve"> </w:t>
      </w:r>
      <w:r>
        <w:rPr>
          <w:rStyle w:val="35"/>
          <w:rFonts w:hint="eastAsia"/>
          <w:color w:val="auto"/>
        </w:rPr>
        <w:t xml:space="preserve"> 现场调查要求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_Toc228350767 \h</w:instrText>
      </w:r>
      <w:r>
        <w:rPr>
          <w:rFonts w:hint="eastAsia"/>
          <w:color w:val="auto"/>
        </w:rPr>
        <w:instrText xml:space="preserve"> </w:instrText>
      </w:r>
      <w:r>
        <w:rPr>
          <w:rFonts w:hint="eastAsia"/>
          <w:color w:val="auto"/>
        </w:rPr>
        <w:fldChar w:fldCharType="separate"/>
      </w:r>
      <w:r>
        <w:rPr>
          <w:color w:val="auto"/>
        </w:rPr>
        <w:t>2</w:t>
      </w:r>
      <w:r>
        <w:rPr>
          <w:rFonts w:hint="eastAsia"/>
          <w:color w:val="auto"/>
        </w:rPr>
        <w:fldChar w:fldCharType="end"/>
      </w:r>
      <w:r>
        <w:rPr>
          <w:rFonts w:hint="eastAsia"/>
          <w:color w:val="auto"/>
        </w:rPr>
        <w:fldChar w:fldCharType="end"/>
      </w:r>
    </w:p>
    <w:p w14:paraId="33C7500E">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"_Toc228350768" </w:instrText>
      </w:r>
      <w:r>
        <w:rPr>
          <w:color w:val="auto"/>
        </w:rPr>
        <w:fldChar w:fldCharType="separate"/>
      </w:r>
      <w:r>
        <w:rPr>
          <w:rStyle w:val="35"/>
          <w:rFonts w:hint="eastAsia"/>
          <w:color w:val="auto"/>
        </w:rPr>
        <w:t>6</w:t>
      </w:r>
      <w:r>
        <w:rPr>
          <w:rStyle w:val="35"/>
          <w:color w:val="auto"/>
        </w:rPr>
        <w:t xml:space="preserve"> </w:t>
      </w:r>
      <w:r>
        <w:rPr>
          <w:rStyle w:val="35"/>
          <w:rFonts w:hint="eastAsia"/>
          <w:color w:val="auto"/>
        </w:rPr>
        <w:t xml:space="preserve"> 场址附近及场地活动断层勘查</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_Toc228350768 \h</w:instrText>
      </w:r>
      <w:r>
        <w:rPr>
          <w:rFonts w:hint="eastAsia"/>
          <w:color w:val="auto"/>
        </w:rPr>
        <w:instrText xml:space="preserve"> </w:instrText>
      </w:r>
      <w:r>
        <w:rPr>
          <w:rFonts w:hint="eastAsia"/>
          <w:color w:val="auto"/>
        </w:rPr>
        <w:fldChar w:fldCharType="separate"/>
      </w:r>
      <w:r>
        <w:rPr>
          <w:color w:val="auto"/>
        </w:rPr>
        <w:t>3</w:t>
      </w:r>
      <w:r>
        <w:rPr>
          <w:rFonts w:hint="eastAsia"/>
          <w:color w:val="auto"/>
        </w:rPr>
        <w:fldChar w:fldCharType="end"/>
      </w:r>
      <w:r>
        <w:rPr>
          <w:rFonts w:hint="eastAsia"/>
          <w:color w:val="auto"/>
        </w:rPr>
        <w:fldChar w:fldCharType="end"/>
      </w:r>
    </w:p>
    <w:p w14:paraId="0056FA50">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"_Toc228350769" </w:instrText>
      </w:r>
      <w:r>
        <w:rPr>
          <w:color w:val="auto"/>
        </w:rPr>
        <w:fldChar w:fldCharType="separate"/>
      </w:r>
      <w:r>
        <w:rPr>
          <w:rStyle w:val="35"/>
          <w:rFonts w:hint="eastAsia"/>
          <w:color w:val="auto"/>
        </w:rPr>
        <w:t>6.1</w:t>
      </w:r>
      <w:r>
        <w:rPr>
          <w:rStyle w:val="35"/>
          <w:color w:val="auto"/>
        </w:rPr>
        <w:t xml:space="preserve"> </w:t>
      </w:r>
      <w:r>
        <w:rPr>
          <w:rStyle w:val="35"/>
          <w:rFonts w:hint="eastAsia"/>
          <w:color w:val="auto"/>
        </w:rPr>
        <w:t xml:space="preserve"> 勘查范围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_Toc228350769 \h</w:instrText>
      </w:r>
      <w:r>
        <w:rPr>
          <w:rFonts w:hint="eastAsia"/>
          <w:color w:val="auto"/>
        </w:rPr>
        <w:instrText xml:space="preserve"> </w:instrText>
      </w:r>
      <w:r>
        <w:rPr>
          <w:rFonts w:hint="eastAsia"/>
          <w:color w:val="auto"/>
        </w:rPr>
        <w:fldChar w:fldCharType="separate"/>
      </w:r>
      <w:r>
        <w:rPr>
          <w:color w:val="auto"/>
        </w:rPr>
        <w:t>3</w:t>
      </w:r>
      <w:r>
        <w:rPr>
          <w:rFonts w:hint="eastAsia"/>
          <w:color w:val="auto"/>
        </w:rPr>
        <w:fldChar w:fldCharType="end"/>
      </w:r>
      <w:r>
        <w:rPr>
          <w:rFonts w:hint="eastAsia"/>
          <w:color w:val="auto"/>
        </w:rPr>
        <w:fldChar w:fldCharType="end"/>
      </w:r>
    </w:p>
    <w:p w14:paraId="23CD7EA5">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"_Toc228350770" </w:instrText>
      </w:r>
      <w:r>
        <w:rPr>
          <w:color w:val="auto"/>
        </w:rPr>
        <w:fldChar w:fldCharType="separate"/>
      </w:r>
      <w:r>
        <w:rPr>
          <w:rStyle w:val="35"/>
          <w:rFonts w:hint="eastAsia"/>
          <w:color w:val="auto"/>
        </w:rPr>
        <w:t>6.2</w:t>
      </w:r>
      <w:r>
        <w:rPr>
          <w:rStyle w:val="35"/>
          <w:color w:val="auto"/>
        </w:rPr>
        <w:t xml:space="preserve"> </w:t>
      </w:r>
      <w:r>
        <w:rPr>
          <w:rStyle w:val="35"/>
          <w:rFonts w:hint="eastAsia"/>
          <w:color w:val="auto"/>
        </w:rPr>
        <w:t xml:space="preserve"> 基岩区（浅覆盖区）断层勘查与活动性鉴定</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_Toc228350770 \h</w:instrText>
      </w:r>
      <w:r>
        <w:rPr>
          <w:rFonts w:hint="eastAsia"/>
          <w:color w:val="auto"/>
        </w:rPr>
        <w:instrText xml:space="preserve"> </w:instrText>
      </w:r>
      <w:r>
        <w:rPr>
          <w:rFonts w:hint="eastAsia"/>
          <w:color w:val="auto"/>
        </w:rPr>
        <w:fldChar w:fldCharType="separate"/>
      </w:r>
      <w:r>
        <w:rPr>
          <w:color w:val="auto"/>
        </w:rPr>
        <w:t>3</w:t>
      </w:r>
      <w:r>
        <w:rPr>
          <w:rFonts w:hint="eastAsia"/>
          <w:color w:val="auto"/>
        </w:rPr>
        <w:fldChar w:fldCharType="end"/>
      </w:r>
      <w:r>
        <w:rPr>
          <w:rFonts w:hint="eastAsia"/>
          <w:color w:val="auto"/>
        </w:rPr>
        <w:fldChar w:fldCharType="end"/>
      </w:r>
    </w:p>
    <w:p w14:paraId="1D804089">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"_Toc228350771" </w:instrText>
      </w:r>
      <w:r>
        <w:rPr>
          <w:color w:val="auto"/>
        </w:rPr>
        <w:fldChar w:fldCharType="separate"/>
      </w:r>
      <w:r>
        <w:rPr>
          <w:rStyle w:val="35"/>
          <w:rFonts w:hint="eastAsia"/>
          <w:color w:val="auto"/>
        </w:rPr>
        <w:t>6.3</w:t>
      </w:r>
      <w:r>
        <w:rPr>
          <w:rStyle w:val="35"/>
          <w:color w:val="auto"/>
        </w:rPr>
        <w:t xml:space="preserve"> </w:t>
      </w:r>
      <w:r>
        <w:rPr>
          <w:rStyle w:val="35"/>
          <w:rFonts w:hint="eastAsia"/>
          <w:color w:val="auto"/>
        </w:rPr>
        <w:t xml:space="preserve"> 隐伏区断层勘查与活动性鉴定</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_Toc228350771 \h</w:instrText>
      </w:r>
      <w:r>
        <w:rPr>
          <w:rFonts w:hint="eastAsia"/>
          <w:color w:val="auto"/>
        </w:rPr>
        <w:instrText xml:space="preserve"> </w:instrText>
      </w:r>
      <w:r>
        <w:rPr>
          <w:rFonts w:hint="eastAsia"/>
          <w:color w:val="auto"/>
        </w:rPr>
        <w:fldChar w:fldCharType="separate"/>
      </w:r>
      <w:r>
        <w:rPr>
          <w:color w:val="auto"/>
        </w:rPr>
        <w:t>3</w:t>
      </w:r>
      <w:r>
        <w:rPr>
          <w:rFonts w:hint="eastAsia"/>
          <w:color w:val="auto"/>
        </w:rPr>
        <w:fldChar w:fldCharType="end"/>
      </w:r>
      <w:r>
        <w:rPr>
          <w:rFonts w:hint="eastAsia"/>
          <w:color w:val="auto"/>
        </w:rPr>
        <w:fldChar w:fldCharType="end"/>
      </w:r>
    </w:p>
    <w:p w14:paraId="5C38794C">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"_Toc228350772" </w:instrText>
      </w:r>
      <w:r>
        <w:rPr>
          <w:color w:val="auto"/>
        </w:rPr>
        <w:fldChar w:fldCharType="separate"/>
      </w:r>
      <w:r>
        <w:rPr>
          <w:rStyle w:val="35"/>
          <w:rFonts w:hint="eastAsia"/>
          <w:color w:val="auto"/>
        </w:rPr>
        <w:t>6.4</w:t>
      </w:r>
      <w:r>
        <w:rPr>
          <w:rStyle w:val="35"/>
          <w:color w:val="auto"/>
        </w:rPr>
        <w:t xml:space="preserve"> </w:t>
      </w:r>
      <w:r>
        <w:rPr>
          <w:rStyle w:val="35"/>
          <w:rFonts w:hint="eastAsia"/>
          <w:color w:val="auto"/>
        </w:rPr>
        <w:t xml:space="preserve"> 槽探要求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_Toc228350772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7D9234EB">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"_Toc228350773" </w:instrText>
      </w:r>
      <w:r>
        <w:rPr>
          <w:color w:val="auto"/>
        </w:rPr>
        <w:fldChar w:fldCharType="separate"/>
      </w:r>
      <w:r>
        <w:rPr>
          <w:rStyle w:val="35"/>
          <w:rFonts w:hint="eastAsia"/>
          <w:color w:val="auto"/>
        </w:rPr>
        <w:t>6.5</w:t>
      </w:r>
      <w:r>
        <w:rPr>
          <w:rStyle w:val="35"/>
          <w:color w:val="auto"/>
        </w:rPr>
        <w:t xml:space="preserve"> </w:t>
      </w:r>
      <w:r>
        <w:rPr>
          <w:rStyle w:val="35"/>
          <w:rFonts w:hint="eastAsia"/>
          <w:color w:val="auto"/>
        </w:rPr>
        <w:t xml:space="preserve"> 钻孔联合地质剖面要求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_Toc228350773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6D05132E">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"_Toc228350774" </w:instrText>
      </w:r>
      <w:r>
        <w:rPr>
          <w:color w:val="auto"/>
        </w:rPr>
        <w:fldChar w:fldCharType="separate"/>
      </w:r>
      <w:r>
        <w:rPr>
          <w:rStyle w:val="35"/>
          <w:rFonts w:hint="eastAsia"/>
          <w:color w:val="auto"/>
        </w:rPr>
        <w:t>7</w:t>
      </w:r>
      <w:r>
        <w:rPr>
          <w:rStyle w:val="35"/>
          <w:color w:val="auto"/>
        </w:rPr>
        <w:t xml:space="preserve"> </w:t>
      </w:r>
      <w:r>
        <w:rPr>
          <w:rStyle w:val="35"/>
          <w:rFonts w:hint="eastAsia"/>
          <w:color w:val="auto"/>
        </w:rPr>
        <w:t xml:space="preserve"> 场地钻探</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_Toc228350774 \h</w:instrText>
      </w:r>
      <w:r>
        <w:rPr>
          <w:rFonts w:hint="eastAsia"/>
          <w:color w:val="auto"/>
        </w:rPr>
        <w:instrText xml:space="preserve"> </w:instrText>
      </w:r>
      <w:r>
        <w:rPr>
          <w:rFonts w:hint="eastAsia"/>
          <w:color w:val="auto"/>
        </w:rPr>
        <w:fldChar w:fldCharType="separate"/>
      </w:r>
      <w:r>
        <w:rPr>
          <w:color w:val="auto"/>
        </w:rPr>
        <w:t>5</w:t>
      </w:r>
      <w:r>
        <w:rPr>
          <w:rFonts w:hint="eastAsia"/>
          <w:color w:val="auto"/>
        </w:rPr>
        <w:fldChar w:fldCharType="end"/>
      </w:r>
      <w:r>
        <w:rPr>
          <w:rFonts w:hint="eastAsia"/>
          <w:color w:val="auto"/>
        </w:rPr>
        <w:fldChar w:fldCharType="end"/>
      </w:r>
    </w:p>
    <w:p w14:paraId="76BDB6A1">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"_Toc228350775" </w:instrText>
      </w:r>
      <w:r>
        <w:rPr>
          <w:color w:val="auto"/>
        </w:rPr>
        <w:fldChar w:fldCharType="separate"/>
      </w:r>
      <w:r>
        <w:rPr>
          <w:rStyle w:val="35"/>
          <w:rFonts w:hint="eastAsia"/>
          <w:color w:val="auto"/>
        </w:rPr>
        <w:t>7.1</w:t>
      </w:r>
      <w:r>
        <w:rPr>
          <w:rStyle w:val="35"/>
          <w:color w:val="auto"/>
        </w:rPr>
        <w:t xml:space="preserve"> </w:t>
      </w:r>
      <w:r>
        <w:rPr>
          <w:rStyle w:val="35"/>
          <w:rFonts w:hint="eastAsia"/>
          <w:color w:val="auto"/>
        </w:rPr>
        <w:t xml:space="preserve"> 钻孔布设</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_Toc228350775 \h</w:instrText>
      </w:r>
      <w:r>
        <w:rPr>
          <w:rFonts w:hint="eastAsia"/>
          <w:color w:val="auto"/>
        </w:rPr>
        <w:instrText xml:space="preserve"> </w:instrText>
      </w:r>
      <w:r>
        <w:rPr>
          <w:rFonts w:hint="eastAsia"/>
          <w:color w:val="auto"/>
        </w:rPr>
        <w:fldChar w:fldCharType="separate"/>
      </w:r>
      <w:r>
        <w:rPr>
          <w:color w:val="auto"/>
        </w:rPr>
        <w:t>5</w:t>
      </w:r>
      <w:r>
        <w:rPr>
          <w:rFonts w:hint="eastAsia"/>
          <w:color w:val="auto"/>
        </w:rPr>
        <w:fldChar w:fldCharType="end"/>
      </w:r>
      <w:r>
        <w:rPr>
          <w:rFonts w:hint="eastAsia"/>
          <w:color w:val="auto"/>
        </w:rPr>
        <w:fldChar w:fldCharType="end"/>
      </w:r>
    </w:p>
    <w:p w14:paraId="6714467B">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"_Toc228350776" </w:instrText>
      </w:r>
      <w:r>
        <w:rPr>
          <w:color w:val="auto"/>
        </w:rPr>
        <w:fldChar w:fldCharType="separate"/>
      </w:r>
      <w:r>
        <w:rPr>
          <w:rStyle w:val="35"/>
          <w:rFonts w:hint="eastAsia"/>
          <w:color w:val="auto"/>
        </w:rPr>
        <w:t>7.2</w:t>
      </w:r>
      <w:r>
        <w:rPr>
          <w:rStyle w:val="35"/>
          <w:color w:val="auto"/>
        </w:rPr>
        <w:t xml:space="preserve"> </w:t>
      </w:r>
      <w:r>
        <w:rPr>
          <w:rStyle w:val="35"/>
          <w:rFonts w:hint="eastAsia"/>
          <w:color w:val="auto"/>
        </w:rPr>
        <w:t xml:space="preserve"> 钻探施工</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_Toc228350776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0FE0D09A">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"_Toc228350777" </w:instrText>
      </w:r>
      <w:r>
        <w:rPr>
          <w:color w:val="auto"/>
        </w:rPr>
        <w:fldChar w:fldCharType="separate"/>
      </w:r>
      <w:r>
        <w:rPr>
          <w:rStyle w:val="35"/>
          <w:rFonts w:hint="eastAsia"/>
          <w:color w:val="auto"/>
        </w:rPr>
        <w:t>7.3</w:t>
      </w:r>
      <w:r>
        <w:rPr>
          <w:rStyle w:val="35"/>
          <w:color w:val="auto"/>
        </w:rPr>
        <w:t xml:space="preserve"> </w:t>
      </w:r>
      <w:r>
        <w:rPr>
          <w:rStyle w:val="35"/>
          <w:rFonts w:hint="eastAsia"/>
          <w:color w:val="auto"/>
        </w:rPr>
        <w:t xml:space="preserve"> 地质编录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_Toc228350777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3EAF5759">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"_Toc228350778" </w:instrText>
      </w:r>
      <w:r>
        <w:rPr>
          <w:color w:val="auto"/>
        </w:rPr>
        <w:fldChar w:fldCharType="separate"/>
      </w:r>
      <w:r>
        <w:rPr>
          <w:rStyle w:val="35"/>
          <w:rFonts w:hint="eastAsia"/>
          <w:color w:val="auto"/>
        </w:rPr>
        <w:t>8</w:t>
      </w:r>
      <w:r>
        <w:rPr>
          <w:rStyle w:val="35"/>
          <w:color w:val="auto"/>
        </w:rPr>
        <w:t xml:space="preserve"> </w:t>
      </w:r>
      <w:r>
        <w:rPr>
          <w:rStyle w:val="35"/>
          <w:rFonts w:hint="eastAsia"/>
          <w:color w:val="auto"/>
        </w:rPr>
        <w:t xml:space="preserve"> 土样采集及测试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_Toc228350778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67B6BC09">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"_Toc228350779" </w:instrText>
      </w:r>
      <w:r>
        <w:rPr>
          <w:color w:val="auto"/>
        </w:rPr>
        <w:fldChar w:fldCharType="separate"/>
      </w:r>
      <w:r>
        <w:rPr>
          <w:rStyle w:val="35"/>
          <w:rFonts w:hint="eastAsia"/>
          <w:color w:val="auto"/>
        </w:rPr>
        <w:t>8.1</w:t>
      </w:r>
      <w:r>
        <w:rPr>
          <w:rStyle w:val="35"/>
          <w:color w:val="auto"/>
        </w:rPr>
        <w:t xml:space="preserve"> </w:t>
      </w:r>
      <w:r>
        <w:rPr>
          <w:rStyle w:val="35"/>
          <w:rFonts w:hint="eastAsia"/>
          <w:color w:val="auto"/>
        </w:rPr>
        <w:t xml:space="preserve"> 原状土样采集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_Toc228350779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685882C7">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"_Toc228350780" </w:instrText>
      </w:r>
      <w:r>
        <w:rPr>
          <w:color w:val="auto"/>
        </w:rPr>
        <w:fldChar w:fldCharType="separate"/>
      </w:r>
      <w:r>
        <w:rPr>
          <w:rStyle w:val="35"/>
          <w:rFonts w:hint="eastAsia"/>
          <w:color w:val="auto"/>
        </w:rPr>
        <w:t>8.2</w:t>
      </w:r>
      <w:r>
        <w:rPr>
          <w:rStyle w:val="35"/>
          <w:color w:val="auto"/>
        </w:rPr>
        <w:t xml:space="preserve"> </w:t>
      </w:r>
      <w:r>
        <w:rPr>
          <w:rStyle w:val="35"/>
          <w:rFonts w:hint="eastAsia"/>
          <w:color w:val="auto"/>
        </w:rPr>
        <w:t xml:space="preserve"> 原位测试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_Toc228350780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269E0082">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"_Toc228350781" </w:instrText>
      </w:r>
      <w:r>
        <w:rPr>
          <w:color w:val="auto"/>
        </w:rPr>
        <w:fldChar w:fldCharType="separate"/>
      </w:r>
      <w:r>
        <w:rPr>
          <w:rStyle w:val="35"/>
          <w:rFonts w:hint="eastAsia"/>
          <w:color w:val="auto"/>
        </w:rPr>
        <w:t>9</w:t>
      </w:r>
      <w:r>
        <w:rPr>
          <w:rStyle w:val="35"/>
          <w:color w:val="auto"/>
        </w:rPr>
        <w:t xml:space="preserve"> </w:t>
      </w:r>
      <w:r>
        <w:rPr>
          <w:rStyle w:val="35"/>
          <w:rFonts w:hint="eastAsia"/>
          <w:color w:val="auto"/>
        </w:rPr>
        <w:t xml:space="preserve"> 波速测试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_Toc228350781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16864A81">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"_Toc228350782" </w:instrText>
      </w:r>
      <w:r>
        <w:rPr>
          <w:color w:val="auto"/>
        </w:rPr>
        <w:fldChar w:fldCharType="separate"/>
      </w:r>
      <w:r>
        <w:rPr>
          <w:rStyle w:val="35"/>
          <w:rFonts w:hint="eastAsia"/>
          <w:color w:val="auto"/>
        </w:rPr>
        <w:t>9.1</w:t>
      </w:r>
      <w:r>
        <w:rPr>
          <w:rStyle w:val="35"/>
          <w:color w:val="auto"/>
        </w:rPr>
        <w:t xml:space="preserve"> </w:t>
      </w:r>
      <w:r>
        <w:rPr>
          <w:rStyle w:val="35"/>
          <w:rFonts w:hint="eastAsia"/>
          <w:color w:val="auto"/>
        </w:rPr>
        <w:t xml:space="preserve"> 测试范围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_Toc228350782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38E4F115">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"_Toc228350783" </w:instrText>
      </w:r>
      <w:r>
        <w:rPr>
          <w:color w:val="auto"/>
        </w:rPr>
        <w:fldChar w:fldCharType="separate"/>
      </w:r>
      <w:r>
        <w:rPr>
          <w:rStyle w:val="35"/>
          <w:rFonts w:hint="eastAsia"/>
          <w:color w:val="auto"/>
        </w:rPr>
        <w:t>9.2</w:t>
      </w:r>
      <w:r>
        <w:rPr>
          <w:rStyle w:val="35"/>
          <w:color w:val="auto"/>
        </w:rPr>
        <w:t xml:space="preserve"> </w:t>
      </w:r>
      <w:r>
        <w:rPr>
          <w:rStyle w:val="35"/>
          <w:rFonts w:hint="eastAsia"/>
          <w:color w:val="auto"/>
        </w:rPr>
        <w:t xml:space="preserve"> 测试要求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_Toc228350783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420191A3">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"_Toc228350784" </w:instrText>
      </w:r>
      <w:r>
        <w:rPr>
          <w:color w:val="auto"/>
        </w:rPr>
        <w:fldChar w:fldCharType="separate"/>
      </w:r>
      <w:r>
        <w:rPr>
          <w:rStyle w:val="35"/>
          <w:rFonts w:hint="eastAsia"/>
          <w:color w:val="auto"/>
        </w:rPr>
        <w:t>10</w:t>
      </w:r>
      <w:r>
        <w:rPr>
          <w:rStyle w:val="35"/>
          <w:color w:val="auto"/>
        </w:rPr>
        <w:t xml:space="preserve"> </w:t>
      </w:r>
      <w:r>
        <w:rPr>
          <w:rStyle w:val="35"/>
          <w:rFonts w:hint="eastAsia"/>
          <w:color w:val="auto"/>
        </w:rPr>
        <w:t xml:space="preserve"> 地震地质灾害调查</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_Toc228350784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513D0057">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"_Toc228350785" </w:instrText>
      </w:r>
      <w:r>
        <w:rPr>
          <w:color w:val="auto"/>
        </w:rPr>
        <w:fldChar w:fldCharType="separate"/>
      </w:r>
      <w:r>
        <w:rPr>
          <w:rStyle w:val="35"/>
          <w:rFonts w:hint="eastAsia"/>
          <w:color w:val="auto"/>
        </w:rPr>
        <w:t>10.1</w:t>
      </w:r>
      <w:r>
        <w:rPr>
          <w:rStyle w:val="35"/>
          <w:color w:val="auto"/>
        </w:rPr>
        <w:t xml:space="preserve"> </w:t>
      </w:r>
      <w:r>
        <w:rPr>
          <w:rStyle w:val="35"/>
          <w:rFonts w:hint="eastAsia"/>
          <w:color w:val="auto"/>
        </w:rPr>
        <w:t xml:space="preserve"> 调查范围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_Toc228350785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2C42F98D">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"_Toc228350786" </w:instrText>
      </w:r>
      <w:r>
        <w:rPr>
          <w:color w:val="auto"/>
        </w:rPr>
        <w:fldChar w:fldCharType="separate"/>
      </w:r>
      <w:r>
        <w:rPr>
          <w:rStyle w:val="35"/>
          <w:rFonts w:hint="eastAsia"/>
          <w:color w:val="auto"/>
        </w:rPr>
        <w:t>10.2</w:t>
      </w:r>
      <w:r>
        <w:rPr>
          <w:rStyle w:val="35"/>
          <w:color w:val="auto"/>
        </w:rPr>
        <w:t xml:space="preserve"> </w:t>
      </w:r>
      <w:r>
        <w:rPr>
          <w:rStyle w:val="35"/>
          <w:rFonts w:hint="eastAsia"/>
          <w:color w:val="auto"/>
        </w:rPr>
        <w:t xml:space="preserve"> 调查内容</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_Toc228350786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206C57F0">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"_Toc228350787" </w:instrText>
      </w:r>
      <w:r>
        <w:rPr>
          <w:color w:val="auto"/>
        </w:rPr>
        <w:fldChar w:fldCharType="separate"/>
      </w:r>
      <w:r>
        <w:rPr>
          <w:rStyle w:val="35"/>
          <w:rFonts w:hint="eastAsia"/>
          <w:color w:val="auto"/>
        </w:rPr>
        <w:t>11</w:t>
      </w:r>
      <w:r>
        <w:rPr>
          <w:rStyle w:val="35"/>
          <w:color w:val="auto"/>
        </w:rPr>
        <w:t xml:space="preserve"> </w:t>
      </w:r>
      <w:r>
        <w:rPr>
          <w:rStyle w:val="35"/>
          <w:rFonts w:hint="eastAsia"/>
          <w:color w:val="auto"/>
        </w:rPr>
        <w:t xml:space="preserve"> 资料的处理与存档</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_Toc228350787 \h</w:instrText>
      </w:r>
      <w:r>
        <w:rPr>
          <w:rFonts w:hint="eastAsia"/>
          <w:color w:val="auto"/>
        </w:rPr>
        <w:instrText xml:space="preserve"> </w:instrText>
      </w:r>
      <w:r>
        <w:rPr>
          <w:rFonts w:hint="eastAsia"/>
          <w:color w:val="auto"/>
        </w:rPr>
        <w:fldChar w:fldCharType="separate"/>
      </w:r>
      <w:r>
        <w:rPr>
          <w:color w:val="auto"/>
        </w:rPr>
        <w:t>9</w:t>
      </w:r>
      <w:r>
        <w:rPr>
          <w:rFonts w:hint="eastAsia"/>
          <w:color w:val="auto"/>
        </w:rPr>
        <w:fldChar w:fldCharType="end"/>
      </w:r>
      <w:r>
        <w:rPr>
          <w:rFonts w:hint="eastAsia"/>
          <w:color w:val="auto"/>
        </w:rPr>
        <w:fldChar w:fldCharType="end"/>
      </w:r>
    </w:p>
    <w:p w14:paraId="77765120">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"_Toc228350788" </w:instrText>
      </w:r>
      <w:r>
        <w:rPr>
          <w:color w:val="auto"/>
        </w:rPr>
        <w:fldChar w:fldCharType="separate"/>
      </w:r>
      <w:r>
        <w:rPr>
          <w:rStyle w:val="35"/>
          <w:rFonts w:hint="eastAsia"/>
          <w:color w:val="auto"/>
        </w:rPr>
        <w:t>11.1</w:t>
      </w:r>
      <w:r>
        <w:rPr>
          <w:rStyle w:val="35"/>
          <w:color w:val="auto"/>
        </w:rPr>
        <w:t xml:space="preserve"> </w:t>
      </w:r>
      <w:r>
        <w:rPr>
          <w:rStyle w:val="35"/>
          <w:rFonts w:hint="eastAsia"/>
          <w:color w:val="auto"/>
        </w:rPr>
        <w:t xml:space="preserve"> 资料处理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_Toc228350788 \h</w:instrText>
      </w:r>
      <w:r>
        <w:rPr>
          <w:rFonts w:hint="eastAsia"/>
          <w:color w:val="auto"/>
        </w:rPr>
        <w:instrText xml:space="preserve"> </w:instrText>
      </w:r>
      <w:r>
        <w:rPr>
          <w:rFonts w:hint="eastAsia"/>
          <w:color w:val="auto"/>
        </w:rPr>
        <w:fldChar w:fldCharType="separate"/>
      </w:r>
      <w:r>
        <w:rPr>
          <w:color w:val="auto"/>
        </w:rPr>
        <w:t>9</w:t>
      </w:r>
      <w:r>
        <w:rPr>
          <w:rFonts w:hint="eastAsia"/>
          <w:color w:val="auto"/>
        </w:rPr>
        <w:fldChar w:fldCharType="end"/>
      </w:r>
      <w:r>
        <w:rPr>
          <w:rFonts w:hint="eastAsia"/>
          <w:color w:val="auto"/>
        </w:rPr>
        <w:fldChar w:fldCharType="end"/>
      </w:r>
    </w:p>
    <w:p w14:paraId="111328A5">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"_Toc228350789" </w:instrText>
      </w:r>
      <w:r>
        <w:rPr>
          <w:color w:val="auto"/>
        </w:rPr>
        <w:fldChar w:fldCharType="separate"/>
      </w:r>
      <w:r>
        <w:rPr>
          <w:rStyle w:val="35"/>
          <w:rFonts w:hint="eastAsia"/>
          <w:color w:val="auto"/>
        </w:rPr>
        <w:t>11.2</w:t>
      </w:r>
      <w:r>
        <w:rPr>
          <w:rStyle w:val="35"/>
          <w:color w:val="auto"/>
        </w:rPr>
        <w:t xml:space="preserve"> </w:t>
      </w:r>
      <w:r>
        <w:rPr>
          <w:rStyle w:val="35"/>
          <w:rFonts w:hint="eastAsia"/>
          <w:color w:val="auto"/>
        </w:rPr>
        <w:t xml:space="preserve"> 图件处理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_Toc228350789 \h</w:instrText>
      </w:r>
      <w:r>
        <w:rPr>
          <w:rFonts w:hint="eastAsia"/>
          <w:color w:val="auto"/>
        </w:rPr>
        <w:instrText xml:space="preserve"> </w:instrText>
      </w:r>
      <w:r>
        <w:rPr>
          <w:rFonts w:hint="eastAsia"/>
          <w:color w:val="auto"/>
        </w:rPr>
        <w:fldChar w:fldCharType="separate"/>
      </w:r>
      <w:r>
        <w:rPr>
          <w:color w:val="auto"/>
        </w:rPr>
        <w:t>9</w:t>
      </w:r>
      <w:r>
        <w:rPr>
          <w:rFonts w:hint="eastAsia"/>
          <w:color w:val="auto"/>
        </w:rPr>
        <w:fldChar w:fldCharType="end"/>
      </w:r>
      <w:r>
        <w:rPr>
          <w:rFonts w:hint="eastAsia"/>
          <w:color w:val="auto"/>
        </w:rPr>
        <w:fldChar w:fldCharType="end"/>
      </w:r>
    </w:p>
    <w:p w14:paraId="270B0AB3">
      <w:pPr>
        <w:pStyle w:val="26"/>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"_Toc228350790" </w:instrText>
      </w:r>
      <w:r>
        <w:rPr>
          <w:color w:val="auto"/>
        </w:rPr>
        <w:fldChar w:fldCharType="separate"/>
      </w:r>
      <w:r>
        <w:rPr>
          <w:rStyle w:val="35"/>
          <w:rFonts w:hint="eastAsia"/>
          <w:color w:val="auto"/>
        </w:rPr>
        <w:t>11.3</w:t>
      </w:r>
      <w:r>
        <w:rPr>
          <w:rStyle w:val="35"/>
          <w:color w:val="auto"/>
        </w:rPr>
        <w:t xml:space="preserve"> </w:t>
      </w:r>
      <w:r>
        <w:rPr>
          <w:rStyle w:val="35"/>
          <w:rFonts w:hint="eastAsia"/>
          <w:color w:val="auto"/>
        </w:rPr>
        <w:t xml:space="preserve"> 资料存档</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_Toc228350790 \h</w:instrText>
      </w:r>
      <w:r>
        <w:rPr>
          <w:rFonts w:hint="eastAsia"/>
          <w:color w:val="auto"/>
        </w:rPr>
        <w:instrText xml:space="preserve"> </w:instrText>
      </w:r>
      <w:r>
        <w:rPr>
          <w:rFonts w:hint="eastAsia"/>
          <w:color w:val="auto"/>
        </w:rPr>
        <w:fldChar w:fldCharType="separate"/>
      </w:r>
      <w:r>
        <w:rPr>
          <w:color w:val="auto"/>
        </w:rPr>
        <w:t>9</w:t>
      </w:r>
      <w:r>
        <w:rPr>
          <w:rFonts w:hint="eastAsia"/>
          <w:color w:val="auto"/>
        </w:rPr>
        <w:fldChar w:fldCharType="end"/>
      </w:r>
      <w:r>
        <w:rPr>
          <w:rFonts w:hint="eastAsia"/>
          <w:color w:val="auto"/>
        </w:rPr>
        <w:fldChar w:fldCharType="end"/>
      </w:r>
    </w:p>
    <w:p w14:paraId="6DA636D0">
      <w:pPr>
        <w:pStyle w:val="21"/>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"_Toc228350791" </w:instrText>
      </w:r>
      <w:r>
        <w:rPr>
          <w:color w:val="auto"/>
        </w:rPr>
        <w:fldChar w:fldCharType="separate"/>
      </w:r>
      <w:r>
        <w:rPr>
          <w:rStyle w:val="35"/>
          <w:rFonts w:hint="eastAsia"/>
          <w:color w:val="auto"/>
        </w:rPr>
        <w:t>参考文献</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_Toc228350791 \h</w:instrText>
      </w:r>
      <w:r>
        <w:rPr>
          <w:rFonts w:hint="eastAsia"/>
          <w:color w:val="auto"/>
        </w:rPr>
        <w:instrText xml:space="preserve"> </w:instrText>
      </w:r>
      <w:r>
        <w:rPr>
          <w:rFonts w:hint="eastAsia"/>
          <w:color w:val="auto"/>
        </w:rPr>
        <w:fldChar w:fldCharType="separate"/>
      </w:r>
      <w:r>
        <w:rPr>
          <w:color w:val="auto"/>
        </w:rPr>
        <w:t>11</w:t>
      </w:r>
      <w:r>
        <w:rPr>
          <w:rFonts w:hint="eastAsia"/>
          <w:color w:val="auto"/>
        </w:rPr>
        <w:fldChar w:fldCharType="end"/>
      </w:r>
      <w:r>
        <w:rPr>
          <w:rFonts w:hint="eastAsia"/>
          <w:color w:val="auto"/>
        </w:rPr>
        <w:fldChar w:fldCharType="end"/>
      </w:r>
    </w:p>
    <w:p w14:paraId="7E0A72D5">
      <w:pPr>
        <w:pStyle w:val="95"/>
        <w:spacing w:after="360"/>
        <w:rPr>
          <w:color w:val="auto"/>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color w:val="auto"/>
        </w:rPr>
        <w:fldChar w:fldCharType="end"/>
      </w:r>
    </w:p>
    <w:bookmarkEnd w:id="21"/>
    <w:p w14:paraId="71A6EDD2">
      <w:pPr>
        <w:pStyle w:val="93"/>
        <w:spacing w:after="360"/>
        <w:rPr>
          <w:color w:val="auto"/>
        </w:rPr>
      </w:pPr>
      <w:bookmarkStart w:id="29" w:name="_Toc228350757"/>
      <w:bookmarkStart w:id="30" w:name="BookMark2"/>
      <w:r>
        <w:rPr>
          <w:color w:val="auto"/>
          <w:spacing w:val="320"/>
        </w:rPr>
        <w:t>前</w:t>
      </w:r>
      <w:r>
        <w:rPr>
          <w:color w:val="auto"/>
        </w:rPr>
        <w:t>言</w:t>
      </w:r>
      <w:bookmarkEnd w:id="22"/>
      <w:bookmarkEnd w:id="23"/>
      <w:bookmarkEnd w:id="24"/>
      <w:bookmarkEnd w:id="25"/>
      <w:bookmarkEnd w:id="26"/>
      <w:bookmarkEnd w:id="27"/>
      <w:bookmarkEnd w:id="28"/>
      <w:bookmarkEnd w:id="29"/>
    </w:p>
    <w:p w14:paraId="2BFE8E59">
      <w:pPr>
        <w:pStyle w:val="60"/>
        <w:ind w:firstLine="420"/>
        <w:rPr>
          <w:color w:val="auto"/>
        </w:rPr>
      </w:pPr>
      <w:r>
        <w:rPr>
          <w:rFonts w:hint="eastAsia"/>
          <w:color w:val="auto"/>
        </w:rPr>
        <w:t>本文件参照GB/T 1.1—2020《标准化工作导则  第1部分：标准化文件的结构和起草规则》的规定起草。</w:t>
      </w:r>
    </w:p>
    <w:p w14:paraId="5FA7A5F3">
      <w:pPr>
        <w:pStyle w:val="60"/>
        <w:ind w:firstLine="420"/>
        <w:rPr>
          <w:color w:val="auto"/>
        </w:rPr>
      </w:pPr>
      <w:r>
        <w:rPr>
          <w:rFonts w:hint="eastAsia"/>
          <w:color w:val="auto"/>
        </w:rPr>
        <w:t>请注意本文件的某些内容可能涉及专利。本文件的发布机构不承担识别专利的责任。</w:t>
      </w:r>
    </w:p>
    <w:p w14:paraId="3D964F44">
      <w:pPr>
        <w:pStyle w:val="60"/>
        <w:ind w:firstLine="420"/>
        <w:rPr>
          <w:color w:val="auto"/>
        </w:rPr>
      </w:pPr>
      <w:r>
        <w:rPr>
          <w:rFonts w:hint="eastAsia"/>
          <w:color w:val="auto"/>
        </w:rPr>
        <w:t>本文件由广西壮族自治区地震局提出和</w:t>
      </w:r>
      <w:r>
        <w:rPr>
          <w:color w:val="auto"/>
        </w:rPr>
        <w:t>宣贯</w:t>
      </w:r>
      <w:r>
        <w:rPr>
          <w:rFonts w:hint="eastAsia"/>
          <w:color w:val="auto"/>
        </w:rPr>
        <w:t>。</w:t>
      </w:r>
    </w:p>
    <w:p w14:paraId="4A6BC46F">
      <w:pPr>
        <w:pStyle w:val="60"/>
        <w:ind w:firstLine="420"/>
        <w:rPr>
          <w:color w:val="auto"/>
        </w:rPr>
      </w:pPr>
      <w:r>
        <w:rPr>
          <w:rFonts w:hint="eastAsia"/>
          <w:color w:val="auto"/>
        </w:rPr>
        <w:t>本文件由广西标准化协会归口。</w:t>
      </w:r>
    </w:p>
    <w:p w14:paraId="235BC346">
      <w:pPr>
        <w:pStyle w:val="60"/>
        <w:ind w:firstLine="420"/>
        <w:rPr>
          <w:color w:val="auto"/>
        </w:rPr>
      </w:pPr>
      <w:r>
        <w:rPr>
          <w:rFonts w:hint="eastAsia"/>
          <w:color w:val="auto"/>
        </w:rPr>
        <w:t>本文件起草单位：广西壮族自治区地震局、广西壮族自治区防震减灾和紧急救援办公室、广西壮族自治区震灾风险防治中心、桂林理工大学。</w:t>
      </w:r>
    </w:p>
    <w:p w14:paraId="125F0BF4">
      <w:pPr>
        <w:pStyle w:val="60"/>
        <w:ind w:firstLine="420"/>
        <w:rPr>
          <w:color w:val="auto"/>
        </w:rPr>
      </w:pPr>
      <w:r>
        <w:rPr>
          <w:rFonts w:hint="eastAsia"/>
          <w:color w:val="auto"/>
        </w:rPr>
        <w:t>本文件主要起草人：谭劲先、李海、钟德伟、史水平、梁结、周军学、张忠利、陈立春、李冰溯、吴教兵、张沛全、何兴敦、南义乐、李蕾、赵修敏、何声。</w:t>
      </w:r>
    </w:p>
    <w:p w14:paraId="635A59F8">
      <w:pPr>
        <w:pStyle w:val="60"/>
        <w:ind w:firstLine="420"/>
        <w:rPr>
          <w:color w:val="auto"/>
        </w:rPr>
      </w:pPr>
    </w:p>
    <w:p w14:paraId="1C3A6021">
      <w:pPr>
        <w:pStyle w:val="60"/>
        <w:ind w:firstLine="420"/>
        <w:rPr>
          <w:color w:val="auto"/>
        </w:rPr>
        <w:sectPr>
          <w:pgSz w:w="11906" w:h="16838"/>
          <w:pgMar w:top="1928" w:right="1134" w:bottom="1134" w:left="1134" w:header="1418" w:footer="1134" w:gutter="284"/>
          <w:pgNumType w:fmt="upperRoman"/>
          <w:cols w:space="425" w:num="1"/>
          <w:formProt w:val="0"/>
          <w:docGrid w:linePitch="312" w:charSpace="0"/>
        </w:sectPr>
      </w:pPr>
    </w:p>
    <w:bookmarkEnd w:id="30"/>
    <w:p w14:paraId="06868E16">
      <w:pPr>
        <w:spacing w:line="20" w:lineRule="exact"/>
        <w:jc w:val="center"/>
        <w:rPr>
          <w:rFonts w:hint="eastAsia" w:ascii="黑体" w:hAnsi="黑体" w:eastAsia="黑体"/>
          <w:color w:val="auto"/>
          <w:sz w:val="32"/>
          <w:szCs w:val="32"/>
        </w:rPr>
      </w:pPr>
      <w:bookmarkStart w:id="31" w:name="BookMark4"/>
    </w:p>
    <w:p w14:paraId="73058907">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1502959BF3244B5587813501B04DB51E"/>
        </w:placeholder>
      </w:sdtPr>
      <w:sdtEndPr>
        <w:rPr>
          <w:color w:val="auto"/>
        </w:rPr>
      </w:sdtEndPr>
      <w:sdtContent>
        <w:p w14:paraId="3666C3BC">
          <w:pPr>
            <w:pStyle w:val="181"/>
            <w:spacing w:before="240" w:beforeLines="100" w:after="528" w:afterLines="220"/>
            <w:rPr>
              <w:rFonts w:hint="eastAsia"/>
              <w:color w:val="auto"/>
            </w:rPr>
          </w:pPr>
          <w:bookmarkStart w:id="32" w:name="NEW_STAND_NAME"/>
          <w:r>
            <w:rPr>
              <w:rFonts w:hint="eastAsia"/>
              <w:color w:val="auto"/>
            </w:rPr>
            <w:t>地震安全性评价现场工作技术规范</w:t>
          </w:r>
        </w:p>
      </w:sdtContent>
    </w:sdt>
    <w:bookmarkEnd w:id="32"/>
    <w:p w14:paraId="1F6FD63F">
      <w:pPr>
        <w:pStyle w:val="108"/>
        <w:spacing w:before="240" w:after="240"/>
        <w:rPr>
          <w:color w:val="auto"/>
        </w:rPr>
      </w:pPr>
      <w:bookmarkStart w:id="33" w:name="_Toc225318607"/>
      <w:bookmarkStart w:id="34" w:name="_Toc225318561"/>
      <w:bookmarkStart w:id="35" w:name="_Toc24884218"/>
      <w:bookmarkStart w:id="36" w:name="_Toc26718930"/>
      <w:bookmarkStart w:id="37" w:name="_Toc225514716"/>
      <w:bookmarkStart w:id="38" w:name="_Toc17233333"/>
      <w:bookmarkStart w:id="39" w:name="_Toc26986530"/>
      <w:bookmarkStart w:id="40" w:name="_Toc228292181"/>
      <w:bookmarkStart w:id="41" w:name="_Toc97192964"/>
      <w:bookmarkStart w:id="42" w:name="_Toc17233325"/>
      <w:bookmarkStart w:id="43" w:name="_Toc227048076"/>
      <w:bookmarkStart w:id="44" w:name="_Toc26986771"/>
      <w:bookmarkStart w:id="45" w:name="_Toc224899493"/>
      <w:bookmarkStart w:id="46" w:name="_Toc26648465"/>
      <w:bookmarkStart w:id="47" w:name="_Toc228350758"/>
      <w:bookmarkStart w:id="48" w:name="_Toc24884211"/>
      <w:bookmarkStart w:id="49" w:name="_Toc227048091"/>
      <w:r>
        <w:rPr>
          <w:rFonts w:hint="eastAsia"/>
          <w:color w:val="auto"/>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07AE549">
      <w:pPr>
        <w:pStyle w:val="60"/>
        <w:ind w:firstLine="420"/>
        <w:rPr>
          <w:color w:val="auto"/>
        </w:rPr>
      </w:pPr>
      <w:bookmarkStart w:id="50" w:name="_Toc26648466"/>
      <w:bookmarkStart w:id="51" w:name="_Toc24884212"/>
      <w:bookmarkStart w:id="52" w:name="_Toc17233334"/>
      <w:bookmarkStart w:id="53" w:name="_Toc17233326"/>
      <w:bookmarkStart w:id="54" w:name="_Toc24884219"/>
      <w:r>
        <w:rPr>
          <w:rFonts w:hint="eastAsia"/>
          <w:color w:val="auto"/>
        </w:rPr>
        <w:t>本文件</w:t>
      </w:r>
      <w:r>
        <w:rPr>
          <w:color w:val="auto"/>
        </w:rPr>
        <w:t>规定了</w:t>
      </w:r>
      <w:r>
        <w:rPr>
          <w:rFonts w:hint="eastAsia"/>
          <w:color w:val="auto"/>
        </w:rPr>
        <w:t>地震安全性评价现场工作的工作准备、近场区断层活动性调查、场址附近及场地活动断层勘察、场地钻探、土样采集及测试、波速测试、地震地质灾害调查、资料处理与归档</w:t>
      </w:r>
      <w:r>
        <w:rPr>
          <w:color w:val="auto"/>
        </w:rPr>
        <w:t>的要求。</w:t>
      </w:r>
    </w:p>
    <w:p w14:paraId="25BAF66A">
      <w:pPr>
        <w:pStyle w:val="60"/>
        <w:ind w:firstLine="420"/>
        <w:rPr>
          <w:color w:val="auto"/>
        </w:rPr>
      </w:pPr>
      <w:r>
        <w:rPr>
          <w:rFonts w:hint="eastAsia"/>
          <w:color w:val="auto"/>
        </w:rPr>
        <w:t>本文件</w:t>
      </w:r>
      <w:r>
        <w:rPr>
          <w:color w:val="auto"/>
        </w:rPr>
        <w:t>适用于</w:t>
      </w:r>
      <w:r>
        <w:rPr>
          <w:rFonts w:hint="eastAsia"/>
          <w:color w:val="auto"/>
        </w:rPr>
        <w:t>开展工程场地地震安全性评价、区域性地震安全性评价的现场工作。</w:t>
      </w:r>
    </w:p>
    <w:p w14:paraId="108C12A2">
      <w:pPr>
        <w:pStyle w:val="108"/>
        <w:spacing w:before="240" w:after="240"/>
        <w:rPr>
          <w:color w:val="auto"/>
        </w:rPr>
      </w:pPr>
      <w:bookmarkStart w:id="55" w:name="_Toc26986772"/>
      <w:bookmarkStart w:id="56" w:name="_Toc227048077"/>
      <w:bookmarkStart w:id="57" w:name="_Toc224899494"/>
      <w:bookmarkStart w:id="58" w:name="_Toc26718931"/>
      <w:bookmarkStart w:id="59" w:name="_Toc227048092"/>
      <w:bookmarkStart w:id="60" w:name="_Toc225318608"/>
      <w:bookmarkStart w:id="61" w:name="_Toc26986531"/>
      <w:bookmarkStart w:id="62" w:name="_Toc225514717"/>
      <w:bookmarkStart w:id="63" w:name="_Toc228292182"/>
      <w:bookmarkStart w:id="64" w:name="_Toc97192965"/>
      <w:bookmarkStart w:id="65" w:name="_Toc225318562"/>
      <w:bookmarkStart w:id="66" w:name="_Toc228350759"/>
      <w:r>
        <w:rPr>
          <w:rFonts w:hint="eastAsia"/>
          <w:color w:val="auto"/>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color w:val="auto"/>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68B38753">
          <w:pPr>
            <w:pStyle w:val="60"/>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5B5704">
      <w:pPr>
        <w:pStyle w:val="60"/>
        <w:ind w:firstLine="420"/>
        <w:rPr>
          <w:color w:val="auto"/>
        </w:rPr>
      </w:pPr>
      <w:r>
        <w:rPr>
          <w:rFonts w:hint="eastAsia"/>
          <w:color w:val="auto"/>
        </w:rPr>
        <w:t>GB 17741  工程场地地震安全性评价</w:t>
      </w:r>
    </w:p>
    <w:p w14:paraId="2D260274">
      <w:pPr>
        <w:pStyle w:val="60"/>
        <w:ind w:firstLine="420"/>
        <w:rPr>
          <w:color w:val="auto"/>
        </w:rPr>
      </w:pPr>
      <w:r>
        <w:rPr>
          <w:rFonts w:hint="eastAsia"/>
          <w:color w:val="auto"/>
        </w:rPr>
        <w:t>GB 18306  中国地震动参数区划图</w:t>
      </w:r>
    </w:p>
    <w:p w14:paraId="2638F95A">
      <w:pPr>
        <w:pStyle w:val="60"/>
        <w:ind w:firstLine="420"/>
        <w:rPr>
          <w:color w:val="auto"/>
        </w:rPr>
      </w:pPr>
      <w:r>
        <w:rPr>
          <w:rFonts w:hint="eastAsia"/>
          <w:color w:val="auto"/>
        </w:rPr>
        <w:t>GB/T 36072  活动断层探测</w:t>
      </w:r>
    </w:p>
    <w:p w14:paraId="72C2CA08">
      <w:pPr>
        <w:pStyle w:val="60"/>
        <w:ind w:firstLine="420"/>
        <w:rPr>
          <w:color w:val="auto"/>
        </w:rPr>
      </w:pPr>
      <w:r>
        <w:rPr>
          <w:rFonts w:hint="eastAsia"/>
          <w:color w:val="auto"/>
        </w:rPr>
        <w:t>GB 50021  岩土工程勘察规范</w:t>
      </w:r>
    </w:p>
    <w:p w14:paraId="35CD9B07">
      <w:pPr>
        <w:pStyle w:val="60"/>
        <w:ind w:firstLine="420"/>
        <w:rPr>
          <w:color w:val="auto"/>
        </w:rPr>
      </w:pPr>
      <w:r>
        <w:rPr>
          <w:rFonts w:hint="eastAsia"/>
          <w:color w:val="auto"/>
        </w:rPr>
        <w:t>DB/T 100  区域性地震安全性价</w:t>
      </w:r>
    </w:p>
    <w:p w14:paraId="2BC13AC7">
      <w:pPr>
        <w:pStyle w:val="60"/>
        <w:ind w:firstLine="420"/>
        <w:rPr>
          <w:color w:val="auto"/>
        </w:rPr>
      </w:pPr>
      <w:r>
        <w:rPr>
          <w:rFonts w:hint="eastAsia"/>
          <w:color w:val="auto"/>
        </w:rPr>
        <w:t>JGJ/T 87  建筑工程地质勘探与取样技术规程</w:t>
      </w:r>
    </w:p>
    <w:p w14:paraId="2EF8B8F7">
      <w:pPr>
        <w:pStyle w:val="108"/>
        <w:spacing w:before="240" w:after="240"/>
        <w:rPr>
          <w:color w:val="auto"/>
        </w:rPr>
      </w:pPr>
      <w:bookmarkStart w:id="67" w:name="_Toc225318609"/>
      <w:bookmarkStart w:id="68" w:name="_Toc227048078"/>
      <w:bookmarkStart w:id="69" w:name="_Toc225318563"/>
      <w:bookmarkStart w:id="70" w:name="_Toc228292183"/>
      <w:bookmarkStart w:id="71" w:name="_Toc224899495"/>
      <w:bookmarkStart w:id="72" w:name="_Toc227048093"/>
      <w:bookmarkStart w:id="73" w:name="_Toc97192966"/>
      <w:bookmarkStart w:id="74" w:name="_Toc228350760"/>
      <w:bookmarkStart w:id="75" w:name="_Toc225514718"/>
      <w:r>
        <w:rPr>
          <w:rFonts w:hint="eastAsia"/>
          <w:color w:val="auto"/>
          <w:szCs w:val="21"/>
        </w:rPr>
        <w:t>术语和定义</w:t>
      </w:r>
      <w:bookmarkEnd w:id="67"/>
      <w:bookmarkEnd w:id="68"/>
      <w:bookmarkEnd w:id="69"/>
      <w:bookmarkEnd w:id="70"/>
      <w:bookmarkEnd w:id="71"/>
      <w:bookmarkEnd w:id="72"/>
      <w:bookmarkEnd w:id="73"/>
      <w:bookmarkEnd w:id="74"/>
      <w:bookmarkEnd w:id="75"/>
    </w:p>
    <w:sdt>
      <w:sdtPr>
        <w:rPr>
          <w:rFonts w:hint="eastAsia"/>
          <w:color w:val="auto"/>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auto"/>
        </w:rPr>
      </w:sdtEndPr>
      <w:sdtContent>
        <w:p w14:paraId="16DC98F3">
          <w:pPr>
            <w:pStyle w:val="60"/>
            <w:ind w:firstLine="420"/>
            <w:rPr>
              <w:color w:val="auto"/>
            </w:rPr>
          </w:pPr>
          <w:bookmarkStart w:id="76" w:name="_Toc26986532"/>
          <w:bookmarkEnd w:id="76"/>
          <w:r>
            <w:rPr>
              <w:rFonts w:hint="eastAsia"/>
              <w:color w:val="auto"/>
            </w:rPr>
            <w:t>GB 17741、GB/T 36072、GB 50021、DB/T 100、JGJ/T 87界定的术语和定义适用于本文件。</w:t>
          </w:r>
        </w:p>
      </w:sdtContent>
    </w:sdt>
    <w:p w14:paraId="27E4651D">
      <w:pPr>
        <w:pStyle w:val="108"/>
        <w:spacing w:before="240" w:after="240"/>
        <w:rPr>
          <w:color w:val="auto"/>
        </w:rPr>
      </w:pPr>
      <w:bookmarkStart w:id="77" w:name="_Toc225514719"/>
      <w:bookmarkStart w:id="78" w:name="_Toc224899496"/>
      <w:bookmarkStart w:id="79" w:name="_Toc228292184"/>
      <w:bookmarkStart w:id="80" w:name="_Toc227048094"/>
      <w:bookmarkStart w:id="81" w:name="_Toc225318564"/>
      <w:bookmarkStart w:id="82" w:name="_Toc228350761"/>
      <w:bookmarkStart w:id="83" w:name="_Toc227048079"/>
      <w:bookmarkStart w:id="84" w:name="_Toc225318610"/>
      <w:r>
        <w:rPr>
          <w:rFonts w:hint="eastAsia"/>
          <w:color w:val="auto"/>
        </w:rPr>
        <w:t>工作准备</w:t>
      </w:r>
      <w:bookmarkEnd w:id="77"/>
      <w:bookmarkEnd w:id="78"/>
      <w:bookmarkEnd w:id="79"/>
      <w:bookmarkEnd w:id="80"/>
      <w:bookmarkEnd w:id="81"/>
      <w:bookmarkEnd w:id="82"/>
      <w:bookmarkEnd w:id="83"/>
      <w:bookmarkEnd w:id="84"/>
    </w:p>
    <w:p w14:paraId="0007E447">
      <w:pPr>
        <w:pStyle w:val="109"/>
        <w:spacing w:before="120" w:after="120"/>
        <w:rPr>
          <w:color w:val="auto"/>
        </w:rPr>
      </w:pPr>
      <w:bookmarkStart w:id="85" w:name="_Toc228292185"/>
      <w:bookmarkStart w:id="86" w:name="_Toc225318565"/>
      <w:bookmarkStart w:id="87" w:name="_Toc224899497"/>
      <w:bookmarkStart w:id="88" w:name="_Toc228350762"/>
      <w:r>
        <w:rPr>
          <w:rFonts w:hint="eastAsia"/>
          <w:color w:val="auto"/>
        </w:rPr>
        <w:t>资料收集</w:t>
      </w:r>
      <w:bookmarkEnd w:id="85"/>
      <w:bookmarkEnd w:id="86"/>
      <w:bookmarkEnd w:id="87"/>
      <w:bookmarkEnd w:id="88"/>
    </w:p>
    <w:p w14:paraId="49CD29FF">
      <w:pPr>
        <w:pStyle w:val="69"/>
        <w:spacing w:before="120" w:after="120"/>
        <w:rPr>
          <w:color w:val="auto"/>
        </w:rPr>
      </w:pPr>
      <w:r>
        <w:rPr>
          <w:rFonts w:hint="eastAsia"/>
          <w:color w:val="auto"/>
        </w:rPr>
        <w:t>近场区断层活动性鉴定</w:t>
      </w:r>
    </w:p>
    <w:p w14:paraId="5ED0E9F0">
      <w:pPr>
        <w:pStyle w:val="60"/>
        <w:ind w:firstLine="420"/>
        <w:rPr>
          <w:color w:val="auto"/>
        </w:rPr>
      </w:pPr>
      <w:r>
        <w:rPr>
          <w:rFonts w:hint="eastAsia"/>
          <w:color w:val="auto"/>
        </w:rPr>
        <w:t>应收集下列资料：</w:t>
      </w:r>
    </w:p>
    <w:p w14:paraId="0FAB7C8C">
      <w:pPr>
        <w:pStyle w:val="136"/>
        <w:numPr>
          <w:ilvl w:val="0"/>
          <w:numId w:val="0"/>
        </w:numPr>
        <w:tabs>
          <w:tab w:val="clear" w:pos="851"/>
        </w:tabs>
        <w:ind w:left="851" w:hanging="426"/>
        <w:rPr>
          <w:color w:val="auto"/>
        </w:rPr>
      </w:pPr>
      <w:r>
        <w:rPr>
          <w:rFonts w:hint="eastAsia"/>
          <w:color w:val="auto"/>
        </w:rPr>
        <w:t>——基础地质：不同比例尺区域地质图、水文地质图、第四纪地质地貌图、大地构造单元划分图、活动断块划分图等及其说明书，工程勘探、钻探及其报告，科研专著、论文等；</w:t>
      </w:r>
    </w:p>
    <w:p w14:paraId="40D5D0F7">
      <w:pPr>
        <w:pStyle w:val="136"/>
        <w:numPr>
          <w:ilvl w:val="0"/>
          <w:numId w:val="0"/>
        </w:numPr>
        <w:tabs>
          <w:tab w:val="clear" w:pos="851"/>
        </w:tabs>
        <w:ind w:left="851" w:hanging="426"/>
        <w:rPr>
          <w:color w:val="auto"/>
        </w:rPr>
      </w:pPr>
      <w:r>
        <w:rPr>
          <w:rFonts w:hint="eastAsia"/>
          <w:color w:val="auto"/>
        </w:rPr>
        <w:t>——基础地理信息：相关比例尺地形图、行政区划和交通图等；</w:t>
      </w:r>
    </w:p>
    <w:p w14:paraId="65BE5FDB">
      <w:pPr>
        <w:pStyle w:val="136"/>
        <w:numPr>
          <w:ilvl w:val="0"/>
          <w:numId w:val="0"/>
        </w:numPr>
        <w:tabs>
          <w:tab w:val="clear" w:pos="851"/>
        </w:tabs>
        <w:ind w:left="851" w:hanging="426"/>
        <w:rPr>
          <w:color w:val="auto"/>
        </w:rPr>
      </w:pPr>
      <w:r>
        <w:rPr>
          <w:rFonts w:hint="eastAsia"/>
          <w:color w:val="auto"/>
        </w:rPr>
        <w:t>——遥感影像：不同时期的卫星、航空影像图；</w:t>
      </w:r>
    </w:p>
    <w:p w14:paraId="53704360">
      <w:pPr>
        <w:pStyle w:val="136"/>
        <w:numPr>
          <w:ilvl w:val="0"/>
          <w:numId w:val="0"/>
        </w:numPr>
        <w:tabs>
          <w:tab w:val="clear" w:pos="851"/>
        </w:tabs>
        <w:ind w:left="851" w:hanging="426"/>
        <w:rPr>
          <w:color w:val="auto"/>
        </w:rPr>
      </w:pPr>
      <w:r>
        <w:rPr>
          <w:rFonts w:hint="eastAsia"/>
          <w:color w:val="auto"/>
        </w:rPr>
        <w:t>——活动构造：活动构造分布图、地震安全性评价、区域性地震安全性评价和地震小区划报告等。</w:t>
      </w:r>
    </w:p>
    <w:p w14:paraId="14D5AC85">
      <w:pPr>
        <w:pStyle w:val="69"/>
        <w:spacing w:before="120" w:after="120"/>
        <w:rPr>
          <w:color w:val="auto"/>
        </w:rPr>
      </w:pPr>
      <w:r>
        <w:rPr>
          <w:rFonts w:hint="eastAsia"/>
          <w:color w:val="auto"/>
        </w:rPr>
        <w:t>场址附近及场地活动断层勘查</w:t>
      </w:r>
    </w:p>
    <w:p w14:paraId="64481A58">
      <w:pPr>
        <w:pStyle w:val="60"/>
        <w:ind w:firstLine="420"/>
        <w:rPr>
          <w:color w:val="auto"/>
        </w:rPr>
      </w:pPr>
      <w:r>
        <w:rPr>
          <w:rFonts w:hint="eastAsia"/>
          <w:color w:val="auto"/>
        </w:rPr>
        <w:t>应收集下列资料：</w:t>
      </w:r>
    </w:p>
    <w:p w14:paraId="3D278C5E">
      <w:pPr>
        <w:pStyle w:val="136"/>
        <w:numPr>
          <w:ilvl w:val="0"/>
          <w:numId w:val="0"/>
        </w:numPr>
        <w:tabs>
          <w:tab w:val="clear" w:pos="851"/>
        </w:tabs>
        <w:ind w:left="851" w:hanging="426"/>
        <w:rPr>
          <w:color w:val="auto"/>
        </w:rPr>
      </w:pPr>
      <w:r>
        <w:rPr>
          <w:rFonts w:hint="eastAsia"/>
          <w:color w:val="auto"/>
        </w:rPr>
        <w:t>——地质、水文地质和工程地质资料；</w:t>
      </w:r>
    </w:p>
    <w:p w14:paraId="3140C94B">
      <w:pPr>
        <w:pStyle w:val="136"/>
        <w:numPr>
          <w:ilvl w:val="0"/>
          <w:numId w:val="0"/>
        </w:numPr>
        <w:tabs>
          <w:tab w:val="clear" w:pos="851"/>
        </w:tabs>
        <w:ind w:left="851" w:hanging="426"/>
        <w:rPr>
          <w:color w:val="auto"/>
        </w:rPr>
      </w:pPr>
      <w:r>
        <w:rPr>
          <w:rFonts w:hint="eastAsia"/>
          <w:color w:val="auto"/>
        </w:rPr>
        <w:t>——地震地质、第四纪地质和地貌资料；</w:t>
      </w:r>
    </w:p>
    <w:p w14:paraId="1D76FF3D">
      <w:pPr>
        <w:pStyle w:val="136"/>
        <w:numPr>
          <w:ilvl w:val="0"/>
          <w:numId w:val="0"/>
        </w:numPr>
        <w:tabs>
          <w:tab w:val="clear" w:pos="851"/>
        </w:tabs>
        <w:ind w:left="851" w:hanging="426"/>
        <w:rPr>
          <w:color w:val="auto"/>
        </w:rPr>
      </w:pPr>
      <w:r>
        <w:rPr>
          <w:rFonts w:hint="eastAsia"/>
          <w:color w:val="auto"/>
        </w:rPr>
        <w:t>——地球物理勘探资料；</w:t>
      </w:r>
    </w:p>
    <w:p w14:paraId="792A9B74">
      <w:pPr>
        <w:pStyle w:val="136"/>
        <w:numPr>
          <w:ilvl w:val="0"/>
          <w:numId w:val="0"/>
        </w:numPr>
        <w:tabs>
          <w:tab w:val="clear" w:pos="851"/>
        </w:tabs>
        <w:ind w:left="851" w:hanging="426"/>
        <w:rPr>
          <w:color w:val="auto"/>
        </w:rPr>
      </w:pPr>
      <w:r>
        <w:rPr>
          <w:rFonts w:hint="eastAsia"/>
          <w:color w:val="auto"/>
        </w:rPr>
        <w:t>——遥感影像数据。</w:t>
      </w:r>
    </w:p>
    <w:p w14:paraId="729A983D">
      <w:pPr>
        <w:pStyle w:val="69"/>
        <w:spacing w:before="120" w:after="120"/>
        <w:rPr>
          <w:color w:val="auto"/>
        </w:rPr>
      </w:pPr>
      <w:bookmarkStart w:id="89" w:name="_Toc225318566"/>
      <w:r>
        <w:rPr>
          <w:rFonts w:hint="eastAsia"/>
          <w:color w:val="auto"/>
        </w:rPr>
        <w:t>场地钻探</w:t>
      </w:r>
      <w:bookmarkEnd w:id="89"/>
    </w:p>
    <w:p w14:paraId="2FCF59F7">
      <w:pPr>
        <w:pStyle w:val="60"/>
        <w:ind w:firstLine="420"/>
        <w:rPr>
          <w:color w:val="auto"/>
        </w:rPr>
      </w:pPr>
      <w:r>
        <w:rPr>
          <w:rFonts w:hint="eastAsia"/>
          <w:color w:val="auto"/>
        </w:rPr>
        <w:t>应收集工程概况，场地及其附近地区已有的工程地质勘察、地形地貌、地层岩性、地质构造、水文地质等资料。</w:t>
      </w:r>
    </w:p>
    <w:p w14:paraId="40BB31AC">
      <w:pPr>
        <w:pStyle w:val="60"/>
        <w:ind w:firstLine="420"/>
        <w:rPr>
          <w:color w:val="auto"/>
        </w:rPr>
      </w:pPr>
    </w:p>
    <w:p w14:paraId="686D5E43">
      <w:pPr>
        <w:pStyle w:val="60"/>
        <w:ind w:firstLine="420"/>
        <w:rPr>
          <w:color w:val="auto"/>
        </w:rPr>
      </w:pPr>
    </w:p>
    <w:p w14:paraId="46C614D2">
      <w:pPr>
        <w:pStyle w:val="109"/>
        <w:spacing w:before="120" w:after="120"/>
        <w:rPr>
          <w:color w:val="auto"/>
        </w:rPr>
      </w:pPr>
      <w:bookmarkStart w:id="90" w:name="_Toc228350763"/>
      <w:bookmarkStart w:id="91" w:name="_Toc225318567"/>
      <w:bookmarkStart w:id="92" w:name="_Toc224899498"/>
      <w:bookmarkStart w:id="93" w:name="_Toc228292186"/>
      <w:r>
        <w:rPr>
          <w:rFonts w:hint="eastAsia"/>
          <w:color w:val="auto"/>
        </w:rPr>
        <w:t>现场踏勘</w:t>
      </w:r>
      <w:bookmarkEnd w:id="90"/>
      <w:bookmarkEnd w:id="91"/>
      <w:bookmarkEnd w:id="92"/>
      <w:bookmarkEnd w:id="93"/>
    </w:p>
    <w:p w14:paraId="38198605">
      <w:pPr>
        <w:pStyle w:val="169"/>
        <w:rPr>
          <w:color w:val="auto"/>
        </w:rPr>
      </w:pPr>
      <w:r>
        <w:rPr>
          <w:rFonts w:hint="eastAsia"/>
          <w:color w:val="auto"/>
        </w:rPr>
        <w:t>近场区、场址附近现场踏勘应包括下列内容：</w:t>
      </w:r>
    </w:p>
    <w:p w14:paraId="46373D77">
      <w:pPr>
        <w:pStyle w:val="136"/>
        <w:numPr>
          <w:ilvl w:val="0"/>
          <w:numId w:val="0"/>
        </w:numPr>
        <w:tabs>
          <w:tab w:val="clear" w:pos="851"/>
        </w:tabs>
        <w:ind w:left="851" w:hanging="426"/>
        <w:rPr>
          <w:color w:val="auto"/>
        </w:rPr>
      </w:pPr>
      <w:r>
        <w:rPr>
          <w:rFonts w:hint="eastAsia"/>
          <w:color w:val="auto"/>
        </w:rPr>
        <w:t>——交通条件、工作环境、人文和社会情况；</w:t>
      </w:r>
    </w:p>
    <w:p w14:paraId="503DDB4A">
      <w:pPr>
        <w:pStyle w:val="136"/>
        <w:numPr>
          <w:ilvl w:val="0"/>
          <w:numId w:val="0"/>
        </w:numPr>
        <w:tabs>
          <w:tab w:val="clear" w:pos="851"/>
        </w:tabs>
        <w:ind w:left="851" w:hanging="426"/>
        <w:rPr>
          <w:color w:val="auto"/>
        </w:rPr>
      </w:pPr>
      <w:r>
        <w:rPr>
          <w:rFonts w:hint="eastAsia"/>
          <w:color w:val="auto"/>
        </w:rPr>
        <w:t>——活动断层、活动褶皱、第四纪地层地貌等基本特征</w:t>
      </w:r>
    </w:p>
    <w:p w14:paraId="701296A6">
      <w:pPr>
        <w:pStyle w:val="136"/>
        <w:numPr>
          <w:ilvl w:val="0"/>
          <w:numId w:val="0"/>
        </w:numPr>
        <w:tabs>
          <w:tab w:val="clear" w:pos="851"/>
        </w:tabs>
        <w:ind w:left="851" w:hanging="426"/>
        <w:rPr>
          <w:color w:val="auto"/>
        </w:rPr>
      </w:pPr>
      <w:r>
        <w:rPr>
          <w:rFonts w:hint="eastAsia"/>
          <w:color w:val="auto"/>
        </w:rPr>
        <w:t>物探测线位置等。</w:t>
      </w:r>
    </w:p>
    <w:p w14:paraId="142A464F">
      <w:pPr>
        <w:pStyle w:val="169"/>
        <w:rPr>
          <w:color w:val="auto"/>
        </w:rPr>
      </w:pPr>
      <w:r>
        <w:rPr>
          <w:rFonts w:hint="eastAsia"/>
          <w:color w:val="auto"/>
        </w:rPr>
        <w:t>场地现场踏勘应包括下列内容：</w:t>
      </w:r>
    </w:p>
    <w:p w14:paraId="34D7FCAC">
      <w:pPr>
        <w:pStyle w:val="136"/>
        <w:numPr>
          <w:ilvl w:val="0"/>
          <w:numId w:val="0"/>
        </w:numPr>
        <w:tabs>
          <w:tab w:val="clear" w:pos="851"/>
        </w:tabs>
        <w:ind w:left="851" w:hanging="426"/>
        <w:rPr>
          <w:color w:val="auto"/>
        </w:rPr>
      </w:pPr>
      <w:r>
        <w:rPr>
          <w:rFonts w:hint="eastAsia"/>
          <w:color w:val="auto"/>
        </w:rPr>
        <w:t>——地形地貌条件；</w:t>
      </w:r>
    </w:p>
    <w:p w14:paraId="5D052042">
      <w:pPr>
        <w:pStyle w:val="136"/>
        <w:numPr>
          <w:ilvl w:val="0"/>
          <w:numId w:val="0"/>
        </w:numPr>
        <w:tabs>
          <w:tab w:val="clear" w:pos="851"/>
        </w:tabs>
        <w:ind w:left="851" w:hanging="426"/>
        <w:rPr>
          <w:color w:val="auto"/>
        </w:rPr>
      </w:pPr>
      <w:r>
        <w:rPr>
          <w:rFonts w:hint="eastAsia"/>
          <w:color w:val="auto"/>
        </w:rPr>
        <w:t>——周围建(构)筑物、交通条件；</w:t>
      </w:r>
    </w:p>
    <w:p w14:paraId="28B372A6">
      <w:pPr>
        <w:pStyle w:val="136"/>
        <w:numPr>
          <w:ilvl w:val="0"/>
          <w:numId w:val="0"/>
        </w:numPr>
        <w:tabs>
          <w:tab w:val="clear" w:pos="851"/>
        </w:tabs>
        <w:ind w:left="851" w:hanging="426"/>
        <w:rPr>
          <w:color w:val="auto"/>
        </w:rPr>
      </w:pPr>
      <w:r>
        <w:rPr>
          <w:rFonts w:hint="eastAsia"/>
          <w:color w:val="auto"/>
        </w:rPr>
        <w:t>——物探测线位置等。</w:t>
      </w:r>
    </w:p>
    <w:p w14:paraId="074208A6">
      <w:pPr>
        <w:pStyle w:val="169"/>
        <w:rPr>
          <w:color w:val="auto"/>
        </w:rPr>
      </w:pPr>
      <w:r>
        <w:rPr>
          <w:rFonts w:hint="eastAsia"/>
          <w:color w:val="auto"/>
        </w:rPr>
        <w:t>场地钻探现场踏勘应符合下列要求：</w:t>
      </w:r>
    </w:p>
    <w:p w14:paraId="0B528094">
      <w:pPr>
        <w:pStyle w:val="136"/>
        <w:numPr>
          <w:ilvl w:val="0"/>
          <w:numId w:val="0"/>
        </w:numPr>
        <w:tabs>
          <w:tab w:val="clear" w:pos="851"/>
        </w:tabs>
        <w:ind w:left="851" w:hanging="426"/>
        <w:rPr>
          <w:color w:val="auto"/>
        </w:rPr>
      </w:pPr>
      <w:r>
        <w:rPr>
          <w:rFonts w:hint="eastAsia"/>
          <w:color w:val="auto"/>
        </w:rPr>
        <w:t>——地形地貌条件适合施工；</w:t>
      </w:r>
    </w:p>
    <w:p w14:paraId="771B710C">
      <w:pPr>
        <w:pStyle w:val="136"/>
        <w:numPr>
          <w:ilvl w:val="0"/>
          <w:numId w:val="0"/>
        </w:numPr>
        <w:tabs>
          <w:tab w:val="clear" w:pos="851"/>
        </w:tabs>
        <w:ind w:left="851" w:hanging="426"/>
        <w:rPr>
          <w:color w:val="auto"/>
        </w:rPr>
      </w:pPr>
      <w:r>
        <w:rPr>
          <w:rFonts w:hint="eastAsia"/>
          <w:color w:val="auto"/>
        </w:rPr>
        <w:t>——与周围建（构）筑物（含地下、空中设施）有足够的安全距离；</w:t>
      </w:r>
    </w:p>
    <w:p w14:paraId="72CCDDE8">
      <w:pPr>
        <w:pStyle w:val="136"/>
        <w:numPr>
          <w:ilvl w:val="0"/>
          <w:numId w:val="0"/>
        </w:numPr>
        <w:tabs>
          <w:tab w:val="clear" w:pos="851"/>
        </w:tabs>
        <w:ind w:left="851" w:hanging="426"/>
        <w:rPr>
          <w:color w:val="auto"/>
        </w:rPr>
      </w:pPr>
      <w:r>
        <w:rPr>
          <w:rFonts w:hint="eastAsia"/>
          <w:color w:val="auto"/>
        </w:rPr>
        <w:t>——交通条件符合设备进出场的需要。</w:t>
      </w:r>
    </w:p>
    <w:p w14:paraId="3869F38F">
      <w:pPr>
        <w:pStyle w:val="109"/>
        <w:spacing w:before="120" w:after="120"/>
        <w:rPr>
          <w:color w:val="auto"/>
        </w:rPr>
      </w:pPr>
      <w:bookmarkStart w:id="94" w:name="_Toc228350764"/>
      <w:bookmarkStart w:id="95" w:name="_Toc225318568"/>
      <w:bookmarkStart w:id="96" w:name="_Toc228292187"/>
      <w:bookmarkStart w:id="97" w:name="_Toc224899499"/>
      <w:r>
        <w:rPr>
          <w:rFonts w:hint="eastAsia"/>
          <w:color w:val="auto"/>
        </w:rPr>
        <w:t>实施方案编制</w:t>
      </w:r>
      <w:bookmarkEnd w:id="94"/>
      <w:bookmarkEnd w:id="95"/>
      <w:bookmarkEnd w:id="96"/>
      <w:bookmarkEnd w:id="97"/>
    </w:p>
    <w:p w14:paraId="53B18C8A">
      <w:pPr>
        <w:pStyle w:val="169"/>
        <w:rPr>
          <w:color w:val="auto"/>
        </w:rPr>
      </w:pPr>
      <w:r>
        <w:rPr>
          <w:rFonts w:hint="eastAsia"/>
          <w:color w:val="auto"/>
        </w:rPr>
        <w:t>应在资料收集与现场踏勘的基础上编制实施方案。</w:t>
      </w:r>
    </w:p>
    <w:p w14:paraId="5D6970EF">
      <w:pPr>
        <w:pStyle w:val="169"/>
        <w:rPr>
          <w:color w:val="auto"/>
        </w:rPr>
      </w:pPr>
      <w:r>
        <w:rPr>
          <w:rFonts w:hint="eastAsia"/>
          <w:color w:val="auto"/>
        </w:rPr>
        <w:t>实施方案应包括以下内容：</w:t>
      </w:r>
    </w:p>
    <w:p w14:paraId="311E62C2">
      <w:pPr>
        <w:pStyle w:val="136"/>
        <w:numPr>
          <w:ilvl w:val="0"/>
          <w:numId w:val="0"/>
        </w:numPr>
        <w:tabs>
          <w:tab w:val="clear" w:pos="851"/>
        </w:tabs>
        <w:ind w:left="851" w:hanging="426"/>
        <w:rPr>
          <w:color w:val="auto"/>
        </w:rPr>
      </w:pPr>
      <w:r>
        <w:rPr>
          <w:rFonts w:hint="eastAsia"/>
          <w:color w:val="auto"/>
        </w:rPr>
        <w:t>——工程概况及工作目标；</w:t>
      </w:r>
    </w:p>
    <w:p w14:paraId="75BF6F76">
      <w:pPr>
        <w:pStyle w:val="136"/>
        <w:numPr>
          <w:ilvl w:val="0"/>
          <w:numId w:val="0"/>
        </w:numPr>
        <w:tabs>
          <w:tab w:val="clear" w:pos="851"/>
        </w:tabs>
        <w:ind w:left="851" w:hanging="426"/>
        <w:rPr>
          <w:color w:val="auto"/>
        </w:rPr>
      </w:pPr>
      <w:r>
        <w:rPr>
          <w:rFonts w:hint="eastAsia"/>
          <w:color w:val="auto"/>
        </w:rPr>
        <w:t>——已有的地质、地球物理勘探资料的分析；</w:t>
      </w:r>
    </w:p>
    <w:p w14:paraId="4C23EA8B">
      <w:pPr>
        <w:pStyle w:val="136"/>
        <w:numPr>
          <w:ilvl w:val="0"/>
          <w:numId w:val="0"/>
        </w:numPr>
        <w:tabs>
          <w:tab w:val="clear" w:pos="851"/>
        </w:tabs>
        <w:ind w:left="851" w:hanging="426"/>
        <w:rPr>
          <w:color w:val="auto"/>
        </w:rPr>
      </w:pPr>
      <w:r>
        <w:rPr>
          <w:rFonts w:hint="eastAsia"/>
          <w:color w:val="auto"/>
        </w:rPr>
        <w:t>——地质调查路线及调查点的设计；</w:t>
      </w:r>
    </w:p>
    <w:p w14:paraId="18E9A6E6">
      <w:pPr>
        <w:pStyle w:val="136"/>
        <w:numPr>
          <w:ilvl w:val="0"/>
          <w:numId w:val="0"/>
        </w:numPr>
        <w:tabs>
          <w:tab w:val="clear" w:pos="851"/>
        </w:tabs>
        <w:ind w:left="851" w:hanging="426"/>
        <w:rPr>
          <w:color w:val="auto"/>
        </w:rPr>
      </w:pPr>
      <w:r>
        <w:rPr>
          <w:rFonts w:hint="eastAsia"/>
          <w:color w:val="auto"/>
        </w:rPr>
        <w:t>——地球物理勘探方案；</w:t>
      </w:r>
    </w:p>
    <w:p w14:paraId="56B47535">
      <w:pPr>
        <w:pStyle w:val="136"/>
        <w:numPr>
          <w:ilvl w:val="0"/>
          <w:numId w:val="0"/>
        </w:numPr>
        <w:tabs>
          <w:tab w:val="clear" w:pos="851"/>
        </w:tabs>
        <w:ind w:left="851" w:hanging="426"/>
        <w:rPr>
          <w:color w:val="auto"/>
        </w:rPr>
      </w:pPr>
      <w:r>
        <w:rPr>
          <w:rFonts w:hint="eastAsia"/>
          <w:color w:val="auto"/>
        </w:rPr>
        <w:t>——地震工程地质条件勘测方案，包括钻孔布设、钻探方法、原位测试等；</w:t>
      </w:r>
    </w:p>
    <w:p w14:paraId="6401602C">
      <w:pPr>
        <w:pStyle w:val="136"/>
        <w:numPr>
          <w:ilvl w:val="0"/>
          <w:numId w:val="0"/>
        </w:numPr>
        <w:tabs>
          <w:tab w:val="clear" w:pos="851"/>
        </w:tabs>
        <w:ind w:left="851" w:hanging="426"/>
        <w:rPr>
          <w:color w:val="auto"/>
        </w:rPr>
      </w:pPr>
      <w:r>
        <w:rPr>
          <w:rFonts w:hint="eastAsia"/>
          <w:color w:val="auto"/>
        </w:rPr>
        <w:t>——样品采集方案；</w:t>
      </w:r>
    </w:p>
    <w:p w14:paraId="23D363BC">
      <w:pPr>
        <w:pStyle w:val="136"/>
        <w:numPr>
          <w:ilvl w:val="0"/>
          <w:numId w:val="0"/>
        </w:numPr>
        <w:tabs>
          <w:tab w:val="clear" w:pos="851"/>
        </w:tabs>
        <w:ind w:left="851" w:hanging="426"/>
        <w:rPr>
          <w:color w:val="auto"/>
        </w:rPr>
      </w:pPr>
      <w:r>
        <w:rPr>
          <w:rFonts w:hint="eastAsia"/>
          <w:color w:val="auto"/>
        </w:rPr>
        <w:t>——工作分组；</w:t>
      </w:r>
    </w:p>
    <w:p w14:paraId="7FA5DE69">
      <w:pPr>
        <w:pStyle w:val="136"/>
        <w:numPr>
          <w:ilvl w:val="0"/>
          <w:numId w:val="0"/>
        </w:numPr>
        <w:tabs>
          <w:tab w:val="clear" w:pos="851"/>
        </w:tabs>
        <w:ind w:left="851" w:hanging="426"/>
        <w:rPr>
          <w:color w:val="auto"/>
        </w:rPr>
      </w:pPr>
      <w:r>
        <w:rPr>
          <w:rFonts w:hint="eastAsia"/>
          <w:color w:val="auto"/>
        </w:rPr>
        <w:t>——计划进度安排；</w:t>
      </w:r>
    </w:p>
    <w:p w14:paraId="19526E6A">
      <w:pPr>
        <w:pStyle w:val="136"/>
        <w:numPr>
          <w:ilvl w:val="0"/>
          <w:numId w:val="0"/>
        </w:numPr>
        <w:tabs>
          <w:tab w:val="clear" w:pos="851"/>
        </w:tabs>
        <w:ind w:left="851" w:hanging="426"/>
        <w:rPr>
          <w:color w:val="auto"/>
        </w:rPr>
      </w:pPr>
      <w:r>
        <w:rPr>
          <w:rFonts w:hint="eastAsia"/>
          <w:color w:val="auto"/>
        </w:rPr>
        <w:t>——成果产出。</w:t>
      </w:r>
    </w:p>
    <w:p w14:paraId="0A628D30">
      <w:pPr>
        <w:pStyle w:val="108"/>
        <w:spacing w:before="240" w:after="240"/>
        <w:rPr>
          <w:color w:val="auto"/>
        </w:rPr>
      </w:pPr>
      <w:bookmarkStart w:id="98" w:name="_Toc228292188"/>
      <w:bookmarkStart w:id="99" w:name="_Toc227048095"/>
      <w:bookmarkStart w:id="100" w:name="_Toc225318569"/>
      <w:bookmarkStart w:id="101" w:name="_Toc225514720"/>
      <w:bookmarkStart w:id="102" w:name="_Toc227048080"/>
      <w:bookmarkStart w:id="103" w:name="_Toc224899500"/>
      <w:bookmarkStart w:id="104" w:name="_Toc225318611"/>
      <w:bookmarkStart w:id="105" w:name="_Toc228350765"/>
      <w:r>
        <w:rPr>
          <w:rFonts w:hint="eastAsia"/>
          <w:color w:val="auto"/>
        </w:rPr>
        <w:t>近场区断层活动性调查</w:t>
      </w:r>
      <w:bookmarkEnd w:id="98"/>
      <w:bookmarkEnd w:id="99"/>
      <w:bookmarkEnd w:id="100"/>
      <w:bookmarkEnd w:id="101"/>
      <w:bookmarkEnd w:id="102"/>
      <w:bookmarkEnd w:id="103"/>
      <w:bookmarkEnd w:id="104"/>
      <w:bookmarkEnd w:id="105"/>
    </w:p>
    <w:p w14:paraId="01CF1227">
      <w:pPr>
        <w:pStyle w:val="109"/>
        <w:spacing w:before="120" w:after="120"/>
        <w:rPr>
          <w:color w:val="auto"/>
        </w:rPr>
      </w:pPr>
      <w:bookmarkStart w:id="106" w:name="_Toc224899501"/>
      <w:bookmarkStart w:id="107" w:name="_Toc228292189"/>
      <w:bookmarkStart w:id="108" w:name="_Toc228350766"/>
      <w:bookmarkStart w:id="109" w:name="_Toc225318570"/>
      <w:r>
        <w:rPr>
          <w:rFonts w:hint="eastAsia"/>
          <w:color w:val="auto"/>
        </w:rPr>
        <w:t>近场区范围</w:t>
      </w:r>
      <w:bookmarkEnd w:id="106"/>
      <w:bookmarkEnd w:id="107"/>
      <w:bookmarkEnd w:id="108"/>
      <w:bookmarkEnd w:id="109"/>
    </w:p>
    <w:p w14:paraId="7FF81FFB">
      <w:pPr>
        <w:pStyle w:val="60"/>
        <w:ind w:firstLine="420"/>
        <w:rPr>
          <w:color w:val="auto"/>
        </w:rPr>
      </w:pPr>
      <w:r>
        <w:rPr>
          <w:rFonts w:hint="eastAsia"/>
          <w:color w:val="auto"/>
        </w:rPr>
        <w:t>工程场地地震安全性评价，</w:t>
      </w:r>
      <w:r>
        <w:rPr>
          <w:rFonts w:hint="eastAsia"/>
          <w:color w:val="auto"/>
        </w:rPr>
        <w:t>近场区范围不应小于工程场地外延25</w:t>
      </w:r>
      <w:r>
        <w:rPr>
          <w:rFonts w:hint="eastAsia"/>
          <w:color w:val="auto"/>
          <w:vertAlign w:val="superscript"/>
        </w:rPr>
        <w:t xml:space="preserve"> </w:t>
      </w:r>
      <w:r>
        <w:rPr>
          <w:rFonts w:hint="eastAsia"/>
          <w:color w:val="auto"/>
        </w:rPr>
        <w:t>km</w:t>
      </w:r>
      <w:r>
        <w:rPr>
          <w:rFonts w:hint="eastAsia"/>
          <w:color w:val="auto"/>
        </w:rPr>
        <w:t>。</w:t>
      </w:r>
      <w:r>
        <w:rPr>
          <w:rFonts w:hint="eastAsia"/>
          <w:color w:val="auto"/>
        </w:rPr>
        <w:t>区域性地震安全性评价</w:t>
      </w:r>
      <w:r>
        <w:rPr>
          <w:color w:val="auto"/>
        </w:rPr>
        <w:t>，</w:t>
      </w:r>
      <w:r>
        <w:rPr>
          <w:rFonts w:hint="eastAsia"/>
          <w:color w:val="auto"/>
        </w:rPr>
        <w:t>近场区范围不应小于目标区边界外延25</w:t>
      </w:r>
      <w:r>
        <w:rPr>
          <w:rFonts w:hint="eastAsia"/>
          <w:color w:val="auto"/>
          <w:vertAlign w:val="superscript"/>
        </w:rPr>
        <w:t xml:space="preserve"> </w:t>
      </w:r>
      <w:r>
        <w:rPr>
          <w:rFonts w:hint="eastAsia"/>
          <w:color w:val="auto"/>
        </w:rPr>
        <w:t>km</w:t>
      </w:r>
      <w:r>
        <w:rPr>
          <w:rFonts w:hint="eastAsia"/>
          <w:color w:val="auto"/>
        </w:rPr>
        <w:t>。</w:t>
      </w:r>
    </w:p>
    <w:p w14:paraId="6CEFDAC4">
      <w:pPr>
        <w:pStyle w:val="109"/>
        <w:spacing w:before="120" w:after="120"/>
        <w:rPr>
          <w:color w:val="auto"/>
        </w:rPr>
      </w:pPr>
      <w:bookmarkStart w:id="110" w:name="_Toc225318571"/>
      <w:bookmarkStart w:id="111" w:name="_Toc228292190"/>
      <w:bookmarkStart w:id="112" w:name="_Toc224899502"/>
      <w:bookmarkStart w:id="113" w:name="_Toc228350767"/>
      <w:r>
        <w:rPr>
          <w:rFonts w:hint="eastAsia"/>
          <w:color w:val="auto"/>
        </w:rPr>
        <w:t>现场调查要求</w:t>
      </w:r>
      <w:bookmarkEnd w:id="110"/>
      <w:bookmarkEnd w:id="111"/>
      <w:bookmarkEnd w:id="112"/>
      <w:bookmarkEnd w:id="113"/>
    </w:p>
    <w:p w14:paraId="0486240D">
      <w:pPr>
        <w:pStyle w:val="169"/>
        <w:rPr>
          <w:color w:val="auto"/>
        </w:rPr>
      </w:pPr>
      <w:r>
        <w:rPr>
          <w:rFonts w:hint="eastAsia"/>
          <w:color w:val="auto"/>
        </w:rPr>
        <w:t>近场区主要断层活动性鉴定现场工作应符合以下要求：</w:t>
      </w:r>
      <w:r>
        <w:rPr>
          <w:color w:val="auto"/>
        </w:rPr>
        <w:t xml:space="preserve"> </w:t>
      </w:r>
    </w:p>
    <w:p w14:paraId="2921BC86">
      <w:pPr>
        <w:pStyle w:val="136"/>
        <w:numPr>
          <w:ilvl w:val="0"/>
          <w:numId w:val="0"/>
        </w:numPr>
        <w:tabs>
          <w:tab w:val="clear" w:pos="851"/>
        </w:tabs>
        <w:ind w:left="851" w:hanging="426"/>
        <w:rPr>
          <w:color w:val="auto"/>
        </w:rPr>
      </w:pPr>
      <w:r>
        <w:rPr>
          <w:rFonts w:hint="eastAsia"/>
          <w:color w:val="auto"/>
        </w:rPr>
        <w:t>——</w:t>
      </w:r>
      <w:r>
        <w:rPr>
          <w:rFonts w:hint="eastAsia"/>
          <w:color w:val="auto"/>
        </w:rPr>
        <w:t>搜集近场区空间分辨率优于5</w:t>
      </w:r>
      <w:r>
        <w:rPr>
          <w:color w:val="auto"/>
          <w:vertAlign w:val="superscript"/>
        </w:rPr>
        <w:t xml:space="preserve"> </w:t>
      </w:r>
      <w:r>
        <w:rPr>
          <w:color w:val="auto"/>
        </w:rPr>
        <w:t>m</w:t>
      </w:r>
      <w:r>
        <w:rPr>
          <w:rFonts w:hint="eastAsia"/>
          <w:color w:val="auto"/>
        </w:rPr>
        <w:t>的遥感影像，解译第四纪断层，并进行现场验证；</w:t>
      </w:r>
    </w:p>
    <w:p w14:paraId="0E4A2432">
      <w:pPr>
        <w:pStyle w:val="136"/>
        <w:numPr>
          <w:ilvl w:val="0"/>
          <w:numId w:val="0"/>
        </w:numPr>
        <w:tabs>
          <w:tab w:val="clear" w:pos="851"/>
        </w:tabs>
        <w:ind w:left="851" w:hanging="426"/>
        <w:rPr>
          <w:color w:val="auto"/>
        </w:rPr>
      </w:pPr>
      <w:r>
        <w:rPr>
          <w:rFonts w:hint="eastAsia"/>
          <w:color w:val="auto"/>
        </w:rPr>
        <w:t>——对近场区地质图中长度10</w:t>
      </w:r>
      <w:r>
        <w:rPr>
          <w:color w:val="auto"/>
          <w:vertAlign w:val="superscript"/>
        </w:rPr>
        <w:t xml:space="preserve"> </w:t>
      </w:r>
      <w:r>
        <w:rPr>
          <w:rFonts w:hint="eastAsia"/>
          <w:color w:val="auto"/>
        </w:rPr>
        <w:t>km以上断层、遥感影像解译获得的第四纪断层进行活动性鉴定，鉴定内容包括活动时代、分段、活动性质和位错量等断层活动性特征；</w:t>
      </w:r>
    </w:p>
    <w:p w14:paraId="4D5B3887">
      <w:pPr>
        <w:pStyle w:val="136"/>
        <w:numPr>
          <w:ilvl w:val="0"/>
          <w:numId w:val="0"/>
        </w:numPr>
        <w:tabs>
          <w:tab w:val="clear" w:pos="851"/>
        </w:tabs>
        <w:ind w:left="851" w:hanging="426"/>
        <w:rPr>
          <w:color w:val="auto"/>
        </w:rPr>
      </w:pPr>
      <w:r>
        <w:rPr>
          <w:rFonts w:hint="eastAsia"/>
          <w:color w:val="auto"/>
        </w:rPr>
        <w:t>——对基岩或浅覆盖区断层，采用露头追索、微地貌测绘、槽探、年代测定等方法进行调查，每条断层（或断层段）有不少于2个能够确定其活动性的地质观测点；</w:t>
      </w:r>
    </w:p>
    <w:p w14:paraId="3F946CE2">
      <w:pPr>
        <w:pStyle w:val="136"/>
        <w:numPr>
          <w:ilvl w:val="0"/>
          <w:numId w:val="0"/>
        </w:numPr>
        <w:tabs>
          <w:tab w:val="clear" w:pos="851"/>
        </w:tabs>
        <w:ind w:left="851" w:hanging="426"/>
        <w:rPr>
          <w:color w:val="auto"/>
        </w:rPr>
      </w:pPr>
      <w:r>
        <w:rPr>
          <w:rFonts w:hint="eastAsia"/>
          <w:color w:val="auto"/>
        </w:rPr>
        <w:t>——对覆盖区隐伏断层，已有资料不能确定已知主要断层的活动时代时，采用地球物理勘探、钻孔联合地质剖面探测和年代测定等方法进行勘查，每条断层（或断层段）有不少于2条能够确定其活动性的地球物理探测剖面或钻孔联合地质剖面；</w:t>
      </w:r>
    </w:p>
    <w:p w14:paraId="3C21EBC6">
      <w:pPr>
        <w:pStyle w:val="136"/>
        <w:numPr>
          <w:ilvl w:val="0"/>
          <w:numId w:val="0"/>
        </w:numPr>
        <w:tabs>
          <w:tab w:val="clear" w:pos="851"/>
        </w:tabs>
        <w:ind w:left="851" w:hanging="426"/>
        <w:rPr>
          <w:color w:val="auto"/>
        </w:rPr>
      </w:pPr>
      <w:r>
        <w:rPr>
          <w:rFonts w:hint="eastAsia"/>
          <w:color w:val="auto"/>
        </w:rPr>
        <w:t>——</w:t>
      </w:r>
      <w:r>
        <w:rPr>
          <w:rFonts w:hint="eastAsia"/>
          <w:color w:val="auto"/>
        </w:rPr>
        <w:t>如有活动褶皱，应调查活动褶皱的最新变形时代与活动特征；</w:t>
      </w:r>
    </w:p>
    <w:p w14:paraId="7C5EE451">
      <w:pPr>
        <w:pStyle w:val="136"/>
        <w:numPr>
          <w:ilvl w:val="0"/>
          <w:numId w:val="0"/>
        </w:numPr>
        <w:tabs>
          <w:tab w:val="clear" w:pos="851"/>
        </w:tabs>
        <w:ind w:left="851" w:hanging="426"/>
        <w:rPr>
          <w:color w:val="auto"/>
        </w:rPr>
      </w:pPr>
      <w:r>
        <w:rPr>
          <w:rFonts w:hint="eastAsia"/>
          <w:color w:val="auto"/>
        </w:rPr>
        <w:t>——</w:t>
      </w:r>
      <w:r>
        <w:rPr>
          <w:rFonts w:hint="eastAsia"/>
          <w:color w:val="auto"/>
        </w:rPr>
        <w:t>对于引用的断层活动性与褶皱活动性鉴定资料，分析论证其可靠性，对影响鉴定结果的不可靠资料开展现场工作核实。</w:t>
      </w:r>
    </w:p>
    <w:p w14:paraId="1D56BA3C">
      <w:pPr>
        <w:pStyle w:val="169"/>
        <w:rPr>
          <w:color w:val="auto"/>
        </w:rPr>
      </w:pPr>
      <w:r>
        <w:rPr>
          <w:rFonts w:hint="eastAsia"/>
          <w:color w:val="auto"/>
        </w:rPr>
        <w:t>有效观测点的空间分布应符合以下要求：</w:t>
      </w:r>
    </w:p>
    <w:p w14:paraId="23334A78">
      <w:pPr>
        <w:pStyle w:val="136"/>
        <w:numPr>
          <w:ilvl w:val="0"/>
          <w:numId w:val="0"/>
        </w:numPr>
        <w:tabs>
          <w:tab w:val="clear" w:pos="851"/>
        </w:tabs>
        <w:ind w:left="851" w:hanging="426"/>
        <w:rPr>
          <w:color w:val="auto"/>
        </w:rPr>
      </w:pPr>
      <w:r>
        <w:rPr>
          <w:rFonts w:hint="eastAsia"/>
          <w:color w:val="auto"/>
        </w:rPr>
        <w:t>——空间上的均衡性：应考虑有效观测点在一条断层空间上的均衡性，2个有效观测点不应出现以下情况：</w:t>
      </w:r>
    </w:p>
    <w:p w14:paraId="01BC99B1">
      <w:pPr>
        <w:pStyle w:val="191"/>
        <w:rPr>
          <w:color w:val="auto"/>
        </w:rPr>
      </w:pPr>
      <w:r>
        <w:rPr>
          <w:rFonts w:hint="eastAsia"/>
          <w:color w:val="auto"/>
        </w:rPr>
        <w:t>空间距离过近；</w:t>
      </w:r>
    </w:p>
    <w:p w14:paraId="3B60C257">
      <w:pPr>
        <w:pStyle w:val="191"/>
        <w:rPr>
          <w:color w:val="auto"/>
        </w:rPr>
      </w:pPr>
      <w:r>
        <w:rPr>
          <w:rFonts w:hint="eastAsia"/>
          <w:color w:val="auto"/>
        </w:rPr>
        <w:t>均位于断层（段）的一端；</w:t>
      </w:r>
    </w:p>
    <w:p w14:paraId="0A0C4F70">
      <w:pPr>
        <w:pStyle w:val="191"/>
        <w:rPr>
          <w:color w:val="auto"/>
        </w:rPr>
      </w:pPr>
      <w:r>
        <w:rPr>
          <w:rFonts w:hint="eastAsia"/>
          <w:color w:val="auto"/>
        </w:rPr>
        <w:t>均位于近场区的边缘。</w:t>
      </w:r>
    </w:p>
    <w:p w14:paraId="15503F47">
      <w:pPr>
        <w:pStyle w:val="136"/>
        <w:numPr>
          <w:ilvl w:val="0"/>
          <w:numId w:val="0"/>
        </w:numPr>
        <w:tabs>
          <w:tab w:val="clear" w:pos="851"/>
        </w:tabs>
        <w:ind w:left="851" w:hanging="426"/>
        <w:rPr>
          <w:color w:val="auto"/>
        </w:rPr>
      </w:pPr>
      <w:r>
        <w:rPr>
          <w:rFonts w:hint="eastAsia"/>
          <w:color w:val="auto"/>
        </w:rPr>
        <w:t>——断层场地和规模：对于近场区的主要断裂，应横跨断层完成1条～3条长地质剖面。对长度大于或等于15</w:t>
      </w:r>
      <w:r>
        <w:rPr>
          <w:rFonts w:hint="eastAsia"/>
          <w:color w:val="auto"/>
          <w:vertAlign w:val="superscript"/>
        </w:rPr>
        <w:t xml:space="preserve"> </w:t>
      </w:r>
      <w:r>
        <w:rPr>
          <w:rFonts w:hint="eastAsia"/>
          <w:color w:val="auto"/>
        </w:rPr>
        <w:t>km的断层（段）应布设不少于3个有效观测点；</w:t>
      </w:r>
    </w:p>
    <w:p w14:paraId="42983420">
      <w:pPr>
        <w:pStyle w:val="136"/>
        <w:numPr>
          <w:ilvl w:val="0"/>
          <w:numId w:val="0"/>
        </w:numPr>
        <w:tabs>
          <w:tab w:val="clear" w:pos="851"/>
        </w:tabs>
        <w:ind w:left="851" w:hanging="426"/>
        <w:rPr>
          <w:color w:val="auto"/>
        </w:rPr>
      </w:pPr>
      <w:r>
        <w:rPr>
          <w:rFonts w:hint="eastAsia"/>
          <w:color w:val="auto"/>
        </w:rPr>
        <w:t>——距场地的距离：至少有1个有效观测点位于断层距离场地最近点的2.5</w:t>
      </w:r>
      <w:r>
        <w:rPr>
          <w:rFonts w:hint="eastAsia"/>
          <w:color w:val="auto"/>
          <w:vertAlign w:val="superscript"/>
        </w:rPr>
        <w:t xml:space="preserve"> </w:t>
      </w:r>
      <w:r>
        <w:rPr>
          <w:rFonts w:hint="eastAsia"/>
          <w:color w:val="auto"/>
        </w:rPr>
        <w:t>km范围内。</w:t>
      </w:r>
    </w:p>
    <w:p w14:paraId="64148557">
      <w:pPr>
        <w:pStyle w:val="108"/>
        <w:spacing w:before="240" w:after="240"/>
        <w:rPr>
          <w:color w:val="auto"/>
        </w:rPr>
      </w:pPr>
      <w:bookmarkStart w:id="114" w:name="_Toc227048096"/>
      <w:bookmarkStart w:id="115" w:name="_Toc224899503"/>
      <w:bookmarkStart w:id="116" w:name="_Toc225318572"/>
      <w:bookmarkStart w:id="117" w:name="_Toc228292191"/>
      <w:bookmarkStart w:id="118" w:name="_Toc227048081"/>
      <w:bookmarkStart w:id="119" w:name="_Toc225318612"/>
      <w:bookmarkStart w:id="120" w:name="_Toc225514721"/>
      <w:bookmarkStart w:id="121" w:name="_Toc228350768"/>
      <w:r>
        <w:rPr>
          <w:rFonts w:hint="eastAsia"/>
          <w:color w:val="auto"/>
        </w:rPr>
        <w:t>场址附近及场地活动断层勘查</w:t>
      </w:r>
      <w:bookmarkEnd w:id="114"/>
      <w:bookmarkEnd w:id="115"/>
      <w:bookmarkEnd w:id="116"/>
      <w:bookmarkEnd w:id="117"/>
      <w:bookmarkEnd w:id="118"/>
      <w:bookmarkEnd w:id="119"/>
      <w:bookmarkEnd w:id="120"/>
      <w:bookmarkEnd w:id="121"/>
    </w:p>
    <w:p w14:paraId="024C5305">
      <w:pPr>
        <w:pStyle w:val="109"/>
        <w:spacing w:before="120" w:after="120"/>
        <w:rPr>
          <w:color w:val="auto"/>
        </w:rPr>
      </w:pPr>
      <w:bookmarkStart w:id="122" w:name="_Toc224899504"/>
      <w:bookmarkStart w:id="123" w:name="_Toc228292192"/>
      <w:bookmarkStart w:id="124" w:name="_Toc225318573"/>
      <w:bookmarkStart w:id="125" w:name="_Toc228350769"/>
      <w:r>
        <w:rPr>
          <w:rFonts w:hint="eastAsia"/>
          <w:color w:val="auto"/>
        </w:rPr>
        <w:t>勘查范围</w:t>
      </w:r>
      <w:bookmarkEnd w:id="122"/>
      <w:bookmarkEnd w:id="123"/>
      <w:bookmarkEnd w:id="124"/>
      <w:bookmarkEnd w:id="125"/>
    </w:p>
    <w:p w14:paraId="45199652">
      <w:pPr>
        <w:pStyle w:val="169"/>
        <w:rPr>
          <w:color w:val="auto"/>
        </w:rPr>
      </w:pPr>
      <w:r>
        <w:rPr>
          <w:rFonts w:hint="eastAsia"/>
          <w:color w:val="auto"/>
        </w:rPr>
        <w:t>对于Ⅰ级和Ⅱ级工作，应进行场址附近活动断层勘查。场址附近范围应不小于工程场地外延5</w:t>
      </w:r>
      <w:r>
        <w:rPr>
          <w:rFonts w:hint="eastAsia"/>
          <w:color w:val="auto"/>
          <w:vertAlign w:val="superscript"/>
        </w:rPr>
        <w:t xml:space="preserve"> </w:t>
      </w:r>
      <w:r>
        <w:rPr>
          <w:rFonts w:hint="eastAsia"/>
          <w:color w:val="auto"/>
        </w:rPr>
        <w:t>km。</w:t>
      </w:r>
    </w:p>
    <w:p w14:paraId="01A8A7C7">
      <w:pPr>
        <w:pStyle w:val="169"/>
        <w:rPr>
          <w:color w:val="auto"/>
        </w:rPr>
      </w:pPr>
      <w:r>
        <w:rPr>
          <w:rFonts w:hint="eastAsia"/>
          <w:color w:val="auto"/>
        </w:rPr>
        <w:t>对于Ⅰ级、Ⅱ级和Ⅲ级工作，应对场地断层活动性进行勘查。</w:t>
      </w:r>
    </w:p>
    <w:p w14:paraId="3E393B8F">
      <w:pPr>
        <w:pStyle w:val="169"/>
        <w:rPr>
          <w:color w:val="auto"/>
        </w:rPr>
      </w:pPr>
      <w:r>
        <w:rPr>
          <w:rFonts w:hint="eastAsia"/>
          <w:color w:val="auto"/>
        </w:rPr>
        <w:t>场地活动断层勘查范围确定应符合以下要求：</w:t>
      </w:r>
      <w:r>
        <w:rPr>
          <w:color w:val="auto"/>
        </w:rPr>
        <w:t xml:space="preserve"> </w:t>
      </w:r>
    </w:p>
    <w:p w14:paraId="34AEB49E">
      <w:pPr>
        <w:pStyle w:val="136"/>
        <w:numPr>
          <w:ilvl w:val="0"/>
          <w:numId w:val="0"/>
        </w:numPr>
        <w:tabs>
          <w:tab w:val="clear" w:pos="851"/>
        </w:tabs>
        <w:ind w:left="851" w:hanging="426"/>
        <w:rPr>
          <w:color w:val="auto"/>
        </w:rPr>
      </w:pPr>
      <w:r>
        <w:rPr>
          <w:rFonts w:hint="eastAsia"/>
          <w:color w:val="auto"/>
        </w:rPr>
        <w:t>——</w:t>
      </w:r>
      <w:r>
        <w:rPr>
          <w:rFonts w:hint="eastAsia"/>
          <w:color w:val="auto"/>
        </w:rPr>
        <w:t>Ⅰ级和Ⅱ级工作：勘查范围不小于场地及其外延</w:t>
      </w:r>
      <w:r>
        <w:rPr>
          <w:color w:val="auto"/>
        </w:rPr>
        <w:t>500</w:t>
      </w:r>
      <w:r>
        <w:rPr>
          <w:color w:val="auto"/>
          <w:vertAlign w:val="superscript"/>
        </w:rPr>
        <w:t xml:space="preserve"> </w:t>
      </w:r>
      <w:r>
        <w:rPr>
          <w:color w:val="auto"/>
        </w:rPr>
        <w:t>m</w:t>
      </w:r>
      <w:r>
        <w:rPr>
          <w:rFonts w:hint="eastAsia"/>
          <w:color w:val="auto"/>
        </w:rPr>
        <w:t>。当场地外延</w:t>
      </w:r>
      <w:r>
        <w:rPr>
          <w:color w:val="auto"/>
        </w:rPr>
        <w:t>500</w:t>
      </w:r>
      <w:r>
        <w:rPr>
          <w:color w:val="auto"/>
          <w:vertAlign w:val="superscript"/>
        </w:rPr>
        <w:t xml:space="preserve"> </w:t>
      </w:r>
      <w:r>
        <w:rPr>
          <w:color w:val="auto"/>
        </w:rPr>
        <w:t>m</w:t>
      </w:r>
      <w:r>
        <w:rPr>
          <w:rFonts w:hint="eastAsia"/>
          <w:color w:val="auto"/>
        </w:rPr>
        <w:t>至</w:t>
      </w:r>
      <w:r>
        <w:rPr>
          <w:color w:val="auto"/>
        </w:rPr>
        <w:t>1</w:t>
      </w:r>
      <w:r>
        <w:rPr>
          <w:rFonts w:hint="eastAsia"/>
          <w:color w:val="auto"/>
          <w:vertAlign w:val="superscript"/>
        </w:rPr>
        <w:t xml:space="preserve"> </w:t>
      </w:r>
      <w:r>
        <w:rPr>
          <w:color w:val="auto"/>
        </w:rPr>
        <w:t>000</w:t>
      </w:r>
      <w:r>
        <w:rPr>
          <w:color w:val="auto"/>
          <w:vertAlign w:val="superscript"/>
        </w:rPr>
        <w:t xml:space="preserve"> </w:t>
      </w:r>
      <w:r>
        <w:rPr>
          <w:color w:val="auto"/>
        </w:rPr>
        <w:t>m</w:t>
      </w:r>
      <w:r>
        <w:rPr>
          <w:rFonts w:hint="eastAsia"/>
          <w:color w:val="auto"/>
        </w:rPr>
        <w:t>范围内存在活动断层时，发育活动断层一侧的勘查范围应扩大至≥</w:t>
      </w:r>
      <w:r>
        <w:rPr>
          <w:color w:val="auto"/>
        </w:rPr>
        <w:t>1</w:t>
      </w:r>
      <w:r>
        <w:rPr>
          <w:rFonts w:hint="eastAsia"/>
          <w:color w:val="auto"/>
          <w:vertAlign w:val="superscript"/>
        </w:rPr>
        <w:t xml:space="preserve"> </w:t>
      </w:r>
      <w:r>
        <w:rPr>
          <w:color w:val="auto"/>
        </w:rPr>
        <w:t>000</w:t>
      </w:r>
      <w:r>
        <w:rPr>
          <w:color w:val="auto"/>
          <w:vertAlign w:val="superscript"/>
        </w:rPr>
        <w:t xml:space="preserve"> </w:t>
      </w:r>
      <w:r>
        <w:rPr>
          <w:color w:val="auto"/>
        </w:rPr>
        <w:t>m</w:t>
      </w:r>
      <w:r>
        <w:rPr>
          <w:rFonts w:hint="eastAsia"/>
          <w:color w:val="auto"/>
        </w:rPr>
        <w:t>；</w:t>
      </w:r>
    </w:p>
    <w:p w14:paraId="2D53E445">
      <w:pPr>
        <w:pStyle w:val="136"/>
        <w:numPr>
          <w:ilvl w:val="0"/>
          <w:numId w:val="0"/>
        </w:numPr>
        <w:tabs>
          <w:tab w:val="clear" w:pos="851"/>
        </w:tabs>
        <w:ind w:left="851" w:hanging="426"/>
        <w:rPr>
          <w:color w:val="auto"/>
        </w:rPr>
      </w:pPr>
      <w:r>
        <w:rPr>
          <w:rFonts w:hint="eastAsia"/>
          <w:color w:val="auto"/>
        </w:rPr>
        <w:t>——Ⅲ级工作：对于第四纪断层与线状工程场地轴线相交的情况，勘查范围应不小于交汇部位外延500</w:t>
      </w:r>
      <w:r>
        <w:rPr>
          <w:rFonts w:hint="eastAsia"/>
          <w:color w:val="auto"/>
          <w:vertAlign w:val="superscript"/>
        </w:rPr>
        <w:t xml:space="preserve"> </w:t>
      </w:r>
      <w:r>
        <w:rPr>
          <w:rFonts w:hint="eastAsia"/>
          <w:color w:val="auto"/>
        </w:rPr>
        <w:t>m；对于第四纪断层与线路不相交但距离≤500</w:t>
      </w:r>
      <w:r>
        <w:rPr>
          <w:color w:val="auto"/>
          <w:vertAlign w:val="superscript"/>
        </w:rPr>
        <w:t xml:space="preserve"> </w:t>
      </w:r>
      <w:r>
        <w:rPr>
          <w:color w:val="auto"/>
        </w:rPr>
        <w:t>m</w:t>
      </w:r>
      <w:r>
        <w:rPr>
          <w:rFonts w:hint="eastAsia"/>
          <w:color w:val="auto"/>
        </w:rPr>
        <w:t>的地段，勘查范围应包括线状工程场地及该断层距离场地500</w:t>
      </w:r>
      <w:r>
        <w:rPr>
          <w:color w:val="auto"/>
          <w:vertAlign w:val="superscript"/>
        </w:rPr>
        <w:t xml:space="preserve"> </w:t>
      </w:r>
      <w:r>
        <w:rPr>
          <w:color w:val="auto"/>
        </w:rPr>
        <w:t>m</w:t>
      </w:r>
      <w:r>
        <w:rPr>
          <w:rFonts w:hint="eastAsia"/>
          <w:color w:val="auto"/>
        </w:rPr>
        <w:t>范围内的段落；</w:t>
      </w:r>
    </w:p>
    <w:p w14:paraId="066900DD">
      <w:pPr>
        <w:pStyle w:val="136"/>
        <w:numPr>
          <w:ilvl w:val="0"/>
          <w:numId w:val="0"/>
        </w:numPr>
        <w:tabs>
          <w:tab w:val="clear" w:pos="851"/>
        </w:tabs>
        <w:ind w:left="851" w:hanging="426"/>
        <w:rPr>
          <w:color w:val="auto"/>
        </w:rPr>
      </w:pPr>
      <w:r>
        <w:rPr>
          <w:rFonts w:hint="eastAsia"/>
          <w:color w:val="auto"/>
        </w:rPr>
        <w:t>——</w:t>
      </w:r>
      <w:r>
        <w:rPr>
          <w:rFonts w:hint="eastAsia"/>
          <w:color w:val="auto"/>
        </w:rPr>
        <w:t>区域性地震安全性评价工作，断层控制性勘查范围应不小于目标区及其外延500</w:t>
      </w:r>
      <w:r>
        <w:rPr>
          <w:rFonts w:hint="eastAsia"/>
          <w:color w:val="auto"/>
          <w:vertAlign w:val="superscript"/>
        </w:rPr>
        <w:t xml:space="preserve"> </w:t>
      </w:r>
      <w:r>
        <w:rPr>
          <w:rFonts w:hint="eastAsia"/>
          <w:color w:val="auto"/>
        </w:rPr>
        <w:t>m，当目标区附近1</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m范围内可能有指向目标区的断层时，范围应扩大至包括该断层相关的段落。</w:t>
      </w:r>
    </w:p>
    <w:p w14:paraId="0552D0F1">
      <w:pPr>
        <w:pStyle w:val="109"/>
        <w:spacing w:before="120" w:after="120"/>
        <w:rPr>
          <w:color w:val="auto"/>
        </w:rPr>
      </w:pPr>
      <w:bookmarkStart w:id="126" w:name="_Toc224899505"/>
      <w:bookmarkStart w:id="127" w:name="_Toc228292193"/>
      <w:bookmarkStart w:id="128" w:name="_Toc225318574"/>
      <w:bookmarkStart w:id="129" w:name="_Toc228350770"/>
      <w:r>
        <w:rPr>
          <w:rFonts w:hint="eastAsia"/>
          <w:color w:val="auto"/>
        </w:rPr>
        <w:t>基岩区（浅覆盖区）断层勘查与活动性鉴定</w:t>
      </w:r>
      <w:bookmarkEnd w:id="126"/>
      <w:bookmarkEnd w:id="127"/>
      <w:bookmarkEnd w:id="128"/>
      <w:bookmarkEnd w:id="129"/>
    </w:p>
    <w:p w14:paraId="552658EF">
      <w:pPr>
        <w:pStyle w:val="169"/>
        <w:rPr>
          <w:color w:val="auto"/>
        </w:rPr>
      </w:pPr>
      <w:r>
        <w:rPr>
          <w:rFonts w:hint="eastAsia"/>
          <w:color w:val="auto"/>
        </w:rPr>
        <w:t>工程场地地震安全性评价工作，应采用无人机或卫星遥感获取场地范围数据分辨率≥2</w:t>
      </w:r>
      <w:r>
        <w:rPr>
          <w:color w:val="auto"/>
          <w:vertAlign w:val="superscript"/>
        </w:rPr>
        <w:t xml:space="preserve"> </w:t>
      </w:r>
      <w:r>
        <w:rPr>
          <w:color w:val="auto"/>
        </w:rPr>
        <w:t>m</w:t>
      </w:r>
      <w:r>
        <w:rPr>
          <w:rFonts w:hint="eastAsia"/>
          <w:color w:val="auto"/>
        </w:rPr>
        <w:t>正射或倾斜影像，解译场地内是否有活动断层地貌特征。</w:t>
      </w:r>
    </w:p>
    <w:p w14:paraId="3B2EA92F">
      <w:pPr>
        <w:pStyle w:val="169"/>
        <w:rPr>
          <w:color w:val="auto"/>
        </w:rPr>
      </w:pPr>
      <w:r>
        <w:rPr>
          <w:rFonts w:hint="eastAsia"/>
          <w:color w:val="auto"/>
        </w:rPr>
        <w:t>区域性地震安全性评价工作，应采用不低于5</w:t>
      </w:r>
      <w:r>
        <w:rPr>
          <w:color w:val="auto"/>
          <w:vertAlign w:val="superscript"/>
        </w:rPr>
        <w:t xml:space="preserve"> </w:t>
      </w:r>
      <w:r>
        <w:rPr>
          <w:color w:val="auto"/>
        </w:rPr>
        <w:t>m</w:t>
      </w:r>
      <w:r>
        <w:rPr>
          <w:rFonts w:hint="eastAsia"/>
          <w:color w:val="auto"/>
        </w:rPr>
        <w:t>的遥感影像数据，解译近场区内是否有活动断层地貌特征。</w:t>
      </w:r>
    </w:p>
    <w:p w14:paraId="081D3A2F">
      <w:pPr>
        <w:pStyle w:val="169"/>
        <w:rPr>
          <w:color w:val="auto"/>
        </w:rPr>
      </w:pPr>
      <w:r>
        <w:rPr>
          <w:rFonts w:hint="eastAsia"/>
          <w:color w:val="auto"/>
        </w:rPr>
        <w:t>对解译出的第四纪断层进行现场调查验证，每条断层验证的观测点不少于2个，观测点应满足以下要求：</w:t>
      </w:r>
    </w:p>
    <w:p w14:paraId="644DC2D6">
      <w:pPr>
        <w:pStyle w:val="136"/>
        <w:numPr>
          <w:ilvl w:val="0"/>
          <w:numId w:val="0"/>
        </w:numPr>
        <w:tabs>
          <w:tab w:val="clear" w:pos="851"/>
        </w:tabs>
        <w:ind w:left="851" w:hanging="426"/>
        <w:rPr>
          <w:color w:val="auto"/>
        </w:rPr>
      </w:pPr>
      <w:r>
        <w:rPr>
          <w:rFonts w:hint="eastAsia"/>
          <w:color w:val="auto"/>
        </w:rPr>
        <w:t>——2个观测点是为有效观测点，即能够确定断层在该处活动性的地质观测点；</w:t>
      </w:r>
    </w:p>
    <w:p w14:paraId="16387A90">
      <w:pPr>
        <w:pStyle w:val="136"/>
        <w:numPr>
          <w:ilvl w:val="0"/>
          <w:numId w:val="0"/>
        </w:numPr>
        <w:tabs>
          <w:tab w:val="clear" w:pos="851"/>
        </w:tabs>
        <w:ind w:left="851" w:hanging="426"/>
        <w:rPr>
          <w:color w:val="auto"/>
        </w:rPr>
      </w:pPr>
      <w:r>
        <w:rPr>
          <w:rFonts w:hint="eastAsia"/>
          <w:color w:val="auto"/>
        </w:rPr>
        <w:t>——有效观测点的空间分布应合理，不应距离太近，并在距离场地最近处或自最近处沿断层向两侧分布≤0.5</w:t>
      </w:r>
      <w:r>
        <w:rPr>
          <w:rFonts w:hint="eastAsia"/>
          <w:color w:val="auto"/>
          <w:vertAlign w:val="superscript"/>
        </w:rPr>
        <w:t xml:space="preserve"> </w:t>
      </w:r>
      <w:r>
        <w:rPr>
          <w:rFonts w:hint="eastAsia"/>
          <w:color w:val="auto"/>
        </w:rPr>
        <w:t>km的范围内至少有1个有效观测点；</w:t>
      </w:r>
    </w:p>
    <w:p w14:paraId="0FC2B298">
      <w:pPr>
        <w:pStyle w:val="136"/>
        <w:numPr>
          <w:ilvl w:val="0"/>
          <w:numId w:val="0"/>
        </w:numPr>
        <w:tabs>
          <w:tab w:val="clear" w:pos="851"/>
        </w:tabs>
        <w:ind w:left="851" w:hanging="426"/>
        <w:rPr>
          <w:color w:val="auto"/>
        </w:rPr>
      </w:pPr>
      <w:r>
        <w:rPr>
          <w:rFonts w:hint="eastAsia"/>
          <w:color w:val="auto"/>
        </w:rPr>
        <w:t>——当断层长度较长（7</w:t>
      </w:r>
      <w:r>
        <w:rPr>
          <w:rFonts w:hint="eastAsia"/>
          <w:color w:val="auto"/>
          <w:vertAlign w:val="superscript"/>
        </w:rPr>
        <w:t xml:space="preserve"> </w:t>
      </w:r>
      <w:r>
        <w:rPr>
          <w:rFonts w:hint="eastAsia"/>
          <w:color w:val="auto"/>
        </w:rPr>
        <w:t>km以上），应考虑增加1个有效观测点。</w:t>
      </w:r>
    </w:p>
    <w:p w14:paraId="3B4A2140">
      <w:pPr>
        <w:pStyle w:val="169"/>
        <w:rPr>
          <w:color w:val="auto"/>
        </w:rPr>
      </w:pPr>
      <w:r>
        <w:rPr>
          <w:rFonts w:hint="eastAsia"/>
          <w:color w:val="auto"/>
        </w:rPr>
        <w:t>应采用地质地貌调查、槽探等方法进行勘查，结合地层、地貌年代特征进行断裂活动性鉴定。具体要求如下：</w:t>
      </w:r>
    </w:p>
    <w:p w14:paraId="25EA5849">
      <w:pPr>
        <w:pStyle w:val="136"/>
        <w:numPr>
          <w:ilvl w:val="0"/>
          <w:numId w:val="0"/>
        </w:numPr>
        <w:tabs>
          <w:tab w:val="clear" w:pos="851"/>
        </w:tabs>
        <w:ind w:left="851" w:hanging="426"/>
        <w:rPr>
          <w:color w:val="auto"/>
        </w:rPr>
      </w:pPr>
      <w:r>
        <w:rPr>
          <w:rFonts w:hint="eastAsia"/>
          <w:color w:val="auto"/>
        </w:rPr>
        <w:t>——对于Ⅰ级和Ⅱ级工作，控制性地质地貌调查线或浅层地震勘探测线不少于3条，其中2条呈“十”字形布设，并有两条垂直构造走向；</w:t>
      </w:r>
    </w:p>
    <w:p w14:paraId="2A49BFAA">
      <w:pPr>
        <w:pStyle w:val="136"/>
        <w:numPr>
          <w:ilvl w:val="0"/>
          <w:numId w:val="0"/>
        </w:numPr>
        <w:tabs>
          <w:tab w:val="clear" w:pos="851"/>
        </w:tabs>
        <w:ind w:left="851" w:hanging="426"/>
        <w:rPr>
          <w:color w:val="auto"/>
        </w:rPr>
      </w:pPr>
      <w:r>
        <w:rPr>
          <w:rFonts w:hint="eastAsia"/>
          <w:color w:val="auto"/>
        </w:rPr>
        <w:t>——对于Ⅲ级工作，控制性勘查线不少于2条，并垂直于构造方向；</w:t>
      </w:r>
    </w:p>
    <w:p w14:paraId="6A4A99BF">
      <w:pPr>
        <w:pStyle w:val="136"/>
        <w:numPr>
          <w:ilvl w:val="0"/>
          <w:numId w:val="0"/>
        </w:numPr>
        <w:tabs>
          <w:tab w:val="clear" w:pos="851"/>
        </w:tabs>
        <w:ind w:left="851" w:hanging="426"/>
        <w:rPr>
          <w:color w:val="auto"/>
        </w:rPr>
      </w:pPr>
      <w:r>
        <w:rPr>
          <w:rFonts w:hint="eastAsia"/>
          <w:color w:val="auto"/>
        </w:rPr>
        <w:t>——区域性地震安全性评价工作，采用露头追索、微地貌测量、探槽、年代测试等方法进行调查，控制性勘查线不少于4条，并呈井字型穿经勘查范围的调查路线。</w:t>
      </w:r>
    </w:p>
    <w:p w14:paraId="4AF92F0B">
      <w:pPr>
        <w:pStyle w:val="109"/>
        <w:spacing w:before="120" w:after="120"/>
        <w:rPr>
          <w:color w:val="auto"/>
        </w:rPr>
      </w:pPr>
      <w:bookmarkStart w:id="130" w:name="_Toc228292194"/>
      <w:bookmarkStart w:id="131" w:name="_Toc225318575"/>
      <w:bookmarkStart w:id="132" w:name="_Toc228350771"/>
      <w:bookmarkStart w:id="133" w:name="_Toc224899506"/>
      <w:r>
        <w:rPr>
          <w:rFonts w:hint="eastAsia"/>
          <w:color w:val="auto"/>
        </w:rPr>
        <w:t>隐伏区断层勘查与活动性鉴定</w:t>
      </w:r>
      <w:bookmarkEnd w:id="130"/>
      <w:bookmarkEnd w:id="131"/>
      <w:bookmarkEnd w:id="132"/>
      <w:bookmarkEnd w:id="133"/>
    </w:p>
    <w:p w14:paraId="548EA019">
      <w:pPr>
        <w:pStyle w:val="169"/>
        <w:rPr>
          <w:color w:val="auto"/>
        </w:rPr>
      </w:pPr>
      <w:r>
        <w:rPr>
          <w:rFonts w:hint="eastAsia"/>
          <w:color w:val="auto"/>
        </w:rPr>
        <w:t>应采用浅层地震勘探方法进行探测，采用其他地球物理探测方法时，应分析该方法的合理性和适宜性。必要时可采用多种方法联合探测，提高探测结果的可靠性。</w:t>
      </w:r>
    </w:p>
    <w:p w14:paraId="7EA0B685">
      <w:pPr>
        <w:pStyle w:val="169"/>
        <w:rPr>
          <w:color w:val="auto"/>
        </w:rPr>
      </w:pPr>
      <w:r>
        <w:rPr>
          <w:rFonts w:hint="eastAsia"/>
          <w:color w:val="auto"/>
        </w:rPr>
        <w:t>场地物探测线布设应满足下列要求：</w:t>
      </w:r>
    </w:p>
    <w:p w14:paraId="76870B8B">
      <w:pPr>
        <w:pStyle w:val="136"/>
        <w:numPr>
          <w:ilvl w:val="0"/>
          <w:numId w:val="0"/>
        </w:numPr>
        <w:tabs>
          <w:tab w:val="clear" w:pos="851"/>
        </w:tabs>
        <w:ind w:left="851" w:hanging="426"/>
        <w:rPr>
          <w:color w:val="auto"/>
        </w:rPr>
      </w:pPr>
      <w:r>
        <w:rPr>
          <w:rFonts w:hint="eastAsia"/>
          <w:color w:val="auto"/>
        </w:rPr>
        <w:t>——对于面状工程，场地物探测线布设应能够有效控制整个场地；</w:t>
      </w:r>
    </w:p>
    <w:p w14:paraId="35D2BDD2">
      <w:pPr>
        <w:pStyle w:val="136"/>
        <w:numPr>
          <w:ilvl w:val="0"/>
          <w:numId w:val="0"/>
        </w:numPr>
        <w:tabs>
          <w:tab w:val="clear" w:pos="851"/>
        </w:tabs>
        <w:ind w:left="851" w:hanging="426"/>
        <w:rPr>
          <w:color w:val="auto"/>
        </w:rPr>
      </w:pPr>
      <w:r>
        <w:rPr>
          <w:rFonts w:hint="eastAsia"/>
          <w:color w:val="auto"/>
        </w:rPr>
        <w:t>——对于线状工程，可采用沿线状工程位置布设物探测线的方式有效控制重要场地；</w:t>
      </w:r>
    </w:p>
    <w:p w14:paraId="70C8F189">
      <w:pPr>
        <w:pStyle w:val="136"/>
        <w:numPr>
          <w:ilvl w:val="0"/>
          <w:numId w:val="0"/>
        </w:numPr>
        <w:tabs>
          <w:tab w:val="clear" w:pos="851"/>
        </w:tabs>
        <w:ind w:left="851" w:hanging="426"/>
        <w:rPr>
          <w:color w:val="auto"/>
        </w:rPr>
      </w:pPr>
      <w:r>
        <w:rPr>
          <w:rFonts w:hint="eastAsia"/>
          <w:color w:val="auto"/>
        </w:rPr>
        <w:t>——如发现异常，应加密测线，进行异常追踪探测，必要时追加测线进行探测。</w:t>
      </w:r>
    </w:p>
    <w:p w14:paraId="3EBFE9FE">
      <w:pPr>
        <w:pStyle w:val="136"/>
        <w:numPr>
          <w:ilvl w:val="0"/>
          <w:numId w:val="0"/>
        </w:numPr>
        <w:tabs>
          <w:tab w:val="clear" w:pos="851"/>
        </w:tabs>
        <w:ind w:left="851" w:hanging="426"/>
        <w:rPr>
          <w:color w:val="auto"/>
        </w:rPr>
      </w:pPr>
    </w:p>
    <w:p w14:paraId="4C118935">
      <w:pPr>
        <w:pStyle w:val="136"/>
        <w:numPr>
          <w:ilvl w:val="0"/>
          <w:numId w:val="0"/>
        </w:numPr>
        <w:tabs>
          <w:tab w:val="clear" w:pos="851"/>
        </w:tabs>
        <w:ind w:left="851" w:hanging="426"/>
        <w:rPr>
          <w:rFonts w:hint="eastAsia"/>
          <w:color w:val="auto"/>
        </w:rPr>
      </w:pPr>
    </w:p>
    <w:p w14:paraId="67E70336">
      <w:pPr>
        <w:pStyle w:val="169"/>
        <w:rPr>
          <w:color w:val="auto"/>
        </w:rPr>
      </w:pPr>
      <w:r>
        <w:rPr>
          <w:rFonts w:hint="eastAsia"/>
          <w:color w:val="auto"/>
        </w:rPr>
        <w:t>断层物探测线布设应满足下列要求：</w:t>
      </w:r>
      <w:r>
        <w:rPr>
          <w:color w:val="auto"/>
        </w:rPr>
        <w:t xml:space="preserve"> </w:t>
      </w:r>
    </w:p>
    <w:p w14:paraId="247324EE">
      <w:pPr>
        <w:pStyle w:val="136"/>
        <w:numPr>
          <w:ilvl w:val="0"/>
          <w:numId w:val="0"/>
        </w:numPr>
        <w:tabs>
          <w:tab w:val="clear" w:pos="851"/>
        </w:tabs>
        <w:ind w:left="851" w:hanging="426"/>
        <w:rPr>
          <w:color w:val="auto"/>
        </w:rPr>
      </w:pPr>
      <w:r>
        <w:rPr>
          <w:rFonts w:hint="eastAsia"/>
          <w:color w:val="auto"/>
        </w:rPr>
        <w:t>——</w:t>
      </w:r>
      <w:r>
        <w:rPr>
          <w:rFonts w:hint="eastAsia"/>
          <w:color w:val="auto"/>
        </w:rPr>
        <w:t>Ⅰ级和Ⅱ级工作，浅层地震勘探测线不少于3条，其中2条呈“十”字形布设，并有两条垂直构造走向；</w:t>
      </w:r>
    </w:p>
    <w:p w14:paraId="705C9107">
      <w:pPr>
        <w:pStyle w:val="136"/>
        <w:numPr>
          <w:ilvl w:val="0"/>
          <w:numId w:val="0"/>
        </w:numPr>
        <w:tabs>
          <w:tab w:val="clear" w:pos="851"/>
        </w:tabs>
        <w:ind w:left="851" w:hanging="426"/>
        <w:rPr>
          <w:color w:val="auto"/>
        </w:rPr>
      </w:pPr>
      <w:r>
        <w:rPr>
          <w:rFonts w:hint="eastAsia"/>
          <w:color w:val="auto"/>
        </w:rPr>
        <w:t>——Ⅲ级工作，浅层地震勘探测线不少于2条，并垂直于构造方向；可能存在第四纪断层时，结合钻孔联合地质剖面等方法进行探测；</w:t>
      </w:r>
    </w:p>
    <w:p w14:paraId="2A34C031">
      <w:pPr>
        <w:pStyle w:val="136"/>
        <w:numPr>
          <w:ilvl w:val="0"/>
          <w:numId w:val="0"/>
        </w:numPr>
        <w:tabs>
          <w:tab w:val="clear" w:pos="851"/>
        </w:tabs>
        <w:ind w:left="851" w:hanging="426"/>
        <w:rPr>
          <w:color w:val="auto"/>
        </w:rPr>
      </w:pPr>
      <w:r>
        <w:rPr>
          <w:rFonts w:hint="eastAsia"/>
          <w:color w:val="auto"/>
        </w:rPr>
        <w:t>——区域性地震安全性评价工作，</w:t>
      </w:r>
      <w:r>
        <w:rPr>
          <w:rFonts w:hint="eastAsia"/>
          <w:color w:val="auto"/>
        </w:rPr>
        <w:t>采用浅层地震勘探方法勘查，测线应在勘查范围内沿垂直主要构造方向不少于2条、平行主要断裂不少于1条布设。</w:t>
      </w:r>
    </w:p>
    <w:p w14:paraId="44BDDB03">
      <w:pPr>
        <w:pStyle w:val="169"/>
        <w:rPr>
          <w:color w:val="auto"/>
        </w:rPr>
      </w:pPr>
      <w:r>
        <w:rPr>
          <w:rFonts w:hint="eastAsia"/>
          <w:color w:val="auto"/>
        </w:rPr>
        <w:t>测线长度与观测点距应满足下列要求：</w:t>
      </w:r>
    </w:p>
    <w:p w14:paraId="4287D94E">
      <w:pPr>
        <w:pStyle w:val="136"/>
        <w:numPr>
          <w:ilvl w:val="0"/>
          <w:numId w:val="0"/>
        </w:numPr>
        <w:tabs>
          <w:tab w:val="clear" w:pos="851"/>
        </w:tabs>
        <w:ind w:left="851" w:hanging="426"/>
        <w:rPr>
          <w:color w:val="auto"/>
        </w:rPr>
      </w:pPr>
      <w:r>
        <w:rPr>
          <w:rFonts w:hint="eastAsia"/>
          <w:color w:val="auto"/>
        </w:rPr>
        <w:t>——物探测线长度应保证控制目标范围；</w:t>
      </w:r>
    </w:p>
    <w:p w14:paraId="70A86FA8">
      <w:pPr>
        <w:pStyle w:val="136"/>
        <w:numPr>
          <w:ilvl w:val="0"/>
          <w:numId w:val="0"/>
        </w:numPr>
        <w:tabs>
          <w:tab w:val="clear" w:pos="851"/>
        </w:tabs>
        <w:ind w:left="851" w:hanging="426"/>
        <w:rPr>
          <w:color w:val="auto"/>
        </w:rPr>
      </w:pPr>
      <w:r>
        <w:rPr>
          <w:rFonts w:hint="eastAsia"/>
          <w:color w:val="auto"/>
        </w:rPr>
        <w:t>——探测场地的物探测线长度，应保证其有效探测范围贯穿场地；</w:t>
      </w:r>
    </w:p>
    <w:p w14:paraId="08D07692">
      <w:pPr>
        <w:pStyle w:val="136"/>
        <w:numPr>
          <w:ilvl w:val="0"/>
          <w:numId w:val="0"/>
        </w:numPr>
        <w:tabs>
          <w:tab w:val="clear" w:pos="851"/>
        </w:tabs>
        <w:ind w:left="851" w:hanging="426"/>
        <w:rPr>
          <w:color w:val="auto"/>
        </w:rPr>
      </w:pPr>
      <w:r>
        <w:rPr>
          <w:rFonts w:hint="eastAsia"/>
          <w:color w:val="auto"/>
        </w:rPr>
        <w:t>——探测断层的物探测线，其测线长度应跨越断层并满足在局部异常两侧出现足够长的、易于识别的有效剖面。</w:t>
      </w:r>
    </w:p>
    <w:p w14:paraId="4061804D">
      <w:pPr>
        <w:pStyle w:val="169"/>
        <w:rPr>
          <w:color w:val="auto"/>
        </w:rPr>
      </w:pPr>
      <w:r>
        <w:rPr>
          <w:rFonts w:hint="eastAsia"/>
          <w:color w:val="auto"/>
        </w:rPr>
        <w:t>野外工作时，隐伏断裂探测应采用浅层地震勘探钻孔地质联合剖面、年代测定等方法，具体技术要求应符合GB/T 36072的相关规定。</w:t>
      </w:r>
    </w:p>
    <w:p w14:paraId="7783EBD3">
      <w:pPr>
        <w:pStyle w:val="169"/>
        <w:rPr>
          <w:color w:val="auto"/>
        </w:rPr>
      </w:pPr>
      <w:r>
        <w:rPr>
          <w:rFonts w:hint="eastAsia"/>
          <w:color w:val="auto"/>
        </w:rPr>
        <w:t>样品采集与年代测试应满足下列要求：</w:t>
      </w:r>
    </w:p>
    <w:p w14:paraId="1AFB0666">
      <w:pPr>
        <w:pStyle w:val="136"/>
        <w:numPr>
          <w:ilvl w:val="0"/>
          <w:numId w:val="0"/>
        </w:numPr>
        <w:tabs>
          <w:tab w:val="clear" w:pos="851"/>
        </w:tabs>
        <w:ind w:left="851" w:hanging="426"/>
        <w:rPr>
          <w:color w:val="auto"/>
        </w:rPr>
      </w:pPr>
      <w:r>
        <w:rPr>
          <w:rFonts w:hint="eastAsia"/>
          <w:color w:val="auto"/>
        </w:rPr>
        <w:t>——样品的选取应集中，对于地表出露的活动断层，宜取堆积物中的碳粒、含碳物质等样品测定其堆积年龄，也可采集红土、粉砂、细砂、烘烤层、古陶器等物质样品；</w:t>
      </w:r>
    </w:p>
    <w:p w14:paraId="2B313D90">
      <w:pPr>
        <w:pStyle w:val="136"/>
        <w:numPr>
          <w:ilvl w:val="0"/>
          <w:numId w:val="0"/>
        </w:numPr>
        <w:tabs>
          <w:tab w:val="clear" w:pos="851"/>
        </w:tabs>
        <w:ind w:left="851" w:hanging="426"/>
        <w:rPr>
          <w:color w:val="auto"/>
        </w:rPr>
      </w:pPr>
      <w:r>
        <w:rPr>
          <w:rFonts w:hint="eastAsia"/>
          <w:color w:val="auto"/>
        </w:rPr>
        <w:t>——对于使用槽探方法探测断层的，主要标志层采集至少1件测年的样品；上断点附近采集被断层错断地层顶部和上覆地层底部样品至少各1件；</w:t>
      </w:r>
    </w:p>
    <w:p w14:paraId="1B13943B">
      <w:pPr>
        <w:pStyle w:val="136"/>
        <w:numPr>
          <w:ilvl w:val="0"/>
          <w:numId w:val="0"/>
        </w:numPr>
        <w:tabs>
          <w:tab w:val="clear" w:pos="851"/>
        </w:tabs>
        <w:ind w:left="851" w:hanging="426"/>
        <w:rPr>
          <w:color w:val="auto"/>
        </w:rPr>
      </w:pPr>
      <w:r>
        <w:rPr>
          <w:rFonts w:hint="eastAsia"/>
          <w:color w:val="auto"/>
        </w:rPr>
        <w:t>——年代测试应采用能够与样品活动年代相适应的测试方法，测试方法包括碳十四（14C）、光释光（OSL）、热释光（TL）、电子自旋共振（ESR）等。</w:t>
      </w:r>
    </w:p>
    <w:p w14:paraId="592A69E2">
      <w:pPr>
        <w:pStyle w:val="109"/>
        <w:spacing w:before="120" w:after="120"/>
        <w:rPr>
          <w:color w:val="auto"/>
        </w:rPr>
      </w:pPr>
      <w:bookmarkStart w:id="134" w:name="_Toc228292195"/>
      <w:bookmarkStart w:id="135" w:name="_Toc224899507"/>
      <w:bookmarkStart w:id="136" w:name="_Toc225318576"/>
      <w:bookmarkStart w:id="137" w:name="_Toc228350772"/>
      <w:r>
        <w:rPr>
          <w:rFonts w:hint="eastAsia"/>
          <w:color w:val="auto"/>
        </w:rPr>
        <w:t>槽探要求</w:t>
      </w:r>
      <w:bookmarkEnd w:id="134"/>
      <w:bookmarkEnd w:id="135"/>
      <w:bookmarkEnd w:id="136"/>
      <w:bookmarkEnd w:id="137"/>
    </w:p>
    <w:p w14:paraId="4B2CE3C2">
      <w:pPr>
        <w:pStyle w:val="169"/>
        <w:rPr>
          <w:color w:val="auto"/>
        </w:rPr>
      </w:pPr>
      <w:r>
        <w:rPr>
          <w:rFonts w:hint="eastAsia"/>
          <w:color w:val="auto"/>
        </w:rPr>
        <w:t>适用于地表出露迹线的活动断层或上断点浅于8</w:t>
      </w:r>
      <w:r>
        <w:rPr>
          <w:rFonts w:hint="eastAsia"/>
          <w:color w:val="auto"/>
          <w:vertAlign w:val="superscript"/>
        </w:rPr>
        <w:t xml:space="preserve"> </w:t>
      </w:r>
      <w:r>
        <w:rPr>
          <w:rFonts w:hint="eastAsia"/>
          <w:color w:val="auto"/>
        </w:rPr>
        <w:t>m的隐伏活动断层探测。</w:t>
      </w:r>
    </w:p>
    <w:p w14:paraId="142A6F75">
      <w:pPr>
        <w:pStyle w:val="169"/>
        <w:rPr>
          <w:color w:val="auto"/>
        </w:rPr>
      </w:pPr>
      <w:r>
        <w:rPr>
          <w:rFonts w:hint="eastAsia"/>
          <w:color w:val="auto"/>
        </w:rPr>
        <w:t>活动断层鉴定探槽应横跨整个断层带。一个地震破裂段上应至少有2个可对比或相互验证的探槽。</w:t>
      </w:r>
    </w:p>
    <w:p w14:paraId="3B029726">
      <w:pPr>
        <w:pStyle w:val="169"/>
        <w:rPr>
          <w:color w:val="auto"/>
        </w:rPr>
      </w:pPr>
      <w:r>
        <w:rPr>
          <w:rFonts w:hint="eastAsia"/>
          <w:color w:val="auto"/>
        </w:rPr>
        <w:t>探槽剖面应采用素描、照片、文字描述等方式记录。</w:t>
      </w:r>
    </w:p>
    <w:p w14:paraId="6D6D56C2">
      <w:pPr>
        <w:pStyle w:val="169"/>
        <w:rPr>
          <w:color w:val="auto"/>
        </w:rPr>
      </w:pPr>
      <w:r>
        <w:rPr>
          <w:rFonts w:hint="eastAsia"/>
          <w:color w:val="auto"/>
        </w:rPr>
        <w:t>探槽剖面比例尺宜为1:20，根据实际情况可在1:50～1:10范围内变动。</w:t>
      </w:r>
    </w:p>
    <w:p w14:paraId="16A63508">
      <w:pPr>
        <w:pStyle w:val="109"/>
        <w:spacing w:before="120" w:after="120"/>
        <w:rPr>
          <w:color w:val="auto"/>
        </w:rPr>
      </w:pPr>
      <w:bookmarkStart w:id="138" w:name="_Toc225318577"/>
      <w:bookmarkStart w:id="139" w:name="_Toc228292196"/>
      <w:bookmarkStart w:id="140" w:name="_Toc224899508"/>
      <w:bookmarkStart w:id="141" w:name="_Toc228350773"/>
      <w:r>
        <w:rPr>
          <w:rFonts w:hint="eastAsia"/>
          <w:color w:val="auto"/>
        </w:rPr>
        <w:t>钻孔联合地质剖面要求</w:t>
      </w:r>
      <w:bookmarkEnd w:id="138"/>
      <w:bookmarkEnd w:id="139"/>
      <w:bookmarkEnd w:id="140"/>
      <w:bookmarkEnd w:id="141"/>
    </w:p>
    <w:p w14:paraId="014D44C2">
      <w:pPr>
        <w:pStyle w:val="169"/>
        <w:rPr>
          <w:color w:val="auto"/>
        </w:rPr>
      </w:pPr>
      <w:r>
        <w:rPr>
          <w:rFonts w:hint="eastAsia"/>
          <w:color w:val="auto"/>
        </w:rPr>
        <w:t>钻孔布设：</w:t>
      </w:r>
      <w:r>
        <w:rPr>
          <w:color w:val="auto"/>
        </w:rPr>
        <w:t xml:space="preserve"> </w:t>
      </w:r>
    </w:p>
    <w:p w14:paraId="0C537995">
      <w:pPr>
        <w:pStyle w:val="136"/>
        <w:numPr>
          <w:ilvl w:val="0"/>
          <w:numId w:val="0"/>
        </w:numPr>
        <w:tabs>
          <w:tab w:val="clear" w:pos="851"/>
        </w:tabs>
        <w:ind w:left="851" w:hanging="426"/>
        <w:rPr>
          <w:color w:val="auto"/>
        </w:rPr>
      </w:pPr>
      <w:r>
        <w:rPr>
          <w:rFonts w:hint="eastAsia"/>
          <w:color w:val="auto"/>
        </w:rPr>
        <w:t>——</w:t>
      </w:r>
      <w:r>
        <w:rPr>
          <w:rFonts w:hint="eastAsia"/>
          <w:color w:val="auto"/>
        </w:rPr>
        <w:t>位置要求：布设在地球物理勘探断层显示清楚、有明显垂直位移的活动断层两侧；钻孔连线应与断层走向垂直或大角度相交；</w:t>
      </w:r>
    </w:p>
    <w:p w14:paraId="796BF7F5">
      <w:pPr>
        <w:pStyle w:val="136"/>
        <w:numPr>
          <w:ilvl w:val="0"/>
          <w:numId w:val="0"/>
        </w:numPr>
        <w:tabs>
          <w:tab w:val="clear" w:pos="851"/>
        </w:tabs>
        <w:ind w:left="851" w:hanging="426"/>
        <w:rPr>
          <w:color w:val="auto"/>
        </w:rPr>
      </w:pPr>
      <w:r>
        <w:rPr>
          <w:rFonts w:hint="eastAsia"/>
          <w:color w:val="auto"/>
        </w:rPr>
        <w:t>—</w:t>
      </w:r>
      <w:r>
        <w:rPr>
          <w:rFonts w:hint="eastAsia"/>
          <w:color w:val="auto"/>
        </w:rPr>
        <w:t>—数量与间距要求：断层两盘应各有至少3个钻孔，间距为5</w:t>
      </w:r>
      <w:r>
        <w:rPr>
          <w:rFonts w:hint="eastAsia"/>
          <w:color w:val="auto"/>
          <w:vertAlign w:val="superscript"/>
        </w:rPr>
        <w:t xml:space="preserve"> </w:t>
      </w:r>
      <w:r>
        <w:rPr>
          <w:rFonts w:hint="eastAsia"/>
          <w:color w:val="auto"/>
        </w:rPr>
        <w:t>m～45</w:t>
      </w:r>
      <w:r>
        <w:rPr>
          <w:rFonts w:hint="eastAsia"/>
          <w:color w:val="auto"/>
          <w:vertAlign w:val="superscript"/>
        </w:rPr>
        <w:t xml:space="preserve"> </w:t>
      </w:r>
      <w:r>
        <w:rPr>
          <w:rFonts w:hint="eastAsia"/>
          <w:color w:val="auto"/>
        </w:rPr>
        <w:t>m；断层上断点两侧的2个相邻钻孔间距应＜10</w:t>
      </w:r>
      <w:r>
        <w:rPr>
          <w:rFonts w:hint="eastAsia"/>
          <w:color w:val="auto"/>
          <w:vertAlign w:val="superscript"/>
        </w:rPr>
        <w:t xml:space="preserve"> </w:t>
      </w:r>
      <w:r>
        <w:rPr>
          <w:rFonts w:hint="eastAsia"/>
          <w:color w:val="auto"/>
        </w:rPr>
        <w:t>m；</w:t>
      </w:r>
    </w:p>
    <w:p w14:paraId="3E146B80">
      <w:pPr>
        <w:pStyle w:val="136"/>
        <w:numPr>
          <w:ilvl w:val="0"/>
          <w:numId w:val="0"/>
        </w:numPr>
        <w:tabs>
          <w:tab w:val="clear" w:pos="851"/>
        </w:tabs>
        <w:ind w:left="851" w:hanging="426"/>
        <w:rPr>
          <w:color w:val="auto"/>
        </w:rPr>
      </w:pPr>
      <w:r>
        <w:rPr>
          <w:rFonts w:hint="eastAsia"/>
          <w:color w:val="auto"/>
        </w:rPr>
        <w:t>——活动断层两侧应各有至少1个钻孔穿透上更新统底界，其余钻孔的终孔深度应至少在地球物理勘探给出的上断点埋深之下10</w:t>
      </w:r>
      <w:r>
        <w:rPr>
          <w:rFonts w:hint="eastAsia"/>
          <w:color w:val="auto"/>
          <w:vertAlign w:val="superscript"/>
        </w:rPr>
        <w:t xml:space="preserve"> </w:t>
      </w:r>
      <w:r>
        <w:rPr>
          <w:rFonts w:hint="eastAsia"/>
          <w:color w:val="auto"/>
        </w:rPr>
        <w:t>m；</w:t>
      </w:r>
    </w:p>
    <w:p w14:paraId="306CE88A">
      <w:pPr>
        <w:pStyle w:val="136"/>
        <w:numPr>
          <w:ilvl w:val="0"/>
          <w:numId w:val="0"/>
        </w:numPr>
        <w:tabs>
          <w:tab w:val="clear" w:pos="851"/>
        </w:tabs>
        <w:ind w:left="851" w:hanging="426"/>
        <w:rPr>
          <w:color w:val="auto"/>
        </w:rPr>
      </w:pPr>
      <w:r>
        <w:rPr>
          <w:rFonts w:hint="eastAsia"/>
          <w:color w:val="auto"/>
        </w:rPr>
        <w:t>——岩芯采集要求：黏土及粉砂芯采取率应≥90％，中-细砂应达到80％，松散粗砂应≥40％，钻进回次应≤2</w:t>
      </w:r>
      <w:r>
        <w:rPr>
          <w:rFonts w:hint="eastAsia"/>
          <w:color w:val="auto"/>
          <w:vertAlign w:val="superscript"/>
        </w:rPr>
        <w:t xml:space="preserve"> </w:t>
      </w:r>
      <w:r>
        <w:rPr>
          <w:rFonts w:hint="eastAsia"/>
          <w:color w:val="auto"/>
        </w:rPr>
        <w:t>m；厚层砾石可采取定深取芯，取芯间隔应为1</w:t>
      </w:r>
      <w:r>
        <w:rPr>
          <w:rFonts w:hint="eastAsia"/>
          <w:color w:val="auto"/>
          <w:vertAlign w:val="superscript"/>
        </w:rPr>
        <w:t xml:space="preserve"> </w:t>
      </w:r>
      <w:r>
        <w:rPr>
          <w:rFonts w:hint="eastAsia"/>
          <w:color w:val="auto"/>
        </w:rPr>
        <w:t>m～2</w:t>
      </w:r>
      <w:r>
        <w:rPr>
          <w:rFonts w:hint="eastAsia"/>
          <w:color w:val="auto"/>
          <w:vertAlign w:val="superscript"/>
        </w:rPr>
        <w:t xml:space="preserve"> </w:t>
      </w:r>
      <w:r>
        <w:rPr>
          <w:rFonts w:hint="eastAsia"/>
          <w:color w:val="auto"/>
        </w:rPr>
        <w:t>m。</w:t>
      </w:r>
    </w:p>
    <w:p w14:paraId="5D21C435">
      <w:pPr>
        <w:pStyle w:val="169"/>
        <w:rPr>
          <w:color w:val="auto"/>
        </w:rPr>
      </w:pPr>
      <w:r>
        <w:rPr>
          <w:rFonts w:hint="eastAsia"/>
          <w:color w:val="auto"/>
        </w:rPr>
        <w:t>岩芯编录：</w:t>
      </w:r>
    </w:p>
    <w:p w14:paraId="7371096E">
      <w:pPr>
        <w:pStyle w:val="136"/>
        <w:numPr>
          <w:ilvl w:val="0"/>
          <w:numId w:val="0"/>
        </w:numPr>
        <w:tabs>
          <w:tab w:val="clear" w:pos="851"/>
        </w:tabs>
        <w:ind w:left="851" w:hanging="426"/>
        <w:rPr>
          <w:color w:val="auto"/>
        </w:rPr>
      </w:pPr>
      <w:r>
        <w:rPr>
          <w:rFonts w:hint="eastAsia"/>
          <w:color w:val="auto"/>
        </w:rPr>
        <w:t>——</w:t>
      </w:r>
      <w:r>
        <w:rPr>
          <w:rFonts w:hint="eastAsia"/>
          <w:color w:val="auto"/>
        </w:rPr>
        <w:t>不遗漏厚度大于0.2</w:t>
      </w:r>
      <w:r>
        <w:rPr>
          <w:rFonts w:hint="eastAsia"/>
          <w:color w:val="auto"/>
          <w:vertAlign w:val="superscript"/>
        </w:rPr>
        <w:t xml:space="preserve"> </w:t>
      </w:r>
      <w:r>
        <w:rPr>
          <w:rFonts w:hint="eastAsia"/>
          <w:color w:val="auto"/>
        </w:rPr>
        <w:t>m的地层单元；典型的标志地层，如古土壤层、钙板层或细颗粒层序中夹的粗颗粒薄层等，不受层厚约束，作重点编录；</w:t>
      </w:r>
    </w:p>
    <w:p w14:paraId="5283BB8B">
      <w:pPr>
        <w:pStyle w:val="136"/>
        <w:numPr>
          <w:ilvl w:val="0"/>
          <w:numId w:val="0"/>
        </w:numPr>
        <w:tabs>
          <w:tab w:val="clear" w:pos="851"/>
        </w:tabs>
        <w:ind w:left="851" w:hanging="426"/>
        <w:rPr>
          <w:color w:val="auto"/>
        </w:rPr>
      </w:pPr>
      <w:r>
        <w:rPr>
          <w:rFonts w:hint="eastAsia"/>
          <w:color w:val="auto"/>
        </w:rPr>
        <w:t>——应对岩芯柱完整拍照，并根据钻孔岩芯反映的岩性、颜色、物质组成、沉积结构和接触界面形态等确定基本编录单元，进行要素图文描述。</w:t>
      </w:r>
    </w:p>
    <w:p w14:paraId="22BEA3A2">
      <w:pPr>
        <w:pStyle w:val="169"/>
        <w:rPr>
          <w:color w:val="auto"/>
        </w:rPr>
      </w:pPr>
      <w:r>
        <w:rPr>
          <w:rFonts w:hint="eastAsia"/>
          <w:color w:val="auto"/>
        </w:rPr>
        <w:t>跨断层钻孔联合剖面：</w:t>
      </w:r>
    </w:p>
    <w:p w14:paraId="0698330E">
      <w:pPr>
        <w:pStyle w:val="136"/>
        <w:numPr>
          <w:ilvl w:val="0"/>
          <w:numId w:val="0"/>
        </w:numPr>
        <w:tabs>
          <w:tab w:val="clear" w:pos="851"/>
        </w:tabs>
        <w:ind w:left="851" w:hanging="426"/>
        <w:rPr>
          <w:color w:val="auto"/>
        </w:rPr>
      </w:pPr>
      <w:r>
        <w:rPr>
          <w:rFonts w:hint="eastAsia"/>
          <w:color w:val="auto"/>
        </w:rPr>
        <w:t>——当场地及其周围1</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m范围内存在隐伏断层，或者场地周围2</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m范围内存在指向场地的主要隐伏断层时，每条断层至少布设1条跨断层钻孔联合剖面进行验证；</w:t>
      </w:r>
    </w:p>
    <w:p w14:paraId="17EB5237">
      <w:pPr>
        <w:pStyle w:val="136"/>
        <w:numPr>
          <w:ilvl w:val="0"/>
          <w:numId w:val="0"/>
        </w:numPr>
        <w:tabs>
          <w:tab w:val="clear" w:pos="851"/>
        </w:tabs>
        <w:ind w:left="851" w:hanging="426"/>
        <w:rPr>
          <w:color w:val="auto"/>
        </w:rPr>
      </w:pPr>
      <w:r>
        <w:rPr>
          <w:rFonts w:hint="eastAsia"/>
          <w:color w:val="auto"/>
        </w:rPr>
        <w:t>——当确定存在的断层为活断层时，应增加断层鉴别钻孔数量，每条断层至少布设2条跨断层钻孔联合剖面进行活断层的精确定位和活动性鉴定。</w:t>
      </w:r>
    </w:p>
    <w:p w14:paraId="39BDCF50">
      <w:pPr>
        <w:pStyle w:val="108"/>
        <w:spacing w:before="240" w:after="240"/>
        <w:rPr>
          <w:color w:val="auto"/>
        </w:rPr>
      </w:pPr>
      <w:bookmarkStart w:id="142" w:name="_Toc224899510"/>
      <w:bookmarkStart w:id="143" w:name="_Toc225318579"/>
      <w:bookmarkStart w:id="144" w:name="_Toc227048082"/>
      <w:bookmarkStart w:id="145" w:name="_Toc228350774"/>
      <w:bookmarkStart w:id="146" w:name="_Toc228292197"/>
      <w:bookmarkStart w:id="147" w:name="_Toc225514722"/>
      <w:bookmarkStart w:id="148" w:name="_Toc227048097"/>
      <w:bookmarkStart w:id="149" w:name="_Toc225318613"/>
      <w:r>
        <w:rPr>
          <w:rFonts w:hint="eastAsia"/>
          <w:color w:val="auto"/>
        </w:rPr>
        <w:t>场地钻探</w:t>
      </w:r>
      <w:bookmarkEnd w:id="142"/>
      <w:bookmarkEnd w:id="143"/>
      <w:bookmarkEnd w:id="144"/>
      <w:bookmarkEnd w:id="145"/>
      <w:bookmarkEnd w:id="146"/>
      <w:bookmarkEnd w:id="147"/>
      <w:bookmarkEnd w:id="148"/>
      <w:bookmarkEnd w:id="149"/>
    </w:p>
    <w:p w14:paraId="41C706E8">
      <w:pPr>
        <w:pStyle w:val="109"/>
        <w:spacing w:before="120" w:after="120"/>
        <w:rPr>
          <w:color w:val="auto"/>
        </w:rPr>
      </w:pPr>
      <w:bookmarkStart w:id="150" w:name="_Toc228350775"/>
      <w:bookmarkStart w:id="151" w:name="_Toc224899511"/>
      <w:bookmarkStart w:id="152" w:name="_Toc225318580"/>
      <w:bookmarkStart w:id="153" w:name="_Toc228292198"/>
      <w:r>
        <w:rPr>
          <w:rFonts w:hint="eastAsia"/>
          <w:color w:val="auto"/>
        </w:rPr>
        <w:t>钻孔布设</w:t>
      </w:r>
      <w:bookmarkEnd w:id="150"/>
      <w:bookmarkEnd w:id="151"/>
      <w:bookmarkEnd w:id="152"/>
      <w:bookmarkEnd w:id="153"/>
    </w:p>
    <w:p w14:paraId="0B60B9C4">
      <w:pPr>
        <w:pStyle w:val="69"/>
        <w:spacing w:before="120" w:after="120"/>
        <w:rPr>
          <w:color w:val="auto"/>
        </w:rPr>
      </w:pPr>
      <w:r>
        <w:rPr>
          <w:rFonts w:hint="eastAsia"/>
          <w:color w:val="auto"/>
        </w:rPr>
        <w:t>基本要求</w:t>
      </w:r>
    </w:p>
    <w:p w14:paraId="18C3529F">
      <w:pPr>
        <w:pStyle w:val="168"/>
        <w:rPr>
          <w:color w:val="auto"/>
        </w:rPr>
      </w:pPr>
      <w:r>
        <w:rPr>
          <w:rFonts w:hint="eastAsia"/>
          <w:color w:val="auto"/>
        </w:rPr>
        <w:t>钻孔布设应能控制场地岩土层空间变化和拟建工程结构分布，钻孔间距≤500</w:t>
      </w:r>
      <w:r>
        <w:rPr>
          <w:rFonts w:hint="eastAsia"/>
          <w:color w:val="auto"/>
          <w:vertAlign w:val="superscript"/>
        </w:rPr>
        <w:t xml:space="preserve"> </w:t>
      </w:r>
      <w:r>
        <w:rPr>
          <w:rFonts w:hint="eastAsia"/>
          <w:color w:val="auto"/>
        </w:rPr>
        <w:t>m。</w:t>
      </w:r>
    </w:p>
    <w:p w14:paraId="18455D01">
      <w:pPr>
        <w:pStyle w:val="168"/>
        <w:rPr>
          <w:color w:val="auto"/>
        </w:rPr>
      </w:pPr>
      <w:r>
        <w:rPr>
          <w:rFonts w:hint="eastAsia"/>
          <w:color w:val="auto"/>
        </w:rPr>
        <w:t>Ⅰ级工作不少于5个钻孔，Ⅱ级工作不少于3个钻孔，主体结构下方不少于1个钻孔。</w:t>
      </w:r>
    </w:p>
    <w:p w14:paraId="380DAE87">
      <w:pPr>
        <w:pStyle w:val="168"/>
        <w:rPr>
          <w:color w:val="auto"/>
        </w:rPr>
      </w:pPr>
      <w:r>
        <w:rPr>
          <w:rFonts w:hint="eastAsia"/>
          <w:color w:val="auto"/>
        </w:rPr>
        <w:t>海域场地不少于1个钻孔。</w:t>
      </w:r>
    </w:p>
    <w:p w14:paraId="7FED4F99">
      <w:pPr>
        <w:pStyle w:val="168"/>
        <w:rPr>
          <w:color w:val="auto"/>
        </w:rPr>
      </w:pPr>
      <w:r>
        <w:rPr>
          <w:rFonts w:hint="eastAsia"/>
          <w:color w:val="auto"/>
        </w:rPr>
        <w:t>通过开展现场地质考察工作，确定场地为基岩出露区，且能确定为Ⅰ类（Ⅰ</w:t>
      </w:r>
      <w:r>
        <w:rPr>
          <w:rFonts w:hint="eastAsia"/>
          <w:color w:val="auto"/>
          <w:vertAlign w:val="subscript"/>
        </w:rPr>
        <w:t>0</w:t>
      </w:r>
      <w:r>
        <w:rPr>
          <w:rFonts w:hint="eastAsia"/>
          <w:color w:val="auto"/>
        </w:rPr>
        <w:t>类或Ⅰ</w:t>
      </w:r>
      <w:r>
        <w:rPr>
          <w:rFonts w:hint="eastAsia"/>
          <w:color w:val="auto"/>
          <w:vertAlign w:val="subscript"/>
        </w:rPr>
        <w:t>1</w:t>
      </w:r>
      <w:r>
        <w:rPr>
          <w:rFonts w:hint="eastAsia"/>
          <w:color w:val="auto"/>
        </w:rPr>
        <w:t>类）场地的，可不进行钻探，但应绘制工程地质剖面图。</w:t>
      </w:r>
    </w:p>
    <w:p w14:paraId="4E13A9A0">
      <w:pPr>
        <w:pStyle w:val="168"/>
        <w:rPr>
          <w:color w:val="auto"/>
        </w:rPr>
      </w:pPr>
      <w:r>
        <w:rPr>
          <w:rFonts w:hint="eastAsia"/>
          <w:color w:val="auto"/>
        </w:rPr>
        <w:t>除轨道交通、隧道、桥梁、大坝等线状工程场地外，应在2条互交方向上布设钻孔。</w:t>
      </w:r>
    </w:p>
    <w:p w14:paraId="635F4181">
      <w:pPr>
        <w:pStyle w:val="168"/>
        <w:rPr>
          <w:color w:val="auto"/>
        </w:rPr>
      </w:pPr>
      <w:r>
        <w:rPr>
          <w:rFonts w:hint="eastAsia"/>
          <w:color w:val="auto"/>
        </w:rPr>
        <w:t>跨不同工程地质单元的场地，应加密钻孔数量，加密钻孔间距不大于规定钻孔间距的一半。</w:t>
      </w:r>
    </w:p>
    <w:p w14:paraId="5860DEA8">
      <w:pPr>
        <w:pStyle w:val="69"/>
        <w:spacing w:before="120" w:after="120"/>
        <w:rPr>
          <w:color w:val="auto"/>
        </w:rPr>
      </w:pPr>
      <w:r>
        <w:rPr>
          <w:rFonts w:hint="eastAsia"/>
          <w:color w:val="auto"/>
        </w:rPr>
        <w:t>不同类型工程布设要求</w:t>
      </w:r>
    </w:p>
    <w:p w14:paraId="174AC959">
      <w:pPr>
        <w:pStyle w:val="98"/>
        <w:spacing w:before="120" w:after="120"/>
        <w:rPr>
          <w:color w:val="auto"/>
        </w:rPr>
      </w:pPr>
      <w:r>
        <w:rPr>
          <w:rFonts w:hint="eastAsia"/>
          <w:color w:val="auto"/>
        </w:rPr>
        <w:t>高层（或重要）建筑工程场地</w:t>
      </w:r>
    </w:p>
    <w:p w14:paraId="2B1B078B">
      <w:pPr>
        <w:pStyle w:val="60"/>
        <w:ind w:firstLine="420"/>
        <w:rPr>
          <w:color w:val="auto"/>
        </w:rPr>
      </w:pPr>
      <w:r>
        <w:rPr>
          <w:rFonts w:hint="eastAsia"/>
          <w:color w:val="auto"/>
        </w:rPr>
        <w:t>应满足下列要求：</w:t>
      </w:r>
    </w:p>
    <w:p w14:paraId="46FD196A">
      <w:pPr>
        <w:pStyle w:val="136"/>
        <w:numPr>
          <w:ilvl w:val="0"/>
          <w:numId w:val="0"/>
        </w:numPr>
        <w:tabs>
          <w:tab w:val="clear" w:pos="851"/>
        </w:tabs>
        <w:ind w:left="851" w:hanging="426"/>
        <w:rPr>
          <w:color w:val="auto"/>
        </w:rPr>
      </w:pPr>
      <w:r>
        <w:rPr>
          <w:rFonts w:hint="eastAsia"/>
          <w:color w:val="auto"/>
        </w:rPr>
        <w:t>——2幢及以下数量的建筑，应不少于3个钻孔，且钻孔间距≤100</w:t>
      </w:r>
      <w:r>
        <w:rPr>
          <w:rFonts w:hint="eastAsia"/>
          <w:color w:val="auto"/>
          <w:vertAlign w:val="superscript"/>
        </w:rPr>
        <w:t xml:space="preserve"> </w:t>
      </w:r>
      <w:r>
        <w:rPr>
          <w:rFonts w:hint="eastAsia"/>
          <w:color w:val="auto"/>
        </w:rPr>
        <w:t>m；</w:t>
      </w:r>
    </w:p>
    <w:p w14:paraId="76C4E101">
      <w:pPr>
        <w:pStyle w:val="136"/>
        <w:numPr>
          <w:ilvl w:val="0"/>
          <w:numId w:val="0"/>
        </w:numPr>
        <w:tabs>
          <w:tab w:val="clear" w:pos="851"/>
        </w:tabs>
        <w:ind w:left="851" w:hanging="426"/>
        <w:rPr>
          <w:color w:val="auto"/>
        </w:rPr>
      </w:pPr>
      <w:r>
        <w:rPr>
          <w:rFonts w:hint="eastAsia"/>
          <w:color w:val="auto"/>
        </w:rPr>
        <w:t>——3幢及以上数量的建筑，每幢应不少于1个钻孔，且满足钻孔间距≤200</w:t>
      </w:r>
      <w:r>
        <w:rPr>
          <w:rFonts w:hint="eastAsia"/>
          <w:color w:val="auto"/>
          <w:vertAlign w:val="superscript"/>
        </w:rPr>
        <w:t xml:space="preserve"> </w:t>
      </w:r>
      <w:r>
        <w:rPr>
          <w:rFonts w:hint="eastAsia"/>
          <w:color w:val="auto"/>
        </w:rPr>
        <w:t>m。</w:t>
      </w:r>
    </w:p>
    <w:p w14:paraId="79F8D9F9">
      <w:pPr>
        <w:pStyle w:val="98"/>
        <w:spacing w:before="120" w:after="120"/>
        <w:rPr>
          <w:color w:val="auto"/>
        </w:rPr>
      </w:pPr>
      <w:r>
        <w:rPr>
          <w:rFonts w:hint="eastAsia"/>
          <w:color w:val="auto"/>
        </w:rPr>
        <w:t>机场工程场地</w:t>
      </w:r>
    </w:p>
    <w:p w14:paraId="5ACF13FA">
      <w:pPr>
        <w:pStyle w:val="60"/>
        <w:ind w:firstLine="420"/>
        <w:rPr>
          <w:color w:val="auto"/>
        </w:rPr>
      </w:pPr>
      <w:r>
        <w:rPr>
          <w:rFonts w:hint="eastAsia"/>
          <w:color w:val="auto"/>
        </w:rPr>
        <w:t>应满足下列要求：</w:t>
      </w:r>
    </w:p>
    <w:p w14:paraId="553E34A9">
      <w:pPr>
        <w:pStyle w:val="136"/>
        <w:numPr>
          <w:ilvl w:val="0"/>
          <w:numId w:val="0"/>
        </w:numPr>
        <w:tabs>
          <w:tab w:val="clear" w:pos="851"/>
        </w:tabs>
        <w:ind w:left="851" w:hanging="426"/>
        <w:rPr>
          <w:color w:val="auto"/>
        </w:rPr>
      </w:pPr>
      <w:r>
        <w:rPr>
          <w:rFonts w:hint="eastAsia"/>
          <w:color w:val="auto"/>
        </w:rPr>
        <w:t>——塔台和航站楼等重要建（构）筑物下应不少于1个钻孔，且钻孔间距≤100</w:t>
      </w:r>
      <w:r>
        <w:rPr>
          <w:rFonts w:hint="eastAsia"/>
          <w:color w:val="auto"/>
          <w:vertAlign w:val="superscript"/>
        </w:rPr>
        <w:t xml:space="preserve"> </w:t>
      </w:r>
      <w:r>
        <w:rPr>
          <w:rFonts w:hint="eastAsia"/>
          <w:color w:val="auto"/>
        </w:rPr>
        <w:t>m；</w:t>
      </w:r>
    </w:p>
    <w:p w14:paraId="4E77253D">
      <w:pPr>
        <w:pStyle w:val="136"/>
        <w:numPr>
          <w:ilvl w:val="0"/>
          <w:numId w:val="0"/>
        </w:numPr>
        <w:tabs>
          <w:tab w:val="clear" w:pos="851"/>
        </w:tabs>
        <w:ind w:left="851" w:hanging="426"/>
        <w:rPr>
          <w:color w:val="auto"/>
        </w:rPr>
      </w:pPr>
      <w:r>
        <w:rPr>
          <w:rFonts w:hint="eastAsia"/>
          <w:color w:val="auto"/>
        </w:rPr>
        <w:t>——机场跑道应不少于2个钻孔，且钻孔间距≤1</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w:t>
      </w:r>
    </w:p>
    <w:p w14:paraId="4BDC79F0">
      <w:pPr>
        <w:pStyle w:val="98"/>
        <w:spacing w:before="120" w:after="120"/>
        <w:rPr>
          <w:color w:val="auto"/>
        </w:rPr>
      </w:pPr>
      <w:r>
        <w:rPr>
          <w:rFonts w:hint="eastAsia"/>
          <w:color w:val="auto"/>
        </w:rPr>
        <w:t>桥梁工程场地</w:t>
      </w:r>
    </w:p>
    <w:p w14:paraId="643ED1CA">
      <w:pPr>
        <w:pStyle w:val="60"/>
        <w:ind w:firstLine="420"/>
        <w:rPr>
          <w:color w:val="auto"/>
        </w:rPr>
      </w:pPr>
      <w:r>
        <w:rPr>
          <w:rFonts w:hint="eastAsia"/>
          <w:color w:val="auto"/>
        </w:rPr>
        <w:t>应满足下列要求：</w:t>
      </w:r>
    </w:p>
    <w:p w14:paraId="590317E9">
      <w:pPr>
        <w:pStyle w:val="136"/>
        <w:numPr>
          <w:ilvl w:val="0"/>
          <w:numId w:val="0"/>
        </w:numPr>
        <w:tabs>
          <w:tab w:val="clear" w:pos="851"/>
        </w:tabs>
        <w:ind w:left="851" w:hanging="426"/>
        <w:rPr>
          <w:color w:val="auto"/>
        </w:rPr>
      </w:pPr>
      <w:r>
        <w:rPr>
          <w:rFonts w:hint="eastAsia"/>
          <w:color w:val="auto"/>
        </w:rPr>
        <w:t>——塔式桥梁或单跨150</w:t>
      </w:r>
      <w:r>
        <w:rPr>
          <w:rFonts w:hint="eastAsia"/>
          <w:color w:val="auto"/>
          <w:vertAlign w:val="superscript"/>
        </w:rPr>
        <w:t xml:space="preserve"> </w:t>
      </w:r>
      <w:r>
        <w:rPr>
          <w:rFonts w:hint="eastAsia"/>
          <w:color w:val="auto"/>
        </w:rPr>
        <w:t>m以上的桥梁，应在跨端或主墩分别不少于2个钻孔，并能控制主桥墩场地；当单侧引桥长度大于500</w:t>
      </w:r>
      <w:r>
        <w:rPr>
          <w:rFonts w:hint="eastAsia"/>
          <w:color w:val="auto"/>
          <w:vertAlign w:val="superscript"/>
        </w:rPr>
        <w:t xml:space="preserve"> </w:t>
      </w:r>
      <w:r>
        <w:rPr>
          <w:rFonts w:hint="eastAsia"/>
          <w:color w:val="auto"/>
        </w:rPr>
        <w:t>m，沿引桥走向增加钻孔，钻孔间距≤500</w:t>
      </w:r>
      <w:r>
        <w:rPr>
          <w:rFonts w:hint="eastAsia"/>
          <w:color w:val="auto"/>
          <w:vertAlign w:val="superscript"/>
        </w:rPr>
        <w:t xml:space="preserve"> </w:t>
      </w:r>
      <w:r>
        <w:rPr>
          <w:rFonts w:hint="eastAsia"/>
          <w:color w:val="auto"/>
        </w:rPr>
        <w:t>m，钻孔位于跨端位置；</w:t>
      </w:r>
    </w:p>
    <w:p w14:paraId="66B92434">
      <w:pPr>
        <w:pStyle w:val="136"/>
        <w:numPr>
          <w:ilvl w:val="0"/>
          <w:numId w:val="0"/>
        </w:numPr>
        <w:tabs>
          <w:tab w:val="clear" w:pos="851"/>
        </w:tabs>
        <w:ind w:left="851" w:hanging="426"/>
        <w:rPr>
          <w:color w:val="auto"/>
        </w:rPr>
      </w:pPr>
      <w:r>
        <w:rPr>
          <w:rFonts w:hint="eastAsia"/>
          <w:color w:val="auto"/>
        </w:rPr>
        <w:t>——桥梁为连续梁（单跨不超过150</w:t>
      </w:r>
      <w:r>
        <w:rPr>
          <w:rFonts w:hint="eastAsia"/>
          <w:color w:val="auto"/>
          <w:vertAlign w:val="superscript"/>
        </w:rPr>
        <w:t xml:space="preserve"> </w:t>
      </w:r>
      <w:r>
        <w:rPr>
          <w:rFonts w:hint="eastAsia"/>
          <w:color w:val="auto"/>
        </w:rPr>
        <w:t>m），沿桥梁走向布设钻孔，钻孔间距≤500</w:t>
      </w:r>
      <w:r>
        <w:rPr>
          <w:rFonts w:hint="eastAsia"/>
          <w:color w:val="auto"/>
          <w:vertAlign w:val="superscript"/>
        </w:rPr>
        <w:t xml:space="preserve"> </w:t>
      </w:r>
      <w:r>
        <w:rPr>
          <w:rFonts w:hint="eastAsia"/>
          <w:color w:val="auto"/>
        </w:rPr>
        <w:t>m，钻孔位于跨端位置；</w:t>
      </w:r>
    </w:p>
    <w:p w14:paraId="67AEC192">
      <w:pPr>
        <w:pStyle w:val="136"/>
        <w:numPr>
          <w:ilvl w:val="0"/>
          <w:numId w:val="0"/>
        </w:numPr>
        <w:tabs>
          <w:tab w:val="clear" w:pos="851"/>
        </w:tabs>
        <w:ind w:left="851" w:hanging="426"/>
        <w:rPr>
          <w:color w:val="auto"/>
        </w:rPr>
      </w:pPr>
      <w:r>
        <w:rPr>
          <w:rFonts w:hint="eastAsia"/>
          <w:color w:val="auto"/>
        </w:rPr>
        <w:t>——工程地质条件复杂的应当加大钻孔密度。</w:t>
      </w:r>
    </w:p>
    <w:p w14:paraId="3644E059">
      <w:pPr>
        <w:pStyle w:val="98"/>
        <w:spacing w:before="120" w:after="120"/>
        <w:rPr>
          <w:color w:val="auto"/>
        </w:rPr>
      </w:pPr>
      <w:r>
        <w:rPr>
          <w:rFonts w:hint="eastAsia"/>
          <w:color w:val="auto"/>
        </w:rPr>
        <w:t>地下洞室、隧道工程场地</w:t>
      </w:r>
    </w:p>
    <w:p w14:paraId="0B5F75CD">
      <w:pPr>
        <w:pStyle w:val="60"/>
        <w:ind w:firstLine="420"/>
        <w:rPr>
          <w:color w:val="auto"/>
        </w:rPr>
      </w:pPr>
      <w:r>
        <w:rPr>
          <w:rFonts w:hint="eastAsia"/>
          <w:color w:val="auto"/>
        </w:rPr>
        <w:t>应满足下列要求：</w:t>
      </w:r>
    </w:p>
    <w:p w14:paraId="6836E72D">
      <w:pPr>
        <w:pStyle w:val="136"/>
        <w:numPr>
          <w:ilvl w:val="0"/>
          <w:numId w:val="0"/>
        </w:numPr>
        <w:tabs>
          <w:tab w:val="clear" w:pos="851"/>
        </w:tabs>
        <w:ind w:left="851" w:hanging="426"/>
        <w:rPr>
          <w:color w:val="auto"/>
        </w:rPr>
      </w:pPr>
      <w:r>
        <w:rPr>
          <w:rFonts w:hint="eastAsia"/>
          <w:color w:val="auto"/>
        </w:rPr>
        <w:t>——地下洞室场地应布设不少于3个钻孔，且钻孔间距≤200</w:t>
      </w:r>
      <w:r>
        <w:rPr>
          <w:rFonts w:hint="eastAsia"/>
          <w:color w:val="auto"/>
          <w:vertAlign w:val="superscript"/>
        </w:rPr>
        <w:t xml:space="preserve"> </w:t>
      </w:r>
      <w:r>
        <w:rPr>
          <w:rFonts w:hint="eastAsia"/>
          <w:color w:val="auto"/>
        </w:rPr>
        <w:t>m；</w:t>
      </w:r>
    </w:p>
    <w:p w14:paraId="1D4FA1E9">
      <w:pPr>
        <w:pStyle w:val="136"/>
        <w:numPr>
          <w:ilvl w:val="0"/>
          <w:numId w:val="0"/>
        </w:numPr>
        <w:tabs>
          <w:tab w:val="clear" w:pos="851"/>
        </w:tabs>
        <w:ind w:left="851" w:hanging="426"/>
        <w:rPr>
          <w:color w:val="auto"/>
        </w:rPr>
      </w:pPr>
      <w:r>
        <w:rPr>
          <w:rFonts w:hint="eastAsia"/>
          <w:color w:val="auto"/>
        </w:rPr>
        <w:t>——隧道主体位于基岩中，隧道出口、进口处存在覆盖层土体，应在隧道出口和进口处分别不少于2个钻孔，并沿坡向布设；已有勘查资料和野外调查能够证明隧道出口和进口处为基岩场地，应绘制地质剖面及照片佐证，可不进行钻孔布设；</w:t>
      </w:r>
    </w:p>
    <w:p w14:paraId="13032517">
      <w:pPr>
        <w:pStyle w:val="136"/>
        <w:numPr>
          <w:ilvl w:val="0"/>
          <w:numId w:val="0"/>
        </w:numPr>
        <w:tabs>
          <w:tab w:val="clear" w:pos="851"/>
        </w:tabs>
        <w:ind w:left="851" w:hanging="426"/>
        <w:rPr>
          <w:color w:val="auto"/>
        </w:rPr>
      </w:pPr>
      <w:r>
        <w:rPr>
          <w:rFonts w:hint="eastAsia"/>
          <w:color w:val="auto"/>
        </w:rPr>
        <w:t>——隧道整体位于覆盖层场地中，沿隧道走向布设钻孔，钻孔间距≤500</w:t>
      </w:r>
      <w:r>
        <w:rPr>
          <w:rFonts w:hint="eastAsia"/>
          <w:color w:val="auto"/>
          <w:vertAlign w:val="superscript"/>
        </w:rPr>
        <w:t xml:space="preserve"> </w:t>
      </w:r>
      <w:r>
        <w:rPr>
          <w:rFonts w:hint="eastAsia"/>
          <w:color w:val="auto"/>
        </w:rPr>
        <w:t>m，且不少于3个钻孔；</w:t>
      </w:r>
    </w:p>
    <w:p w14:paraId="7AB294BB">
      <w:pPr>
        <w:pStyle w:val="136"/>
        <w:numPr>
          <w:ilvl w:val="0"/>
          <w:numId w:val="0"/>
        </w:numPr>
        <w:tabs>
          <w:tab w:val="clear" w:pos="851"/>
        </w:tabs>
        <w:ind w:left="851" w:hanging="426"/>
        <w:rPr>
          <w:color w:val="auto"/>
        </w:rPr>
      </w:pPr>
      <w:r>
        <w:rPr>
          <w:rFonts w:hint="eastAsia"/>
          <w:color w:val="auto"/>
        </w:rPr>
        <w:t>——工程地质条件复杂的应当加大钻孔密度。</w:t>
      </w:r>
    </w:p>
    <w:p w14:paraId="3000BEAC">
      <w:pPr>
        <w:pStyle w:val="98"/>
        <w:spacing w:before="120" w:after="120"/>
        <w:rPr>
          <w:color w:val="auto"/>
        </w:rPr>
      </w:pPr>
      <w:r>
        <w:rPr>
          <w:rFonts w:hint="eastAsia"/>
          <w:color w:val="auto"/>
        </w:rPr>
        <w:t>轨道交通工程场地</w:t>
      </w:r>
    </w:p>
    <w:p w14:paraId="279FA653">
      <w:pPr>
        <w:pStyle w:val="60"/>
        <w:ind w:firstLine="420"/>
        <w:rPr>
          <w:color w:val="auto"/>
        </w:rPr>
      </w:pPr>
      <w:r>
        <w:rPr>
          <w:rFonts w:hint="eastAsia"/>
          <w:color w:val="auto"/>
        </w:rPr>
        <w:t>应满足下列要求：</w:t>
      </w:r>
    </w:p>
    <w:p w14:paraId="32BC8FD3">
      <w:pPr>
        <w:pStyle w:val="136"/>
        <w:numPr>
          <w:ilvl w:val="0"/>
          <w:numId w:val="0"/>
        </w:numPr>
        <w:tabs>
          <w:tab w:val="clear" w:pos="851"/>
        </w:tabs>
        <w:ind w:left="851" w:hanging="426"/>
        <w:rPr>
          <w:color w:val="auto"/>
        </w:rPr>
      </w:pPr>
      <w:r>
        <w:rPr>
          <w:rFonts w:hint="eastAsia"/>
          <w:color w:val="auto"/>
        </w:rPr>
        <w:t>——每个轨道站不少于3个钻孔；</w:t>
      </w:r>
    </w:p>
    <w:p w14:paraId="06E66B0C">
      <w:pPr>
        <w:pStyle w:val="136"/>
        <w:numPr>
          <w:ilvl w:val="0"/>
          <w:numId w:val="0"/>
        </w:numPr>
        <w:tabs>
          <w:tab w:val="clear" w:pos="851"/>
        </w:tabs>
        <w:ind w:left="851" w:hanging="426"/>
        <w:rPr>
          <w:color w:val="auto"/>
        </w:rPr>
      </w:pPr>
      <w:r>
        <w:rPr>
          <w:rFonts w:hint="eastAsia"/>
          <w:color w:val="auto"/>
        </w:rPr>
        <w:t>——轨道交通工程，轨道站之间区间线路的钻孔间距≤500</w:t>
      </w:r>
      <w:r>
        <w:rPr>
          <w:rFonts w:hint="eastAsia"/>
          <w:color w:val="auto"/>
          <w:vertAlign w:val="superscript"/>
        </w:rPr>
        <w:t xml:space="preserve"> </w:t>
      </w:r>
      <w:r>
        <w:rPr>
          <w:rFonts w:hint="eastAsia"/>
          <w:color w:val="auto"/>
        </w:rPr>
        <w:t>m；</w:t>
      </w:r>
    </w:p>
    <w:p w14:paraId="50A55338">
      <w:pPr>
        <w:pStyle w:val="136"/>
        <w:numPr>
          <w:ilvl w:val="0"/>
          <w:numId w:val="0"/>
        </w:numPr>
        <w:tabs>
          <w:tab w:val="clear" w:pos="851"/>
        </w:tabs>
        <w:ind w:left="851" w:hanging="426"/>
        <w:rPr>
          <w:color w:val="auto"/>
        </w:rPr>
      </w:pPr>
      <w:r>
        <w:rPr>
          <w:rFonts w:hint="eastAsia"/>
          <w:color w:val="auto"/>
        </w:rPr>
        <w:t>——工程地质条件复杂的应当加大钻孔密度。</w:t>
      </w:r>
    </w:p>
    <w:p w14:paraId="71767D75">
      <w:pPr>
        <w:pStyle w:val="98"/>
        <w:spacing w:before="120" w:after="120"/>
        <w:rPr>
          <w:color w:val="auto"/>
        </w:rPr>
      </w:pPr>
      <w:r>
        <w:rPr>
          <w:rFonts w:hint="eastAsia"/>
          <w:color w:val="auto"/>
        </w:rPr>
        <w:t>铁路工程场地</w:t>
      </w:r>
    </w:p>
    <w:p w14:paraId="52E22EF4">
      <w:pPr>
        <w:pStyle w:val="60"/>
        <w:ind w:firstLine="420"/>
        <w:rPr>
          <w:color w:val="auto"/>
        </w:rPr>
      </w:pPr>
      <w:r>
        <w:rPr>
          <w:rFonts w:hint="eastAsia"/>
          <w:color w:val="auto"/>
        </w:rPr>
        <w:t>每个车站不少于3个钻孔，工程地质条件复杂的应加大钻孔密度。</w:t>
      </w:r>
    </w:p>
    <w:p w14:paraId="4A303A68">
      <w:pPr>
        <w:pStyle w:val="98"/>
        <w:spacing w:before="120" w:after="120"/>
        <w:rPr>
          <w:color w:val="auto"/>
        </w:rPr>
      </w:pPr>
      <w:r>
        <w:rPr>
          <w:rFonts w:hint="eastAsia"/>
          <w:color w:val="auto"/>
        </w:rPr>
        <w:t>电力（输变电、火力发电）工程场地</w:t>
      </w:r>
    </w:p>
    <w:p w14:paraId="373D739C">
      <w:pPr>
        <w:pStyle w:val="60"/>
        <w:ind w:firstLine="420"/>
        <w:rPr>
          <w:color w:val="auto"/>
        </w:rPr>
      </w:pPr>
      <w:r>
        <w:rPr>
          <w:rFonts w:hint="eastAsia"/>
          <w:color w:val="auto"/>
        </w:rPr>
        <w:t>应满足下列要求：</w:t>
      </w:r>
    </w:p>
    <w:p w14:paraId="4B88FA9E">
      <w:pPr>
        <w:pStyle w:val="136"/>
        <w:numPr>
          <w:ilvl w:val="0"/>
          <w:numId w:val="0"/>
        </w:numPr>
        <w:tabs>
          <w:tab w:val="clear" w:pos="851"/>
        </w:tabs>
        <w:ind w:left="851" w:hanging="426"/>
        <w:rPr>
          <w:color w:val="auto"/>
        </w:rPr>
      </w:pPr>
      <w:r>
        <w:rPr>
          <w:rFonts w:hint="eastAsia"/>
          <w:color w:val="auto"/>
        </w:rPr>
        <w:t>——火力发电工程，汽机房等重要的建（构）筑物不少于1个钻孔，厂区不少于3个钻孔；</w:t>
      </w:r>
    </w:p>
    <w:p w14:paraId="61035C28">
      <w:pPr>
        <w:pStyle w:val="136"/>
        <w:numPr>
          <w:ilvl w:val="0"/>
          <w:numId w:val="0"/>
        </w:numPr>
        <w:tabs>
          <w:tab w:val="clear" w:pos="851"/>
        </w:tabs>
        <w:ind w:left="851" w:hanging="426"/>
        <w:rPr>
          <w:color w:val="auto"/>
        </w:rPr>
      </w:pPr>
      <w:r>
        <w:rPr>
          <w:rFonts w:hint="eastAsia"/>
          <w:color w:val="auto"/>
        </w:rPr>
        <w:t>——输变电工程，输电线路中的塔架高度＜80</w:t>
      </w:r>
      <w:r>
        <w:rPr>
          <w:rFonts w:hint="eastAsia"/>
          <w:color w:val="auto"/>
          <w:vertAlign w:val="superscript"/>
        </w:rPr>
        <w:t xml:space="preserve"> </w:t>
      </w:r>
      <w:r>
        <w:rPr>
          <w:rFonts w:hint="eastAsia"/>
          <w:color w:val="auto"/>
        </w:rPr>
        <w:t>m的，每个塔架建设场地至少1个钻孔；塔架高度大于80</w:t>
      </w:r>
      <w:r>
        <w:rPr>
          <w:rFonts w:hint="eastAsia"/>
          <w:color w:val="auto"/>
          <w:vertAlign w:val="superscript"/>
        </w:rPr>
        <w:t xml:space="preserve"> </w:t>
      </w:r>
      <w:r>
        <w:rPr>
          <w:rFonts w:hint="eastAsia"/>
          <w:color w:val="auto"/>
        </w:rPr>
        <w:t>m的，每个塔架建设场地不少于3个钻孔。</w:t>
      </w:r>
    </w:p>
    <w:p w14:paraId="58F365C9">
      <w:pPr>
        <w:pStyle w:val="98"/>
        <w:spacing w:before="120" w:after="120"/>
        <w:rPr>
          <w:color w:val="auto"/>
        </w:rPr>
      </w:pPr>
      <w:r>
        <w:rPr>
          <w:rFonts w:hint="eastAsia"/>
          <w:color w:val="auto"/>
        </w:rPr>
        <w:t>水工（大坝、港口、码头等）建（构）筑物场地</w:t>
      </w:r>
    </w:p>
    <w:p w14:paraId="0C94C882">
      <w:pPr>
        <w:pStyle w:val="60"/>
        <w:ind w:firstLine="420"/>
        <w:rPr>
          <w:color w:val="auto"/>
        </w:rPr>
      </w:pPr>
      <w:r>
        <w:rPr>
          <w:rFonts w:hint="eastAsia"/>
          <w:color w:val="auto"/>
        </w:rPr>
        <w:t>应满足下列要求：</w:t>
      </w:r>
    </w:p>
    <w:p w14:paraId="42DCD9B3">
      <w:pPr>
        <w:pStyle w:val="136"/>
        <w:numPr>
          <w:ilvl w:val="0"/>
          <w:numId w:val="0"/>
        </w:numPr>
        <w:tabs>
          <w:tab w:val="clear" w:pos="851"/>
        </w:tabs>
        <w:ind w:left="851" w:hanging="426"/>
        <w:rPr>
          <w:color w:val="auto"/>
        </w:rPr>
      </w:pPr>
      <w:r>
        <w:rPr>
          <w:rFonts w:hint="eastAsia"/>
          <w:color w:val="auto"/>
        </w:rPr>
        <w:t>——水库坝体及相关工程的场地不少于3个钻孔，且钻孔间距≤200</w:t>
      </w:r>
      <w:r>
        <w:rPr>
          <w:rFonts w:hint="eastAsia"/>
          <w:color w:val="auto"/>
          <w:vertAlign w:val="superscript"/>
        </w:rPr>
        <w:t xml:space="preserve"> </w:t>
      </w:r>
      <w:r>
        <w:rPr>
          <w:rFonts w:hint="eastAsia"/>
          <w:color w:val="auto"/>
        </w:rPr>
        <w:t>m；</w:t>
      </w:r>
    </w:p>
    <w:p w14:paraId="2D9883E4">
      <w:pPr>
        <w:pStyle w:val="136"/>
        <w:numPr>
          <w:ilvl w:val="0"/>
          <w:numId w:val="0"/>
        </w:numPr>
        <w:tabs>
          <w:tab w:val="clear" w:pos="851"/>
        </w:tabs>
        <w:ind w:left="851" w:hanging="426"/>
        <w:rPr>
          <w:color w:val="auto"/>
        </w:rPr>
      </w:pPr>
      <w:r>
        <w:rPr>
          <w:rFonts w:hint="eastAsia"/>
          <w:color w:val="auto"/>
        </w:rPr>
        <w:t>——港口、码头、船坞等建设工程，每个主要建（构）筑物场地不少于2个钻孔，场地整体不少于3个钻孔；</w:t>
      </w:r>
    </w:p>
    <w:p w14:paraId="4F088FD4">
      <w:pPr>
        <w:pStyle w:val="136"/>
        <w:numPr>
          <w:ilvl w:val="0"/>
          <w:numId w:val="0"/>
        </w:numPr>
        <w:tabs>
          <w:tab w:val="clear" w:pos="851"/>
        </w:tabs>
        <w:ind w:left="851" w:hanging="426"/>
        <w:rPr>
          <w:color w:val="auto"/>
        </w:rPr>
      </w:pPr>
      <w:r>
        <w:rPr>
          <w:rFonts w:hint="eastAsia"/>
          <w:color w:val="auto"/>
        </w:rPr>
        <w:t>——抽水蓄能电站上坝址、下坝址场地至少各布设3个钻孔，且各坝址钻孔间距≤200</w:t>
      </w:r>
      <w:r>
        <w:rPr>
          <w:rFonts w:hint="eastAsia"/>
          <w:color w:val="auto"/>
          <w:vertAlign w:val="superscript"/>
        </w:rPr>
        <w:t xml:space="preserve"> </w:t>
      </w:r>
      <w:r>
        <w:rPr>
          <w:rFonts w:hint="eastAsia"/>
          <w:color w:val="auto"/>
        </w:rPr>
        <w:t>m。</w:t>
      </w:r>
    </w:p>
    <w:p w14:paraId="1682953B">
      <w:pPr>
        <w:pStyle w:val="98"/>
        <w:spacing w:before="120" w:after="120"/>
        <w:rPr>
          <w:color w:val="auto"/>
        </w:rPr>
      </w:pPr>
      <w:r>
        <w:rPr>
          <w:rFonts w:hint="eastAsia"/>
          <w:color w:val="auto"/>
        </w:rPr>
        <w:t>储存罐体场地</w:t>
      </w:r>
    </w:p>
    <w:p w14:paraId="2AA3AA6A">
      <w:pPr>
        <w:pStyle w:val="60"/>
        <w:ind w:firstLine="420"/>
        <w:rPr>
          <w:color w:val="auto"/>
        </w:rPr>
      </w:pPr>
      <w:r>
        <w:rPr>
          <w:rFonts w:hint="eastAsia"/>
          <w:color w:val="auto"/>
        </w:rPr>
        <w:t>应满足下列要求：</w:t>
      </w:r>
    </w:p>
    <w:p w14:paraId="63CD5DE7">
      <w:pPr>
        <w:pStyle w:val="136"/>
        <w:numPr>
          <w:ilvl w:val="0"/>
          <w:numId w:val="0"/>
        </w:numPr>
        <w:tabs>
          <w:tab w:val="clear" w:pos="851"/>
        </w:tabs>
        <w:ind w:left="851" w:hanging="426"/>
        <w:rPr>
          <w:color w:val="auto"/>
        </w:rPr>
      </w:pPr>
      <w:r>
        <w:rPr>
          <w:rFonts w:hint="eastAsia"/>
          <w:color w:val="auto"/>
        </w:rPr>
        <w:t>——储油工程储存量大于30</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w:t>
      </w:r>
      <w:r>
        <w:rPr>
          <w:rFonts w:hint="eastAsia"/>
          <w:color w:val="auto"/>
          <w:vertAlign w:val="superscript"/>
        </w:rPr>
        <w:t>3</w:t>
      </w:r>
      <w:r>
        <w:rPr>
          <w:rFonts w:hint="eastAsia"/>
          <w:color w:val="auto"/>
        </w:rPr>
        <w:t>的场地不少于3个钻孔；</w:t>
      </w:r>
    </w:p>
    <w:p w14:paraId="58984600">
      <w:pPr>
        <w:pStyle w:val="136"/>
        <w:numPr>
          <w:ilvl w:val="0"/>
          <w:numId w:val="0"/>
        </w:numPr>
        <w:tabs>
          <w:tab w:val="clear" w:pos="851"/>
        </w:tabs>
        <w:ind w:left="851" w:hanging="426"/>
        <w:rPr>
          <w:color w:val="auto"/>
        </w:rPr>
      </w:pPr>
      <w:r>
        <w:rPr>
          <w:rFonts w:hint="eastAsia"/>
          <w:color w:val="auto"/>
        </w:rPr>
        <w:t>——储存量大于100</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w:t>
      </w:r>
      <w:r>
        <w:rPr>
          <w:rFonts w:hint="eastAsia"/>
          <w:color w:val="auto"/>
          <w:vertAlign w:val="superscript"/>
        </w:rPr>
        <w:t>3</w:t>
      </w:r>
      <w:r>
        <w:rPr>
          <w:rFonts w:hint="eastAsia"/>
          <w:color w:val="auto"/>
        </w:rPr>
        <w:t>的储气及储水工程，不少于4个钻孔；</w:t>
      </w:r>
    </w:p>
    <w:p w14:paraId="64C25B18">
      <w:pPr>
        <w:pStyle w:val="136"/>
        <w:numPr>
          <w:ilvl w:val="0"/>
          <w:numId w:val="0"/>
        </w:numPr>
        <w:tabs>
          <w:tab w:val="clear" w:pos="851"/>
        </w:tabs>
        <w:ind w:left="851" w:hanging="426"/>
        <w:rPr>
          <w:color w:val="auto"/>
        </w:rPr>
      </w:pPr>
      <w:r>
        <w:rPr>
          <w:rFonts w:hint="eastAsia"/>
          <w:color w:val="auto"/>
        </w:rPr>
        <w:t>——单个储存量100</w:t>
      </w:r>
      <w:r>
        <w:rPr>
          <w:rFonts w:hint="eastAsia"/>
          <w:color w:val="auto"/>
          <w:vertAlign w:val="superscript"/>
        </w:rPr>
        <w:t xml:space="preserve"> </w:t>
      </w:r>
      <w:r>
        <w:rPr>
          <w:rFonts w:hint="eastAsia"/>
          <w:color w:val="auto"/>
        </w:rPr>
        <w:t>000</w:t>
      </w:r>
      <w:r>
        <w:rPr>
          <w:rFonts w:hint="eastAsia"/>
          <w:color w:val="auto"/>
          <w:vertAlign w:val="superscript"/>
        </w:rPr>
        <w:t xml:space="preserve"> </w:t>
      </w:r>
      <w:r>
        <w:rPr>
          <w:rFonts w:hint="eastAsia"/>
          <w:color w:val="auto"/>
        </w:rPr>
        <w:t>m</w:t>
      </w:r>
      <w:r>
        <w:rPr>
          <w:rFonts w:hint="eastAsia"/>
          <w:color w:val="auto"/>
          <w:vertAlign w:val="superscript"/>
        </w:rPr>
        <w:t>3</w:t>
      </w:r>
      <w:r>
        <w:rPr>
          <w:rFonts w:hint="eastAsia"/>
          <w:color w:val="auto"/>
        </w:rPr>
        <w:t>以上的储罐不少于1个钻孔，且钻孔间距≤200</w:t>
      </w:r>
      <w:r>
        <w:rPr>
          <w:rFonts w:hint="eastAsia"/>
          <w:color w:val="auto"/>
          <w:vertAlign w:val="superscript"/>
        </w:rPr>
        <w:t xml:space="preserve"> </w:t>
      </w:r>
      <w:r>
        <w:rPr>
          <w:rFonts w:hint="eastAsia"/>
          <w:color w:val="auto"/>
        </w:rPr>
        <w:t>m。</w:t>
      </w:r>
    </w:p>
    <w:p w14:paraId="0F2D938B">
      <w:pPr>
        <w:pStyle w:val="98"/>
        <w:spacing w:before="120" w:after="120"/>
        <w:rPr>
          <w:color w:val="auto"/>
        </w:rPr>
      </w:pPr>
      <w:r>
        <w:rPr>
          <w:rFonts w:hint="eastAsia"/>
          <w:color w:val="auto"/>
        </w:rPr>
        <w:t>尾矿坝场地</w:t>
      </w:r>
    </w:p>
    <w:p w14:paraId="2FEA1EE9">
      <w:pPr>
        <w:pStyle w:val="60"/>
        <w:ind w:firstLine="420"/>
        <w:rPr>
          <w:color w:val="auto"/>
        </w:rPr>
      </w:pPr>
      <w:r>
        <w:rPr>
          <w:rFonts w:hint="eastAsia"/>
          <w:color w:val="auto"/>
        </w:rPr>
        <w:t>尾矿坝工程的场地不少于3个钻孔，且钻孔间距≤100</w:t>
      </w:r>
      <w:r>
        <w:rPr>
          <w:rFonts w:hint="eastAsia"/>
          <w:color w:val="auto"/>
          <w:vertAlign w:val="superscript"/>
        </w:rPr>
        <w:t xml:space="preserve"> </w:t>
      </w:r>
      <w:r>
        <w:rPr>
          <w:rFonts w:hint="eastAsia"/>
          <w:color w:val="auto"/>
        </w:rPr>
        <w:t>m。</w:t>
      </w:r>
    </w:p>
    <w:p w14:paraId="43B0AC0F">
      <w:pPr>
        <w:pStyle w:val="98"/>
        <w:spacing w:before="120" w:after="120"/>
        <w:rPr>
          <w:color w:val="auto"/>
        </w:rPr>
      </w:pPr>
      <w:r>
        <w:rPr>
          <w:rFonts w:hint="eastAsia"/>
          <w:color w:val="auto"/>
        </w:rPr>
        <w:t>风电场地钻孔布设</w:t>
      </w:r>
    </w:p>
    <w:p w14:paraId="6BC58600">
      <w:pPr>
        <w:pStyle w:val="60"/>
        <w:ind w:firstLine="420"/>
        <w:rPr>
          <w:color w:val="auto"/>
        </w:rPr>
      </w:pPr>
      <w:r>
        <w:rPr>
          <w:rFonts w:hint="eastAsia"/>
          <w:color w:val="auto"/>
        </w:rPr>
        <w:t>应满足下列要求：</w:t>
      </w:r>
    </w:p>
    <w:p w14:paraId="13B2A3F1">
      <w:pPr>
        <w:pStyle w:val="136"/>
        <w:numPr>
          <w:ilvl w:val="0"/>
          <w:numId w:val="0"/>
        </w:numPr>
        <w:tabs>
          <w:tab w:val="clear" w:pos="851"/>
        </w:tabs>
        <w:ind w:left="851" w:hanging="426"/>
        <w:rPr>
          <w:color w:val="auto"/>
        </w:rPr>
      </w:pPr>
      <w:r>
        <w:rPr>
          <w:rFonts w:hint="eastAsia"/>
          <w:color w:val="auto"/>
        </w:rPr>
        <w:t>——每个陆域升压站场地不少于3个钻孔；</w:t>
      </w:r>
    </w:p>
    <w:p w14:paraId="4748046E">
      <w:pPr>
        <w:pStyle w:val="136"/>
        <w:numPr>
          <w:ilvl w:val="0"/>
          <w:numId w:val="0"/>
        </w:numPr>
        <w:tabs>
          <w:tab w:val="clear" w:pos="851"/>
        </w:tabs>
        <w:ind w:left="851" w:hanging="426"/>
        <w:rPr>
          <w:color w:val="auto"/>
        </w:rPr>
      </w:pPr>
      <w:r>
        <w:rPr>
          <w:rFonts w:hint="eastAsia"/>
          <w:color w:val="auto"/>
        </w:rPr>
        <w:t>——风机内不再布设钻孔，应进行场地地震动参数区划。</w:t>
      </w:r>
    </w:p>
    <w:p w14:paraId="30DECC6C">
      <w:pPr>
        <w:pStyle w:val="98"/>
        <w:spacing w:before="120" w:after="120"/>
        <w:rPr>
          <w:color w:val="auto"/>
        </w:rPr>
      </w:pPr>
      <w:r>
        <w:rPr>
          <w:rFonts w:hint="eastAsia"/>
          <w:color w:val="auto"/>
        </w:rPr>
        <w:t>区域性地震安评性评价</w:t>
      </w:r>
    </w:p>
    <w:p w14:paraId="6E552A9E">
      <w:pPr>
        <w:pStyle w:val="60"/>
        <w:ind w:firstLine="420"/>
        <w:rPr>
          <w:color w:val="auto"/>
        </w:rPr>
      </w:pPr>
      <w:r>
        <w:rPr>
          <w:rFonts w:hint="eastAsia"/>
          <w:color w:val="auto"/>
        </w:rPr>
        <w:t>应满足下列要求：</w:t>
      </w:r>
    </w:p>
    <w:p w14:paraId="5450D201">
      <w:pPr>
        <w:pStyle w:val="136"/>
        <w:numPr>
          <w:ilvl w:val="0"/>
          <w:numId w:val="0"/>
        </w:numPr>
        <w:tabs>
          <w:tab w:val="clear" w:pos="851"/>
        </w:tabs>
        <w:ind w:left="851" w:hanging="426"/>
        <w:rPr>
          <w:color w:val="auto"/>
        </w:rPr>
      </w:pPr>
      <w:r>
        <w:rPr>
          <w:rFonts w:hint="eastAsia"/>
          <w:color w:val="auto"/>
        </w:rPr>
        <w:t>——</w:t>
      </w:r>
      <w:r>
        <w:rPr>
          <w:rFonts w:hint="eastAsia"/>
          <w:color w:val="auto"/>
        </w:rPr>
        <w:t>根据已有的工程地质资料，分析目标区浅部土层结构特征，结合目标区建设工程的功能布局规划，综合布置控制性钻孔；</w:t>
      </w:r>
    </w:p>
    <w:p w14:paraId="3B954BB4">
      <w:pPr>
        <w:pStyle w:val="136"/>
        <w:numPr>
          <w:ilvl w:val="0"/>
          <w:numId w:val="0"/>
        </w:numPr>
        <w:tabs>
          <w:tab w:val="clear" w:pos="851"/>
        </w:tabs>
        <w:ind w:left="851" w:hanging="426"/>
        <w:rPr>
          <w:color w:val="auto"/>
        </w:rPr>
      </w:pPr>
      <w:r>
        <w:rPr>
          <w:rFonts w:hint="eastAsia"/>
          <w:color w:val="auto"/>
        </w:rPr>
        <w:t>——目标区内已规划的重要建（构）筑物建设工程场地布置不少于1个控制性钻孔；</w:t>
      </w:r>
    </w:p>
    <w:p w14:paraId="6985FBF9">
      <w:pPr>
        <w:pStyle w:val="136"/>
        <w:numPr>
          <w:ilvl w:val="0"/>
          <w:numId w:val="0"/>
        </w:numPr>
        <w:tabs>
          <w:tab w:val="clear" w:pos="851"/>
        </w:tabs>
        <w:ind w:left="851" w:hanging="426"/>
        <w:rPr>
          <w:color w:val="auto"/>
        </w:rPr>
      </w:pPr>
      <w:r>
        <w:rPr>
          <w:rFonts w:hint="eastAsia"/>
          <w:color w:val="auto"/>
        </w:rPr>
        <w:t>——对于浅部土层结构复杂地段，加密钻孔进行控制；</w:t>
      </w:r>
    </w:p>
    <w:p w14:paraId="54207984">
      <w:pPr>
        <w:pStyle w:val="136"/>
        <w:numPr>
          <w:ilvl w:val="0"/>
          <w:numId w:val="0"/>
        </w:numPr>
        <w:tabs>
          <w:tab w:val="clear" w:pos="851"/>
        </w:tabs>
        <w:ind w:left="851" w:hanging="426"/>
        <w:rPr>
          <w:color w:val="auto"/>
        </w:rPr>
      </w:pPr>
      <w:r>
        <w:rPr>
          <w:rFonts w:hint="eastAsia"/>
          <w:color w:val="auto"/>
        </w:rPr>
        <w:t>——当目标区每一地块的覆盖层厚度均≥50</w:t>
      </w:r>
      <w:r>
        <w:rPr>
          <w:rFonts w:hint="eastAsia"/>
          <w:color w:val="auto"/>
          <w:vertAlign w:val="superscript"/>
        </w:rPr>
        <w:t xml:space="preserve"> </w:t>
      </w:r>
      <w:r>
        <w:rPr>
          <w:rFonts w:hint="eastAsia"/>
          <w:color w:val="auto"/>
        </w:rPr>
        <w:t>m时，控制性钻孔间距≤700</w:t>
      </w:r>
      <w:r>
        <w:rPr>
          <w:rFonts w:hint="eastAsia"/>
          <w:color w:val="auto"/>
          <w:vertAlign w:val="superscript"/>
        </w:rPr>
        <w:t xml:space="preserve"> </w:t>
      </w:r>
      <w:r>
        <w:rPr>
          <w:rFonts w:hint="eastAsia"/>
          <w:color w:val="auto"/>
        </w:rPr>
        <w:t>m，且目标区任一设定场点200</w:t>
      </w:r>
      <w:r>
        <w:rPr>
          <w:rFonts w:hint="eastAsia"/>
          <w:color w:val="auto"/>
          <w:vertAlign w:val="superscript"/>
        </w:rPr>
        <w:t xml:space="preserve"> </w:t>
      </w:r>
      <w:r>
        <w:rPr>
          <w:rFonts w:hint="eastAsia"/>
          <w:color w:val="auto"/>
        </w:rPr>
        <w:t>m范围内布设不少于1个控制性钻孔，或700</w:t>
      </w:r>
      <w:r>
        <w:rPr>
          <w:rFonts w:hint="eastAsia"/>
          <w:color w:val="auto"/>
          <w:vertAlign w:val="superscript"/>
        </w:rPr>
        <w:t xml:space="preserve"> </w:t>
      </w:r>
      <w:r>
        <w:rPr>
          <w:rFonts w:hint="eastAsia"/>
          <w:color w:val="auto"/>
        </w:rPr>
        <w:t>m范围内布设不少于2个控制性钻孔；其他情况,则控制性钻孔间距≤500</w:t>
      </w:r>
      <w:r>
        <w:rPr>
          <w:rFonts w:hint="eastAsia"/>
          <w:color w:val="auto"/>
          <w:vertAlign w:val="superscript"/>
        </w:rPr>
        <w:t xml:space="preserve"> </w:t>
      </w:r>
      <w:r>
        <w:rPr>
          <w:rFonts w:hint="eastAsia"/>
          <w:color w:val="auto"/>
        </w:rPr>
        <w:t>m，且目标区任一设定场点200</w:t>
      </w:r>
      <w:r>
        <w:rPr>
          <w:rFonts w:hint="eastAsia"/>
          <w:color w:val="auto"/>
          <w:vertAlign w:val="superscript"/>
        </w:rPr>
        <w:t xml:space="preserve"> </w:t>
      </w:r>
      <w:r>
        <w:rPr>
          <w:rFonts w:hint="eastAsia"/>
          <w:color w:val="auto"/>
        </w:rPr>
        <w:t>m范围内布设不少于1个控制性钻孔，或500</w:t>
      </w:r>
      <w:r>
        <w:rPr>
          <w:rFonts w:hint="eastAsia"/>
          <w:color w:val="auto"/>
          <w:vertAlign w:val="superscript"/>
        </w:rPr>
        <w:t xml:space="preserve"> </w:t>
      </w:r>
      <w:r>
        <w:rPr>
          <w:rFonts w:hint="eastAsia"/>
          <w:color w:val="auto"/>
        </w:rPr>
        <w:t>m范围内布设不少于2个控制性钻孔；</w:t>
      </w:r>
    </w:p>
    <w:p w14:paraId="7CE292AB">
      <w:pPr>
        <w:pStyle w:val="136"/>
        <w:numPr>
          <w:ilvl w:val="0"/>
          <w:numId w:val="0"/>
        </w:numPr>
        <w:tabs>
          <w:tab w:val="clear" w:pos="851"/>
        </w:tabs>
        <w:ind w:left="851" w:hanging="426"/>
        <w:rPr>
          <w:color w:val="auto"/>
        </w:rPr>
      </w:pPr>
      <w:r>
        <w:rPr>
          <w:rFonts w:hint="eastAsia"/>
          <w:color w:val="auto"/>
        </w:rPr>
        <w:t>——每个地块布设不少于2个控制性钻孔。</w:t>
      </w:r>
    </w:p>
    <w:p w14:paraId="1B21A289">
      <w:pPr>
        <w:pStyle w:val="109"/>
        <w:spacing w:before="120" w:after="120"/>
        <w:rPr>
          <w:color w:val="auto"/>
        </w:rPr>
      </w:pPr>
      <w:bookmarkStart w:id="154" w:name="_Toc228292199"/>
      <w:bookmarkStart w:id="155" w:name="_Toc224899512"/>
      <w:bookmarkStart w:id="156" w:name="_Toc225318581"/>
      <w:bookmarkStart w:id="157" w:name="_Toc228350776"/>
      <w:r>
        <w:rPr>
          <w:rFonts w:hint="eastAsia"/>
          <w:color w:val="auto"/>
        </w:rPr>
        <w:t>钻探施工</w:t>
      </w:r>
      <w:bookmarkEnd w:id="154"/>
      <w:bookmarkEnd w:id="155"/>
      <w:bookmarkEnd w:id="156"/>
      <w:bookmarkEnd w:id="157"/>
    </w:p>
    <w:p w14:paraId="74651159">
      <w:pPr>
        <w:pStyle w:val="169"/>
        <w:rPr>
          <w:color w:val="auto"/>
        </w:rPr>
      </w:pPr>
      <w:r>
        <w:rPr>
          <w:rFonts w:hint="eastAsia"/>
          <w:color w:val="auto"/>
        </w:rPr>
        <w:t>按GB 50021规定的回转、冲击等钻探方法进行钻探。</w:t>
      </w:r>
    </w:p>
    <w:p w14:paraId="64576A48">
      <w:pPr>
        <w:pStyle w:val="169"/>
        <w:rPr>
          <w:color w:val="auto"/>
        </w:rPr>
      </w:pPr>
      <w:r>
        <w:rPr>
          <w:rFonts w:hint="eastAsia"/>
          <w:color w:val="auto"/>
        </w:rPr>
        <w:t>工程场地钻孔深度应满足下列要求：</w:t>
      </w:r>
      <w:r>
        <w:rPr>
          <w:color w:val="auto"/>
        </w:rPr>
        <w:t xml:space="preserve"> </w:t>
      </w:r>
    </w:p>
    <w:p w14:paraId="08953C2E">
      <w:pPr>
        <w:pStyle w:val="136"/>
        <w:numPr>
          <w:ilvl w:val="0"/>
          <w:numId w:val="0"/>
        </w:numPr>
        <w:tabs>
          <w:tab w:val="clear" w:pos="851"/>
        </w:tabs>
        <w:ind w:left="851" w:hanging="426"/>
        <w:rPr>
          <w:color w:val="auto"/>
        </w:rPr>
      </w:pPr>
      <w:r>
        <w:rPr>
          <w:rFonts w:hint="eastAsia"/>
          <w:color w:val="auto"/>
        </w:rPr>
        <w:t>——Ⅰ级工作,钻孔达到基岩,或剪切波速度≥800</w:t>
      </w:r>
      <w:r>
        <w:rPr>
          <w:rFonts w:hint="eastAsia"/>
          <w:color w:val="auto"/>
          <w:vertAlign w:val="superscript"/>
        </w:rPr>
        <w:t xml:space="preserve"> </w:t>
      </w:r>
      <w:r>
        <w:rPr>
          <w:rFonts w:hint="eastAsia"/>
          <w:color w:val="auto"/>
        </w:rPr>
        <w:t>m/s处,且其下方不存在更低剪切波速度值岩土层；</w:t>
      </w:r>
    </w:p>
    <w:p w14:paraId="60325307">
      <w:pPr>
        <w:pStyle w:val="136"/>
        <w:numPr>
          <w:ilvl w:val="0"/>
          <w:numId w:val="0"/>
        </w:numPr>
        <w:tabs>
          <w:tab w:val="clear" w:pos="851"/>
        </w:tabs>
        <w:ind w:left="851" w:hanging="426"/>
        <w:rPr>
          <w:color w:val="auto"/>
        </w:rPr>
      </w:pPr>
      <w:r>
        <w:rPr>
          <w:rFonts w:hint="eastAsia"/>
          <w:color w:val="auto"/>
        </w:rPr>
        <w:t>——Ⅱ级工作,钻孔达到基岩,或剪切波速度≥500</w:t>
      </w:r>
      <w:r>
        <w:rPr>
          <w:rFonts w:hint="eastAsia"/>
          <w:color w:val="auto"/>
          <w:vertAlign w:val="superscript"/>
        </w:rPr>
        <w:t xml:space="preserve"> </w:t>
      </w:r>
      <w:r>
        <w:rPr>
          <w:rFonts w:hint="eastAsia"/>
          <w:color w:val="auto"/>
        </w:rPr>
        <w:t>m/s处,且其下方不存在更低剪切波速度值岩土层；若钻孔深度超过100</w:t>
      </w:r>
      <w:r>
        <w:rPr>
          <w:rFonts w:hint="eastAsia"/>
          <w:color w:val="auto"/>
          <w:vertAlign w:val="superscript"/>
        </w:rPr>
        <w:t xml:space="preserve"> </w:t>
      </w:r>
      <w:r>
        <w:rPr>
          <w:rFonts w:hint="eastAsia"/>
          <w:color w:val="auto"/>
        </w:rPr>
        <w:t>m，剪切波速度仍＜500</w:t>
      </w:r>
      <w:r>
        <w:rPr>
          <w:rFonts w:hint="eastAsia"/>
          <w:color w:val="auto"/>
          <w:vertAlign w:val="superscript"/>
        </w:rPr>
        <w:t xml:space="preserve"> </w:t>
      </w:r>
      <w:r>
        <w:rPr>
          <w:rFonts w:hint="eastAsia"/>
          <w:color w:val="auto"/>
        </w:rPr>
        <w:t>m/s时,可终孔于此深度。</w:t>
      </w:r>
    </w:p>
    <w:p w14:paraId="05A814BB">
      <w:pPr>
        <w:pStyle w:val="136"/>
        <w:numPr>
          <w:ilvl w:val="0"/>
          <w:numId w:val="0"/>
        </w:numPr>
        <w:tabs>
          <w:tab w:val="clear" w:pos="851"/>
        </w:tabs>
        <w:ind w:left="851" w:hanging="426"/>
        <w:rPr>
          <w:color w:val="auto"/>
        </w:rPr>
      </w:pPr>
      <w:r>
        <w:rPr>
          <w:rFonts w:hint="eastAsia"/>
          <w:color w:val="auto"/>
        </w:rPr>
        <w:t>——地下洞室、隧道场地钻孔深度还应同时满足可以控制地下洞室、隧道工程的底板深度。</w:t>
      </w:r>
    </w:p>
    <w:p w14:paraId="1C2FED9A">
      <w:pPr>
        <w:pStyle w:val="169"/>
        <w:rPr>
          <w:color w:val="auto"/>
        </w:rPr>
      </w:pPr>
      <w:r>
        <w:rPr>
          <w:rFonts w:hint="eastAsia"/>
          <w:color w:val="auto"/>
        </w:rPr>
        <w:t>区域性地震安全性评价控制性钻孔的钻探深度：</w:t>
      </w:r>
    </w:p>
    <w:p w14:paraId="75BAF21A">
      <w:pPr>
        <w:pStyle w:val="136"/>
        <w:numPr>
          <w:ilvl w:val="0"/>
          <w:numId w:val="0"/>
        </w:numPr>
        <w:tabs>
          <w:tab w:val="clear" w:pos="851"/>
        </w:tabs>
        <w:ind w:left="851" w:hanging="426"/>
        <w:rPr>
          <w:color w:val="auto"/>
        </w:rPr>
      </w:pPr>
      <w:r>
        <w:rPr>
          <w:rFonts w:hint="eastAsia"/>
          <w:color w:val="auto"/>
        </w:rPr>
        <w:t>——</w:t>
      </w:r>
      <w:r>
        <w:rPr>
          <w:rFonts w:hint="eastAsia"/>
          <w:color w:val="auto"/>
        </w:rPr>
        <w:t>当控制性钻孔场地为GB 18306规定的I</w:t>
      </w:r>
      <w:r>
        <w:rPr>
          <w:rFonts w:hint="eastAsia"/>
          <w:color w:val="auto"/>
          <w:vertAlign w:val="subscript"/>
        </w:rPr>
        <w:t>0</w:t>
      </w:r>
      <w:r>
        <w:rPr>
          <w:rFonts w:hint="eastAsia"/>
          <w:color w:val="auto"/>
        </w:rPr>
        <w:t>类或I</w:t>
      </w:r>
      <w:r>
        <w:rPr>
          <w:rFonts w:hint="eastAsia"/>
          <w:color w:val="auto"/>
          <w:vertAlign w:val="subscript"/>
        </w:rPr>
        <w:t>1</w:t>
      </w:r>
      <w:r>
        <w:rPr>
          <w:rFonts w:hint="eastAsia"/>
          <w:color w:val="auto"/>
        </w:rPr>
        <w:t>类场地时，可不实施钻探，并将该场地作为目标区地震危险性计算的控制点；</w:t>
      </w:r>
    </w:p>
    <w:p w14:paraId="1FE6C263">
      <w:pPr>
        <w:pStyle w:val="136"/>
        <w:numPr>
          <w:ilvl w:val="0"/>
          <w:numId w:val="0"/>
        </w:numPr>
        <w:tabs>
          <w:tab w:val="clear" w:pos="851"/>
        </w:tabs>
        <w:ind w:left="851" w:hanging="426"/>
        <w:rPr>
          <w:color w:val="auto"/>
        </w:rPr>
      </w:pPr>
      <w:r>
        <w:rPr>
          <w:rFonts w:hint="eastAsia"/>
          <w:color w:val="auto"/>
        </w:rPr>
        <w:t>——钻入基岩厚度≥3</w:t>
      </w:r>
      <w:r>
        <w:rPr>
          <w:rFonts w:hint="eastAsia"/>
          <w:color w:val="auto"/>
          <w:vertAlign w:val="superscript"/>
        </w:rPr>
        <w:t xml:space="preserve"> </w:t>
      </w:r>
      <w:r>
        <w:rPr>
          <w:rFonts w:hint="eastAsia"/>
          <w:color w:val="auto"/>
        </w:rPr>
        <w:t>m，或达到岩土层剪切波速≥500</w:t>
      </w:r>
      <w:r>
        <w:rPr>
          <w:rFonts w:hint="eastAsia"/>
          <w:color w:val="auto"/>
          <w:vertAlign w:val="superscript"/>
        </w:rPr>
        <w:t xml:space="preserve"> </w:t>
      </w:r>
      <w:r>
        <w:rPr>
          <w:rFonts w:hint="eastAsia"/>
          <w:color w:val="auto"/>
        </w:rPr>
        <w:t>m/s处，且其下不存在更低波速岩土层，可终孔；</w:t>
      </w:r>
    </w:p>
    <w:p w14:paraId="72BC1C04">
      <w:pPr>
        <w:pStyle w:val="136"/>
        <w:numPr>
          <w:ilvl w:val="0"/>
          <w:numId w:val="0"/>
        </w:numPr>
        <w:tabs>
          <w:tab w:val="clear" w:pos="851"/>
        </w:tabs>
        <w:ind w:left="851" w:hanging="426"/>
        <w:rPr>
          <w:color w:val="auto"/>
        </w:rPr>
      </w:pPr>
      <w:r>
        <w:rPr>
          <w:rFonts w:hint="eastAsia"/>
          <w:color w:val="auto"/>
        </w:rPr>
        <w:t>——当控制性钻探深度超过100</w:t>
      </w:r>
      <w:r>
        <w:rPr>
          <w:rFonts w:hint="eastAsia"/>
          <w:color w:val="auto"/>
          <w:vertAlign w:val="superscript"/>
        </w:rPr>
        <w:t xml:space="preserve"> </w:t>
      </w:r>
      <w:r>
        <w:rPr>
          <w:rFonts w:hint="eastAsia"/>
          <w:color w:val="auto"/>
        </w:rPr>
        <w:t>m，岩土层剪切波速仍＜500</w:t>
      </w:r>
      <w:r>
        <w:rPr>
          <w:rFonts w:hint="eastAsia"/>
          <w:color w:val="auto"/>
          <w:vertAlign w:val="superscript"/>
        </w:rPr>
        <w:t xml:space="preserve"> </w:t>
      </w:r>
      <w:r>
        <w:rPr>
          <w:rFonts w:hint="eastAsia"/>
          <w:color w:val="auto"/>
        </w:rPr>
        <w:t>m/s，并且100</w:t>
      </w:r>
      <w:r>
        <w:rPr>
          <w:rFonts w:hint="eastAsia"/>
          <w:color w:val="auto"/>
          <w:vertAlign w:val="superscript"/>
        </w:rPr>
        <w:t xml:space="preserve"> </w:t>
      </w:r>
      <w:r>
        <w:rPr>
          <w:rFonts w:hint="eastAsia"/>
          <w:color w:val="auto"/>
        </w:rPr>
        <w:t>m以下岩土层的剪切波速值可通过经验模型确定时，可终孔；但目标区以及相距5</w:t>
      </w:r>
      <w:r>
        <w:rPr>
          <w:rFonts w:hint="eastAsia"/>
          <w:color w:val="auto"/>
          <w:vertAlign w:val="superscript"/>
        </w:rPr>
        <w:t xml:space="preserve"> </w:t>
      </w:r>
      <w:r>
        <w:rPr>
          <w:rFonts w:hint="eastAsia"/>
          <w:color w:val="auto"/>
        </w:rPr>
        <w:t>km以上的目标区地块至少要有一个控制性钻孔的深度达到岩土层剪切波速≥500</w:t>
      </w:r>
      <w:r>
        <w:rPr>
          <w:rFonts w:hint="eastAsia"/>
          <w:color w:val="auto"/>
          <w:vertAlign w:val="superscript"/>
        </w:rPr>
        <w:t xml:space="preserve"> </w:t>
      </w:r>
      <w:r>
        <w:rPr>
          <w:rFonts w:hint="eastAsia"/>
          <w:color w:val="auto"/>
        </w:rPr>
        <w:t>m/s处，或≥150</w:t>
      </w:r>
      <w:r>
        <w:rPr>
          <w:rFonts w:hint="eastAsia"/>
          <w:color w:val="auto"/>
          <w:vertAlign w:val="superscript"/>
        </w:rPr>
        <w:t xml:space="preserve"> </w:t>
      </w:r>
      <w:r>
        <w:rPr>
          <w:rFonts w:hint="eastAsia"/>
          <w:color w:val="auto"/>
        </w:rPr>
        <w:t>m。</w:t>
      </w:r>
    </w:p>
    <w:p w14:paraId="358BAD4E">
      <w:pPr>
        <w:pStyle w:val="169"/>
        <w:rPr>
          <w:color w:val="auto"/>
        </w:rPr>
      </w:pPr>
      <w:r>
        <w:rPr>
          <w:rFonts w:hint="eastAsia"/>
          <w:color w:val="auto"/>
        </w:rPr>
        <w:t>钻探应连续取芯，必要时采用泥浆护壁等措施保证井壁完整。</w:t>
      </w:r>
    </w:p>
    <w:p w14:paraId="4A8459E2">
      <w:pPr>
        <w:pStyle w:val="169"/>
        <w:rPr>
          <w:color w:val="auto"/>
        </w:rPr>
      </w:pPr>
      <w:r>
        <w:rPr>
          <w:rFonts w:hint="eastAsia"/>
          <w:color w:val="auto"/>
        </w:rPr>
        <w:t>在钻探深度20</w:t>
      </w:r>
      <w:r>
        <w:rPr>
          <w:rFonts w:hint="eastAsia"/>
          <w:color w:val="auto"/>
          <w:vertAlign w:val="superscript"/>
        </w:rPr>
        <w:t xml:space="preserve"> </w:t>
      </w:r>
      <w:r>
        <w:rPr>
          <w:rFonts w:hint="eastAsia"/>
          <w:color w:val="auto"/>
        </w:rPr>
        <w:t>m（水工等建设项目为25</w:t>
      </w:r>
      <w:r>
        <w:rPr>
          <w:rFonts w:hint="eastAsia"/>
          <w:color w:val="auto"/>
          <w:vertAlign w:val="superscript"/>
        </w:rPr>
        <w:t xml:space="preserve"> </w:t>
      </w:r>
      <w:r>
        <w:rPr>
          <w:rFonts w:hint="eastAsia"/>
          <w:color w:val="auto"/>
        </w:rPr>
        <w:t>m）范围内，粘性土中回次进尺≤1.5</w:t>
      </w:r>
      <w:r>
        <w:rPr>
          <w:rFonts w:hint="eastAsia"/>
          <w:color w:val="auto"/>
          <w:vertAlign w:val="superscript"/>
        </w:rPr>
        <w:t xml:space="preserve"> </w:t>
      </w:r>
      <w:r>
        <w:rPr>
          <w:rFonts w:hint="eastAsia"/>
          <w:color w:val="auto"/>
        </w:rPr>
        <w:t>m；粉土、饱和砂土中回次进尺≤1.0</w:t>
      </w:r>
      <w:r>
        <w:rPr>
          <w:rFonts w:hint="eastAsia"/>
          <w:color w:val="auto"/>
          <w:vertAlign w:val="superscript"/>
        </w:rPr>
        <w:t xml:space="preserve"> </w:t>
      </w:r>
      <w:r>
        <w:rPr>
          <w:rFonts w:hint="eastAsia"/>
          <w:color w:val="auto"/>
        </w:rPr>
        <w:t>m；在岩层中钻探，回次进尺不得超过2</w:t>
      </w:r>
      <w:r>
        <w:rPr>
          <w:rFonts w:hint="eastAsia"/>
          <w:color w:val="auto"/>
          <w:vertAlign w:val="superscript"/>
        </w:rPr>
        <w:t xml:space="preserve"> </w:t>
      </w:r>
      <w:r>
        <w:rPr>
          <w:rFonts w:hint="eastAsia"/>
          <w:color w:val="auto"/>
        </w:rPr>
        <w:t>m。每回次进尺遇到粉土和砂土时，应进行标准贯入试验，并采集粉土扰动样进行黏粒含量分析试验。</w:t>
      </w:r>
    </w:p>
    <w:p w14:paraId="5279170E">
      <w:pPr>
        <w:pStyle w:val="169"/>
        <w:rPr>
          <w:color w:val="auto"/>
        </w:rPr>
      </w:pPr>
      <w:r>
        <w:rPr>
          <w:rFonts w:hint="eastAsia"/>
          <w:color w:val="auto"/>
        </w:rPr>
        <w:t>区域性地震安全性评价控制性钻孔钻探要求：</w:t>
      </w:r>
    </w:p>
    <w:p w14:paraId="0A7659C4">
      <w:pPr>
        <w:pStyle w:val="136"/>
        <w:numPr>
          <w:ilvl w:val="0"/>
          <w:numId w:val="0"/>
        </w:numPr>
        <w:tabs>
          <w:tab w:val="clear" w:pos="851"/>
        </w:tabs>
        <w:ind w:left="851" w:hanging="426"/>
        <w:rPr>
          <w:color w:val="auto"/>
        </w:rPr>
      </w:pPr>
      <w:r>
        <w:rPr>
          <w:rFonts w:hint="eastAsia"/>
          <w:color w:val="auto"/>
        </w:rPr>
        <w:t>——采用适应黏性土、粉土、砂土、碎石土、岩石等地层的回转岩土芯（或无岩土芯）钻探法；</w:t>
      </w:r>
    </w:p>
    <w:p w14:paraId="795E7A55">
      <w:pPr>
        <w:pStyle w:val="136"/>
        <w:numPr>
          <w:ilvl w:val="0"/>
          <w:numId w:val="0"/>
        </w:numPr>
        <w:tabs>
          <w:tab w:val="clear" w:pos="851"/>
        </w:tabs>
        <w:ind w:left="851" w:hanging="426"/>
        <w:rPr>
          <w:color w:val="auto"/>
        </w:rPr>
      </w:pPr>
      <w:r>
        <w:rPr>
          <w:rFonts w:hint="eastAsia"/>
          <w:color w:val="auto"/>
        </w:rPr>
        <w:t>——控制非连续取芯钻进的回次进尺，岩土分层深度的测量精度优于±5</w:t>
      </w:r>
      <w:r>
        <w:rPr>
          <w:rFonts w:hint="eastAsia"/>
          <w:color w:val="auto"/>
          <w:vertAlign w:val="superscript"/>
        </w:rPr>
        <w:t xml:space="preserve"> </w:t>
      </w:r>
      <w:r>
        <w:rPr>
          <w:rFonts w:hint="eastAsia"/>
          <w:color w:val="auto"/>
        </w:rPr>
        <w:t>cm；</w:t>
      </w:r>
    </w:p>
    <w:p w14:paraId="38880FAE">
      <w:pPr>
        <w:pStyle w:val="136"/>
        <w:numPr>
          <w:ilvl w:val="0"/>
          <w:numId w:val="0"/>
        </w:numPr>
        <w:tabs>
          <w:tab w:val="clear" w:pos="851"/>
        </w:tabs>
        <w:ind w:left="851" w:hanging="426"/>
        <w:rPr>
          <w:color w:val="auto"/>
        </w:rPr>
      </w:pPr>
      <w:r>
        <w:rPr>
          <w:rFonts w:hint="eastAsia"/>
          <w:color w:val="auto"/>
        </w:rPr>
        <w:t>——岩土芯采取率，对完整和较完整岩体不低于80％，较破碎和破碎岩体不低于65％；对需重点查明的部位（滑动带、软弱夹层等），采用双层岩土芯管连续取芯；</w:t>
      </w:r>
    </w:p>
    <w:p w14:paraId="56CE6957">
      <w:pPr>
        <w:pStyle w:val="136"/>
        <w:numPr>
          <w:ilvl w:val="0"/>
          <w:numId w:val="0"/>
        </w:numPr>
        <w:tabs>
          <w:tab w:val="clear" w:pos="851"/>
        </w:tabs>
        <w:ind w:left="851" w:hanging="426"/>
        <w:rPr>
          <w:color w:val="auto"/>
        </w:rPr>
      </w:pPr>
      <w:r>
        <w:rPr>
          <w:rFonts w:hint="eastAsia"/>
          <w:color w:val="auto"/>
        </w:rPr>
        <w:t>——客观、及时按钻进回次逐段填写野外记录。</w:t>
      </w:r>
    </w:p>
    <w:p w14:paraId="47AC145C">
      <w:pPr>
        <w:pStyle w:val="169"/>
        <w:rPr>
          <w:color w:val="auto"/>
        </w:rPr>
      </w:pPr>
      <w:r>
        <w:rPr>
          <w:rFonts w:hint="eastAsia"/>
          <w:color w:val="auto"/>
        </w:rPr>
        <w:t>原状土的取样，样品的封装、保存、运输应当严格执行相关规范规定。</w:t>
      </w:r>
    </w:p>
    <w:p w14:paraId="2F95DA86">
      <w:pPr>
        <w:pStyle w:val="109"/>
        <w:spacing w:before="120" w:after="120"/>
        <w:rPr>
          <w:color w:val="auto"/>
        </w:rPr>
      </w:pPr>
      <w:bookmarkStart w:id="158" w:name="_Toc228292200"/>
      <w:bookmarkStart w:id="159" w:name="_Toc225318582"/>
      <w:bookmarkStart w:id="160" w:name="_Toc224899513"/>
      <w:bookmarkStart w:id="161" w:name="_Toc228350777"/>
      <w:r>
        <w:rPr>
          <w:rFonts w:hint="eastAsia"/>
          <w:color w:val="auto"/>
        </w:rPr>
        <w:t>地质编录</w:t>
      </w:r>
      <w:bookmarkEnd w:id="158"/>
      <w:bookmarkEnd w:id="159"/>
      <w:bookmarkEnd w:id="160"/>
      <w:bookmarkEnd w:id="161"/>
    </w:p>
    <w:p w14:paraId="22ED1D00">
      <w:pPr>
        <w:pStyle w:val="169"/>
        <w:rPr>
          <w:color w:val="auto"/>
        </w:rPr>
      </w:pPr>
      <w:r>
        <w:rPr>
          <w:rFonts w:hint="eastAsia"/>
          <w:color w:val="auto"/>
        </w:rPr>
        <w:t>地质编录各种信息应当详细、准确、真实。</w:t>
      </w:r>
    </w:p>
    <w:p w14:paraId="7D7E4610">
      <w:pPr>
        <w:pStyle w:val="169"/>
        <w:rPr>
          <w:color w:val="auto"/>
        </w:rPr>
      </w:pPr>
      <w:r>
        <w:rPr>
          <w:rFonts w:hint="eastAsia"/>
          <w:color w:val="auto"/>
        </w:rPr>
        <w:t>岩土定性应准确，随时对照岩芯（或岩土）进行校核，必要时应采集岩芯（或岩土）样本，通过实验确定岩性。</w:t>
      </w:r>
    </w:p>
    <w:p w14:paraId="7052D570">
      <w:pPr>
        <w:pStyle w:val="169"/>
        <w:rPr>
          <w:color w:val="auto"/>
        </w:rPr>
      </w:pPr>
      <w:r>
        <w:rPr>
          <w:rFonts w:hint="eastAsia"/>
          <w:color w:val="auto"/>
        </w:rPr>
        <w:t>钻探现场，岩芯（或岩土）应摆放整齐，分别进行整体和局部拍照（整体照片中应有编录人员及钻探设备），照片应作为原始资料存档。</w:t>
      </w:r>
    </w:p>
    <w:p w14:paraId="34D30CD2">
      <w:pPr>
        <w:pStyle w:val="108"/>
        <w:spacing w:before="240" w:after="240"/>
        <w:rPr>
          <w:color w:val="auto"/>
        </w:rPr>
      </w:pPr>
      <w:bookmarkStart w:id="162" w:name="_Toc225318583"/>
      <w:bookmarkStart w:id="163" w:name="_Toc225318614"/>
      <w:bookmarkStart w:id="164" w:name="_Toc224899514"/>
      <w:bookmarkStart w:id="165" w:name="_Toc228350778"/>
      <w:bookmarkStart w:id="166" w:name="_Toc227048083"/>
      <w:bookmarkStart w:id="167" w:name="_Toc228292201"/>
      <w:bookmarkStart w:id="168" w:name="_Toc227048098"/>
      <w:bookmarkStart w:id="169" w:name="_Toc225514723"/>
      <w:r>
        <w:rPr>
          <w:rFonts w:hint="eastAsia"/>
          <w:color w:val="auto"/>
        </w:rPr>
        <w:t>土样采集及测试</w:t>
      </w:r>
      <w:bookmarkEnd w:id="162"/>
      <w:bookmarkEnd w:id="163"/>
      <w:bookmarkEnd w:id="164"/>
      <w:bookmarkEnd w:id="165"/>
      <w:bookmarkEnd w:id="166"/>
      <w:bookmarkEnd w:id="167"/>
      <w:bookmarkEnd w:id="168"/>
      <w:bookmarkEnd w:id="169"/>
    </w:p>
    <w:p w14:paraId="1F9F93C1">
      <w:pPr>
        <w:pStyle w:val="109"/>
        <w:spacing w:before="120" w:after="120"/>
        <w:rPr>
          <w:color w:val="auto"/>
        </w:rPr>
      </w:pPr>
      <w:bookmarkStart w:id="170" w:name="_Toc224899516"/>
      <w:bookmarkStart w:id="171" w:name="_Toc228350779"/>
      <w:bookmarkStart w:id="172" w:name="_Toc225318584"/>
      <w:bookmarkStart w:id="173" w:name="_Toc228292202"/>
      <w:r>
        <w:rPr>
          <w:rFonts w:hint="eastAsia"/>
          <w:color w:val="auto"/>
        </w:rPr>
        <w:t>原状土样采集</w:t>
      </w:r>
      <w:bookmarkEnd w:id="170"/>
      <w:bookmarkEnd w:id="171"/>
      <w:bookmarkEnd w:id="172"/>
      <w:bookmarkEnd w:id="173"/>
    </w:p>
    <w:p w14:paraId="47F4272F">
      <w:pPr>
        <w:pStyle w:val="60"/>
        <w:ind w:firstLine="420"/>
        <w:rPr>
          <w:color w:val="auto"/>
        </w:rPr>
      </w:pPr>
      <w:r>
        <w:rPr>
          <w:rFonts w:hint="eastAsia"/>
          <w:color w:val="auto"/>
        </w:rPr>
        <w:t>应采集岩土层分层岩土试样，并按照下列规定执行。</w:t>
      </w:r>
    </w:p>
    <w:p w14:paraId="56BF977A">
      <w:pPr>
        <w:pStyle w:val="136"/>
        <w:numPr>
          <w:ilvl w:val="0"/>
          <w:numId w:val="0"/>
        </w:numPr>
        <w:tabs>
          <w:tab w:val="clear" w:pos="851"/>
        </w:tabs>
        <w:ind w:left="851" w:hanging="426"/>
        <w:rPr>
          <w:color w:val="auto"/>
        </w:rPr>
      </w:pPr>
      <w:r>
        <w:rPr>
          <w:rFonts w:hint="eastAsia"/>
          <w:color w:val="auto"/>
        </w:rPr>
        <w:t>—</w:t>
      </w:r>
      <w:r>
        <w:rPr>
          <w:rFonts w:hint="eastAsia"/>
          <w:color w:val="auto"/>
        </w:rPr>
        <w:t>—</w:t>
      </w:r>
      <w:r>
        <w:rPr>
          <w:rFonts w:hint="eastAsia"/>
          <w:color w:val="auto"/>
        </w:rPr>
        <w:t>工程场地地震安全性评价工作：</w:t>
      </w:r>
    </w:p>
    <w:p w14:paraId="7C900844">
      <w:pPr>
        <w:pStyle w:val="191"/>
        <w:rPr>
          <w:color w:val="auto"/>
        </w:rPr>
      </w:pPr>
      <w:r>
        <w:rPr>
          <w:rFonts w:hint="eastAsia"/>
          <w:color w:val="auto"/>
        </w:rPr>
        <w:t>按GB 50021规定岩土试样采取要求，采集满足试验要求的岩土试样，对难以获取原状土样的土类取扰动土样；</w:t>
      </w:r>
    </w:p>
    <w:p w14:paraId="3C9A22DF">
      <w:pPr>
        <w:pStyle w:val="191"/>
        <w:rPr>
          <w:color w:val="auto"/>
        </w:rPr>
      </w:pPr>
      <w:r>
        <w:rPr>
          <w:rFonts w:hint="eastAsia"/>
          <w:color w:val="auto"/>
        </w:rPr>
        <w:t>——Ⅰ级工作取样钻孔数量不少于钻孔总数的1/2，且不少于3个，并包含工程主体结构下方的钻孔；Ⅱ级工作取样钻孔数量不少于钻孔总数的1/3；</w:t>
      </w:r>
    </w:p>
    <w:p w14:paraId="00389CC2">
      <w:pPr>
        <w:pStyle w:val="191"/>
        <w:rPr>
          <w:color w:val="auto"/>
        </w:rPr>
      </w:pPr>
      <w:r>
        <w:rPr>
          <w:rFonts w:hint="eastAsia"/>
          <w:color w:val="auto"/>
        </w:rPr>
        <w:t>——Ⅰ级工作对场地每一自然分层岩土层取样，同一岩土层厚度若大于10</w:t>
      </w:r>
      <w:r>
        <w:rPr>
          <w:rFonts w:hint="eastAsia"/>
          <w:color w:val="auto"/>
          <w:vertAlign w:val="superscript"/>
        </w:rPr>
        <w:t xml:space="preserve"> </w:t>
      </w:r>
      <w:r>
        <w:rPr>
          <w:rFonts w:hint="eastAsia"/>
          <w:color w:val="auto"/>
        </w:rPr>
        <w:t>m，该岩土层取样间隔≤5</w:t>
      </w:r>
      <w:r>
        <w:rPr>
          <w:rFonts w:hint="eastAsia"/>
          <w:color w:val="auto"/>
          <w:vertAlign w:val="superscript"/>
        </w:rPr>
        <w:t xml:space="preserve"> </w:t>
      </w:r>
      <w:r>
        <w:rPr>
          <w:rFonts w:hint="eastAsia"/>
          <w:color w:val="auto"/>
        </w:rPr>
        <w:t>m；Ⅱ级工作对场地自然分层中有代表性岩土层取样，间隔分布的同类岩土层间距超过5</w:t>
      </w:r>
      <w:r>
        <w:rPr>
          <w:rFonts w:hint="eastAsia"/>
          <w:color w:val="auto"/>
          <w:vertAlign w:val="superscript"/>
        </w:rPr>
        <w:t xml:space="preserve"> </w:t>
      </w:r>
      <w:r>
        <w:rPr>
          <w:rFonts w:hint="eastAsia"/>
          <w:color w:val="auto"/>
        </w:rPr>
        <w:t>m时，分别取样。</w:t>
      </w:r>
    </w:p>
    <w:p w14:paraId="16E2667E">
      <w:pPr>
        <w:pStyle w:val="136"/>
        <w:numPr>
          <w:ilvl w:val="0"/>
          <w:numId w:val="0"/>
        </w:numPr>
        <w:tabs>
          <w:tab w:val="clear" w:pos="851"/>
        </w:tabs>
        <w:ind w:left="851" w:hanging="426"/>
        <w:rPr>
          <w:color w:val="auto"/>
        </w:rPr>
      </w:pPr>
      <w:r>
        <w:rPr>
          <w:rFonts w:hint="eastAsia"/>
          <w:color w:val="auto"/>
        </w:rPr>
        <w:t>——区域性地震安全性评价工作：</w:t>
      </w:r>
    </w:p>
    <w:p w14:paraId="510FC5B2">
      <w:pPr>
        <w:pStyle w:val="191"/>
        <w:rPr>
          <w:color w:val="auto"/>
        </w:rPr>
      </w:pPr>
      <w:r>
        <w:rPr>
          <w:rFonts w:hint="eastAsia"/>
          <w:color w:val="auto"/>
        </w:rPr>
        <w:t>采集试样的钻孔数量不少于控制性钻孔总数的1/3且不少于2个，对特殊地层具有控制作用，同时兼顾空间均衡分布；</w:t>
      </w:r>
    </w:p>
    <w:p w14:paraId="1F6FFB73">
      <w:pPr>
        <w:pStyle w:val="191"/>
        <w:rPr>
          <w:color w:val="auto"/>
        </w:rPr>
      </w:pPr>
      <w:r>
        <w:rPr>
          <w:rFonts w:hint="eastAsia"/>
          <w:color w:val="auto"/>
        </w:rPr>
        <w:t>对自然分层中主要岩土层采集岩土试样，当间隔分布的同类岩土层间距超过5</w:t>
      </w:r>
      <w:r>
        <w:rPr>
          <w:rFonts w:hint="eastAsia"/>
          <w:color w:val="auto"/>
          <w:vertAlign w:val="superscript"/>
        </w:rPr>
        <w:t xml:space="preserve"> </w:t>
      </w:r>
      <w:r>
        <w:rPr>
          <w:rFonts w:hint="eastAsia"/>
          <w:color w:val="auto"/>
        </w:rPr>
        <w:t>m时，则分别采集试样；</w:t>
      </w:r>
    </w:p>
    <w:p w14:paraId="5CB7EE8C">
      <w:pPr>
        <w:pStyle w:val="191"/>
        <w:rPr>
          <w:rFonts w:hint="eastAsia"/>
          <w:color w:val="auto"/>
        </w:rPr>
      </w:pPr>
      <w:r>
        <w:rPr>
          <w:rFonts w:hint="eastAsia"/>
          <w:color w:val="auto"/>
        </w:rPr>
        <w:t>每百米进尺采集的试样数量不少于3个，或每平方千米范围内采集的试样数量不少于6个。</w:t>
      </w:r>
    </w:p>
    <w:p w14:paraId="26A99C00">
      <w:pPr>
        <w:pStyle w:val="109"/>
        <w:spacing w:before="120" w:after="120"/>
        <w:rPr>
          <w:color w:val="auto"/>
        </w:rPr>
      </w:pPr>
      <w:bookmarkStart w:id="174" w:name="_Toc225318585"/>
      <w:bookmarkStart w:id="175" w:name="_Toc228292203"/>
      <w:bookmarkStart w:id="176" w:name="_Toc228350780"/>
      <w:r>
        <w:rPr>
          <w:rFonts w:hint="eastAsia"/>
          <w:color w:val="auto"/>
        </w:rPr>
        <w:t>原位测试</w:t>
      </w:r>
      <w:bookmarkEnd w:id="174"/>
      <w:bookmarkEnd w:id="175"/>
      <w:bookmarkEnd w:id="176"/>
    </w:p>
    <w:p w14:paraId="53D2720F">
      <w:pPr>
        <w:pStyle w:val="169"/>
        <w:rPr>
          <w:color w:val="auto"/>
        </w:rPr>
      </w:pPr>
      <w:r>
        <w:rPr>
          <w:rFonts w:hint="eastAsia"/>
          <w:color w:val="auto"/>
        </w:rPr>
        <w:t>存在可液化土层时，应按GB 50021相关测试要求，测试标准贯入锤击数、黏粒含量等指标，测量地下水位、可液化土层厚度等，并调查场区地下水历史最高水位或近3～5年最高水位。</w:t>
      </w:r>
    </w:p>
    <w:p w14:paraId="4B6E7CEB">
      <w:pPr>
        <w:pStyle w:val="169"/>
        <w:rPr>
          <w:color w:val="auto"/>
        </w:rPr>
      </w:pPr>
      <w:r>
        <w:rPr>
          <w:rFonts w:hint="eastAsia"/>
          <w:color w:val="auto"/>
        </w:rPr>
        <w:t>海域工程场地不具备标准贯入锤击数测试条件时，进行室内液化试验。</w:t>
      </w:r>
    </w:p>
    <w:p w14:paraId="68BB2A8C">
      <w:pPr>
        <w:pStyle w:val="108"/>
        <w:spacing w:before="240" w:after="240"/>
        <w:rPr>
          <w:color w:val="auto"/>
        </w:rPr>
      </w:pPr>
      <w:bookmarkStart w:id="177" w:name="_Toc225514724"/>
      <w:bookmarkStart w:id="178" w:name="_Toc228292204"/>
      <w:bookmarkStart w:id="179" w:name="_Toc227048099"/>
      <w:bookmarkStart w:id="180" w:name="_Toc225318586"/>
      <w:bookmarkStart w:id="181" w:name="_Toc227048084"/>
      <w:bookmarkStart w:id="182" w:name="_Toc224899517"/>
      <w:bookmarkStart w:id="183" w:name="_Toc225318615"/>
      <w:bookmarkStart w:id="184" w:name="_Toc228350781"/>
      <w:r>
        <w:rPr>
          <w:rFonts w:hint="eastAsia"/>
          <w:color w:val="auto"/>
        </w:rPr>
        <w:t>波速测试</w:t>
      </w:r>
      <w:bookmarkEnd w:id="177"/>
      <w:bookmarkEnd w:id="178"/>
      <w:bookmarkEnd w:id="179"/>
      <w:bookmarkEnd w:id="180"/>
      <w:bookmarkEnd w:id="181"/>
      <w:bookmarkEnd w:id="182"/>
      <w:bookmarkEnd w:id="183"/>
      <w:bookmarkEnd w:id="184"/>
    </w:p>
    <w:p w14:paraId="6F5C1B44">
      <w:pPr>
        <w:pStyle w:val="109"/>
        <w:spacing w:before="120" w:after="120"/>
        <w:rPr>
          <w:color w:val="auto"/>
        </w:rPr>
      </w:pPr>
      <w:bookmarkStart w:id="185" w:name="_Toc225318587"/>
      <w:bookmarkStart w:id="186" w:name="_Toc224899518"/>
      <w:bookmarkStart w:id="187" w:name="_Toc228350782"/>
      <w:bookmarkStart w:id="188" w:name="_Toc228292205"/>
      <w:r>
        <w:rPr>
          <w:rFonts w:hint="eastAsia"/>
          <w:color w:val="auto"/>
        </w:rPr>
        <w:t>测试范围</w:t>
      </w:r>
      <w:bookmarkEnd w:id="185"/>
      <w:bookmarkEnd w:id="186"/>
      <w:bookmarkEnd w:id="187"/>
      <w:bookmarkEnd w:id="188"/>
    </w:p>
    <w:p w14:paraId="3B8EFAD0">
      <w:pPr>
        <w:pStyle w:val="60"/>
        <w:ind w:firstLine="420"/>
        <w:rPr>
          <w:color w:val="auto"/>
        </w:rPr>
      </w:pPr>
      <w:r>
        <w:rPr>
          <w:rFonts w:hint="eastAsia"/>
          <w:color w:val="auto"/>
        </w:rPr>
        <w:t>除断层验证、地质灾害判定等钻孔外，其余钻孔应进行波速测试。</w:t>
      </w:r>
    </w:p>
    <w:p w14:paraId="7738C1D2">
      <w:pPr>
        <w:pStyle w:val="109"/>
        <w:spacing w:before="120" w:after="120"/>
        <w:rPr>
          <w:color w:val="auto"/>
        </w:rPr>
      </w:pPr>
      <w:bookmarkStart w:id="189" w:name="_Toc225318588"/>
      <w:bookmarkStart w:id="190" w:name="_Toc228292206"/>
      <w:bookmarkStart w:id="191" w:name="_Toc224899519"/>
      <w:bookmarkStart w:id="192" w:name="_Toc228350783"/>
      <w:r>
        <w:rPr>
          <w:rFonts w:hint="eastAsia"/>
          <w:color w:val="auto"/>
        </w:rPr>
        <w:t>测试要求</w:t>
      </w:r>
      <w:bookmarkEnd w:id="189"/>
      <w:bookmarkEnd w:id="190"/>
      <w:bookmarkEnd w:id="191"/>
      <w:bookmarkEnd w:id="192"/>
    </w:p>
    <w:p w14:paraId="57708156">
      <w:pPr>
        <w:pStyle w:val="169"/>
        <w:rPr>
          <w:color w:val="auto"/>
        </w:rPr>
      </w:pPr>
      <w:r>
        <w:rPr>
          <w:rFonts w:hint="eastAsia"/>
          <w:color w:val="auto"/>
        </w:rPr>
        <w:t>波速测试应选用单孔法或跨孔法，其中单孔法应采用地表激发孔中接收法（亦称地面敲击法）和孔中激发孔中接收法（亦称悬挂式井中法）。</w:t>
      </w:r>
    </w:p>
    <w:p w14:paraId="121E9763">
      <w:pPr>
        <w:pStyle w:val="169"/>
        <w:rPr>
          <w:color w:val="auto"/>
        </w:rPr>
      </w:pPr>
      <w:r>
        <w:rPr>
          <w:rFonts w:hint="eastAsia"/>
          <w:color w:val="auto"/>
        </w:rPr>
        <w:t>三分向检波器应放置到钻孔预定深度并紧贴井壁，必要时采用气囊或杠杆辅助贴壁。信号可采用地面激振或井内激振的方式产生。</w:t>
      </w:r>
    </w:p>
    <w:p w14:paraId="3AA26DF5">
      <w:pPr>
        <w:pStyle w:val="169"/>
        <w:rPr>
          <w:color w:val="auto"/>
        </w:rPr>
      </w:pPr>
      <w:r>
        <w:rPr>
          <w:rFonts w:hint="eastAsia"/>
          <w:color w:val="auto"/>
        </w:rPr>
        <w:t>布设测点应满足下列要求：</w:t>
      </w:r>
    </w:p>
    <w:p w14:paraId="0461244D">
      <w:pPr>
        <w:pStyle w:val="136"/>
        <w:numPr>
          <w:ilvl w:val="0"/>
          <w:numId w:val="0"/>
        </w:numPr>
        <w:tabs>
          <w:tab w:val="clear" w:pos="851"/>
        </w:tabs>
        <w:ind w:left="851" w:hanging="426"/>
        <w:rPr>
          <w:color w:val="auto"/>
        </w:rPr>
      </w:pPr>
      <w:r>
        <w:rPr>
          <w:rFonts w:hint="eastAsia"/>
          <w:color w:val="auto"/>
        </w:rPr>
        <w:t>——测点的垂直间距≤1</w:t>
      </w:r>
      <w:r>
        <w:rPr>
          <w:rFonts w:hint="eastAsia"/>
          <w:color w:val="auto"/>
          <w:vertAlign w:val="superscript"/>
        </w:rPr>
        <w:t xml:space="preserve"> </w:t>
      </w:r>
      <w:r>
        <w:rPr>
          <w:rFonts w:hint="eastAsia"/>
          <w:color w:val="auto"/>
        </w:rPr>
        <w:t>m，在地层分界附近加密测点；</w:t>
      </w:r>
    </w:p>
    <w:p w14:paraId="1DBA5EB7">
      <w:pPr>
        <w:pStyle w:val="136"/>
        <w:numPr>
          <w:ilvl w:val="0"/>
          <w:numId w:val="0"/>
        </w:numPr>
        <w:tabs>
          <w:tab w:val="clear" w:pos="851"/>
        </w:tabs>
        <w:ind w:left="851" w:hanging="426"/>
        <w:rPr>
          <w:color w:val="auto"/>
        </w:rPr>
      </w:pPr>
      <w:r>
        <w:rPr>
          <w:rFonts w:hint="eastAsia"/>
          <w:color w:val="auto"/>
        </w:rPr>
        <w:t>——要结合土层分布情况布设，土层不均匀时，根据土层特点作不等间隔布设；土层相对均匀时可等间隔布设。</w:t>
      </w:r>
    </w:p>
    <w:p w14:paraId="11D04390">
      <w:pPr>
        <w:pStyle w:val="169"/>
        <w:rPr>
          <w:color w:val="auto"/>
        </w:rPr>
      </w:pPr>
      <w:r>
        <w:rPr>
          <w:rFonts w:hint="eastAsia"/>
          <w:color w:val="auto"/>
        </w:rPr>
        <w:t>检波器置放于测点位置后，应稳定至少10</w:t>
      </w:r>
      <w:r>
        <w:rPr>
          <w:rFonts w:hint="eastAsia"/>
          <w:color w:val="auto"/>
          <w:vertAlign w:val="superscript"/>
        </w:rPr>
        <w:t xml:space="preserve"> </w:t>
      </w:r>
      <w:r>
        <w:rPr>
          <w:rFonts w:hint="eastAsia"/>
          <w:color w:val="auto"/>
        </w:rPr>
        <w:t>s后再进行数据采集。</w:t>
      </w:r>
    </w:p>
    <w:p w14:paraId="7DBC9DD0">
      <w:pPr>
        <w:pStyle w:val="169"/>
        <w:rPr>
          <w:color w:val="auto"/>
        </w:rPr>
      </w:pPr>
      <w:r>
        <w:rPr>
          <w:rFonts w:hint="eastAsia"/>
          <w:color w:val="auto"/>
        </w:rPr>
        <w:t>波速测量成果应能在波形记录上识别出波速初至时间。</w:t>
      </w:r>
    </w:p>
    <w:p w14:paraId="47FF1EBC">
      <w:pPr>
        <w:pStyle w:val="108"/>
        <w:spacing w:before="240" w:after="240"/>
        <w:rPr>
          <w:color w:val="auto"/>
        </w:rPr>
      </w:pPr>
      <w:bookmarkStart w:id="193" w:name="_Toc225318589"/>
      <w:bookmarkStart w:id="194" w:name="_Toc225318616"/>
      <w:bookmarkStart w:id="195" w:name="_Toc227048085"/>
      <w:bookmarkStart w:id="196" w:name="_Toc225514725"/>
      <w:bookmarkStart w:id="197" w:name="_Toc224899520"/>
      <w:bookmarkStart w:id="198" w:name="_Toc227048100"/>
      <w:bookmarkStart w:id="199" w:name="_Toc228350784"/>
      <w:bookmarkStart w:id="200" w:name="_Toc228292207"/>
      <w:r>
        <w:rPr>
          <w:rFonts w:hint="eastAsia"/>
          <w:color w:val="auto"/>
        </w:rPr>
        <w:t>地震地质灾害调查</w:t>
      </w:r>
      <w:bookmarkEnd w:id="193"/>
      <w:bookmarkEnd w:id="194"/>
      <w:bookmarkEnd w:id="195"/>
      <w:bookmarkEnd w:id="196"/>
      <w:bookmarkEnd w:id="197"/>
      <w:bookmarkEnd w:id="198"/>
      <w:bookmarkEnd w:id="199"/>
      <w:bookmarkEnd w:id="200"/>
    </w:p>
    <w:p w14:paraId="214AFAF9">
      <w:pPr>
        <w:pStyle w:val="109"/>
        <w:spacing w:before="120" w:after="120"/>
        <w:rPr>
          <w:color w:val="auto"/>
        </w:rPr>
      </w:pPr>
      <w:bookmarkStart w:id="201" w:name="_Toc224899521"/>
      <w:bookmarkStart w:id="202" w:name="_Toc228292208"/>
      <w:bookmarkStart w:id="203" w:name="_Toc225318590"/>
      <w:bookmarkStart w:id="204" w:name="_Toc228350785"/>
      <w:r>
        <w:rPr>
          <w:rFonts w:hint="eastAsia"/>
          <w:color w:val="auto"/>
        </w:rPr>
        <w:t>调查范围</w:t>
      </w:r>
      <w:bookmarkEnd w:id="201"/>
      <w:bookmarkEnd w:id="202"/>
      <w:bookmarkEnd w:id="203"/>
      <w:bookmarkEnd w:id="204"/>
    </w:p>
    <w:p w14:paraId="548AF2C7">
      <w:pPr>
        <w:pStyle w:val="60"/>
        <w:ind w:firstLine="420"/>
        <w:rPr>
          <w:color w:val="auto"/>
        </w:rPr>
      </w:pPr>
      <w:r>
        <w:rPr>
          <w:rFonts w:hint="eastAsia"/>
          <w:color w:val="auto"/>
        </w:rPr>
        <w:t>场地及外围调查范围，一般地区外延500</w:t>
      </w:r>
      <w:r>
        <w:rPr>
          <w:rFonts w:hint="eastAsia"/>
          <w:color w:val="auto"/>
          <w:vertAlign w:val="superscript"/>
        </w:rPr>
        <w:t xml:space="preserve"> </w:t>
      </w:r>
      <w:r>
        <w:rPr>
          <w:rFonts w:hint="eastAsia"/>
          <w:color w:val="auto"/>
        </w:rPr>
        <w:t>m。当场地在高、中山地区时，地震崩塌与滑坡调查场地外延至1级分水岭范围。</w:t>
      </w:r>
    </w:p>
    <w:p w14:paraId="7190B1B4">
      <w:pPr>
        <w:pStyle w:val="109"/>
        <w:spacing w:before="120" w:after="120"/>
        <w:rPr>
          <w:color w:val="auto"/>
        </w:rPr>
      </w:pPr>
      <w:bookmarkStart w:id="205" w:name="_Toc225318591"/>
      <w:bookmarkStart w:id="206" w:name="_Toc228292209"/>
      <w:bookmarkStart w:id="207" w:name="_Toc224899522"/>
      <w:bookmarkStart w:id="208" w:name="_Toc228350786"/>
      <w:r>
        <w:rPr>
          <w:rFonts w:hint="eastAsia"/>
          <w:color w:val="auto"/>
        </w:rPr>
        <w:t>调查内容</w:t>
      </w:r>
      <w:bookmarkEnd w:id="205"/>
      <w:bookmarkEnd w:id="206"/>
      <w:bookmarkEnd w:id="207"/>
      <w:bookmarkEnd w:id="208"/>
    </w:p>
    <w:p w14:paraId="56FE386E">
      <w:pPr>
        <w:pStyle w:val="169"/>
        <w:rPr>
          <w:color w:val="auto"/>
        </w:rPr>
      </w:pPr>
      <w:r>
        <w:rPr>
          <w:rFonts w:hint="eastAsia"/>
          <w:color w:val="auto"/>
        </w:rPr>
        <w:t>基本要求：</w:t>
      </w:r>
    </w:p>
    <w:p w14:paraId="71C7BF7B">
      <w:pPr>
        <w:pStyle w:val="60"/>
        <w:ind w:firstLine="420"/>
        <w:rPr>
          <w:color w:val="auto"/>
        </w:rPr>
      </w:pPr>
      <w:r>
        <w:rPr>
          <w:rFonts w:hint="eastAsia"/>
          <w:color w:val="auto"/>
        </w:rPr>
        <w:t>除Ⅲ级工作及场地位于禁飞区外，Ⅰ级、Ⅱ级和区域性地震安全性评价工作场地应采用无人机等技术对场地调查范围进行拍摄，或获取场地高分辨率遥感影像，分辨率不低于1</w:t>
      </w:r>
      <w:r>
        <w:rPr>
          <w:rFonts w:hint="eastAsia"/>
          <w:color w:val="auto"/>
          <w:vertAlign w:val="superscript"/>
        </w:rPr>
        <w:t xml:space="preserve"> </w:t>
      </w:r>
      <w:r>
        <w:rPr>
          <w:rFonts w:hint="eastAsia"/>
          <w:color w:val="auto"/>
        </w:rPr>
        <w:t>m。</w:t>
      </w:r>
    </w:p>
    <w:p w14:paraId="1709C4A0">
      <w:pPr>
        <w:pStyle w:val="169"/>
        <w:rPr>
          <w:color w:val="auto"/>
        </w:rPr>
      </w:pPr>
      <w:r>
        <w:rPr>
          <w:rFonts w:hint="eastAsia"/>
          <w:color w:val="auto"/>
        </w:rPr>
        <w:t>断</w:t>
      </w:r>
      <w:r>
        <w:rPr>
          <w:rFonts w:hint="eastAsia"/>
          <w:color w:val="auto"/>
        </w:rPr>
        <w:t>层错动调查满足以下要求：</w:t>
      </w:r>
      <w:r>
        <w:rPr>
          <w:color w:val="auto"/>
        </w:rPr>
        <w:t xml:space="preserve"> </w:t>
      </w:r>
    </w:p>
    <w:p w14:paraId="6CC8FA2D">
      <w:pPr>
        <w:pStyle w:val="136"/>
        <w:numPr>
          <w:ilvl w:val="0"/>
          <w:numId w:val="0"/>
        </w:numPr>
        <w:tabs>
          <w:tab w:val="clear" w:pos="851"/>
        </w:tabs>
        <w:ind w:left="851" w:hanging="426"/>
        <w:rPr>
          <w:color w:val="auto"/>
        </w:rPr>
      </w:pPr>
      <w:r>
        <w:rPr>
          <w:rFonts w:hint="eastAsia"/>
          <w:color w:val="auto"/>
        </w:rPr>
        <w:t>——调查褶皱最新变形地层时代和褶皱陡坎变形带范围；</w:t>
      </w:r>
    </w:p>
    <w:p w14:paraId="75327832">
      <w:pPr>
        <w:pStyle w:val="136"/>
        <w:numPr>
          <w:ilvl w:val="0"/>
          <w:numId w:val="0"/>
        </w:numPr>
        <w:tabs>
          <w:tab w:val="clear" w:pos="851"/>
        </w:tabs>
        <w:ind w:left="851" w:hanging="426"/>
        <w:rPr>
          <w:color w:val="auto"/>
        </w:rPr>
      </w:pPr>
      <w:r>
        <w:rPr>
          <w:rFonts w:hint="eastAsia"/>
          <w:color w:val="auto"/>
        </w:rPr>
        <w:t>——调查褶皱相关的弯矩断层、弯滑断层、横向调节断层、膝折带突破断层等褶皱相关断层分布及位移量；</w:t>
      </w:r>
    </w:p>
    <w:p w14:paraId="2C3A0D14">
      <w:pPr>
        <w:pStyle w:val="136"/>
        <w:numPr>
          <w:ilvl w:val="0"/>
          <w:numId w:val="0"/>
        </w:numPr>
        <w:tabs>
          <w:tab w:val="clear" w:pos="851"/>
        </w:tabs>
        <w:ind w:left="851" w:hanging="426"/>
        <w:rPr>
          <w:color w:val="auto"/>
        </w:rPr>
      </w:pPr>
      <w:r>
        <w:rPr>
          <w:rFonts w:hint="eastAsia"/>
          <w:color w:val="auto"/>
        </w:rPr>
        <w:t>——编制褶皱陡坎变形带及褶皱相关断层分布图，比例尺不小于1:10</w:t>
      </w:r>
      <w:r>
        <w:rPr>
          <w:rFonts w:hint="eastAsia"/>
          <w:color w:val="auto"/>
          <w:vertAlign w:val="superscript"/>
        </w:rPr>
        <w:t xml:space="preserve"> </w:t>
      </w:r>
      <w:r>
        <w:rPr>
          <w:rFonts w:hint="eastAsia"/>
          <w:color w:val="auto"/>
        </w:rPr>
        <w:t>000，确定场地与褶皱陡坎变形带及褶皱相关断层的空间关系。</w:t>
      </w:r>
    </w:p>
    <w:p w14:paraId="4A1475EE">
      <w:pPr>
        <w:pStyle w:val="169"/>
        <w:rPr>
          <w:color w:val="auto"/>
        </w:rPr>
      </w:pPr>
      <w:r>
        <w:rPr>
          <w:rFonts w:hint="eastAsia"/>
          <w:color w:val="auto"/>
        </w:rPr>
        <w:t>地震液化初步调查要求：</w:t>
      </w:r>
    </w:p>
    <w:p w14:paraId="0DFD181C">
      <w:pPr>
        <w:pStyle w:val="136"/>
        <w:numPr>
          <w:ilvl w:val="0"/>
          <w:numId w:val="0"/>
        </w:numPr>
        <w:tabs>
          <w:tab w:val="clear" w:pos="851"/>
        </w:tabs>
        <w:ind w:left="851" w:hanging="426"/>
        <w:rPr>
          <w:color w:val="auto"/>
        </w:rPr>
      </w:pPr>
      <w:r>
        <w:rPr>
          <w:rFonts w:hint="eastAsia"/>
          <w:color w:val="auto"/>
        </w:rPr>
        <w:t>——历史地震在场地造成的砂土液化情况；</w:t>
      </w:r>
    </w:p>
    <w:p w14:paraId="4192AC2F">
      <w:pPr>
        <w:pStyle w:val="136"/>
        <w:numPr>
          <w:ilvl w:val="0"/>
          <w:numId w:val="0"/>
        </w:numPr>
        <w:tabs>
          <w:tab w:val="clear" w:pos="851"/>
        </w:tabs>
        <w:ind w:left="851" w:hanging="426"/>
        <w:rPr>
          <w:color w:val="auto"/>
        </w:rPr>
      </w:pPr>
      <w:r>
        <w:rPr>
          <w:rFonts w:hint="eastAsia"/>
          <w:color w:val="auto"/>
        </w:rPr>
        <w:t>——场地地形、地貌、地层、地下水等与液化有关的场地条件；</w:t>
      </w:r>
    </w:p>
    <w:p w14:paraId="32E461E3">
      <w:pPr>
        <w:pStyle w:val="136"/>
        <w:numPr>
          <w:ilvl w:val="0"/>
          <w:numId w:val="0"/>
        </w:numPr>
        <w:tabs>
          <w:tab w:val="clear" w:pos="851"/>
        </w:tabs>
        <w:ind w:left="851" w:hanging="426"/>
        <w:rPr>
          <w:color w:val="auto"/>
        </w:rPr>
      </w:pPr>
      <w:r>
        <w:rPr>
          <w:rFonts w:hint="eastAsia"/>
          <w:color w:val="auto"/>
        </w:rPr>
        <w:t>——根据工程场地地质条件调查和钻孔资料，确定地面以下30</w:t>
      </w:r>
      <w:r>
        <w:rPr>
          <w:rFonts w:hint="eastAsia"/>
          <w:color w:val="auto"/>
          <w:vertAlign w:val="superscript"/>
        </w:rPr>
        <w:t xml:space="preserve"> </w:t>
      </w:r>
      <w:r>
        <w:rPr>
          <w:rFonts w:hint="eastAsia"/>
          <w:color w:val="auto"/>
        </w:rPr>
        <w:t>m是否有可液化土层。</w:t>
      </w:r>
    </w:p>
    <w:p w14:paraId="7E8C20FF">
      <w:pPr>
        <w:pStyle w:val="169"/>
        <w:rPr>
          <w:color w:val="auto"/>
        </w:rPr>
      </w:pPr>
      <w:r>
        <w:rPr>
          <w:rFonts w:hint="eastAsia"/>
          <w:color w:val="auto"/>
        </w:rPr>
        <w:t>软土震陷初步调查要求：</w:t>
      </w:r>
    </w:p>
    <w:p w14:paraId="60DAC72D">
      <w:pPr>
        <w:pStyle w:val="136"/>
        <w:numPr>
          <w:ilvl w:val="0"/>
          <w:numId w:val="0"/>
        </w:numPr>
        <w:tabs>
          <w:tab w:val="clear" w:pos="851"/>
        </w:tabs>
        <w:ind w:left="851" w:hanging="426"/>
        <w:rPr>
          <w:color w:val="auto"/>
        </w:rPr>
      </w:pPr>
      <w:r>
        <w:rPr>
          <w:rFonts w:hint="eastAsia"/>
          <w:color w:val="auto"/>
        </w:rPr>
        <w:t>——历史地震在场地造成的软土震陷情况；</w:t>
      </w:r>
    </w:p>
    <w:p w14:paraId="441802F5">
      <w:pPr>
        <w:pStyle w:val="136"/>
        <w:numPr>
          <w:ilvl w:val="0"/>
          <w:numId w:val="0"/>
        </w:numPr>
        <w:tabs>
          <w:tab w:val="clear" w:pos="851"/>
        </w:tabs>
        <w:ind w:left="851" w:hanging="426"/>
        <w:rPr>
          <w:color w:val="auto"/>
        </w:rPr>
      </w:pPr>
      <w:r>
        <w:rPr>
          <w:rFonts w:hint="eastAsia"/>
          <w:color w:val="auto"/>
        </w:rPr>
        <w:t>——场地地形、地貌、地层、地下水等与软土震陷有关的场地条件；</w:t>
      </w:r>
    </w:p>
    <w:p w14:paraId="68364346">
      <w:pPr>
        <w:pStyle w:val="136"/>
        <w:numPr>
          <w:ilvl w:val="0"/>
          <w:numId w:val="0"/>
        </w:numPr>
        <w:tabs>
          <w:tab w:val="clear" w:pos="851"/>
        </w:tabs>
        <w:ind w:left="851" w:hanging="426"/>
        <w:rPr>
          <w:color w:val="auto"/>
        </w:rPr>
      </w:pPr>
      <w:r>
        <w:rPr>
          <w:rFonts w:hint="eastAsia"/>
          <w:color w:val="auto"/>
        </w:rPr>
        <w:t>——根据工程场地地质条件调查和钻孔资料，确定场地是否存在较厚淤泥、淤泥质土、冲填土、杂填土或其它高压塑性软土层。</w:t>
      </w:r>
    </w:p>
    <w:p w14:paraId="04BFBF35">
      <w:pPr>
        <w:pStyle w:val="169"/>
        <w:rPr>
          <w:color w:val="auto"/>
        </w:rPr>
      </w:pPr>
      <w:r>
        <w:rPr>
          <w:rFonts w:hint="eastAsia"/>
          <w:color w:val="auto"/>
        </w:rPr>
        <w:t>地震崩塌与滑坡初步调查要求：</w:t>
      </w:r>
    </w:p>
    <w:p w14:paraId="4B170183">
      <w:pPr>
        <w:pStyle w:val="136"/>
        <w:numPr>
          <w:ilvl w:val="0"/>
          <w:numId w:val="0"/>
        </w:numPr>
        <w:tabs>
          <w:tab w:val="clear" w:pos="851"/>
        </w:tabs>
        <w:ind w:left="851" w:hanging="426"/>
        <w:rPr>
          <w:color w:val="auto"/>
        </w:rPr>
      </w:pPr>
      <w:r>
        <w:rPr>
          <w:rFonts w:hint="eastAsia"/>
          <w:color w:val="auto"/>
        </w:rPr>
        <w:t>——历史地震在场地造成的崩塌与滑坡情况；</w:t>
      </w:r>
    </w:p>
    <w:p w14:paraId="4CA1CD57">
      <w:pPr>
        <w:pStyle w:val="136"/>
        <w:numPr>
          <w:ilvl w:val="0"/>
          <w:numId w:val="0"/>
        </w:numPr>
        <w:tabs>
          <w:tab w:val="clear" w:pos="851"/>
        </w:tabs>
        <w:ind w:left="851" w:hanging="426"/>
        <w:rPr>
          <w:color w:val="auto"/>
        </w:rPr>
      </w:pPr>
      <w:r>
        <w:rPr>
          <w:rFonts w:hint="eastAsia"/>
          <w:color w:val="auto"/>
        </w:rPr>
        <w:t>——对场地勘察资料中的不良工程地质进行现场核实；</w:t>
      </w:r>
    </w:p>
    <w:p w14:paraId="764F58C5">
      <w:pPr>
        <w:pStyle w:val="136"/>
        <w:numPr>
          <w:ilvl w:val="0"/>
          <w:numId w:val="0"/>
        </w:numPr>
        <w:tabs>
          <w:tab w:val="clear" w:pos="851"/>
        </w:tabs>
        <w:ind w:left="851" w:hanging="426"/>
        <w:rPr>
          <w:color w:val="auto"/>
        </w:rPr>
      </w:pPr>
      <w:r>
        <w:rPr>
          <w:rFonts w:hint="eastAsia"/>
          <w:color w:val="auto"/>
        </w:rPr>
        <w:t>——坡体的坡度、坡高、坡向等地形地貌信息；</w:t>
      </w:r>
    </w:p>
    <w:p w14:paraId="5D0D796C">
      <w:pPr>
        <w:pStyle w:val="136"/>
        <w:numPr>
          <w:ilvl w:val="0"/>
          <w:numId w:val="0"/>
        </w:numPr>
        <w:tabs>
          <w:tab w:val="clear" w:pos="851"/>
        </w:tabs>
        <w:ind w:left="851" w:hanging="426"/>
        <w:rPr>
          <w:color w:val="auto"/>
        </w:rPr>
      </w:pPr>
      <w:r>
        <w:rPr>
          <w:rFonts w:hint="eastAsia"/>
          <w:color w:val="auto"/>
        </w:rPr>
        <w:t>——岩土体岩性、完整性、风化程度、岩土体内部结构等岩土体基本信息，特别是岩层倾向与坡向关系；</w:t>
      </w:r>
    </w:p>
    <w:p w14:paraId="68F807D0">
      <w:pPr>
        <w:pStyle w:val="136"/>
        <w:numPr>
          <w:ilvl w:val="0"/>
          <w:numId w:val="0"/>
        </w:numPr>
        <w:tabs>
          <w:tab w:val="clear" w:pos="851"/>
        </w:tabs>
        <w:ind w:left="851" w:hanging="426"/>
        <w:rPr>
          <w:color w:val="auto"/>
        </w:rPr>
      </w:pPr>
      <w:r>
        <w:rPr>
          <w:rFonts w:hint="eastAsia"/>
          <w:color w:val="auto"/>
        </w:rPr>
        <w:t>——应采用无人机拍摄或高分辨率遥感影像得到场地及其周边环境的地质灾害体影像图，圈划地质灾害体轮廓线，标示灾害体名称。</w:t>
      </w:r>
    </w:p>
    <w:p w14:paraId="0E509FC4">
      <w:pPr>
        <w:pStyle w:val="108"/>
        <w:spacing w:before="240" w:after="240"/>
        <w:rPr>
          <w:color w:val="auto"/>
        </w:rPr>
      </w:pPr>
      <w:bookmarkStart w:id="209" w:name="_Toc227048086"/>
      <w:bookmarkStart w:id="210" w:name="_Toc224899523"/>
      <w:bookmarkStart w:id="211" w:name="_Toc225318592"/>
      <w:bookmarkStart w:id="212" w:name="_Toc225318617"/>
      <w:bookmarkStart w:id="213" w:name="_Toc227048101"/>
      <w:bookmarkStart w:id="214" w:name="_Toc225514726"/>
      <w:bookmarkStart w:id="215" w:name="_Toc228292210"/>
      <w:bookmarkStart w:id="216" w:name="_Toc228350787"/>
      <w:r>
        <w:rPr>
          <w:rFonts w:hint="eastAsia"/>
          <w:color w:val="auto"/>
        </w:rPr>
        <w:t>资料的处理与存档</w:t>
      </w:r>
      <w:bookmarkEnd w:id="209"/>
      <w:bookmarkEnd w:id="210"/>
      <w:bookmarkEnd w:id="211"/>
      <w:bookmarkEnd w:id="212"/>
      <w:bookmarkEnd w:id="213"/>
      <w:bookmarkEnd w:id="214"/>
      <w:bookmarkEnd w:id="215"/>
      <w:bookmarkEnd w:id="216"/>
    </w:p>
    <w:p w14:paraId="460DD694">
      <w:pPr>
        <w:pStyle w:val="109"/>
        <w:spacing w:before="120" w:after="120"/>
        <w:rPr>
          <w:color w:val="auto"/>
        </w:rPr>
      </w:pPr>
      <w:bookmarkStart w:id="217" w:name="_Toc224899524"/>
      <w:bookmarkStart w:id="218" w:name="_Toc228292211"/>
      <w:bookmarkStart w:id="219" w:name="_Toc228350788"/>
      <w:bookmarkStart w:id="220" w:name="_Toc225318593"/>
      <w:r>
        <w:rPr>
          <w:rFonts w:hint="eastAsia"/>
          <w:color w:val="auto"/>
        </w:rPr>
        <w:t>资料处理</w:t>
      </w:r>
      <w:bookmarkEnd w:id="217"/>
      <w:bookmarkEnd w:id="218"/>
      <w:bookmarkEnd w:id="219"/>
      <w:bookmarkEnd w:id="220"/>
    </w:p>
    <w:p w14:paraId="1BEDC455">
      <w:pPr>
        <w:pStyle w:val="169"/>
        <w:rPr>
          <w:color w:val="auto"/>
        </w:rPr>
      </w:pPr>
      <w:r>
        <w:rPr>
          <w:rFonts w:hint="eastAsia"/>
          <w:color w:val="auto"/>
        </w:rPr>
        <w:t>场地钻探资料包括钻孔平面分布图、钻孔柱状图、工程地质剖面图、场地类别分区图等。</w:t>
      </w:r>
    </w:p>
    <w:p w14:paraId="0B91BF2F">
      <w:pPr>
        <w:pStyle w:val="169"/>
        <w:rPr>
          <w:color w:val="auto"/>
        </w:rPr>
      </w:pPr>
      <w:r>
        <w:rPr>
          <w:rFonts w:hint="eastAsia"/>
          <w:color w:val="auto"/>
        </w:rPr>
        <w:t>波速测试图件包括波速随深度变化图、剪切波波列图等。</w:t>
      </w:r>
    </w:p>
    <w:p w14:paraId="71601A6E">
      <w:pPr>
        <w:pStyle w:val="169"/>
        <w:rPr>
          <w:color w:val="auto"/>
        </w:rPr>
      </w:pPr>
      <w:r>
        <w:rPr>
          <w:rFonts w:hint="eastAsia"/>
          <w:color w:val="auto"/>
        </w:rPr>
        <w:t>现场断层调查包括地质调查点分布图及对应调查点照片，地质-地貌剖面图等。</w:t>
      </w:r>
    </w:p>
    <w:p w14:paraId="0EE2DC2F">
      <w:pPr>
        <w:pStyle w:val="169"/>
        <w:rPr>
          <w:color w:val="auto"/>
        </w:rPr>
      </w:pPr>
      <w:r>
        <w:rPr>
          <w:rFonts w:hint="eastAsia"/>
          <w:color w:val="auto"/>
        </w:rPr>
        <w:t>探槽包括探槽照片（包括探槽开挖前、开挖中和开挖后照片以及探槽剖面照片）、素描图、野外记录；年代样品取样记录、年代测试结果等。</w:t>
      </w:r>
    </w:p>
    <w:p w14:paraId="3025B20B">
      <w:pPr>
        <w:pStyle w:val="169"/>
        <w:rPr>
          <w:color w:val="auto"/>
        </w:rPr>
      </w:pPr>
      <w:r>
        <w:rPr>
          <w:rFonts w:hint="eastAsia"/>
          <w:color w:val="auto"/>
        </w:rPr>
        <w:t>地球物理勘探包括原始数据、处理结果数据、测线分布图、物探成果图等。</w:t>
      </w:r>
    </w:p>
    <w:p w14:paraId="312C27F7">
      <w:pPr>
        <w:pStyle w:val="169"/>
        <w:rPr>
          <w:color w:val="auto"/>
        </w:rPr>
      </w:pPr>
      <w:r>
        <w:rPr>
          <w:rFonts w:hint="eastAsia"/>
          <w:color w:val="auto"/>
        </w:rPr>
        <w:t>地震地质灾害调查应包括场地高分辨率影像，调查点分布图及对应调查点照片，断层地震地表破裂影响带分布图、地震液化等级分布图、软土震陷等级分布图、崩塌滑坡危险性分区图等。</w:t>
      </w:r>
    </w:p>
    <w:p w14:paraId="0605EBA7">
      <w:pPr>
        <w:pStyle w:val="109"/>
        <w:spacing w:before="120" w:after="120"/>
        <w:rPr>
          <w:color w:val="auto"/>
        </w:rPr>
      </w:pPr>
      <w:bookmarkStart w:id="221" w:name="_Toc224899525"/>
      <w:bookmarkStart w:id="222" w:name="_Toc225318594"/>
      <w:bookmarkStart w:id="223" w:name="_Toc228350789"/>
      <w:bookmarkStart w:id="224" w:name="_Toc228292212"/>
      <w:r>
        <w:rPr>
          <w:rFonts w:hint="eastAsia"/>
          <w:color w:val="auto"/>
        </w:rPr>
        <w:t>图件处理</w:t>
      </w:r>
      <w:bookmarkEnd w:id="221"/>
      <w:bookmarkEnd w:id="222"/>
      <w:bookmarkEnd w:id="223"/>
      <w:bookmarkEnd w:id="224"/>
    </w:p>
    <w:p w14:paraId="2C2E0CA2">
      <w:pPr>
        <w:pStyle w:val="169"/>
        <w:rPr>
          <w:color w:val="auto"/>
        </w:rPr>
      </w:pPr>
      <w:r>
        <w:rPr>
          <w:rFonts w:hint="eastAsia"/>
          <w:color w:val="auto"/>
        </w:rPr>
        <w:t>各类图件比例尺选择应适当，同一个地震安全性评价报告（区域性地震安全性评价报告）中的同一种图件，若无特别说明，制图比例尺应一致。</w:t>
      </w:r>
    </w:p>
    <w:p w14:paraId="7DA767B5">
      <w:pPr>
        <w:pStyle w:val="169"/>
        <w:rPr>
          <w:color w:val="auto"/>
        </w:rPr>
      </w:pPr>
      <w:r>
        <w:rPr>
          <w:rFonts w:hint="eastAsia"/>
          <w:color w:val="auto"/>
        </w:rPr>
        <w:t>各类图件基本要素应齐全、重点突出、内容真实、描述准确、符号规范、图面清晰、色彩适当、图例和比例尺完整。</w:t>
      </w:r>
    </w:p>
    <w:p w14:paraId="1A428830">
      <w:pPr>
        <w:pStyle w:val="169"/>
        <w:rPr>
          <w:color w:val="auto"/>
        </w:rPr>
      </w:pPr>
      <w:r>
        <w:rPr>
          <w:rFonts w:hint="eastAsia"/>
          <w:color w:val="auto"/>
        </w:rPr>
        <w:t>图件编制其他相关要求按GB 17741、DB/T 100等相关标准进行绘制。</w:t>
      </w:r>
    </w:p>
    <w:p w14:paraId="056F4F9D">
      <w:pPr>
        <w:pStyle w:val="109"/>
        <w:spacing w:before="120" w:after="120"/>
        <w:rPr>
          <w:color w:val="auto"/>
        </w:rPr>
      </w:pPr>
      <w:bookmarkStart w:id="225" w:name="_Toc225318595"/>
      <w:bookmarkStart w:id="226" w:name="_Toc228292213"/>
      <w:bookmarkStart w:id="227" w:name="_Toc228350790"/>
      <w:bookmarkStart w:id="228" w:name="_Toc224899526"/>
      <w:r>
        <w:rPr>
          <w:rFonts w:hint="eastAsia"/>
          <w:color w:val="auto"/>
        </w:rPr>
        <w:t>资料存档</w:t>
      </w:r>
      <w:bookmarkEnd w:id="225"/>
      <w:bookmarkEnd w:id="226"/>
      <w:bookmarkEnd w:id="227"/>
      <w:bookmarkEnd w:id="228"/>
    </w:p>
    <w:p w14:paraId="1A4DFA07">
      <w:pPr>
        <w:pStyle w:val="169"/>
        <w:rPr>
          <w:color w:val="auto"/>
        </w:rPr>
      </w:pPr>
      <w:r>
        <w:rPr>
          <w:rFonts w:hint="eastAsia"/>
          <w:color w:val="auto"/>
        </w:rPr>
        <w:t>资料存档应满足下列要求：</w:t>
      </w:r>
    </w:p>
    <w:p w14:paraId="3C7D96AA">
      <w:pPr>
        <w:pStyle w:val="136"/>
        <w:numPr>
          <w:ilvl w:val="0"/>
          <w:numId w:val="0"/>
        </w:numPr>
        <w:tabs>
          <w:tab w:val="clear" w:pos="851"/>
        </w:tabs>
        <w:ind w:left="851" w:hanging="426"/>
        <w:rPr>
          <w:color w:val="auto"/>
        </w:rPr>
      </w:pPr>
      <w:r>
        <w:rPr>
          <w:rFonts w:hint="eastAsia"/>
          <w:color w:val="auto"/>
        </w:rPr>
        <w:t>——现场工作中产生的原始资料应真实、完整，记录简洁清晰，不应涂改、遗失；</w:t>
      </w:r>
    </w:p>
    <w:p w14:paraId="3909D379">
      <w:pPr>
        <w:pStyle w:val="136"/>
        <w:numPr>
          <w:ilvl w:val="0"/>
          <w:numId w:val="0"/>
        </w:numPr>
        <w:tabs>
          <w:tab w:val="clear" w:pos="851"/>
        </w:tabs>
        <w:ind w:left="851" w:hanging="426"/>
        <w:rPr>
          <w:color w:val="auto"/>
        </w:rPr>
      </w:pPr>
      <w:r>
        <w:rPr>
          <w:rFonts w:hint="eastAsia"/>
          <w:color w:val="auto"/>
        </w:rPr>
        <w:t>——应当署名的，责任人按规定现场签字；</w:t>
      </w:r>
    </w:p>
    <w:p w14:paraId="49028905">
      <w:pPr>
        <w:pStyle w:val="136"/>
        <w:numPr>
          <w:ilvl w:val="0"/>
          <w:numId w:val="0"/>
        </w:numPr>
        <w:tabs>
          <w:tab w:val="clear" w:pos="851"/>
        </w:tabs>
        <w:ind w:left="851" w:hanging="426"/>
        <w:rPr>
          <w:color w:val="auto"/>
        </w:rPr>
      </w:pPr>
      <w:r>
        <w:rPr>
          <w:rFonts w:hint="eastAsia"/>
          <w:color w:val="auto"/>
        </w:rPr>
        <w:t>——资料存档应包括现场工作获取的全部原始资料，包括纸介质资料、电子文档资料、影像资料（遥感解译底图、无人机航拍影像、现场照片等）及其它现场收集的资料。</w:t>
      </w:r>
    </w:p>
    <w:p w14:paraId="014F6A46">
      <w:pPr>
        <w:pStyle w:val="136"/>
        <w:numPr>
          <w:ilvl w:val="0"/>
          <w:numId w:val="0"/>
        </w:numPr>
        <w:tabs>
          <w:tab w:val="clear" w:pos="851"/>
        </w:tabs>
        <w:ind w:left="851" w:hanging="426"/>
        <w:rPr>
          <w:color w:val="auto"/>
        </w:rPr>
      </w:pPr>
      <w:r>
        <w:rPr>
          <w:rFonts w:hint="eastAsia"/>
          <w:color w:val="auto"/>
        </w:rPr>
        <w:t>——现场工作中产生的所有原始资料的存档时间不应少于10年，钻探产生的岩芯样品至少保存至项目报告通过技术审查；</w:t>
      </w:r>
    </w:p>
    <w:p w14:paraId="5EACB0A8">
      <w:pPr>
        <w:pStyle w:val="136"/>
        <w:numPr>
          <w:ilvl w:val="0"/>
          <w:numId w:val="0"/>
        </w:numPr>
        <w:tabs>
          <w:tab w:val="clear" w:pos="851"/>
        </w:tabs>
        <w:ind w:left="851" w:hanging="426"/>
        <w:rPr>
          <w:color w:val="auto"/>
        </w:rPr>
      </w:pPr>
      <w:r>
        <w:rPr>
          <w:rFonts w:hint="eastAsia"/>
          <w:color w:val="auto"/>
        </w:rPr>
        <w:t>——各种原始资料和工作成果要及时整理存档、备查。</w:t>
      </w:r>
    </w:p>
    <w:p w14:paraId="220203D6">
      <w:pPr>
        <w:pStyle w:val="169"/>
        <w:rPr>
          <w:color w:val="auto"/>
        </w:rPr>
      </w:pPr>
      <w:r>
        <w:rPr>
          <w:rFonts w:hint="eastAsia"/>
          <w:color w:val="auto"/>
        </w:rPr>
        <w:t>现场断层调查及探槽存档应包括下列原始资料：</w:t>
      </w:r>
    </w:p>
    <w:p w14:paraId="4259EFC6">
      <w:pPr>
        <w:pStyle w:val="136"/>
        <w:numPr>
          <w:ilvl w:val="0"/>
          <w:numId w:val="0"/>
        </w:numPr>
        <w:tabs>
          <w:tab w:val="clear" w:pos="851"/>
        </w:tabs>
        <w:ind w:left="851" w:hanging="426"/>
        <w:rPr>
          <w:color w:val="auto"/>
        </w:rPr>
      </w:pPr>
      <w:r>
        <w:rPr>
          <w:rFonts w:hint="eastAsia"/>
          <w:color w:val="auto"/>
        </w:rPr>
        <w:t>——地质调查资料、照片，地质-地貌填图成果图；</w:t>
      </w:r>
    </w:p>
    <w:p w14:paraId="0F506044">
      <w:pPr>
        <w:pStyle w:val="136"/>
        <w:numPr>
          <w:ilvl w:val="0"/>
          <w:numId w:val="0"/>
        </w:numPr>
        <w:tabs>
          <w:tab w:val="clear" w:pos="851"/>
        </w:tabs>
        <w:ind w:left="851" w:hanging="426"/>
        <w:rPr>
          <w:color w:val="auto"/>
        </w:rPr>
      </w:pPr>
      <w:r>
        <w:rPr>
          <w:rFonts w:hint="eastAsia"/>
          <w:color w:val="auto"/>
        </w:rPr>
        <w:t>——探槽开挖记录、剖面素描、剖面照片、野外记录；</w:t>
      </w:r>
    </w:p>
    <w:p w14:paraId="1989C24F">
      <w:pPr>
        <w:pStyle w:val="136"/>
        <w:numPr>
          <w:ilvl w:val="0"/>
          <w:numId w:val="0"/>
        </w:numPr>
        <w:tabs>
          <w:tab w:val="clear" w:pos="851"/>
        </w:tabs>
        <w:ind w:left="851" w:hanging="426"/>
        <w:rPr>
          <w:color w:val="auto"/>
        </w:rPr>
      </w:pPr>
      <w:r>
        <w:rPr>
          <w:rFonts w:hint="eastAsia"/>
          <w:color w:val="auto"/>
        </w:rPr>
        <w:t>——年代样品取样记录、年代测试结果等。</w:t>
      </w:r>
    </w:p>
    <w:p w14:paraId="54F00D9D">
      <w:pPr>
        <w:pStyle w:val="169"/>
        <w:rPr>
          <w:color w:val="auto"/>
        </w:rPr>
      </w:pPr>
      <w:r>
        <w:rPr>
          <w:rFonts w:hint="eastAsia"/>
          <w:color w:val="auto"/>
        </w:rPr>
        <w:t>地球物理勘探存档应包括物探仪器班报、物探线布设图、测点坐标、现场工作照片、物探原始数据、物探处理结果数据、物探成果图。</w:t>
      </w:r>
    </w:p>
    <w:p w14:paraId="184733BA">
      <w:pPr>
        <w:pStyle w:val="169"/>
        <w:rPr>
          <w:color w:val="auto"/>
        </w:rPr>
      </w:pPr>
      <w:r>
        <w:rPr>
          <w:rFonts w:hint="eastAsia"/>
          <w:color w:val="auto"/>
        </w:rPr>
        <w:t>场地钻探存档应包括下列资料：</w:t>
      </w:r>
    </w:p>
    <w:p w14:paraId="7E982B6D">
      <w:pPr>
        <w:pStyle w:val="136"/>
        <w:numPr>
          <w:ilvl w:val="0"/>
          <w:numId w:val="0"/>
        </w:numPr>
        <w:tabs>
          <w:tab w:val="clear" w:pos="851"/>
        </w:tabs>
        <w:ind w:left="851" w:hanging="426"/>
        <w:rPr>
          <w:color w:val="auto"/>
        </w:rPr>
      </w:pPr>
      <w:r>
        <w:rPr>
          <w:rFonts w:hint="eastAsia"/>
          <w:color w:val="auto"/>
        </w:rPr>
        <w:t>——钻孔分布图、钻孔岩芯照片、现场工作照片（包含现场工作场景等）、岩芯编录记录、钻孔柱状图、跨断层钻孔联合剖面分布图、跨断层钻孔联合剖面图；</w:t>
      </w:r>
    </w:p>
    <w:p w14:paraId="2EC6F207">
      <w:pPr>
        <w:pStyle w:val="136"/>
        <w:numPr>
          <w:ilvl w:val="0"/>
          <w:numId w:val="0"/>
        </w:numPr>
        <w:tabs>
          <w:tab w:val="clear" w:pos="851"/>
        </w:tabs>
        <w:ind w:left="851" w:hanging="426"/>
        <w:rPr>
          <w:color w:val="auto"/>
        </w:rPr>
      </w:pPr>
      <w:r>
        <w:rPr>
          <w:rFonts w:hint="eastAsia"/>
          <w:color w:val="auto"/>
        </w:rPr>
        <w:t>——年代样品取样记录、年代测试结果等。</w:t>
      </w:r>
    </w:p>
    <w:p w14:paraId="213FD315">
      <w:pPr>
        <w:pStyle w:val="169"/>
        <w:rPr>
          <w:color w:val="auto"/>
        </w:rPr>
      </w:pPr>
      <w:r>
        <w:rPr>
          <w:rFonts w:hint="eastAsia"/>
          <w:color w:val="auto"/>
        </w:rPr>
        <w:t>地震地质灾害调查存档应包括下列资料：</w:t>
      </w:r>
    </w:p>
    <w:p w14:paraId="28918C9F">
      <w:pPr>
        <w:pStyle w:val="136"/>
        <w:numPr>
          <w:ilvl w:val="0"/>
          <w:numId w:val="0"/>
        </w:numPr>
        <w:tabs>
          <w:tab w:val="clear" w:pos="851"/>
        </w:tabs>
        <w:ind w:left="851" w:hanging="426"/>
        <w:rPr>
          <w:color w:val="auto"/>
        </w:rPr>
      </w:pPr>
      <w:r>
        <w:rPr>
          <w:rFonts w:hint="eastAsia"/>
          <w:color w:val="auto"/>
        </w:rPr>
        <w:t>——调查点位置、调查记录；</w:t>
      </w:r>
    </w:p>
    <w:p w14:paraId="72CC67E1">
      <w:pPr>
        <w:pStyle w:val="136"/>
        <w:numPr>
          <w:ilvl w:val="0"/>
          <w:numId w:val="0"/>
        </w:numPr>
        <w:tabs>
          <w:tab w:val="clear" w:pos="851"/>
        </w:tabs>
        <w:ind w:left="851" w:hanging="426"/>
        <w:rPr>
          <w:color w:val="auto"/>
        </w:rPr>
      </w:pPr>
      <w:r>
        <w:rPr>
          <w:rFonts w:hint="eastAsia"/>
          <w:color w:val="auto"/>
        </w:rPr>
        <w:t>——无人机拍摄记录场地正射影像图或高分辨遥感影像等。</w:t>
      </w:r>
    </w:p>
    <w:p w14:paraId="26BA24D1">
      <w:pPr>
        <w:pStyle w:val="169"/>
        <w:rPr>
          <w:color w:val="auto"/>
        </w:rPr>
      </w:pPr>
      <w:r>
        <w:rPr>
          <w:rFonts w:hint="eastAsia"/>
          <w:color w:val="auto"/>
        </w:rPr>
        <w:t>波速测试存档应包括下列资料：</w:t>
      </w:r>
    </w:p>
    <w:p w14:paraId="4E2325FD">
      <w:pPr>
        <w:pStyle w:val="136"/>
        <w:numPr>
          <w:ilvl w:val="0"/>
          <w:numId w:val="0"/>
        </w:numPr>
        <w:tabs>
          <w:tab w:val="clear" w:pos="851"/>
        </w:tabs>
        <w:ind w:left="851" w:hanging="426"/>
        <w:rPr>
          <w:color w:val="auto"/>
        </w:rPr>
      </w:pPr>
      <w:r>
        <w:rPr>
          <w:rFonts w:hint="eastAsia"/>
          <w:color w:val="auto"/>
        </w:rPr>
        <w:t>——项目名称、测试时间、测试技术人员姓名、测井编号、坐标；</w:t>
      </w:r>
    </w:p>
    <w:p w14:paraId="3575405D">
      <w:pPr>
        <w:pStyle w:val="136"/>
        <w:numPr>
          <w:ilvl w:val="0"/>
          <w:numId w:val="0"/>
        </w:numPr>
        <w:tabs>
          <w:tab w:val="clear" w:pos="851"/>
        </w:tabs>
        <w:ind w:left="851" w:hanging="426"/>
        <w:rPr>
          <w:color w:val="auto"/>
        </w:rPr>
      </w:pPr>
      <w:r>
        <w:rPr>
          <w:rFonts w:hint="eastAsia"/>
          <w:color w:val="auto"/>
        </w:rPr>
        <w:t>——测井状态与测试条件、测试设备型号及技术参数、测试设备技术参数设置等信息；</w:t>
      </w:r>
    </w:p>
    <w:p w14:paraId="6E330760">
      <w:pPr>
        <w:pStyle w:val="136"/>
        <w:numPr>
          <w:ilvl w:val="0"/>
          <w:numId w:val="0"/>
        </w:numPr>
        <w:tabs>
          <w:tab w:val="clear" w:pos="851"/>
        </w:tabs>
        <w:ind w:left="851" w:hanging="426"/>
        <w:rPr>
          <w:color w:val="auto"/>
        </w:rPr>
      </w:pPr>
      <w:r>
        <w:rPr>
          <w:rFonts w:hint="eastAsia"/>
          <w:color w:val="auto"/>
        </w:rPr>
        <w:t>——原始记录波形文件等。</w:t>
      </w:r>
    </w:p>
    <w:p w14:paraId="36AED4AD">
      <w:pPr>
        <w:pStyle w:val="60"/>
        <w:ind w:firstLine="420"/>
        <w:rPr>
          <w:color w:val="auto"/>
        </w:rPr>
      </w:pPr>
    </w:p>
    <w:bookmarkEnd w:id="31"/>
    <w:p w14:paraId="6C21D2C7">
      <w:pPr>
        <w:pStyle w:val="136"/>
        <w:rPr>
          <w:color w:val="auto"/>
        </w:rPr>
        <w:sectPr>
          <w:pgSz w:w="11906" w:h="16838"/>
          <w:pgMar w:top="1928" w:right="1134" w:bottom="1134" w:left="1134" w:header="1418" w:footer="1134" w:gutter="284"/>
          <w:pgNumType w:start="1"/>
          <w:cols w:space="425" w:num="1"/>
          <w:formProt w:val="0"/>
          <w:docGrid w:linePitch="312" w:charSpace="0"/>
        </w:sectPr>
      </w:pPr>
      <w:bookmarkStart w:id="229" w:name="BookMark6"/>
    </w:p>
    <w:p w14:paraId="68A005A4">
      <w:pPr>
        <w:pStyle w:val="67"/>
        <w:spacing w:after="120"/>
        <w:rPr>
          <w:color w:val="auto"/>
        </w:rPr>
      </w:pPr>
      <w:bookmarkStart w:id="230" w:name="_Toc227048102"/>
      <w:bookmarkStart w:id="231" w:name="_Toc225318596"/>
      <w:bookmarkStart w:id="232" w:name="_Toc228292214"/>
      <w:bookmarkStart w:id="233" w:name="_Toc225514727"/>
      <w:bookmarkStart w:id="234" w:name="_Toc225318618"/>
      <w:bookmarkStart w:id="235" w:name="_Toc228350791"/>
      <w:bookmarkStart w:id="236" w:name="_Toc227048087"/>
      <w:r>
        <w:rPr>
          <w:rFonts w:hint="eastAsia"/>
          <w:color w:val="auto"/>
          <w:spacing w:val="105"/>
        </w:rPr>
        <w:t>参考文</w:t>
      </w:r>
      <w:r>
        <w:rPr>
          <w:rFonts w:hint="eastAsia"/>
          <w:color w:val="auto"/>
        </w:rPr>
        <w:t>献</w:t>
      </w:r>
      <w:bookmarkEnd w:id="230"/>
      <w:bookmarkEnd w:id="231"/>
      <w:bookmarkEnd w:id="232"/>
      <w:bookmarkEnd w:id="233"/>
      <w:bookmarkEnd w:id="234"/>
      <w:bookmarkEnd w:id="235"/>
      <w:bookmarkEnd w:id="236"/>
    </w:p>
    <w:p w14:paraId="5E054D67">
      <w:pPr>
        <w:pStyle w:val="60"/>
        <w:ind w:firstLine="420"/>
        <w:rPr>
          <w:color w:val="auto"/>
        </w:rPr>
      </w:pPr>
      <w:r>
        <w:rPr>
          <w:rFonts w:hint="eastAsia"/>
          <w:color w:val="auto"/>
        </w:rPr>
        <w:t>[1]  GB/T 9151—2023  钻探工程术语</w:t>
      </w:r>
    </w:p>
    <w:p w14:paraId="0C7746AE">
      <w:pPr>
        <w:pStyle w:val="60"/>
        <w:ind w:firstLine="420"/>
        <w:rPr>
          <w:color w:val="auto"/>
        </w:rPr>
      </w:pPr>
      <w:r>
        <w:rPr>
          <w:rFonts w:hint="eastAsia"/>
          <w:color w:val="auto"/>
        </w:rPr>
        <w:t>[2]  GB/T 40112—2021  地质灾害危险性评估规范</w:t>
      </w:r>
    </w:p>
    <w:p w14:paraId="56DF4804">
      <w:pPr>
        <w:pStyle w:val="60"/>
        <w:ind w:firstLine="420"/>
        <w:rPr>
          <w:color w:val="auto"/>
        </w:rPr>
      </w:pPr>
      <w:r>
        <w:rPr>
          <w:rFonts w:hint="eastAsia"/>
          <w:color w:val="auto"/>
        </w:rPr>
        <w:t>[3]  GB 50111—2006  铁路工程抗震设计规范(2009年版)</w:t>
      </w:r>
    </w:p>
    <w:p w14:paraId="4EDAB43E">
      <w:pPr>
        <w:pStyle w:val="60"/>
        <w:ind w:firstLine="420"/>
        <w:rPr>
          <w:color w:val="auto"/>
        </w:rPr>
      </w:pPr>
      <w:r>
        <w:rPr>
          <w:rFonts w:hint="eastAsia"/>
          <w:color w:val="auto"/>
        </w:rPr>
        <w:t>[4]  GB 50223—2008  建筑工程抗震设防分类标准</w:t>
      </w:r>
    </w:p>
    <w:p w14:paraId="374192DA">
      <w:pPr>
        <w:pStyle w:val="60"/>
        <w:ind w:firstLine="420"/>
        <w:rPr>
          <w:color w:val="auto"/>
        </w:rPr>
      </w:pPr>
      <w:r>
        <w:rPr>
          <w:rFonts w:hint="eastAsia"/>
          <w:color w:val="auto"/>
        </w:rPr>
        <w:t>[5]  GB 50260—2013  电力设施抗震设计规范</w:t>
      </w:r>
    </w:p>
    <w:p w14:paraId="69AB9759">
      <w:pPr>
        <w:pStyle w:val="60"/>
        <w:ind w:firstLine="420"/>
        <w:rPr>
          <w:color w:val="auto"/>
        </w:rPr>
      </w:pPr>
      <w:r>
        <w:rPr>
          <w:rFonts w:hint="eastAsia"/>
          <w:color w:val="auto"/>
        </w:rPr>
        <w:t>[6]  GB 50267—2014  核电厂抗震设计标准</w:t>
      </w:r>
    </w:p>
    <w:p w14:paraId="76DA2F95">
      <w:pPr>
        <w:pStyle w:val="60"/>
        <w:ind w:firstLine="420"/>
        <w:rPr>
          <w:color w:val="auto"/>
        </w:rPr>
      </w:pPr>
      <w:r>
        <w:rPr>
          <w:rFonts w:hint="eastAsia"/>
          <w:color w:val="auto"/>
        </w:rPr>
        <w:t>[7]  GB/T 50470—2017  油气输送管道线路工程抗震技术规范</w:t>
      </w:r>
    </w:p>
    <w:p w14:paraId="2B6069CE">
      <w:pPr>
        <w:pStyle w:val="60"/>
        <w:ind w:firstLine="420"/>
        <w:rPr>
          <w:color w:val="auto"/>
        </w:rPr>
      </w:pPr>
      <w:r>
        <w:rPr>
          <w:rFonts w:hint="eastAsia"/>
          <w:color w:val="auto"/>
        </w:rPr>
        <w:t>[8]  GB/T 50572—2010  核电厂工程地震调查与评价规范</w:t>
      </w:r>
    </w:p>
    <w:p w14:paraId="2CC7D549">
      <w:pPr>
        <w:pStyle w:val="60"/>
        <w:ind w:firstLine="420"/>
        <w:rPr>
          <w:color w:val="auto"/>
        </w:rPr>
      </w:pPr>
      <w:r>
        <w:rPr>
          <w:rFonts w:hint="eastAsia"/>
          <w:color w:val="auto"/>
        </w:rPr>
        <w:t>[9]  GB/T 50761—2018  石油化工钢制设备抗震设计标准</w:t>
      </w:r>
    </w:p>
    <w:p w14:paraId="094E1602">
      <w:pPr>
        <w:pStyle w:val="60"/>
        <w:ind w:firstLine="420"/>
        <w:rPr>
          <w:color w:val="auto"/>
        </w:rPr>
      </w:pPr>
      <w:r>
        <w:rPr>
          <w:rFonts w:hint="eastAsia"/>
          <w:color w:val="auto"/>
        </w:rPr>
        <w:t>[10]  GB 50909—2014  城市轨道交通结构抗震设计规范</w:t>
      </w:r>
    </w:p>
    <w:p w14:paraId="13AEFEF4">
      <w:pPr>
        <w:pStyle w:val="60"/>
        <w:ind w:firstLine="420"/>
        <w:rPr>
          <w:color w:val="auto"/>
        </w:rPr>
      </w:pPr>
      <w:r>
        <w:rPr>
          <w:rFonts w:hint="eastAsia"/>
          <w:color w:val="auto"/>
        </w:rPr>
        <w:t>[11]  GB 51247—2018  水工建筑物抗震设计标准</w:t>
      </w:r>
    </w:p>
    <w:p w14:paraId="3B77A145">
      <w:pPr>
        <w:pStyle w:val="60"/>
        <w:ind w:firstLine="420"/>
        <w:rPr>
          <w:color w:val="auto"/>
        </w:rPr>
      </w:pPr>
      <w:r>
        <w:rPr>
          <w:rFonts w:hint="eastAsia"/>
          <w:color w:val="auto"/>
        </w:rPr>
        <w:t>[12]  GB 55002—2021  建筑与市政工程抗震通用规范</w:t>
      </w:r>
    </w:p>
    <w:p w14:paraId="7772AA9B">
      <w:pPr>
        <w:pStyle w:val="60"/>
        <w:ind w:firstLine="420"/>
        <w:rPr>
          <w:color w:val="auto"/>
        </w:rPr>
      </w:pPr>
      <w:r>
        <w:rPr>
          <w:rFonts w:hint="eastAsia"/>
          <w:color w:val="auto"/>
        </w:rPr>
        <w:t>[13]  GB 55017—2021  工程勘察通用规范</w:t>
      </w:r>
    </w:p>
    <w:p w14:paraId="0507F4A6">
      <w:pPr>
        <w:pStyle w:val="60"/>
        <w:ind w:firstLine="420"/>
        <w:rPr>
          <w:color w:val="auto"/>
        </w:rPr>
      </w:pPr>
      <w:r>
        <w:rPr>
          <w:rFonts w:hint="eastAsia"/>
          <w:color w:val="auto"/>
        </w:rPr>
        <w:t>[14]  JGJ 83—2011  软土地区岩土工程勘察规程</w:t>
      </w:r>
    </w:p>
    <w:p w14:paraId="1D412CFE">
      <w:pPr>
        <w:pStyle w:val="60"/>
        <w:ind w:firstLine="420"/>
        <w:rPr>
          <w:color w:val="auto"/>
        </w:rPr>
      </w:pPr>
      <w:r>
        <w:rPr>
          <w:rFonts w:hint="eastAsia"/>
          <w:color w:val="auto"/>
        </w:rPr>
        <w:t>[15]  JTG/T 2231-01—2020  公路桥梁抗震设计规范</w:t>
      </w:r>
    </w:p>
    <w:p w14:paraId="6867D7F3">
      <w:pPr>
        <w:pStyle w:val="60"/>
        <w:ind w:firstLine="420"/>
        <w:rPr>
          <w:color w:val="auto"/>
        </w:rPr>
      </w:pPr>
      <w:r>
        <w:rPr>
          <w:rFonts w:hint="eastAsia"/>
          <w:color w:val="auto"/>
        </w:rPr>
        <w:t>[16]  JTG B02—2013  公路工程抗震规范</w:t>
      </w:r>
    </w:p>
    <w:p w14:paraId="228B2BD9">
      <w:pPr>
        <w:pStyle w:val="60"/>
        <w:ind w:firstLine="420"/>
        <w:rPr>
          <w:color w:val="auto"/>
        </w:rPr>
      </w:pPr>
      <w:r>
        <w:rPr>
          <w:rFonts w:hint="eastAsia"/>
          <w:color w:val="auto"/>
        </w:rPr>
        <w:t>[17]  NB/T 35057—2024  水电工程防震抗震设计规范</w:t>
      </w:r>
    </w:p>
    <w:p w14:paraId="501DD6A2">
      <w:pPr>
        <w:pStyle w:val="60"/>
        <w:ind w:firstLine="420"/>
        <w:rPr>
          <w:color w:val="auto"/>
        </w:rPr>
      </w:pPr>
      <w:r>
        <w:rPr>
          <w:rFonts w:hint="eastAsia"/>
          <w:color w:val="auto"/>
        </w:rPr>
        <w:t>[18]  SL 252—2017水利  水电工程等级划分及洪水标准</w:t>
      </w:r>
    </w:p>
    <w:p w14:paraId="23BFE489">
      <w:pPr>
        <w:pStyle w:val="60"/>
        <w:ind w:firstLine="420"/>
        <w:rPr>
          <w:color w:val="auto"/>
        </w:rPr>
      </w:pPr>
      <w:r>
        <w:rPr>
          <w:rFonts w:hint="eastAsia"/>
          <w:color w:val="auto"/>
        </w:rPr>
        <w:t>[19]  地震安全性评价管理条例(2019年修正本)</w:t>
      </w:r>
    </w:p>
    <w:bookmarkEnd w:id="229"/>
    <w:p w14:paraId="13AF33E3">
      <w:pPr>
        <w:pStyle w:val="60"/>
        <w:ind w:firstLine="0" w:firstLineChars="0"/>
        <w:jc w:val="center"/>
        <w:rPr>
          <w:color w:val="auto"/>
        </w:rPr>
      </w:pPr>
      <w:bookmarkStart w:id="237" w:name="BookMark8"/>
      <w:r>
        <w:rPr>
          <w:color w:val="auto"/>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7"/>
    </w:p>
    <w:bookmarkEnd w:id="238"/>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FA692">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4A77A">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7D94E">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BE700">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35CC9">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35B1">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095AD">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70C66">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6C964">
    <w:pPr>
      <w:pStyle w:val="20"/>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3BDA"/>
    <w:rsid w:val="000249DB"/>
    <w:rsid w:val="0002595E"/>
    <w:rsid w:val="000303C3"/>
    <w:rsid w:val="00032151"/>
    <w:rsid w:val="000331D3"/>
    <w:rsid w:val="000346A5"/>
    <w:rsid w:val="000359C3"/>
    <w:rsid w:val="00035A7D"/>
    <w:rsid w:val="000365ED"/>
    <w:rsid w:val="0004249A"/>
    <w:rsid w:val="00043282"/>
    <w:rsid w:val="00044286"/>
    <w:rsid w:val="000467A8"/>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F13"/>
    <w:rsid w:val="00067F1E"/>
    <w:rsid w:val="00071CC0"/>
    <w:rsid w:val="00071CFC"/>
    <w:rsid w:val="00073C8C"/>
    <w:rsid w:val="00077B64"/>
    <w:rsid w:val="00080A1C"/>
    <w:rsid w:val="00080AB2"/>
    <w:rsid w:val="00082317"/>
    <w:rsid w:val="00083D2C"/>
    <w:rsid w:val="00086AA1"/>
    <w:rsid w:val="00087A77"/>
    <w:rsid w:val="00090CA6"/>
    <w:rsid w:val="00092B8A"/>
    <w:rsid w:val="00092FB0"/>
    <w:rsid w:val="000934C5"/>
    <w:rsid w:val="00093D25"/>
    <w:rsid w:val="00093DAB"/>
    <w:rsid w:val="00094D73"/>
    <w:rsid w:val="0009689F"/>
    <w:rsid w:val="00096D63"/>
    <w:rsid w:val="000A0677"/>
    <w:rsid w:val="000A0B60"/>
    <w:rsid w:val="000A0EB8"/>
    <w:rsid w:val="000A19FC"/>
    <w:rsid w:val="000A296B"/>
    <w:rsid w:val="000A3C3E"/>
    <w:rsid w:val="000A7311"/>
    <w:rsid w:val="000B060F"/>
    <w:rsid w:val="000B1592"/>
    <w:rsid w:val="000B1FF2"/>
    <w:rsid w:val="000B3CDA"/>
    <w:rsid w:val="000B6A0B"/>
    <w:rsid w:val="000C0F6C"/>
    <w:rsid w:val="000C11DB"/>
    <w:rsid w:val="000C1492"/>
    <w:rsid w:val="000C2FBD"/>
    <w:rsid w:val="000C36EA"/>
    <w:rsid w:val="000C4B41"/>
    <w:rsid w:val="000C57D6"/>
    <w:rsid w:val="000C6362"/>
    <w:rsid w:val="000C7666"/>
    <w:rsid w:val="000D0A9C"/>
    <w:rsid w:val="000D0D17"/>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97"/>
    <w:rsid w:val="00104926"/>
    <w:rsid w:val="00113B1E"/>
    <w:rsid w:val="0011711C"/>
    <w:rsid w:val="001177C3"/>
    <w:rsid w:val="0012067F"/>
    <w:rsid w:val="00124E4F"/>
    <w:rsid w:val="001260B7"/>
    <w:rsid w:val="001265CB"/>
    <w:rsid w:val="00126A30"/>
    <w:rsid w:val="001321C6"/>
    <w:rsid w:val="001325C4"/>
    <w:rsid w:val="00133010"/>
    <w:rsid w:val="001338EE"/>
    <w:rsid w:val="00133AAE"/>
    <w:rsid w:val="00135323"/>
    <w:rsid w:val="001356C4"/>
    <w:rsid w:val="00135A42"/>
    <w:rsid w:val="00137565"/>
    <w:rsid w:val="00141114"/>
    <w:rsid w:val="00142969"/>
    <w:rsid w:val="001446C2"/>
    <w:rsid w:val="001457E7"/>
    <w:rsid w:val="00145D89"/>
    <w:rsid w:val="00145D9D"/>
    <w:rsid w:val="00146388"/>
    <w:rsid w:val="00146BCB"/>
    <w:rsid w:val="00146EC8"/>
    <w:rsid w:val="001470B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978"/>
    <w:rsid w:val="001852C9"/>
    <w:rsid w:val="00187A0B"/>
    <w:rsid w:val="00190087"/>
    <w:rsid w:val="001913C4"/>
    <w:rsid w:val="0019348F"/>
    <w:rsid w:val="00193A07"/>
    <w:rsid w:val="001948CA"/>
    <w:rsid w:val="00194C95"/>
    <w:rsid w:val="00195C34"/>
    <w:rsid w:val="00196EF5"/>
    <w:rsid w:val="001A1A53"/>
    <w:rsid w:val="001A234A"/>
    <w:rsid w:val="001A4CF3"/>
    <w:rsid w:val="001A6696"/>
    <w:rsid w:val="001A6737"/>
    <w:rsid w:val="001B06E8"/>
    <w:rsid w:val="001B71D0"/>
    <w:rsid w:val="001B71EE"/>
    <w:rsid w:val="001C04A8"/>
    <w:rsid w:val="001C2C03"/>
    <w:rsid w:val="001C3028"/>
    <w:rsid w:val="001C42F7"/>
    <w:rsid w:val="001C49E5"/>
    <w:rsid w:val="001C680C"/>
    <w:rsid w:val="001C7FEA"/>
    <w:rsid w:val="001D0499"/>
    <w:rsid w:val="001D0BBE"/>
    <w:rsid w:val="001D0ED4"/>
    <w:rsid w:val="001D212F"/>
    <w:rsid w:val="001D29D7"/>
    <w:rsid w:val="001D2DE7"/>
    <w:rsid w:val="001D411C"/>
    <w:rsid w:val="001D728C"/>
    <w:rsid w:val="001E1B6A"/>
    <w:rsid w:val="001E2484"/>
    <w:rsid w:val="001E2AB5"/>
    <w:rsid w:val="001E3CC4"/>
    <w:rsid w:val="001E4882"/>
    <w:rsid w:val="001E4B3A"/>
    <w:rsid w:val="001E73AB"/>
    <w:rsid w:val="001F092D"/>
    <w:rsid w:val="001F143A"/>
    <w:rsid w:val="001F1605"/>
    <w:rsid w:val="001F2148"/>
    <w:rsid w:val="001F2508"/>
    <w:rsid w:val="001F4816"/>
    <w:rsid w:val="001F69B4"/>
    <w:rsid w:val="001F77C7"/>
    <w:rsid w:val="001F7944"/>
    <w:rsid w:val="00200183"/>
    <w:rsid w:val="00200333"/>
    <w:rsid w:val="0020107D"/>
    <w:rsid w:val="00202AA4"/>
    <w:rsid w:val="00202FE9"/>
    <w:rsid w:val="002031F7"/>
    <w:rsid w:val="002040E6"/>
    <w:rsid w:val="0020527B"/>
    <w:rsid w:val="00205F2C"/>
    <w:rsid w:val="00210B15"/>
    <w:rsid w:val="002142EA"/>
    <w:rsid w:val="00215ADD"/>
    <w:rsid w:val="00216E16"/>
    <w:rsid w:val="002204BB"/>
    <w:rsid w:val="00221B79"/>
    <w:rsid w:val="00221C6B"/>
    <w:rsid w:val="002239E6"/>
    <w:rsid w:val="002253A1"/>
    <w:rsid w:val="00225CF8"/>
    <w:rsid w:val="0022794E"/>
    <w:rsid w:val="00232CB3"/>
    <w:rsid w:val="00233D64"/>
    <w:rsid w:val="0023482A"/>
    <w:rsid w:val="00234B87"/>
    <w:rsid w:val="002359CB"/>
    <w:rsid w:val="00241945"/>
    <w:rsid w:val="00243540"/>
    <w:rsid w:val="00244906"/>
    <w:rsid w:val="0024497B"/>
    <w:rsid w:val="00245098"/>
    <w:rsid w:val="0024515B"/>
    <w:rsid w:val="00246021"/>
    <w:rsid w:val="0024666E"/>
    <w:rsid w:val="00247F52"/>
    <w:rsid w:val="00250B25"/>
    <w:rsid w:val="00250BBE"/>
    <w:rsid w:val="002515C2"/>
    <w:rsid w:val="0025172F"/>
    <w:rsid w:val="0025194F"/>
    <w:rsid w:val="00251A36"/>
    <w:rsid w:val="00253E0A"/>
    <w:rsid w:val="00257E51"/>
    <w:rsid w:val="0026148A"/>
    <w:rsid w:val="00262696"/>
    <w:rsid w:val="00263D25"/>
    <w:rsid w:val="002643C3"/>
    <w:rsid w:val="00264A0C"/>
    <w:rsid w:val="0026612C"/>
    <w:rsid w:val="00266CA2"/>
    <w:rsid w:val="00266EEB"/>
    <w:rsid w:val="00267EF4"/>
    <w:rsid w:val="00270CB8"/>
    <w:rsid w:val="00272B08"/>
    <w:rsid w:val="00273B86"/>
    <w:rsid w:val="00275132"/>
    <w:rsid w:val="00281BB8"/>
    <w:rsid w:val="00281E9E"/>
    <w:rsid w:val="00282405"/>
    <w:rsid w:val="00285170"/>
    <w:rsid w:val="00285361"/>
    <w:rsid w:val="00292B83"/>
    <w:rsid w:val="00292D60"/>
    <w:rsid w:val="00293B30"/>
    <w:rsid w:val="00294D34"/>
    <w:rsid w:val="00294E3B"/>
    <w:rsid w:val="00296193"/>
    <w:rsid w:val="00296C66"/>
    <w:rsid w:val="00296EBE"/>
    <w:rsid w:val="002974E3"/>
    <w:rsid w:val="002A084B"/>
    <w:rsid w:val="002A0D37"/>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975"/>
    <w:rsid w:val="002C7EBB"/>
    <w:rsid w:val="002D06C1"/>
    <w:rsid w:val="002D1520"/>
    <w:rsid w:val="002D42B5"/>
    <w:rsid w:val="002D4F1A"/>
    <w:rsid w:val="002D6EC6"/>
    <w:rsid w:val="002D79AC"/>
    <w:rsid w:val="002E039D"/>
    <w:rsid w:val="002E38D0"/>
    <w:rsid w:val="002E4D5A"/>
    <w:rsid w:val="002E531E"/>
    <w:rsid w:val="002E6326"/>
    <w:rsid w:val="002E78AD"/>
    <w:rsid w:val="002F30E0"/>
    <w:rsid w:val="002F35E4"/>
    <w:rsid w:val="002F3730"/>
    <w:rsid w:val="002F38E1"/>
    <w:rsid w:val="002F7AF6"/>
    <w:rsid w:val="00300E63"/>
    <w:rsid w:val="00302F5F"/>
    <w:rsid w:val="0030441D"/>
    <w:rsid w:val="00306063"/>
    <w:rsid w:val="0031289E"/>
    <w:rsid w:val="00313B85"/>
    <w:rsid w:val="00317988"/>
    <w:rsid w:val="003221B4"/>
    <w:rsid w:val="0032258D"/>
    <w:rsid w:val="00322E62"/>
    <w:rsid w:val="00324D13"/>
    <w:rsid w:val="00324EDD"/>
    <w:rsid w:val="00331991"/>
    <w:rsid w:val="003331E4"/>
    <w:rsid w:val="00336C64"/>
    <w:rsid w:val="00337162"/>
    <w:rsid w:val="0034194F"/>
    <w:rsid w:val="00344605"/>
    <w:rsid w:val="003474AA"/>
    <w:rsid w:val="00350D1D"/>
    <w:rsid w:val="00352C83"/>
    <w:rsid w:val="00352F1A"/>
    <w:rsid w:val="003572D2"/>
    <w:rsid w:val="00360414"/>
    <w:rsid w:val="0036107C"/>
    <w:rsid w:val="003615D2"/>
    <w:rsid w:val="0036429C"/>
    <w:rsid w:val="00364A53"/>
    <w:rsid w:val="003654CB"/>
    <w:rsid w:val="00365AA9"/>
    <w:rsid w:val="00365F86"/>
    <w:rsid w:val="00365F87"/>
    <w:rsid w:val="00366E89"/>
    <w:rsid w:val="003705F4"/>
    <w:rsid w:val="00370D58"/>
    <w:rsid w:val="00371316"/>
    <w:rsid w:val="003750A2"/>
    <w:rsid w:val="00376713"/>
    <w:rsid w:val="00381815"/>
    <w:rsid w:val="003819AF"/>
    <w:rsid w:val="00381A85"/>
    <w:rsid w:val="003820E9"/>
    <w:rsid w:val="00382DE7"/>
    <w:rsid w:val="00384FFC"/>
    <w:rsid w:val="003872FC"/>
    <w:rsid w:val="00387ADC"/>
    <w:rsid w:val="00390020"/>
    <w:rsid w:val="003903D6"/>
    <w:rsid w:val="00390EE6"/>
    <w:rsid w:val="0039118F"/>
    <w:rsid w:val="00392677"/>
    <w:rsid w:val="00392AD7"/>
    <w:rsid w:val="003938D9"/>
    <w:rsid w:val="00394376"/>
    <w:rsid w:val="003943FF"/>
    <w:rsid w:val="003974EB"/>
    <w:rsid w:val="00397CC5"/>
    <w:rsid w:val="003A11D1"/>
    <w:rsid w:val="003A1582"/>
    <w:rsid w:val="003A3D9C"/>
    <w:rsid w:val="003A4077"/>
    <w:rsid w:val="003A4AA7"/>
    <w:rsid w:val="003B02B4"/>
    <w:rsid w:val="003B09AD"/>
    <w:rsid w:val="003B1F18"/>
    <w:rsid w:val="003B1F3A"/>
    <w:rsid w:val="003B5BF0"/>
    <w:rsid w:val="003B60BF"/>
    <w:rsid w:val="003B6BE3"/>
    <w:rsid w:val="003C010C"/>
    <w:rsid w:val="003C0A6C"/>
    <w:rsid w:val="003C14F8"/>
    <w:rsid w:val="003C5A43"/>
    <w:rsid w:val="003C736A"/>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16F27"/>
    <w:rsid w:val="00421867"/>
    <w:rsid w:val="00424A0D"/>
    <w:rsid w:val="00426C20"/>
    <w:rsid w:val="004307D1"/>
    <w:rsid w:val="00432DAA"/>
    <w:rsid w:val="00434305"/>
    <w:rsid w:val="00435DF7"/>
    <w:rsid w:val="0044083F"/>
    <w:rsid w:val="00441AE7"/>
    <w:rsid w:val="00445574"/>
    <w:rsid w:val="00446458"/>
    <w:rsid w:val="004467FB"/>
    <w:rsid w:val="00452604"/>
    <w:rsid w:val="00452666"/>
    <w:rsid w:val="00452A38"/>
    <w:rsid w:val="00452D6B"/>
    <w:rsid w:val="00454484"/>
    <w:rsid w:val="0045517B"/>
    <w:rsid w:val="004577DC"/>
    <w:rsid w:val="00463B77"/>
    <w:rsid w:val="00463C7B"/>
    <w:rsid w:val="004644A6"/>
    <w:rsid w:val="004659BD"/>
    <w:rsid w:val="004705DF"/>
    <w:rsid w:val="00470775"/>
    <w:rsid w:val="004746B1"/>
    <w:rsid w:val="0047583F"/>
    <w:rsid w:val="00475DE8"/>
    <w:rsid w:val="00481C44"/>
    <w:rsid w:val="00482F6C"/>
    <w:rsid w:val="00484936"/>
    <w:rsid w:val="00485C89"/>
    <w:rsid w:val="00486BE3"/>
    <w:rsid w:val="004905E4"/>
    <w:rsid w:val="00490A89"/>
    <w:rsid w:val="00490AB4"/>
    <w:rsid w:val="00492F02"/>
    <w:rsid w:val="004939AE"/>
    <w:rsid w:val="004A12DF"/>
    <w:rsid w:val="004A1BA8"/>
    <w:rsid w:val="004A32FF"/>
    <w:rsid w:val="004A4B57"/>
    <w:rsid w:val="004A63FA"/>
    <w:rsid w:val="004A6A3D"/>
    <w:rsid w:val="004B0272"/>
    <w:rsid w:val="004B1748"/>
    <w:rsid w:val="004B2701"/>
    <w:rsid w:val="004B2E1B"/>
    <w:rsid w:val="004B37A1"/>
    <w:rsid w:val="004B3AA8"/>
    <w:rsid w:val="004B3E93"/>
    <w:rsid w:val="004B7157"/>
    <w:rsid w:val="004C1FBC"/>
    <w:rsid w:val="004C25A2"/>
    <w:rsid w:val="004C3550"/>
    <w:rsid w:val="004C3F1D"/>
    <w:rsid w:val="004C458D"/>
    <w:rsid w:val="004C745A"/>
    <w:rsid w:val="004C7556"/>
    <w:rsid w:val="004C7E8B"/>
    <w:rsid w:val="004C7E9D"/>
    <w:rsid w:val="004C7F67"/>
    <w:rsid w:val="004D076D"/>
    <w:rsid w:val="004D0EF1"/>
    <w:rsid w:val="004D2253"/>
    <w:rsid w:val="004D4406"/>
    <w:rsid w:val="004D7727"/>
    <w:rsid w:val="004D7C42"/>
    <w:rsid w:val="004E0465"/>
    <w:rsid w:val="004E127B"/>
    <w:rsid w:val="004E1C0A"/>
    <w:rsid w:val="004E30C5"/>
    <w:rsid w:val="004E45C3"/>
    <w:rsid w:val="004E4AA5"/>
    <w:rsid w:val="004E4AEE"/>
    <w:rsid w:val="004E59E3"/>
    <w:rsid w:val="004E67C0"/>
    <w:rsid w:val="004F391A"/>
    <w:rsid w:val="004F3CFB"/>
    <w:rsid w:val="004F6456"/>
    <w:rsid w:val="004F696E"/>
    <w:rsid w:val="004F6C71"/>
    <w:rsid w:val="00500F8E"/>
    <w:rsid w:val="00501139"/>
    <w:rsid w:val="0050363E"/>
    <w:rsid w:val="005039BC"/>
    <w:rsid w:val="005043BB"/>
    <w:rsid w:val="00504A3D"/>
    <w:rsid w:val="00505767"/>
    <w:rsid w:val="005073F0"/>
    <w:rsid w:val="00510A7B"/>
    <w:rsid w:val="00512088"/>
    <w:rsid w:val="00512F6E"/>
    <w:rsid w:val="00513038"/>
    <w:rsid w:val="00514174"/>
    <w:rsid w:val="005156A9"/>
    <w:rsid w:val="00516088"/>
    <w:rsid w:val="00516B0B"/>
    <w:rsid w:val="005220EC"/>
    <w:rsid w:val="00523F95"/>
    <w:rsid w:val="00524D65"/>
    <w:rsid w:val="00525B16"/>
    <w:rsid w:val="0052656A"/>
    <w:rsid w:val="00533CFA"/>
    <w:rsid w:val="00533D04"/>
    <w:rsid w:val="00534804"/>
    <w:rsid w:val="00534BDF"/>
    <w:rsid w:val="005354EA"/>
    <w:rsid w:val="0053585F"/>
    <w:rsid w:val="00535EC4"/>
    <w:rsid w:val="00535ED9"/>
    <w:rsid w:val="0053692B"/>
    <w:rsid w:val="00537338"/>
    <w:rsid w:val="00541853"/>
    <w:rsid w:val="00543BDA"/>
    <w:rsid w:val="005441CC"/>
    <w:rsid w:val="005479DA"/>
    <w:rsid w:val="00547BCC"/>
    <w:rsid w:val="0055013B"/>
    <w:rsid w:val="00551F6F"/>
    <w:rsid w:val="005545DF"/>
    <w:rsid w:val="00555044"/>
    <w:rsid w:val="00555358"/>
    <w:rsid w:val="00555540"/>
    <w:rsid w:val="00561475"/>
    <w:rsid w:val="00562308"/>
    <w:rsid w:val="0056487B"/>
    <w:rsid w:val="00564FB9"/>
    <w:rsid w:val="00573D9E"/>
    <w:rsid w:val="005801E3"/>
    <w:rsid w:val="00581802"/>
    <w:rsid w:val="005826C7"/>
    <w:rsid w:val="005836A8"/>
    <w:rsid w:val="0058409C"/>
    <w:rsid w:val="00584262"/>
    <w:rsid w:val="005848A0"/>
    <w:rsid w:val="00586630"/>
    <w:rsid w:val="00587ADD"/>
    <w:rsid w:val="0059200D"/>
    <w:rsid w:val="00593A49"/>
    <w:rsid w:val="00596160"/>
    <w:rsid w:val="005966E2"/>
    <w:rsid w:val="00596C75"/>
    <w:rsid w:val="00597007"/>
    <w:rsid w:val="005A0966"/>
    <w:rsid w:val="005A11B7"/>
    <w:rsid w:val="005A260B"/>
    <w:rsid w:val="005A4A1B"/>
    <w:rsid w:val="005A7830"/>
    <w:rsid w:val="005A7FCE"/>
    <w:rsid w:val="005B0F3F"/>
    <w:rsid w:val="005B191C"/>
    <w:rsid w:val="005B1BE6"/>
    <w:rsid w:val="005B4903"/>
    <w:rsid w:val="005B51CE"/>
    <w:rsid w:val="005B5885"/>
    <w:rsid w:val="005B5CD7"/>
    <w:rsid w:val="005B6134"/>
    <w:rsid w:val="005B6CF6"/>
    <w:rsid w:val="005B7422"/>
    <w:rsid w:val="005C29B8"/>
    <w:rsid w:val="005C5F21"/>
    <w:rsid w:val="005C7156"/>
    <w:rsid w:val="005D0C75"/>
    <w:rsid w:val="005D23EF"/>
    <w:rsid w:val="005D4171"/>
    <w:rsid w:val="005D4CEC"/>
    <w:rsid w:val="005D6A95"/>
    <w:rsid w:val="005D6B2C"/>
    <w:rsid w:val="005D6D9C"/>
    <w:rsid w:val="005E2335"/>
    <w:rsid w:val="005E34CA"/>
    <w:rsid w:val="005E3C18"/>
    <w:rsid w:val="005E4250"/>
    <w:rsid w:val="005E5EDA"/>
    <w:rsid w:val="005E6812"/>
    <w:rsid w:val="005E7881"/>
    <w:rsid w:val="005E78E0"/>
    <w:rsid w:val="005F0D9C"/>
    <w:rsid w:val="005F284E"/>
    <w:rsid w:val="006015CE"/>
    <w:rsid w:val="00604784"/>
    <w:rsid w:val="00606419"/>
    <w:rsid w:val="00607D29"/>
    <w:rsid w:val="00612952"/>
    <w:rsid w:val="00614CC1"/>
    <w:rsid w:val="00615A9D"/>
    <w:rsid w:val="00615F31"/>
    <w:rsid w:val="00616760"/>
    <w:rsid w:val="006172AA"/>
    <w:rsid w:val="00617387"/>
    <w:rsid w:val="006205D6"/>
    <w:rsid w:val="006211FA"/>
    <w:rsid w:val="0062179B"/>
    <w:rsid w:val="00625156"/>
    <w:rsid w:val="006252D8"/>
    <w:rsid w:val="006259BC"/>
    <w:rsid w:val="00626006"/>
    <w:rsid w:val="0062636B"/>
    <w:rsid w:val="00632182"/>
    <w:rsid w:val="006321E3"/>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53D"/>
    <w:rsid w:val="00655D4F"/>
    <w:rsid w:val="00656D29"/>
    <w:rsid w:val="00660A04"/>
    <w:rsid w:val="00662375"/>
    <w:rsid w:val="006640E5"/>
    <w:rsid w:val="006646F1"/>
    <w:rsid w:val="00664929"/>
    <w:rsid w:val="00664F62"/>
    <w:rsid w:val="006655E1"/>
    <w:rsid w:val="00672060"/>
    <w:rsid w:val="00672BFD"/>
    <w:rsid w:val="0067375D"/>
    <w:rsid w:val="0067635B"/>
    <w:rsid w:val="006770F4"/>
    <w:rsid w:val="00677A84"/>
    <w:rsid w:val="0068026D"/>
    <w:rsid w:val="00680A27"/>
    <w:rsid w:val="006816A4"/>
    <w:rsid w:val="006819B8"/>
    <w:rsid w:val="006840A6"/>
    <w:rsid w:val="006850CD"/>
    <w:rsid w:val="00685AAB"/>
    <w:rsid w:val="00686A22"/>
    <w:rsid w:val="006A07AA"/>
    <w:rsid w:val="006A25E5"/>
    <w:rsid w:val="006A2B46"/>
    <w:rsid w:val="006A336D"/>
    <w:rsid w:val="006A37B9"/>
    <w:rsid w:val="006A4A82"/>
    <w:rsid w:val="006B0190"/>
    <w:rsid w:val="006B0F54"/>
    <w:rsid w:val="006B2672"/>
    <w:rsid w:val="006B4A8B"/>
    <w:rsid w:val="006B54BF"/>
    <w:rsid w:val="006B5F44"/>
    <w:rsid w:val="006B5F90"/>
    <w:rsid w:val="006B62E4"/>
    <w:rsid w:val="006C0E9E"/>
    <w:rsid w:val="006C1BBA"/>
    <w:rsid w:val="006C2079"/>
    <w:rsid w:val="006C5A62"/>
    <w:rsid w:val="006C5D68"/>
    <w:rsid w:val="006C6976"/>
    <w:rsid w:val="006C6B91"/>
    <w:rsid w:val="006C6DD0"/>
    <w:rsid w:val="006D04EA"/>
    <w:rsid w:val="006D16C4"/>
    <w:rsid w:val="006D3E96"/>
    <w:rsid w:val="006D4515"/>
    <w:rsid w:val="006D4BB1"/>
    <w:rsid w:val="006D6593"/>
    <w:rsid w:val="006F03A8"/>
    <w:rsid w:val="006F2ACA"/>
    <w:rsid w:val="006F2ADC"/>
    <w:rsid w:val="006F2BFE"/>
    <w:rsid w:val="006F2C9C"/>
    <w:rsid w:val="006F31E9"/>
    <w:rsid w:val="006F6284"/>
    <w:rsid w:val="00700153"/>
    <w:rsid w:val="007002C5"/>
    <w:rsid w:val="00704387"/>
    <w:rsid w:val="00706188"/>
    <w:rsid w:val="00707669"/>
    <w:rsid w:val="00711CBA"/>
    <w:rsid w:val="00711F7D"/>
    <w:rsid w:val="00711FB5"/>
    <w:rsid w:val="00712A01"/>
    <w:rsid w:val="00714F58"/>
    <w:rsid w:val="00722FBF"/>
    <w:rsid w:val="00722FC2"/>
    <w:rsid w:val="00723649"/>
    <w:rsid w:val="00724E1B"/>
    <w:rsid w:val="00725949"/>
    <w:rsid w:val="00727FA2"/>
    <w:rsid w:val="007322D9"/>
    <w:rsid w:val="00732BC0"/>
    <w:rsid w:val="00733600"/>
    <w:rsid w:val="0073720F"/>
    <w:rsid w:val="00737796"/>
    <w:rsid w:val="0074165C"/>
    <w:rsid w:val="00742C35"/>
    <w:rsid w:val="007432CA"/>
    <w:rsid w:val="007439EB"/>
    <w:rsid w:val="00743CB4"/>
    <w:rsid w:val="00743F0A"/>
    <w:rsid w:val="007444E8"/>
    <w:rsid w:val="0074548E"/>
    <w:rsid w:val="00745773"/>
    <w:rsid w:val="00745FD9"/>
    <w:rsid w:val="00746800"/>
    <w:rsid w:val="007501A8"/>
    <w:rsid w:val="00750D61"/>
    <w:rsid w:val="00750EE1"/>
    <w:rsid w:val="00752495"/>
    <w:rsid w:val="00752B4D"/>
    <w:rsid w:val="00755402"/>
    <w:rsid w:val="00756B26"/>
    <w:rsid w:val="00756EDF"/>
    <w:rsid w:val="007600E3"/>
    <w:rsid w:val="0076184F"/>
    <w:rsid w:val="00761D17"/>
    <w:rsid w:val="00765C43"/>
    <w:rsid w:val="00765EFB"/>
    <w:rsid w:val="007671CA"/>
    <w:rsid w:val="00767C61"/>
    <w:rsid w:val="0077008A"/>
    <w:rsid w:val="00773C1F"/>
    <w:rsid w:val="00773FF8"/>
    <w:rsid w:val="00774DA4"/>
    <w:rsid w:val="00776599"/>
    <w:rsid w:val="0078114B"/>
    <w:rsid w:val="00781DD2"/>
    <w:rsid w:val="0078270D"/>
    <w:rsid w:val="00783ECF"/>
    <w:rsid w:val="0078413A"/>
    <w:rsid w:val="00790F81"/>
    <w:rsid w:val="007959E8"/>
    <w:rsid w:val="00795E9C"/>
    <w:rsid w:val="007A0521"/>
    <w:rsid w:val="007A0F20"/>
    <w:rsid w:val="007A2E12"/>
    <w:rsid w:val="007A3475"/>
    <w:rsid w:val="007A41C8"/>
    <w:rsid w:val="007A54CE"/>
    <w:rsid w:val="007A5D3A"/>
    <w:rsid w:val="007A6FD9"/>
    <w:rsid w:val="007A7FFA"/>
    <w:rsid w:val="007B04EB"/>
    <w:rsid w:val="007B0D4F"/>
    <w:rsid w:val="007B170C"/>
    <w:rsid w:val="007B4324"/>
    <w:rsid w:val="007B5A3D"/>
    <w:rsid w:val="007B5B95"/>
    <w:rsid w:val="007B6032"/>
    <w:rsid w:val="007B68EA"/>
    <w:rsid w:val="007B7453"/>
    <w:rsid w:val="007C05A3"/>
    <w:rsid w:val="007C0EB7"/>
    <w:rsid w:val="007C2D89"/>
    <w:rsid w:val="007C4593"/>
    <w:rsid w:val="007C5309"/>
    <w:rsid w:val="007C6069"/>
    <w:rsid w:val="007D06C4"/>
    <w:rsid w:val="007D1352"/>
    <w:rsid w:val="007D2508"/>
    <w:rsid w:val="007D346A"/>
    <w:rsid w:val="007D6518"/>
    <w:rsid w:val="007D76BD"/>
    <w:rsid w:val="007E0BF1"/>
    <w:rsid w:val="007E4424"/>
    <w:rsid w:val="007F0ED8"/>
    <w:rsid w:val="007F0F63"/>
    <w:rsid w:val="007F14F7"/>
    <w:rsid w:val="007F2EDD"/>
    <w:rsid w:val="007F75CE"/>
    <w:rsid w:val="008013A4"/>
    <w:rsid w:val="008027CE"/>
    <w:rsid w:val="00802F42"/>
    <w:rsid w:val="00804383"/>
    <w:rsid w:val="00804BB7"/>
    <w:rsid w:val="00804D41"/>
    <w:rsid w:val="00807970"/>
    <w:rsid w:val="00810257"/>
    <w:rsid w:val="008104F5"/>
    <w:rsid w:val="00811072"/>
    <w:rsid w:val="00811369"/>
    <w:rsid w:val="00815419"/>
    <w:rsid w:val="008163C8"/>
    <w:rsid w:val="008164A1"/>
    <w:rsid w:val="00817325"/>
    <w:rsid w:val="008209E6"/>
    <w:rsid w:val="00821584"/>
    <w:rsid w:val="00821D19"/>
    <w:rsid w:val="00823303"/>
    <w:rsid w:val="008233B2"/>
    <w:rsid w:val="008235E3"/>
    <w:rsid w:val="00823A9F"/>
    <w:rsid w:val="00823C85"/>
    <w:rsid w:val="00825138"/>
    <w:rsid w:val="00826652"/>
    <w:rsid w:val="008269DD"/>
    <w:rsid w:val="00830621"/>
    <w:rsid w:val="0083348C"/>
    <w:rsid w:val="00833BAA"/>
    <w:rsid w:val="008373D3"/>
    <w:rsid w:val="00840617"/>
    <w:rsid w:val="00840F84"/>
    <w:rsid w:val="00842A47"/>
    <w:rsid w:val="00843924"/>
    <w:rsid w:val="00843C13"/>
    <w:rsid w:val="00843DEF"/>
    <w:rsid w:val="008454F8"/>
    <w:rsid w:val="0085173A"/>
    <w:rsid w:val="008603CE"/>
    <w:rsid w:val="008620FC"/>
    <w:rsid w:val="008627A5"/>
    <w:rsid w:val="00863E05"/>
    <w:rsid w:val="00865ACA"/>
    <w:rsid w:val="00865D28"/>
    <w:rsid w:val="00865F85"/>
    <w:rsid w:val="00866E87"/>
    <w:rsid w:val="00867C10"/>
    <w:rsid w:val="00870439"/>
    <w:rsid w:val="00870DA1"/>
    <w:rsid w:val="00876F25"/>
    <w:rsid w:val="00881183"/>
    <w:rsid w:val="00883C96"/>
    <w:rsid w:val="00883F93"/>
    <w:rsid w:val="00884DB3"/>
    <w:rsid w:val="00885A9D"/>
    <w:rsid w:val="008864F6"/>
    <w:rsid w:val="0089049D"/>
    <w:rsid w:val="008928C9"/>
    <w:rsid w:val="008930CB"/>
    <w:rsid w:val="008938DC"/>
    <w:rsid w:val="00893FD1"/>
    <w:rsid w:val="00894836"/>
    <w:rsid w:val="00895172"/>
    <w:rsid w:val="00895468"/>
    <w:rsid w:val="00895680"/>
    <w:rsid w:val="00896DFF"/>
    <w:rsid w:val="0089762C"/>
    <w:rsid w:val="008A173B"/>
    <w:rsid w:val="008A1893"/>
    <w:rsid w:val="008A1C43"/>
    <w:rsid w:val="008A55A5"/>
    <w:rsid w:val="008A57E6"/>
    <w:rsid w:val="008A6F81"/>
    <w:rsid w:val="008A769A"/>
    <w:rsid w:val="008B0C9C"/>
    <w:rsid w:val="008B166D"/>
    <w:rsid w:val="008B17F4"/>
    <w:rsid w:val="008B3615"/>
    <w:rsid w:val="008B4AC4"/>
    <w:rsid w:val="008B50C8"/>
    <w:rsid w:val="008B5281"/>
    <w:rsid w:val="008B747F"/>
    <w:rsid w:val="008B7E05"/>
    <w:rsid w:val="008C1797"/>
    <w:rsid w:val="008C219C"/>
    <w:rsid w:val="008C475E"/>
    <w:rsid w:val="008C4FAB"/>
    <w:rsid w:val="008C619A"/>
    <w:rsid w:val="008D0CE8"/>
    <w:rsid w:val="008D2D1D"/>
    <w:rsid w:val="008D453D"/>
    <w:rsid w:val="008D53AD"/>
    <w:rsid w:val="008D5448"/>
    <w:rsid w:val="008D562B"/>
    <w:rsid w:val="008D5733"/>
    <w:rsid w:val="008D622B"/>
    <w:rsid w:val="008D666C"/>
    <w:rsid w:val="008D7B54"/>
    <w:rsid w:val="008E0C9D"/>
    <w:rsid w:val="008E1648"/>
    <w:rsid w:val="008E1B3E"/>
    <w:rsid w:val="008E2319"/>
    <w:rsid w:val="008E26E2"/>
    <w:rsid w:val="008E4BB6"/>
    <w:rsid w:val="008E5518"/>
    <w:rsid w:val="008E6A84"/>
    <w:rsid w:val="008F0CDC"/>
    <w:rsid w:val="008F17A3"/>
    <w:rsid w:val="008F1ED3"/>
    <w:rsid w:val="008F4C29"/>
    <w:rsid w:val="008F70BD"/>
    <w:rsid w:val="008F788F"/>
    <w:rsid w:val="008F7EA2"/>
    <w:rsid w:val="0090029A"/>
    <w:rsid w:val="00902284"/>
    <w:rsid w:val="00902722"/>
    <w:rsid w:val="009027BC"/>
    <w:rsid w:val="009062E6"/>
    <w:rsid w:val="009117B8"/>
    <w:rsid w:val="00911BE5"/>
    <w:rsid w:val="00913CA9"/>
    <w:rsid w:val="009145AE"/>
    <w:rsid w:val="009146CE"/>
    <w:rsid w:val="00914CA7"/>
    <w:rsid w:val="00915C3E"/>
    <w:rsid w:val="009161A8"/>
    <w:rsid w:val="00920D46"/>
    <w:rsid w:val="009245AE"/>
    <w:rsid w:val="009245F5"/>
    <w:rsid w:val="009249EC"/>
    <w:rsid w:val="009273B3"/>
    <w:rsid w:val="009305B5"/>
    <w:rsid w:val="00930A74"/>
    <w:rsid w:val="00932151"/>
    <w:rsid w:val="009378DD"/>
    <w:rsid w:val="00940BE3"/>
    <w:rsid w:val="009429D5"/>
    <w:rsid w:val="00942BF1"/>
    <w:rsid w:val="00945180"/>
    <w:rsid w:val="00945428"/>
    <w:rsid w:val="00945A13"/>
    <w:rsid w:val="0094607B"/>
    <w:rsid w:val="00946866"/>
    <w:rsid w:val="00953604"/>
    <w:rsid w:val="0095496B"/>
    <w:rsid w:val="0095741D"/>
    <w:rsid w:val="00960F1E"/>
    <w:rsid w:val="009610DC"/>
    <w:rsid w:val="00961490"/>
    <w:rsid w:val="0096381A"/>
    <w:rsid w:val="00964B57"/>
    <w:rsid w:val="00965E04"/>
    <w:rsid w:val="009674AD"/>
    <w:rsid w:val="00967864"/>
    <w:rsid w:val="00970CDC"/>
    <w:rsid w:val="00975727"/>
    <w:rsid w:val="00977010"/>
    <w:rsid w:val="0097705A"/>
    <w:rsid w:val="00977D02"/>
    <w:rsid w:val="00977FF9"/>
    <w:rsid w:val="009809BB"/>
    <w:rsid w:val="0098364B"/>
    <w:rsid w:val="009859FB"/>
    <w:rsid w:val="009908A3"/>
    <w:rsid w:val="009911AF"/>
    <w:rsid w:val="00991875"/>
    <w:rsid w:val="00991F92"/>
    <w:rsid w:val="00992985"/>
    <w:rsid w:val="00993889"/>
    <w:rsid w:val="0099551B"/>
    <w:rsid w:val="00996BD2"/>
    <w:rsid w:val="00997BF1"/>
    <w:rsid w:val="009A089C"/>
    <w:rsid w:val="009A118E"/>
    <w:rsid w:val="009A21CD"/>
    <w:rsid w:val="009A2209"/>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EF3"/>
    <w:rsid w:val="009E0F62"/>
    <w:rsid w:val="009E4A58"/>
    <w:rsid w:val="009E5A2D"/>
    <w:rsid w:val="009E5AB2"/>
    <w:rsid w:val="009E5BBC"/>
    <w:rsid w:val="009E6219"/>
    <w:rsid w:val="009F03B3"/>
    <w:rsid w:val="00A0096C"/>
    <w:rsid w:val="00A013D0"/>
    <w:rsid w:val="00A01757"/>
    <w:rsid w:val="00A028C0"/>
    <w:rsid w:val="00A02BAE"/>
    <w:rsid w:val="00A04241"/>
    <w:rsid w:val="00A06A6B"/>
    <w:rsid w:val="00A07E47"/>
    <w:rsid w:val="00A129D0"/>
    <w:rsid w:val="00A12C33"/>
    <w:rsid w:val="00A138BA"/>
    <w:rsid w:val="00A14C8E"/>
    <w:rsid w:val="00A153D9"/>
    <w:rsid w:val="00A15F09"/>
    <w:rsid w:val="00A169B6"/>
    <w:rsid w:val="00A2271D"/>
    <w:rsid w:val="00A237D5"/>
    <w:rsid w:val="00A23812"/>
    <w:rsid w:val="00A241C6"/>
    <w:rsid w:val="00A25A84"/>
    <w:rsid w:val="00A27DA5"/>
    <w:rsid w:val="00A30EFC"/>
    <w:rsid w:val="00A31984"/>
    <w:rsid w:val="00A32D73"/>
    <w:rsid w:val="00A3367B"/>
    <w:rsid w:val="00A33C67"/>
    <w:rsid w:val="00A34417"/>
    <w:rsid w:val="00A3597D"/>
    <w:rsid w:val="00A3644C"/>
    <w:rsid w:val="00A36DD1"/>
    <w:rsid w:val="00A4006C"/>
    <w:rsid w:val="00A40091"/>
    <w:rsid w:val="00A4030F"/>
    <w:rsid w:val="00A41C79"/>
    <w:rsid w:val="00A41CB5"/>
    <w:rsid w:val="00A42CDF"/>
    <w:rsid w:val="00A4452E"/>
    <w:rsid w:val="00A4472C"/>
    <w:rsid w:val="00A44E69"/>
    <w:rsid w:val="00A4648E"/>
    <w:rsid w:val="00A4661E"/>
    <w:rsid w:val="00A515FD"/>
    <w:rsid w:val="00A55BD6"/>
    <w:rsid w:val="00A55D50"/>
    <w:rsid w:val="00A57142"/>
    <w:rsid w:val="00A648CD"/>
    <w:rsid w:val="00A6537A"/>
    <w:rsid w:val="00A67866"/>
    <w:rsid w:val="00A70B07"/>
    <w:rsid w:val="00A723F8"/>
    <w:rsid w:val="00A72EE0"/>
    <w:rsid w:val="00A74883"/>
    <w:rsid w:val="00A77CCB"/>
    <w:rsid w:val="00A83D8D"/>
    <w:rsid w:val="00A8446B"/>
    <w:rsid w:val="00A8473F"/>
    <w:rsid w:val="00A862D6"/>
    <w:rsid w:val="00A8715E"/>
    <w:rsid w:val="00A87A3E"/>
    <w:rsid w:val="00A9295B"/>
    <w:rsid w:val="00A93B09"/>
    <w:rsid w:val="00A952D7"/>
    <w:rsid w:val="00A963F7"/>
    <w:rsid w:val="00A96AD8"/>
    <w:rsid w:val="00A97A46"/>
    <w:rsid w:val="00AA052C"/>
    <w:rsid w:val="00AA1E45"/>
    <w:rsid w:val="00AA4286"/>
    <w:rsid w:val="00AA456B"/>
    <w:rsid w:val="00AA57F5"/>
    <w:rsid w:val="00AA5A60"/>
    <w:rsid w:val="00AA672E"/>
    <w:rsid w:val="00AA6EC9"/>
    <w:rsid w:val="00AB6309"/>
    <w:rsid w:val="00AB6C5F"/>
    <w:rsid w:val="00AB7129"/>
    <w:rsid w:val="00AC2565"/>
    <w:rsid w:val="00AC27A6"/>
    <w:rsid w:val="00AC30F7"/>
    <w:rsid w:val="00AC3A5A"/>
    <w:rsid w:val="00AC4D95"/>
    <w:rsid w:val="00AC5DF4"/>
    <w:rsid w:val="00AC7B36"/>
    <w:rsid w:val="00AD0AEF"/>
    <w:rsid w:val="00AD11B7"/>
    <w:rsid w:val="00AD1A94"/>
    <w:rsid w:val="00AD1C05"/>
    <w:rsid w:val="00AD4126"/>
    <w:rsid w:val="00AD421C"/>
    <w:rsid w:val="00AD44FA"/>
    <w:rsid w:val="00AD56ED"/>
    <w:rsid w:val="00AE070A"/>
    <w:rsid w:val="00AE0D83"/>
    <w:rsid w:val="00AE101C"/>
    <w:rsid w:val="00AE1894"/>
    <w:rsid w:val="00AE1CA8"/>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4D3"/>
    <w:rsid w:val="00B261F1"/>
    <w:rsid w:val="00B265BC"/>
    <w:rsid w:val="00B31FB1"/>
    <w:rsid w:val="00B33952"/>
    <w:rsid w:val="00B33C5E"/>
    <w:rsid w:val="00B342F4"/>
    <w:rsid w:val="00B34369"/>
    <w:rsid w:val="00B34DC2"/>
    <w:rsid w:val="00B378E5"/>
    <w:rsid w:val="00B4070C"/>
    <w:rsid w:val="00B420AD"/>
    <w:rsid w:val="00B43174"/>
    <w:rsid w:val="00B4346D"/>
    <w:rsid w:val="00B440F4"/>
    <w:rsid w:val="00B447A5"/>
    <w:rsid w:val="00B4654C"/>
    <w:rsid w:val="00B47293"/>
    <w:rsid w:val="00B50E50"/>
    <w:rsid w:val="00B516F2"/>
    <w:rsid w:val="00B52120"/>
    <w:rsid w:val="00B54ABC"/>
    <w:rsid w:val="00B5638E"/>
    <w:rsid w:val="00B56FBE"/>
    <w:rsid w:val="00B60ACF"/>
    <w:rsid w:val="00B61FED"/>
    <w:rsid w:val="00B62B58"/>
    <w:rsid w:val="00B65149"/>
    <w:rsid w:val="00B66567"/>
    <w:rsid w:val="00B66F52"/>
    <w:rsid w:val="00B66FE5"/>
    <w:rsid w:val="00B72880"/>
    <w:rsid w:val="00B758BF"/>
    <w:rsid w:val="00B77EC8"/>
    <w:rsid w:val="00B8018A"/>
    <w:rsid w:val="00B827A6"/>
    <w:rsid w:val="00B831CE"/>
    <w:rsid w:val="00B86677"/>
    <w:rsid w:val="00B87131"/>
    <w:rsid w:val="00B939B1"/>
    <w:rsid w:val="00B9665D"/>
    <w:rsid w:val="00B96D40"/>
    <w:rsid w:val="00B97386"/>
    <w:rsid w:val="00BA263B"/>
    <w:rsid w:val="00BA42B2"/>
    <w:rsid w:val="00BA58D4"/>
    <w:rsid w:val="00BA5B9E"/>
    <w:rsid w:val="00BA7C9A"/>
    <w:rsid w:val="00BB5F8F"/>
    <w:rsid w:val="00BB657A"/>
    <w:rsid w:val="00BC1A4E"/>
    <w:rsid w:val="00BC59FF"/>
    <w:rsid w:val="00BC5DC7"/>
    <w:rsid w:val="00BC6B8B"/>
    <w:rsid w:val="00BC6CCA"/>
    <w:rsid w:val="00BC73D8"/>
    <w:rsid w:val="00BD52D7"/>
    <w:rsid w:val="00BD5AD2"/>
    <w:rsid w:val="00BE22F3"/>
    <w:rsid w:val="00BE4828"/>
    <w:rsid w:val="00BE5B52"/>
    <w:rsid w:val="00BE7B8D"/>
    <w:rsid w:val="00BF0993"/>
    <w:rsid w:val="00BF10A9"/>
    <w:rsid w:val="00BF1703"/>
    <w:rsid w:val="00BF231C"/>
    <w:rsid w:val="00BF4304"/>
    <w:rsid w:val="00BF51E5"/>
    <w:rsid w:val="00BF74A6"/>
    <w:rsid w:val="00C013AD"/>
    <w:rsid w:val="00C04904"/>
    <w:rsid w:val="00C056B3"/>
    <w:rsid w:val="00C05C33"/>
    <w:rsid w:val="00C103E5"/>
    <w:rsid w:val="00C13319"/>
    <w:rsid w:val="00C13EE9"/>
    <w:rsid w:val="00C21540"/>
    <w:rsid w:val="00C21906"/>
    <w:rsid w:val="00C21BFA"/>
    <w:rsid w:val="00C24C8D"/>
    <w:rsid w:val="00C255EE"/>
    <w:rsid w:val="00C25FE2"/>
    <w:rsid w:val="00C26B53"/>
    <w:rsid w:val="00C2767C"/>
    <w:rsid w:val="00C279B2"/>
    <w:rsid w:val="00C33E50"/>
    <w:rsid w:val="00C34C20"/>
    <w:rsid w:val="00C35A3E"/>
    <w:rsid w:val="00C42130"/>
    <w:rsid w:val="00C423A4"/>
    <w:rsid w:val="00C423E3"/>
    <w:rsid w:val="00C43A9C"/>
    <w:rsid w:val="00C445ED"/>
    <w:rsid w:val="00C44BF5"/>
    <w:rsid w:val="00C46F75"/>
    <w:rsid w:val="00C521D6"/>
    <w:rsid w:val="00C55232"/>
    <w:rsid w:val="00C553A4"/>
    <w:rsid w:val="00C55A06"/>
    <w:rsid w:val="00C55D03"/>
    <w:rsid w:val="00C56E1D"/>
    <w:rsid w:val="00C601BC"/>
    <w:rsid w:val="00C61752"/>
    <w:rsid w:val="00C6329F"/>
    <w:rsid w:val="00C63340"/>
    <w:rsid w:val="00C643F9"/>
    <w:rsid w:val="00C64E95"/>
    <w:rsid w:val="00C71372"/>
    <w:rsid w:val="00C72410"/>
    <w:rsid w:val="00C7287F"/>
    <w:rsid w:val="00C80CB8"/>
    <w:rsid w:val="00C819F8"/>
    <w:rsid w:val="00C8248C"/>
    <w:rsid w:val="00C83585"/>
    <w:rsid w:val="00C84E33"/>
    <w:rsid w:val="00C86D6F"/>
    <w:rsid w:val="00C905FC"/>
    <w:rsid w:val="00C91A5D"/>
    <w:rsid w:val="00C92D03"/>
    <w:rsid w:val="00C9319C"/>
    <w:rsid w:val="00C9435D"/>
    <w:rsid w:val="00C94DF2"/>
    <w:rsid w:val="00C96430"/>
    <w:rsid w:val="00C96741"/>
    <w:rsid w:val="00CA2D1B"/>
    <w:rsid w:val="00CA375D"/>
    <w:rsid w:val="00CA662A"/>
    <w:rsid w:val="00CA7AFD"/>
    <w:rsid w:val="00CA7C3C"/>
    <w:rsid w:val="00CB0189"/>
    <w:rsid w:val="00CB0BA2"/>
    <w:rsid w:val="00CB1A42"/>
    <w:rsid w:val="00CB1B0C"/>
    <w:rsid w:val="00CB2C0B"/>
    <w:rsid w:val="00CB491D"/>
    <w:rsid w:val="00CB517D"/>
    <w:rsid w:val="00CC038D"/>
    <w:rsid w:val="00CC08DB"/>
    <w:rsid w:val="00CC39FF"/>
    <w:rsid w:val="00CC3C2F"/>
    <w:rsid w:val="00CC4AC8"/>
    <w:rsid w:val="00CC5233"/>
    <w:rsid w:val="00CC5DE6"/>
    <w:rsid w:val="00CC6E4E"/>
    <w:rsid w:val="00CC6FE8"/>
    <w:rsid w:val="00CC7202"/>
    <w:rsid w:val="00CD1788"/>
    <w:rsid w:val="00CD2808"/>
    <w:rsid w:val="00CD28BF"/>
    <w:rsid w:val="00CD3EA8"/>
    <w:rsid w:val="00CD4092"/>
    <w:rsid w:val="00CD4A20"/>
    <w:rsid w:val="00CD50A1"/>
    <w:rsid w:val="00CD519E"/>
    <w:rsid w:val="00CE040A"/>
    <w:rsid w:val="00CE0C4F"/>
    <w:rsid w:val="00CE30EA"/>
    <w:rsid w:val="00CF048A"/>
    <w:rsid w:val="00CF155A"/>
    <w:rsid w:val="00CF2947"/>
    <w:rsid w:val="00CF686F"/>
    <w:rsid w:val="00CF6E60"/>
    <w:rsid w:val="00CF7BCA"/>
    <w:rsid w:val="00D008FD"/>
    <w:rsid w:val="00D0321C"/>
    <w:rsid w:val="00D035EC"/>
    <w:rsid w:val="00D05F94"/>
    <w:rsid w:val="00D062CE"/>
    <w:rsid w:val="00D06AB1"/>
    <w:rsid w:val="00D06FC1"/>
    <w:rsid w:val="00D072ED"/>
    <w:rsid w:val="00D07A16"/>
    <w:rsid w:val="00D1067E"/>
    <w:rsid w:val="00D10F50"/>
    <w:rsid w:val="00D11272"/>
    <w:rsid w:val="00D126F5"/>
    <w:rsid w:val="00D1489E"/>
    <w:rsid w:val="00D20737"/>
    <w:rsid w:val="00D21E81"/>
    <w:rsid w:val="00D223DE"/>
    <w:rsid w:val="00D24A63"/>
    <w:rsid w:val="00D25E37"/>
    <w:rsid w:val="00D2661A"/>
    <w:rsid w:val="00D27582"/>
    <w:rsid w:val="00D27EC4"/>
    <w:rsid w:val="00D32719"/>
    <w:rsid w:val="00D33333"/>
    <w:rsid w:val="00D352A2"/>
    <w:rsid w:val="00D40E10"/>
    <w:rsid w:val="00D4162B"/>
    <w:rsid w:val="00D4514F"/>
    <w:rsid w:val="00D451E2"/>
    <w:rsid w:val="00D45E89"/>
    <w:rsid w:val="00D45E8D"/>
    <w:rsid w:val="00D466AE"/>
    <w:rsid w:val="00D4734F"/>
    <w:rsid w:val="00D51BF3"/>
    <w:rsid w:val="00D5447B"/>
    <w:rsid w:val="00D66846"/>
    <w:rsid w:val="00D675FB"/>
    <w:rsid w:val="00D71F25"/>
    <w:rsid w:val="00D72A9C"/>
    <w:rsid w:val="00D74FD5"/>
    <w:rsid w:val="00D77031"/>
    <w:rsid w:val="00D84941"/>
    <w:rsid w:val="00D84FA1"/>
    <w:rsid w:val="00D851F0"/>
    <w:rsid w:val="00D86DB7"/>
    <w:rsid w:val="00D87066"/>
    <w:rsid w:val="00D87BF5"/>
    <w:rsid w:val="00D90721"/>
    <w:rsid w:val="00D926D0"/>
    <w:rsid w:val="00D93030"/>
    <w:rsid w:val="00D9479D"/>
    <w:rsid w:val="00D950E1"/>
    <w:rsid w:val="00D952A6"/>
    <w:rsid w:val="00D97F99"/>
    <w:rsid w:val="00DA1E08"/>
    <w:rsid w:val="00DA24F8"/>
    <w:rsid w:val="00DA28E8"/>
    <w:rsid w:val="00DA38D3"/>
    <w:rsid w:val="00DA3932"/>
    <w:rsid w:val="00DA3AFC"/>
    <w:rsid w:val="00DA5C13"/>
    <w:rsid w:val="00DA64F8"/>
    <w:rsid w:val="00DA6C15"/>
    <w:rsid w:val="00DA7613"/>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D71A0"/>
    <w:rsid w:val="00DE0A4B"/>
    <w:rsid w:val="00DE2410"/>
    <w:rsid w:val="00DE2939"/>
    <w:rsid w:val="00DE6E81"/>
    <w:rsid w:val="00DE703F"/>
    <w:rsid w:val="00DE7595"/>
    <w:rsid w:val="00DF1961"/>
    <w:rsid w:val="00DF44DE"/>
    <w:rsid w:val="00DF578B"/>
    <w:rsid w:val="00E01138"/>
    <w:rsid w:val="00E02DFB"/>
    <w:rsid w:val="00E030F9"/>
    <w:rsid w:val="00E0311A"/>
    <w:rsid w:val="00E03138"/>
    <w:rsid w:val="00E06404"/>
    <w:rsid w:val="00E11A85"/>
    <w:rsid w:val="00E12495"/>
    <w:rsid w:val="00E15CCD"/>
    <w:rsid w:val="00E202EF"/>
    <w:rsid w:val="00E210B5"/>
    <w:rsid w:val="00E2552F"/>
    <w:rsid w:val="00E25C05"/>
    <w:rsid w:val="00E3137A"/>
    <w:rsid w:val="00E32CCF"/>
    <w:rsid w:val="00E34A98"/>
    <w:rsid w:val="00E35D1E"/>
    <w:rsid w:val="00E364F9"/>
    <w:rsid w:val="00E365FA"/>
    <w:rsid w:val="00E36789"/>
    <w:rsid w:val="00E40EA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022"/>
    <w:rsid w:val="00E9028A"/>
    <w:rsid w:val="00E90391"/>
    <w:rsid w:val="00E906C2"/>
    <w:rsid w:val="00E9311F"/>
    <w:rsid w:val="00E934D1"/>
    <w:rsid w:val="00E94AF0"/>
    <w:rsid w:val="00E95D13"/>
    <w:rsid w:val="00E95DD3"/>
    <w:rsid w:val="00E969D5"/>
    <w:rsid w:val="00EA58D1"/>
    <w:rsid w:val="00EA61BC"/>
    <w:rsid w:val="00EA681A"/>
    <w:rsid w:val="00EA735B"/>
    <w:rsid w:val="00EB0110"/>
    <w:rsid w:val="00EB1E69"/>
    <w:rsid w:val="00EB2086"/>
    <w:rsid w:val="00EB31ED"/>
    <w:rsid w:val="00EB5EDF"/>
    <w:rsid w:val="00EB60FE"/>
    <w:rsid w:val="00EB74DB"/>
    <w:rsid w:val="00EC5359"/>
    <w:rsid w:val="00EC562A"/>
    <w:rsid w:val="00ED067A"/>
    <w:rsid w:val="00ED2B50"/>
    <w:rsid w:val="00ED69C7"/>
    <w:rsid w:val="00EE0350"/>
    <w:rsid w:val="00EE0719"/>
    <w:rsid w:val="00EE0E80"/>
    <w:rsid w:val="00EE613F"/>
    <w:rsid w:val="00EE7295"/>
    <w:rsid w:val="00EE7869"/>
    <w:rsid w:val="00EF054A"/>
    <w:rsid w:val="00EF3235"/>
    <w:rsid w:val="00EF7E72"/>
    <w:rsid w:val="00F034F8"/>
    <w:rsid w:val="00F04547"/>
    <w:rsid w:val="00F04951"/>
    <w:rsid w:val="00F06D37"/>
    <w:rsid w:val="00F07B9D"/>
    <w:rsid w:val="00F11586"/>
    <w:rsid w:val="00F1183B"/>
    <w:rsid w:val="00F11C9F"/>
    <w:rsid w:val="00F12263"/>
    <w:rsid w:val="00F1312B"/>
    <w:rsid w:val="00F1409D"/>
    <w:rsid w:val="00F14214"/>
    <w:rsid w:val="00F142F6"/>
    <w:rsid w:val="00F157A9"/>
    <w:rsid w:val="00F16F00"/>
    <w:rsid w:val="00F17D8A"/>
    <w:rsid w:val="00F25BB6"/>
    <w:rsid w:val="00F26B7E"/>
    <w:rsid w:val="00F27A3B"/>
    <w:rsid w:val="00F32780"/>
    <w:rsid w:val="00F33817"/>
    <w:rsid w:val="00F420D5"/>
    <w:rsid w:val="00F44283"/>
    <w:rsid w:val="00F451EA"/>
    <w:rsid w:val="00F45447"/>
    <w:rsid w:val="00F456C6"/>
    <w:rsid w:val="00F4577B"/>
    <w:rsid w:val="00F46496"/>
    <w:rsid w:val="00F474D0"/>
    <w:rsid w:val="00F50179"/>
    <w:rsid w:val="00F515EE"/>
    <w:rsid w:val="00F56511"/>
    <w:rsid w:val="00F56C15"/>
    <w:rsid w:val="00F6194E"/>
    <w:rsid w:val="00F61B23"/>
    <w:rsid w:val="00F623AC"/>
    <w:rsid w:val="00F62C4A"/>
    <w:rsid w:val="00F6412A"/>
    <w:rsid w:val="00F65893"/>
    <w:rsid w:val="00F66A4A"/>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3AC5"/>
    <w:rsid w:val="00FA662D"/>
    <w:rsid w:val="00FA73B1"/>
    <w:rsid w:val="00FB0CB9"/>
    <w:rsid w:val="00FB231D"/>
    <w:rsid w:val="00FB45F1"/>
    <w:rsid w:val="00FB4A72"/>
    <w:rsid w:val="00FB54E8"/>
    <w:rsid w:val="00FB7054"/>
    <w:rsid w:val="00FB7415"/>
    <w:rsid w:val="00FC17B7"/>
    <w:rsid w:val="00FC1C0B"/>
    <w:rsid w:val="00FC1DD6"/>
    <w:rsid w:val="00FC2CB7"/>
    <w:rsid w:val="00FC4090"/>
    <w:rsid w:val="00FC55B4"/>
    <w:rsid w:val="00FD00E6"/>
    <w:rsid w:val="00FD09A1"/>
    <w:rsid w:val="00FD2A7C"/>
    <w:rsid w:val="00FD2B73"/>
    <w:rsid w:val="00FD59EB"/>
    <w:rsid w:val="00FD7299"/>
    <w:rsid w:val="00FD7FF5"/>
    <w:rsid w:val="00FE1FBE"/>
    <w:rsid w:val="00FE3901"/>
    <w:rsid w:val="00FE39D3"/>
    <w:rsid w:val="00FE4BCE"/>
    <w:rsid w:val="00FE54AE"/>
    <w:rsid w:val="00FE576A"/>
    <w:rsid w:val="00FE7E79"/>
    <w:rsid w:val="00FF3E7D"/>
    <w:rsid w:val="00FF5B99"/>
    <w:rsid w:val="00FF730C"/>
    <w:rsid w:val="00FF73F4"/>
    <w:rsid w:val="00FF7CE4"/>
    <w:rsid w:val="00FF7E39"/>
    <w:rsid w:val="028026AA"/>
    <w:rsid w:val="02A53AA1"/>
    <w:rsid w:val="03743CA7"/>
    <w:rsid w:val="04223B99"/>
    <w:rsid w:val="05607726"/>
    <w:rsid w:val="05A54A82"/>
    <w:rsid w:val="066F6E3E"/>
    <w:rsid w:val="06B4282F"/>
    <w:rsid w:val="079254DA"/>
    <w:rsid w:val="08CD362D"/>
    <w:rsid w:val="09B71569"/>
    <w:rsid w:val="0BA61553"/>
    <w:rsid w:val="0D084B45"/>
    <w:rsid w:val="0E5C239D"/>
    <w:rsid w:val="0EC200F6"/>
    <w:rsid w:val="0EF95E3E"/>
    <w:rsid w:val="10BC679B"/>
    <w:rsid w:val="1101035E"/>
    <w:rsid w:val="116132DC"/>
    <w:rsid w:val="116752E1"/>
    <w:rsid w:val="11683B30"/>
    <w:rsid w:val="15DB1A7E"/>
    <w:rsid w:val="163634D4"/>
    <w:rsid w:val="16C26FAD"/>
    <w:rsid w:val="177A3491"/>
    <w:rsid w:val="1838742C"/>
    <w:rsid w:val="18E5190D"/>
    <w:rsid w:val="19B60738"/>
    <w:rsid w:val="1A6D34CE"/>
    <w:rsid w:val="1AB94A4F"/>
    <w:rsid w:val="1AC90FBB"/>
    <w:rsid w:val="1B184F4E"/>
    <w:rsid w:val="1B2B3823"/>
    <w:rsid w:val="1B5C578B"/>
    <w:rsid w:val="1B6B3384"/>
    <w:rsid w:val="1C4E1577"/>
    <w:rsid w:val="1CD13F56"/>
    <w:rsid w:val="1D194A5B"/>
    <w:rsid w:val="1E0A5972"/>
    <w:rsid w:val="1EE063F1"/>
    <w:rsid w:val="212B2444"/>
    <w:rsid w:val="21CB3390"/>
    <w:rsid w:val="21F259FA"/>
    <w:rsid w:val="22347461"/>
    <w:rsid w:val="24E92753"/>
    <w:rsid w:val="259C10B4"/>
    <w:rsid w:val="268144A5"/>
    <w:rsid w:val="26881B2A"/>
    <w:rsid w:val="26A648E0"/>
    <w:rsid w:val="26C16DEA"/>
    <w:rsid w:val="277A3B68"/>
    <w:rsid w:val="2A4F6DAD"/>
    <w:rsid w:val="2AED3AB0"/>
    <w:rsid w:val="2B6462F7"/>
    <w:rsid w:val="2D3D6CD2"/>
    <w:rsid w:val="2E1048F5"/>
    <w:rsid w:val="2EA66FF1"/>
    <w:rsid w:val="307A6E68"/>
    <w:rsid w:val="30A21A3A"/>
    <w:rsid w:val="31207DC9"/>
    <w:rsid w:val="32FE389F"/>
    <w:rsid w:val="34132538"/>
    <w:rsid w:val="346A0AC1"/>
    <w:rsid w:val="34A71D15"/>
    <w:rsid w:val="36174C78"/>
    <w:rsid w:val="37AE1209"/>
    <w:rsid w:val="39072D82"/>
    <w:rsid w:val="39465C80"/>
    <w:rsid w:val="39A34F11"/>
    <w:rsid w:val="3AFB2473"/>
    <w:rsid w:val="3CAA3B8C"/>
    <w:rsid w:val="3D6A7D83"/>
    <w:rsid w:val="3FC65745"/>
    <w:rsid w:val="40864ED4"/>
    <w:rsid w:val="42176EA1"/>
    <w:rsid w:val="44FF697B"/>
    <w:rsid w:val="46D17745"/>
    <w:rsid w:val="47095F17"/>
    <w:rsid w:val="47574ED5"/>
    <w:rsid w:val="47617B01"/>
    <w:rsid w:val="48C06AA9"/>
    <w:rsid w:val="4A031344"/>
    <w:rsid w:val="4C3D31E8"/>
    <w:rsid w:val="4C8F3363"/>
    <w:rsid w:val="4CFD651E"/>
    <w:rsid w:val="4F5543EF"/>
    <w:rsid w:val="4F56098E"/>
    <w:rsid w:val="4FB1539E"/>
    <w:rsid w:val="50D75B0C"/>
    <w:rsid w:val="50F87728"/>
    <w:rsid w:val="51387B25"/>
    <w:rsid w:val="534E1DCB"/>
    <w:rsid w:val="55222FC6"/>
    <w:rsid w:val="55286102"/>
    <w:rsid w:val="56CA4195"/>
    <w:rsid w:val="576B3151"/>
    <w:rsid w:val="57D77E09"/>
    <w:rsid w:val="580C575D"/>
    <w:rsid w:val="59851D75"/>
    <w:rsid w:val="5A2E7D17"/>
    <w:rsid w:val="5C2A7620"/>
    <w:rsid w:val="5C4A6129"/>
    <w:rsid w:val="5CB36BF9"/>
    <w:rsid w:val="600E6318"/>
    <w:rsid w:val="62DE6052"/>
    <w:rsid w:val="62E95123"/>
    <w:rsid w:val="649B23CF"/>
    <w:rsid w:val="659D7F39"/>
    <w:rsid w:val="65F242EE"/>
    <w:rsid w:val="67D143D7"/>
    <w:rsid w:val="687731D1"/>
    <w:rsid w:val="6C885D40"/>
    <w:rsid w:val="6D612C36"/>
    <w:rsid w:val="6D6A3304"/>
    <w:rsid w:val="6E7C1985"/>
    <w:rsid w:val="6EB8009F"/>
    <w:rsid w:val="6F3B534E"/>
    <w:rsid w:val="6F5222A2"/>
    <w:rsid w:val="6F5B1156"/>
    <w:rsid w:val="70FA56B2"/>
    <w:rsid w:val="716E091D"/>
    <w:rsid w:val="717464FF"/>
    <w:rsid w:val="71EE1771"/>
    <w:rsid w:val="742E3DB0"/>
    <w:rsid w:val="74583EB6"/>
    <w:rsid w:val="74CC6652"/>
    <w:rsid w:val="75115D85"/>
    <w:rsid w:val="76775D4E"/>
    <w:rsid w:val="76A758E7"/>
    <w:rsid w:val="780A65BC"/>
    <w:rsid w:val="79330A4E"/>
    <w:rsid w:val="7A6510DB"/>
    <w:rsid w:val="7B4231CA"/>
    <w:rsid w:val="7CEB2A4A"/>
    <w:rsid w:val="7D5176F5"/>
    <w:rsid w:val="7F23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4"/>
    <w:semiHidden/>
    <w:unhideWhenUsed/>
    <w:qFormat/>
    <w:uiPriority w:val="99"/>
    <w:rPr>
      <w:rFonts w:ascii="宋体"/>
      <w:sz w:val="18"/>
      <w:szCs w:val="18"/>
    </w:rPr>
  </w:style>
  <w:style w:type="paragraph" w:styleId="14">
    <w:name w:val="annotation text"/>
    <w:basedOn w:val="1"/>
    <w:link w:val="236"/>
    <w:unhideWhenUsed/>
    <w:uiPriority w:val="99"/>
    <w:pPr>
      <w:jc w:val="left"/>
    </w:pPr>
  </w:style>
  <w:style w:type="paragraph" w:styleId="15">
    <w:name w:val="Body Text"/>
    <w:basedOn w:val="1"/>
    <w:link w:val="90"/>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7"/>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37"/>
    <w:semiHidden/>
    <w:unhideWhenUsed/>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spacing w:line="240" w:lineRule="auto"/>
      <w:jc w:val="left"/>
    </w:pPr>
    <w:rPr>
      <w:bCs/>
      <w:iCs/>
    </w:rPr>
  </w:style>
  <w:style w:type="paragraph" w:customStyle="1" w:styleId="147">
    <w:name w:val="目录 31"/>
    <w:basedOn w:val="1"/>
    <w:next w:val="1"/>
    <w:autoRedefine/>
    <w:semiHidden/>
    <w:qFormat/>
    <w:uiPriority w:val="0"/>
    <w:pPr>
      <w:spacing w:line="240" w:lineRule="auto"/>
    </w:pPr>
    <w:rPr>
      <w:rFonts w:ascii="宋体" w:hAnsi="宋体"/>
      <w:iCs/>
    </w:rPr>
  </w:style>
  <w:style w:type="paragraph" w:customStyle="1" w:styleId="148">
    <w:name w:val="目录 41"/>
    <w:basedOn w:val="1"/>
    <w:next w:val="1"/>
    <w:autoRedefine/>
    <w:semiHidden/>
    <w:qFormat/>
    <w:uiPriority w:val="0"/>
    <w:pPr>
      <w:adjustRightInd/>
      <w:spacing w:line="240" w:lineRule="auto"/>
      <w:jc w:val="left"/>
    </w:pPr>
  </w:style>
  <w:style w:type="paragraph" w:customStyle="1" w:styleId="149">
    <w:name w:val="目录 51"/>
    <w:basedOn w:val="1"/>
    <w:next w:val="1"/>
    <w:autoRedefine/>
    <w:semiHidden/>
    <w:qFormat/>
    <w:uiPriority w:val="0"/>
    <w:pPr>
      <w:spacing w:line="240" w:lineRule="auto"/>
    </w:pPr>
    <w:rPr>
      <w:rFonts w:ascii="宋体" w:hAnsi="宋体"/>
    </w:rPr>
  </w:style>
  <w:style w:type="paragraph" w:customStyle="1" w:styleId="150">
    <w:name w:val="目录 61"/>
    <w:basedOn w:val="1"/>
    <w:next w:val="1"/>
    <w:autoRedefine/>
    <w:semiHidden/>
    <w:qFormat/>
    <w:uiPriority w:val="0"/>
    <w:pPr>
      <w:adjustRightInd/>
      <w:spacing w:line="240" w:lineRule="auto"/>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文档结构图 字符"/>
    <w:basedOn w:val="31"/>
    <w:link w:val="13"/>
    <w:semiHidden/>
    <w:qFormat/>
    <w:uiPriority w:val="99"/>
    <w:rPr>
      <w:rFonts w:ascii="宋体"/>
      <w:kern w:val="2"/>
      <w:sz w:val="18"/>
      <w:szCs w:val="18"/>
    </w:rPr>
  </w:style>
  <w:style w:type="paragraph" w:customStyle="1" w:styleId="235">
    <w:name w:val="Revision"/>
    <w:hidden/>
    <w:unhideWhenUsed/>
    <w:uiPriority w:val="99"/>
    <w:rPr>
      <w:rFonts w:ascii="Calibri" w:hAnsi="Calibri" w:eastAsia="宋体" w:cs="Times New Roman"/>
      <w:kern w:val="2"/>
      <w:sz w:val="21"/>
      <w:szCs w:val="21"/>
      <w:lang w:val="en-US" w:eastAsia="zh-CN" w:bidi="ar-SA"/>
    </w:rPr>
  </w:style>
  <w:style w:type="character" w:customStyle="1" w:styleId="236">
    <w:name w:val="批注文字 字符"/>
    <w:basedOn w:val="31"/>
    <w:link w:val="14"/>
    <w:uiPriority w:val="99"/>
    <w:rPr>
      <w:rFonts w:ascii="Calibri" w:hAnsi="Calibri"/>
      <w:kern w:val="2"/>
      <w:sz w:val="21"/>
      <w:szCs w:val="21"/>
    </w:rPr>
  </w:style>
  <w:style w:type="character" w:customStyle="1" w:styleId="237">
    <w:name w:val="批注主题 字符"/>
    <w:basedOn w:val="236"/>
    <w:link w:val="28"/>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16603062">
          <w:pPr>
            <w:pStyle w:val="5"/>
            <w:rPr>
              <w:rFonts w:hint="eastAsia"/>
            </w:rPr>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330D1397">
          <w:pPr>
            <w:pStyle w:val="6"/>
            <w:rPr>
              <w:rFonts w:hint="eastAsia"/>
            </w:rPr>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42E109B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146BCB"/>
    <w:rsid w:val="00206F46"/>
    <w:rsid w:val="00276EEB"/>
    <w:rsid w:val="002E78AD"/>
    <w:rsid w:val="003C736A"/>
    <w:rsid w:val="00421867"/>
    <w:rsid w:val="00482F6C"/>
    <w:rsid w:val="004D7727"/>
    <w:rsid w:val="004E45C3"/>
    <w:rsid w:val="004F643E"/>
    <w:rsid w:val="005D23EF"/>
    <w:rsid w:val="0067206F"/>
    <w:rsid w:val="006725A1"/>
    <w:rsid w:val="006743FC"/>
    <w:rsid w:val="006D43A7"/>
    <w:rsid w:val="00773FF8"/>
    <w:rsid w:val="00802A1A"/>
    <w:rsid w:val="00864427"/>
    <w:rsid w:val="00870D65"/>
    <w:rsid w:val="008713F2"/>
    <w:rsid w:val="008E67A4"/>
    <w:rsid w:val="009C41EC"/>
    <w:rsid w:val="00A04241"/>
    <w:rsid w:val="00AE346E"/>
    <w:rsid w:val="00B254D3"/>
    <w:rsid w:val="00B323B8"/>
    <w:rsid w:val="00B43174"/>
    <w:rsid w:val="00C255EE"/>
    <w:rsid w:val="00C462FE"/>
    <w:rsid w:val="00D156DD"/>
    <w:rsid w:val="00DC4E71"/>
    <w:rsid w:val="00E738F3"/>
    <w:rsid w:val="00EF62E3"/>
    <w:rsid w:val="00F60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3BA69-34A1-4E25-B77B-2C59CABF2D94}">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13</Pages>
  <Words>10061</Words>
  <Characters>10713</Characters>
  <Lines>323</Lines>
  <Paragraphs>466</Paragraphs>
  <TotalTime>55</TotalTime>
  <ScaleCrop>false</ScaleCrop>
  <LinksUpToDate>false</LinksUpToDate>
  <CharactersWithSpaces>11065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2023-04-25T06:51:00Z</dcterms:created>
  <dc:creator>Administrator</dc:creator>
  <dc:description>&lt;config cover="true" show_menu="true" version="1.0.0" doctype="SDKXY"&gt;_x000d_
&lt;/config&gt;</dc:description>
  <cp:lastModifiedBy>河中鱼</cp:lastModifiedBy>
  <cp:lastPrinted>2021-02-02T08:22:00Z</cp:lastPrinted>
  <dcterms:modified xsi:type="dcterms:W3CDTF">2026-04-29T07:42:11Z</dcterms:modified>
  <dc:title>团体标准</dc:title>
  <cp:revision>269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eyJoZGlkIjoiYWU5ODIyNDQzMTFlYmNiMzlhMmFkNjExNWM2YjM4YTYiLCJ1c2VySWQiOiIxNjgzMDY0NzMzIn0=</vt:lpwstr>
  </property>
  <property fmtid="{D5CDD505-2E9C-101B-9397-08002B2CF9AE}" pid="15" name="KSOProductBuildVer">
    <vt:lpwstr>2052-12.1.0.25865</vt:lpwstr>
  </property>
  <property fmtid="{D5CDD505-2E9C-101B-9397-08002B2CF9AE}" pid="16" name="ICV">
    <vt:lpwstr>119EE6F796E943FCBFB3F8093580E68E_12</vt:lpwstr>
  </property>
</Properties>
</file>