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9F02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C3B044F">
            <w:pPr>
              <w:pStyle w:val="19"/>
              <w:framePr w:wrap="notBeside" w:vAnchor="page" w:hAnchor="page" w:x="1372" w:y="568"/>
              <w:tabs>
                <w:tab w:val="clear" w:pos="4153"/>
                <w:tab w:val="clear" w:pos="8306"/>
              </w:tabs>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F214210">
            <w:pPr>
              <w:pStyle w:val="19"/>
              <w:framePr w:wrap="notBeside" w:vAnchor="page" w:hAnchor="page" w:x="1372" w:y="568"/>
              <w:tabs>
                <w:tab w:val="clear" w:pos="4153"/>
                <w:tab w:val="clear" w:pos="8306"/>
              </w:tabs>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4C0E2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2BF804">
            <w:pPr>
              <w:pStyle w:val="19"/>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D2E71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D69C14">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9B2D124">
            <w:pPr>
              <w:pStyle w:val="19"/>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5575B687">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1FE833A2">
      <w:pPr>
        <w:pStyle w:val="198"/>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A11987B">
      <w:pPr>
        <w:pStyle w:val="199"/>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0137D3B">
      <w:pPr>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6B7EC0C">
      <w:pPr>
        <w:pStyle w:val="53"/>
        <w:framePr w:w="9639" w:h="6976" w:hRule="exact" w:hSpace="0" w:vSpace="0" w:wrap="around" w:hAnchor="page" w:y="6408"/>
        <w:jc w:val="center"/>
        <w:rPr>
          <w:rFonts w:hint="eastAsia" w:ascii="黑体" w:hAnsi="黑体" w:eastAsia="黑体"/>
          <w:b w:val="0"/>
          <w:bCs w:val="0"/>
          <w:w w:val="100"/>
        </w:rPr>
      </w:pPr>
    </w:p>
    <w:p w14:paraId="058A54CA">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成人慢性伤口负压伤口治疗（NPWT）</w:t>
      </w:r>
    </w:p>
    <w:p w14:paraId="596291BF">
      <w:pPr>
        <w:pStyle w:val="200"/>
        <w:framePr w:h="6974" w:hRule="exact" w:wrap="around" w:x="1419" w:anchorLock="1"/>
        <w:rPr>
          <w:rFonts w:hint="eastAsia"/>
        </w:rPr>
      </w:pPr>
      <w:r>
        <w:rPr>
          <w:rFonts w:hint="eastAsia"/>
        </w:rPr>
        <w:t>护理规范</w:t>
      </w:r>
      <w:r>
        <w:fldChar w:fldCharType="end"/>
      </w:r>
      <w:bookmarkEnd w:id="9"/>
    </w:p>
    <w:p w14:paraId="384BB2F4">
      <w:pPr>
        <w:framePr w:w="9639" w:h="6974" w:hRule="exact" w:wrap="around" w:vAnchor="page" w:hAnchor="page" w:x="1419" w:y="6408" w:anchorLock="1"/>
        <w:ind w:left="-1418"/>
      </w:pPr>
    </w:p>
    <w:p w14:paraId="4B1D0246">
      <w:pPr>
        <w:pStyle w:val="128"/>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ascii="黑体" w:hAnsi="黑体" w:eastAsia="黑体"/>
          <w:szCs w:val="28"/>
        </w:rPr>
        <w:t>Nursing Specifications for Negative Pressure Wound Therapy (NPWT) in Adult Chronic Wounds</w:t>
      </w:r>
      <w:r>
        <w:rPr>
          <w:rFonts w:ascii="黑体" w:hAnsi="黑体" w:eastAsia="黑体"/>
          <w:szCs w:val="28"/>
        </w:rPr>
        <w:fldChar w:fldCharType="end"/>
      </w:r>
      <w:bookmarkEnd w:id="10"/>
    </w:p>
    <w:p w14:paraId="32ED03C8">
      <w:pPr>
        <w:framePr w:w="9639" w:h="6974" w:hRule="exact" w:wrap="around" w:vAnchor="page" w:hAnchor="page" w:x="1419" w:y="6408" w:anchorLock="1"/>
        <w:spacing w:line="760" w:lineRule="exact"/>
        <w:ind w:left="-1418"/>
      </w:pPr>
    </w:p>
    <w:p w14:paraId="49B6ED04">
      <w:pPr>
        <w:pStyle w:val="128"/>
        <w:framePr w:w="9639" w:h="6974" w:hRule="exact" w:wrap="around" w:vAnchor="page" w:hAnchor="page" w:x="1419" w:y="6408" w:anchorLock="1"/>
        <w:textAlignment w:val="bottom"/>
        <w:rPr>
          <w:rFonts w:eastAsia="黑体"/>
          <w:szCs w:val="28"/>
        </w:rPr>
      </w:pPr>
    </w:p>
    <w:p w14:paraId="09AF98BC">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0831573">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DABC9D">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58292B9">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D43AC2F">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8314CFC">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6632515">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8F21654">
      <w:pPr>
        <w:pStyle w:val="94"/>
        <w:spacing w:after="360"/>
        <w:rPr>
          <w:rFonts w:hint="eastAsia"/>
        </w:rPr>
      </w:pPr>
      <w:bookmarkStart w:id="21" w:name="BookMark1"/>
      <w:bookmarkStart w:id="22" w:name="_Toc199185086"/>
      <w:bookmarkStart w:id="23" w:name="_Toc207908996"/>
      <w:bookmarkStart w:id="24" w:name="_Toc201346559"/>
      <w:bookmarkStart w:id="25" w:name="_Toc203640853"/>
      <w:bookmarkStart w:id="26" w:name="_Toc208501503"/>
      <w:bookmarkStart w:id="27" w:name="_Toc198571782"/>
      <w:bookmarkStart w:id="28" w:name="_Toc201347708"/>
      <w:bookmarkStart w:id="29" w:name="_Toc209691882"/>
      <w:bookmarkStart w:id="30" w:name="_Toc193466096"/>
      <w:bookmarkStart w:id="31" w:name="_Toc215839194"/>
      <w:bookmarkStart w:id="32" w:name="_Toc213874292"/>
      <w:bookmarkStart w:id="33" w:name="_Toc193467378"/>
      <w:bookmarkStart w:id="34" w:name="_Toc215573382"/>
      <w:bookmarkStart w:id="35" w:name="_Toc213001462"/>
      <w:bookmarkStart w:id="36" w:name="_Toc228300652"/>
      <w:r>
        <w:rPr>
          <w:rFonts w:hint="eastAsia"/>
          <w:spacing w:val="320"/>
        </w:rPr>
        <w:t>目</w:t>
      </w:r>
      <w:r>
        <w:rPr>
          <w:rFonts w:hint="eastAsia"/>
        </w:rPr>
        <w:t>次</w:t>
      </w:r>
    </w:p>
    <w:p w14:paraId="6C0B33B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"_Toc228300797" </w:instrText>
      </w:r>
      <w:r>
        <w:fldChar w:fldCharType="separate"/>
      </w:r>
      <w:r>
        <w:rPr>
          <w:rStyle w:val="34"/>
        </w:rPr>
        <w:t>前言</w:t>
      </w:r>
      <w:r>
        <w:rPr>
          <w:rFonts w:hint="eastAsia"/>
        </w:rPr>
        <w:tab/>
      </w:r>
      <w:r>
        <w:rPr>
          <w:rFonts w:hint="eastAsia"/>
        </w:rPr>
        <w:fldChar w:fldCharType="begin"/>
      </w:r>
      <w:r>
        <w:rPr>
          <w:rFonts w:hint="eastAsia"/>
        </w:rPr>
        <w:instrText xml:space="preserve"> </w:instrText>
      </w:r>
      <w:r>
        <w:instrText xml:space="preserve">PAGEREF _Toc228300797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4CB691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"_Toc228300798"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_Toc228300798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8A819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"_Toc228300799"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_Toc228300799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E99BA6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"_Toc228300800"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_Toc228300800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9188C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"_Toc228300801" </w:instrText>
      </w:r>
      <w:r>
        <w:fldChar w:fldCharType="separate"/>
      </w:r>
      <w:r>
        <w:rPr>
          <w:rStyle w:val="34"/>
        </w:rPr>
        <w:t>4  缩略语</w:t>
      </w:r>
      <w:r>
        <w:rPr>
          <w:rFonts w:hint="eastAsia"/>
        </w:rPr>
        <w:tab/>
      </w:r>
      <w:r>
        <w:rPr>
          <w:rFonts w:hint="eastAsia"/>
        </w:rPr>
        <w:fldChar w:fldCharType="begin"/>
      </w:r>
      <w:r>
        <w:rPr>
          <w:rFonts w:hint="eastAsia"/>
        </w:rPr>
        <w:instrText xml:space="preserve"> </w:instrText>
      </w:r>
      <w:r>
        <w:instrText xml:space="preserve">PAGEREF _Toc228300801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C39993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"_Toc228300802" </w:instrText>
      </w:r>
      <w:r>
        <w:fldChar w:fldCharType="separate"/>
      </w:r>
      <w:r>
        <w:rPr>
          <w:rStyle w:val="34"/>
        </w:rPr>
        <w:t>5  基本要求</w:t>
      </w:r>
      <w:r>
        <w:rPr>
          <w:rFonts w:hint="eastAsia"/>
        </w:rPr>
        <w:tab/>
      </w:r>
      <w:r>
        <w:rPr>
          <w:rFonts w:hint="eastAsia"/>
        </w:rPr>
        <w:fldChar w:fldCharType="begin"/>
      </w:r>
      <w:r>
        <w:rPr>
          <w:rFonts w:hint="eastAsia"/>
        </w:rPr>
        <w:instrText xml:space="preserve"> </w:instrText>
      </w:r>
      <w:r>
        <w:instrText xml:space="preserve">PAGEREF _Toc228300802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8B7485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"_Toc228300803" </w:instrText>
      </w:r>
      <w:r>
        <w:fldChar w:fldCharType="separate"/>
      </w:r>
      <w:r>
        <w:rPr>
          <w:rStyle w:val="34"/>
          <w14:scene3d>
            <w14:lightRig w14:rig="threePt" w14:dir="t">
              <w14:rot w14:lat="0" w14:lon="0" w14:rev="0"/>
            </w14:lightRig>
          </w14:scene3d>
        </w:rPr>
        <w:t xml:space="preserve">5.1 </w:t>
      </w:r>
      <w:r>
        <w:rPr>
          <w:rStyle w:val="34"/>
        </w:rPr>
        <w:t xml:space="preserve"> 人员</w:t>
      </w:r>
      <w:r>
        <w:rPr>
          <w:rFonts w:hint="eastAsia"/>
        </w:rPr>
        <w:tab/>
      </w:r>
      <w:r>
        <w:rPr>
          <w:rFonts w:hint="eastAsia"/>
        </w:rPr>
        <w:fldChar w:fldCharType="begin"/>
      </w:r>
      <w:r>
        <w:rPr>
          <w:rFonts w:hint="eastAsia"/>
        </w:rPr>
        <w:instrText xml:space="preserve"> </w:instrText>
      </w:r>
      <w:r>
        <w:instrText xml:space="preserve">PAGEREF _Toc228300803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A5F138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"_Toc228300804" </w:instrText>
      </w:r>
      <w:r>
        <w:fldChar w:fldCharType="separate"/>
      </w:r>
      <w:r>
        <w:rPr>
          <w:rStyle w:val="34"/>
          <w14:scene3d>
            <w14:lightRig w14:rig="threePt" w14:dir="t">
              <w14:rot w14:lat="0" w14:lon="0" w14:rev="0"/>
            </w14:lightRig>
          </w14:scene3d>
        </w:rPr>
        <w:t xml:space="preserve">5.2 </w:t>
      </w:r>
      <w:r>
        <w:rPr>
          <w:rStyle w:val="34"/>
        </w:rPr>
        <w:t xml:space="preserve"> 设备与耗材</w:t>
      </w:r>
      <w:r>
        <w:rPr>
          <w:rFonts w:hint="eastAsia"/>
        </w:rPr>
        <w:tab/>
      </w:r>
      <w:r>
        <w:rPr>
          <w:rFonts w:hint="eastAsia"/>
        </w:rPr>
        <w:fldChar w:fldCharType="begin"/>
      </w:r>
      <w:r>
        <w:rPr>
          <w:rFonts w:hint="eastAsia"/>
        </w:rPr>
        <w:instrText xml:space="preserve"> </w:instrText>
      </w:r>
      <w:r>
        <w:instrText xml:space="preserve">PAGEREF _Toc228300804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C7D583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"_Toc228300805" </w:instrText>
      </w:r>
      <w:r>
        <w:fldChar w:fldCharType="separate"/>
      </w:r>
      <w:r>
        <w:rPr>
          <w:rStyle w:val="34"/>
          <w14:scene3d>
            <w14:lightRig w14:rig="threePt" w14:dir="t">
              <w14:rot w14:lat="0" w14:lon="0" w14:rev="0"/>
            </w14:lightRig>
          </w14:scene3d>
        </w:rPr>
        <w:t xml:space="preserve">5.3 </w:t>
      </w:r>
      <w:r>
        <w:rPr>
          <w:rStyle w:val="34"/>
        </w:rPr>
        <w:t xml:space="preserve"> 环境</w:t>
      </w:r>
      <w:r>
        <w:rPr>
          <w:rFonts w:hint="eastAsia"/>
        </w:rPr>
        <w:tab/>
      </w:r>
      <w:r>
        <w:rPr>
          <w:rFonts w:hint="eastAsia"/>
        </w:rPr>
        <w:fldChar w:fldCharType="begin"/>
      </w:r>
      <w:r>
        <w:rPr>
          <w:rFonts w:hint="eastAsia"/>
        </w:rPr>
        <w:instrText xml:space="preserve"> </w:instrText>
      </w:r>
      <w:r>
        <w:instrText xml:space="preserve">PAGEREF _Toc228300805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AD3F7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"_Toc228300806" </w:instrText>
      </w:r>
      <w:r>
        <w:fldChar w:fldCharType="separate"/>
      </w:r>
      <w:r>
        <w:rPr>
          <w:rStyle w:val="34"/>
        </w:rPr>
        <w:t>6  适应症与禁忌症</w:t>
      </w:r>
      <w:r>
        <w:rPr>
          <w:rFonts w:hint="eastAsia"/>
        </w:rPr>
        <w:tab/>
      </w:r>
      <w:r>
        <w:rPr>
          <w:rFonts w:hint="eastAsia"/>
        </w:rPr>
        <w:fldChar w:fldCharType="begin"/>
      </w:r>
      <w:r>
        <w:rPr>
          <w:rFonts w:hint="eastAsia"/>
        </w:rPr>
        <w:instrText xml:space="preserve"> </w:instrText>
      </w:r>
      <w:r>
        <w:instrText xml:space="preserve">PAGEREF _Toc228300806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467C49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"_Toc228300807" </w:instrText>
      </w:r>
      <w:r>
        <w:fldChar w:fldCharType="separate"/>
      </w:r>
      <w:r>
        <w:rPr>
          <w:rStyle w:val="34"/>
          <w14:scene3d>
            <w14:lightRig w14:rig="threePt" w14:dir="t">
              <w14:rot w14:lat="0" w14:lon="0" w14:rev="0"/>
            </w14:lightRig>
          </w14:scene3d>
        </w:rPr>
        <w:t xml:space="preserve">6.1 </w:t>
      </w:r>
      <w:r>
        <w:rPr>
          <w:rStyle w:val="34"/>
        </w:rPr>
        <w:t xml:space="preserve"> 适应症</w:t>
      </w:r>
      <w:r>
        <w:rPr>
          <w:rFonts w:hint="eastAsia"/>
        </w:rPr>
        <w:tab/>
      </w:r>
      <w:r>
        <w:rPr>
          <w:rFonts w:hint="eastAsia"/>
        </w:rPr>
        <w:fldChar w:fldCharType="begin"/>
      </w:r>
      <w:r>
        <w:rPr>
          <w:rFonts w:hint="eastAsia"/>
        </w:rPr>
        <w:instrText xml:space="preserve"> </w:instrText>
      </w:r>
      <w:r>
        <w:instrText xml:space="preserve">PAGEREF _Toc228300807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BEEB0D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"_Toc228300808" </w:instrText>
      </w:r>
      <w:r>
        <w:fldChar w:fldCharType="separate"/>
      </w:r>
      <w:r>
        <w:rPr>
          <w:rStyle w:val="34"/>
          <w14:scene3d>
            <w14:lightRig w14:rig="threePt" w14:dir="t">
              <w14:rot w14:lat="0" w14:lon="0" w14:rev="0"/>
            </w14:lightRig>
          </w14:scene3d>
        </w:rPr>
        <w:t xml:space="preserve">6.2 </w:t>
      </w:r>
      <w:r>
        <w:rPr>
          <w:rStyle w:val="34"/>
        </w:rPr>
        <w:t xml:space="preserve"> 禁忌症</w:t>
      </w:r>
      <w:r>
        <w:rPr>
          <w:rFonts w:hint="eastAsia"/>
        </w:rPr>
        <w:tab/>
      </w:r>
      <w:r>
        <w:rPr>
          <w:rFonts w:hint="eastAsia"/>
        </w:rPr>
        <w:fldChar w:fldCharType="begin"/>
      </w:r>
      <w:r>
        <w:rPr>
          <w:rFonts w:hint="eastAsia"/>
        </w:rPr>
        <w:instrText xml:space="preserve"> </w:instrText>
      </w:r>
      <w:r>
        <w:instrText xml:space="preserve">PAGEREF _Toc228300808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F0256C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"_Toc228300809" </w:instrText>
      </w:r>
      <w:r>
        <w:fldChar w:fldCharType="separate"/>
      </w:r>
      <w:r>
        <w:rPr>
          <w:rStyle w:val="34"/>
          <w14:scene3d>
            <w14:lightRig w14:rig="threePt" w14:dir="t">
              <w14:rot w14:lat="0" w14:lon="0" w14:rev="0"/>
            </w14:lightRig>
          </w14:scene3d>
        </w:rPr>
        <w:t xml:space="preserve">6.3 </w:t>
      </w:r>
      <w:r>
        <w:rPr>
          <w:rStyle w:val="34"/>
        </w:rPr>
        <w:t xml:space="preserve"> 慎用情况</w:t>
      </w:r>
      <w:r>
        <w:rPr>
          <w:rFonts w:hint="eastAsia"/>
        </w:rPr>
        <w:tab/>
      </w:r>
      <w:r>
        <w:rPr>
          <w:rFonts w:hint="eastAsia"/>
        </w:rPr>
        <w:fldChar w:fldCharType="begin"/>
      </w:r>
      <w:r>
        <w:rPr>
          <w:rFonts w:hint="eastAsia"/>
        </w:rPr>
        <w:instrText xml:space="preserve"> </w:instrText>
      </w:r>
      <w:r>
        <w:instrText xml:space="preserve">PAGEREF _Toc228300809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7C919F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"_Toc228300810" </w:instrText>
      </w:r>
      <w:r>
        <w:fldChar w:fldCharType="separate"/>
      </w:r>
      <w:r>
        <w:rPr>
          <w:rStyle w:val="34"/>
        </w:rPr>
        <w:t>7  评估</w:t>
      </w:r>
      <w:r>
        <w:rPr>
          <w:rFonts w:hint="eastAsia"/>
        </w:rPr>
        <w:tab/>
      </w:r>
      <w:r>
        <w:rPr>
          <w:rFonts w:hint="eastAsia"/>
        </w:rPr>
        <w:fldChar w:fldCharType="begin"/>
      </w:r>
      <w:r>
        <w:rPr>
          <w:rFonts w:hint="eastAsia"/>
        </w:rPr>
        <w:instrText xml:space="preserve"> </w:instrText>
      </w:r>
      <w:r>
        <w:instrText xml:space="preserve">PAGEREF _Toc228300810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8F5FF9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"_Toc228300811" </w:instrText>
      </w:r>
      <w:r>
        <w:fldChar w:fldCharType="separate"/>
      </w:r>
      <w:r>
        <w:rPr>
          <w:rStyle w:val="34"/>
          <w14:scene3d>
            <w14:lightRig w14:rig="threePt" w14:dir="t">
              <w14:rot w14:lat="0" w14:lon="0" w14:rev="0"/>
            </w14:lightRig>
          </w14:scene3d>
        </w:rPr>
        <w:t xml:space="preserve">7.1 </w:t>
      </w:r>
      <w:r>
        <w:rPr>
          <w:rStyle w:val="34"/>
        </w:rPr>
        <w:t xml:space="preserve"> 风险评估</w:t>
      </w:r>
      <w:r>
        <w:rPr>
          <w:rFonts w:hint="eastAsia"/>
        </w:rPr>
        <w:tab/>
      </w:r>
      <w:r>
        <w:rPr>
          <w:rFonts w:hint="eastAsia"/>
        </w:rPr>
        <w:fldChar w:fldCharType="begin"/>
      </w:r>
      <w:r>
        <w:rPr>
          <w:rFonts w:hint="eastAsia"/>
        </w:rPr>
        <w:instrText xml:space="preserve"> </w:instrText>
      </w:r>
      <w:r>
        <w:instrText xml:space="preserve">PAGEREF _Toc228300811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05BC636">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"_Toc228300812" </w:instrText>
      </w:r>
      <w:r>
        <w:fldChar w:fldCharType="separate"/>
      </w:r>
      <w:r>
        <w:rPr>
          <w:rStyle w:val="34"/>
          <w14:scene3d>
            <w14:lightRig w14:rig="threePt" w14:dir="t">
              <w14:rot w14:lat="0" w14:lon="0" w14:rev="0"/>
            </w14:lightRig>
          </w14:scene3d>
        </w:rPr>
        <w:t xml:space="preserve">7.2 </w:t>
      </w:r>
      <w:r>
        <w:rPr>
          <w:rStyle w:val="34"/>
        </w:rPr>
        <w:t xml:space="preserve"> 伤口评估</w:t>
      </w:r>
      <w:r>
        <w:rPr>
          <w:rFonts w:hint="eastAsia"/>
        </w:rPr>
        <w:tab/>
      </w:r>
      <w:r>
        <w:rPr>
          <w:rFonts w:hint="eastAsia"/>
        </w:rPr>
        <w:fldChar w:fldCharType="begin"/>
      </w:r>
      <w:r>
        <w:rPr>
          <w:rFonts w:hint="eastAsia"/>
        </w:rPr>
        <w:instrText xml:space="preserve"> </w:instrText>
      </w:r>
      <w:r>
        <w:instrText xml:space="preserve">PAGEREF _Toc228300812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BCFC47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"_Toc228300813" </w:instrText>
      </w:r>
      <w:r>
        <w:fldChar w:fldCharType="separate"/>
      </w:r>
      <w:r>
        <w:rPr>
          <w:rStyle w:val="34"/>
          <w14:scene3d>
            <w14:lightRig w14:rig="threePt" w14:dir="t">
              <w14:rot w14:lat="0" w14:lon="0" w14:rev="0"/>
            </w14:lightRig>
          </w14:scene3d>
        </w:rPr>
        <w:t xml:space="preserve">7.3 </w:t>
      </w:r>
      <w:r>
        <w:rPr>
          <w:rStyle w:val="34"/>
        </w:rPr>
        <w:t xml:space="preserve"> 血管评估</w:t>
      </w:r>
      <w:r>
        <w:rPr>
          <w:rFonts w:hint="eastAsia"/>
        </w:rPr>
        <w:tab/>
      </w:r>
      <w:r>
        <w:rPr>
          <w:rFonts w:hint="eastAsia"/>
        </w:rPr>
        <w:fldChar w:fldCharType="begin"/>
      </w:r>
      <w:r>
        <w:rPr>
          <w:rFonts w:hint="eastAsia"/>
        </w:rPr>
        <w:instrText xml:space="preserve"> </w:instrText>
      </w:r>
      <w:r>
        <w:instrText xml:space="preserve">PAGEREF _Toc228300813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CB18BB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"_Toc228300814" </w:instrText>
      </w:r>
      <w:r>
        <w:fldChar w:fldCharType="separate"/>
      </w:r>
      <w:r>
        <w:rPr>
          <w:rStyle w:val="34"/>
        </w:rPr>
        <w:t>8  操作要求</w:t>
      </w:r>
      <w:r>
        <w:rPr>
          <w:rFonts w:hint="eastAsia"/>
        </w:rPr>
        <w:tab/>
      </w:r>
      <w:r>
        <w:rPr>
          <w:rFonts w:hint="eastAsia"/>
        </w:rPr>
        <w:fldChar w:fldCharType="begin"/>
      </w:r>
      <w:r>
        <w:rPr>
          <w:rFonts w:hint="eastAsia"/>
        </w:rPr>
        <w:instrText xml:space="preserve"> </w:instrText>
      </w:r>
      <w:r>
        <w:instrText xml:space="preserve">PAGEREF _Toc228300814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24A783F">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"_Toc228300815" </w:instrText>
      </w:r>
      <w:r>
        <w:fldChar w:fldCharType="separate"/>
      </w:r>
      <w:r>
        <w:rPr>
          <w:rStyle w:val="34"/>
          <w14:scene3d>
            <w14:lightRig w14:rig="threePt" w14:dir="t">
              <w14:rot w14:lat="0" w14:lon="0" w14:rev="0"/>
            </w14:lightRig>
          </w14:scene3d>
        </w:rPr>
        <w:t xml:space="preserve">8.1 </w:t>
      </w:r>
      <w:r>
        <w:rPr>
          <w:rStyle w:val="34"/>
        </w:rPr>
        <w:t xml:space="preserve"> 操作流程</w:t>
      </w:r>
      <w:r>
        <w:rPr>
          <w:rFonts w:hint="eastAsia"/>
        </w:rPr>
        <w:tab/>
      </w:r>
      <w:r>
        <w:rPr>
          <w:rFonts w:hint="eastAsia"/>
        </w:rPr>
        <w:fldChar w:fldCharType="begin"/>
      </w:r>
      <w:r>
        <w:rPr>
          <w:rFonts w:hint="eastAsia"/>
        </w:rPr>
        <w:instrText xml:space="preserve"> </w:instrText>
      </w:r>
      <w:r>
        <w:instrText xml:space="preserve">PAGEREF _Toc228300815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DF3F7B5">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"_Toc228300816" </w:instrText>
      </w:r>
      <w:r>
        <w:fldChar w:fldCharType="separate"/>
      </w:r>
      <w:r>
        <w:rPr>
          <w:rStyle w:val="34"/>
          <w14:scene3d>
            <w14:lightRig w14:rig="threePt" w14:dir="t">
              <w14:rot w14:lat="0" w14:lon="0" w14:rev="0"/>
            </w14:lightRig>
          </w14:scene3d>
        </w:rPr>
        <w:t xml:space="preserve">8.2 </w:t>
      </w:r>
      <w:r>
        <w:rPr>
          <w:rStyle w:val="34"/>
          <w:rFonts w:ascii="Segoe UI" w:hAnsi="Segoe UI" w:cs="Segoe UI"/>
        </w:rPr>
        <w:t xml:space="preserve"> 治疗模式与压力参数</w:t>
      </w:r>
      <w:r>
        <w:rPr>
          <w:rFonts w:hint="eastAsia"/>
        </w:rPr>
        <w:tab/>
      </w:r>
      <w:r>
        <w:rPr>
          <w:rFonts w:hint="eastAsia"/>
        </w:rPr>
        <w:fldChar w:fldCharType="begin"/>
      </w:r>
      <w:r>
        <w:rPr>
          <w:rFonts w:hint="eastAsia"/>
        </w:rPr>
        <w:instrText xml:space="preserve"> </w:instrText>
      </w:r>
      <w:r>
        <w:instrText xml:space="preserve">PAGEREF _Toc228300816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372A71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"_Toc228300817" </w:instrText>
      </w:r>
      <w:r>
        <w:fldChar w:fldCharType="separate"/>
      </w:r>
      <w:r>
        <w:rPr>
          <w:rStyle w:val="34"/>
          <w14:scene3d>
            <w14:lightRig w14:rig="threePt" w14:dir="t">
              <w14:rot w14:lat="0" w14:lon="0" w14:rev="0"/>
            </w14:lightRig>
          </w14:scene3d>
        </w:rPr>
        <w:t xml:space="preserve">8.3 </w:t>
      </w:r>
      <w:r>
        <w:rPr>
          <w:rStyle w:val="34"/>
          <w:rFonts w:ascii="Segoe UI" w:hAnsi="Segoe UI" w:cs="Segoe UI"/>
        </w:rPr>
        <w:t xml:space="preserve"> 治疗期间护理与监测</w:t>
      </w:r>
      <w:r>
        <w:rPr>
          <w:rFonts w:hint="eastAsia"/>
        </w:rPr>
        <w:tab/>
      </w:r>
      <w:r>
        <w:rPr>
          <w:rFonts w:hint="eastAsia"/>
        </w:rPr>
        <w:fldChar w:fldCharType="begin"/>
      </w:r>
      <w:r>
        <w:rPr>
          <w:rFonts w:hint="eastAsia"/>
        </w:rPr>
        <w:instrText xml:space="preserve"> </w:instrText>
      </w:r>
      <w:r>
        <w:instrText xml:space="preserve">PAGEREF _Toc228300817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081942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"_Toc228300818" </w:instrText>
      </w:r>
      <w:r>
        <w:fldChar w:fldCharType="separate"/>
      </w:r>
      <w:r>
        <w:rPr>
          <w:rStyle w:val="34"/>
          <w14:scene3d>
            <w14:lightRig w14:rig="threePt" w14:dir="t">
              <w14:rot w14:lat="0" w14:lon="0" w14:rev="0"/>
            </w14:lightRig>
          </w14:scene3d>
        </w:rPr>
        <w:t xml:space="preserve">8.4 </w:t>
      </w:r>
      <w:r>
        <w:rPr>
          <w:rStyle w:val="34"/>
          <w:rFonts w:ascii="Segoe UI" w:hAnsi="Segoe UI" w:cs="Segoe UI"/>
        </w:rPr>
        <w:t xml:space="preserve"> 治疗终止与拔除</w:t>
      </w:r>
      <w:r>
        <w:rPr>
          <w:rFonts w:hint="eastAsia"/>
        </w:rPr>
        <w:tab/>
      </w:r>
      <w:r>
        <w:rPr>
          <w:rFonts w:hint="eastAsia"/>
        </w:rPr>
        <w:fldChar w:fldCharType="begin"/>
      </w:r>
      <w:r>
        <w:rPr>
          <w:rFonts w:hint="eastAsia"/>
        </w:rPr>
        <w:instrText xml:space="preserve"> </w:instrText>
      </w:r>
      <w:r>
        <w:instrText xml:space="preserve">PAGEREF _Toc228300818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61E1BE5">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"_Toc228300819" </w:instrText>
      </w:r>
      <w:r>
        <w:fldChar w:fldCharType="separate"/>
      </w:r>
      <w:r>
        <w:rPr>
          <w:rStyle w:val="34"/>
        </w:rPr>
        <w:t>9  常见并发症预防与处理</w:t>
      </w:r>
      <w:r>
        <w:rPr>
          <w:rFonts w:hint="eastAsia"/>
        </w:rPr>
        <w:tab/>
      </w:r>
      <w:r>
        <w:rPr>
          <w:rFonts w:hint="eastAsia"/>
        </w:rPr>
        <w:fldChar w:fldCharType="begin"/>
      </w:r>
      <w:r>
        <w:rPr>
          <w:rFonts w:hint="eastAsia"/>
        </w:rPr>
        <w:instrText xml:space="preserve"> </w:instrText>
      </w:r>
      <w:r>
        <w:instrText xml:space="preserve">PAGEREF _Toc228300819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C211E13">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"_Toc228300820" </w:instrText>
      </w:r>
      <w:r>
        <w:fldChar w:fldCharType="separate"/>
      </w:r>
      <w:r>
        <w:rPr>
          <w:rStyle w:val="34"/>
          <w14:scene3d>
            <w14:lightRig w14:rig="threePt" w14:dir="t">
              <w14:rot w14:lat="0" w14:lon="0" w14:rev="0"/>
            </w14:lightRig>
          </w14:scene3d>
        </w:rPr>
        <w:t xml:space="preserve">9.1 </w:t>
      </w:r>
      <w:r>
        <w:rPr>
          <w:rStyle w:val="34"/>
          <w:rFonts w:ascii="Segoe UI" w:hAnsi="Segoe UI" w:cs="Segoe UI"/>
        </w:rPr>
        <w:t xml:space="preserve"> 出血</w:t>
      </w:r>
      <w:r>
        <w:rPr>
          <w:rFonts w:hint="eastAsia"/>
        </w:rPr>
        <w:tab/>
      </w:r>
      <w:r>
        <w:rPr>
          <w:rFonts w:hint="eastAsia"/>
        </w:rPr>
        <w:fldChar w:fldCharType="begin"/>
      </w:r>
      <w:r>
        <w:rPr>
          <w:rFonts w:hint="eastAsia"/>
        </w:rPr>
        <w:instrText xml:space="preserve"> </w:instrText>
      </w:r>
      <w:r>
        <w:instrText xml:space="preserve">PAGEREF _Toc228300820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D8B7860">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"_Toc228300821" </w:instrText>
      </w:r>
      <w:r>
        <w:fldChar w:fldCharType="separate"/>
      </w:r>
      <w:r>
        <w:rPr>
          <w:rStyle w:val="34"/>
          <w14:scene3d>
            <w14:lightRig w14:rig="threePt" w14:dir="t">
              <w14:rot w14:lat="0" w14:lon="0" w14:rev="0"/>
            </w14:lightRig>
          </w14:scene3d>
        </w:rPr>
        <w:t xml:space="preserve">9.2 </w:t>
      </w:r>
      <w:r>
        <w:rPr>
          <w:rStyle w:val="34"/>
          <w:rFonts w:ascii="Segoe UI" w:hAnsi="Segoe UI" w:cs="Segoe UI"/>
        </w:rPr>
        <w:t xml:space="preserve"> 感染</w:t>
      </w:r>
      <w:r>
        <w:rPr>
          <w:rFonts w:hint="eastAsia"/>
        </w:rPr>
        <w:tab/>
      </w:r>
      <w:r>
        <w:rPr>
          <w:rFonts w:hint="eastAsia"/>
        </w:rPr>
        <w:fldChar w:fldCharType="begin"/>
      </w:r>
      <w:r>
        <w:rPr>
          <w:rFonts w:hint="eastAsia"/>
        </w:rPr>
        <w:instrText xml:space="preserve"> </w:instrText>
      </w:r>
      <w:r>
        <w:instrText xml:space="preserve">PAGEREF _Toc228300821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A95BA9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"_Toc228300822" </w:instrText>
      </w:r>
      <w:r>
        <w:fldChar w:fldCharType="separate"/>
      </w:r>
      <w:r>
        <w:rPr>
          <w:rStyle w:val="34"/>
          <w14:scene3d>
            <w14:lightRig w14:rig="threePt" w14:dir="t">
              <w14:rot w14:lat="0" w14:lon="0" w14:rev="0"/>
            </w14:lightRig>
          </w14:scene3d>
        </w:rPr>
        <w:t xml:space="preserve">9.3 </w:t>
      </w:r>
      <w:r>
        <w:rPr>
          <w:rStyle w:val="34"/>
          <w:rFonts w:ascii="Segoe UI" w:hAnsi="Segoe UI" w:cs="Segoe UI"/>
        </w:rPr>
        <w:t xml:space="preserve"> 创面周围皮肤损伤</w:t>
      </w:r>
      <w:r>
        <w:rPr>
          <w:rFonts w:hint="eastAsia"/>
        </w:rPr>
        <w:tab/>
      </w:r>
      <w:r>
        <w:rPr>
          <w:rFonts w:hint="eastAsia"/>
        </w:rPr>
        <w:fldChar w:fldCharType="begin"/>
      </w:r>
      <w:r>
        <w:rPr>
          <w:rFonts w:hint="eastAsia"/>
        </w:rPr>
        <w:instrText xml:space="preserve"> </w:instrText>
      </w:r>
      <w:r>
        <w:instrText xml:space="preserve">PAGEREF _Toc228300822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D230F4A">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"_Toc228300823" </w:instrText>
      </w:r>
      <w:r>
        <w:fldChar w:fldCharType="separate"/>
      </w:r>
      <w:r>
        <w:rPr>
          <w:rStyle w:val="34"/>
          <w14:scene3d>
            <w14:lightRig w14:rig="threePt" w14:dir="t">
              <w14:rot w14:lat="0" w14:lon="0" w14:rev="0"/>
            </w14:lightRig>
          </w14:scene3d>
        </w:rPr>
        <w:t xml:space="preserve">9.4 </w:t>
      </w:r>
      <w:r>
        <w:rPr>
          <w:rStyle w:val="34"/>
          <w:rFonts w:ascii="Segoe UI" w:hAnsi="Segoe UI" w:cs="Segoe UI"/>
        </w:rPr>
        <w:t xml:space="preserve"> 疼痛加剧</w:t>
      </w:r>
      <w:r>
        <w:rPr>
          <w:rFonts w:hint="eastAsia"/>
        </w:rPr>
        <w:tab/>
      </w:r>
      <w:r>
        <w:rPr>
          <w:rFonts w:hint="eastAsia"/>
        </w:rPr>
        <w:fldChar w:fldCharType="begin"/>
      </w:r>
      <w:r>
        <w:rPr>
          <w:rFonts w:hint="eastAsia"/>
        </w:rPr>
        <w:instrText xml:space="preserve"> </w:instrText>
      </w:r>
      <w:r>
        <w:instrText xml:space="preserve">PAGEREF _Toc228300823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50E4FB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"_Toc228300824" </w:instrText>
      </w:r>
      <w:r>
        <w:fldChar w:fldCharType="separate"/>
      </w:r>
      <w:r>
        <w:rPr>
          <w:rStyle w:val="34"/>
          <w14:scene3d>
            <w14:lightRig w14:rig="threePt" w14:dir="t">
              <w14:rot w14:lat="0" w14:lon="0" w14:rev="0"/>
            </w14:lightRig>
          </w14:scene3d>
        </w:rPr>
        <w:t xml:space="preserve">9.5 </w:t>
      </w:r>
      <w:r>
        <w:rPr>
          <w:rStyle w:val="34"/>
          <w:rFonts w:ascii="Segoe UI" w:hAnsi="Segoe UI" w:cs="Segoe UI"/>
        </w:rPr>
        <w:t xml:space="preserve"> 组织过度增生</w:t>
      </w:r>
      <w:r>
        <w:rPr>
          <w:rFonts w:hint="eastAsia"/>
        </w:rPr>
        <w:tab/>
      </w:r>
      <w:r>
        <w:rPr>
          <w:rFonts w:hint="eastAsia"/>
        </w:rPr>
        <w:fldChar w:fldCharType="begin"/>
      </w:r>
      <w:r>
        <w:rPr>
          <w:rFonts w:hint="eastAsia"/>
        </w:rPr>
        <w:instrText xml:space="preserve"> </w:instrText>
      </w:r>
      <w:r>
        <w:instrText xml:space="preserve">PAGEREF _Toc228300824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1150468">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"_Toc228300825" </w:instrText>
      </w:r>
      <w:r>
        <w:fldChar w:fldCharType="separate"/>
      </w:r>
      <w:r>
        <w:rPr>
          <w:rStyle w:val="34"/>
          <w14:scene3d>
            <w14:lightRig w14:rig="threePt" w14:dir="t">
              <w14:rot w14:lat="0" w14:lon="0" w14:rev="0"/>
            </w14:lightRig>
          </w14:scene3d>
        </w:rPr>
        <w:t xml:space="preserve">9.6 </w:t>
      </w:r>
      <w:r>
        <w:rPr>
          <w:rStyle w:val="34"/>
          <w:rFonts w:ascii="Segoe UI" w:hAnsi="Segoe UI" w:cs="Segoe UI"/>
        </w:rPr>
        <w:t xml:space="preserve"> 肠皮肤瘘</w:t>
      </w:r>
      <w:r>
        <w:rPr>
          <w:rFonts w:hint="eastAsia"/>
        </w:rPr>
        <w:tab/>
      </w:r>
      <w:r>
        <w:rPr>
          <w:rFonts w:hint="eastAsia"/>
        </w:rPr>
        <w:fldChar w:fldCharType="begin"/>
      </w:r>
      <w:r>
        <w:rPr>
          <w:rFonts w:hint="eastAsia"/>
        </w:rPr>
        <w:instrText xml:space="preserve"> </w:instrText>
      </w:r>
      <w:r>
        <w:instrText xml:space="preserve">PAGEREF _Toc228300825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E56FD52">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"_Toc228300826" </w:instrText>
      </w:r>
      <w:r>
        <w:fldChar w:fldCharType="separate"/>
      </w:r>
      <w:r>
        <w:rPr>
          <w:rStyle w:val="34"/>
          <w14:scene3d>
            <w14:lightRig w14:rig="threePt" w14:dir="t">
              <w14:rot w14:lat="0" w14:lon="0" w14:rev="0"/>
            </w14:lightRig>
          </w14:scene3d>
        </w:rPr>
        <w:t xml:space="preserve">9.7 </w:t>
      </w:r>
      <w:r>
        <w:rPr>
          <w:rStyle w:val="34"/>
          <w:rFonts w:ascii="Segoe UI" w:hAnsi="Segoe UI" w:cs="Segoe UI"/>
        </w:rPr>
        <w:t xml:space="preserve"> 过敏反应</w:t>
      </w:r>
      <w:r>
        <w:rPr>
          <w:rFonts w:hint="eastAsia"/>
        </w:rPr>
        <w:tab/>
      </w:r>
      <w:r>
        <w:rPr>
          <w:rFonts w:hint="eastAsia"/>
        </w:rPr>
        <w:fldChar w:fldCharType="begin"/>
      </w:r>
      <w:r>
        <w:rPr>
          <w:rFonts w:hint="eastAsia"/>
        </w:rPr>
        <w:instrText xml:space="preserve"> </w:instrText>
      </w:r>
      <w:r>
        <w:instrText xml:space="preserve">PAGEREF _Toc228300826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A411039">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"_Toc228300827" </w:instrText>
      </w:r>
      <w:r>
        <w:fldChar w:fldCharType="separate"/>
      </w:r>
      <w:r>
        <w:rPr>
          <w:rStyle w:val="34"/>
        </w:rPr>
        <w:t>10  健康教育</w:t>
      </w:r>
      <w:r>
        <w:rPr>
          <w:rFonts w:hint="eastAsia"/>
        </w:rPr>
        <w:tab/>
      </w:r>
      <w:r>
        <w:rPr>
          <w:rFonts w:hint="eastAsia"/>
        </w:rPr>
        <w:fldChar w:fldCharType="begin"/>
      </w:r>
      <w:r>
        <w:rPr>
          <w:rFonts w:hint="eastAsia"/>
        </w:rPr>
        <w:instrText xml:space="preserve"> </w:instrText>
      </w:r>
      <w:r>
        <w:instrText xml:space="preserve">PAGEREF _Toc228300827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D1847F4">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"_Toc228300828" </w:instrText>
      </w:r>
      <w:r>
        <w:fldChar w:fldCharType="separate"/>
      </w:r>
      <w:r>
        <w:rPr>
          <w:rStyle w:val="34"/>
          <w14:scene3d>
            <w14:lightRig w14:rig="threePt" w14:dir="t">
              <w14:rot w14:lat="0" w14:lon="0" w14:rev="0"/>
            </w14:lightRig>
          </w14:scene3d>
        </w:rPr>
        <w:t xml:space="preserve">10.1 </w:t>
      </w:r>
      <w:r>
        <w:rPr>
          <w:rStyle w:val="34"/>
          <w:rFonts w:ascii="Segoe UI" w:hAnsi="Segoe UI" w:cs="Segoe UI"/>
        </w:rPr>
        <w:t xml:space="preserve"> 治疗前宣教</w:t>
      </w:r>
      <w:r>
        <w:rPr>
          <w:rFonts w:hint="eastAsia"/>
        </w:rPr>
        <w:tab/>
      </w:r>
      <w:r>
        <w:rPr>
          <w:rFonts w:hint="eastAsia"/>
        </w:rPr>
        <w:fldChar w:fldCharType="begin"/>
      </w:r>
      <w:r>
        <w:rPr>
          <w:rFonts w:hint="eastAsia"/>
        </w:rPr>
        <w:instrText xml:space="preserve"> </w:instrText>
      </w:r>
      <w:r>
        <w:instrText xml:space="preserve">PAGEREF _Toc228300828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78D2F30">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"_Toc228300829" </w:instrText>
      </w:r>
      <w:r>
        <w:fldChar w:fldCharType="separate"/>
      </w:r>
      <w:r>
        <w:rPr>
          <w:rStyle w:val="34"/>
          <w14:scene3d>
            <w14:lightRig w14:rig="threePt" w14:dir="t">
              <w14:rot w14:lat="0" w14:lon="0" w14:rev="0"/>
            </w14:lightRig>
          </w14:scene3d>
        </w:rPr>
        <w:t xml:space="preserve">10.2 </w:t>
      </w:r>
      <w:r>
        <w:rPr>
          <w:rStyle w:val="34"/>
          <w:rFonts w:ascii="Segoe UI" w:hAnsi="Segoe UI" w:cs="Segoe UI"/>
        </w:rPr>
        <w:t xml:space="preserve"> 治疗中指导</w:t>
      </w:r>
      <w:r>
        <w:rPr>
          <w:rFonts w:hint="eastAsia"/>
        </w:rPr>
        <w:tab/>
      </w:r>
      <w:r>
        <w:rPr>
          <w:rFonts w:hint="eastAsia"/>
        </w:rPr>
        <w:fldChar w:fldCharType="begin"/>
      </w:r>
      <w:r>
        <w:rPr>
          <w:rFonts w:hint="eastAsia"/>
        </w:rPr>
        <w:instrText xml:space="preserve"> </w:instrText>
      </w:r>
      <w:r>
        <w:instrText xml:space="preserve">PAGEREF _Toc228300829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E580C3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"_Toc228300830" </w:instrText>
      </w:r>
      <w:r>
        <w:fldChar w:fldCharType="separate"/>
      </w:r>
      <w:r>
        <w:rPr>
          <w:rStyle w:val="34"/>
          <w14:scene3d>
            <w14:lightRig w14:rig="threePt" w14:dir="t">
              <w14:rot w14:lat="0" w14:lon="0" w14:rev="0"/>
            </w14:lightRig>
          </w14:scene3d>
        </w:rPr>
        <w:t xml:space="preserve">10.3 </w:t>
      </w:r>
      <w:r>
        <w:rPr>
          <w:rStyle w:val="34"/>
          <w:rFonts w:ascii="Segoe UI" w:hAnsi="Segoe UI" w:cs="Segoe UI"/>
        </w:rPr>
        <w:t xml:space="preserve"> 治疗后指导</w:t>
      </w:r>
      <w:r>
        <w:rPr>
          <w:rFonts w:hint="eastAsia"/>
        </w:rPr>
        <w:tab/>
      </w:r>
      <w:r>
        <w:rPr>
          <w:rFonts w:hint="eastAsia"/>
        </w:rPr>
        <w:fldChar w:fldCharType="begin"/>
      </w:r>
      <w:r>
        <w:rPr>
          <w:rFonts w:hint="eastAsia"/>
        </w:rPr>
        <w:instrText xml:space="preserve"> </w:instrText>
      </w:r>
      <w:r>
        <w:instrText xml:space="preserve">PAGEREF _Toc228300830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2D99AA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"_Toc228300831" </w:instrText>
      </w:r>
      <w:r>
        <w:fldChar w:fldCharType="separate"/>
      </w:r>
      <w:r>
        <w:rPr>
          <w:rStyle w:val="34"/>
        </w:rPr>
        <w:t>参考文献</w:t>
      </w:r>
      <w:r>
        <w:rPr>
          <w:rFonts w:hint="eastAsia"/>
        </w:rPr>
        <w:tab/>
      </w:r>
      <w:r>
        <w:rPr>
          <w:rFonts w:hint="eastAsia"/>
        </w:rPr>
        <w:fldChar w:fldCharType="begin"/>
      </w:r>
      <w:r>
        <w:rPr>
          <w:rFonts w:hint="eastAsia"/>
        </w:rPr>
        <w:instrText xml:space="preserve"> </w:instrText>
      </w:r>
      <w:r>
        <w:instrText xml:space="preserve">PAGEREF _Toc228300831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E19B460">
      <w:pPr>
        <w:pStyle w:val="94"/>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18BA6493">
      <w:pPr>
        <w:pStyle w:val="92"/>
        <w:spacing w:before="900" w:after="360"/>
      </w:pPr>
      <w:bookmarkStart w:id="37" w:name="_Toc228300797"/>
      <w:bookmarkStart w:id="38" w:name="BookMark2"/>
      <w:r>
        <w:rPr>
          <w:spacing w:val="320"/>
        </w:rPr>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B119F8">
      <w:pPr>
        <w:pStyle w:val="59"/>
        <w:ind w:firstLine="420"/>
      </w:pPr>
      <w:r>
        <w:rPr>
          <w:rFonts w:hint="eastAsia"/>
        </w:rPr>
        <w:t>本文件参照GB/T 1.1—2020《标准化工作导则  第1部分：标准化文件的结构和起草规则》的规定起草。</w:t>
      </w:r>
    </w:p>
    <w:p w14:paraId="423E0C45">
      <w:pPr>
        <w:pStyle w:val="59"/>
        <w:ind w:firstLine="420"/>
      </w:pPr>
      <w:r>
        <w:rPr>
          <w:rFonts w:hint="eastAsia"/>
        </w:rPr>
        <w:t>请注意本文件的某些内容可能涉及专利。本文件的发布机构不承担识别专利的责任。</w:t>
      </w:r>
    </w:p>
    <w:p w14:paraId="6169905A">
      <w:pPr>
        <w:pStyle w:val="59"/>
        <w:ind w:firstLine="420"/>
      </w:pPr>
      <w:r>
        <w:rPr>
          <w:rFonts w:hint="eastAsia"/>
        </w:rPr>
        <w:t>本文件由柳州市工人医院提出、</w:t>
      </w:r>
      <w:r>
        <w:t>归口</w:t>
      </w:r>
      <w:r>
        <w:rPr>
          <w:rFonts w:hint="eastAsia"/>
        </w:rPr>
        <w:t>并宣贯。</w:t>
      </w:r>
    </w:p>
    <w:p w14:paraId="29D3AC01">
      <w:pPr>
        <w:pStyle w:val="59"/>
        <w:ind w:firstLine="420"/>
      </w:pPr>
      <w:r>
        <w:rPr>
          <w:rFonts w:hint="eastAsia"/>
        </w:rPr>
        <w:t>本文件起草单位：</w:t>
      </w:r>
      <w:r>
        <w:t>柳州市工人医院、中国人民解放军陆军军医大学第一附属医院、首都医科大学附属北京同仁医院、广西医科大学第一附属医院、广西医科大学附属肿瘤医院、桂林医科大学第一附属医院、玉林市第一人民医院</w:t>
      </w:r>
      <w:r>
        <w:rPr>
          <w:rFonts w:hint="eastAsia"/>
        </w:rPr>
        <w:t>。</w:t>
      </w:r>
    </w:p>
    <w:p w14:paraId="387A7E00">
      <w:pPr>
        <w:pStyle w:val="59"/>
        <w:ind w:firstLine="420"/>
      </w:pPr>
      <w:r>
        <w:rPr>
          <w:rFonts w:hint="eastAsia"/>
        </w:rPr>
        <w:t>本文件主要起草人：</w:t>
      </w:r>
      <w:r>
        <w:rPr>
          <w:rFonts w:hint="eastAsia"/>
          <w:highlight w:val="none"/>
        </w:rPr>
        <w:t>宋蕊、刘小春、韦瑞丽、周丹、王彤华、王楠楠、毛庆龙、黎宁、张欣、谢湘涛、黄静、首家保、左红群、苏梅芳、秦志英、唐丽丽、覃海莲、谢利勤、陈华玲、胡琴燕、杨玲玲</w:t>
      </w:r>
      <w:r>
        <w:rPr>
          <w:rFonts w:hint="eastAsia"/>
          <w:highlight w:val="none"/>
          <w:lang w:eastAsia="zh-CN"/>
        </w:rPr>
        <w:t>、</w:t>
      </w:r>
      <w:r>
        <w:rPr>
          <w:rFonts w:hint="eastAsia"/>
          <w:highlight w:val="none"/>
        </w:rPr>
        <w:t>陆璐、龙照忠、陈英斌、刘波、邓积缘、钟静静、潘静</w:t>
      </w:r>
      <w:r>
        <w:rPr>
          <w:rFonts w:hint="eastAsia"/>
        </w:rPr>
        <w:t>。</w:t>
      </w:r>
    </w:p>
    <w:p w14:paraId="4E40A575">
      <w:pPr>
        <w:pStyle w:val="59"/>
        <w:ind w:firstLine="420"/>
        <w:rPr>
          <w:color w:val="FF0000"/>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38"/>
    <w:p w14:paraId="21186315">
      <w:pPr>
        <w:spacing w:line="20" w:lineRule="exact"/>
        <w:jc w:val="center"/>
        <w:rPr>
          <w:rFonts w:hint="eastAsia" w:ascii="黑体" w:hAnsi="黑体" w:eastAsia="黑体"/>
          <w:sz w:val="32"/>
          <w:szCs w:val="32"/>
        </w:rPr>
      </w:pPr>
      <w:bookmarkStart w:id="39" w:name="BookMark4"/>
    </w:p>
    <w:p w14:paraId="3F9DCD7C">
      <w:pPr>
        <w:spacing w:line="20" w:lineRule="exact"/>
        <w:jc w:val="center"/>
        <w:rPr>
          <w:rFonts w:hint="eastAsia" w:ascii="黑体" w:hAnsi="黑体" w:eastAsia="黑体"/>
          <w:sz w:val="32"/>
          <w:szCs w:val="32"/>
        </w:rPr>
      </w:pPr>
    </w:p>
    <w:sdt>
      <w:sdtPr>
        <w:tag w:val="NEW_STAND_NAME"/>
        <w:id w:val="595910757"/>
        <w:lock w:val="sdtLocked"/>
        <w:placeholder>
          <w:docPart w:val="E1F0EF43A3B34C268A07D989C36D1384"/>
        </w:placeholder>
      </w:sdtPr>
      <w:sdtContent>
        <w:p w14:paraId="5FC0FABE">
          <w:pPr>
            <w:pStyle w:val="180"/>
            <w:spacing w:before="240" w:beforeLines="100" w:after="2" w:afterLines="1"/>
            <w:rPr>
              <w:rFonts w:hint="eastAsia"/>
            </w:rPr>
          </w:pPr>
          <w:bookmarkStart w:id="40" w:name="NEW_STAND_NAME"/>
          <w:r>
            <w:rPr>
              <w:rFonts w:hint="eastAsia"/>
            </w:rPr>
            <w:t>成人慢性伤口负压伤口治疗（NPWT）</w:t>
          </w:r>
        </w:p>
        <w:p w14:paraId="23E0D202">
          <w:pPr>
            <w:pStyle w:val="180"/>
            <w:spacing w:before="2" w:beforeLines="1" w:after="680"/>
            <w:rPr>
              <w:rFonts w:hint="eastAsia"/>
            </w:rPr>
          </w:pPr>
          <w:r>
            <w:rPr>
              <w:rFonts w:hint="eastAsia"/>
            </w:rPr>
            <w:t>护理规范</w:t>
          </w:r>
        </w:p>
      </w:sdtContent>
    </w:sdt>
    <w:bookmarkEnd w:id="40"/>
    <w:p w14:paraId="02E566E7">
      <w:pPr>
        <w:pStyle w:val="107"/>
        <w:spacing w:before="240" w:after="240"/>
      </w:pPr>
      <w:bookmarkStart w:id="41" w:name="_Toc199185087"/>
      <w:bookmarkStart w:id="42" w:name="_Toc193467379"/>
      <w:bookmarkStart w:id="43" w:name="_Toc203640854"/>
      <w:bookmarkStart w:id="44" w:name="_Toc193466097"/>
      <w:bookmarkStart w:id="45" w:name="_Toc17233333"/>
      <w:bookmarkStart w:id="46" w:name="_Toc17233325"/>
      <w:bookmarkStart w:id="47" w:name="_Toc97192964"/>
      <w:bookmarkStart w:id="48" w:name="_Toc201347709"/>
      <w:bookmarkStart w:id="49" w:name="_Toc209691883"/>
      <w:bookmarkStart w:id="50" w:name="_Toc207908997"/>
      <w:bookmarkStart w:id="51" w:name="_Toc201346560"/>
      <w:bookmarkStart w:id="52" w:name="_Toc215573383"/>
      <w:bookmarkStart w:id="53" w:name="_Toc213001463"/>
      <w:bookmarkStart w:id="54" w:name="_Toc26986771"/>
      <w:bookmarkStart w:id="55" w:name="_Toc24884218"/>
      <w:bookmarkStart w:id="56" w:name="_Toc24884211"/>
      <w:bookmarkStart w:id="57" w:name="_Toc26986530"/>
      <w:bookmarkStart w:id="58" w:name="_Toc208501504"/>
      <w:bookmarkStart w:id="59" w:name="_Toc26718930"/>
      <w:bookmarkStart w:id="60" w:name="_Toc215839195"/>
      <w:bookmarkStart w:id="61" w:name="_Toc228300653"/>
      <w:bookmarkStart w:id="62" w:name="_Toc198571783"/>
      <w:bookmarkStart w:id="63" w:name="_Toc213874293"/>
      <w:bookmarkStart w:id="64" w:name="_Toc26648465"/>
      <w:bookmarkStart w:id="65" w:name="_Toc228300798"/>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24F1336">
      <w:pPr>
        <w:pStyle w:val="59"/>
        <w:ind w:firstLine="420"/>
      </w:pPr>
      <w:bookmarkStart w:id="66" w:name="_Toc17233334"/>
      <w:bookmarkStart w:id="67" w:name="_Toc24884219"/>
      <w:bookmarkStart w:id="68" w:name="_Toc26648466"/>
      <w:bookmarkStart w:id="69" w:name="_Toc24884212"/>
      <w:bookmarkStart w:id="70" w:name="_Toc17233326"/>
      <w:r>
        <w:rPr>
          <w:rFonts w:hint="eastAsia"/>
        </w:rPr>
        <w:t>本文件</w:t>
      </w:r>
      <w:r>
        <w:t>规定了</w:t>
      </w:r>
      <w:bookmarkStart w:id="71" w:name="OLE_LINK1"/>
      <w:r>
        <w:t>成人慢性伤口负压伤口治疗</w:t>
      </w:r>
      <w:bookmarkEnd w:id="71"/>
      <w:r>
        <w:t>（NPWT）护理的基本要求、评估、操作要求、并发症预防与处置、健康教育</w:t>
      </w:r>
      <w:r>
        <w:rPr>
          <w:rFonts w:hint="eastAsia"/>
        </w:rPr>
        <w:t>的</w:t>
      </w:r>
      <w:r>
        <w:t>内容。</w:t>
      </w:r>
    </w:p>
    <w:p w14:paraId="0EA0F070">
      <w:pPr>
        <w:pStyle w:val="59"/>
        <w:ind w:firstLine="420"/>
      </w:pPr>
      <w:r>
        <w:t>本文件适用于医疗机构</w:t>
      </w:r>
      <w:r>
        <w:rPr>
          <w:rFonts w:hint="eastAsia"/>
        </w:rPr>
        <w:t>进行</w:t>
      </w:r>
      <w:r>
        <w:t>成人慢性伤口负压伤口治疗。</w:t>
      </w:r>
    </w:p>
    <w:p w14:paraId="0EA86348">
      <w:pPr>
        <w:pStyle w:val="107"/>
        <w:spacing w:before="240" w:after="240"/>
      </w:pPr>
      <w:bookmarkStart w:id="72" w:name="_Toc213874294"/>
      <w:bookmarkStart w:id="73" w:name="_Toc203640855"/>
      <w:bookmarkStart w:id="74" w:name="_Toc201346561"/>
      <w:bookmarkStart w:id="75" w:name="_Toc228300799"/>
      <w:bookmarkStart w:id="76" w:name="_Toc26986531"/>
      <w:bookmarkStart w:id="77" w:name="_Toc215839196"/>
      <w:bookmarkStart w:id="78" w:name="_Toc215573384"/>
      <w:bookmarkStart w:id="79" w:name="_Toc208501505"/>
      <w:bookmarkStart w:id="80" w:name="_Toc193467380"/>
      <w:bookmarkStart w:id="81" w:name="_Toc26718931"/>
      <w:bookmarkStart w:id="82" w:name="_Toc97192965"/>
      <w:bookmarkStart w:id="83" w:name="_Toc213001464"/>
      <w:bookmarkStart w:id="84" w:name="_Toc193466098"/>
      <w:bookmarkStart w:id="85" w:name="_Toc201347710"/>
      <w:bookmarkStart w:id="86" w:name="_Toc207908998"/>
      <w:bookmarkStart w:id="87" w:name="_Toc198571784"/>
      <w:bookmarkStart w:id="88" w:name="_Toc228300654"/>
      <w:bookmarkStart w:id="89" w:name="_Toc209691884"/>
      <w:bookmarkStart w:id="90" w:name="_Toc199185088"/>
      <w:bookmarkStart w:id="91" w:name="_Toc26986772"/>
      <w:r>
        <w:rPr>
          <w:rFonts w:hint="eastAsia"/>
        </w:rPr>
        <w:t>规范性引用文件</w:t>
      </w:r>
      <w:bookmarkEnd w:id="66"/>
      <w:bookmarkEnd w:id="67"/>
      <w:bookmarkEnd w:id="68"/>
      <w:bookmarkEnd w:id="69"/>
      <w:bookmarkEnd w:id="7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sdt>
      <w:sdtPr>
        <w:rPr>
          <w:rFonts w:hint="eastAsia"/>
        </w:rPr>
        <w:id w:val="715848253"/>
        <w:placeholder>
          <w:docPart w:val="466FA48B240D4E29A14CC12E4D39C8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CF57DC5">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5754FE">
      <w:pPr>
        <w:pStyle w:val="59"/>
        <w:ind w:firstLine="420"/>
      </w:pPr>
      <w:bookmarkStart w:id="92" w:name="_Toc201346562"/>
      <w:bookmarkStart w:id="93" w:name="_Toc199185089"/>
      <w:bookmarkStart w:id="94" w:name="_Toc203640856"/>
      <w:bookmarkStart w:id="95" w:name="_Toc215573385"/>
      <w:bookmarkStart w:id="96" w:name="_Toc97192966"/>
      <w:bookmarkStart w:id="97" w:name="_Toc193466099"/>
      <w:bookmarkStart w:id="98" w:name="_Toc198571785"/>
      <w:bookmarkStart w:id="99" w:name="_Toc201347711"/>
      <w:bookmarkStart w:id="100" w:name="_Toc208501506"/>
      <w:bookmarkStart w:id="101" w:name="_Toc213001465"/>
      <w:bookmarkStart w:id="102" w:name="_Toc213874295"/>
      <w:bookmarkStart w:id="103" w:name="_Toc215839197"/>
      <w:bookmarkStart w:id="104" w:name="_Toc207908999"/>
      <w:bookmarkStart w:id="105" w:name="_Toc193467381"/>
      <w:bookmarkStart w:id="106" w:name="_Toc209691885"/>
      <w:r>
        <w:t>GB 15982</w:t>
      </w:r>
      <w:r>
        <w:rPr>
          <w:rFonts w:hint="eastAsia"/>
        </w:rPr>
        <w:t xml:space="preserve">  </w:t>
      </w:r>
      <w:r>
        <w:t>医院</w:t>
      </w:r>
      <w:bookmarkStart w:id="107" w:name="OLE_LINK3"/>
      <w:r>
        <w:t>消毒卫生</w:t>
      </w:r>
      <w:bookmarkEnd w:id="107"/>
      <w:r>
        <w:t>标准</w:t>
      </w:r>
    </w:p>
    <w:p w14:paraId="4BD598F6">
      <w:pPr>
        <w:pStyle w:val="59"/>
        <w:ind w:firstLine="420"/>
      </w:pPr>
      <w:r>
        <w:t>WS/T 313</w:t>
      </w:r>
      <w:r>
        <w:rPr>
          <w:rFonts w:hint="eastAsia"/>
        </w:rPr>
        <w:t xml:space="preserve"> </w:t>
      </w:r>
      <w:r>
        <w:t xml:space="preserve"> 医务人员手卫生规范</w:t>
      </w:r>
    </w:p>
    <w:p w14:paraId="20E6ECBF">
      <w:pPr>
        <w:pStyle w:val="107"/>
        <w:spacing w:before="240" w:after="240"/>
      </w:pPr>
      <w:bookmarkStart w:id="108" w:name="_Toc228300800"/>
      <w:bookmarkStart w:id="109" w:name="_Toc228300655"/>
      <w:bookmarkStart w:id="224" w:name="_GoBack"/>
      <w:r>
        <w:rPr>
          <w:rFonts w:hint="eastAsia"/>
          <w:szCs w:val="21"/>
        </w:rPr>
        <w:t>术语和定义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8"/>
      <w:bookmarkEnd w:id="109"/>
    </w:p>
    <w:sdt>
      <w:sdtPr>
        <w:id w:val="-1909835108"/>
        <w:placeholder>
          <w:docPart w:val="DD9E82EC29CB4442A74198B8506D1A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1530BB">
          <w:pPr>
            <w:pStyle w:val="59"/>
            <w:ind w:firstLine="420"/>
          </w:pPr>
          <w:bookmarkStart w:id="110" w:name="_Toc26986532"/>
          <w:bookmarkEnd w:id="110"/>
          <w:r>
            <w:t>下列术语和定义适用于本文件。</w:t>
          </w:r>
        </w:p>
      </w:sdtContent>
    </w:sdt>
    <w:p w14:paraId="05FB4B81">
      <w:pPr>
        <w:pStyle w:val="226"/>
        <w:ind w:left="420" w:hanging="420" w:hangingChars="200"/>
        <w:rPr>
          <w:rFonts w:hint="eastAsia" w:ascii="黑体" w:hAnsi="黑体" w:eastAsia="黑体"/>
        </w:rPr>
      </w:pPr>
      <w:bookmarkStart w:id="111" w:name="_Toc201346563"/>
      <w:bookmarkStart w:id="112" w:name="_Toc199185090"/>
      <w:bookmarkStart w:id="113" w:name="_Toc203640857"/>
      <w:bookmarkStart w:id="114" w:name="_Toc198571786"/>
      <w:bookmarkStart w:id="115" w:name="_Toc201347712"/>
      <w:bookmarkStart w:id="116" w:name="_Toc193467382"/>
      <w:bookmarkStart w:id="117" w:name="_Toc193466100"/>
      <w:r>
        <w:rPr>
          <w:rFonts w:ascii="黑体" w:hAnsi="黑体" w:eastAsia="黑体"/>
          <w:color w:val="00B050"/>
        </w:rPr>
        <w:br w:type="textWrapping"/>
      </w:r>
      <w:r>
        <w:rPr>
          <w:rFonts w:ascii="黑体" w:hAnsi="黑体" w:eastAsia="黑体"/>
        </w:rPr>
        <w:t xml:space="preserve">负压伤口治疗 </w:t>
      </w:r>
      <w:r>
        <w:rPr>
          <w:rFonts w:hint="eastAsia" w:ascii="黑体" w:hAnsi="黑体" w:eastAsia="黑体"/>
        </w:rPr>
        <w:t xml:space="preserve"> </w:t>
      </w:r>
      <w:r>
        <w:rPr>
          <w:rFonts w:ascii="黑体" w:hAnsi="黑体" w:eastAsia="黑体"/>
        </w:rPr>
        <w:t>negative-pressure wound therapy</w:t>
      </w:r>
    </w:p>
    <w:p w14:paraId="148C57FA">
      <w:pPr>
        <w:pStyle w:val="59"/>
        <w:ind w:firstLine="420"/>
        <w:rPr>
          <w:color w:val="000000" w:themeColor="text1"/>
          <w14:textFill>
            <w14:solidFill>
              <w14:schemeClr w14:val="tx1"/>
            </w14:solidFill>
          </w14:textFill>
        </w:rPr>
      </w:pPr>
      <w:r>
        <w:rPr>
          <w:color w:val="000000" w:themeColor="text1"/>
          <w14:textFill>
            <w14:solidFill>
              <w14:schemeClr w14:val="tx1"/>
            </w14:solidFill>
          </w14:textFill>
        </w:rPr>
        <w:t>通过专用设备在创面施加可控负压（通常为–55</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mmHg至–175</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mmHg）以促进伤口愈合的治疗方式</w:t>
      </w:r>
      <w:r>
        <w:rPr>
          <w:rFonts w:hint="eastAsia"/>
          <w:color w:val="000000" w:themeColor="text1"/>
          <w14:textFill>
            <w14:solidFill>
              <w14:schemeClr w14:val="tx1"/>
            </w14:solidFill>
          </w14:textFill>
        </w:rPr>
        <w:t>。</w:t>
      </w:r>
    </w:p>
    <w:bookmarkEnd w:id="224"/>
    <w:p w14:paraId="446DE9C7">
      <w:pPr>
        <w:pStyle w:val="107"/>
        <w:spacing w:before="240" w:after="240"/>
      </w:pPr>
      <w:bookmarkStart w:id="118" w:name="_Toc207909000"/>
      <w:bookmarkStart w:id="119" w:name="_Toc213001466"/>
      <w:bookmarkStart w:id="120" w:name="_Toc209691886"/>
      <w:bookmarkStart w:id="121" w:name="_Toc208501507"/>
      <w:bookmarkStart w:id="122" w:name="_Toc215573386"/>
      <w:bookmarkStart w:id="123" w:name="_Toc215839198"/>
      <w:bookmarkStart w:id="124" w:name="_Toc228300656"/>
      <w:bookmarkStart w:id="125" w:name="_Toc228300801"/>
      <w:bookmarkStart w:id="126" w:name="_Toc213874296"/>
      <w:r>
        <w:rPr>
          <w:rFonts w:hint="eastAsia"/>
        </w:rPr>
        <w:t>缩略语</w:t>
      </w:r>
      <w:bookmarkEnd w:id="111"/>
      <w:bookmarkEnd w:id="112"/>
      <w:bookmarkEnd w:id="113"/>
      <w:bookmarkEnd w:id="114"/>
      <w:bookmarkEnd w:id="115"/>
      <w:bookmarkEnd w:id="116"/>
      <w:bookmarkEnd w:id="118"/>
      <w:bookmarkEnd w:id="119"/>
      <w:bookmarkEnd w:id="120"/>
      <w:bookmarkEnd w:id="121"/>
      <w:bookmarkEnd w:id="122"/>
      <w:bookmarkEnd w:id="123"/>
      <w:bookmarkEnd w:id="124"/>
      <w:bookmarkEnd w:id="125"/>
      <w:bookmarkEnd w:id="126"/>
    </w:p>
    <w:p w14:paraId="47AE5208">
      <w:pPr>
        <w:pStyle w:val="59"/>
        <w:ind w:firstLine="420"/>
      </w:pPr>
      <w:r>
        <w:rPr>
          <w:rFonts w:hint="eastAsia"/>
        </w:rPr>
        <w:t>下列缩略语适用于本文件。</w:t>
      </w:r>
    </w:p>
    <w:p w14:paraId="6ADA1429">
      <w:pPr>
        <w:pStyle w:val="59"/>
        <w:ind w:firstLine="420"/>
        <w:rPr>
          <w:color w:val="000000" w:themeColor="text1"/>
          <w14:textFill>
            <w14:solidFill>
              <w14:schemeClr w14:val="tx1"/>
            </w14:solidFill>
          </w14:textFill>
        </w:rPr>
      </w:pPr>
      <w:r>
        <w:rPr>
          <w:color w:val="000000" w:themeColor="text1"/>
          <w14:textFill>
            <w14:solidFill>
              <w14:schemeClr w14:val="tx1"/>
            </w14:solidFill>
          </w14:textFill>
        </w:rPr>
        <w:t>NPWT：负压伤口治疗（negative-pressure wound therapy</w:t>
      </w:r>
      <w:bookmarkStart w:id="127" w:name="OLE_LINK14"/>
      <w:r>
        <w:rPr>
          <w:rFonts w:hint="eastAsia"/>
          <w:color w:val="000000" w:themeColor="text1"/>
          <w14:textFill>
            <w14:solidFill>
              <w14:schemeClr w14:val="tx1"/>
            </w14:solidFill>
          </w14:textFill>
        </w:rPr>
        <w:t>）</w:t>
      </w:r>
    </w:p>
    <w:bookmarkEnd w:id="117"/>
    <w:bookmarkEnd w:id="127"/>
    <w:p w14:paraId="4B445863">
      <w:pPr>
        <w:pStyle w:val="107"/>
        <w:spacing w:before="240" w:after="240"/>
      </w:pPr>
      <w:bookmarkStart w:id="128" w:name="_Toc228300802"/>
      <w:bookmarkStart w:id="129" w:name="_Toc228300657"/>
      <w:bookmarkStart w:id="130" w:name="_Toc207909001"/>
      <w:bookmarkStart w:id="131" w:name="_Toc203640858"/>
      <w:bookmarkStart w:id="132" w:name="_Toc213874297"/>
      <w:bookmarkStart w:id="133" w:name="_Toc201346564"/>
      <w:bookmarkStart w:id="134" w:name="_Toc201347713"/>
      <w:bookmarkStart w:id="135" w:name="_Toc215573387"/>
      <w:bookmarkStart w:id="136" w:name="_Toc213001467"/>
      <w:bookmarkStart w:id="137" w:name="_Toc208501508"/>
      <w:bookmarkStart w:id="138" w:name="_Toc215839199"/>
      <w:bookmarkStart w:id="139" w:name="_Toc209691887"/>
      <w:r>
        <w:rPr>
          <w:rFonts w:hint="eastAsia"/>
        </w:rPr>
        <w:t>基本要求</w:t>
      </w:r>
      <w:bookmarkEnd w:id="128"/>
      <w:bookmarkEnd w:id="129"/>
      <w:bookmarkEnd w:id="130"/>
      <w:bookmarkEnd w:id="131"/>
      <w:bookmarkEnd w:id="132"/>
      <w:bookmarkEnd w:id="133"/>
      <w:bookmarkEnd w:id="134"/>
      <w:bookmarkEnd w:id="135"/>
      <w:bookmarkEnd w:id="136"/>
      <w:bookmarkEnd w:id="137"/>
      <w:bookmarkEnd w:id="138"/>
      <w:bookmarkEnd w:id="139"/>
    </w:p>
    <w:p w14:paraId="17FFB299">
      <w:pPr>
        <w:pStyle w:val="108"/>
        <w:spacing w:before="120" w:after="120"/>
      </w:pPr>
      <w:bookmarkStart w:id="140" w:name="_Toc203640859"/>
      <w:bookmarkStart w:id="141" w:name="_Toc198571788"/>
      <w:bookmarkStart w:id="142" w:name="_Toc193466101"/>
      <w:bookmarkStart w:id="143" w:name="_Toc201346565"/>
      <w:bookmarkStart w:id="144" w:name="_Toc215839200"/>
      <w:bookmarkStart w:id="145" w:name="_Toc201347714"/>
      <w:bookmarkStart w:id="146" w:name="_Toc199185092"/>
      <w:bookmarkStart w:id="147" w:name="_Toc193467384"/>
      <w:bookmarkStart w:id="148" w:name="_Toc228300658"/>
      <w:bookmarkStart w:id="149" w:name="_Toc228300803"/>
      <w:bookmarkStart w:id="150" w:name="_Toc213001468"/>
      <w:bookmarkStart w:id="151" w:name="_Toc208501509"/>
      <w:bookmarkStart w:id="152" w:name="_Toc215573388"/>
      <w:bookmarkStart w:id="153" w:name="_Toc209691888"/>
      <w:bookmarkStart w:id="154" w:name="_Toc213874298"/>
      <w:bookmarkStart w:id="155" w:name="_Toc207909002"/>
      <w:r>
        <w:rPr>
          <w:rFonts w:hint="eastAsia"/>
        </w:rPr>
        <w:t>人员</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31663D8">
      <w:pPr>
        <w:pStyle w:val="168"/>
      </w:pPr>
      <w:r>
        <w:t>应经过NPWT护理操作系统培训并考核合格。</w:t>
      </w:r>
    </w:p>
    <w:p w14:paraId="2C066E94">
      <w:pPr>
        <w:pStyle w:val="168"/>
      </w:pPr>
      <w:r>
        <w:t>应</w:t>
      </w:r>
      <w:r>
        <w:rPr>
          <w:rFonts w:hint="eastAsia"/>
        </w:rPr>
        <w:t>熟悉和掌握的</w:t>
      </w:r>
      <w:r>
        <w:t>内容包括但不限于：NPWT的基本原理、适应症与禁忌症；各类伤口评估方法与治疗前准备；NPWT设备的操作与参数设置；敷料的选择、裁剪与密封技术；并发症的早期识别与处置；患者健康教育与心理护理；突发事件应急预案。</w:t>
      </w:r>
    </w:p>
    <w:p w14:paraId="3D4B2C12">
      <w:pPr>
        <w:pStyle w:val="108"/>
        <w:spacing w:before="120" w:after="120"/>
        <w:rPr>
          <w:b w:val="0"/>
          <w:bCs w:val="0"/>
        </w:rPr>
      </w:pPr>
      <w:bookmarkStart w:id="156" w:name="_Toc228300659"/>
      <w:bookmarkStart w:id="157" w:name="_Toc228300804"/>
      <w:bookmarkStart w:id="158" w:name="OLE_LINK13"/>
      <w:bookmarkStart w:id="159" w:name="OLE_LINK16"/>
      <w:r>
        <w:rPr>
          <w:rFonts w:hint="eastAsia"/>
          <w:b w:val="0"/>
          <w:bCs w:val="0"/>
        </w:rPr>
        <w:t>设备与耗材</w:t>
      </w:r>
      <w:bookmarkEnd w:id="156"/>
      <w:bookmarkEnd w:id="157"/>
    </w:p>
    <w:p w14:paraId="33133703">
      <w:pPr>
        <w:pStyle w:val="168"/>
        <w:rPr>
          <w:b w:val="0"/>
          <w:bCs w:val="0"/>
        </w:rPr>
      </w:pPr>
      <w:bookmarkStart w:id="160" w:name="OLE_LINK2"/>
      <w:r>
        <w:rPr>
          <w:rFonts w:hint="eastAsia"/>
          <w:b w:val="0"/>
          <w:bCs w:val="0"/>
        </w:rPr>
        <w:t>应</w:t>
      </w:r>
      <w:bookmarkEnd w:id="160"/>
      <w:r>
        <w:rPr>
          <w:rFonts w:hint="eastAsia"/>
          <w:b w:val="0"/>
          <w:bCs w:val="0"/>
        </w:rPr>
        <w:t>配备负压治疗设备，并按设备说明书进行维护保养。</w:t>
      </w:r>
    </w:p>
    <w:p w14:paraId="7E73460E">
      <w:pPr>
        <w:pStyle w:val="168"/>
        <w:rPr>
          <w:b w:val="0"/>
          <w:bCs w:val="0"/>
        </w:rPr>
      </w:pPr>
      <w:r>
        <w:rPr>
          <w:rFonts w:hint="eastAsia"/>
          <w:b w:val="0"/>
          <w:bCs w:val="0"/>
        </w:rPr>
        <w:t>应配备一次性使用无菌敷料。敷料类型选择应综合考虑伤口性质、渗出量、伤口形态及深度。窦道、潜行及深腔伤口宜选用白色聚乙烯醇泡沫，创面主体宜使用黑色聚氨酯泡沫。</w:t>
      </w:r>
    </w:p>
    <w:p w14:paraId="4A5A54FA">
      <w:pPr>
        <w:pStyle w:val="168"/>
      </w:pPr>
      <w:r>
        <w:rPr>
          <w:rFonts w:hint="eastAsia"/>
        </w:rPr>
        <w:t>应配备一次性无菌贴膜、引流管、接头、引流瓶/引流袋。</w:t>
      </w:r>
    </w:p>
    <w:p w14:paraId="32373DD1">
      <w:pPr>
        <w:pStyle w:val="108"/>
        <w:spacing w:before="120" w:after="120"/>
      </w:pPr>
      <w:bookmarkStart w:id="161" w:name="_Toc228300805"/>
      <w:bookmarkStart w:id="162" w:name="_Toc228300660"/>
      <w:r>
        <w:rPr>
          <w:rFonts w:hint="eastAsia"/>
        </w:rPr>
        <w:t>环境</w:t>
      </w:r>
      <w:bookmarkEnd w:id="161"/>
      <w:bookmarkEnd w:id="162"/>
    </w:p>
    <w:p w14:paraId="3EF1AC8B">
      <w:pPr>
        <w:pStyle w:val="59"/>
        <w:ind w:firstLine="420"/>
      </w:pPr>
      <w:r>
        <w:rPr>
          <w:rFonts w:hint="eastAsia"/>
        </w:rPr>
        <w:t>应在清洁、安静、光线充足的换药室或病房内进行NPWT操作，</w:t>
      </w:r>
      <w:r>
        <w:t>消毒卫生</w:t>
      </w:r>
      <w:r>
        <w:rPr>
          <w:rFonts w:hint="eastAsia"/>
        </w:rPr>
        <w:t>应符合GB 15982的要求。</w:t>
      </w:r>
    </w:p>
    <w:p w14:paraId="3E324409">
      <w:pPr>
        <w:pStyle w:val="59"/>
        <w:ind w:firstLine="420"/>
      </w:pPr>
    </w:p>
    <w:p w14:paraId="39240954">
      <w:pPr>
        <w:pStyle w:val="59"/>
        <w:ind w:firstLine="420"/>
      </w:pPr>
    </w:p>
    <w:p w14:paraId="24E2E84A">
      <w:pPr>
        <w:pStyle w:val="107"/>
        <w:spacing w:before="240" w:after="240"/>
      </w:pPr>
      <w:bookmarkStart w:id="163" w:name="_Toc228300806"/>
      <w:bookmarkStart w:id="164" w:name="_Toc228300661"/>
      <w:r>
        <w:t>适应症与禁忌症</w:t>
      </w:r>
      <w:bookmarkEnd w:id="163"/>
      <w:bookmarkEnd w:id="164"/>
    </w:p>
    <w:p w14:paraId="2FF617AE">
      <w:pPr>
        <w:pStyle w:val="108"/>
        <w:spacing w:before="120" w:after="120"/>
      </w:pPr>
      <w:bookmarkStart w:id="165" w:name="_Toc228300807"/>
      <w:bookmarkStart w:id="166" w:name="_Toc228300662"/>
      <w:r>
        <w:t>适应症</w:t>
      </w:r>
      <w:bookmarkEnd w:id="165"/>
      <w:bookmarkEnd w:id="166"/>
    </w:p>
    <w:p w14:paraId="0EF73BEA">
      <w:pPr>
        <w:pStyle w:val="168"/>
      </w:pPr>
      <w:r>
        <w:t>压力性损伤（</w:t>
      </w:r>
      <w:r>
        <w:rPr>
          <w:rFonts w:hAnsi="宋体"/>
        </w:rPr>
        <w:t>Ⅲ期、Ⅳ</w:t>
      </w:r>
      <w:r>
        <w:t>期）</w:t>
      </w:r>
      <w:r>
        <w:rPr>
          <w:rFonts w:hint="eastAsia"/>
        </w:rPr>
        <w:t>。</w:t>
      </w:r>
    </w:p>
    <w:p w14:paraId="3DC24159">
      <w:pPr>
        <w:pStyle w:val="168"/>
      </w:pPr>
      <w:r>
        <w:t>糖尿病足溃疡（Wagner分级2级及以上）</w:t>
      </w:r>
      <w:r>
        <w:rPr>
          <w:rFonts w:hint="eastAsia"/>
        </w:rPr>
        <w:t>。</w:t>
      </w:r>
    </w:p>
    <w:p w14:paraId="6051B5CB">
      <w:pPr>
        <w:pStyle w:val="168"/>
      </w:pPr>
      <w:r>
        <w:t>下肢静脉溃疡</w:t>
      </w:r>
      <w:r>
        <w:rPr>
          <w:rFonts w:hint="eastAsia"/>
        </w:rPr>
        <w:t>。</w:t>
      </w:r>
    </w:p>
    <w:p w14:paraId="39B80B02">
      <w:pPr>
        <w:pStyle w:val="168"/>
      </w:pPr>
      <w:r>
        <w:t>术后切口愈合不良或裂开</w:t>
      </w:r>
      <w:r>
        <w:rPr>
          <w:rFonts w:hint="eastAsia"/>
        </w:rPr>
        <w:t>。</w:t>
      </w:r>
    </w:p>
    <w:p w14:paraId="648B1288">
      <w:pPr>
        <w:pStyle w:val="168"/>
      </w:pPr>
      <w:r>
        <w:t>外伤后软组织缺损</w:t>
      </w:r>
      <w:r>
        <w:rPr>
          <w:rFonts w:hint="eastAsia"/>
        </w:rPr>
        <w:t>。</w:t>
      </w:r>
    </w:p>
    <w:p w14:paraId="4652DE32">
      <w:pPr>
        <w:pStyle w:val="168"/>
      </w:pPr>
      <w:r>
        <w:t>经评估适合NPWT的其他慢性伤口</w:t>
      </w:r>
      <w:r>
        <w:rPr>
          <w:rFonts w:hint="eastAsia"/>
        </w:rPr>
        <w:t>。</w:t>
      </w:r>
    </w:p>
    <w:p w14:paraId="7423087D">
      <w:pPr>
        <w:pStyle w:val="108"/>
        <w:spacing w:before="120" w:after="120"/>
      </w:pPr>
      <w:bookmarkStart w:id="167" w:name="_Toc228300808"/>
      <w:bookmarkStart w:id="168" w:name="_Toc228300663"/>
      <w:r>
        <w:t>禁忌症</w:t>
      </w:r>
      <w:bookmarkEnd w:id="167"/>
      <w:bookmarkEnd w:id="168"/>
    </w:p>
    <w:p w14:paraId="7F09ABED">
      <w:pPr>
        <w:pStyle w:val="168"/>
      </w:pPr>
      <w:r>
        <w:t>创面有未被清除的坏死组织或焦痂</w:t>
      </w:r>
      <w:r>
        <w:rPr>
          <w:rFonts w:hint="eastAsia"/>
        </w:rPr>
        <w:t>。</w:t>
      </w:r>
    </w:p>
    <w:p w14:paraId="3115A181">
      <w:pPr>
        <w:pStyle w:val="168"/>
      </w:pPr>
      <w:r>
        <w:t>未经治疗的骨髓炎</w:t>
      </w:r>
      <w:r>
        <w:rPr>
          <w:rFonts w:hint="eastAsia"/>
        </w:rPr>
        <w:t>。</w:t>
      </w:r>
    </w:p>
    <w:p w14:paraId="25E195D3">
      <w:pPr>
        <w:pStyle w:val="168"/>
      </w:pPr>
      <w:r>
        <w:t>创面有活动性出血或血管、脏器暴露未予妥善保护</w:t>
      </w:r>
      <w:r>
        <w:rPr>
          <w:rFonts w:hint="eastAsia"/>
        </w:rPr>
        <w:t>。</w:t>
      </w:r>
    </w:p>
    <w:p w14:paraId="5A3D8FD3">
      <w:pPr>
        <w:pStyle w:val="168"/>
      </w:pPr>
      <w:r>
        <w:t>恶性肿瘤创面（不采用NPWT作姑息治疗者）</w:t>
      </w:r>
      <w:r>
        <w:rPr>
          <w:rFonts w:hint="eastAsia"/>
        </w:rPr>
        <w:t>。</w:t>
      </w:r>
    </w:p>
    <w:p w14:paraId="06C37922">
      <w:pPr>
        <w:pStyle w:val="168"/>
      </w:pPr>
      <w:r>
        <w:t>对NPWT敷料或贴膜成分过敏者</w:t>
      </w:r>
      <w:r>
        <w:rPr>
          <w:rFonts w:hint="eastAsia"/>
        </w:rPr>
        <w:t>。</w:t>
      </w:r>
    </w:p>
    <w:p w14:paraId="140ABAE9">
      <w:pPr>
        <w:pStyle w:val="168"/>
      </w:pPr>
      <w:r>
        <w:t>存在未探查和处理的瘘管。</w:t>
      </w:r>
    </w:p>
    <w:p w14:paraId="7AB140E7">
      <w:pPr>
        <w:pStyle w:val="108"/>
        <w:spacing w:before="120" w:after="120"/>
      </w:pPr>
      <w:bookmarkStart w:id="169" w:name="_Toc228300664"/>
      <w:bookmarkStart w:id="170" w:name="_Toc228300809"/>
      <w:r>
        <w:t>慎用情况</w:t>
      </w:r>
      <w:bookmarkEnd w:id="169"/>
      <w:bookmarkEnd w:id="170"/>
    </w:p>
    <w:p w14:paraId="7D13C9F6">
      <w:pPr>
        <w:pStyle w:val="59"/>
        <w:ind w:firstLine="420"/>
      </w:pPr>
      <w:r>
        <w:t>有下列情况者应谨慎使用NPWT：</w:t>
      </w:r>
    </w:p>
    <w:p w14:paraId="7B37DFDE">
      <w:pPr>
        <w:pStyle w:val="135"/>
      </w:pPr>
      <w:r>
        <w:t>正在接受抗凝治疗或存在凝血功能障碍者；</w:t>
      </w:r>
    </w:p>
    <w:p w14:paraId="29945171">
      <w:pPr>
        <w:pStyle w:val="135"/>
      </w:pPr>
      <w:r>
        <w:t>踝臂指数（ABI）＜0.5的下肢伤口；</w:t>
      </w:r>
    </w:p>
    <w:p w14:paraId="3A053764">
      <w:pPr>
        <w:pStyle w:val="135"/>
      </w:pPr>
      <w:r>
        <w:t>创面周围有脆弱的皮肤或吻合口；</w:t>
      </w:r>
    </w:p>
    <w:p w14:paraId="752ABAE9">
      <w:pPr>
        <w:pStyle w:val="135"/>
        <w:rPr>
          <w:b w:val="0"/>
          <w:bCs w:val="0"/>
          <w:color w:val="auto"/>
        </w:rPr>
      </w:pPr>
      <w:r>
        <w:rPr>
          <w:b w:val="0"/>
          <w:bCs w:val="0"/>
          <w:color w:val="auto"/>
        </w:rPr>
        <w:t>接受脊柱或硬膜外麻醉术后，NPWT敷料靠近硬膜外导管部位。</w:t>
      </w:r>
    </w:p>
    <w:p w14:paraId="30D602CB">
      <w:pPr>
        <w:pStyle w:val="107"/>
        <w:spacing w:before="240" w:after="240"/>
        <w:rPr>
          <w:b w:val="0"/>
          <w:bCs w:val="0"/>
          <w:color w:val="auto"/>
          <w:sz w:val="24"/>
          <w:szCs w:val="24"/>
        </w:rPr>
      </w:pPr>
      <w:bookmarkStart w:id="171" w:name="_Toc228300665"/>
      <w:bookmarkStart w:id="172" w:name="_Toc228300810"/>
      <w:r>
        <w:rPr>
          <w:b w:val="0"/>
          <w:bCs w:val="0"/>
          <w:color w:val="auto"/>
        </w:rPr>
        <w:t>评估</w:t>
      </w:r>
      <w:bookmarkEnd w:id="171"/>
      <w:bookmarkEnd w:id="172"/>
    </w:p>
    <w:p w14:paraId="0B607C03">
      <w:pPr>
        <w:pStyle w:val="108"/>
        <w:spacing w:before="120" w:after="120"/>
        <w:rPr>
          <w:b w:val="0"/>
          <w:bCs w:val="0"/>
          <w:color w:val="auto"/>
        </w:rPr>
      </w:pPr>
      <w:bookmarkStart w:id="173" w:name="_Toc228300811"/>
      <w:bookmarkStart w:id="174" w:name="_Toc228300666"/>
      <w:r>
        <w:rPr>
          <w:rFonts w:hint="eastAsia"/>
          <w:b w:val="0"/>
          <w:bCs w:val="0"/>
          <w:color w:val="auto"/>
        </w:rPr>
        <w:t>风险</w:t>
      </w:r>
      <w:r>
        <w:rPr>
          <w:b w:val="0"/>
          <w:bCs w:val="0"/>
          <w:color w:val="auto"/>
        </w:rPr>
        <w:t>评估</w:t>
      </w:r>
      <w:bookmarkEnd w:id="173"/>
      <w:bookmarkEnd w:id="174"/>
    </w:p>
    <w:p w14:paraId="1136B236">
      <w:pPr>
        <w:pStyle w:val="168"/>
        <w:rPr>
          <w:b w:val="0"/>
          <w:bCs w:val="0"/>
          <w:color w:val="auto"/>
        </w:rPr>
      </w:pPr>
      <w:r>
        <w:rPr>
          <w:rFonts w:hint="eastAsia"/>
          <w:b w:val="0"/>
          <w:bCs w:val="0"/>
          <w:color w:val="auto"/>
        </w:rPr>
        <w:t>对患者</w:t>
      </w:r>
      <w:r>
        <w:rPr>
          <w:b w:val="0"/>
          <w:bCs w:val="0"/>
          <w:color w:val="auto"/>
        </w:rPr>
        <w:t>进行基于风险的系统性评估，</w:t>
      </w:r>
      <w:r>
        <w:rPr>
          <w:rFonts w:hint="eastAsia"/>
          <w:b w:val="0"/>
          <w:bCs w:val="0"/>
          <w:color w:val="auto"/>
        </w:rPr>
        <w:t>包括</w:t>
      </w:r>
      <w:r>
        <w:rPr>
          <w:b w:val="0"/>
          <w:bCs w:val="0"/>
          <w:color w:val="auto"/>
        </w:rPr>
        <w:t>全身评估（年龄、基础疾病、营养状况、凝血功能、血糖情况、肢体血运、疼痛耐受性及过敏史）、伤口局部评估及治疗适配性与操作可行性评估（体位耐受性、治疗配合度），确保操作前风险可控。</w:t>
      </w:r>
    </w:p>
    <w:p w14:paraId="06D2AE4C">
      <w:pPr>
        <w:pStyle w:val="168"/>
        <w:rPr>
          <w:b w:val="0"/>
          <w:bCs w:val="0"/>
          <w:color w:val="auto"/>
        </w:rPr>
      </w:pPr>
      <w:r>
        <w:rPr>
          <w:b w:val="0"/>
          <w:bCs w:val="0"/>
          <w:color w:val="auto"/>
        </w:rPr>
        <w:t>评估患者对NPWT的认知程度和心理状态，签署知情同意书。</w:t>
      </w:r>
    </w:p>
    <w:p w14:paraId="7A5F8A38">
      <w:pPr>
        <w:pStyle w:val="108"/>
        <w:spacing w:before="120" w:after="120"/>
        <w:rPr>
          <w:b w:val="0"/>
          <w:bCs w:val="0"/>
          <w:color w:val="auto"/>
        </w:rPr>
      </w:pPr>
      <w:bookmarkStart w:id="175" w:name="_Toc228300812"/>
      <w:bookmarkStart w:id="176" w:name="_Toc228300667"/>
      <w:r>
        <w:rPr>
          <w:b w:val="0"/>
          <w:bCs w:val="0"/>
          <w:color w:val="auto"/>
        </w:rPr>
        <w:t>伤口评估</w:t>
      </w:r>
      <w:bookmarkEnd w:id="175"/>
      <w:bookmarkEnd w:id="176"/>
    </w:p>
    <w:p w14:paraId="3E4686EC">
      <w:pPr>
        <w:pStyle w:val="168"/>
        <w:rPr>
          <w:b w:val="0"/>
          <w:bCs w:val="0"/>
          <w:color w:val="auto"/>
        </w:rPr>
      </w:pPr>
      <w:r>
        <w:rPr>
          <w:b w:val="0"/>
          <w:bCs w:val="0"/>
          <w:color w:val="auto"/>
        </w:rPr>
        <w:t>采用伤口评估工具（如三角评估法、TIME原则等），对伤口进行全面评估，</w:t>
      </w:r>
      <w:r>
        <w:rPr>
          <w:rFonts w:hint="eastAsia"/>
          <w:b w:val="0"/>
          <w:bCs w:val="0"/>
          <w:color w:val="auto"/>
        </w:rPr>
        <w:t>主要</w:t>
      </w:r>
      <w:r>
        <w:rPr>
          <w:b w:val="0"/>
          <w:bCs w:val="0"/>
          <w:color w:val="auto"/>
        </w:rPr>
        <w:t>包括：</w:t>
      </w:r>
    </w:p>
    <w:p w14:paraId="32B2D9E3">
      <w:pPr>
        <w:pStyle w:val="135"/>
        <w:rPr>
          <w:b w:val="0"/>
          <w:bCs w:val="0"/>
          <w:color w:val="auto"/>
        </w:rPr>
      </w:pPr>
      <w:r>
        <w:rPr>
          <w:b w:val="0"/>
          <w:bCs w:val="0"/>
          <w:color w:val="auto"/>
        </w:rPr>
        <w:t>伤口部位、大小、深度、潜行及窦道情况；</w:t>
      </w:r>
    </w:p>
    <w:p w14:paraId="125D9E41">
      <w:pPr>
        <w:pStyle w:val="135"/>
        <w:rPr>
          <w:b w:val="0"/>
          <w:bCs w:val="0"/>
          <w:color w:val="auto"/>
        </w:rPr>
      </w:pPr>
      <w:r>
        <w:rPr>
          <w:b w:val="0"/>
          <w:bCs w:val="0"/>
          <w:color w:val="auto"/>
        </w:rPr>
        <w:t>伤口基底组织类型（坏死组织、腐肉、肉芽组织、上皮化组织）；</w:t>
      </w:r>
    </w:p>
    <w:p w14:paraId="2C8CCD5A">
      <w:pPr>
        <w:pStyle w:val="135"/>
        <w:rPr>
          <w:b w:val="0"/>
          <w:bCs w:val="0"/>
          <w:color w:val="auto"/>
        </w:rPr>
      </w:pPr>
      <w:r>
        <w:rPr>
          <w:b w:val="0"/>
          <w:bCs w:val="0"/>
          <w:color w:val="auto"/>
        </w:rPr>
        <w:t>渗出液的量、颜色、性状及气味；</w:t>
      </w:r>
    </w:p>
    <w:p w14:paraId="30AEAFD7">
      <w:pPr>
        <w:pStyle w:val="135"/>
        <w:rPr>
          <w:b w:val="0"/>
          <w:bCs w:val="0"/>
          <w:color w:val="auto"/>
        </w:rPr>
      </w:pPr>
      <w:r>
        <w:rPr>
          <w:b w:val="0"/>
          <w:bCs w:val="0"/>
          <w:color w:val="auto"/>
        </w:rPr>
        <w:t>伤口边缘及周围皮肤状况；</w:t>
      </w:r>
    </w:p>
    <w:p w14:paraId="389CA326">
      <w:pPr>
        <w:pStyle w:val="135"/>
        <w:rPr>
          <w:b w:val="0"/>
          <w:bCs w:val="0"/>
          <w:color w:val="auto"/>
        </w:rPr>
      </w:pPr>
      <w:r>
        <w:rPr>
          <w:b w:val="0"/>
          <w:bCs w:val="0"/>
          <w:color w:val="auto"/>
        </w:rPr>
        <w:t>局部感染征象；</w:t>
      </w:r>
    </w:p>
    <w:p w14:paraId="6C2BACB0">
      <w:pPr>
        <w:pStyle w:val="135"/>
        <w:rPr>
          <w:b w:val="0"/>
          <w:bCs w:val="0"/>
          <w:color w:val="auto"/>
        </w:rPr>
      </w:pPr>
      <w:r>
        <w:rPr>
          <w:b w:val="0"/>
          <w:bCs w:val="0"/>
          <w:color w:val="auto"/>
        </w:rPr>
        <w:t>疼痛程度。</w:t>
      </w:r>
    </w:p>
    <w:p w14:paraId="628CCB81">
      <w:pPr>
        <w:pStyle w:val="168"/>
        <w:rPr>
          <w:b w:val="0"/>
          <w:bCs w:val="0"/>
          <w:color w:val="auto"/>
        </w:rPr>
      </w:pPr>
      <w:r>
        <w:rPr>
          <w:b w:val="0"/>
          <w:bCs w:val="0"/>
          <w:color w:val="auto"/>
        </w:rPr>
        <w:t>治疗前应获取伤口分泌物培养及药敏试验结果（如临床需要），以指导抗感染治疗。</w:t>
      </w:r>
    </w:p>
    <w:p w14:paraId="4E67FF89">
      <w:pPr>
        <w:pStyle w:val="108"/>
        <w:spacing w:before="120" w:after="120"/>
        <w:rPr>
          <w:b w:val="0"/>
          <w:bCs w:val="0"/>
          <w:color w:val="auto"/>
        </w:rPr>
      </w:pPr>
      <w:bookmarkStart w:id="177" w:name="_Toc228300813"/>
      <w:bookmarkStart w:id="178" w:name="_Toc228300668"/>
      <w:r>
        <w:rPr>
          <w:b w:val="0"/>
          <w:bCs w:val="0"/>
          <w:color w:val="auto"/>
        </w:rPr>
        <w:t>血管评估</w:t>
      </w:r>
      <w:bookmarkEnd w:id="177"/>
      <w:bookmarkEnd w:id="178"/>
    </w:p>
    <w:p w14:paraId="02AE852F">
      <w:pPr>
        <w:pStyle w:val="59"/>
        <w:ind w:firstLine="420"/>
        <w:rPr>
          <w:b w:val="0"/>
          <w:bCs w:val="0"/>
          <w:color w:val="auto"/>
        </w:rPr>
      </w:pPr>
      <w:r>
        <w:rPr>
          <w:b w:val="0"/>
          <w:bCs w:val="0"/>
          <w:color w:val="auto"/>
        </w:rPr>
        <w:t>对于下肢慢性伤口患者，治疗前应评估下肢血管状况，包括踝臂指数（ABI）及足趾动脉压力（TBI）检测。ABI＜0.5者，应慎用NPWT。</w:t>
      </w:r>
    </w:p>
    <w:p w14:paraId="0DEE7FEE">
      <w:pPr>
        <w:pStyle w:val="59"/>
        <w:ind w:firstLine="420"/>
        <w:rPr>
          <w:b w:val="0"/>
          <w:bCs w:val="0"/>
          <w:color w:val="auto"/>
        </w:rPr>
      </w:pPr>
    </w:p>
    <w:p w14:paraId="029A6720">
      <w:pPr>
        <w:pStyle w:val="59"/>
        <w:ind w:firstLine="420"/>
        <w:rPr>
          <w:b w:val="0"/>
          <w:bCs w:val="0"/>
          <w:color w:val="auto"/>
        </w:rPr>
      </w:pPr>
    </w:p>
    <w:p w14:paraId="5F66965D">
      <w:pPr>
        <w:pStyle w:val="107"/>
        <w:spacing w:before="240" w:after="240"/>
        <w:rPr>
          <w:b w:val="0"/>
          <w:bCs w:val="0"/>
          <w:color w:val="auto"/>
        </w:rPr>
      </w:pPr>
      <w:bookmarkStart w:id="179" w:name="_Toc228300814"/>
      <w:bookmarkStart w:id="180" w:name="_Toc228300669"/>
      <w:r>
        <w:rPr>
          <w:b w:val="0"/>
          <w:bCs w:val="0"/>
          <w:color w:val="auto"/>
        </w:rPr>
        <w:t>操作要求</w:t>
      </w:r>
      <w:bookmarkEnd w:id="179"/>
      <w:bookmarkEnd w:id="180"/>
    </w:p>
    <w:p w14:paraId="7DA35DB9">
      <w:pPr>
        <w:pStyle w:val="108"/>
        <w:spacing w:before="120" w:after="120"/>
        <w:rPr>
          <w:b w:val="0"/>
          <w:bCs w:val="0"/>
          <w:color w:val="auto"/>
        </w:rPr>
      </w:pPr>
      <w:bookmarkStart w:id="181" w:name="_Toc228300670"/>
      <w:bookmarkStart w:id="182" w:name="_Toc228300815"/>
      <w:r>
        <w:rPr>
          <w:b w:val="0"/>
          <w:bCs w:val="0"/>
          <w:color w:val="auto"/>
        </w:rPr>
        <w:t>操作流程</w:t>
      </w:r>
      <w:bookmarkEnd w:id="181"/>
      <w:bookmarkEnd w:id="182"/>
    </w:p>
    <w:p w14:paraId="7F4F90A4">
      <w:pPr>
        <w:pStyle w:val="68"/>
        <w:spacing w:before="120" w:after="120"/>
        <w:rPr>
          <w:b w:val="0"/>
          <w:bCs w:val="0"/>
          <w:color w:val="auto"/>
        </w:rPr>
      </w:pPr>
      <w:r>
        <w:rPr>
          <w:rFonts w:hint="eastAsia"/>
          <w:b w:val="0"/>
          <w:bCs w:val="0"/>
          <w:color w:val="auto"/>
        </w:rPr>
        <w:t>操作</w:t>
      </w:r>
      <w:r>
        <w:rPr>
          <w:b w:val="0"/>
          <w:bCs w:val="0"/>
          <w:color w:val="auto"/>
        </w:rPr>
        <w:t>准备</w:t>
      </w:r>
    </w:p>
    <w:p w14:paraId="2A6CEF52">
      <w:pPr>
        <w:pStyle w:val="167"/>
        <w:ind w:left="0"/>
        <w:rPr>
          <w:b w:val="0"/>
          <w:bCs w:val="0"/>
          <w:color w:val="auto"/>
        </w:rPr>
      </w:pPr>
      <w:r>
        <w:rPr>
          <w:b w:val="0"/>
          <w:bCs w:val="0"/>
          <w:color w:val="auto"/>
        </w:rPr>
        <w:t>按WS/T 313执行手卫生，洗手或卫生手消毒，并严格遵守无菌技术操作原则。</w:t>
      </w:r>
    </w:p>
    <w:p w14:paraId="3025ED7D">
      <w:pPr>
        <w:pStyle w:val="167"/>
        <w:ind w:left="0"/>
        <w:rPr>
          <w:b w:val="0"/>
          <w:bCs w:val="0"/>
          <w:color w:val="auto"/>
        </w:rPr>
      </w:pPr>
      <w:r>
        <w:rPr>
          <w:b w:val="0"/>
          <w:bCs w:val="0"/>
          <w:color w:val="auto"/>
        </w:rPr>
        <w:t>准备NPWT设备及一次性无菌耗材，检查包装完整性及灭菌有效期。</w:t>
      </w:r>
    </w:p>
    <w:p w14:paraId="3A149FF0">
      <w:pPr>
        <w:pStyle w:val="167"/>
        <w:ind w:left="0"/>
        <w:rPr>
          <w:b w:val="0"/>
          <w:bCs w:val="0"/>
          <w:color w:val="auto"/>
        </w:rPr>
      </w:pPr>
      <w:r>
        <w:rPr>
          <w:b w:val="0"/>
          <w:bCs w:val="0"/>
          <w:color w:val="auto"/>
        </w:rPr>
        <w:t>准备伤口护理所需的换药物品，包括但不限于：无菌换药盘、无菌手套、无菌敷料、生理盐水、无菌纱布、创面测量工具、清创器械（如需清创）、皮肤保护材料、无菌贴膜等。</w:t>
      </w:r>
    </w:p>
    <w:p w14:paraId="444897A0">
      <w:pPr>
        <w:pStyle w:val="167"/>
        <w:ind w:left="0"/>
        <w:rPr>
          <w:b w:val="0"/>
          <w:bCs w:val="0"/>
          <w:color w:val="auto"/>
        </w:rPr>
      </w:pPr>
      <w:r>
        <w:rPr>
          <w:b w:val="0"/>
          <w:bCs w:val="0"/>
          <w:color w:val="auto"/>
        </w:rPr>
        <w:t>必要时在操作前30</w:t>
      </w:r>
      <w:r>
        <w:rPr>
          <w:rFonts w:hint="eastAsia"/>
          <w:b w:val="0"/>
          <w:bCs w:val="0"/>
          <w:color w:val="auto"/>
          <w:vertAlign w:val="superscript"/>
        </w:rPr>
        <w:t xml:space="preserve"> </w:t>
      </w:r>
      <w:r>
        <w:rPr>
          <w:rFonts w:hint="eastAsia"/>
          <w:b w:val="0"/>
          <w:bCs w:val="0"/>
          <w:color w:val="auto"/>
        </w:rPr>
        <w:t>min</w:t>
      </w:r>
      <w:r>
        <w:rPr>
          <w:b w:val="0"/>
          <w:bCs w:val="0"/>
          <w:color w:val="auto"/>
        </w:rPr>
        <w:t>给予</w:t>
      </w:r>
      <w:r>
        <w:rPr>
          <w:rFonts w:hint="eastAsia"/>
          <w:b w:val="0"/>
          <w:bCs w:val="0"/>
          <w:color w:val="auto"/>
        </w:rPr>
        <w:t>遵医嘱</w:t>
      </w:r>
      <w:r>
        <w:rPr>
          <w:b w:val="0"/>
          <w:bCs w:val="0"/>
          <w:color w:val="auto"/>
        </w:rPr>
        <w:t>镇痛药物。</w:t>
      </w:r>
    </w:p>
    <w:p w14:paraId="2FED9C02">
      <w:pPr>
        <w:pStyle w:val="68"/>
        <w:spacing w:before="120" w:after="120"/>
        <w:rPr>
          <w:b w:val="0"/>
          <w:bCs w:val="0"/>
          <w:color w:val="auto"/>
        </w:rPr>
      </w:pPr>
      <w:r>
        <w:rPr>
          <w:b w:val="0"/>
          <w:bCs w:val="0"/>
          <w:color w:val="auto"/>
        </w:rPr>
        <w:t>创面准备</w:t>
      </w:r>
    </w:p>
    <w:p w14:paraId="4986CC1F">
      <w:pPr>
        <w:pStyle w:val="167"/>
        <w:ind w:left="0"/>
        <w:rPr>
          <w:b w:val="0"/>
          <w:bCs w:val="0"/>
          <w:color w:val="auto"/>
        </w:rPr>
      </w:pPr>
      <w:r>
        <w:rPr>
          <w:b w:val="0"/>
          <w:bCs w:val="0"/>
          <w:color w:val="auto"/>
        </w:rPr>
        <w:t>应</w:t>
      </w:r>
      <w:r>
        <w:rPr>
          <w:rFonts w:hint="eastAsia"/>
          <w:b w:val="0"/>
          <w:bCs w:val="0"/>
          <w:color w:val="auto"/>
        </w:rPr>
        <w:t>先行</w:t>
      </w:r>
      <w:r>
        <w:rPr>
          <w:b w:val="0"/>
          <w:bCs w:val="0"/>
          <w:color w:val="auto"/>
        </w:rPr>
        <w:t>清创处理，</w:t>
      </w:r>
      <w:r>
        <w:rPr>
          <w:rFonts w:hint="eastAsia"/>
          <w:b w:val="0"/>
          <w:bCs w:val="0"/>
          <w:color w:val="auto"/>
        </w:rPr>
        <w:t>协助医生</w:t>
      </w:r>
      <w:r>
        <w:rPr>
          <w:b w:val="0"/>
          <w:bCs w:val="0"/>
          <w:color w:val="auto"/>
        </w:rPr>
        <w:t>清除坏死组织、失活组织、异物及过多的渗液。清创方式包括外科清创、自溶性清创、酶解清创或生物清创。</w:t>
      </w:r>
    </w:p>
    <w:p w14:paraId="5351A178">
      <w:pPr>
        <w:pStyle w:val="167"/>
        <w:ind w:left="0"/>
        <w:rPr>
          <w:b w:val="0"/>
          <w:bCs w:val="0"/>
          <w:color w:val="auto"/>
        </w:rPr>
      </w:pPr>
      <w:r>
        <w:rPr>
          <w:b w:val="0"/>
          <w:bCs w:val="0"/>
          <w:color w:val="auto"/>
        </w:rPr>
        <w:t>用生理盐水冲洗创面，无菌纱布吸干。</w:t>
      </w:r>
    </w:p>
    <w:p w14:paraId="7DAC5B1F">
      <w:pPr>
        <w:pStyle w:val="167"/>
        <w:ind w:left="0"/>
        <w:rPr>
          <w:b w:val="0"/>
          <w:bCs w:val="0"/>
          <w:color w:val="auto"/>
        </w:rPr>
      </w:pPr>
      <w:r>
        <w:rPr>
          <w:b w:val="0"/>
          <w:bCs w:val="0"/>
          <w:color w:val="auto"/>
        </w:rPr>
        <w:t>创面周围皮肤用皮肤保护材料涂抹以形成保护屏障。针对老年、长期使用激素等脆弱皮肤，应建立三级皮肤保护：第一层涂抹无酒精皮肤保护剂（液体敷料），待充分干燥后形成保护膜；第二层根据创面大小裁剪超薄水胶体或硅酮泡沫，覆盖范围距创缘1</w:t>
      </w:r>
      <w:r>
        <w:rPr>
          <w:b w:val="0"/>
          <w:bCs w:val="0"/>
          <w:color w:val="auto"/>
          <w:vertAlign w:val="superscript"/>
        </w:rPr>
        <w:t xml:space="preserve"> </w:t>
      </w:r>
      <w:r>
        <w:rPr>
          <w:b w:val="0"/>
          <w:bCs w:val="0"/>
          <w:color w:val="auto"/>
        </w:rPr>
        <w:t>cm～2</w:t>
      </w:r>
      <w:r>
        <w:rPr>
          <w:b w:val="0"/>
          <w:bCs w:val="0"/>
          <w:color w:val="auto"/>
          <w:vertAlign w:val="superscript"/>
        </w:rPr>
        <w:t xml:space="preserve"> </w:t>
      </w:r>
      <w:r>
        <w:rPr>
          <w:b w:val="0"/>
          <w:bCs w:val="0"/>
          <w:color w:val="auto"/>
        </w:rPr>
        <w:t>cm；第三层使用透明贴膜密闭，超出内层敷料1</w:t>
      </w:r>
      <w:r>
        <w:rPr>
          <w:b w:val="0"/>
          <w:bCs w:val="0"/>
          <w:color w:val="auto"/>
          <w:vertAlign w:val="superscript"/>
        </w:rPr>
        <w:t xml:space="preserve"> </w:t>
      </w:r>
      <w:r>
        <w:rPr>
          <w:b w:val="0"/>
          <w:bCs w:val="0"/>
          <w:color w:val="auto"/>
        </w:rPr>
        <w:t>cm～2</w:t>
      </w:r>
      <w:r>
        <w:rPr>
          <w:b w:val="0"/>
          <w:bCs w:val="0"/>
          <w:color w:val="auto"/>
          <w:vertAlign w:val="superscript"/>
        </w:rPr>
        <w:t xml:space="preserve"> </w:t>
      </w:r>
      <w:r>
        <w:rPr>
          <w:b w:val="0"/>
          <w:bCs w:val="0"/>
          <w:color w:val="auto"/>
        </w:rPr>
        <w:t>cm以上。</w:t>
      </w:r>
    </w:p>
    <w:p w14:paraId="5830AEFE">
      <w:pPr>
        <w:pStyle w:val="68"/>
        <w:spacing w:before="120" w:after="120"/>
        <w:rPr>
          <w:b w:val="0"/>
          <w:bCs w:val="0"/>
          <w:color w:val="auto"/>
        </w:rPr>
      </w:pPr>
      <w:r>
        <w:rPr>
          <w:b w:val="0"/>
          <w:bCs w:val="0"/>
          <w:color w:val="auto"/>
        </w:rPr>
        <w:t>敷料裁剪与放置</w:t>
      </w:r>
    </w:p>
    <w:p w14:paraId="5EB6347E">
      <w:pPr>
        <w:pStyle w:val="167"/>
        <w:ind w:left="0"/>
        <w:rPr>
          <w:b w:val="0"/>
          <w:bCs w:val="0"/>
          <w:color w:val="auto"/>
        </w:rPr>
      </w:pPr>
      <w:r>
        <w:rPr>
          <w:b w:val="0"/>
          <w:bCs w:val="0"/>
          <w:color w:val="auto"/>
        </w:rPr>
        <w:t>根据创面形态裁剪敷料，使敷料与创面床完全接触。</w:t>
      </w:r>
    </w:p>
    <w:p w14:paraId="0F08A709">
      <w:pPr>
        <w:pStyle w:val="167"/>
        <w:ind w:left="0"/>
        <w:rPr>
          <w:b w:val="0"/>
          <w:bCs w:val="0"/>
          <w:color w:val="auto"/>
        </w:rPr>
      </w:pPr>
      <w:r>
        <w:rPr>
          <w:b w:val="0"/>
          <w:bCs w:val="0"/>
          <w:color w:val="auto"/>
        </w:rPr>
        <w:t>敷料不宜超出创面边缘过多，也不应填塞过紧。</w:t>
      </w:r>
    </w:p>
    <w:p w14:paraId="2CEAED89">
      <w:pPr>
        <w:pStyle w:val="167"/>
        <w:ind w:left="0"/>
        <w:rPr>
          <w:b w:val="0"/>
          <w:bCs w:val="0"/>
          <w:color w:val="auto"/>
        </w:rPr>
      </w:pPr>
      <w:r>
        <w:rPr>
          <w:b w:val="0"/>
          <w:bCs w:val="0"/>
          <w:color w:val="auto"/>
        </w:rPr>
        <w:t>存在潜行或窦道时，应将敷料适度填充其中，确保负压均匀分布。窦道与潜行创面应采用三维裁剪法：</w:t>
      </w:r>
    </w:p>
    <w:p w14:paraId="145D2C3B">
      <w:pPr>
        <w:pStyle w:val="135"/>
        <w:rPr>
          <w:b w:val="0"/>
          <w:bCs w:val="0"/>
          <w:color w:val="auto"/>
        </w:rPr>
      </w:pPr>
      <w:r>
        <w:rPr>
          <w:b w:val="0"/>
          <w:bCs w:val="0"/>
          <w:color w:val="auto"/>
        </w:rPr>
        <w:t>先测量长度、深度与走行方向后，将泡沫修剪为匹配形态，轻柔置入伤口底部，与创面完全接触，并在开口处留置标识便于取出</w:t>
      </w:r>
      <w:r>
        <w:rPr>
          <w:rFonts w:hint="eastAsia"/>
          <w:b w:val="0"/>
          <w:bCs w:val="0"/>
          <w:color w:val="auto"/>
        </w:rPr>
        <w:t>，</w:t>
      </w:r>
      <w:r>
        <w:rPr>
          <w:b w:val="0"/>
          <w:bCs w:val="0"/>
          <w:color w:val="auto"/>
        </w:rPr>
        <w:t>操作中宜选用白色泡沫，长度略长于窦道潜行</w:t>
      </w:r>
      <w:r>
        <w:rPr>
          <w:rFonts w:hint="eastAsia"/>
          <w:b w:val="0"/>
          <w:bCs w:val="0"/>
          <w:color w:val="auto"/>
        </w:rPr>
        <w:t>；</w:t>
      </w:r>
    </w:p>
    <w:p w14:paraId="162651B7">
      <w:pPr>
        <w:pStyle w:val="135"/>
        <w:rPr>
          <w:b w:val="0"/>
          <w:bCs w:val="0"/>
          <w:color w:val="auto"/>
        </w:rPr>
      </w:pPr>
      <w:r>
        <w:rPr>
          <w:b w:val="0"/>
          <w:bCs w:val="0"/>
          <w:color w:val="auto"/>
        </w:rPr>
        <w:t>置入后适度回拉，再以黑色泡沫覆盖创面主体，黑白泡沫间保持有效重叠</w:t>
      </w:r>
      <w:r>
        <w:rPr>
          <w:rFonts w:hint="eastAsia"/>
          <w:b w:val="0"/>
          <w:bCs w:val="0"/>
          <w:color w:val="auto"/>
        </w:rPr>
        <w:t>；</w:t>
      </w:r>
    </w:p>
    <w:p w14:paraId="59FCAEE7">
      <w:pPr>
        <w:pStyle w:val="135"/>
        <w:rPr>
          <w:b w:val="0"/>
          <w:bCs w:val="0"/>
          <w:color w:val="auto"/>
        </w:rPr>
      </w:pPr>
      <w:r>
        <w:rPr>
          <w:b w:val="0"/>
          <w:bCs w:val="0"/>
          <w:color w:val="auto"/>
        </w:rPr>
        <w:t>深度超过3</w:t>
      </w:r>
      <w:r>
        <w:rPr>
          <w:b w:val="0"/>
          <w:bCs w:val="0"/>
          <w:color w:val="auto"/>
          <w:vertAlign w:val="superscript"/>
        </w:rPr>
        <w:t xml:space="preserve"> </w:t>
      </w:r>
      <w:r>
        <w:rPr>
          <w:b w:val="0"/>
          <w:bCs w:val="0"/>
          <w:color w:val="auto"/>
        </w:rPr>
        <w:t>cm的深腔创面应采用分层填充方式，底层放置白色聚乙烯醇泡沫以减少组织长入，上层使用黑色聚氨酯泡沫促进肉芽生长，两层间由引流管贯穿连接，保证负压均匀传导。</w:t>
      </w:r>
    </w:p>
    <w:p w14:paraId="4DCEBB52">
      <w:pPr>
        <w:pStyle w:val="167"/>
        <w:ind w:left="0"/>
        <w:rPr>
          <w:b w:val="0"/>
          <w:bCs w:val="0"/>
          <w:color w:val="auto"/>
        </w:rPr>
      </w:pPr>
      <w:r>
        <w:rPr>
          <w:b w:val="0"/>
          <w:bCs w:val="0"/>
          <w:color w:val="auto"/>
        </w:rPr>
        <w:t>敷料放置后，将引流管埋入或贴附于敷料中，确保引流通道通畅。</w:t>
      </w:r>
    </w:p>
    <w:p w14:paraId="0EF505BE">
      <w:pPr>
        <w:pStyle w:val="167"/>
        <w:ind w:left="0"/>
        <w:rPr>
          <w:b w:val="0"/>
          <w:bCs w:val="0"/>
          <w:color w:val="auto"/>
        </w:rPr>
      </w:pPr>
      <w:r>
        <w:rPr>
          <w:b w:val="0"/>
          <w:bCs w:val="0"/>
          <w:color w:val="auto"/>
        </w:rPr>
        <w:t>针对多部位创面或区域小于吸盘面积的创面，可采用两个及多个伤口间泡沫敷料桥接技术，将多个创面通过泡沫条桥接，共用一个吸盘盘面引流；小于吸盘的创面可采用Chariker-jeter技术或自制引流装置。</w:t>
      </w:r>
    </w:p>
    <w:p w14:paraId="68EA1267">
      <w:pPr>
        <w:pStyle w:val="68"/>
        <w:spacing w:before="120" w:after="120"/>
        <w:rPr>
          <w:b w:val="0"/>
          <w:bCs w:val="0"/>
          <w:color w:val="auto"/>
        </w:rPr>
      </w:pPr>
      <w:r>
        <w:rPr>
          <w:b w:val="0"/>
          <w:bCs w:val="0"/>
          <w:color w:val="auto"/>
        </w:rPr>
        <w:t>密封与连接</w:t>
      </w:r>
    </w:p>
    <w:p w14:paraId="76D0E516">
      <w:pPr>
        <w:pStyle w:val="167"/>
        <w:ind w:left="0"/>
        <w:rPr>
          <w:b w:val="0"/>
          <w:bCs w:val="0"/>
          <w:color w:val="auto"/>
        </w:rPr>
      </w:pPr>
      <w:r>
        <w:rPr>
          <w:b w:val="0"/>
          <w:bCs w:val="0"/>
          <w:color w:val="auto"/>
        </w:rPr>
        <w:t>用无菌贴膜完全封闭敷料及引流管穿出部位，贴膜应超出敷料边缘至少3</w:t>
      </w:r>
      <w:r>
        <w:rPr>
          <w:b w:val="0"/>
          <w:bCs w:val="0"/>
          <w:color w:val="auto"/>
          <w:vertAlign w:val="superscript"/>
        </w:rPr>
        <w:t xml:space="preserve"> </w:t>
      </w:r>
      <w:r>
        <w:rPr>
          <w:b w:val="0"/>
          <w:bCs w:val="0"/>
          <w:color w:val="auto"/>
        </w:rPr>
        <w:t>cm～5</w:t>
      </w:r>
      <w:r>
        <w:rPr>
          <w:b w:val="0"/>
          <w:bCs w:val="0"/>
          <w:color w:val="auto"/>
          <w:vertAlign w:val="superscript"/>
        </w:rPr>
        <w:t xml:space="preserve"> </w:t>
      </w:r>
      <w:r>
        <w:rPr>
          <w:b w:val="0"/>
          <w:bCs w:val="0"/>
          <w:color w:val="auto"/>
        </w:rPr>
        <w:t>cm。</w:t>
      </w:r>
    </w:p>
    <w:p w14:paraId="46F17DDE">
      <w:pPr>
        <w:pStyle w:val="167"/>
        <w:ind w:left="0"/>
        <w:rPr>
          <w:b w:val="0"/>
          <w:bCs w:val="0"/>
          <w:color w:val="auto"/>
        </w:rPr>
      </w:pPr>
      <w:r>
        <w:rPr>
          <w:b w:val="0"/>
          <w:bCs w:val="0"/>
          <w:color w:val="auto"/>
        </w:rPr>
        <w:t>贴膜时应避免牵拉皮肤形成张力，</w:t>
      </w:r>
      <w:r>
        <w:rPr>
          <w:rFonts w:hint="eastAsia"/>
          <w:b w:val="0"/>
          <w:bCs w:val="0"/>
          <w:color w:val="auto"/>
        </w:rPr>
        <w:t>不应造成</w:t>
      </w:r>
      <w:r>
        <w:rPr>
          <w:b w:val="0"/>
          <w:bCs w:val="0"/>
          <w:color w:val="auto"/>
        </w:rPr>
        <w:t>皮肤撕脱伤。</w:t>
      </w:r>
    </w:p>
    <w:p w14:paraId="397697AC">
      <w:pPr>
        <w:pStyle w:val="167"/>
        <w:ind w:left="0"/>
        <w:rPr>
          <w:b w:val="0"/>
          <w:bCs w:val="0"/>
          <w:color w:val="auto"/>
        </w:rPr>
      </w:pPr>
      <w:r>
        <w:rPr>
          <w:b w:val="0"/>
          <w:bCs w:val="0"/>
          <w:color w:val="auto"/>
        </w:rPr>
        <w:t>将引流管与负压源连接，确保连接牢固无渗漏。</w:t>
      </w:r>
    </w:p>
    <w:p w14:paraId="15A57C27">
      <w:pPr>
        <w:pStyle w:val="167"/>
        <w:ind w:left="0"/>
        <w:rPr>
          <w:b w:val="0"/>
          <w:bCs w:val="0"/>
          <w:color w:val="auto"/>
        </w:rPr>
      </w:pPr>
      <w:r>
        <w:rPr>
          <w:b w:val="0"/>
          <w:bCs w:val="0"/>
          <w:color w:val="auto"/>
        </w:rPr>
        <w:t>贴膜密闭</w:t>
      </w:r>
      <w:r>
        <w:rPr>
          <w:rFonts w:hint="eastAsia"/>
          <w:b w:val="0"/>
          <w:bCs w:val="0"/>
          <w:color w:val="auto"/>
        </w:rPr>
        <w:t>操作术如下</w:t>
      </w:r>
      <w:r>
        <w:rPr>
          <w:b w:val="0"/>
          <w:bCs w:val="0"/>
          <w:color w:val="auto"/>
        </w:rPr>
        <w:t>：</w:t>
      </w:r>
    </w:p>
    <w:p w14:paraId="08988F68">
      <w:pPr>
        <w:pStyle w:val="135"/>
        <w:rPr>
          <w:b w:val="0"/>
          <w:bCs w:val="0"/>
          <w:color w:val="auto"/>
        </w:rPr>
      </w:pPr>
      <w:r>
        <w:rPr>
          <w:b w:val="0"/>
          <w:bCs w:val="0"/>
          <w:color w:val="auto"/>
        </w:rPr>
        <w:t>领结法：适用于骨隆突部位如骶尾部、跟腱、踝部等。将贴膜剪裁成领结形态，中间窄段贴合骨突，两侧宽段覆盖平整皮肤，由中心向两侧无张力抚平，</w:t>
      </w:r>
      <w:r>
        <w:rPr>
          <w:rFonts w:hint="eastAsia"/>
          <w:b w:val="0"/>
          <w:bCs w:val="0"/>
          <w:color w:val="auto"/>
        </w:rPr>
        <w:t>不应造成</w:t>
      </w:r>
      <w:r>
        <w:rPr>
          <w:b w:val="0"/>
          <w:bCs w:val="0"/>
          <w:color w:val="auto"/>
        </w:rPr>
        <w:t>牵拉与皱褶</w:t>
      </w:r>
      <w:r>
        <w:rPr>
          <w:rFonts w:hint="eastAsia"/>
          <w:b w:val="0"/>
          <w:bCs w:val="0"/>
          <w:color w:val="auto"/>
        </w:rPr>
        <w:t>；</w:t>
      </w:r>
    </w:p>
    <w:p w14:paraId="5FC234D6">
      <w:pPr>
        <w:pStyle w:val="135"/>
        <w:rPr>
          <w:b w:val="0"/>
          <w:bCs w:val="0"/>
          <w:color w:val="auto"/>
        </w:rPr>
      </w:pPr>
      <w:r>
        <w:rPr>
          <w:b w:val="0"/>
          <w:bCs w:val="0"/>
          <w:color w:val="auto"/>
        </w:rPr>
        <w:t>包饺子法：适用于渗液较多或易漏气部位。先以防漏膏或条状敷料沿泡沫边缘铺垫塑形，再由贴膜完整包绕粘贴，减少渗液浸渍与边缘翘边</w:t>
      </w:r>
      <w:r>
        <w:rPr>
          <w:rFonts w:hint="eastAsia"/>
          <w:b w:val="0"/>
          <w:bCs w:val="0"/>
          <w:color w:val="auto"/>
        </w:rPr>
        <w:t>；</w:t>
      </w:r>
    </w:p>
    <w:p w14:paraId="3871EE74">
      <w:pPr>
        <w:pStyle w:val="135"/>
        <w:rPr>
          <w:b w:val="0"/>
          <w:bCs w:val="0"/>
          <w:color w:val="auto"/>
        </w:rPr>
      </w:pPr>
      <w:r>
        <w:rPr>
          <w:b w:val="0"/>
          <w:bCs w:val="0"/>
          <w:color w:val="auto"/>
        </w:rPr>
        <w:t>三明治法：适用于足趾、足部等不规则部位。用两片透明膜夹住伤口和周围组织</w:t>
      </w:r>
      <w:r>
        <w:rPr>
          <w:rFonts w:hint="eastAsia"/>
          <w:b w:val="0"/>
          <w:bCs w:val="0"/>
          <w:color w:val="auto"/>
        </w:rPr>
        <w:t>；</w:t>
      </w:r>
    </w:p>
    <w:p w14:paraId="05D5A386">
      <w:pPr>
        <w:pStyle w:val="135"/>
        <w:rPr>
          <w:b w:val="0"/>
          <w:bCs w:val="0"/>
          <w:color w:val="auto"/>
        </w:rPr>
      </w:pPr>
      <w:r>
        <w:rPr>
          <w:b w:val="0"/>
          <w:bCs w:val="0"/>
          <w:color w:val="auto"/>
        </w:rPr>
        <w:t>交叉式双层叠瓦贴膜法：适用于臀沟等特殊皱褶区域。沿皮肤自然起伏平行贴敷，不做跨沟搭桥，第一层贴膜外放置拆散的碎纱，边缘平齐第一层贴膜，再以第二层贴膜叠瓦封闭</w:t>
      </w:r>
      <w:r>
        <w:rPr>
          <w:rFonts w:hint="eastAsia"/>
          <w:b w:val="0"/>
          <w:bCs w:val="0"/>
          <w:color w:val="auto"/>
        </w:rPr>
        <w:t>；</w:t>
      </w:r>
    </w:p>
    <w:p w14:paraId="6FEEF4D0">
      <w:pPr>
        <w:pStyle w:val="135"/>
        <w:rPr>
          <w:b w:val="0"/>
          <w:bCs w:val="0"/>
          <w:color w:val="auto"/>
        </w:rPr>
      </w:pPr>
      <w:r>
        <w:rPr>
          <w:b w:val="0"/>
          <w:bCs w:val="0"/>
          <w:color w:val="auto"/>
        </w:rPr>
        <w:t>皮肤皱褶与凹陷处理：创面周边凹陷、皱褶及骨隆突处，均应先使用防漏膏、皮肤保护膜或条状敷料进行填充塑形，使皮肤表面平整连续，再行整体贴膜密闭。</w:t>
      </w:r>
    </w:p>
    <w:p w14:paraId="1E7522FC">
      <w:pPr>
        <w:pStyle w:val="68"/>
        <w:spacing w:before="120" w:after="120"/>
        <w:rPr>
          <w:b w:val="0"/>
          <w:bCs w:val="0"/>
          <w:color w:val="auto"/>
          <w:sz w:val="24"/>
          <w:szCs w:val="24"/>
        </w:rPr>
      </w:pPr>
      <w:r>
        <w:rPr>
          <w:b w:val="0"/>
          <w:bCs w:val="0"/>
          <w:color w:val="auto"/>
        </w:rPr>
        <w:t>启动负压</w:t>
      </w:r>
    </w:p>
    <w:p w14:paraId="0ECBD96B">
      <w:pPr>
        <w:pStyle w:val="167"/>
        <w:ind w:left="0"/>
        <w:rPr>
          <w:b w:val="0"/>
          <w:bCs w:val="0"/>
          <w:color w:val="auto"/>
        </w:rPr>
      </w:pPr>
      <w:r>
        <w:rPr>
          <w:b w:val="0"/>
          <w:bCs w:val="0"/>
          <w:color w:val="auto"/>
        </w:rPr>
        <w:t>根据医嘱设定目标负压值和治疗模式后启动设备。</w:t>
      </w:r>
    </w:p>
    <w:p w14:paraId="3D60965E">
      <w:pPr>
        <w:pStyle w:val="167"/>
        <w:ind w:left="0"/>
        <w:rPr>
          <w:b w:val="0"/>
          <w:bCs w:val="0"/>
          <w:color w:val="auto"/>
        </w:rPr>
      </w:pPr>
      <w:r>
        <w:rPr>
          <w:b w:val="0"/>
          <w:bCs w:val="0"/>
          <w:color w:val="auto"/>
        </w:rPr>
        <w:t>检查密封情况，确认贴膜下敷料塌陷、无漏气声，引流管内可见引流液引流。</w:t>
      </w:r>
      <w:r>
        <w:rPr>
          <w:rStyle w:val="31"/>
          <w:rFonts w:ascii="Segoe UI" w:hAnsi="Segoe UI" w:cs="Segoe UI"/>
          <w:b w:val="0"/>
          <w:bCs w:val="0"/>
          <w:color w:val="auto"/>
        </w:rPr>
        <w:t>负压有效性判断可采用听（漏气声）、触（敷料硬度）、视（贴膜下敷料塌陷情况）三步法快速检查。</w:t>
      </w:r>
    </w:p>
    <w:p w14:paraId="3D756C57">
      <w:pPr>
        <w:pStyle w:val="167"/>
        <w:ind w:left="0"/>
        <w:rPr>
          <w:b w:val="0"/>
          <w:bCs w:val="0"/>
          <w:color w:val="auto"/>
        </w:rPr>
      </w:pPr>
      <w:r>
        <w:rPr>
          <w:b w:val="0"/>
          <w:bCs w:val="0"/>
          <w:color w:val="auto"/>
        </w:rPr>
        <w:t>若出现密封不良，应按压贴膜密封泄漏点，必要时使用贴膜补片加固。</w:t>
      </w:r>
    </w:p>
    <w:p w14:paraId="4FF197EC">
      <w:pPr>
        <w:pStyle w:val="108"/>
        <w:spacing w:before="120" w:after="120"/>
        <w:rPr>
          <w:b w:val="0"/>
          <w:bCs w:val="0"/>
          <w:color w:val="auto"/>
        </w:rPr>
      </w:pPr>
      <w:bookmarkStart w:id="183" w:name="_Toc228300671"/>
      <w:bookmarkStart w:id="184" w:name="_Toc228300816"/>
      <w:r>
        <w:rPr>
          <w:rStyle w:val="31"/>
          <w:rFonts w:ascii="Segoe UI" w:hAnsi="Segoe UI" w:cs="Segoe UI"/>
          <w:b w:val="0"/>
          <w:bCs w:val="0"/>
          <w:color w:val="auto"/>
        </w:rPr>
        <w:t>治疗模式与压力参数</w:t>
      </w:r>
      <w:bookmarkEnd w:id="183"/>
      <w:bookmarkEnd w:id="184"/>
    </w:p>
    <w:p w14:paraId="025E2516">
      <w:pPr>
        <w:pStyle w:val="68"/>
        <w:spacing w:before="120" w:after="120"/>
        <w:rPr>
          <w:rFonts w:ascii="Segoe UI" w:hAnsi="Segoe UI" w:cs="Segoe UI"/>
          <w:b w:val="0"/>
          <w:bCs w:val="0"/>
          <w:color w:val="auto"/>
        </w:rPr>
      </w:pPr>
      <w:r>
        <w:rPr>
          <w:rFonts w:ascii="Segoe UI" w:hAnsi="Segoe UI" w:cs="Segoe UI"/>
          <w:b w:val="0"/>
          <w:bCs w:val="0"/>
          <w:color w:val="auto"/>
        </w:rPr>
        <w:t>治疗模式</w:t>
      </w:r>
    </w:p>
    <w:p w14:paraId="70C16321">
      <w:pPr>
        <w:pStyle w:val="167"/>
        <w:ind w:left="0"/>
        <w:rPr>
          <w:b w:val="0"/>
          <w:bCs w:val="0"/>
          <w:color w:val="auto"/>
        </w:rPr>
      </w:pPr>
      <w:r>
        <w:rPr>
          <w:b w:val="0"/>
          <w:bCs w:val="0"/>
          <w:color w:val="auto"/>
        </w:rPr>
        <w:t>NPWT常用治疗模式包括连续模式与间歇模式</w:t>
      </w:r>
      <w:r>
        <w:rPr>
          <w:rFonts w:hint="eastAsia"/>
          <w:b w:val="0"/>
          <w:bCs w:val="0"/>
          <w:color w:val="auto"/>
        </w:rPr>
        <w:t>：</w:t>
      </w:r>
    </w:p>
    <w:p w14:paraId="4604D44A">
      <w:pPr>
        <w:pStyle w:val="135"/>
        <w:rPr>
          <w:b w:val="0"/>
          <w:bCs w:val="0"/>
          <w:color w:val="auto"/>
        </w:rPr>
      </w:pPr>
      <w:r>
        <w:rPr>
          <w:b w:val="0"/>
          <w:bCs w:val="0"/>
          <w:color w:val="auto"/>
        </w:rPr>
        <w:t>连续模式为首选模式，适用于治疗初期（前48</w:t>
      </w:r>
      <w:r>
        <w:rPr>
          <w:rFonts w:hint="eastAsia"/>
          <w:b w:val="0"/>
          <w:bCs w:val="0"/>
          <w:color w:val="auto"/>
          <w:vertAlign w:val="superscript"/>
        </w:rPr>
        <w:t xml:space="preserve"> </w:t>
      </w:r>
      <w:r>
        <w:rPr>
          <w:rFonts w:hint="eastAsia"/>
          <w:b w:val="0"/>
          <w:bCs w:val="0"/>
          <w:color w:val="auto"/>
        </w:rPr>
        <w:t>h</w:t>
      </w:r>
      <w:r>
        <w:rPr>
          <w:b w:val="0"/>
          <w:bCs w:val="0"/>
          <w:color w:val="auto"/>
        </w:rPr>
        <w:t>）、渗出量大、存在瘘管或患者疼痛明显的伤口。</w:t>
      </w:r>
    </w:p>
    <w:p w14:paraId="4250E9A2">
      <w:pPr>
        <w:pStyle w:val="135"/>
        <w:rPr>
          <w:b w:val="0"/>
          <w:bCs w:val="0"/>
          <w:color w:val="auto"/>
        </w:rPr>
      </w:pPr>
      <w:r>
        <w:rPr>
          <w:b w:val="0"/>
          <w:bCs w:val="0"/>
          <w:color w:val="auto"/>
        </w:rPr>
        <w:t>间歇模式可根据伤口情况和患者耐受性选择使用。</w:t>
      </w:r>
    </w:p>
    <w:p w14:paraId="351FC205">
      <w:pPr>
        <w:pStyle w:val="167"/>
        <w:ind w:left="0"/>
        <w:rPr>
          <w:b w:val="0"/>
          <w:bCs w:val="0"/>
          <w:color w:val="auto"/>
        </w:rPr>
      </w:pPr>
      <w:r>
        <w:rPr>
          <w:b w:val="0"/>
          <w:bCs w:val="0"/>
          <w:color w:val="auto"/>
        </w:rPr>
        <w:t>NPWTi-d模式适用于需周期性灌注清洁的创面。</w:t>
      </w:r>
    </w:p>
    <w:p w14:paraId="1E630F50">
      <w:pPr>
        <w:pStyle w:val="68"/>
        <w:spacing w:before="120" w:after="120"/>
        <w:rPr>
          <w:b w:val="0"/>
          <w:bCs w:val="0"/>
          <w:color w:val="auto"/>
        </w:rPr>
      </w:pPr>
      <w:r>
        <w:rPr>
          <w:b w:val="0"/>
          <w:bCs w:val="0"/>
          <w:color w:val="auto"/>
        </w:rPr>
        <w:t>压力参数</w:t>
      </w:r>
    </w:p>
    <w:p w14:paraId="594F2D34">
      <w:pPr>
        <w:pStyle w:val="59"/>
        <w:ind w:firstLine="422"/>
        <w:rPr>
          <w:b w:val="0"/>
          <w:bCs w:val="0"/>
          <w:color w:val="auto"/>
        </w:rPr>
      </w:pPr>
      <w:r>
        <w:rPr>
          <w:rStyle w:val="31"/>
          <w:rFonts w:hAnsi="宋体" w:cs="Segoe UI"/>
          <w:b w:val="0"/>
          <w:bCs w:val="0"/>
          <w:color w:val="auto"/>
        </w:rPr>
        <w:t>负压设定应</w:t>
      </w:r>
      <w:r>
        <w:rPr>
          <w:rStyle w:val="31"/>
          <w:rFonts w:hint="eastAsia" w:hAnsi="宋体" w:cs="Segoe UI"/>
          <w:b w:val="0"/>
          <w:bCs w:val="0"/>
          <w:color w:val="auto"/>
        </w:rPr>
        <w:t>遵</w:t>
      </w:r>
      <w:r>
        <w:rPr>
          <w:b w:val="0"/>
          <w:bCs w:val="0"/>
          <w:color w:val="auto"/>
        </w:rPr>
        <w:t>医嘱</w:t>
      </w:r>
      <w:r>
        <w:rPr>
          <w:rStyle w:val="31"/>
          <w:rFonts w:hAnsi="宋体" w:cs="Segoe UI"/>
          <w:b w:val="0"/>
          <w:bCs w:val="0"/>
          <w:color w:val="auto"/>
        </w:rPr>
        <w:t>根据创面类型、渗出量及患者耐受度分层设定：</w:t>
      </w:r>
    </w:p>
    <w:p w14:paraId="4D86061F">
      <w:pPr>
        <w:pStyle w:val="135"/>
        <w:rPr>
          <w:rFonts w:hAnsi="宋体"/>
          <w:b w:val="0"/>
          <w:bCs w:val="0"/>
          <w:color w:val="auto"/>
        </w:rPr>
      </w:pPr>
      <w:r>
        <w:rPr>
          <w:rStyle w:val="31"/>
          <w:rFonts w:hAnsi="宋体" w:cs="Segoe UI"/>
          <w:b w:val="0"/>
          <w:bCs w:val="0"/>
          <w:color w:val="auto"/>
        </w:rPr>
        <w:t>常规慢性创面：–80</w:t>
      </w:r>
      <w:r>
        <w:rPr>
          <w:rStyle w:val="31"/>
          <w:rFonts w:hAnsi="宋体" w:cs="Segoe UI"/>
          <w:b w:val="0"/>
          <w:bCs w:val="0"/>
          <w:color w:val="auto"/>
          <w:vertAlign w:val="superscript"/>
        </w:rPr>
        <w:t xml:space="preserve"> </w:t>
      </w:r>
      <w:r>
        <w:rPr>
          <w:rStyle w:val="31"/>
          <w:rFonts w:hAnsi="宋体" w:cs="Segoe UI"/>
          <w:b w:val="0"/>
          <w:bCs w:val="0"/>
          <w:color w:val="auto"/>
        </w:rPr>
        <w:t>mmHg至–125</w:t>
      </w:r>
      <w:r>
        <w:rPr>
          <w:rStyle w:val="31"/>
          <w:rFonts w:hAnsi="宋体" w:cs="Segoe UI"/>
          <w:b w:val="0"/>
          <w:bCs w:val="0"/>
          <w:color w:val="auto"/>
          <w:vertAlign w:val="superscript"/>
        </w:rPr>
        <w:t xml:space="preserve"> </w:t>
      </w:r>
      <w:r>
        <w:rPr>
          <w:rStyle w:val="31"/>
          <w:rFonts w:hAnsi="宋体" w:cs="Segoe UI"/>
          <w:b w:val="0"/>
          <w:bCs w:val="0"/>
          <w:color w:val="auto"/>
        </w:rPr>
        <w:t>mmHg；</w:t>
      </w:r>
    </w:p>
    <w:p w14:paraId="29A5B21F">
      <w:pPr>
        <w:pStyle w:val="135"/>
        <w:rPr>
          <w:rFonts w:hAnsi="宋体"/>
          <w:b w:val="0"/>
          <w:bCs w:val="0"/>
          <w:color w:val="auto"/>
        </w:rPr>
      </w:pPr>
      <w:r>
        <w:rPr>
          <w:rStyle w:val="31"/>
          <w:rFonts w:hAnsi="宋体" w:cs="Segoe UI"/>
          <w:b w:val="0"/>
          <w:bCs w:val="0"/>
          <w:color w:val="auto"/>
        </w:rPr>
        <w:t>高渗液/感染创面：–125</w:t>
      </w:r>
      <w:r>
        <w:rPr>
          <w:rStyle w:val="31"/>
          <w:rFonts w:hAnsi="宋体" w:cs="Segoe UI"/>
          <w:b w:val="0"/>
          <w:bCs w:val="0"/>
          <w:color w:val="auto"/>
          <w:vertAlign w:val="superscript"/>
        </w:rPr>
        <w:t xml:space="preserve"> </w:t>
      </w:r>
      <w:r>
        <w:rPr>
          <w:rStyle w:val="31"/>
          <w:rFonts w:hAnsi="宋体" w:cs="Segoe UI"/>
          <w:b w:val="0"/>
          <w:bCs w:val="0"/>
          <w:color w:val="auto"/>
        </w:rPr>
        <w:t>mmHg至–175</w:t>
      </w:r>
      <w:r>
        <w:rPr>
          <w:rStyle w:val="31"/>
          <w:rFonts w:hAnsi="宋体" w:cs="Segoe UI"/>
          <w:b w:val="0"/>
          <w:bCs w:val="0"/>
          <w:color w:val="auto"/>
          <w:vertAlign w:val="superscript"/>
        </w:rPr>
        <w:t xml:space="preserve"> </w:t>
      </w:r>
      <w:r>
        <w:rPr>
          <w:rStyle w:val="31"/>
          <w:rFonts w:hAnsi="宋体" w:cs="Segoe UI"/>
          <w:b w:val="0"/>
          <w:bCs w:val="0"/>
          <w:color w:val="auto"/>
        </w:rPr>
        <w:t>mmHg（短期应用并加强监测）；</w:t>
      </w:r>
    </w:p>
    <w:p w14:paraId="54AF2774">
      <w:pPr>
        <w:pStyle w:val="135"/>
        <w:rPr>
          <w:b w:val="0"/>
          <w:bCs w:val="0"/>
          <w:color w:val="auto"/>
        </w:rPr>
      </w:pPr>
      <w:r>
        <w:rPr>
          <w:rStyle w:val="31"/>
          <w:rFonts w:hAnsi="宋体" w:cs="Segoe UI"/>
          <w:b w:val="0"/>
          <w:bCs w:val="0"/>
          <w:color w:val="auto"/>
        </w:rPr>
        <w:t>老年/疼痛敏感/脆弱组织创面：–50</w:t>
      </w:r>
      <w:r>
        <w:rPr>
          <w:rStyle w:val="31"/>
          <w:rFonts w:hAnsi="宋体" w:cs="Segoe UI"/>
          <w:b w:val="0"/>
          <w:bCs w:val="0"/>
          <w:color w:val="auto"/>
          <w:vertAlign w:val="superscript"/>
        </w:rPr>
        <w:t xml:space="preserve"> </w:t>
      </w:r>
      <w:r>
        <w:rPr>
          <w:rStyle w:val="31"/>
          <w:rFonts w:hAnsi="宋体" w:cs="Segoe UI"/>
          <w:b w:val="0"/>
          <w:bCs w:val="0"/>
          <w:color w:val="auto"/>
        </w:rPr>
        <w:t>mmHg至–80</w:t>
      </w:r>
      <w:r>
        <w:rPr>
          <w:rStyle w:val="31"/>
          <w:rFonts w:hAnsi="宋体" w:cs="Segoe UI"/>
          <w:b w:val="0"/>
          <w:bCs w:val="0"/>
          <w:color w:val="auto"/>
          <w:vertAlign w:val="superscript"/>
        </w:rPr>
        <w:t xml:space="preserve"> </w:t>
      </w:r>
      <w:r>
        <w:rPr>
          <w:rStyle w:val="31"/>
          <w:rFonts w:hAnsi="宋体" w:cs="Segoe UI"/>
          <w:b w:val="0"/>
          <w:bCs w:val="0"/>
          <w:color w:val="auto"/>
        </w:rPr>
        <w:t>mmHg</w:t>
      </w:r>
      <w:r>
        <w:rPr>
          <w:rStyle w:val="31"/>
          <w:rFonts w:ascii="Segoe UI" w:hAnsi="Segoe UI" w:cs="Segoe UI"/>
          <w:b w:val="0"/>
          <w:bCs w:val="0"/>
          <w:color w:val="auto"/>
        </w:rPr>
        <w:t>。</w:t>
      </w:r>
    </w:p>
    <w:p w14:paraId="36965A22">
      <w:pPr>
        <w:pStyle w:val="108"/>
        <w:spacing w:before="120" w:after="120"/>
        <w:rPr>
          <w:b w:val="0"/>
          <w:bCs w:val="0"/>
          <w:color w:val="auto"/>
        </w:rPr>
      </w:pPr>
      <w:bookmarkStart w:id="185" w:name="_Toc228300672"/>
      <w:bookmarkStart w:id="186" w:name="_Toc228300817"/>
      <w:r>
        <w:rPr>
          <w:rStyle w:val="31"/>
          <w:rFonts w:ascii="Segoe UI" w:hAnsi="Segoe UI" w:cs="Segoe UI"/>
          <w:b w:val="0"/>
          <w:bCs w:val="0"/>
          <w:color w:val="auto"/>
        </w:rPr>
        <w:t>治疗期间护理与监测</w:t>
      </w:r>
      <w:bookmarkEnd w:id="185"/>
      <w:bookmarkEnd w:id="186"/>
    </w:p>
    <w:p w14:paraId="410CA863">
      <w:pPr>
        <w:pStyle w:val="68"/>
        <w:spacing w:before="120" w:after="120"/>
        <w:rPr>
          <w:b w:val="0"/>
          <w:bCs w:val="0"/>
          <w:color w:val="auto"/>
        </w:rPr>
      </w:pPr>
      <w:r>
        <w:rPr>
          <w:b w:val="0"/>
          <w:bCs w:val="0"/>
          <w:color w:val="auto"/>
        </w:rPr>
        <w:t>一般护理</w:t>
      </w:r>
    </w:p>
    <w:p w14:paraId="1DA4B63C">
      <w:pPr>
        <w:pStyle w:val="167"/>
        <w:ind w:left="0"/>
        <w:rPr>
          <w:b w:val="0"/>
          <w:bCs w:val="0"/>
          <w:color w:val="auto"/>
        </w:rPr>
      </w:pPr>
      <w:r>
        <w:rPr>
          <w:b w:val="0"/>
          <w:bCs w:val="0"/>
          <w:color w:val="auto"/>
        </w:rPr>
        <w:t>每8</w:t>
      </w:r>
      <w:r>
        <w:rPr>
          <w:b w:val="0"/>
          <w:bCs w:val="0"/>
          <w:color w:val="auto"/>
          <w:vertAlign w:val="superscript"/>
        </w:rPr>
        <w:t xml:space="preserve"> </w:t>
      </w:r>
      <w:r>
        <w:rPr>
          <w:b w:val="0"/>
          <w:bCs w:val="0"/>
          <w:color w:val="auto"/>
        </w:rPr>
        <w:t>h～12</w:t>
      </w:r>
      <w:r>
        <w:rPr>
          <w:b w:val="0"/>
          <w:bCs w:val="0"/>
          <w:color w:val="auto"/>
          <w:vertAlign w:val="superscript"/>
        </w:rPr>
        <w:t xml:space="preserve"> </w:t>
      </w:r>
      <w:r>
        <w:rPr>
          <w:b w:val="0"/>
          <w:bCs w:val="0"/>
          <w:color w:val="auto"/>
        </w:rPr>
        <w:t>h巡视一次，检查NPWT系统运行状态及患者状况。</w:t>
      </w:r>
      <w:r>
        <w:rPr>
          <w:rStyle w:val="31"/>
          <w:rFonts w:hAnsi="宋体" w:cs="Segoe UI"/>
          <w:b w:val="0"/>
          <w:bCs w:val="0"/>
          <w:color w:val="auto"/>
        </w:rPr>
        <w:t>监测指标应包括24</w:t>
      </w:r>
      <w:r>
        <w:rPr>
          <w:rStyle w:val="31"/>
          <w:rFonts w:hAnsi="宋体" w:cs="Segoe UI"/>
          <w:b w:val="0"/>
          <w:bCs w:val="0"/>
          <w:color w:val="auto"/>
          <w:vertAlign w:val="superscript"/>
        </w:rPr>
        <w:t xml:space="preserve"> </w:t>
      </w:r>
      <w:r>
        <w:rPr>
          <w:rStyle w:val="31"/>
          <w:rFonts w:hAnsi="宋体" w:cs="Segoe UI"/>
          <w:b w:val="0"/>
          <w:bCs w:val="0"/>
          <w:color w:val="auto"/>
        </w:rPr>
        <w:t>h引流量、渗液性状、疼痛评分、创面愈合进展、周围皮肤完整性及体位减压效果，形成每日动态评估记录。</w:t>
      </w:r>
    </w:p>
    <w:p w14:paraId="52EFCE39">
      <w:pPr>
        <w:pStyle w:val="167"/>
        <w:ind w:left="0"/>
        <w:rPr>
          <w:b w:val="0"/>
          <w:bCs w:val="0"/>
          <w:color w:val="auto"/>
        </w:rPr>
      </w:pPr>
      <w:r>
        <w:rPr>
          <w:b w:val="0"/>
          <w:bCs w:val="0"/>
          <w:color w:val="auto"/>
        </w:rPr>
        <w:t>每班检查管路通畅情况，定时检查是否受压、扭曲，必要时进行体位调整，避免管道受压，堵塞时可在严格无菌操作下以生理盐水低压冲洗。</w:t>
      </w:r>
    </w:p>
    <w:p w14:paraId="54C743E9">
      <w:pPr>
        <w:pStyle w:val="167"/>
        <w:ind w:left="0"/>
        <w:rPr>
          <w:b w:val="0"/>
          <w:bCs w:val="0"/>
          <w:color w:val="auto"/>
        </w:rPr>
      </w:pPr>
      <w:r>
        <w:rPr>
          <w:b w:val="0"/>
          <w:bCs w:val="0"/>
          <w:color w:val="auto"/>
        </w:rPr>
        <w:t>及时清空引流液收集装置，按照医疗废物管理要求处理引流液。</w:t>
      </w:r>
    </w:p>
    <w:p w14:paraId="7B852E5D">
      <w:pPr>
        <w:pStyle w:val="167"/>
        <w:ind w:left="0"/>
        <w:rPr>
          <w:b w:val="0"/>
          <w:bCs w:val="0"/>
          <w:color w:val="auto"/>
        </w:rPr>
      </w:pPr>
      <w:r>
        <w:rPr>
          <w:b w:val="0"/>
          <w:bCs w:val="0"/>
          <w:color w:val="auto"/>
        </w:rPr>
        <w:t>注意保护伤口周围皮肤。</w:t>
      </w:r>
    </w:p>
    <w:p w14:paraId="3F509521">
      <w:pPr>
        <w:pStyle w:val="68"/>
        <w:spacing w:before="120" w:after="120"/>
        <w:rPr>
          <w:b w:val="0"/>
          <w:bCs w:val="0"/>
          <w:color w:val="auto"/>
        </w:rPr>
      </w:pPr>
      <w:r>
        <w:rPr>
          <w:b w:val="0"/>
          <w:bCs w:val="0"/>
          <w:color w:val="auto"/>
        </w:rPr>
        <w:t>系统状态监测</w:t>
      </w:r>
    </w:p>
    <w:p w14:paraId="1175E9D5">
      <w:pPr>
        <w:pStyle w:val="167"/>
        <w:ind w:left="0"/>
        <w:rPr>
          <w:b w:val="0"/>
          <w:bCs w:val="0"/>
          <w:color w:val="auto"/>
        </w:rPr>
      </w:pPr>
      <w:r>
        <w:rPr>
          <w:b w:val="0"/>
          <w:bCs w:val="0"/>
          <w:color w:val="auto"/>
        </w:rPr>
        <w:t>确认设备负压显示值与设定值一致。</w:t>
      </w:r>
    </w:p>
    <w:p w14:paraId="5980BB67">
      <w:pPr>
        <w:pStyle w:val="167"/>
        <w:ind w:left="0"/>
        <w:rPr>
          <w:b w:val="0"/>
          <w:bCs w:val="0"/>
          <w:color w:val="auto"/>
        </w:rPr>
      </w:pPr>
      <w:r>
        <w:rPr>
          <w:b w:val="0"/>
          <w:bCs w:val="0"/>
          <w:color w:val="auto"/>
        </w:rPr>
        <w:t>确认贴膜密封良好，敷料处于塌陷状态</w:t>
      </w:r>
      <w:r>
        <w:rPr>
          <w:rFonts w:hint="eastAsia"/>
          <w:b w:val="0"/>
          <w:bCs w:val="0"/>
          <w:color w:val="auto"/>
        </w:rPr>
        <w:t>、</w:t>
      </w:r>
      <w:r>
        <w:rPr>
          <w:b w:val="0"/>
          <w:bCs w:val="0"/>
          <w:color w:val="auto"/>
        </w:rPr>
        <w:t>空气渗漏时设备</w:t>
      </w:r>
      <w:r>
        <w:rPr>
          <w:rFonts w:hint="eastAsia"/>
          <w:b w:val="0"/>
          <w:bCs w:val="0"/>
          <w:color w:val="auto"/>
        </w:rPr>
        <w:t>应</w:t>
      </w:r>
      <w:r>
        <w:rPr>
          <w:b w:val="0"/>
          <w:bCs w:val="0"/>
          <w:color w:val="auto"/>
        </w:rPr>
        <w:t>自动报警。设备报警提示漏气时，应采用听、触、视三步法快速定位漏气点，实施补膜或重新密封。若怀疑设备故障，应立即更换备用设备。</w:t>
      </w:r>
    </w:p>
    <w:p w14:paraId="5461970E">
      <w:pPr>
        <w:pStyle w:val="167"/>
        <w:ind w:left="0"/>
        <w:rPr>
          <w:rFonts w:hint="eastAsia"/>
          <w:b w:val="0"/>
          <w:bCs w:val="0"/>
          <w:color w:val="auto"/>
        </w:rPr>
      </w:pPr>
      <w:r>
        <w:rPr>
          <w:b w:val="0"/>
          <w:bCs w:val="0"/>
          <w:color w:val="auto"/>
        </w:rPr>
        <w:t>记录引流液的量、颜色、性状。引流液量突然增多或性质发生明显改变时，应及时告知医师。</w:t>
      </w:r>
    </w:p>
    <w:p w14:paraId="6D4FF3B4">
      <w:pPr>
        <w:pStyle w:val="68"/>
        <w:spacing w:before="120" w:after="120"/>
        <w:rPr>
          <w:b w:val="0"/>
          <w:bCs w:val="0"/>
          <w:color w:val="auto"/>
        </w:rPr>
      </w:pPr>
      <w:r>
        <w:rPr>
          <w:b w:val="0"/>
          <w:bCs w:val="0"/>
          <w:color w:val="auto"/>
        </w:rPr>
        <w:t>疼痛管理</w:t>
      </w:r>
    </w:p>
    <w:p w14:paraId="2F452CE3">
      <w:pPr>
        <w:pStyle w:val="167"/>
        <w:ind w:left="0"/>
        <w:rPr>
          <w:b w:val="0"/>
          <w:bCs w:val="0"/>
          <w:color w:val="auto"/>
        </w:rPr>
      </w:pPr>
      <w:r>
        <w:rPr>
          <w:b w:val="0"/>
          <w:bCs w:val="0"/>
          <w:color w:val="auto"/>
        </w:rPr>
        <w:t>每次巡视时均应评估患者疼痛程度，采用数字评分法（NRS）或其他有效工具。</w:t>
      </w:r>
    </w:p>
    <w:p w14:paraId="0BD7DAE8">
      <w:pPr>
        <w:pStyle w:val="167"/>
        <w:ind w:left="0"/>
        <w:rPr>
          <w:b w:val="0"/>
          <w:bCs w:val="0"/>
          <w:color w:val="auto"/>
        </w:rPr>
      </w:pPr>
      <w:r>
        <w:rPr>
          <w:b w:val="0"/>
          <w:bCs w:val="0"/>
          <w:color w:val="auto"/>
        </w:rPr>
        <w:t>若患者疼痛明显，应评估是否为负压过高、敷料填塞不当或敷料更换刺激所致，并采取相应措施。</w:t>
      </w:r>
    </w:p>
    <w:p w14:paraId="72F5B2F8">
      <w:pPr>
        <w:pStyle w:val="68"/>
        <w:spacing w:before="120" w:after="120"/>
        <w:rPr>
          <w:b w:val="0"/>
          <w:bCs w:val="0"/>
          <w:color w:val="auto"/>
        </w:rPr>
      </w:pPr>
      <w:r>
        <w:rPr>
          <w:b w:val="0"/>
          <w:bCs w:val="0"/>
          <w:color w:val="auto"/>
        </w:rPr>
        <w:t>敷料更换</w:t>
      </w:r>
    </w:p>
    <w:p w14:paraId="56DFD93E">
      <w:pPr>
        <w:pStyle w:val="167"/>
        <w:ind w:left="0"/>
        <w:rPr>
          <w:b w:val="0"/>
          <w:bCs w:val="0"/>
          <w:color w:val="auto"/>
        </w:rPr>
      </w:pPr>
      <w:r>
        <w:rPr>
          <w:b w:val="0"/>
          <w:bCs w:val="0"/>
          <w:color w:val="auto"/>
        </w:rPr>
        <w:t>常规情况下每48</w:t>
      </w:r>
      <w:r>
        <w:rPr>
          <w:b w:val="0"/>
          <w:bCs w:val="0"/>
          <w:color w:val="auto"/>
          <w:vertAlign w:val="superscript"/>
        </w:rPr>
        <w:t xml:space="preserve"> </w:t>
      </w:r>
      <w:r>
        <w:rPr>
          <w:b w:val="0"/>
          <w:bCs w:val="0"/>
          <w:color w:val="auto"/>
        </w:rPr>
        <w:t>h～72</w:t>
      </w:r>
      <w:r>
        <w:rPr>
          <w:b w:val="0"/>
          <w:bCs w:val="0"/>
          <w:color w:val="auto"/>
          <w:vertAlign w:val="superscript"/>
        </w:rPr>
        <w:t xml:space="preserve"> </w:t>
      </w:r>
      <w:r>
        <w:rPr>
          <w:b w:val="0"/>
          <w:bCs w:val="0"/>
          <w:color w:val="auto"/>
        </w:rPr>
        <w:t>h更换一次敷料，具体应根据伤口情况、渗出量及临床医嘱确定。</w:t>
      </w:r>
    </w:p>
    <w:p w14:paraId="649DF0D2">
      <w:pPr>
        <w:pStyle w:val="167"/>
        <w:ind w:left="0"/>
        <w:rPr>
          <w:b w:val="0"/>
          <w:bCs w:val="0"/>
          <w:color w:val="auto"/>
        </w:rPr>
      </w:pPr>
      <w:r>
        <w:rPr>
          <w:b w:val="0"/>
          <w:bCs w:val="0"/>
          <w:color w:val="auto"/>
        </w:rPr>
        <w:t>出现以下情况应及时更换敷料：</w:t>
      </w:r>
    </w:p>
    <w:p w14:paraId="1A2C8534">
      <w:pPr>
        <w:pStyle w:val="135"/>
        <w:rPr>
          <w:b w:val="0"/>
          <w:bCs w:val="0"/>
          <w:color w:val="auto"/>
        </w:rPr>
      </w:pPr>
      <w:r>
        <w:rPr>
          <w:b w:val="0"/>
          <w:bCs w:val="0"/>
          <w:color w:val="auto"/>
        </w:rPr>
        <w:t>贴膜密封不良导致设备持续报警且无法修复；</w:t>
      </w:r>
    </w:p>
    <w:p w14:paraId="38FED85C">
      <w:pPr>
        <w:pStyle w:val="135"/>
        <w:rPr>
          <w:b w:val="0"/>
          <w:bCs w:val="0"/>
          <w:color w:val="auto"/>
        </w:rPr>
      </w:pPr>
      <w:r>
        <w:rPr>
          <w:b w:val="0"/>
          <w:bCs w:val="0"/>
          <w:color w:val="auto"/>
        </w:rPr>
        <w:t>引流管堵塞无法通畅引流；</w:t>
      </w:r>
    </w:p>
    <w:p w14:paraId="23BF0B4E">
      <w:pPr>
        <w:pStyle w:val="135"/>
        <w:rPr>
          <w:b w:val="0"/>
          <w:bCs w:val="0"/>
          <w:color w:val="auto"/>
        </w:rPr>
      </w:pPr>
      <w:r>
        <w:rPr>
          <w:b w:val="0"/>
          <w:bCs w:val="0"/>
          <w:color w:val="auto"/>
        </w:rPr>
        <w:t>伤口感染加重或出现异味；</w:t>
      </w:r>
    </w:p>
    <w:p w14:paraId="7321668E">
      <w:pPr>
        <w:pStyle w:val="135"/>
        <w:rPr>
          <w:b w:val="0"/>
          <w:bCs w:val="0"/>
          <w:color w:val="auto"/>
        </w:rPr>
      </w:pPr>
      <w:r>
        <w:rPr>
          <w:b w:val="0"/>
          <w:bCs w:val="0"/>
          <w:color w:val="auto"/>
        </w:rPr>
        <w:t>敷料被引流液浸透导致密封失效；</w:t>
      </w:r>
    </w:p>
    <w:p w14:paraId="636850C4">
      <w:pPr>
        <w:pStyle w:val="135"/>
        <w:rPr>
          <w:b w:val="0"/>
          <w:bCs w:val="0"/>
          <w:color w:val="auto"/>
        </w:rPr>
      </w:pPr>
      <w:r>
        <w:rPr>
          <w:b w:val="0"/>
          <w:bCs w:val="0"/>
          <w:color w:val="auto"/>
        </w:rPr>
        <w:t>患者出现不明原因发热或局部疼痛加剧；</w:t>
      </w:r>
    </w:p>
    <w:p w14:paraId="33EF60B8">
      <w:pPr>
        <w:pStyle w:val="135"/>
        <w:rPr>
          <w:b w:val="0"/>
          <w:bCs w:val="0"/>
          <w:color w:val="auto"/>
        </w:rPr>
      </w:pPr>
      <w:r>
        <w:rPr>
          <w:b w:val="0"/>
          <w:bCs w:val="0"/>
          <w:color w:val="auto"/>
        </w:rPr>
        <w:t>伤口活动性出血。</w:t>
      </w:r>
    </w:p>
    <w:p w14:paraId="015E53CE">
      <w:pPr>
        <w:pStyle w:val="167"/>
        <w:ind w:left="0"/>
        <w:rPr>
          <w:b w:val="0"/>
          <w:bCs w:val="0"/>
          <w:color w:val="auto"/>
        </w:rPr>
      </w:pPr>
      <w:r>
        <w:rPr>
          <w:b w:val="0"/>
          <w:bCs w:val="0"/>
          <w:color w:val="auto"/>
        </w:rPr>
        <w:t>敷料更换操作应符合8.1的要求。</w:t>
      </w:r>
    </w:p>
    <w:p w14:paraId="1AC1BAF6">
      <w:pPr>
        <w:pStyle w:val="108"/>
        <w:spacing w:before="120" w:after="120"/>
        <w:rPr>
          <w:b w:val="0"/>
          <w:bCs w:val="0"/>
          <w:color w:val="auto"/>
        </w:rPr>
      </w:pPr>
      <w:bookmarkStart w:id="187" w:name="_Toc228300818"/>
      <w:bookmarkStart w:id="188" w:name="_Toc228300673"/>
      <w:r>
        <w:rPr>
          <w:rStyle w:val="31"/>
          <w:rFonts w:ascii="Segoe UI" w:hAnsi="Segoe UI" w:cs="Segoe UI"/>
          <w:b w:val="0"/>
          <w:bCs w:val="0"/>
          <w:color w:val="auto"/>
        </w:rPr>
        <w:t>治疗终止与拔除</w:t>
      </w:r>
      <w:bookmarkEnd w:id="187"/>
      <w:bookmarkEnd w:id="188"/>
    </w:p>
    <w:p w14:paraId="152E40E5">
      <w:pPr>
        <w:pStyle w:val="68"/>
        <w:spacing w:before="120" w:after="120"/>
        <w:rPr>
          <w:b w:val="0"/>
          <w:bCs w:val="0"/>
          <w:color w:val="auto"/>
        </w:rPr>
      </w:pPr>
      <w:r>
        <w:rPr>
          <w:b w:val="0"/>
          <w:bCs w:val="0"/>
          <w:color w:val="auto"/>
        </w:rPr>
        <w:t>治疗终止指征</w:t>
      </w:r>
    </w:p>
    <w:p w14:paraId="2A7C41C9">
      <w:pPr>
        <w:pStyle w:val="59"/>
        <w:ind w:firstLine="420"/>
        <w:rPr>
          <w:b w:val="0"/>
          <w:bCs w:val="0"/>
          <w:color w:val="auto"/>
        </w:rPr>
      </w:pPr>
      <w:r>
        <w:rPr>
          <w:b w:val="0"/>
          <w:bCs w:val="0"/>
          <w:color w:val="auto"/>
        </w:rPr>
        <w:t>出现以下情况可考虑终止NPWT：</w:t>
      </w:r>
    </w:p>
    <w:p w14:paraId="7BF47AC5">
      <w:pPr>
        <w:pStyle w:val="135"/>
        <w:rPr>
          <w:b w:val="0"/>
          <w:bCs w:val="0"/>
          <w:color w:val="auto"/>
        </w:rPr>
      </w:pPr>
      <w:r>
        <w:rPr>
          <w:b w:val="0"/>
          <w:bCs w:val="0"/>
          <w:color w:val="auto"/>
        </w:rPr>
        <w:t>伤口基底100</w:t>
      </w:r>
      <w:r>
        <w:rPr>
          <w:rFonts w:hint="eastAsia"/>
          <w:b w:val="0"/>
          <w:bCs w:val="0"/>
          <w:color w:val="auto"/>
        </w:rPr>
        <w:t>％</w:t>
      </w:r>
      <w:r>
        <w:rPr>
          <w:b w:val="0"/>
          <w:bCs w:val="0"/>
          <w:color w:val="auto"/>
        </w:rPr>
        <w:t>为新鲜肉芽组织覆盖；</w:t>
      </w:r>
    </w:p>
    <w:p w14:paraId="6D16C958">
      <w:pPr>
        <w:pStyle w:val="135"/>
        <w:rPr>
          <w:b w:val="0"/>
          <w:bCs w:val="0"/>
          <w:color w:val="auto"/>
        </w:rPr>
      </w:pPr>
      <w:r>
        <w:rPr>
          <w:b w:val="0"/>
          <w:bCs w:val="0"/>
          <w:color w:val="auto"/>
        </w:rPr>
        <w:t>伤口深度已明显减小，适合转为传统敷料换药或进一步做植皮或皮瓣手术准备；</w:t>
      </w:r>
    </w:p>
    <w:p w14:paraId="1E371B40">
      <w:pPr>
        <w:pStyle w:val="135"/>
        <w:rPr>
          <w:b w:val="0"/>
          <w:bCs w:val="0"/>
          <w:color w:val="auto"/>
        </w:rPr>
      </w:pPr>
      <w:r>
        <w:rPr>
          <w:b w:val="0"/>
          <w:bCs w:val="0"/>
          <w:color w:val="auto"/>
        </w:rPr>
        <w:t>出现不可控制的并发症，如严重出血、感染扩散等；</w:t>
      </w:r>
    </w:p>
    <w:p w14:paraId="431D177A">
      <w:pPr>
        <w:pStyle w:val="135"/>
        <w:rPr>
          <w:b w:val="0"/>
          <w:bCs w:val="0"/>
          <w:color w:val="auto"/>
        </w:rPr>
      </w:pPr>
      <w:r>
        <w:rPr>
          <w:b w:val="0"/>
          <w:bCs w:val="0"/>
          <w:color w:val="auto"/>
        </w:rPr>
        <w:t>患者或授权委托人要求终止治疗。</w:t>
      </w:r>
    </w:p>
    <w:p w14:paraId="4E1A8A1F">
      <w:pPr>
        <w:pStyle w:val="68"/>
        <w:spacing w:before="120" w:after="120"/>
        <w:rPr>
          <w:b w:val="0"/>
          <w:bCs w:val="0"/>
          <w:color w:val="auto"/>
        </w:rPr>
      </w:pPr>
      <w:r>
        <w:rPr>
          <w:b w:val="0"/>
          <w:bCs w:val="0"/>
          <w:color w:val="auto"/>
        </w:rPr>
        <w:t>拔除操作</w:t>
      </w:r>
    </w:p>
    <w:p w14:paraId="6B31A931">
      <w:pPr>
        <w:pStyle w:val="167"/>
        <w:ind w:left="0"/>
        <w:rPr>
          <w:b w:val="0"/>
          <w:bCs w:val="0"/>
          <w:color w:val="auto"/>
        </w:rPr>
      </w:pPr>
      <w:r>
        <w:rPr>
          <w:b w:val="0"/>
          <w:bCs w:val="0"/>
          <w:color w:val="auto"/>
        </w:rPr>
        <w:t>关闭负压设备，断开引流管与收集装置的连接。</w:t>
      </w:r>
    </w:p>
    <w:p w14:paraId="6B34A626">
      <w:pPr>
        <w:pStyle w:val="167"/>
        <w:ind w:left="0"/>
        <w:rPr>
          <w:b w:val="0"/>
          <w:bCs w:val="0"/>
          <w:color w:val="auto"/>
        </w:rPr>
      </w:pPr>
      <w:r>
        <w:rPr>
          <w:b w:val="0"/>
          <w:bCs w:val="0"/>
          <w:color w:val="auto"/>
        </w:rPr>
        <w:t>轻柔揭除贴膜，取出敷料，</w:t>
      </w:r>
      <w:r>
        <w:rPr>
          <w:rFonts w:hint="eastAsia"/>
          <w:b w:val="0"/>
          <w:bCs w:val="0"/>
          <w:color w:val="auto"/>
        </w:rPr>
        <w:t>用</w:t>
      </w:r>
      <w:r>
        <w:rPr>
          <w:b w:val="0"/>
          <w:bCs w:val="0"/>
          <w:color w:val="auto"/>
        </w:rPr>
        <w:t>生理盐水冲洗创面并吸干。</w:t>
      </w:r>
    </w:p>
    <w:p w14:paraId="5DD6E8A1">
      <w:pPr>
        <w:pStyle w:val="167"/>
        <w:ind w:left="0"/>
        <w:rPr>
          <w:b w:val="0"/>
          <w:bCs w:val="0"/>
          <w:color w:val="auto"/>
        </w:rPr>
      </w:pPr>
      <w:r>
        <w:rPr>
          <w:b w:val="0"/>
          <w:bCs w:val="0"/>
          <w:color w:val="auto"/>
        </w:rPr>
        <w:t>评估创面愈合情况，记录基底组织类型、渗出液性状及周围皮肤状况。应进行创面再评估与愈合分级，为后续功能锻炼与营养支持方案制定提供依据。</w:t>
      </w:r>
    </w:p>
    <w:p w14:paraId="18A746D3">
      <w:pPr>
        <w:pStyle w:val="167"/>
        <w:ind w:left="0"/>
        <w:rPr>
          <w:b w:val="0"/>
          <w:bCs w:val="0"/>
          <w:color w:val="auto"/>
        </w:rPr>
      </w:pPr>
      <w:r>
        <w:rPr>
          <w:b w:val="0"/>
          <w:bCs w:val="0"/>
          <w:color w:val="auto"/>
        </w:rPr>
        <w:t>按医嘱给予后续创面处理，如传统换药或手术治疗。</w:t>
      </w:r>
    </w:p>
    <w:p w14:paraId="6454DA6D">
      <w:pPr>
        <w:pStyle w:val="107"/>
        <w:spacing w:before="240" w:after="240"/>
        <w:rPr>
          <w:b w:val="0"/>
          <w:bCs w:val="0"/>
          <w:color w:val="auto"/>
        </w:rPr>
      </w:pPr>
      <w:bookmarkStart w:id="189" w:name="_Toc228300674"/>
      <w:bookmarkStart w:id="190" w:name="_Toc228300819"/>
      <w:r>
        <w:rPr>
          <w:rFonts w:hint="eastAsia"/>
          <w:b w:val="0"/>
          <w:bCs w:val="0"/>
          <w:color w:val="auto"/>
        </w:rPr>
        <w:t>常见</w:t>
      </w:r>
      <w:r>
        <w:rPr>
          <w:b w:val="0"/>
          <w:bCs w:val="0"/>
          <w:color w:val="auto"/>
        </w:rPr>
        <w:t>并发症预防与</w:t>
      </w:r>
      <w:bookmarkEnd w:id="189"/>
      <w:r>
        <w:rPr>
          <w:rFonts w:hint="eastAsia"/>
          <w:b w:val="0"/>
          <w:bCs w:val="0"/>
          <w:color w:val="auto"/>
        </w:rPr>
        <w:t>处理</w:t>
      </w:r>
      <w:bookmarkEnd w:id="190"/>
    </w:p>
    <w:p w14:paraId="264C7645">
      <w:pPr>
        <w:pStyle w:val="108"/>
        <w:spacing w:before="120" w:after="120"/>
        <w:rPr>
          <w:b w:val="0"/>
          <w:bCs w:val="0"/>
          <w:color w:val="auto"/>
        </w:rPr>
      </w:pPr>
      <w:bookmarkStart w:id="191" w:name="_Toc228300820"/>
      <w:bookmarkStart w:id="192" w:name="_Toc228300675"/>
      <w:r>
        <w:rPr>
          <w:rStyle w:val="31"/>
          <w:rFonts w:ascii="Segoe UI" w:hAnsi="Segoe UI" w:cs="Segoe UI"/>
          <w:b w:val="0"/>
          <w:bCs w:val="0"/>
          <w:color w:val="auto"/>
        </w:rPr>
        <w:t>出血</w:t>
      </w:r>
      <w:bookmarkEnd w:id="191"/>
      <w:bookmarkEnd w:id="192"/>
    </w:p>
    <w:p w14:paraId="5E61F368">
      <w:pPr>
        <w:pStyle w:val="168"/>
        <w:rPr>
          <w:b w:val="0"/>
          <w:bCs w:val="0"/>
          <w:color w:val="auto"/>
        </w:rPr>
      </w:pPr>
      <w:r>
        <w:rPr>
          <w:b w:val="0"/>
          <w:bCs w:val="0"/>
          <w:color w:val="auto"/>
        </w:rPr>
        <w:t>治疗期间应密切观察引流液颜色，出现鲜红色引流液或引流液量骤增，应考虑活动性出血，立即停止负压吸引，保留敷料原位并通知医师紧急处理。</w:t>
      </w:r>
      <w:r>
        <w:rPr>
          <w:rStyle w:val="31"/>
          <w:rFonts w:ascii="Segoe UI" w:hAnsi="Segoe UI" w:cs="Segoe UI"/>
          <w:b w:val="0"/>
          <w:bCs w:val="0"/>
          <w:color w:val="auto"/>
        </w:rPr>
        <w:t>同时</w:t>
      </w:r>
      <w:r>
        <w:rPr>
          <w:rStyle w:val="31"/>
          <w:rFonts w:hint="eastAsia" w:ascii="Segoe UI" w:hAnsi="Segoe UI" w:cs="Segoe UI"/>
          <w:b w:val="0"/>
          <w:bCs w:val="0"/>
          <w:color w:val="auto"/>
        </w:rPr>
        <w:t>应立即</w:t>
      </w:r>
      <w:r>
        <w:rPr>
          <w:rStyle w:val="31"/>
          <w:rFonts w:ascii="Segoe UI" w:hAnsi="Segoe UI" w:cs="Segoe UI"/>
          <w:b w:val="0"/>
          <w:bCs w:val="0"/>
          <w:color w:val="auto"/>
        </w:rPr>
        <w:t>停止负压</w:t>
      </w:r>
      <w:r>
        <w:rPr>
          <w:rStyle w:val="31"/>
          <w:rFonts w:hint="eastAsia" w:ascii="Segoe UI" w:hAnsi="Segoe UI" w:cs="Segoe UI"/>
          <w:b w:val="0"/>
          <w:bCs w:val="0"/>
          <w:color w:val="auto"/>
        </w:rPr>
        <w:t>、</w:t>
      </w:r>
      <w:r>
        <w:rPr>
          <w:rStyle w:val="31"/>
          <w:rFonts w:ascii="Segoe UI" w:hAnsi="Segoe UI" w:cs="Segoe UI"/>
          <w:b w:val="0"/>
          <w:bCs w:val="0"/>
          <w:color w:val="auto"/>
        </w:rPr>
        <w:t>压迫止血</w:t>
      </w:r>
      <w:r>
        <w:rPr>
          <w:rStyle w:val="31"/>
          <w:rFonts w:hint="eastAsia" w:ascii="Segoe UI" w:hAnsi="Segoe UI" w:cs="Segoe UI"/>
          <w:b w:val="0"/>
          <w:bCs w:val="0"/>
          <w:color w:val="auto"/>
        </w:rPr>
        <w:t>并</w:t>
      </w:r>
      <w:r>
        <w:rPr>
          <w:rStyle w:val="31"/>
          <w:rFonts w:ascii="Segoe UI" w:hAnsi="Segoe UI" w:cs="Segoe UI"/>
          <w:b w:val="0"/>
          <w:bCs w:val="0"/>
          <w:color w:val="auto"/>
        </w:rPr>
        <w:t>报告医生。</w:t>
      </w:r>
    </w:p>
    <w:p w14:paraId="6EC3BB6A">
      <w:pPr>
        <w:pStyle w:val="168"/>
        <w:rPr>
          <w:b w:val="0"/>
          <w:bCs w:val="0"/>
          <w:color w:val="auto"/>
        </w:rPr>
      </w:pPr>
      <w:r>
        <w:rPr>
          <w:b w:val="0"/>
          <w:bCs w:val="0"/>
          <w:color w:val="auto"/>
        </w:rPr>
        <w:t>出血高危患者（如凝血功能障碍、正在抗凝治疗者）应适当降低目标负压值，并增加观察频率。</w:t>
      </w:r>
    </w:p>
    <w:p w14:paraId="65F9BB28">
      <w:pPr>
        <w:pStyle w:val="108"/>
        <w:spacing w:before="120" w:after="120"/>
        <w:rPr>
          <w:b w:val="0"/>
          <w:bCs w:val="0"/>
          <w:color w:val="auto"/>
        </w:rPr>
      </w:pPr>
      <w:bookmarkStart w:id="193" w:name="_Toc228300821"/>
      <w:bookmarkStart w:id="194" w:name="_Toc228300676"/>
      <w:r>
        <w:rPr>
          <w:rStyle w:val="31"/>
          <w:rFonts w:ascii="Segoe UI" w:hAnsi="Segoe UI" w:cs="Segoe UI"/>
          <w:b w:val="0"/>
          <w:bCs w:val="0"/>
          <w:color w:val="auto"/>
        </w:rPr>
        <w:t>感染</w:t>
      </w:r>
      <w:bookmarkEnd w:id="193"/>
      <w:bookmarkEnd w:id="194"/>
    </w:p>
    <w:p w14:paraId="388DCBDE">
      <w:pPr>
        <w:pStyle w:val="168"/>
        <w:rPr>
          <w:b w:val="0"/>
          <w:bCs w:val="0"/>
          <w:color w:val="auto"/>
        </w:rPr>
      </w:pPr>
      <w:r>
        <w:rPr>
          <w:b w:val="0"/>
          <w:bCs w:val="0"/>
          <w:color w:val="auto"/>
        </w:rPr>
        <w:t>引流液出现脓性特征、恶臭气味或出现全身感染表现时，应行伤口分泌物培养，必要时行系统抗感染治疗。</w:t>
      </w:r>
    </w:p>
    <w:p w14:paraId="32D2D16D">
      <w:pPr>
        <w:pStyle w:val="168"/>
        <w:rPr>
          <w:b w:val="0"/>
          <w:bCs w:val="0"/>
          <w:color w:val="auto"/>
        </w:rPr>
      </w:pPr>
      <w:r>
        <w:rPr>
          <w:b w:val="0"/>
          <w:bCs w:val="0"/>
          <w:color w:val="auto"/>
        </w:rPr>
        <w:t>若感染控制不佳，应暂停NPWT或调整治疗频率。</w:t>
      </w:r>
    </w:p>
    <w:p w14:paraId="5CB90AE7">
      <w:pPr>
        <w:pStyle w:val="108"/>
        <w:spacing w:before="120" w:after="120"/>
        <w:rPr>
          <w:b w:val="0"/>
          <w:bCs w:val="0"/>
          <w:color w:val="auto"/>
        </w:rPr>
      </w:pPr>
      <w:bookmarkStart w:id="195" w:name="_Toc228300677"/>
      <w:bookmarkStart w:id="196" w:name="_Toc228300822"/>
      <w:r>
        <w:rPr>
          <w:rStyle w:val="31"/>
          <w:rFonts w:ascii="Segoe UI" w:hAnsi="Segoe UI" w:cs="Segoe UI"/>
          <w:b w:val="0"/>
          <w:bCs w:val="0"/>
          <w:color w:val="auto"/>
        </w:rPr>
        <w:t>创面周围皮肤损伤</w:t>
      </w:r>
      <w:bookmarkEnd w:id="195"/>
      <w:bookmarkEnd w:id="196"/>
    </w:p>
    <w:p w14:paraId="41E4249F">
      <w:pPr>
        <w:pStyle w:val="168"/>
        <w:rPr>
          <w:b w:val="0"/>
          <w:bCs w:val="0"/>
          <w:color w:val="auto"/>
        </w:rPr>
      </w:pPr>
      <w:r>
        <w:rPr>
          <w:b w:val="0"/>
          <w:bCs w:val="0"/>
          <w:color w:val="auto"/>
        </w:rPr>
        <w:t>应使用皮肤保护材料保护创周皮肤，更换贴膜时轻柔操作，避免皮肤撕脱。</w:t>
      </w:r>
    </w:p>
    <w:p w14:paraId="685DC665">
      <w:pPr>
        <w:pStyle w:val="168"/>
        <w:rPr>
          <w:b w:val="0"/>
          <w:bCs w:val="0"/>
          <w:color w:val="auto"/>
        </w:rPr>
      </w:pPr>
      <w:r>
        <w:rPr>
          <w:b w:val="0"/>
          <w:bCs w:val="0"/>
          <w:color w:val="auto"/>
        </w:rPr>
        <w:t>出现红肿、浸渍</w:t>
      </w:r>
      <w:r>
        <w:rPr>
          <w:rStyle w:val="31"/>
          <w:rFonts w:ascii="Segoe UI" w:hAnsi="Segoe UI" w:cs="Segoe UI"/>
          <w:b w:val="0"/>
          <w:bCs w:val="0"/>
          <w:color w:val="auto"/>
        </w:rPr>
        <w:t>及压力性损伤</w:t>
      </w:r>
      <w:r>
        <w:rPr>
          <w:b w:val="0"/>
          <w:bCs w:val="0"/>
          <w:color w:val="auto"/>
        </w:rPr>
        <w:t>等皮肤损伤征象时，应评估皮肤保护措施是否充分，必要时调整贴膜粘贴方式，增加保护范围。</w:t>
      </w:r>
    </w:p>
    <w:p w14:paraId="7090FA56">
      <w:pPr>
        <w:pStyle w:val="108"/>
        <w:spacing w:before="120" w:after="120"/>
        <w:rPr>
          <w:b w:val="0"/>
          <w:bCs w:val="0"/>
          <w:color w:val="auto"/>
        </w:rPr>
      </w:pPr>
      <w:bookmarkStart w:id="197" w:name="_Toc228300678"/>
      <w:bookmarkStart w:id="198" w:name="_Toc228300823"/>
      <w:r>
        <w:rPr>
          <w:rStyle w:val="31"/>
          <w:rFonts w:ascii="Segoe UI" w:hAnsi="Segoe UI" w:cs="Segoe UI"/>
          <w:b w:val="0"/>
          <w:bCs w:val="0"/>
          <w:color w:val="auto"/>
        </w:rPr>
        <w:t>疼痛加剧</w:t>
      </w:r>
      <w:bookmarkEnd w:id="197"/>
      <w:bookmarkEnd w:id="198"/>
    </w:p>
    <w:p w14:paraId="04E0B9CB">
      <w:pPr>
        <w:pStyle w:val="59"/>
        <w:ind w:firstLine="420"/>
        <w:rPr>
          <w:b w:val="0"/>
          <w:bCs w:val="0"/>
          <w:color w:val="auto"/>
        </w:rPr>
      </w:pPr>
      <w:r>
        <w:rPr>
          <w:b w:val="0"/>
          <w:bCs w:val="0"/>
          <w:color w:val="auto"/>
        </w:rPr>
        <w:t>治疗期间出现不可耐受疼痛时，应先暂停负压运行，评估是否有肉芽长入敷料，或负压值是否过高，逐项排除原因后予以相应处理。</w:t>
      </w:r>
    </w:p>
    <w:p w14:paraId="19EBA77D">
      <w:pPr>
        <w:pStyle w:val="108"/>
        <w:spacing w:before="120" w:after="120"/>
        <w:rPr>
          <w:b w:val="0"/>
          <w:bCs w:val="0"/>
          <w:color w:val="auto"/>
        </w:rPr>
      </w:pPr>
      <w:bookmarkStart w:id="199" w:name="_Toc228300679"/>
      <w:bookmarkStart w:id="200" w:name="_Toc228300824"/>
      <w:r>
        <w:rPr>
          <w:rStyle w:val="31"/>
          <w:rFonts w:ascii="Segoe UI" w:hAnsi="Segoe UI" w:cs="Segoe UI"/>
          <w:b w:val="0"/>
          <w:bCs w:val="0"/>
          <w:color w:val="auto"/>
        </w:rPr>
        <w:t>组织过度增生</w:t>
      </w:r>
      <w:bookmarkEnd w:id="199"/>
      <w:bookmarkEnd w:id="200"/>
    </w:p>
    <w:p w14:paraId="00852C3F">
      <w:pPr>
        <w:pStyle w:val="59"/>
        <w:ind w:firstLine="420"/>
        <w:rPr>
          <w:b w:val="0"/>
          <w:bCs w:val="0"/>
          <w:color w:val="auto"/>
        </w:rPr>
      </w:pPr>
      <w:r>
        <w:rPr>
          <w:b w:val="0"/>
          <w:bCs w:val="0"/>
          <w:color w:val="auto"/>
        </w:rPr>
        <w:t>更换敷料时发现肉芽组织过度长入敷料，应</w:t>
      </w:r>
      <w:r>
        <w:rPr>
          <w:rStyle w:val="31"/>
          <w:rFonts w:ascii="Segoe UI" w:hAnsi="Segoe UI" w:cs="Segoe UI"/>
          <w:b w:val="0"/>
          <w:bCs w:val="0"/>
          <w:color w:val="auto"/>
        </w:rPr>
        <w:t>动态调节负压参数、适时更换敷料类型或缩短更换间隔</w:t>
      </w:r>
      <w:r>
        <w:rPr>
          <w:b w:val="0"/>
          <w:bCs w:val="0"/>
          <w:color w:val="auto"/>
        </w:rPr>
        <w:t>，避免拔除时出血及损伤新生肉芽。</w:t>
      </w:r>
    </w:p>
    <w:p w14:paraId="0FFF2B75">
      <w:pPr>
        <w:pStyle w:val="108"/>
        <w:spacing w:before="120" w:after="120"/>
        <w:rPr>
          <w:b w:val="0"/>
          <w:bCs w:val="0"/>
          <w:color w:val="auto"/>
        </w:rPr>
      </w:pPr>
      <w:bookmarkStart w:id="201" w:name="_Toc228300825"/>
      <w:bookmarkStart w:id="202" w:name="_Toc228300680"/>
      <w:r>
        <w:rPr>
          <w:rStyle w:val="31"/>
          <w:rFonts w:ascii="Segoe UI" w:hAnsi="Segoe UI" w:cs="Segoe UI"/>
          <w:b w:val="0"/>
          <w:bCs w:val="0"/>
          <w:color w:val="auto"/>
        </w:rPr>
        <w:t>肠皮肤瘘</w:t>
      </w:r>
      <w:bookmarkEnd w:id="201"/>
      <w:bookmarkEnd w:id="202"/>
    </w:p>
    <w:p w14:paraId="4B32CE51">
      <w:pPr>
        <w:pStyle w:val="59"/>
        <w:ind w:firstLine="420"/>
        <w:rPr>
          <w:b w:val="0"/>
          <w:bCs w:val="0"/>
          <w:color w:val="auto"/>
        </w:rPr>
      </w:pPr>
      <w:r>
        <w:rPr>
          <w:b w:val="0"/>
          <w:bCs w:val="0"/>
          <w:color w:val="auto"/>
        </w:rPr>
        <w:t>对于靠近腹部的创面，操作前应</w:t>
      </w:r>
      <w:r>
        <w:rPr>
          <w:rFonts w:hint="eastAsia"/>
          <w:b w:val="0"/>
          <w:bCs w:val="0"/>
          <w:color w:val="auto"/>
        </w:rPr>
        <w:t>评估</w:t>
      </w:r>
      <w:r>
        <w:rPr>
          <w:b w:val="0"/>
          <w:bCs w:val="0"/>
          <w:color w:val="auto"/>
        </w:rPr>
        <w:t>适应症与禁忌症，保护脆弱组织。</w:t>
      </w:r>
      <w:r>
        <w:rPr>
          <w:rStyle w:val="31"/>
          <w:rFonts w:ascii="Segoe UI" w:hAnsi="Segoe UI" w:cs="Segoe UI"/>
          <w:b w:val="0"/>
          <w:bCs w:val="0"/>
          <w:color w:val="auto"/>
        </w:rPr>
        <w:t>若发生肠皮肤瘘，应立即停止负压、行外科评估与紧急干预。</w:t>
      </w:r>
    </w:p>
    <w:p w14:paraId="7721E236">
      <w:pPr>
        <w:pStyle w:val="108"/>
        <w:spacing w:before="120" w:after="120"/>
        <w:rPr>
          <w:b w:val="0"/>
          <w:bCs w:val="0"/>
          <w:color w:val="auto"/>
        </w:rPr>
      </w:pPr>
      <w:bookmarkStart w:id="203" w:name="_Toc228300681"/>
      <w:bookmarkStart w:id="204" w:name="_Toc228300826"/>
      <w:r>
        <w:rPr>
          <w:rStyle w:val="31"/>
          <w:rFonts w:ascii="Segoe UI" w:hAnsi="Segoe UI" w:cs="Segoe UI"/>
          <w:b w:val="0"/>
          <w:bCs w:val="0"/>
          <w:color w:val="auto"/>
        </w:rPr>
        <w:t>过敏反应</w:t>
      </w:r>
      <w:bookmarkEnd w:id="203"/>
      <w:bookmarkEnd w:id="204"/>
    </w:p>
    <w:p w14:paraId="69F01F9C">
      <w:pPr>
        <w:pStyle w:val="59"/>
        <w:ind w:firstLine="420"/>
        <w:rPr>
          <w:b w:val="0"/>
          <w:bCs w:val="0"/>
          <w:color w:val="auto"/>
        </w:rPr>
      </w:pPr>
      <w:r>
        <w:rPr>
          <w:b w:val="0"/>
          <w:bCs w:val="0"/>
          <w:color w:val="auto"/>
        </w:rPr>
        <w:t>出现贴膜或敷料接触性皮炎时，应</w:t>
      </w:r>
      <w:r>
        <w:rPr>
          <w:rStyle w:val="31"/>
          <w:rFonts w:ascii="Segoe UI" w:hAnsi="Segoe UI" w:cs="Segoe UI"/>
          <w:b w:val="0"/>
          <w:bCs w:val="0"/>
          <w:color w:val="auto"/>
        </w:rPr>
        <w:t>更换为低致敏材质敷料，并加强皮肤保护。</w:t>
      </w:r>
    </w:p>
    <w:p w14:paraId="3BF99663">
      <w:pPr>
        <w:pStyle w:val="107"/>
        <w:spacing w:before="240" w:after="240"/>
        <w:rPr>
          <w:b w:val="0"/>
          <w:bCs w:val="0"/>
          <w:color w:val="auto"/>
        </w:rPr>
      </w:pPr>
      <w:bookmarkStart w:id="205" w:name="_Toc228300682"/>
      <w:bookmarkStart w:id="206" w:name="_Toc228300827"/>
      <w:r>
        <w:rPr>
          <w:b w:val="0"/>
          <w:bCs w:val="0"/>
          <w:color w:val="auto"/>
        </w:rPr>
        <w:t>健康教育</w:t>
      </w:r>
      <w:bookmarkEnd w:id="205"/>
      <w:bookmarkEnd w:id="206"/>
    </w:p>
    <w:p w14:paraId="710B3153">
      <w:pPr>
        <w:pStyle w:val="108"/>
        <w:spacing w:before="120" w:after="120"/>
        <w:rPr>
          <w:b w:val="0"/>
          <w:bCs w:val="0"/>
          <w:color w:val="auto"/>
        </w:rPr>
      </w:pPr>
      <w:bookmarkStart w:id="207" w:name="_Toc228300828"/>
      <w:bookmarkStart w:id="208" w:name="_Toc228300683"/>
      <w:r>
        <w:rPr>
          <w:rStyle w:val="31"/>
          <w:rFonts w:ascii="Segoe UI" w:hAnsi="Segoe UI" w:cs="Segoe UI"/>
          <w:b w:val="0"/>
          <w:bCs w:val="0"/>
          <w:color w:val="auto"/>
        </w:rPr>
        <w:t>治疗前宣教</w:t>
      </w:r>
      <w:bookmarkEnd w:id="207"/>
      <w:bookmarkEnd w:id="208"/>
    </w:p>
    <w:p w14:paraId="5570236E">
      <w:pPr>
        <w:pStyle w:val="168"/>
        <w:rPr>
          <w:b w:val="0"/>
          <w:bCs w:val="0"/>
          <w:color w:val="auto"/>
        </w:rPr>
      </w:pPr>
      <w:r>
        <w:rPr>
          <w:b w:val="0"/>
          <w:bCs w:val="0"/>
          <w:color w:val="auto"/>
        </w:rPr>
        <w:t>向患者及家属讲解NPWT治疗目的、方法、预期效果及可能并发症，并签署知情同意书。</w:t>
      </w:r>
    </w:p>
    <w:p w14:paraId="4A0C0A8D">
      <w:pPr>
        <w:pStyle w:val="168"/>
        <w:rPr>
          <w:b w:val="0"/>
          <w:bCs w:val="0"/>
          <w:color w:val="auto"/>
        </w:rPr>
      </w:pPr>
      <w:r>
        <w:rPr>
          <w:b w:val="0"/>
          <w:bCs w:val="0"/>
          <w:color w:val="auto"/>
        </w:rPr>
        <w:t>告知患者治疗中的配合要求，如避免牵拉管路、发现异常报警时及时通知医护人员等。</w:t>
      </w:r>
    </w:p>
    <w:p w14:paraId="4AFDAA06">
      <w:pPr>
        <w:pStyle w:val="108"/>
        <w:spacing w:before="120" w:after="120"/>
        <w:rPr>
          <w:b w:val="0"/>
          <w:bCs w:val="0"/>
          <w:color w:val="auto"/>
        </w:rPr>
      </w:pPr>
      <w:bookmarkStart w:id="209" w:name="_Toc228300829"/>
      <w:bookmarkStart w:id="210" w:name="_Toc228300684"/>
      <w:r>
        <w:rPr>
          <w:rStyle w:val="31"/>
          <w:rFonts w:ascii="Segoe UI" w:hAnsi="Segoe UI" w:cs="Segoe UI"/>
          <w:b w:val="0"/>
          <w:bCs w:val="0"/>
          <w:color w:val="auto"/>
        </w:rPr>
        <w:t>治疗中指导</w:t>
      </w:r>
      <w:bookmarkEnd w:id="209"/>
      <w:bookmarkEnd w:id="210"/>
    </w:p>
    <w:p w14:paraId="00708A1D">
      <w:pPr>
        <w:pStyle w:val="168"/>
        <w:rPr>
          <w:b w:val="0"/>
          <w:bCs w:val="0"/>
          <w:color w:val="auto"/>
        </w:rPr>
      </w:pPr>
      <w:r>
        <w:rPr>
          <w:b w:val="0"/>
          <w:bCs w:val="0"/>
          <w:color w:val="auto"/>
        </w:rPr>
        <w:t>指导患者保持放松，</w:t>
      </w:r>
      <w:r>
        <w:rPr>
          <w:rFonts w:hint="eastAsia"/>
          <w:b w:val="0"/>
          <w:bCs w:val="0"/>
          <w:color w:val="auto"/>
        </w:rPr>
        <w:t>不应</w:t>
      </w:r>
      <w:r>
        <w:rPr>
          <w:b w:val="0"/>
          <w:bCs w:val="0"/>
          <w:color w:val="auto"/>
        </w:rPr>
        <w:t>剧烈活动影响敷料及管路。</w:t>
      </w:r>
    </w:p>
    <w:p w14:paraId="786F3D85">
      <w:pPr>
        <w:pStyle w:val="168"/>
        <w:rPr>
          <w:b w:val="0"/>
          <w:bCs w:val="0"/>
          <w:color w:val="auto"/>
        </w:rPr>
      </w:pPr>
      <w:r>
        <w:rPr>
          <w:b w:val="0"/>
          <w:bCs w:val="0"/>
          <w:color w:val="auto"/>
        </w:rPr>
        <w:t>指导患者识别管路脱落、负压丢失等异常情况及处理方法。</w:t>
      </w:r>
    </w:p>
    <w:p w14:paraId="5E97FFFE">
      <w:pPr>
        <w:pStyle w:val="108"/>
        <w:spacing w:before="120" w:after="120"/>
        <w:rPr>
          <w:b w:val="0"/>
          <w:bCs w:val="0"/>
          <w:color w:val="auto"/>
        </w:rPr>
      </w:pPr>
      <w:bookmarkStart w:id="211" w:name="_Toc228300685"/>
      <w:bookmarkStart w:id="212" w:name="_Toc228300830"/>
      <w:r>
        <w:rPr>
          <w:rStyle w:val="31"/>
          <w:rFonts w:ascii="Segoe UI" w:hAnsi="Segoe UI" w:cs="Segoe UI"/>
          <w:b w:val="0"/>
          <w:bCs w:val="0"/>
          <w:color w:val="auto"/>
        </w:rPr>
        <w:t>治疗后指导</w:t>
      </w:r>
      <w:bookmarkEnd w:id="211"/>
      <w:bookmarkEnd w:id="212"/>
    </w:p>
    <w:p w14:paraId="08448F37">
      <w:pPr>
        <w:pStyle w:val="168"/>
        <w:rPr>
          <w:b w:val="0"/>
          <w:bCs w:val="0"/>
          <w:color w:val="auto"/>
        </w:rPr>
      </w:pPr>
      <w:r>
        <w:rPr>
          <w:b w:val="0"/>
          <w:bCs w:val="0"/>
          <w:color w:val="auto"/>
        </w:rPr>
        <w:t>居家患者出院前应接受NPWT设备使用及日常生活注意事项的培训。</w:t>
      </w:r>
      <w:r>
        <w:rPr>
          <w:rStyle w:val="31"/>
          <w:rFonts w:ascii="Segoe UI" w:hAnsi="Segoe UI" w:cs="Segoe UI"/>
          <w:b w:val="0"/>
          <w:bCs w:val="0"/>
          <w:color w:val="auto"/>
        </w:rPr>
        <w:t>培训内容应包括：管路保护、报警识别与处置、引流液观察与记录、紧急联系方式等。</w:t>
      </w:r>
    </w:p>
    <w:p w14:paraId="4936DF96">
      <w:pPr>
        <w:pStyle w:val="168"/>
        <w:rPr>
          <w:b w:val="0"/>
          <w:bCs w:val="0"/>
          <w:color w:val="auto"/>
        </w:rPr>
      </w:pPr>
      <w:r>
        <w:rPr>
          <w:b w:val="0"/>
          <w:bCs w:val="0"/>
          <w:color w:val="auto"/>
        </w:rPr>
        <w:t>建立定期随访计划。</w:t>
      </w:r>
    </w:p>
    <w:p w14:paraId="78B632F5">
      <w:pPr>
        <w:pStyle w:val="177"/>
        <w:numPr>
          <w:ilvl w:val="0"/>
          <w:numId w:val="0"/>
        </w:numPr>
        <w:jc w:val="left"/>
      </w:pPr>
    </w:p>
    <w:bookmarkEnd w:id="39"/>
    <w:bookmarkEnd w:id="158"/>
    <w:bookmarkEnd w:id="159"/>
    <w:p w14:paraId="0771FAFB">
      <w:pPr>
        <w:pStyle w:val="168"/>
        <w:rPr>
          <w:color w:val="000000" w:themeColor="text1"/>
          <w14:textFill>
            <w14:solidFill>
              <w14:schemeClr w14:val="tx1"/>
            </w14:solidFill>
          </w14:textFill>
        </w:rP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linePitch="312" w:charSpace="0"/>
        </w:sectPr>
      </w:pPr>
      <w:bookmarkStart w:id="213" w:name="BookMark6"/>
    </w:p>
    <w:p w14:paraId="3AB61300">
      <w:pPr>
        <w:pStyle w:val="66"/>
        <w:spacing w:after="120"/>
      </w:pPr>
      <w:bookmarkStart w:id="214" w:name="_Toc213874315"/>
      <w:bookmarkStart w:id="215" w:name="_Toc213001485"/>
      <w:bookmarkStart w:id="216" w:name="_Toc207909019"/>
      <w:bookmarkStart w:id="217" w:name="_Toc228300686"/>
      <w:bookmarkStart w:id="218" w:name="_Toc228300831"/>
      <w:bookmarkStart w:id="219" w:name="_Toc209691905"/>
      <w:bookmarkStart w:id="220" w:name="_Toc215839217"/>
      <w:bookmarkStart w:id="221" w:name="_Toc215573405"/>
      <w:bookmarkStart w:id="222" w:name="_Toc208501526"/>
      <w:r>
        <w:rPr>
          <w:rFonts w:hint="eastAsia"/>
          <w:spacing w:val="105"/>
        </w:rPr>
        <w:t>参考文</w:t>
      </w:r>
      <w:r>
        <w:rPr>
          <w:rFonts w:hint="eastAsia"/>
        </w:rPr>
        <w:t>献</w:t>
      </w:r>
      <w:bookmarkEnd w:id="214"/>
      <w:bookmarkEnd w:id="215"/>
      <w:bookmarkEnd w:id="216"/>
      <w:bookmarkEnd w:id="217"/>
      <w:bookmarkEnd w:id="218"/>
      <w:bookmarkEnd w:id="219"/>
      <w:bookmarkEnd w:id="220"/>
      <w:bookmarkEnd w:id="221"/>
      <w:bookmarkEnd w:id="222"/>
    </w:p>
    <w:p w14:paraId="4FBE7DAF">
      <w:pPr>
        <w:pStyle w:val="59"/>
        <w:ind w:firstLine="420"/>
      </w:pPr>
      <w:r>
        <w:t>[</w:t>
      </w:r>
      <w:r>
        <w:rPr>
          <w:rFonts w:hint="eastAsia"/>
        </w:rPr>
        <w:t>1</w:t>
      </w:r>
      <w:r>
        <w:t xml:space="preserve">] </w:t>
      </w:r>
      <w:r>
        <w:rPr>
          <w:rFonts w:hint="eastAsia"/>
        </w:rPr>
        <w:t xml:space="preserve"> </w:t>
      </w:r>
      <w:r>
        <w:t>海峡两岸医药卫生交流协会烧创伤暨组织修复专委会.负压伤口疗法在糖尿病足创面治疗中的应用全国专家共识(2021版)J.中华烧伤杂志,2021,37(6): 508-518.</w:t>
      </w:r>
    </w:p>
    <w:p w14:paraId="449EF46C">
      <w:pPr>
        <w:pStyle w:val="59"/>
        <w:ind w:firstLine="420"/>
      </w:pPr>
      <w:r>
        <w:t>[</w:t>
      </w:r>
      <w:r>
        <w:rPr>
          <w:rFonts w:hint="eastAsia"/>
        </w:rPr>
        <w:t>2</w:t>
      </w:r>
      <w:r>
        <w:t xml:space="preserve">] </w:t>
      </w:r>
      <w:r>
        <w:rPr>
          <w:rFonts w:hint="eastAsia"/>
        </w:rPr>
        <w:t xml:space="preserve"> </w:t>
      </w:r>
      <w:r>
        <w:t>国家药品监督管理局.负压引流装置产品注册技术审查指导原则[S]. 2020.</w:t>
      </w:r>
    </w:p>
    <w:p w14:paraId="74D171B7">
      <w:pPr>
        <w:pStyle w:val="59"/>
        <w:ind w:firstLine="420"/>
      </w:pPr>
      <w:r>
        <w:t>[</w:t>
      </w:r>
      <w:r>
        <w:rPr>
          <w:rFonts w:hint="eastAsia"/>
        </w:rPr>
        <w:t>3</w:t>
      </w:r>
      <w:r>
        <w:t>]</w:t>
      </w:r>
      <w:r>
        <w:rPr>
          <w:rFonts w:hint="eastAsia"/>
        </w:rPr>
        <w:t xml:space="preserve">  </w:t>
      </w:r>
      <w:r>
        <w:t>龙照忠,张莉莉,王彤华,等.VSD序贯结合PRP及臀上动脉穿支皮瓣修复骶尾部压疮[J].中国美容医学,2022,31(11):9-11+125.</w:t>
      </w:r>
    </w:p>
    <w:bookmarkEnd w:id="213"/>
    <w:p w14:paraId="1751EA4B">
      <w:pPr>
        <w:pStyle w:val="59"/>
        <w:ind w:firstLine="0" w:firstLineChars="0"/>
        <w:jc w:val="center"/>
      </w:pPr>
      <w:bookmarkStart w:id="223"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3"/>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72968">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04D85">
    <w:pPr>
      <w:pStyle w:val="55"/>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C0938">
    <w:pPr>
      <w:pStyle w:val="54"/>
    </w:pPr>
    <w:r>
      <w:fldChar w:fldCharType="begin"/>
    </w:r>
    <w:r>
      <w:instrText xml:space="preserve"> PAGE   \* MERGEFORMAT \* MERGEFORMAT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D9FE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5DDF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A5452">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FD469">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99734">
    <w:pPr>
      <w:pStyle w:val="55"/>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3D62F">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E7F6">
    <w:pPr>
      <w:pStyle w:val="55"/>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2465C">
    <w:pPr>
      <w:pStyle w:val="54"/>
    </w:pPr>
    <w:r>
      <w:fldChar w:fldCharType="begin"/>
    </w:r>
    <w:r>
      <w:instrText xml:space="preserve"> PAGE   \* MERGEFORMAT \* MERGEFORMAT </w:instrText>
    </w:r>
    <w:r>
      <w:fldChar w:fldCharType="separate"/>
    </w:r>
    <w: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5BF5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A99FA">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7FE7">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ADF1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3D2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0D677">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929B6">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84668">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979DF">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9583">
    <w:pPr>
      <w:pStyle w:val="64"/>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05573">
    <w:pPr>
      <w:pStyle w:val="65"/>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993" w:firstLine="0"/>
      </w:pPr>
      <w:rPr>
        <w:rFonts w:hint="eastAsia" w:ascii="黑体" w:eastAsia="黑体"/>
        <w:b w:val="0"/>
        <w:i w:val="0"/>
        <w:color w:val="auto"/>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Uj5FFu23kKpOpfDgLzJaE+cCGvG62hS7XMCq3DWAy0EfFgiS+x8Fth38KBR6B6kGLNLRV1aN5OUQfzl7tQjZTA==" w:salt="IYWbQW6Rt37s5/bUHt4y9g=="/>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4ZWZjYmIzYjliNTIwNGJlNTU5OGUzZDhiZmYyMzUifQ=="/>
  </w:docVars>
  <w:rsids>
    <w:rsidRoot w:val="0039569D"/>
    <w:rsid w:val="000002C1"/>
    <w:rsid w:val="0000040A"/>
    <w:rsid w:val="00000A94"/>
    <w:rsid w:val="00000CBD"/>
    <w:rsid w:val="00001972"/>
    <w:rsid w:val="00001AAA"/>
    <w:rsid w:val="00001D9A"/>
    <w:rsid w:val="00002478"/>
    <w:rsid w:val="00007B3A"/>
    <w:rsid w:val="000107E0"/>
    <w:rsid w:val="00011FDE"/>
    <w:rsid w:val="00012FFD"/>
    <w:rsid w:val="00014162"/>
    <w:rsid w:val="00014340"/>
    <w:rsid w:val="0001674C"/>
    <w:rsid w:val="00016A9C"/>
    <w:rsid w:val="00017421"/>
    <w:rsid w:val="00022184"/>
    <w:rsid w:val="00022762"/>
    <w:rsid w:val="00022EC2"/>
    <w:rsid w:val="00023024"/>
    <w:rsid w:val="000238E0"/>
    <w:rsid w:val="000249DB"/>
    <w:rsid w:val="0002595E"/>
    <w:rsid w:val="000271D6"/>
    <w:rsid w:val="000303C3"/>
    <w:rsid w:val="000331D3"/>
    <w:rsid w:val="000346A5"/>
    <w:rsid w:val="000349F6"/>
    <w:rsid w:val="000359C3"/>
    <w:rsid w:val="00035A7D"/>
    <w:rsid w:val="000365ED"/>
    <w:rsid w:val="00037236"/>
    <w:rsid w:val="00037687"/>
    <w:rsid w:val="00037FAD"/>
    <w:rsid w:val="0004249A"/>
    <w:rsid w:val="00043282"/>
    <w:rsid w:val="00044286"/>
    <w:rsid w:val="000477A5"/>
    <w:rsid w:val="00047F28"/>
    <w:rsid w:val="000503AA"/>
    <w:rsid w:val="000506A1"/>
    <w:rsid w:val="00050BA7"/>
    <w:rsid w:val="000515DD"/>
    <w:rsid w:val="00051F80"/>
    <w:rsid w:val="0005265A"/>
    <w:rsid w:val="000539DD"/>
    <w:rsid w:val="00053BD3"/>
    <w:rsid w:val="000556ED"/>
    <w:rsid w:val="00055FE2"/>
    <w:rsid w:val="0005616F"/>
    <w:rsid w:val="00060C2E"/>
    <w:rsid w:val="00061033"/>
    <w:rsid w:val="000619E9"/>
    <w:rsid w:val="000622D4"/>
    <w:rsid w:val="0006357D"/>
    <w:rsid w:val="00063B86"/>
    <w:rsid w:val="00067F1E"/>
    <w:rsid w:val="00071133"/>
    <w:rsid w:val="00071796"/>
    <w:rsid w:val="00071CC0"/>
    <w:rsid w:val="00071CFC"/>
    <w:rsid w:val="00073695"/>
    <w:rsid w:val="00073C8C"/>
    <w:rsid w:val="0007599E"/>
    <w:rsid w:val="00075CFD"/>
    <w:rsid w:val="00076BE3"/>
    <w:rsid w:val="00077B64"/>
    <w:rsid w:val="00080A1C"/>
    <w:rsid w:val="00082317"/>
    <w:rsid w:val="00083D2C"/>
    <w:rsid w:val="0008541A"/>
    <w:rsid w:val="00086AA1"/>
    <w:rsid w:val="00087A77"/>
    <w:rsid w:val="00087FC1"/>
    <w:rsid w:val="00090888"/>
    <w:rsid w:val="00090CA6"/>
    <w:rsid w:val="00090D90"/>
    <w:rsid w:val="00091075"/>
    <w:rsid w:val="00091CC1"/>
    <w:rsid w:val="00092B8A"/>
    <w:rsid w:val="00092FB0"/>
    <w:rsid w:val="000934C5"/>
    <w:rsid w:val="00093D25"/>
    <w:rsid w:val="00093DAB"/>
    <w:rsid w:val="00094D73"/>
    <w:rsid w:val="00096D63"/>
    <w:rsid w:val="000975BE"/>
    <w:rsid w:val="00097A83"/>
    <w:rsid w:val="00097D65"/>
    <w:rsid w:val="000A0B60"/>
    <w:rsid w:val="000A0EB8"/>
    <w:rsid w:val="000A19FC"/>
    <w:rsid w:val="000A2754"/>
    <w:rsid w:val="000A296B"/>
    <w:rsid w:val="000A6E12"/>
    <w:rsid w:val="000A7311"/>
    <w:rsid w:val="000B060F"/>
    <w:rsid w:val="000B1592"/>
    <w:rsid w:val="000B1CBB"/>
    <w:rsid w:val="000B1FF2"/>
    <w:rsid w:val="000B3CDA"/>
    <w:rsid w:val="000B5D63"/>
    <w:rsid w:val="000B6A0B"/>
    <w:rsid w:val="000C0F6C"/>
    <w:rsid w:val="000C11DB"/>
    <w:rsid w:val="000C1492"/>
    <w:rsid w:val="000C2FBD"/>
    <w:rsid w:val="000C4B41"/>
    <w:rsid w:val="000C5543"/>
    <w:rsid w:val="000C57D6"/>
    <w:rsid w:val="000C6362"/>
    <w:rsid w:val="000C7666"/>
    <w:rsid w:val="000C7BE8"/>
    <w:rsid w:val="000D0A9C"/>
    <w:rsid w:val="000D1795"/>
    <w:rsid w:val="000D24A5"/>
    <w:rsid w:val="000D329A"/>
    <w:rsid w:val="000D4B9C"/>
    <w:rsid w:val="000D4EB6"/>
    <w:rsid w:val="000D753B"/>
    <w:rsid w:val="000E262F"/>
    <w:rsid w:val="000E4C9E"/>
    <w:rsid w:val="000E62E0"/>
    <w:rsid w:val="000E655B"/>
    <w:rsid w:val="000E6FD7"/>
    <w:rsid w:val="000E7144"/>
    <w:rsid w:val="000E76FB"/>
    <w:rsid w:val="000E7DDC"/>
    <w:rsid w:val="000F06E1"/>
    <w:rsid w:val="000F0E3C"/>
    <w:rsid w:val="000F19D5"/>
    <w:rsid w:val="000F1E8A"/>
    <w:rsid w:val="000F236C"/>
    <w:rsid w:val="000F4050"/>
    <w:rsid w:val="000F4AEA"/>
    <w:rsid w:val="000F67E9"/>
    <w:rsid w:val="000F6941"/>
    <w:rsid w:val="0010210B"/>
    <w:rsid w:val="00102486"/>
    <w:rsid w:val="001033BC"/>
    <w:rsid w:val="00104926"/>
    <w:rsid w:val="00112BF8"/>
    <w:rsid w:val="00113B1E"/>
    <w:rsid w:val="0011711C"/>
    <w:rsid w:val="00123F05"/>
    <w:rsid w:val="00124E4F"/>
    <w:rsid w:val="001260B7"/>
    <w:rsid w:val="00126431"/>
    <w:rsid w:val="001265CB"/>
    <w:rsid w:val="00126D71"/>
    <w:rsid w:val="001302DD"/>
    <w:rsid w:val="001317A6"/>
    <w:rsid w:val="001321C6"/>
    <w:rsid w:val="001325C4"/>
    <w:rsid w:val="00133010"/>
    <w:rsid w:val="001338EE"/>
    <w:rsid w:val="00133AAE"/>
    <w:rsid w:val="00135323"/>
    <w:rsid w:val="001356C4"/>
    <w:rsid w:val="00135D36"/>
    <w:rsid w:val="00137565"/>
    <w:rsid w:val="00141114"/>
    <w:rsid w:val="00142969"/>
    <w:rsid w:val="001446C2"/>
    <w:rsid w:val="001457E7"/>
    <w:rsid w:val="00145D9D"/>
    <w:rsid w:val="00146388"/>
    <w:rsid w:val="0014665A"/>
    <w:rsid w:val="001502EA"/>
    <w:rsid w:val="0015252B"/>
    <w:rsid w:val="001529E5"/>
    <w:rsid w:val="00152FB3"/>
    <w:rsid w:val="00153C7E"/>
    <w:rsid w:val="001544CC"/>
    <w:rsid w:val="00156B25"/>
    <w:rsid w:val="00156E1A"/>
    <w:rsid w:val="00157894"/>
    <w:rsid w:val="00157B55"/>
    <w:rsid w:val="00160231"/>
    <w:rsid w:val="001642FA"/>
    <w:rsid w:val="001649EB"/>
    <w:rsid w:val="00164BAF"/>
    <w:rsid w:val="00164FA8"/>
    <w:rsid w:val="00165065"/>
    <w:rsid w:val="00165434"/>
    <w:rsid w:val="0016580B"/>
    <w:rsid w:val="00165F49"/>
    <w:rsid w:val="00166B88"/>
    <w:rsid w:val="0016770A"/>
    <w:rsid w:val="00170804"/>
    <w:rsid w:val="001708E9"/>
    <w:rsid w:val="0017340B"/>
    <w:rsid w:val="00173E5E"/>
    <w:rsid w:val="00173FB1"/>
    <w:rsid w:val="00176DFD"/>
    <w:rsid w:val="001852C9"/>
    <w:rsid w:val="00186F34"/>
    <w:rsid w:val="00187A0B"/>
    <w:rsid w:val="00190087"/>
    <w:rsid w:val="001913C4"/>
    <w:rsid w:val="00191C4F"/>
    <w:rsid w:val="00191D18"/>
    <w:rsid w:val="0019348F"/>
    <w:rsid w:val="00193A07"/>
    <w:rsid w:val="00194C95"/>
    <w:rsid w:val="00195C34"/>
    <w:rsid w:val="00196EF5"/>
    <w:rsid w:val="001A1A53"/>
    <w:rsid w:val="001A234A"/>
    <w:rsid w:val="001A4CF3"/>
    <w:rsid w:val="001A6696"/>
    <w:rsid w:val="001B06E8"/>
    <w:rsid w:val="001B353C"/>
    <w:rsid w:val="001B51DE"/>
    <w:rsid w:val="001B71D0"/>
    <w:rsid w:val="001B71EE"/>
    <w:rsid w:val="001C04A8"/>
    <w:rsid w:val="001C2C03"/>
    <w:rsid w:val="001C42F7"/>
    <w:rsid w:val="001C49E5"/>
    <w:rsid w:val="001C680C"/>
    <w:rsid w:val="001C7506"/>
    <w:rsid w:val="001C7FEA"/>
    <w:rsid w:val="001D0499"/>
    <w:rsid w:val="001D0BBE"/>
    <w:rsid w:val="001D0ED4"/>
    <w:rsid w:val="001D212F"/>
    <w:rsid w:val="001D29D7"/>
    <w:rsid w:val="001D2DE7"/>
    <w:rsid w:val="001D411C"/>
    <w:rsid w:val="001D5802"/>
    <w:rsid w:val="001E1B6A"/>
    <w:rsid w:val="001E2484"/>
    <w:rsid w:val="001E3CC4"/>
    <w:rsid w:val="001E4882"/>
    <w:rsid w:val="001E5981"/>
    <w:rsid w:val="001E73AB"/>
    <w:rsid w:val="001E7D5B"/>
    <w:rsid w:val="001F0003"/>
    <w:rsid w:val="001F036E"/>
    <w:rsid w:val="001F092D"/>
    <w:rsid w:val="001F143A"/>
    <w:rsid w:val="001F1605"/>
    <w:rsid w:val="001F2508"/>
    <w:rsid w:val="001F3411"/>
    <w:rsid w:val="001F4816"/>
    <w:rsid w:val="001F50D7"/>
    <w:rsid w:val="001F5FAC"/>
    <w:rsid w:val="001F69B4"/>
    <w:rsid w:val="001F77C7"/>
    <w:rsid w:val="00200183"/>
    <w:rsid w:val="00200333"/>
    <w:rsid w:val="0020107D"/>
    <w:rsid w:val="00201ADB"/>
    <w:rsid w:val="00202AA4"/>
    <w:rsid w:val="002031F7"/>
    <w:rsid w:val="00203C09"/>
    <w:rsid w:val="002040E6"/>
    <w:rsid w:val="0020527B"/>
    <w:rsid w:val="00205F2C"/>
    <w:rsid w:val="00210B15"/>
    <w:rsid w:val="002142EA"/>
    <w:rsid w:val="00215ADD"/>
    <w:rsid w:val="0021704F"/>
    <w:rsid w:val="002176C4"/>
    <w:rsid w:val="002204BB"/>
    <w:rsid w:val="002212CA"/>
    <w:rsid w:val="0022189D"/>
    <w:rsid w:val="00221B79"/>
    <w:rsid w:val="00221C6B"/>
    <w:rsid w:val="00222B83"/>
    <w:rsid w:val="00224933"/>
    <w:rsid w:val="002253A1"/>
    <w:rsid w:val="00225CF8"/>
    <w:rsid w:val="0022794E"/>
    <w:rsid w:val="00227DB4"/>
    <w:rsid w:val="00231129"/>
    <w:rsid w:val="00233D64"/>
    <w:rsid w:val="0023482A"/>
    <w:rsid w:val="002359CB"/>
    <w:rsid w:val="00237DB1"/>
    <w:rsid w:val="00242920"/>
    <w:rsid w:val="00243540"/>
    <w:rsid w:val="0024497B"/>
    <w:rsid w:val="0024515B"/>
    <w:rsid w:val="00246021"/>
    <w:rsid w:val="0024666E"/>
    <w:rsid w:val="00247F52"/>
    <w:rsid w:val="00250B25"/>
    <w:rsid w:val="00250BBE"/>
    <w:rsid w:val="002515C2"/>
    <w:rsid w:val="0025194F"/>
    <w:rsid w:val="002522E4"/>
    <w:rsid w:val="00256945"/>
    <w:rsid w:val="00256ACF"/>
    <w:rsid w:val="0026148A"/>
    <w:rsid w:val="00262696"/>
    <w:rsid w:val="00263906"/>
    <w:rsid w:val="00263D18"/>
    <w:rsid w:val="00263D25"/>
    <w:rsid w:val="002643C3"/>
    <w:rsid w:val="00264A0C"/>
    <w:rsid w:val="00266EB6"/>
    <w:rsid w:val="00266EEB"/>
    <w:rsid w:val="00267EF4"/>
    <w:rsid w:val="00270CB8"/>
    <w:rsid w:val="0027206D"/>
    <w:rsid w:val="00272121"/>
    <w:rsid w:val="00272B08"/>
    <w:rsid w:val="00277CB8"/>
    <w:rsid w:val="00277D39"/>
    <w:rsid w:val="00281BB8"/>
    <w:rsid w:val="00281E9E"/>
    <w:rsid w:val="00282405"/>
    <w:rsid w:val="00285170"/>
    <w:rsid w:val="00285361"/>
    <w:rsid w:val="00285DC2"/>
    <w:rsid w:val="00286B8E"/>
    <w:rsid w:val="002923D3"/>
    <w:rsid w:val="00292D60"/>
    <w:rsid w:val="002937E6"/>
    <w:rsid w:val="0029399A"/>
    <w:rsid w:val="00293B30"/>
    <w:rsid w:val="00293D81"/>
    <w:rsid w:val="00294D34"/>
    <w:rsid w:val="00294E3B"/>
    <w:rsid w:val="00296193"/>
    <w:rsid w:val="00296C66"/>
    <w:rsid w:val="00296EBE"/>
    <w:rsid w:val="002974E3"/>
    <w:rsid w:val="002A084B"/>
    <w:rsid w:val="002A1260"/>
    <w:rsid w:val="002A1589"/>
    <w:rsid w:val="002A1608"/>
    <w:rsid w:val="002A25DC"/>
    <w:rsid w:val="002A3AAB"/>
    <w:rsid w:val="002A4CEA"/>
    <w:rsid w:val="002A5861"/>
    <w:rsid w:val="002A5977"/>
    <w:rsid w:val="002A5A13"/>
    <w:rsid w:val="002A757F"/>
    <w:rsid w:val="002A7F44"/>
    <w:rsid w:val="002B0C40"/>
    <w:rsid w:val="002B1966"/>
    <w:rsid w:val="002B4508"/>
    <w:rsid w:val="002B5779"/>
    <w:rsid w:val="002B6E80"/>
    <w:rsid w:val="002B7332"/>
    <w:rsid w:val="002B7F51"/>
    <w:rsid w:val="002C045F"/>
    <w:rsid w:val="002C09E7"/>
    <w:rsid w:val="002C0EC2"/>
    <w:rsid w:val="002C1E06"/>
    <w:rsid w:val="002C3F07"/>
    <w:rsid w:val="002C5278"/>
    <w:rsid w:val="002C7EBB"/>
    <w:rsid w:val="002D06C1"/>
    <w:rsid w:val="002D42B5"/>
    <w:rsid w:val="002D4D7F"/>
    <w:rsid w:val="002D4F1A"/>
    <w:rsid w:val="002D6052"/>
    <w:rsid w:val="002D6EC6"/>
    <w:rsid w:val="002D724D"/>
    <w:rsid w:val="002D79AC"/>
    <w:rsid w:val="002E0086"/>
    <w:rsid w:val="002E039D"/>
    <w:rsid w:val="002E1377"/>
    <w:rsid w:val="002E24C4"/>
    <w:rsid w:val="002E30A4"/>
    <w:rsid w:val="002E4D5A"/>
    <w:rsid w:val="002E5C07"/>
    <w:rsid w:val="002E6326"/>
    <w:rsid w:val="002E7EEA"/>
    <w:rsid w:val="002F1E02"/>
    <w:rsid w:val="002F30E0"/>
    <w:rsid w:val="002F331A"/>
    <w:rsid w:val="002F35E4"/>
    <w:rsid w:val="002F3730"/>
    <w:rsid w:val="002F38E1"/>
    <w:rsid w:val="002F7AF6"/>
    <w:rsid w:val="002F7F0A"/>
    <w:rsid w:val="00300E63"/>
    <w:rsid w:val="00301000"/>
    <w:rsid w:val="00302F5F"/>
    <w:rsid w:val="0030441D"/>
    <w:rsid w:val="00306063"/>
    <w:rsid w:val="00307E3A"/>
    <w:rsid w:val="00313B85"/>
    <w:rsid w:val="003142F6"/>
    <w:rsid w:val="00314ED2"/>
    <w:rsid w:val="00317988"/>
    <w:rsid w:val="003221B4"/>
    <w:rsid w:val="0032220C"/>
    <w:rsid w:val="0032258D"/>
    <w:rsid w:val="00322B95"/>
    <w:rsid w:val="00322E62"/>
    <w:rsid w:val="00323B63"/>
    <w:rsid w:val="003241CF"/>
    <w:rsid w:val="00324984"/>
    <w:rsid w:val="00324D13"/>
    <w:rsid w:val="00324EDD"/>
    <w:rsid w:val="003304BC"/>
    <w:rsid w:val="00331593"/>
    <w:rsid w:val="0033240B"/>
    <w:rsid w:val="003324C4"/>
    <w:rsid w:val="003331E4"/>
    <w:rsid w:val="00336C64"/>
    <w:rsid w:val="00337162"/>
    <w:rsid w:val="0034194F"/>
    <w:rsid w:val="003422AB"/>
    <w:rsid w:val="003436EC"/>
    <w:rsid w:val="00344605"/>
    <w:rsid w:val="003474AA"/>
    <w:rsid w:val="00350D1D"/>
    <w:rsid w:val="00351716"/>
    <w:rsid w:val="00352C83"/>
    <w:rsid w:val="00352F1A"/>
    <w:rsid w:val="00355BAD"/>
    <w:rsid w:val="00355DC3"/>
    <w:rsid w:val="00356AD6"/>
    <w:rsid w:val="0036107C"/>
    <w:rsid w:val="003615D2"/>
    <w:rsid w:val="00363C95"/>
    <w:rsid w:val="0036429C"/>
    <w:rsid w:val="00364A53"/>
    <w:rsid w:val="003654CB"/>
    <w:rsid w:val="00365AA9"/>
    <w:rsid w:val="00365E44"/>
    <w:rsid w:val="00365F86"/>
    <w:rsid w:val="00365F87"/>
    <w:rsid w:val="00366E89"/>
    <w:rsid w:val="003705F4"/>
    <w:rsid w:val="00370D58"/>
    <w:rsid w:val="0037117A"/>
    <w:rsid w:val="00371316"/>
    <w:rsid w:val="003726C7"/>
    <w:rsid w:val="003751AB"/>
    <w:rsid w:val="00375F49"/>
    <w:rsid w:val="00376713"/>
    <w:rsid w:val="00381815"/>
    <w:rsid w:val="003819AF"/>
    <w:rsid w:val="003820E9"/>
    <w:rsid w:val="00382DE7"/>
    <w:rsid w:val="00383C81"/>
    <w:rsid w:val="003841A3"/>
    <w:rsid w:val="00384FFC"/>
    <w:rsid w:val="003860A9"/>
    <w:rsid w:val="003872FC"/>
    <w:rsid w:val="00387834"/>
    <w:rsid w:val="00387ADC"/>
    <w:rsid w:val="00390020"/>
    <w:rsid w:val="003903D6"/>
    <w:rsid w:val="003906C8"/>
    <w:rsid w:val="00390948"/>
    <w:rsid w:val="00390EE6"/>
    <w:rsid w:val="0039118F"/>
    <w:rsid w:val="003922BA"/>
    <w:rsid w:val="00392AD7"/>
    <w:rsid w:val="003933A9"/>
    <w:rsid w:val="003938D9"/>
    <w:rsid w:val="00394376"/>
    <w:rsid w:val="003943FF"/>
    <w:rsid w:val="0039502E"/>
    <w:rsid w:val="0039569D"/>
    <w:rsid w:val="00396FFD"/>
    <w:rsid w:val="003974EB"/>
    <w:rsid w:val="00397CC5"/>
    <w:rsid w:val="003A11D1"/>
    <w:rsid w:val="003A1222"/>
    <w:rsid w:val="003A1582"/>
    <w:rsid w:val="003A3D9C"/>
    <w:rsid w:val="003A4077"/>
    <w:rsid w:val="003A4AA7"/>
    <w:rsid w:val="003A557C"/>
    <w:rsid w:val="003B09AD"/>
    <w:rsid w:val="003B0D10"/>
    <w:rsid w:val="003B0D56"/>
    <w:rsid w:val="003B1D0E"/>
    <w:rsid w:val="003B1F18"/>
    <w:rsid w:val="003B5060"/>
    <w:rsid w:val="003B5BF0"/>
    <w:rsid w:val="003B5D15"/>
    <w:rsid w:val="003B60BF"/>
    <w:rsid w:val="003B6BE3"/>
    <w:rsid w:val="003C010C"/>
    <w:rsid w:val="003C0A6C"/>
    <w:rsid w:val="003C14F8"/>
    <w:rsid w:val="003C451B"/>
    <w:rsid w:val="003C5A43"/>
    <w:rsid w:val="003C6D8B"/>
    <w:rsid w:val="003D0519"/>
    <w:rsid w:val="003D0C8A"/>
    <w:rsid w:val="003D0FF6"/>
    <w:rsid w:val="003D1E5A"/>
    <w:rsid w:val="003D262C"/>
    <w:rsid w:val="003D6D61"/>
    <w:rsid w:val="003D7521"/>
    <w:rsid w:val="003E019F"/>
    <w:rsid w:val="003E091D"/>
    <w:rsid w:val="003E1C53"/>
    <w:rsid w:val="003E1DEC"/>
    <w:rsid w:val="003E2A69"/>
    <w:rsid w:val="003E2D49"/>
    <w:rsid w:val="003E2FD4"/>
    <w:rsid w:val="003E3258"/>
    <w:rsid w:val="003E49F6"/>
    <w:rsid w:val="003E660F"/>
    <w:rsid w:val="003F0719"/>
    <w:rsid w:val="003F0841"/>
    <w:rsid w:val="003F23D3"/>
    <w:rsid w:val="003F3F08"/>
    <w:rsid w:val="003F49F1"/>
    <w:rsid w:val="003F6272"/>
    <w:rsid w:val="00400E72"/>
    <w:rsid w:val="00401400"/>
    <w:rsid w:val="00403DB5"/>
    <w:rsid w:val="00404869"/>
    <w:rsid w:val="00405618"/>
    <w:rsid w:val="00405884"/>
    <w:rsid w:val="0040639C"/>
    <w:rsid w:val="00407D39"/>
    <w:rsid w:val="004113E2"/>
    <w:rsid w:val="004116CB"/>
    <w:rsid w:val="00413D45"/>
    <w:rsid w:val="0041477A"/>
    <w:rsid w:val="004154F4"/>
    <w:rsid w:val="004167A3"/>
    <w:rsid w:val="004178AD"/>
    <w:rsid w:val="00421307"/>
    <w:rsid w:val="00424BDB"/>
    <w:rsid w:val="004261FE"/>
    <w:rsid w:val="00432DAA"/>
    <w:rsid w:val="00434305"/>
    <w:rsid w:val="0043476F"/>
    <w:rsid w:val="00435DF7"/>
    <w:rsid w:val="0043741A"/>
    <w:rsid w:val="0044083F"/>
    <w:rsid w:val="00440A85"/>
    <w:rsid w:val="00441AE7"/>
    <w:rsid w:val="00444AEC"/>
    <w:rsid w:val="00445574"/>
    <w:rsid w:val="004467FB"/>
    <w:rsid w:val="00451521"/>
    <w:rsid w:val="00451DA7"/>
    <w:rsid w:val="00452D6B"/>
    <w:rsid w:val="00453DFE"/>
    <w:rsid w:val="00454484"/>
    <w:rsid w:val="0045517B"/>
    <w:rsid w:val="004565CF"/>
    <w:rsid w:val="00463B77"/>
    <w:rsid w:val="00463C7B"/>
    <w:rsid w:val="004644A6"/>
    <w:rsid w:val="004659BD"/>
    <w:rsid w:val="00466046"/>
    <w:rsid w:val="00470775"/>
    <w:rsid w:val="00471148"/>
    <w:rsid w:val="00473C81"/>
    <w:rsid w:val="004746B1"/>
    <w:rsid w:val="0047583F"/>
    <w:rsid w:val="00475DE8"/>
    <w:rsid w:val="00477340"/>
    <w:rsid w:val="00481C44"/>
    <w:rsid w:val="00484936"/>
    <w:rsid w:val="00485908"/>
    <w:rsid w:val="00485C89"/>
    <w:rsid w:val="00486BE3"/>
    <w:rsid w:val="004873D9"/>
    <w:rsid w:val="004905E4"/>
    <w:rsid w:val="00490A89"/>
    <w:rsid w:val="00490AB4"/>
    <w:rsid w:val="00492040"/>
    <w:rsid w:val="00492F02"/>
    <w:rsid w:val="004939AE"/>
    <w:rsid w:val="00497277"/>
    <w:rsid w:val="004A097A"/>
    <w:rsid w:val="004A12DF"/>
    <w:rsid w:val="004A1BA8"/>
    <w:rsid w:val="004A25EE"/>
    <w:rsid w:val="004A4B57"/>
    <w:rsid w:val="004A4CB2"/>
    <w:rsid w:val="004A4F60"/>
    <w:rsid w:val="004A63FA"/>
    <w:rsid w:val="004A6A3D"/>
    <w:rsid w:val="004B0272"/>
    <w:rsid w:val="004B2701"/>
    <w:rsid w:val="004B2E1B"/>
    <w:rsid w:val="004B3AA8"/>
    <w:rsid w:val="004B3E93"/>
    <w:rsid w:val="004B4583"/>
    <w:rsid w:val="004C1B83"/>
    <w:rsid w:val="004C1FBC"/>
    <w:rsid w:val="004C25A2"/>
    <w:rsid w:val="004C3F1D"/>
    <w:rsid w:val="004C458D"/>
    <w:rsid w:val="004C7556"/>
    <w:rsid w:val="004C7E8B"/>
    <w:rsid w:val="004C7E9D"/>
    <w:rsid w:val="004C7F67"/>
    <w:rsid w:val="004D016F"/>
    <w:rsid w:val="004D076D"/>
    <w:rsid w:val="004D0EF1"/>
    <w:rsid w:val="004D2253"/>
    <w:rsid w:val="004D41C6"/>
    <w:rsid w:val="004D4406"/>
    <w:rsid w:val="004D66A7"/>
    <w:rsid w:val="004D7C42"/>
    <w:rsid w:val="004E0465"/>
    <w:rsid w:val="004E127B"/>
    <w:rsid w:val="004E1C0A"/>
    <w:rsid w:val="004E2D2B"/>
    <w:rsid w:val="004E2D4D"/>
    <w:rsid w:val="004E30C5"/>
    <w:rsid w:val="004E4AA5"/>
    <w:rsid w:val="004E4AEE"/>
    <w:rsid w:val="004E59E3"/>
    <w:rsid w:val="004E67C0"/>
    <w:rsid w:val="004F27EA"/>
    <w:rsid w:val="004F391A"/>
    <w:rsid w:val="004F3CFB"/>
    <w:rsid w:val="004F6456"/>
    <w:rsid w:val="004F696E"/>
    <w:rsid w:val="004F6C71"/>
    <w:rsid w:val="004F73C5"/>
    <w:rsid w:val="005006C0"/>
    <w:rsid w:val="00501139"/>
    <w:rsid w:val="0050363E"/>
    <w:rsid w:val="005039BC"/>
    <w:rsid w:val="00503FAA"/>
    <w:rsid w:val="005043BB"/>
    <w:rsid w:val="005046BB"/>
    <w:rsid w:val="00504A3D"/>
    <w:rsid w:val="00505767"/>
    <w:rsid w:val="005073F0"/>
    <w:rsid w:val="005105AB"/>
    <w:rsid w:val="00510A7B"/>
    <w:rsid w:val="005117C0"/>
    <w:rsid w:val="00512F6E"/>
    <w:rsid w:val="00513038"/>
    <w:rsid w:val="00514174"/>
    <w:rsid w:val="00516088"/>
    <w:rsid w:val="00516B0B"/>
    <w:rsid w:val="005220EC"/>
    <w:rsid w:val="00522FE4"/>
    <w:rsid w:val="00523F95"/>
    <w:rsid w:val="00524D65"/>
    <w:rsid w:val="00525B16"/>
    <w:rsid w:val="00531341"/>
    <w:rsid w:val="00531C83"/>
    <w:rsid w:val="00533D04"/>
    <w:rsid w:val="00534804"/>
    <w:rsid w:val="00534BDF"/>
    <w:rsid w:val="005354EA"/>
    <w:rsid w:val="0053585F"/>
    <w:rsid w:val="00535EC4"/>
    <w:rsid w:val="00535ED9"/>
    <w:rsid w:val="0053692B"/>
    <w:rsid w:val="00540DA0"/>
    <w:rsid w:val="005412EC"/>
    <w:rsid w:val="00541853"/>
    <w:rsid w:val="005423CC"/>
    <w:rsid w:val="00543BDA"/>
    <w:rsid w:val="005441CC"/>
    <w:rsid w:val="005479DA"/>
    <w:rsid w:val="00547BCC"/>
    <w:rsid w:val="005500E2"/>
    <w:rsid w:val="0055013B"/>
    <w:rsid w:val="00551F6F"/>
    <w:rsid w:val="00554ED8"/>
    <w:rsid w:val="00555044"/>
    <w:rsid w:val="00561475"/>
    <w:rsid w:val="00562308"/>
    <w:rsid w:val="0056384A"/>
    <w:rsid w:val="0056487B"/>
    <w:rsid w:val="00564FB9"/>
    <w:rsid w:val="00570823"/>
    <w:rsid w:val="00573D9E"/>
    <w:rsid w:val="005746E3"/>
    <w:rsid w:val="005801E3"/>
    <w:rsid w:val="00581802"/>
    <w:rsid w:val="005836A8"/>
    <w:rsid w:val="0058409C"/>
    <w:rsid w:val="00584262"/>
    <w:rsid w:val="00586630"/>
    <w:rsid w:val="00587ADD"/>
    <w:rsid w:val="00592A5E"/>
    <w:rsid w:val="0059372C"/>
    <w:rsid w:val="00593A49"/>
    <w:rsid w:val="00596160"/>
    <w:rsid w:val="005966E2"/>
    <w:rsid w:val="00597007"/>
    <w:rsid w:val="00597ABC"/>
    <w:rsid w:val="005A0966"/>
    <w:rsid w:val="005A11B7"/>
    <w:rsid w:val="005A260B"/>
    <w:rsid w:val="005A2C4E"/>
    <w:rsid w:val="005A3197"/>
    <w:rsid w:val="005A4560"/>
    <w:rsid w:val="005A46EC"/>
    <w:rsid w:val="005A49E8"/>
    <w:rsid w:val="005A4A1B"/>
    <w:rsid w:val="005A7830"/>
    <w:rsid w:val="005A7FCE"/>
    <w:rsid w:val="005B0F3F"/>
    <w:rsid w:val="005B191C"/>
    <w:rsid w:val="005B4903"/>
    <w:rsid w:val="005B51CE"/>
    <w:rsid w:val="005B5885"/>
    <w:rsid w:val="005B5CD7"/>
    <w:rsid w:val="005B6CF6"/>
    <w:rsid w:val="005B7422"/>
    <w:rsid w:val="005C0696"/>
    <w:rsid w:val="005C29B8"/>
    <w:rsid w:val="005C41ED"/>
    <w:rsid w:val="005C5F21"/>
    <w:rsid w:val="005C5FCC"/>
    <w:rsid w:val="005C7156"/>
    <w:rsid w:val="005D0C75"/>
    <w:rsid w:val="005D0CEB"/>
    <w:rsid w:val="005D22DD"/>
    <w:rsid w:val="005D4171"/>
    <w:rsid w:val="005D6A95"/>
    <w:rsid w:val="005D6B2C"/>
    <w:rsid w:val="005D6D9C"/>
    <w:rsid w:val="005E2335"/>
    <w:rsid w:val="005E34CA"/>
    <w:rsid w:val="005E3C18"/>
    <w:rsid w:val="005E4250"/>
    <w:rsid w:val="005E6812"/>
    <w:rsid w:val="005E7881"/>
    <w:rsid w:val="005E78E0"/>
    <w:rsid w:val="005F0D9C"/>
    <w:rsid w:val="005F284E"/>
    <w:rsid w:val="005F3375"/>
    <w:rsid w:val="005F4779"/>
    <w:rsid w:val="005F55BA"/>
    <w:rsid w:val="005F7B92"/>
    <w:rsid w:val="0060044A"/>
    <w:rsid w:val="006015CE"/>
    <w:rsid w:val="006015E2"/>
    <w:rsid w:val="00602090"/>
    <w:rsid w:val="00604784"/>
    <w:rsid w:val="00606419"/>
    <w:rsid w:val="00607D29"/>
    <w:rsid w:val="00612509"/>
    <w:rsid w:val="00612952"/>
    <w:rsid w:val="00614CC1"/>
    <w:rsid w:val="00615A9D"/>
    <w:rsid w:val="00617387"/>
    <w:rsid w:val="006205D6"/>
    <w:rsid w:val="00623394"/>
    <w:rsid w:val="006252D8"/>
    <w:rsid w:val="006259BC"/>
    <w:rsid w:val="00626143"/>
    <w:rsid w:val="0062636B"/>
    <w:rsid w:val="00632182"/>
    <w:rsid w:val="00632AE0"/>
    <w:rsid w:val="00633A5C"/>
    <w:rsid w:val="00633C17"/>
    <w:rsid w:val="00634D9E"/>
    <w:rsid w:val="0063503B"/>
    <w:rsid w:val="00636E3E"/>
    <w:rsid w:val="006379F7"/>
    <w:rsid w:val="00637E4D"/>
    <w:rsid w:val="00640620"/>
    <w:rsid w:val="00640DFB"/>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73D"/>
    <w:rsid w:val="00672BFD"/>
    <w:rsid w:val="00673763"/>
    <w:rsid w:val="0067477E"/>
    <w:rsid w:val="00675333"/>
    <w:rsid w:val="006758F2"/>
    <w:rsid w:val="006770F4"/>
    <w:rsid w:val="00677A84"/>
    <w:rsid w:val="0068026D"/>
    <w:rsid w:val="00680A27"/>
    <w:rsid w:val="006816A4"/>
    <w:rsid w:val="006819B8"/>
    <w:rsid w:val="0068337E"/>
    <w:rsid w:val="006840A6"/>
    <w:rsid w:val="006850CD"/>
    <w:rsid w:val="00685AAB"/>
    <w:rsid w:val="00686556"/>
    <w:rsid w:val="00687C08"/>
    <w:rsid w:val="00693962"/>
    <w:rsid w:val="0069572A"/>
    <w:rsid w:val="006A07AA"/>
    <w:rsid w:val="006A0B07"/>
    <w:rsid w:val="006A2164"/>
    <w:rsid w:val="006A25E5"/>
    <w:rsid w:val="006A2B46"/>
    <w:rsid w:val="006A336D"/>
    <w:rsid w:val="006A37B9"/>
    <w:rsid w:val="006A52D2"/>
    <w:rsid w:val="006A57A3"/>
    <w:rsid w:val="006B2672"/>
    <w:rsid w:val="006B54BF"/>
    <w:rsid w:val="006B5BB2"/>
    <w:rsid w:val="006B5F44"/>
    <w:rsid w:val="006B5F90"/>
    <w:rsid w:val="006B62E4"/>
    <w:rsid w:val="006B63CB"/>
    <w:rsid w:val="006B652E"/>
    <w:rsid w:val="006C1BBA"/>
    <w:rsid w:val="006C2079"/>
    <w:rsid w:val="006C5A62"/>
    <w:rsid w:val="006C5D68"/>
    <w:rsid w:val="006C6976"/>
    <w:rsid w:val="006C6DD0"/>
    <w:rsid w:val="006D04EA"/>
    <w:rsid w:val="006D16C4"/>
    <w:rsid w:val="006D3E96"/>
    <w:rsid w:val="006D4515"/>
    <w:rsid w:val="006D4BB1"/>
    <w:rsid w:val="006D4D59"/>
    <w:rsid w:val="006D6593"/>
    <w:rsid w:val="006E0E87"/>
    <w:rsid w:val="006F03A8"/>
    <w:rsid w:val="006F1E82"/>
    <w:rsid w:val="006F2ACA"/>
    <w:rsid w:val="006F2ADC"/>
    <w:rsid w:val="006F2BFE"/>
    <w:rsid w:val="006F31E9"/>
    <w:rsid w:val="006F353E"/>
    <w:rsid w:val="006F6284"/>
    <w:rsid w:val="006F7528"/>
    <w:rsid w:val="007002C5"/>
    <w:rsid w:val="00701064"/>
    <w:rsid w:val="007029E7"/>
    <w:rsid w:val="00704387"/>
    <w:rsid w:val="00707669"/>
    <w:rsid w:val="00711CBA"/>
    <w:rsid w:val="00711FB5"/>
    <w:rsid w:val="00712A01"/>
    <w:rsid w:val="00714F58"/>
    <w:rsid w:val="00716171"/>
    <w:rsid w:val="00716E7A"/>
    <w:rsid w:val="007202A3"/>
    <w:rsid w:val="00720D29"/>
    <w:rsid w:val="00722B1C"/>
    <w:rsid w:val="00722FBF"/>
    <w:rsid w:val="00722FC2"/>
    <w:rsid w:val="00723839"/>
    <w:rsid w:val="00724E1B"/>
    <w:rsid w:val="00725949"/>
    <w:rsid w:val="00727FA2"/>
    <w:rsid w:val="007322D9"/>
    <w:rsid w:val="00732BC0"/>
    <w:rsid w:val="0073720F"/>
    <w:rsid w:val="00737796"/>
    <w:rsid w:val="007408A1"/>
    <w:rsid w:val="0074165C"/>
    <w:rsid w:val="00742C35"/>
    <w:rsid w:val="007432CA"/>
    <w:rsid w:val="007439EB"/>
    <w:rsid w:val="00743CB4"/>
    <w:rsid w:val="00743F0A"/>
    <w:rsid w:val="007444E8"/>
    <w:rsid w:val="0074548E"/>
    <w:rsid w:val="00745773"/>
    <w:rsid w:val="00746800"/>
    <w:rsid w:val="007501A8"/>
    <w:rsid w:val="0075067C"/>
    <w:rsid w:val="00750D61"/>
    <w:rsid w:val="00750EE1"/>
    <w:rsid w:val="00752B4D"/>
    <w:rsid w:val="0075429E"/>
    <w:rsid w:val="00755402"/>
    <w:rsid w:val="00756B26"/>
    <w:rsid w:val="00756EDF"/>
    <w:rsid w:val="007600E3"/>
    <w:rsid w:val="00760191"/>
    <w:rsid w:val="00761723"/>
    <w:rsid w:val="00764425"/>
    <w:rsid w:val="007644A0"/>
    <w:rsid w:val="00764D7C"/>
    <w:rsid w:val="00765C43"/>
    <w:rsid w:val="00765E15"/>
    <w:rsid w:val="00765EFB"/>
    <w:rsid w:val="007671CA"/>
    <w:rsid w:val="00767C61"/>
    <w:rsid w:val="0077008A"/>
    <w:rsid w:val="007703F2"/>
    <w:rsid w:val="00773C1F"/>
    <w:rsid w:val="00774DA4"/>
    <w:rsid w:val="007758AB"/>
    <w:rsid w:val="00776599"/>
    <w:rsid w:val="0078024A"/>
    <w:rsid w:val="0078114B"/>
    <w:rsid w:val="0078140B"/>
    <w:rsid w:val="00781DD2"/>
    <w:rsid w:val="00783C12"/>
    <w:rsid w:val="00783ECF"/>
    <w:rsid w:val="0078413A"/>
    <w:rsid w:val="00792814"/>
    <w:rsid w:val="007959E8"/>
    <w:rsid w:val="00795E9C"/>
    <w:rsid w:val="007A0521"/>
    <w:rsid w:val="007A2384"/>
    <w:rsid w:val="007A2E12"/>
    <w:rsid w:val="007A3475"/>
    <w:rsid w:val="007A37FE"/>
    <w:rsid w:val="007A41C8"/>
    <w:rsid w:val="007A54CE"/>
    <w:rsid w:val="007A5D3A"/>
    <w:rsid w:val="007A6FD9"/>
    <w:rsid w:val="007A7FFA"/>
    <w:rsid w:val="007B04EB"/>
    <w:rsid w:val="007B0D4F"/>
    <w:rsid w:val="007B4518"/>
    <w:rsid w:val="007B5A3D"/>
    <w:rsid w:val="007B5B95"/>
    <w:rsid w:val="007B6032"/>
    <w:rsid w:val="007B60A8"/>
    <w:rsid w:val="007B61CC"/>
    <w:rsid w:val="007B68EA"/>
    <w:rsid w:val="007B7453"/>
    <w:rsid w:val="007C05DB"/>
    <w:rsid w:val="007C114A"/>
    <w:rsid w:val="007C1809"/>
    <w:rsid w:val="007C1EBE"/>
    <w:rsid w:val="007C2D89"/>
    <w:rsid w:val="007C4593"/>
    <w:rsid w:val="007C5309"/>
    <w:rsid w:val="007C6069"/>
    <w:rsid w:val="007C6DA5"/>
    <w:rsid w:val="007D06C4"/>
    <w:rsid w:val="007D1352"/>
    <w:rsid w:val="007D2508"/>
    <w:rsid w:val="007D346A"/>
    <w:rsid w:val="007D61F2"/>
    <w:rsid w:val="007D6518"/>
    <w:rsid w:val="007D76BD"/>
    <w:rsid w:val="007E0691"/>
    <w:rsid w:val="007E0BF1"/>
    <w:rsid w:val="007E1316"/>
    <w:rsid w:val="007E14F0"/>
    <w:rsid w:val="007E53AE"/>
    <w:rsid w:val="007F0ED8"/>
    <w:rsid w:val="007F0F63"/>
    <w:rsid w:val="007F61DD"/>
    <w:rsid w:val="007F75CE"/>
    <w:rsid w:val="007F76BA"/>
    <w:rsid w:val="0080134B"/>
    <w:rsid w:val="008013A4"/>
    <w:rsid w:val="008027CE"/>
    <w:rsid w:val="00802F42"/>
    <w:rsid w:val="00804383"/>
    <w:rsid w:val="008044B5"/>
    <w:rsid w:val="00804BB7"/>
    <w:rsid w:val="00804D41"/>
    <w:rsid w:val="00804F36"/>
    <w:rsid w:val="0080730C"/>
    <w:rsid w:val="00810257"/>
    <w:rsid w:val="00810460"/>
    <w:rsid w:val="008104F5"/>
    <w:rsid w:val="00811072"/>
    <w:rsid w:val="00811369"/>
    <w:rsid w:val="0081291F"/>
    <w:rsid w:val="008151F9"/>
    <w:rsid w:val="00815419"/>
    <w:rsid w:val="008163C8"/>
    <w:rsid w:val="008164A1"/>
    <w:rsid w:val="00817325"/>
    <w:rsid w:val="008174D9"/>
    <w:rsid w:val="008209E6"/>
    <w:rsid w:val="00821D19"/>
    <w:rsid w:val="00823303"/>
    <w:rsid w:val="008233B2"/>
    <w:rsid w:val="00823A9F"/>
    <w:rsid w:val="00823C85"/>
    <w:rsid w:val="00825138"/>
    <w:rsid w:val="00825D3F"/>
    <w:rsid w:val="008269DD"/>
    <w:rsid w:val="00830621"/>
    <w:rsid w:val="00831C23"/>
    <w:rsid w:val="00832C9A"/>
    <w:rsid w:val="0083348C"/>
    <w:rsid w:val="008373D3"/>
    <w:rsid w:val="00840617"/>
    <w:rsid w:val="00840F84"/>
    <w:rsid w:val="00842A47"/>
    <w:rsid w:val="00843C13"/>
    <w:rsid w:val="00843DEF"/>
    <w:rsid w:val="00844014"/>
    <w:rsid w:val="0084496E"/>
    <w:rsid w:val="008454F8"/>
    <w:rsid w:val="0084755D"/>
    <w:rsid w:val="00847A0F"/>
    <w:rsid w:val="0085173A"/>
    <w:rsid w:val="008603CE"/>
    <w:rsid w:val="00861EB6"/>
    <w:rsid w:val="008620FC"/>
    <w:rsid w:val="008627A5"/>
    <w:rsid w:val="00863E05"/>
    <w:rsid w:val="00864B47"/>
    <w:rsid w:val="00865ACA"/>
    <w:rsid w:val="00865D28"/>
    <w:rsid w:val="00865F85"/>
    <w:rsid w:val="00867C10"/>
    <w:rsid w:val="00870439"/>
    <w:rsid w:val="00870DA1"/>
    <w:rsid w:val="008747D8"/>
    <w:rsid w:val="00880B17"/>
    <w:rsid w:val="0088184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924"/>
    <w:rsid w:val="008A173B"/>
    <w:rsid w:val="008A1893"/>
    <w:rsid w:val="008A26C2"/>
    <w:rsid w:val="008A354F"/>
    <w:rsid w:val="008A57E6"/>
    <w:rsid w:val="008A5C2F"/>
    <w:rsid w:val="008A60A0"/>
    <w:rsid w:val="008A6F81"/>
    <w:rsid w:val="008A769A"/>
    <w:rsid w:val="008A7F68"/>
    <w:rsid w:val="008B0C9C"/>
    <w:rsid w:val="008B166D"/>
    <w:rsid w:val="008B17F4"/>
    <w:rsid w:val="008B3615"/>
    <w:rsid w:val="008B4AC4"/>
    <w:rsid w:val="008B50C8"/>
    <w:rsid w:val="008B5281"/>
    <w:rsid w:val="008B6417"/>
    <w:rsid w:val="008B661A"/>
    <w:rsid w:val="008B7E05"/>
    <w:rsid w:val="008C1546"/>
    <w:rsid w:val="008C16CF"/>
    <w:rsid w:val="008C1797"/>
    <w:rsid w:val="008C219C"/>
    <w:rsid w:val="008C475E"/>
    <w:rsid w:val="008C619A"/>
    <w:rsid w:val="008D0CE8"/>
    <w:rsid w:val="008D2D1D"/>
    <w:rsid w:val="008D453D"/>
    <w:rsid w:val="008D53AD"/>
    <w:rsid w:val="008D562B"/>
    <w:rsid w:val="008D5733"/>
    <w:rsid w:val="008D622B"/>
    <w:rsid w:val="008D666C"/>
    <w:rsid w:val="008D7B54"/>
    <w:rsid w:val="008D7BAF"/>
    <w:rsid w:val="008E0C9D"/>
    <w:rsid w:val="008E1648"/>
    <w:rsid w:val="008E1B3E"/>
    <w:rsid w:val="008E2319"/>
    <w:rsid w:val="008E413E"/>
    <w:rsid w:val="008E4BB6"/>
    <w:rsid w:val="008E5518"/>
    <w:rsid w:val="008E577B"/>
    <w:rsid w:val="008E6A84"/>
    <w:rsid w:val="008E6BB4"/>
    <w:rsid w:val="008F0CDC"/>
    <w:rsid w:val="008F17A3"/>
    <w:rsid w:val="008F1ED3"/>
    <w:rsid w:val="008F3893"/>
    <w:rsid w:val="008F4C29"/>
    <w:rsid w:val="008F70BD"/>
    <w:rsid w:val="008F788F"/>
    <w:rsid w:val="008F7EA2"/>
    <w:rsid w:val="00902722"/>
    <w:rsid w:val="009027BC"/>
    <w:rsid w:val="00904C4F"/>
    <w:rsid w:val="009062E6"/>
    <w:rsid w:val="00906515"/>
    <w:rsid w:val="00911BE5"/>
    <w:rsid w:val="00912016"/>
    <w:rsid w:val="009130FA"/>
    <w:rsid w:val="00913CA9"/>
    <w:rsid w:val="009145AE"/>
    <w:rsid w:val="009146CE"/>
    <w:rsid w:val="00914CA7"/>
    <w:rsid w:val="00915C3E"/>
    <w:rsid w:val="009161A8"/>
    <w:rsid w:val="00916ABA"/>
    <w:rsid w:val="00923BF1"/>
    <w:rsid w:val="009245AE"/>
    <w:rsid w:val="009245F5"/>
    <w:rsid w:val="009249EC"/>
    <w:rsid w:val="00925F4F"/>
    <w:rsid w:val="00926AAC"/>
    <w:rsid w:val="009273B3"/>
    <w:rsid w:val="009305B5"/>
    <w:rsid w:val="00932D04"/>
    <w:rsid w:val="0093305C"/>
    <w:rsid w:val="00933ECC"/>
    <w:rsid w:val="009350A5"/>
    <w:rsid w:val="009378DD"/>
    <w:rsid w:val="009429D5"/>
    <w:rsid w:val="00942BF1"/>
    <w:rsid w:val="00945180"/>
    <w:rsid w:val="00945428"/>
    <w:rsid w:val="0094607B"/>
    <w:rsid w:val="00947D97"/>
    <w:rsid w:val="00953604"/>
    <w:rsid w:val="0095496B"/>
    <w:rsid w:val="00955641"/>
    <w:rsid w:val="009558BA"/>
    <w:rsid w:val="00957724"/>
    <w:rsid w:val="00960258"/>
    <w:rsid w:val="00960F1E"/>
    <w:rsid w:val="009610DC"/>
    <w:rsid w:val="00961490"/>
    <w:rsid w:val="009623DF"/>
    <w:rsid w:val="00962532"/>
    <w:rsid w:val="0096341B"/>
    <w:rsid w:val="0096381A"/>
    <w:rsid w:val="00965E04"/>
    <w:rsid w:val="009674AD"/>
    <w:rsid w:val="00970CDC"/>
    <w:rsid w:val="00975467"/>
    <w:rsid w:val="00975727"/>
    <w:rsid w:val="00977010"/>
    <w:rsid w:val="00977D02"/>
    <w:rsid w:val="00977FF9"/>
    <w:rsid w:val="00980955"/>
    <w:rsid w:val="009809BB"/>
    <w:rsid w:val="00980B69"/>
    <w:rsid w:val="0098364B"/>
    <w:rsid w:val="009908A3"/>
    <w:rsid w:val="009911AF"/>
    <w:rsid w:val="00991875"/>
    <w:rsid w:val="00991D2B"/>
    <w:rsid w:val="00991F92"/>
    <w:rsid w:val="00992985"/>
    <w:rsid w:val="00993889"/>
    <w:rsid w:val="00994741"/>
    <w:rsid w:val="0099551B"/>
    <w:rsid w:val="00996368"/>
    <w:rsid w:val="00996BD2"/>
    <w:rsid w:val="00997BCA"/>
    <w:rsid w:val="00997BF1"/>
    <w:rsid w:val="00997D97"/>
    <w:rsid w:val="009A089C"/>
    <w:rsid w:val="009A118E"/>
    <w:rsid w:val="009A21CD"/>
    <w:rsid w:val="009A278C"/>
    <w:rsid w:val="009A2BC2"/>
    <w:rsid w:val="009A2C59"/>
    <w:rsid w:val="009A4014"/>
    <w:rsid w:val="009A42C1"/>
    <w:rsid w:val="009A4BEE"/>
    <w:rsid w:val="009A5429"/>
    <w:rsid w:val="009A72AD"/>
    <w:rsid w:val="009B09E0"/>
    <w:rsid w:val="009B0BC5"/>
    <w:rsid w:val="009B1247"/>
    <w:rsid w:val="009B6029"/>
    <w:rsid w:val="009B6927"/>
    <w:rsid w:val="009B6971"/>
    <w:rsid w:val="009C27F1"/>
    <w:rsid w:val="009C2F8B"/>
    <w:rsid w:val="009C3152"/>
    <w:rsid w:val="009C3257"/>
    <w:rsid w:val="009C4CFA"/>
    <w:rsid w:val="009C5070"/>
    <w:rsid w:val="009C51A1"/>
    <w:rsid w:val="009D112C"/>
    <w:rsid w:val="009D1385"/>
    <w:rsid w:val="009D47C9"/>
    <w:rsid w:val="009D47FA"/>
    <w:rsid w:val="009D4C5B"/>
    <w:rsid w:val="009D50D2"/>
    <w:rsid w:val="009D6BCA"/>
    <w:rsid w:val="009E0F62"/>
    <w:rsid w:val="009E127B"/>
    <w:rsid w:val="009E2213"/>
    <w:rsid w:val="009E4A58"/>
    <w:rsid w:val="009E5A2D"/>
    <w:rsid w:val="009E5AB2"/>
    <w:rsid w:val="009E6219"/>
    <w:rsid w:val="009F03B3"/>
    <w:rsid w:val="009F2185"/>
    <w:rsid w:val="009F29A4"/>
    <w:rsid w:val="00A0096C"/>
    <w:rsid w:val="00A01757"/>
    <w:rsid w:val="00A028C0"/>
    <w:rsid w:val="00A02BAE"/>
    <w:rsid w:val="00A06A6B"/>
    <w:rsid w:val="00A0723C"/>
    <w:rsid w:val="00A07E47"/>
    <w:rsid w:val="00A129D0"/>
    <w:rsid w:val="00A12C33"/>
    <w:rsid w:val="00A138BA"/>
    <w:rsid w:val="00A13C2E"/>
    <w:rsid w:val="00A14C8E"/>
    <w:rsid w:val="00A153D9"/>
    <w:rsid w:val="00A15F09"/>
    <w:rsid w:val="00A169B6"/>
    <w:rsid w:val="00A2271D"/>
    <w:rsid w:val="00A237D5"/>
    <w:rsid w:val="00A2435D"/>
    <w:rsid w:val="00A30623"/>
    <w:rsid w:val="00A30A5B"/>
    <w:rsid w:val="00A30EFC"/>
    <w:rsid w:val="00A31432"/>
    <w:rsid w:val="00A31984"/>
    <w:rsid w:val="00A32B78"/>
    <w:rsid w:val="00A32D73"/>
    <w:rsid w:val="00A3367B"/>
    <w:rsid w:val="00A33C67"/>
    <w:rsid w:val="00A35188"/>
    <w:rsid w:val="00A3574A"/>
    <w:rsid w:val="00A3597D"/>
    <w:rsid w:val="00A36DD1"/>
    <w:rsid w:val="00A4006C"/>
    <w:rsid w:val="00A40091"/>
    <w:rsid w:val="00A4030F"/>
    <w:rsid w:val="00A41C79"/>
    <w:rsid w:val="00A41CB5"/>
    <w:rsid w:val="00A42450"/>
    <w:rsid w:val="00A42CDF"/>
    <w:rsid w:val="00A4452E"/>
    <w:rsid w:val="00A4472C"/>
    <w:rsid w:val="00A44E69"/>
    <w:rsid w:val="00A4518B"/>
    <w:rsid w:val="00A4661E"/>
    <w:rsid w:val="00A46B25"/>
    <w:rsid w:val="00A51B81"/>
    <w:rsid w:val="00A55BD6"/>
    <w:rsid w:val="00A55C4C"/>
    <w:rsid w:val="00A55D50"/>
    <w:rsid w:val="00A57142"/>
    <w:rsid w:val="00A61F24"/>
    <w:rsid w:val="00A63899"/>
    <w:rsid w:val="00A648CD"/>
    <w:rsid w:val="00A6537A"/>
    <w:rsid w:val="00A655CF"/>
    <w:rsid w:val="00A66001"/>
    <w:rsid w:val="00A66483"/>
    <w:rsid w:val="00A67866"/>
    <w:rsid w:val="00A70B07"/>
    <w:rsid w:val="00A723F8"/>
    <w:rsid w:val="00A72839"/>
    <w:rsid w:val="00A77CCB"/>
    <w:rsid w:val="00A83D8D"/>
    <w:rsid w:val="00A8446B"/>
    <w:rsid w:val="00A8473F"/>
    <w:rsid w:val="00A862D6"/>
    <w:rsid w:val="00A8715E"/>
    <w:rsid w:val="00A9295B"/>
    <w:rsid w:val="00A93B09"/>
    <w:rsid w:val="00A94952"/>
    <w:rsid w:val="00A952D7"/>
    <w:rsid w:val="00A95A05"/>
    <w:rsid w:val="00A963F7"/>
    <w:rsid w:val="00A96AD8"/>
    <w:rsid w:val="00AA052C"/>
    <w:rsid w:val="00AA1AA9"/>
    <w:rsid w:val="00AA1E45"/>
    <w:rsid w:val="00AA3188"/>
    <w:rsid w:val="00AA368F"/>
    <w:rsid w:val="00AA4286"/>
    <w:rsid w:val="00AA456B"/>
    <w:rsid w:val="00AA4C38"/>
    <w:rsid w:val="00AA57F5"/>
    <w:rsid w:val="00AA672E"/>
    <w:rsid w:val="00AA6EC9"/>
    <w:rsid w:val="00AB047A"/>
    <w:rsid w:val="00AB2DFE"/>
    <w:rsid w:val="00AB5579"/>
    <w:rsid w:val="00AB6309"/>
    <w:rsid w:val="00AB6C5F"/>
    <w:rsid w:val="00AB7129"/>
    <w:rsid w:val="00AC074B"/>
    <w:rsid w:val="00AC27A6"/>
    <w:rsid w:val="00AC2F7E"/>
    <w:rsid w:val="00AC30F7"/>
    <w:rsid w:val="00AC3985"/>
    <w:rsid w:val="00AC3A5A"/>
    <w:rsid w:val="00AC4D95"/>
    <w:rsid w:val="00AC5DF4"/>
    <w:rsid w:val="00AD0AEF"/>
    <w:rsid w:val="00AD10EE"/>
    <w:rsid w:val="00AD11B7"/>
    <w:rsid w:val="00AD1A94"/>
    <w:rsid w:val="00AD1C05"/>
    <w:rsid w:val="00AD3E94"/>
    <w:rsid w:val="00AD4126"/>
    <w:rsid w:val="00AD421C"/>
    <w:rsid w:val="00AD43D3"/>
    <w:rsid w:val="00AD44FA"/>
    <w:rsid w:val="00AD5836"/>
    <w:rsid w:val="00AD6FD9"/>
    <w:rsid w:val="00AD772E"/>
    <w:rsid w:val="00AE070A"/>
    <w:rsid w:val="00AE101C"/>
    <w:rsid w:val="00AE18E1"/>
    <w:rsid w:val="00AE2A69"/>
    <w:rsid w:val="00AE364A"/>
    <w:rsid w:val="00AE37E5"/>
    <w:rsid w:val="00AE5EB4"/>
    <w:rsid w:val="00AE69DE"/>
    <w:rsid w:val="00AF0C18"/>
    <w:rsid w:val="00AF12D6"/>
    <w:rsid w:val="00AF29E6"/>
    <w:rsid w:val="00AF3DCC"/>
    <w:rsid w:val="00AF47C5"/>
    <w:rsid w:val="00AF4B19"/>
    <w:rsid w:val="00AF5398"/>
    <w:rsid w:val="00AF573E"/>
    <w:rsid w:val="00AF6737"/>
    <w:rsid w:val="00AF7A86"/>
    <w:rsid w:val="00B01BD7"/>
    <w:rsid w:val="00B02DC2"/>
    <w:rsid w:val="00B049AF"/>
    <w:rsid w:val="00B06CAD"/>
    <w:rsid w:val="00B07242"/>
    <w:rsid w:val="00B10534"/>
    <w:rsid w:val="00B107BB"/>
    <w:rsid w:val="00B10DA6"/>
    <w:rsid w:val="00B113DB"/>
    <w:rsid w:val="00B11571"/>
    <w:rsid w:val="00B11D8A"/>
    <w:rsid w:val="00B12981"/>
    <w:rsid w:val="00B147DD"/>
    <w:rsid w:val="00B156FD"/>
    <w:rsid w:val="00B15F82"/>
    <w:rsid w:val="00B21F61"/>
    <w:rsid w:val="00B24C06"/>
    <w:rsid w:val="00B24DEE"/>
    <w:rsid w:val="00B261F1"/>
    <w:rsid w:val="00B265BC"/>
    <w:rsid w:val="00B3048A"/>
    <w:rsid w:val="00B31FB1"/>
    <w:rsid w:val="00B33952"/>
    <w:rsid w:val="00B33C5E"/>
    <w:rsid w:val="00B342F4"/>
    <w:rsid w:val="00B34369"/>
    <w:rsid w:val="00B34DC2"/>
    <w:rsid w:val="00B35046"/>
    <w:rsid w:val="00B362B8"/>
    <w:rsid w:val="00B378E5"/>
    <w:rsid w:val="00B40045"/>
    <w:rsid w:val="00B41478"/>
    <w:rsid w:val="00B4346D"/>
    <w:rsid w:val="00B440F4"/>
    <w:rsid w:val="00B447A5"/>
    <w:rsid w:val="00B44809"/>
    <w:rsid w:val="00B46211"/>
    <w:rsid w:val="00B4654C"/>
    <w:rsid w:val="00B47293"/>
    <w:rsid w:val="00B50E50"/>
    <w:rsid w:val="00B52120"/>
    <w:rsid w:val="00B54ABC"/>
    <w:rsid w:val="00B5608C"/>
    <w:rsid w:val="00B56FBE"/>
    <w:rsid w:val="00B60ACF"/>
    <w:rsid w:val="00B62A06"/>
    <w:rsid w:val="00B62B58"/>
    <w:rsid w:val="00B65149"/>
    <w:rsid w:val="00B66567"/>
    <w:rsid w:val="00B66F52"/>
    <w:rsid w:val="00B66FE5"/>
    <w:rsid w:val="00B6762B"/>
    <w:rsid w:val="00B704BF"/>
    <w:rsid w:val="00B72880"/>
    <w:rsid w:val="00B758BF"/>
    <w:rsid w:val="00B77EC8"/>
    <w:rsid w:val="00B82399"/>
    <w:rsid w:val="00B827A6"/>
    <w:rsid w:val="00B82CA2"/>
    <w:rsid w:val="00B831CE"/>
    <w:rsid w:val="00B83758"/>
    <w:rsid w:val="00B8480A"/>
    <w:rsid w:val="00B86677"/>
    <w:rsid w:val="00B87131"/>
    <w:rsid w:val="00B902E8"/>
    <w:rsid w:val="00B91E52"/>
    <w:rsid w:val="00B9288D"/>
    <w:rsid w:val="00B92F22"/>
    <w:rsid w:val="00B93825"/>
    <w:rsid w:val="00B939B1"/>
    <w:rsid w:val="00B96D40"/>
    <w:rsid w:val="00B96D6E"/>
    <w:rsid w:val="00B97386"/>
    <w:rsid w:val="00BA06DB"/>
    <w:rsid w:val="00BA088B"/>
    <w:rsid w:val="00BA263B"/>
    <w:rsid w:val="00BA3282"/>
    <w:rsid w:val="00BA42B2"/>
    <w:rsid w:val="00BA58D4"/>
    <w:rsid w:val="00BA5B9E"/>
    <w:rsid w:val="00BA7C9A"/>
    <w:rsid w:val="00BB1E33"/>
    <w:rsid w:val="00BB5F8F"/>
    <w:rsid w:val="00BB60D5"/>
    <w:rsid w:val="00BB657A"/>
    <w:rsid w:val="00BC15A0"/>
    <w:rsid w:val="00BC1A4E"/>
    <w:rsid w:val="00BC2465"/>
    <w:rsid w:val="00BC26CA"/>
    <w:rsid w:val="00BC4239"/>
    <w:rsid w:val="00BC5944"/>
    <w:rsid w:val="00BC5DC7"/>
    <w:rsid w:val="00BC6B8B"/>
    <w:rsid w:val="00BC73D8"/>
    <w:rsid w:val="00BD52D7"/>
    <w:rsid w:val="00BD5AD2"/>
    <w:rsid w:val="00BE22F3"/>
    <w:rsid w:val="00BE4D74"/>
    <w:rsid w:val="00BE5B52"/>
    <w:rsid w:val="00BE7799"/>
    <w:rsid w:val="00BE7B8D"/>
    <w:rsid w:val="00BF0993"/>
    <w:rsid w:val="00BF09DA"/>
    <w:rsid w:val="00BF10A9"/>
    <w:rsid w:val="00BF1470"/>
    <w:rsid w:val="00BF1703"/>
    <w:rsid w:val="00BF231C"/>
    <w:rsid w:val="00BF51E5"/>
    <w:rsid w:val="00BF74A6"/>
    <w:rsid w:val="00C013AD"/>
    <w:rsid w:val="00C014D9"/>
    <w:rsid w:val="00C01B79"/>
    <w:rsid w:val="00C02B4B"/>
    <w:rsid w:val="00C04904"/>
    <w:rsid w:val="00C056B3"/>
    <w:rsid w:val="00C064CB"/>
    <w:rsid w:val="00C1037B"/>
    <w:rsid w:val="00C103E5"/>
    <w:rsid w:val="00C13319"/>
    <w:rsid w:val="00C13EE9"/>
    <w:rsid w:val="00C16250"/>
    <w:rsid w:val="00C21540"/>
    <w:rsid w:val="00C21906"/>
    <w:rsid w:val="00C21BFA"/>
    <w:rsid w:val="00C233AE"/>
    <w:rsid w:val="00C24C8D"/>
    <w:rsid w:val="00C25632"/>
    <w:rsid w:val="00C25FE2"/>
    <w:rsid w:val="00C26A3F"/>
    <w:rsid w:val="00C26B53"/>
    <w:rsid w:val="00C26CF2"/>
    <w:rsid w:val="00C279B2"/>
    <w:rsid w:val="00C33E50"/>
    <w:rsid w:val="00C34C20"/>
    <w:rsid w:val="00C35A3E"/>
    <w:rsid w:val="00C36D5E"/>
    <w:rsid w:val="00C40E3D"/>
    <w:rsid w:val="00C42130"/>
    <w:rsid w:val="00C423A4"/>
    <w:rsid w:val="00C423E3"/>
    <w:rsid w:val="00C42C6D"/>
    <w:rsid w:val="00C44BF5"/>
    <w:rsid w:val="00C46CF1"/>
    <w:rsid w:val="00C521D6"/>
    <w:rsid w:val="00C55232"/>
    <w:rsid w:val="00C553A4"/>
    <w:rsid w:val="00C55A06"/>
    <w:rsid w:val="00C55D03"/>
    <w:rsid w:val="00C5694B"/>
    <w:rsid w:val="00C573C2"/>
    <w:rsid w:val="00C601BC"/>
    <w:rsid w:val="00C62766"/>
    <w:rsid w:val="00C6329F"/>
    <w:rsid w:val="00C63340"/>
    <w:rsid w:val="00C643F9"/>
    <w:rsid w:val="00C64E95"/>
    <w:rsid w:val="00C71372"/>
    <w:rsid w:val="00C71DA4"/>
    <w:rsid w:val="00C72410"/>
    <w:rsid w:val="00C72848"/>
    <w:rsid w:val="00C7287F"/>
    <w:rsid w:val="00C7312B"/>
    <w:rsid w:val="00C80CB8"/>
    <w:rsid w:val="00C819F8"/>
    <w:rsid w:val="00C8204E"/>
    <w:rsid w:val="00C8248C"/>
    <w:rsid w:val="00C82C78"/>
    <w:rsid w:val="00C83648"/>
    <w:rsid w:val="00C84E33"/>
    <w:rsid w:val="00C86D6F"/>
    <w:rsid w:val="00C905FC"/>
    <w:rsid w:val="00C924E6"/>
    <w:rsid w:val="00C92D03"/>
    <w:rsid w:val="00C9319C"/>
    <w:rsid w:val="00C9435D"/>
    <w:rsid w:val="00C94DF2"/>
    <w:rsid w:val="00C96319"/>
    <w:rsid w:val="00C96741"/>
    <w:rsid w:val="00C96C4C"/>
    <w:rsid w:val="00C97E12"/>
    <w:rsid w:val="00CA1838"/>
    <w:rsid w:val="00CA2090"/>
    <w:rsid w:val="00CA2D1B"/>
    <w:rsid w:val="00CA375D"/>
    <w:rsid w:val="00CA662A"/>
    <w:rsid w:val="00CA6B1F"/>
    <w:rsid w:val="00CA6BF6"/>
    <w:rsid w:val="00CA7AFD"/>
    <w:rsid w:val="00CA7C3C"/>
    <w:rsid w:val="00CB0189"/>
    <w:rsid w:val="00CB0BA2"/>
    <w:rsid w:val="00CB182B"/>
    <w:rsid w:val="00CB1A42"/>
    <w:rsid w:val="00CB1B0C"/>
    <w:rsid w:val="00CB2C0B"/>
    <w:rsid w:val="00CB517D"/>
    <w:rsid w:val="00CB6311"/>
    <w:rsid w:val="00CB63C1"/>
    <w:rsid w:val="00CB784D"/>
    <w:rsid w:val="00CC0100"/>
    <w:rsid w:val="00CC038D"/>
    <w:rsid w:val="00CC08DB"/>
    <w:rsid w:val="00CC39FF"/>
    <w:rsid w:val="00CC3C2F"/>
    <w:rsid w:val="00CC4AC8"/>
    <w:rsid w:val="00CC5233"/>
    <w:rsid w:val="00CC5DE6"/>
    <w:rsid w:val="00CC6E4E"/>
    <w:rsid w:val="00CC6FE8"/>
    <w:rsid w:val="00CC7202"/>
    <w:rsid w:val="00CD2808"/>
    <w:rsid w:val="00CD28BF"/>
    <w:rsid w:val="00CD3314"/>
    <w:rsid w:val="00CD4092"/>
    <w:rsid w:val="00CD4A20"/>
    <w:rsid w:val="00CD50A1"/>
    <w:rsid w:val="00CD519E"/>
    <w:rsid w:val="00CE0C4F"/>
    <w:rsid w:val="00CE30EA"/>
    <w:rsid w:val="00CF048A"/>
    <w:rsid w:val="00CF14DE"/>
    <w:rsid w:val="00CF155A"/>
    <w:rsid w:val="00CF1843"/>
    <w:rsid w:val="00CF2947"/>
    <w:rsid w:val="00CF3CDC"/>
    <w:rsid w:val="00CF686F"/>
    <w:rsid w:val="00CF6E60"/>
    <w:rsid w:val="00CF71D8"/>
    <w:rsid w:val="00CF7BCA"/>
    <w:rsid w:val="00D008FD"/>
    <w:rsid w:val="00D0321C"/>
    <w:rsid w:val="00D034CD"/>
    <w:rsid w:val="00D035EC"/>
    <w:rsid w:val="00D04041"/>
    <w:rsid w:val="00D04528"/>
    <w:rsid w:val="00D0640A"/>
    <w:rsid w:val="00D06AB1"/>
    <w:rsid w:val="00D06E73"/>
    <w:rsid w:val="00D06FC1"/>
    <w:rsid w:val="00D072ED"/>
    <w:rsid w:val="00D07A16"/>
    <w:rsid w:val="00D1067E"/>
    <w:rsid w:val="00D10F50"/>
    <w:rsid w:val="00D11272"/>
    <w:rsid w:val="00D126F5"/>
    <w:rsid w:val="00D14065"/>
    <w:rsid w:val="00D1489E"/>
    <w:rsid w:val="00D20737"/>
    <w:rsid w:val="00D21E81"/>
    <w:rsid w:val="00D223DE"/>
    <w:rsid w:val="00D249F3"/>
    <w:rsid w:val="00D25E37"/>
    <w:rsid w:val="00D2661A"/>
    <w:rsid w:val="00D27582"/>
    <w:rsid w:val="00D27D7E"/>
    <w:rsid w:val="00D27EC4"/>
    <w:rsid w:val="00D32719"/>
    <w:rsid w:val="00D33333"/>
    <w:rsid w:val="00D352A2"/>
    <w:rsid w:val="00D37D9C"/>
    <w:rsid w:val="00D4162B"/>
    <w:rsid w:val="00D42487"/>
    <w:rsid w:val="00D433B0"/>
    <w:rsid w:val="00D4514F"/>
    <w:rsid w:val="00D451E2"/>
    <w:rsid w:val="00D45E89"/>
    <w:rsid w:val="00D45E8D"/>
    <w:rsid w:val="00D466AE"/>
    <w:rsid w:val="00D4734F"/>
    <w:rsid w:val="00D50084"/>
    <w:rsid w:val="00D5113B"/>
    <w:rsid w:val="00D51BF3"/>
    <w:rsid w:val="00D52013"/>
    <w:rsid w:val="00D54AC5"/>
    <w:rsid w:val="00D6013C"/>
    <w:rsid w:val="00D61964"/>
    <w:rsid w:val="00D637DE"/>
    <w:rsid w:val="00D644D6"/>
    <w:rsid w:val="00D6576C"/>
    <w:rsid w:val="00D66846"/>
    <w:rsid w:val="00D66F97"/>
    <w:rsid w:val="00D675FB"/>
    <w:rsid w:val="00D71F25"/>
    <w:rsid w:val="00D72A9C"/>
    <w:rsid w:val="00D77031"/>
    <w:rsid w:val="00D81B14"/>
    <w:rsid w:val="00D83E96"/>
    <w:rsid w:val="00D84941"/>
    <w:rsid w:val="00D84FA1"/>
    <w:rsid w:val="00D851F0"/>
    <w:rsid w:val="00D86DB7"/>
    <w:rsid w:val="00D87BF5"/>
    <w:rsid w:val="00D90721"/>
    <w:rsid w:val="00D926D0"/>
    <w:rsid w:val="00D93030"/>
    <w:rsid w:val="00D950E1"/>
    <w:rsid w:val="00D952A6"/>
    <w:rsid w:val="00D95932"/>
    <w:rsid w:val="00D9788D"/>
    <w:rsid w:val="00D97F99"/>
    <w:rsid w:val="00DA1E08"/>
    <w:rsid w:val="00DA24F8"/>
    <w:rsid w:val="00DA28E8"/>
    <w:rsid w:val="00DA38D3"/>
    <w:rsid w:val="00DA3932"/>
    <w:rsid w:val="00DA3AFC"/>
    <w:rsid w:val="00DA47AF"/>
    <w:rsid w:val="00DA64F8"/>
    <w:rsid w:val="00DA6C15"/>
    <w:rsid w:val="00DB0258"/>
    <w:rsid w:val="00DB38EE"/>
    <w:rsid w:val="00DB3A55"/>
    <w:rsid w:val="00DB498B"/>
    <w:rsid w:val="00DB4F69"/>
    <w:rsid w:val="00DB5954"/>
    <w:rsid w:val="00DB66CA"/>
    <w:rsid w:val="00DB6BCA"/>
    <w:rsid w:val="00DB6F54"/>
    <w:rsid w:val="00DB73F7"/>
    <w:rsid w:val="00DC0321"/>
    <w:rsid w:val="00DC2366"/>
    <w:rsid w:val="00DC28DD"/>
    <w:rsid w:val="00DC3067"/>
    <w:rsid w:val="00DC370B"/>
    <w:rsid w:val="00DC5B90"/>
    <w:rsid w:val="00DC725F"/>
    <w:rsid w:val="00DC7FEB"/>
    <w:rsid w:val="00DD00FF"/>
    <w:rsid w:val="00DD0619"/>
    <w:rsid w:val="00DD07FB"/>
    <w:rsid w:val="00DD25C6"/>
    <w:rsid w:val="00DD4FE5"/>
    <w:rsid w:val="00DD54B0"/>
    <w:rsid w:val="00DD57EE"/>
    <w:rsid w:val="00DD5E40"/>
    <w:rsid w:val="00DD6BCC"/>
    <w:rsid w:val="00DD6CDE"/>
    <w:rsid w:val="00DD7FA3"/>
    <w:rsid w:val="00DE0A4B"/>
    <w:rsid w:val="00DE1CCF"/>
    <w:rsid w:val="00DE2410"/>
    <w:rsid w:val="00DE2939"/>
    <w:rsid w:val="00DE6E81"/>
    <w:rsid w:val="00DE703F"/>
    <w:rsid w:val="00DE7595"/>
    <w:rsid w:val="00DF02FB"/>
    <w:rsid w:val="00DF1961"/>
    <w:rsid w:val="00DF2681"/>
    <w:rsid w:val="00DF44DE"/>
    <w:rsid w:val="00DF4E9C"/>
    <w:rsid w:val="00E01138"/>
    <w:rsid w:val="00E02DFB"/>
    <w:rsid w:val="00E030F9"/>
    <w:rsid w:val="00E0311A"/>
    <w:rsid w:val="00E03138"/>
    <w:rsid w:val="00E04A9A"/>
    <w:rsid w:val="00E06404"/>
    <w:rsid w:val="00E11A85"/>
    <w:rsid w:val="00E12495"/>
    <w:rsid w:val="00E13839"/>
    <w:rsid w:val="00E15950"/>
    <w:rsid w:val="00E15CCD"/>
    <w:rsid w:val="00E202EF"/>
    <w:rsid w:val="00E210B5"/>
    <w:rsid w:val="00E225EB"/>
    <w:rsid w:val="00E2552F"/>
    <w:rsid w:val="00E27762"/>
    <w:rsid w:val="00E3137A"/>
    <w:rsid w:val="00E32CCF"/>
    <w:rsid w:val="00E34A98"/>
    <w:rsid w:val="00E35D1E"/>
    <w:rsid w:val="00E364F9"/>
    <w:rsid w:val="00E365FA"/>
    <w:rsid w:val="00E36789"/>
    <w:rsid w:val="00E36999"/>
    <w:rsid w:val="00E44A83"/>
    <w:rsid w:val="00E45C0C"/>
    <w:rsid w:val="00E502C1"/>
    <w:rsid w:val="00E502DD"/>
    <w:rsid w:val="00E50D3A"/>
    <w:rsid w:val="00E50E1C"/>
    <w:rsid w:val="00E51387"/>
    <w:rsid w:val="00E51E68"/>
    <w:rsid w:val="00E52EFD"/>
    <w:rsid w:val="00E5408A"/>
    <w:rsid w:val="00E56202"/>
    <w:rsid w:val="00E56800"/>
    <w:rsid w:val="00E60767"/>
    <w:rsid w:val="00E60C63"/>
    <w:rsid w:val="00E62FF9"/>
    <w:rsid w:val="00E635D6"/>
    <w:rsid w:val="00E639BC"/>
    <w:rsid w:val="00E6460C"/>
    <w:rsid w:val="00E64D6F"/>
    <w:rsid w:val="00E65592"/>
    <w:rsid w:val="00E664CC"/>
    <w:rsid w:val="00E66E73"/>
    <w:rsid w:val="00E70388"/>
    <w:rsid w:val="00E70F92"/>
    <w:rsid w:val="00E71DB5"/>
    <w:rsid w:val="00E74313"/>
    <w:rsid w:val="00E745B8"/>
    <w:rsid w:val="00E74B6E"/>
    <w:rsid w:val="00E74C54"/>
    <w:rsid w:val="00E77749"/>
    <w:rsid w:val="00E77A03"/>
    <w:rsid w:val="00E822E8"/>
    <w:rsid w:val="00E82554"/>
    <w:rsid w:val="00E82606"/>
    <w:rsid w:val="00E831C1"/>
    <w:rsid w:val="00E846C8"/>
    <w:rsid w:val="00E84957"/>
    <w:rsid w:val="00E84A55"/>
    <w:rsid w:val="00E85BFF"/>
    <w:rsid w:val="00E90391"/>
    <w:rsid w:val="00E906C2"/>
    <w:rsid w:val="00E916EB"/>
    <w:rsid w:val="00E9311F"/>
    <w:rsid w:val="00E934D1"/>
    <w:rsid w:val="00E94AF0"/>
    <w:rsid w:val="00E95D13"/>
    <w:rsid w:val="00E95DD3"/>
    <w:rsid w:val="00E96784"/>
    <w:rsid w:val="00E969D5"/>
    <w:rsid w:val="00EA5767"/>
    <w:rsid w:val="00EA58D1"/>
    <w:rsid w:val="00EA61BC"/>
    <w:rsid w:val="00EA681A"/>
    <w:rsid w:val="00EA735B"/>
    <w:rsid w:val="00EB03A6"/>
    <w:rsid w:val="00EB1BDC"/>
    <w:rsid w:val="00EB1E69"/>
    <w:rsid w:val="00EB2086"/>
    <w:rsid w:val="00EB31ED"/>
    <w:rsid w:val="00EB5EDF"/>
    <w:rsid w:val="00EB60FE"/>
    <w:rsid w:val="00EB74DB"/>
    <w:rsid w:val="00EC2643"/>
    <w:rsid w:val="00EC5279"/>
    <w:rsid w:val="00EC5359"/>
    <w:rsid w:val="00EC562A"/>
    <w:rsid w:val="00EC613C"/>
    <w:rsid w:val="00ED067A"/>
    <w:rsid w:val="00ED26A9"/>
    <w:rsid w:val="00ED26B6"/>
    <w:rsid w:val="00ED2B50"/>
    <w:rsid w:val="00ED6632"/>
    <w:rsid w:val="00ED7660"/>
    <w:rsid w:val="00EE0350"/>
    <w:rsid w:val="00EE0719"/>
    <w:rsid w:val="00EE0E80"/>
    <w:rsid w:val="00EE1DC8"/>
    <w:rsid w:val="00EE613F"/>
    <w:rsid w:val="00EE7061"/>
    <w:rsid w:val="00EE7295"/>
    <w:rsid w:val="00EE7869"/>
    <w:rsid w:val="00EF054A"/>
    <w:rsid w:val="00EF3235"/>
    <w:rsid w:val="00EF3C67"/>
    <w:rsid w:val="00EF7853"/>
    <w:rsid w:val="00EF7E72"/>
    <w:rsid w:val="00F0225E"/>
    <w:rsid w:val="00F03174"/>
    <w:rsid w:val="00F04C05"/>
    <w:rsid w:val="00F06536"/>
    <w:rsid w:val="00F06D37"/>
    <w:rsid w:val="00F07321"/>
    <w:rsid w:val="00F07B9D"/>
    <w:rsid w:val="00F11586"/>
    <w:rsid w:val="00F1183B"/>
    <w:rsid w:val="00F11C9F"/>
    <w:rsid w:val="00F12263"/>
    <w:rsid w:val="00F133E7"/>
    <w:rsid w:val="00F1409D"/>
    <w:rsid w:val="00F14214"/>
    <w:rsid w:val="00F157A9"/>
    <w:rsid w:val="00F16F00"/>
    <w:rsid w:val="00F2024D"/>
    <w:rsid w:val="00F202C2"/>
    <w:rsid w:val="00F20CB3"/>
    <w:rsid w:val="00F221FA"/>
    <w:rsid w:val="00F25BB6"/>
    <w:rsid w:val="00F26B7E"/>
    <w:rsid w:val="00F27A3B"/>
    <w:rsid w:val="00F32780"/>
    <w:rsid w:val="00F32C77"/>
    <w:rsid w:val="00F33096"/>
    <w:rsid w:val="00F33817"/>
    <w:rsid w:val="00F343C5"/>
    <w:rsid w:val="00F36B10"/>
    <w:rsid w:val="00F420D5"/>
    <w:rsid w:val="00F451EA"/>
    <w:rsid w:val="00F45447"/>
    <w:rsid w:val="00F456C6"/>
    <w:rsid w:val="00F4577B"/>
    <w:rsid w:val="00F46496"/>
    <w:rsid w:val="00F465CF"/>
    <w:rsid w:val="00F46EF4"/>
    <w:rsid w:val="00F474D0"/>
    <w:rsid w:val="00F4760A"/>
    <w:rsid w:val="00F50179"/>
    <w:rsid w:val="00F51398"/>
    <w:rsid w:val="00F515EE"/>
    <w:rsid w:val="00F53E10"/>
    <w:rsid w:val="00F5590C"/>
    <w:rsid w:val="00F561A0"/>
    <w:rsid w:val="00F56511"/>
    <w:rsid w:val="00F576E6"/>
    <w:rsid w:val="00F6194E"/>
    <w:rsid w:val="00F61B35"/>
    <w:rsid w:val="00F623AC"/>
    <w:rsid w:val="00F6412A"/>
    <w:rsid w:val="00F64998"/>
    <w:rsid w:val="00F65893"/>
    <w:rsid w:val="00F66A4A"/>
    <w:rsid w:val="00F67986"/>
    <w:rsid w:val="00F708F0"/>
    <w:rsid w:val="00F71A4F"/>
    <w:rsid w:val="00F71E22"/>
    <w:rsid w:val="00F72142"/>
    <w:rsid w:val="00F72AE7"/>
    <w:rsid w:val="00F826D3"/>
    <w:rsid w:val="00F828C1"/>
    <w:rsid w:val="00F833BA"/>
    <w:rsid w:val="00F84FD0"/>
    <w:rsid w:val="00F859A8"/>
    <w:rsid w:val="00F86D87"/>
    <w:rsid w:val="00F9108B"/>
    <w:rsid w:val="00F91349"/>
    <w:rsid w:val="00F91DF6"/>
    <w:rsid w:val="00F9336A"/>
    <w:rsid w:val="00F93A8A"/>
    <w:rsid w:val="00F93B13"/>
    <w:rsid w:val="00F94CF8"/>
    <w:rsid w:val="00F95248"/>
    <w:rsid w:val="00F95515"/>
    <w:rsid w:val="00F956A9"/>
    <w:rsid w:val="00F963ED"/>
    <w:rsid w:val="00F966CF"/>
    <w:rsid w:val="00F96CAE"/>
    <w:rsid w:val="00F97C99"/>
    <w:rsid w:val="00FA0925"/>
    <w:rsid w:val="00FA14B6"/>
    <w:rsid w:val="00FA40A0"/>
    <w:rsid w:val="00FA4E49"/>
    <w:rsid w:val="00FA662D"/>
    <w:rsid w:val="00FA73B1"/>
    <w:rsid w:val="00FB0CB9"/>
    <w:rsid w:val="00FB231D"/>
    <w:rsid w:val="00FB45F1"/>
    <w:rsid w:val="00FB4A72"/>
    <w:rsid w:val="00FB54E8"/>
    <w:rsid w:val="00FB7054"/>
    <w:rsid w:val="00FC17B7"/>
    <w:rsid w:val="00FC1C13"/>
    <w:rsid w:val="00FC1FB8"/>
    <w:rsid w:val="00FC2CB7"/>
    <w:rsid w:val="00FC4090"/>
    <w:rsid w:val="00FC409F"/>
    <w:rsid w:val="00FC5277"/>
    <w:rsid w:val="00FC52E4"/>
    <w:rsid w:val="00FC55B4"/>
    <w:rsid w:val="00FC5777"/>
    <w:rsid w:val="00FC76D7"/>
    <w:rsid w:val="00FD00E6"/>
    <w:rsid w:val="00FD09A1"/>
    <w:rsid w:val="00FD1C32"/>
    <w:rsid w:val="00FD2A7C"/>
    <w:rsid w:val="00FD40E3"/>
    <w:rsid w:val="00FD59EB"/>
    <w:rsid w:val="00FD7299"/>
    <w:rsid w:val="00FD7408"/>
    <w:rsid w:val="00FD7660"/>
    <w:rsid w:val="00FE1FBE"/>
    <w:rsid w:val="00FE3901"/>
    <w:rsid w:val="00FE39D3"/>
    <w:rsid w:val="00FE4BCE"/>
    <w:rsid w:val="00FE54AE"/>
    <w:rsid w:val="00FE576A"/>
    <w:rsid w:val="00FE7E79"/>
    <w:rsid w:val="00FE7FD2"/>
    <w:rsid w:val="00FF3E7D"/>
    <w:rsid w:val="00FF5B99"/>
    <w:rsid w:val="00FF730C"/>
    <w:rsid w:val="00FF73F4"/>
    <w:rsid w:val="00FF749E"/>
    <w:rsid w:val="00FF7CE4"/>
    <w:rsid w:val="00FF7E39"/>
    <w:rsid w:val="07C35693"/>
    <w:rsid w:val="08607386"/>
    <w:rsid w:val="0C477DCF"/>
    <w:rsid w:val="0EB2255C"/>
    <w:rsid w:val="0EF6765E"/>
    <w:rsid w:val="121B6B9B"/>
    <w:rsid w:val="1A985C07"/>
    <w:rsid w:val="1C9A4DF1"/>
    <w:rsid w:val="1CE12083"/>
    <w:rsid w:val="227E314C"/>
    <w:rsid w:val="23741448"/>
    <w:rsid w:val="26B119D0"/>
    <w:rsid w:val="271C37BA"/>
    <w:rsid w:val="296E036D"/>
    <w:rsid w:val="2A577058"/>
    <w:rsid w:val="2AD730BC"/>
    <w:rsid w:val="2E071E2B"/>
    <w:rsid w:val="30050247"/>
    <w:rsid w:val="319962F9"/>
    <w:rsid w:val="33B47554"/>
    <w:rsid w:val="354A647F"/>
    <w:rsid w:val="371231AB"/>
    <w:rsid w:val="3CF64782"/>
    <w:rsid w:val="3E4B6D3D"/>
    <w:rsid w:val="3E6764A5"/>
    <w:rsid w:val="3FB41E27"/>
    <w:rsid w:val="408B2F58"/>
    <w:rsid w:val="40C00C32"/>
    <w:rsid w:val="4290703B"/>
    <w:rsid w:val="48253014"/>
    <w:rsid w:val="4A3A309A"/>
    <w:rsid w:val="4CE51C23"/>
    <w:rsid w:val="4D6D7F34"/>
    <w:rsid w:val="54EA7388"/>
    <w:rsid w:val="5573405C"/>
    <w:rsid w:val="57513975"/>
    <w:rsid w:val="57A203EE"/>
    <w:rsid w:val="59EB4145"/>
    <w:rsid w:val="5B415B12"/>
    <w:rsid w:val="5C240A70"/>
    <w:rsid w:val="5CE44854"/>
    <w:rsid w:val="5D10213C"/>
    <w:rsid w:val="5F594834"/>
    <w:rsid w:val="64212F4C"/>
    <w:rsid w:val="64F8437E"/>
    <w:rsid w:val="655248EE"/>
    <w:rsid w:val="678113E5"/>
    <w:rsid w:val="6810325A"/>
    <w:rsid w:val="6AA920AB"/>
    <w:rsid w:val="72845B51"/>
    <w:rsid w:val="752C02B6"/>
    <w:rsid w:val="75490B96"/>
    <w:rsid w:val="7C166E70"/>
    <w:rsid w:val="7F913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spacing w:before="280" w:after="290" w:line="376" w:lineRule="auto"/>
      <w:outlineLvl w:val="4"/>
    </w:pPr>
    <w:rPr>
      <w:b/>
      <w:bCs/>
      <w:sz w:val="28"/>
      <w:szCs w:val="28"/>
    </w:rPr>
  </w:style>
  <w:style w:type="paragraph" w:styleId="7">
    <w:name w:val="heading 6"/>
    <w:basedOn w:val="1"/>
    <w:next w:val="1"/>
    <w:link w:val="42"/>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spacing w:before="240" w:after="64" w:line="320" w:lineRule="auto"/>
      <w:outlineLvl w:val="6"/>
    </w:pPr>
    <w:rPr>
      <w:b/>
      <w:bCs/>
      <w:sz w:val="24"/>
      <w:szCs w:val="24"/>
    </w:rPr>
  </w:style>
  <w:style w:type="paragraph" w:styleId="9">
    <w:name w:val="heading 8"/>
    <w:basedOn w:val="1"/>
    <w:next w:val="1"/>
    <w:link w:val="44"/>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spacing w:before="240" w:after="64" w:line="320" w:lineRule="auto"/>
      <w:outlineLvl w:val="8"/>
    </w:pPr>
    <w:rPr>
      <w:rFonts w:ascii="Arial" w:hAnsi="Arial" w:eastAsia="黑体"/>
    </w:rPr>
  </w:style>
  <w:style w:type="character" w:default="1" w:styleId="30">
    <w:name w:val="Default Paragraph Font"/>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snapToGrid w:val="0"/>
      <w:jc w:val="right"/>
    </w:pPr>
    <w:rPr>
      <w:rFonts w:ascii="宋体"/>
      <w:sz w:val="18"/>
      <w:szCs w:val="18"/>
    </w:rPr>
  </w:style>
  <w:style w:type="paragraph" w:styleId="19">
    <w:name w:val="header"/>
    <w:basedOn w:val="1"/>
    <w:link w:val="46"/>
    <w:qFormat/>
    <w:uiPriority w:val="99"/>
    <w:pPr>
      <w:tabs>
        <w:tab w:val="center" w:pos="4153"/>
        <w:tab w:val="right" w:pos="8306"/>
      </w:tabs>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snapToGrid w:val="0"/>
      <w:spacing w:line="300" w:lineRule="exact"/>
      <w:ind w:left="400" w:leftChars="200" w:hanging="200" w:hangingChars="200"/>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jc w:val="center"/>
    </w:pPr>
    <w:rPr>
      <w:rFonts w:ascii="黑体" w:eastAsia="黑体"/>
      <w:kern w:val="0"/>
      <w:sz w:val="52"/>
    </w:rPr>
  </w:style>
  <w:style w:type="paragraph" w:customStyle="1" w:styleId="74">
    <w:name w:val="标准文件_封面标准英文名称"/>
    <w:basedOn w:val="1"/>
    <w:qFormat/>
    <w:uiPriority w:val="0"/>
    <w:pPr>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snapToGrid/>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ordWrap w:val="0"/>
      <w:overflowPunct w:val="0"/>
      <w:autoSpaceDE w:val="0"/>
      <w:autoSpaceDN w:val="0"/>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rPr>
      <w:bCs/>
      <w:iCs/>
    </w:rPr>
  </w:style>
  <w:style w:type="paragraph" w:customStyle="1" w:styleId="146">
    <w:name w:val="目录 31"/>
    <w:basedOn w:val="1"/>
    <w:next w:val="1"/>
    <w:semiHidden/>
    <w:qFormat/>
    <w:uiPriority w:val="0"/>
    <w:rPr>
      <w:rFonts w:ascii="宋体" w:hAnsi="宋体"/>
      <w:iCs/>
    </w:rPr>
  </w:style>
  <w:style w:type="paragraph" w:customStyle="1" w:styleId="147">
    <w:name w:val="目录 41"/>
    <w:basedOn w:val="1"/>
    <w:next w:val="1"/>
    <w:semiHidden/>
    <w:qFormat/>
    <w:uiPriority w:val="0"/>
  </w:style>
  <w:style w:type="paragraph" w:customStyle="1" w:styleId="148">
    <w:name w:val="目录 51"/>
    <w:basedOn w:val="1"/>
    <w:next w:val="1"/>
    <w:semiHidden/>
    <w:qFormat/>
    <w:uiPriority w:val="0"/>
    <w:rPr>
      <w:rFonts w:ascii="宋体" w:hAnsi="宋体"/>
    </w:rPr>
  </w:style>
  <w:style w:type="paragraph" w:customStyle="1" w:styleId="149">
    <w:name w:val="目录 61"/>
    <w:basedOn w:val="1"/>
    <w:next w:val="1"/>
    <w:semiHidden/>
    <w:qFormat/>
    <w:uiPriority w:val="0"/>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pPr>
    <w:rPr>
      <w:szCs w:val="24"/>
    </w:rPr>
  </w:style>
  <w:style w:type="paragraph" w:customStyle="1" w:styleId="162">
    <w:name w:val="一级无标题条"/>
    <w:basedOn w:val="1"/>
    <w:qFormat/>
    <w:uiPriority w:val="0"/>
    <w:pPr>
      <w:numPr>
        <w:ilvl w:val="2"/>
        <w:numId w:val="20"/>
      </w:numPr>
      <w:spacing w:before="10" w:after="10"/>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numPr>
        <w:ilvl w:val="0"/>
        <w:numId w:val="29"/>
      </w:numPr>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styleId="235">
    <w:name w:val="List Paragraph"/>
    <w:basedOn w:val="1"/>
    <w:qFormat/>
    <w:uiPriority w:val="99"/>
    <w:pPr>
      <w:ind w:firstLine="420" w:firstLineChars="200"/>
    </w:pPr>
  </w:style>
  <w:style w:type="paragraph" w:customStyle="1" w:styleId="236">
    <w:name w:val="ds-markdown-paragraph"/>
    <w:basedOn w:val="1"/>
    <w:qFormat/>
    <w:uiPriority w:val="0"/>
    <w:pPr>
      <w:spacing w:before="100" w:beforeAutospacing="1" w:after="100" w:afterAutospacing="1"/>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F0EF43A3B34C268A07D989C36D1384"/>
        <w:style w:val=""/>
        <w:category>
          <w:name w:val="常规"/>
          <w:gallery w:val="placeholder"/>
        </w:category>
        <w:types>
          <w:type w:val="bbPlcHdr"/>
        </w:types>
        <w:behaviors>
          <w:behavior w:val="content"/>
        </w:behaviors>
        <w:description w:val=""/>
        <w:guid w:val="{5AF2252A-4FA8-4C75-B96D-5585BEE9A673}"/>
      </w:docPartPr>
      <w:docPartBody>
        <w:p w14:paraId="3C2C621D">
          <w:pPr>
            <w:pStyle w:val="5"/>
            <w:rPr>
              <w:rFonts w:hint="eastAsia"/>
            </w:rPr>
          </w:pPr>
          <w:r>
            <w:rPr>
              <w:rStyle w:val="4"/>
              <w:rFonts w:hint="eastAsia"/>
            </w:rPr>
            <w:t>单击或点击此处输入文字。</w:t>
          </w:r>
        </w:p>
      </w:docPartBody>
    </w:docPart>
    <w:docPart>
      <w:docPartPr>
        <w:name w:val="466FA48B240D4E29A14CC12E4D39C856"/>
        <w:style w:val=""/>
        <w:category>
          <w:name w:val="常规"/>
          <w:gallery w:val="placeholder"/>
        </w:category>
        <w:types>
          <w:type w:val="bbPlcHdr"/>
        </w:types>
        <w:behaviors>
          <w:behavior w:val="content"/>
        </w:behaviors>
        <w:description w:val=""/>
        <w:guid w:val="{590E7D88-5F02-489E-A20A-ED69DE8F983C}"/>
      </w:docPartPr>
      <w:docPartBody>
        <w:p w14:paraId="513693A3">
          <w:pPr>
            <w:pStyle w:val="6"/>
            <w:rPr>
              <w:rFonts w:hint="eastAsia"/>
            </w:rPr>
          </w:pPr>
          <w:r>
            <w:rPr>
              <w:rStyle w:val="4"/>
              <w:rFonts w:hint="eastAsia"/>
            </w:rPr>
            <w:t>选择一项。</w:t>
          </w:r>
        </w:p>
      </w:docPartBody>
    </w:docPart>
    <w:docPart>
      <w:docPartPr>
        <w:name w:val="DD9E82EC29CB4442A74198B8506D1AE0"/>
        <w:style w:val=""/>
        <w:category>
          <w:name w:val="常规"/>
          <w:gallery w:val="placeholder"/>
        </w:category>
        <w:types>
          <w:type w:val="bbPlcHdr"/>
        </w:types>
        <w:behaviors>
          <w:behavior w:val="content"/>
        </w:behaviors>
        <w:description w:val=""/>
        <w:guid w:val="{8232064E-6853-4F52-AB14-3CAF755D9FB1}"/>
      </w:docPartPr>
      <w:docPartBody>
        <w:p w14:paraId="6A09DB6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A5F"/>
    <w:rsid w:val="00051B10"/>
    <w:rsid w:val="00106DA0"/>
    <w:rsid w:val="002778B6"/>
    <w:rsid w:val="002B6283"/>
    <w:rsid w:val="002E7F3C"/>
    <w:rsid w:val="003142F6"/>
    <w:rsid w:val="00327D39"/>
    <w:rsid w:val="004740F2"/>
    <w:rsid w:val="00486EA7"/>
    <w:rsid w:val="004E63B8"/>
    <w:rsid w:val="004F22CA"/>
    <w:rsid w:val="00554CE8"/>
    <w:rsid w:val="005C7E3A"/>
    <w:rsid w:val="007516DA"/>
    <w:rsid w:val="007C1EBE"/>
    <w:rsid w:val="007E53AE"/>
    <w:rsid w:val="00837181"/>
    <w:rsid w:val="00851F3C"/>
    <w:rsid w:val="008A23E7"/>
    <w:rsid w:val="0094282B"/>
    <w:rsid w:val="00963A5F"/>
    <w:rsid w:val="009C2F8B"/>
    <w:rsid w:val="00A337EE"/>
    <w:rsid w:val="00A505EF"/>
    <w:rsid w:val="00A72F53"/>
    <w:rsid w:val="00A85DEB"/>
    <w:rsid w:val="00AA1933"/>
    <w:rsid w:val="00AF769B"/>
    <w:rsid w:val="00BD77F6"/>
    <w:rsid w:val="00C91097"/>
    <w:rsid w:val="00CA0844"/>
    <w:rsid w:val="00D05209"/>
    <w:rsid w:val="00D25482"/>
    <w:rsid w:val="00DE48F8"/>
    <w:rsid w:val="00DF3D90"/>
    <w:rsid w:val="00E55BD0"/>
    <w:rsid w:val="00E6460C"/>
    <w:rsid w:val="00EA5BD7"/>
    <w:rsid w:val="00EB595F"/>
    <w:rsid w:val="00FA2E9D"/>
    <w:rsid w:val="00FA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1F0EF43A3B34C268A07D989C36D13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66FA48B240D4E29A14CC12E4D39C8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D9E82EC29CB4442A74198B8506D1AE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774398-1741-405A-9888-BC245B7E0A0E}">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4019</Words>
  <Characters>4409</Characters>
  <Lines>204</Lines>
  <Paragraphs>254</Paragraphs>
  <TotalTime>1382</TotalTime>
  <ScaleCrop>false</ScaleCrop>
  <LinksUpToDate>false</LinksUpToDate>
  <CharactersWithSpaces>4575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2025-03-20T02:54:00Z</dcterms:created>
  <dc:creator>USER</dc:creator>
  <cp:lastModifiedBy>树年强</cp:lastModifiedBy>
  <cp:lastPrinted>2021-02-02T08:22:00Z</cp:lastPrinted>
  <dcterms:modified xsi:type="dcterms:W3CDTF">2026-04-30T07:13:58Z</dcterms:modified>
  <dc:title>团体标准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2052-12.1.0.25865</vt:lpwstr>
  </property>
  <property fmtid="{D5CDD505-2E9C-101B-9397-08002B2CF9AE}" pid="16" name="ICV">
    <vt:lpwstr>1B40DCBE7C764162AF3D23FE89FE39A5_13</vt:lpwstr>
  </property>
  <property fmtid="{D5CDD505-2E9C-101B-9397-08002B2CF9AE}" pid="17" name="DoublePage">
    <vt:lpwstr>true</vt:lpwstr>
  </property>
</Properties>
</file>