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85B2C">
      <w:pPr>
        <w:jc w:val="center"/>
        <w:rPr>
          <w:rFonts w:hint="eastAsia" w:ascii="微软雅黑" w:eastAsia="微软雅黑" w:cs="仿宋_GB2312"/>
          <w:bCs/>
          <w:color w:val="auto"/>
          <w:sz w:val="36"/>
          <w:szCs w:val="32"/>
        </w:rPr>
      </w:pPr>
      <w:r>
        <w:rPr>
          <w:rFonts w:hint="eastAsia" w:ascii="微软雅黑" w:eastAsia="微软雅黑" w:cs="仿宋_GB2312"/>
          <w:bCs/>
          <w:color w:val="auto"/>
          <w:sz w:val="36"/>
          <w:szCs w:val="32"/>
          <w:lang w:eastAsia="zh-CN"/>
        </w:rPr>
        <w:t>团体标准</w:t>
      </w:r>
      <w:r>
        <w:rPr>
          <w:rFonts w:hint="eastAsia" w:ascii="微软雅黑" w:eastAsia="微软雅黑" w:cs="仿宋_GB2312"/>
          <w:bCs/>
          <w:color w:val="auto"/>
          <w:sz w:val="36"/>
          <w:szCs w:val="32"/>
        </w:rPr>
        <w:t>《成人慢性伤口负压伤口治疗（NPWT）护理操作规范》（</w:t>
      </w:r>
      <w:r>
        <w:rPr>
          <w:rFonts w:hint="eastAsia" w:ascii="微软雅黑" w:eastAsia="微软雅黑" w:cs="仿宋_GB2312"/>
          <w:bCs/>
          <w:color w:val="auto"/>
          <w:sz w:val="36"/>
          <w:szCs w:val="32"/>
          <w:lang w:val="en-US" w:eastAsia="zh-CN"/>
        </w:rPr>
        <w:t>征求意见</w:t>
      </w:r>
      <w:r>
        <w:rPr>
          <w:rFonts w:hint="eastAsia" w:ascii="微软雅黑" w:eastAsia="微软雅黑" w:cs="仿宋_GB2312"/>
          <w:bCs/>
          <w:color w:val="auto"/>
          <w:sz w:val="36"/>
          <w:szCs w:val="32"/>
        </w:rPr>
        <w:t>稿）编制说明</w:t>
      </w:r>
    </w:p>
    <w:p w14:paraId="5C534F24">
      <w:pPr>
        <w:jc w:val="center"/>
        <w:rPr>
          <w:rFonts w:hint="eastAsia" w:ascii="微软雅黑" w:eastAsia="微软雅黑"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w:t>
      </w:r>
    </w:p>
    <w:p w14:paraId="5068164A">
      <w:pPr>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rPr>
        <w:t>根据《广西标准化协会关于下达202</w:t>
      </w:r>
      <w:r>
        <w:rPr>
          <w:rFonts w:hint="eastAsia" w:ascii="仿宋_GB2312" w:hAnsi="宋体" w:eastAsia="仿宋_GB2312"/>
          <w:sz w:val="32"/>
          <w:szCs w:val="28"/>
          <w:lang w:val="en-US" w:eastAsia="zh-CN"/>
        </w:rPr>
        <w:t>6</w:t>
      </w:r>
      <w:r>
        <w:rPr>
          <w:rFonts w:hint="eastAsia" w:ascii="仿宋_GB2312" w:hAnsi="宋体" w:eastAsia="仿宋_GB2312"/>
          <w:sz w:val="32"/>
          <w:szCs w:val="28"/>
        </w:rPr>
        <w:t>年第</w:t>
      </w:r>
      <w:r>
        <w:rPr>
          <w:rFonts w:hint="eastAsia" w:ascii="仿宋_GB2312" w:hAnsi="宋体" w:eastAsia="仿宋_GB2312"/>
          <w:sz w:val="32"/>
          <w:szCs w:val="28"/>
          <w:lang w:val="en-US" w:eastAsia="zh-CN"/>
        </w:rPr>
        <w:t>七</w:t>
      </w:r>
      <w:r>
        <w:rPr>
          <w:rFonts w:hint="eastAsia" w:ascii="仿宋_GB2312" w:hAnsi="宋体" w:eastAsia="仿宋_GB2312"/>
          <w:sz w:val="32"/>
          <w:szCs w:val="28"/>
        </w:rPr>
        <w:t>批团体标准制修订项目计划的通知》（桂标协〔202</w:t>
      </w:r>
      <w:r>
        <w:rPr>
          <w:rFonts w:hint="eastAsia" w:ascii="仿宋_GB2312" w:hAnsi="宋体" w:eastAsia="仿宋_GB2312"/>
          <w:sz w:val="32"/>
          <w:szCs w:val="28"/>
          <w:lang w:val="en-US" w:eastAsia="zh-CN"/>
        </w:rPr>
        <w:t>6</w:t>
      </w:r>
      <w:r>
        <w:rPr>
          <w:rFonts w:hint="eastAsia" w:ascii="仿宋_GB2312" w:hAnsi="宋体" w:eastAsia="仿宋_GB2312"/>
          <w:sz w:val="32"/>
          <w:szCs w:val="28"/>
        </w:rPr>
        <w:t>〕</w:t>
      </w:r>
      <w:r>
        <w:rPr>
          <w:rFonts w:hint="eastAsia" w:ascii="仿宋_GB2312" w:hAnsi="宋体" w:eastAsia="仿宋_GB2312"/>
          <w:sz w:val="32"/>
          <w:szCs w:val="28"/>
          <w:lang w:val="en-US" w:eastAsia="zh-CN"/>
        </w:rPr>
        <w:t>76</w:t>
      </w:r>
      <w:r>
        <w:rPr>
          <w:rFonts w:hint="eastAsia" w:ascii="仿宋_GB2312" w:hAnsi="宋体" w:eastAsia="仿宋_GB2312"/>
          <w:sz w:val="32"/>
          <w:szCs w:val="28"/>
        </w:rPr>
        <w:t>号）文件精神，由</w:t>
      </w:r>
      <w:r>
        <w:rPr>
          <w:rFonts w:hint="eastAsia" w:ascii="仿宋_GB2312" w:hAnsi="宋体" w:eastAsia="仿宋_GB2312"/>
          <w:sz w:val="32"/>
          <w:szCs w:val="28"/>
          <w:lang w:val="en-US" w:eastAsia="zh-CN"/>
        </w:rPr>
        <w:t>柳州市工人医院</w:t>
      </w:r>
      <w:r>
        <w:rPr>
          <w:rFonts w:hint="eastAsia" w:ascii="仿宋_GB2312" w:hAnsi="宋体" w:eastAsia="仿宋_GB2312"/>
          <w:sz w:val="32"/>
          <w:szCs w:val="28"/>
        </w:rPr>
        <w:t>提出，</w:t>
      </w:r>
      <w:r>
        <w:rPr>
          <w:rFonts w:hint="eastAsia" w:ascii="仿宋_GB2312" w:hAnsi="宋体" w:eastAsia="仿宋_GB2312"/>
          <w:sz w:val="32"/>
          <w:szCs w:val="28"/>
          <w:lang w:val="en-US" w:eastAsia="zh-CN"/>
        </w:rPr>
        <w:t>柳州市工人医院、中国人民解放军陆军军医大学第一附属医院、首都医科大学附属北京同仁医院、广西医科大学第一附属医院、广西医科大学附属肿瘤医院、桂林医科大学第一附属医院、玉林市第一人民医院</w:t>
      </w:r>
      <w:r>
        <w:rPr>
          <w:rFonts w:hint="eastAsia" w:ascii="仿宋_GB2312" w:hAnsi="宋体" w:eastAsia="仿宋_GB2312"/>
          <w:sz w:val="32"/>
          <w:szCs w:val="28"/>
        </w:rPr>
        <w:t>等单位共同起草的团体标准《成人慢性伤口负压伤口治疗（NPWT）护理操作规范》（项目编号：202</w:t>
      </w:r>
      <w:r>
        <w:rPr>
          <w:rFonts w:hint="eastAsia" w:ascii="仿宋_GB2312" w:hAnsi="宋体" w:eastAsia="仿宋_GB2312"/>
          <w:sz w:val="32"/>
          <w:szCs w:val="28"/>
          <w:lang w:val="en-US" w:eastAsia="zh-CN"/>
        </w:rPr>
        <w:t>6</w:t>
      </w:r>
      <w:r>
        <w:rPr>
          <w:rFonts w:hint="eastAsia" w:ascii="仿宋_GB2312" w:hAnsi="宋体" w:eastAsia="仿宋_GB2312"/>
          <w:sz w:val="32"/>
          <w:szCs w:val="28"/>
        </w:rPr>
        <w:t>-</w:t>
      </w:r>
      <w:r>
        <w:rPr>
          <w:rFonts w:hint="eastAsia" w:ascii="仿宋_GB2312" w:hAnsi="宋体" w:eastAsia="仿宋_GB2312"/>
          <w:sz w:val="32"/>
          <w:szCs w:val="28"/>
          <w:lang w:val="en-US" w:eastAsia="zh-CN"/>
        </w:rPr>
        <w:t>0732</w:t>
      </w:r>
      <w:r>
        <w:rPr>
          <w:rFonts w:hint="eastAsia" w:ascii="仿宋_GB2312" w:hAnsi="宋体" w:eastAsia="仿宋_GB2312"/>
          <w:sz w:val="32"/>
          <w:szCs w:val="28"/>
        </w:rPr>
        <w:t>），已获立项</w:t>
      </w:r>
      <w:r>
        <w:rPr>
          <w:rFonts w:hint="eastAsia" w:ascii="仿宋_GB2312" w:hAnsi="宋体" w:eastAsia="仿宋_GB2312"/>
          <w:sz w:val="32"/>
          <w:szCs w:val="28"/>
          <w:lang w:eastAsia="zh-CN"/>
        </w:rPr>
        <w:t>。</w:t>
      </w:r>
    </w:p>
    <w:p w14:paraId="6A4D7317">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为高质量编制团体标准《成人慢性伤口负压伤口治疗（NPWT）护理操作规范》，标准起草小组并进行如下分工：</w:t>
      </w:r>
    </w:p>
    <w:tbl>
      <w:tblPr>
        <w:tblStyle w:val="16"/>
        <w:tblW w:w="5150" w:type="pct"/>
        <w:tblInd w:w="-15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500"/>
        <w:gridCol w:w="1717"/>
        <w:gridCol w:w="1942"/>
        <w:gridCol w:w="3142"/>
      </w:tblGrid>
      <w:tr w14:paraId="315789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bottom w:val="single" w:color="auto" w:sz="4" w:space="0"/>
            </w:tcBorders>
            <w:noWrap w:val="0"/>
            <w:vAlign w:val="center"/>
          </w:tcPr>
          <w:p w14:paraId="0062156F">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姓名</w:t>
            </w:r>
          </w:p>
        </w:tc>
        <w:tc>
          <w:tcPr>
            <w:tcW w:w="793" w:type="pct"/>
            <w:tcBorders>
              <w:top w:val="single" w:color="auto" w:sz="4" w:space="0"/>
              <w:bottom w:val="single" w:color="auto" w:sz="4" w:space="0"/>
            </w:tcBorders>
            <w:noWrap w:val="0"/>
            <w:vAlign w:val="center"/>
          </w:tcPr>
          <w:p w14:paraId="6897CC88">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职务/职称</w:t>
            </w:r>
          </w:p>
        </w:tc>
        <w:tc>
          <w:tcPr>
            <w:tcW w:w="908" w:type="pct"/>
            <w:tcBorders>
              <w:top w:val="single" w:color="auto" w:sz="4" w:space="0"/>
              <w:bottom w:val="single" w:color="auto" w:sz="4" w:space="0"/>
            </w:tcBorders>
            <w:noWrap w:val="0"/>
            <w:vAlign w:val="center"/>
          </w:tcPr>
          <w:p w14:paraId="33DA0D7D">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从事专业</w:t>
            </w:r>
          </w:p>
        </w:tc>
        <w:tc>
          <w:tcPr>
            <w:tcW w:w="1027" w:type="pct"/>
            <w:tcBorders>
              <w:top w:val="single" w:color="auto" w:sz="4" w:space="0"/>
              <w:bottom w:val="single" w:color="auto" w:sz="4" w:space="0"/>
            </w:tcBorders>
            <w:noWrap w:val="0"/>
            <w:vAlign w:val="center"/>
          </w:tcPr>
          <w:p w14:paraId="24C40FA4">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工作单位</w:t>
            </w:r>
          </w:p>
        </w:tc>
        <w:tc>
          <w:tcPr>
            <w:tcW w:w="1661" w:type="pct"/>
            <w:tcBorders>
              <w:top w:val="single" w:color="auto" w:sz="4" w:space="0"/>
              <w:bottom w:val="single" w:color="auto" w:sz="4" w:space="0"/>
            </w:tcBorders>
            <w:noWrap w:val="0"/>
            <w:vAlign w:val="center"/>
          </w:tcPr>
          <w:p w14:paraId="183D16C6">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责任分工</w:t>
            </w:r>
          </w:p>
        </w:tc>
      </w:tr>
      <w:tr w14:paraId="75BF8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617655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宋蕊</w:t>
            </w:r>
          </w:p>
        </w:tc>
        <w:tc>
          <w:tcPr>
            <w:tcW w:w="793" w:type="pct"/>
            <w:tcBorders>
              <w:top w:val="single" w:color="auto" w:sz="4" w:space="0"/>
              <w:bottom w:val="single" w:color="auto" w:sz="4" w:space="0"/>
            </w:tcBorders>
            <w:noWrap w:val="0"/>
            <w:vAlign w:val="center"/>
          </w:tcPr>
          <w:p w14:paraId="676962A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护士长/副主任护师</w:t>
            </w:r>
          </w:p>
        </w:tc>
        <w:tc>
          <w:tcPr>
            <w:tcW w:w="908" w:type="pct"/>
            <w:tcBorders>
              <w:top w:val="single" w:color="auto" w:sz="4" w:space="0"/>
              <w:bottom w:val="single" w:color="auto" w:sz="4" w:space="0"/>
            </w:tcBorders>
            <w:noWrap w:val="0"/>
            <w:vAlign w:val="center"/>
          </w:tcPr>
          <w:p w14:paraId="6F2EBF3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烧伤整形创面修复、伤口造口失禁护理</w:t>
            </w:r>
          </w:p>
        </w:tc>
        <w:tc>
          <w:tcPr>
            <w:tcW w:w="1027" w:type="pct"/>
            <w:tcBorders>
              <w:top w:val="single" w:color="auto" w:sz="4" w:space="0"/>
              <w:bottom w:val="single" w:color="auto" w:sz="4" w:space="0"/>
            </w:tcBorders>
            <w:noWrap w:val="0"/>
            <w:vAlign w:val="center"/>
          </w:tcPr>
          <w:p w14:paraId="282E9AB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023AA4E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226BF2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054004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刘小春</w:t>
            </w:r>
          </w:p>
        </w:tc>
        <w:tc>
          <w:tcPr>
            <w:tcW w:w="793" w:type="pct"/>
            <w:tcBorders>
              <w:top w:val="single" w:color="auto" w:sz="4" w:space="0"/>
              <w:bottom w:val="single" w:color="auto" w:sz="4" w:space="0"/>
            </w:tcBorders>
            <w:noWrap w:val="0"/>
            <w:vAlign w:val="center"/>
          </w:tcPr>
          <w:p w14:paraId="09C3F90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护理部主任</w:t>
            </w: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247393D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外科护理、护理管理</w:t>
            </w:r>
          </w:p>
        </w:tc>
        <w:tc>
          <w:tcPr>
            <w:tcW w:w="1027" w:type="pct"/>
            <w:tcBorders>
              <w:top w:val="single" w:color="auto" w:sz="4" w:space="0"/>
              <w:bottom w:val="single" w:color="auto" w:sz="4" w:space="0"/>
            </w:tcBorders>
            <w:noWrap w:val="0"/>
            <w:vAlign w:val="center"/>
          </w:tcPr>
          <w:p w14:paraId="0DB5E65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057A8D5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tr w14:paraId="2983C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101F4CB">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kern w:val="2"/>
                <w:sz w:val="24"/>
                <w:szCs w:val="24"/>
                <w:highlight w:val="none"/>
                <w:lang w:val="en-US" w:eastAsia="zh-CN" w:bidi="ar"/>
              </w:rPr>
              <w:t>韦瑞丽</w:t>
            </w:r>
          </w:p>
        </w:tc>
        <w:tc>
          <w:tcPr>
            <w:tcW w:w="793" w:type="pct"/>
            <w:tcBorders>
              <w:top w:val="single" w:color="auto" w:sz="4" w:space="0"/>
              <w:bottom w:val="single" w:color="auto" w:sz="4" w:space="0"/>
            </w:tcBorders>
            <w:noWrap w:val="0"/>
            <w:vAlign w:val="center"/>
          </w:tcPr>
          <w:p w14:paraId="15BC256D">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护士长/主任护师</w:t>
            </w:r>
          </w:p>
        </w:tc>
        <w:tc>
          <w:tcPr>
            <w:tcW w:w="908" w:type="pct"/>
            <w:tcBorders>
              <w:top w:val="single" w:color="auto" w:sz="4" w:space="0"/>
              <w:bottom w:val="single" w:color="auto" w:sz="4" w:space="0"/>
            </w:tcBorders>
            <w:noWrap w:val="0"/>
            <w:vAlign w:val="center"/>
          </w:tcPr>
          <w:p w14:paraId="5D224BA5">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伤口造口失禁护理</w:t>
            </w:r>
          </w:p>
        </w:tc>
        <w:tc>
          <w:tcPr>
            <w:tcW w:w="1027" w:type="pct"/>
            <w:tcBorders>
              <w:top w:val="single" w:color="auto" w:sz="4" w:space="0"/>
              <w:bottom w:val="single" w:color="auto" w:sz="4" w:space="0"/>
            </w:tcBorders>
            <w:noWrap w:val="0"/>
            <w:vAlign w:val="center"/>
          </w:tcPr>
          <w:p w14:paraId="76B9BE9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eastAsia="仿宋_GB2312"/>
                <w:sz w:val="24"/>
                <w:szCs w:val="24"/>
                <w:lang w:val="en-US" w:eastAsia="zh-CN"/>
              </w:rPr>
              <w:t>广西医科大学第一附属医院</w:t>
            </w:r>
          </w:p>
        </w:tc>
        <w:tc>
          <w:tcPr>
            <w:tcW w:w="1661" w:type="pct"/>
            <w:tcBorders>
              <w:top w:val="single" w:color="auto" w:sz="4" w:space="0"/>
              <w:bottom w:val="single" w:color="auto" w:sz="4" w:space="0"/>
              <w:right w:val="single" w:color="auto" w:sz="4" w:space="0"/>
            </w:tcBorders>
            <w:noWrap w:val="0"/>
            <w:vAlign w:val="center"/>
          </w:tcPr>
          <w:p w14:paraId="29C2B71A">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D369E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63ABA4EA">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周丹</w:t>
            </w:r>
          </w:p>
        </w:tc>
        <w:tc>
          <w:tcPr>
            <w:tcW w:w="793" w:type="pct"/>
            <w:tcBorders>
              <w:top w:val="single" w:color="auto" w:sz="4" w:space="0"/>
              <w:bottom w:val="single" w:color="auto" w:sz="4" w:space="0"/>
            </w:tcBorders>
            <w:noWrap w:val="0"/>
            <w:vAlign w:val="center"/>
          </w:tcPr>
          <w:p w14:paraId="561FA5E5">
            <w:pPr>
              <w:keepNext w:val="0"/>
              <w:keepLines w:val="0"/>
              <w:suppressLineNumbers w:val="0"/>
              <w:spacing w:before="0" w:beforeAutospacing="0" w:after="0" w:afterAutospacing="0"/>
              <w:ind w:left="0" w:right="0"/>
              <w:jc w:val="both"/>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科护士长</w:t>
            </w: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65C1E77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创伤骨科</w:t>
            </w:r>
          </w:p>
        </w:tc>
        <w:tc>
          <w:tcPr>
            <w:tcW w:w="1027" w:type="pct"/>
            <w:tcBorders>
              <w:top w:val="single" w:color="auto" w:sz="4" w:space="0"/>
              <w:bottom w:val="single" w:color="auto" w:sz="4" w:space="0"/>
            </w:tcBorders>
            <w:noWrap w:val="0"/>
            <w:vAlign w:val="center"/>
          </w:tcPr>
          <w:p w14:paraId="764CF5D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1641B92F">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1B37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27E5AA6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王彤华</w:t>
            </w:r>
          </w:p>
        </w:tc>
        <w:tc>
          <w:tcPr>
            <w:tcW w:w="793" w:type="pct"/>
            <w:tcBorders>
              <w:top w:val="single" w:color="auto" w:sz="4" w:space="0"/>
              <w:bottom w:val="single" w:color="auto" w:sz="4" w:space="0"/>
            </w:tcBorders>
            <w:noWrap w:val="0"/>
            <w:vAlign w:val="center"/>
          </w:tcPr>
          <w:p w14:paraId="38A0966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主任护师</w:t>
            </w:r>
          </w:p>
        </w:tc>
        <w:tc>
          <w:tcPr>
            <w:tcW w:w="908" w:type="pct"/>
            <w:tcBorders>
              <w:top w:val="single" w:color="auto" w:sz="4" w:space="0"/>
              <w:bottom w:val="single" w:color="auto" w:sz="4" w:space="0"/>
            </w:tcBorders>
            <w:noWrap w:val="0"/>
            <w:vAlign w:val="center"/>
          </w:tcPr>
          <w:p w14:paraId="128657C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烧伤整形创面修复、伤口造口失禁护理</w:t>
            </w:r>
          </w:p>
        </w:tc>
        <w:tc>
          <w:tcPr>
            <w:tcW w:w="1027" w:type="pct"/>
            <w:tcBorders>
              <w:top w:val="single" w:color="auto" w:sz="4" w:space="0"/>
              <w:bottom w:val="single" w:color="auto" w:sz="4" w:space="0"/>
            </w:tcBorders>
            <w:noWrap w:val="0"/>
            <w:vAlign w:val="center"/>
          </w:tcPr>
          <w:p w14:paraId="3D0DA3D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4CDD764C">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96B3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3393C67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王楠楠</w:t>
            </w:r>
          </w:p>
        </w:tc>
        <w:tc>
          <w:tcPr>
            <w:tcW w:w="793" w:type="pct"/>
            <w:tcBorders>
              <w:top w:val="single" w:color="auto" w:sz="4" w:space="0"/>
              <w:bottom w:val="single" w:color="auto" w:sz="4" w:space="0"/>
            </w:tcBorders>
            <w:noWrap w:val="0"/>
            <w:vAlign w:val="center"/>
          </w:tcPr>
          <w:p w14:paraId="26D765E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护理部副主任</w:t>
            </w: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4D9DD9D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外科护理、护理管理</w:t>
            </w:r>
          </w:p>
        </w:tc>
        <w:tc>
          <w:tcPr>
            <w:tcW w:w="1027" w:type="pct"/>
            <w:tcBorders>
              <w:top w:val="single" w:color="auto" w:sz="4" w:space="0"/>
              <w:bottom w:val="single" w:color="auto" w:sz="4" w:space="0"/>
            </w:tcBorders>
            <w:noWrap w:val="0"/>
            <w:vAlign w:val="center"/>
          </w:tcPr>
          <w:p w14:paraId="446C87B1">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BFEC2C2">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482A0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123D98F2">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毛庆龙</w:t>
            </w:r>
          </w:p>
        </w:tc>
        <w:tc>
          <w:tcPr>
            <w:tcW w:w="793" w:type="pct"/>
            <w:tcBorders>
              <w:top w:val="single" w:color="auto" w:sz="4" w:space="0"/>
              <w:bottom w:val="single" w:color="auto" w:sz="4" w:space="0"/>
            </w:tcBorders>
            <w:noWrap w:val="0"/>
            <w:vAlign w:val="center"/>
          </w:tcPr>
          <w:p w14:paraId="3AED90F0">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科主任</w:t>
            </w:r>
            <w:r>
              <w:rPr>
                <w:rFonts w:hint="eastAsia" w:ascii="仿宋_GB2312" w:hAnsi="仿宋_GB2312" w:eastAsia="仿宋_GB2312" w:cs="仿宋_GB2312"/>
                <w:sz w:val="24"/>
                <w:lang w:val="en-US" w:eastAsia="zh-CN" w:bidi="ar"/>
              </w:rPr>
              <w:t>/主任医师</w:t>
            </w:r>
          </w:p>
        </w:tc>
        <w:tc>
          <w:tcPr>
            <w:tcW w:w="908" w:type="pct"/>
            <w:tcBorders>
              <w:top w:val="single" w:color="auto" w:sz="4" w:space="0"/>
              <w:bottom w:val="single" w:color="auto" w:sz="4" w:space="0"/>
            </w:tcBorders>
            <w:noWrap w:val="0"/>
            <w:vAlign w:val="center"/>
          </w:tcPr>
          <w:p w14:paraId="5DDC91FF">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烧伤整形创面修复</w:t>
            </w:r>
          </w:p>
        </w:tc>
        <w:tc>
          <w:tcPr>
            <w:tcW w:w="1027" w:type="pct"/>
            <w:tcBorders>
              <w:top w:val="single" w:color="auto" w:sz="4" w:space="0"/>
              <w:bottom w:val="single" w:color="auto" w:sz="4" w:space="0"/>
            </w:tcBorders>
            <w:noWrap w:val="0"/>
            <w:vAlign w:val="center"/>
          </w:tcPr>
          <w:p w14:paraId="0517140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636D2BB">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612AD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56EDDFE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黎宁</w:t>
            </w:r>
          </w:p>
        </w:tc>
        <w:tc>
          <w:tcPr>
            <w:tcW w:w="793" w:type="pct"/>
            <w:tcBorders>
              <w:top w:val="single" w:color="auto" w:sz="4" w:space="0"/>
              <w:bottom w:val="single" w:color="auto" w:sz="4" w:space="0"/>
            </w:tcBorders>
            <w:noWrap w:val="0"/>
            <w:vAlign w:val="center"/>
          </w:tcPr>
          <w:p w14:paraId="00507BD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3FA7840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烧伤创面</w:t>
            </w:r>
          </w:p>
          <w:p w14:paraId="35B43860">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护理</w:t>
            </w:r>
          </w:p>
        </w:tc>
        <w:tc>
          <w:tcPr>
            <w:tcW w:w="1027" w:type="pct"/>
            <w:tcBorders>
              <w:top w:val="single" w:color="auto" w:sz="4" w:space="0"/>
              <w:bottom w:val="single" w:color="auto" w:sz="4" w:space="0"/>
            </w:tcBorders>
            <w:noWrap w:val="0"/>
            <w:vAlign w:val="center"/>
          </w:tcPr>
          <w:p w14:paraId="37BC6F0B">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eastAsia="仿宋_GB2312"/>
                <w:sz w:val="24"/>
                <w:szCs w:val="24"/>
                <w:lang w:val="en-US" w:eastAsia="zh-CN"/>
              </w:rPr>
              <w:t>中国人民解放军陆军军医大学第一附属医院</w:t>
            </w:r>
          </w:p>
        </w:tc>
        <w:tc>
          <w:tcPr>
            <w:tcW w:w="1661" w:type="pct"/>
            <w:tcBorders>
              <w:top w:val="single" w:color="auto" w:sz="4" w:space="0"/>
              <w:bottom w:val="single" w:color="auto" w:sz="4" w:space="0"/>
              <w:right w:val="single" w:color="auto" w:sz="4" w:space="0"/>
            </w:tcBorders>
            <w:noWrap w:val="0"/>
            <w:vAlign w:val="center"/>
          </w:tcPr>
          <w:p w14:paraId="71244C2A">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6CB0D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452B483A">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张欣</w:t>
            </w:r>
          </w:p>
        </w:tc>
        <w:tc>
          <w:tcPr>
            <w:tcW w:w="793" w:type="pct"/>
            <w:tcBorders>
              <w:top w:val="single" w:color="auto" w:sz="4" w:space="0"/>
              <w:bottom w:val="single" w:color="auto" w:sz="4" w:space="0"/>
            </w:tcBorders>
            <w:noWrap w:val="0"/>
            <w:vAlign w:val="center"/>
          </w:tcPr>
          <w:p w14:paraId="746B299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1E7B348A">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伤口造口失禁护理</w:t>
            </w:r>
          </w:p>
        </w:tc>
        <w:tc>
          <w:tcPr>
            <w:tcW w:w="1027" w:type="pct"/>
            <w:tcBorders>
              <w:top w:val="single" w:color="auto" w:sz="4" w:space="0"/>
              <w:bottom w:val="single" w:color="auto" w:sz="4" w:space="0"/>
            </w:tcBorders>
            <w:noWrap w:val="0"/>
            <w:vAlign w:val="center"/>
          </w:tcPr>
          <w:p w14:paraId="102261B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eastAsia="仿宋_GB2312"/>
                <w:sz w:val="24"/>
                <w:szCs w:val="24"/>
                <w:lang w:val="en-US" w:eastAsia="zh-CN"/>
              </w:rPr>
              <w:t>首都医科大学附属北京同仁医院</w:t>
            </w:r>
          </w:p>
        </w:tc>
        <w:tc>
          <w:tcPr>
            <w:tcW w:w="1661" w:type="pct"/>
            <w:tcBorders>
              <w:top w:val="single" w:color="auto" w:sz="4" w:space="0"/>
              <w:bottom w:val="single" w:color="auto" w:sz="4" w:space="0"/>
              <w:right w:val="single" w:color="auto" w:sz="4" w:space="0"/>
            </w:tcBorders>
            <w:noWrap w:val="0"/>
            <w:vAlign w:val="center"/>
          </w:tcPr>
          <w:p w14:paraId="27585BFE">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6DF5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4B6A472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谢湘涛</w:t>
            </w:r>
          </w:p>
        </w:tc>
        <w:tc>
          <w:tcPr>
            <w:tcW w:w="793" w:type="pct"/>
            <w:tcBorders>
              <w:top w:val="single" w:color="auto" w:sz="4" w:space="0"/>
              <w:bottom w:val="single" w:color="auto" w:sz="4" w:space="0"/>
            </w:tcBorders>
            <w:noWrap w:val="0"/>
            <w:vAlign w:val="center"/>
          </w:tcPr>
          <w:p w14:paraId="3A2FB22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副院长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CN" w:bidi="ar"/>
              </w:rPr>
              <w:t>主任医师</w:t>
            </w:r>
          </w:p>
        </w:tc>
        <w:tc>
          <w:tcPr>
            <w:tcW w:w="908" w:type="pct"/>
            <w:tcBorders>
              <w:top w:val="single" w:color="auto" w:sz="4" w:space="0"/>
              <w:bottom w:val="single" w:color="auto" w:sz="4" w:space="0"/>
            </w:tcBorders>
            <w:noWrap w:val="0"/>
            <w:vAlign w:val="center"/>
          </w:tcPr>
          <w:p w14:paraId="276471B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骨科</w:t>
            </w:r>
          </w:p>
        </w:tc>
        <w:tc>
          <w:tcPr>
            <w:tcW w:w="1027" w:type="pct"/>
            <w:tcBorders>
              <w:top w:val="single" w:color="auto" w:sz="4" w:space="0"/>
              <w:bottom w:val="single" w:color="auto" w:sz="4" w:space="0"/>
            </w:tcBorders>
            <w:noWrap w:val="0"/>
            <w:vAlign w:val="center"/>
          </w:tcPr>
          <w:p w14:paraId="1C195C9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1031FAE">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46D4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3115EECB">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黄静</w:t>
            </w:r>
          </w:p>
        </w:tc>
        <w:tc>
          <w:tcPr>
            <w:tcW w:w="793" w:type="pct"/>
            <w:tcBorders>
              <w:top w:val="single" w:color="auto" w:sz="4" w:space="0"/>
              <w:bottom w:val="single" w:color="auto" w:sz="4" w:space="0"/>
            </w:tcBorders>
            <w:noWrap w:val="0"/>
            <w:vAlign w:val="center"/>
          </w:tcPr>
          <w:p w14:paraId="71FF9D23">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3F5BC34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烧伤创面</w:t>
            </w:r>
          </w:p>
          <w:p w14:paraId="0DF9FE0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护理</w:t>
            </w:r>
          </w:p>
        </w:tc>
        <w:tc>
          <w:tcPr>
            <w:tcW w:w="1027" w:type="pct"/>
            <w:tcBorders>
              <w:top w:val="single" w:color="auto" w:sz="4" w:space="0"/>
              <w:bottom w:val="single" w:color="auto" w:sz="4" w:space="0"/>
            </w:tcBorders>
            <w:noWrap w:val="0"/>
            <w:vAlign w:val="center"/>
          </w:tcPr>
          <w:p w14:paraId="68FBCE84">
            <w:pPr>
              <w:keepNext w:val="0"/>
              <w:keepLines w:val="0"/>
              <w:suppressLineNumbers w:val="0"/>
              <w:spacing w:before="0" w:beforeAutospacing="0" w:after="0" w:afterAutospacing="0"/>
              <w:ind w:left="0" w:right="0"/>
              <w:jc w:val="center"/>
              <w:rPr>
                <w:rFonts w:hint="eastAsia" w:ascii="仿宋_GB2312" w:eastAsia="仿宋_GB2312"/>
                <w:kern w:val="2"/>
                <w:sz w:val="24"/>
                <w:szCs w:val="24"/>
                <w:lang w:val="en-US" w:eastAsia="zh-CN" w:bidi="ar-SA"/>
              </w:rPr>
            </w:pPr>
            <w:r>
              <w:rPr>
                <w:rFonts w:hint="eastAsia" w:ascii="仿宋_GB2312" w:eastAsia="仿宋_GB2312"/>
                <w:sz w:val="24"/>
                <w:szCs w:val="24"/>
                <w:lang w:val="en-US" w:eastAsia="zh-CN"/>
              </w:rPr>
              <w:t>广西医科大学第一附属医院</w:t>
            </w:r>
          </w:p>
        </w:tc>
        <w:tc>
          <w:tcPr>
            <w:tcW w:w="1661" w:type="pct"/>
            <w:tcBorders>
              <w:top w:val="single" w:color="auto" w:sz="4" w:space="0"/>
              <w:bottom w:val="single" w:color="auto" w:sz="4" w:space="0"/>
              <w:right w:val="single" w:color="auto" w:sz="4" w:space="0"/>
            </w:tcBorders>
            <w:noWrap w:val="0"/>
            <w:vAlign w:val="center"/>
          </w:tcPr>
          <w:p w14:paraId="380E74A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42FC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185B29C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首家保</w:t>
            </w:r>
          </w:p>
        </w:tc>
        <w:tc>
          <w:tcPr>
            <w:tcW w:w="793" w:type="pct"/>
            <w:tcBorders>
              <w:top w:val="single" w:color="auto" w:sz="4" w:space="0"/>
              <w:bottom w:val="single" w:color="auto" w:sz="4" w:space="0"/>
            </w:tcBorders>
            <w:noWrap w:val="0"/>
            <w:vAlign w:val="center"/>
          </w:tcPr>
          <w:p w14:paraId="516556A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主任医师</w:t>
            </w:r>
          </w:p>
        </w:tc>
        <w:tc>
          <w:tcPr>
            <w:tcW w:w="908" w:type="pct"/>
            <w:tcBorders>
              <w:top w:val="single" w:color="auto" w:sz="4" w:space="0"/>
              <w:bottom w:val="single" w:color="auto" w:sz="4" w:space="0"/>
            </w:tcBorders>
            <w:noWrap w:val="0"/>
            <w:vAlign w:val="center"/>
          </w:tcPr>
          <w:p w14:paraId="0165BADB">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烧伤整形创面修复</w:t>
            </w:r>
          </w:p>
        </w:tc>
        <w:tc>
          <w:tcPr>
            <w:tcW w:w="1027" w:type="pct"/>
            <w:tcBorders>
              <w:top w:val="single" w:color="auto" w:sz="4" w:space="0"/>
              <w:bottom w:val="single" w:color="auto" w:sz="4" w:space="0"/>
            </w:tcBorders>
            <w:noWrap w:val="0"/>
            <w:vAlign w:val="center"/>
          </w:tcPr>
          <w:p w14:paraId="058CF0B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0E6E6528">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5796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221875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左红群</w:t>
            </w:r>
          </w:p>
        </w:tc>
        <w:tc>
          <w:tcPr>
            <w:tcW w:w="793" w:type="pct"/>
            <w:tcBorders>
              <w:top w:val="single" w:color="auto" w:sz="4" w:space="0"/>
              <w:bottom w:val="single" w:color="auto" w:sz="4" w:space="0"/>
            </w:tcBorders>
            <w:noWrap w:val="0"/>
            <w:vAlign w:val="center"/>
          </w:tcPr>
          <w:p w14:paraId="2BD9400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467C718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伤口造口失禁护理</w:t>
            </w:r>
          </w:p>
        </w:tc>
        <w:tc>
          <w:tcPr>
            <w:tcW w:w="1027" w:type="pct"/>
            <w:tcBorders>
              <w:top w:val="single" w:color="auto" w:sz="4" w:space="0"/>
              <w:bottom w:val="single" w:color="auto" w:sz="4" w:space="0"/>
            </w:tcBorders>
            <w:noWrap w:val="0"/>
            <w:vAlign w:val="center"/>
          </w:tcPr>
          <w:p w14:paraId="43C3A3A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szCs w:val="24"/>
                <w:lang w:bidi="ar"/>
              </w:rPr>
            </w:pPr>
            <w:r>
              <w:rPr>
                <w:rFonts w:hint="eastAsia" w:ascii="仿宋_GB2312" w:eastAsia="仿宋_GB2312"/>
                <w:sz w:val="24"/>
                <w:szCs w:val="24"/>
                <w:lang w:val="en-US" w:eastAsia="zh-CN"/>
              </w:rPr>
              <w:t>广西医科大学附属肿瘤医院</w:t>
            </w:r>
          </w:p>
        </w:tc>
        <w:tc>
          <w:tcPr>
            <w:tcW w:w="1661" w:type="pct"/>
            <w:tcBorders>
              <w:top w:val="single" w:color="auto" w:sz="4" w:space="0"/>
              <w:bottom w:val="single" w:color="auto" w:sz="4" w:space="0"/>
              <w:right w:val="single" w:color="auto" w:sz="4" w:space="0"/>
            </w:tcBorders>
            <w:noWrap w:val="0"/>
            <w:vAlign w:val="center"/>
          </w:tcPr>
          <w:p w14:paraId="26221A11">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5F992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1798DA9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苏梅芳</w:t>
            </w:r>
          </w:p>
        </w:tc>
        <w:tc>
          <w:tcPr>
            <w:tcW w:w="793" w:type="pct"/>
            <w:tcBorders>
              <w:top w:val="single" w:color="auto" w:sz="4" w:space="0"/>
              <w:bottom w:val="single" w:color="auto" w:sz="4" w:space="0"/>
            </w:tcBorders>
            <w:noWrap w:val="0"/>
            <w:vAlign w:val="center"/>
          </w:tcPr>
          <w:p w14:paraId="42DC893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558DEA7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伤口造口失禁护理</w:t>
            </w:r>
          </w:p>
        </w:tc>
        <w:tc>
          <w:tcPr>
            <w:tcW w:w="1027" w:type="pct"/>
            <w:tcBorders>
              <w:top w:val="single" w:color="auto" w:sz="4" w:space="0"/>
              <w:bottom w:val="single" w:color="auto" w:sz="4" w:space="0"/>
            </w:tcBorders>
            <w:noWrap w:val="0"/>
            <w:vAlign w:val="center"/>
          </w:tcPr>
          <w:p w14:paraId="73A4FEE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szCs w:val="24"/>
                <w:lang w:bidi="ar"/>
              </w:rPr>
            </w:pPr>
            <w:r>
              <w:rPr>
                <w:rFonts w:hint="eastAsia" w:ascii="仿宋_GB2312" w:eastAsia="仿宋_GB2312"/>
                <w:sz w:val="24"/>
                <w:szCs w:val="24"/>
                <w:lang w:val="en-US" w:eastAsia="zh-CN"/>
              </w:rPr>
              <w:t>桂林医科大学第一附属医院</w:t>
            </w:r>
          </w:p>
        </w:tc>
        <w:tc>
          <w:tcPr>
            <w:tcW w:w="1661" w:type="pct"/>
            <w:tcBorders>
              <w:top w:val="single" w:color="auto" w:sz="4" w:space="0"/>
              <w:bottom w:val="single" w:color="auto" w:sz="4" w:space="0"/>
              <w:right w:val="single" w:color="auto" w:sz="4" w:space="0"/>
            </w:tcBorders>
            <w:noWrap w:val="0"/>
            <w:vAlign w:val="center"/>
          </w:tcPr>
          <w:p w14:paraId="418E2BC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3F150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778088A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秦志英</w:t>
            </w:r>
          </w:p>
        </w:tc>
        <w:tc>
          <w:tcPr>
            <w:tcW w:w="793" w:type="pct"/>
            <w:tcBorders>
              <w:top w:val="single" w:color="auto" w:sz="4" w:space="0"/>
              <w:bottom w:val="single" w:color="auto" w:sz="4" w:space="0"/>
            </w:tcBorders>
            <w:noWrap w:val="0"/>
            <w:vAlign w:val="center"/>
          </w:tcPr>
          <w:p w14:paraId="5D0A06D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lang w:eastAsia="zh-CN" w:bidi="ar"/>
              </w:rPr>
              <w:t>护士长</w:t>
            </w: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5A27614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043D37B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szCs w:val="24"/>
                <w:lang w:bidi="ar"/>
              </w:rPr>
            </w:pPr>
            <w:r>
              <w:rPr>
                <w:rFonts w:hint="eastAsia" w:ascii="仿宋_GB2312" w:eastAsia="仿宋_GB2312"/>
                <w:sz w:val="24"/>
                <w:szCs w:val="24"/>
                <w:lang w:val="en-US" w:eastAsia="zh-CN"/>
              </w:rPr>
              <w:t>玉林市第一人民医院</w:t>
            </w:r>
          </w:p>
        </w:tc>
        <w:tc>
          <w:tcPr>
            <w:tcW w:w="1661" w:type="pct"/>
            <w:tcBorders>
              <w:top w:val="single" w:color="auto" w:sz="4" w:space="0"/>
              <w:bottom w:val="single" w:color="auto" w:sz="4" w:space="0"/>
              <w:right w:val="single" w:color="auto" w:sz="4" w:space="0"/>
            </w:tcBorders>
            <w:noWrap w:val="0"/>
            <w:vAlign w:val="center"/>
          </w:tcPr>
          <w:p w14:paraId="2CCE155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F6FD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3EDA8A1E">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kern w:val="2"/>
                <w:sz w:val="24"/>
                <w:szCs w:val="24"/>
                <w:highlight w:val="none"/>
                <w:lang w:val="en-US" w:eastAsia="zh-CN" w:bidi="ar"/>
              </w:rPr>
              <w:t>唐丽丽</w:t>
            </w:r>
          </w:p>
        </w:tc>
        <w:tc>
          <w:tcPr>
            <w:tcW w:w="793" w:type="pct"/>
            <w:tcBorders>
              <w:top w:val="single" w:color="auto" w:sz="4" w:space="0"/>
              <w:bottom w:val="single" w:color="auto" w:sz="4" w:space="0"/>
            </w:tcBorders>
            <w:noWrap w:val="0"/>
            <w:vAlign w:val="center"/>
          </w:tcPr>
          <w:p w14:paraId="1536043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主管护师</w:t>
            </w:r>
          </w:p>
        </w:tc>
        <w:tc>
          <w:tcPr>
            <w:tcW w:w="908" w:type="pct"/>
            <w:tcBorders>
              <w:top w:val="single" w:color="auto" w:sz="4" w:space="0"/>
              <w:bottom w:val="single" w:color="auto" w:sz="4" w:space="0"/>
            </w:tcBorders>
            <w:noWrap w:val="0"/>
            <w:vAlign w:val="center"/>
          </w:tcPr>
          <w:p w14:paraId="2F60751B">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伤口造口失禁护理</w:t>
            </w:r>
          </w:p>
        </w:tc>
        <w:tc>
          <w:tcPr>
            <w:tcW w:w="1027" w:type="pct"/>
            <w:tcBorders>
              <w:top w:val="single" w:color="auto" w:sz="4" w:space="0"/>
              <w:bottom w:val="single" w:color="auto" w:sz="4" w:space="0"/>
            </w:tcBorders>
            <w:noWrap w:val="0"/>
            <w:vAlign w:val="center"/>
          </w:tcPr>
          <w:p w14:paraId="59A2E818">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66130F3F">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w:t>
            </w:r>
          </w:p>
        </w:tc>
      </w:tr>
      <w:tr w14:paraId="21824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7C75F89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覃海莲</w:t>
            </w:r>
          </w:p>
        </w:tc>
        <w:tc>
          <w:tcPr>
            <w:tcW w:w="793" w:type="pct"/>
            <w:tcBorders>
              <w:top w:val="single" w:color="auto" w:sz="4" w:space="0"/>
              <w:bottom w:val="single" w:color="auto" w:sz="4" w:space="0"/>
            </w:tcBorders>
            <w:noWrap w:val="0"/>
            <w:vAlign w:val="center"/>
          </w:tcPr>
          <w:p w14:paraId="4FC50EF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0652B37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伤口造口失禁护理</w:t>
            </w:r>
          </w:p>
        </w:tc>
        <w:tc>
          <w:tcPr>
            <w:tcW w:w="1027" w:type="pct"/>
            <w:tcBorders>
              <w:top w:val="single" w:color="auto" w:sz="4" w:space="0"/>
              <w:bottom w:val="single" w:color="auto" w:sz="4" w:space="0"/>
            </w:tcBorders>
            <w:noWrap w:val="0"/>
            <w:vAlign w:val="center"/>
          </w:tcPr>
          <w:p w14:paraId="4761071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szCs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257AB4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AD78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229FA9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谢利勤</w:t>
            </w:r>
          </w:p>
        </w:tc>
        <w:tc>
          <w:tcPr>
            <w:tcW w:w="793" w:type="pct"/>
            <w:tcBorders>
              <w:top w:val="single" w:color="auto" w:sz="4" w:space="0"/>
              <w:bottom w:val="single" w:color="auto" w:sz="4" w:space="0"/>
            </w:tcBorders>
            <w:noWrap w:val="0"/>
            <w:vAlign w:val="center"/>
          </w:tcPr>
          <w:p w14:paraId="24D31B7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4B5621A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6F311E3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63AB76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A5DC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500E6F3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陈华玲</w:t>
            </w:r>
          </w:p>
        </w:tc>
        <w:tc>
          <w:tcPr>
            <w:tcW w:w="793" w:type="pct"/>
            <w:tcBorders>
              <w:top w:val="single" w:color="auto" w:sz="4" w:space="0"/>
              <w:bottom w:val="single" w:color="auto" w:sz="4" w:space="0"/>
            </w:tcBorders>
            <w:noWrap w:val="0"/>
            <w:vAlign w:val="center"/>
          </w:tcPr>
          <w:p w14:paraId="41A9967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7F8FF71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0BC58EC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eastAsia="仿宋_GB2312"/>
                <w:sz w:val="24"/>
                <w:szCs w:val="24"/>
                <w:lang w:val="en-US" w:eastAsia="zh-CN"/>
              </w:rPr>
              <w:t>中国人民解放军陆军军医大学第一附属医院</w:t>
            </w:r>
          </w:p>
        </w:tc>
        <w:tc>
          <w:tcPr>
            <w:tcW w:w="1661" w:type="pct"/>
            <w:tcBorders>
              <w:top w:val="single" w:color="auto" w:sz="4" w:space="0"/>
              <w:bottom w:val="single" w:color="auto" w:sz="4" w:space="0"/>
              <w:right w:val="single" w:color="auto" w:sz="4" w:space="0"/>
            </w:tcBorders>
            <w:noWrap w:val="0"/>
            <w:vAlign w:val="center"/>
          </w:tcPr>
          <w:p w14:paraId="73ABBE54">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38E8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0F4B2C61">
            <w:pPr>
              <w:keepNext w:val="0"/>
              <w:keepLines w:val="0"/>
              <w:suppressLineNumbers w:val="0"/>
              <w:spacing w:before="0" w:beforeAutospacing="0" w:after="0" w:afterAutospacing="0"/>
              <w:ind w:left="0" w:right="0"/>
              <w:jc w:val="both"/>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胡琴燕</w:t>
            </w:r>
          </w:p>
        </w:tc>
        <w:tc>
          <w:tcPr>
            <w:tcW w:w="793" w:type="pct"/>
            <w:tcBorders>
              <w:top w:val="single" w:color="auto" w:sz="4" w:space="0"/>
              <w:bottom w:val="single" w:color="auto" w:sz="4" w:space="0"/>
            </w:tcBorders>
            <w:noWrap w:val="0"/>
            <w:vAlign w:val="center"/>
          </w:tcPr>
          <w:p w14:paraId="1555763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908" w:type="pct"/>
            <w:tcBorders>
              <w:top w:val="single" w:color="auto" w:sz="4" w:space="0"/>
              <w:bottom w:val="single" w:color="auto" w:sz="4" w:space="0"/>
            </w:tcBorders>
            <w:noWrap w:val="0"/>
            <w:vAlign w:val="center"/>
          </w:tcPr>
          <w:p w14:paraId="526608A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中医护理</w:t>
            </w:r>
          </w:p>
        </w:tc>
        <w:tc>
          <w:tcPr>
            <w:tcW w:w="1027" w:type="pct"/>
            <w:tcBorders>
              <w:top w:val="single" w:color="auto" w:sz="4" w:space="0"/>
              <w:bottom w:val="single" w:color="auto" w:sz="4" w:space="0"/>
            </w:tcBorders>
            <w:noWrap w:val="0"/>
            <w:vAlign w:val="center"/>
          </w:tcPr>
          <w:p w14:paraId="26739200">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2A726564">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3F7C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2CF78CCD">
            <w:pPr>
              <w:keepNext w:val="0"/>
              <w:keepLines w:val="0"/>
              <w:suppressLineNumbers w:val="0"/>
              <w:spacing w:before="0" w:beforeAutospacing="0" w:after="0" w:afterAutospacing="0"/>
              <w:ind w:left="0" w:right="0"/>
              <w:jc w:val="both"/>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杨玲玲</w:t>
            </w:r>
          </w:p>
        </w:tc>
        <w:tc>
          <w:tcPr>
            <w:tcW w:w="793" w:type="pct"/>
            <w:tcBorders>
              <w:top w:val="single" w:color="auto" w:sz="4" w:space="0"/>
              <w:bottom w:val="single" w:color="auto" w:sz="4" w:space="0"/>
            </w:tcBorders>
            <w:noWrap w:val="0"/>
            <w:vAlign w:val="center"/>
          </w:tcPr>
          <w:p w14:paraId="29F9B6C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908" w:type="pct"/>
            <w:tcBorders>
              <w:top w:val="single" w:color="auto" w:sz="4" w:space="0"/>
              <w:bottom w:val="single" w:color="auto" w:sz="4" w:space="0"/>
            </w:tcBorders>
            <w:noWrap w:val="0"/>
            <w:vAlign w:val="center"/>
          </w:tcPr>
          <w:p w14:paraId="6368791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20036C1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5BC3376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40F9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7C548E2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陆璐</w:t>
            </w:r>
          </w:p>
        </w:tc>
        <w:tc>
          <w:tcPr>
            <w:tcW w:w="793" w:type="pct"/>
            <w:tcBorders>
              <w:top w:val="single" w:color="auto" w:sz="4" w:space="0"/>
              <w:bottom w:val="single" w:color="auto" w:sz="4" w:space="0"/>
            </w:tcBorders>
            <w:noWrap w:val="0"/>
            <w:vAlign w:val="center"/>
          </w:tcPr>
          <w:p w14:paraId="167614E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908" w:type="pct"/>
            <w:tcBorders>
              <w:top w:val="single" w:color="auto" w:sz="4" w:space="0"/>
              <w:bottom w:val="single" w:color="auto" w:sz="4" w:space="0"/>
            </w:tcBorders>
            <w:noWrap w:val="0"/>
            <w:vAlign w:val="center"/>
          </w:tcPr>
          <w:p w14:paraId="50FEA48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07ECCBF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7CCE3BC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48AC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6B23BF1D">
            <w:pPr>
              <w:keepNext w:val="0"/>
              <w:keepLines w:val="0"/>
              <w:suppressLineNumbers w:val="0"/>
              <w:spacing w:before="0" w:beforeAutospacing="0" w:after="0" w:afterAutospacing="0"/>
              <w:ind w:left="0" w:right="0"/>
              <w:jc w:val="both"/>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龙照忠</w:t>
            </w:r>
          </w:p>
        </w:tc>
        <w:tc>
          <w:tcPr>
            <w:tcW w:w="793" w:type="pct"/>
            <w:tcBorders>
              <w:top w:val="single" w:color="auto" w:sz="4" w:space="0"/>
              <w:bottom w:val="single" w:color="auto" w:sz="4" w:space="0"/>
            </w:tcBorders>
            <w:noWrap w:val="0"/>
            <w:vAlign w:val="center"/>
          </w:tcPr>
          <w:p w14:paraId="245C061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副主任医师</w:t>
            </w:r>
          </w:p>
        </w:tc>
        <w:tc>
          <w:tcPr>
            <w:tcW w:w="908" w:type="pct"/>
            <w:tcBorders>
              <w:top w:val="single" w:color="auto" w:sz="4" w:space="0"/>
              <w:bottom w:val="single" w:color="auto" w:sz="4" w:space="0"/>
            </w:tcBorders>
            <w:noWrap w:val="0"/>
            <w:vAlign w:val="center"/>
          </w:tcPr>
          <w:p w14:paraId="3319A82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4C22AC6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5D9F3EF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E27C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19C63805">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陈英斌</w:t>
            </w:r>
          </w:p>
        </w:tc>
        <w:tc>
          <w:tcPr>
            <w:tcW w:w="793" w:type="pct"/>
            <w:tcBorders>
              <w:top w:val="single" w:color="auto" w:sz="4" w:space="0"/>
              <w:bottom w:val="single" w:color="auto" w:sz="4" w:space="0"/>
            </w:tcBorders>
            <w:noWrap w:val="0"/>
            <w:vAlign w:val="center"/>
          </w:tcPr>
          <w:p w14:paraId="6519B7A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908" w:type="pct"/>
            <w:tcBorders>
              <w:top w:val="single" w:color="auto" w:sz="4" w:space="0"/>
              <w:bottom w:val="single" w:color="auto" w:sz="4" w:space="0"/>
            </w:tcBorders>
            <w:noWrap w:val="0"/>
            <w:vAlign w:val="center"/>
          </w:tcPr>
          <w:p w14:paraId="6E7B027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4272FB3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2B23106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DB4B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607" w:type="pct"/>
            <w:tcBorders>
              <w:top w:val="single" w:color="auto" w:sz="4" w:space="0"/>
              <w:left w:val="single" w:color="auto" w:sz="4" w:space="0"/>
              <w:bottom w:val="single" w:color="auto" w:sz="4" w:space="0"/>
            </w:tcBorders>
            <w:noWrap w:val="0"/>
            <w:vAlign w:val="center"/>
          </w:tcPr>
          <w:p w14:paraId="3492F87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刘波</w:t>
            </w:r>
          </w:p>
        </w:tc>
        <w:tc>
          <w:tcPr>
            <w:tcW w:w="793" w:type="pct"/>
            <w:tcBorders>
              <w:top w:val="single" w:color="auto" w:sz="4" w:space="0"/>
              <w:bottom w:val="single" w:color="auto" w:sz="4" w:space="0"/>
            </w:tcBorders>
            <w:noWrap w:val="0"/>
            <w:vAlign w:val="center"/>
          </w:tcPr>
          <w:p w14:paraId="5EFCF10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908" w:type="pct"/>
            <w:tcBorders>
              <w:top w:val="single" w:color="auto" w:sz="4" w:space="0"/>
              <w:bottom w:val="single" w:color="auto" w:sz="4" w:space="0"/>
            </w:tcBorders>
            <w:noWrap w:val="0"/>
            <w:vAlign w:val="center"/>
          </w:tcPr>
          <w:p w14:paraId="78AD2A7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41A294E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1684BEC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5DCAD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2EEA068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邓积缘</w:t>
            </w:r>
          </w:p>
        </w:tc>
        <w:tc>
          <w:tcPr>
            <w:tcW w:w="793" w:type="pct"/>
            <w:tcBorders>
              <w:top w:val="single" w:color="auto" w:sz="4" w:space="0"/>
              <w:bottom w:val="single" w:color="auto" w:sz="4" w:space="0"/>
            </w:tcBorders>
            <w:noWrap w:val="0"/>
            <w:vAlign w:val="center"/>
          </w:tcPr>
          <w:p w14:paraId="6D4CF60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908" w:type="pct"/>
            <w:tcBorders>
              <w:top w:val="single" w:color="auto" w:sz="4" w:space="0"/>
              <w:bottom w:val="single" w:color="auto" w:sz="4" w:space="0"/>
            </w:tcBorders>
            <w:noWrap w:val="0"/>
            <w:vAlign w:val="center"/>
          </w:tcPr>
          <w:p w14:paraId="431C618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6150BBB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1068EE35">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3A547B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6FFAC8B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钟静静</w:t>
            </w:r>
          </w:p>
        </w:tc>
        <w:tc>
          <w:tcPr>
            <w:tcW w:w="793" w:type="pct"/>
            <w:tcBorders>
              <w:top w:val="single" w:color="auto" w:sz="4" w:space="0"/>
              <w:bottom w:val="single" w:color="auto" w:sz="4" w:space="0"/>
            </w:tcBorders>
            <w:noWrap w:val="0"/>
            <w:vAlign w:val="center"/>
          </w:tcPr>
          <w:p w14:paraId="31F7D2D6">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主管护师</w:t>
            </w:r>
          </w:p>
        </w:tc>
        <w:tc>
          <w:tcPr>
            <w:tcW w:w="908" w:type="pct"/>
            <w:tcBorders>
              <w:top w:val="single" w:color="auto" w:sz="4" w:space="0"/>
              <w:bottom w:val="single" w:color="auto" w:sz="4" w:space="0"/>
            </w:tcBorders>
            <w:noWrap w:val="0"/>
            <w:vAlign w:val="center"/>
          </w:tcPr>
          <w:p w14:paraId="2561E28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highlight w:val="none"/>
                <w:lang w:eastAsia="zh-CN" w:bidi="ar"/>
              </w:rPr>
              <w:t>内科护理</w:t>
            </w:r>
          </w:p>
        </w:tc>
        <w:tc>
          <w:tcPr>
            <w:tcW w:w="1027" w:type="pct"/>
            <w:tcBorders>
              <w:top w:val="single" w:color="auto" w:sz="4" w:space="0"/>
              <w:bottom w:val="single" w:color="auto" w:sz="4" w:space="0"/>
            </w:tcBorders>
            <w:noWrap w:val="0"/>
            <w:vAlign w:val="center"/>
          </w:tcPr>
          <w:p w14:paraId="2596748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1C00DFC8">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7244D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7" w:type="pct"/>
            <w:tcBorders>
              <w:top w:val="single" w:color="auto" w:sz="4" w:space="0"/>
              <w:left w:val="single" w:color="auto" w:sz="4" w:space="0"/>
              <w:bottom w:val="single" w:color="auto" w:sz="4" w:space="0"/>
            </w:tcBorders>
            <w:noWrap w:val="0"/>
            <w:vAlign w:val="center"/>
          </w:tcPr>
          <w:p w14:paraId="6CC3908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潘静</w:t>
            </w:r>
          </w:p>
        </w:tc>
        <w:tc>
          <w:tcPr>
            <w:tcW w:w="793" w:type="pct"/>
            <w:tcBorders>
              <w:top w:val="single" w:color="auto" w:sz="4" w:space="0"/>
              <w:bottom w:val="single" w:color="auto" w:sz="4" w:space="0"/>
            </w:tcBorders>
            <w:noWrap w:val="0"/>
            <w:vAlign w:val="center"/>
          </w:tcPr>
          <w:p w14:paraId="0AAC24C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护师</w:t>
            </w:r>
          </w:p>
        </w:tc>
        <w:tc>
          <w:tcPr>
            <w:tcW w:w="908" w:type="pct"/>
            <w:tcBorders>
              <w:top w:val="single" w:color="auto" w:sz="4" w:space="0"/>
              <w:bottom w:val="single" w:color="auto" w:sz="4" w:space="0"/>
            </w:tcBorders>
            <w:noWrap w:val="0"/>
            <w:vAlign w:val="center"/>
          </w:tcPr>
          <w:p w14:paraId="030D595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烧伤整形创面护理</w:t>
            </w:r>
          </w:p>
        </w:tc>
        <w:tc>
          <w:tcPr>
            <w:tcW w:w="1027" w:type="pct"/>
            <w:tcBorders>
              <w:top w:val="single" w:color="auto" w:sz="4" w:space="0"/>
              <w:bottom w:val="single" w:color="auto" w:sz="4" w:space="0"/>
            </w:tcBorders>
            <w:noWrap w:val="0"/>
            <w:vAlign w:val="center"/>
          </w:tcPr>
          <w:p w14:paraId="5C7ACA7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柳州市工人医院</w:t>
            </w:r>
          </w:p>
        </w:tc>
        <w:tc>
          <w:tcPr>
            <w:tcW w:w="1661" w:type="pct"/>
            <w:tcBorders>
              <w:top w:val="single" w:color="auto" w:sz="4" w:space="0"/>
              <w:bottom w:val="single" w:color="auto" w:sz="4" w:space="0"/>
              <w:right w:val="single" w:color="auto" w:sz="4" w:space="0"/>
            </w:tcBorders>
            <w:noWrap w:val="0"/>
            <w:vAlign w:val="center"/>
          </w:tcPr>
          <w:p w14:paraId="47EFD338">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bl>
    <w:p w14:paraId="0C349B5C">
      <w:pPr>
        <w:numPr>
          <w:ilvl w:val="0"/>
          <w:numId w:val="11"/>
        </w:num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制定标准的必要性和意义</w:t>
      </w:r>
    </w:p>
    <w:p w14:paraId="7F46CB37">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rPr>
        <w:t>随着我国人口老龄化进程加速</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糖尿病足、静脉性溃疡、压力性损伤等成人慢性伤口患病率持续上升。慢性伤口具有病程长、难愈合、易复发、病理机制复杂等特点，不仅严重影响患者生活质量，也显著增加医疗资源消耗与社会经济负担，现已成为当前较为突出的公共卫生问题。在此背景下，各级医疗机构对慢性伤口护理规范化、同质化的需求日益迫切，亟须形成一套科学、系统、可操作的负压伤口治疗（NPWT）护理规范，更好地衔接政策要求与临床实践，满足患者对高质量伤口护理服务的需求，推动慢性伤口护理向标准化、专业化、精细化发展，为提升区域医疗服务水平和老年人健康保障能力提供有力支撑。</w:t>
      </w:r>
    </w:p>
    <w:p w14:paraId="58F54DC7">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负压伤口治疗（NPWT）是目前临床治疗慢性难愈性伤口的核心技术之一。该技术通过负压装置与专用敷料形成封闭创面环境，可有效引流渗液、减轻组织水肿、改善局部血供、促进肉芽组织生长，从而加速伤口愈合。NPWT系统主要由负压源、填充敷料、引流管、储液罐及封闭薄膜组成，适用于糖尿病足溃疡、压力性损伤、下肢静脉性溃疡、术后慢性创面等多种成人慢性伤口类型。与传统换药相比，NPWT可显著提高愈合率、缩短愈合时间、降低感染风险、减少换药频次，减轻患者痛苦与医护人员工作量，同时为植皮、皮瓣修复等后续手术创造了良好条件，已成为现代伤口管理中不可替代的重要手段，其广泛应用也对统一护理操作标准提出了现实要求。</w:t>
      </w:r>
    </w:p>
    <w:p w14:paraId="4416779C">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目前，NPWT技术在我区各级医疗机构已得到普遍应用，但临床操作规范性不足、实践差异较大。在伤口评估、敷料选择与填充、负压参数设置、密闭维护、并发症监测与处理等关键环节，不同机构、不同护理人员执行情况参差不齐，多以个人经验为主，缺乏统一、权威、循证的操作指引。这种依赖经验、缺乏统一标准的操作模式，直接影响治疗效果的稳定性与安全性，易出现密封失效、感染、出血、疼痛加重等问题，制约全区慢性伤口诊疗质量整体提升。因此，整合循证证据与临床专家共识，制定统一、规范、可落地的NPWT护理规范，是推动护理工作从经验驱动向标准引领转变、保障治疗安全有效的内在需要。</w:t>
      </w:r>
    </w:p>
    <w:p w14:paraId="1386A8F2">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从我区临床应用情况看，成人慢性伤口NPWT治疗量呈持续快速增长趋势，治疗总量逐年稳步上升，年均增长率保持在高位水平，预计未来几年需求仍将持续扩大。病种构成以糖尿病足溃疡、压力性损伤、下肢静脉性溃疡及术后慢性创面为主，覆盖各级各类医疗机构及老年人、糖尿病、术后康复等重点人群。目前，NPWT技术在区内普及较快，但配套护理规范进展相对平缓，操作不统一、风险防控不足、质量评价不健全等问题较为突出，已成为制约专科护理高质量发展的重要瓶颈。</w:t>
      </w:r>
    </w:p>
    <w:p w14:paraId="0F6E55F0">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从临床效果来看，实施规范化NPWT护理对改善慢性伤口预后具有显著效益。根据相关专科的调研与汇总，实施规范化NPWT护理可使创面感染率下降40%～60%，愈合率提高35%～55%，愈合时间缩短30%～45%，住院天数减少25%～35%；若操作不规范，则漏气发生率可达35%～60%，皮肤损伤发生率15%～25%，管路堵塞发生率10%～20%，平均愈合时间延长40%以上，医疗费用增加30%以上。操作不规范直接影响治疗效果，增加并发症风险，难以保障患者安全与医疗质量。</w:t>
      </w:r>
    </w:p>
    <w:p w14:paraId="6751FBC9">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从专科发展与质控考核来看，我区伤口造口专科护理队伍不断壮大，但因缺乏统一操作标准，区域与机构间技术水平差异明显，专科优势与价值难以充分发挥。等级医院评审、护理质量控制、优质护理评价、老年健康服务评估等均将技术操作规范列为核心内容，相关标准缺失在一定程度上影响了医疗机构质量评价与高质量发展进程，在临床一线、专科护士及管理层面，对统一、权威且可落地的NPWT护理规范有着切实的需求。</w:t>
      </w:r>
    </w:p>
    <w:p w14:paraId="6CD92DFC">
      <w:pPr>
        <w:spacing w:line="52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lang w:val="en-US" w:eastAsia="zh-CN"/>
        </w:rPr>
        <w:t>结合全区慢性伤口诊疗的现状与长远发展，制定并推行统一的护理规范，已成为解决行业痛点、提升质控水平、促进护理事业迈上新台阶的重要基石，具备充分的现实基础与必要性</w:t>
      </w:r>
      <w:r>
        <w:rPr>
          <w:rFonts w:hint="eastAsia" w:ascii="仿宋_GB2312" w:eastAsia="仿宋_GB2312"/>
          <w:color w:val="auto"/>
          <w:sz w:val="28"/>
          <w:szCs w:val="28"/>
        </w:rPr>
        <w:t>。</w:t>
      </w:r>
    </w:p>
    <w:p w14:paraId="250251E2">
      <w:pPr>
        <w:spacing w:line="52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lang w:val="en-US" w:eastAsia="zh-CN"/>
        </w:rPr>
        <w:t>通过制定团体标准《成人慢性伤口负压伤口治疗（NPWT）护理操作规范》，统一规范NPWT护理操作的流程、参数设置、敷料选择、护理评估及健康指导等核心环节，提高不同类型医疗机构NPWT护理服务水平，</w:t>
      </w:r>
      <w:r>
        <w:rPr>
          <w:rFonts w:hint="eastAsia" w:ascii="仿宋_GB2312" w:eastAsia="仿宋_GB2312"/>
          <w:color w:val="auto"/>
          <w:sz w:val="28"/>
          <w:szCs w:val="28"/>
        </w:rPr>
        <w:t>降低因操作不当导致的感染、出血、密封失效等并发症风险，</w:t>
      </w:r>
      <w:r>
        <w:rPr>
          <w:rFonts w:hint="eastAsia" w:ascii="仿宋_GB2312" w:eastAsia="仿宋_GB2312"/>
          <w:color w:val="auto"/>
          <w:sz w:val="28"/>
          <w:szCs w:val="28"/>
          <w:lang w:val="en-US" w:eastAsia="zh-CN"/>
        </w:rPr>
        <w:t>保障患者安全</w:t>
      </w:r>
      <w:r>
        <w:rPr>
          <w:rFonts w:hint="eastAsia" w:ascii="仿宋_GB2312" w:eastAsia="仿宋_GB2312"/>
          <w:color w:val="auto"/>
          <w:sz w:val="28"/>
          <w:szCs w:val="28"/>
          <w:lang w:eastAsia="zh-CN"/>
        </w:rPr>
        <w:t>，</w:t>
      </w:r>
      <w:r>
        <w:rPr>
          <w:rFonts w:hint="eastAsia" w:ascii="仿宋_GB2312" w:eastAsia="仿宋_GB2312"/>
          <w:color w:val="auto"/>
          <w:sz w:val="28"/>
          <w:szCs w:val="28"/>
        </w:rPr>
        <w:t>缩短愈合时间</w:t>
      </w:r>
      <w:r>
        <w:rPr>
          <w:rFonts w:hint="eastAsia" w:ascii="仿宋_GB2312" w:eastAsia="仿宋_GB2312"/>
          <w:color w:val="auto"/>
          <w:sz w:val="28"/>
          <w:szCs w:val="28"/>
          <w:lang w:val="en-US" w:eastAsia="zh-CN"/>
        </w:rPr>
        <w:t>，减轻患者负担，对规范临床护理行为、提升护理服务质量、推动护理事业高质量发展具有重要作用。</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成人慢性伤口负压伤口治疗（NPWT）护理操作规范</w:t>
      </w:r>
      <w:r>
        <w:rPr>
          <w:rFonts w:hint="eastAsia" w:ascii="仿宋_GB2312" w:eastAsia="仿宋_GB2312"/>
          <w:color w:val="auto"/>
          <w:sz w:val="28"/>
          <w:szCs w:val="28"/>
        </w:rPr>
        <w:t>》项目任务下达后，</w:t>
      </w:r>
      <w:r>
        <w:rPr>
          <w:rFonts w:hint="eastAsia" w:ascii="仿宋_GB2312" w:eastAsia="仿宋_GB2312"/>
          <w:color w:val="auto"/>
          <w:sz w:val="28"/>
          <w:szCs w:val="28"/>
          <w:lang w:val="en-US" w:eastAsia="zh-CN"/>
        </w:rPr>
        <w:t>柳州市工人医院、中国人民解放军陆军军医大学第一附属医院、首都医科大学附属北京同仁医院、广西医科大学第一附属医院、广西医科大学附属肿瘤医院、桂林医科大学第一附属医院、玉林市第一人民医院</w:t>
      </w:r>
      <w:r>
        <w:rPr>
          <w:rFonts w:hint="eastAsia" w:ascii="仿宋_GB2312" w:eastAsia="仿宋_GB2312"/>
          <w:color w:val="auto"/>
          <w:sz w:val="28"/>
          <w:szCs w:val="28"/>
        </w:rPr>
        <w:t>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US" w:eastAsia="zh-CN"/>
        </w:rPr>
        <w:t>成人慢性伤口负压伤口治疗（NPWT）护理</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US" w:eastAsia="zh-CN"/>
        </w:rPr>
        <w:t>成人慢性伤口负压伤口治疗（NPWT）护理</w:t>
      </w:r>
      <w:r>
        <w:rPr>
          <w:rFonts w:hint="eastAsia" w:ascii="仿宋_GB2312" w:eastAsia="仿宋_GB2312"/>
          <w:color w:val="auto"/>
          <w:sz w:val="28"/>
          <w:szCs w:val="28"/>
        </w:rPr>
        <w:t>的有关研究情况和目前科学界</w:t>
      </w:r>
      <w:r>
        <w:rPr>
          <w:rFonts w:hint="eastAsia" w:ascii="仿宋_GB2312" w:eastAsia="仿宋_GB2312"/>
          <w:color w:val="auto"/>
          <w:sz w:val="28"/>
          <w:szCs w:val="28"/>
          <w:lang w:val="en-US" w:eastAsia="zh-CN"/>
        </w:rPr>
        <w:t>成人慢性伤口负压伤口治疗（NPWT）护理</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US" w:eastAsia="zh-CN"/>
        </w:rPr>
        <w:t>成人慢性伤口负压伤口治疗（NPWT）护理</w:t>
      </w:r>
      <w:r>
        <w:rPr>
          <w:rFonts w:hint="eastAsia" w:ascii="仿宋_GB2312" w:eastAsia="仿宋_GB2312"/>
          <w:color w:val="auto"/>
          <w:sz w:val="28"/>
          <w:szCs w:val="28"/>
        </w:rPr>
        <w:t>的相关文献资料。主要</w:t>
      </w:r>
      <w:r>
        <w:rPr>
          <w:rFonts w:hint="eastAsia" w:ascii="仿宋_GB2312" w:eastAsia="仿宋_GB2312"/>
          <w:color w:val="auto"/>
          <w:sz w:val="28"/>
          <w:szCs w:val="28"/>
          <w:lang w:val="en-US" w:eastAsia="zh-CN"/>
        </w:rPr>
        <w:t>相关论文</w:t>
      </w:r>
      <w:r>
        <w:rPr>
          <w:rFonts w:hint="eastAsia" w:ascii="仿宋_GB2312" w:eastAsia="仿宋_GB2312"/>
          <w:color w:val="auto"/>
          <w:sz w:val="28"/>
          <w:szCs w:val="28"/>
        </w:rPr>
        <w:t>有：</w:t>
      </w:r>
    </w:p>
    <w:p w14:paraId="4FBE7DAF">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[1]  海峡两岸医药卫生交流协会烧创伤暨组织修复专委会.负压伤口疗法在糖尿病足创面治疗中的应用全国专家共识(2021版)J.中华烧伤杂志,2021,37(6): 508-518.</w:t>
      </w:r>
    </w:p>
    <w:p w14:paraId="2C4923EB">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[2]  国家药品监督管理局.负压引流装置产品注册技术审查指导原则[S]. 2020.</w:t>
      </w:r>
    </w:p>
    <w:p w14:paraId="13C0E759">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[3]  龙照忠,张莉莉,王彤华,等.VSD序贯结合PRP及臀上动脉穿支皮瓣修复骶尾部压疮[J].中国美容医学,2022,31(11):9-11+125.</w:t>
      </w:r>
    </w:p>
    <w:p w14:paraId="7EF51399">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自制多形状简易负压装置</w:t>
      </w:r>
      <w:bookmarkStart w:id="0" w:name="OLE_LINK12"/>
      <w:r>
        <w:rPr>
          <w:rFonts w:hint="eastAsia" w:ascii="宋体" w:hAnsi="宋体" w:eastAsia="宋体" w:cs="宋体"/>
          <w:color w:val="auto"/>
          <w:sz w:val="24"/>
          <w:szCs w:val="24"/>
        </w:rPr>
        <w:t>联合局部氧疗</w:t>
      </w:r>
      <w:bookmarkEnd w:id="0"/>
      <w:bookmarkStart w:id="1" w:name="OLE_LINK11"/>
      <w:r>
        <w:rPr>
          <w:rFonts w:hint="eastAsia" w:ascii="宋体" w:hAnsi="宋体" w:eastAsia="宋体" w:cs="宋体"/>
          <w:color w:val="auto"/>
          <w:sz w:val="24"/>
          <w:szCs w:val="24"/>
        </w:rPr>
        <w:t>在慢性创面治疗中的应用型研究</w:t>
      </w:r>
      <w:bookmarkEnd w:id="1"/>
    </w:p>
    <w:p w14:paraId="38A79E42">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bookmarkStart w:id="2" w:name="OLE_LINK10"/>
      <w:r>
        <w:rPr>
          <w:rFonts w:hint="eastAsia" w:ascii="宋体" w:hAnsi="宋体" w:eastAsia="宋体" w:cs="宋体"/>
          <w:color w:val="auto"/>
          <w:sz w:val="24"/>
          <w:szCs w:val="24"/>
        </w:rPr>
        <w:t>交叉式双层叠瓦贴膜法在骶尾部压力性损伤封闭式负压引流术中的应用</w:t>
      </w:r>
      <w:bookmarkEnd w:id="2"/>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（三）研讨确定标准主体内容</w:t>
      </w:r>
      <w:r>
        <w:rPr>
          <w:rFonts w:hint="eastAsia" w:ascii="仿宋_GB2312" w:eastAsia="仿宋_GB2312" w:cs="仿宋_GB2312"/>
          <w:b/>
          <w:color w:val="auto"/>
          <w:sz w:val="28"/>
          <w:szCs w:val="28"/>
          <w:lang w:eastAsia="zh-CN"/>
        </w:rPr>
        <w:t>、核心技术及创新点</w:t>
      </w:r>
    </w:p>
    <w:p w14:paraId="7D714B21">
      <w:pPr>
        <w:pStyle w:val="34"/>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基本要求、评估、操作要求、并发症预防与处置、健康教育的内容。</w:t>
      </w:r>
      <w:r>
        <w:rPr>
          <w:rFonts w:hint="eastAsia" w:ascii="仿宋_GB2312" w:eastAsia="仿宋_GB2312"/>
          <w:color w:val="auto"/>
          <w:sz w:val="28"/>
          <w:szCs w:val="28"/>
          <w:lang w:eastAsia="zh-CN"/>
        </w:rPr>
        <w:t>核心技术及创新点在于：</w:t>
      </w:r>
    </w:p>
    <w:p w14:paraId="5F8E6DA8">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（一）主要核心技术</w:t>
      </w:r>
      <w:bookmarkStart w:id="3" w:name="OLE_LINK1"/>
    </w:p>
    <w:p w14:paraId="5D238AB8">
      <w:pPr>
        <w:pStyle w:val="34"/>
        <w:spacing w:line="520" w:lineRule="exact"/>
        <w:ind w:firstLine="560"/>
        <w:rPr>
          <w:rFonts w:hint="eastAsia" w:ascii="仿宋_GB2312" w:eastAsia="仿宋_GB2312"/>
          <w:color w:val="auto"/>
          <w:sz w:val="28"/>
          <w:szCs w:val="28"/>
          <w:lang w:val="en-US" w:eastAsia="zh-CN"/>
        </w:rPr>
      </w:pPr>
      <w:bookmarkStart w:id="4" w:name="heading_13"/>
      <w:r>
        <w:rPr>
          <w:rFonts w:hint="eastAsia" w:ascii="仿宋_GB2312" w:eastAsia="仿宋_GB2312"/>
          <w:color w:val="auto"/>
          <w:sz w:val="28"/>
          <w:szCs w:val="28"/>
          <w:lang w:val="en-US" w:eastAsia="zh-CN"/>
        </w:rPr>
        <w:t>1.明确风险的评估。建立以患者安全为核心的评估体系，涵盖全身评估、伤口局部评估、治疗适配性与操作可行性评估。全身评估包括年龄、基础疾病、营养、凝血功能、血糖情况、肢体血运情况、疼痛耐受性及过敏史，识别影响伤口愈合的全身性因素。局部评估包括创面特征（部位、面积、深度、潜行/窦道）、组织类型、渗液量、感染征象及周围皮肤情况等。治疗适配性与操作可行性评估包括明确适应证、排除禁忌证、以及评估体位耐受性、治疗配合度等，确保操作前准备充分、风险可控。</w:t>
      </w:r>
    </w:p>
    <w:p w14:paraId="34E626DB">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2.明确治疗期监测与管理。确立以“压力精准调控+动态监测预警”为核心的治疗期管理方案。依据创面类型、渗液量、患者耐受度分层设定负压参数：</w:t>
      </w:r>
    </w:p>
    <w:p w14:paraId="33988FD7">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常规慢性创面：-80～-125 mmHg；高渗液/感染创面：-125～-175 mmHg（短期应用）；老年/疼痛敏感/脆弱组织创面：-50～-80 mmHg。</w:t>
      </w:r>
    </w:p>
    <w:p w14:paraId="4C5605F8">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明确3种负压模式（持续负压模式、间歇负压模式、可变负压模式）的应用指征及切换原则。建立负压有效性判断标准及漏气快速定位三步法（听、触、视），规范管路维护与引流通畅管理。监测指标包括24小时引流量、渗液性状、疼痛评分、创面愈合进展、周围皮肤完整性及体位减压效果，形成每日动态评估记录，确保治疗安全与患者舒适。</w:t>
      </w:r>
    </w:p>
    <w:p w14:paraId="21598B93">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规定了并发症风险预防与处理。皮肤损伤、创面出血、感染、管路堵塞、负压失效/漏气、疼痛、组织过度增生、肠皮肤漏、敷料过敏等。明确预警指标、判断标准、处置流程、记录要求及上报机制，实现风险早识别、早干预、早控制。</w:t>
      </w:r>
    </w:p>
    <w:bookmarkEnd w:id="4"/>
    <w:p w14:paraId="73A459D8">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4.负压治疗终止与后续管理。明确NPWT治疗终止专科判定指征，规范敷料撤除、创面再评估、创面清洁及后续治疗方案，统一创面愈合分级、疗效评价、功能锻炼与营养支持标准，保障创面管理连续规范。</w:t>
      </w:r>
    </w:p>
    <w:p w14:paraId="51698104">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主要创新点</w:t>
      </w:r>
      <w:bookmarkStart w:id="5" w:name="OLE_LINK8"/>
      <w:bookmarkStart w:id="6" w:name="OLE_LINK2"/>
      <w:bookmarkStart w:id="7" w:name="OLE_LINK7"/>
    </w:p>
    <w:p w14:paraId="7A53BA21">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构建成人慢性伤口负压伤口治疗（NPWT）全流程护理规范，填补标准空白。整合评估、操作、监测、并发症防控、质量评价全链条技术体系，建立区域内NPWT全流程护理规范，统一临床实践标准，填补慢性伤口NPWT专用护理规范空白，实现护理行为同质化、规范化、可落地。</w:t>
      </w:r>
    </w:p>
    <w:p w14:paraId="1C367836">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2.建立成人慢性伤口NPWT专科化质量评价。构建成人慢性伤口NPWT质量指标与创面准备量化评分体系，为专科培训、资质准入、质控督查及质量改进提供依据，推动慢性伤口护理高质量发展。</w:t>
      </w:r>
    </w:p>
    <w:p w14:paraId="700BF938">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3.相关亮点技术：</w:t>
      </w:r>
    </w:p>
    <w:p w14:paraId="6D2E6EF4">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整合复杂、特殊创面适配技术。针对多部位创面、比吸盘小的创面、特殊形态创面形成一体化NPWT适配技术，包括两个及多个伤口间泡沫敷料桥接技术、小于吸盘创面的适配处理、Chariker-jeter技术应用，以及负压引流冲洗套管的自制等，拓展负压伤口治疗在复杂创面中的适用范围。</w:t>
      </w:r>
    </w:p>
    <w:p w14:paraId="7CB017E1">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窦道、潜行、深腔伤口敷料剪裁及填充技术。针对窦道、潜行及深腔伤口，建立规范化敷料剪裁与填充方法。窦道与潜行创面采用三维裁剪法，先精准测量长度、深度与走行方向，将泡沫修剪为匹配形态后轻柔置入伤口底部，确保与创面完全接触，并在开口处留置标识便于取出。操作中宜选用白色泡沫，长度略长于窦道潜行，置入后适度回拉，再以黑色泡沫覆盖创面主体，黑白泡沫间保持有效重叠，避免过度填塞或挤压。深度超过3cm的深腔创面采用分层填充方式，底层宜放置白色聚乙烯醇泡沫以减少组织长入，上层使用黑色聚氨酯泡沫以促进肉芽组织生长，两层间由引流管贯穿连接，保证负压均匀传导。</w:t>
      </w:r>
    </w:p>
    <w:p w14:paraId="78FBBE93">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周围皮肤保护技术。针对老年、长期使用激素等脆弱皮肤，建立三级皮肤保护流程。第一层涂抹无酒精皮肤保护剂（液体敷料），待充分干燥后形成保护膜；第二层根据创面大小裁剪超薄水胶体或硅酮泡沫，覆盖范围距创缘1～2cm；第三层使用透明贴膜密闭，边缘超出内层敷料1-2cm以上，在提升密闭性的同时最大限度降低皮肤损伤风险。</w:t>
      </w:r>
    </w:p>
    <w:p w14:paraId="612A4D43">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（4）贴膜密闭强化技术。领结法、包饺子法、三明治法、交叉式双层叠瓦贴膜法。</w:t>
      </w:r>
    </w:p>
    <w:p w14:paraId="366BC88F">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（5）皮肤皱褶与凹陷处理：创面周边凹陷、皱褶及骨隆突处，均先使用防漏膏、皮肤保护膜或条状敷料进行填充塑形，使皮肤表面平整连续，再行整体贴膜密闭，从源头减少漏气风险</w:t>
      </w:r>
      <w:bookmarkEnd w:id="3"/>
      <w:bookmarkEnd w:id="5"/>
      <w:bookmarkEnd w:id="6"/>
      <w:bookmarkEnd w:id="7"/>
      <w:r>
        <w:rPr>
          <w:rFonts w:hint="eastAsia" w:ascii="仿宋_GB2312" w:eastAsia="仿宋_GB2312"/>
          <w:color w:val="auto"/>
          <w:sz w:val="28"/>
          <w:szCs w:val="28"/>
          <w:lang w:val="en-US" w:eastAsia="zh-CN"/>
        </w:rPr>
        <w:t>。</w:t>
      </w:r>
    </w:p>
    <w:p w14:paraId="31A81503">
      <w:pPr>
        <w:spacing w:line="520" w:lineRule="exact"/>
        <w:ind w:firstLine="562" w:firstLineChars="200"/>
        <w:rPr>
          <w:rFonts w:hint="default" w:ascii="仿宋_GB2312" w:eastAsia="仿宋_GB2312" w:cs="仿宋_GB2312"/>
          <w:b/>
          <w:color w:val="auto"/>
          <w:sz w:val="28"/>
          <w:szCs w:val="28"/>
          <w:lang w:val="en-US"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2026年1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kern w:val="0"/>
          <w:sz w:val="28"/>
          <w:szCs w:val="28"/>
          <w:lang w:eastAsia="zh-CN"/>
        </w:rPr>
        <w:t>成人慢性伤口负压伤口治疗（NPWT）护理</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成人慢性伤口负压伤口治疗（NPWT）护理操作规范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kern w:val="0"/>
          <w:sz w:val="28"/>
          <w:szCs w:val="28"/>
          <w:lang w:eastAsia="zh-CN"/>
        </w:rPr>
        <w:t>成人慢性伤口负压伤口治疗（NPWT）护理</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目前成人慢性伤口负压伤口治疗（NPWT）护理</w:t>
      </w:r>
      <w:r>
        <w:rPr>
          <w:rFonts w:hint="eastAsia" w:ascii="仿宋_GB2312" w:eastAsia="仿宋_GB2312"/>
          <w:color w:val="auto"/>
          <w:kern w:val="0"/>
          <w:sz w:val="28"/>
          <w:szCs w:val="28"/>
        </w:rPr>
        <w:t>实际</w:t>
      </w:r>
      <w:r>
        <w:rPr>
          <w:rFonts w:hint="eastAsia" w:ascii="仿宋_GB2312" w:eastAsia="仿宋_GB2312"/>
          <w:color w:val="auto"/>
          <w:kern w:val="0"/>
          <w:sz w:val="28"/>
          <w:szCs w:val="28"/>
          <w:lang w:eastAsia="zh-CN"/>
        </w:rPr>
        <w:t>治疗</w:t>
      </w:r>
      <w:r>
        <w:rPr>
          <w:rFonts w:hint="eastAsia" w:ascii="仿宋_GB2312" w:eastAsia="仿宋_GB2312"/>
          <w:color w:val="auto"/>
          <w:kern w:val="0"/>
          <w:sz w:val="28"/>
          <w:szCs w:val="28"/>
        </w:rPr>
        <w:t>操作的基础上，按照简化、统一等原则编制完成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成人慢性伤口负压伤口治疗（NPWT）护理操作规范</w:t>
      </w:r>
      <w:r>
        <w:rPr>
          <w:rFonts w:hint="eastAsia" w:ascii="仿宋_GB2312" w:eastAsia="仿宋_GB2312"/>
          <w:color w:val="auto"/>
          <w:kern w:val="0"/>
          <w:sz w:val="28"/>
          <w:szCs w:val="28"/>
        </w:rPr>
        <w:t>》（草案）。</w:t>
      </w:r>
    </w:p>
    <w:p w14:paraId="24684DDC">
      <w:pPr>
        <w:spacing w:line="520" w:lineRule="exact"/>
        <w:ind w:firstLine="560" w:firstLineChars="200"/>
        <w:rPr>
          <w:rFonts w:hint="eastAsia"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4</w:t>
      </w:r>
      <w:r>
        <w:rPr>
          <w:rFonts w:hint="eastAsia" w:ascii="仿宋_GB2312" w:eastAsia="仿宋_GB2312"/>
          <w:color w:val="auto"/>
          <w:kern w:val="0"/>
          <w:sz w:val="28"/>
          <w:szCs w:val="28"/>
        </w:rPr>
        <w:t>月，标准编制工作组深入</w:t>
      </w:r>
      <w:r>
        <w:rPr>
          <w:rFonts w:hint="eastAsia" w:ascii="仿宋_GB2312" w:eastAsia="仿宋_GB2312"/>
          <w:color w:val="auto"/>
          <w:kern w:val="0"/>
          <w:sz w:val="28"/>
          <w:szCs w:val="28"/>
          <w:lang w:val="en-US" w:eastAsia="zh-CN"/>
        </w:rPr>
        <w:t>中国人民解放军陆军军医大学第一附属医院、首都医科大学附属北京同仁医院、广西医科大学第一附属医院、广西医科大学附属肿瘤医院、桂林医科大学第一附属医院、玉林市第一人民医院</w:t>
      </w:r>
      <w:r>
        <w:rPr>
          <w:rFonts w:hint="eastAsia" w:ascii="仿宋_GB2312" w:eastAsia="仿宋_GB2312"/>
          <w:color w:val="auto"/>
          <w:kern w:val="0"/>
          <w:sz w:val="28"/>
          <w:szCs w:val="28"/>
          <w:lang w:eastAsia="zh-CN"/>
        </w:rPr>
        <w:t>等在实施成人慢性伤口负压伤口治疗（NPWT）护理</w:t>
      </w:r>
      <w:r>
        <w:rPr>
          <w:rFonts w:hint="eastAsia" w:ascii="仿宋_GB2312" w:eastAsia="仿宋_GB2312"/>
          <w:color w:val="auto"/>
          <w:sz w:val="28"/>
          <w:szCs w:val="28"/>
          <w:lang w:val="en-US" w:eastAsia="zh-CN"/>
        </w:rPr>
        <w:t>领域具</w:t>
      </w:r>
      <w:r>
        <w:rPr>
          <w:rFonts w:hint="eastAsia" w:ascii="仿宋_GB2312" w:hAnsi="宋体" w:eastAsia="仿宋_GB2312"/>
          <w:color w:val="auto"/>
          <w:sz w:val="28"/>
          <w:szCs w:val="28"/>
        </w:rPr>
        <w:t>有代表性的医院</w:t>
      </w:r>
      <w:r>
        <w:rPr>
          <w:rFonts w:hint="eastAsia" w:ascii="仿宋_GB2312" w:eastAsia="仿宋_GB2312"/>
          <w:color w:val="auto"/>
          <w:kern w:val="0"/>
          <w:sz w:val="28"/>
          <w:szCs w:val="28"/>
        </w:rPr>
        <w:t>进行实地调研</w:t>
      </w:r>
      <w:r>
        <w:rPr>
          <w:rFonts w:hint="eastAsia" w:ascii="仿宋_GB2312" w:eastAsia="仿宋_GB2312"/>
          <w:color w:val="auto"/>
          <w:kern w:val="0"/>
          <w:sz w:val="28"/>
          <w:szCs w:val="28"/>
          <w:lang w:eastAsia="zh-CN"/>
        </w:rPr>
        <w:t>、交流学习</w:t>
      </w:r>
      <w:r>
        <w:rPr>
          <w:rFonts w:hint="eastAsia" w:ascii="仿宋_GB2312" w:eastAsia="仿宋_GB2312"/>
          <w:color w:val="auto"/>
          <w:kern w:val="0"/>
          <w:sz w:val="28"/>
          <w:szCs w:val="28"/>
        </w:rPr>
        <w:t>，并组织相关主管单位、医疗机构等召开标准研讨会，收集反馈了大量意见，对标准草案进行了反复修改和研究讨论，掌握了</w:t>
      </w:r>
      <w:r>
        <w:rPr>
          <w:rFonts w:hint="eastAsia" w:ascii="仿宋_GB2312" w:eastAsia="仿宋_GB2312"/>
          <w:color w:val="auto"/>
          <w:kern w:val="0"/>
          <w:sz w:val="28"/>
          <w:szCs w:val="28"/>
          <w:lang w:eastAsia="zh-CN"/>
        </w:rPr>
        <w:t>成人慢性伤口负压伤口治疗（NPWT）护理</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8"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成人慢性伤口负压伤口治疗（NPWT）护理操作规范</w:t>
      </w:r>
      <w:r>
        <w:rPr>
          <w:rFonts w:hint="eastAsia" w:ascii="仿宋_GB2312" w:eastAsia="仿宋_GB2312"/>
          <w:color w:val="auto"/>
          <w:kern w:val="0"/>
          <w:sz w:val="28"/>
          <w:szCs w:val="28"/>
        </w:rPr>
        <w:t>》（征求意见稿）及其编制说明。</w:t>
      </w:r>
      <w:bookmarkEnd w:id="8"/>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kern w:val="0"/>
          <w:sz w:val="28"/>
          <w:szCs w:val="28"/>
          <w:lang w:eastAsia="zh-CN"/>
        </w:rPr>
        <w:t>成人慢性伤口负压伤口治疗护理技术</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成人慢性伤口负压伤口治疗（NPWT）护理技术</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0145E3DB">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经查新暂无与“成人慢性伤口负压伤口治疗（NPWT）护理操作”相关的标准及共识指南。</w:t>
      </w:r>
    </w:p>
    <w:p w14:paraId="30446A0B">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综述：目前该领域缺乏专门针对NPWT护理操作标准。本标准基于临床实践与循证依据，系统规范NPWT的适应证评估、装置选择、敷料更换、压力调节、并发症预防与处理等全流程护理操作。在护理技术细节、质量控制、安全管理等方面形成完整、可操作的规范体系，填补该领域标准空白</w:t>
      </w:r>
      <w:r>
        <w:rPr>
          <w:rFonts w:hint="eastAsia" w:ascii="仿宋_GB2312" w:eastAsia="仿宋_GB2312"/>
          <w:color w:val="auto"/>
          <w:sz w:val="28"/>
          <w:szCs w:val="28"/>
          <w:lang w:eastAsia="zh-CN"/>
        </w:rPr>
        <w:t>。</w:t>
      </w:r>
    </w:p>
    <w:p w14:paraId="7B6445AB">
      <w:pPr>
        <w:spacing w:before="240" w:after="60" w:line="520" w:lineRule="exact"/>
        <w:ind w:firstLine="640" w:firstLineChars="200"/>
        <w:jc w:val="left"/>
        <w:outlineLvl w:val="0"/>
        <w:rPr>
          <w:rFonts w:hint="eastAsia" w:ascii="黑体" w:eastAsia="黑体"/>
          <w:bCs/>
          <w:color w:val="auto"/>
          <w:sz w:val="32"/>
          <w:szCs w:val="32"/>
          <w:lang w:eastAsia="zh-CN"/>
        </w:rPr>
      </w:pPr>
      <w:r>
        <w:rPr>
          <w:rFonts w:hint="eastAsia" w:ascii="黑体" w:eastAsia="黑体"/>
          <w:bCs/>
          <w:color w:val="auto"/>
          <w:sz w:val="32"/>
          <w:szCs w:val="32"/>
        </w:rPr>
        <w:t>五、主要条款的说明</w:t>
      </w:r>
    </w:p>
    <w:p w14:paraId="15BD0DF2">
      <w:pPr>
        <w:pStyle w:val="34"/>
        <w:spacing w:line="520" w:lineRule="exact"/>
        <w:ind w:firstLine="562"/>
        <w:rPr>
          <w:rFonts w:hint="eastAsia" w:ascii="仿宋_GB2312" w:hAnsi="Calibri" w:eastAsia="仿宋_GB2312" w:cs="仿宋"/>
          <w:bCs/>
          <w:color w:val="auto"/>
          <w:sz w:val="28"/>
          <w:szCs w:val="28"/>
          <w:lang w:val="en-US" w:eastAsia="zh-CN"/>
        </w:rPr>
      </w:pPr>
      <w:r>
        <w:rPr>
          <w:rFonts w:hint="eastAsia" w:ascii="仿宋_GB2312" w:eastAsia="仿宋_GB2312" w:cs="仿宋"/>
          <w:b w:val="0"/>
          <w:bCs w:val="0"/>
          <w:color w:val="auto"/>
          <w:sz w:val="28"/>
          <w:szCs w:val="28"/>
        </w:rPr>
        <w:t>标准技术内容规定了成人慢性伤口负压伤口治疗（NPWT）护理的基本要求、评估、操作要求、并发症预防与处置、健康教育的内容。</w:t>
      </w:r>
      <w:r>
        <w:rPr>
          <w:rFonts w:hint="eastAsia" w:ascii="仿宋_GB2312" w:hAnsi="Calibri" w:eastAsia="仿宋_GB2312" w:cs="仿宋"/>
          <w:bCs/>
          <w:color w:val="auto"/>
          <w:sz w:val="28"/>
          <w:szCs w:val="28"/>
          <w:lang w:val="en-US" w:eastAsia="zh-CN"/>
        </w:rPr>
        <w:t>标准编制组在</w:t>
      </w:r>
      <w:r>
        <w:rPr>
          <w:rFonts w:hint="eastAsia" w:ascii="仿宋_GB2312" w:eastAsia="仿宋_GB2312" w:cs="仿宋"/>
          <w:b w:val="0"/>
          <w:bCs w:val="0"/>
          <w:color w:val="auto"/>
          <w:sz w:val="28"/>
          <w:szCs w:val="28"/>
          <w:lang w:eastAsia="zh-CN"/>
        </w:rPr>
        <w:t>成人慢性伤口NPWT护理</w:t>
      </w:r>
      <w:r>
        <w:rPr>
          <w:rFonts w:hint="eastAsia" w:ascii="仿宋_GB2312" w:hAnsi="Calibri" w:eastAsia="仿宋_GB2312" w:cs="仿宋"/>
          <w:bCs/>
          <w:color w:val="auto"/>
          <w:sz w:val="28"/>
          <w:szCs w:val="28"/>
          <w:lang w:val="en-US" w:eastAsia="zh-CN"/>
        </w:rPr>
        <w:t>方面具有丰富经验，通过前期研究为本标准制定奠定了坚实基础。具体依据来源说明如下：</w:t>
      </w:r>
    </w:p>
    <w:p w14:paraId="3A3B9ADA">
      <w:pPr>
        <w:pStyle w:val="34"/>
        <w:numPr>
          <w:ilvl w:val="0"/>
          <w:numId w:val="12"/>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rPr>
        <w:t>术语和定义</w:t>
      </w:r>
    </w:p>
    <w:p w14:paraId="280F678A">
      <w:pPr>
        <w:pStyle w:val="34"/>
        <w:spacing w:line="520" w:lineRule="exact"/>
        <w:ind w:firstLine="562"/>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eastAsia="zh-CN"/>
        </w:rPr>
        <w:t>负压伤口治疗（NPWT）作为一项先进的伤口处理技术，已在全球范围内的急、慢性创面管理中广泛应用。EWMA于2015年成立了跨学科工作组，旨在编写关于NPWT的临床应用指导文件，并于2017年首次发表《Negative Pressure Wound Therapy: Overview, Challenges and Perspectives》。2020年底，EWMA启动该文件的更新工作，于2024年正式发布《Negative Pressure Wound Therapy: An Update for Clinicians and Outpatient Care Givers》。该指导文件用较为精炼的定义表述了NPWT的概念——NPWT是指将可控负压系统局部应用于创面的一种治疗方法。NPWT的定义亦被描述为使用带有抽吸泵、管路和敷料的医疗设备。UpToDate临床顾问专题则将NPWT定义为“一种持续或间断施加负压的伤口敷料系统”。北京大学第一医院的临床阐述进一步指出，“NPWT是采用专用泡沫敷料，利用透明贴膜封闭伤口，使用专用负压泵产生精确控制的负压，来促进伤口愈合的一种伤口治疗技术”。上述国际与国内权威定义在核心要素上高度一致，本文定义充分吸收并整合了这些权威资源。</w:t>
      </w:r>
    </w:p>
    <w:p w14:paraId="57A6100E">
      <w:pPr>
        <w:pStyle w:val="34"/>
        <w:spacing w:line="520" w:lineRule="exact"/>
        <w:ind w:firstLine="562"/>
        <w:rPr>
          <w:rFonts w:hint="eastAsia" w:ascii="仿宋_GB2312" w:eastAsia="仿宋_GB2312" w:cs="仿宋"/>
          <w:b w:val="0"/>
          <w:bCs w:val="0"/>
          <w:color w:val="auto"/>
          <w:sz w:val="28"/>
          <w:szCs w:val="28"/>
          <w:lang w:eastAsia="zh-CN"/>
        </w:rPr>
      </w:pPr>
      <w:bookmarkStart w:id="13" w:name="_GoBack"/>
      <w:r>
        <w:rPr>
          <w:rFonts w:hint="eastAsia" w:ascii="仿宋_GB2312" w:eastAsia="仿宋_GB2312" w:cs="仿宋"/>
          <w:b w:val="0"/>
          <w:bCs w:val="0"/>
          <w:color w:val="auto"/>
          <w:sz w:val="28"/>
          <w:szCs w:val="28"/>
        </w:rPr>
        <w:t>关于负压范围的设定依据，现有文献中给出的NPWT负压范围略有差异。EWMA及其引用文献中，典型的封闭式负压引流系统可将压力设定在–50 mmHg至–200 mmHg范围内进行有效的创面治疗；NIH指出现代标准NPWT由Argenta和Morykwas于1997年提出，包括一个多孔泡沫敷料，可施加连续或间歇抽吸，压力可设定至多–125 mmHg</w:t>
      </w:r>
      <w:r>
        <w:rPr>
          <w:rFonts w:hint="default" w:ascii="仿宋_GB2312" w:eastAsia="仿宋_GB2312" w:cs="仿宋"/>
          <w:b w:val="0"/>
          <w:bCs w:val="0"/>
          <w:color w:val="auto"/>
          <w:sz w:val="28"/>
          <w:szCs w:val="28"/>
        </w:rPr>
        <w:t>。国内专家共识和北大医院临床阐述中，常规NPWT压力范围为–55 mmHg至–175 mmHg，临床上可根据创面类型、渗出量及患者耐受度进行分层调整。因此，本文件将负压伤口治疗的定义负压范围设定为–55 mmHg至–175 mmHg，既概括了NPWT临床应用的常规压力范围，又与国内临床实践和EWMA国际共识中的总体范围保持一致。</w:t>
      </w:r>
    </w:p>
    <w:bookmarkEnd w:id="13"/>
    <w:p w14:paraId="43D21E1A">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（二）基本要求</w:t>
      </w:r>
    </w:p>
    <w:p w14:paraId="7D2B64E1">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lang w:val="en-US" w:eastAsia="zh-CN"/>
        </w:rPr>
        <w:t>明确了做</w:t>
      </w:r>
      <w:r>
        <w:rPr>
          <w:rFonts w:hint="eastAsia" w:ascii="仿宋_GB2312" w:eastAsia="仿宋_GB2312" w:cs="仿宋"/>
          <w:b w:val="0"/>
          <w:bCs w:val="0"/>
          <w:color w:val="auto"/>
          <w:sz w:val="28"/>
          <w:szCs w:val="28"/>
        </w:rPr>
        <w:t>负压伤口治疗</w:t>
      </w:r>
      <w:r>
        <w:rPr>
          <w:rFonts w:hint="eastAsia" w:ascii="仿宋_GB2312" w:eastAsia="仿宋_GB2312" w:cs="仿宋"/>
          <w:b w:val="0"/>
          <w:bCs w:val="0"/>
          <w:color w:val="auto"/>
          <w:sz w:val="28"/>
          <w:szCs w:val="28"/>
          <w:lang w:val="en-US" w:eastAsia="zh-CN"/>
        </w:rPr>
        <w:t>护理的</w:t>
      </w:r>
      <w:r>
        <w:rPr>
          <w:rFonts w:hint="eastAsia" w:ascii="仿宋_GB2312" w:eastAsia="仿宋_GB2312" w:cs="仿宋"/>
          <w:b w:val="0"/>
          <w:bCs w:val="0"/>
          <w:color w:val="auto"/>
          <w:sz w:val="28"/>
          <w:szCs w:val="28"/>
        </w:rPr>
        <w:t>人员、设备与耗材、环境</w:t>
      </w:r>
      <w:r>
        <w:rPr>
          <w:rFonts w:hint="eastAsia" w:ascii="仿宋_GB2312" w:eastAsia="仿宋_GB2312" w:cs="仿宋"/>
          <w:b w:val="0"/>
          <w:bCs w:val="0"/>
          <w:color w:val="auto"/>
          <w:sz w:val="28"/>
          <w:szCs w:val="28"/>
          <w:lang w:val="en-US" w:eastAsia="zh-CN"/>
        </w:rPr>
        <w:t>要求</w:t>
      </w:r>
      <w:r>
        <w:rPr>
          <w:rFonts w:hint="eastAsia" w:ascii="仿宋_GB2312" w:eastAsia="仿宋_GB2312" w:cs="仿宋"/>
          <w:b w:val="0"/>
          <w:bCs w:val="0"/>
          <w:color w:val="auto"/>
          <w:sz w:val="28"/>
          <w:szCs w:val="28"/>
        </w:rPr>
        <w:t>，主要是基于以下考虑：负压伤口治疗（NPWT）技术操作复杂，涉及设备参数调节、敷料裁剪密封、并发症识别等多个环节，对操作者的专业能力要求较高，因此明确人员应经过系统培训并考核合格，且需掌握从基本原理到应急预案的全流程知识，以保障患者安全与治疗效果；在设备与耗材方面，一次性无菌敷料及配套耗材的选择需依据伤口性质、渗出量、形态深度等个体化因素，其中白色聚乙烯醇泡沫适用于窦道及深腔伤口，黑色聚氨酯泡沫适用于创面主体，此为临床循证共识，有助于提升引流效果并避免肉芽组织长入；</w:t>
      </w:r>
      <w:r>
        <w:rPr>
          <w:rFonts w:hint="eastAsia" w:ascii="仿宋_GB2312" w:eastAsia="仿宋_GB2312" w:cs="仿宋"/>
          <w:b w:val="0"/>
          <w:bCs w:val="0"/>
          <w:color w:val="auto"/>
          <w:sz w:val="28"/>
          <w:szCs w:val="28"/>
          <w:lang w:val="en-US" w:eastAsia="zh-CN"/>
        </w:rPr>
        <w:t>在</w:t>
      </w:r>
      <w:r>
        <w:rPr>
          <w:rFonts w:hint="eastAsia" w:ascii="仿宋_GB2312" w:eastAsia="仿宋_GB2312" w:cs="仿宋"/>
          <w:b w:val="0"/>
          <w:bCs w:val="0"/>
          <w:color w:val="auto"/>
          <w:sz w:val="28"/>
          <w:szCs w:val="28"/>
        </w:rPr>
        <w:t>环境方面，要求在清洁、安静、光线充足的换药室或病房内操作，并符合GB 15982的消毒卫生标准，是为了降低交叉感染风险，保证操作过程中的无菌条件和操作者专注度，从而提高NPWT的成功率与护理质量。 以上要求综合了技术可行性、临床安全性与感染控制原则，旨在形成系统、规范、可操作的NPWT护理标准。</w:t>
      </w:r>
    </w:p>
    <w:p w14:paraId="4F66BF78">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（三）</w:t>
      </w:r>
      <w:bookmarkStart w:id="9" w:name="_Toc228300661"/>
      <w:bookmarkStart w:id="10" w:name="_Toc228300806"/>
      <w:r>
        <w:rPr>
          <w:rFonts w:hint="eastAsia" w:ascii="仿宋_GB2312" w:eastAsia="仿宋_GB2312" w:cs="仿宋"/>
          <w:b/>
          <w:bCs/>
          <w:color w:val="auto"/>
          <w:sz w:val="28"/>
          <w:szCs w:val="28"/>
          <w:lang w:val="en-US" w:eastAsia="zh-CN"/>
        </w:rPr>
        <w:t>适应症与禁忌症</w:t>
      </w:r>
      <w:bookmarkEnd w:id="9"/>
      <w:bookmarkEnd w:id="10"/>
    </w:p>
    <w:p w14:paraId="151B394B">
      <w:pPr>
        <w:pStyle w:val="34"/>
        <w:spacing w:line="520" w:lineRule="exact"/>
        <w:ind w:firstLine="562"/>
        <w:rPr>
          <w:rFonts w:hint="default"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1、适应症</w:t>
      </w:r>
    </w:p>
    <w:p w14:paraId="19B617E8">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lang w:val="en-US" w:eastAsia="zh-CN"/>
        </w:rPr>
        <w:t>将压力性损伤（Ⅲ期、Ⅳ期）纳入适应症，主要依据在于压力性损伤是NPWT临床应用最为成熟的慢性伤口类型之一。综合国内外文献，压力性损伤（压疮）被广泛列为NPWT的适应症，尤其是Ⅲ期和Ⅳ期压疮，因其创面深、渗出多、愈合缓慢，NPWT可通过充分引流渗出液、减轻创周水肿、促进肉芽组织增生等机制加速创面愈合</w:t>
      </w:r>
      <w:r>
        <w:rPr>
          <w:rFonts w:hint="eastAsia" w:ascii="仿宋_GB2312" w:eastAsia="仿宋_GB2312" w:cs="仿宋"/>
          <w:b w:val="0"/>
          <w:bCs w:val="0"/>
          <w:color w:val="auto"/>
          <w:sz w:val="28"/>
          <w:szCs w:val="28"/>
        </w:rPr>
        <w:t>。</w:t>
      </w:r>
    </w:p>
    <w:p w14:paraId="7081EF62">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糖尿病足溃疡（Wagner分级2级及以上）纳入适应症，主要依据《负压伤口疗法在糖尿病足创面治疗中的应用全国专家共识（2021版）》。该共识指出，NPWT被公认为具有改善创面引流、增加血流灌注、促进肉芽组织生长等作用，美国创面愈合协会在糖尿病足溃疡治疗指南中将NPWT作为Ⅰ类证据等级推荐，国际糖尿病足工作组在2019年糖尿病足防治国际指南中也推荐使用负压治疗以促进溃疡愈合。Wagner分级2级及以上的足溃疡通常深及肌腱或骨骼，常规换药愈合困难，NPWT可作为重要的辅助治疗手段。</w:t>
      </w:r>
    </w:p>
    <w:p w14:paraId="27B38FF1">
      <w:pPr>
        <w:pStyle w:val="34"/>
        <w:spacing w:line="520" w:lineRule="exact"/>
        <w:ind w:firstLine="562"/>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rPr>
        <w:t>下肢静脉溃疡，主要依据在于已有循证研究证实NPWT对难愈性下肢静脉溃疡具有临床疗效。相关研究表明，NPWT作为标准伤口护理的辅助手段，用于治疗难愈性下肢静脉溃疡，可有效缩小溃疡深度、体积及面积，加速创面愈合-。国内亦有学者系统检索了下肢静脉溃疡负压伤口治疗的相关证据，包括临床决策、指南、系统评价、随机对照试验及专家共识，为临床规范应用NPWT治疗下肢静脉溃疡提供了参考依据</w:t>
      </w:r>
      <w:r>
        <w:rPr>
          <w:rFonts w:hint="eastAsia" w:ascii="仿宋_GB2312" w:eastAsia="仿宋_GB2312" w:cs="仿宋"/>
          <w:b w:val="0"/>
          <w:bCs w:val="0"/>
          <w:color w:val="auto"/>
          <w:sz w:val="28"/>
          <w:szCs w:val="28"/>
          <w:lang w:eastAsia="zh-CN"/>
        </w:rPr>
        <w:t>。</w:t>
      </w:r>
    </w:p>
    <w:p w14:paraId="47AFDD6C">
      <w:pPr>
        <w:pStyle w:val="34"/>
        <w:spacing w:line="520" w:lineRule="exact"/>
        <w:ind w:firstLine="562"/>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eastAsia="zh-CN"/>
        </w:rPr>
        <w:t>术后切口愈合不良或裂开，主要依据在于术后切口愈合不良（如切口感染、裂开、脂肪液化等）是临床常见问题，NPWT通过对切口创面施加可控负压，可有效清除炎性渗出液、减轻组织水肿、促进创缘对合，为二期愈合或再次手术闭合创造创基条件。</w:t>
      </w:r>
    </w:p>
    <w:p w14:paraId="4B98E1B8">
      <w:pPr>
        <w:pStyle w:val="34"/>
        <w:spacing w:line="520" w:lineRule="exact"/>
        <w:ind w:firstLine="562"/>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eastAsia="zh-CN"/>
        </w:rPr>
        <w:t>外伤后软组织缺损，主要依据在于NPWT已成为管理创伤性软组织损伤的重要工具</w:t>
      </w:r>
      <w:r>
        <w:rPr>
          <w:rFonts w:hint="default" w:ascii="仿宋_GB2312" w:eastAsia="仿宋_GB2312" w:cs="仿宋"/>
          <w:b w:val="0"/>
          <w:bCs w:val="0"/>
          <w:color w:val="auto"/>
          <w:sz w:val="28"/>
          <w:szCs w:val="28"/>
          <w:lang w:eastAsia="zh-CN"/>
        </w:rPr>
        <w:t>。NPWT通过多种机制改善局部创面环境，包括减轻水肿、刺激血管生成、降低细菌负荷和促进愈合，尤其适用于大面积软组织挫裂伤、脱套伤及清创后形成的巨大死腔创面</w:t>
      </w:r>
      <w:r>
        <w:rPr>
          <w:rFonts w:hint="eastAsia" w:ascii="仿宋_GB2312" w:eastAsia="仿宋_GB2312" w:cs="仿宋"/>
          <w:b w:val="0"/>
          <w:bCs w:val="0"/>
          <w:color w:val="auto"/>
          <w:sz w:val="28"/>
          <w:szCs w:val="28"/>
          <w:lang w:eastAsia="zh-CN"/>
        </w:rPr>
        <w:t>。</w:t>
      </w:r>
    </w:p>
    <w:p w14:paraId="56D72696">
      <w:pPr>
        <w:pStyle w:val="34"/>
        <w:spacing w:line="520" w:lineRule="exact"/>
        <w:ind w:firstLine="562"/>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val="en-US" w:eastAsia="zh-CN"/>
        </w:rPr>
        <w:t>2、</w:t>
      </w:r>
      <w:r>
        <w:rPr>
          <w:rFonts w:hint="default" w:ascii="仿宋_GB2312" w:eastAsia="仿宋_GB2312" w:cs="仿宋"/>
          <w:b w:val="0"/>
          <w:bCs w:val="0"/>
          <w:color w:val="auto"/>
          <w:sz w:val="28"/>
          <w:szCs w:val="28"/>
          <w:lang w:eastAsia="zh-CN"/>
        </w:rPr>
        <w:t>禁忌症</w:t>
      </w:r>
    </w:p>
    <w:p w14:paraId="4D9D47E5">
      <w:pPr>
        <w:pStyle w:val="34"/>
        <w:spacing w:line="520" w:lineRule="exact"/>
        <w:ind w:firstLine="562"/>
        <w:rPr>
          <w:rFonts w:hint="default" w:ascii="Segoe UI" w:hAnsi="Segoe UI" w:eastAsia="Segoe UI" w:cs="Segoe UI"/>
          <w:i w:val="0"/>
          <w:iCs w:val="0"/>
          <w:caps w:val="0"/>
          <w:color w:val="0F1115"/>
          <w:spacing w:val="0"/>
          <w:sz w:val="24"/>
          <w:szCs w:val="24"/>
          <w:shd w:val="clear" w:fill="FFFFFF"/>
        </w:rPr>
      </w:pPr>
      <w:r>
        <w:rPr>
          <w:rFonts w:ascii="Segoe UI" w:hAnsi="Segoe UI" w:eastAsia="Segoe UI" w:cs="Segoe UI"/>
          <w:i w:val="0"/>
          <w:iCs w:val="0"/>
          <w:caps w:val="0"/>
          <w:color w:val="0F1115"/>
          <w:spacing w:val="0"/>
          <w:sz w:val="24"/>
          <w:szCs w:val="24"/>
          <w:shd w:val="clear" w:fill="FFFFFF"/>
        </w:rPr>
        <w:t>关</w:t>
      </w:r>
      <w:r>
        <w:rPr>
          <w:rFonts w:hint="default" w:ascii="仿宋_GB2312" w:eastAsia="仿宋_GB2312" w:cs="仿宋"/>
          <w:b w:val="0"/>
          <w:bCs w:val="0"/>
          <w:color w:val="auto"/>
          <w:sz w:val="28"/>
          <w:szCs w:val="28"/>
          <w:lang w:eastAsia="zh-CN"/>
        </w:rPr>
        <w:t>于禁忌症条款，创面有未被清除的坏死组织或焦痂属于相对禁忌症。NPWT敷料直接覆盖未经彻底清创的坏死组织或焦痂，不仅无法发挥引流促进愈合的作用，反而可能因封闭环境加重感染风险。因此，应在彻底清创、去除坏死组织后再考虑是否应用NPWT。未经治疗的骨髓炎纳入禁忌症，主要依据在于NPWT不宜用于未经治疗的骨髓炎创面。活动性出血或血管、脏器暴露未经妥善保护纳入禁忌症，主要依据在于NPWT系统产生的负压可能加剧出血，或在暴露血管、脏器上施加负压可能造成严重损伤。恶性肿瘤创面（不采用NPWT作姑息治疗者）纳入禁忌症，主要依据在于NPWT敷料不应直接覆盖含有恶性肿瘤组织的创面</w:t>
      </w:r>
      <w:r>
        <w:rPr>
          <w:rFonts w:hint="default" w:ascii="Segoe UI" w:hAnsi="Segoe UI" w:eastAsia="Segoe UI" w:cs="Segoe UI"/>
          <w:i w:val="0"/>
          <w:iCs w:val="0"/>
          <w:caps w:val="0"/>
          <w:color w:val="0F1115"/>
          <w:spacing w:val="0"/>
          <w:sz w:val="24"/>
          <w:szCs w:val="24"/>
          <w:shd w:val="clear" w:fill="FFFFFF"/>
        </w:rPr>
        <w:t>。</w:t>
      </w:r>
      <w:r>
        <w:rPr>
          <w:rFonts w:hint="default" w:ascii="仿宋_GB2312" w:eastAsia="仿宋_GB2312" w:cs="仿宋"/>
          <w:b w:val="0"/>
          <w:bCs w:val="0"/>
          <w:color w:val="auto"/>
          <w:sz w:val="28"/>
          <w:szCs w:val="28"/>
          <w:lang w:eastAsia="zh-CN"/>
        </w:rPr>
        <w:t>对NPWT敷料或贴膜成分过敏者纳入禁忌症，属于临床护理常规，依据护理学基本原理——任何治疗前均需评估患者是否对所用材料（敷料、贴膜等）存在过敏史，以避免发生过敏性接触性皮炎等不良反应。存在未探查和处理的瘘管纳入禁忌症，主要依据在于未探查或未处理的非肠源性瘘管不应使用NPWT敷料覆盖</w:t>
      </w:r>
      <w:r>
        <w:rPr>
          <w:rFonts w:hint="default" w:ascii="Segoe UI" w:hAnsi="Segoe UI" w:eastAsia="Segoe UI" w:cs="Segoe UI"/>
          <w:i w:val="0"/>
          <w:iCs w:val="0"/>
          <w:caps w:val="0"/>
          <w:color w:val="0F1115"/>
          <w:spacing w:val="0"/>
          <w:sz w:val="24"/>
          <w:szCs w:val="24"/>
          <w:shd w:val="clear" w:fill="FFFFFF"/>
        </w:rPr>
        <w:t>。</w:t>
      </w:r>
    </w:p>
    <w:p w14:paraId="5A366BA1">
      <w:pPr>
        <w:pStyle w:val="34"/>
        <w:spacing w:line="520" w:lineRule="exact"/>
        <w:ind w:firstLine="562"/>
        <w:rPr>
          <w:rFonts w:hint="eastAsia" w:ascii="仿宋_GB2312" w:eastAsia="仿宋_GB2312" w:cs="仿宋"/>
          <w:b w:val="0"/>
          <w:bCs w:val="0"/>
          <w:color w:val="auto"/>
          <w:sz w:val="28"/>
          <w:szCs w:val="28"/>
          <w:lang w:eastAsia="zh-CN"/>
        </w:rPr>
      </w:pPr>
      <w:r>
        <w:rPr>
          <w:rFonts w:hint="default" w:ascii="仿宋_GB2312" w:eastAsia="仿宋_GB2312" w:cs="仿宋"/>
          <w:b w:val="0"/>
          <w:bCs w:val="0"/>
          <w:color w:val="auto"/>
          <w:sz w:val="28"/>
          <w:szCs w:val="28"/>
          <w:lang w:eastAsia="zh-CN"/>
        </w:rPr>
        <w:t>关于慎用情况，正在接受抗凝治疗或凝血功能障碍者应慎用NPWT，主要依据在于此类患者应用NPWT后可能出现创面再出血或血肿形成，有文献将凝血功能异常列为NPWT的相对禁忌症。踝臂指数（ABI）＜0.5的下肢伤口应慎用NPWT，这是因为下肢伤口应用NPWT前应对局部灌注状况进行评估，对ABI＜0.5者提示存在重度缺血，负压吸引可能进一步损害局部血供。创面周围有脆弱的皮肤或吻合口应慎用NPWT，主要依据在于NPWT贴膜的粘贴与移除可能对脆弱皮肤或吻合部位造成损伤。接受脊柱或硬膜外麻醉术后、NPWT敷料靠近硬膜外导管部位应慎用NPWT，主要依据在于该部位应用NPWT时，负压可能对硬膜外导管的位置或引流造成影响，增加医疗风险。</w:t>
      </w:r>
    </w:p>
    <w:p w14:paraId="796F4B83">
      <w:pPr>
        <w:pStyle w:val="34"/>
        <w:numPr>
          <w:ilvl w:val="0"/>
          <w:numId w:val="0"/>
        </w:numPr>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hAnsi="Calibri" w:eastAsia="仿宋_GB2312" w:cs="仿宋"/>
          <w:b/>
          <w:bCs/>
          <w:color w:val="auto"/>
          <w:sz w:val="28"/>
          <w:szCs w:val="28"/>
          <w:lang w:val="en-US" w:eastAsia="zh-CN" w:bidi="ar-SA"/>
        </w:rPr>
        <w:t>（四）</w:t>
      </w:r>
      <w:r>
        <w:rPr>
          <w:rFonts w:hint="eastAsia" w:ascii="仿宋_GB2312" w:eastAsia="仿宋_GB2312" w:cs="仿宋"/>
          <w:b/>
          <w:bCs/>
          <w:color w:val="auto"/>
          <w:sz w:val="28"/>
          <w:szCs w:val="28"/>
          <w:lang w:val="en-US" w:eastAsia="zh-CN"/>
        </w:rPr>
        <w:t>评估</w:t>
      </w:r>
    </w:p>
    <w:p w14:paraId="42DDD168">
      <w:pPr>
        <w:pStyle w:val="34"/>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主要依据EWMA（欧洲伤口管理协会）最新发布的负压伤口治疗指导文件以及国内外多项NPWT护理管理共识与研究。</w:t>
      </w:r>
      <w:r>
        <w:rPr>
          <w:rFonts w:hint="default" w:ascii="仿宋_GB2312" w:eastAsia="仿宋_GB2312" w:cs="仿宋"/>
          <w:b w:val="0"/>
          <w:bCs w:val="0"/>
          <w:color w:val="auto"/>
          <w:sz w:val="28"/>
          <w:szCs w:val="28"/>
          <w:lang w:val="en-US" w:eastAsia="zh-CN"/>
        </w:rPr>
        <w:t>在风险评估方面，EWMA的NPWT指导文件明确提出，临床实施NPWT前应进行充分的患者与伤口评估，并组建跨学科团队制定个性化治疗目标和评估标准。封闭式负压引流（VSD）治疗软组织爆炸伤创面护理质量标准的研究也表明，护理质量标准应覆盖NPWT操作的完整流程，确保客观评价体系的合理性及可操作性。在患者知情同意与心理评估层面，知情同意程序要求临床人员了解患者的病情、病史、文化背景、教育程度等信息，以评估患者对治疗方案的理解能力和需求，同时评估患者的心理状况，了解患者是否有焦虑、恐惧等情绪，以便提供针对性的支持和解释，从而确保患者治疗配合度和护理安全。</w:t>
      </w:r>
    </w:p>
    <w:p w14:paraId="551F6F90">
      <w:pPr>
        <w:pStyle w:val="34"/>
        <w:spacing w:line="520" w:lineRule="exact"/>
        <w:ind w:firstLine="562"/>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在伤口评估方面，条文中引入“三角评估法”（Triangle of Wound Assessment）和“TIME原则”两组循证工具。三角评估法是国际伤口护理领域推荐的全方位评估工具，将伤口评估分为伤口床、伤口边缘和伤口周围皮肤三个区域，可指导医护人员进行系统性伤口评估，设定管理目标并选择合理的治疗方案。TIME原则由国外伤口愈合专家小组于2002年首次提出，作为伤口床准备的框架并在国际期刊发表，其四个核心评估维度涵盖组织管理（Tissue）、炎症与感染控制（Infection/Inflammation）、湿度平衡（Moisture balance）及伤口边缘（Edge of wound），被广泛应用于临床伤口评估-。上述两种评估工具的联合应用，能够确保护理人员从伤口基底组织类型、渗液性状、边缘状态及感染体征等多维度进行系统化评估，为NPWT的敷料选择、负压参数设定及效果评价提供客观依据，具有较强的国际规范性和临床可操作性。</w:t>
      </w:r>
    </w:p>
    <w:p w14:paraId="7E9521BD">
      <w:pPr>
        <w:pStyle w:val="34"/>
        <w:spacing w:line="520" w:lineRule="exact"/>
        <w:ind w:firstLine="562"/>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在血管评估方面，强调NPWT前应评估下肢血管状况的观点已有多项文献支持。踝肱指数（ABI）检测是评估外周动脉疾病和下肢血流灌注的无创性诊断手段，ABI≤0.5提示存在重度缺血，在此类情况下使用NPWT需谨慎评估风险与获益。在压力治疗领域，已有共识明确指出如果踝肱指数≤0.5则禁忌加压疗法。虽然NPWT与压力治疗在机制上存在差异，但ABI阈值在负压环境下对局部血流灌注的影响逻辑上具有相似性，因此以ABI＜0.5作为NPWT的慎用阈值是合理且审慎的临床决策。</w:t>
      </w:r>
    </w:p>
    <w:p w14:paraId="6A744B23">
      <w:pPr>
        <w:pStyle w:val="34"/>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参考文献：</w:t>
      </w:r>
    </w:p>
    <w:p w14:paraId="36B56240">
      <w:pPr>
        <w:pStyle w:val="34"/>
        <w:spacing w:line="520" w:lineRule="exact"/>
        <w:ind w:firstLine="562"/>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 封闭式负压引流治疗软组织爆炸伤创面患者护理质量标准的建立及应用[J].中华现代护理杂志,2026.</w:t>
      </w:r>
    </w:p>
    <w:p w14:paraId="614E4371">
      <w:pPr>
        <w:pStyle w:val="34"/>
        <w:spacing w:line="520" w:lineRule="exact"/>
        <w:ind w:firstLine="562"/>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 Negative Pressure Wound Therapy Use: Recommendations and Insights From a Middle Eastern Panel of Experts[J]. National Center for Biotechnology Information, 2025.</w:t>
      </w:r>
    </w:p>
    <w:p w14:paraId="41884B0E">
      <w:pPr>
        <w:pStyle w:val="34"/>
        <w:spacing w:line="520" w:lineRule="exact"/>
        <w:ind w:firstLine="562"/>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 Implementing the Triangle of Wound Assessment framework to transform the care pathway for diabetic foot ulcers[J]. PubMed, 2020.</w:t>
      </w:r>
    </w:p>
    <w:p w14:paraId="00976A54">
      <w:pPr>
        <w:pStyle w:val="34"/>
        <w:spacing w:line="520" w:lineRule="exact"/>
        <w:ind w:firstLine="562"/>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 Extending the TIME concept: what have we learned in the past 10 years[J]. PMC, 2012.</w:t>
      </w:r>
    </w:p>
    <w:p w14:paraId="1945964E">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（五）操作要求</w:t>
      </w:r>
    </w:p>
    <w:p w14:paraId="46102986">
      <w:pPr>
        <w:pStyle w:val="34"/>
        <w:spacing w:line="520" w:lineRule="exact"/>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主要依据WS/T 313、NHS NPWT护理指南、CHS发布的NPWT临床应用标准、中华护理学会相关团体标准以及国内外多项NPWT临床研究与管理共识。</w:t>
      </w:r>
    </w:p>
    <w:p w14:paraId="29A2FAEF">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在操作准备方面，本文件要求护理人员按照WS/T 313执行手卫生并严格遵守无菌技术操作原则。NPWT作为开放性创面的处理技术，对操作环境及操作者的无菌观念要求较高，相关研究亦强调NPWT需要经过培训的人员、正确的敷料技术和仔细的监测。同时要求护理人员在操作前准备NPWT设备及一次性无菌耗材，检查包装完整性及灭菌有效期，并准备伤口护理所需的各种换药物品，必要时遵医嘱给予镇痛药物，这些均为临床操作的基本保障。</w:t>
      </w:r>
    </w:p>
    <w:p w14:paraId="7E745C90">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创面准备方面，本文件要求先行清创处理，协助医生清除坏死组织、失活组织、异物及过多的渗液。NPWT施行流程遵循“清创-覆盖-封闭-负压”四步骤，其中彻底清除坏死组织至创面渗血是NPWT成功的关键基础。CE领域的NPWT临床实践经验也强调了彻底的创面准备是NPWT取得良好疗效的前提。用生理盐水冲洗创面并吸干后，对创面周围皮肤进行保护的设置，相关随机对照研究对不同的皮肤保护方法进行了比较验证，证实了皮肤保护措施在预防负压伤口治疗相关皮肤损伤中的重要意义。针对中老年、长期使用激素等脆弱皮肤群体，本文件建立三级皮肤保护体系则是一个基于临床护理经验总结形成的精细化管理方案，旨在降低高危人群的皮肤并发症风险。研究指出，老年患者因年龄相关的皮肤完整性降低、缺乏弹性及伤口愈合延迟，更需精细化的NPWT护理策略。</w:t>
      </w:r>
    </w:p>
    <w:p w14:paraId="58A563F5">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在敷料裁剪与放置方面，国内外文献均强调根据创面形态进行敷料裁剪，使敷料完全接触创面，不留空隙-。明确规定使用聚氨酯薄膜封闭，边缘超出创缘3 cm，与本文中“贴膜应超出敷料边缘至少3 cm～5 cm”的要求相互印证。对于潜行或窦道创面的三维裁剪法、深浅腔的分层填充、多部位创面的桥接技术，以及小于吸盘创面的</w:t>
      </w:r>
      <w:r>
        <w:rPr>
          <w:rFonts w:hint="eastAsia" w:ascii="仿宋" w:hAnsi="仿宋" w:eastAsia="仿宋" w:cs="仿宋"/>
          <w:b w:val="0"/>
          <w:bCs w:val="0"/>
          <w:color w:val="auto"/>
          <w:sz w:val="28"/>
          <w:szCs w:val="28"/>
        </w:rPr>
        <w:t>Chariker-Jeter</w:t>
      </w:r>
      <w:r>
        <w:rPr>
          <w:rFonts w:hint="default" w:ascii="仿宋_GB2312" w:eastAsia="仿宋_GB2312" w:cs="仿宋"/>
          <w:b w:val="0"/>
          <w:bCs w:val="0"/>
          <w:color w:val="auto"/>
          <w:sz w:val="28"/>
          <w:szCs w:val="28"/>
        </w:rPr>
        <w:t>技术等，均来源于NPWT技术的实践应用与改良方案。</w:t>
      </w:r>
      <w:r>
        <w:rPr>
          <w:rFonts w:hint="eastAsia" w:ascii="仿宋" w:hAnsi="仿宋" w:eastAsia="仿宋" w:cs="仿宋"/>
          <w:b w:val="0"/>
          <w:bCs w:val="0"/>
          <w:color w:val="auto"/>
          <w:sz w:val="28"/>
          <w:szCs w:val="28"/>
        </w:rPr>
        <w:t>Chariker-Jeter</w:t>
      </w:r>
      <w:r>
        <w:rPr>
          <w:rFonts w:hint="default" w:ascii="仿宋_GB2312" w:eastAsia="仿宋_GB2312" w:cs="仿宋"/>
          <w:b w:val="0"/>
          <w:bCs w:val="0"/>
          <w:color w:val="auto"/>
          <w:sz w:val="28"/>
          <w:szCs w:val="28"/>
        </w:rPr>
        <w:t>技术作为纱布类NPWT的经典方法，已被广泛应用于不规则形状或复杂创面的负压治疗。本文在吸收上述技术的基础上，进一步结合临床实际制定了窦道与潜行创面的“三维裁剪法”和深腔创面的“分层填充法”，以期实现负压在复杂创面中的均匀传导和高效引流。</w:t>
      </w:r>
    </w:p>
    <w:p w14:paraId="7E7AAA27">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密封与连接方面，本文件结合临床实践总结出五大贴膜密闭技术。密闭性是NPWT治疗的核心环节之一，解剖结构复杂的创面（如骨隆突处、臀沟等）容易因贴膜形态不匹配而导致漏气，从而破坏NPWT系统的完整性并影响治疗效果。既往文献曾报道使用皮肤粘合剂等方法维持NPWT系统的密闭性。本</w:t>
      </w:r>
      <w:r>
        <w:rPr>
          <w:rFonts w:hint="eastAsia" w:ascii="仿宋_GB2312" w:eastAsia="仿宋_GB2312" w:cs="仿宋"/>
          <w:b w:val="0"/>
          <w:bCs w:val="0"/>
          <w:color w:val="auto"/>
          <w:sz w:val="28"/>
          <w:szCs w:val="28"/>
          <w:lang w:val="en-US" w:eastAsia="zh-CN"/>
        </w:rPr>
        <w:t>标准</w:t>
      </w:r>
      <w:r>
        <w:rPr>
          <w:rFonts w:hint="default" w:ascii="仿宋_GB2312" w:eastAsia="仿宋_GB2312" w:cs="仿宋"/>
          <w:b w:val="0"/>
          <w:bCs w:val="0"/>
          <w:color w:val="auto"/>
          <w:sz w:val="28"/>
          <w:szCs w:val="28"/>
        </w:rPr>
        <w:t>推荐的“领结法”、“包饺子法”、“三明治法”、“交叉式双层叠瓦贴膜法”及皮肤皱褶填充处理技术，是对上述解剖结构难点制定的改良性密闭方案，旨在从临床护理操作层面实现无渗漏的密闭系统，保障治疗的连续性和有效性。启动负压后采用“听、触、视”三步法进行密封性检查，文献中亦强调需观察</w:t>
      </w:r>
      <w:r>
        <w:rPr>
          <w:rFonts w:hint="eastAsia" w:ascii="仿宋" w:hAnsi="仿宋" w:eastAsia="仿宋" w:cs="仿宋"/>
          <w:b w:val="0"/>
          <w:bCs w:val="0"/>
          <w:color w:val="auto"/>
          <w:sz w:val="28"/>
          <w:szCs w:val="28"/>
        </w:rPr>
        <w:t>VSD</w:t>
      </w:r>
      <w:r>
        <w:rPr>
          <w:rFonts w:hint="default" w:ascii="仿宋_GB2312" w:eastAsia="仿宋_GB2312" w:cs="仿宋"/>
          <w:b w:val="0"/>
          <w:bCs w:val="0"/>
          <w:color w:val="auto"/>
          <w:sz w:val="28"/>
          <w:szCs w:val="28"/>
        </w:rPr>
        <w:t>敷料是否塌陷、引流管型是否存在等有效性评估指标。</w:t>
      </w:r>
    </w:p>
    <w:p w14:paraId="1DBEBA4D">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在治疗模式与压力参数设定方面，负压伤口治疗通过连续或间歇性负压施加促进愈合。NPWT负压范围通常为-55 mmHg至-175 mmHg。本次规范结合临床实践，将常规慢性创面压力范围设定为-80 mmHg至-125 mmHg，高渗液或感染创面短期应用-125 mmHg至-175 mmHg，老年或疼痛敏感患者下调为-50 mmHg至-80 mmHg。在治疗模式方面，相关研究指出连续NPWT模式在渗出量大或患者疼痛明显的伤口中为首选模式。NPWTi-d即带灌注和停留时间的负压伤口治疗，适用于需要周期性创面清洁处理的伤口，国际共识指南推荐在伤口需要清洁处理、患者不适合外科清创或外科清创被延迟时使用NPWTi-d模式。</w:t>
      </w:r>
    </w:p>
    <w:p w14:paraId="054FCAD3">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在治疗期间护理与监测方面，本文件要求每8 h～12 h巡视一次，检查系统运行状态及患者情况。NPWT需要持续监测设备功能状态及患者临床表现，明确记录渗出物收集瓶中的渗出液量及更换情况。在疼痛管理维度上，每次巡视均应采用数字评分法</w:t>
      </w:r>
      <w:r>
        <w:rPr>
          <w:rFonts w:hint="eastAsia" w:ascii="仿宋" w:hAnsi="仿宋" w:eastAsia="仿宋" w:cs="仿宋"/>
          <w:b w:val="0"/>
          <w:bCs w:val="0"/>
          <w:color w:val="auto"/>
          <w:sz w:val="28"/>
          <w:szCs w:val="28"/>
        </w:rPr>
        <w:t>（NRS）</w:t>
      </w:r>
      <w:r>
        <w:rPr>
          <w:rFonts w:hint="default" w:ascii="仿宋_GB2312" w:eastAsia="仿宋_GB2312" w:cs="仿宋"/>
          <w:b w:val="0"/>
          <w:bCs w:val="0"/>
          <w:color w:val="auto"/>
          <w:sz w:val="28"/>
          <w:szCs w:val="28"/>
        </w:rPr>
        <w:t>等工具进行疼痛评估。在系统状态监测方面，要求确认设备负压显示值与设定值一致，贴膜密封良好且敷料处于塌陷状态，设备报警提示漏气时应快速定位漏气点，对于小的漏气可重新用半透膜密封漏气处。在敷料更换频率方面，国际指南明确指出NPWT敷料通常每周更换三次而非每日更换。文献报道典型的NPWT更换间隔为每48～72 h一次。本文件将常规更换间隔设定为每48 h～72 h，并明确了感染加重、敷料浸透、设备报警无法修复等紧急更换指征，既符合国际循证实践，又兼顾了临床灵活应对的实际需求。</w:t>
      </w:r>
    </w:p>
    <w:p w14:paraId="5B1863A7">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治疗终止与拔除方面，治疗终止指征主要依据伤口愈合进程和并发症控制情况设定：伤口基底100%被新鲜肉芽组织覆盖，伤口深度已明显减小并适合转为传统敷料换药或进一步手术处理时，可作为终止NPWT治疗的临床标准。拔除后应进行创面再评估与愈合分级，为后续康复及营养支持方案制定提供客观依据。</w:t>
      </w:r>
    </w:p>
    <w:p w14:paraId="6B27FFF9">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（六）</w:t>
      </w:r>
      <w:bookmarkStart w:id="11" w:name="_Toc228300674"/>
      <w:bookmarkStart w:id="12" w:name="_Toc228300819"/>
      <w:r>
        <w:rPr>
          <w:rFonts w:hint="eastAsia" w:ascii="仿宋_GB2312" w:eastAsia="仿宋_GB2312" w:cs="仿宋"/>
          <w:b/>
          <w:bCs/>
          <w:color w:val="auto"/>
          <w:sz w:val="28"/>
          <w:szCs w:val="28"/>
          <w:lang w:val="en-US" w:eastAsia="zh-CN"/>
        </w:rPr>
        <w:t>常见并发症预防与</w:t>
      </w:r>
      <w:bookmarkEnd w:id="11"/>
      <w:r>
        <w:rPr>
          <w:rFonts w:hint="eastAsia" w:ascii="仿宋_GB2312" w:eastAsia="仿宋_GB2312" w:cs="仿宋"/>
          <w:b/>
          <w:bCs/>
          <w:color w:val="auto"/>
          <w:sz w:val="28"/>
          <w:szCs w:val="28"/>
          <w:lang w:val="en-US" w:eastAsia="zh-CN"/>
        </w:rPr>
        <w:t>处理</w:t>
      </w:r>
      <w:bookmarkEnd w:id="12"/>
    </w:p>
    <w:p w14:paraId="11BEF6F2">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对NPWT常见并发症的预防与处理要求，系统整合了国际NPWT循证指导文件、器械注册禁忌症规定、多项前瞻性对照研究及临床观察性研究的成果，构建了以出血、感染、皮肤损伤、疼痛加剧、组织过度增生、肠皮肤瘘和过敏反应为核心的七个并发症预防与控制框架。各项条款均体现了“预防为主、早期识别、及时干预、动态调整”的管理策略，涵盖了对操作者的临床监测要求、设备参数优化策略、敷料选择和更换频率的临床判断依据以及特殊情况下的应急处置路径，对护理人员实施NPWT过程中发现风险、降低并发症发生率、维护患者安全具有明确的指导价值。</w:t>
      </w:r>
    </w:p>
    <w:p w14:paraId="6C3F3400">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出血方面，本文件强调治疗期间应密切观察引流液颜色，出现鲜红色引流液或引流液量骤增即应考虑活动性出血。这与现有NPWT产品合规要求中“创面或创面周围止血不充分、接受抗凝药物等存在出血风险者禁用”的强制禁止要求一脉相承。</w:t>
      </w:r>
      <w:r>
        <w:rPr>
          <w:rFonts w:hint="eastAsia" w:ascii="宋体" w:hAnsi="宋体" w:eastAsia="宋体" w:cs="宋体"/>
          <w:b w:val="0"/>
          <w:bCs w:val="0"/>
          <w:color w:val="auto"/>
          <w:sz w:val="28"/>
          <w:szCs w:val="28"/>
        </w:rPr>
        <w:t>BJN Inform</w:t>
      </w:r>
      <w:r>
        <w:rPr>
          <w:rFonts w:hint="default" w:ascii="仿宋_GB2312" w:eastAsia="仿宋_GB2312" w:cs="仿宋"/>
          <w:b w:val="0"/>
          <w:bCs w:val="0"/>
          <w:color w:val="auto"/>
          <w:sz w:val="28"/>
          <w:szCs w:val="28"/>
        </w:rPr>
        <w:t>指南明确指出，NPWT在发生显著出血时应立即停止，且抗凝治疗者或暴露血管者出血风险更高。国内护理常规也强调，引流血量≥100 ml/h时应立即关闭负压并报告医生及时处理。本规范中“立即停止负压吸引，保留敷料原位并通知医师紧急处理”的要求，正是基于上述国际共识与国内经验。对于凝血功能障碍或接受抗凝治疗等出血高危患者，本规范提出应适当降低目标负压值并增加观察频率，这与国内产品说明书“接受抗凝药物等存在出血风险者禁用”以及临床专家意见“在复杂性创面中，缺血状态时慎用</w:t>
      </w:r>
      <w:r>
        <w:rPr>
          <w:rFonts w:hint="eastAsia" w:ascii="宋体" w:hAnsi="宋体" w:eastAsia="宋体" w:cs="宋体"/>
          <w:b w:val="0"/>
          <w:bCs w:val="0"/>
          <w:color w:val="auto"/>
          <w:sz w:val="28"/>
          <w:szCs w:val="28"/>
        </w:rPr>
        <w:t>VSD</w:t>
      </w:r>
      <w:r>
        <w:rPr>
          <w:rFonts w:hint="default" w:ascii="仿宋_GB2312" w:eastAsia="仿宋_GB2312" w:cs="仿宋"/>
          <w:b w:val="0"/>
          <w:bCs w:val="0"/>
          <w:color w:val="auto"/>
          <w:sz w:val="28"/>
          <w:szCs w:val="28"/>
        </w:rPr>
        <w:t>技术，术中一定要彻底止血。负压低对组织损伤轻，但有可能达不到吸引效果，而压力大虽然通畅却有引起组织损伤、导致出血的可能”的论述具有逻辑上的一致性。</w:t>
      </w:r>
    </w:p>
    <w:p w14:paraId="2236BD5D">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感染方面，本文件要求出现引流液脓性特征、恶臭气味或全身感染表现时应进行分泌物培养并酌情抗感染治疗。NPWT虽可通过移除感染性物质来辅助感染控制，但伤口感染依然是NPWT相关的主要并发症之一。国内护理常规明确要求监测生命体征、体温和血象变化，观察创面周围有无感染迹象，遵医嘱使用抗生素。此外，EWMA（2017）指导文件强调，未经治疗的感染创面不适宜直接应用NPWT，必须在感染控制后方可实施，这与本条款“感染控制不佳时应暂停NPWT或调整治疗频率”的要求形成逻辑呼应</w:t>
      </w:r>
      <w:r>
        <w:rPr>
          <w:rFonts w:hint="default" w:ascii="仿宋_GB2312" w:eastAsia="仿宋_GB2312" w:cs="仿宋"/>
          <w:b w:val="0"/>
          <w:bCs w:val="0"/>
          <w:color w:val="auto"/>
          <w:sz w:val="28"/>
          <w:szCs w:val="28"/>
        </w:rPr>
        <w:fldChar w:fldCharType="begin"/>
      </w:r>
      <w:r>
        <w:rPr>
          <w:rFonts w:hint="default" w:ascii="仿宋_GB2312" w:eastAsia="仿宋_GB2312" w:cs="仿宋"/>
          <w:b w:val="0"/>
          <w:bCs w:val="0"/>
          <w:color w:val="auto"/>
          <w:sz w:val="28"/>
          <w:szCs w:val="28"/>
        </w:rPr>
        <w:instrText xml:space="preserve"> HYPERLINK "https://www.bjninform.com/clinical-a-z/negative-pressure-wound-therapy/" \t "https://chat.deepseek.com/a/chat/s/_blank" </w:instrText>
      </w:r>
      <w:r>
        <w:rPr>
          <w:rFonts w:hint="default" w:ascii="仿宋_GB2312" w:eastAsia="仿宋_GB2312" w:cs="仿宋"/>
          <w:b w:val="0"/>
          <w:bCs w:val="0"/>
          <w:color w:val="auto"/>
          <w:sz w:val="28"/>
          <w:szCs w:val="28"/>
        </w:rPr>
        <w:fldChar w:fldCharType="separate"/>
      </w:r>
      <w:r>
        <w:rPr>
          <w:rFonts w:hint="default" w:ascii="仿宋_GB2312" w:eastAsia="仿宋_GB2312" w:cs="仿宋"/>
          <w:b w:val="0"/>
          <w:bCs w:val="0"/>
          <w:color w:val="auto"/>
          <w:sz w:val="28"/>
          <w:szCs w:val="28"/>
        </w:rPr>
        <w:fldChar w:fldCharType="end"/>
      </w:r>
      <w:r>
        <w:rPr>
          <w:rFonts w:hint="default" w:ascii="仿宋_GB2312" w:eastAsia="仿宋_GB2312" w:cs="仿宋"/>
          <w:b w:val="0"/>
          <w:bCs w:val="0"/>
          <w:color w:val="auto"/>
          <w:sz w:val="28"/>
          <w:szCs w:val="28"/>
        </w:rPr>
        <w:t>。</w:t>
      </w:r>
    </w:p>
    <w:p w14:paraId="0EF50270">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创面周围皮肤损伤方面，本文件强调使用皮肤保护材料保护创周皮肤，贴膜更换时轻柔操作防止皮肤撕脱，出现浸渍或压力性损伤征象时应评估保护措施并调整方案。NPWT治疗过程中透明贴膜的粘贴与移除，以及渗出液浸渍，均可对周围皮肤造成损伤，临床表现包括皮肤浸渍、红斑、压力性损伤等。相关制品说明书亦指出“负压治疗常见的并发症为周围皮肤浸渍、湿疹等”。蒋琪霞等发表于中华护理杂志的随机对照研究系统比较了防漏膏封堵法与皮肤保护膜涂抹法在预防NPWT相关潮湿相关性皮肤损伤中的效果，证实防漏膏保护方法效果更优。另有研究表明皮肤保护膜的使用可有效降低潮湿相关性皮肤损伤发生率。本条款正是在上述研究依据基础上，要求加强皮肤保护并动态调整保护策略。</w:t>
      </w:r>
    </w:p>
    <w:p w14:paraId="5C9D4C24">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疼痛加剧方面，本文件提出治疗期间出现不可耐受疼痛时，应暂停负压运行并评估肉芽长入敷料或负压值过高等原因后予以对应处理。NPWT治疗过程中患者感受到疼痛主要来源于负压吸引本身的刺激以及敷料与创面新生肉芽组织的粘连。韩可瑜等的分组研究发现，低压吸引组疼痛评分最低，负压值与疼痛程度存在明确相关性，中等压力（-300 mmHg）时疼痛感相对较轻，且引流最通畅、堵管次数最少、肉芽生长较好。另一项研究表明，在对老年、疼痛敏感患者应用NPWT时应适当降低负压值以提升耐受性。本规范中“暂停负压运行→逐项排查→对应处理”的处置逻辑符合临床循证实</w:t>
      </w:r>
      <w:r>
        <w:rPr>
          <w:rFonts w:hint="default" w:ascii="仿宋_GB2312" w:eastAsia="仿宋_GB2312" w:cs="仿宋"/>
          <w:b w:val="0"/>
          <w:bCs w:val="0"/>
          <w:color w:val="auto"/>
          <w:sz w:val="28"/>
          <w:szCs w:val="28"/>
        </w:rPr>
        <w:t>践。</w:t>
      </w:r>
    </w:p>
    <w:p w14:paraId="035215A0">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组织过度增生方面，本文件要求在更换敷料时如发现肉芽组织过度长入敷料，应动态调节负压参数、适时更换敷料类型或缩短更换间隔，避免拔除时导致出血及新生肉芽损伤。肉芽组织过度增生长入泡沫敷料是NPWT应用过程中的常见现象与临床挑战。有文献明确指出，负压材料覆盖创面时间过长时肉芽组织会过度生长，移除材料时易造成创面出血及组织损伤。另一项关于简易封闭式负压引流术的分析认为，肉芽组织老化的原因包括负压吸引效果不佳、换药频率不当及全身因素等。本条款提出的“动态调节负压参数、适时更换敷料类型或缩短更换间隔”的三项综合应对策略，整合了上述研究文献中关于负压值调致、换药频率优化和敷料类型选择的多因素管理思路，具有较强的临床指导价值。</w:t>
      </w:r>
    </w:p>
    <w:p w14:paraId="6B58C027">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肠皮肤瘘方面，本文件要求对于靠近腹部的创面，操作前应严格评估适应症与禁忌症，保护脆弱组织；若发生肠皮肤瘘，应立即停止负压、行外科评估与紧急干预。国内NPWT产品注册的禁忌症中明确将“创面中有未经探查的瘘或肠道性瘘”列入绝对禁用情形，强调未经探查的肠道性瘘创面不得应用NPWT。国际临床报告亦指出，NPWT虽有效促进伤口愈合，但对于肠皮肤瘘的管理存在禁忌。</w:t>
      </w:r>
    </w:p>
    <w:p w14:paraId="16A4DD80">
      <w:pPr>
        <w:pStyle w:val="34"/>
        <w:spacing w:line="520" w:lineRule="exact"/>
        <w:ind w:firstLine="562"/>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在过敏反应方面，本文件要求出现贴膜或敷料接触性皮炎时应更换为低致敏材质敷料并加强皮肤保护。NPWT治疗中所用透明贴膜和泡沫敷料成分可能引起部分患者发生接触性皮炎。相关文献明确将“对NPWT敷料或贴膜成分过敏者”列为NPWT的禁忌症之一，而轻度的接触性皮炎可通过更换低致敏材质敷料加以管理。</w:t>
      </w:r>
    </w:p>
    <w:p w14:paraId="40915886">
      <w:pPr>
        <w:pStyle w:val="26"/>
        <w:keepNext w:val="0"/>
        <w:keepLines w:val="0"/>
        <w:pageBreakBefore w:val="0"/>
        <w:widowControl w:val="0"/>
        <w:kinsoku/>
        <w:wordWrap/>
        <w:overflowPunct/>
        <w:topLinePunct w:val="0"/>
        <w:autoSpaceDE/>
        <w:autoSpaceDN/>
        <w:bidi w:val="0"/>
        <w:adjustRightInd/>
        <w:snapToGrid/>
        <w:spacing w:after="0"/>
        <w:textAlignment w:val="baseline"/>
        <w:rPr>
          <w:rFonts w:hint="default" w:ascii="楷体" w:hAnsi="楷体" w:eastAsia="楷体" w:cs="仿宋_GB2312"/>
          <w:b/>
          <w:bCs/>
          <w:lang w:val="en-US" w:eastAsia="zh-CN"/>
        </w:rPr>
      </w:pPr>
      <w:r>
        <w:rPr>
          <w:rFonts w:hint="default" w:ascii="楷体" w:hAnsi="楷体" w:eastAsia="楷体" w:cs="仿宋_GB2312"/>
          <w:b/>
          <w:bCs/>
          <w:lang w:val="en-US" w:eastAsia="zh-CN"/>
        </w:rPr>
        <w:t>（</w:t>
      </w:r>
      <w:r>
        <w:rPr>
          <w:rFonts w:hint="eastAsia" w:ascii="楷体" w:hAnsi="楷体" w:eastAsia="楷体" w:cs="仿宋_GB2312"/>
          <w:b/>
          <w:bCs/>
          <w:lang w:val="en-US" w:eastAsia="zh-CN"/>
        </w:rPr>
        <w:t>七</w:t>
      </w:r>
      <w:r>
        <w:rPr>
          <w:rFonts w:hint="default" w:ascii="楷体" w:hAnsi="楷体" w:eastAsia="楷体" w:cs="仿宋_GB2312"/>
          <w:b/>
          <w:bCs/>
          <w:lang w:val="en-US" w:eastAsia="zh-CN"/>
        </w:rPr>
        <w:t>）健康宣教</w:t>
      </w:r>
    </w:p>
    <w:p w14:paraId="098E7A67">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开展居家NPWT前的健康教育内容包括居家NPWT的基本信息、费用、流程、可能出现的异常情况以及对日常生活的影响；如果这部分健康教育不足或不完整，患者可能缺乏独立性和理性做出有关NPWT的决定。</w:t>
      </w:r>
      <w:r>
        <w:rPr>
          <w:rFonts w:hint="eastAsia" w:ascii="宋体" w:hAnsi="宋体" w:eastAsia="宋体" w:cs="宋体"/>
          <w:b w:val="0"/>
          <w:bCs w:val="0"/>
          <w:color w:val="auto"/>
          <w:sz w:val="28"/>
          <w:szCs w:val="28"/>
        </w:rPr>
        <w:t>FDA</w:t>
      </w:r>
      <w:r>
        <w:rPr>
          <w:rFonts w:hint="eastAsia" w:ascii="仿宋_GB2312" w:eastAsia="仿宋_GB2312" w:cs="仿宋"/>
          <w:b w:val="0"/>
          <w:bCs w:val="0"/>
          <w:color w:val="auto"/>
          <w:sz w:val="28"/>
          <w:szCs w:val="28"/>
        </w:rPr>
        <w:t>也支持对患者和护理人员进行教育，以改善家庭环境中的安全监测。在知情同意方面，NHS患者信息手册明确载明：“在开始NPWT治疗之前和整个治疗过程中，医生、专科医生或医疗专业人员将始终征询并获取您的知情同意，并讨论为何以及何时开始和结束NPWT。”</w:t>
      </w:r>
    </w:p>
    <w:p w14:paraId="0D0F0FEA">
      <w:pPr>
        <w:pStyle w:val="34"/>
        <w:spacing w:line="520" w:lineRule="exact"/>
        <w:ind w:firstLine="562"/>
        <w:rPr>
          <w:rFonts w:hint="default" w:ascii="仿宋_GB2312" w:eastAsia="仿宋_GB2312" w:cs="仿宋"/>
          <w:b w:val="0"/>
          <w:bCs w:val="0"/>
          <w:color w:val="auto"/>
          <w:sz w:val="28"/>
          <w:szCs w:val="28"/>
        </w:rPr>
      </w:pPr>
      <w:r>
        <w:rPr>
          <w:rFonts w:hint="eastAsia" w:ascii="仿宋_GB2312" w:eastAsia="仿宋_GB2312" w:cs="仿宋"/>
          <w:b w:val="0"/>
          <w:bCs w:val="0"/>
          <w:color w:val="auto"/>
          <w:sz w:val="28"/>
          <w:szCs w:val="28"/>
        </w:rPr>
        <w:t>治疗中指导的具体依据</w:t>
      </w:r>
      <w:r>
        <w:rPr>
          <w:rFonts w:hint="default" w:ascii="仿宋_GB2312" w:eastAsia="仿宋_GB2312" w:cs="仿宋"/>
          <w:b w:val="0"/>
          <w:bCs w:val="0"/>
          <w:color w:val="auto"/>
          <w:sz w:val="28"/>
          <w:szCs w:val="28"/>
        </w:rPr>
        <w:t>：德尔菲共识强调，医院NPWT治疗日的健康教育内容主要包括治疗的注意事项和操作程序；在医院进行NPWT治疗当天，患者对NPWT有了直接的了解和体验，这部分健康教育为顺利开始治疗、安全回家提供了重要支持。在敷料方面，共识建议患者能够轻松暴露伤口，不应穿紧身衣或连身衣等。在饮食要求上，虽然未达成共识，但需要强调的是患者在治疗当天不需要禁食固体和液体，以避免出现低血糖。临床常规宣教进一步细化了治疗中指导内容，指导患者保持放松、识别管路脱落及负压丢失等异常情况，要求患者避免引流管的拖、拉和拽等动作-。本文件治疗中指导条款正是基于上述共识和临床常规宣教的核心内容进行提炼和整合，形成了“保持放松”“避免剧烈活动”“识别异常情况及处理方法”</w:t>
      </w:r>
      <w:r>
        <w:rPr>
          <w:rFonts w:hint="eastAsia" w:ascii="仿宋_GB2312" w:eastAsia="仿宋_GB2312" w:cs="仿宋"/>
          <w:b w:val="0"/>
          <w:bCs w:val="0"/>
          <w:color w:val="auto"/>
          <w:sz w:val="28"/>
          <w:szCs w:val="28"/>
          <w:lang w:val="en-US" w:eastAsia="zh-CN"/>
        </w:rPr>
        <w:t>的</w:t>
      </w:r>
      <w:r>
        <w:rPr>
          <w:rFonts w:hint="default" w:ascii="仿宋_GB2312" w:eastAsia="仿宋_GB2312" w:cs="仿宋"/>
          <w:b w:val="0"/>
          <w:bCs w:val="0"/>
          <w:color w:val="auto"/>
          <w:sz w:val="28"/>
          <w:szCs w:val="28"/>
        </w:rPr>
        <w:t>指导要求。</w:t>
      </w:r>
    </w:p>
    <w:p w14:paraId="5DA8A1FB">
      <w:pPr>
        <w:pStyle w:val="34"/>
        <w:spacing w:line="520" w:lineRule="exact"/>
        <w:ind w:firstLine="562"/>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rPr>
        <w:t>治疗后指导与居家培训依据：与医院环境相比，家庭环境中的NPWT需要一个更自力更生和自我负责的患者，因此应鼓励患者及其护理人员积极参与家庭治疗，居家NPWT患者及其家庭护理人员应做好安全操作设备、监测治疗并对出现问题做出适当反应的准备。具体内容应包括“在家进行NPWT过程中设备维护的基本方法”，即患者需要了解轻拿轻放、避免水渍、不要踩踏等基本维护方法，以及“在家中进行NPWT过程中设备可能出现的警报和处理方法”和“紧急情况下停止NPWT的方法”，以确保健康教育深入提升家庭NPWT的安全性，包括漏电、堵管、停电等问题。NPWT指导内容还应包括维护负压的重要性、伤口观察、渗液观察、居家注意事项、营养指导及意外情况求助方法等。NHS患者信息手册进一步明确了居家患者的训练要求：护士应向患者展示如何使用便携式电池备用电源；如果患者出院回家使用NPWT，医护人员将提供可能触发报警的情况清单。NHS Kent CHT的信息手册详细说明了NPWT治疗中的注意事项（抽吸泵需保持直立放置）以及安全的日常活动指导。家庭NPWT健康教育共识还特别指出，对以家庭为基础的NPWT患者的医院教育是不够的，且由于患者需求在不同治疗期间的变化而受到限制，大多数护理问题仅在患者回家时才出现，因此后续教育的医疗随访和支持至关重要。基于上述依据，本文件治疗后指导条款不仅要求居家患者出院前接受设备使用及日常生活的系统培训，还强调“建立定期随访计划”，以保证家庭NPWT的连续性与安全性。研究表明，通过远程交流和现场指导的方式，对慢性伤口患者家庭治疗过程中的负压吸引有效性、渗出液的观察、伤口的保护等进行质量控制，可有效提高患者的自我护理能力和居家治疗体验，促进慢性伤口愈合。</w:t>
      </w:r>
    </w:p>
    <w:p w14:paraId="0D6B7526">
      <w:pPr>
        <w:pStyle w:val="36"/>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w:t>
      </w:r>
      <w:r>
        <w:rPr>
          <w:rFonts w:hint="eastAsia" w:ascii="仿宋_GB2312" w:eastAsia="仿宋_GB2312"/>
          <w:color w:val="auto"/>
          <w:sz w:val="28"/>
          <w:szCs w:val="28"/>
          <w:lang w:val="en-US" w:eastAsia="zh-CN"/>
        </w:rPr>
        <w:t>相关技术</w:t>
      </w:r>
      <w:r>
        <w:rPr>
          <w:rFonts w:hint="eastAsia" w:ascii="仿宋_GB2312" w:eastAsia="仿宋_GB2312"/>
          <w:color w:val="auto"/>
          <w:sz w:val="28"/>
          <w:szCs w:val="28"/>
        </w:rPr>
        <w:t>人员掌握标准核心技术内容，助力标准实施落地，推动</w:t>
      </w:r>
      <w:r>
        <w:rPr>
          <w:rFonts w:hint="eastAsia" w:ascii="仿宋_GB2312" w:eastAsia="仿宋_GB2312"/>
          <w:color w:val="auto"/>
          <w:sz w:val="28"/>
          <w:szCs w:val="28"/>
          <w:lang w:val="en-US" w:eastAsia="zh-CN"/>
        </w:rPr>
        <w:t>医疗体系</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7FD17F14">
      <w:pPr>
        <w:spacing w:line="520" w:lineRule="exact"/>
        <w:ind w:firstLine="560" w:firstLineChars="200"/>
        <w:rPr>
          <w:rFonts w:hint="eastAsia" w:ascii="仿宋_GB2312" w:eastAsia="仿宋_GB2312"/>
          <w:color w:val="auto"/>
          <w:sz w:val="28"/>
          <w:szCs w:val="28"/>
        </w:rPr>
      </w:pPr>
    </w:p>
    <w:p w14:paraId="43C6C175">
      <w:pPr>
        <w:spacing w:line="520" w:lineRule="exact"/>
        <w:ind w:firstLine="560" w:firstLineChars="200"/>
        <w:rPr>
          <w:rFonts w:hint="eastAsia" w:ascii="仿宋_GB2312" w:eastAsia="仿宋_GB2312"/>
          <w:color w:val="auto"/>
          <w:sz w:val="28"/>
          <w:szCs w:val="28"/>
        </w:rPr>
      </w:pPr>
    </w:p>
    <w:p w14:paraId="753963BB">
      <w:pPr>
        <w:spacing w:before="240" w:after="60" w:line="520" w:lineRule="exact"/>
        <w:ind w:firstLine="1400" w:firstLineChars="5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成人慢性伤口负压伤口治疗（NPWT）护理操作规范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5488E2E">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22</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33823E-EEF7-4B81-8FCD-24462E875B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3592EDB-D8DC-4C25-BD65-8339BD1B10DA}"/>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3" w:fontKey="{202C44FA-2211-45B2-940E-352E72D1BC2C}"/>
  </w:font>
  <w:font w:name="仿宋_GB2312">
    <w:panose1 w:val="02010609030101010101"/>
    <w:charset w:val="86"/>
    <w:family w:val="modern"/>
    <w:pitch w:val="default"/>
    <w:sig w:usb0="00000001" w:usb1="080E0000" w:usb2="00000000" w:usb3="00000000" w:csb0="00040000" w:csb1="00000000"/>
    <w:embedRegular r:id="rId4" w:fontKey="{F8F641B9-C79D-4317-8AD3-867FB14441FA}"/>
  </w:font>
  <w:font w:name="仿宋">
    <w:panose1 w:val="02010609060101010101"/>
    <w:charset w:val="86"/>
    <w:family w:val="modern"/>
    <w:pitch w:val="default"/>
    <w:sig w:usb0="800002BF" w:usb1="38CF7CFA" w:usb2="00000016" w:usb3="00000000" w:csb0="00040001" w:csb1="00000000"/>
    <w:embedRegular r:id="rId5" w:fontKey="{4C7C1CD3-A36F-4A80-B6F3-EEF45FC4C6CA}"/>
  </w:font>
  <w:font w:name="楷体">
    <w:panose1 w:val="02010609060101010101"/>
    <w:charset w:val="86"/>
    <w:family w:val="modern"/>
    <w:pitch w:val="default"/>
    <w:sig w:usb0="800002BF" w:usb1="38CF7CFA" w:usb2="00000016" w:usb3="00000000" w:csb0="00040001" w:csb1="00000000"/>
    <w:embedRegular r:id="rId6" w:fontKey="{8DE70853-7672-4D46-80D0-FA89EF0D1637}"/>
  </w:font>
  <w:font w:name="WPSEMBED1">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embedRegular r:id="rId7" w:fontKey="{DAD02A30-B1A8-4858-8716-243DF98F365A}"/>
  </w:font>
  <w:font w:name="仿宋_GB2312">
    <w:panose1 w:val="02010609030101010101"/>
    <w:charset w:val="86"/>
    <w:family w:val="auto"/>
    <w:pitch w:val="default"/>
    <w:sig w:usb0="00000001" w:usb1="080E0000" w:usb2="00000000" w:usb3="00000000" w:csb0="00040000" w:csb1="00000000"/>
  </w:font>
  <w:font w:name="var(--dsw-font-xxxs-strong-1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3E4C5"/>
    <w:multiLevelType w:val="singleLevel"/>
    <w:tmpl w:val="89C3E4C5"/>
    <w:lvl w:ilvl="0" w:tentative="0">
      <w:start w:val="2"/>
      <w:numFmt w:val="chineseCounting"/>
      <w:suff w:val="nothing"/>
      <w:lvlText w:val="%1、"/>
      <w:lvlJc w:val="left"/>
      <w:rPr>
        <w:rFonts w:hint="eastAsia"/>
      </w:rPr>
    </w:lvl>
  </w:abstractNum>
  <w:abstractNum w:abstractNumId="1">
    <w:nsid w:val="8DDF8329"/>
    <w:multiLevelType w:val="multilevel"/>
    <w:tmpl w:val="8DDF8329"/>
    <w:lvl w:ilvl="0" w:tentative="0">
      <w:start w:val="1"/>
      <w:numFmt w:val="decimal"/>
      <w:pStyle w:val="45"/>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2">
    <w:nsid w:val="B9A900A6"/>
    <w:multiLevelType w:val="multilevel"/>
    <w:tmpl w:val="B9A900A6"/>
    <w:lvl w:ilvl="0" w:tentative="0">
      <w:start w:val="1"/>
      <w:numFmt w:val="upperLetter"/>
      <w:lvlText w:val="%1"/>
      <w:lvlJc w:val="left"/>
      <w:pPr>
        <w:ind w:left="420" w:hanging="420"/>
      </w:pPr>
    </w:lvl>
    <w:lvl w:ilvl="1" w:tentative="0">
      <w:start w:val="1"/>
      <w:numFmt w:val="decimal"/>
      <w:pStyle w:val="65"/>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41A80BC"/>
    <w:multiLevelType w:val="singleLevel"/>
    <w:tmpl w:val="C41A80BC"/>
    <w:lvl w:ilvl="0" w:tentative="0">
      <w:start w:val="1"/>
      <w:numFmt w:val="bullet"/>
      <w:pStyle w:val="7"/>
      <w:lvlText w:val=""/>
      <w:lvlJc w:val="left"/>
      <w:pPr>
        <w:tabs>
          <w:tab w:val="left" w:pos="360"/>
        </w:tabs>
        <w:ind w:left="360" w:hanging="360"/>
      </w:pPr>
      <w:rPr>
        <w:rFonts w:hint="default" w:ascii="Wingdings" w:hAnsi="Wingdings"/>
      </w:rPr>
    </w:lvl>
  </w:abstractNum>
  <w:abstractNum w:abstractNumId="4">
    <w:nsid w:val="FF75F2AE"/>
    <w:multiLevelType w:val="multilevel"/>
    <w:tmpl w:val="FF75F2AE"/>
    <w:lvl w:ilvl="0" w:tentative="0">
      <w:start w:val="1"/>
      <w:numFmt w:val="none"/>
      <w:pStyle w:val="62"/>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5">
    <w:nsid w:val="08806472"/>
    <w:multiLevelType w:val="singleLevel"/>
    <w:tmpl w:val="08806472"/>
    <w:lvl w:ilvl="0" w:tentative="0">
      <w:start w:val="1"/>
      <w:numFmt w:val="chineseCounting"/>
      <w:suff w:val="nothing"/>
      <w:lvlText w:val="（%1）"/>
      <w:lvlJc w:val="left"/>
      <w:rPr>
        <w:rFonts w:hint="eastAsia"/>
      </w:rPr>
    </w:lvl>
  </w:abstractNum>
  <w:abstractNum w:abstractNumId="6">
    <w:nsid w:val="0FFFFF7E"/>
    <w:multiLevelType w:val="singleLevel"/>
    <w:tmpl w:val="0FFFFF7E"/>
    <w:lvl w:ilvl="0" w:tentative="0">
      <w:start w:val="1"/>
      <w:numFmt w:val="decimal"/>
      <w:lvlText w:val="%1."/>
      <w:lvlJc w:val="left"/>
      <w:pPr>
        <w:tabs>
          <w:tab w:val="left" w:pos="1200"/>
        </w:tabs>
        <w:ind w:left="1200" w:hanging="360"/>
      </w:pPr>
    </w:lvl>
  </w:abstractNum>
  <w:abstractNum w:abstractNumId="7">
    <w:nsid w:val="0FFFFF7F"/>
    <w:multiLevelType w:val="singleLevel"/>
    <w:tmpl w:val="0FFFFF7F"/>
    <w:lvl w:ilvl="0" w:tentative="0">
      <w:start w:val="1"/>
      <w:numFmt w:val="decimal"/>
      <w:lvlText w:val="%1."/>
      <w:lvlJc w:val="left"/>
      <w:pPr>
        <w:tabs>
          <w:tab w:val="left" w:pos="780"/>
        </w:tabs>
        <w:ind w:left="780" w:hanging="360"/>
      </w:pPr>
    </w:lvl>
  </w:abstractNum>
  <w:abstractNum w:abstractNumId="8">
    <w:nsid w:val="2C5917C3"/>
    <w:multiLevelType w:val="multilevel"/>
    <w:tmpl w:val="2C5917C3"/>
    <w:lvl w:ilvl="0" w:tentative="0">
      <w:start w:val="1"/>
      <w:numFmt w:val="none"/>
      <w:pStyle w:val="59"/>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9">
    <w:nsid w:val="44C50F90"/>
    <w:multiLevelType w:val="multilevel"/>
    <w:tmpl w:val="44C50F90"/>
    <w:lvl w:ilvl="0" w:tentative="0">
      <w:start w:val="1"/>
      <w:numFmt w:val="lowerLetter"/>
      <w:pStyle w:val="54"/>
      <w:lvlText w:val="%1)"/>
      <w:lvlJc w:val="left"/>
      <w:pPr>
        <w:tabs>
          <w:tab w:val="left" w:pos="851"/>
        </w:tabs>
        <w:ind w:left="851" w:hanging="426"/>
      </w:pPr>
      <w:rPr>
        <w:rFonts w:hint="eastAsia" w:ascii="宋体" w:hAnsi="Times New Roman" w:eastAsia="宋体"/>
        <w:sz w:val="21"/>
      </w:rPr>
    </w:lvl>
    <w:lvl w:ilvl="1" w:tentative="0">
      <w:start w:val="1"/>
      <w:numFmt w:val="decimal"/>
      <w:pStyle w:val="52"/>
      <w:lvlText w:val="%2)"/>
      <w:lvlJc w:val="left"/>
      <w:pPr>
        <w:tabs>
          <w:tab w:val="left" w:pos="1276"/>
        </w:tabs>
        <w:ind w:left="1276" w:hanging="425"/>
      </w:pPr>
      <w:rPr>
        <w:rFonts w:hint="eastAsia" w:ascii="宋体" w:hAnsi="Times New Roman" w:eastAsia="宋体"/>
        <w:sz w:val="21"/>
      </w:rPr>
    </w:lvl>
    <w:lvl w:ilvl="2" w:tentative="0">
      <w:start w:val="1"/>
      <w:numFmt w:val="decimal"/>
      <w:pStyle w:val="5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5A9B6960"/>
    <w:multiLevelType w:val="multilevel"/>
    <w:tmpl w:val="5A9B6960"/>
    <w:lvl w:ilvl="0" w:tentative="0">
      <w:start w:val="1"/>
      <w:numFmt w:val="none"/>
      <w:pStyle w:val="42"/>
      <w:suff w:val="nothing"/>
      <w:lvlText w:val="%1"/>
      <w:legacy w:legacy="1" w:legacySpace="0" w:legacyIndent="0"/>
      <w:lvlJc w:val="left"/>
      <w:pPr>
        <w:ind w:left="0" w:firstLine="0"/>
      </w:pPr>
      <w:rPr>
        <w:rFonts w:hint="eastAsia"/>
      </w:rPr>
    </w:lvl>
    <w:lvl w:ilvl="1" w:tentative="0">
      <w:start w:val="1"/>
      <w:numFmt w:val="decimal"/>
      <w:pStyle w:val="36"/>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8"/>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4"/>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3"/>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41"/>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1">
    <w:nsid w:val="79E5B5BF"/>
    <w:multiLevelType w:val="multilevel"/>
    <w:tmpl w:val="79E5B5BF"/>
    <w:lvl w:ilvl="0" w:tentative="0">
      <w:start w:val="1"/>
      <w:numFmt w:val="upperLetter"/>
      <w:suff w:val="nothing"/>
      <w:lvlText w:val="附录%1"/>
      <w:lvlJc w:val="left"/>
      <w:pPr>
        <w:ind w:left="0" w:firstLine="0"/>
      </w:pPr>
      <w:rPr>
        <w:spacing w:val="100"/>
      </w:rPr>
    </w:lvl>
    <w:lvl w:ilvl="1" w:tentative="0">
      <w:start w:val="1"/>
      <w:numFmt w:val="decimal"/>
      <w:pStyle w:val="64"/>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3"/>
  </w:num>
  <w:num w:numId="2">
    <w:abstractNumId w:val="10"/>
  </w:num>
  <w:num w:numId="3">
    <w:abstractNumId w:val="1"/>
  </w:num>
  <w:num w:numId="4">
    <w:abstractNumId w:val="7"/>
  </w:num>
  <w:num w:numId="5">
    <w:abstractNumId w:val="6"/>
  </w:num>
  <w:num w:numId="6">
    <w:abstractNumId w:val="9"/>
  </w:num>
  <w:num w:numId="7">
    <w:abstractNumId w:val="8"/>
  </w:num>
  <w:num w:numId="8">
    <w:abstractNumId w:val="4"/>
  </w:num>
  <w:num w:numId="9">
    <w:abstractNumId w:val="11"/>
  </w:num>
  <w:num w:numId="10">
    <w:abstractNumId w:val="2"/>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641C78"/>
    <w:rsid w:val="02DC2156"/>
    <w:rsid w:val="03CC3F79"/>
    <w:rsid w:val="05CD222A"/>
    <w:rsid w:val="06084616"/>
    <w:rsid w:val="06A9292B"/>
    <w:rsid w:val="08471E20"/>
    <w:rsid w:val="08EF7A39"/>
    <w:rsid w:val="09F41169"/>
    <w:rsid w:val="0A5844F0"/>
    <w:rsid w:val="0BE91440"/>
    <w:rsid w:val="0C364870"/>
    <w:rsid w:val="0CCE2B10"/>
    <w:rsid w:val="0EB92622"/>
    <w:rsid w:val="0EE41D10"/>
    <w:rsid w:val="0FC66B7D"/>
    <w:rsid w:val="11386E78"/>
    <w:rsid w:val="11B73ED3"/>
    <w:rsid w:val="11DF729D"/>
    <w:rsid w:val="12277661"/>
    <w:rsid w:val="133D4C82"/>
    <w:rsid w:val="13D12EE6"/>
    <w:rsid w:val="13EE1CEA"/>
    <w:rsid w:val="13F37300"/>
    <w:rsid w:val="13FD1E57"/>
    <w:rsid w:val="16B27361"/>
    <w:rsid w:val="174D6D27"/>
    <w:rsid w:val="18CE5C46"/>
    <w:rsid w:val="1A2A2D28"/>
    <w:rsid w:val="1A611AD4"/>
    <w:rsid w:val="1B43291B"/>
    <w:rsid w:val="1B9C64CF"/>
    <w:rsid w:val="1D752C94"/>
    <w:rsid w:val="1D772D50"/>
    <w:rsid w:val="1E4A1472"/>
    <w:rsid w:val="1E6C7E3E"/>
    <w:rsid w:val="20346CD6"/>
    <w:rsid w:val="203B74FB"/>
    <w:rsid w:val="206E043A"/>
    <w:rsid w:val="21B36690"/>
    <w:rsid w:val="21B75E11"/>
    <w:rsid w:val="233A0AA7"/>
    <w:rsid w:val="23BE2382"/>
    <w:rsid w:val="2443573A"/>
    <w:rsid w:val="25496D80"/>
    <w:rsid w:val="26D30790"/>
    <w:rsid w:val="27095D8A"/>
    <w:rsid w:val="273250B0"/>
    <w:rsid w:val="27750300"/>
    <w:rsid w:val="277B51EB"/>
    <w:rsid w:val="279E6744"/>
    <w:rsid w:val="28AC3162"/>
    <w:rsid w:val="2AB253C7"/>
    <w:rsid w:val="2AED045B"/>
    <w:rsid w:val="2B7B5E48"/>
    <w:rsid w:val="2BAD2B02"/>
    <w:rsid w:val="2C6C6F3C"/>
    <w:rsid w:val="2E0C3040"/>
    <w:rsid w:val="2E40384E"/>
    <w:rsid w:val="2E826991"/>
    <w:rsid w:val="2F083808"/>
    <w:rsid w:val="2F0B058C"/>
    <w:rsid w:val="2F7C5FA4"/>
    <w:rsid w:val="2FDD0EDC"/>
    <w:rsid w:val="31A33CBC"/>
    <w:rsid w:val="32F32A21"/>
    <w:rsid w:val="34337579"/>
    <w:rsid w:val="344833B2"/>
    <w:rsid w:val="347C6228"/>
    <w:rsid w:val="35146A33"/>
    <w:rsid w:val="35D32F7D"/>
    <w:rsid w:val="360540C9"/>
    <w:rsid w:val="38141881"/>
    <w:rsid w:val="39CD7B28"/>
    <w:rsid w:val="3A4E0DF7"/>
    <w:rsid w:val="3D6307DC"/>
    <w:rsid w:val="3D6C58AA"/>
    <w:rsid w:val="3D8F373A"/>
    <w:rsid w:val="3E6639DC"/>
    <w:rsid w:val="3FC7172D"/>
    <w:rsid w:val="403F2E01"/>
    <w:rsid w:val="431A1904"/>
    <w:rsid w:val="442944F4"/>
    <w:rsid w:val="446775E0"/>
    <w:rsid w:val="45413951"/>
    <w:rsid w:val="454F3408"/>
    <w:rsid w:val="465C6645"/>
    <w:rsid w:val="46A11D57"/>
    <w:rsid w:val="46E47FFF"/>
    <w:rsid w:val="4779601E"/>
    <w:rsid w:val="483D0A11"/>
    <w:rsid w:val="48906F82"/>
    <w:rsid w:val="4895463A"/>
    <w:rsid w:val="493E1AE1"/>
    <w:rsid w:val="4AED5F14"/>
    <w:rsid w:val="4B2238EC"/>
    <w:rsid w:val="4C6C7CEB"/>
    <w:rsid w:val="4DDD59C1"/>
    <w:rsid w:val="4EA71436"/>
    <w:rsid w:val="50370ABF"/>
    <w:rsid w:val="50586516"/>
    <w:rsid w:val="51A650B5"/>
    <w:rsid w:val="51FB0B52"/>
    <w:rsid w:val="52845057"/>
    <w:rsid w:val="530F63CB"/>
    <w:rsid w:val="531F075A"/>
    <w:rsid w:val="53F87A3F"/>
    <w:rsid w:val="56C6380D"/>
    <w:rsid w:val="56DA342C"/>
    <w:rsid w:val="57A01936"/>
    <w:rsid w:val="57A57FD6"/>
    <w:rsid w:val="57F01F2D"/>
    <w:rsid w:val="58D367F3"/>
    <w:rsid w:val="592B4413"/>
    <w:rsid w:val="592C1295"/>
    <w:rsid w:val="59DD74BB"/>
    <w:rsid w:val="5A8C449C"/>
    <w:rsid w:val="5B571FFB"/>
    <w:rsid w:val="5BD06662"/>
    <w:rsid w:val="5BFB00CD"/>
    <w:rsid w:val="5C452F47"/>
    <w:rsid w:val="5D086F45"/>
    <w:rsid w:val="5D4D6706"/>
    <w:rsid w:val="5E033269"/>
    <w:rsid w:val="60252B89"/>
    <w:rsid w:val="602F6597"/>
    <w:rsid w:val="6039376E"/>
    <w:rsid w:val="616C2448"/>
    <w:rsid w:val="63057E95"/>
    <w:rsid w:val="63DF2082"/>
    <w:rsid w:val="654A16B4"/>
    <w:rsid w:val="660F1D12"/>
    <w:rsid w:val="66A21530"/>
    <w:rsid w:val="67277FC8"/>
    <w:rsid w:val="677C2407"/>
    <w:rsid w:val="67C27CF0"/>
    <w:rsid w:val="68C47A98"/>
    <w:rsid w:val="68C53F3C"/>
    <w:rsid w:val="69B221A1"/>
    <w:rsid w:val="6AB2229E"/>
    <w:rsid w:val="6CA54DC3"/>
    <w:rsid w:val="6CC80E6D"/>
    <w:rsid w:val="70EF6F18"/>
    <w:rsid w:val="710B6BAC"/>
    <w:rsid w:val="71525B1E"/>
    <w:rsid w:val="716444DA"/>
    <w:rsid w:val="71CC633B"/>
    <w:rsid w:val="71F238C8"/>
    <w:rsid w:val="738A5B9F"/>
    <w:rsid w:val="739D1805"/>
    <w:rsid w:val="741F6AAA"/>
    <w:rsid w:val="74A0585D"/>
    <w:rsid w:val="754A5489"/>
    <w:rsid w:val="763864CA"/>
    <w:rsid w:val="764D461B"/>
    <w:rsid w:val="767877A4"/>
    <w:rsid w:val="77A7157C"/>
    <w:rsid w:val="77D048EE"/>
    <w:rsid w:val="780D320A"/>
    <w:rsid w:val="78B143BF"/>
    <w:rsid w:val="7A035425"/>
    <w:rsid w:val="7AB465B7"/>
    <w:rsid w:val="7ABA49C4"/>
    <w:rsid w:val="7B215011"/>
    <w:rsid w:val="7CB63E70"/>
    <w:rsid w:val="7D221505"/>
    <w:rsid w:val="7DCF4ABD"/>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8"/>
    <w:autoRedefine/>
    <w:qFormat/>
    <w:uiPriority w:val="9"/>
    <w:pPr>
      <w:keepNext/>
      <w:keepLines/>
      <w:spacing w:before="240" w:after="64" w:line="320" w:lineRule="auto"/>
      <w:outlineLvl w:val="6"/>
    </w:pPr>
    <w:rPr>
      <w:b/>
      <w:bCs/>
      <w:sz w:val="24"/>
    </w:rPr>
  </w:style>
  <w:style w:type="character" w:default="1" w:styleId="19">
    <w:name w:val="Default Paragraph Font"/>
    <w:autoRedefine/>
    <w:qFormat/>
    <w:uiPriority w:val="0"/>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List Bullet"/>
    <w:basedOn w:val="1"/>
    <w:semiHidden/>
    <w:unhideWhenUsed/>
    <w:qFormat/>
    <w:uiPriority w:val="99"/>
    <w:pPr>
      <w:numPr>
        <w:ilvl w:val="0"/>
        <w:numId w:val="1"/>
      </w:numPr>
    </w:pPr>
  </w:style>
  <w:style w:type="paragraph" w:styleId="8">
    <w:name w:val="annotation text"/>
    <w:basedOn w:val="1"/>
    <w:link w:val="29"/>
    <w:autoRedefine/>
    <w:unhideWhenUsed/>
    <w:qFormat/>
    <w:uiPriority w:val="99"/>
    <w:pPr>
      <w:adjustRightInd w:val="0"/>
      <w:spacing w:line="400" w:lineRule="exact"/>
      <w:jc w:val="left"/>
    </w:pPr>
    <w:rPr>
      <w:rFonts w:ascii="Calibri" w:hAnsi="Calibri"/>
      <w:szCs w:val="21"/>
    </w:rPr>
  </w:style>
  <w:style w:type="paragraph" w:styleId="9">
    <w:name w:val="Body Text"/>
    <w:basedOn w:val="1"/>
    <w:link w:val="61"/>
    <w:semiHidden/>
    <w:unhideWhenUsed/>
    <w:qFormat/>
    <w:uiPriority w:val="99"/>
    <w:pPr>
      <w:spacing w:after="120" w:afterLines="0" w:afterAutospacing="0"/>
    </w:pPr>
  </w:style>
  <w:style w:type="paragraph" w:styleId="10">
    <w:name w:val="Balloon Text"/>
    <w:basedOn w:val="1"/>
    <w:link w:val="30"/>
    <w:autoRedefine/>
    <w:unhideWhenUsed/>
    <w:qFormat/>
    <w:uiPriority w:val="99"/>
    <w:rPr>
      <w:sz w:val="18"/>
      <w:szCs w:val="18"/>
    </w:rPr>
  </w:style>
  <w:style w:type="paragraph" w:styleId="11">
    <w:name w:val="footer"/>
    <w:basedOn w:val="1"/>
    <w:link w:val="31"/>
    <w:autoRedefine/>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0"/>
    <w:pPr>
      <w:snapToGrid w:val="0"/>
    </w:pPr>
    <w:rPr>
      <w:rFonts w:ascii="Times New Roman" w:hAnsi="Times New Roman"/>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18">
    <w:name w:val="Light Grid Accent 1"/>
    <w:basedOn w:val="16"/>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character" w:styleId="20">
    <w:name w:val="Strong"/>
    <w:basedOn w:val="19"/>
    <w:autoRedefine/>
    <w:qFormat/>
    <w:uiPriority w:val="22"/>
    <w:rPr>
      <w:b/>
    </w:rPr>
  </w:style>
  <w:style w:type="character" w:styleId="21">
    <w:name w:val="FollowedHyperlink"/>
    <w:basedOn w:val="19"/>
    <w:semiHidden/>
    <w:unhideWhenUsed/>
    <w:qFormat/>
    <w:uiPriority w:val="99"/>
    <w:rPr>
      <w:color w:val="954F72"/>
      <w:u w:val="single"/>
    </w:rPr>
  </w:style>
  <w:style w:type="character" w:styleId="22">
    <w:name w:val="line number"/>
    <w:autoRedefine/>
    <w:qFormat/>
    <w:uiPriority w:val="0"/>
  </w:style>
  <w:style w:type="character" w:styleId="23">
    <w:name w:val="Hyperlink"/>
    <w:autoRedefine/>
    <w:qFormat/>
    <w:uiPriority w:val="0"/>
    <w:rPr>
      <w:rFonts w:ascii="宋体" w:eastAsia="宋体"/>
      <w:color w:val="auto"/>
      <w:spacing w:val="0"/>
      <w:w w:val="100"/>
      <w:position w:val="0"/>
      <w:sz w:val="21"/>
      <w:u w:val="none"/>
      <w:vertAlign w:val="baseline"/>
    </w:rPr>
  </w:style>
  <w:style w:type="character" w:styleId="24">
    <w:name w:val="annotation reference"/>
    <w:autoRedefine/>
    <w:qFormat/>
    <w:uiPriority w:val="99"/>
    <w:rPr>
      <w:sz w:val="21"/>
    </w:rPr>
  </w:style>
  <w:style w:type="character" w:styleId="25">
    <w:name w:val="footnote reference"/>
    <w:autoRedefine/>
    <w:qFormat/>
    <w:uiPriority w:val="0"/>
    <w:rPr>
      <w:vertAlign w:val="superscript"/>
    </w:rPr>
  </w:style>
  <w:style w:type="paragraph" w:customStyle="1" w:styleId="26">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7">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8">
    <w:name w:val="标题 7 字符"/>
    <w:link w:val="6"/>
    <w:autoRedefine/>
    <w:qFormat/>
    <w:uiPriority w:val="0"/>
    <w:rPr>
      <w:rFonts w:eastAsia="宋体"/>
      <w:b/>
      <w:bCs/>
      <w:kern w:val="2"/>
      <w:sz w:val="24"/>
      <w:szCs w:val="24"/>
    </w:rPr>
  </w:style>
  <w:style w:type="character" w:customStyle="1" w:styleId="29">
    <w:name w:val="批注文字 字符"/>
    <w:link w:val="8"/>
    <w:autoRedefine/>
    <w:semiHidden/>
    <w:qFormat/>
    <w:uiPriority w:val="99"/>
    <w:rPr>
      <w:rFonts w:ascii="Calibri" w:hAnsi="Calibri" w:eastAsia="宋体"/>
      <w:kern w:val="2"/>
      <w:sz w:val="21"/>
      <w:szCs w:val="21"/>
    </w:rPr>
  </w:style>
  <w:style w:type="character" w:customStyle="1" w:styleId="30">
    <w:name w:val="批注框文本 字符"/>
    <w:link w:val="10"/>
    <w:autoRedefine/>
    <w:semiHidden/>
    <w:qFormat/>
    <w:uiPriority w:val="99"/>
    <w:rPr>
      <w:rFonts w:eastAsia="宋体"/>
      <w:kern w:val="2"/>
      <w:sz w:val="18"/>
      <w:szCs w:val="18"/>
    </w:rPr>
  </w:style>
  <w:style w:type="character" w:customStyle="1" w:styleId="31">
    <w:name w:val="页脚 字符"/>
    <w:link w:val="11"/>
    <w:autoRedefine/>
    <w:qFormat/>
    <w:locked/>
    <w:uiPriority w:val="99"/>
    <w:rPr>
      <w:rFonts w:eastAsia="宋体"/>
      <w:kern w:val="2"/>
      <w:sz w:val="18"/>
      <w:szCs w:val="18"/>
    </w:rPr>
  </w:style>
  <w:style w:type="paragraph" w:customStyle="1" w:styleId="32">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33">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4">
    <w:name w:val="标准文件_段"/>
    <w:link w:val="35"/>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5">
    <w:name w:val="标准文件_段 Char"/>
    <w:link w:val="34"/>
    <w:autoRedefine/>
    <w:qFormat/>
    <w:uiPriority w:val="0"/>
    <w:rPr>
      <w:rFonts w:ascii="宋体" w:eastAsia="宋体"/>
      <w:sz w:val="21"/>
    </w:rPr>
  </w:style>
  <w:style w:type="paragraph" w:customStyle="1" w:styleId="36">
    <w:name w:val="标准文件_章标题"/>
    <w:next w:val="34"/>
    <w:autoRedefine/>
    <w:qFormat/>
    <w:uiPriority w:val="0"/>
    <w:pPr>
      <w:numPr>
        <w:ilvl w:val="1"/>
        <w:numId w:val="2"/>
      </w:numPr>
      <w:spacing w:before="100" w:beforeLines="100" w:after="100" w:afterLines="100"/>
      <w:jc w:val="both"/>
      <w:outlineLvl w:val="0"/>
    </w:pPr>
    <w:rPr>
      <w:rFonts w:ascii="黑体" w:hAnsi="Calibri" w:eastAsia="黑体" w:cs="Calibri"/>
      <w:sz w:val="21"/>
      <w:lang w:val="en-US" w:eastAsia="zh-CN" w:bidi="ar-SA"/>
    </w:rPr>
  </w:style>
  <w:style w:type="paragraph" w:customStyle="1" w:styleId="37">
    <w:name w:val="标准文件_二级条标题"/>
    <w:next w:val="34"/>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8">
    <w:name w:val="标准文件_一级条标题"/>
    <w:basedOn w:val="36"/>
    <w:next w:val="34"/>
    <w:autoRedefine/>
    <w:qFormat/>
    <w:uiPriority w:val="0"/>
    <w:pPr>
      <w:numPr>
        <w:ilvl w:val="2"/>
        <w:numId w:val="2"/>
      </w:numPr>
      <w:spacing w:before="50" w:beforeLines="0" w:after="50" w:afterLines="0"/>
      <w:outlineLvl w:val="1"/>
    </w:pPr>
  </w:style>
  <w:style w:type="paragraph" w:customStyle="1" w:styleId="39">
    <w:name w:val="标准文件_三级条标题"/>
    <w:basedOn w:val="37"/>
    <w:next w:val="34"/>
    <w:autoRedefine/>
    <w:qFormat/>
    <w:uiPriority w:val="0"/>
    <w:pPr>
      <w:numPr>
        <w:ilvl w:val="4"/>
        <w:numId w:val="2"/>
      </w:numPr>
      <w:spacing w:before="50" w:beforeLines="50" w:after="50" w:afterLines="50"/>
      <w:jc w:val="both"/>
      <w:outlineLvl w:val="3"/>
    </w:pPr>
    <w:rPr>
      <w:rFonts w:ascii="黑体" w:eastAsia="黑体"/>
      <w:sz w:val="21"/>
      <w:lang w:val="en-US" w:eastAsia="zh-CN" w:bidi="ar-SA"/>
    </w:rPr>
  </w:style>
  <w:style w:type="paragraph" w:customStyle="1" w:styleId="40">
    <w:name w:val="标准文件_四级条标题"/>
    <w:next w:val="34"/>
    <w:autoRedefine/>
    <w:qFormat/>
    <w:uiPriority w:val="0"/>
    <w:pPr>
      <w:widowControl w:val="0"/>
      <w:numPr>
        <w:ilvl w:val="5"/>
        <w:numId w:val="2"/>
      </w:numPr>
      <w:spacing w:before="50" w:beforeLines="50" w:after="50" w:afterLines="50"/>
      <w:jc w:val="both"/>
      <w:outlineLvl w:val="4"/>
    </w:pPr>
    <w:rPr>
      <w:rFonts w:ascii="黑体" w:hAnsi="Calibri" w:eastAsia="黑体" w:cs="Calibri"/>
      <w:sz w:val="21"/>
      <w:lang w:val="en-US" w:eastAsia="zh-CN" w:bidi="ar-SA"/>
    </w:rPr>
  </w:style>
  <w:style w:type="paragraph" w:customStyle="1" w:styleId="41">
    <w:name w:val="标准文件_五级条标题"/>
    <w:next w:val="37"/>
    <w:autoRedefine/>
    <w:qFormat/>
    <w:uiPriority w:val="0"/>
    <w:pPr>
      <w:widowControl w:val="0"/>
      <w:numPr>
        <w:ilvl w:val="6"/>
        <w:numId w:val="2"/>
      </w:numPr>
      <w:spacing w:before="50" w:beforeLines="50" w:after="50" w:afterLines="50"/>
      <w:jc w:val="both"/>
      <w:outlineLvl w:val="5"/>
    </w:pPr>
    <w:rPr>
      <w:rFonts w:ascii="黑体" w:hAnsi="Calibri" w:eastAsia="黑体" w:cs="Calibri"/>
      <w:sz w:val="21"/>
      <w:lang w:val="en-US" w:eastAsia="zh-CN" w:bidi="ar-SA"/>
    </w:rPr>
  </w:style>
  <w:style w:type="paragraph" w:customStyle="1" w:styleId="42">
    <w:name w:val="前言标题"/>
    <w:next w:val="1"/>
    <w:autoRedefine/>
    <w:qFormat/>
    <w:uiPriority w:val="0"/>
    <w:pPr>
      <w:numPr>
        <w:ilvl w:val="0"/>
        <w:numId w:val="2"/>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3">
    <w:name w:val="标准文件_四级无标题"/>
    <w:basedOn w:val="40"/>
    <w:autoRedefine/>
    <w:qFormat/>
    <w:uiPriority w:val="0"/>
    <w:pPr>
      <w:widowControl w:val="0"/>
      <w:numPr>
        <w:ilvl w:val="5"/>
        <w:numId w:val="2"/>
      </w:numPr>
      <w:spacing w:before="50" w:after="50"/>
      <w:jc w:val="both"/>
    </w:pPr>
    <w:rPr>
      <w:rFonts w:ascii="宋体" w:hAnsi="Calibri" w:eastAsia="宋体" w:cs="Calibri"/>
      <w:sz w:val="21"/>
      <w:szCs w:val="52"/>
      <w:lang w:val="en-US" w:eastAsia="zh-CN" w:bidi="ar-SA"/>
    </w:rPr>
  </w:style>
  <w:style w:type="paragraph" w:customStyle="1" w:styleId="44">
    <w:name w:val="标准文件_三级无标题"/>
    <w:basedOn w:val="39"/>
    <w:autoRedefine/>
    <w:qFormat/>
    <w:uiPriority w:val="0"/>
    <w:pPr>
      <w:numPr>
        <w:ilvl w:val="4"/>
        <w:numId w:val="2"/>
      </w:numPr>
      <w:spacing w:before="50" w:after="50"/>
      <w:jc w:val="both"/>
    </w:pPr>
    <w:rPr>
      <w:rFonts w:ascii="宋体" w:eastAsia="宋体"/>
      <w:sz w:val="21"/>
      <w:lang w:val="en-US" w:eastAsia="zh-CN" w:bidi="ar-SA"/>
    </w:rPr>
  </w:style>
  <w:style w:type="paragraph" w:customStyle="1" w:styleId="45">
    <w:name w:val="标准文件_正文表标题"/>
    <w:autoRedefine/>
    <w:qFormat/>
    <w:uiPriority w:val="0"/>
    <w:pPr>
      <w:numPr>
        <w:ilvl w:val="0"/>
        <w:numId w:val="3"/>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6">
    <w:name w:val="font11"/>
    <w:autoRedefine/>
    <w:qFormat/>
    <w:uiPriority w:val="0"/>
    <w:rPr>
      <w:rFonts w:ascii="等线" w:eastAsia="等线"/>
      <w:b/>
      <w:bCs/>
      <w:color w:val="FF0000"/>
      <w:sz w:val="22"/>
      <w:szCs w:val="22"/>
      <w:u w:val="none"/>
    </w:rPr>
  </w:style>
  <w:style w:type="character" w:customStyle="1" w:styleId="47">
    <w:name w:val="font01"/>
    <w:autoRedefine/>
    <w:qFormat/>
    <w:uiPriority w:val="0"/>
    <w:rPr>
      <w:rFonts w:ascii="等线" w:eastAsia="等线"/>
      <w:color w:val="000000"/>
      <w:sz w:val="22"/>
      <w:szCs w:val="22"/>
      <w:u w:val="none"/>
    </w:rPr>
  </w:style>
  <w:style w:type="paragraph" w:customStyle="1" w:styleId="48">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9">
    <w:name w:val="二级无"/>
    <w:basedOn w:val="1"/>
    <w:autoRedefine/>
    <w:qFormat/>
    <w:uiPriority w:val="0"/>
    <w:pPr>
      <w:widowControl/>
      <w:numPr>
        <w:ilvl w:val="2"/>
        <w:numId w:val="4"/>
      </w:numPr>
      <w:tabs>
        <w:tab w:val="left" w:pos="780"/>
      </w:tabs>
      <w:jc w:val="left"/>
      <w:outlineLvl w:val="3"/>
    </w:pPr>
    <w:rPr>
      <w:rFonts w:ascii="宋体"/>
      <w:kern w:val="0"/>
      <w:szCs w:val="21"/>
    </w:rPr>
  </w:style>
  <w:style w:type="paragraph" w:customStyle="1" w:styleId="50">
    <w:name w:val="标准文件_二级无标题"/>
    <w:basedOn w:val="37"/>
    <w:autoRedefine/>
    <w:qFormat/>
    <w:uiPriority w:val="0"/>
    <w:pPr>
      <w:numPr>
        <w:ilvl w:val="3"/>
        <w:numId w:val="5"/>
      </w:numPr>
      <w:tabs>
        <w:tab w:val="left" w:pos="1200"/>
      </w:tabs>
      <w:spacing w:before="0" w:beforeLines="0" w:after="0" w:afterLines="0"/>
      <w:outlineLvl w:val="9"/>
    </w:pPr>
    <w:rPr>
      <w:rFonts w:ascii="宋体" w:eastAsia="宋体"/>
    </w:rPr>
  </w:style>
  <w:style w:type="paragraph" w:customStyle="1" w:styleId="51">
    <w:name w:val="Char Char Char Char"/>
    <w:basedOn w:val="1"/>
    <w:autoRedefine/>
    <w:qFormat/>
    <w:uiPriority w:val="0"/>
  </w:style>
  <w:style w:type="paragraph" w:customStyle="1" w:styleId="52">
    <w:name w:val="标准文件_数字编号列项（二级）"/>
    <w:autoRedefine/>
    <w:qFormat/>
    <w:uiPriority w:val="0"/>
    <w:pPr>
      <w:numPr>
        <w:ilvl w:val="1"/>
        <w:numId w:val="6"/>
      </w:numPr>
      <w:jc w:val="both"/>
    </w:pPr>
    <w:rPr>
      <w:rFonts w:ascii="宋体" w:hAnsi="Calibri" w:eastAsia="宋体" w:cs="Calibri"/>
      <w:sz w:val="21"/>
      <w:lang w:val="en-US" w:eastAsia="zh-CN" w:bidi="ar-SA"/>
    </w:rPr>
  </w:style>
  <w:style w:type="paragraph" w:customStyle="1" w:styleId="53">
    <w:name w:val="标准文件_编号列项（三级）"/>
    <w:autoRedefine/>
    <w:qFormat/>
    <w:uiPriority w:val="0"/>
    <w:pPr>
      <w:numPr>
        <w:ilvl w:val="2"/>
        <w:numId w:val="6"/>
      </w:numPr>
    </w:pPr>
    <w:rPr>
      <w:rFonts w:ascii="宋体" w:hAnsi="Calibri" w:eastAsia="宋体" w:cs="Calibri"/>
      <w:sz w:val="21"/>
      <w:lang w:val="en-US" w:eastAsia="zh-CN" w:bidi="ar-SA"/>
    </w:rPr>
  </w:style>
  <w:style w:type="paragraph" w:customStyle="1" w:styleId="54">
    <w:name w:val="标准文件_字母编号列项（一级）"/>
    <w:autoRedefine/>
    <w:qFormat/>
    <w:uiPriority w:val="0"/>
    <w:pPr>
      <w:numPr>
        <w:ilvl w:val="0"/>
        <w:numId w:val="6"/>
      </w:numPr>
      <w:jc w:val="both"/>
    </w:pPr>
    <w:rPr>
      <w:rFonts w:ascii="宋体" w:hAnsi="Calibri" w:eastAsia="宋体" w:cs="Calibri"/>
      <w:sz w:val="21"/>
      <w:lang w:val="en-US" w:eastAsia="zh-CN" w:bidi="ar-SA"/>
    </w:rPr>
  </w:style>
  <w:style w:type="paragraph" w:customStyle="1" w:styleId="55">
    <w:name w:val="标准文件_术语条一"/>
    <w:basedOn w:val="1"/>
    <w:next w:val="34"/>
    <w:autoRedefine/>
    <w:qFormat/>
    <w:uiPriority w:val="0"/>
    <w:pPr>
      <w:widowControl/>
    </w:pPr>
    <w:rPr>
      <w:rFonts w:ascii="宋体"/>
      <w:kern w:val="0"/>
      <w:szCs w:val="20"/>
    </w:rPr>
  </w:style>
  <w:style w:type="paragraph" w:customStyle="1" w:styleId="56">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7">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8">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9">
    <w:name w:val="标准文件_一级项"/>
    <w:autoRedefine/>
    <w:qFormat/>
    <w:uiPriority w:val="0"/>
    <w:pPr>
      <w:numPr>
        <w:ilvl w:val="0"/>
        <w:numId w:val="7"/>
      </w:numPr>
    </w:pPr>
    <w:rPr>
      <w:rFonts w:ascii="宋体" w:hAnsi="Times New Roman" w:eastAsia="宋体" w:cs="Times New Roman"/>
      <w:sz w:val="21"/>
      <w:lang w:val="en-US" w:eastAsia="zh-CN" w:bidi="ar-SA"/>
    </w:rPr>
  </w:style>
  <w:style w:type="paragraph" w:customStyle="1" w:styleId="60">
    <w:name w:val="标准文件_一级无标题"/>
    <w:basedOn w:val="38"/>
    <w:qFormat/>
    <w:uiPriority w:val="0"/>
    <w:pPr>
      <w:spacing w:before="0" w:beforeLines="0" w:after="0" w:afterLines="0"/>
      <w:outlineLvl w:val="9"/>
    </w:pPr>
    <w:rPr>
      <w:rFonts w:ascii="宋体" w:eastAsia="宋体"/>
    </w:rPr>
  </w:style>
  <w:style w:type="character" w:customStyle="1" w:styleId="61">
    <w:name w:val="正文文本 字符"/>
    <w:basedOn w:val="19"/>
    <w:link w:val="9"/>
    <w:qFormat/>
    <w:uiPriority w:val="0"/>
    <w:rPr>
      <w:rFonts w:hint="default" w:ascii="Calibri" w:hAnsi="Calibri" w:cs="Calibri"/>
      <w:kern w:val="2"/>
      <w:sz w:val="21"/>
      <w:szCs w:val="21"/>
    </w:rPr>
  </w:style>
  <w:style w:type="paragraph" w:customStyle="1" w:styleId="62">
    <w:name w:val="标准文件_注："/>
    <w:basedOn w:val="1"/>
    <w:qFormat/>
    <w:uiPriority w:val="0"/>
    <w:pPr>
      <w:keepNext w:val="0"/>
      <w:keepLines w:val="0"/>
      <w:widowControl w:val="0"/>
      <w:numPr>
        <w:ilvl w:val="0"/>
        <w:numId w:val="8"/>
      </w:numPr>
      <w:suppressLineNumbers w:val="0"/>
      <w:autoSpaceDE w:val="0"/>
      <w:autoSpaceDN w:val="0"/>
      <w:spacing w:before="0" w:beforeAutospacing="0" w:after="0" w:afterAutospacing="0"/>
      <w:ind w:left="737" w:right="0" w:hanging="374"/>
      <w:jc w:val="both"/>
    </w:pPr>
    <w:rPr>
      <w:rFonts w:hint="eastAsia" w:ascii="宋体" w:hAnsi="Times New Roman" w:eastAsia="宋体" w:cs="Times New Roman"/>
      <w:kern w:val="0"/>
      <w:sz w:val="18"/>
      <w:szCs w:val="18"/>
      <w:lang w:val="en-US" w:eastAsia="zh-CN" w:bidi="ar"/>
    </w:rPr>
  </w:style>
  <w:style w:type="paragraph" w:styleId="63">
    <w:name w:val="List Paragraph"/>
    <w:basedOn w:val="1"/>
    <w:qFormat/>
    <w:uiPriority w:val="99"/>
    <w:pPr>
      <w:ind w:firstLine="420" w:firstLineChars="200"/>
    </w:pPr>
  </w:style>
  <w:style w:type="paragraph" w:customStyle="1" w:styleId="64">
    <w:name w:val="标准文件_附录一级条标题"/>
    <w:basedOn w:val="1"/>
    <w:next w:val="34"/>
    <w:qFormat/>
    <w:uiPriority w:val="0"/>
    <w:pPr>
      <w:keepNext w:val="0"/>
      <w:keepLines w:val="0"/>
      <w:widowControl w:val="0"/>
      <w:numPr>
        <w:ilvl w:val="1"/>
        <w:numId w:val="9"/>
      </w:numPr>
      <w:suppressLineNumbers w:val="0"/>
      <w:spacing w:before="50" w:beforeLines="50" w:beforeAutospacing="0" w:after="50" w:afterLines="50" w:afterAutospacing="0"/>
      <w:ind w:left="0" w:right="0" w:firstLine="0"/>
      <w:jc w:val="both"/>
      <w:outlineLvl w:val="2"/>
    </w:pPr>
    <w:rPr>
      <w:rFonts w:hint="eastAsia" w:ascii="黑体" w:hAnsi="Times New Roman" w:eastAsia="黑体" w:cs="Times New Roman"/>
      <w:kern w:val="21"/>
      <w:sz w:val="21"/>
      <w:szCs w:val="20"/>
      <w:lang w:val="en-US" w:eastAsia="zh-CN" w:bidi="ar"/>
    </w:rPr>
  </w:style>
  <w:style w:type="paragraph" w:customStyle="1" w:styleId="65">
    <w:name w:val="标准文件_附录图标题"/>
    <w:basedOn w:val="1"/>
    <w:qFormat/>
    <w:uiPriority w:val="0"/>
    <w:pPr>
      <w:keepNext w:val="0"/>
      <w:keepLines w:val="0"/>
      <w:widowControl/>
      <w:numPr>
        <w:ilvl w:val="1"/>
        <w:numId w:val="10"/>
      </w:numPr>
      <w:suppressLineNumbers w:val="0"/>
      <w:adjustRightInd w:val="0"/>
      <w:snapToGrid w:val="0"/>
      <w:spacing w:before="50" w:beforeLines="50" w:beforeAutospacing="0" w:after="50" w:afterLines="50" w:afterAutospacing="0"/>
      <w:ind w:left="0" w:right="0" w:firstLine="0"/>
      <w:jc w:val="center"/>
    </w:pPr>
    <w:rPr>
      <w:rFonts w:hint="eastAsia" w:ascii="黑体" w:hAnsi="Times New Roman" w:eastAsia="黑体" w:cs="Times New Roman"/>
      <w:kern w:val="0"/>
      <w:sz w:val="21"/>
      <w:szCs w:val="20"/>
      <w:lang w:val="en-US" w:eastAsia="zh-CN" w:bidi="ar"/>
    </w:rPr>
  </w:style>
  <w:style w:type="character" w:customStyle="1" w:styleId="66">
    <w:name w:val="15"/>
    <w:basedOn w:val="19"/>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848f9295-0101-4149-a96a-090c991d54e0</errorID>
      <errorWord>批批</errorWord>
      <group>L1_Word</group>
      <groupName>字词问题</groupName>
      <ability>L2_Typo</ability>
      <abilityName>字词错误</abilityName>
      <candidateList>
        <item>批</item>
      </candidateList>
      <explain/>
      <paraID>37CF72A6</paraID>
      <start>22</start>
      <end>23</end>
      <status>modified</status>
      <modifiedWord>批</modifiedWord>
      <trackRevisions>false</trackRevisions>
    </reviewItem>
    <reviewItem>
      <errorID>51f09fa8-40a3-4279-b4bd-ec0a402c889c</errorID>
      <errorWord>报告显示</errorWord>
      <group>L1_Grammar</group>
      <groupName>语法问题</groupName>
      <ability>L2_Confusion</ability>
      <abilityName>结构混乱</abilityName>
      <candidateList>
        <item>报告</item>
      </candidateList>
      <explain>句子中可能存在两种以上的句法结构，导致结构混乱。</explain>
      <paraID>382028AA</paraID>
      <start>123</start>
      <end>127</end>
      <status>unmodified</status>
      <modifiedWord/>
      <trackRevisions>false</trackRevisions>
    </reviewItem>
    <reviewItem>
      <errorID>f77438f1-64f4-4012-b3db-a744a6a4be96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8BC3893</paraID>
      <start>51</start>
      <end>52</end>
      <status>unmodified</status>
      <modifiedWord/>
      <trackRevisions>false</trackRevisions>
    </reviewItem>
    <reviewItem>
      <errorID>4e85b6e5-57a0-49a9-9e5c-9c41b254d6cb</errorID>
      <errorWord>二个</errorWord>
      <group>L1_Word</group>
      <groupName>字词问题</groupName>
      <ability>L2_Typo</ability>
      <abilityName>字词错误</abilityName>
      <candidateList>
        <item>两个</item>
      </candidateList>
      <explain/>
      <paraID>3AC50CC4</paraID>
      <start>41</start>
      <end>43</end>
      <status>unmodified</status>
      <modifiedWord/>
      <trackRevisions>false</trackRevisions>
    </reviewItem>
    <reviewItem>
      <errorID>38ec112e-da5a-41ab-a317-66c0a731196e</errorID>
      <errorWord>)</errorWord>
      <group>L1_Format</group>
      <groupName>格式问题</groupName>
      <ability>L2_HalfPunc</ability>
      <abilityName>全半角检查</abilityName>
      <candidateList>
        <item>）</item>
      </candidateList>
      <explain>文本全半角错误。</explain>
      <paraID>7BC87018</paraID>
      <start>86</start>
      <end>87</end>
      <status>unmodified</status>
      <modifiedWord/>
      <trackRevisions>false</trackRevisions>
    </reviewItem>
    <reviewItem>
      <errorID>bdc0e2d8-e730-42a1-af62-96dafa5e31f6</errorID>
      <errorWord>.</errorWord>
      <group>L1_Format</group>
      <groupName>格式问题</groupName>
      <ability>L2_HalfPunc</ability>
      <abilityName>全半角检查</abilityName>
      <candidateList>
        <item>。</item>
      </candidateList>
      <explain>文本全半角错误。</explain>
      <paraID>5CB3CC5D</paraID>
      <start>27</start>
      <end>28</end>
      <status>unmodified</status>
      <modifiedWord/>
      <trackRevisions>false</trackRevisions>
    </reviewItem>
    <reviewItem>
      <errorID>f40fba67-5eb5-4946-9d3b-76aed7c045b9</errorID>
      <errorWord>.</errorWord>
      <group>L1_Format</group>
      <groupName>格式问题</groupName>
      <ability>L2_HalfPunc</ability>
      <abilityName>全半角检查</abilityName>
      <candidateList>
        <item>。</item>
      </candidateList>
      <explain>文本全半角错误。</explain>
      <paraID>757CE454</paraID>
      <start>9</start>
      <end>10</end>
      <status>unmodified</status>
      <modifiedWord/>
      <trackRevisions>false</trackRevisions>
    </reviewItem>
    <reviewItem>
      <errorID>3b7968d2-f95b-44f5-a526-350e525cb73b</errorID>
      <errorWord>.</errorWord>
      <group>L1_Format</group>
      <groupName>格式问题</groupName>
      <ability>L2_HalfPunc</ability>
      <abilityName>全半角检查</abilityName>
      <candidateList>
        <item>。</item>
      </candidateList>
      <explain>文本全半角错误。</explain>
      <paraID>58B1BD4A</paraID>
      <start>9</start>
      <end>10</end>
      <status>unmodified</status>
      <modifiedWord/>
      <trackRevisions>false</trackRevisions>
    </reviewItem>
    <reviewItem>
      <errorID>f32a0bcd-fcc0-46a8-a70e-4208cb8ab03b</errorID>
      <errorWord>)</errorWord>
      <group>L1_Format</group>
      <groupName>格式问题</groupName>
      <ability>L2_HalfPunc</ability>
      <abilityName>全半角检查</abilityName>
      <candidateList>
        <item>）</item>
      </candidateList>
      <explain>文本全半角错误。</explain>
      <paraID>74CC5957</paraID>
      <start>67</start>
      <end>68</end>
      <status>unmodified</status>
      <modifiedWord/>
      <trackRevisions>false</trackRevisions>
    </reviewItem>
    <reviewItem>
      <errorID>a06c349f-1923-4b60-852c-4ffa61ca62f5</errorID>
      <errorWord>,</errorWord>
      <group>L1_Format</group>
      <groupName>格式问题</groupName>
      <ability>L2_HalfPunc</ability>
      <abilityName>全半角检查</abilityName>
      <candidateList>
        <item>，</item>
      </candidateList>
      <explain>文本全半角错误。</explain>
      <paraID>7F516FD9</paraID>
      <start>41</start>
      <end>42</end>
      <status>unmodified</status>
      <modifiedWord/>
      <trackRevisions>false</trackRevisions>
    </reviewItem>
    <reviewItem>
      <errorID>52a2fefd-cd29-4e1e-b6cd-d8bdc65a7662</errorID>
      <errorWord>(</errorWord>
      <group>L1_Format</group>
      <groupName>格式问题</groupName>
      <ability>L2_HalfPunc</ability>
      <abilityName>全半角检查</abilityName>
      <candidateList>
        <item>（</item>
      </candidateList>
      <explain>文本全半角错误。</explain>
      <paraID>5B156E5C</paraID>
      <start>162</start>
      <end>163</end>
      <status>unmodified</status>
      <modifiedWord/>
      <trackRevisions>false</trackRevisions>
    </reviewItem>
    <reviewItem>
      <errorID>cc11fbac-7b4a-4675-98c4-b4c32f392599</errorID>
      <errorWord>)</errorWord>
      <group>L1_Format</group>
      <groupName>格式问题</groupName>
      <ability>L2_HalfPunc</ability>
      <abilityName>全半角检查</abilityName>
      <candidateList>
        <item>）</item>
      </candidateList>
      <explain>文本全半角错误。</explain>
      <paraID>5B156E5C</paraID>
      <start>168</start>
      <end>169</end>
      <status>unmodified</status>
      <modifiedWord/>
      <trackRevisions>false</trackRevisions>
    </reviewItem>
    <reviewItem>
      <errorID>e1f7b14c-6845-452e-a293-bb93754dd3c6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40566B4E</paraID>
      <start>8</start>
      <end>9</end>
      <status>unmodified</status>
      <modifiedWord/>
      <trackRevisions>false</trackRevisions>
    </reviewItem>
    <reviewItem>
      <errorID>06472095-c5a0-4434-9eeb-c790728da28a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2D211D17</paraID>
      <start>7</start>
      <end>8</end>
      <status>unmodified</status>
      <modifiedWord/>
      <trackRevisions>false</trackRevisions>
    </reviewItem>
    <reviewItem>
      <errorID>340b3ce8-0a52-4c52-880c-e48240fa6497</errorID>
      <errorWord>《肛管直肠常见疾病超声检查与诊断规范》（草案）</errorWord>
      <group>L1_Knowledge</group>
      <groupName>知识性问题</groupName>
      <ability>L2_Knowledge</ability>
      <abilityName>其他知识</abilityName>
      <candidateList>
        <item>《肛管直肠常见疾病超声检查与诊断规范（草案）》</item>
      </candidateList>
      <explain>疑似政策文件、法律法规名称等书写不规范，请注意检查。</explain>
      <paraID>2D211D17</paraID>
      <start>137</start>
      <end>160</end>
      <status>unmodified</status>
      <modifiedWord/>
      <trackRevisions>false</trackRevisions>
    </reviewItem>
    <reviewItem>
      <errorID>200a9526-9cd3-4d92-81d0-03f8ff08e6dd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24684DDC</paraID>
      <start>7</start>
      <end>8</end>
      <status>unmodified</status>
      <modifiedWord/>
      <trackRevisions>false</trackRevisions>
    </reviewItem>
    <reviewItem>
      <errorID>030edfa3-deff-4596-98a3-9a200329f287</errorID>
      <errorWord>《肛管直肠常见疾病超声检查与诊断规范》（征求意见稿）</errorWord>
      <group>L1_Knowledge</group>
      <groupName>知识性问题</groupName>
      <ability>L2_Knowledge</ability>
      <abilityName>其他知识</abilityName>
      <candidateList>
        <item>《肛管直肠常见疾病超声检查与诊断规范（征求意见稿）》</item>
      </candidateList>
      <explain>疑似政策文件、法律法规名称等书写不规范，请注意检查。</explain>
      <paraID>24684DDC</paraID>
      <start>168</start>
      <end>194</end>
      <status>unmodified</status>
      <modifiedWord/>
      <trackRevisions>false</trackRevisions>
    </reviewItem>
    <reviewItem>
      <errorID>280c9c2a-2d4d-4966-bcc0-f64a7ece15ab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118C23CA</paraID>
      <start>7</start>
      <end>8</end>
      <status>unmodified</status>
      <modifiedWord/>
      <trackRevisions>false</trackRevisions>
    </reviewItem>
    <reviewItem>
      <errorID>7d523ed1-8e87-43f5-8f46-e9842b4785b2</errorID>
      <errorWord>法律、法规</errorWord>
      <group>L1_Word</group>
      <groupName>字词问题</groupName>
      <ability>L2_Typo</ability>
      <abilityName>字词错误</abilityName>
      <candidateList>
        <item>法律法规</item>
      </candidateList>
      <explain/>
      <paraID>423E8998</paraID>
      <start>16</start>
      <end>21</end>
      <status>unmodified</status>
      <modifiedWord/>
      <trackRevisions>false</trackRevisions>
    </reviewItem>
    <reviewItem>
      <errorID>e62c98b4-84a1-4529-bc00-8654720a9dfc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1232FA9D</paraID>
      <start>0</start>
      <end>2</end>
      <status>unmodified</status>
      <modifiedWord/>
      <trackRevisions>false</trackRevisions>
    </reviewItem>
    <reviewItem>
      <errorID>dcdbc0ff-1ae9-4375-a791-44436659190d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2CCAEDA8</paraID>
      <start>0</start>
      <end>2</end>
      <status>unmodified</status>
      <modifiedWord/>
      <trackRevisions>false</trackRevisions>
    </reviewItem>
    <reviewItem>
      <errorID>171246ac-d320-4b8a-9647-20a297336c72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7F77537C</paraID>
      <start>0</start>
      <end>2</end>
      <status>unmodified</status>
      <modifiedWord/>
      <trackRevisions>false</trackRevisions>
    </reviewItem>
    <reviewItem>
      <errorID>f1758d3c-67a8-4b0c-a99d-eebb97548ac2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411641D6</paraID>
      <start>0</start>
      <end>2</end>
      <status>unmodified</status>
      <modifiedWord/>
      <trackRevisions>false</trackRevisions>
    </reviewItem>
    <reviewItem>
      <errorID>8e232187-5cce-49c3-aaec-ddd7d34bd511</errorID>
      <errorWord>法律、法规</errorWord>
      <group>L1_Word</group>
      <groupName>字词问题</groupName>
      <ability>L2_Typo</ability>
      <abilityName>字词错误</abilityName>
      <candidateList>
        <item>法律法规</item>
      </candidateList>
      <explain/>
      <paraID>6D47F5E6</paraID>
      <start>6</start>
      <end>11</end>
      <status>unmodified</status>
      <modifiedWord/>
      <trackRevisions>false</trackRevisions>
    </reviewItem>
    <reviewItem>
      <errorID>e1d59303-23aa-4189-ba36-7ad654b757bd</errorID>
      <errorWord>暂无与</errorWord>
      <group>L1_Word</group>
      <groupName>字词问题</groupName>
      <ability>L2_Typo</ability>
      <abilityName>字词错误</abilityName>
      <candidateList>
        <item>暂无</item>
      </candidateList>
      <explain/>
      <paraID>2805F106</paraID>
      <start>6</start>
      <end>9</end>
      <status>unmodified</status>
      <modifiedWord/>
      <trackRevisions>false</trackRevisions>
    </reviewItem>
    <reviewItem>
      <errorID>300a4680-46f0-402d-a550-99f3c8ed8b72</errorID>
      <errorWord>:</errorWord>
      <group>L1_Format</group>
      <groupName>格式问题</groupName>
      <ability>L2_HalfPunc</ability>
      <abilityName>全半角检查</abilityName>
      <candidateList>
        <item>：</item>
      </candidateList>
      <explain>文本全半角错误。</explain>
      <paraID>540C8F24</paraID>
      <start>33</start>
      <end>34</end>
      <status>unmodified</status>
      <modifiedWord/>
      <trackRevisions>false</trackRevisions>
    </reviewItem>
    <reviewItem>
      <errorID>f779c65f-2984-46cd-acba-3e394da64dd1</errorID>
      <errorWord>直肠病检查</errorWord>
      <group>L1_Knowledge</group>
      <groupName>知识性问题</groupName>
      <ability>L2_Term</ability>
      <abilityName>专业术语</abilityName>
      <candidateList>
        <item>直肠镜检查</item>
      </candidateList>
      <explain/>
      <paraID> F6E50BA</paraID>
      <start>105</start>
      <end>110</end>
      <status>unmodified</status>
      <modifiedWord/>
      <trackRevisions>false</trackRevisions>
    </reviewItem>
    <reviewItem>
      <errorID>09eb7522-1361-400b-af86-d5d9ce065ecd</errorID>
      <errorWord>上述标准上述标准</errorWord>
      <group>L1_Word</group>
      <groupName>字词问题</groupName>
      <ability>L2_Typo</ability>
      <abilityName>字词错误</abilityName>
      <candidateList>
        <item>上述标准</item>
      </candidateList>
      <explain/>
      <paraID>53DED535</paraID>
      <start>0</start>
      <end>8</end>
      <status>unmodified</status>
      <modifiedWord/>
      <trackRevisions>false</trackRevisions>
    </reviewItem>
    <reviewItem>
      <errorID>a43ab89d-ff2f-4b2b-91c5-4d4ff6cdb3ed</errorID>
      <errorWord>病证</errorWord>
      <group>L1_Word</group>
      <groupName>字词问题</groupName>
      <ability>L2_Typo</ability>
      <abilityName>字词错误</abilityName>
      <candidateList>
        <item>病症</item>
      </candidateList>
      <explain>存在发音相同字词的误用。</explain>
      <paraID>53DED535</paraID>
      <start>43</start>
      <end>45</end>
      <status>unmodified</status>
      <modifiedWord/>
      <trackRevisions>false</trackRevisions>
    </reviewItem>
    <reviewItem>
      <errorID>faeedd0d-262b-4f8e-a71e-5ce0cf624c5a</errorID>
      <errorWord>科技进步三等奖</errorWord>
      <group>L1_Political</group>
      <groupName>政治性问题</groupName>
      <ability>L2_Unpolitical</ability>
      <abilityName>政治敏感错误</abilityName>
      <candidateList>
        <item>科技进步奖三等奖</item>
      </candidateList>
      <explain/>
      <paraID>15BD0DF2</paraID>
      <start>302</start>
      <end>309</end>
      <status>unmodified</status>
      <modifiedWord/>
      <trackRevisions>false</trackRevisions>
    </reviewItem>
    <reviewItem>
      <errorID>4898c216-7fa0-43ae-804b-8a5e1bca6754</errorID>
      <errorWord>分</errorWord>
      <group>L1_Word</group>
      <groupName>字词问题</groupName>
      <ability>L2_Typo</ability>
      <abilityName>字词错误</abilityName>
      <candidateList>
        <item>分为</item>
      </candidateList>
      <explain/>
      <paraID>77397FF7</paraID>
      <start>171</start>
      <end>173</end>
      <status>modified</status>
      <modifiedWord>分为</modifiedWord>
      <trackRevisions>false</trackRevisions>
    </reviewItem>
    <reviewItem>
      <errorID>da42a421-e4ba-491d-b139-8b52ae4c14f1</errorID>
      <errorWord>，，</errorWord>
      <group>L1_Punc</group>
      <groupName>标点问题</groupName>
      <ability>L2_Punc</ability>
      <abilityName>标点符号检查</abilityName>
      <candidateList>
        <item>，</item>
      </candidateList>
      <explain/>
      <paraID>77397FF7</paraID>
      <start>282</start>
      <end>283</end>
      <status>modified</status>
      <modifiedWord>，</modifiedWord>
      <trackRevisions>false</trackRevisions>
    </reviewItem>
    <reviewItem>
      <errorID>ba9e23a2-c27a-4322-bdf4-1be5b2527eb1</errorID>
      <errorWord>。：</errorWord>
      <group>L1_Punc</group>
      <groupName>标点问题</groupName>
      <ability>L2_Punc</ability>
      <abilityName>标点符号检查</abilityName>
      <candidateList>
        <item>。</item>
      </candidateList>
      <explain/>
      <paraID>77397FF7</paraID>
      <start>400</start>
      <end>401</end>
      <status>modified</status>
      <modifiedWord>。</modifiedWord>
      <trackRevisions>false</trackRevisions>
    </reviewItem>
    <reviewItem>
      <errorID>5daa93ae-c937-41a4-8fe4-84d44ed7b663</errorID>
      <errorWord>.</errorWord>
      <group>L1_Format</group>
      <groupName>格式问题</groupName>
      <ability>L2_HalfPunc</ability>
      <abilityName>全半角检查</abilityName>
      <candidateList>
        <item>。</item>
      </candidateList>
      <explain>文本全半角错误。</explain>
      <paraID> 39243CA</paraID>
      <start>8</start>
      <end>9</end>
      <status>unmodified</status>
      <modifiedWord/>
      <trackRevisions>false</trackRevisions>
    </reviewItem>
    <reviewItem>
      <errorID>1be3ded9-483c-46b1-bd13-76919b41b15c</errorID>
      <errorWord>、和</errorWord>
      <group>L1_Punc</group>
      <groupName>标点问题</groupName>
      <ability>L2_Punc</ability>
      <abilityName>标点符号检查</abilityName>
      <candidateList>
        <item>和</item>
      </candidateList>
      <explain>“及”“和”“等”连词前不宜使用顿号，建议删除（或使用逗号）。</explain>
      <paraID>7A9BC06D</paraID>
      <start>82</start>
      <end>84</end>
      <status>unmodified</status>
      <modifiedWord/>
      <trackRevisions>false</trackRevisions>
    </reviewItem>
    <reviewItem>
      <errorID>604fc672-d54f-4afe-9f89-e2c828853298</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 901A062</paraID>
      <start>22</start>
      <end>25</end>
      <status>modified</status>
      <modifiedWord>禁忌证</modifiedWord>
      <trackRevisions>false</trackRevisions>
    </reviewItem>
    <reviewItem>
      <errorID>2fd8c22b-1385-4f2a-8602-3236fb0004db</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3D6FAB2F</paraID>
      <start>0</start>
      <end>3</end>
      <status>modified</status>
      <modifiedWord>禁忌证</modifiedWord>
      <trackRevisions>false</trackRevisions>
    </reviewItem>
    <reviewItem>
      <errorID>97bc1fec-cb82-447c-bd00-664da37afd35</errorID>
      <errorWord>声像图</errorWord>
      <group>L1_Word</group>
      <groupName>字词问题</groupName>
      <ability>L2_Typo</ability>
      <abilityName>字词错误</abilityName>
      <candidateList>
        <item>声像</item>
      </candidateList>
      <explain/>
      <paraID>3D6FAB2F</paraID>
      <start>183</start>
      <end>186</end>
      <status>unmodified</status>
      <modifiedWord/>
      <trackRevisions>false</trackRevisions>
    </reviewItem>
    <reviewItem>
      <errorID>c72f1653-dc98-45ec-8c24-dfc59f5bd0ac</errorID>
      <errorWord>)</errorWord>
      <group>L1_Format</group>
      <groupName>格式问题</groupName>
      <ability>L2_HalfPunc</ability>
      <abilityName>全半角检查</abilityName>
      <candidateList>
        <item>）</item>
      </candidateList>
      <explain>文本全半角错误。</explain>
      <paraID>3D6FAB2F</paraID>
      <start>226</start>
      <end>227</end>
      <status>unmodified</status>
      <modifiedWord/>
      <trackRevisions>false</trackRevisions>
    </reviewItem>
    <reviewItem>
      <errorID>a7611185-5d11-4cbf-bb5f-49c4394ef036</errorID>
      <errorWord>)</errorWord>
      <group>L1_Format</group>
      <groupName>格式问题</groupName>
      <ability>L2_HalfPunc</ability>
      <abilityName>全半角检查</abilityName>
      <candidateList>
        <item>）</item>
      </candidateList>
      <explain>文本全半角错误。</explain>
      <paraID>2D837344</paraID>
      <start>28</start>
      <end>29</end>
      <status>unmodified</status>
      <modifiedWord/>
      <trackRevisions>false</trackRevisions>
    </reviewItem>
    <reviewItem>
      <errorID>5b4f9edc-7d4c-4f5d-8fae-20b4ab6167e5</errorID>
      <errorWord>1-2天</errorWord>
      <group>L1_Word</group>
      <groupName>字词问题</groupName>
      <ability>L2_Typo</ability>
      <abilityName>字词错误</abilityName>
      <candidateList>
        <item>1～2天</item>
      </candidateList>
      <explain/>
      <paraID>791FE39D</paraID>
      <start>11</start>
      <end>15</end>
      <status>modified</status>
      <modifiedWord>1～2天</modifiedWord>
      <trackRevisions>false</trackRevisions>
    </reviewItem>
    <reviewItem>
      <errorID>893a1add-da26-479f-913f-a68e4f36f925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791FE39D</paraID>
      <start>91</start>
      <end>92</end>
      <status>unmodified</status>
      <modifiedWord/>
      <trackRevisions>false</trackRevisions>
    </reviewItem>
    <reviewItem>
      <errorID>5db921a1-2312-4d28-9315-d07b4d4f5fbe</errorID>
      <errorWord>体位性低血压</errorWord>
      <group>L1_Knowledge</group>
      <groupName>知识性问题</groupName>
      <ability>L2_Term</ability>
      <abilityName>专业术语</abilityName>
      <candidateList>
        <item>直立性低血压</item>
      </candidateList>
      <explain>医学名词[体位性低血压]为不规范表述或旧称，其规范书面表述为[直立性低血压]。</explain>
      <paraID> C25A3B8</paraID>
      <start>148</start>
      <end>154</end>
      <status>unmodified</status>
      <modifiedWord/>
      <trackRevisions>false</trackRevisions>
    </reviewItem>
    <reviewItem>
      <errorID>cf03bfe7-e946-44b1-8784-ca0b9faef569</errorID>
      <errorWord>，</errorWord>
      <group>L1_Word</group>
      <groupName>字词问题</groupName>
      <ability>L2_Typo</ability>
      <abilityName>字词错误</abilityName>
      <candidateList>
        <item>，有</item>
      </candidateList>
      <explain/>
      <paraID> C25A3B8</paraID>
      <start>191</start>
      <end>192</end>
      <status>unmodified</status>
      <modifiedWord/>
      <trackRevisions>false</trackRevisions>
    </reviewItem>
    <reviewItem>
      <errorID>f21d2305-41db-4301-ae58-5da5c567416d</errorID>
      <errorWord>作出</errorWord>
      <group>L1_Word</group>
      <groupName>字词问题</groupName>
      <ability>L2_Typo</ability>
      <abilityName>字词错误</abilityName>
      <candidateList>
        <item>做出</item>
      </candidateList>
      <explain/>
      <paraID>7CEDA5D2</paraID>
      <start>76</start>
      <end>78</end>
      <status>unmodified</status>
      <modifiedWord/>
      <trackRevisions>false</trackRevisions>
    </reviewItem>
    <reviewItem>
      <errorID>4ba56050-aef2-4cbe-ab71-9a038a9ce6d1</errorID>
      <errorWord>(</errorWord>
      <group>L1_Format</group>
      <groupName>格式问题</groupName>
      <ability>L2_HalfPunc</ability>
      <abilityName>全半角检查</abilityName>
      <candidateList>
        <item>（</item>
      </candidateList>
      <explain>文本全半角错误。</explain>
      <paraID>7CEDA5D2</paraID>
      <start>150</start>
      <end>151</end>
      <status>unmodified</status>
      <modifiedWord/>
      <trackRevisions>false</trackRevisions>
    </reviewItem>
    <reviewItem>
      <errorID>4139b02b-b020-473d-88ae-212859ba6a53</errorID>
      <errorWord>)</errorWord>
      <group>L1_Format</group>
      <groupName>格式问题</groupName>
      <ability>L2_HalfPunc</ability>
      <abilityName>全半角检查</abilityName>
      <candidateList>
        <item>）</item>
      </candidateList>
      <explain>文本全半角错误。</explain>
      <paraID>7CEDA5D2</paraID>
      <start>175</start>
      <end>176</end>
      <status>unmodified</status>
      <modifiedWord/>
      <trackRevisions>false</trackRevisions>
    </reviewItem>
    <reviewItem>
      <errorID>c5a7b3a8-21e3-475c-8022-b47f1a3c2696</errorID>
      <errorWord>;</errorWord>
      <group>L1_Format</group>
      <groupName>格式问题</groupName>
      <ability>L2_HalfPunc</ability>
      <abilityName>全半角检查</abilityName>
      <candidateList>
        <item>；</item>
      </candidateList>
      <explain>文本全半角错误。</explain>
      <paraID>7CEDA5D2</paraID>
      <start>239</start>
      <end>240</end>
      <status>unmodified</status>
      <modifiedWord/>
      <trackRevisions>false</trackRevisions>
    </reviewItem>
    <reviewItem>
      <errorID>a368a286-38bd-44fb-9595-344a58c4dc4b</errorID>
      <errorWord>)</errorWord>
      <group>L1_Format</group>
      <groupName>格式问题</groupName>
      <ability>L2_HalfPunc</ability>
      <abilityName>全半角检查</abilityName>
      <candidateList>
        <item>）</item>
      </candidateList>
      <explain>文本全半角错误。</explain>
      <paraID>401D4793</paraID>
      <start>69</start>
      <end>70</end>
      <status>unmodified</status>
      <modifiedWord/>
      <trackRevisions>false</trackRevisions>
    </reviewItem>
    <reviewItem>
      <errorID>e0b01b9d-83cf-4467-a7c7-6ff9f57de381</errorID>
      <errorWord>-</errorWord>
      <group>L1_Format</group>
      <groupName>格式问题</groupName>
      <ability>L2_HalfPunc</ability>
      <abilityName>全半角检查</abilityName>
      <candidateList>
        <item>－</item>
      </candidateList>
      <explain>文本全半角错误。</explain>
      <paraID>332E001B</paraID>
      <start>50</start>
      <end>51</end>
      <status>unmodified</status>
      <modifiedWord/>
      <trackRevisions>false</trackRevisions>
    </reviewItem>
    <reviewItem>
      <errorID>42c6978d-8be6-437e-83ac-2d64915bad97</errorID>
      <errorWord>-</errorWord>
      <group>L1_Format</group>
      <groupName>格式问题</groupName>
      <ability>L2_HalfPunc</ability>
      <abilityName>全半角检查</abilityName>
      <candidateList>
        <item>－</item>
      </candidateList>
      <explain>文本全半角错误。</explain>
      <paraID>42791403</paraID>
      <start>151</start>
      <end>152</end>
      <status>unmodified</status>
      <modifiedWord/>
      <trackRevisions>false</trackRevisions>
    </reviewItem>
    <reviewItem>
      <errorID>bfd5a10b-09e1-4780-a0a8-86a54ec77838</errorID>
      <errorWord>-</errorWord>
      <group>L1_Format</group>
      <groupName>格式问题</groupName>
      <ability>L2_HalfPunc</ability>
      <abilityName>全半角检查</abilityName>
      <candidateList>
        <item>－</item>
      </candidateList>
      <explain>文本全半角错误。</explain>
      <paraID>42791403</paraID>
      <start>154</start>
      <end>155</end>
      <status>unmodified</status>
      <modifiedWord/>
      <trackRevisions>false</trackRevisions>
    </reviewItem>
    <reviewItem>
      <errorID>b1ada262-046a-4571-94a3-1964cf35530e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7831E16B</paraID>
      <start>37</start>
      <end>38</end>
      <status>unmodified</status>
      <modifiedWord/>
      <trackRevisions>false</trackRevisions>
    </reviewItem>
    <reviewItem>
      <errorID>3303bae7-1be4-4f44-9c21-a8431f538d05</errorID>
      <errorWord>-</errorWord>
      <group>L1_Format</group>
      <groupName>格式问题</groupName>
      <ability>L2_HalfPunc</ability>
      <abilityName>全半角检查</abilityName>
      <candidateList>
        <item>－</item>
      </candidateList>
      <explain>文本全半角错误。</explain>
      <paraID>7831E16B</paraID>
      <start>60</start>
      <end>61</end>
      <status>unmodified</status>
      <modifiedWord/>
      <trackRevisions>false</trackRevisions>
    </reviewItem>
    <reviewItem>
      <errorID>2b3236e1-7995-463b-aeb9-d5422be7de72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5763B7FE</paraID>
      <start>48</start>
      <end>49</end>
      <status>unmodified</status>
      <modifiedWord/>
      <trackRevisions>false</trackRevisions>
    </reviewItem>
    <reviewItem>
      <errorID>00b07cea-0c50-4404-843a-66e42359356d</errorID>
      <errorWord>"</errorWord>
      <group>L1_Format</group>
      <groupName>格式问题</groupName>
      <ability>L2_HalfPunc</ability>
      <abilityName>全半角检查</abilityName>
      <candidateList>
        <item>“</item>
      </candidateList>
      <explain>文本全半角错误。</explain>
      <paraID> 77F1EE4</paraID>
      <start>73</start>
      <end>74</end>
      <status>unmodified</status>
      <modifiedWord/>
      <trackRevisions>false</trackRevisions>
    </reviewItem>
    <reviewItem>
      <errorID>7566b4b2-d74d-4c23-bffe-15a6887738a0</errorID>
      <errorWord>"</errorWord>
      <group>L1_Format</group>
      <groupName>格式问题</groupName>
      <ability>L2_HalfPunc</ability>
      <abilityName>全半角检查</abilityName>
      <candidateList>
        <item>”</item>
      </candidateList>
      <explain>文本全半角错误。</explain>
      <paraID> 77F1EE4</paraID>
      <start>78</start>
      <end>79</end>
      <status>unmodified</status>
      <modifiedWord/>
      <trackRevisions>false</trackRevisions>
    </reviewItem>
    <reviewItem>
      <errorID>d6da7efa-5741-43e7-ae12-daaba9c0df03</errorID>
      <errorWord>"</errorWord>
      <group>L1_Format</group>
      <groupName>格式问题</groupName>
      <ability>L2_HalfPunc</ability>
      <abilityName>全半角检查</abilityName>
      <candidateList>
        <item>“</item>
      </candidateList>
      <explain>文本全半角错误。</explain>
      <paraID>7166E591</paraID>
      <start>91</start>
      <end>92</end>
      <status>unmodified</status>
      <modifiedWord/>
      <trackRevisions>false</trackRevisions>
    </reviewItem>
    <reviewItem>
      <errorID>23d2e4c9-6764-468b-bc33-9ca3e311ea7a</errorID>
      <errorWord>"</errorWord>
      <group>L1_Format</group>
      <groupName>格式问题</groupName>
      <ability>L2_HalfPunc</ability>
      <abilityName>全半角检查</abilityName>
      <candidateList>
        <item>”</item>
      </candidateList>
      <explain>文本全半角错误。</explain>
      <paraID>7166E591</paraID>
      <start>96</start>
      <end>97</end>
      <status>unmodified</status>
      <modifiedWord/>
      <trackRevisions>false</trackRevisions>
    </reviewItem>
    <reviewItem>
      <errorID>bceaac8d-03e8-42cf-b394-88860bbfabef</errorID>
      <errorWord>数据及</errorWord>
      <group>L1_Word</group>
      <groupName>字词问题</groupName>
      <ability>L2_Typo</ability>
      <abilityName>字词错误</abilityName>
      <candidateList>
        <item>数据</item>
      </candidateList>
      <explain/>
      <paraID>7A6B90EB</paraID>
      <start>22</start>
      <end>25</end>
      <status>unmodified</status>
      <modifiedWord/>
      <trackRevisions>false</trackRevisions>
    </reviewItem>
    <reviewItem>
      <errorID>72ad4063-9e8d-4a1a-abf4-e5b1070a5d59</errorID>
      <errorWord>5-10%</errorWord>
      <group>L1_Knowledge</group>
      <groupName>知识性问题</groupName>
      <ability>L2_Knowledge</ability>
      <abilityName>其他知识</abilityName>
      <candidateList>
        <item>5%—10%</item>
      </candidateList>
      <explain>1. “5-10%”中的单位“%”仅出现在后一个数字上，容易引起歧义；根据《现代汉语标点符号数字用法规范手册》，数字表示范围两边需要使用统一的格式。2. 根据标点国标 4.13 中的规则，数字、时间或地域连接符应使用（视觉上更长的）“—”或“～”。</explain>
      <paraID>7A6B90EB</paraID>
      <start>82</start>
      <end>87</end>
      <status>unmodified</status>
      <modifiedWord/>
      <trackRevisions>false</trackRevisions>
    </reviewItem>
    <reviewItem>
      <errorID>d745ed41-b79b-4f6a-96fa-dd1aac41c426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7A6B90EB</paraID>
      <start>95</start>
      <end>96</end>
      <status>unmodified</status>
      <modifiedWord/>
      <trackRevisions>false</trackRevisions>
    </reviewItem>
    <reviewItem>
      <errorID>248193c2-5e00-4e28-9fb4-f512fe21c69b</errorID>
      <errorWord>及及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7A6B90EB</paraID>
      <start>176</start>
      <end>177</end>
      <status>modified</status>
      <modifiedWord>及</modifiedWord>
      <trackRevisions>false</trackRevisions>
    </reviewItem>
    <reviewItem>
      <errorID>6424b6c2-d4b2-4983-9268-2f5dcde96fd6</errorID>
      <errorWord>应该并</errorWord>
      <group>L1_Word</group>
      <groupName>字词问题</groupName>
      <ability>L2_Typo</ability>
      <abilityName>字词错误</abilityName>
      <candidateList>
        <item>应该</item>
      </candidateList>
      <explain>〈动〉助动词。表示理所当然：～爱护公共财产｜为了大伙儿的事，我多受点累也是～的。</explain>
      <paraID>7A6B90EB</paraID>
      <start>250</start>
      <end>252</end>
      <status>modified</status>
      <modifiedWord>应该</modifiedWord>
      <trackRevisions>false</trackRevisions>
    </reviewItem>
    <reviewItem>
      <errorID>5da291b7-5ee6-43ec-ac26-c398af741e4b</errorID>
      <errorWord>,</errorWord>
      <group>L1_Format</group>
      <groupName>格式问题</groupName>
      <ability>L2_HalfPunc</ability>
      <abilityName>全半角检查</abilityName>
      <candidateList>
        <item>，</item>
      </candidateList>
      <explain>文本全半角错误。</explain>
      <paraID>1EC642AC</paraID>
      <start>63</start>
      <end>64</end>
      <status>unmodified</status>
      <modifiedWord/>
      <trackRevisions>false</trackRevisions>
    </reviewItem>
    <reviewItem>
      <errorID>0ddaa12d-7a7e-4389-a482-b6edb95f9391</errorID>
      <errorWord>,</errorWord>
      <group>L1_Format</group>
      <groupName>格式问题</groupName>
      <ability>L2_HalfPunc</ability>
      <abilityName>全半角检查</abilityName>
      <candidateList>
        <item>，</item>
      </candidateList>
      <explain>文本全半角错误。</explain>
      <paraID>74B3E2CE</paraID>
      <start>101</start>
      <end>102</end>
      <status>unmodified</status>
      <modifiedWord/>
      <trackRevisions>false</trackRevisions>
    </reviewItem>
    <reviewItem>
      <errorID>4ea1e9eb-e732-4a09-a809-ea418e9cc82a</errorID>
      <errorWord>,</errorWord>
      <group>L1_Format</group>
      <groupName>格式问题</groupName>
      <ability>L2_HalfPunc</ability>
      <abilityName>全半角检查</abilityName>
      <candidateList>
        <item>，</item>
      </candidateList>
      <explain>文本全半角错误。</explain>
      <paraID>74B3E2CE</paraID>
      <start>105</start>
      <end>106</end>
      <status>unmodified</status>
      <modifiedWord/>
      <trackRevisions>false</trackRevisions>
    </reviewItem>
    <reviewItem>
      <errorID>5cfd5880-4ba6-4470-8bcc-1755ecaa2850</errorID>
      <errorWord>,</errorWord>
      <group>L1_Format</group>
      <groupName>格式问题</groupName>
      <ability>L2_HalfPunc</ability>
      <abilityName>全半角检查</abilityName>
      <candidateList>
        <item>，</item>
      </candidateList>
      <explain>文本全半角错误。</explain>
      <paraID>74B3E2CE</paraID>
      <start>109</start>
      <end>110</end>
      <status>unmodified</status>
      <modifiedWord/>
      <trackRevisions>false</trackRevisions>
    </reviewItem>
    <reviewItem>
      <errorID>89e2d8da-9617-43ef-9d50-2d792ef34b7e</errorID>
      <errorWord>.</errorWord>
      <group>L1_Format</group>
      <groupName>格式问题</groupName>
      <ability>L2_HalfPunc</ability>
      <abilityName>全半角检查</abilityName>
      <candidateList>
        <item>。</item>
      </candidateList>
      <explain>文本全半角错误。</explain>
      <paraID>74B3E2CE</paraID>
      <start>111</start>
      <end>112</end>
      <status>unmodified</status>
      <modifiedWord/>
      <trackRevisions>false</trackRevisions>
    </reviewItem>
    <reviewItem>
      <errorID>3071ebf4-8d80-4781-80db-3dcbece3a39d</errorID>
      <errorWord>:</errorWord>
      <group>L1_Format</group>
      <groupName>格式问题</groupName>
      <ability>L2_HalfPunc</ability>
      <abilityName>全半角检查</abilityName>
      <candidateList>
        <item>：</item>
      </candidateList>
      <explain>文本全半角错误。</explain>
      <paraID>2BCE8A73</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fba52-331f-4c99-b7e7-5bad58e5747e}">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5815</Words>
  <Characters>6066</Characters>
  <Lines>140</Lines>
  <Paragraphs>39</Paragraphs>
  <TotalTime>9</TotalTime>
  <ScaleCrop>false</ScaleCrop>
  <LinksUpToDate>false</LinksUpToDate>
  <CharactersWithSpaces>6081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树年强</cp:lastModifiedBy>
  <cp:lastPrinted>2025-06-12T03:01:00Z</cp:lastPrinted>
  <dcterms:modified xsi:type="dcterms:W3CDTF">2026-04-30T07:13:39Z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B0A34AC76F7B4D71B7ACC4BA4A0E0A97_13</vt:lpwstr>
  </property>
  <property fmtid="{D5CDD505-2E9C-101B-9397-08002B2CF9AE}" pid="4" name="KSOTemplateDocerSaveRecord">
    <vt:lpwstr>eyJoZGlkIjoiNmU0OWNhMGUyYzc2MTI5ZWY2NzM4MTVkMDAwODg0YzMiLCJ1c2VySWQiOiI2Mzk4NzAxMjYifQ==</vt:lpwstr>
  </property>
</Properties>
</file>