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79220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5656D1A">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F173A3D">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01.080.01</w:t>
            </w:r>
            <w:r>
              <w:rPr>
                <w:rFonts w:ascii="黑体" w:hAnsi="黑体" w:eastAsia="黑体"/>
                <w:sz w:val="21"/>
                <w:szCs w:val="21"/>
              </w:rPr>
              <w:fldChar w:fldCharType="end"/>
            </w:r>
            <w:bookmarkEnd w:id="0"/>
          </w:p>
        </w:tc>
      </w:tr>
      <w:tr w14:paraId="0B41F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A81E509">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30"/>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2A976654">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543C5BB7">
                  <w:pPr>
                    <w:pStyle w:val="54"/>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0D3D7F1B">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A 22</w:t>
            </w:r>
            <w:r>
              <w:rPr>
                <w:rFonts w:ascii="黑体" w:hAnsi="黑体" w:eastAsia="黑体"/>
                <w:sz w:val="21"/>
                <w:szCs w:val="21"/>
              </w:rPr>
              <w:fldChar w:fldCharType="end"/>
            </w:r>
            <w:bookmarkEnd w:id="2"/>
          </w:p>
        </w:tc>
      </w:tr>
    </w:tbl>
    <w:p w14:paraId="7D0B143A">
      <w:pPr>
        <w:pStyle w:val="55"/>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团体标准</w:t>
      </w:r>
      <w:r>
        <w:rPr>
          <w:rFonts w:ascii="黑体" w:eastAsia="黑体"/>
          <w:b w:val="0"/>
          <w:w w:val="100"/>
          <w:sz w:val="48"/>
        </w:rPr>
        <w:fldChar w:fldCharType="end"/>
      </w:r>
      <w:bookmarkEnd w:id="4"/>
    </w:p>
    <w:bookmarkEnd w:id="3"/>
    <w:p w14:paraId="2D13ED68">
      <w:pPr>
        <w:pStyle w:val="200"/>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70877DD4">
      <w:pPr>
        <w:pStyle w:val="201"/>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18F3200F">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221A49C">
      <w:pPr>
        <w:pStyle w:val="55"/>
        <w:framePr w:w="9639" w:h="6976" w:hRule="exact" w:hSpace="0" w:vSpace="0" w:wrap="around" w:hAnchor="page" w:y="6408"/>
        <w:jc w:val="center"/>
        <w:rPr>
          <w:rFonts w:ascii="黑体" w:hAnsi="黑体" w:eastAsia="黑体"/>
          <w:b w:val="0"/>
          <w:bCs w:val="0"/>
          <w:w w:val="100"/>
        </w:rPr>
      </w:pPr>
    </w:p>
    <w:p w14:paraId="1FB4C140">
      <w:pPr>
        <w:pStyle w:val="202"/>
        <w:framePr w:h="6974" w:hRule="exact" w:wrap="around" w:x="1419" w:anchorLock="1"/>
      </w:pPr>
      <w:bookmarkStart w:id="9" w:name="CSTD_NAME"/>
      <w:r>
        <w:rPr>
          <w:rFonts w:hint="eastAsia"/>
          <w:sz w:val="48"/>
          <w:szCs w:val="18"/>
        </w:rPr>
        <w:fldChar w:fldCharType="begin">
          <w:ffData>
            <w:name w:val="CSTD_NAME"/>
            <w:enabled/>
            <w:calcOnExit w:val="0"/>
            <w:textInput>
              <w:default w:val="农业科普展览场所布展指南"/>
            </w:textInput>
          </w:ffData>
        </w:fldChar>
      </w:r>
      <w:r>
        <w:rPr>
          <w:rFonts w:hint="eastAsia"/>
          <w:sz w:val="48"/>
          <w:szCs w:val="18"/>
        </w:rPr>
        <w:instrText xml:space="preserve">FORMTEXT</w:instrText>
      </w:r>
      <w:r>
        <w:rPr>
          <w:rFonts w:hint="eastAsia"/>
          <w:sz w:val="48"/>
          <w:szCs w:val="18"/>
        </w:rPr>
        <w:fldChar w:fldCharType="separate"/>
      </w:r>
      <w:r>
        <w:rPr>
          <w:rFonts w:hint="eastAsia"/>
          <w:sz w:val="48"/>
          <w:szCs w:val="18"/>
        </w:rPr>
        <w:t>农业科普场所布展指南</w:t>
      </w:r>
      <w:r>
        <w:rPr>
          <w:rFonts w:hint="eastAsia"/>
          <w:sz w:val="48"/>
          <w:szCs w:val="18"/>
        </w:rPr>
        <w:fldChar w:fldCharType="end"/>
      </w:r>
      <w:bookmarkEnd w:id="9"/>
    </w:p>
    <w:p w14:paraId="74668026">
      <w:pPr>
        <w:framePr w:w="9639" w:h="6974" w:hRule="exact" w:wrap="around" w:vAnchor="page" w:hAnchor="page" w:x="1419" w:y="6408" w:anchorLock="1"/>
        <w:ind w:left="-1418"/>
      </w:pPr>
    </w:p>
    <w:p w14:paraId="1B4F3216">
      <w:pPr>
        <w:pStyle w:val="130"/>
        <w:framePr w:w="9639" w:h="6974" w:hRule="exact" w:wrap="around" w:vAnchor="page" w:hAnchor="page" w:x="1419" w:y="6408" w:anchorLock="1"/>
        <w:textAlignment w:val="bottom"/>
        <w:rPr>
          <w:rFonts w:ascii="黑体" w:hAnsi="黑体" w:eastAsia="黑体"/>
          <w:sz w:val="24"/>
          <w:szCs w:val="24"/>
        </w:rPr>
      </w:pPr>
      <w:bookmarkStart w:id="10" w:name="ESTD_NAME"/>
      <w:r>
        <w:rPr>
          <w:rFonts w:hint="eastAsia" w:ascii="黑体" w:hAnsi="黑体" w:eastAsia="黑体"/>
          <w:sz w:val="24"/>
          <w:szCs w:val="24"/>
        </w:rPr>
        <w:fldChar w:fldCharType="begin">
          <w:ffData>
            <w:name w:val="ESTD_NAME"/>
            <w:enabled/>
            <w:calcOnExit w:val="0"/>
            <w:textInput>
              <w:default w:val="Guidelines for exhibition layout of agricultural science popularization facilities"/>
            </w:textInput>
          </w:ffData>
        </w:fldChar>
      </w:r>
      <w:r>
        <w:rPr>
          <w:rFonts w:hint="eastAsia" w:ascii="黑体" w:hAnsi="黑体" w:eastAsia="黑体"/>
          <w:sz w:val="24"/>
          <w:szCs w:val="24"/>
        </w:rPr>
        <w:instrText xml:space="preserve">FORMTEXT</w:instrText>
      </w:r>
      <w:r>
        <w:rPr>
          <w:rFonts w:hint="eastAsia" w:ascii="黑体" w:hAnsi="黑体" w:eastAsia="黑体"/>
          <w:sz w:val="24"/>
          <w:szCs w:val="24"/>
        </w:rPr>
        <w:fldChar w:fldCharType="separate"/>
      </w:r>
      <w:r>
        <w:rPr>
          <w:rFonts w:hint="eastAsia" w:ascii="黑体" w:hAnsi="黑体" w:eastAsia="黑体"/>
          <w:sz w:val="24"/>
          <w:szCs w:val="24"/>
        </w:rPr>
        <w:t>Guidelines for exhibition layout of agricultural science popularization facilities</w:t>
      </w:r>
      <w:r>
        <w:rPr>
          <w:rFonts w:hint="eastAsia" w:ascii="黑体" w:hAnsi="黑体" w:eastAsia="黑体"/>
          <w:sz w:val="24"/>
          <w:szCs w:val="24"/>
        </w:rPr>
        <w:fldChar w:fldCharType="end"/>
      </w:r>
      <w:bookmarkEnd w:id="10"/>
    </w:p>
    <w:p w14:paraId="48412845">
      <w:pPr>
        <w:framePr w:w="9639" w:h="6974" w:hRule="exact" w:wrap="around" w:vAnchor="page" w:hAnchor="page" w:x="1419" w:y="6408" w:anchorLock="1"/>
        <w:spacing w:line="760" w:lineRule="exact"/>
        <w:ind w:left="-1418"/>
        <w:rPr>
          <w:color w:val="0000FF"/>
        </w:rPr>
      </w:pPr>
    </w:p>
    <w:p w14:paraId="06B2B457">
      <w:pPr>
        <w:pStyle w:val="130"/>
        <w:framePr w:w="9639" w:h="6974" w:hRule="exact" w:wrap="around" w:vAnchor="page" w:hAnchor="page" w:x="1419" w:y="6408" w:anchorLock="1"/>
        <w:textAlignment w:val="bottom"/>
        <w:rPr>
          <w:rFonts w:eastAsia="黑体"/>
          <w:szCs w:val="28"/>
        </w:rPr>
      </w:pPr>
    </w:p>
    <w:p w14:paraId="10BD15D8">
      <w:pPr>
        <w:pStyle w:val="130"/>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40FBC7B3">
      <w:pPr>
        <w:pStyle w:val="130"/>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628FBC4">
      <w:pPr>
        <w:pStyle w:val="130"/>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3D4F4A99">
      <w:pPr>
        <w:pStyle w:val="198"/>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5ED927F">
      <w:pPr>
        <w:pStyle w:val="199"/>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619CD7B">
      <w:pPr>
        <w:pStyle w:val="156"/>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20"/>
      <w:r>
        <w:rPr>
          <w:rFonts w:ascii="Times New Roman"/>
          <w:w w:val="100"/>
          <w:sz w:val="28"/>
        </w:rPr>
        <w:t>  </w:t>
      </w:r>
      <w:r>
        <w:rPr>
          <w:rStyle w:val="234"/>
          <w:rFonts w:hint="eastAsia" w:hAnsi="黑体"/>
          <w:position w:val="0"/>
        </w:rPr>
        <w:t>发</w:t>
      </w:r>
      <w:r>
        <w:rPr>
          <w:rStyle w:val="234"/>
          <w:rFonts w:hint="eastAsia" w:hAnsi="黑体"/>
          <w:spacing w:val="0"/>
          <w:position w:val="0"/>
        </w:rPr>
        <w:t>布</w:t>
      </w:r>
    </w:p>
    <w:p w14:paraId="46ECBC21">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A4B1FF2">
      <w:pPr>
        <w:pStyle w:val="96"/>
        <w:bidi w:val="0"/>
        <w:rPr>
          <w:rFonts w:hint="eastAsia"/>
          <w:lang w:eastAsia="zh-CN"/>
        </w:rPr>
      </w:pPr>
      <w:bookmarkStart w:id="21" w:name="BookMark1"/>
      <w:r>
        <w:rPr>
          <w:rFonts w:hint="eastAsia"/>
          <w:spacing w:val="320"/>
          <w:lang w:eastAsia="zh-CN"/>
        </w:rPr>
        <w:t>目</w:t>
      </w:r>
      <w:r>
        <w:rPr>
          <w:rFonts w:hint="eastAsia"/>
          <w:lang w:eastAsia="zh-CN"/>
        </w:rPr>
        <w:t>次</w:t>
      </w:r>
    </w:p>
    <w:p w14:paraId="7A439919">
      <w:pPr>
        <w:pStyle w:val="20"/>
        <w:tabs>
          <w:tab w:val="right" w:leader="dot" w:pos="9354"/>
        </w:tabs>
        <w:rPr>
          <w:spacing w:val="0"/>
        </w:rPr>
      </w:pPr>
      <w:r>
        <w:rPr>
          <w:rFonts w:hint="eastAsia"/>
          <w:spacing w:val="0"/>
          <w:lang w:eastAsia="zh-CN"/>
        </w:rPr>
        <w:fldChar w:fldCharType="begin"/>
      </w:r>
      <w:r>
        <w:rPr>
          <w:rFonts w:hint="eastAsia"/>
          <w:spacing w:val="0"/>
          <w:lang w:eastAsia="zh-CN"/>
        </w:rPr>
        <w:instrText xml:space="preserve">TOC \o "1-1" \h</w:instrText>
      </w:r>
      <w:r>
        <w:rPr>
          <w:rFonts w:hint="eastAsia"/>
          <w:spacing w:val="0"/>
          <w:lang w:eastAsia="zh-CN"/>
        </w:rPr>
        <w:fldChar w:fldCharType="separate"/>
      </w:r>
      <w:r>
        <w:rPr>
          <w:rFonts w:hint="eastAsia"/>
          <w:spacing w:val="0"/>
          <w:lang w:eastAsia="zh-CN"/>
        </w:rPr>
        <w:fldChar w:fldCharType="begin"/>
      </w:r>
      <w:r>
        <w:rPr>
          <w:rFonts w:hint="eastAsia"/>
          <w:spacing w:val="0"/>
          <w:lang w:eastAsia="zh-CN"/>
        </w:rPr>
        <w:instrText xml:space="preserve"> HYPERLINK \l _Toc20899 </w:instrText>
      </w:r>
      <w:r>
        <w:rPr>
          <w:rFonts w:hint="eastAsia"/>
          <w:spacing w:val="0"/>
          <w:lang w:eastAsia="zh-CN"/>
        </w:rPr>
        <w:fldChar w:fldCharType="separate"/>
      </w:r>
      <w:r>
        <w:rPr>
          <w:spacing w:val="0"/>
        </w:rPr>
        <w:t>前言</w:t>
      </w:r>
      <w:r>
        <w:rPr>
          <w:spacing w:val="0"/>
        </w:rPr>
        <w:tab/>
      </w:r>
      <w:r>
        <w:rPr>
          <w:spacing w:val="0"/>
        </w:rPr>
        <w:fldChar w:fldCharType="begin"/>
      </w:r>
      <w:r>
        <w:rPr>
          <w:spacing w:val="0"/>
        </w:rPr>
        <w:instrText xml:space="preserve"> PAGEREF _Toc20899 \h </w:instrText>
      </w:r>
      <w:r>
        <w:rPr>
          <w:spacing w:val="0"/>
        </w:rPr>
        <w:fldChar w:fldCharType="separate"/>
      </w:r>
      <w:r>
        <w:rPr>
          <w:spacing w:val="0"/>
        </w:rPr>
        <w:t>II</w:t>
      </w:r>
      <w:r>
        <w:rPr>
          <w:spacing w:val="0"/>
        </w:rPr>
        <w:fldChar w:fldCharType="end"/>
      </w:r>
      <w:r>
        <w:rPr>
          <w:rFonts w:hint="eastAsia"/>
          <w:spacing w:val="0"/>
          <w:lang w:eastAsia="zh-CN"/>
        </w:rPr>
        <w:fldChar w:fldCharType="end"/>
      </w:r>
    </w:p>
    <w:p w14:paraId="44D89E82">
      <w:pPr>
        <w:pStyle w:val="20"/>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_Toc8839 </w:instrText>
      </w:r>
      <w:r>
        <w:rPr>
          <w:rFonts w:hint="eastAsia"/>
          <w:spacing w:val="0"/>
          <w:lang w:eastAsia="zh-CN"/>
        </w:rPr>
        <w:fldChar w:fldCharType="separate"/>
      </w:r>
      <w:r>
        <w:rPr>
          <w:rFonts w:hint="eastAsia" w:ascii="黑体" w:eastAsia="黑体"/>
          <w:i w:val="0"/>
          <w:spacing w:val="0"/>
        </w:rPr>
        <w:t>1</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范围</w:t>
      </w:r>
      <w:r>
        <w:rPr>
          <w:spacing w:val="0"/>
        </w:rPr>
        <w:tab/>
      </w:r>
      <w:r>
        <w:rPr>
          <w:spacing w:val="0"/>
        </w:rPr>
        <w:fldChar w:fldCharType="begin"/>
      </w:r>
      <w:r>
        <w:rPr>
          <w:spacing w:val="0"/>
        </w:rPr>
        <w:instrText xml:space="preserve"> PAGEREF _Toc8839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6E5E5C65">
      <w:pPr>
        <w:pStyle w:val="20"/>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_Toc9808 </w:instrText>
      </w:r>
      <w:r>
        <w:rPr>
          <w:rFonts w:hint="eastAsia"/>
          <w:spacing w:val="0"/>
          <w:lang w:eastAsia="zh-CN"/>
        </w:rPr>
        <w:fldChar w:fldCharType="separate"/>
      </w:r>
      <w:r>
        <w:rPr>
          <w:rFonts w:hint="eastAsia" w:ascii="黑体" w:eastAsia="黑体"/>
          <w:i w:val="0"/>
          <w:spacing w:val="0"/>
        </w:rPr>
        <w:t>2</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规范性引用文件</w:t>
      </w:r>
      <w:r>
        <w:rPr>
          <w:spacing w:val="0"/>
        </w:rPr>
        <w:tab/>
      </w:r>
      <w:r>
        <w:rPr>
          <w:spacing w:val="0"/>
        </w:rPr>
        <w:fldChar w:fldCharType="begin"/>
      </w:r>
      <w:r>
        <w:rPr>
          <w:spacing w:val="0"/>
        </w:rPr>
        <w:instrText xml:space="preserve"> PAGEREF _Toc9808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07CF41D3">
      <w:pPr>
        <w:pStyle w:val="20"/>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_Toc3330 </w:instrText>
      </w:r>
      <w:r>
        <w:rPr>
          <w:rFonts w:hint="eastAsia"/>
          <w:spacing w:val="0"/>
          <w:lang w:eastAsia="zh-CN"/>
        </w:rPr>
        <w:fldChar w:fldCharType="separate"/>
      </w:r>
      <w:r>
        <w:rPr>
          <w:rFonts w:hint="eastAsia" w:ascii="黑体" w:eastAsia="黑体"/>
          <w:i w:val="0"/>
          <w:spacing w:val="0"/>
        </w:rPr>
        <w:t>3</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szCs w:val="21"/>
        </w:rPr>
        <w:t>术语和定义</w:t>
      </w:r>
      <w:r>
        <w:rPr>
          <w:spacing w:val="0"/>
        </w:rPr>
        <w:tab/>
      </w:r>
      <w:r>
        <w:rPr>
          <w:spacing w:val="0"/>
        </w:rPr>
        <w:fldChar w:fldCharType="begin"/>
      </w:r>
      <w:r>
        <w:rPr>
          <w:spacing w:val="0"/>
        </w:rPr>
        <w:instrText xml:space="preserve"> PAGEREF _Toc3330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6F46D1B7">
      <w:pPr>
        <w:pStyle w:val="20"/>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_Toc17017 </w:instrText>
      </w:r>
      <w:r>
        <w:rPr>
          <w:rFonts w:hint="eastAsia"/>
          <w:spacing w:val="0"/>
          <w:lang w:eastAsia="zh-CN"/>
        </w:rPr>
        <w:fldChar w:fldCharType="separate"/>
      </w:r>
      <w:r>
        <w:rPr>
          <w:rFonts w:hint="eastAsia" w:ascii="黑体" w:eastAsia="黑体"/>
          <w:i w:val="0"/>
          <w:spacing w:val="0"/>
        </w:rPr>
        <w:t>4</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布展原则</w:t>
      </w:r>
      <w:r>
        <w:rPr>
          <w:spacing w:val="0"/>
        </w:rPr>
        <w:tab/>
      </w:r>
      <w:r>
        <w:rPr>
          <w:spacing w:val="0"/>
        </w:rPr>
        <w:fldChar w:fldCharType="begin"/>
      </w:r>
      <w:r>
        <w:rPr>
          <w:spacing w:val="0"/>
        </w:rPr>
        <w:instrText xml:space="preserve"> PAGEREF _Toc17017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75826AF6">
      <w:pPr>
        <w:pStyle w:val="20"/>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_Toc26210 </w:instrText>
      </w:r>
      <w:r>
        <w:rPr>
          <w:rFonts w:hint="eastAsia"/>
          <w:spacing w:val="0"/>
          <w:lang w:eastAsia="zh-CN"/>
        </w:rPr>
        <w:fldChar w:fldCharType="separate"/>
      </w:r>
      <w:r>
        <w:rPr>
          <w:rFonts w:hint="eastAsia" w:ascii="黑体" w:eastAsia="黑体"/>
          <w:i w:val="0"/>
          <w:spacing w:val="0"/>
        </w:rPr>
        <w:t>5</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农业科普场所分类和基本配置和通用要求</w:t>
      </w:r>
      <w:r>
        <w:rPr>
          <w:spacing w:val="0"/>
        </w:rPr>
        <w:tab/>
      </w:r>
      <w:r>
        <w:rPr>
          <w:spacing w:val="0"/>
        </w:rPr>
        <w:fldChar w:fldCharType="begin"/>
      </w:r>
      <w:r>
        <w:rPr>
          <w:spacing w:val="0"/>
        </w:rPr>
        <w:instrText xml:space="preserve"> PAGEREF _Toc26210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52527EA7">
      <w:pPr>
        <w:pStyle w:val="20"/>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_Toc27373 </w:instrText>
      </w:r>
      <w:r>
        <w:rPr>
          <w:rFonts w:hint="eastAsia"/>
          <w:spacing w:val="0"/>
          <w:lang w:eastAsia="zh-CN"/>
        </w:rPr>
        <w:fldChar w:fldCharType="separate"/>
      </w:r>
      <w:r>
        <w:rPr>
          <w:rFonts w:hint="eastAsia" w:ascii="黑体" w:eastAsia="黑体"/>
          <w:i w:val="0"/>
          <w:spacing w:val="0"/>
        </w:rPr>
        <w:t>6</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布展内容</w:t>
      </w:r>
      <w:r>
        <w:rPr>
          <w:spacing w:val="0"/>
        </w:rPr>
        <w:tab/>
      </w:r>
      <w:r>
        <w:rPr>
          <w:spacing w:val="0"/>
        </w:rPr>
        <w:fldChar w:fldCharType="begin"/>
      </w:r>
      <w:r>
        <w:rPr>
          <w:spacing w:val="0"/>
        </w:rPr>
        <w:instrText xml:space="preserve"> PAGEREF _Toc27373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15EC7343">
      <w:pPr>
        <w:pStyle w:val="20"/>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_Toc5349 </w:instrText>
      </w:r>
      <w:r>
        <w:rPr>
          <w:rFonts w:hint="eastAsia"/>
          <w:spacing w:val="0"/>
          <w:lang w:eastAsia="zh-CN"/>
        </w:rPr>
        <w:fldChar w:fldCharType="separate"/>
      </w:r>
      <w:r>
        <w:rPr>
          <w:rFonts w:hint="eastAsia" w:ascii="黑体" w:eastAsia="黑体"/>
          <w:i w:val="0"/>
          <w:spacing w:val="0"/>
        </w:rPr>
        <w:t>7</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布展形式要求</w:t>
      </w:r>
      <w:r>
        <w:rPr>
          <w:spacing w:val="0"/>
        </w:rPr>
        <w:tab/>
      </w:r>
      <w:r>
        <w:rPr>
          <w:spacing w:val="0"/>
        </w:rPr>
        <w:fldChar w:fldCharType="begin"/>
      </w:r>
      <w:r>
        <w:rPr>
          <w:spacing w:val="0"/>
        </w:rPr>
        <w:instrText xml:space="preserve"> PAGEREF _Toc5349 \h </w:instrText>
      </w:r>
      <w:r>
        <w:rPr>
          <w:spacing w:val="0"/>
        </w:rPr>
        <w:fldChar w:fldCharType="separate"/>
      </w:r>
      <w:r>
        <w:rPr>
          <w:spacing w:val="0"/>
        </w:rPr>
        <w:t>3</w:t>
      </w:r>
      <w:r>
        <w:rPr>
          <w:spacing w:val="0"/>
        </w:rPr>
        <w:fldChar w:fldCharType="end"/>
      </w:r>
      <w:r>
        <w:rPr>
          <w:rFonts w:hint="eastAsia"/>
          <w:spacing w:val="0"/>
          <w:lang w:eastAsia="zh-CN"/>
        </w:rPr>
        <w:fldChar w:fldCharType="end"/>
      </w:r>
    </w:p>
    <w:p w14:paraId="58830B8D">
      <w:pPr>
        <w:pStyle w:val="20"/>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_Toc5856 </w:instrText>
      </w:r>
      <w:r>
        <w:rPr>
          <w:rFonts w:hint="eastAsia"/>
          <w:spacing w:val="0"/>
          <w:lang w:eastAsia="zh-CN"/>
        </w:rPr>
        <w:fldChar w:fldCharType="separate"/>
      </w:r>
      <w:r>
        <w:rPr>
          <w:rFonts w:hint="eastAsia"/>
          <w:spacing w:val="0"/>
        </w:rPr>
        <w:t>参考文献</w:t>
      </w:r>
      <w:r>
        <w:rPr>
          <w:spacing w:val="0"/>
        </w:rPr>
        <w:tab/>
      </w:r>
      <w:r>
        <w:rPr>
          <w:spacing w:val="0"/>
        </w:rPr>
        <w:fldChar w:fldCharType="begin"/>
      </w:r>
      <w:r>
        <w:rPr>
          <w:spacing w:val="0"/>
        </w:rPr>
        <w:instrText xml:space="preserve"> PAGEREF _Toc5856 \h </w:instrText>
      </w:r>
      <w:r>
        <w:rPr>
          <w:spacing w:val="0"/>
        </w:rPr>
        <w:fldChar w:fldCharType="separate"/>
      </w:r>
      <w:r>
        <w:rPr>
          <w:spacing w:val="0"/>
        </w:rPr>
        <w:t>4</w:t>
      </w:r>
      <w:r>
        <w:rPr>
          <w:spacing w:val="0"/>
        </w:rPr>
        <w:fldChar w:fldCharType="end"/>
      </w:r>
      <w:r>
        <w:rPr>
          <w:rFonts w:hint="eastAsia"/>
          <w:spacing w:val="0"/>
          <w:lang w:eastAsia="zh-CN"/>
        </w:rPr>
        <w:fldChar w:fldCharType="end"/>
      </w:r>
    </w:p>
    <w:p w14:paraId="0C024CD1">
      <w:pPr>
        <w:pStyle w:val="96"/>
        <w:bidi w:val="0"/>
        <w:rPr>
          <w:rFonts w:hint="eastAsia"/>
          <w:spacing w:val="0"/>
          <w:lang w:eastAsia="zh-CN"/>
        </w:rPr>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titlePg/>
          <w:docGrid w:linePitch="312" w:charSpace="0"/>
        </w:sectPr>
      </w:pPr>
      <w:r>
        <w:rPr>
          <w:rFonts w:hint="eastAsia"/>
          <w:spacing w:val="0"/>
          <w:lang w:eastAsia="zh-CN"/>
        </w:rPr>
        <w:fldChar w:fldCharType="end"/>
      </w:r>
    </w:p>
    <w:bookmarkEnd w:id="21"/>
    <w:p w14:paraId="02FA0CAB">
      <w:pPr>
        <w:pStyle w:val="94"/>
        <w:spacing w:after="360"/>
      </w:pPr>
      <w:bookmarkStart w:id="22" w:name="_Toc20899"/>
      <w:bookmarkStart w:id="23" w:name="BookMark2"/>
      <w:r>
        <w:rPr>
          <w:spacing w:val="320"/>
        </w:rPr>
        <w:t>前</w:t>
      </w:r>
      <w:r>
        <w:t>言</w:t>
      </w:r>
      <w:bookmarkEnd w:id="22"/>
    </w:p>
    <w:p w14:paraId="4DC4A4F5">
      <w:pPr>
        <w:pStyle w:val="61"/>
        <w:ind w:firstLine="420"/>
      </w:pPr>
      <w:r>
        <w:rPr>
          <w:rFonts w:hint="eastAsia"/>
        </w:rPr>
        <w:t>本文件按照GB/T 1.1—2020《标准化工作导则  第1部分：标准化文件的结构和起草规则》的规定起草。</w:t>
      </w:r>
    </w:p>
    <w:p w14:paraId="0BF924A0">
      <w:pPr>
        <w:pStyle w:val="61"/>
        <w:ind w:firstLine="420"/>
      </w:pPr>
      <w:r>
        <w:rPr>
          <w:rFonts w:hint="eastAsia"/>
        </w:rPr>
        <w:t>请注意本文件的某些内容可能涉及专利。本文件的发布机构不承担识别专利的责任。</w:t>
      </w:r>
    </w:p>
    <w:p w14:paraId="6FFEBB87">
      <w:pPr>
        <w:pStyle w:val="61"/>
        <w:ind w:firstLine="420"/>
      </w:pPr>
      <w:r>
        <w:rPr>
          <w:rFonts w:hint="eastAsia"/>
        </w:rPr>
        <w:t>本文件由广西壮族自治区农业</w:t>
      </w:r>
      <w:r>
        <w:t>科学院</w:t>
      </w:r>
      <w:r>
        <w:rPr>
          <w:rFonts w:hint="eastAsia"/>
        </w:rPr>
        <w:t>提出</w:t>
      </w:r>
      <w:r>
        <w:t>并</w:t>
      </w:r>
      <w:r>
        <w:rPr>
          <w:rFonts w:hint="eastAsia"/>
        </w:rPr>
        <w:t>宣贯。</w:t>
      </w:r>
    </w:p>
    <w:p w14:paraId="1A6D2D18">
      <w:pPr>
        <w:pStyle w:val="61"/>
        <w:ind w:firstLine="420"/>
      </w:pPr>
      <w:r>
        <w:rPr>
          <w:rFonts w:hint="eastAsia"/>
        </w:rPr>
        <w:t>本文件由广西标准化协会归口。</w:t>
      </w:r>
    </w:p>
    <w:p w14:paraId="6967BFB8">
      <w:pPr>
        <w:pStyle w:val="61"/>
        <w:ind w:firstLine="420"/>
      </w:pPr>
      <w:r>
        <w:rPr>
          <w:rFonts w:hint="eastAsia"/>
        </w:rPr>
        <w:t>本文件起草单位：广西壮族自治区亚热带作物研究所、广西标准化协会、农业农村部科技发展中心、云南省热带作物科学研究所。</w:t>
      </w:r>
    </w:p>
    <w:p w14:paraId="4C32D30E">
      <w:pPr>
        <w:pStyle w:val="61"/>
        <w:ind w:firstLine="420"/>
        <w:sectPr>
          <w:pgSz w:w="11906" w:h="16838"/>
          <w:pgMar w:top="1928" w:right="1134" w:bottom="1134" w:left="1134" w:header="1418" w:footer="1134" w:gutter="284"/>
          <w:pgNumType w:fmt="upperRoman"/>
          <w:cols w:space="425" w:num="1"/>
          <w:formProt w:val="0"/>
          <w:titlePg/>
          <w:docGrid w:linePitch="312" w:charSpace="0"/>
        </w:sectPr>
      </w:pPr>
      <w:r>
        <w:rPr>
          <w:rFonts w:hint="eastAsia"/>
        </w:rPr>
        <w:t>本文件主要起草人：刘思朝、黄昶吟、苏文潘、覃剑峰、李鹭、苏子华、蒋宏、曹琬筝、宾振钧、陆祖双、陈致威、黄云芳、周璟、侯海洋。</w:t>
      </w:r>
    </w:p>
    <w:bookmarkEnd w:id="23"/>
    <w:p w14:paraId="54D7986D">
      <w:pPr>
        <w:spacing w:line="20" w:lineRule="exact"/>
        <w:jc w:val="center"/>
        <w:rPr>
          <w:rFonts w:ascii="黑体" w:hAnsi="黑体" w:eastAsia="黑体"/>
          <w:sz w:val="32"/>
          <w:szCs w:val="32"/>
        </w:rPr>
      </w:pPr>
      <w:bookmarkStart w:id="24" w:name="BookMark4"/>
    </w:p>
    <w:p w14:paraId="6DFF6D5B">
      <w:pPr>
        <w:spacing w:line="20" w:lineRule="exact"/>
        <w:jc w:val="center"/>
        <w:rPr>
          <w:rFonts w:ascii="黑体" w:hAnsi="黑体" w:eastAsia="黑体"/>
          <w:sz w:val="32"/>
          <w:szCs w:val="32"/>
        </w:rPr>
      </w:pPr>
    </w:p>
    <w:sdt>
      <w:sdtPr>
        <w:tag w:val="NEW_STAND_NAME"/>
        <w:id w:val="595910757"/>
        <w:lock w:val="sdtLocked"/>
        <w:placeholder>
          <w:docPart w:val="C2EEAE13B6E547B8B4EEF3DDFD7E2739"/>
        </w:placeholder>
      </w:sdtPr>
      <w:sdtContent>
        <w:p w14:paraId="7B131B24">
          <w:pPr>
            <w:pStyle w:val="182"/>
            <w:spacing w:before="240" w:beforeLines="100" w:after="528" w:afterLines="220"/>
          </w:pPr>
          <w:bookmarkStart w:id="25" w:name="NEW_STAND_NAME"/>
          <w:r>
            <w:rPr>
              <w:rFonts w:hint="eastAsia"/>
            </w:rPr>
            <w:t>农业科普场所布展指南</w:t>
          </w:r>
        </w:p>
      </w:sdtContent>
    </w:sdt>
    <w:bookmarkEnd w:id="25"/>
    <w:p w14:paraId="27052140">
      <w:pPr>
        <w:pStyle w:val="109"/>
        <w:spacing w:before="240" w:after="240"/>
      </w:pPr>
      <w:bookmarkStart w:id="26" w:name="_Toc26986530"/>
      <w:bookmarkStart w:id="27" w:name="_Toc97192964"/>
      <w:bookmarkStart w:id="28" w:name="_Toc26718930"/>
      <w:bookmarkStart w:id="29" w:name="_Toc24884218"/>
      <w:bookmarkStart w:id="30" w:name="_Toc17233333"/>
      <w:bookmarkStart w:id="31" w:name="_Toc17233325"/>
      <w:bookmarkStart w:id="32" w:name="_Toc26648465"/>
      <w:bookmarkStart w:id="33" w:name="_Toc8839"/>
      <w:bookmarkStart w:id="34" w:name="_Toc24884211"/>
      <w:bookmarkStart w:id="35" w:name="_Toc26986771"/>
      <w:r>
        <w:rPr>
          <w:rFonts w:hint="eastAsia"/>
        </w:rPr>
        <w:t>范围</w:t>
      </w:r>
      <w:bookmarkEnd w:id="26"/>
      <w:bookmarkEnd w:id="27"/>
      <w:bookmarkEnd w:id="28"/>
      <w:bookmarkEnd w:id="29"/>
      <w:bookmarkEnd w:id="30"/>
      <w:bookmarkEnd w:id="31"/>
      <w:bookmarkEnd w:id="32"/>
      <w:bookmarkEnd w:id="33"/>
      <w:bookmarkEnd w:id="34"/>
      <w:bookmarkEnd w:id="35"/>
    </w:p>
    <w:p w14:paraId="0AD960C1">
      <w:pPr>
        <w:pStyle w:val="61"/>
        <w:ind w:firstLine="420"/>
      </w:pPr>
      <w:bookmarkStart w:id="36" w:name="_Toc24884219"/>
      <w:bookmarkStart w:id="37" w:name="_Toc17233334"/>
      <w:bookmarkStart w:id="38" w:name="_Toc17233326"/>
      <w:bookmarkStart w:id="39" w:name="_Toc26648466"/>
      <w:bookmarkStart w:id="40" w:name="_Toc24884212"/>
      <w:r>
        <w:rPr>
          <w:rFonts w:hint="eastAsia"/>
        </w:rPr>
        <w:t>本文件界定了农业科普场所布展的术语和定义，确立了农业科普场所的布展原则，提供了农业科普场所的科普场所分类和基本配置、布展内容、布展形式要求的指导。</w:t>
      </w:r>
    </w:p>
    <w:p w14:paraId="5061910C">
      <w:pPr>
        <w:pStyle w:val="61"/>
        <w:adjustRightInd w:val="0"/>
        <w:ind w:firstLine="420"/>
      </w:pPr>
      <w:r>
        <w:rPr>
          <w:rFonts w:hint="eastAsia"/>
        </w:rPr>
        <w:t>本文件适用于农业科普场所布展工作。</w:t>
      </w:r>
    </w:p>
    <w:p w14:paraId="4A065765">
      <w:pPr>
        <w:pStyle w:val="109"/>
        <w:spacing w:before="240" w:after="240"/>
      </w:pPr>
      <w:bookmarkStart w:id="41" w:name="_Toc26986531"/>
      <w:bookmarkStart w:id="42" w:name="_Toc9808"/>
      <w:bookmarkStart w:id="43" w:name="_Toc97192965"/>
      <w:bookmarkStart w:id="44" w:name="_Toc26718931"/>
      <w:bookmarkStart w:id="45" w:name="_Toc26986772"/>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E138BC391756451D89FFCF9C4E8F305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05395F4">
          <w:pPr>
            <w:pStyle w:val="6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1ACB0CB">
      <w:pPr>
        <w:pStyle w:val="61"/>
        <w:ind w:firstLine="420"/>
      </w:pPr>
      <w:r>
        <w:rPr>
          <w:rFonts w:hint="eastAsia"/>
        </w:rPr>
        <w:t>T/GXAS 1053  农业科普场所标识标牌设置规范</w:t>
      </w:r>
    </w:p>
    <w:p w14:paraId="0C084B53">
      <w:pPr>
        <w:pStyle w:val="61"/>
        <w:ind w:firstLine="420"/>
      </w:pPr>
      <w:r>
        <w:rPr>
          <w:rFonts w:hint="eastAsia"/>
        </w:rPr>
        <w:t>GB/T 40248 人员密集场所消防安全管理</w:t>
      </w:r>
    </w:p>
    <w:p w14:paraId="36D84C0B">
      <w:pPr>
        <w:pStyle w:val="61"/>
        <w:ind w:firstLine="420"/>
      </w:pPr>
      <w:r>
        <w:rPr>
          <w:rFonts w:hint="eastAsia"/>
        </w:rPr>
        <w:t>GB/T 44315  科技馆展品设计通用要求</w:t>
      </w:r>
    </w:p>
    <w:p w14:paraId="69073F06">
      <w:pPr>
        <w:pStyle w:val="61"/>
        <w:ind w:firstLine="420"/>
      </w:pPr>
      <w:r>
        <w:t>WW/T 0089</w:t>
      </w:r>
      <w:r>
        <w:rPr>
          <w:rFonts w:hint="eastAsia"/>
        </w:rPr>
        <w:t xml:space="preserve">  </w:t>
      </w:r>
      <w:r>
        <w:t>博物馆陈列展览形式设计与施工规范</w:t>
      </w:r>
    </w:p>
    <w:p w14:paraId="5609BCDE">
      <w:pPr>
        <w:pStyle w:val="61"/>
        <w:ind w:firstLine="420"/>
      </w:pPr>
      <w:r>
        <w:rPr>
          <w:rFonts w:hint="eastAsia"/>
        </w:rPr>
        <w:t>T/GXAS 1174  农业科普展览活动管理规范</w:t>
      </w:r>
    </w:p>
    <w:p w14:paraId="4E9F7BDF">
      <w:pPr>
        <w:pStyle w:val="109"/>
        <w:spacing w:before="240" w:after="240"/>
      </w:pPr>
      <w:bookmarkStart w:id="46" w:name="_Toc97192966"/>
      <w:bookmarkStart w:id="47" w:name="_Toc3330"/>
      <w:r>
        <w:rPr>
          <w:rFonts w:hint="eastAsia"/>
          <w:szCs w:val="21"/>
        </w:rPr>
        <w:t>术语和定义</w:t>
      </w:r>
      <w:bookmarkEnd w:id="46"/>
      <w:bookmarkEnd w:id="47"/>
    </w:p>
    <w:sdt>
      <w:sdtPr>
        <w:id w:val="-1909835108"/>
        <w:placeholder>
          <w:docPart w:val="E6AD9BEE29E14D84B3AEF497F9CE223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75FF114">
          <w:pPr>
            <w:pStyle w:val="61"/>
            <w:ind w:firstLine="420"/>
          </w:pPr>
          <w:bookmarkStart w:id="48" w:name="_Toc26986532"/>
          <w:bookmarkEnd w:id="48"/>
          <w:r>
            <w:t>下列术语和定义适用于本文件。</w:t>
          </w:r>
        </w:p>
      </w:sdtContent>
    </w:sdt>
    <w:p w14:paraId="16B068A8">
      <w:pPr>
        <w:pStyle w:val="228"/>
        <w:ind w:left="420" w:hanging="420" w:hangingChars="200"/>
        <w:rPr>
          <w:rFonts w:ascii="黑体" w:hAnsi="黑体" w:eastAsia="黑体"/>
          <w:color w:val="0000FF"/>
        </w:rPr>
      </w:pPr>
      <w:bookmarkStart w:id="49" w:name="OLE_LINK15"/>
      <w:bookmarkStart w:id="50" w:name="OLE_LINK14"/>
      <w:r>
        <w:rPr>
          <w:rFonts w:ascii="黑体" w:hAnsi="黑体" w:eastAsia="黑体"/>
        </w:rPr>
        <w:br w:type="textWrapping"/>
      </w:r>
      <w:bookmarkEnd w:id="49"/>
      <w:bookmarkEnd w:id="50"/>
      <w:bookmarkStart w:id="51" w:name="OLE_LINK3"/>
      <w:bookmarkStart w:id="52" w:name="OLE_LINK1"/>
      <w:r>
        <w:rPr>
          <w:rFonts w:hint="eastAsia" w:ascii="黑体" w:hAnsi="黑体" w:eastAsia="黑体"/>
        </w:rPr>
        <w:t>农业科普场所</w:t>
      </w:r>
      <w:bookmarkEnd w:id="51"/>
      <w:bookmarkEnd w:id="52"/>
      <w:r>
        <w:rPr>
          <w:rFonts w:hint="eastAsia" w:ascii="黑体" w:hAnsi="黑体" w:eastAsia="黑体"/>
        </w:rPr>
        <w:t xml:space="preserve">  </w:t>
      </w:r>
      <w:r>
        <w:rPr>
          <w:rFonts w:ascii="黑体" w:hAnsi="黑体" w:eastAsia="黑体"/>
        </w:rPr>
        <w:t>a</w:t>
      </w:r>
      <w:r>
        <w:rPr>
          <w:rFonts w:hint="eastAsia" w:ascii="黑体" w:hAnsi="黑体" w:eastAsia="黑体"/>
        </w:rPr>
        <w:t>gricultural science popularization venues</w:t>
      </w:r>
    </w:p>
    <w:p w14:paraId="08ABA716">
      <w:pPr>
        <w:pStyle w:val="61"/>
        <w:ind w:firstLine="420"/>
      </w:pPr>
      <w:r>
        <w:rPr>
          <w:rFonts w:hint="eastAsia"/>
        </w:rPr>
        <w:t>用于传播农业科学知识、展示农业技术成果，提高全民农业知识素质和增强全民三农情怀而建设或者布设的社会教育与公共服务设施。</w:t>
      </w:r>
    </w:p>
    <w:p w14:paraId="3C35B75B">
      <w:pPr>
        <w:pStyle w:val="109"/>
        <w:spacing w:before="240" w:after="240"/>
      </w:pPr>
      <w:bookmarkStart w:id="53" w:name="_Toc17017"/>
      <w:r>
        <w:rPr>
          <w:rFonts w:hint="eastAsia"/>
        </w:rPr>
        <w:t>布展原则</w:t>
      </w:r>
      <w:bookmarkEnd w:id="53"/>
    </w:p>
    <w:p w14:paraId="73C7F905">
      <w:pPr>
        <w:pStyle w:val="110"/>
        <w:spacing w:before="120" w:after="120"/>
      </w:pPr>
      <w:r>
        <w:rPr>
          <w:rFonts w:hint="eastAsia"/>
        </w:rPr>
        <w:t>科学性</w:t>
      </w:r>
    </w:p>
    <w:p w14:paraId="59A92249">
      <w:pPr>
        <w:pStyle w:val="61"/>
        <w:ind w:firstLine="420"/>
      </w:pPr>
      <w:r>
        <w:rPr>
          <w:rFonts w:hint="eastAsia"/>
        </w:rPr>
        <w:t>展品、展项所展示的内容应符合农业科学原理，信息内容需准确、规范，同时，展项组合方式应遵循农业科学知识的内在关联、认知规律及传播逻辑进行组合设计，展品摆放需对应预设功能区域，根据展品属性、科普主题及展示逻辑，合理布局于相应区域。</w:t>
      </w:r>
    </w:p>
    <w:p w14:paraId="489532E5">
      <w:pPr>
        <w:pStyle w:val="110"/>
        <w:spacing w:before="120" w:after="120"/>
      </w:pPr>
      <w:r>
        <w:rPr>
          <w:rFonts w:hint="eastAsia"/>
        </w:rPr>
        <w:t>安全性</w:t>
      </w:r>
    </w:p>
    <w:p w14:paraId="1ECE5602">
      <w:pPr>
        <w:pStyle w:val="61"/>
        <w:ind w:firstLine="420"/>
      </w:pPr>
      <w:r>
        <w:t>布展应始终坚持安全第一</w:t>
      </w:r>
      <w:r>
        <w:rPr>
          <w:rFonts w:hint="eastAsia"/>
        </w:rPr>
        <w:t>，符合安全管理条例</w:t>
      </w:r>
      <w:r>
        <w:t>，采取必要防护措施，</w:t>
      </w:r>
      <w:r>
        <w:rPr>
          <w:rFonts w:hint="eastAsia"/>
        </w:rPr>
        <w:t>以免</w:t>
      </w:r>
      <w:r>
        <w:t>对人员、设备等造成伤害。</w:t>
      </w:r>
    </w:p>
    <w:p w14:paraId="6CC643E5">
      <w:pPr>
        <w:pStyle w:val="110"/>
        <w:spacing w:before="120" w:after="120"/>
      </w:pPr>
      <w:r>
        <w:rPr>
          <w:rFonts w:hint="eastAsia"/>
        </w:rPr>
        <w:t>体验性</w:t>
      </w:r>
    </w:p>
    <w:p w14:paraId="0D2798BD">
      <w:pPr>
        <w:pStyle w:val="61"/>
        <w:ind w:firstLine="420"/>
      </w:pPr>
      <w:r>
        <w:rPr>
          <w:rFonts w:hint="eastAsia"/>
        </w:rPr>
        <w:t>应结合农业科学内容、现代科技手段、场所特点、观众需求，设置多样化互动项目，引导观众主动参与、动手实践、深度体验。</w:t>
      </w:r>
    </w:p>
    <w:p w14:paraId="431B378B">
      <w:pPr>
        <w:pStyle w:val="109"/>
        <w:spacing w:before="240" w:after="240"/>
      </w:pPr>
      <w:bookmarkStart w:id="54" w:name="_Toc26210"/>
      <w:r>
        <w:rPr>
          <w:rFonts w:hint="eastAsia"/>
        </w:rPr>
        <w:t>农业科普场所分类和基本配置和通用要求</w:t>
      </w:r>
      <w:bookmarkEnd w:id="54"/>
      <w:bookmarkStart w:id="60" w:name="_GoBack"/>
      <w:bookmarkEnd w:id="60"/>
    </w:p>
    <w:p w14:paraId="062EA1C5">
      <w:pPr>
        <w:pStyle w:val="61"/>
        <w:ind w:firstLine="420"/>
      </w:pPr>
      <w:r>
        <w:rPr>
          <w:rFonts w:hint="eastAsia"/>
        </w:rPr>
        <w:t>农业科普场所分类、基本配置、布展形式和通用要求见表1。</w:t>
      </w:r>
    </w:p>
    <w:p w14:paraId="4600C6FA">
      <w:pPr>
        <w:pStyle w:val="117"/>
        <w:spacing w:before="120" w:after="120"/>
      </w:pPr>
      <w:r>
        <w:rPr>
          <w:rFonts w:hint="eastAsia"/>
        </w:rPr>
        <w:t>农业科普场所展示分类、基本配置和通用要求</w:t>
      </w:r>
    </w:p>
    <w:tbl>
      <w:tblPr>
        <w:tblStyle w:val="3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7"/>
        <w:gridCol w:w="2338"/>
        <w:gridCol w:w="2338"/>
        <w:gridCol w:w="2338"/>
      </w:tblGrid>
      <w:tr w14:paraId="39057C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7" w:type="dxa"/>
            <w:tcBorders>
              <w:top w:val="single" w:color="auto" w:sz="8" w:space="0"/>
              <w:bottom w:val="single" w:color="auto" w:sz="8" w:space="0"/>
            </w:tcBorders>
            <w:shd w:val="clear" w:color="auto" w:fill="auto"/>
            <w:vAlign w:val="center"/>
          </w:tcPr>
          <w:p w14:paraId="26DE3871">
            <w:pPr>
              <w:pStyle w:val="183"/>
            </w:pPr>
            <w:r>
              <w:rPr>
                <w:rFonts w:hint="eastAsia"/>
              </w:rPr>
              <w:t>场所分类</w:t>
            </w:r>
          </w:p>
        </w:tc>
        <w:tc>
          <w:tcPr>
            <w:tcW w:w="2338" w:type="dxa"/>
            <w:tcBorders>
              <w:top w:val="single" w:color="auto" w:sz="8" w:space="0"/>
              <w:bottom w:val="single" w:color="auto" w:sz="8" w:space="0"/>
            </w:tcBorders>
            <w:shd w:val="clear" w:color="auto" w:fill="auto"/>
            <w:vAlign w:val="center"/>
          </w:tcPr>
          <w:p w14:paraId="362815CD">
            <w:pPr>
              <w:pStyle w:val="183"/>
            </w:pPr>
            <w:r>
              <w:rPr>
                <w:rFonts w:hint="eastAsia" w:hAnsi="宋体" w:cs="宋体"/>
                <w:color w:val="000000"/>
                <w:szCs w:val="18"/>
                <w:lang w:bidi="ar"/>
              </w:rPr>
              <w:t>基本配置（包括但不限于）</w:t>
            </w:r>
          </w:p>
        </w:tc>
        <w:tc>
          <w:tcPr>
            <w:tcW w:w="2338" w:type="dxa"/>
            <w:tcBorders>
              <w:top w:val="single" w:color="auto" w:sz="8" w:space="0"/>
              <w:bottom w:val="single" w:color="auto" w:sz="8" w:space="0"/>
            </w:tcBorders>
            <w:shd w:val="clear" w:color="auto" w:fill="auto"/>
            <w:vAlign w:val="center"/>
          </w:tcPr>
          <w:p w14:paraId="5C5C4B8F">
            <w:pPr>
              <w:pStyle w:val="183"/>
              <w:rPr>
                <w:rFonts w:hAnsi="宋体" w:cs="宋体"/>
                <w:color w:val="000000"/>
                <w:szCs w:val="18"/>
                <w:lang w:bidi="ar"/>
              </w:rPr>
            </w:pPr>
            <w:r>
              <w:rPr>
                <w:rFonts w:hint="eastAsia" w:hAnsi="宋体" w:cs="宋体"/>
                <w:color w:val="000000"/>
                <w:szCs w:val="18"/>
                <w:lang w:bidi="ar"/>
              </w:rPr>
              <w:t>布展形式（包括但不限于）</w:t>
            </w:r>
          </w:p>
        </w:tc>
        <w:tc>
          <w:tcPr>
            <w:tcW w:w="2338" w:type="dxa"/>
            <w:tcBorders>
              <w:top w:val="single" w:color="auto" w:sz="8" w:space="0"/>
              <w:bottom w:val="single" w:color="auto" w:sz="8" w:space="0"/>
            </w:tcBorders>
            <w:shd w:val="clear" w:color="auto" w:fill="auto"/>
            <w:vAlign w:val="center"/>
          </w:tcPr>
          <w:p w14:paraId="3AD92FA4">
            <w:pPr>
              <w:pStyle w:val="183"/>
            </w:pPr>
            <w:r>
              <w:rPr>
                <w:rFonts w:hint="eastAsia" w:hAnsi="宋体" w:cs="宋体"/>
                <w:color w:val="000000"/>
                <w:szCs w:val="18"/>
                <w:lang w:bidi="ar"/>
              </w:rPr>
              <w:t>通用要求（包括但不限于）</w:t>
            </w:r>
          </w:p>
        </w:tc>
      </w:tr>
      <w:tr w14:paraId="405B36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7" w:type="dxa"/>
            <w:tcBorders>
              <w:top w:val="single" w:color="auto" w:sz="8" w:space="0"/>
            </w:tcBorders>
            <w:shd w:val="clear" w:color="auto" w:fill="auto"/>
            <w:vAlign w:val="center"/>
          </w:tcPr>
          <w:p w14:paraId="2275A20C">
            <w:pPr>
              <w:pStyle w:val="183"/>
            </w:pPr>
            <w:r>
              <w:rPr>
                <w:rFonts w:hint="eastAsia"/>
              </w:rPr>
              <w:t>场馆类</w:t>
            </w:r>
          </w:p>
        </w:tc>
        <w:tc>
          <w:tcPr>
            <w:tcW w:w="2338" w:type="dxa"/>
            <w:tcBorders>
              <w:top w:val="single" w:color="auto" w:sz="8" w:space="0"/>
            </w:tcBorders>
            <w:shd w:val="clear" w:color="auto" w:fill="auto"/>
            <w:vAlign w:val="center"/>
          </w:tcPr>
          <w:p w14:paraId="15D6623B">
            <w:pPr>
              <w:pStyle w:val="61"/>
              <w:numPr>
                <w:ilvl w:val="0"/>
                <w:numId w:val="32"/>
              </w:numPr>
              <w:adjustRightInd w:val="0"/>
              <w:ind w:firstLine="180" w:firstLineChars="100"/>
              <w:jc w:val="left"/>
              <w:rPr>
                <w:rFonts w:hAnsi="宋体" w:cs="宋体"/>
                <w:color w:val="000000"/>
                <w:sz w:val="18"/>
                <w:szCs w:val="18"/>
              </w:rPr>
            </w:pPr>
            <w:r>
              <w:rPr>
                <w:rFonts w:hint="eastAsia" w:hAnsi="宋体" w:cs="宋体"/>
                <w:color w:val="000000"/>
                <w:sz w:val="18"/>
                <w:szCs w:val="18"/>
              </w:rPr>
              <w:t>场所选择聚焦农业科普核心，可选择科技成果展厅、农业博物馆、农业科技馆等，如农业综合博物馆、作物标本博物馆、昆虫与农业生态博物馆等；</w:t>
            </w:r>
          </w:p>
          <w:p w14:paraId="5C8329EE">
            <w:pPr>
              <w:pStyle w:val="61"/>
              <w:numPr>
                <w:ilvl w:val="0"/>
                <w:numId w:val="32"/>
              </w:numPr>
              <w:adjustRightInd w:val="0"/>
              <w:ind w:firstLine="180" w:firstLineChars="100"/>
              <w:jc w:val="left"/>
              <w:rPr>
                <w:rFonts w:hAnsi="宋体" w:cs="宋体"/>
                <w:color w:val="000000"/>
                <w:sz w:val="18"/>
                <w:szCs w:val="18"/>
                <w:lang w:bidi="ar"/>
              </w:rPr>
            </w:pPr>
            <w:r>
              <w:rPr>
                <w:rFonts w:hint="eastAsia" w:hAnsi="宋体" w:cs="宋体"/>
                <w:color w:val="000000"/>
                <w:sz w:val="18"/>
                <w:szCs w:val="18"/>
              </w:rPr>
              <w:t>宜配备农业特色展板（包括种植、养殖、农业技术、生态等内容）、农作物、各类作物种子、农产品、农业相关动植物标本等</w:t>
            </w:r>
            <w:r>
              <w:rPr>
                <w:rFonts w:hAnsi="宋体" w:cs="宋体"/>
                <w:color w:val="000000"/>
                <w:sz w:val="18"/>
                <w:szCs w:val="18"/>
              </w:rPr>
              <w:t>，并定期更新或替换</w:t>
            </w:r>
            <w:r>
              <w:rPr>
                <w:rFonts w:hint="eastAsia" w:hAnsi="宋体" w:cs="宋体"/>
                <w:color w:val="000000"/>
                <w:sz w:val="18"/>
                <w:szCs w:val="18"/>
              </w:rPr>
              <w:t>；</w:t>
            </w:r>
          </w:p>
          <w:p w14:paraId="2EEC67A7">
            <w:pPr>
              <w:pStyle w:val="183"/>
              <w:numPr>
                <w:ilvl w:val="0"/>
                <w:numId w:val="32"/>
              </w:numPr>
              <w:ind w:firstLine="180" w:firstLineChars="100"/>
              <w:jc w:val="left"/>
            </w:pPr>
            <w:r>
              <w:rPr>
                <w:rFonts w:hint="eastAsia" w:hAnsi="宋体" w:cs="宋体"/>
                <w:color w:val="000000"/>
                <w:szCs w:val="18"/>
                <w:lang w:bidi="ar"/>
              </w:rPr>
              <w:t>宜配备多媒体设备（播放农业技术、作物生长等内容）、触摸屏终端（农业知识问答、作物识别等）、农业特色互动设备（虚拟种植、农具模拟等）、电子导览系统等</w:t>
            </w:r>
          </w:p>
        </w:tc>
        <w:tc>
          <w:tcPr>
            <w:tcW w:w="2338" w:type="dxa"/>
            <w:tcBorders>
              <w:top w:val="single" w:color="auto" w:sz="8" w:space="0"/>
            </w:tcBorders>
            <w:shd w:val="clear" w:color="auto" w:fill="auto"/>
            <w:vAlign w:val="center"/>
          </w:tcPr>
          <w:p w14:paraId="73CFA994">
            <w:pPr>
              <w:pStyle w:val="183"/>
              <w:numPr>
                <w:ilvl w:val="0"/>
                <w:numId w:val="33"/>
              </w:numPr>
              <w:ind w:firstLine="180" w:firstLineChars="100"/>
              <w:jc w:val="left"/>
              <w:rPr>
                <w:rFonts w:hAnsi="宋体" w:cs="宋体"/>
                <w:color w:val="000000"/>
                <w:szCs w:val="18"/>
                <w:lang w:bidi="ar"/>
              </w:rPr>
            </w:pPr>
            <w:r>
              <w:rPr>
                <w:rFonts w:hint="eastAsia" w:hAnsi="宋体" w:cs="宋体"/>
                <w:color w:val="000000"/>
                <w:szCs w:val="18"/>
                <w:lang w:bidi="ar"/>
              </w:rPr>
              <w:t>实物展览；</w:t>
            </w:r>
          </w:p>
          <w:p w14:paraId="33F21A61">
            <w:pPr>
              <w:pStyle w:val="183"/>
              <w:numPr>
                <w:ilvl w:val="0"/>
                <w:numId w:val="33"/>
              </w:numPr>
              <w:ind w:firstLine="180" w:firstLineChars="100"/>
              <w:jc w:val="left"/>
              <w:rPr>
                <w:rFonts w:hAnsi="宋体" w:cs="宋体"/>
                <w:color w:val="000000"/>
                <w:szCs w:val="18"/>
                <w:lang w:bidi="ar"/>
              </w:rPr>
            </w:pPr>
            <w:r>
              <w:rPr>
                <w:rFonts w:hint="eastAsia" w:hAnsi="宋体" w:cs="宋体"/>
                <w:color w:val="000000"/>
                <w:szCs w:val="18"/>
                <w:lang w:bidi="ar"/>
              </w:rPr>
              <w:t>数字展览；</w:t>
            </w:r>
          </w:p>
          <w:p w14:paraId="58FACED8">
            <w:pPr>
              <w:pStyle w:val="183"/>
              <w:numPr>
                <w:ilvl w:val="0"/>
                <w:numId w:val="33"/>
              </w:numPr>
              <w:ind w:firstLine="180" w:firstLineChars="100"/>
              <w:jc w:val="left"/>
              <w:rPr>
                <w:rFonts w:hAnsi="宋体" w:cs="宋体"/>
                <w:color w:val="000000"/>
                <w:szCs w:val="18"/>
                <w:lang w:bidi="ar"/>
              </w:rPr>
            </w:pPr>
            <w:r>
              <w:rPr>
                <w:rFonts w:hint="eastAsia" w:hAnsi="宋体" w:cs="宋体"/>
                <w:color w:val="000000"/>
                <w:szCs w:val="18"/>
                <w:lang w:bidi="ar"/>
              </w:rPr>
              <w:t>体验互动系统；</w:t>
            </w:r>
          </w:p>
          <w:p w14:paraId="52BE3FE2">
            <w:pPr>
              <w:pStyle w:val="183"/>
              <w:numPr>
                <w:ilvl w:val="0"/>
                <w:numId w:val="33"/>
              </w:numPr>
              <w:ind w:firstLine="180" w:firstLineChars="100"/>
              <w:jc w:val="left"/>
              <w:rPr>
                <w:rFonts w:hAnsi="宋体" w:cs="宋体"/>
                <w:color w:val="000000"/>
                <w:szCs w:val="18"/>
                <w:lang w:bidi="ar"/>
              </w:rPr>
            </w:pPr>
            <w:r>
              <w:rPr>
                <w:rFonts w:hint="eastAsia" w:hAnsi="宋体" w:cs="宋体"/>
                <w:color w:val="000000"/>
                <w:szCs w:val="18"/>
                <w:lang w:bidi="ar"/>
              </w:rPr>
              <w:t>图文展览</w:t>
            </w:r>
          </w:p>
        </w:tc>
        <w:tc>
          <w:tcPr>
            <w:tcW w:w="2338" w:type="dxa"/>
            <w:vMerge w:val="restart"/>
            <w:tcBorders>
              <w:top w:val="single" w:color="auto" w:sz="8" w:space="0"/>
            </w:tcBorders>
            <w:shd w:val="clear" w:color="auto" w:fill="auto"/>
            <w:vAlign w:val="center"/>
          </w:tcPr>
          <w:p w14:paraId="3E51437D">
            <w:pPr>
              <w:pStyle w:val="61"/>
              <w:numPr>
                <w:ilvl w:val="0"/>
                <w:numId w:val="34"/>
              </w:numPr>
              <w:adjustRightInd w:val="0"/>
              <w:ind w:firstLine="180" w:firstLineChars="100"/>
              <w:jc w:val="left"/>
              <w:rPr>
                <w:rFonts w:hAnsi="宋体" w:cs="宋体"/>
                <w:color w:val="000000"/>
                <w:sz w:val="18"/>
                <w:szCs w:val="18"/>
                <w:lang w:bidi="ar"/>
              </w:rPr>
            </w:pPr>
            <w:r>
              <w:rPr>
                <w:rFonts w:hAnsi="宋体" w:cs="宋体"/>
                <w:color w:val="000000"/>
                <w:sz w:val="18"/>
                <w:szCs w:val="18"/>
              </w:rPr>
              <w:t>宜配置必要的基础展示与通行设施，包括指示导引标识、</w:t>
            </w:r>
            <w:r>
              <w:rPr>
                <w:rFonts w:hint="eastAsia" w:hAnsi="宋体" w:cs="宋体"/>
                <w:color w:val="000000"/>
                <w:sz w:val="18"/>
                <w:szCs w:val="18"/>
              </w:rPr>
              <w:t>展板及相关说明牌</w:t>
            </w:r>
            <w:r>
              <w:rPr>
                <w:rFonts w:hAnsi="宋体" w:cs="宋体"/>
                <w:color w:val="000000"/>
                <w:sz w:val="18"/>
                <w:szCs w:val="18"/>
              </w:rPr>
              <w:t>、参观通道等，标识标牌的设置宜符合T/GXAS 1053的规定</w:t>
            </w:r>
            <w:r>
              <w:rPr>
                <w:rFonts w:hint="eastAsia" w:hAnsi="宋体" w:cs="宋体"/>
                <w:color w:val="000000"/>
                <w:sz w:val="18"/>
                <w:szCs w:val="18"/>
              </w:rPr>
              <w:t>；</w:t>
            </w:r>
          </w:p>
          <w:p w14:paraId="4E96F9BC">
            <w:pPr>
              <w:pStyle w:val="61"/>
              <w:numPr>
                <w:ilvl w:val="0"/>
                <w:numId w:val="34"/>
              </w:numPr>
              <w:adjustRightInd w:val="0"/>
              <w:ind w:firstLine="180" w:firstLineChars="100"/>
              <w:jc w:val="left"/>
              <w:rPr>
                <w:rFonts w:hAnsi="宋体" w:cs="宋体"/>
                <w:color w:val="000000"/>
                <w:sz w:val="18"/>
                <w:szCs w:val="18"/>
                <w:lang w:bidi="ar"/>
              </w:rPr>
            </w:pPr>
            <w:r>
              <w:rPr>
                <w:rFonts w:hint="eastAsia" w:hAnsi="宋体" w:cs="宋体"/>
                <w:color w:val="000000"/>
                <w:sz w:val="18"/>
                <w:szCs w:val="18"/>
                <w:lang w:bidi="ar"/>
              </w:rPr>
              <w:t>宜配备符合 GB/T40248要求的消防设施和安全疏散设施；</w:t>
            </w:r>
          </w:p>
          <w:p w14:paraId="10F78DA5">
            <w:pPr>
              <w:pStyle w:val="61"/>
              <w:numPr>
                <w:ilvl w:val="0"/>
                <w:numId w:val="34"/>
              </w:numPr>
              <w:adjustRightInd w:val="0"/>
              <w:ind w:firstLine="180" w:firstLineChars="100"/>
              <w:jc w:val="left"/>
              <w:rPr>
                <w:rFonts w:hAnsi="宋体" w:cs="宋体"/>
                <w:color w:val="000000"/>
                <w:sz w:val="18"/>
                <w:szCs w:val="18"/>
                <w:lang w:bidi="ar"/>
              </w:rPr>
            </w:pPr>
            <w:r>
              <w:rPr>
                <w:rFonts w:hAnsi="宋体" w:cs="宋体"/>
                <w:color w:val="000000"/>
                <w:sz w:val="18"/>
                <w:szCs w:val="18"/>
                <w:lang w:bidi="ar"/>
              </w:rPr>
              <w:t>宜配置语音讲解系统及相关装置、中控系统，通过中控系统实现各类设施的集中统一控制及运行监测</w:t>
            </w:r>
            <w:r>
              <w:rPr>
                <w:rFonts w:hint="eastAsia" w:hAnsi="宋体" w:cs="宋体"/>
                <w:color w:val="000000"/>
                <w:sz w:val="18"/>
                <w:szCs w:val="18"/>
                <w:lang w:bidi="ar"/>
              </w:rPr>
              <w:t>；</w:t>
            </w:r>
          </w:p>
          <w:p w14:paraId="0401BF72">
            <w:pPr>
              <w:pStyle w:val="61"/>
              <w:numPr>
                <w:ilvl w:val="0"/>
                <w:numId w:val="34"/>
              </w:numPr>
              <w:adjustRightInd w:val="0"/>
              <w:ind w:firstLine="180" w:firstLineChars="100"/>
              <w:jc w:val="left"/>
              <w:rPr>
                <w:rFonts w:hAnsi="宋体" w:cs="宋体"/>
                <w:color w:val="000000"/>
                <w:sz w:val="18"/>
                <w:szCs w:val="18"/>
                <w:lang w:bidi="ar"/>
              </w:rPr>
            </w:pPr>
            <w:r>
              <w:rPr>
                <w:rFonts w:hAnsi="宋体" w:cs="宋体"/>
                <w:color w:val="000000"/>
                <w:sz w:val="18"/>
                <w:szCs w:val="18"/>
                <w:lang w:bidi="ar"/>
              </w:rPr>
              <w:t>宜配置服务台、观众休息区、残疾人通道等观众基本服务设施</w:t>
            </w:r>
            <w:r>
              <w:rPr>
                <w:rFonts w:hint="eastAsia" w:hAnsi="宋体" w:cs="宋体"/>
                <w:color w:val="000000"/>
                <w:sz w:val="18"/>
                <w:szCs w:val="18"/>
                <w:lang w:bidi="ar"/>
              </w:rPr>
              <w:t>；</w:t>
            </w:r>
          </w:p>
          <w:p w14:paraId="521A3D59">
            <w:pPr>
              <w:pStyle w:val="61"/>
              <w:numPr>
                <w:ilvl w:val="0"/>
                <w:numId w:val="34"/>
              </w:numPr>
              <w:adjustRightInd w:val="0"/>
              <w:ind w:firstLine="180" w:firstLineChars="100"/>
              <w:jc w:val="left"/>
              <w:rPr>
                <w:rFonts w:hAnsi="宋体" w:cs="宋体"/>
                <w:color w:val="000000"/>
                <w:sz w:val="18"/>
                <w:szCs w:val="18"/>
                <w:lang w:bidi="ar"/>
              </w:rPr>
            </w:pPr>
            <w:r>
              <w:rPr>
                <w:rFonts w:hint="eastAsia" w:hAnsi="宋体" w:cs="宋体"/>
                <w:color w:val="000000"/>
                <w:sz w:val="18"/>
                <w:szCs w:val="18"/>
                <w:lang w:bidi="ar"/>
              </w:rPr>
              <w:t>装饰材料宜</w:t>
            </w:r>
            <w:r>
              <w:rPr>
                <w:rFonts w:hAnsi="宋体" w:cs="宋体"/>
                <w:color w:val="000000"/>
                <w:sz w:val="18"/>
                <w:szCs w:val="18"/>
                <w:lang w:bidi="ar"/>
              </w:rPr>
              <w:t>符合</w:t>
            </w:r>
            <w:r>
              <w:rPr>
                <w:rFonts w:hint="eastAsia" w:hAnsi="宋体" w:cs="宋体"/>
                <w:color w:val="000000"/>
                <w:sz w:val="18"/>
                <w:szCs w:val="18"/>
                <w:lang w:bidi="ar"/>
              </w:rPr>
              <w:t>GB/T 44315安全环保的原则；</w:t>
            </w:r>
          </w:p>
          <w:p w14:paraId="53B05D5E">
            <w:pPr>
              <w:pStyle w:val="61"/>
              <w:numPr>
                <w:ilvl w:val="0"/>
                <w:numId w:val="34"/>
              </w:numPr>
              <w:adjustRightInd w:val="0"/>
              <w:ind w:firstLine="180" w:firstLineChars="100"/>
              <w:jc w:val="left"/>
              <w:rPr>
                <w:rFonts w:hAnsi="宋体" w:cs="宋体"/>
                <w:color w:val="000000"/>
                <w:sz w:val="18"/>
                <w:szCs w:val="18"/>
                <w:lang w:bidi="ar"/>
              </w:rPr>
            </w:pPr>
            <w:r>
              <w:rPr>
                <w:rFonts w:hAnsi="宋体" w:cs="宋体"/>
                <w:color w:val="000000"/>
                <w:sz w:val="18"/>
                <w:szCs w:val="18"/>
                <w:lang w:bidi="ar"/>
              </w:rPr>
              <w:t>宜采用分布均匀的环境光，采光系数</w:t>
            </w:r>
            <w:r>
              <w:rPr>
                <w:rFonts w:hint="eastAsia" w:hAnsi="宋体" w:cs="宋体"/>
                <w:color w:val="000000"/>
                <w:sz w:val="18"/>
                <w:szCs w:val="18"/>
                <w:lang w:bidi="ar"/>
              </w:rPr>
              <w:t>宜</w:t>
            </w:r>
            <w:r>
              <w:rPr>
                <w:rFonts w:hAnsi="宋体" w:cs="宋体"/>
                <w:color w:val="000000"/>
                <w:sz w:val="18"/>
                <w:szCs w:val="18"/>
                <w:lang w:bidi="ar"/>
              </w:rPr>
              <w:t>符合WW/T 0089的要求</w:t>
            </w:r>
            <w:r>
              <w:rPr>
                <w:rFonts w:hint="eastAsia" w:hAnsi="宋体" w:cs="宋体"/>
                <w:color w:val="000000"/>
                <w:sz w:val="18"/>
                <w:szCs w:val="18"/>
                <w:lang w:bidi="ar"/>
              </w:rPr>
              <w:t>，同时符合农业科普场景氛围；</w:t>
            </w:r>
          </w:p>
          <w:p w14:paraId="2FFAB76A">
            <w:pPr>
              <w:pStyle w:val="183"/>
              <w:numPr>
                <w:ilvl w:val="0"/>
                <w:numId w:val="34"/>
              </w:numPr>
              <w:ind w:firstLine="180" w:firstLineChars="100"/>
              <w:jc w:val="left"/>
            </w:pPr>
            <w:r>
              <w:rPr>
                <w:rFonts w:hAnsi="宋体" w:cs="宋体"/>
                <w:color w:val="000000"/>
                <w:szCs w:val="18"/>
                <w:lang w:bidi="ar"/>
              </w:rPr>
              <w:t>室外设备宜</w:t>
            </w:r>
            <w:r>
              <w:rPr>
                <w:rFonts w:hint="eastAsia" w:hAnsi="宋体" w:cs="宋体"/>
                <w:color w:val="000000"/>
                <w:szCs w:val="18"/>
                <w:lang w:bidi="ar"/>
              </w:rPr>
              <w:t>配备</w:t>
            </w:r>
            <w:r>
              <w:rPr>
                <w:rFonts w:hAnsi="宋体" w:cs="宋体"/>
                <w:color w:val="000000"/>
                <w:szCs w:val="18"/>
                <w:lang w:bidi="ar"/>
              </w:rPr>
              <w:t>防雨、防晒、防尘装备，配以稳定供电及网络接口</w:t>
            </w:r>
          </w:p>
        </w:tc>
      </w:tr>
      <w:tr w14:paraId="086E03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7" w:type="dxa"/>
            <w:shd w:val="clear" w:color="auto" w:fill="auto"/>
            <w:vAlign w:val="center"/>
          </w:tcPr>
          <w:p w14:paraId="063EE4D1">
            <w:pPr>
              <w:pStyle w:val="183"/>
            </w:pPr>
            <w:r>
              <w:rPr>
                <w:rFonts w:hint="eastAsia"/>
              </w:rPr>
              <w:t>户外类</w:t>
            </w:r>
          </w:p>
        </w:tc>
        <w:tc>
          <w:tcPr>
            <w:tcW w:w="2338" w:type="dxa"/>
            <w:shd w:val="clear" w:color="auto" w:fill="auto"/>
            <w:vAlign w:val="center"/>
          </w:tcPr>
          <w:p w14:paraId="35DCEC49">
            <w:pPr>
              <w:pStyle w:val="61"/>
              <w:numPr>
                <w:ilvl w:val="0"/>
                <w:numId w:val="35"/>
              </w:numPr>
              <w:adjustRightInd w:val="0"/>
              <w:ind w:firstLine="180" w:firstLineChars="100"/>
              <w:jc w:val="left"/>
              <w:rPr>
                <w:rFonts w:hAnsi="宋体" w:cs="宋体"/>
                <w:color w:val="000000"/>
                <w:sz w:val="18"/>
                <w:szCs w:val="18"/>
                <w:lang w:bidi="ar"/>
              </w:rPr>
            </w:pPr>
            <w:r>
              <w:rPr>
                <w:rFonts w:hint="eastAsia" w:hAnsi="宋体" w:cs="宋体"/>
                <w:color w:val="000000"/>
                <w:sz w:val="18"/>
                <w:szCs w:val="18"/>
                <w:lang w:bidi="ar"/>
              </w:rPr>
              <w:t>可选择从事农业科学研究的农业科学院、高校、国家种质资源圃等；或与农业生产相关的企业、农业科技产业园、作物种植示范基地等；或与农业文化相关的农业文化遗址、非遗工作坊、农业文化景区等；</w:t>
            </w:r>
          </w:p>
          <w:p w14:paraId="7761757F">
            <w:pPr>
              <w:pStyle w:val="61"/>
              <w:numPr>
                <w:ilvl w:val="0"/>
                <w:numId w:val="35"/>
              </w:numPr>
              <w:adjustRightInd w:val="0"/>
              <w:ind w:firstLine="180" w:firstLineChars="100"/>
              <w:jc w:val="left"/>
              <w:rPr>
                <w:rFonts w:hAnsi="宋体" w:cs="宋体"/>
                <w:color w:val="000000"/>
                <w:sz w:val="18"/>
                <w:szCs w:val="18"/>
                <w:lang w:bidi="ar"/>
              </w:rPr>
            </w:pPr>
            <w:r>
              <w:rPr>
                <w:rFonts w:hint="eastAsia" w:hAnsi="宋体" w:cs="宋体"/>
                <w:color w:val="000000"/>
                <w:sz w:val="18"/>
                <w:szCs w:val="18"/>
                <w:lang w:bidi="ar"/>
              </w:rPr>
              <w:t>宜种植有农作物、养殖畜禽动物或开展农产品生产加工等；</w:t>
            </w:r>
          </w:p>
          <w:p w14:paraId="70E58630">
            <w:pPr>
              <w:pStyle w:val="61"/>
              <w:numPr>
                <w:ilvl w:val="0"/>
                <w:numId w:val="35"/>
              </w:numPr>
              <w:adjustRightInd w:val="0"/>
              <w:ind w:firstLine="180" w:firstLineChars="100"/>
              <w:jc w:val="left"/>
              <w:rPr>
                <w:rFonts w:hAnsi="宋体" w:cs="宋体"/>
                <w:color w:val="000000"/>
                <w:sz w:val="18"/>
                <w:szCs w:val="18"/>
                <w:lang w:bidi="ar"/>
              </w:rPr>
            </w:pPr>
            <w:r>
              <w:rPr>
                <w:rFonts w:hint="eastAsia" w:hAnsi="宋体" w:cs="宋体"/>
                <w:color w:val="000000"/>
                <w:sz w:val="18"/>
                <w:szCs w:val="18"/>
                <w:lang w:bidi="ar"/>
              </w:rPr>
              <w:t>宜设置观众动手体验区，结合户外农业生产特点，规划农作物种植、农具操作、农产品加工等体验项目；</w:t>
            </w:r>
          </w:p>
          <w:p w14:paraId="3059E5C9">
            <w:pPr>
              <w:pStyle w:val="183"/>
              <w:numPr>
                <w:ilvl w:val="0"/>
                <w:numId w:val="35"/>
              </w:numPr>
              <w:ind w:firstLine="180" w:firstLineChars="100"/>
              <w:jc w:val="left"/>
            </w:pPr>
            <w:r>
              <w:rPr>
                <w:rFonts w:hint="eastAsia" w:hAnsi="宋体" w:cs="宋体"/>
                <w:color w:val="000000"/>
                <w:szCs w:val="18"/>
                <w:lang w:bidi="ar"/>
              </w:rPr>
              <w:t>可配备多媒体设备，辅助提升科普传播效果</w:t>
            </w:r>
          </w:p>
        </w:tc>
        <w:tc>
          <w:tcPr>
            <w:tcW w:w="2338" w:type="dxa"/>
            <w:shd w:val="clear" w:color="auto" w:fill="auto"/>
            <w:vAlign w:val="center"/>
          </w:tcPr>
          <w:p w14:paraId="76ECABB7">
            <w:pPr>
              <w:pStyle w:val="183"/>
              <w:numPr>
                <w:ilvl w:val="0"/>
                <w:numId w:val="36"/>
              </w:numPr>
              <w:ind w:firstLine="180" w:firstLineChars="100"/>
              <w:jc w:val="left"/>
              <w:rPr>
                <w:rFonts w:hAnsi="宋体" w:cs="宋体"/>
                <w:color w:val="000000"/>
                <w:szCs w:val="18"/>
                <w:lang w:bidi="ar"/>
              </w:rPr>
            </w:pPr>
            <w:r>
              <w:rPr>
                <w:rFonts w:hint="eastAsia" w:hAnsi="宋体" w:cs="宋体"/>
                <w:color w:val="000000"/>
                <w:szCs w:val="18"/>
                <w:lang w:bidi="ar"/>
              </w:rPr>
              <w:t>实物展览；</w:t>
            </w:r>
          </w:p>
          <w:p w14:paraId="79209856">
            <w:pPr>
              <w:pStyle w:val="183"/>
              <w:numPr>
                <w:ilvl w:val="0"/>
                <w:numId w:val="36"/>
              </w:numPr>
              <w:ind w:firstLine="180" w:firstLineChars="100"/>
              <w:jc w:val="left"/>
            </w:pPr>
            <w:r>
              <w:rPr>
                <w:rFonts w:hint="eastAsia" w:hAnsi="宋体" w:cs="宋体"/>
                <w:color w:val="000000"/>
                <w:szCs w:val="18"/>
                <w:lang w:bidi="ar"/>
              </w:rPr>
              <w:t>体验互动系统；</w:t>
            </w:r>
          </w:p>
          <w:p w14:paraId="6ED051EB">
            <w:pPr>
              <w:pStyle w:val="183"/>
              <w:numPr>
                <w:ilvl w:val="0"/>
                <w:numId w:val="36"/>
              </w:numPr>
              <w:ind w:firstLine="180" w:firstLineChars="100"/>
              <w:jc w:val="left"/>
            </w:pPr>
            <w:r>
              <w:rPr>
                <w:rFonts w:hint="eastAsia" w:hAnsi="宋体" w:cs="宋体"/>
                <w:color w:val="000000"/>
                <w:szCs w:val="18"/>
                <w:lang w:bidi="ar"/>
              </w:rPr>
              <w:t>图文展览</w:t>
            </w:r>
          </w:p>
        </w:tc>
        <w:tc>
          <w:tcPr>
            <w:tcW w:w="2338" w:type="dxa"/>
            <w:vMerge w:val="continue"/>
            <w:shd w:val="clear" w:color="auto" w:fill="auto"/>
            <w:vAlign w:val="center"/>
          </w:tcPr>
          <w:p w14:paraId="73F5ECAC">
            <w:pPr>
              <w:pStyle w:val="183"/>
            </w:pPr>
          </w:p>
        </w:tc>
      </w:tr>
      <w:tr w14:paraId="66B673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7" w:type="dxa"/>
            <w:shd w:val="clear" w:color="auto" w:fill="auto"/>
            <w:vAlign w:val="center"/>
          </w:tcPr>
          <w:p w14:paraId="7F8AD451">
            <w:pPr>
              <w:pStyle w:val="183"/>
            </w:pPr>
            <w:r>
              <w:rPr>
                <w:rFonts w:hint="eastAsia"/>
              </w:rPr>
              <w:t>培训类</w:t>
            </w:r>
          </w:p>
        </w:tc>
        <w:tc>
          <w:tcPr>
            <w:tcW w:w="2338" w:type="dxa"/>
            <w:shd w:val="clear" w:color="auto" w:fill="auto"/>
            <w:vAlign w:val="center"/>
          </w:tcPr>
          <w:p w14:paraId="0C002C0D">
            <w:pPr>
              <w:pStyle w:val="61"/>
              <w:numPr>
                <w:ilvl w:val="0"/>
                <w:numId w:val="37"/>
              </w:numPr>
              <w:adjustRightInd w:val="0"/>
              <w:ind w:firstLine="180" w:firstLineChars="100"/>
              <w:jc w:val="left"/>
              <w:rPr>
                <w:rFonts w:hAnsi="宋体" w:cs="宋体"/>
                <w:color w:val="000000"/>
                <w:sz w:val="18"/>
                <w:szCs w:val="18"/>
                <w:lang w:bidi="ar"/>
              </w:rPr>
            </w:pPr>
            <w:r>
              <w:rPr>
                <w:rFonts w:hint="eastAsia" w:hAnsi="宋体" w:cs="宋体"/>
                <w:color w:val="000000"/>
                <w:sz w:val="18"/>
                <w:szCs w:val="18"/>
                <w:lang w:bidi="ar"/>
              </w:rPr>
              <w:t>可选择具备承担会议培训功能的与农业相关的科研院所、科普教育基地等；</w:t>
            </w:r>
          </w:p>
          <w:p w14:paraId="7DA6B5AD">
            <w:pPr>
              <w:pStyle w:val="61"/>
              <w:numPr>
                <w:ilvl w:val="0"/>
                <w:numId w:val="37"/>
              </w:numPr>
              <w:adjustRightInd w:val="0"/>
              <w:ind w:firstLine="180" w:firstLineChars="100"/>
              <w:jc w:val="left"/>
              <w:rPr>
                <w:rFonts w:hAnsi="宋体" w:cs="宋体"/>
                <w:color w:val="000000"/>
                <w:sz w:val="18"/>
                <w:szCs w:val="18"/>
                <w:lang w:bidi="ar"/>
              </w:rPr>
            </w:pPr>
            <w:r>
              <w:rPr>
                <w:rFonts w:hint="eastAsia" w:hAnsi="宋体" w:cs="宋体"/>
                <w:color w:val="000000"/>
                <w:sz w:val="18"/>
                <w:szCs w:val="18"/>
                <w:lang w:bidi="ar"/>
              </w:rPr>
              <w:t>宜具备前沿农业技术资源，贴合当前农业发展趋势；</w:t>
            </w:r>
          </w:p>
          <w:p w14:paraId="7F94AE92">
            <w:pPr>
              <w:pStyle w:val="183"/>
              <w:numPr>
                <w:ilvl w:val="0"/>
                <w:numId w:val="37"/>
              </w:numPr>
              <w:ind w:firstLine="180" w:firstLineChars="100"/>
              <w:jc w:val="left"/>
            </w:pPr>
            <w:r>
              <w:rPr>
                <w:rFonts w:hint="eastAsia" w:hAnsi="宋体" w:cs="宋体"/>
                <w:color w:val="000000"/>
                <w:szCs w:val="18"/>
                <w:lang w:bidi="ar"/>
              </w:rPr>
              <w:t>宜配备配套培训设备，满足农业科普理论与实操培训需求</w:t>
            </w:r>
          </w:p>
        </w:tc>
        <w:tc>
          <w:tcPr>
            <w:tcW w:w="2338" w:type="dxa"/>
            <w:shd w:val="clear" w:color="auto" w:fill="auto"/>
            <w:vAlign w:val="center"/>
          </w:tcPr>
          <w:p w14:paraId="23592D08">
            <w:pPr>
              <w:pStyle w:val="183"/>
              <w:numPr>
                <w:ilvl w:val="0"/>
                <w:numId w:val="38"/>
              </w:numPr>
              <w:ind w:firstLine="180" w:firstLineChars="100"/>
              <w:jc w:val="left"/>
              <w:rPr>
                <w:rFonts w:hAnsi="宋体" w:cs="宋体"/>
                <w:color w:val="000000"/>
                <w:szCs w:val="18"/>
                <w:lang w:bidi="ar"/>
              </w:rPr>
            </w:pPr>
            <w:r>
              <w:rPr>
                <w:rFonts w:hint="eastAsia" w:hAnsi="宋体" w:cs="宋体"/>
                <w:color w:val="000000"/>
                <w:szCs w:val="18"/>
                <w:lang w:bidi="ar"/>
              </w:rPr>
              <w:t>数字展览；</w:t>
            </w:r>
          </w:p>
          <w:p w14:paraId="297CAEC5">
            <w:pPr>
              <w:pStyle w:val="183"/>
              <w:numPr>
                <w:ilvl w:val="0"/>
                <w:numId w:val="38"/>
              </w:numPr>
              <w:ind w:firstLine="180" w:firstLineChars="100"/>
              <w:jc w:val="left"/>
            </w:pPr>
            <w:r>
              <w:rPr>
                <w:rFonts w:hint="eastAsia" w:hAnsi="宋体" w:cs="宋体"/>
                <w:color w:val="000000"/>
                <w:szCs w:val="18"/>
                <w:lang w:bidi="ar"/>
              </w:rPr>
              <w:t>体验互动系统；</w:t>
            </w:r>
          </w:p>
          <w:p w14:paraId="0C369A6C">
            <w:pPr>
              <w:pStyle w:val="183"/>
              <w:numPr>
                <w:ilvl w:val="0"/>
                <w:numId w:val="38"/>
              </w:numPr>
              <w:ind w:firstLine="180" w:firstLineChars="100"/>
              <w:jc w:val="left"/>
            </w:pPr>
            <w:r>
              <w:rPr>
                <w:rFonts w:hint="eastAsia" w:hAnsi="宋体" w:cs="宋体"/>
                <w:color w:val="000000"/>
                <w:szCs w:val="18"/>
                <w:lang w:bidi="ar"/>
              </w:rPr>
              <w:t>图文展览</w:t>
            </w:r>
          </w:p>
        </w:tc>
        <w:tc>
          <w:tcPr>
            <w:tcW w:w="2338" w:type="dxa"/>
            <w:vMerge w:val="continue"/>
            <w:shd w:val="clear" w:color="auto" w:fill="auto"/>
            <w:vAlign w:val="center"/>
          </w:tcPr>
          <w:p w14:paraId="1ECC7C39">
            <w:pPr>
              <w:pStyle w:val="183"/>
            </w:pPr>
          </w:p>
        </w:tc>
      </w:tr>
    </w:tbl>
    <w:p w14:paraId="006BAEEE">
      <w:pPr>
        <w:pStyle w:val="109"/>
        <w:spacing w:before="240" w:after="240"/>
      </w:pPr>
      <w:bookmarkStart w:id="55" w:name="_Toc27373"/>
      <w:r>
        <w:rPr>
          <w:rFonts w:hint="eastAsia"/>
        </w:rPr>
        <w:t>布展内容</w:t>
      </w:r>
      <w:bookmarkEnd w:id="55"/>
    </w:p>
    <w:p w14:paraId="3E229031">
      <w:pPr>
        <w:pStyle w:val="61"/>
        <w:ind w:firstLine="420"/>
      </w:pPr>
      <w:r>
        <w:rPr>
          <w:rFonts w:hint="eastAsia"/>
        </w:rPr>
        <w:t>具体布展内容和适用场所见表2。</w:t>
      </w:r>
    </w:p>
    <w:p w14:paraId="4F027654">
      <w:pPr>
        <w:pStyle w:val="117"/>
        <w:spacing w:before="120" w:after="120"/>
      </w:pPr>
      <w:r>
        <w:rPr>
          <w:rFonts w:hint="eastAsia"/>
        </w:rPr>
        <w:t>布展内容和适用场所</w:t>
      </w:r>
    </w:p>
    <w:tbl>
      <w:tblPr>
        <w:tblStyle w:val="30"/>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8"/>
        <w:gridCol w:w="3118"/>
        <w:gridCol w:w="3118"/>
      </w:tblGrid>
      <w:tr w14:paraId="3D80BF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0" w:hRule="atLeast"/>
          <w:tblHeader/>
          <w:jc w:val="center"/>
        </w:trPr>
        <w:tc>
          <w:tcPr>
            <w:tcW w:w="3118" w:type="dxa"/>
            <w:tcBorders>
              <w:top w:val="single" w:color="auto" w:sz="8" w:space="0"/>
              <w:bottom w:val="single" w:color="auto" w:sz="8" w:space="0"/>
            </w:tcBorders>
            <w:shd w:val="clear" w:color="auto" w:fill="auto"/>
            <w:vAlign w:val="center"/>
          </w:tcPr>
          <w:p w14:paraId="2C82413E">
            <w:pPr>
              <w:widowControl/>
              <w:snapToGrid w:val="0"/>
              <w:spacing w:line="240" w:lineRule="auto"/>
              <w:jc w:val="center"/>
              <w:rPr>
                <w:rFonts w:ascii="宋体" w:hAnsi="宋体" w:cs="宋体"/>
                <w:color w:val="000000"/>
                <w:sz w:val="18"/>
                <w:szCs w:val="18"/>
              </w:rPr>
            </w:pPr>
            <w:r>
              <w:rPr>
                <w:rFonts w:hint="eastAsia" w:ascii="宋体" w:hAnsi="宋体" w:cs="宋体"/>
                <w:color w:val="000000"/>
                <w:kern w:val="0"/>
                <w:sz w:val="18"/>
                <w:szCs w:val="18"/>
                <w:lang w:bidi="ar"/>
              </w:rPr>
              <w:t>类别（包括但不限于）</w:t>
            </w:r>
          </w:p>
        </w:tc>
        <w:tc>
          <w:tcPr>
            <w:tcW w:w="3118" w:type="dxa"/>
            <w:tcBorders>
              <w:top w:val="single" w:color="auto" w:sz="8" w:space="0"/>
              <w:bottom w:val="single" w:color="auto" w:sz="8" w:space="0"/>
            </w:tcBorders>
            <w:shd w:val="clear" w:color="auto" w:fill="auto"/>
            <w:vAlign w:val="center"/>
          </w:tcPr>
          <w:p w14:paraId="1C0DC15D">
            <w:pPr>
              <w:widowControl/>
              <w:snapToGrid w:val="0"/>
              <w:spacing w:line="240" w:lineRule="auto"/>
              <w:jc w:val="center"/>
              <w:rPr>
                <w:rFonts w:ascii="宋体" w:hAnsi="宋体" w:cs="宋体"/>
                <w:color w:val="000000"/>
                <w:sz w:val="18"/>
                <w:szCs w:val="18"/>
              </w:rPr>
            </w:pPr>
            <w:r>
              <w:rPr>
                <w:rFonts w:hint="eastAsia" w:ascii="宋体" w:hAnsi="宋体" w:cs="宋体"/>
                <w:color w:val="000000"/>
                <w:kern w:val="0"/>
                <w:sz w:val="18"/>
                <w:szCs w:val="18"/>
                <w:lang w:bidi="ar"/>
              </w:rPr>
              <w:t>知识点（包括但不限于）</w:t>
            </w:r>
          </w:p>
        </w:tc>
        <w:tc>
          <w:tcPr>
            <w:tcW w:w="3118" w:type="dxa"/>
            <w:tcBorders>
              <w:top w:val="single" w:color="auto" w:sz="8" w:space="0"/>
              <w:bottom w:val="single" w:color="auto" w:sz="8" w:space="0"/>
            </w:tcBorders>
            <w:shd w:val="clear" w:color="auto" w:fill="auto"/>
            <w:vAlign w:val="center"/>
          </w:tcPr>
          <w:p w14:paraId="214A7E29">
            <w:pPr>
              <w:widowControl/>
              <w:snapToGrid w:val="0"/>
              <w:spacing w:line="240" w:lineRule="auto"/>
              <w:jc w:val="center"/>
              <w:rPr>
                <w:rFonts w:ascii="宋体" w:hAnsi="宋体" w:cs="宋体"/>
                <w:color w:val="000000"/>
                <w:kern w:val="0"/>
                <w:sz w:val="18"/>
                <w:szCs w:val="18"/>
                <w:lang w:bidi="ar"/>
              </w:rPr>
            </w:pPr>
            <w:r>
              <w:rPr>
                <w:rFonts w:hint="eastAsia" w:ascii="宋体" w:hAnsi="宋体" w:cs="宋体"/>
                <w:color w:val="000000"/>
                <w:kern w:val="0"/>
                <w:sz w:val="18"/>
                <w:szCs w:val="18"/>
                <w:lang w:bidi="ar"/>
              </w:rPr>
              <w:t>适用场所</w:t>
            </w:r>
          </w:p>
        </w:tc>
      </w:tr>
      <w:tr w14:paraId="158B7C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8" w:type="dxa"/>
            <w:tcBorders>
              <w:top w:val="single" w:color="auto" w:sz="8" w:space="0"/>
            </w:tcBorders>
            <w:shd w:val="clear" w:color="auto" w:fill="auto"/>
            <w:vAlign w:val="center"/>
          </w:tcPr>
          <w:p w14:paraId="19C607E5">
            <w:pPr>
              <w:pStyle w:val="183"/>
            </w:pPr>
            <w:r>
              <w:rPr>
                <w:rFonts w:hint="eastAsia" w:hAnsi="宋体" w:cs="宋体"/>
                <w:szCs w:val="18"/>
                <w:lang w:bidi="ar"/>
              </w:rPr>
              <w:t>历史发展类</w:t>
            </w:r>
          </w:p>
        </w:tc>
        <w:tc>
          <w:tcPr>
            <w:tcW w:w="3118" w:type="dxa"/>
            <w:tcBorders>
              <w:top w:val="single" w:color="auto" w:sz="8" w:space="0"/>
            </w:tcBorders>
            <w:shd w:val="clear" w:color="auto" w:fill="auto"/>
            <w:vAlign w:val="center"/>
          </w:tcPr>
          <w:p w14:paraId="5D29AA6A">
            <w:pPr>
              <w:pStyle w:val="183"/>
              <w:ind w:firstLine="180" w:firstLineChars="100"/>
              <w:jc w:val="left"/>
            </w:pPr>
            <w:r>
              <w:rPr>
                <w:rFonts w:hint="eastAsia"/>
              </w:rPr>
              <w:t>全球、全国、本地农业发展史；重大农业历史事件、人物及成果；传统农业技术演变；农业文化遗产</w:t>
            </w:r>
          </w:p>
        </w:tc>
        <w:tc>
          <w:tcPr>
            <w:tcW w:w="3118" w:type="dxa"/>
            <w:tcBorders>
              <w:top w:val="single" w:color="auto" w:sz="8" w:space="0"/>
            </w:tcBorders>
            <w:shd w:val="clear" w:color="auto" w:fill="auto"/>
            <w:vAlign w:val="center"/>
          </w:tcPr>
          <w:p w14:paraId="11FBC9D0">
            <w:pPr>
              <w:pStyle w:val="183"/>
              <w:ind w:firstLine="180" w:firstLineChars="100"/>
              <w:jc w:val="left"/>
            </w:pPr>
            <w:r>
              <w:rPr>
                <w:rFonts w:hint="eastAsia"/>
              </w:rPr>
              <w:t>场馆类、户外类、培训类</w:t>
            </w:r>
          </w:p>
        </w:tc>
      </w:tr>
      <w:tr w14:paraId="134996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8" w:type="dxa"/>
            <w:shd w:val="clear" w:color="auto" w:fill="auto"/>
            <w:vAlign w:val="center"/>
          </w:tcPr>
          <w:p w14:paraId="7A4E4419">
            <w:pPr>
              <w:pStyle w:val="183"/>
            </w:pPr>
            <w:r>
              <w:rPr>
                <w:rFonts w:hint="eastAsia" w:hAnsi="宋体" w:cs="宋体"/>
                <w:szCs w:val="18"/>
                <w:lang w:bidi="ar"/>
              </w:rPr>
              <w:t>生产技术类</w:t>
            </w:r>
          </w:p>
        </w:tc>
        <w:tc>
          <w:tcPr>
            <w:tcW w:w="3118" w:type="dxa"/>
            <w:shd w:val="clear" w:color="auto" w:fill="FFFFFF"/>
            <w:vAlign w:val="center"/>
          </w:tcPr>
          <w:p w14:paraId="27977A54">
            <w:pPr>
              <w:pStyle w:val="183"/>
              <w:ind w:firstLine="180" w:firstLineChars="100"/>
              <w:jc w:val="left"/>
            </w:pPr>
            <w:r>
              <w:rPr>
                <w:rFonts w:hint="eastAsia"/>
              </w:rPr>
              <w:t>农作物种植技术；畜禽养殖技术；水产养殖技术；农机设备应用与发展；农产品加工技术；智慧农业技术；土壤改良与施肥技术；灌溉与节水农业技术</w:t>
            </w:r>
          </w:p>
        </w:tc>
        <w:tc>
          <w:tcPr>
            <w:tcW w:w="3118" w:type="dxa"/>
            <w:shd w:val="clear" w:color="auto" w:fill="FFFFFF"/>
            <w:vAlign w:val="center"/>
          </w:tcPr>
          <w:p w14:paraId="4D055BD8">
            <w:pPr>
              <w:pStyle w:val="183"/>
              <w:ind w:firstLine="180" w:firstLineChars="100"/>
              <w:jc w:val="left"/>
            </w:pPr>
            <w:r>
              <w:rPr>
                <w:rFonts w:hint="eastAsia"/>
              </w:rPr>
              <w:t>场馆类、户外类</w:t>
            </w:r>
          </w:p>
        </w:tc>
      </w:tr>
      <w:tr w14:paraId="13A6DE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8" w:type="dxa"/>
            <w:shd w:val="clear" w:color="auto" w:fill="auto"/>
            <w:vAlign w:val="center"/>
          </w:tcPr>
          <w:p w14:paraId="2A2FB7C9">
            <w:pPr>
              <w:pStyle w:val="183"/>
            </w:pPr>
            <w:r>
              <w:rPr>
                <w:rFonts w:hint="eastAsia" w:hAnsi="宋体" w:cs="宋体"/>
                <w:szCs w:val="18"/>
                <w:lang w:bidi="ar"/>
              </w:rPr>
              <w:t>品种资源类</w:t>
            </w:r>
          </w:p>
        </w:tc>
        <w:tc>
          <w:tcPr>
            <w:tcW w:w="3118" w:type="dxa"/>
            <w:shd w:val="clear" w:color="auto" w:fill="FFFFFF"/>
            <w:vAlign w:val="center"/>
          </w:tcPr>
          <w:p w14:paraId="03AA60FB">
            <w:pPr>
              <w:pStyle w:val="183"/>
              <w:ind w:firstLine="180" w:firstLineChars="100"/>
              <w:jc w:val="left"/>
            </w:pPr>
            <w:r>
              <w:rPr>
                <w:rFonts w:hint="eastAsia"/>
              </w:rPr>
              <w:t>农作物优良品种；畜禽优良品种；水产优良品种；农业种质资源保护与利用；地方特色农产品资源</w:t>
            </w:r>
          </w:p>
        </w:tc>
        <w:tc>
          <w:tcPr>
            <w:tcW w:w="3118" w:type="dxa"/>
            <w:shd w:val="clear" w:color="auto" w:fill="FFFFFF"/>
            <w:vAlign w:val="center"/>
          </w:tcPr>
          <w:p w14:paraId="0E262913">
            <w:pPr>
              <w:pStyle w:val="183"/>
              <w:ind w:firstLine="180" w:firstLineChars="100"/>
              <w:jc w:val="left"/>
            </w:pPr>
            <w:r>
              <w:rPr>
                <w:rFonts w:hint="eastAsia"/>
              </w:rPr>
              <w:t>场馆类、培训类</w:t>
            </w:r>
          </w:p>
        </w:tc>
      </w:tr>
      <w:tr w14:paraId="609EA0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8" w:type="dxa"/>
            <w:shd w:val="clear" w:color="auto" w:fill="auto"/>
            <w:vAlign w:val="center"/>
          </w:tcPr>
          <w:p w14:paraId="3E06B429">
            <w:pPr>
              <w:pStyle w:val="183"/>
            </w:pPr>
            <w:r>
              <w:rPr>
                <w:rFonts w:hint="eastAsia" w:hAnsi="宋体" w:cs="宋体"/>
                <w:szCs w:val="18"/>
                <w:lang w:bidi="ar"/>
              </w:rPr>
              <w:t>防灾减灾类</w:t>
            </w:r>
          </w:p>
        </w:tc>
        <w:tc>
          <w:tcPr>
            <w:tcW w:w="3118" w:type="dxa"/>
            <w:shd w:val="clear" w:color="auto" w:fill="FFFFFF"/>
            <w:vAlign w:val="center"/>
          </w:tcPr>
          <w:p w14:paraId="223A6BCD">
            <w:pPr>
              <w:pStyle w:val="183"/>
              <w:ind w:firstLine="180" w:firstLineChars="100"/>
              <w:jc w:val="left"/>
            </w:pPr>
            <w:r>
              <w:rPr>
                <w:rFonts w:hint="eastAsia"/>
              </w:rPr>
              <w:t>农业自然灾害防治技术；农作物病虫害识别与绿色防控技术；畜禽疫病防控技术；农业生产应急处置措施</w:t>
            </w:r>
          </w:p>
        </w:tc>
        <w:tc>
          <w:tcPr>
            <w:tcW w:w="3118" w:type="dxa"/>
            <w:shd w:val="clear" w:color="auto" w:fill="FFFFFF"/>
            <w:vAlign w:val="center"/>
          </w:tcPr>
          <w:p w14:paraId="1992203A">
            <w:pPr>
              <w:pStyle w:val="183"/>
              <w:ind w:firstLine="180" w:firstLineChars="100"/>
              <w:jc w:val="left"/>
            </w:pPr>
            <w:r>
              <w:rPr>
                <w:rFonts w:hint="eastAsia"/>
              </w:rPr>
              <w:t>培训类、户外类</w:t>
            </w:r>
          </w:p>
        </w:tc>
      </w:tr>
      <w:tr w14:paraId="2A98AF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8" w:type="dxa"/>
            <w:shd w:val="clear" w:color="auto" w:fill="auto"/>
            <w:vAlign w:val="center"/>
          </w:tcPr>
          <w:p w14:paraId="461CEB41">
            <w:pPr>
              <w:pStyle w:val="183"/>
            </w:pPr>
            <w:r>
              <w:rPr>
                <w:rFonts w:hint="eastAsia" w:hAnsi="宋体" w:cs="宋体"/>
                <w:szCs w:val="18"/>
                <w:lang w:bidi="ar"/>
              </w:rPr>
              <w:t>公共服务类</w:t>
            </w:r>
          </w:p>
        </w:tc>
        <w:tc>
          <w:tcPr>
            <w:tcW w:w="3118" w:type="dxa"/>
            <w:shd w:val="clear" w:color="auto" w:fill="FFFFFF"/>
            <w:vAlign w:val="center"/>
          </w:tcPr>
          <w:p w14:paraId="5E79F1CE">
            <w:pPr>
              <w:pStyle w:val="183"/>
              <w:ind w:firstLine="180" w:firstLineChars="100"/>
              <w:jc w:val="left"/>
            </w:pPr>
            <w:r>
              <w:rPr>
                <w:rFonts w:hint="eastAsia"/>
              </w:rPr>
              <w:t>农业技术推广服务；农产品质量安全标准与检测；农业政策法规；科学家精神；农产品电商与品牌建设；农业生态环境保护与可持续发展；农业科普书籍、视频、软件、平台等</w:t>
            </w:r>
          </w:p>
        </w:tc>
        <w:tc>
          <w:tcPr>
            <w:tcW w:w="3118" w:type="dxa"/>
            <w:shd w:val="clear" w:color="auto" w:fill="FFFFFF"/>
            <w:vAlign w:val="center"/>
          </w:tcPr>
          <w:p w14:paraId="56CAFDE6">
            <w:pPr>
              <w:pStyle w:val="183"/>
              <w:ind w:firstLine="180" w:firstLineChars="100"/>
              <w:jc w:val="left"/>
            </w:pPr>
            <w:r>
              <w:rPr>
                <w:rFonts w:hint="eastAsia"/>
              </w:rPr>
              <w:t>场馆类、培训类</w:t>
            </w:r>
          </w:p>
        </w:tc>
      </w:tr>
    </w:tbl>
    <w:p w14:paraId="7E090CBA">
      <w:pPr>
        <w:pStyle w:val="109"/>
        <w:spacing w:before="240" w:after="240"/>
      </w:pPr>
      <w:bookmarkStart w:id="56" w:name="_Toc5349"/>
      <w:r>
        <w:rPr>
          <w:rFonts w:hint="eastAsia"/>
        </w:rPr>
        <w:t>布展形式要求</w:t>
      </w:r>
      <w:bookmarkEnd w:id="56"/>
    </w:p>
    <w:p w14:paraId="3C3A3F4B">
      <w:pPr>
        <w:pStyle w:val="167"/>
        <w:rPr>
          <w:rFonts w:ascii="黑体" w:hAnsi="黑体" w:eastAsia="黑体" w:cs="黑体"/>
        </w:rPr>
      </w:pPr>
      <w:r>
        <w:rPr>
          <w:rFonts w:hint="eastAsia"/>
        </w:rPr>
        <w:t>实物展览形式布展要求如下</w:t>
      </w:r>
      <w:bookmarkStart w:id="57" w:name="OLE_LINK2"/>
      <w:r>
        <w:rPr>
          <w:rFonts w:hint="eastAsia"/>
        </w:rPr>
        <w:t>，包括但不限于：</w:t>
      </w:r>
      <w:bookmarkEnd w:id="57"/>
    </w:p>
    <w:p w14:paraId="219B06AD">
      <w:pPr>
        <w:pStyle w:val="61"/>
        <w:ind w:firstLine="420"/>
      </w:pPr>
      <w:r>
        <w:rPr>
          <w:rFonts w:hint="eastAsia"/>
        </w:rPr>
        <w:t>——宜配置展品说明标识标牌，清晰标注科普信息；</w:t>
      </w:r>
    </w:p>
    <w:p w14:paraId="535BD9F0">
      <w:pPr>
        <w:pStyle w:val="61"/>
        <w:ind w:firstLine="420"/>
      </w:pPr>
      <w:r>
        <w:rPr>
          <w:rFonts w:hint="eastAsia"/>
        </w:rPr>
        <w:t>——展品需根据布展主题摆放于对应区域，贴合科普逻辑；</w:t>
      </w:r>
    </w:p>
    <w:p w14:paraId="05C4A3C8">
      <w:pPr>
        <w:pStyle w:val="61"/>
        <w:ind w:firstLine="420"/>
      </w:pPr>
      <w:r>
        <w:rPr>
          <w:rFonts w:hint="eastAsia"/>
        </w:rPr>
        <w:t>——展品摆放不应遮挡消防设施、应急疏散通道、安全出口及指示标识；</w:t>
      </w:r>
    </w:p>
    <w:p w14:paraId="63CBF018">
      <w:pPr>
        <w:pStyle w:val="61"/>
        <w:ind w:firstLine="420"/>
      </w:pPr>
      <w:r>
        <w:rPr>
          <w:rFonts w:hint="eastAsia"/>
        </w:rPr>
        <w:t>——农作物、昆虫、水产动物等活体展品宜根据生长条件进行保存养护；</w:t>
      </w:r>
    </w:p>
    <w:p w14:paraId="21C6AAA7">
      <w:pPr>
        <w:pStyle w:val="61"/>
        <w:ind w:firstLine="420"/>
      </w:pPr>
      <w:r>
        <w:rPr>
          <w:rFonts w:hint="eastAsia"/>
        </w:rPr>
        <w:t>——作物切片标本等小型标本，宜采用密封式展盒或嵌入式展板陈列；大型标本宜固定摆放，做好防尘、防潮处理；</w:t>
      </w:r>
    </w:p>
    <w:p w14:paraId="5D8D8BA7">
      <w:pPr>
        <w:pStyle w:val="61"/>
        <w:ind w:firstLine="420"/>
      </w:pPr>
      <w:r>
        <w:rPr>
          <w:rFonts w:hint="eastAsia"/>
        </w:rPr>
        <w:t>——仪器、实验装置类展品摆放宜平稳牢固，预留合理操作与观察空间，标注明确操作规范和注意事项；</w:t>
      </w:r>
    </w:p>
    <w:p w14:paraId="1A336E58">
      <w:pPr>
        <w:pStyle w:val="61"/>
        <w:ind w:firstLine="420"/>
      </w:pPr>
      <w:r>
        <w:rPr>
          <w:rFonts w:hint="eastAsia"/>
        </w:rPr>
        <w:t>——农机设备等大型展品宜采用落地固定或嵌入式安装，用防滑链、固定螺栓加固；</w:t>
      </w:r>
    </w:p>
    <w:p w14:paraId="421CF64B">
      <w:pPr>
        <w:pStyle w:val="61"/>
        <w:ind w:firstLine="420"/>
      </w:pPr>
      <w:r>
        <w:rPr>
          <w:rFonts w:hint="eastAsia"/>
        </w:rPr>
        <w:t>——保鲜、防潮的新鲜水果等展品，宜陈列于恒温恒湿展柜，各类产品宜分类摆放、标识清晰；</w:t>
      </w:r>
    </w:p>
    <w:p w14:paraId="6C216A4B">
      <w:pPr>
        <w:pStyle w:val="167"/>
      </w:pPr>
      <w:r>
        <w:rPr>
          <w:rFonts w:hint="eastAsia"/>
        </w:rPr>
        <w:t>数字展览包括但不限于：</w:t>
      </w:r>
    </w:p>
    <w:p w14:paraId="58F7B149">
      <w:pPr>
        <w:pStyle w:val="61"/>
        <w:ind w:firstLine="420"/>
      </w:pPr>
      <w:r>
        <w:rPr>
          <w:rFonts w:hint="eastAsia"/>
        </w:rPr>
        <w:t>——宜设置“数字科普区”，配置多媒体系统展示或展播观众关注度较高的内容，如绿色农业种植技术、农产品质量安全、智慧农业应用、常见病虫害绿色防控动画、特色农产品培育案例、作物生长周期视频等；</w:t>
      </w:r>
    </w:p>
    <w:p w14:paraId="3159290B">
      <w:pPr>
        <w:pStyle w:val="61"/>
        <w:ind w:firstLine="420"/>
      </w:pPr>
      <w:r>
        <w:rPr>
          <w:rFonts w:hint="eastAsia"/>
        </w:rPr>
        <w:t>——宜配置VR设备，呈现农作物生长全过程、农业生产实操、农业生态场景等沉浸式体验内容；</w:t>
      </w:r>
    </w:p>
    <w:p w14:paraId="44885793">
      <w:pPr>
        <w:pStyle w:val="61"/>
        <w:ind w:firstLine="420"/>
      </w:pPr>
      <w:r>
        <w:rPr>
          <w:rFonts w:hint="eastAsia"/>
        </w:rPr>
        <w:t>——宜配备3D投影、全息投影设备，展示农业技术原理、作物品种特性、病虫害识别等科普内容；</w:t>
      </w:r>
    </w:p>
    <w:p w14:paraId="3D946E4E">
      <w:pPr>
        <w:pStyle w:val="61"/>
        <w:ind w:firstLine="420"/>
      </w:pPr>
      <w:r>
        <w:rPr>
          <w:rFonts w:hint="eastAsia"/>
        </w:rPr>
        <w:t>——宜配置交互系统，设置农业知识问答、虚拟农事操作、科普小游戏等互动模块；</w:t>
      </w:r>
    </w:p>
    <w:p w14:paraId="02588041">
      <w:pPr>
        <w:pStyle w:val="61"/>
        <w:ind w:firstLine="420"/>
      </w:pPr>
      <w:r>
        <w:rPr>
          <w:rFonts w:hint="eastAsia"/>
        </w:rPr>
        <w:t>——宜定期更新数字科普内容，或根据展览主题动态调整更新内容。</w:t>
      </w:r>
    </w:p>
    <w:p w14:paraId="183CEFE5">
      <w:pPr>
        <w:pStyle w:val="167"/>
      </w:pPr>
      <w:r>
        <w:rPr>
          <w:rFonts w:hint="eastAsia"/>
        </w:rPr>
        <w:t>体验互动包括但不限于：</w:t>
      </w:r>
    </w:p>
    <w:p w14:paraId="74CBD319">
      <w:pPr>
        <w:pStyle w:val="61"/>
        <w:ind w:firstLine="420"/>
      </w:pPr>
      <w:r>
        <w:rPr>
          <w:rFonts w:hint="eastAsia"/>
        </w:rPr>
        <w:t>——宜设置“互动体验区”，配置农业知识抢答等趣味互动游戏、农耕操作区域等；</w:t>
      </w:r>
    </w:p>
    <w:p w14:paraId="4A6E4BAF">
      <w:pPr>
        <w:pStyle w:val="61"/>
        <w:ind w:firstLine="420"/>
      </w:pPr>
      <w:r>
        <w:rPr>
          <w:rFonts w:hint="eastAsia"/>
        </w:rPr>
        <w:t>——宜设置农业相关实验仪器使用体验项目，如作物种子检测、土壤成分分析等；</w:t>
      </w:r>
    </w:p>
    <w:p w14:paraId="045A5E1B">
      <w:pPr>
        <w:pStyle w:val="61"/>
        <w:ind w:firstLine="420"/>
      </w:pPr>
      <w:r>
        <w:rPr>
          <w:rFonts w:hint="eastAsia"/>
        </w:rPr>
        <w:t>——微型农具等农事实操工具宜做钝化处理，配置防护手套/护目镜；</w:t>
      </w:r>
    </w:p>
    <w:p w14:paraId="19D8EA02">
      <w:pPr>
        <w:pStyle w:val="61"/>
        <w:ind w:firstLine="420"/>
      </w:pPr>
      <w:r>
        <w:rPr>
          <w:rFonts w:hint="eastAsia"/>
        </w:rPr>
        <w:t>——实验仪器宜定期检修校准，同时配备专业工作人员指导操作；</w:t>
      </w:r>
    </w:p>
    <w:p w14:paraId="31960B0C">
      <w:pPr>
        <w:pStyle w:val="61"/>
        <w:ind w:firstLine="420"/>
      </w:pPr>
      <w:r>
        <w:rPr>
          <w:rFonts w:hint="eastAsia"/>
        </w:rPr>
        <w:t>——所有互动项目宜配备互动流程说明及安全注意事项。</w:t>
      </w:r>
    </w:p>
    <w:p w14:paraId="6432874D">
      <w:pPr>
        <w:pStyle w:val="167"/>
      </w:pPr>
      <w:r>
        <w:rPr>
          <w:rFonts w:hint="eastAsia"/>
        </w:rPr>
        <w:t>图文展览包括但不限于：</w:t>
      </w:r>
    </w:p>
    <w:p w14:paraId="017D7ACE">
      <w:pPr>
        <w:pStyle w:val="61"/>
        <w:ind w:firstLine="420"/>
      </w:pPr>
      <w:r>
        <w:rPr>
          <w:rFonts w:hint="eastAsia"/>
        </w:rPr>
        <w:t>——展板摆放不遮挡消防设施、应急疏散通道、安全出口标识及指示导引标识，与实物展品、互动设备、模型等展项搭配摆放时，宜置于展项侧方或后方；</w:t>
      </w:r>
    </w:p>
    <w:p w14:paraId="45DCDE8B">
      <w:pPr>
        <w:pStyle w:val="61"/>
        <w:ind w:firstLine="420"/>
      </w:pPr>
      <w:r>
        <w:rPr>
          <w:rFonts w:hint="eastAsia"/>
        </w:rPr>
        <w:t>——展板宜采用落地支架、墙面挂载或嵌入式安装固定；</w:t>
      </w:r>
    </w:p>
    <w:p w14:paraId="45524CB2">
      <w:pPr>
        <w:pStyle w:val="61"/>
        <w:ind w:firstLine="420"/>
        <w:sectPr>
          <w:footerReference r:id="rId14" w:type="default"/>
          <w:footerReference r:id="rId15" w:type="even"/>
          <w:pgSz w:w="11906" w:h="16838"/>
          <w:pgMar w:top="1928" w:right="1134" w:bottom="1134" w:left="1134" w:header="1418" w:footer="1134" w:gutter="284"/>
          <w:pgNumType w:start="1"/>
          <w:cols w:space="425" w:num="1"/>
          <w:formProt w:val="0"/>
          <w:docGrid w:linePitch="312" w:charSpace="0"/>
        </w:sectPr>
      </w:pPr>
      <w:r>
        <w:rPr>
          <w:rFonts w:hint="eastAsia"/>
        </w:rPr>
        <w:t>——展板宜采用环保、可持续利用的材料制作，室外展板宜采用防晒防雨涂层材质。</w:t>
      </w:r>
    </w:p>
    <w:bookmarkEnd w:id="24"/>
    <w:p w14:paraId="01551193">
      <w:pPr>
        <w:pStyle w:val="68"/>
        <w:snapToGrid w:val="0"/>
        <w:spacing w:before="0" w:after="120"/>
      </w:pPr>
      <w:bookmarkStart w:id="58" w:name="_Toc5856"/>
      <w:bookmarkStart w:id="59" w:name="BookMark8"/>
      <w:r>
        <w:rPr>
          <w:rFonts w:hint="eastAsia"/>
          <w:spacing w:val="105"/>
        </w:rPr>
        <w:t>参考文</w:t>
      </w:r>
      <w:r>
        <w:rPr>
          <w:rFonts w:hint="eastAsia"/>
        </w:rPr>
        <w:t>献</w:t>
      </w:r>
      <w:bookmarkEnd w:id="58"/>
    </w:p>
    <w:p w14:paraId="378FDDC3">
      <w:pPr>
        <w:pStyle w:val="61"/>
        <w:numPr>
          <w:ilvl w:val="0"/>
          <w:numId w:val="39"/>
        </w:numPr>
        <w:ind w:firstLine="420"/>
      </w:pPr>
      <w:r>
        <w:rPr>
          <w:rFonts w:hint="eastAsia"/>
        </w:rPr>
        <w:t>JGJ 218—2010 展览建筑设计规范</w:t>
      </w:r>
    </w:p>
    <w:p w14:paraId="253B65DF">
      <w:pPr>
        <w:pStyle w:val="61"/>
        <w:numPr>
          <w:ilvl w:val="0"/>
          <w:numId w:val="39"/>
        </w:numPr>
        <w:ind w:firstLine="420"/>
      </w:pPr>
      <w:r>
        <w:rPr>
          <w:rFonts w:hint="eastAsia"/>
        </w:rPr>
        <w:t>建标101—2007 科学技术馆建设标准</w:t>
      </w:r>
    </w:p>
    <w:p w14:paraId="72BFEDC1">
      <w:pPr>
        <w:pStyle w:val="61"/>
        <w:numPr>
          <w:ilvl w:val="0"/>
          <w:numId w:val="39"/>
        </w:numPr>
        <w:ind w:firstLine="420"/>
      </w:pPr>
      <w:r>
        <w:rPr>
          <w:rFonts w:hint="eastAsia"/>
        </w:rPr>
        <w:t>DB 3206/T 1070—2024 农业科普教育基地管理与服务规范</w:t>
      </w:r>
    </w:p>
    <w:p w14:paraId="48110BD6">
      <w:pPr>
        <w:pStyle w:val="61"/>
        <w:numPr>
          <w:ilvl w:val="0"/>
          <w:numId w:val="39"/>
        </w:numPr>
        <w:ind w:firstLine="420"/>
      </w:pPr>
      <w:r>
        <w:rPr>
          <w:rFonts w:hint="eastAsia"/>
        </w:rPr>
        <w:t>DB12/T 1436—2025 防震减灾科普场馆布展规范</w:t>
      </w:r>
    </w:p>
    <w:p w14:paraId="50FFDAFF">
      <w:pPr>
        <w:pStyle w:val="61"/>
        <w:numPr>
          <w:ilvl w:val="0"/>
          <w:numId w:val="39"/>
        </w:numPr>
        <w:ind w:firstLine="420"/>
      </w:pPr>
      <w:r>
        <w:rPr>
          <w:rFonts w:hint="eastAsia"/>
        </w:rPr>
        <w:t>DB41/T 2304—2022 防震减灾科普场所布展指南</w:t>
      </w:r>
    </w:p>
    <w:p w14:paraId="028142B4">
      <w:pPr>
        <w:pStyle w:val="61"/>
        <w:adjustRightInd w:val="0"/>
        <w:snapToGrid w:val="0"/>
        <w:ind w:firstLine="0" w:firstLineChars="0"/>
        <w:jc w:val="center"/>
      </w:pPr>
      <w:r>
        <w:rPr>
          <w:rFonts w:hint="eastAsia"/>
        </w:rPr>
        <w:drawing>
          <wp:inline distT="0" distB="0" distL="0" distR="0">
            <wp:extent cx="1485900" cy="317500"/>
            <wp:effectExtent l="0" t="0" r="0" b="6350"/>
            <wp:docPr id="81" name="图片 81"/>
            <wp:cNvGraphicFramePr/>
            <a:graphic xmlns:a="http://schemas.openxmlformats.org/drawingml/2006/main">
              <a:graphicData uri="http://schemas.openxmlformats.org/drawingml/2006/picture">
                <pic:pic xmlns:pic="http://schemas.openxmlformats.org/drawingml/2006/picture">
                  <pic:nvPicPr>
                    <pic:cNvPr id="81" name="图片 81"/>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9"/>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16EAA2D-CED6-48A5-9335-EC3A9415930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169ED">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994EC">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F0B35">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9771C">
    <w:pPr>
      <w:pStyle w:val="57"/>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F90700">
                          <w:pPr>
                            <w:pStyle w:val="57"/>
                          </w:pPr>
                          <w:r>
                            <w:fldChar w:fldCharType="begin"/>
                          </w:r>
                          <w:r>
                            <w:instrText xml:space="preserve">PAGE   \* MERGEFORMAT</w:instrText>
                          </w:r>
                          <w:r>
                            <w:fldChar w:fldCharType="separate"/>
                          </w:r>
                          <w:r>
                            <w:rPr>
                              <w:lang w:val="zh-CN"/>
                            </w:rP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xmuc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OrK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PWxmuctAgAAVwQAAA4AAAAAAAAAAQAgAAAAHwEAAGRycy9lMm9Eb2MueG1sUEsFBgAAAAAG&#10;AAYAWQEAAL4FAAAAAA==&#10;">
              <v:fill on="f" focussize="0,0"/>
              <v:stroke on="f" weight="0.5pt"/>
              <v:imagedata o:title=""/>
              <o:lock v:ext="edit" aspectratio="f"/>
              <v:textbox inset="0mm,0mm,0mm,0mm" style="mso-fit-shape-to-text:t;">
                <w:txbxContent>
                  <w:p w14:paraId="13F90700">
                    <w:pPr>
                      <w:pStyle w:val="57"/>
                    </w:pPr>
                    <w:r>
                      <w:fldChar w:fldCharType="begin"/>
                    </w:r>
                    <w:r>
                      <w:instrText xml:space="preserve">PAGE   \* MERGEFORMAT</w:instrText>
                    </w:r>
                    <w:r>
                      <w:fldChar w:fldCharType="separate"/>
                    </w:r>
                    <w:r>
                      <w:rPr>
                        <w:lang w:val="zh-CN"/>
                      </w:rPr>
                      <w:t>16</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A148A">
    <w:pPr>
      <w:pStyle w:val="57"/>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1E0CF9">
                          <w:pPr>
                            <w:pStyle w:val="57"/>
                          </w:pPr>
                          <w:r>
                            <w:fldChar w:fldCharType="begin"/>
                          </w:r>
                          <w:r>
                            <w:instrText xml:space="preserve">PAGE   \* MERGEFORMAT</w:instrText>
                          </w:r>
                          <w:r>
                            <w:fldChar w:fldCharType="separate"/>
                          </w:r>
                          <w:r>
                            <w:rPr>
                              <w:lang w:val="zh-CN"/>
                            </w:rP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1nbycsAgAAVwQAAA4AAABkcnMvZTJvRG9jLnhtbK1UzY7TMBC+I/EO&#10;lu80bVes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n31dpwuXDwAlxo5Iomu2GiFdtf2zHam&#10;OIGYM91seMs3NZJvmQ/3zGEYUDCeS7jDUkqDJKa3KKmM+/qv8xiPHsFLSYPhyqnGW6JEftDoHQDD&#10;YLjB2A2GPqhbg2lFO1BLMnHBBTmYpTPqC97QKuaAi2mOTDkNg3kbugHHG+RitUpBmDbLwlY/WB6h&#10;o3jerg4BAiZdoyidEr1WmLfUmf5txIH+c5+inv4Hy0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DWdvJywCAABXBAAADgAAAAAAAAABACAAAAAfAQAAZHJzL2Uyb0RvYy54bWxQSwUGAAAAAAYA&#10;BgBZAQAAvQUAAAAA&#10;">
              <v:fill on="f" focussize="0,0"/>
              <v:stroke on="f" weight="0.5pt"/>
              <v:imagedata o:title=""/>
              <o:lock v:ext="edit" aspectratio="f"/>
              <v:textbox inset="0mm,0mm,0mm,0mm" style="mso-fit-shape-to-text:t;">
                <w:txbxContent>
                  <w:p w14:paraId="661E0CF9">
                    <w:pPr>
                      <w:pStyle w:val="57"/>
                    </w:pPr>
                    <w:r>
                      <w:fldChar w:fldCharType="begin"/>
                    </w:r>
                    <w:r>
                      <w:instrText xml:space="preserve">PAGE   \* MERGEFORMAT</w:instrText>
                    </w:r>
                    <w:r>
                      <w:fldChar w:fldCharType="separate"/>
                    </w:r>
                    <w:r>
                      <w:rPr>
                        <w:lang w:val="zh-CN"/>
                      </w:rPr>
                      <w:t>16</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52095">
    <w:pPr>
      <w:pStyle w:val="18"/>
      <w:jc w:val="left"/>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E3F56">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A605A">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43DEE">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80575">
    <w:pPr>
      <w:pStyle w:val="66"/>
      <w:jc w:val="right"/>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6A4E7">
    <w:pPr>
      <w:pStyle w:val="66"/>
      <w:jc w:val="left"/>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730CA3"/>
    <w:multiLevelType w:val="singleLevel"/>
    <w:tmpl w:val="9E730CA3"/>
    <w:lvl w:ilvl="0" w:tentative="0">
      <w:start w:val="1"/>
      <w:numFmt w:val="decimal"/>
      <w:suff w:val="space"/>
      <w:lvlText w:val="%1."/>
      <w:lvlJc w:val="left"/>
    </w:lvl>
  </w:abstractNum>
  <w:abstractNum w:abstractNumId="1">
    <w:nsid w:val="D20BBA03"/>
    <w:multiLevelType w:val="singleLevel"/>
    <w:tmpl w:val="D20BBA03"/>
    <w:lvl w:ilvl="0" w:tentative="0">
      <w:start w:val="1"/>
      <w:numFmt w:val="decimal"/>
      <w:suff w:val="space"/>
      <w:lvlText w:val="%1."/>
      <w:lvlJc w:val="left"/>
    </w:lvl>
  </w:abstractNum>
  <w:abstractNum w:abstractNumId="2">
    <w:nsid w:val="02837933"/>
    <w:multiLevelType w:val="multilevel"/>
    <w:tmpl w:val="02837933"/>
    <w:lvl w:ilvl="0" w:tentative="0">
      <w:start w:val="1"/>
      <w:numFmt w:val="decimal"/>
      <w:pStyle w:val="69"/>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3D6B181"/>
    <w:multiLevelType w:val="singleLevel"/>
    <w:tmpl w:val="03D6B181"/>
    <w:lvl w:ilvl="0" w:tentative="0">
      <w:start w:val="1"/>
      <w:numFmt w:val="decimal"/>
      <w:suff w:val="space"/>
      <w:lvlText w:val="%1."/>
      <w:lvlJc w:val="left"/>
    </w:lvl>
  </w:abstractNum>
  <w:abstractNum w:abstractNumId="4">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5">
    <w:nsid w:val="079102AD"/>
    <w:multiLevelType w:val="multilevel"/>
    <w:tmpl w:val="079102AD"/>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6">
    <w:nsid w:val="07ED3FEA"/>
    <w:multiLevelType w:val="multilevel"/>
    <w:tmpl w:val="07ED3FEA"/>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0AE367E9"/>
    <w:multiLevelType w:val="multilevel"/>
    <w:tmpl w:val="0AE367E9"/>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8">
    <w:nsid w:val="0BDC1670"/>
    <w:multiLevelType w:val="multilevel"/>
    <w:tmpl w:val="0BDC1670"/>
    <w:lvl w:ilvl="0" w:tentative="0">
      <w:start w:val="1"/>
      <w:numFmt w:val="decimal"/>
      <w:pStyle w:val="72"/>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0D051F45"/>
    <w:multiLevelType w:val="multilevel"/>
    <w:tmpl w:val="0D051F45"/>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0">
    <w:nsid w:val="16F1CF4D"/>
    <w:multiLevelType w:val="singleLevel"/>
    <w:tmpl w:val="16F1CF4D"/>
    <w:lvl w:ilvl="0" w:tentative="0">
      <w:start w:val="1"/>
      <w:numFmt w:val="decimal"/>
      <w:suff w:val="space"/>
      <w:lvlText w:val="%1."/>
      <w:lvlJc w:val="left"/>
    </w:lvl>
  </w:abstractNum>
  <w:abstractNum w:abstractNumId="11">
    <w:nsid w:val="1AD20F90"/>
    <w:multiLevelType w:val="multilevel"/>
    <w:tmpl w:val="1AD20F90"/>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1AF15012"/>
    <w:multiLevelType w:val="multilevel"/>
    <w:tmpl w:val="1AF15012"/>
    <w:lvl w:ilvl="0" w:tentative="0">
      <w:start w:val="1"/>
      <w:numFmt w:val="upperLetter"/>
      <w:pStyle w:val="90"/>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3">
    <w:nsid w:val="1EAA1992"/>
    <w:multiLevelType w:val="multilevel"/>
    <w:tmpl w:val="1EAA1992"/>
    <w:lvl w:ilvl="0" w:tentative="0">
      <w:start w:val="1"/>
      <w:numFmt w:val="none"/>
      <w:pStyle w:val="9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4">
    <w:nsid w:val="29B7560A"/>
    <w:multiLevelType w:val="singleLevel"/>
    <w:tmpl w:val="29B7560A"/>
    <w:lvl w:ilvl="0" w:tentative="0">
      <w:start w:val="1"/>
      <w:numFmt w:val="decimal"/>
      <w:suff w:val="space"/>
      <w:lvlText w:val="%1."/>
      <w:lvlJc w:val="left"/>
    </w:lvl>
  </w:abstractNum>
  <w:abstractNum w:abstractNumId="15">
    <w:nsid w:val="2C5917C3"/>
    <w:multiLevelType w:val="multilevel"/>
    <w:tmpl w:val="2C5917C3"/>
    <w:lvl w:ilvl="0" w:tentative="0">
      <w:start w:val="1"/>
      <w:numFmt w:val="none"/>
      <w:pStyle w:val="137"/>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6">
    <w:nsid w:val="32F04FB2"/>
    <w:multiLevelType w:val="multilevel"/>
    <w:tmpl w:val="32F04FB2"/>
    <w:lvl w:ilvl="0" w:tentative="0">
      <w:start w:val="1"/>
      <w:numFmt w:val="lowerLetter"/>
      <w:pStyle w:val="10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7">
    <w:nsid w:val="42005C71"/>
    <w:multiLevelType w:val="singleLevel"/>
    <w:tmpl w:val="42005C71"/>
    <w:lvl w:ilvl="0" w:tentative="0">
      <w:start w:val="1"/>
      <w:numFmt w:val="decimal"/>
      <w:suff w:val="space"/>
      <w:lvlText w:val="%1."/>
      <w:lvlJc w:val="left"/>
    </w:lvl>
  </w:abstractNum>
  <w:abstractNum w:abstractNumId="18">
    <w:nsid w:val="44C50F90"/>
    <w:multiLevelType w:val="multilevel"/>
    <w:tmpl w:val="44C50F90"/>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pStyle w:val="122"/>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9">
    <w:nsid w:val="48802D1C"/>
    <w:multiLevelType w:val="multilevel"/>
    <w:tmpl w:val="48802D1C"/>
    <w:lvl w:ilvl="0" w:tentative="0">
      <w:start w:val="1"/>
      <w:numFmt w:val="upperLetter"/>
      <w:pStyle w:val="203"/>
      <w:lvlText w:val="%1"/>
      <w:lvlJc w:val="left"/>
      <w:pPr>
        <w:ind w:left="420" w:hanging="420"/>
      </w:pPr>
      <w:rPr>
        <w:rFonts w:hint="eastAsia"/>
      </w:rPr>
    </w:lvl>
    <w:lvl w:ilvl="1" w:tentative="0">
      <w:start w:val="1"/>
      <w:numFmt w:val="decimal"/>
      <w:pStyle w:val="88"/>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0">
    <w:nsid w:val="4B733A5F"/>
    <w:multiLevelType w:val="multilevel"/>
    <w:tmpl w:val="4B733A5F"/>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1">
    <w:nsid w:val="4E5D0534"/>
    <w:multiLevelType w:val="multilevel"/>
    <w:tmpl w:val="4E5D0534"/>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2">
    <w:nsid w:val="54632751"/>
    <w:multiLevelType w:val="multilevel"/>
    <w:tmpl w:val="54632751"/>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3">
    <w:nsid w:val="557C2AF5"/>
    <w:multiLevelType w:val="multilevel"/>
    <w:tmpl w:val="557C2AF5"/>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4">
    <w:nsid w:val="5603797C"/>
    <w:multiLevelType w:val="multilevel"/>
    <w:tmpl w:val="5603797C"/>
    <w:lvl w:ilvl="0" w:tentative="0">
      <w:start w:val="1"/>
      <w:numFmt w:val="upperLetter"/>
      <w:pStyle w:val="204"/>
      <w:suff w:val="space"/>
      <w:lvlText w:val="%1"/>
      <w:lvlJc w:val="left"/>
      <w:pPr>
        <w:ind w:left="425" w:hanging="425"/>
      </w:pPr>
      <w:rPr>
        <w:rFonts w:hint="eastAsia"/>
      </w:rPr>
    </w:lvl>
    <w:lvl w:ilvl="1" w:tentative="0">
      <w:start w:val="1"/>
      <w:numFmt w:val="decimal"/>
      <w:pStyle w:val="82"/>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5">
    <w:nsid w:val="564D2089"/>
    <w:multiLevelType w:val="multilevel"/>
    <w:tmpl w:val="564D2089"/>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44622F9"/>
    <w:multiLevelType w:val="multilevel"/>
    <w:tmpl w:val="644622F9"/>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7">
    <w:nsid w:val="646260FA"/>
    <w:multiLevelType w:val="multilevel"/>
    <w:tmpl w:val="646260FA"/>
    <w:lvl w:ilvl="0" w:tentative="0">
      <w:start w:val="1"/>
      <w:numFmt w:val="decimal"/>
      <w:pStyle w:val="11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8">
    <w:nsid w:val="654A26C9"/>
    <w:multiLevelType w:val="multilevel"/>
    <w:tmpl w:val="654A26C9"/>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9">
    <w:nsid w:val="655479FB"/>
    <w:multiLevelType w:val="singleLevel"/>
    <w:tmpl w:val="655479FB"/>
    <w:lvl w:ilvl="0" w:tentative="0">
      <w:start w:val="1"/>
      <w:numFmt w:val="decimal"/>
      <w:suff w:val="space"/>
      <w:lvlText w:val="%1."/>
      <w:lvlJc w:val="left"/>
    </w:lvl>
  </w:abstractNum>
  <w:abstractNum w:abstractNumId="30">
    <w:nsid w:val="657D3FBC"/>
    <w:multiLevelType w:val="multilevel"/>
    <w:tmpl w:val="657D3FBC"/>
    <w:lvl w:ilvl="0" w:tentative="0">
      <w:start w:val="1"/>
      <w:numFmt w:val="upperLetter"/>
      <w:pStyle w:val="81"/>
      <w:suff w:val="nothing"/>
      <w:lvlText w:val="附录%1"/>
      <w:lvlJc w:val="left"/>
      <w:pPr>
        <w:ind w:left="0" w:firstLine="0"/>
      </w:pPr>
      <w:rPr>
        <w:rFonts w:hint="eastAsia"/>
        <w:spacing w:val="100"/>
      </w:rPr>
    </w:lvl>
    <w:lvl w:ilvl="1" w:tentative="0">
      <w:start w:val="1"/>
      <w:numFmt w:val="decimal"/>
      <w:pStyle w:val="83"/>
      <w:suff w:val="nothing"/>
      <w:lvlText w:val="%1.%2　"/>
      <w:lvlJc w:val="left"/>
      <w:pPr>
        <w:ind w:left="0" w:firstLine="0"/>
      </w:pPr>
      <w:rPr>
        <w:rFonts w:hint="eastAsia" w:ascii="黑体" w:eastAsia="黑体"/>
        <w:b w:val="0"/>
        <w:i w:val="0"/>
        <w:sz w:val="21"/>
      </w:rPr>
    </w:lvl>
    <w:lvl w:ilvl="2" w:tentative="0">
      <w:start w:val="1"/>
      <w:numFmt w:val="decimal"/>
      <w:pStyle w:val="84"/>
      <w:suff w:val="nothing"/>
      <w:lvlText w:val="%1.%2.%3　"/>
      <w:lvlJc w:val="left"/>
      <w:pPr>
        <w:ind w:left="0" w:firstLine="0"/>
      </w:pPr>
      <w:rPr>
        <w:rFonts w:hint="eastAsia" w:ascii="黑体" w:eastAsia="黑体"/>
        <w:b w:val="0"/>
        <w:i w:val="0"/>
        <w:sz w:val="21"/>
      </w:rPr>
    </w:lvl>
    <w:lvl w:ilvl="3" w:tentative="0">
      <w:start w:val="1"/>
      <w:numFmt w:val="decimal"/>
      <w:pStyle w:val="86"/>
      <w:suff w:val="nothing"/>
      <w:lvlText w:val="%1.%2.%3.%4　"/>
      <w:lvlJc w:val="left"/>
      <w:pPr>
        <w:ind w:left="0" w:firstLine="0"/>
      </w:pPr>
      <w:rPr>
        <w:rFonts w:hint="eastAsia" w:ascii="黑体" w:eastAsia="黑体"/>
        <w:b w:val="0"/>
        <w:i w:val="0"/>
        <w:sz w:val="21"/>
      </w:rPr>
    </w:lvl>
    <w:lvl w:ilvl="4" w:tentative="0">
      <w:start w:val="1"/>
      <w:numFmt w:val="decimal"/>
      <w:pStyle w:val="87"/>
      <w:suff w:val="nothing"/>
      <w:lvlText w:val="%1.%2.%3.%4.%5　"/>
      <w:lvlJc w:val="left"/>
      <w:pPr>
        <w:ind w:left="0" w:firstLine="0"/>
      </w:pPr>
      <w:rPr>
        <w:rFonts w:hint="eastAsia" w:ascii="黑体" w:eastAsia="黑体"/>
        <w:b w:val="0"/>
        <w:i w:val="0"/>
        <w:sz w:val="21"/>
      </w:rPr>
    </w:lvl>
    <w:lvl w:ilvl="5" w:tentative="0">
      <w:start w:val="1"/>
      <w:numFmt w:val="decimal"/>
      <w:pStyle w:val="8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1">
    <w:nsid w:val="686B727D"/>
    <w:multiLevelType w:val="singleLevel"/>
    <w:tmpl w:val="686B727D"/>
    <w:lvl w:ilvl="0" w:tentative="0">
      <w:start w:val="1"/>
      <w:numFmt w:val="decimal"/>
      <w:suff w:val="space"/>
      <w:lvlText w:val="[%1]"/>
      <w:lvlJc w:val="left"/>
    </w:lvl>
  </w:abstractNum>
  <w:abstractNum w:abstractNumId="32">
    <w:nsid w:val="69506ABF"/>
    <w:multiLevelType w:val="multilevel"/>
    <w:tmpl w:val="69506ABF"/>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3">
    <w:nsid w:val="6CA41985"/>
    <w:multiLevelType w:val="multilevel"/>
    <w:tmpl w:val="6CA41985"/>
    <w:lvl w:ilvl="0" w:tentative="0">
      <w:start w:val="1"/>
      <w:numFmt w:val="decimal"/>
      <w:pStyle w:val="102"/>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4">
    <w:nsid w:val="6CE42AC1"/>
    <w:multiLevelType w:val="multilevel"/>
    <w:tmpl w:val="6CE42AC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6CEA2025"/>
    <w:multiLevelType w:val="multilevel"/>
    <w:tmpl w:val="6CEA2025"/>
    <w:lvl w:ilvl="0" w:tentative="0">
      <w:start w:val="1"/>
      <w:numFmt w:val="none"/>
      <w:pStyle w:val="157"/>
      <w:suff w:val="nothing"/>
      <w:lvlText w:val="%1"/>
      <w:lvlJc w:val="left"/>
      <w:pPr>
        <w:ind w:left="0" w:firstLine="0"/>
      </w:pPr>
      <w:rPr>
        <w:rFonts w:hint="eastAsia"/>
      </w:rPr>
    </w:lvl>
    <w:lvl w:ilvl="1" w:tentative="0">
      <w:start w:val="1"/>
      <w:numFmt w:val="decimal"/>
      <w:pStyle w:val="109"/>
      <w:suff w:val="nothing"/>
      <w:lvlText w:val="%1%2　"/>
      <w:lvlJc w:val="left"/>
      <w:pPr>
        <w:ind w:left="0" w:firstLine="0"/>
      </w:pPr>
      <w:rPr>
        <w:rFonts w:hint="eastAsia" w:ascii="黑体" w:eastAsia="黑体"/>
        <w:b w:val="0"/>
        <w:i w:val="0"/>
        <w:sz w:val="21"/>
      </w:rPr>
    </w:lvl>
    <w:lvl w:ilvl="2" w:tentative="0">
      <w:start w:val="1"/>
      <w:numFmt w:val="decimal"/>
      <w:pStyle w:val="11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70"/>
      <w:suff w:val="nothing"/>
      <w:lvlText w:val="%1%2.%3.%4　"/>
      <w:lvlJc w:val="left"/>
      <w:pPr>
        <w:ind w:left="0" w:firstLine="0"/>
      </w:pPr>
      <w:rPr>
        <w:rFonts w:hint="eastAsia" w:ascii="黑体" w:eastAsia="黑体"/>
        <w:b w:val="0"/>
        <w:i w:val="0"/>
        <w:sz w:val="21"/>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pStyle w:val="10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6">
    <w:nsid w:val="6DBF04F4"/>
    <w:multiLevelType w:val="multilevel"/>
    <w:tmpl w:val="6DBF04F4"/>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7">
    <w:nsid w:val="6DF35F19"/>
    <w:multiLevelType w:val="multilevel"/>
    <w:tmpl w:val="6DF35F1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8">
    <w:nsid w:val="76933334"/>
    <w:multiLevelType w:val="multilevel"/>
    <w:tmpl w:val="7693333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35"/>
  </w:num>
  <w:num w:numId="3">
    <w:abstractNumId w:val="8"/>
  </w:num>
  <w:num w:numId="4">
    <w:abstractNumId w:val="30"/>
  </w:num>
  <w:num w:numId="5">
    <w:abstractNumId w:val="24"/>
  </w:num>
  <w:num w:numId="6">
    <w:abstractNumId w:val="19"/>
  </w:num>
  <w:num w:numId="7">
    <w:abstractNumId w:val="12"/>
  </w:num>
  <w:num w:numId="8">
    <w:abstractNumId w:val="6"/>
  </w:num>
  <w:num w:numId="9">
    <w:abstractNumId w:val="13"/>
  </w:num>
  <w:num w:numId="10">
    <w:abstractNumId w:val="22"/>
  </w:num>
  <w:num w:numId="11">
    <w:abstractNumId w:val="33"/>
  </w:num>
  <w:num w:numId="12">
    <w:abstractNumId w:val="16"/>
  </w:num>
  <w:num w:numId="13">
    <w:abstractNumId w:val="18"/>
  </w:num>
  <w:num w:numId="14">
    <w:abstractNumId w:val="11"/>
  </w:num>
  <w:num w:numId="15">
    <w:abstractNumId w:val="25"/>
  </w:num>
  <w:num w:numId="16">
    <w:abstractNumId w:val="27"/>
  </w:num>
  <w:num w:numId="17">
    <w:abstractNumId w:val="23"/>
  </w:num>
  <w:num w:numId="18">
    <w:abstractNumId w:val="37"/>
  </w:num>
  <w:num w:numId="19">
    <w:abstractNumId w:val="21"/>
  </w:num>
  <w:num w:numId="20">
    <w:abstractNumId w:val="4"/>
  </w:num>
  <w:num w:numId="21">
    <w:abstractNumId w:val="15"/>
  </w:num>
  <w:num w:numId="22">
    <w:abstractNumId w:val="38"/>
  </w:num>
  <w:num w:numId="23">
    <w:abstractNumId w:val="26"/>
  </w:num>
  <w:num w:numId="24">
    <w:abstractNumId w:val="9"/>
  </w:num>
  <w:num w:numId="25">
    <w:abstractNumId w:val="34"/>
  </w:num>
  <w:num w:numId="26">
    <w:abstractNumId w:val="36"/>
  </w:num>
  <w:num w:numId="27">
    <w:abstractNumId w:val="5"/>
  </w:num>
  <w:num w:numId="28">
    <w:abstractNumId w:val="7"/>
  </w:num>
  <w:num w:numId="29">
    <w:abstractNumId w:val="20"/>
  </w:num>
  <w:num w:numId="30">
    <w:abstractNumId w:val="32"/>
  </w:num>
  <w:num w:numId="31">
    <w:abstractNumId w:val="28"/>
  </w:num>
  <w:num w:numId="32">
    <w:abstractNumId w:val="29"/>
  </w:num>
  <w:num w:numId="33">
    <w:abstractNumId w:val="1"/>
  </w:num>
  <w:num w:numId="34">
    <w:abstractNumId w:val="14"/>
  </w:num>
  <w:num w:numId="35">
    <w:abstractNumId w:val="17"/>
  </w:num>
  <w:num w:numId="36">
    <w:abstractNumId w:val="3"/>
  </w:num>
  <w:num w:numId="37">
    <w:abstractNumId w:val="0"/>
  </w:num>
  <w:num w:numId="38">
    <w:abstractNumId w:val="10"/>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TrueTypeFonts/>
  <w:saveSubsetFonts/>
  <w:bordersDoNotSurroundHeader w:val="1"/>
  <w:bordersDoNotSurroundFooter w:val="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16E"/>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A27"/>
    <w:rsid w:val="0017340B"/>
    <w:rsid w:val="00173AC3"/>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159"/>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1F20"/>
    <w:rsid w:val="002E4D5A"/>
    <w:rsid w:val="002E6326"/>
    <w:rsid w:val="002F30E0"/>
    <w:rsid w:val="002F35E4"/>
    <w:rsid w:val="002F3730"/>
    <w:rsid w:val="002F38E1"/>
    <w:rsid w:val="002F7AF6"/>
    <w:rsid w:val="00300E63"/>
    <w:rsid w:val="00302F5F"/>
    <w:rsid w:val="0030441D"/>
    <w:rsid w:val="00306063"/>
    <w:rsid w:val="00313B85"/>
    <w:rsid w:val="003172C6"/>
    <w:rsid w:val="00317988"/>
    <w:rsid w:val="003221B4"/>
    <w:rsid w:val="0032258D"/>
    <w:rsid w:val="00322E62"/>
    <w:rsid w:val="00324D13"/>
    <w:rsid w:val="00324EDD"/>
    <w:rsid w:val="00326BE4"/>
    <w:rsid w:val="00326F71"/>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298C"/>
    <w:rsid w:val="003C5A43"/>
    <w:rsid w:val="003D0519"/>
    <w:rsid w:val="003D0FF6"/>
    <w:rsid w:val="003D262C"/>
    <w:rsid w:val="003D35EA"/>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1925"/>
    <w:rsid w:val="00432B2B"/>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4FED"/>
    <w:rsid w:val="0065525B"/>
    <w:rsid w:val="00655D4F"/>
    <w:rsid w:val="00656D29"/>
    <w:rsid w:val="00660E51"/>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18C1"/>
    <w:rsid w:val="006D3E96"/>
    <w:rsid w:val="006D4515"/>
    <w:rsid w:val="006D4BB1"/>
    <w:rsid w:val="006D6593"/>
    <w:rsid w:val="006D7ECC"/>
    <w:rsid w:val="006F03A8"/>
    <w:rsid w:val="006F2ACA"/>
    <w:rsid w:val="006F2ADC"/>
    <w:rsid w:val="006F2BFE"/>
    <w:rsid w:val="006F31E9"/>
    <w:rsid w:val="006F6284"/>
    <w:rsid w:val="006F70D8"/>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615F"/>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0356"/>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363E"/>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4210"/>
    <w:rsid w:val="00A0096C"/>
    <w:rsid w:val="00A01757"/>
    <w:rsid w:val="00A028C0"/>
    <w:rsid w:val="00A02BAE"/>
    <w:rsid w:val="00A06A6B"/>
    <w:rsid w:val="00A07E47"/>
    <w:rsid w:val="00A10079"/>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7E48"/>
    <w:rsid w:val="00B049AF"/>
    <w:rsid w:val="00B05238"/>
    <w:rsid w:val="00B07242"/>
    <w:rsid w:val="00B078D3"/>
    <w:rsid w:val="00B07F6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9F3"/>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2FD0"/>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5A90"/>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2A8"/>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117D"/>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3E44"/>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0F31"/>
    <w:rsid w:val="00DE2410"/>
    <w:rsid w:val="00DE2939"/>
    <w:rsid w:val="00DE6E81"/>
    <w:rsid w:val="00DE703F"/>
    <w:rsid w:val="00DE7595"/>
    <w:rsid w:val="00DF1961"/>
    <w:rsid w:val="00DF44DE"/>
    <w:rsid w:val="00E01138"/>
    <w:rsid w:val="00E02DFB"/>
    <w:rsid w:val="00E030F9"/>
    <w:rsid w:val="00E0311A"/>
    <w:rsid w:val="00E03138"/>
    <w:rsid w:val="00E06404"/>
    <w:rsid w:val="00E06488"/>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3593"/>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5C6"/>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044DDC"/>
    <w:rsid w:val="036A0910"/>
    <w:rsid w:val="04836970"/>
    <w:rsid w:val="048D5B8A"/>
    <w:rsid w:val="04C5405C"/>
    <w:rsid w:val="04F23FC8"/>
    <w:rsid w:val="0586592A"/>
    <w:rsid w:val="059D0E04"/>
    <w:rsid w:val="06A719BA"/>
    <w:rsid w:val="07350771"/>
    <w:rsid w:val="082B517C"/>
    <w:rsid w:val="08E0771F"/>
    <w:rsid w:val="0910067B"/>
    <w:rsid w:val="092001FA"/>
    <w:rsid w:val="095574A5"/>
    <w:rsid w:val="09684744"/>
    <w:rsid w:val="0A6531ED"/>
    <w:rsid w:val="0B2A5FF7"/>
    <w:rsid w:val="0B686FFE"/>
    <w:rsid w:val="0BBE52FB"/>
    <w:rsid w:val="0C5E18D9"/>
    <w:rsid w:val="0C63171B"/>
    <w:rsid w:val="0CB70D69"/>
    <w:rsid w:val="0D83741E"/>
    <w:rsid w:val="0EF6634E"/>
    <w:rsid w:val="103114A2"/>
    <w:rsid w:val="103A04BC"/>
    <w:rsid w:val="103E5138"/>
    <w:rsid w:val="1063425A"/>
    <w:rsid w:val="11110A79"/>
    <w:rsid w:val="134E20A5"/>
    <w:rsid w:val="1383098B"/>
    <w:rsid w:val="145F25F4"/>
    <w:rsid w:val="1514235E"/>
    <w:rsid w:val="152D1E88"/>
    <w:rsid w:val="15395F97"/>
    <w:rsid w:val="159D7EC6"/>
    <w:rsid w:val="15A74DD8"/>
    <w:rsid w:val="16500449"/>
    <w:rsid w:val="16B10850"/>
    <w:rsid w:val="17544261"/>
    <w:rsid w:val="17820A2D"/>
    <w:rsid w:val="181C089E"/>
    <w:rsid w:val="1A082E1A"/>
    <w:rsid w:val="1A0C448C"/>
    <w:rsid w:val="1A654F86"/>
    <w:rsid w:val="1A7E0D04"/>
    <w:rsid w:val="1C0E62FE"/>
    <w:rsid w:val="1C1B34F4"/>
    <w:rsid w:val="1D4814D7"/>
    <w:rsid w:val="1F105918"/>
    <w:rsid w:val="1FCD6143"/>
    <w:rsid w:val="1FCE2212"/>
    <w:rsid w:val="1FEA5CEE"/>
    <w:rsid w:val="20552402"/>
    <w:rsid w:val="20FC336A"/>
    <w:rsid w:val="216E00C8"/>
    <w:rsid w:val="21912250"/>
    <w:rsid w:val="24531C08"/>
    <w:rsid w:val="24872F23"/>
    <w:rsid w:val="24A91904"/>
    <w:rsid w:val="24FF7B56"/>
    <w:rsid w:val="2540444A"/>
    <w:rsid w:val="25757C36"/>
    <w:rsid w:val="259F7B9A"/>
    <w:rsid w:val="25BC6D9A"/>
    <w:rsid w:val="27162272"/>
    <w:rsid w:val="272E0923"/>
    <w:rsid w:val="27383550"/>
    <w:rsid w:val="276D39B1"/>
    <w:rsid w:val="27CB5F91"/>
    <w:rsid w:val="280D1237"/>
    <w:rsid w:val="28AF0F68"/>
    <w:rsid w:val="29B36EBE"/>
    <w:rsid w:val="29CA4207"/>
    <w:rsid w:val="2A3F69A3"/>
    <w:rsid w:val="2A5F19F5"/>
    <w:rsid w:val="2AEE75AB"/>
    <w:rsid w:val="2BE23DD3"/>
    <w:rsid w:val="2C7265D0"/>
    <w:rsid w:val="2DF817C5"/>
    <w:rsid w:val="2EA71FCB"/>
    <w:rsid w:val="2FBD43F6"/>
    <w:rsid w:val="300027E8"/>
    <w:rsid w:val="301B475E"/>
    <w:rsid w:val="304F634B"/>
    <w:rsid w:val="30CB25C2"/>
    <w:rsid w:val="31075B7E"/>
    <w:rsid w:val="315E1E05"/>
    <w:rsid w:val="31E8514D"/>
    <w:rsid w:val="321B62FF"/>
    <w:rsid w:val="32A3579D"/>
    <w:rsid w:val="3333302D"/>
    <w:rsid w:val="333F264E"/>
    <w:rsid w:val="33E3035B"/>
    <w:rsid w:val="34125E77"/>
    <w:rsid w:val="34517B4A"/>
    <w:rsid w:val="34855156"/>
    <w:rsid w:val="34D8644E"/>
    <w:rsid w:val="376E08C8"/>
    <w:rsid w:val="37923167"/>
    <w:rsid w:val="37A34A15"/>
    <w:rsid w:val="37BB72AC"/>
    <w:rsid w:val="382B5C5B"/>
    <w:rsid w:val="3857135C"/>
    <w:rsid w:val="385747A5"/>
    <w:rsid w:val="38E363B7"/>
    <w:rsid w:val="39655763"/>
    <w:rsid w:val="39863B89"/>
    <w:rsid w:val="3B246FF6"/>
    <w:rsid w:val="3BD43FEE"/>
    <w:rsid w:val="3C2735EE"/>
    <w:rsid w:val="3C8464E5"/>
    <w:rsid w:val="3DA17F72"/>
    <w:rsid w:val="3E1D65D3"/>
    <w:rsid w:val="3E5F0F6A"/>
    <w:rsid w:val="3EE17BD1"/>
    <w:rsid w:val="3EE64DE6"/>
    <w:rsid w:val="3EFF4743"/>
    <w:rsid w:val="3F4168C2"/>
    <w:rsid w:val="3F7A79CB"/>
    <w:rsid w:val="3F885FAB"/>
    <w:rsid w:val="3F8C2BFA"/>
    <w:rsid w:val="405E5448"/>
    <w:rsid w:val="40970173"/>
    <w:rsid w:val="413655D5"/>
    <w:rsid w:val="41706F9F"/>
    <w:rsid w:val="422E5198"/>
    <w:rsid w:val="437407AE"/>
    <w:rsid w:val="44576CED"/>
    <w:rsid w:val="44786C5E"/>
    <w:rsid w:val="450665E4"/>
    <w:rsid w:val="46A532DF"/>
    <w:rsid w:val="48E919ED"/>
    <w:rsid w:val="49097F95"/>
    <w:rsid w:val="49533C45"/>
    <w:rsid w:val="498F43A6"/>
    <w:rsid w:val="49A47D78"/>
    <w:rsid w:val="4B054071"/>
    <w:rsid w:val="4B3A3041"/>
    <w:rsid w:val="4C8B71B5"/>
    <w:rsid w:val="4CE23C09"/>
    <w:rsid w:val="4CFC0E93"/>
    <w:rsid w:val="4D055D46"/>
    <w:rsid w:val="4D5B3AB3"/>
    <w:rsid w:val="4D9C7AE5"/>
    <w:rsid w:val="4DC75428"/>
    <w:rsid w:val="4E9C5079"/>
    <w:rsid w:val="4EC74DD3"/>
    <w:rsid w:val="4F2E2B1A"/>
    <w:rsid w:val="4F415B64"/>
    <w:rsid w:val="50506965"/>
    <w:rsid w:val="50F50C80"/>
    <w:rsid w:val="512923F4"/>
    <w:rsid w:val="519805C3"/>
    <w:rsid w:val="528F1369"/>
    <w:rsid w:val="52915D47"/>
    <w:rsid w:val="52A749F3"/>
    <w:rsid w:val="5302337A"/>
    <w:rsid w:val="556A0220"/>
    <w:rsid w:val="5586710F"/>
    <w:rsid w:val="55BC0DD7"/>
    <w:rsid w:val="55EE1DA5"/>
    <w:rsid w:val="570A6C0B"/>
    <w:rsid w:val="57520F48"/>
    <w:rsid w:val="58267B11"/>
    <w:rsid w:val="58C36EF7"/>
    <w:rsid w:val="5A1336B8"/>
    <w:rsid w:val="5A694F72"/>
    <w:rsid w:val="5B3219C3"/>
    <w:rsid w:val="5BF96079"/>
    <w:rsid w:val="5BFD38B3"/>
    <w:rsid w:val="5C7B1208"/>
    <w:rsid w:val="5C8B66DE"/>
    <w:rsid w:val="5C8F74C6"/>
    <w:rsid w:val="5D2E002E"/>
    <w:rsid w:val="5DAD53F7"/>
    <w:rsid w:val="5E593AB5"/>
    <w:rsid w:val="5F0833B8"/>
    <w:rsid w:val="5F0C1F74"/>
    <w:rsid w:val="5FEF7F48"/>
    <w:rsid w:val="60073126"/>
    <w:rsid w:val="601336B2"/>
    <w:rsid w:val="602F3889"/>
    <w:rsid w:val="60E569FC"/>
    <w:rsid w:val="60F36606"/>
    <w:rsid w:val="618F621F"/>
    <w:rsid w:val="61EE0E85"/>
    <w:rsid w:val="62A2349C"/>
    <w:rsid w:val="631E3B19"/>
    <w:rsid w:val="638D0A93"/>
    <w:rsid w:val="6393508F"/>
    <w:rsid w:val="63C2765D"/>
    <w:rsid w:val="640A170D"/>
    <w:rsid w:val="643A1D41"/>
    <w:rsid w:val="647550AE"/>
    <w:rsid w:val="66354F8A"/>
    <w:rsid w:val="6699689A"/>
    <w:rsid w:val="67230B5F"/>
    <w:rsid w:val="672D7E37"/>
    <w:rsid w:val="67562EBE"/>
    <w:rsid w:val="67CD0055"/>
    <w:rsid w:val="67CE7C82"/>
    <w:rsid w:val="6830358A"/>
    <w:rsid w:val="684969A7"/>
    <w:rsid w:val="68C26AE6"/>
    <w:rsid w:val="6965284D"/>
    <w:rsid w:val="699C28C8"/>
    <w:rsid w:val="6C234D46"/>
    <w:rsid w:val="6C7700A4"/>
    <w:rsid w:val="6D217846"/>
    <w:rsid w:val="6D3766B4"/>
    <w:rsid w:val="6D6D385A"/>
    <w:rsid w:val="6D9619EE"/>
    <w:rsid w:val="6E613C24"/>
    <w:rsid w:val="6F864643"/>
    <w:rsid w:val="6FA90D35"/>
    <w:rsid w:val="6FE12C2E"/>
    <w:rsid w:val="70EE0906"/>
    <w:rsid w:val="71080795"/>
    <w:rsid w:val="71114B37"/>
    <w:rsid w:val="71952497"/>
    <w:rsid w:val="72AF6DF1"/>
    <w:rsid w:val="72B3511E"/>
    <w:rsid w:val="74F16FE3"/>
    <w:rsid w:val="75996421"/>
    <w:rsid w:val="773006A7"/>
    <w:rsid w:val="7748510B"/>
    <w:rsid w:val="774C4C19"/>
    <w:rsid w:val="77CC4AD6"/>
    <w:rsid w:val="79BA0BFC"/>
    <w:rsid w:val="79C52AE4"/>
    <w:rsid w:val="79D67A1A"/>
    <w:rsid w:val="79E93803"/>
    <w:rsid w:val="7B2A73C6"/>
    <w:rsid w:val="7B8074BA"/>
    <w:rsid w:val="7B924573"/>
    <w:rsid w:val="7BA15253"/>
    <w:rsid w:val="7BD837D8"/>
    <w:rsid w:val="7BDA0BD9"/>
    <w:rsid w:val="7BDA69BE"/>
    <w:rsid w:val="7D033868"/>
    <w:rsid w:val="7D63567A"/>
    <w:rsid w:val="7D88528B"/>
    <w:rsid w:val="7ED04330"/>
    <w:rsid w:val="7EF7142E"/>
    <w:rsid w:val="7F550438"/>
    <w:rsid w:val="7FA922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3"/>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4"/>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5"/>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6"/>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7"/>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6"/>
    <w:semiHidden/>
    <w:unhideWhenUsed/>
    <w:qFormat/>
    <w:uiPriority w:val="99"/>
    <w:pPr>
      <w:jc w:val="left"/>
    </w:pPr>
  </w:style>
  <w:style w:type="paragraph" w:styleId="14">
    <w:name w:val="Body Text"/>
    <w:basedOn w:val="1"/>
    <w:link w:val="91"/>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50"/>
    <w:semiHidden/>
    <w:unhideWhenUsed/>
    <w:qFormat/>
    <w:uiPriority w:val="99"/>
    <w:rPr>
      <w:sz w:val="18"/>
      <w:szCs w:val="18"/>
    </w:rPr>
  </w:style>
  <w:style w:type="paragraph" w:styleId="18">
    <w:name w:val="footer"/>
    <w:basedOn w:val="1"/>
    <w:link w:val="49"/>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8"/>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4"/>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semiHidden/>
    <w:unhideWhenUsed/>
    <w:qFormat/>
    <w:uiPriority w:val="99"/>
    <w:pPr>
      <w:spacing w:beforeAutospacing="1" w:afterAutospacing="1"/>
      <w:jc w:val="left"/>
    </w:pPr>
    <w:rPr>
      <w:kern w:val="0"/>
      <w:sz w:val="24"/>
    </w:rPr>
  </w:style>
  <w:style w:type="paragraph" w:styleId="27">
    <w:name w:val="Title"/>
    <w:basedOn w:val="1"/>
    <w:link w:val="53"/>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37"/>
    <w:semiHidden/>
    <w:unhideWhenUsed/>
    <w:qFormat/>
    <w:uiPriority w:val="99"/>
    <w:rPr>
      <w:b/>
      <w:bCs/>
    </w:r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endnote reference"/>
    <w:basedOn w:val="31"/>
    <w:semiHidden/>
    <w:unhideWhenUsed/>
    <w:qFormat/>
    <w:uiPriority w:val="99"/>
    <w:rPr>
      <w:vertAlign w:val="superscript"/>
    </w:rPr>
  </w:style>
  <w:style w:type="character" w:styleId="34">
    <w:name w:val="page number"/>
    <w:qFormat/>
    <w:uiPriority w:val="0"/>
    <w:rPr>
      <w:rFonts w:ascii="宋体" w:hAnsi="Times New Roman" w:eastAsia="宋体"/>
      <w:sz w:val="18"/>
    </w:rPr>
  </w:style>
  <w:style w:type="character" w:styleId="35">
    <w:name w:val="Emphasis"/>
    <w:qFormat/>
    <w:uiPriority w:val="20"/>
    <w:rPr>
      <w:i/>
      <w:iCs/>
    </w:rPr>
  </w:style>
  <w:style w:type="character" w:styleId="36">
    <w:name w:val="Hyperlink"/>
    <w:qFormat/>
    <w:uiPriority w:val="99"/>
    <w:rPr>
      <w:rFonts w:ascii="宋体" w:hAnsi="Times New Roman" w:eastAsia="宋体"/>
      <w:color w:val="auto"/>
      <w:spacing w:val="0"/>
      <w:w w:val="100"/>
      <w:position w:val="0"/>
      <w:sz w:val="21"/>
      <w:u w:val="none"/>
      <w:vertAlign w:val="baseline"/>
    </w:rPr>
  </w:style>
  <w:style w:type="character" w:styleId="37">
    <w:name w:val="annotation reference"/>
    <w:basedOn w:val="31"/>
    <w:semiHidden/>
    <w:unhideWhenUsed/>
    <w:qFormat/>
    <w:uiPriority w:val="99"/>
    <w:rPr>
      <w:sz w:val="21"/>
      <w:szCs w:val="21"/>
    </w:rPr>
  </w:style>
  <w:style w:type="character" w:styleId="38">
    <w:name w:val="footnote reference"/>
    <w:semiHidden/>
    <w:qFormat/>
    <w:uiPriority w:val="0"/>
    <w:rPr>
      <w:rFonts w:ascii="宋体" w:hAnsi="宋体" w:eastAsia="宋体" w:cs="Times New Roman"/>
      <w:spacing w:val="0"/>
      <w:sz w:val="18"/>
      <w:vertAlign w:val="superscript"/>
    </w:rPr>
  </w:style>
  <w:style w:type="character" w:customStyle="1" w:styleId="39">
    <w:name w:val="标题 1 字符"/>
    <w:link w:val="2"/>
    <w:qFormat/>
    <w:uiPriority w:val="0"/>
    <w:rPr>
      <w:b/>
      <w:bCs/>
      <w:kern w:val="44"/>
      <w:sz w:val="44"/>
      <w:szCs w:val="44"/>
    </w:rPr>
  </w:style>
  <w:style w:type="character" w:customStyle="1" w:styleId="40">
    <w:name w:val="标题 3 字符"/>
    <w:link w:val="4"/>
    <w:qFormat/>
    <w:uiPriority w:val="0"/>
    <w:rPr>
      <w:b/>
      <w:bCs/>
      <w:kern w:val="2"/>
      <w:sz w:val="32"/>
      <w:szCs w:val="32"/>
    </w:rPr>
  </w:style>
  <w:style w:type="character" w:customStyle="1" w:styleId="41">
    <w:name w:val="标题 2 字符"/>
    <w:link w:val="3"/>
    <w:qFormat/>
    <w:uiPriority w:val="0"/>
    <w:rPr>
      <w:rFonts w:ascii="Arial" w:hAnsi="Arial" w:eastAsia="黑体"/>
      <w:b/>
      <w:bCs/>
      <w:kern w:val="2"/>
      <w:sz w:val="32"/>
      <w:szCs w:val="32"/>
    </w:rPr>
  </w:style>
  <w:style w:type="character" w:customStyle="1" w:styleId="42">
    <w:name w:val="标题 4 字符"/>
    <w:link w:val="5"/>
    <w:qFormat/>
    <w:uiPriority w:val="0"/>
    <w:rPr>
      <w:rFonts w:ascii="Arial" w:hAnsi="Arial" w:eastAsia="黑体"/>
      <w:b/>
      <w:bCs/>
      <w:kern w:val="2"/>
      <w:sz w:val="28"/>
      <w:szCs w:val="28"/>
    </w:rPr>
  </w:style>
  <w:style w:type="character" w:customStyle="1" w:styleId="43">
    <w:name w:val="标题 5 字符"/>
    <w:link w:val="6"/>
    <w:qFormat/>
    <w:uiPriority w:val="0"/>
    <w:rPr>
      <w:b/>
      <w:bCs/>
      <w:kern w:val="2"/>
      <w:sz w:val="28"/>
      <w:szCs w:val="28"/>
    </w:rPr>
  </w:style>
  <w:style w:type="character" w:customStyle="1" w:styleId="44">
    <w:name w:val="标题 6 字符"/>
    <w:link w:val="7"/>
    <w:qFormat/>
    <w:uiPriority w:val="0"/>
    <w:rPr>
      <w:rFonts w:ascii="Arial" w:hAnsi="Arial" w:eastAsia="黑体"/>
      <w:b/>
      <w:bCs/>
      <w:kern w:val="2"/>
      <w:sz w:val="24"/>
      <w:szCs w:val="24"/>
    </w:rPr>
  </w:style>
  <w:style w:type="character" w:customStyle="1" w:styleId="45">
    <w:name w:val="标题 7 字符"/>
    <w:link w:val="8"/>
    <w:qFormat/>
    <w:uiPriority w:val="0"/>
    <w:rPr>
      <w:b/>
      <w:bCs/>
      <w:kern w:val="2"/>
      <w:sz w:val="24"/>
      <w:szCs w:val="24"/>
    </w:rPr>
  </w:style>
  <w:style w:type="character" w:customStyle="1" w:styleId="46">
    <w:name w:val="标题 8 字符"/>
    <w:link w:val="9"/>
    <w:qFormat/>
    <w:uiPriority w:val="0"/>
    <w:rPr>
      <w:rFonts w:ascii="Arial" w:hAnsi="Arial" w:eastAsia="黑体"/>
      <w:kern w:val="2"/>
      <w:sz w:val="24"/>
      <w:szCs w:val="24"/>
    </w:rPr>
  </w:style>
  <w:style w:type="character" w:customStyle="1" w:styleId="47">
    <w:name w:val="标题 9 字符"/>
    <w:link w:val="10"/>
    <w:qFormat/>
    <w:uiPriority w:val="0"/>
    <w:rPr>
      <w:rFonts w:ascii="Arial" w:hAnsi="Arial" w:eastAsia="黑体"/>
      <w:kern w:val="2"/>
      <w:sz w:val="21"/>
      <w:szCs w:val="21"/>
    </w:rPr>
  </w:style>
  <w:style w:type="character" w:customStyle="1" w:styleId="48">
    <w:name w:val="页眉 字符"/>
    <w:link w:val="19"/>
    <w:qFormat/>
    <w:uiPriority w:val="99"/>
    <w:rPr>
      <w:kern w:val="2"/>
      <w:sz w:val="18"/>
      <w:szCs w:val="18"/>
    </w:rPr>
  </w:style>
  <w:style w:type="character" w:customStyle="1" w:styleId="49">
    <w:name w:val="页脚 字符"/>
    <w:link w:val="18"/>
    <w:qFormat/>
    <w:uiPriority w:val="99"/>
    <w:rPr>
      <w:rFonts w:ascii="宋体"/>
      <w:kern w:val="2"/>
      <w:sz w:val="18"/>
      <w:szCs w:val="18"/>
    </w:rPr>
  </w:style>
  <w:style w:type="character" w:customStyle="1" w:styleId="50">
    <w:name w:val="批注框文本 字符"/>
    <w:link w:val="17"/>
    <w:semiHidden/>
    <w:qFormat/>
    <w:uiPriority w:val="99"/>
    <w:rPr>
      <w:kern w:val="2"/>
      <w:sz w:val="18"/>
      <w:szCs w:val="18"/>
    </w:rPr>
  </w:style>
  <w:style w:type="paragraph" w:styleId="51">
    <w:name w:val="Quote"/>
    <w:basedOn w:val="1"/>
    <w:next w:val="1"/>
    <w:link w:val="52"/>
    <w:qFormat/>
    <w:uiPriority w:val="29"/>
    <w:rPr>
      <w:i/>
      <w:iCs/>
      <w:color w:val="000000"/>
    </w:rPr>
  </w:style>
  <w:style w:type="character" w:customStyle="1" w:styleId="52">
    <w:name w:val="引用 字符"/>
    <w:link w:val="51"/>
    <w:qFormat/>
    <w:uiPriority w:val="29"/>
    <w:rPr>
      <w:i/>
      <w:iCs/>
      <w:color w:val="000000"/>
      <w:kern w:val="2"/>
      <w:sz w:val="21"/>
      <w:szCs w:val="21"/>
    </w:rPr>
  </w:style>
  <w:style w:type="character" w:customStyle="1" w:styleId="53">
    <w:name w:val="标题 字符"/>
    <w:link w:val="27"/>
    <w:qFormat/>
    <w:uiPriority w:val="0"/>
    <w:rPr>
      <w:rFonts w:ascii="Arial" w:hAnsi="Arial" w:cs="Arial"/>
      <w:b/>
      <w:bCs/>
      <w:kern w:val="2"/>
      <w:sz w:val="32"/>
      <w:szCs w:val="32"/>
    </w:rPr>
  </w:style>
  <w:style w:type="paragraph" w:customStyle="1" w:styleId="5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6">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7">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8">
    <w:name w:val="标准书眉一"/>
    <w:qFormat/>
    <w:uiPriority w:val="0"/>
    <w:pPr>
      <w:jc w:val="both"/>
    </w:pPr>
    <w:rPr>
      <w:rFonts w:ascii="Times New Roman" w:hAnsi="Times New Roman" w:eastAsia="宋体" w:cs="Times New Roman"/>
      <w:lang w:val="en-US" w:eastAsia="zh-CN" w:bidi="ar-SA"/>
    </w:rPr>
  </w:style>
  <w:style w:type="paragraph" w:customStyle="1" w:styleId="59">
    <w:name w:val="标准文件_ICS"/>
    <w:basedOn w:val="1"/>
    <w:qFormat/>
    <w:uiPriority w:val="0"/>
    <w:pPr>
      <w:spacing w:line="0" w:lineRule="atLeast"/>
    </w:pPr>
    <w:rPr>
      <w:rFonts w:ascii="黑体" w:hAnsi="宋体" w:eastAsia="黑体"/>
    </w:rPr>
  </w:style>
  <w:style w:type="paragraph" w:customStyle="1" w:styleId="60">
    <w:name w:val="标准文件_标准正文"/>
    <w:basedOn w:val="1"/>
    <w:next w:val="61"/>
    <w:qFormat/>
    <w:uiPriority w:val="0"/>
    <w:pPr>
      <w:snapToGrid w:val="0"/>
      <w:ind w:firstLine="200" w:firstLineChars="200"/>
    </w:pPr>
    <w:rPr>
      <w:kern w:val="0"/>
    </w:rPr>
  </w:style>
  <w:style w:type="paragraph" w:customStyle="1" w:styleId="61">
    <w:name w:val="标准文件_段"/>
    <w:link w:val="18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2">
    <w:name w:val="标准文件_版本"/>
    <w:basedOn w:val="60"/>
    <w:qFormat/>
    <w:uiPriority w:val="0"/>
    <w:pPr>
      <w:adjustRightInd/>
      <w:snapToGrid/>
      <w:ind w:firstLine="0" w:firstLineChars="0"/>
    </w:pPr>
    <w:rPr>
      <w:rFonts w:ascii="宋体" w:hAnsi="宋体"/>
      <w:kern w:val="2"/>
    </w:rPr>
  </w:style>
  <w:style w:type="paragraph" w:customStyle="1" w:styleId="63">
    <w:name w:val="标准文件_标准部门"/>
    <w:basedOn w:val="1"/>
    <w:qFormat/>
    <w:uiPriority w:val="0"/>
    <w:pPr>
      <w:jc w:val="center"/>
    </w:pPr>
    <w:rPr>
      <w:rFonts w:ascii="黑体" w:eastAsia="黑体"/>
      <w:kern w:val="0"/>
      <w:sz w:val="44"/>
    </w:rPr>
  </w:style>
  <w:style w:type="paragraph" w:customStyle="1" w:styleId="64">
    <w:name w:val="标准文件_标准代替"/>
    <w:basedOn w:val="1"/>
    <w:next w:val="1"/>
    <w:qFormat/>
    <w:uiPriority w:val="0"/>
    <w:pPr>
      <w:spacing w:line="310" w:lineRule="exact"/>
      <w:jc w:val="right"/>
    </w:pPr>
    <w:rPr>
      <w:rFonts w:ascii="宋体" w:hAnsi="宋体"/>
      <w:kern w:val="0"/>
    </w:rPr>
  </w:style>
  <w:style w:type="paragraph" w:customStyle="1" w:styleId="65">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6">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7">
    <w:name w:val="标准文件_页眉偶数页"/>
    <w:basedOn w:val="66"/>
    <w:next w:val="1"/>
    <w:qFormat/>
    <w:uiPriority w:val="0"/>
    <w:pPr>
      <w:jc w:val="left"/>
    </w:pPr>
  </w:style>
  <w:style w:type="paragraph" w:customStyle="1" w:styleId="68">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9">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70">
    <w:name w:val="标准文件_二级条标题"/>
    <w:next w:val="61"/>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1">
    <w:name w:val="标准文件_发布"/>
    <w:qFormat/>
    <w:uiPriority w:val="0"/>
    <w:rPr>
      <w:rFonts w:ascii="黑体" w:eastAsia="黑体"/>
      <w:spacing w:val="0"/>
      <w:w w:val="100"/>
      <w:position w:val="3"/>
      <w:sz w:val="28"/>
    </w:rPr>
  </w:style>
  <w:style w:type="paragraph" w:customStyle="1" w:styleId="72">
    <w:name w:val="标准文件_方框数字列项"/>
    <w:basedOn w:val="61"/>
    <w:qFormat/>
    <w:uiPriority w:val="0"/>
    <w:pPr>
      <w:numPr>
        <w:ilvl w:val="0"/>
        <w:numId w:val="3"/>
      </w:numPr>
      <w:ind w:firstLine="0" w:firstLineChars="0"/>
    </w:pPr>
  </w:style>
  <w:style w:type="paragraph" w:customStyle="1" w:styleId="73">
    <w:name w:val="标准文件_封面标准编号"/>
    <w:basedOn w:val="1"/>
    <w:next w:val="64"/>
    <w:qFormat/>
    <w:uiPriority w:val="0"/>
    <w:pPr>
      <w:spacing w:line="310" w:lineRule="exact"/>
      <w:jc w:val="right"/>
    </w:pPr>
    <w:rPr>
      <w:rFonts w:ascii="黑体" w:eastAsia="黑体"/>
      <w:kern w:val="0"/>
      <w:sz w:val="28"/>
    </w:rPr>
  </w:style>
  <w:style w:type="paragraph" w:customStyle="1" w:styleId="74">
    <w:name w:val="标准文件_封面标准分类号"/>
    <w:basedOn w:val="1"/>
    <w:qFormat/>
    <w:uiPriority w:val="0"/>
    <w:rPr>
      <w:rFonts w:ascii="黑体" w:eastAsia="黑体"/>
      <w:b/>
      <w:kern w:val="0"/>
      <w:sz w:val="28"/>
    </w:rPr>
  </w:style>
  <w:style w:type="paragraph" w:customStyle="1" w:styleId="75">
    <w:name w:val="标准文件_封面标准名称"/>
    <w:basedOn w:val="1"/>
    <w:qFormat/>
    <w:uiPriority w:val="0"/>
    <w:pPr>
      <w:spacing w:line="240" w:lineRule="auto"/>
      <w:jc w:val="center"/>
    </w:pPr>
    <w:rPr>
      <w:rFonts w:ascii="黑体" w:eastAsia="黑体"/>
      <w:kern w:val="0"/>
      <w:sz w:val="52"/>
    </w:rPr>
  </w:style>
  <w:style w:type="paragraph" w:customStyle="1" w:styleId="76">
    <w:name w:val="标准文件_封面标准英文名称"/>
    <w:basedOn w:val="1"/>
    <w:qFormat/>
    <w:uiPriority w:val="0"/>
    <w:pPr>
      <w:spacing w:line="240" w:lineRule="auto"/>
      <w:jc w:val="center"/>
    </w:pPr>
    <w:rPr>
      <w:rFonts w:ascii="黑体" w:eastAsia="黑体"/>
      <w:b/>
      <w:sz w:val="28"/>
    </w:rPr>
  </w:style>
  <w:style w:type="paragraph" w:customStyle="1" w:styleId="77">
    <w:name w:val="标准文件_封面发布日期"/>
    <w:basedOn w:val="1"/>
    <w:qFormat/>
    <w:uiPriority w:val="0"/>
    <w:pPr>
      <w:spacing w:line="310" w:lineRule="exact"/>
    </w:pPr>
    <w:rPr>
      <w:rFonts w:ascii="黑体" w:eastAsia="黑体"/>
      <w:kern w:val="0"/>
      <w:sz w:val="28"/>
    </w:rPr>
  </w:style>
  <w:style w:type="paragraph" w:customStyle="1" w:styleId="78">
    <w:name w:val="标准文件_封面密级"/>
    <w:basedOn w:val="1"/>
    <w:qFormat/>
    <w:uiPriority w:val="0"/>
    <w:rPr>
      <w:rFonts w:eastAsia="黑体"/>
      <w:sz w:val="32"/>
    </w:rPr>
  </w:style>
  <w:style w:type="paragraph" w:customStyle="1" w:styleId="79">
    <w:name w:val="标准文件_封面实施日期"/>
    <w:basedOn w:val="1"/>
    <w:qFormat/>
    <w:uiPriority w:val="0"/>
    <w:pPr>
      <w:spacing w:line="310" w:lineRule="exact"/>
      <w:jc w:val="right"/>
    </w:pPr>
    <w:rPr>
      <w:rFonts w:ascii="黑体" w:eastAsia="黑体"/>
      <w:sz w:val="28"/>
    </w:rPr>
  </w:style>
  <w:style w:type="paragraph" w:customStyle="1" w:styleId="80">
    <w:name w:val="标准文件_封面抬头"/>
    <w:basedOn w:val="61"/>
    <w:qFormat/>
    <w:uiPriority w:val="0"/>
    <w:pPr>
      <w:adjustRightInd w:val="0"/>
      <w:spacing w:line="800" w:lineRule="exact"/>
      <w:ind w:firstLine="0" w:firstLineChars="0"/>
      <w:jc w:val="distribute"/>
    </w:pPr>
    <w:rPr>
      <w:rFonts w:ascii="黑体" w:eastAsia="黑体"/>
      <w:b/>
      <w:sz w:val="64"/>
    </w:rPr>
  </w:style>
  <w:style w:type="paragraph" w:customStyle="1" w:styleId="81">
    <w:name w:val="标准文件_附录标识"/>
    <w:next w:val="61"/>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2">
    <w:name w:val="标准文件_附录表标题"/>
    <w:next w:val="61"/>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3">
    <w:name w:val="标准文件_附录一级条标题"/>
    <w:next w:val="61"/>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4">
    <w:name w:val="标准文件_附录二级条标题"/>
    <w:basedOn w:val="83"/>
    <w:next w:val="61"/>
    <w:qFormat/>
    <w:uiPriority w:val="0"/>
    <w:pPr>
      <w:widowControl/>
      <w:numPr>
        <w:ilvl w:val="2"/>
      </w:numPr>
      <w:wordWrap w:val="0"/>
      <w:overflowPunct w:val="0"/>
      <w:autoSpaceDE w:val="0"/>
      <w:autoSpaceDN w:val="0"/>
      <w:textAlignment w:val="baseline"/>
      <w:outlineLvl w:val="3"/>
    </w:pPr>
  </w:style>
  <w:style w:type="paragraph" w:customStyle="1" w:styleId="85">
    <w:name w:val="标准文件_附录公式"/>
    <w:basedOn w:val="60"/>
    <w:next w:val="60"/>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6">
    <w:name w:val="标准文件_附录三级条标题"/>
    <w:next w:val="61"/>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7">
    <w:name w:val="标准文件_附录四级条标题"/>
    <w:next w:val="61"/>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8">
    <w:name w:val="标准文件_附录图标题"/>
    <w:next w:val="61"/>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9">
    <w:name w:val="标准文件_附录五级条标题"/>
    <w:next w:val="61"/>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0">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1">
    <w:name w:val="正文文本 字符"/>
    <w:link w:val="14"/>
    <w:qFormat/>
    <w:uiPriority w:val="0"/>
    <w:rPr>
      <w:kern w:val="2"/>
      <w:sz w:val="21"/>
      <w:szCs w:val="21"/>
    </w:rPr>
  </w:style>
  <w:style w:type="paragraph" w:customStyle="1" w:styleId="92">
    <w:name w:val="标准文件_附录章标题"/>
    <w:next w:val="6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3">
    <w:name w:val="标准文件_公式后的破折号"/>
    <w:basedOn w:val="61"/>
    <w:next w:val="61"/>
    <w:qFormat/>
    <w:uiPriority w:val="0"/>
    <w:pPr>
      <w:ind w:left="488" w:leftChars="200" w:hanging="289" w:hangingChars="290"/>
    </w:pPr>
  </w:style>
  <w:style w:type="paragraph" w:customStyle="1" w:styleId="94">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5">
    <w:name w:val="标准文件_目次、标准名称标题"/>
    <w:basedOn w:val="94"/>
    <w:next w:val="61"/>
    <w:qFormat/>
    <w:uiPriority w:val="0"/>
    <w:pPr>
      <w:spacing w:line="460" w:lineRule="exact"/>
      <w:ind w:left="0" w:firstLine="0"/>
    </w:pPr>
  </w:style>
  <w:style w:type="paragraph" w:customStyle="1" w:styleId="96">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7">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8">
    <w:name w:val="标准文件_破折号列项（二级）"/>
    <w:basedOn w:val="97"/>
    <w:qFormat/>
    <w:uiPriority w:val="0"/>
    <w:pPr>
      <w:numPr>
        <w:numId w:val="10"/>
      </w:numPr>
    </w:pPr>
  </w:style>
  <w:style w:type="paragraph" w:customStyle="1" w:styleId="99">
    <w:name w:val="标准文件_三级条标题"/>
    <w:basedOn w:val="70"/>
    <w:next w:val="61"/>
    <w:qFormat/>
    <w:uiPriority w:val="0"/>
    <w:pPr>
      <w:widowControl/>
      <w:numPr>
        <w:ilvl w:val="4"/>
      </w:numPr>
      <w:outlineLvl w:val="3"/>
    </w:pPr>
  </w:style>
  <w:style w:type="character" w:customStyle="1" w:styleId="100">
    <w:name w:val="不明显参考1"/>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3">
    <w:name w:val="标准文件_四级条标题"/>
    <w:next w:val="61"/>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4">
    <w:name w:val="脚注文本 字符"/>
    <w:link w:val="22"/>
    <w:semiHidden/>
    <w:qFormat/>
    <w:uiPriority w:val="0"/>
    <w:rPr>
      <w:rFonts w:ascii="宋体"/>
      <w:kern w:val="2"/>
      <w:sz w:val="18"/>
      <w:szCs w:val="18"/>
    </w:rPr>
  </w:style>
  <w:style w:type="paragraph" w:customStyle="1" w:styleId="105">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next w:val="61"/>
    <w:qFormat/>
    <w:uiPriority w:val="0"/>
    <w:pPr>
      <w:numPr>
        <w:ilvl w:val="0"/>
        <w:numId w:val="12"/>
      </w:numPr>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五级条标题"/>
    <w:next w:val="61"/>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9">
    <w:name w:val="标准文件_章标题"/>
    <w:next w:val="61"/>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0">
    <w:name w:val="标准文件_一级条标题"/>
    <w:basedOn w:val="109"/>
    <w:next w:val="61"/>
    <w:qFormat/>
    <w:uiPriority w:val="0"/>
    <w:pPr>
      <w:numPr>
        <w:ilvl w:val="2"/>
      </w:numPr>
      <w:spacing w:before="50" w:beforeLines="50" w:after="50" w:afterLines="50"/>
      <w:outlineLvl w:val="1"/>
    </w:pPr>
  </w:style>
  <w:style w:type="paragraph" w:customStyle="1" w:styleId="111">
    <w:name w:val="标准文件_一致程度"/>
    <w:basedOn w:val="1"/>
    <w:qFormat/>
    <w:uiPriority w:val="0"/>
    <w:pPr>
      <w:spacing w:line="440" w:lineRule="exact"/>
      <w:jc w:val="center"/>
    </w:pPr>
    <w:rPr>
      <w:sz w:val="28"/>
    </w:rPr>
  </w:style>
  <w:style w:type="paragraph" w:customStyle="1" w:styleId="112">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3">
    <w:name w:val="标准文件_英文图表脚注"/>
    <w:basedOn w:val="60"/>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5">
    <w:name w:val="标准文件_英文注："/>
    <w:basedOn w:val="1"/>
    <w:next w:val="61"/>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next w:val="61"/>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公式"/>
    <w:basedOn w:val="1"/>
    <w:next w:val="60"/>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next w:val="61"/>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20">
    <w:name w:val="标准文件_正文英文表标题"/>
    <w:next w:val="61"/>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1">
    <w:name w:val="标准文件_正文英文图标题"/>
    <w:next w:val="61"/>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2">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3">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4">
    <w:name w:val="发布部门"/>
    <w:next w:val="61"/>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6">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8">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9">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0">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1">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2">
    <w:name w:val="封面正文"/>
    <w:qFormat/>
    <w:uiPriority w:val="0"/>
    <w:pPr>
      <w:jc w:val="both"/>
    </w:pPr>
    <w:rPr>
      <w:rFonts w:ascii="Times New Roman" w:hAnsi="Times New Roman" w:eastAsia="宋体" w:cs="Times New Roman"/>
      <w:lang w:val="en-US" w:eastAsia="zh-CN" w:bidi="ar-SA"/>
    </w:rPr>
  </w:style>
  <w:style w:type="paragraph" w:customStyle="1" w:styleId="133">
    <w:name w:val="附录二级无标题条"/>
    <w:basedOn w:val="1"/>
    <w:next w:val="6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next w:val="61"/>
    <w:qFormat/>
    <w:uiPriority w:val="0"/>
    <w:pPr>
      <w:outlineLvl w:val="4"/>
    </w:pPr>
  </w:style>
  <w:style w:type="paragraph" w:customStyle="1" w:styleId="135">
    <w:name w:val="附录四级无标题条"/>
    <w:basedOn w:val="134"/>
    <w:next w:val="61"/>
    <w:qFormat/>
    <w:uiPriority w:val="0"/>
    <w:pPr>
      <w:outlineLvl w:val="5"/>
    </w:pPr>
  </w:style>
  <w:style w:type="paragraph" w:customStyle="1" w:styleId="136">
    <w:name w:val="附录图"/>
    <w:next w:val="61"/>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7">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8">
    <w:name w:val="附录五级无标题条"/>
    <w:basedOn w:val="135"/>
    <w:next w:val="61"/>
    <w:qFormat/>
    <w:uiPriority w:val="0"/>
    <w:pPr>
      <w:outlineLvl w:val="6"/>
    </w:pPr>
  </w:style>
  <w:style w:type="paragraph" w:customStyle="1" w:styleId="139">
    <w:name w:val="附录性质"/>
    <w:basedOn w:val="1"/>
    <w:qFormat/>
    <w:uiPriority w:val="0"/>
    <w:pPr>
      <w:widowControl/>
      <w:adjustRightInd/>
      <w:jc w:val="center"/>
    </w:pPr>
    <w:rPr>
      <w:rFonts w:ascii="黑体" w:eastAsia="黑体"/>
    </w:rPr>
  </w:style>
  <w:style w:type="paragraph" w:customStyle="1" w:styleId="140">
    <w:name w:val="附录一级无标题条"/>
    <w:basedOn w:val="92"/>
    <w:next w:val="61"/>
    <w:qFormat/>
    <w:uiPriority w:val="0"/>
    <w:pPr>
      <w:autoSpaceDN w:val="0"/>
      <w:outlineLvl w:val="2"/>
    </w:pPr>
    <w:rPr>
      <w:rFonts w:ascii="宋体" w:hAnsi="宋体" w:eastAsia="宋体"/>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个人撰写风格"/>
    <w:qFormat/>
    <w:uiPriority w:val="0"/>
    <w:rPr>
      <w:rFonts w:ascii="Arial" w:hAnsi="Arial" w:eastAsia="宋体" w:cs="Arial"/>
      <w:color w:val="auto"/>
      <w:spacing w:val="0"/>
      <w:sz w:val="20"/>
    </w:rPr>
  </w:style>
  <w:style w:type="paragraph" w:customStyle="1" w:styleId="143">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4">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5">
    <w:name w:val="列项·"/>
    <w:basedOn w:val="61"/>
    <w:qFormat/>
    <w:uiPriority w:val="0"/>
    <w:pPr>
      <w:tabs>
        <w:tab w:val="left" w:pos="840"/>
      </w:tabs>
    </w:pPr>
  </w:style>
  <w:style w:type="paragraph" w:customStyle="1" w:styleId="14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7">
    <w:name w:val="目录 21"/>
    <w:basedOn w:val="1"/>
    <w:next w:val="1"/>
    <w:autoRedefine/>
    <w:semiHidden/>
    <w:qFormat/>
    <w:uiPriority w:val="0"/>
    <w:pPr>
      <w:adjustRightInd/>
      <w:spacing w:line="240" w:lineRule="auto"/>
      <w:jc w:val="left"/>
    </w:pPr>
    <w:rPr>
      <w:bCs/>
      <w:iCs/>
    </w:rPr>
  </w:style>
  <w:style w:type="paragraph" w:customStyle="1" w:styleId="148">
    <w:name w:val="目录 31"/>
    <w:basedOn w:val="1"/>
    <w:next w:val="1"/>
    <w:autoRedefine/>
    <w:semiHidden/>
    <w:qFormat/>
    <w:uiPriority w:val="0"/>
    <w:pPr>
      <w:spacing w:line="240" w:lineRule="auto"/>
    </w:pPr>
    <w:rPr>
      <w:rFonts w:ascii="宋体" w:hAnsi="宋体"/>
      <w:iCs/>
    </w:rPr>
  </w:style>
  <w:style w:type="paragraph" w:customStyle="1" w:styleId="149">
    <w:name w:val="目录 41"/>
    <w:basedOn w:val="1"/>
    <w:next w:val="1"/>
    <w:autoRedefine/>
    <w:semiHidden/>
    <w:qFormat/>
    <w:uiPriority w:val="0"/>
    <w:pPr>
      <w:adjustRightInd/>
      <w:spacing w:line="240" w:lineRule="auto"/>
      <w:jc w:val="left"/>
    </w:pPr>
  </w:style>
  <w:style w:type="paragraph" w:customStyle="1" w:styleId="150">
    <w:name w:val="目录 51"/>
    <w:basedOn w:val="1"/>
    <w:next w:val="1"/>
    <w:autoRedefine/>
    <w:semiHidden/>
    <w:qFormat/>
    <w:uiPriority w:val="0"/>
    <w:pPr>
      <w:spacing w:line="240" w:lineRule="auto"/>
    </w:pPr>
    <w:rPr>
      <w:rFonts w:ascii="宋体" w:hAnsi="宋体"/>
    </w:rPr>
  </w:style>
  <w:style w:type="paragraph" w:customStyle="1" w:styleId="151">
    <w:name w:val="目录 61"/>
    <w:basedOn w:val="1"/>
    <w:next w:val="1"/>
    <w:autoRedefine/>
    <w:semiHidden/>
    <w:qFormat/>
    <w:uiPriority w:val="0"/>
    <w:pPr>
      <w:adjustRightInd/>
      <w:spacing w:line="240" w:lineRule="auto"/>
      <w:jc w:val="left"/>
    </w:pPr>
  </w:style>
  <w:style w:type="paragraph" w:customStyle="1" w:styleId="152">
    <w:name w:val="目录 71"/>
    <w:basedOn w:val="151"/>
    <w:autoRedefine/>
    <w:semiHidden/>
    <w:qFormat/>
    <w:uiPriority w:val="0"/>
    <w:pPr>
      <w:ind w:left="1260"/>
    </w:pPr>
  </w:style>
  <w:style w:type="paragraph" w:customStyle="1" w:styleId="153">
    <w:name w:val="目录 81"/>
    <w:basedOn w:val="152"/>
    <w:autoRedefine/>
    <w:semiHidden/>
    <w:qFormat/>
    <w:uiPriority w:val="0"/>
    <w:pPr>
      <w:ind w:left="1470"/>
    </w:pPr>
  </w:style>
  <w:style w:type="paragraph" w:customStyle="1" w:styleId="154">
    <w:name w:val="目录 91"/>
    <w:basedOn w:val="153"/>
    <w:autoRedefine/>
    <w:semiHidden/>
    <w:qFormat/>
    <w:uiPriority w:val="0"/>
    <w:pPr>
      <w:ind w:left="1680"/>
    </w:pPr>
  </w:style>
  <w:style w:type="paragraph" w:customStyle="1" w:styleId="15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6">
    <w:name w:val="其他发布部门"/>
    <w:basedOn w:val="124"/>
    <w:qFormat/>
    <w:uiPriority w:val="0"/>
    <w:pPr>
      <w:framePr w:wrap="around"/>
      <w:spacing w:line="0" w:lineRule="atLeast"/>
    </w:pPr>
    <w:rPr>
      <w:rFonts w:ascii="黑体" w:eastAsia="黑体"/>
      <w:b w:val="0"/>
    </w:rPr>
  </w:style>
  <w:style w:type="paragraph" w:customStyle="1" w:styleId="157">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8">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9">
    <w:name w:val="实施日期"/>
    <w:basedOn w:val="125"/>
    <w:qFormat/>
    <w:uiPriority w:val="0"/>
    <w:pPr>
      <w:framePr w:hSpace="0" w:wrap="around" w:xAlign="right"/>
      <w:jc w:val="right"/>
    </w:pPr>
  </w:style>
  <w:style w:type="paragraph" w:customStyle="1" w:styleId="160">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1">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2">
    <w:name w:val="无标题条"/>
    <w:next w:val="61"/>
    <w:qFormat/>
    <w:uiPriority w:val="0"/>
    <w:pPr>
      <w:jc w:val="both"/>
    </w:pPr>
    <w:rPr>
      <w:rFonts w:ascii="宋体" w:hAnsi="宋体" w:eastAsia="宋体" w:cs="Times New Roman"/>
      <w:sz w:val="21"/>
      <w:lang w:val="en-US" w:eastAsia="zh-CN" w:bidi="ar-SA"/>
    </w:rPr>
  </w:style>
  <w:style w:type="paragraph" w:customStyle="1" w:styleId="163">
    <w:name w:val="五级无标题条"/>
    <w:basedOn w:val="1"/>
    <w:qFormat/>
    <w:uiPriority w:val="0"/>
    <w:pPr>
      <w:numPr>
        <w:ilvl w:val="6"/>
        <w:numId w:val="20"/>
      </w:numPr>
      <w:adjustRightInd/>
    </w:pPr>
    <w:rPr>
      <w:szCs w:val="24"/>
    </w:rPr>
  </w:style>
  <w:style w:type="paragraph" w:customStyle="1" w:styleId="164">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5">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6">
    <w:name w:val="注×:后续"/>
    <w:basedOn w:val="165"/>
    <w:qFormat/>
    <w:uiPriority w:val="0"/>
    <w:pPr>
      <w:ind w:left="1406" w:leftChars="0" w:hanging="499" w:firstLineChars="0"/>
    </w:pPr>
  </w:style>
  <w:style w:type="paragraph" w:customStyle="1" w:styleId="167">
    <w:name w:val="标准文件_一级无标题"/>
    <w:basedOn w:val="110"/>
    <w:qFormat/>
    <w:uiPriority w:val="0"/>
    <w:pPr>
      <w:spacing w:before="0" w:beforeLines="0" w:after="0" w:afterLines="0"/>
      <w:outlineLvl w:val="9"/>
    </w:pPr>
    <w:rPr>
      <w:rFonts w:ascii="宋体" w:eastAsia="宋体"/>
    </w:rPr>
  </w:style>
  <w:style w:type="paragraph" w:customStyle="1" w:styleId="168">
    <w:name w:val="标准文件_五级无标题"/>
    <w:basedOn w:val="108"/>
    <w:qFormat/>
    <w:uiPriority w:val="0"/>
    <w:pPr>
      <w:spacing w:before="0" w:beforeLines="0" w:after="0" w:afterLines="0"/>
      <w:outlineLvl w:val="9"/>
    </w:pPr>
    <w:rPr>
      <w:rFonts w:ascii="宋体" w:eastAsia="宋体"/>
    </w:rPr>
  </w:style>
  <w:style w:type="paragraph" w:customStyle="1" w:styleId="169">
    <w:name w:val="标准文件_三级无标题"/>
    <w:basedOn w:val="99"/>
    <w:qFormat/>
    <w:uiPriority w:val="0"/>
    <w:pPr>
      <w:spacing w:before="0" w:beforeLines="0" w:after="0" w:afterLines="0"/>
      <w:outlineLvl w:val="9"/>
    </w:pPr>
    <w:rPr>
      <w:rFonts w:ascii="宋体" w:eastAsia="宋体"/>
    </w:rPr>
  </w:style>
  <w:style w:type="paragraph" w:customStyle="1" w:styleId="170">
    <w:name w:val="标准文件_二级无标题"/>
    <w:basedOn w:val="70"/>
    <w:qFormat/>
    <w:uiPriority w:val="0"/>
    <w:pPr>
      <w:spacing w:before="0" w:beforeLines="0" w:after="0" w:afterLines="0"/>
      <w:outlineLvl w:val="9"/>
    </w:pPr>
    <w:rPr>
      <w:rFonts w:ascii="宋体" w:eastAsia="宋体"/>
    </w:rPr>
  </w:style>
  <w:style w:type="paragraph" w:customStyle="1" w:styleId="171">
    <w:name w:val="标准_四级无标题"/>
    <w:basedOn w:val="103"/>
    <w:next w:val="61"/>
    <w:qFormat/>
    <w:uiPriority w:val="0"/>
    <w:rPr>
      <w:rFonts w:eastAsia="宋体"/>
    </w:rPr>
  </w:style>
  <w:style w:type="paragraph" w:customStyle="1" w:styleId="172">
    <w:name w:val="标准文件_四级无标题"/>
    <w:basedOn w:val="103"/>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61"/>
    <w:qFormat/>
    <w:uiPriority w:val="0"/>
    <w:pPr>
      <w:numPr>
        <w:ilvl w:val="0"/>
        <w:numId w:val="23"/>
      </w:numPr>
      <w:ind w:firstLine="0" w:firstLineChars="0"/>
    </w:pPr>
    <w:rPr>
      <w:rFonts w:ascii="Times New Roman" w:cs="Arial"/>
      <w:szCs w:val="28"/>
    </w:rPr>
  </w:style>
  <w:style w:type="paragraph" w:customStyle="1" w:styleId="174">
    <w:name w:val="标准文件_小写罗马数字编号列项"/>
    <w:basedOn w:val="61"/>
    <w:qFormat/>
    <w:uiPriority w:val="0"/>
    <w:pPr>
      <w:numPr>
        <w:ilvl w:val="0"/>
        <w:numId w:val="24"/>
      </w:numPr>
      <w:ind w:firstLine="0" w:firstLineChars="0"/>
    </w:pPr>
    <w:rPr>
      <w:rFonts w:cs="Arial"/>
      <w:szCs w:val="28"/>
    </w:rPr>
  </w:style>
  <w:style w:type="paragraph" w:customStyle="1" w:styleId="175">
    <w:name w:val="标准文件_附录标题"/>
    <w:basedOn w:val="81"/>
    <w:qFormat/>
    <w:uiPriority w:val="0"/>
    <w:pPr>
      <w:numPr>
        <w:numId w:val="0"/>
      </w:numPr>
      <w:spacing w:after="280"/>
      <w:outlineLvl w:val="9"/>
    </w:pPr>
  </w:style>
  <w:style w:type="paragraph" w:customStyle="1" w:styleId="176">
    <w:name w:val="标准文件_二级项"/>
    <w:qFormat/>
    <w:uiPriority w:val="0"/>
    <w:rPr>
      <w:rFonts w:ascii="宋体" w:hAnsi="Times New Roman" w:eastAsia="宋体" w:cs="Times New Roman"/>
      <w:sz w:val="21"/>
      <w:lang w:val="en-US" w:eastAsia="zh-CN" w:bidi="ar-SA"/>
    </w:rPr>
  </w:style>
  <w:style w:type="paragraph" w:customStyle="1" w:styleId="177">
    <w:name w:val="标准文件_三级项"/>
    <w:basedOn w:val="1"/>
    <w:qFormat/>
    <w:uiPriority w:val="0"/>
    <w:pPr>
      <w:numPr>
        <w:ilvl w:val="2"/>
        <w:numId w:val="21"/>
      </w:numPr>
      <w:spacing w:line="536870612" w:lineRule="auto"/>
    </w:pPr>
    <w:rPr>
      <w:rFonts w:ascii="Times New Roman" w:hAnsi="Times New Roman"/>
    </w:rPr>
  </w:style>
  <w:style w:type="paragraph" w:customStyle="1" w:styleId="178">
    <w:name w:val="图表脚注说明"/>
    <w:basedOn w:val="1"/>
    <w:next w:val="61"/>
    <w:qFormat/>
    <w:uiPriority w:val="0"/>
    <w:pPr>
      <w:numPr>
        <w:ilvl w:val="0"/>
        <w:numId w:val="25"/>
      </w:numPr>
      <w:adjustRightInd/>
      <w:spacing w:line="240" w:lineRule="auto"/>
    </w:pPr>
    <w:rPr>
      <w:rFonts w:ascii="宋体" w:hAnsi="Times New Roman"/>
      <w:sz w:val="18"/>
      <w:szCs w:val="18"/>
    </w:rPr>
  </w:style>
  <w:style w:type="paragraph" w:customStyle="1" w:styleId="179">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0">
    <w:name w:val="标准文件_索引字母"/>
    <w:next w:val="61"/>
    <w:qFormat/>
    <w:uiPriority w:val="0"/>
    <w:pPr>
      <w:jc w:val="center"/>
    </w:pPr>
    <w:rPr>
      <w:rFonts w:ascii="宋体" w:hAnsi="宋体" w:eastAsia="Times New Roman" w:cs="Times New Roman"/>
      <w:b/>
      <w:kern w:val="2"/>
      <w:sz w:val="21"/>
      <w:lang w:val="en-US" w:eastAsia="zh-CN" w:bidi="ar-SA"/>
    </w:rPr>
  </w:style>
  <w:style w:type="paragraph" w:customStyle="1" w:styleId="181">
    <w:name w:val="标准文件_附录前"/>
    <w:next w:val="61"/>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2">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1"/>
    <w:qFormat/>
    <w:uiPriority w:val="0"/>
    <w:pPr>
      <w:ind w:firstLine="0" w:firstLineChars="0"/>
      <w:jc w:val="center"/>
    </w:pPr>
    <w:rPr>
      <w:sz w:val="18"/>
    </w:rPr>
  </w:style>
  <w:style w:type="paragraph" w:customStyle="1" w:styleId="184">
    <w:name w:val="标准文件_注："/>
    <w:next w:val="61"/>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6">
    <w:name w:val="标准文件_示例："/>
    <w:next w:val="187"/>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7">
    <w:name w:val="标准文件_示例内容"/>
    <w:basedOn w:val="61"/>
    <w:qFormat/>
    <w:uiPriority w:val="0"/>
    <w:pPr>
      <w:ind w:firstLine="420"/>
    </w:pPr>
    <w:rPr>
      <w:sz w:val="18"/>
    </w:rPr>
  </w:style>
  <w:style w:type="paragraph" w:customStyle="1" w:styleId="188">
    <w:name w:val="标准文件_示例×："/>
    <w:basedOn w:val="1"/>
    <w:next w:val="187"/>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9">
    <w:name w:val="标准文件_段 Char"/>
    <w:link w:val="61"/>
    <w:qFormat/>
    <w:uiPriority w:val="0"/>
    <w:rPr>
      <w:rFonts w:ascii="宋体" w:hAnsi="Times New Roman"/>
      <w:sz w:val="21"/>
    </w:rPr>
  </w:style>
  <w:style w:type="paragraph" w:customStyle="1" w:styleId="190">
    <w:name w:val="标准文件_表格续"/>
    <w:basedOn w:val="61"/>
    <w:next w:val="61"/>
    <w:qFormat/>
    <w:uiPriority w:val="0"/>
    <w:pPr>
      <w:jc w:val="center"/>
    </w:pPr>
    <w:rPr>
      <w:rFonts w:ascii="黑体" w:hAnsi="黑体" w:eastAsia="黑体"/>
    </w:rPr>
  </w:style>
  <w:style w:type="character" w:styleId="191">
    <w:name w:val="Placeholder Text"/>
    <w:basedOn w:val="31"/>
    <w:semiHidden/>
    <w:qFormat/>
    <w:uiPriority w:val="99"/>
    <w:rPr>
      <w:color w:val="808080"/>
    </w:rPr>
  </w:style>
  <w:style w:type="paragraph" w:customStyle="1" w:styleId="192">
    <w:name w:val="标准文件_二级项2"/>
    <w:basedOn w:val="61"/>
    <w:qFormat/>
    <w:uiPriority w:val="0"/>
    <w:pPr>
      <w:numPr>
        <w:ilvl w:val="1"/>
        <w:numId w:val="21"/>
      </w:numPr>
      <w:ind w:firstLine="0" w:firstLineChars="0"/>
    </w:pPr>
  </w:style>
  <w:style w:type="paragraph" w:customStyle="1" w:styleId="193">
    <w:name w:val="标准文件_三级项2"/>
    <w:basedOn w:val="61"/>
    <w:qFormat/>
    <w:uiPriority w:val="0"/>
    <w:pPr>
      <w:numPr>
        <w:ilvl w:val="0"/>
        <w:numId w:val="30"/>
      </w:numPr>
      <w:spacing w:line="300" w:lineRule="exact"/>
      <w:ind w:firstLineChars="0"/>
    </w:pPr>
    <w:rPr>
      <w:rFonts w:ascii="Times New Roman"/>
    </w:rPr>
  </w:style>
  <w:style w:type="paragraph" w:customStyle="1" w:styleId="194">
    <w:name w:val="标准文件_一级项2"/>
    <w:basedOn w:val="61"/>
    <w:qFormat/>
    <w:uiPriority w:val="0"/>
    <w:pPr>
      <w:numPr>
        <w:ilvl w:val="0"/>
        <w:numId w:val="31"/>
      </w:numPr>
      <w:spacing w:line="300" w:lineRule="exact"/>
      <w:ind w:firstLineChars="0"/>
    </w:pPr>
    <w:rPr>
      <w:rFonts w:ascii="Times New Roman"/>
    </w:rPr>
  </w:style>
  <w:style w:type="paragraph" w:customStyle="1" w:styleId="195">
    <w:name w:val="标准文件_提示"/>
    <w:basedOn w:val="61"/>
    <w:next w:val="61"/>
    <w:qFormat/>
    <w:uiPriority w:val="0"/>
    <w:pPr>
      <w:ind w:firstLine="420"/>
    </w:pPr>
    <w:rPr>
      <w:rFonts w:ascii="黑体" w:eastAsia="黑体"/>
    </w:rPr>
  </w:style>
  <w:style w:type="character" w:customStyle="1" w:styleId="196">
    <w:name w:val="标准文件_来源"/>
    <w:basedOn w:val="31"/>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8">
    <w:name w:val="其他发布日期"/>
    <w:basedOn w:val="125"/>
    <w:qFormat/>
    <w:uiPriority w:val="0"/>
    <w:pPr>
      <w:framePr w:w="3997" w:h="471" w:hRule="exact" w:hSpace="0" w:vSpace="181" w:wrap="around" w:vAnchor="page" w:hAnchor="page" w:x="1419" w:y="14097"/>
    </w:pPr>
  </w:style>
  <w:style w:type="paragraph" w:customStyle="1" w:styleId="199">
    <w:name w:val="其他实施日期"/>
    <w:basedOn w:val="159"/>
    <w:qFormat/>
    <w:uiPriority w:val="0"/>
    <w:pPr>
      <w:framePr w:w="3997" w:h="471" w:hRule="exact" w:vSpace="181" w:wrap="around" w:vAnchor="page" w:hAnchor="page" w:x="7089" w:y="14097"/>
    </w:pPr>
  </w:style>
  <w:style w:type="paragraph" w:customStyle="1" w:styleId="200">
    <w:name w:val="标准文件_文件编号"/>
    <w:basedOn w:val="61"/>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qFormat/>
    <w:uiPriority w:val="0"/>
    <w:pPr>
      <w:spacing w:before="57"/>
    </w:pPr>
    <w:rPr>
      <w:sz w:val="21"/>
    </w:rPr>
  </w:style>
  <w:style w:type="paragraph" w:customStyle="1" w:styleId="202">
    <w:name w:val="标准文件_文件名称"/>
    <w:basedOn w:val="61"/>
    <w:next w:val="61"/>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1"/>
    <w:next w:val="61"/>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1"/>
    <w:next w:val="61"/>
    <w:qFormat/>
    <w:uiPriority w:val="0"/>
    <w:pPr>
      <w:numPr>
        <w:ilvl w:val="0"/>
        <w:numId w:val="5"/>
      </w:numPr>
      <w:spacing w:line="14" w:lineRule="exact"/>
      <w:ind w:firstLine="0" w:firstLineChars="0"/>
      <w:jc w:val="center"/>
    </w:pPr>
    <w:rPr>
      <w:rFonts w:eastAsia="黑体"/>
      <w:vanish/>
      <w:sz w:val="2"/>
    </w:rPr>
  </w:style>
  <w:style w:type="paragraph" w:customStyle="1" w:styleId="205">
    <w:name w:val="标准文件_引言一级条标题"/>
    <w:basedOn w:val="61"/>
    <w:next w:val="61"/>
    <w:qFormat/>
    <w:uiPriority w:val="0"/>
    <w:pPr>
      <w:numPr>
        <w:ilvl w:val="1"/>
        <w:numId w:val="8"/>
      </w:numPr>
      <w:spacing w:before="50" w:beforeLines="50" w:after="50" w:afterLines="50"/>
      <w:ind w:firstLineChars="0"/>
    </w:pPr>
    <w:rPr>
      <w:rFonts w:ascii="黑体" w:eastAsia="黑体"/>
    </w:rPr>
  </w:style>
  <w:style w:type="paragraph" w:customStyle="1" w:styleId="206">
    <w:name w:val="标准文件_引言二级条标题"/>
    <w:basedOn w:val="61"/>
    <w:next w:val="61"/>
    <w:qFormat/>
    <w:uiPriority w:val="0"/>
    <w:pPr>
      <w:numPr>
        <w:ilvl w:val="2"/>
        <w:numId w:val="8"/>
      </w:numPr>
      <w:spacing w:before="50" w:beforeLines="50" w:after="50" w:afterLines="50"/>
      <w:ind w:firstLineChars="0"/>
    </w:pPr>
    <w:rPr>
      <w:rFonts w:ascii="黑体" w:eastAsia="黑体"/>
    </w:rPr>
  </w:style>
  <w:style w:type="paragraph" w:customStyle="1" w:styleId="207">
    <w:name w:val="标准文件_引言三级条标题"/>
    <w:basedOn w:val="61"/>
    <w:next w:val="61"/>
    <w:qFormat/>
    <w:uiPriority w:val="0"/>
    <w:pPr>
      <w:numPr>
        <w:ilvl w:val="3"/>
        <w:numId w:val="8"/>
      </w:numPr>
      <w:spacing w:before="50" w:beforeLines="50" w:after="50" w:afterLines="50"/>
      <w:ind w:firstLineChars="0"/>
    </w:pPr>
    <w:rPr>
      <w:rFonts w:ascii="黑体" w:eastAsia="黑体"/>
    </w:rPr>
  </w:style>
  <w:style w:type="paragraph" w:customStyle="1" w:styleId="208">
    <w:name w:val="标准文件_引言四级条标题"/>
    <w:basedOn w:val="61"/>
    <w:next w:val="61"/>
    <w:qFormat/>
    <w:uiPriority w:val="0"/>
    <w:pPr>
      <w:numPr>
        <w:ilvl w:val="4"/>
        <w:numId w:val="8"/>
      </w:numPr>
      <w:spacing w:before="50" w:beforeLines="50" w:after="50" w:afterLines="50"/>
      <w:ind w:firstLineChars="0"/>
    </w:pPr>
    <w:rPr>
      <w:rFonts w:ascii="黑体" w:eastAsia="黑体"/>
    </w:rPr>
  </w:style>
  <w:style w:type="paragraph" w:customStyle="1" w:styleId="209">
    <w:name w:val="标准文件_引言五级条标题"/>
    <w:basedOn w:val="61"/>
    <w:next w:val="61"/>
    <w:qFormat/>
    <w:uiPriority w:val="0"/>
    <w:pPr>
      <w:numPr>
        <w:ilvl w:val="5"/>
        <w:numId w:val="8"/>
      </w:numPr>
      <w:spacing w:before="50" w:beforeLines="50" w:after="50" w:afterLines="50"/>
      <w:ind w:firstLineChars="0"/>
    </w:pPr>
    <w:rPr>
      <w:rFonts w:ascii="黑体" w:eastAsia="黑体"/>
    </w:rPr>
  </w:style>
  <w:style w:type="paragraph" w:customStyle="1" w:styleId="210">
    <w:name w:val="标准文件_注后"/>
    <w:basedOn w:val="61"/>
    <w:qFormat/>
    <w:uiPriority w:val="0"/>
    <w:pPr>
      <w:ind w:left="811" w:firstLine="0" w:firstLineChars="0"/>
    </w:pPr>
    <w:rPr>
      <w:sz w:val="18"/>
    </w:rPr>
  </w:style>
  <w:style w:type="paragraph" w:customStyle="1" w:styleId="211">
    <w:name w:val="标准文件_注X后"/>
    <w:basedOn w:val="61"/>
    <w:qFormat/>
    <w:uiPriority w:val="0"/>
    <w:pPr>
      <w:ind w:left="811" w:firstLine="0" w:firstLineChars="0"/>
    </w:pPr>
    <w:rPr>
      <w:sz w:val="18"/>
    </w:rPr>
  </w:style>
  <w:style w:type="paragraph" w:customStyle="1" w:styleId="212">
    <w:name w:val="标准文件_示例后"/>
    <w:basedOn w:val="61"/>
    <w:qFormat/>
    <w:uiPriority w:val="0"/>
    <w:pPr>
      <w:ind w:left="964" w:firstLine="0" w:firstLineChars="0"/>
    </w:pPr>
    <w:rPr>
      <w:sz w:val="18"/>
    </w:rPr>
  </w:style>
  <w:style w:type="paragraph" w:customStyle="1" w:styleId="213">
    <w:name w:val="标准文件_示例X后"/>
    <w:basedOn w:val="61"/>
    <w:link w:val="214"/>
    <w:qFormat/>
    <w:uiPriority w:val="0"/>
    <w:pPr>
      <w:ind w:left="1049" w:firstLine="0" w:firstLineChars="0"/>
    </w:pPr>
    <w:rPr>
      <w:sz w:val="18"/>
    </w:rPr>
  </w:style>
  <w:style w:type="character" w:customStyle="1" w:styleId="214">
    <w:name w:val="标准文件_示例X后 字符"/>
    <w:basedOn w:val="189"/>
    <w:link w:val="213"/>
    <w:qFormat/>
    <w:uiPriority w:val="0"/>
    <w:rPr>
      <w:rFonts w:ascii="宋体" w:hAnsi="Times New Roman"/>
      <w:sz w:val="18"/>
    </w:rPr>
  </w:style>
  <w:style w:type="paragraph" w:customStyle="1" w:styleId="215">
    <w:name w:val="标准文件_索引项"/>
    <w:basedOn w:val="61"/>
    <w:next w:val="61"/>
    <w:qFormat/>
    <w:uiPriority w:val="0"/>
    <w:pPr>
      <w:tabs>
        <w:tab w:val="right" w:leader="dot" w:pos="9356"/>
      </w:tabs>
      <w:ind w:left="210" w:hanging="210" w:firstLineChars="0"/>
      <w:jc w:val="left"/>
    </w:pPr>
  </w:style>
  <w:style w:type="paragraph" w:customStyle="1" w:styleId="216">
    <w:name w:val="标准文件_附录一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4"/>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7"/>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89"/>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next w:val="61"/>
    <w:qFormat/>
    <w:uiPriority w:val="0"/>
    <w:pPr>
      <w:spacing w:before="0" w:beforeLines="0" w:after="0" w:afterLines="0" w:line="276" w:lineRule="auto"/>
    </w:pPr>
    <w:rPr>
      <w:rFonts w:ascii="宋体" w:eastAsia="宋体"/>
    </w:rPr>
  </w:style>
  <w:style w:type="paragraph" w:customStyle="1" w:styleId="222">
    <w:name w:val="标准文件_引言二级无标题"/>
    <w:basedOn w:val="206"/>
    <w:next w:val="61"/>
    <w:qFormat/>
    <w:uiPriority w:val="0"/>
    <w:pPr>
      <w:spacing w:before="0" w:beforeLines="0" w:after="0" w:afterLines="0" w:line="276" w:lineRule="auto"/>
    </w:pPr>
    <w:rPr>
      <w:rFonts w:ascii="宋体" w:eastAsia="宋体"/>
    </w:rPr>
  </w:style>
  <w:style w:type="paragraph" w:customStyle="1" w:styleId="223">
    <w:name w:val="标准文件_引言三级无标题"/>
    <w:basedOn w:val="207"/>
    <w:qFormat/>
    <w:uiPriority w:val="0"/>
    <w:pPr>
      <w:spacing w:before="0" w:beforeLines="0" w:after="0" w:afterLines="0" w:line="276" w:lineRule="auto"/>
    </w:pPr>
    <w:rPr>
      <w:rFonts w:ascii="宋体" w:eastAsia="宋体"/>
    </w:rPr>
  </w:style>
  <w:style w:type="paragraph" w:customStyle="1" w:styleId="224">
    <w:name w:val="标准文件_引言四级无标题"/>
    <w:basedOn w:val="208"/>
    <w:next w:val="61"/>
    <w:qFormat/>
    <w:uiPriority w:val="0"/>
    <w:pPr>
      <w:spacing w:before="0" w:beforeLines="0" w:after="0" w:afterLines="0" w:line="276" w:lineRule="auto"/>
    </w:pPr>
    <w:rPr>
      <w:rFonts w:ascii="宋体" w:eastAsia="宋体"/>
    </w:rPr>
  </w:style>
  <w:style w:type="paragraph" w:customStyle="1" w:styleId="225">
    <w:name w:val="标准文件_引言五级无标题"/>
    <w:basedOn w:val="209"/>
    <w:next w:val="61"/>
    <w:qFormat/>
    <w:uiPriority w:val="0"/>
    <w:pPr>
      <w:spacing w:before="0" w:beforeLines="0" w:after="0" w:afterLines="0" w:line="276" w:lineRule="auto"/>
    </w:pPr>
    <w:rPr>
      <w:rFonts w:ascii="宋体" w:eastAsia="宋体"/>
    </w:rPr>
  </w:style>
  <w:style w:type="paragraph" w:customStyle="1" w:styleId="226">
    <w:name w:val="标准文件_索引标题"/>
    <w:basedOn w:val="68"/>
    <w:next w:val="61"/>
    <w:qFormat/>
    <w:uiPriority w:val="0"/>
    <w:rPr>
      <w:rFonts w:hAnsi="黑体"/>
    </w:rPr>
  </w:style>
  <w:style w:type="paragraph" w:customStyle="1" w:styleId="227">
    <w:name w:val="标准文件_脚注内容"/>
    <w:basedOn w:val="61"/>
    <w:qFormat/>
    <w:uiPriority w:val="0"/>
    <w:pPr>
      <w:ind w:left="400" w:leftChars="200" w:hanging="200" w:hangingChars="200"/>
    </w:pPr>
    <w:rPr>
      <w:sz w:val="15"/>
    </w:rPr>
  </w:style>
  <w:style w:type="paragraph" w:customStyle="1" w:styleId="228">
    <w:name w:val="标准文件_术语条一"/>
    <w:basedOn w:val="167"/>
    <w:next w:val="61"/>
    <w:qFormat/>
    <w:uiPriority w:val="0"/>
  </w:style>
  <w:style w:type="paragraph" w:customStyle="1" w:styleId="229">
    <w:name w:val="标准文件_术语条二"/>
    <w:basedOn w:val="170"/>
    <w:next w:val="61"/>
    <w:qFormat/>
    <w:uiPriority w:val="0"/>
  </w:style>
  <w:style w:type="paragraph" w:customStyle="1" w:styleId="230">
    <w:name w:val="标准文件_术语条三"/>
    <w:basedOn w:val="169"/>
    <w:next w:val="61"/>
    <w:qFormat/>
    <w:uiPriority w:val="0"/>
  </w:style>
  <w:style w:type="paragraph" w:customStyle="1" w:styleId="231">
    <w:name w:val="标准文件_术语条四"/>
    <w:basedOn w:val="172"/>
    <w:next w:val="61"/>
    <w:qFormat/>
    <w:uiPriority w:val="0"/>
  </w:style>
  <w:style w:type="paragraph" w:customStyle="1" w:styleId="232">
    <w:name w:val="标准文件_术语条五"/>
    <w:basedOn w:val="168"/>
    <w:next w:val="61"/>
    <w:qFormat/>
    <w:uiPriority w:val="0"/>
  </w:style>
  <w:style w:type="paragraph" w:customStyle="1" w:styleId="23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4">
    <w:name w:val="发布"/>
    <w:basedOn w:val="31"/>
    <w:qFormat/>
    <w:uiPriority w:val="0"/>
    <w:rPr>
      <w:rFonts w:ascii="黑体" w:eastAsia="黑体"/>
      <w:spacing w:val="85"/>
      <w:w w:val="100"/>
      <w:position w:val="3"/>
      <w:sz w:val="28"/>
      <w:szCs w:val="28"/>
    </w:rPr>
  </w:style>
  <w:style w:type="paragraph" w:customStyle="1" w:styleId="235">
    <w:name w:val="BodyText2"/>
    <w:basedOn w:val="1"/>
    <w:qFormat/>
    <w:uiPriority w:val="0"/>
    <w:pPr>
      <w:spacing w:after="120" w:line="480" w:lineRule="auto"/>
      <w:textAlignment w:val="baseline"/>
    </w:pPr>
    <w:rPr>
      <w:sz w:val="32"/>
      <w:szCs w:val="32"/>
    </w:rPr>
  </w:style>
  <w:style w:type="character" w:customStyle="1" w:styleId="236">
    <w:name w:val="批注文字 字符"/>
    <w:basedOn w:val="31"/>
    <w:link w:val="13"/>
    <w:semiHidden/>
    <w:qFormat/>
    <w:uiPriority w:val="99"/>
    <w:rPr>
      <w:rFonts w:ascii="Calibri" w:hAnsi="Calibri"/>
      <w:kern w:val="2"/>
      <w:sz w:val="21"/>
      <w:szCs w:val="21"/>
    </w:rPr>
  </w:style>
  <w:style w:type="character" w:customStyle="1" w:styleId="237">
    <w:name w:val="批注主题 字符"/>
    <w:basedOn w:val="236"/>
    <w:link w:val="28"/>
    <w:semiHidden/>
    <w:qFormat/>
    <w:uiPriority w:val="99"/>
    <w:rPr>
      <w:rFonts w:ascii="Calibri" w:hAnsi="Calibri"/>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glossaryDocument" Target="glossary/document.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3.jpeg"/><Relationship Id="rId18" Type="http://schemas.openxmlformats.org/officeDocument/2006/relationships/image" Target="media/image2.png"/><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2EEAE13B6E547B8B4EEF3DDFD7E2739"/>
        <w:style w:val=""/>
        <w:category>
          <w:name w:val="常规"/>
          <w:gallery w:val="placeholder"/>
        </w:category>
        <w:types>
          <w:type w:val="bbPlcHdr"/>
        </w:types>
        <w:behaviors>
          <w:behavior w:val="content"/>
        </w:behaviors>
        <w:description w:val=""/>
        <w:guid w:val="{84E34AA5-3DA3-4D17-B9F2-1CD3FBEEEDFD}"/>
      </w:docPartPr>
      <w:docPartBody>
        <w:p w14:paraId="1E93FF97">
          <w:pPr>
            <w:pStyle w:val="5"/>
          </w:pPr>
          <w:r>
            <w:rPr>
              <w:rStyle w:val="4"/>
              <w:rFonts w:hint="eastAsia"/>
            </w:rPr>
            <w:t>单击或点击此处输入文字。</w:t>
          </w:r>
        </w:p>
      </w:docPartBody>
    </w:docPart>
    <w:docPart>
      <w:docPartPr>
        <w:name w:val="E138BC391756451D89FFCF9C4E8F3059"/>
        <w:style w:val=""/>
        <w:category>
          <w:name w:val="常规"/>
          <w:gallery w:val="placeholder"/>
        </w:category>
        <w:types>
          <w:type w:val="bbPlcHdr"/>
        </w:types>
        <w:behaviors>
          <w:behavior w:val="content"/>
        </w:behaviors>
        <w:description w:val=""/>
        <w:guid w:val="{07C76173-D0CE-4C92-B98C-E0317399A23E}"/>
      </w:docPartPr>
      <w:docPartBody>
        <w:p w14:paraId="65508F75">
          <w:pPr>
            <w:pStyle w:val="6"/>
          </w:pPr>
          <w:r>
            <w:rPr>
              <w:rStyle w:val="4"/>
              <w:rFonts w:hint="eastAsia"/>
            </w:rPr>
            <w:t>选择一项。</w:t>
          </w:r>
        </w:p>
      </w:docPartBody>
    </w:docPart>
    <w:docPart>
      <w:docPartPr>
        <w:name w:val="E6AD9BEE29E14D84B3AEF497F9CE223E"/>
        <w:style w:val=""/>
        <w:category>
          <w:name w:val="常规"/>
          <w:gallery w:val="placeholder"/>
        </w:category>
        <w:types>
          <w:type w:val="bbPlcHdr"/>
        </w:types>
        <w:behaviors>
          <w:behavior w:val="content"/>
        </w:behaviors>
        <w:description w:val=""/>
        <w:guid w:val="{9C9A8EA0-08C3-492E-B7A3-F84426F9AFB9}"/>
      </w:docPartPr>
      <w:docPartBody>
        <w:p w14:paraId="466A16BF">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E8D"/>
    <w:rsid w:val="000648F3"/>
    <w:rsid w:val="001B6E8D"/>
    <w:rsid w:val="00295A2B"/>
    <w:rsid w:val="00577276"/>
    <w:rsid w:val="00B04DEF"/>
    <w:rsid w:val="00B20771"/>
    <w:rsid w:val="00CF335A"/>
    <w:rsid w:val="00D363B7"/>
    <w:rsid w:val="00D42E70"/>
    <w:rsid w:val="00EE42B0"/>
    <w:rsid w:val="00FB3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2EEAE13B6E547B8B4EEF3DDFD7E273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138BC391756451D89FFCF9C4E8F305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6AD9BEE29E14D84B3AEF497F9CE223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6D6E6D-5FB2-406D-9D55-FD9C2347E2B8}">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8</Pages>
  <Words>3177</Words>
  <Characters>3445</Characters>
  <Lines>27</Lines>
  <Paragraphs>7</Paragraphs>
  <TotalTime>7</TotalTime>
  <ScaleCrop>false</ScaleCrop>
  <LinksUpToDate>false</LinksUpToDate>
  <CharactersWithSpaces>3527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2026-04-14T01:01:00Z</dcterms:created>
  <dc:creator>Administrator</dc:creator>
  <dc:description>&lt;config cover="true" show_menu="true" version="1.0.0" doctype="SDKXY"&gt;_x000d_
&lt;/config&gt;</dc:description>
  <cp:lastModifiedBy>zz</cp:lastModifiedBy>
  <cp:lastPrinted>2025-03-17T01:07:00Z</cp:lastPrinted>
  <dcterms:modified xsi:type="dcterms:W3CDTF">2026-05-09T00:31:46Z</dcterms:modified>
  <dc:title>团体标准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eyJoZGlkIjoiYTJiNzYwNjYyZTU4OTE3OTlhNWE5NWJlNWQ0ODcwYmUiLCJ1c2VySWQiOiI0OTE5MTUxOTIifQ==</vt:lpwstr>
  </property>
  <property fmtid="{D5CDD505-2E9C-101B-9397-08002B2CF9AE}" pid="15" name="KSOProductBuildVer">
    <vt:lpwstr>2052-12.1.0.25865</vt:lpwstr>
  </property>
  <property fmtid="{D5CDD505-2E9C-101B-9397-08002B2CF9AE}" pid="16" name="ICV">
    <vt:lpwstr>99748C26A19948DEBE10F2BE62D8255C_13</vt:lpwstr>
  </property>
</Properties>
</file>