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87A101D">
      <w:pPr>
        <w:spacing w:line="600" w:lineRule="exact"/>
        <w:ind w:firstLine="0" w:firstLineChars="0"/>
        <w:jc w:val="center"/>
        <w:rPr>
          <w:rFonts w:ascii="方正小标宋简体" w:hAnsi="宋体" w:eastAsia="方正小标宋简体"/>
          <w:color w:val="000000" w:themeColor="text1"/>
          <w:sz w:val="44"/>
          <w:szCs w:val="32"/>
          <w14:textFill>
            <w14:solidFill>
              <w14:schemeClr w14:val="tx1"/>
            </w14:solidFill>
          </w14:textFill>
        </w:rPr>
      </w:pPr>
      <w:r>
        <w:rPr>
          <w:rFonts w:hint="eastAsia" w:ascii="方正小标宋简体" w:hAnsi="宋体" w:eastAsia="方正小标宋简体"/>
          <w:color w:val="000000" w:themeColor="text1"/>
          <w:sz w:val="44"/>
          <w:szCs w:val="32"/>
          <w14:textFill>
            <w14:solidFill>
              <w14:schemeClr w14:val="tx1"/>
            </w14:solidFill>
          </w14:textFill>
        </w:rPr>
        <w:t>团体标准《农业科普纸媒作品评价规范》（</w:t>
      </w:r>
      <w:r>
        <w:rPr>
          <w:rFonts w:hint="eastAsia" w:ascii="方正小标宋简体" w:hAnsi="宋体" w:eastAsia="方正小标宋简体"/>
          <w:color w:val="000000" w:themeColor="text1"/>
          <w:sz w:val="44"/>
          <w:szCs w:val="32"/>
          <w:lang w:val="en-US" w:eastAsia="zh-CN"/>
          <w14:textFill>
            <w14:solidFill>
              <w14:schemeClr w14:val="tx1"/>
            </w14:solidFill>
          </w14:textFill>
        </w:rPr>
        <w:t>征求意见稿</w:t>
      </w:r>
      <w:r>
        <w:rPr>
          <w:rFonts w:hint="eastAsia" w:ascii="方正小标宋简体" w:hAnsi="宋体" w:eastAsia="方正小标宋简体"/>
          <w:color w:val="000000" w:themeColor="text1"/>
          <w:sz w:val="44"/>
          <w:szCs w:val="32"/>
          <w14:textFill>
            <w14:solidFill>
              <w14:schemeClr w14:val="tx1"/>
            </w14:solidFill>
          </w14:textFill>
        </w:rPr>
        <w:t>）编制说明</w:t>
      </w:r>
    </w:p>
    <w:p w14:paraId="340209DA">
      <w:pPr>
        <w:autoSpaceDE w:val="0"/>
        <w:autoSpaceDN w:val="0"/>
        <w:adjustRightInd w:val="0"/>
        <w:spacing w:before="156" w:beforeLines="50" w:after="156" w:afterLines="50" w:line="560" w:lineRule="exact"/>
        <w:ind w:firstLine="640"/>
        <w:jc w:val="left"/>
        <w:rPr>
          <w:rFonts w:ascii="黑体" w:hAnsi="黑体" w:eastAsia="黑体" w:cs="仿宋_GB2312"/>
          <w:color w:val="000000" w:themeColor="text1"/>
          <w:szCs w:val="32"/>
          <w14:textFill>
            <w14:solidFill>
              <w14:schemeClr w14:val="tx1"/>
            </w14:solidFill>
          </w14:textFill>
        </w:rPr>
      </w:pPr>
    </w:p>
    <w:p w14:paraId="018368D0">
      <w:pPr>
        <w:pStyle w:val="48"/>
        <w:spacing w:before="156" w:after="156"/>
        <w:rPr>
          <w:rFonts w:hint="default"/>
          <w:color w:val="000000" w:themeColor="text1"/>
          <w14:textFill>
            <w14:solidFill>
              <w14:schemeClr w14:val="tx1"/>
            </w14:solidFill>
          </w14:textFill>
        </w:rPr>
      </w:pPr>
      <w:r>
        <w:rPr>
          <w:color w:val="000000" w:themeColor="text1"/>
          <w14:textFill>
            <w14:solidFill>
              <w14:schemeClr w14:val="tx1"/>
            </w14:solidFill>
          </w14:textFill>
        </w:rPr>
        <w:t>一、任务来源、起草单位、主要起草人</w:t>
      </w:r>
    </w:p>
    <w:p w14:paraId="53A2CB79">
      <w:pPr>
        <w:pStyle w:val="49"/>
        <w:rPr>
          <w:rFonts w:hint="default"/>
          <w:color w:val="000000" w:themeColor="text1"/>
          <w14:textFill>
            <w14:solidFill>
              <w14:schemeClr w14:val="tx1"/>
            </w14:solidFill>
          </w14:textFill>
        </w:rPr>
      </w:pPr>
      <w:r>
        <w:rPr>
          <w:color w:val="000000" w:themeColor="text1"/>
          <w14:textFill>
            <w14:solidFill>
              <w14:schemeClr w14:val="tx1"/>
            </w14:solidFill>
          </w14:textFill>
        </w:rPr>
        <w:t>根据《广西标准化协会关于下达2025年第一批团体标准制修订项目计划的通知》（桂标协〔2025〕7号）文件精神，由广西壮族自治区农业科学院提出，广西壮族自治区亚热带作物研究所、广西标准化协会、农业农村部科技发展中心、云南省热带作物科学研究所等单位共同起草的团体标准《</w:t>
      </w:r>
      <w:r>
        <w:rPr>
          <w:rFonts w:hint="eastAsia"/>
          <w:color w:val="000000" w:themeColor="text1"/>
          <w14:textFill>
            <w14:solidFill>
              <w14:schemeClr w14:val="tx1"/>
            </w14:solidFill>
          </w14:textFill>
        </w:rPr>
        <w:t>农业科普纸媒作品评价规范</w:t>
      </w:r>
      <w:r>
        <w:rPr>
          <w:color w:val="000000" w:themeColor="text1"/>
          <w14:textFill>
            <w14:solidFill>
              <w14:schemeClr w14:val="tx1"/>
            </w14:solidFill>
          </w14:textFill>
        </w:rPr>
        <w:t>》（项目编号：2025-01</w:t>
      </w:r>
      <w:r>
        <w:rPr>
          <w:rFonts w:hint="eastAsia"/>
          <w:color w:val="000000" w:themeColor="text1"/>
          <w:lang w:val="en-US" w:eastAsia="zh-CN"/>
          <w14:textFill>
            <w14:solidFill>
              <w14:schemeClr w14:val="tx1"/>
            </w14:solidFill>
          </w14:textFill>
        </w:rPr>
        <w:t>17</w:t>
      </w:r>
      <w:r>
        <w:rPr>
          <w:color w:val="000000" w:themeColor="text1"/>
          <w14:textFill>
            <w14:solidFill>
              <w14:schemeClr w14:val="tx1"/>
            </w14:solidFill>
          </w14:textFill>
        </w:rPr>
        <w:t>）已获批立项。</w:t>
      </w:r>
    </w:p>
    <w:p w14:paraId="3E0EF8CE">
      <w:pPr>
        <w:pStyle w:val="49"/>
        <w:rPr>
          <w:rFonts w:hint="default"/>
          <w:color w:val="000000" w:themeColor="text1"/>
          <w:highlight w:val="yellow"/>
          <w14:textFill>
            <w14:solidFill>
              <w14:schemeClr w14:val="tx1"/>
            </w14:solidFill>
          </w14:textFill>
        </w:rPr>
      </w:pPr>
      <w:r>
        <w:rPr>
          <w:color w:val="000000" w:themeColor="text1"/>
          <w14:textFill>
            <w14:solidFill>
              <w14:schemeClr w14:val="tx1"/>
            </w14:solidFill>
          </w14:textFill>
        </w:rPr>
        <w:t>为高质量编制团体标准《</w:t>
      </w:r>
      <w:r>
        <w:rPr>
          <w:rFonts w:hint="eastAsia"/>
          <w:color w:val="000000" w:themeColor="text1"/>
          <w14:textFill>
            <w14:solidFill>
              <w14:schemeClr w14:val="tx1"/>
            </w14:solidFill>
          </w14:textFill>
        </w:rPr>
        <w:t>农业科普纸媒作品评价规范</w:t>
      </w:r>
      <w:r>
        <w:rPr>
          <w:color w:val="000000" w:themeColor="text1"/>
          <w14:textFill>
            <w14:solidFill>
              <w14:schemeClr w14:val="tx1"/>
            </w14:solidFill>
          </w14:textFill>
        </w:rPr>
        <w:t>》，由起草单位成立标准编制工作组并进行如下分工：</w:t>
      </w:r>
    </w:p>
    <w:tbl>
      <w:tblPr>
        <w:tblStyle w:val="12"/>
        <w:tblW w:w="9638" w:type="dxa"/>
        <w:jc w:val="center"/>
        <w:tblLayout w:type="fixed"/>
        <w:tblCellMar>
          <w:top w:w="0" w:type="dxa"/>
          <w:left w:w="108" w:type="dxa"/>
          <w:bottom w:w="0" w:type="dxa"/>
          <w:right w:w="108" w:type="dxa"/>
        </w:tblCellMar>
      </w:tblPr>
      <w:tblGrid>
        <w:gridCol w:w="1049"/>
        <w:gridCol w:w="1276"/>
        <w:gridCol w:w="1559"/>
        <w:gridCol w:w="2126"/>
        <w:gridCol w:w="3628"/>
      </w:tblGrid>
      <w:tr w14:paraId="37AAF324">
        <w:tblPrEx>
          <w:tblCellMar>
            <w:top w:w="0" w:type="dxa"/>
            <w:left w:w="108" w:type="dxa"/>
            <w:bottom w:w="0" w:type="dxa"/>
            <w:right w:w="108" w:type="dxa"/>
          </w:tblCellMar>
        </w:tblPrEx>
        <w:trPr>
          <w:cantSplit/>
          <w:trHeight w:val="576" w:hRule="atLeast"/>
          <w:jc w:val="center"/>
        </w:trPr>
        <w:tc>
          <w:tcPr>
            <w:tcW w:w="1049" w:type="dxa"/>
            <w:tcBorders>
              <w:top w:val="single" w:color="auto" w:sz="4" w:space="0"/>
              <w:left w:val="single" w:color="auto" w:sz="4" w:space="0"/>
              <w:bottom w:val="single" w:color="auto" w:sz="4" w:space="0"/>
              <w:right w:val="single" w:color="auto" w:sz="4" w:space="0"/>
            </w:tcBorders>
            <w:vAlign w:val="center"/>
          </w:tcPr>
          <w:p w14:paraId="7791B38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eastAsia="仿宋"/>
                <w:b/>
                <w:bCs/>
                <w:color w:val="000000" w:themeColor="text1"/>
                <w:sz w:val="24"/>
                <w:highlight w:val="none"/>
                <w14:textFill>
                  <w14:solidFill>
                    <w14:schemeClr w14:val="tx1"/>
                  </w14:solidFill>
                </w14:textFill>
              </w:rPr>
            </w:pPr>
            <w:r>
              <w:rPr>
                <w:rFonts w:eastAsia="仿宋"/>
                <w:b/>
                <w:bCs/>
                <w:color w:val="000000" w:themeColor="text1"/>
                <w:sz w:val="24"/>
                <w:highlight w:val="none"/>
                <w14:textFill>
                  <w14:solidFill>
                    <w14:schemeClr w14:val="tx1"/>
                  </w14:solidFill>
                </w14:textFill>
              </w:rPr>
              <w:t>姓  名</w:t>
            </w:r>
          </w:p>
        </w:tc>
        <w:tc>
          <w:tcPr>
            <w:tcW w:w="1276" w:type="dxa"/>
            <w:tcBorders>
              <w:top w:val="single" w:color="auto" w:sz="4" w:space="0"/>
              <w:left w:val="single" w:color="auto" w:sz="4" w:space="0"/>
              <w:bottom w:val="single" w:color="auto" w:sz="4" w:space="0"/>
              <w:right w:val="single" w:color="auto" w:sz="4" w:space="0"/>
            </w:tcBorders>
            <w:vAlign w:val="center"/>
          </w:tcPr>
          <w:p w14:paraId="4805790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eastAsia="仿宋"/>
                <w:b/>
                <w:bCs/>
                <w:color w:val="000000" w:themeColor="text1"/>
                <w:sz w:val="24"/>
                <w:highlight w:val="none"/>
                <w14:textFill>
                  <w14:solidFill>
                    <w14:schemeClr w14:val="tx1"/>
                  </w14:solidFill>
                </w14:textFill>
              </w:rPr>
            </w:pPr>
            <w:r>
              <w:rPr>
                <w:rFonts w:eastAsia="仿宋"/>
                <w:b/>
                <w:bCs/>
                <w:color w:val="000000" w:themeColor="text1"/>
                <w:sz w:val="24"/>
                <w:highlight w:val="none"/>
                <w14:textFill>
                  <w14:solidFill>
                    <w14:schemeClr w14:val="tx1"/>
                  </w14:solidFill>
                </w14:textFill>
              </w:rPr>
              <w:t>职称/职位</w:t>
            </w:r>
          </w:p>
        </w:tc>
        <w:tc>
          <w:tcPr>
            <w:tcW w:w="1559" w:type="dxa"/>
            <w:tcBorders>
              <w:top w:val="single" w:color="auto" w:sz="4" w:space="0"/>
              <w:left w:val="single" w:color="auto" w:sz="4" w:space="0"/>
              <w:bottom w:val="single" w:color="auto" w:sz="4" w:space="0"/>
              <w:right w:val="single" w:color="auto" w:sz="4" w:space="0"/>
            </w:tcBorders>
            <w:vAlign w:val="center"/>
          </w:tcPr>
          <w:p w14:paraId="723195B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eastAsia="仿宋"/>
                <w:b/>
                <w:bCs/>
                <w:color w:val="000000" w:themeColor="text1"/>
                <w:sz w:val="24"/>
                <w:highlight w:val="none"/>
                <w14:textFill>
                  <w14:solidFill>
                    <w14:schemeClr w14:val="tx1"/>
                  </w14:solidFill>
                </w14:textFill>
              </w:rPr>
            </w:pPr>
            <w:r>
              <w:rPr>
                <w:rFonts w:hint="eastAsia" w:eastAsia="仿宋"/>
                <w:b/>
                <w:bCs/>
                <w:color w:val="000000" w:themeColor="text1"/>
                <w:sz w:val="24"/>
                <w:highlight w:val="none"/>
                <w14:textFill>
                  <w14:solidFill>
                    <w14:schemeClr w14:val="tx1"/>
                  </w14:solidFill>
                </w14:textFill>
              </w:rPr>
              <w:t>从事专业</w:t>
            </w:r>
          </w:p>
        </w:tc>
        <w:tc>
          <w:tcPr>
            <w:tcW w:w="2126" w:type="dxa"/>
            <w:tcBorders>
              <w:top w:val="single" w:color="auto" w:sz="4" w:space="0"/>
              <w:left w:val="single" w:color="auto" w:sz="4" w:space="0"/>
              <w:bottom w:val="single" w:color="auto" w:sz="4" w:space="0"/>
              <w:right w:val="single" w:color="auto" w:sz="4" w:space="0"/>
            </w:tcBorders>
            <w:vAlign w:val="center"/>
          </w:tcPr>
          <w:p w14:paraId="244919E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eastAsia="仿宋"/>
                <w:b/>
                <w:bCs/>
                <w:color w:val="000000" w:themeColor="text1"/>
                <w:sz w:val="24"/>
                <w:highlight w:val="none"/>
                <w14:textFill>
                  <w14:solidFill>
                    <w14:schemeClr w14:val="tx1"/>
                  </w14:solidFill>
                </w14:textFill>
              </w:rPr>
            </w:pPr>
            <w:r>
              <w:rPr>
                <w:rFonts w:hint="eastAsia" w:eastAsia="仿宋"/>
                <w:b/>
                <w:bCs/>
                <w:color w:val="000000" w:themeColor="text1"/>
                <w:sz w:val="24"/>
                <w:highlight w:val="none"/>
                <w14:textFill>
                  <w14:solidFill>
                    <w14:schemeClr w14:val="tx1"/>
                  </w14:solidFill>
                </w14:textFill>
              </w:rPr>
              <w:t>工作单位</w:t>
            </w:r>
          </w:p>
        </w:tc>
        <w:tc>
          <w:tcPr>
            <w:tcW w:w="3628" w:type="dxa"/>
            <w:tcBorders>
              <w:top w:val="single" w:color="auto" w:sz="4" w:space="0"/>
              <w:left w:val="single" w:color="auto" w:sz="4" w:space="0"/>
              <w:bottom w:val="single" w:color="auto" w:sz="4" w:space="0"/>
              <w:right w:val="single" w:color="auto" w:sz="4" w:space="0"/>
            </w:tcBorders>
            <w:vAlign w:val="center"/>
          </w:tcPr>
          <w:p w14:paraId="77C0909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eastAsia="仿宋"/>
                <w:b/>
                <w:bCs/>
                <w:color w:val="000000" w:themeColor="text1"/>
                <w:sz w:val="24"/>
                <w:highlight w:val="none"/>
                <w14:textFill>
                  <w14:solidFill>
                    <w14:schemeClr w14:val="tx1"/>
                  </w14:solidFill>
                </w14:textFill>
              </w:rPr>
            </w:pPr>
            <w:r>
              <w:rPr>
                <w:rFonts w:eastAsia="仿宋"/>
                <w:b/>
                <w:bCs/>
                <w:color w:val="000000" w:themeColor="text1"/>
                <w:sz w:val="24"/>
                <w:highlight w:val="none"/>
                <w14:textFill>
                  <w14:solidFill>
                    <w14:schemeClr w14:val="tx1"/>
                  </w14:solidFill>
                </w14:textFill>
              </w:rPr>
              <w:t>主要负责工作</w:t>
            </w:r>
          </w:p>
        </w:tc>
      </w:tr>
      <w:tr w14:paraId="46495953">
        <w:tblPrEx>
          <w:tblCellMar>
            <w:top w:w="0" w:type="dxa"/>
            <w:left w:w="108" w:type="dxa"/>
            <w:bottom w:w="0" w:type="dxa"/>
            <w:right w:w="108" w:type="dxa"/>
          </w:tblCellMar>
        </w:tblPrEx>
        <w:trPr>
          <w:cantSplit/>
          <w:trHeight w:val="732" w:hRule="atLeast"/>
          <w:jc w:val="center"/>
        </w:trPr>
        <w:tc>
          <w:tcPr>
            <w:tcW w:w="1049" w:type="dxa"/>
            <w:tcBorders>
              <w:top w:val="single" w:color="auto" w:sz="4" w:space="0"/>
              <w:left w:val="single" w:color="auto" w:sz="4" w:space="0"/>
              <w:bottom w:val="single" w:color="auto" w:sz="4" w:space="0"/>
              <w:right w:val="single" w:color="008000" w:sz="4" w:space="0"/>
            </w:tcBorders>
            <w:vAlign w:val="center"/>
          </w:tcPr>
          <w:p w14:paraId="616C46E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刘思朝</w:t>
            </w:r>
          </w:p>
        </w:tc>
        <w:tc>
          <w:tcPr>
            <w:tcW w:w="1276" w:type="dxa"/>
            <w:tcBorders>
              <w:top w:val="single" w:color="auto" w:sz="4" w:space="0"/>
              <w:left w:val="single" w:color="auto" w:sz="4" w:space="0"/>
              <w:bottom w:val="single" w:color="auto" w:sz="4" w:space="0"/>
              <w:right w:val="single" w:color="auto" w:sz="4" w:space="0"/>
            </w:tcBorders>
            <w:vAlign w:val="center"/>
          </w:tcPr>
          <w:p w14:paraId="6A8ADDD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副主任/助理研究员</w:t>
            </w:r>
          </w:p>
        </w:tc>
        <w:tc>
          <w:tcPr>
            <w:tcW w:w="1559" w:type="dxa"/>
            <w:tcBorders>
              <w:top w:val="single" w:color="000000" w:sz="2" w:space="0"/>
              <w:left w:val="single" w:color="auto" w:sz="4" w:space="0"/>
              <w:bottom w:val="single" w:color="auto" w:sz="4" w:space="0"/>
              <w:right w:val="single" w:color="auto" w:sz="4" w:space="0"/>
            </w:tcBorders>
            <w:vAlign w:val="center"/>
          </w:tcPr>
          <w:p w14:paraId="673FC76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科普理论研究</w:t>
            </w:r>
          </w:p>
        </w:tc>
        <w:tc>
          <w:tcPr>
            <w:tcW w:w="2126" w:type="dxa"/>
            <w:tcBorders>
              <w:top w:val="single" w:color="auto" w:sz="4" w:space="0"/>
              <w:left w:val="single" w:color="auto" w:sz="4" w:space="0"/>
              <w:bottom w:val="single" w:color="auto" w:sz="4" w:space="0"/>
              <w:right w:val="single" w:color="auto" w:sz="4" w:space="0"/>
            </w:tcBorders>
            <w:vAlign w:val="center"/>
          </w:tcPr>
          <w:p w14:paraId="68234F2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广西壮族自治区亚热带作物研究所</w:t>
            </w:r>
          </w:p>
        </w:tc>
        <w:tc>
          <w:tcPr>
            <w:tcW w:w="3628" w:type="dxa"/>
            <w:tcBorders>
              <w:top w:val="single" w:color="auto" w:sz="4" w:space="0"/>
              <w:left w:val="single" w:color="auto" w:sz="4" w:space="0"/>
              <w:bottom w:val="single" w:color="auto" w:sz="4" w:space="0"/>
              <w:right w:val="single" w:color="auto" w:sz="4" w:space="0"/>
            </w:tcBorders>
            <w:vAlign w:val="center"/>
          </w:tcPr>
          <w:p w14:paraId="5A5B7A5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bidi="ar"/>
                <w14:textFill>
                  <w14:solidFill>
                    <w14:schemeClr w14:val="tx1"/>
                  </w14:solidFill>
                </w14:textFill>
              </w:rPr>
              <w:t>统筹主持标准编制工作</w:t>
            </w:r>
          </w:p>
        </w:tc>
      </w:tr>
      <w:tr w14:paraId="0B11311B">
        <w:tblPrEx>
          <w:tblCellMar>
            <w:top w:w="0" w:type="dxa"/>
            <w:left w:w="108" w:type="dxa"/>
            <w:bottom w:w="0" w:type="dxa"/>
            <w:right w:w="108" w:type="dxa"/>
          </w:tblCellMar>
        </w:tblPrEx>
        <w:trPr>
          <w:cantSplit/>
          <w:trHeight w:val="517" w:hRule="atLeast"/>
          <w:jc w:val="center"/>
        </w:trPr>
        <w:tc>
          <w:tcPr>
            <w:tcW w:w="1049" w:type="dxa"/>
            <w:tcBorders>
              <w:top w:val="single" w:color="auto" w:sz="4" w:space="0"/>
              <w:left w:val="single" w:color="auto" w:sz="4" w:space="0"/>
              <w:bottom w:val="single" w:color="auto" w:sz="4" w:space="0"/>
              <w:right w:val="single" w:color="008000" w:sz="4" w:space="0"/>
            </w:tcBorders>
            <w:vAlign w:val="center"/>
          </w:tcPr>
          <w:p w14:paraId="443657D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曹琬筝</w:t>
            </w:r>
          </w:p>
        </w:tc>
        <w:tc>
          <w:tcPr>
            <w:tcW w:w="1276" w:type="dxa"/>
            <w:tcBorders>
              <w:top w:val="single" w:color="auto" w:sz="4" w:space="0"/>
              <w:left w:val="single" w:color="auto" w:sz="4" w:space="0"/>
              <w:bottom w:val="single" w:color="auto" w:sz="4" w:space="0"/>
              <w:right w:val="single" w:color="auto" w:sz="4" w:space="0"/>
            </w:tcBorders>
            <w:vAlign w:val="center"/>
          </w:tcPr>
          <w:p w14:paraId="5071F0D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专业技术人员</w:t>
            </w:r>
          </w:p>
        </w:tc>
        <w:tc>
          <w:tcPr>
            <w:tcW w:w="1559" w:type="dxa"/>
            <w:tcBorders>
              <w:top w:val="single" w:color="000000" w:sz="2" w:space="0"/>
              <w:left w:val="single" w:color="auto" w:sz="4" w:space="0"/>
              <w:bottom w:val="single" w:color="auto" w:sz="4" w:space="0"/>
              <w:right w:val="single" w:color="auto" w:sz="4" w:space="0"/>
            </w:tcBorders>
            <w:vAlign w:val="center"/>
          </w:tcPr>
          <w:p w14:paraId="5F96A55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科普理论研究</w:t>
            </w:r>
          </w:p>
        </w:tc>
        <w:tc>
          <w:tcPr>
            <w:tcW w:w="2126" w:type="dxa"/>
            <w:tcBorders>
              <w:top w:val="single" w:color="auto" w:sz="4" w:space="0"/>
              <w:left w:val="single" w:color="auto" w:sz="4" w:space="0"/>
              <w:bottom w:val="single" w:color="auto" w:sz="4" w:space="0"/>
              <w:right w:val="single" w:color="auto" w:sz="4" w:space="0"/>
            </w:tcBorders>
            <w:vAlign w:val="center"/>
          </w:tcPr>
          <w:p w14:paraId="09010C1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广西壮族自治区亚热带作物研究所</w:t>
            </w:r>
          </w:p>
        </w:tc>
        <w:tc>
          <w:tcPr>
            <w:tcW w:w="3628" w:type="dxa"/>
            <w:tcBorders>
              <w:top w:val="single" w:color="auto" w:sz="4" w:space="0"/>
              <w:left w:val="single" w:color="auto" w:sz="4" w:space="0"/>
              <w:bottom w:val="single" w:color="auto" w:sz="4" w:space="0"/>
              <w:right w:val="single" w:color="auto" w:sz="4" w:space="0"/>
            </w:tcBorders>
            <w:vAlign w:val="center"/>
          </w:tcPr>
          <w:p w14:paraId="331C95D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bidi="ar"/>
                <w14:textFill>
                  <w14:solidFill>
                    <w14:schemeClr w14:val="tx1"/>
                  </w14:solidFill>
                </w14:textFill>
              </w:rPr>
              <w:t>参与标准编制工作，组织人员进行标准发布后的宣贯培训。</w:t>
            </w:r>
          </w:p>
        </w:tc>
      </w:tr>
      <w:tr w14:paraId="7C2ECE1D">
        <w:tblPrEx>
          <w:tblCellMar>
            <w:top w:w="0" w:type="dxa"/>
            <w:left w:w="108" w:type="dxa"/>
            <w:bottom w:w="0" w:type="dxa"/>
            <w:right w:w="108" w:type="dxa"/>
          </w:tblCellMar>
        </w:tblPrEx>
        <w:trPr>
          <w:cantSplit/>
          <w:trHeight w:val="517" w:hRule="atLeast"/>
          <w:jc w:val="center"/>
        </w:trPr>
        <w:tc>
          <w:tcPr>
            <w:tcW w:w="1049" w:type="dxa"/>
            <w:tcBorders>
              <w:top w:val="single" w:color="auto" w:sz="4" w:space="0"/>
              <w:left w:val="single" w:color="auto" w:sz="4" w:space="0"/>
              <w:bottom w:val="single" w:color="auto" w:sz="4" w:space="0"/>
              <w:right w:val="single" w:color="008000" w:sz="4" w:space="0"/>
            </w:tcBorders>
            <w:vAlign w:val="center"/>
          </w:tcPr>
          <w:p w14:paraId="09ADBDF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陆祖双</w:t>
            </w:r>
          </w:p>
        </w:tc>
        <w:tc>
          <w:tcPr>
            <w:tcW w:w="1276" w:type="dxa"/>
            <w:tcBorders>
              <w:top w:val="single" w:color="auto" w:sz="4" w:space="0"/>
              <w:left w:val="single" w:color="auto" w:sz="4" w:space="0"/>
              <w:bottom w:val="single" w:color="auto" w:sz="4" w:space="0"/>
              <w:right w:val="single" w:color="auto" w:sz="4" w:space="0"/>
            </w:tcBorders>
            <w:vAlign w:val="center"/>
          </w:tcPr>
          <w:p w14:paraId="5E4E8D3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副主任/高级农艺师</w:t>
            </w:r>
          </w:p>
        </w:tc>
        <w:tc>
          <w:tcPr>
            <w:tcW w:w="1559" w:type="dxa"/>
            <w:tcBorders>
              <w:top w:val="single" w:color="000000" w:sz="2" w:space="0"/>
              <w:left w:val="single" w:color="auto" w:sz="4" w:space="0"/>
              <w:bottom w:val="single" w:color="auto" w:sz="4" w:space="0"/>
              <w:right w:val="single" w:color="auto" w:sz="4" w:space="0"/>
            </w:tcBorders>
            <w:vAlign w:val="center"/>
          </w:tcPr>
          <w:p w14:paraId="3A2D0E9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科普作品创作</w:t>
            </w:r>
          </w:p>
        </w:tc>
        <w:tc>
          <w:tcPr>
            <w:tcW w:w="2126" w:type="dxa"/>
            <w:tcBorders>
              <w:top w:val="single" w:color="auto" w:sz="4" w:space="0"/>
              <w:left w:val="single" w:color="auto" w:sz="4" w:space="0"/>
              <w:bottom w:val="single" w:color="auto" w:sz="4" w:space="0"/>
              <w:right w:val="single" w:color="auto" w:sz="4" w:space="0"/>
            </w:tcBorders>
            <w:vAlign w:val="center"/>
          </w:tcPr>
          <w:p w14:paraId="36DDFDF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广西壮族自治区亚热带作物研究所</w:t>
            </w:r>
          </w:p>
        </w:tc>
        <w:tc>
          <w:tcPr>
            <w:tcW w:w="3628" w:type="dxa"/>
            <w:tcBorders>
              <w:top w:val="single" w:color="auto" w:sz="4" w:space="0"/>
              <w:left w:val="single" w:color="auto" w:sz="4" w:space="0"/>
              <w:bottom w:val="single" w:color="auto" w:sz="4" w:space="0"/>
              <w:right w:val="single" w:color="auto" w:sz="4" w:space="0"/>
            </w:tcBorders>
            <w:vAlign w:val="center"/>
          </w:tcPr>
          <w:p w14:paraId="685C120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bidi="ar"/>
                <w14:textFill>
                  <w14:solidFill>
                    <w14:schemeClr w14:val="tx1"/>
                  </w14:solidFill>
                </w14:textFill>
              </w:rPr>
              <w:t>参与标准文本及编制说明编写，质量控制。</w:t>
            </w:r>
          </w:p>
        </w:tc>
      </w:tr>
      <w:tr w14:paraId="6A521ABE">
        <w:tblPrEx>
          <w:tblCellMar>
            <w:top w:w="0" w:type="dxa"/>
            <w:left w:w="108" w:type="dxa"/>
            <w:bottom w:w="0" w:type="dxa"/>
            <w:right w:w="108" w:type="dxa"/>
          </w:tblCellMar>
        </w:tblPrEx>
        <w:trPr>
          <w:cantSplit/>
          <w:trHeight w:val="517" w:hRule="atLeast"/>
          <w:jc w:val="center"/>
        </w:trPr>
        <w:tc>
          <w:tcPr>
            <w:tcW w:w="1049" w:type="dxa"/>
            <w:tcBorders>
              <w:top w:val="single" w:color="auto" w:sz="4" w:space="0"/>
              <w:left w:val="single" w:color="auto" w:sz="4" w:space="0"/>
              <w:bottom w:val="single" w:color="auto" w:sz="4" w:space="0"/>
              <w:right w:val="single" w:color="008000" w:sz="4" w:space="0"/>
            </w:tcBorders>
            <w:shd w:val="clear" w:color="auto" w:fill="auto"/>
            <w:vAlign w:val="center"/>
          </w:tcPr>
          <w:p w14:paraId="58C1E1B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谢沐新</w:t>
            </w:r>
          </w:p>
        </w:tc>
        <w:tc>
          <w:tcPr>
            <w:tcW w:w="1276" w:type="dxa"/>
            <w:tcBorders>
              <w:top w:val="single" w:color="auto" w:sz="4" w:space="0"/>
              <w:left w:val="single" w:color="auto" w:sz="4" w:space="0"/>
              <w:bottom w:val="single" w:color="auto" w:sz="4" w:space="0"/>
              <w:right w:val="single" w:color="auto" w:sz="4" w:space="0"/>
            </w:tcBorders>
            <w:shd w:val="clear" w:color="auto" w:fill="auto"/>
            <w:vAlign w:val="center"/>
          </w:tcPr>
          <w:p w14:paraId="028A7A0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助理工程师</w:t>
            </w:r>
          </w:p>
        </w:tc>
        <w:tc>
          <w:tcPr>
            <w:tcW w:w="1559" w:type="dxa"/>
            <w:tcBorders>
              <w:top w:val="single" w:color="000000" w:sz="2" w:space="0"/>
              <w:left w:val="single" w:color="auto" w:sz="4" w:space="0"/>
              <w:bottom w:val="single" w:color="auto" w:sz="4" w:space="0"/>
              <w:right w:val="single" w:color="auto" w:sz="4" w:space="0"/>
            </w:tcBorders>
            <w:shd w:val="clear" w:color="auto" w:fill="auto"/>
            <w:vAlign w:val="center"/>
          </w:tcPr>
          <w:p w14:paraId="3F5A597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val="en-US" w:eastAsia="zh-CN"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标准化</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6BF16B4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val="en-US" w:eastAsia="zh-CN"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广西标准化协会</w:t>
            </w:r>
          </w:p>
        </w:tc>
        <w:tc>
          <w:tcPr>
            <w:tcW w:w="3628" w:type="dxa"/>
            <w:tcBorders>
              <w:top w:val="single" w:color="auto" w:sz="4" w:space="0"/>
              <w:left w:val="single" w:color="auto" w:sz="4" w:space="0"/>
              <w:bottom w:val="single" w:color="auto" w:sz="4" w:space="0"/>
              <w:right w:val="single" w:color="auto" w:sz="4" w:space="0"/>
            </w:tcBorders>
            <w:shd w:val="clear" w:color="auto" w:fill="auto"/>
            <w:vAlign w:val="center"/>
          </w:tcPr>
          <w:p w14:paraId="46979ED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bidi="ar"/>
                <w14:textFill>
                  <w14:solidFill>
                    <w14:schemeClr w14:val="tx1"/>
                  </w14:solidFill>
                </w14:textFill>
              </w:rPr>
              <w:t>参与标准文本及编制说明的编写；组织开展标准征求意见会；对标准实施情况进行总结分析，不断对地方标准提出修正意见。</w:t>
            </w:r>
          </w:p>
        </w:tc>
      </w:tr>
      <w:tr w14:paraId="7E1B6E98">
        <w:tblPrEx>
          <w:tblCellMar>
            <w:top w:w="0" w:type="dxa"/>
            <w:left w:w="108" w:type="dxa"/>
            <w:bottom w:w="0" w:type="dxa"/>
            <w:right w:w="108" w:type="dxa"/>
          </w:tblCellMar>
        </w:tblPrEx>
        <w:trPr>
          <w:cantSplit/>
          <w:trHeight w:val="517" w:hRule="atLeast"/>
          <w:jc w:val="center"/>
        </w:trPr>
        <w:tc>
          <w:tcPr>
            <w:tcW w:w="1049" w:type="dxa"/>
            <w:tcBorders>
              <w:top w:val="single" w:color="auto" w:sz="4" w:space="0"/>
              <w:left w:val="single" w:color="auto" w:sz="4" w:space="0"/>
              <w:bottom w:val="single" w:color="auto" w:sz="4" w:space="0"/>
              <w:right w:val="single" w:color="008000" w:sz="4" w:space="0"/>
            </w:tcBorders>
            <w:shd w:val="clear" w:color="auto" w:fill="auto"/>
            <w:vAlign w:val="center"/>
          </w:tcPr>
          <w:p w14:paraId="468299A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余炳宁</w:t>
            </w:r>
          </w:p>
        </w:tc>
        <w:tc>
          <w:tcPr>
            <w:tcW w:w="1276" w:type="dxa"/>
            <w:tcBorders>
              <w:top w:val="single" w:color="auto" w:sz="4" w:space="0"/>
              <w:left w:val="single" w:color="auto" w:sz="4" w:space="0"/>
              <w:bottom w:val="single" w:color="auto" w:sz="4" w:space="0"/>
              <w:right w:val="single" w:color="auto" w:sz="4" w:space="0"/>
            </w:tcBorders>
            <w:shd w:val="clear" w:color="auto" w:fill="auto"/>
            <w:vAlign w:val="center"/>
          </w:tcPr>
          <w:p w14:paraId="0A36072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副主任/高级农艺师</w:t>
            </w:r>
          </w:p>
        </w:tc>
        <w:tc>
          <w:tcPr>
            <w:tcW w:w="1559" w:type="dxa"/>
            <w:tcBorders>
              <w:top w:val="single" w:color="000000" w:sz="2" w:space="0"/>
              <w:left w:val="single" w:color="auto" w:sz="4" w:space="0"/>
              <w:bottom w:val="single" w:color="auto" w:sz="4" w:space="0"/>
              <w:right w:val="single" w:color="auto" w:sz="4" w:space="0"/>
            </w:tcBorders>
            <w:shd w:val="clear" w:color="auto" w:fill="auto"/>
            <w:vAlign w:val="center"/>
          </w:tcPr>
          <w:p w14:paraId="2C7293A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科普基地管理与建设研究</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422704A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广西壮族自治区亚热带作物研究所</w:t>
            </w:r>
          </w:p>
        </w:tc>
        <w:tc>
          <w:tcPr>
            <w:tcW w:w="3628" w:type="dxa"/>
            <w:tcBorders>
              <w:top w:val="single" w:color="auto" w:sz="4" w:space="0"/>
              <w:left w:val="single" w:color="auto" w:sz="4" w:space="0"/>
              <w:bottom w:val="single" w:color="auto" w:sz="4" w:space="0"/>
              <w:right w:val="single" w:color="auto" w:sz="4" w:space="0"/>
            </w:tcBorders>
            <w:shd w:val="clear" w:color="auto" w:fill="auto"/>
            <w:vAlign w:val="center"/>
          </w:tcPr>
          <w:p w14:paraId="3451064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bidi="ar"/>
                <w14:textFill>
                  <w14:solidFill>
                    <w14:schemeClr w14:val="tx1"/>
                  </w14:solidFill>
                </w14:textFill>
              </w:rPr>
              <w:t>参与标准文本及编制说明的编写；组织开展标准征求意见会；对标准实施情况进行总结分析，不断对地方标准提出修正意见。</w:t>
            </w:r>
          </w:p>
        </w:tc>
      </w:tr>
      <w:tr w14:paraId="1D38FB3E">
        <w:tblPrEx>
          <w:tblCellMar>
            <w:top w:w="0" w:type="dxa"/>
            <w:left w:w="108" w:type="dxa"/>
            <w:bottom w:w="0" w:type="dxa"/>
            <w:right w:w="108" w:type="dxa"/>
          </w:tblCellMar>
        </w:tblPrEx>
        <w:trPr>
          <w:cantSplit/>
          <w:trHeight w:val="517" w:hRule="atLeast"/>
          <w:jc w:val="center"/>
        </w:trPr>
        <w:tc>
          <w:tcPr>
            <w:tcW w:w="1049" w:type="dxa"/>
            <w:tcBorders>
              <w:top w:val="single" w:color="auto" w:sz="4" w:space="0"/>
              <w:left w:val="single" w:color="auto" w:sz="4" w:space="0"/>
              <w:bottom w:val="single" w:color="auto" w:sz="4" w:space="0"/>
              <w:right w:val="single" w:color="008000" w:sz="4" w:space="0"/>
            </w:tcBorders>
            <w:vAlign w:val="center"/>
          </w:tcPr>
          <w:p w14:paraId="02161DF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寇宗樾</w:t>
            </w:r>
          </w:p>
        </w:tc>
        <w:tc>
          <w:tcPr>
            <w:tcW w:w="1276" w:type="dxa"/>
            <w:tcBorders>
              <w:top w:val="single" w:color="auto" w:sz="4" w:space="0"/>
              <w:left w:val="single" w:color="auto" w:sz="4" w:space="0"/>
              <w:bottom w:val="single" w:color="auto" w:sz="4" w:space="0"/>
              <w:right w:val="single" w:color="auto" w:sz="4" w:space="0"/>
            </w:tcBorders>
            <w:vAlign w:val="center"/>
          </w:tcPr>
          <w:p w14:paraId="5016818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副主任科员/研究实习员</w:t>
            </w:r>
          </w:p>
        </w:tc>
        <w:tc>
          <w:tcPr>
            <w:tcW w:w="1559" w:type="dxa"/>
            <w:tcBorders>
              <w:top w:val="single" w:color="000000" w:sz="2" w:space="0"/>
              <w:left w:val="single" w:color="auto" w:sz="4" w:space="0"/>
              <w:bottom w:val="single" w:color="auto" w:sz="4" w:space="0"/>
              <w:right w:val="single" w:color="auto" w:sz="4" w:space="0"/>
            </w:tcBorders>
            <w:vAlign w:val="center"/>
          </w:tcPr>
          <w:p w14:paraId="43F2FA1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科普研究</w:t>
            </w:r>
          </w:p>
        </w:tc>
        <w:tc>
          <w:tcPr>
            <w:tcW w:w="2126" w:type="dxa"/>
            <w:tcBorders>
              <w:top w:val="single" w:color="auto" w:sz="4" w:space="0"/>
              <w:left w:val="single" w:color="auto" w:sz="4" w:space="0"/>
              <w:bottom w:val="single" w:color="auto" w:sz="4" w:space="0"/>
              <w:right w:val="single" w:color="auto" w:sz="4" w:space="0"/>
            </w:tcBorders>
            <w:vAlign w:val="center"/>
          </w:tcPr>
          <w:p w14:paraId="3F79ECD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农业农村部科技发展中心</w:t>
            </w:r>
          </w:p>
        </w:tc>
        <w:tc>
          <w:tcPr>
            <w:tcW w:w="3628" w:type="dxa"/>
            <w:tcBorders>
              <w:top w:val="single" w:color="auto" w:sz="4" w:space="0"/>
              <w:left w:val="single" w:color="auto" w:sz="4" w:space="0"/>
              <w:bottom w:val="single" w:color="auto" w:sz="4" w:space="0"/>
              <w:right w:val="single" w:color="auto" w:sz="4" w:space="0"/>
            </w:tcBorders>
            <w:vAlign w:val="center"/>
          </w:tcPr>
          <w:p w14:paraId="05ED531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bidi="ar"/>
                <w14:textFill>
                  <w14:solidFill>
                    <w14:schemeClr w14:val="tx1"/>
                  </w14:solidFill>
                </w14:textFill>
              </w:rPr>
              <w:t>参与标准文本及编制说明的编写；组织开展标准征求意见会；对标准实施情况进行总结分析，不断对地方标准提出修正意见。</w:t>
            </w:r>
          </w:p>
        </w:tc>
      </w:tr>
      <w:tr w14:paraId="26E8A80D">
        <w:tblPrEx>
          <w:tblCellMar>
            <w:top w:w="0" w:type="dxa"/>
            <w:left w:w="108" w:type="dxa"/>
            <w:bottom w:w="0" w:type="dxa"/>
            <w:right w:w="108" w:type="dxa"/>
          </w:tblCellMar>
        </w:tblPrEx>
        <w:trPr>
          <w:cantSplit/>
          <w:trHeight w:val="517" w:hRule="atLeast"/>
          <w:jc w:val="center"/>
        </w:trPr>
        <w:tc>
          <w:tcPr>
            <w:tcW w:w="1049" w:type="dxa"/>
            <w:tcBorders>
              <w:top w:val="single" w:color="auto" w:sz="4" w:space="0"/>
              <w:left w:val="single" w:color="auto" w:sz="4" w:space="0"/>
              <w:bottom w:val="single" w:color="auto" w:sz="4" w:space="0"/>
              <w:right w:val="single" w:color="008000" w:sz="4" w:space="0"/>
            </w:tcBorders>
            <w:vAlign w:val="center"/>
          </w:tcPr>
          <w:p w14:paraId="5D8DE73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蒋宏</w:t>
            </w:r>
          </w:p>
        </w:tc>
        <w:tc>
          <w:tcPr>
            <w:tcW w:w="1276" w:type="dxa"/>
            <w:tcBorders>
              <w:top w:val="single" w:color="auto" w:sz="4" w:space="0"/>
              <w:left w:val="single" w:color="auto" w:sz="4" w:space="0"/>
              <w:bottom w:val="single" w:color="auto" w:sz="4" w:space="0"/>
              <w:right w:val="single" w:color="auto" w:sz="4" w:space="0"/>
            </w:tcBorders>
            <w:shd w:val="clear" w:color="auto" w:fill="auto"/>
            <w:vAlign w:val="center"/>
          </w:tcPr>
          <w:p w14:paraId="6303BDE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专业技术人员/助理农艺师</w:t>
            </w:r>
          </w:p>
        </w:tc>
        <w:tc>
          <w:tcPr>
            <w:tcW w:w="1559" w:type="dxa"/>
            <w:tcBorders>
              <w:top w:val="single" w:color="000000" w:sz="2" w:space="0"/>
              <w:left w:val="single" w:color="auto" w:sz="4" w:space="0"/>
              <w:bottom w:val="single" w:color="auto" w:sz="4" w:space="0"/>
              <w:right w:val="single" w:color="auto" w:sz="4" w:space="0"/>
            </w:tcBorders>
            <w:shd w:val="clear" w:color="auto" w:fill="auto"/>
            <w:vAlign w:val="center"/>
          </w:tcPr>
          <w:p w14:paraId="20BC3A4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科普基地管理与建设研究</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43C04E3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广西壮族自治区亚热带作物研究所</w:t>
            </w:r>
          </w:p>
        </w:tc>
        <w:tc>
          <w:tcPr>
            <w:tcW w:w="3628" w:type="dxa"/>
            <w:tcBorders>
              <w:top w:val="single" w:color="auto" w:sz="4" w:space="0"/>
              <w:left w:val="single" w:color="auto" w:sz="4" w:space="0"/>
              <w:bottom w:val="single" w:color="auto" w:sz="4" w:space="0"/>
              <w:right w:val="single" w:color="auto" w:sz="4" w:space="0"/>
            </w:tcBorders>
            <w:vAlign w:val="center"/>
          </w:tcPr>
          <w:p w14:paraId="5A210F2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bidi="ar"/>
                <w14:textFill>
                  <w14:solidFill>
                    <w14:schemeClr w14:val="tx1"/>
                  </w14:solidFill>
                </w14:textFill>
              </w:rPr>
              <w:t>参与标准文本及编制说明的编写；组织开展标准征求意见会；对标准实施情况进行总结分析，不断对地方标准提出修正意见。</w:t>
            </w:r>
          </w:p>
        </w:tc>
      </w:tr>
      <w:tr w14:paraId="69DBD04E">
        <w:tblPrEx>
          <w:tblCellMar>
            <w:top w:w="0" w:type="dxa"/>
            <w:left w:w="108" w:type="dxa"/>
            <w:bottom w:w="0" w:type="dxa"/>
            <w:right w:w="108" w:type="dxa"/>
          </w:tblCellMar>
        </w:tblPrEx>
        <w:trPr>
          <w:cantSplit/>
          <w:trHeight w:val="517" w:hRule="atLeast"/>
          <w:jc w:val="center"/>
        </w:trPr>
        <w:tc>
          <w:tcPr>
            <w:tcW w:w="1049" w:type="dxa"/>
            <w:tcBorders>
              <w:top w:val="single" w:color="auto" w:sz="4" w:space="0"/>
              <w:left w:val="single" w:color="auto" w:sz="4" w:space="0"/>
              <w:bottom w:val="single" w:color="auto" w:sz="4" w:space="0"/>
              <w:right w:val="single" w:color="008000" w:sz="4" w:space="0"/>
            </w:tcBorders>
            <w:vAlign w:val="center"/>
          </w:tcPr>
          <w:p w14:paraId="7C1D45A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黄昶吟</w:t>
            </w:r>
          </w:p>
        </w:tc>
        <w:tc>
          <w:tcPr>
            <w:tcW w:w="1276" w:type="dxa"/>
            <w:tcBorders>
              <w:top w:val="single" w:color="auto" w:sz="4" w:space="0"/>
              <w:left w:val="single" w:color="auto" w:sz="4" w:space="0"/>
              <w:bottom w:val="single" w:color="auto" w:sz="4" w:space="0"/>
              <w:right w:val="single" w:color="auto" w:sz="4" w:space="0"/>
            </w:tcBorders>
            <w:vAlign w:val="center"/>
          </w:tcPr>
          <w:p w14:paraId="60E4248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专业技术人员</w:t>
            </w:r>
          </w:p>
        </w:tc>
        <w:tc>
          <w:tcPr>
            <w:tcW w:w="1559" w:type="dxa"/>
            <w:tcBorders>
              <w:top w:val="single" w:color="000000" w:sz="2" w:space="0"/>
              <w:left w:val="single" w:color="auto" w:sz="4" w:space="0"/>
              <w:bottom w:val="single" w:color="000000" w:sz="2" w:space="0"/>
              <w:right w:val="single" w:color="auto" w:sz="4" w:space="0"/>
            </w:tcBorders>
            <w:vAlign w:val="center"/>
          </w:tcPr>
          <w:p w14:paraId="5680663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科普理论研究</w:t>
            </w:r>
          </w:p>
        </w:tc>
        <w:tc>
          <w:tcPr>
            <w:tcW w:w="2126" w:type="dxa"/>
            <w:tcBorders>
              <w:top w:val="single" w:color="auto" w:sz="4" w:space="0"/>
              <w:left w:val="single" w:color="auto" w:sz="4" w:space="0"/>
              <w:bottom w:val="single" w:color="auto" w:sz="4" w:space="0"/>
              <w:right w:val="single" w:color="auto" w:sz="4" w:space="0"/>
            </w:tcBorders>
            <w:vAlign w:val="center"/>
          </w:tcPr>
          <w:p w14:paraId="0C55AC9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广西壮族自治区亚热带作物研究所</w:t>
            </w:r>
          </w:p>
        </w:tc>
        <w:tc>
          <w:tcPr>
            <w:tcW w:w="3628" w:type="dxa"/>
            <w:tcBorders>
              <w:top w:val="single" w:color="auto" w:sz="4" w:space="0"/>
              <w:left w:val="single" w:color="auto" w:sz="4" w:space="0"/>
              <w:bottom w:val="single" w:color="auto" w:sz="4" w:space="0"/>
              <w:right w:val="single" w:color="auto" w:sz="4" w:space="0"/>
            </w:tcBorders>
            <w:vAlign w:val="center"/>
          </w:tcPr>
          <w:p w14:paraId="42431DB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bidi="ar"/>
                <w14:textFill>
                  <w14:solidFill>
                    <w14:schemeClr w14:val="tx1"/>
                  </w14:solidFill>
                </w14:textFill>
              </w:rPr>
              <w:t>参与标准文本及编制说明的编写；组织开展标准征求意见会；对标准实施情况进行总结分析，不断对地方标准提出修正意见。</w:t>
            </w:r>
          </w:p>
        </w:tc>
      </w:tr>
      <w:tr w14:paraId="06F10035">
        <w:tblPrEx>
          <w:tblCellMar>
            <w:top w:w="0" w:type="dxa"/>
            <w:left w:w="108" w:type="dxa"/>
            <w:bottom w:w="0" w:type="dxa"/>
            <w:right w:w="108" w:type="dxa"/>
          </w:tblCellMar>
        </w:tblPrEx>
        <w:trPr>
          <w:cantSplit/>
          <w:trHeight w:val="517" w:hRule="atLeast"/>
          <w:jc w:val="center"/>
        </w:trPr>
        <w:tc>
          <w:tcPr>
            <w:tcW w:w="1049" w:type="dxa"/>
            <w:tcBorders>
              <w:top w:val="single" w:color="auto" w:sz="4" w:space="0"/>
              <w:left w:val="single" w:color="auto" w:sz="4" w:space="0"/>
              <w:bottom w:val="single" w:color="auto" w:sz="4" w:space="0"/>
              <w:right w:val="single" w:color="008000" w:sz="4" w:space="0"/>
            </w:tcBorders>
            <w:shd w:val="clear" w:color="auto" w:fill="auto"/>
            <w:vAlign w:val="center"/>
          </w:tcPr>
          <w:p w14:paraId="71A28A3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侯海洋</w:t>
            </w:r>
          </w:p>
        </w:tc>
        <w:tc>
          <w:tcPr>
            <w:tcW w:w="1276" w:type="dxa"/>
            <w:tcBorders>
              <w:top w:val="single" w:color="auto" w:sz="4" w:space="0"/>
              <w:left w:val="single" w:color="auto" w:sz="4" w:space="0"/>
              <w:bottom w:val="single" w:color="auto" w:sz="4" w:space="0"/>
              <w:right w:val="single" w:color="auto" w:sz="4" w:space="0"/>
            </w:tcBorders>
            <w:shd w:val="clear" w:color="auto" w:fill="auto"/>
            <w:vAlign w:val="center"/>
          </w:tcPr>
          <w:p w14:paraId="4971EE4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主任/高级经济师</w:t>
            </w:r>
          </w:p>
        </w:tc>
        <w:tc>
          <w:tcPr>
            <w:tcW w:w="1559" w:type="dxa"/>
            <w:tcBorders>
              <w:top w:val="single" w:color="000000" w:sz="2" w:space="0"/>
              <w:left w:val="single" w:color="auto" w:sz="4" w:space="0"/>
              <w:bottom w:val="single" w:color="000000" w:sz="2" w:space="0"/>
              <w:right w:val="single" w:color="auto" w:sz="4" w:space="0"/>
            </w:tcBorders>
            <w:shd w:val="clear" w:color="auto" w:fill="auto"/>
            <w:vAlign w:val="center"/>
          </w:tcPr>
          <w:p w14:paraId="6B73BD6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val="en-US" w:eastAsia="zh-CN"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科普作品创作</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67F174B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val="en-US" w:eastAsia="zh-CN" w:bidi="ar"/>
                <w14:textFill>
                  <w14:solidFill>
                    <w14:schemeClr w14:val="tx1"/>
                  </w14:solidFill>
                </w14:textFill>
              </w:rPr>
            </w:pPr>
            <w:r>
              <w:rPr>
                <w:rFonts w:hint="eastAsia" w:ascii="仿宋_GB2312" w:hAnsi="仿宋_GB2312" w:cs="仿宋_GB2312"/>
                <w:color w:val="000000" w:themeColor="text1"/>
                <w:sz w:val="24"/>
                <w:highlight w:val="none"/>
                <w:lang w:val="en-US" w:eastAsia="zh-CN" w:bidi="ar"/>
                <w14:textFill>
                  <w14:solidFill>
                    <w14:schemeClr w14:val="tx1"/>
                  </w14:solidFill>
                </w14:textFill>
              </w:rPr>
              <w:t>广西壮族自治区亚热带作物研究所</w:t>
            </w:r>
          </w:p>
        </w:tc>
        <w:tc>
          <w:tcPr>
            <w:tcW w:w="3628" w:type="dxa"/>
            <w:tcBorders>
              <w:top w:val="single" w:color="auto" w:sz="4" w:space="0"/>
              <w:left w:val="single" w:color="auto" w:sz="4" w:space="0"/>
              <w:bottom w:val="single" w:color="auto" w:sz="4" w:space="0"/>
              <w:right w:val="single" w:color="auto" w:sz="4" w:space="0"/>
            </w:tcBorders>
            <w:vAlign w:val="center"/>
          </w:tcPr>
          <w:p w14:paraId="4139EF4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_GB2312" w:hAnsi="仿宋_GB2312" w:cs="仿宋_GB2312"/>
                <w:color w:val="000000" w:themeColor="text1"/>
                <w:sz w:val="24"/>
                <w:highlight w:val="none"/>
                <w:lang w:bidi="ar"/>
                <w14:textFill>
                  <w14:solidFill>
                    <w14:schemeClr w14:val="tx1"/>
                  </w14:solidFill>
                </w14:textFill>
              </w:rPr>
            </w:pPr>
            <w:r>
              <w:rPr>
                <w:rFonts w:hint="eastAsia" w:ascii="仿宋_GB2312" w:hAnsi="仿宋_GB2312" w:cs="仿宋_GB2312"/>
                <w:color w:val="000000" w:themeColor="text1"/>
                <w:sz w:val="24"/>
                <w:highlight w:val="none"/>
                <w:lang w:bidi="ar"/>
                <w14:textFill>
                  <w14:solidFill>
                    <w14:schemeClr w14:val="tx1"/>
                  </w14:solidFill>
                </w14:textFill>
              </w:rPr>
              <w:t>参与标准文本及编制说明的编写；组织开展标准征求意见会；对标准实施情况进行总结分析，不断对地方标准提出修正意见。</w:t>
            </w:r>
          </w:p>
        </w:tc>
      </w:tr>
    </w:tbl>
    <w:p w14:paraId="7DA20A59">
      <w:pPr>
        <w:pStyle w:val="48"/>
        <w:spacing w:before="156" w:after="156"/>
        <w:rPr>
          <w:rFonts w:hint="default"/>
          <w:color w:val="000000" w:themeColor="text1"/>
          <w14:textFill>
            <w14:solidFill>
              <w14:schemeClr w14:val="tx1"/>
            </w14:solidFill>
          </w14:textFill>
        </w:rPr>
      </w:pPr>
      <w:r>
        <w:rPr>
          <w:color w:val="000000" w:themeColor="text1"/>
          <w14:textFill>
            <w14:solidFill>
              <w14:schemeClr w14:val="tx1"/>
            </w14:solidFill>
          </w14:textFill>
        </w:rPr>
        <w:t>二、制定标准的必要性和意义</w:t>
      </w:r>
    </w:p>
    <w:p w14:paraId="371ADDB2">
      <w:pPr>
        <w:pStyle w:val="49"/>
        <w:rPr>
          <w:rFonts w:hint="default" w:ascii="仿宋_GB2312" w:hAnsi="宋体"/>
          <w:color w:val="000000" w:themeColor="text1"/>
          <w:highlight w:val="none"/>
          <w14:textFill>
            <w14:solidFill>
              <w14:schemeClr w14:val="tx1"/>
            </w14:solidFill>
          </w14:textFill>
        </w:rPr>
      </w:pPr>
      <w:r>
        <w:rPr>
          <w:rFonts w:hint="default" w:ascii="仿宋_GB2312" w:hAnsi="宋体"/>
          <w:color w:val="000000" w:themeColor="text1"/>
          <w:highlight w:val="none"/>
          <w14:textFill>
            <w14:solidFill>
              <w14:schemeClr w14:val="tx1"/>
            </w14:solidFill>
          </w14:textFill>
        </w:rPr>
        <w:t>农业科普是实现农业科技创新发展的重要基础性工作，对于提升公众对农业的认知、促进农业科技的应用以及推动农业的可持续发展具有重要意义。农业科普，特别是农业植物科普的重要性日渐凸显，了解农业植物的特点、功能、生长习性等内容对国家的粮食安全，农业经济的持续发展和人们的生产生活都具有深远的意义。中共中央办 国务院出台《关于新时代进一步加强科学技术普及工作的意见》提出加强科普作品创作，加大对优秀科普作品的推广力度，以满足公众需求为导向，持续提升科普作品原创能力。科技部、中央宣传部、中国科协印发《“十四五”国家科学技术普及发展规划》中提出完善国家、地方科普作品奖评体系，提升优秀作品推介水平，激励更多优秀作品产出。国家自然科学基金委印发《国家自然科学基金委员会关于新时代加强科学普及工作的意见》培育科学基金科普品牌，策划制作高质量科普作品，提高科学基金科普成果宣传的成效。广西壮族自治区科普工作联席会议办公室印发《广西壮族自治区科学技术普及三年行动方案（2024—2026年）》提出加强科普作品创作，定期举办科普作品征集评选活动。不同行业出版、印发了各领域的作品评价标准或指导改革意见。例如中共中央办公厅 国务院办公厅印发《关于全国性文艺评奖制度改革的意见》中提出了规范全国性文艺评奖制度的若干意见，确保文艺作品的高质量发展。中央宣传部等五部门联合印发《关于加强新时代文艺评论工作的指导意见》中提出促进提高文艺作品的精神高度、文化内涵和艺术价值，为人民提供更好更多精神食粮。</w:t>
      </w:r>
    </w:p>
    <w:p w14:paraId="5A50D36D">
      <w:pPr>
        <w:pStyle w:val="49"/>
        <w:rPr>
          <w:rFonts w:hint="default" w:ascii="仿宋_GB2312" w:hAnsi="宋体"/>
          <w:color w:val="000000" w:themeColor="text1"/>
          <w:highlight w:val="none"/>
          <w14:textFill>
            <w14:solidFill>
              <w14:schemeClr w14:val="tx1"/>
            </w14:solidFill>
          </w14:textFill>
        </w:rPr>
      </w:pPr>
      <w:r>
        <w:rPr>
          <w:rFonts w:hint="eastAsia"/>
          <w:color w:val="000000" w:themeColor="text1"/>
          <w14:textFill>
            <w14:solidFill>
              <w14:schemeClr w14:val="tx1"/>
            </w14:solidFill>
          </w14:textFill>
        </w:rPr>
        <w:t>农业科普纸媒作品评价</w:t>
      </w:r>
      <w:r>
        <w:rPr>
          <w:rFonts w:hint="default" w:ascii="仿宋_GB2312" w:hAnsi="宋体"/>
          <w:color w:val="000000" w:themeColor="text1"/>
          <w:highlight w:val="none"/>
          <w14:textFill>
            <w14:solidFill>
              <w14:schemeClr w14:val="tx1"/>
            </w14:solidFill>
          </w14:textFill>
        </w:rPr>
        <w:t>标准化影响着农业科普作品的高质量发展，</w:t>
      </w:r>
      <w:r>
        <w:rPr>
          <w:rFonts w:hint="eastAsia"/>
          <w:color w:val="000000" w:themeColor="text1"/>
          <w14:textFill>
            <w14:solidFill>
              <w14:schemeClr w14:val="tx1"/>
            </w14:solidFill>
          </w14:textFill>
        </w:rPr>
        <w:t>农业科普纸媒作品</w:t>
      </w:r>
      <w:r>
        <w:rPr>
          <w:rFonts w:hint="default" w:ascii="仿宋_GB2312" w:hAnsi="宋体"/>
          <w:color w:val="000000" w:themeColor="text1"/>
          <w:highlight w:val="none"/>
          <w14:textFill>
            <w14:solidFill>
              <w14:schemeClr w14:val="tx1"/>
            </w14:solidFill>
          </w14:textFill>
        </w:rPr>
        <w:t>是农业科普作品中的重要组成部分，细化</w:t>
      </w:r>
      <w:r>
        <w:rPr>
          <w:rFonts w:hint="eastAsia"/>
          <w:color w:val="000000" w:themeColor="text1"/>
          <w14:textFill>
            <w14:solidFill>
              <w14:schemeClr w14:val="tx1"/>
            </w14:solidFill>
          </w14:textFill>
        </w:rPr>
        <w:t>农业科普纸媒作品评价</w:t>
      </w:r>
      <w:r>
        <w:rPr>
          <w:rFonts w:hint="default" w:ascii="仿宋_GB2312" w:hAnsi="宋体"/>
          <w:color w:val="000000" w:themeColor="text1"/>
          <w:highlight w:val="none"/>
          <w14:textFill>
            <w14:solidFill>
              <w14:schemeClr w14:val="tx1"/>
            </w14:solidFill>
          </w14:textFill>
        </w:rPr>
        <w:t>规范，有利于构建完整的农业科普作品评价体系，对于提升农业科普作品质量作用巨大，也保证了农业科普的传播质量。</w:t>
      </w:r>
    </w:p>
    <w:p w14:paraId="128604EA">
      <w:pPr>
        <w:pStyle w:val="49"/>
        <w:rPr>
          <w:rFonts w:hint="default" w:ascii="仿宋_GB2312" w:hAnsi="宋体"/>
          <w:color w:val="000000" w:themeColor="text1"/>
          <w:highlight w:val="none"/>
          <w14:textFill>
            <w14:solidFill>
              <w14:schemeClr w14:val="tx1"/>
            </w14:solidFill>
          </w14:textFill>
        </w:rPr>
      </w:pPr>
      <w:r>
        <w:rPr>
          <w:rFonts w:hint="default" w:ascii="仿宋_GB2312" w:hAnsi="宋体"/>
          <w:color w:val="000000" w:themeColor="text1"/>
          <w:highlight w:val="none"/>
          <w14:textFill>
            <w14:solidFill>
              <w14:schemeClr w14:val="tx1"/>
            </w14:solidFill>
          </w14:textFill>
        </w:rPr>
        <w:t>农业科普工作对推动农业科技成果转化和应用有着非常重要的作用，优秀的农业科普作品传达了正确性高、科学性强、方向性正的农业科普知识。据统计，2022年出版科普图书1.15万种，发行1.04亿册；2022年和2023年，少儿科普百科图书每年的动销品种数已超过6万种，这些数据均表明传统媒体科普作品在科普传播道路上依旧占据着重要角色。广西壮族自治区科学技术厅组织开展了2024年广西科普读物大赛，共收到参赛作品95部；2024年，亚热带农业生物资源保护与利用国家重点实验室第三届显微摄影大赛，共收到优秀作品89幅，涵盖了动植物、微生物、昆虫、物理、化学等领域。优秀的农业科普作品在推动农业科学知识传播、提升国民农业素质方面发挥了积极作用，保证农业科普作品的质量是推动农业科普高质量发展的重要手段，是培养宏大的农业高素质创新大军的重要途径，是增强国家自主创新能力和文化软实力、建设社会主义现代化强国的重要举措。农业科普</w:t>
      </w:r>
      <w:r>
        <w:rPr>
          <w:rFonts w:hint="eastAsia" w:ascii="仿宋_GB2312" w:hAnsi="宋体"/>
          <w:color w:val="000000" w:themeColor="text1"/>
          <w:highlight w:val="none"/>
          <w:lang w:val="en-US" w:eastAsia="zh-CN"/>
          <w14:textFill>
            <w14:solidFill>
              <w14:schemeClr w14:val="tx1"/>
            </w14:solidFill>
          </w14:textFill>
        </w:rPr>
        <w:t>纸媒</w:t>
      </w:r>
      <w:r>
        <w:rPr>
          <w:rFonts w:hint="default" w:ascii="仿宋_GB2312" w:hAnsi="宋体"/>
          <w:color w:val="000000" w:themeColor="text1"/>
          <w:highlight w:val="none"/>
          <w14:textFill>
            <w14:solidFill>
              <w14:schemeClr w14:val="tx1"/>
            </w14:solidFill>
          </w14:textFill>
        </w:rPr>
        <w:t>作品评价规范，有利于完善农业科普作品评价体系的内容，掌控农业科普知识的质量。</w:t>
      </w:r>
    </w:p>
    <w:p w14:paraId="6BE29491">
      <w:pPr>
        <w:pStyle w:val="48"/>
        <w:spacing w:before="156" w:after="156"/>
        <w:rPr>
          <w:rFonts w:hint="default"/>
          <w:color w:val="000000" w:themeColor="text1"/>
          <w14:textFill>
            <w14:solidFill>
              <w14:schemeClr w14:val="tx1"/>
            </w14:solidFill>
          </w14:textFill>
        </w:rPr>
      </w:pPr>
      <w:r>
        <w:rPr>
          <w:color w:val="000000" w:themeColor="text1"/>
          <w14:textFill>
            <w14:solidFill>
              <w14:schemeClr w14:val="tx1"/>
            </w14:solidFill>
          </w14:textFill>
        </w:rPr>
        <w:t>三、主要起草过程</w:t>
      </w:r>
    </w:p>
    <w:p w14:paraId="3A141B1B">
      <w:pPr>
        <w:pStyle w:val="50"/>
        <w:spacing w:before="156" w:after="156"/>
        <w:rPr>
          <w:rFonts w:hint="default"/>
          <w:color w:val="000000" w:themeColor="text1"/>
          <w14:textFill>
            <w14:solidFill>
              <w14:schemeClr w14:val="tx1"/>
            </w14:solidFill>
          </w14:textFill>
        </w:rPr>
      </w:pPr>
      <w:r>
        <w:rPr>
          <w:color w:val="000000" w:themeColor="text1"/>
          <w14:textFill>
            <w14:solidFill>
              <w14:schemeClr w14:val="tx1"/>
            </w14:solidFill>
          </w14:textFill>
        </w:rPr>
        <w:t>（一）成立标准编制工作组</w:t>
      </w:r>
    </w:p>
    <w:p w14:paraId="70B06390">
      <w:pPr>
        <w:pStyle w:val="49"/>
        <w:rPr>
          <w:rFonts w:hint="default" w:ascii="仿宋_GB2312" w:hAnsi="宋体"/>
          <w:color w:val="000000" w:themeColor="text1"/>
          <w14:textFill>
            <w14:solidFill>
              <w14:schemeClr w14:val="tx1"/>
            </w14:solidFill>
          </w14:textFill>
        </w:rPr>
      </w:pPr>
      <w:r>
        <w:rPr>
          <w:rFonts w:ascii="仿宋_GB2312" w:hAnsi="宋体"/>
          <w:color w:val="000000" w:themeColor="text1"/>
          <w14:textFill>
            <w14:solidFill>
              <w14:schemeClr w14:val="tx1"/>
            </w14:solidFill>
          </w14:textFill>
        </w:rPr>
        <w:t>团体标准《</w:t>
      </w:r>
      <w:r>
        <w:rPr>
          <w:rFonts w:hint="eastAsia"/>
          <w:color w:val="000000" w:themeColor="text1"/>
          <w14:textFill>
            <w14:solidFill>
              <w14:schemeClr w14:val="tx1"/>
            </w14:solidFill>
          </w14:textFill>
        </w:rPr>
        <w:t>农业科普纸媒作品评价规范</w:t>
      </w:r>
      <w:r>
        <w:rPr>
          <w:rFonts w:ascii="仿宋_GB2312" w:hAnsi="宋体"/>
          <w:color w:val="000000" w:themeColor="text1"/>
          <w14:textFill>
            <w14:solidFill>
              <w14:schemeClr w14:val="tx1"/>
            </w14:solidFill>
          </w14:textFill>
        </w:rPr>
        <w:t>》项目任务下达后，广西壮族自治区农业科学院成立了标准编制工作组，起草单位制定了起草编写方案与进度安排，明确任务职责，确定工作技术路线，开展标准研制工作。具体标准编制工作由广西壮族自治区亚热带作物研究所、广西标准化协会、农业农村部科技发展中心、云南省热带作物科学研究所等单位负责人组成的标准编制工作组完成。</w:t>
      </w:r>
    </w:p>
    <w:p w14:paraId="7111C986">
      <w:pPr>
        <w:pStyle w:val="49"/>
        <w:rPr>
          <w:rFonts w:hint="default"/>
          <w:color w:val="000000" w:themeColor="text1"/>
          <w14:textFill>
            <w14:solidFill>
              <w14:schemeClr w14:val="tx1"/>
            </w14:solidFill>
          </w14:textFill>
        </w:rPr>
      </w:pPr>
      <w:r>
        <w:rPr>
          <w:color w:val="000000" w:themeColor="text1"/>
          <w14:textFill>
            <w14:solidFill>
              <w14:schemeClr w14:val="tx1"/>
            </w14:solidFill>
          </w14:textFill>
        </w:rPr>
        <w:t>编制工作组下设三个组，分别是资料收集组、草案编写组、标准实施组。</w:t>
      </w:r>
    </w:p>
    <w:p w14:paraId="32CA61F0">
      <w:pPr>
        <w:pStyle w:val="49"/>
        <w:rPr>
          <w:rFonts w:hint="default"/>
          <w:color w:val="000000" w:themeColor="text1"/>
          <w14:textFill>
            <w14:solidFill>
              <w14:schemeClr w14:val="tx1"/>
            </w14:solidFill>
          </w14:textFill>
        </w:rPr>
      </w:pPr>
      <w:r>
        <w:rPr>
          <w:color w:val="000000" w:themeColor="text1"/>
          <w14:textFill>
            <w14:solidFill>
              <w14:schemeClr w14:val="tx1"/>
            </w14:solidFill>
          </w14:textFill>
        </w:rPr>
        <w:t>资料收集组负责国内外有关</w:t>
      </w:r>
      <w:r>
        <w:rPr>
          <w:rFonts w:ascii="仿宋_GB2312"/>
          <w:bCs/>
          <w:color w:val="000000" w:themeColor="text1"/>
          <w:szCs w:val="32"/>
          <w14:textFill>
            <w14:solidFill>
              <w14:schemeClr w14:val="tx1"/>
            </w14:solidFill>
          </w14:textFill>
        </w:rPr>
        <w:t>农业科普</w:t>
      </w:r>
      <w:r>
        <w:rPr>
          <w:rFonts w:hint="eastAsia" w:ascii="仿宋_GB2312"/>
          <w:bCs/>
          <w:color w:val="000000" w:themeColor="text1"/>
          <w:szCs w:val="32"/>
          <w:lang w:val="en-US" w:eastAsia="zh-CN"/>
          <w14:textFill>
            <w14:solidFill>
              <w14:schemeClr w14:val="tx1"/>
            </w14:solidFill>
          </w14:textFill>
        </w:rPr>
        <w:t>纸媒作品评价</w:t>
      </w:r>
      <w:r>
        <w:rPr>
          <w:color w:val="000000" w:themeColor="text1"/>
          <w14:textFill>
            <w14:solidFill>
              <w14:schemeClr w14:val="tx1"/>
            </w14:solidFill>
          </w14:textFill>
        </w:rPr>
        <w:t>的文献资料的查询、收集和整理工作，查阅前人对</w:t>
      </w:r>
      <w:r>
        <w:rPr>
          <w:rFonts w:hint="eastAsia"/>
          <w:color w:val="000000" w:themeColor="text1"/>
          <w14:textFill>
            <w14:solidFill>
              <w14:schemeClr w14:val="tx1"/>
            </w14:solidFill>
          </w14:textFill>
        </w:rPr>
        <w:t>农业科普纸媒作品评价</w:t>
      </w:r>
      <w:r>
        <w:rPr>
          <w:color w:val="000000" w:themeColor="text1"/>
          <w14:textFill>
            <w14:solidFill>
              <w14:schemeClr w14:val="tx1"/>
            </w14:solidFill>
          </w14:textFill>
        </w:rPr>
        <w:t>的研究情况。</w:t>
      </w:r>
    </w:p>
    <w:p w14:paraId="606BFDEF">
      <w:pPr>
        <w:pStyle w:val="49"/>
        <w:rPr>
          <w:rFonts w:hint="default"/>
          <w:color w:val="000000" w:themeColor="text1"/>
          <w14:textFill>
            <w14:solidFill>
              <w14:schemeClr w14:val="tx1"/>
            </w14:solidFill>
          </w14:textFill>
        </w:rPr>
      </w:pPr>
      <w:r>
        <w:rPr>
          <w:color w:val="000000" w:themeColor="text1"/>
          <w14:textFill>
            <w14:solidFill>
              <w14:schemeClr w14:val="tx1"/>
            </w14:solidFill>
          </w14:textFill>
        </w:rPr>
        <w:t>草案编写组负责起草标准草案、征求意见稿和标准编制说明、送审稿及编制说明的编写工作，包括后期召开征求意见会、网上征求意见，以及标准的不断修改和完善。</w:t>
      </w:r>
    </w:p>
    <w:p w14:paraId="50E32388">
      <w:pPr>
        <w:pStyle w:val="49"/>
        <w:rPr>
          <w:rFonts w:hint="default"/>
          <w:color w:val="000000" w:themeColor="text1"/>
          <w14:textFill>
            <w14:solidFill>
              <w14:schemeClr w14:val="tx1"/>
            </w14:solidFill>
          </w14:textFill>
        </w:rPr>
      </w:pPr>
      <w:r>
        <w:rPr>
          <w:color w:val="000000" w:themeColor="text1"/>
          <w14:textFill>
            <w14:solidFill>
              <w14:schemeClr w14:val="tx1"/>
            </w14:solidFill>
          </w14:textFill>
        </w:rPr>
        <w:t>标准实施组负责团体标准《</w:t>
      </w:r>
      <w:r>
        <w:rPr>
          <w:rFonts w:hint="eastAsia"/>
          <w:color w:val="000000" w:themeColor="text1"/>
          <w14:textFill>
            <w14:solidFill>
              <w14:schemeClr w14:val="tx1"/>
            </w14:solidFill>
          </w14:textFill>
        </w:rPr>
        <w:t>农业科普纸媒作品评价规范</w:t>
      </w:r>
      <w:r>
        <w:rPr>
          <w:color w:val="000000" w:themeColor="text1"/>
          <w14:textFill>
            <w14:solidFill>
              <w14:schemeClr w14:val="tx1"/>
            </w14:solidFill>
          </w14:textFill>
        </w:rPr>
        <w:t>》发布后，组织相关企事业单位开展标准宣贯培训会，对标准进行详细解读，让相关人员了解标准，并根据标准对</w:t>
      </w:r>
      <w:r>
        <w:rPr>
          <w:rFonts w:hint="eastAsia"/>
          <w:color w:val="000000" w:themeColor="text1"/>
          <w14:textFill>
            <w14:solidFill>
              <w14:schemeClr w14:val="tx1"/>
            </w14:solidFill>
          </w14:textFill>
        </w:rPr>
        <w:t>农业科普纸媒作品评价</w:t>
      </w:r>
      <w:r>
        <w:rPr>
          <w:color w:val="000000" w:themeColor="text1"/>
          <w14:textFill>
            <w14:solidFill>
              <w14:schemeClr w14:val="tx1"/>
            </w14:solidFill>
          </w14:textFill>
        </w:rPr>
        <w:t>进行规范化操作，并对标准实施情况进行总结分析，不断对团体标准提出修正意见。</w:t>
      </w:r>
    </w:p>
    <w:p w14:paraId="655AD571">
      <w:pPr>
        <w:pStyle w:val="50"/>
        <w:spacing w:before="156" w:after="156"/>
        <w:rPr>
          <w:rFonts w:hint="default"/>
          <w:color w:val="000000" w:themeColor="text1"/>
          <w14:textFill>
            <w14:solidFill>
              <w14:schemeClr w14:val="tx1"/>
            </w14:solidFill>
          </w14:textFill>
        </w:rPr>
      </w:pPr>
      <w:r>
        <w:rPr>
          <w:color w:val="000000" w:themeColor="text1"/>
          <w14:textFill>
            <w14:solidFill>
              <w14:schemeClr w14:val="tx1"/>
            </w14:solidFill>
          </w14:textFill>
        </w:rPr>
        <w:t>（二）收集整理文献资料</w:t>
      </w:r>
    </w:p>
    <w:p w14:paraId="59277FEE">
      <w:pPr>
        <w:pStyle w:val="49"/>
        <w:rPr>
          <w:rFonts w:ascii="仿宋_GB2312" w:hAnsi="宋体"/>
          <w:color w:val="auto"/>
          <w:highlight w:val="none"/>
          <w:lang w:val="fr-FR"/>
        </w:rPr>
      </w:pPr>
      <w:r>
        <w:rPr>
          <w:rFonts w:ascii="仿宋_GB2312" w:hAnsi="宋体"/>
          <w:color w:val="auto"/>
          <w:highlight w:val="none"/>
        </w:rPr>
        <w:t>标准编制工作组收集了国内有关</w:t>
      </w:r>
      <w:r>
        <w:rPr>
          <w:rFonts w:hint="eastAsia"/>
          <w:color w:val="auto"/>
          <w:highlight w:val="none"/>
        </w:rPr>
        <w:t>农业科普纸媒作品评价</w:t>
      </w:r>
      <w:r>
        <w:rPr>
          <w:rFonts w:ascii="仿宋_GB2312" w:hAnsi="宋体"/>
          <w:color w:val="auto"/>
          <w:highlight w:val="none"/>
        </w:rPr>
        <w:t>相关文献资料。主要有</w:t>
      </w:r>
      <w:r>
        <w:rPr>
          <w:rFonts w:ascii="仿宋_GB2312" w:hAnsi="宋体"/>
          <w:color w:val="auto"/>
          <w:highlight w:val="none"/>
          <w:lang w:val="fr-FR"/>
        </w:rPr>
        <w:t>：</w:t>
      </w:r>
    </w:p>
    <w:p w14:paraId="2A065891">
      <w:pPr>
        <w:pStyle w:val="49"/>
        <w:rPr>
          <w:rFonts w:hint="default"/>
          <w:color w:val="auto"/>
          <w:highlight w:val="none"/>
        </w:rPr>
      </w:pPr>
      <w:r>
        <w:rPr>
          <w:rFonts w:hint="eastAsia" w:ascii="仿宋_GB2312" w:hAnsi="宋体"/>
          <w:color w:val="auto"/>
          <w:highlight w:val="none"/>
          <w:lang w:val="fr-FR" w:eastAsia="zh-CN"/>
        </w:rPr>
        <w:t>《</w:t>
      </w:r>
      <w:r>
        <w:rPr>
          <w:rFonts w:hint="eastAsia" w:ascii="仿宋_GB2312" w:hAnsi="宋体"/>
          <w:color w:val="auto"/>
          <w:highlight w:val="none"/>
          <w:lang w:val="en-US" w:eastAsia="zh-CN"/>
        </w:rPr>
        <w:t>T/CSWA 003-2025 科普图书评定指标体系</w:t>
      </w:r>
      <w:r>
        <w:rPr>
          <w:rFonts w:hint="eastAsia" w:ascii="仿宋_GB2312" w:hAnsi="宋体"/>
          <w:color w:val="auto"/>
          <w:highlight w:val="none"/>
          <w:lang w:val="fr-FR" w:eastAsia="zh-CN"/>
        </w:rPr>
        <w:t>》</w:t>
      </w:r>
      <w:r>
        <w:rPr>
          <w:color w:val="auto"/>
          <w:highlight w:val="none"/>
        </w:rPr>
        <w:t>。</w:t>
      </w:r>
    </w:p>
    <w:p w14:paraId="37D32C5C">
      <w:pPr>
        <w:spacing w:before="156" w:beforeLines="50" w:after="156" w:afterLines="50" w:line="560" w:lineRule="exact"/>
        <w:ind w:firstLine="643"/>
        <w:rPr>
          <w:rFonts w:ascii="楷体" w:hAnsi="楷体" w:eastAsia="楷体" w:cs="仿宋_GB2312"/>
          <w:b/>
          <w:color w:val="auto"/>
          <w:szCs w:val="28"/>
          <w:highlight w:val="none"/>
        </w:rPr>
      </w:pPr>
      <w:r>
        <w:rPr>
          <w:rFonts w:hint="eastAsia" w:ascii="楷体" w:hAnsi="楷体" w:eastAsia="楷体" w:cs="仿宋_GB2312"/>
          <w:b/>
          <w:color w:val="auto"/>
          <w:szCs w:val="28"/>
          <w:highlight w:val="none"/>
        </w:rPr>
        <w:t>（三）研讨确定标准特色、创新点和主体内容</w:t>
      </w:r>
    </w:p>
    <w:p w14:paraId="546366E6">
      <w:pPr>
        <w:pStyle w:val="51"/>
        <w:rPr>
          <w:color w:val="auto"/>
          <w:highlight w:val="none"/>
        </w:rPr>
      </w:pPr>
      <w:r>
        <w:rPr>
          <w:rFonts w:hint="eastAsia"/>
          <w:color w:val="auto"/>
          <w:highlight w:val="none"/>
        </w:rPr>
        <w:t>1.特色</w:t>
      </w:r>
    </w:p>
    <w:p w14:paraId="7F8AC780">
      <w:pPr>
        <w:ind w:firstLine="640"/>
        <w:rPr>
          <w:rFonts w:ascii="仿宋_GB2312" w:hAnsi="宋体"/>
          <w:color w:val="000000" w:themeColor="text1"/>
          <w:szCs w:val="28"/>
          <w:highlight w:val="yellow"/>
          <w14:textFill>
            <w14:solidFill>
              <w14:schemeClr w14:val="tx1"/>
            </w14:solidFill>
          </w14:textFill>
        </w:rPr>
      </w:pPr>
      <w:r>
        <w:rPr>
          <w:rFonts w:hint="eastAsia"/>
          <w:color w:val="auto"/>
          <w:highlight w:val="none"/>
        </w:rPr>
        <w:t>农业科普纸媒作品</w:t>
      </w:r>
      <w:r>
        <w:rPr>
          <w:rFonts w:hint="eastAsia" w:ascii="仿宋_GB2312" w:hAnsi="宋体"/>
          <w:color w:val="auto"/>
          <w:szCs w:val="28"/>
          <w:highlight w:val="none"/>
        </w:rPr>
        <w:t>基于农业相关科学知识，创作兼具科学性、思想性、趣味性的科普</w:t>
      </w:r>
      <w:r>
        <w:rPr>
          <w:rFonts w:hint="eastAsia" w:ascii="仿宋_GB2312" w:hAnsi="宋体"/>
          <w:color w:val="auto"/>
          <w:szCs w:val="28"/>
          <w:highlight w:val="none"/>
          <w:lang w:val="en-US" w:eastAsia="zh-CN"/>
        </w:rPr>
        <w:t>作品</w:t>
      </w:r>
      <w:r>
        <w:rPr>
          <w:rFonts w:hint="eastAsia" w:ascii="仿宋_GB2312" w:hAnsi="宋体"/>
          <w:color w:val="auto"/>
          <w:szCs w:val="28"/>
          <w:highlight w:val="none"/>
        </w:rPr>
        <w:t>，本</w:t>
      </w:r>
      <w:r>
        <w:rPr>
          <w:rFonts w:ascii="仿宋_GB2312" w:hAnsi="宋体"/>
          <w:color w:val="auto"/>
          <w:szCs w:val="28"/>
          <w:highlight w:val="none"/>
        </w:rPr>
        <w:t>标准依托</w:t>
      </w:r>
      <w:r>
        <w:rPr>
          <w:rFonts w:hint="eastAsia" w:ascii="仿宋_GB2312" w:hAnsi="宋体"/>
          <w:color w:val="auto"/>
          <w:szCs w:val="28"/>
          <w:highlight w:val="none"/>
        </w:rPr>
        <w:t>于广西壮族自治区亚热带作物研究所等农业科普</w:t>
      </w:r>
      <w:r>
        <w:rPr>
          <w:rFonts w:hint="eastAsia" w:ascii="仿宋_GB2312" w:hAnsi="宋体"/>
          <w:color w:val="auto"/>
          <w:szCs w:val="28"/>
          <w:highlight w:val="none"/>
          <w:lang w:val="en-US" w:eastAsia="zh-CN"/>
        </w:rPr>
        <w:t>图书、漫画等传统媒体</w:t>
      </w:r>
      <w:r>
        <w:rPr>
          <w:rFonts w:hint="eastAsia" w:ascii="仿宋_GB2312" w:hAnsi="宋体"/>
          <w:color w:val="auto"/>
          <w:szCs w:val="28"/>
          <w:highlight w:val="none"/>
        </w:rPr>
        <w:t>作品创作</w:t>
      </w:r>
      <w:r>
        <w:rPr>
          <w:rFonts w:ascii="仿宋_GB2312" w:hAnsi="宋体"/>
          <w:color w:val="auto"/>
          <w:szCs w:val="28"/>
          <w:highlight w:val="none"/>
        </w:rPr>
        <w:t>经验，</w:t>
      </w:r>
      <w:r>
        <w:rPr>
          <w:rFonts w:hint="eastAsia" w:ascii="仿宋_GB2312" w:hAnsi="宋体"/>
          <w:color w:val="auto"/>
          <w:szCs w:val="28"/>
          <w:highlight w:val="none"/>
        </w:rPr>
        <w:t>提出了</w:t>
      </w:r>
      <w:r>
        <w:rPr>
          <w:rFonts w:hint="eastAsia"/>
          <w:color w:val="auto"/>
          <w:highlight w:val="none"/>
        </w:rPr>
        <w:t>农业科普纸媒作品评价规范</w:t>
      </w:r>
      <w:r>
        <w:rPr>
          <w:rFonts w:hint="eastAsia" w:ascii="仿宋_GB2312" w:hAnsi="宋体"/>
          <w:color w:val="auto"/>
          <w:szCs w:val="28"/>
          <w:highlight w:val="none"/>
        </w:rPr>
        <w:t>，</w:t>
      </w:r>
      <w:r>
        <w:rPr>
          <w:rFonts w:hint="eastAsia" w:hAnsi="宋体"/>
          <w:color w:val="000000" w:themeColor="text1"/>
          <w:szCs w:val="32"/>
          <w:highlight w:val="none"/>
          <w14:textFill>
            <w14:solidFill>
              <w14:schemeClr w14:val="tx1"/>
            </w14:solidFill>
          </w14:textFill>
        </w:rPr>
        <w:t>从</w:t>
      </w:r>
      <w:r>
        <w:rPr>
          <w:rFonts w:hint="eastAsia"/>
          <w:color w:val="auto"/>
          <w:highlight w:val="none"/>
        </w:rPr>
        <w:t>评价</w:t>
      </w:r>
      <w:r>
        <w:rPr>
          <w:rFonts w:hint="eastAsia"/>
          <w:color w:val="auto"/>
          <w:highlight w:val="none"/>
          <w:lang w:val="en-US" w:eastAsia="zh-CN"/>
        </w:rPr>
        <w:t>内容</w:t>
      </w:r>
      <w:r>
        <w:rPr>
          <w:rFonts w:hint="eastAsia"/>
          <w:color w:val="auto"/>
          <w:highlight w:val="none"/>
          <w:lang w:eastAsia="zh-CN"/>
        </w:rPr>
        <w:t>、</w:t>
      </w:r>
      <w:r>
        <w:rPr>
          <w:rFonts w:hint="eastAsia"/>
          <w:color w:val="auto"/>
          <w:highlight w:val="none"/>
          <w:lang w:val="en-US" w:eastAsia="zh-CN"/>
        </w:rPr>
        <w:t>评价方法、评价流程及要求和档案管理</w:t>
      </w:r>
      <w:r>
        <w:rPr>
          <w:rFonts w:hint="eastAsia" w:ascii="仿宋_GB2312" w:hAnsi="宋体"/>
          <w:color w:val="000000" w:themeColor="text1"/>
          <w:szCs w:val="28"/>
          <w:highlight w:val="none"/>
          <w14:textFill>
            <w14:solidFill>
              <w14:schemeClr w14:val="tx1"/>
            </w14:solidFill>
          </w14:textFill>
        </w:rPr>
        <w:t>等方面提出相关要求，使</w:t>
      </w:r>
      <w:r>
        <w:rPr>
          <w:rFonts w:hint="eastAsia"/>
          <w:color w:val="auto"/>
          <w:highlight w:val="none"/>
        </w:rPr>
        <w:t>农业科普纸媒作品</w:t>
      </w:r>
      <w:r>
        <w:rPr>
          <w:rFonts w:hint="eastAsia"/>
          <w:color w:val="auto"/>
          <w:highlight w:val="none"/>
          <w:lang w:val="en-US" w:eastAsia="zh-CN"/>
        </w:rPr>
        <w:t>评价</w:t>
      </w:r>
      <w:r>
        <w:rPr>
          <w:rFonts w:hint="eastAsia" w:ascii="仿宋_GB2312" w:hAnsi="宋体"/>
          <w:color w:val="000000" w:themeColor="text1"/>
          <w:szCs w:val="28"/>
          <w:highlight w:val="none"/>
          <w14:textFill>
            <w14:solidFill>
              <w14:schemeClr w14:val="tx1"/>
            </w14:solidFill>
          </w14:textFill>
        </w:rPr>
        <w:t>的工作内容更加标准化、规范化，从而为公众获取</w:t>
      </w:r>
      <w:r>
        <w:rPr>
          <w:rFonts w:ascii="仿宋_GB2312" w:hAnsi="宋体"/>
          <w:color w:val="000000" w:themeColor="text1"/>
          <w:szCs w:val="28"/>
          <w:highlight w:val="none"/>
          <w14:textFill>
            <w14:solidFill>
              <w14:schemeClr w14:val="tx1"/>
            </w14:solidFill>
          </w14:textFill>
        </w:rPr>
        <w:t>农业</w:t>
      </w:r>
      <w:r>
        <w:rPr>
          <w:rFonts w:hint="eastAsia" w:ascii="仿宋_GB2312" w:hAnsi="宋体"/>
          <w:color w:val="000000" w:themeColor="text1"/>
          <w:szCs w:val="28"/>
          <w:highlight w:val="none"/>
          <w14:textFill>
            <w14:solidFill>
              <w14:schemeClr w14:val="tx1"/>
            </w14:solidFill>
          </w14:textFill>
        </w:rPr>
        <w:t>科普知识的准确性提供了保障。</w:t>
      </w:r>
    </w:p>
    <w:p w14:paraId="59369976">
      <w:pPr>
        <w:pStyle w:val="51"/>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2.创新点</w:t>
      </w:r>
    </w:p>
    <w:p w14:paraId="71024F60">
      <w:pPr>
        <w:pStyle w:val="49"/>
        <w:rPr>
          <w:rFonts w:hint="default" w:ascii="仿宋_GB2312" w:hAnsi="宋体"/>
          <w:color w:val="000000" w:themeColor="text1"/>
          <w:szCs w:val="32"/>
          <w:highlight w:val="yellow"/>
          <w14:textFill>
            <w14:solidFill>
              <w14:schemeClr w14:val="tx1"/>
            </w14:solidFill>
          </w14:textFill>
        </w:rPr>
      </w:pPr>
      <w:r>
        <w:rPr>
          <w:rFonts w:ascii="仿宋_GB2312" w:hAnsi="宋体"/>
          <w:color w:val="000000" w:themeColor="text1"/>
          <w:szCs w:val="32"/>
          <w:highlight w:val="none"/>
          <w14:textFill>
            <w14:solidFill>
              <w14:schemeClr w14:val="tx1"/>
            </w14:solidFill>
          </w14:textFill>
        </w:rPr>
        <w:t>本标准的创新性主要体现在以下方面，</w:t>
      </w:r>
      <w:r>
        <w:rPr>
          <w:rFonts w:hint="eastAsia" w:ascii="仿宋_GB2312" w:hAnsi="宋体"/>
          <w:color w:val="auto"/>
          <w:sz w:val="32"/>
          <w:szCs w:val="32"/>
          <w:highlight w:val="none"/>
          <w:lang w:val="en-US" w:eastAsia="zh-CN"/>
        </w:rPr>
        <w:t>标准</w:t>
      </w:r>
      <w:r>
        <w:rPr>
          <w:rFonts w:hint="eastAsia" w:hAnsi="宋体"/>
          <w:color w:val="auto"/>
          <w:sz w:val="32"/>
          <w:szCs w:val="32"/>
          <w:highlight w:val="none"/>
          <w:lang w:val="en-US" w:eastAsia="zh-CN"/>
        </w:rPr>
        <w:t>通过</w:t>
      </w:r>
      <w:r>
        <w:rPr>
          <w:rFonts w:hint="eastAsia"/>
          <w:color w:val="auto"/>
          <w:highlight w:val="none"/>
        </w:rPr>
        <w:t>评价</w:t>
      </w:r>
      <w:r>
        <w:rPr>
          <w:rFonts w:hint="eastAsia"/>
          <w:color w:val="auto"/>
          <w:highlight w:val="none"/>
          <w:lang w:val="en-US" w:eastAsia="zh-CN"/>
        </w:rPr>
        <w:t>内容</w:t>
      </w:r>
      <w:r>
        <w:rPr>
          <w:rFonts w:hint="eastAsia"/>
          <w:color w:val="auto"/>
          <w:highlight w:val="none"/>
          <w:lang w:eastAsia="zh-CN"/>
        </w:rPr>
        <w:t>、</w:t>
      </w:r>
      <w:r>
        <w:rPr>
          <w:rFonts w:hint="eastAsia"/>
          <w:color w:val="auto"/>
          <w:highlight w:val="none"/>
          <w:lang w:val="en-US" w:eastAsia="zh-CN"/>
        </w:rPr>
        <w:t>评价方法、评价流程及要求和档案管理</w:t>
      </w:r>
      <w:r>
        <w:rPr>
          <w:rFonts w:hint="eastAsia" w:ascii="仿宋_GB2312" w:hAnsi="宋体"/>
          <w:szCs w:val="28"/>
          <w:highlight w:val="none"/>
          <w:lang w:val="en-US" w:eastAsia="zh-CN"/>
        </w:rPr>
        <w:t>等方面</w:t>
      </w:r>
      <w:r>
        <w:rPr>
          <w:rFonts w:hint="eastAsia" w:hAnsi="宋体"/>
          <w:color w:val="auto"/>
          <w:sz w:val="32"/>
          <w:szCs w:val="32"/>
          <w:highlight w:val="none"/>
          <w:lang w:val="en-US" w:eastAsia="zh-CN"/>
        </w:rPr>
        <w:t>，明确了</w:t>
      </w:r>
      <w:r>
        <w:rPr>
          <w:rFonts w:hint="eastAsia"/>
          <w:color w:val="auto"/>
          <w:highlight w:val="none"/>
        </w:rPr>
        <w:t>农业科普纸媒作品评价</w:t>
      </w:r>
      <w:r>
        <w:rPr>
          <w:rFonts w:hint="eastAsia"/>
          <w:color w:val="auto"/>
          <w:highlight w:val="none"/>
          <w:lang w:val="en-US" w:eastAsia="zh-CN"/>
        </w:rPr>
        <w:t>思路</w:t>
      </w:r>
      <w:r>
        <w:rPr>
          <w:rFonts w:hint="eastAsia" w:hAnsi="宋体"/>
          <w:color w:val="auto"/>
          <w:sz w:val="32"/>
          <w:szCs w:val="32"/>
          <w:highlight w:val="none"/>
          <w:lang w:val="en-US" w:eastAsia="zh-CN"/>
        </w:rPr>
        <w:t>，保证了作品评价过程的顺利进行</w:t>
      </w:r>
      <w:r>
        <w:rPr>
          <w:rFonts w:hint="eastAsia" w:ascii="仿宋_GB2312" w:hAnsi="宋体"/>
          <w:color w:val="auto"/>
          <w:sz w:val="32"/>
          <w:szCs w:val="32"/>
          <w:highlight w:val="none"/>
          <w:lang w:val="en-US" w:eastAsia="zh-CN"/>
        </w:rPr>
        <w:t>。同时从</w:t>
      </w:r>
      <w:r>
        <w:rPr>
          <w:rFonts w:hint="eastAsia"/>
          <w:color w:val="auto"/>
          <w:lang w:val="en-US" w:eastAsia="zh-CN"/>
        </w:rPr>
        <w:t>方向与规范、内容质量、表达与传播</w:t>
      </w:r>
      <w:r>
        <w:rPr>
          <w:rFonts w:hint="eastAsia" w:ascii="仿宋_GB2312" w:hAnsi="宋体"/>
          <w:color w:val="auto"/>
          <w:sz w:val="32"/>
          <w:szCs w:val="32"/>
          <w:highlight w:val="none"/>
          <w:lang w:val="en-US" w:eastAsia="zh-CN"/>
        </w:rPr>
        <w:t>规定了与</w:t>
      </w:r>
      <w:r>
        <w:rPr>
          <w:rFonts w:hint="eastAsia"/>
          <w:color w:val="auto"/>
          <w:highlight w:val="none"/>
        </w:rPr>
        <w:t>农业科普纸媒作品评价</w:t>
      </w:r>
      <w:r>
        <w:rPr>
          <w:rFonts w:hint="eastAsia" w:ascii="仿宋_GB2312" w:hAnsi="宋体"/>
          <w:color w:val="auto"/>
          <w:sz w:val="32"/>
          <w:szCs w:val="32"/>
          <w:highlight w:val="none"/>
          <w:lang w:val="en-US" w:eastAsia="zh-CN"/>
        </w:rPr>
        <w:t>指标和评价内容，确保的评价的全面性和客观性。</w:t>
      </w:r>
    </w:p>
    <w:p w14:paraId="3061FF19">
      <w:pPr>
        <w:pStyle w:val="51"/>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3.主体内容</w:t>
      </w:r>
    </w:p>
    <w:p w14:paraId="31FEFBB0">
      <w:pPr>
        <w:pStyle w:val="49"/>
        <w:rPr>
          <w:rFonts w:hint="default" w:ascii="仿宋_GB2312" w:hAnsi="宋体"/>
          <w:color w:val="000000" w:themeColor="text1"/>
          <w:highlight w:val="none"/>
          <w14:textFill>
            <w14:solidFill>
              <w14:schemeClr w14:val="tx1"/>
            </w14:solidFill>
          </w14:textFill>
        </w:rPr>
      </w:pPr>
      <w:r>
        <w:rPr>
          <w:rFonts w:ascii="仿宋_GB2312" w:hAnsi="宋体"/>
          <w:color w:val="000000" w:themeColor="text1"/>
          <w:highlight w:val="none"/>
          <w14:textFill>
            <w14:solidFill>
              <w14:schemeClr w14:val="tx1"/>
            </w14:solidFill>
          </w14:textFill>
        </w:rPr>
        <w:t>标准编制工作组在对收集的资料进行整理研究之后，2025年</w:t>
      </w:r>
      <w:r>
        <w:rPr>
          <w:rFonts w:hint="eastAsia" w:ascii="仿宋_GB2312" w:hAnsi="宋体"/>
          <w:color w:val="000000" w:themeColor="text1"/>
          <w:highlight w:val="none"/>
          <w:lang w:val="en-US" w:eastAsia="zh-CN"/>
          <w14:textFill>
            <w14:solidFill>
              <w14:schemeClr w14:val="tx1"/>
            </w14:solidFill>
          </w14:textFill>
        </w:rPr>
        <w:t>12</w:t>
      </w:r>
      <w:r>
        <w:rPr>
          <w:rFonts w:ascii="仿宋_GB2312" w:hAnsi="宋体"/>
          <w:color w:val="000000" w:themeColor="text1"/>
          <w:highlight w:val="none"/>
          <w14:textFill>
            <w14:solidFill>
              <w14:schemeClr w14:val="tx1"/>
            </w14:solidFill>
          </w14:textFill>
        </w:rPr>
        <w:t>月，标准编制工作组召开了标准编制会议，对标准的整体框架结构进行了研究，并对标准的关键性内容进行了初步探讨。经过研究，标准的主体内容确定为</w:t>
      </w:r>
      <w:r>
        <w:rPr>
          <w:rFonts w:hint="eastAsia"/>
          <w:color w:val="auto"/>
          <w:highlight w:val="none"/>
        </w:rPr>
        <w:t>农业科普纸媒作品评价</w:t>
      </w:r>
      <w:r>
        <w:rPr>
          <w:color w:val="000000" w:themeColor="text1"/>
          <w:highlight w:val="none"/>
          <w14:textFill>
            <w14:solidFill>
              <w14:schemeClr w14:val="tx1"/>
            </w14:solidFill>
          </w14:textFill>
        </w:rPr>
        <w:t>的</w:t>
      </w:r>
      <w:r>
        <w:rPr>
          <w:rFonts w:hint="eastAsia"/>
          <w:color w:val="000000" w:themeColor="text1"/>
          <w:highlight w:val="none"/>
          <w14:textFill>
            <w14:solidFill>
              <w14:schemeClr w14:val="tx1"/>
            </w14:solidFill>
          </w14:textFill>
        </w:rPr>
        <w:t>评价内容、评价方法、评价流程及要求和档案管理</w:t>
      </w:r>
      <w:r>
        <w:rPr>
          <w:rFonts w:ascii="仿宋_GB2312" w:hAnsi="宋体"/>
          <w:color w:val="000000" w:themeColor="text1"/>
          <w:highlight w:val="none"/>
          <w14:textFill>
            <w14:solidFill>
              <w14:schemeClr w14:val="tx1"/>
            </w14:solidFill>
          </w14:textFill>
        </w:rPr>
        <w:t>。</w:t>
      </w:r>
    </w:p>
    <w:p w14:paraId="5F3EAA1F">
      <w:pPr>
        <w:spacing w:before="156" w:beforeLines="50" w:after="156" w:afterLines="50" w:line="560" w:lineRule="exact"/>
        <w:ind w:firstLine="643"/>
        <w:rPr>
          <w:rFonts w:ascii="楷体" w:hAnsi="楷体" w:eastAsia="楷体" w:cs="仿宋_GB2312"/>
          <w:b/>
          <w:color w:val="000000" w:themeColor="text1"/>
          <w:szCs w:val="28"/>
          <w14:textFill>
            <w14:solidFill>
              <w14:schemeClr w14:val="tx1"/>
            </w14:solidFill>
          </w14:textFill>
        </w:rPr>
      </w:pPr>
      <w:r>
        <w:rPr>
          <w:rFonts w:hint="eastAsia" w:ascii="楷体" w:hAnsi="楷体" w:eastAsia="楷体" w:cs="仿宋_GB2312"/>
          <w:b/>
          <w:color w:val="000000" w:themeColor="text1"/>
          <w:szCs w:val="28"/>
          <w14:textFill>
            <w14:solidFill>
              <w14:schemeClr w14:val="tx1"/>
            </w14:solidFill>
          </w14:textFill>
        </w:rPr>
        <w:t>（四）调研及形成草案、征求意见稿</w:t>
      </w:r>
    </w:p>
    <w:p w14:paraId="2AF90FDF">
      <w:pPr>
        <w:pStyle w:val="49"/>
        <w:rPr>
          <w:rFonts w:hint="eastAsia" w:ascii="仿宋_GB2312" w:hAnsi="宋体"/>
          <w:szCs w:val="28"/>
        </w:rPr>
      </w:pPr>
      <w:r>
        <w:rPr>
          <w:rFonts w:hint="eastAsia" w:ascii="仿宋_GB2312" w:hAnsi="宋体"/>
          <w:szCs w:val="28"/>
        </w:rPr>
        <w:t>标准筹备前期，标准起草工作小组开展了广泛调研与资料收集工作，系统查阅国内外科普评价、农业标准、出版规范等相关</w:t>
      </w:r>
      <w:r>
        <w:rPr>
          <w:rFonts w:hint="eastAsia" w:ascii="仿宋_GB2312" w:hAnsi="宋体"/>
          <w:szCs w:val="28"/>
          <w:lang w:val="en-US" w:eastAsia="zh-CN"/>
        </w:rPr>
        <w:t>资料</w:t>
      </w:r>
      <w:r>
        <w:rPr>
          <w:rFonts w:hint="eastAsia" w:ascii="仿宋_GB2312" w:hAnsi="宋体"/>
          <w:szCs w:val="28"/>
        </w:rPr>
        <w:t>，梳理并借鉴了全国优秀科普作品评选、中国科普作家协会优秀科普作品奖、广西优秀科普作品评选、“我为生活添‘薯’光”全国木薯科普大赛、农产品质量安全与营养健康优秀科普作品评选等多项科普作品竞赛</w:t>
      </w:r>
      <w:r>
        <w:rPr>
          <w:rFonts w:hint="eastAsia" w:ascii="仿宋_GB2312" w:hAnsi="宋体"/>
          <w:szCs w:val="28"/>
          <w:lang w:val="en-US" w:eastAsia="zh-CN"/>
        </w:rPr>
        <w:t>中的纸媒作品</w:t>
      </w:r>
      <w:r>
        <w:rPr>
          <w:rFonts w:hint="eastAsia" w:ascii="仿宋_GB2312" w:hAnsi="宋体"/>
          <w:szCs w:val="28"/>
        </w:rPr>
        <w:t>的评价指标与评审标准，重点参考科学性、通俗性、实用性、</w:t>
      </w:r>
      <w:r>
        <w:rPr>
          <w:rFonts w:hint="eastAsia" w:ascii="仿宋_GB2312" w:hAnsi="宋体"/>
          <w:szCs w:val="28"/>
          <w:lang w:val="en-US" w:eastAsia="zh-CN"/>
        </w:rPr>
        <w:t>方</w:t>
      </w:r>
      <w:r>
        <w:rPr>
          <w:rFonts w:hint="eastAsia" w:ascii="仿宋_GB2312" w:hAnsi="宋体"/>
          <w:szCs w:val="28"/>
        </w:rPr>
        <w:t>向性、规范性、传播</w:t>
      </w:r>
      <w:r>
        <w:rPr>
          <w:rFonts w:hint="eastAsia" w:ascii="仿宋_GB2312" w:hAnsi="宋体"/>
          <w:szCs w:val="28"/>
          <w:lang w:val="en-US" w:eastAsia="zh-CN"/>
        </w:rPr>
        <w:t>性</w:t>
      </w:r>
      <w:r>
        <w:rPr>
          <w:rFonts w:hint="eastAsia" w:ascii="仿宋_GB2312" w:hAnsi="宋体"/>
          <w:szCs w:val="28"/>
        </w:rPr>
        <w:t>等核心评价维度，为本标准指标体系构建提供了行业参照与理论依据。</w:t>
      </w:r>
    </w:p>
    <w:p w14:paraId="1E5E3856">
      <w:pPr>
        <w:pStyle w:val="49"/>
        <w:rPr>
          <w:rFonts w:hint="eastAsia" w:ascii="仿宋_GB2312" w:hAnsi="宋体"/>
          <w:szCs w:val="28"/>
        </w:rPr>
      </w:pPr>
      <w:r>
        <w:rPr>
          <w:rFonts w:hint="eastAsia" w:ascii="仿宋_GB2312" w:hAnsi="宋体"/>
          <w:szCs w:val="28"/>
        </w:rPr>
        <w:t>同时，起草组深入广西壮族自治区农业科学院、广西亚热带作物研究所、农业农村部科技发展中心、</w:t>
      </w:r>
      <w:r>
        <w:rPr>
          <w:rFonts w:hint="eastAsia" w:ascii="仿宋_GB2312" w:hAnsi="仿宋_GB2312" w:eastAsia="仿宋_GB2312" w:cs="仿宋_GB2312"/>
          <w:sz w:val="32"/>
          <w:szCs w:val="32"/>
          <w:lang w:val="en-US" w:eastAsia="zh-CN"/>
        </w:rPr>
        <w:t>中国热带农业科学院</w:t>
      </w:r>
      <w:r>
        <w:rPr>
          <w:rFonts w:hint="eastAsia" w:ascii="仿宋_GB2312" w:hAnsi="宋体"/>
          <w:szCs w:val="28"/>
        </w:rPr>
        <w:t>、广西科学技术普及传播中心、</w:t>
      </w:r>
      <w:r>
        <w:rPr>
          <w:rFonts w:hint="eastAsia" w:ascii="仿宋_GB2312" w:hAnsi="宋体"/>
          <w:szCs w:val="28"/>
          <w:lang w:val="en-US" w:eastAsia="zh-CN"/>
        </w:rPr>
        <w:t>广西科技馆</w:t>
      </w:r>
      <w:r>
        <w:rPr>
          <w:rFonts w:hint="eastAsia" w:ascii="仿宋_GB2312" w:hAnsi="宋体"/>
          <w:szCs w:val="28"/>
        </w:rPr>
        <w:t>等多家企事业单位与科研机构，开展座谈交流、资料归集与经验总结，系统吸收农业科普纸媒作品创作、审核、发布、评价与推广的实践经验。</w:t>
      </w:r>
    </w:p>
    <w:p w14:paraId="5A6612DE">
      <w:pPr>
        <w:pStyle w:val="50"/>
        <w:keepNext w:val="0"/>
        <w:keepLines w:val="0"/>
        <w:pageBreakBefore w:val="0"/>
        <w:widowControl w:val="0"/>
        <w:kinsoku/>
        <w:wordWrap/>
        <w:overflowPunct/>
        <w:topLinePunct w:val="0"/>
        <w:autoSpaceDE/>
        <w:autoSpaceDN/>
        <w:bidi w:val="0"/>
        <w:adjustRightInd/>
        <w:snapToGrid/>
        <w:spacing w:before="156" w:after="156" w:line="240" w:lineRule="auto"/>
        <w:ind w:firstLine="0" w:firstLineChars="0"/>
        <w:jc w:val="center"/>
        <w:textAlignment w:val="auto"/>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pPr>
      <w:r>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drawing>
          <wp:inline distT="0" distB="0" distL="114300" distR="114300">
            <wp:extent cx="5674995" cy="4257040"/>
            <wp:effectExtent l="0" t="0" r="1905" b="10160"/>
            <wp:docPr id="4" name="图片 4" descr="QQ图片202604211615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QQ图片20260421161529(55)"/>
                    <pic:cNvPicPr>
                      <a:picLocks noChangeAspect="1"/>
                    </pic:cNvPicPr>
                  </pic:nvPicPr>
                  <pic:blipFill>
                    <a:blip r:embed="rId12"/>
                    <a:stretch>
                      <a:fillRect/>
                    </a:stretch>
                  </pic:blipFill>
                  <pic:spPr>
                    <a:xfrm>
                      <a:off x="0" y="0"/>
                      <a:ext cx="5674995" cy="4257040"/>
                    </a:xfrm>
                    <a:prstGeom prst="rect">
                      <a:avLst/>
                    </a:prstGeom>
                  </pic:spPr>
                </pic:pic>
              </a:graphicData>
            </a:graphic>
          </wp:inline>
        </w:drawing>
      </w:r>
    </w:p>
    <w:p w14:paraId="48AC744E">
      <w:pPr>
        <w:pStyle w:val="46"/>
        <w:bidi w:val="0"/>
        <w:rPr>
          <w:rFonts w:hint="default" w:hAnsi="Times New Roman" w:cs="Times New Roman"/>
          <w:lang w:val="en-US" w:eastAsia="zh-CN"/>
        </w:rPr>
      </w:pPr>
      <w:r>
        <w:rPr>
          <w:rFonts w:hint="eastAsia" w:hAnsi="Times New Roman" w:cs="Times New Roman"/>
          <w:lang w:val="en-US" w:eastAsia="zh-CN"/>
        </w:rPr>
        <w:t>团队成员到广西科技馆开展纸媒科普作品调研</w:t>
      </w:r>
    </w:p>
    <w:p w14:paraId="17F0BDEC">
      <w:pPr>
        <w:pStyle w:val="49"/>
        <w:rPr>
          <w:rFonts w:hint="eastAsia" w:ascii="仿宋_GB2312" w:hAnsi="宋体"/>
          <w:szCs w:val="28"/>
        </w:rPr>
      </w:pPr>
      <w:r>
        <w:rPr>
          <w:rFonts w:hint="eastAsia" w:ascii="仿宋_GB2312" w:hAnsi="宋体"/>
          <w:szCs w:val="28"/>
        </w:rPr>
        <w:t>其中，热作所长期开展农业科普纸媒作品原创、自评工作，依托科普团队对科普漫画、科普书籍、科普文章等多类纸媒作品开展内部质量评价。</w:t>
      </w:r>
      <w:r>
        <w:rPr>
          <w:rFonts w:hint="eastAsia" w:ascii="仿宋_GB2312" w:hAnsi="宋体"/>
          <w:szCs w:val="28"/>
          <w:lang w:val="en-US" w:eastAsia="zh-CN"/>
        </w:rPr>
        <w:t>以</w:t>
      </w:r>
      <w:r>
        <w:rPr>
          <w:rFonts w:hint="eastAsia" w:ascii="仿宋_GB2312" w:hAnsi="宋体"/>
          <w:szCs w:val="28"/>
        </w:rPr>
        <w:t>科普漫画《穿越时光的香醇——咖啡豆的奇幻人生》、科普书籍《花木间的智慧》、科普文章《广西五色糯米饭的神奇染色植物》《咖啡“小透明”——利比里卡沉浮记》等</w:t>
      </w:r>
      <w:r>
        <w:rPr>
          <w:rFonts w:hint="eastAsia" w:ascii="仿宋_GB2312" w:hAnsi="宋体"/>
          <w:szCs w:val="28"/>
          <w:lang w:val="en-US" w:eastAsia="zh-CN"/>
        </w:rPr>
        <w:t>为例</w:t>
      </w:r>
      <w:r>
        <w:rPr>
          <w:rFonts w:hint="eastAsia" w:ascii="仿宋_GB2312" w:hAnsi="宋体"/>
          <w:szCs w:val="28"/>
        </w:rPr>
        <w:t>。上述作品均按</w:t>
      </w:r>
      <w:r>
        <w:rPr>
          <w:rFonts w:hint="eastAsia" w:ascii="仿宋_GB2312" w:hAnsi="宋体"/>
          <w:szCs w:val="28"/>
          <w:lang w:val="en-US" w:eastAsia="zh-CN"/>
        </w:rPr>
        <w:t>方</w:t>
      </w:r>
      <w:r>
        <w:rPr>
          <w:rFonts w:hint="eastAsia" w:ascii="仿宋_GB2312" w:hAnsi="宋体"/>
          <w:szCs w:val="28"/>
        </w:rPr>
        <w:t>向性、规范性</w:t>
      </w:r>
      <w:r>
        <w:rPr>
          <w:rFonts w:hint="eastAsia" w:ascii="仿宋_GB2312" w:hAnsi="宋体"/>
          <w:szCs w:val="28"/>
          <w:lang w:eastAsia="zh-CN"/>
        </w:rPr>
        <w:t>、</w:t>
      </w:r>
      <w:r>
        <w:rPr>
          <w:rFonts w:hint="eastAsia" w:ascii="仿宋_GB2312" w:hAnsi="宋体"/>
          <w:szCs w:val="28"/>
        </w:rPr>
        <w:t>科学性、</w:t>
      </w:r>
      <w:r>
        <w:rPr>
          <w:rFonts w:hint="eastAsia" w:ascii="仿宋_GB2312" w:hAnsi="宋体"/>
          <w:szCs w:val="28"/>
          <w:lang w:val="en-US" w:eastAsia="zh-CN"/>
        </w:rPr>
        <w:t>准确性、原创性、</w:t>
      </w:r>
      <w:r>
        <w:rPr>
          <w:rFonts w:hint="eastAsia" w:ascii="仿宋_GB2312" w:hAnsi="宋体"/>
          <w:szCs w:val="28"/>
        </w:rPr>
        <w:t>通俗性、</w:t>
      </w:r>
      <w:r>
        <w:rPr>
          <w:rFonts w:hint="eastAsia" w:ascii="仿宋_GB2312" w:hAnsi="宋体"/>
          <w:szCs w:val="28"/>
          <w:lang w:val="en-US" w:eastAsia="zh-CN"/>
        </w:rPr>
        <w:t>适用</w:t>
      </w:r>
      <w:r>
        <w:rPr>
          <w:rFonts w:hint="eastAsia" w:ascii="仿宋_GB2312" w:hAnsi="宋体"/>
          <w:szCs w:val="28"/>
        </w:rPr>
        <w:t>性、</w:t>
      </w:r>
      <w:r>
        <w:rPr>
          <w:rFonts w:hint="eastAsia" w:ascii="仿宋_GB2312" w:hAnsi="宋体"/>
          <w:szCs w:val="28"/>
          <w:lang w:val="en-US" w:eastAsia="zh-CN"/>
        </w:rPr>
        <w:t>传播性</w:t>
      </w:r>
      <w:r>
        <w:rPr>
          <w:rFonts w:hint="eastAsia" w:ascii="仿宋_GB2312" w:hAnsi="宋体"/>
          <w:szCs w:val="28"/>
        </w:rPr>
        <w:t>等要点开展内部评价与质量管控，评价指标在实际运用中体现出较强的合理性与可操作性</w:t>
      </w:r>
      <w:r>
        <w:rPr>
          <w:rFonts w:hint="eastAsia" w:ascii="仿宋_GB2312" w:hAnsi="宋体"/>
          <w:szCs w:val="28"/>
          <w:lang w:eastAsia="zh-CN"/>
        </w:rPr>
        <w:t>。</w:t>
      </w:r>
      <w:r>
        <w:rPr>
          <w:rFonts w:hint="eastAsia" w:ascii="仿宋_GB2312" w:hAnsi="宋体"/>
          <w:szCs w:val="28"/>
          <w:lang w:val="en-US" w:eastAsia="zh-CN"/>
        </w:rPr>
        <w:t>其中</w:t>
      </w:r>
      <w:r>
        <w:rPr>
          <w:rFonts w:hint="eastAsia" w:ascii="仿宋_GB2312" w:hAnsi="宋体"/>
          <w:szCs w:val="28"/>
        </w:rPr>
        <w:t>《穿越时光的香醇——咖啡豆的奇幻人生》被中国科技核心期刊《科学故事会》录用并连载，获2024年度科普中国青年之星创作交流活动优秀作品奖；《花木间的智慧》获省级优秀科普读物奖项；《广西五色糯米饭的神奇染色植物》《咖啡“小透明”——利比里卡沉浮记》在《大自然》杂志发表，阅读量</w:t>
      </w:r>
      <w:r>
        <w:rPr>
          <w:rFonts w:hint="eastAsia" w:ascii="仿宋_GB2312" w:hAnsi="宋体"/>
          <w:szCs w:val="28"/>
          <w:lang w:val="en-US" w:eastAsia="zh-CN"/>
        </w:rPr>
        <w:t>超千人</w:t>
      </w:r>
      <w:r>
        <w:rPr>
          <w:rFonts w:hint="eastAsia" w:ascii="仿宋_GB2312" w:hAnsi="宋体"/>
          <w:szCs w:val="28"/>
        </w:rPr>
        <w:t>次。相关实践充分表明，本标准确定的评价指标贴合农业科普纸媒作品创作与传播实际，能够有效支撑作品质量提升与规范化评价，具备坚实的实践基础与应用价值。</w:t>
      </w:r>
    </w:p>
    <w:p w14:paraId="2387FB91">
      <w:pPr>
        <w:pStyle w:val="4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_GB2312" w:hAnsi="宋体" w:eastAsia="仿宋_GB2312"/>
          <w:szCs w:val="28"/>
          <w:lang w:eastAsia="zh-CN"/>
        </w:rPr>
      </w:pPr>
      <w:r>
        <w:rPr>
          <w:rFonts w:hint="eastAsia" w:ascii="仿宋_GB2312" w:hAnsi="宋体" w:eastAsia="仿宋_GB2312"/>
          <w:szCs w:val="28"/>
          <w:lang w:eastAsia="zh-CN"/>
        </w:rPr>
        <w:drawing>
          <wp:inline distT="0" distB="0" distL="114300" distR="114300">
            <wp:extent cx="4048760" cy="5400040"/>
            <wp:effectExtent l="0" t="0" r="10160" b="2540"/>
            <wp:docPr id="2" name="图片 2" descr="0daa89f6cfd4b6700fcfecacee31b3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0daa89f6cfd4b6700fcfecacee31b3a7"/>
                    <pic:cNvPicPr>
                      <a:picLocks noChangeAspect="1"/>
                    </pic:cNvPicPr>
                  </pic:nvPicPr>
                  <pic:blipFill>
                    <a:blip r:embed="rId13"/>
                    <a:stretch>
                      <a:fillRect/>
                    </a:stretch>
                  </pic:blipFill>
                  <pic:spPr>
                    <a:xfrm rot="16200000">
                      <a:off x="0" y="0"/>
                      <a:ext cx="4048760" cy="5400040"/>
                    </a:xfrm>
                    <a:prstGeom prst="rect">
                      <a:avLst/>
                    </a:prstGeom>
                    <a:noFill/>
                    <a:ln>
                      <a:noFill/>
                    </a:ln>
                  </pic:spPr>
                </pic:pic>
              </a:graphicData>
            </a:graphic>
          </wp:inline>
        </w:drawing>
      </w:r>
    </w:p>
    <w:p w14:paraId="1EB96E9F">
      <w:pPr>
        <w:pStyle w:val="46"/>
        <w:bidi w:val="0"/>
        <w:rPr>
          <w:rFonts w:hint="default" w:hAnsi="Times New Roman" w:cs="Times New Roman"/>
          <w:lang w:val="en-US" w:eastAsia="zh-CN"/>
        </w:rPr>
      </w:pPr>
      <w:r>
        <w:rPr>
          <w:rFonts w:hint="eastAsia" w:hAnsi="Times New Roman" w:cs="Times New Roman"/>
          <w:lang w:val="en-US" w:eastAsia="zh-CN"/>
        </w:rPr>
        <w:t>作品评价材料</w:t>
      </w:r>
    </w:p>
    <w:p w14:paraId="6B432005">
      <w:pPr>
        <w:pStyle w:val="49"/>
        <w:bidi w:val="0"/>
        <w:rPr>
          <w:rFonts w:hint="eastAsia" w:ascii="仿宋_GB2312" w:hAnsi="宋体"/>
          <w:szCs w:val="28"/>
        </w:rPr>
      </w:pPr>
      <w:r>
        <w:rPr>
          <w:rFonts w:hint="eastAsia" w:ascii="仿宋_GB2312" w:hAnsi="宋体"/>
          <w:szCs w:val="28"/>
        </w:rPr>
        <w:t>在调研基础上，结合各起草单位的实践经验与专家意见，对</w:t>
      </w:r>
      <w:r>
        <w:rPr>
          <w:rFonts w:hint="eastAsia" w:ascii="仿宋_GB2312" w:hAnsi="宋体"/>
          <w:szCs w:val="28"/>
          <w:lang w:eastAsia="zh-CN"/>
        </w:rPr>
        <w:t>农业科普</w:t>
      </w:r>
      <w:r>
        <w:rPr>
          <w:rFonts w:hint="eastAsia" w:ascii="仿宋_GB2312" w:hAnsi="宋体"/>
          <w:szCs w:val="28"/>
          <w:lang w:val="en-US" w:eastAsia="zh-CN"/>
        </w:rPr>
        <w:t>纸媒作品</w:t>
      </w:r>
      <w:r>
        <w:rPr>
          <w:rFonts w:hint="eastAsia" w:ascii="仿宋_GB2312" w:hAnsi="宋体"/>
          <w:szCs w:val="28"/>
          <w:lang w:eastAsia="zh-CN"/>
        </w:rPr>
        <w:t>评价</w:t>
      </w:r>
      <w:r>
        <w:rPr>
          <w:rFonts w:hint="eastAsia" w:ascii="仿宋_GB2312" w:hAnsi="宋体"/>
          <w:szCs w:val="28"/>
        </w:rPr>
        <w:t>的实践情况进行系统总结，广西壮族自治区亚热带作物研究所召集相关人员开展了标准研讨会，对主要内容进行了讨论并对项目的工作进行了部署和安排。</w:t>
      </w:r>
    </w:p>
    <w:p w14:paraId="7E80A11C">
      <w:pPr>
        <w:pStyle w:val="49"/>
        <w:rPr>
          <w:rFonts w:hint="default"/>
          <w:color w:val="000000" w:themeColor="text1"/>
          <w14:textFill>
            <w14:solidFill>
              <w14:schemeClr w14:val="tx1"/>
            </w14:solidFill>
          </w14:textFill>
        </w:rPr>
      </w:pPr>
      <w:r>
        <w:rPr>
          <w:color w:val="000000" w:themeColor="text1"/>
          <w14:textFill>
            <w14:solidFill>
              <w14:schemeClr w14:val="tx1"/>
            </w14:solidFill>
          </w14:textFill>
        </w:rPr>
        <w:t>202</w:t>
      </w:r>
      <w:r>
        <w:rPr>
          <w:rFonts w:hint="eastAsia"/>
          <w:color w:val="000000" w:themeColor="text1"/>
          <w:lang w:val="en-US" w:eastAsia="zh-CN"/>
          <w14:textFill>
            <w14:solidFill>
              <w14:schemeClr w14:val="tx1"/>
            </w14:solidFill>
          </w14:textFill>
        </w:rPr>
        <w:t>5</w:t>
      </w:r>
      <w:r>
        <w:rPr>
          <w:color w:val="000000" w:themeColor="text1"/>
          <w14:textFill>
            <w14:solidFill>
              <w14:schemeClr w14:val="tx1"/>
            </w14:solidFill>
          </w14:textFill>
        </w:rPr>
        <w:t>年</w:t>
      </w:r>
      <w:r>
        <w:rPr>
          <w:rFonts w:hint="eastAsia" w:ascii="仿宋_GB2312" w:hAnsi="宋体"/>
          <w:color w:val="000000" w:themeColor="text1"/>
          <w:lang w:val="en-US" w:eastAsia="zh-CN"/>
          <w14:textFill>
            <w14:solidFill>
              <w14:schemeClr w14:val="tx1"/>
            </w14:solidFill>
          </w14:textFill>
        </w:rPr>
        <w:t>11</w:t>
      </w:r>
      <w:r>
        <w:rPr>
          <w:rFonts w:ascii="仿宋_GB2312" w:hAnsi="宋体"/>
          <w:color w:val="000000" w:themeColor="text1"/>
          <w14:textFill>
            <w14:solidFill>
              <w14:schemeClr w14:val="tx1"/>
            </w14:solidFill>
          </w14:textFill>
        </w:rPr>
        <w:t>月～</w:t>
      </w:r>
      <w:r>
        <w:rPr>
          <w:rFonts w:hint="eastAsia" w:ascii="仿宋_GB2312" w:hAnsi="宋体"/>
          <w:color w:val="000000" w:themeColor="text1"/>
          <w:lang w:val="en-US" w:eastAsia="zh-CN"/>
          <w14:textFill>
            <w14:solidFill>
              <w14:schemeClr w14:val="tx1"/>
            </w14:solidFill>
          </w14:textFill>
        </w:rPr>
        <w:t>2026年1</w:t>
      </w:r>
      <w:r>
        <w:rPr>
          <w:rFonts w:ascii="仿宋_GB2312" w:hAnsi="宋体"/>
          <w:color w:val="000000" w:themeColor="text1"/>
          <w14:textFill>
            <w14:solidFill>
              <w14:schemeClr w14:val="tx1"/>
            </w14:solidFill>
          </w14:textFill>
        </w:rPr>
        <w:t>月</w:t>
      </w:r>
      <w:r>
        <w:rPr>
          <w:color w:val="000000" w:themeColor="text1"/>
          <w14:textFill>
            <w14:solidFill>
              <w14:schemeClr w14:val="tx1"/>
            </w14:solidFill>
          </w14:textFill>
        </w:rPr>
        <w:t>，在前期工作的基础之上，通过理清逻辑脉络，整合已有的参考资料中有关</w:t>
      </w:r>
      <w:r>
        <w:rPr>
          <w:rFonts w:hint="eastAsia"/>
          <w:color w:val="auto"/>
          <w:highlight w:val="none"/>
        </w:rPr>
        <w:t>农业科普纸媒作品评价</w:t>
      </w:r>
      <w:r>
        <w:rPr>
          <w:color w:val="000000" w:themeColor="text1"/>
          <w14:textFill>
            <w14:solidFill>
              <w14:schemeClr w14:val="tx1"/>
            </w14:solidFill>
          </w14:textFill>
        </w:rPr>
        <w:t>要求，并结合</w:t>
      </w:r>
      <w:r>
        <w:rPr>
          <w:rFonts w:hint="eastAsia"/>
          <w:color w:val="auto"/>
          <w:highlight w:val="none"/>
        </w:rPr>
        <w:t>农业科普纸媒作品评价</w:t>
      </w:r>
      <w:r>
        <w:rPr>
          <w:color w:val="000000" w:themeColor="text1"/>
          <w14:textFill>
            <w14:solidFill>
              <w14:schemeClr w14:val="tx1"/>
            </w14:solidFill>
          </w14:textFill>
        </w:rPr>
        <w:t>实际要求的基础上，按照简化、统一等原则编制完成团体标准《</w:t>
      </w:r>
      <w:r>
        <w:rPr>
          <w:rFonts w:hint="eastAsia"/>
          <w:color w:val="auto"/>
          <w:highlight w:val="none"/>
        </w:rPr>
        <w:t>农业科普纸媒作品评价</w:t>
      </w:r>
      <w:r>
        <w:rPr>
          <w:color w:val="000000" w:themeColor="text1"/>
          <w14:textFill>
            <w14:solidFill>
              <w14:schemeClr w14:val="tx1"/>
            </w14:solidFill>
          </w14:textFill>
        </w:rPr>
        <w:t>》（草案）。</w:t>
      </w:r>
    </w:p>
    <w:p w14:paraId="0DFEA537">
      <w:pPr>
        <w:pStyle w:val="49"/>
        <w:rPr>
          <w:color w:val="000000" w:themeColor="text1"/>
          <w14:textFill>
            <w14:solidFill>
              <w14:schemeClr w14:val="tx1"/>
            </w14:solidFill>
          </w14:textFill>
        </w:rPr>
      </w:pPr>
      <w:bookmarkStart w:id="0" w:name="_Toc526940083"/>
      <w:r>
        <w:rPr>
          <w:color w:val="000000" w:themeColor="text1"/>
          <w14:textFill>
            <w14:solidFill>
              <w14:schemeClr w14:val="tx1"/>
            </w14:solidFill>
          </w14:textFill>
        </w:rPr>
        <w:t>202</w:t>
      </w:r>
      <w:r>
        <w:rPr>
          <w:rFonts w:hint="eastAsia"/>
          <w:color w:val="000000" w:themeColor="text1"/>
          <w:lang w:val="en-US" w:eastAsia="zh-CN"/>
          <w14:textFill>
            <w14:solidFill>
              <w14:schemeClr w14:val="tx1"/>
            </w14:solidFill>
          </w14:textFill>
        </w:rPr>
        <w:t>6</w:t>
      </w:r>
      <w:r>
        <w:rPr>
          <w:color w:val="000000" w:themeColor="text1"/>
          <w14:textFill>
            <w14:solidFill>
              <w14:schemeClr w14:val="tx1"/>
            </w14:solidFill>
          </w14:textFill>
        </w:rPr>
        <w:t>年</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月～</w:t>
      </w:r>
      <w:r>
        <w:rPr>
          <w:rFonts w:hint="eastAsia"/>
        </w:rPr>
        <w:t>202</w:t>
      </w:r>
      <w:r>
        <w:rPr>
          <w:rFonts w:hint="eastAsia"/>
          <w:lang w:val="en-US" w:eastAsia="zh-CN"/>
        </w:rPr>
        <w:t>6</w:t>
      </w:r>
      <w:r>
        <w:rPr>
          <w:rFonts w:hint="eastAsia"/>
        </w:rPr>
        <w:t>年</w:t>
      </w:r>
      <w:r>
        <w:rPr>
          <w:rFonts w:hint="eastAsia"/>
          <w:lang w:val="en-US" w:eastAsia="zh-CN"/>
        </w:rPr>
        <w:t>4</w:t>
      </w:r>
      <w:r>
        <w:rPr>
          <w:rFonts w:hint="eastAsia"/>
        </w:rPr>
        <w:t>月</w:t>
      </w:r>
      <w:r>
        <w:rPr>
          <w:color w:val="000000" w:themeColor="text1"/>
          <w14:textFill>
            <w14:solidFill>
              <w14:schemeClr w14:val="tx1"/>
            </w14:solidFill>
          </w14:textFill>
        </w:rPr>
        <w:t>，标准起草工作组到到广西科技</w:t>
      </w:r>
      <w:r>
        <w:rPr>
          <w:rFonts w:hint="eastAsia"/>
          <w:color w:val="000000" w:themeColor="text1"/>
          <w:lang w:val="en-US" w:eastAsia="zh-CN"/>
          <w14:textFill>
            <w14:solidFill>
              <w14:schemeClr w14:val="tx1"/>
            </w14:solidFill>
          </w14:textFill>
        </w:rPr>
        <w:t>馆</w:t>
      </w:r>
      <w:r>
        <w:rPr>
          <w:color w:val="000000" w:themeColor="text1"/>
          <w14:textFill>
            <w14:solidFill>
              <w14:schemeClr w14:val="tx1"/>
            </w14:solidFill>
          </w14:textFill>
        </w:rPr>
        <w:t>、北京农学会、农科院所、广西标准化协会等单位和科研机构针对</w:t>
      </w:r>
      <w:r>
        <w:rPr>
          <w:rFonts w:hint="eastAsia"/>
          <w:color w:val="auto"/>
          <w:highlight w:val="none"/>
        </w:rPr>
        <w:t>农业科普纸媒作品评价</w:t>
      </w:r>
      <w:r>
        <w:rPr>
          <w:color w:val="000000" w:themeColor="text1"/>
          <w14:textFill>
            <w14:solidFill>
              <w14:schemeClr w14:val="tx1"/>
            </w14:solidFill>
          </w14:textFill>
        </w:rPr>
        <w:t>开展研讨会，通过座谈交流、实操学习、实地调研等方式掌握各单位或科研机构对</w:t>
      </w:r>
      <w:r>
        <w:rPr>
          <w:rFonts w:hint="eastAsia"/>
          <w:color w:val="auto"/>
          <w:highlight w:val="none"/>
        </w:rPr>
        <w:t>农业科普纸媒作品评价</w:t>
      </w:r>
      <w:r>
        <w:rPr>
          <w:color w:val="000000" w:themeColor="text1"/>
          <w14:textFill>
            <w14:solidFill>
              <w14:schemeClr w14:val="tx1"/>
            </w14:solidFill>
          </w14:textFill>
        </w:rPr>
        <w:t>的具体技术要求。标准编制组还征求了广西标准化协会、农业农村部科技发展中心、广西科学技术普及传播中心、云南省热带作物科学研究所等单位的意见，通过召开研讨会或征求意见的方式收集各方修改意见，对标准草案进行了反复修改和研究讨论，形成了团体标准《</w:t>
      </w:r>
      <w:r>
        <w:rPr>
          <w:rFonts w:hint="eastAsia"/>
          <w:color w:val="auto"/>
          <w:highlight w:val="none"/>
        </w:rPr>
        <w:t>农业科普纸媒作品评价</w:t>
      </w:r>
      <w:r>
        <w:rPr>
          <w:rFonts w:hint="eastAsia"/>
          <w:color w:val="auto"/>
          <w:highlight w:val="none"/>
          <w:lang w:val="en-US" w:eastAsia="zh-CN"/>
        </w:rPr>
        <w:t>规范</w:t>
      </w:r>
      <w:r>
        <w:rPr>
          <w:color w:val="000000" w:themeColor="text1"/>
          <w14:textFill>
            <w14:solidFill>
              <w14:schemeClr w14:val="tx1"/>
            </w14:solidFill>
          </w14:textFill>
        </w:rPr>
        <w:t>》（征求意见稿）和（征求意见稿）编制说明。</w:t>
      </w:r>
    </w:p>
    <w:p w14:paraId="4BD5C0E8">
      <w:pPr>
        <w:pStyle w:val="4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仿宋_GB2312" w:hAnsi="宋体" w:eastAsia="仿宋_GB2312"/>
          <w:szCs w:val="28"/>
          <w:lang w:eastAsia="zh-CN"/>
        </w:rPr>
      </w:pPr>
      <w:r>
        <w:rPr>
          <w:rFonts w:hint="eastAsia" w:ascii="仿宋_GB2312" w:hAnsi="宋体" w:eastAsia="仿宋_GB2312"/>
          <w:szCs w:val="28"/>
          <w:lang w:eastAsia="zh-CN"/>
        </w:rPr>
        <w:drawing>
          <wp:inline distT="0" distB="0" distL="114300" distR="114300">
            <wp:extent cx="5669915" cy="4252595"/>
            <wp:effectExtent l="0" t="0" r="6985" b="1905"/>
            <wp:docPr id="13" name="图片 13" descr="d38ac6636efc1854be5f9087d4badb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38ac6636efc1854be5f9087d4badb3a"/>
                    <pic:cNvPicPr>
                      <a:picLocks noChangeAspect="1"/>
                    </pic:cNvPicPr>
                  </pic:nvPicPr>
                  <pic:blipFill>
                    <a:blip r:embed="rId14"/>
                    <a:stretch>
                      <a:fillRect/>
                    </a:stretch>
                  </pic:blipFill>
                  <pic:spPr>
                    <a:xfrm>
                      <a:off x="0" y="0"/>
                      <a:ext cx="5669915" cy="4252595"/>
                    </a:xfrm>
                    <a:prstGeom prst="rect">
                      <a:avLst/>
                    </a:prstGeom>
                  </pic:spPr>
                </pic:pic>
              </a:graphicData>
            </a:graphic>
          </wp:inline>
        </w:drawing>
      </w:r>
    </w:p>
    <w:p w14:paraId="7C30BB30">
      <w:pPr>
        <w:pStyle w:val="46"/>
        <w:bidi w:val="0"/>
        <w:rPr>
          <w:rFonts w:hint="default" w:hAnsi="Times New Roman" w:cs="Times New Roman"/>
          <w:lang w:val="en-US" w:eastAsia="zh-CN"/>
        </w:rPr>
      </w:pPr>
      <w:r>
        <w:rPr>
          <w:rFonts w:hint="eastAsia" w:hAnsi="Times New Roman" w:cs="Times New Roman"/>
          <w:lang w:val="en-US" w:eastAsia="zh-CN"/>
        </w:rPr>
        <w:t>内部讨论会现场</w:t>
      </w:r>
    </w:p>
    <w:p w14:paraId="5CE87B01">
      <w:pPr>
        <w:pStyle w:val="48"/>
        <w:spacing w:before="156" w:after="156"/>
        <w:rPr>
          <w:rFonts w:hint="default"/>
          <w:color w:val="000000" w:themeColor="text1"/>
          <w14:textFill>
            <w14:solidFill>
              <w14:schemeClr w14:val="tx1"/>
            </w14:solidFill>
          </w14:textFill>
        </w:rPr>
      </w:pPr>
      <w:r>
        <w:rPr>
          <w:color w:val="000000" w:themeColor="text1"/>
          <w14:textFill>
            <w14:solidFill>
              <w14:schemeClr w14:val="tx1"/>
            </w14:solidFill>
          </w14:textFill>
        </w:rPr>
        <w:t>四、</w:t>
      </w:r>
      <w:bookmarkEnd w:id="0"/>
      <w:r>
        <w:rPr>
          <w:color w:val="000000" w:themeColor="text1"/>
          <w14:textFill>
            <w14:solidFill>
              <w14:schemeClr w14:val="tx1"/>
            </w14:solidFill>
          </w14:textFill>
        </w:rPr>
        <w:t>制定标准的原则和依据，与现行法律、法规的关系，与有关国家标准、行业标准的协调情况</w:t>
      </w:r>
    </w:p>
    <w:p w14:paraId="4CE51A4A">
      <w:pPr>
        <w:pStyle w:val="50"/>
        <w:spacing w:before="156" w:after="156"/>
        <w:rPr>
          <w:rFonts w:hint="default" w:ascii="Times New Roman" w:eastAsia="仿宋"/>
          <w:bCs/>
          <w:color w:val="000000" w:themeColor="text1"/>
          <w:szCs w:val="32"/>
          <w14:textFill>
            <w14:solidFill>
              <w14:schemeClr w14:val="tx1"/>
            </w14:solidFill>
          </w14:textFill>
        </w:rPr>
      </w:pPr>
      <w:r>
        <w:rPr>
          <w:color w:val="000000" w:themeColor="text1"/>
          <w14:textFill>
            <w14:solidFill>
              <w14:schemeClr w14:val="tx1"/>
            </w14:solidFill>
          </w14:textFill>
        </w:rPr>
        <w:t>（一）编制原则</w:t>
      </w:r>
    </w:p>
    <w:p w14:paraId="60D4D073">
      <w:pPr>
        <w:pStyle w:val="51"/>
        <w:rPr>
          <w:color w:val="000000" w:themeColor="text1"/>
          <w14:textFill>
            <w14:solidFill>
              <w14:schemeClr w14:val="tx1"/>
            </w14:solidFill>
          </w14:textFill>
        </w:rPr>
      </w:pPr>
      <w:r>
        <w:rPr>
          <w:color w:val="000000" w:themeColor="text1"/>
          <w14:textFill>
            <w14:solidFill>
              <w14:schemeClr w14:val="tx1"/>
            </w14:solidFill>
          </w14:textFill>
        </w:rPr>
        <w:t>1</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实用性原则</w:t>
      </w:r>
      <w:bookmarkStart w:id="4" w:name="_GoBack"/>
      <w:bookmarkEnd w:id="4"/>
    </w:p>
    <w:p w14:paraId="5ED4C835">
      <w:pPr>
        <w:pStyle w:val="49"/>
        <w:rPr>
          <w:rFonts w:hint="default" w:ascii="仿宋_GB2312" w:hAnsi="宋体"/>
          <w:color w:val="000000" w:themeColor="text1"/>
          <w14:textFill>
            <w14:solidFill>
              <w14:schemeClr w14:val="tx1"/>
            </w14:solidFill>
          </w14:textFill>
        </w:rPr>
      </w:pPr>
      <w:r>
        <w:rPr>
          <w:rFonts w:ascii="仿宋_GB2312" w:hAnsi="宋体"/>
          <w:color w:val="000000" w:themeColor="text1"/>
          <w14:textFill>
            <w14:solidFill>
              <w14:schemeClr w14:val="tx1"/>
            </w14:solidFill>
          </w14:textFill>
        </w:rPr>
        <w:t>本文件是在充分收集相关资料和文献，分析</w:t>
      </w:r>
      <w:r>
        <w:rPr>
          <w:rFonts w:hint="eastAsia"/>
          <w:color w:val="auto"/>
          <w:highlight w:val="none"/>
        </w:rPr>
        <w:t>农业科普纸媒作品评价</w:t>
      </w:r>
      <w:r>
        <w:rPr>
          <w:rFonts w:ascii="仿宋_GB2312" w:hAnsi="宋体"/>
          <w:color w:val="000000" w:themeColor="text1"/>
          <w14:textFill>
            <w14:solidFill>
              <w14:schemeClr w14:val="tx1"/>
            </w14:solidFill>
          </w14:textFill>
        </w:rPr>
        <w:t>当前现状，在现有相关</w:t>
      </w:r>
      <w:r>
        <w:rPr>
          <w:rFonts w:hint="eastAsia"/>
          <w:color w:val="auto"/>
          <w:highlight w:val="none"/>
        </w:rPr>
        <w:t>农业科普纸媒作品评价</w:t>
      </w:r>
      <w:r>
        <w:rPr>
          <w:rFonts w:ascii="仿宋_GB2312" w:hAnsi="宋体"/>
          <w:color w:val="000000" w:themeColor="text1"/>
          <w14:textFill>
            <w14:solidFill>
              <w14:schemeClr w14:val="tx1"/>
            </w14:solidFill>
          </w14:textFill>
        </w:rPr>
        <w:t>要求的基础上，结合编制单位多年相关经验而总结起草的，符合当前</w:t>
      </w:r>
      <w:r>
        <w:rPr>
          <w:rFonts w:hint="eastAsia"/>
          <w:color w:val="auto"/>
          <w:highlight w:val="none"/>
        </w:rPr>
        <w:t>农业科普纸媒作品评价</w:t>
      </w:r>
      <w:r>
        <w:rPr>
          <w:rFonts w:ascii="仿宋_GB2312" w:hAnsi="宋体"/>
          <w:color w:val="000000" w:themeColor="text1"/>
          <w14:textFill>
            <w14:solidFill>
              <w14:schemeClr w14:val="tx1"/>
            </w14:solidFill>
          </w14:textFill>
        </w:rPr>
        <w:t>发展的方向，具有较强的实用性和可操作性。</w:t>
      </w:r>
    </w:p>
    <w:p w14:paraId="3E09CB0D">
      <w:pPr>
        <w:pStyle w:val="51"/>
        <w:rPr>
          <w:color w:val="000000" w:themeColor="text1"/>
          <w14:textFill>
            <w14:solidFill>
              <w14:schemeClr w14:val="tx1"/>
            </w14:solidFill>
          </w14:textFill>
        </w:rPr>
      </w:pPr>
      <w:r>
        <w:rPr>
          <w:rFonts w:hint="eastAsia"/>
          <w:color w:val="000000" w:themeColor="text1"/>
          <w14:textFill>
            <w14:solidFill>
              <w14:schemeClr w14:val="tx1"/>
            </w14:solidFill>
          </w14:textFill>
        </w:rPr>
        <w:t>2.协调性原则</w:t>
      </w:r>
    </w:p>
    <w:p w14:paraId="4936DEC5">
      <w:pPr>
        <w:pStyle w:val="49"/>
        <w:rPr>
          <w:rFonts w:hint="default" w:ascii="仿宋_GB2312" w:hAnsi="宋体"/>
          <w:color w:val="000000" w:themeColor="text1"/>
          <w14:textFill>
            <w14:solidFill>
              <w14:schemeClr w14:val="tx1"/>
            </w14:solidFill>
          </w14:textFill>
        </w:rPr>
      </w:pPr>
      <w:r>
        <w:rPr>
          <w:rFonts w:ascii="仿宋_GB2312" w:hAnsi="宋体"/>
          <w:color w:val="000000" w:themeColor="text1"/>
          <w14:textFill>
            <w14:solidFill>
              <w14:schemeClr w14:val="tx1"/>
            </w14:solidFill>
          </w14:textFill>
        </w:rPr>
        <w:t>本文件编写过程中注意了与</w:t>
      </w:r>
      <w:r>
        <w:rPr>
          <w:rFonts w:hint="eastAsia"/>
          <w:color w:val="auto"/>
          <w:highlight w:val="none"/>
        </w:rPr>
        <w:t>农业科普纸媒作品评价</w:t>
      </w:r>
      <w:r>
        <w:rPr>
          <w:rFonts w:ascii="仿宋_GB2312" w:hAnsi="宋体"/>
          <w:color w:val="000000" w:themeColor="text1"/>
          <w14:textFill>
            <w14:solidFill>
              <w14:schemeClr w14:val="tx1"/>
            </w14:solidFill>
          </w14:textFill>
        </w:rPr>
        <w:t>相关法律法规的协调问题，在内容上与现行法律法规、标准协调一致。</w:t>
      </w:r>
    </w:p>
    <w:p w14:paraId="701DA6DD">
      <w:pPr>
        <w:pStyle w:val="51"/>
        <w:rPr>
          <w:color w:val="000000" w:themeColor="text1"/>
          <w14:textFill>
            <w14:solidFill>
              <w14:schemeClr w14:val="tx1"/>
            </w14:solidFill>
          </w14:textFill>
        </w:rPr>
      </w:pPr>
      <w:r>
        <w:rPr>
          <w:rFonts w:hint="eastAsia"/>
          <w:color w:val="000000" w:themeColor="text1"/>
          <w14:textFill>
            <w14:solidFill>
              <w14:schemeClr w14:val="tx1"/>
            </w14:solidFill>
          </w14:textFill>
        </w:rPr>
        <w:t>3.规范性原则</w:t>
      </w:r>
    </w:p>
    <w:p w14:paraId="66FFC9D7">
      <w:pPr>
        <w:pStyle w:val="49"/>
        <w:rPr>
          <w:rFonts w:hint="default"/>
          <w:color w:val="000000" w:themeColor="text1"/>
          <w14:textFill>
            <w14:solidFill>
              <w14:schemeClr w14:val="tx1"/>
            </w14:solidFill>
          </w14:textFill>
        </w:rPr>
      </w:pPr>
      <w:r>
        <w:rPr>
          <w:color w:val="000000" w:themeColor="text1"/>
          <w14:textFill>
            <w14:solidFill>
              <w14:schemeClr w14:val="tx1"/>
            </w14:solidFill>
          </w14:textFill>
        </w:rPr>
        <w:t>本文件严格参照GB/T 1.1—2020《标准化工作导则  第1部分：标准化文件的结构和起草规则》编写本标准的内容，保证标准的编写质量。</w:t>
      </w:r>
    </w:p>
    <w:p w14:paraId="666C6374">
      <w:pPr>
        <w:pStyle w:val="51"/>
        <w:rPr>
          <w:color w:val="000000" w:themeColor="text1"/>
          <w14:textFill>
            <w14:solidFill>
              <w14:schemeClr w14:val="tx1"/>
            </w14:solidFill>
          </w14:textFill>
        </w:rPr>
      </w:pPr>
      <w:r>
        <w:rPr>
          <w:rFonts w:hint="eastAsia"/>
          <w:color w:val="000000" w:themeColor="text1"/>
          <w14:textFill>
            <w14:solidFill>
              <w14:schemeClr w14:val="tx1"/>
            </w14:solidFill>
          </w14:textFill>
        </w:rPr>
        <w:t>4.前瞻性原则</w:t>
      </w:r>
    </w:p>
    <w:p w14:paraId="08713779">
      <w:pPr>
        <w:pStyle w:val="49"/>
        <w:rPr>
          <w:rFonts w:hint="default"/>
          <w:color w:val="000000" w:themeColor="text1"/>
          <w14:textFill>
            <w14:solidFill>
              <w14:schemeClr w14:val="tx1"/>
            </w14:solidFill>
          </w14:textFill>
        </w:rPr>
      </w:pPr>
      <w:r>
        <w:rPr>
          <w:color w:val="000000" w:themeColor="text1"/>
          <w14:textFill>
            <w14:solidFill>
              <w14:schemeClr w14:val="tx1"/>
            </w14:solidFill>
          </w14:textFill>
        </w:rPr>
        <w:t>本文件在兼顾当前区内</w:t>
      </w:r>
      <w:r>
        <w:rPr>
          <w:rFonts w:hint="eastAsia"/>
          <w:color w:val="auto"/>
          <w:highlight w:val="none"/>
        </w:rPr>
        <w:t>农业科普纸媒作品评价</w:t>
      </w:r>
      <w:r>
        <w:rPr>
          <w:color w:val="000000" w:themeColor="text1"/>
          <w14:textFill>
            <w14:solidFill>
              <w14:schemeClr w14:val="tx1"/>
            </w14:solidFill>
          </w14:textFill>
        </w:rPr>
        <w:t>现实情况的同时，还考虑到了</w:t>
      </w:r>
      <w:r>
        <w:rPr>
          <w:rFonts w:hint="eastAsia"/>
          <w:color w:val="auto"/>
          <w:highlight w:val="none"/>
        </w:rPr>
        <w:t>农业科普纸媒作品评价</w:t>
      </w:r>
      <w:r>
        <w:rPr>
          <w:color w:val="000000" w:themeColor="text1"/>
          <w14:textFill>
            <w14:solidFill>
              <w14:schemeClr w14:val="tx1"/>
            </w14:solidFill>
          </w14:textFill>
        </w:rPr>
        <w:t>快速发展的趋势和需要，在标准中体现了个别特色性、前瞻性和先进性条款，作为对</w:t>
      </w:r>
      <w:r>
        <w:rPr>
          <w:rFonts w:hint="eastAsia"/>
          <w:color w:val="auto"/>
          <w:highlight w:val="none"/>
        </w:rPr>
        <w:t>农业科普纸媒作品评价</w:t>
      </w:r>
      <w:r>
        <w:rPr>
          <w:color w:val="000000" w:themeColor="text1"/>
          <w14:textFill>
            <w14:solidFill>
              <w14:schemeClr w14:val="tx1"/>
            </w14:solidFill>
          </w14:textFill>
        </w:rPr>
        <w:t>发展的指导。</w:t>
      </w:r>
    </w:p>
    <w:p w14:paraId="5E28B667">
      <w:pPr>
        <w:pStyle w:val="50"/>
        <w:spacing w:before="156" w:after="156"/>
        <w:rPr>
          <w:rFonts w:hint="default"/>
          <w:color w:val="000000" w:themeColor="text1"/>
          <w14:textFill>
            <w14:solidFill>
              <w14:schemeClr w14:val="tx1"/>
            </w14:solidFill>
          </w14:textFill>
        </w:rPr>
      </w:pPr>
      <w:r>
        <w:rPr>
          <w:color w:val="000000" w:themeColor="text1"/>
          <w14:textFill>
            <w14:solidFill>
              <w14:schemeClr w14:val="tx1"/>
            </w14:solidFill>
          </w14:textFill>
        </w:rPr>
        <w:t>（二）编制依据</w:t>
      </w:r>
    </w:p>
    <w:p w14:paraId="3165A63C">
      <w:pPr>
        <w:pStyle w:val="49"/>
        <w:rPr>
          <w:rFonts w:hint="default"/>
          <w:color w:val="000000" w:themeColor="text1"/>
          <w14:textFill>
            <w14:solidFill>
              <w14:schemeClr w14:val="tx1"/>
            </w14:solidFill>
          </w14:textFill>
        </w:rPr>
      </w:pPr>
      <w:r>
        <w:rPr>
          <w:color w:val="000000" w:themeColor="text1"/>
          <w14:textFill>
            <w14:solidFill>
              <w14:schemeClr w14:val="tx1"/>
            </w14:solidFill>
          </w14:textFill>
        </w:rPr>
        <w:t>本标准严格按照GB/T 1.1—2020《标准化工作导则  第1部分：标准化文件的结构和起草规则》的规则起草，标准主要内容参考相关标准文件并结合起草单位多年的相关经验和实践验证情况总结进行起草。</w:t>
      </w:r>
    </w:p>
    <w:p w14:paraId="4BFA29F7">
      <w:pPr>
        <w:pStyle w:val="49"/>
        <w:rPr>
          <w:rFonts w:hint="eastAsia" w:ascii="Times New Roman" w:hAnsi="Times New Roman" w:eastAsia="仿宋_GB2312" w:cs="Times New Roman"/>
          <w:kern w:val="2"/>
          <w:sz w:val="32"/>
          <w:szCs w:val="28"/>
          <w:highlight w:val="yellow"/>
          <w:lang w:val="en-US" w:eastAsia="zh-CN" w:bidi="ar-SA"/>
        </w:rPr>
      </w:pPr>
      <w:r>
        <w:rPr>
          <w:rFonts w:ascii="仿宋_GB2312" w:hAnsi="宋体"/>
          <w:color w:val="000000" w:themeColor="text1"/>
          <w:szCs w:val="32"/>
          <w:highlight w:val="none"/>
          <w:lang w:val="zh-CN"/>
          <w14:textFill>
            <w14:solidFill>
              <w14:schemeClr w14:val="tx1"/>
            </w14:solidFill>
          </w14:textFill>
        </w:rPr>
        <w:t>广西热作所内的热作所（东盟）亚热带植物园是全国科普教育基地、全国热带作物科普基地、广西热作所中小学劳动教育实践基地、南宁市中小学劳动教育实践基地。</w:t>
      </w:r>
      <w:r>
        <w:rPr>
          <w:rFonts w:ascii="仿宋_GB2312" w:hAnsi="宋体"/>
          <w:color w:val="000000" w:themeColor="text1"/>
          <w:szCs w:val="32"/>
          <w:highlight w:val="none"/>
          <w14:textFill>
            <w14:solidFill>
              <w14:schemeClr w14:val="tx1"/>
            </w14:solidFill>
          </w14:textFill>
        </w:rPr>
        <w:t>且</w:t>
      </w:r>
      <w:r>
        <w:rPr>
          <w:rFonts w:ascii="仿宋_GB2312" w:hAnsi="宋体"/>
          <w:color w:val="000000" w:themeColor="text1"/>
          <w:szCs w:val="32"/>
          <w:highlight w:val="none"/>
          <w:lang w:val="zh-CN"/>
          <w14:textFill>
            <w14:solidFill>
              <w14:schemeClr w14:val="tx1"/>
            </w14:solidFill>
          </w14:textFill>
        </w:rPr>
        <w:t>拥有一支专业从事亚热带植物科普创新研究的团队，专业涵盖自然科学、社会科学等领域，在科普理论、科普创作、科普传播、科普活动等方面积累了较为丰富的理论和实践研究经验。凭借丰富的物种资源与创新方法，亚热带植物科普创新研究团队构建了包含网站、微信公众号、视频号在内的全媒体科普传播体系，累计发布原创科普内容吸引超5万人次阅读，科普短视频观看量突破6万，有一定的科普研究、科普作品创作基础。广西热作所主持或参与制定制订、修订标准50</w:t>
      </w:r>
      <w:r>
        <w:rPr>
          <w:rFonts w:ascii="仿宋_GB2312" w:hAnsi="宋体" w:cs="Times New Roman"/>
          <w:color w:val="000000" w:themeColor="text1"/>
          <w:szCs w:val="32"/>
          <w:highlight w:val="none"/>
          <w:lang w:val="zh-CN"/>
          <w14:textFill>
            <w14:solidFill>
              <w14:schemeClr w14:val="tx1"/>
            </w14:solidFill>
          </w14:textFill>
        </w:rPr>
        <w:t>余项，有一定的标准化工作经验。广西热作所官方科普视频号“广西热作所亚热带植物园”，累计播放量超10万，其中《咖啡故事》系列科普视频播放量超2万，深受观众的喜爱，具有一定的科普视频作品创作经验。</w:t>
      </w:r>
      <w:r>
        <w:rPr>
          <w:rFonts w:hint="eastAsia" w:ascii="仿宋_GB2312" w:hAnsi="宋体" w:cs="Times New Roman"/>
          <w:color w:val="000000" w:themeColor="text1"/>
          <w:szCs w:val="32"/>
          <w:highlight w:val="none"/>
          <w:lang w:val="en-US" w:eastAsia="zh-CN"/>
          <w14:textFill>
            <w14:solidFill>
              <w14:schemeClr w14:val="tx1"/>
            </w14:solidFill>
          </w14:textFill>
        </w:rPr>
        <w:t>主编的科普读物《花木间的智慧：民族植物学自然笔记》受北京新闻广播、</w:t>
      </w:r>
      <w:r>
        <w:rPr>
          <w:rFonts w:hint="eastAsia" w:ascii="Times New Roman" w:hAnsi="Times New Roman" w:eastAsia="仿宋_GB2312" w:cs="Times New Roman"/>
          <w:kern w:val="2"/>
          <w:sz w:val="32"/>
          <w:szCs w:val="28"/>
          <w:lang w:val="en-US" w:eastAsia="zh-CN" w:bidi="ar-SA"/>
        </w:rPr>
        <w:t>中华读书报、学习强国等媒体推荐，入选中国植物学会典赞 · 2023科普中国活动推选作品，荣获2024年广西</w:t>
      </w:r>
      <w:r>
        <w:rPr>
          <w:rFonts w:hint="eastAsia" w:ascii="Times New Roman" w:hAnsi="Times New Roman" w:eastAsia="仿宋_GB2312" w:cs="Times New Roman"/>
          <w:kern w:val="2"/>
          <w:sz w:val="32"/>
          <w:szCs w:val="28"/>
          <w:highlight w:val="none"/>
          <w:lang w:val="en-US" w:eastAsia="zh-CN" w:bidi="ar-SA"/>
        </w:rPr>
        <w:t>科普读物大赛三等奖；发布科普文章3篇，其中《嘿，你的年夜饭有慈姑吗？》荣获第二届广西网络科普作品创作大赛科普作品优秀奖</w:t>
      </w:r>
      <w:r>
        <w:rPr>
          <w:rFonts w:hint="eastAsia" w:ascii="Times New Roman" w:hAnsi="Times New Roman" w:eastAsia="仿宋_GB2312" w:cs="Times New Roman"/>
          <w:kern w:val="2"/>
          <w:sz w:val="32"/>
          <w:szCs w:val="28"/>
          <w:lang w:val="en-US" w:eastAsia="zh-CN" w:bidi="ar-SA"/>
        </w:rPr>
        <w:t>；科普漫画《穿越时光的香醇——咖啡豆的奇幻人生》荣获“科普中国青年之星”优秀作品奖。有一定的科普研究、科普作品创作基础</w:t>
      </w:r>
      <w:r>
        <w:rPr>
          <w:rFonts w:hint="eastAsia" w:ascii="Times New Roman" w:hAnsi="Times New Roman" w:eastAsia="仿宋_GB2312" w:cs="Times New Roman"/>
          <w:kern w:val="2"/>
          <w:sz w:val="32"/>
          <w:szCs w:val="28"/>
          <w:highlight w:val="none"/>
          <w:lang w:val="en-US" w:eastAsia="zh-CN" w:bidi="ar-SA"/>
        </w:rPr>
        <w:t>。</w:t>
      </w:r>
    </w:p>
    <w:p w14:paraId="60AF5317">
      <w:pPr>
        <w:pStyle w:val="49"/>
        <w:rPr>
          <w:rFonts w:hint="default" w:ascii="Times New Roman" w:hAnsi="Times New Roman" w:eastAsia="仿宋_GB2312" w:cs="Times New Roman"/>
          <w:kern w:val="2"/>
          <w:sz w:val="32"/>
          <w:szCs w:val="28"/>
          <w:highlight w:val="none"/>
          <w:lang w:val="en-US" w:eastAsia="zh-CN" w:bidi="ar-SA"/>
        </w:rPr>
      </w:pPr>
      <w:r>
        <w:rPr>
          <w:rFonts w:hint="default" w:ascii="Times New Roman" w:hAnsi="Times New Roman" w:eastAsia="仿宋_GB2312" w:cs="Times New Roman"/>
          <w:kern w:val="2"/>
          <w:sz w:val="32"/>
          <w:szCs w:val="28"/>
          <w:highlight w:val="none"/>
          <w:lang w:val="en-US" w:eastAsia="zh-CN" w:bidi="ar-SA"/>
        </w:rPr>
        <w:t>这些作品持续获得较高</w:t>
      </w:r>
      <w:r>
        <w:rPr>
          <w:rFonts w:hint="eastAsia" w:ascii="Times New Roman" w:hAnsi="Times New Roman" w:cs="Times New Roman"/>
          <w:kern w:val="2"/>
          <w:sz w:val="32"/>
          <w:szCs w:val="28"/>
          <w:highlight w:val="none"/>
          <w:lang w:val="en-US" w:eastAsia="zh-CN" w:bidi="ar-SA"/>
        </w:rPr>
        <w:t>阅读</w:t>
      </w:r>
      <w:r>
        <w:rPr>
          <w:rFonts w:hint="default" w:ascii="Times New Roman" w:hAnsi="Times New Roman" w:eastAsia="仿宋_GB2312" w:cs="Times New Roman"/>
          <w:kern w:val="2"/>
          <w:sz w:val="32"/>
          <w:szCs w:val="28"/>
          <w:highlight w:val="none"/>
          <w:lang w:val="en-US" w:eastAsia="zh-CN" w:bidi="ar-SA"/>
        </w:rPr>
        <w:t>量与受众喜爱，关键在于团队始终坚持创作与评价并行的工作方法。在每</w:t>
      </w:r>
      <w:r>
        <w:rPr>
          <w:rFonts w:hint="eastAsia" w:ascii="Times New Roman" w:hAnsi="Times New Roman" w:cs="Times New Roman"/>
          <w:kern w:val="2"/>
          <w:sz w:val="32"/>
          <w:szCs w:val="28"/>
          <w:highlight w:val="none"/>
          <w:lang w:val="en-US" w:eastAsia="zh-CN" w:bidi="ar-SA"/>
        </w:rPr>
        <w:t>个作品创作完成</w:t>
      </w:r>
      <w:r>
        <w:rPr>
          <w:rFonts w:hint="default" w:ascii="Times New Roman" w:hAnsi="Times New Roman" w:eastAsia="仿宋_GB2312" w:cs="Times New Roman"/>
          <w:kern w:val="2"/>
          <w:sz w:val="32"/>
          <w:szCs w:val="28"/>
          <w:highlight w:val="none"/>
          <w:lang w:val="en-US" w:eastAsia="zh-CN" w:bidi="ar-SA"/>
        </w:rPr>
        <w:t>后，团队均会系统收集</w:t>
      </w:r>
      <w:r>
        <w:rPr>
          <w:rFonts w:hint="eastAsia" w:ascii="Times New Roman" w:hAnsi="Times New Roman" w:cs="Times New Roman"/>
          <w:kern w:val="2"/>
          <w:sz w:val="32"/>
          <w:szCs w:val="28"/>
          <w:highlight w:val="none"/>
          <w:lang w:val="en-US" w:eastAsia="zh-CN" w:bidi="ar-SA"/>
        </w:rPr>
        <w:t>相关</w:t>
      </w:r>
      <w:r>
        <w:rPr>
          <w:rFonts w:hint="default" w:ascii="Times New Roman" w:hAnsi="Times New Roman" w:eastAsia="仿宋_GB2312" w:cs="Times New Roman"/>
          <w:kern w:val="2"/>
          <w:sz w:val="32"/>
          <w:szCs w:val="28"/>
          <w:highlight w:val="none"/>
          <w:lang w:val="en-US" w:eastAsia="zh-CN" w:bidi="ar-SA"/>
        </w:rPr>
        <w:t>数据，</w:t>
      </w:r>
      <w:r>
        <w:rPr>
          <w:rFonts w:hint="eastAsia" w:ascii="Times New Roman" w:hAnsi="Times New Roman" w:cs="Times New Roman"/>
          <w:kern w:val="2"/>
          <w:sz w:val="32"/>
          <w:szCs w:val="28"/>
          <w:highlight w:val="none"/>
          <w:lang w:val="en-US" w:eastAsia="zh-CN" w:bidi="ar-SA"/>
        </w:rPr>
        <w:t>结合作品大纲等创作素材，</w:t>
      </w:r>
      <w:r>
        <w:rPr>
          <w:rFonts w:hint="default" w:ascii="Times New Roman" w:hAnsi="Times New Roman" w:eastAsia="仿宋_GB2312" w:cs="Times New Roman"/>
          <w:kern w:val="2"/>
          <w:sz w:val="32"/>
          <w:szCs w:val="28"/>
          <w:highlight w:val="none"/>
          <w:lang w:val="en-US" w:eastAsia="zh-CN" w:bidi="ar-SA"/>
        </w:rPr>
        <w:t>进行</w:t>
      </w:r>
      <w:r>
        <w:rPr>
          <w:rFonts w:hint="eastAsia" w:ascii="Times New Roman" w:hAnsi="Times New Roman" w:cs="Times New Roman"/>
          <w:kern w:val="2"/>
          <w:sz w:val="32"/>
          <w:szCs w:val="28"/>
          <w:highlight w:val="none"/>
          <w:lang w:val="en-US" w:eastAsia="zh-CN" w:bidi="ar-SA"/>
        </w:rPr>
        <w:t>科普作品的</w:t>
      </w:r>
      <w:r>
        <w:rPr>
          <w:rFonts w:hint="default" w:ascii="Times New Roman" w:hAnsi="Times New Roman" w:eastAsia="仿宋_GB2312" w:cs="Times New Roman"/>
          <w:kern w:val="2"/>
          <w:sz w:val="32"/>
          <w:szCs w:val="28"/>
          <w:highlight w:val="none"/>
          <w:lang w:val="en-US" w:eastAsia="zh-CN" w:bidi="ar-SA"/>
        </w:rPr>
        <w:t>评价</w:t>
      </w:r>
      <w:r>
        <w:rPr>
          <w:rFonts w:hint="eastAsia" w:ascii="Times New Roman" w:hAnsi="Times New Roman" w:cs="Times New Roman"/>
          <w:kern w:val="2"/>
          <w:sz w:val="32"/>
          <w:szCs w:val="28"/>
          <w:highlight w:val="none"/>
          <w:lang w:val="en-US" w:eastAsia="zh-CN" w:bidi="ar-SA"/>
        </w:rPr>
        <w:t>，总结需要保持、需要突破的要点，不断深化和完善后续的作品，同时</w:t>
      </w:r>
      <w:r>
        <w:rPr>
          <w:rFonts w:hint="default" w:ascii="Times New Roman" w:hAnsi="Times New Roman" w:eastAsia="仿宋_GB2312" w:cs="Times New Roman"/>
          <w:kern w:val="2"/>
          <w:sz w:val="32"/>
          <w:szCs w:val="28"/>
          <w:highlight w:val="none"/>
          <w:lang w:val="en-US" w:eastAsia="zh-CN" w:bidi="ar-SA"/>
        </w:rPr>
        <w:t>形成</w:t>
      </w:r>
      <w:r>
        <w:rPr>
          <w:rFonts w:hint="eastAsia" w:ascii="Times New Roman" w:hAnsi="Times New Roman" w:cs="Times New Roman"/>
          <w:kern w:val="2"/>
          <w:sz w:val="32"/>
          <w:szCs w:val="28"/>
          <w:highlight w:val="none"/>
          <w:lang w:val="en-US" w:eastAsia="zh-CN" w:bidi="ar-SA"/>
        </w:rPr>
        <w:t>“</w:t>
      </w:r>
      <w:r>
        <w:rPr>
          <w:rFonts w:hint="default" w:ascii="Times New Roman" w:hAnsi="Times New Roman" w:eastAsia="仿宋_GB2312" w:cs="Times New Roman"/>
          <w:kern w:val="2"/>
          <w:sz w:val="32"/>
          <w:szCs w:val="28"/>
          <w:highlight w:val="none"/>
          <w:lang w:val="en-US" w:eastAsia="zh-CN" w:bidi="ar-SA"/>
        </w:rPr>
        <w:t>创作</w:t>
      </w:r>
      <w:r>
        <w:rPr>
          <w:rFonts w:hint="eastAsia" w:ascii="Times New Roman" w:hAnsi="Times New Roman" w:cs="Times New Roman"/>
          <w:kern w:val="2"/>
          <w:sz w:val="32"/>
          <w:szCs w:val="28"/>
          <w:highlight w:val="none"/>
          <w:lang w:val="en-US" w:eastAsia="zh-CN" w:bidi="ar-SA"/>
        </w:rPr>
        <w:t>—</w:t>
      </w:r>
      <w:r>
        <w:rPr>
          <w:rFonts w:hint="default" w:ascii="Times New Roman" w:hAnsi="Times New Roman" w:eastAsia="仿宋_GB2312" w:cs="Times New Roman"/>
          <w:kern w:val="2"/>
          <w:sz w:val="32"/>
          <w:szCs w:val="28"/>
          <w:highlight w:val="none"/>
          <w:lang w:val="en-US" w:eastAsia="zh-CN" w:bidi="ar-SA"/>
        </w:rPr>
        <w:t>发布</w:t>
      </w:r>
      <w:r>
        <w:rPr>
          <w:rFonts w:hint="eastAsia" w:ascii="Times New Roman" w:hAnsi="Times New Roman" w:cs="Times New Roman"/>
          <w:kern w:val="2"/>
          <w:sz w:val="32"/>
          <w:szCs w:val="28"/>
          <w:highlight w:val="none"/>
          <w:lang w:val="en-US" w:eastAsia="zh-CN" w:bidi="ar-SA"/>
        </w:rPr>
        <w:t>—</w:t>
      </w:r>
      <w:r>
        <w:rPr>
          <w:rFonts w:hint="default" w:ascii="Times New Roman" w:hAnsi="Times New Roman" w:eastAsia="仿宋_GB2312" w:cs="Times New Roman"/>
          <w:kern w:val="2"/>
          <w:sz w:val="32"/>
          <w:szCs w:val="28"/>
          <w:highlight w:val="none"/>
          <w:lang w:val="en-US" w:eastAsia="zh-CN" w:bidi="ar-SA"/>
        </w:rPr>
        <w:t>评价</w:t>
      </w:r>
      <w:r>
        <w:rPr>
          <w:rFonts w:hint="eastAsia" w:ascii="Times New Roman" w:hAnsi="Times New Roman" w:cs="Times New Roman"/>
          <w:kern w:val="2"/>
          <w:sz w:val="32"/>
          <w:szCs w:val="28"/>
          <w:highlight w:val="none"/>
          <w:lang w:val="en-US" w:eastAsia="zh-CN" w:bidi="ar-SA"/>
        </w:rPr>
        <w:t>—</w:t>
      </w:r>
      <w:r>
        <w:rPr>
          <w:rFonts w:hint="default" w:ascii="Times New Roman" w:hAnsi="Times New Roman" w:eastAsia="仿宋_GB2312" w:cs="Times New Roman"/>
          <w:kern w:val="2"/>
          <w:sz w:val="32"/>
          <w:szCs w:val="28"/>
          <w:highlight w:val="none"/>
          <w:lang w:val="en-US" w:eastAsia="zh-CN" w:bidi="ar-SA"/>
        </w:rPr>
        <w:t>优化</w:t>
      </w:r>
      <w:r>
        <w:rPr>
          <w:rFonts w:hint="eastAsia" w:ascii="Times New Roman" w:hAnsi="Times New Roman" w:cs="Times New Roman"/>
          <w:kern w:val="2"/>
          <w:sz w:val="32"/>
          <w:szCs w:val="28"/>
          <w:highlight w:val="none"/>
          <w:lang w:val="en-US" w:eastAsia="zh-CN" w:bidi="ar-SA"/>
        </w:rPr>
        <w:t>”</w:t>
      </w:r>
      <w:r>
        <w:rPr>
          <w:rFonts w:hint="default" w:ascii="Times New Roman" w:hAnsi="Times New Roman" w:eastAsia="仿宋_GB2312" w:cs="Times New Roman"/>
          <w:kern w:val="2"/>
          <w:sz w:val="32"/>
          <w:szCs w:val="28"/>
          <w:highlight w:val="none"/>
          <w:lang w:val="en-US" w:eastAsia="zh-CN" w:bidi="ar-SA"/>
        </w:rPr>
        <w:t>的良性循环。这一从实践中反复验证、凝练而来的评价逻辑与方法，为本标准中评价指标、方法、流程及附录的设计提供了可操作的实证依据，确保了标准内容源于实践、用于实践。</w:t>
      </w:r>
    </w:p>
    <w:p w14:paraId="5853E7B1">
      <w:pPr>
        <w:pStyle w:val="50"/>
        <w:keepNext w:val="0"/>
        <w:keepLines w:val="0"/>
        <w:pageBreakBefore w:val="0"/>
        <w:widowControl w:val="0"/>
        <w:kinsoku/>
        <w:wordWrap/>
        <w:overflowPunct/>
        <w:topLinePunct w:val="0"/>
        <w:autoSpaceDE/>
        <w:autoSpaceDN/>
        <w:bidi w:val="0"/>
        <w:adjustRightInd/>
        <w:snapToGrid/>
        <w:spacing w:before="156" w:after="156" w:line="240" w:lineRule="auto"/>
        <w:ind w:firstLine="0" w:firstLineChars="0"/>
        <w:jc w:val="center"/>
        <w:textAlignment w:val="auto"/>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pPr>
      <w:r>
        <w:drawing>
          <wp:inline distT="0" distB="0" distL="114300" distR="114300">
            <wp:extent cx="2776855" cy="2552700"/>
            <wp:effectExtent l="0" t="0" r="4445" b="0"/>
            <wp:docPr id="2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3"/>
                    <pic:cNvPicPr>
                      <a:picLocks noChangeAspect="1"/>
                    </pic:cNvPicPr>
                  </pic:nvPicPr>
                  <pic:blipFill>
                    <a:blip r:embed="rId15"/>
                    <a:stretch>
                      <a:fillRect/>
                    </a:stretch>
                  </pic:blipFill>
                  <pic:spPr>
                    <a:xfrm>
                      <a:off x="0" y="0"/>
                      <a:ext cx="2776855" cy="2552700"/>
                    </a:xfrm>
                    <a:prstGeom prst="rect">
                      <a:avLst/>
                    </a:prstGeom>
                    <a:noFill/>
                    <a:ln>
                      <a:noFill/>
                    </a:ln>
                  </pic:spPr>
                </pic:pic>
              </a:graphicData>
            </a:graphic>
          </wp:inline>
        </w:drawing>
      </w:r>
    </w:p>
    <w:p w14:paraId="72B45579">
      <w:pPr>
        <w:pStyle w:val="46"/>
        <w:bidi w:val="0"/>
        <w:rPr>
          <w:rFonts w:hint="default" w:hAnsi="Times New Roman" w:cs="Times New Roman"/>
          <w:lang w:val="en-US" w:eastAsia="zh-CN"/>
        </w:rPr>
      </w:pPr>
      <w:r>
        <w:rPr>
          <w:rFonts w:hint="eastAsia" w:hAnsi="Times New Roman" w:cs="Times New Roman"/>
          <w:lang w:val="en-US" w:eastAsia="zh-CN"/>
        </w:rPr>
        <w:t>原创科普漫画口袋书</w:t>
      </w:r>
    </w:p>
    <w:p w14:paraId="1304B69C">
      <w:pPr>
        <w:pStyle w:val="50"/>
        <w:keepNext w:val="0"/>
        <w:keepLines w:val="0"/>
        <w:pageBreakBefore w:val="0"/>
        <w:widowControl w:val="0"/>
        <w:kinsoku/>
        <w:wordWrap/>
        <w:overflowPunct/>
        <w:topLinePunct w:val="0"/>
        <w:autoSpaceDE/>
        <w:autoSpaceDN/>
        <w:bidi w:val="0"/>
        <w:adjustRightInd/>
        <w:snapToGrid/>
        <w:spacing w:before="156" w:after="156" w:line="240" w:lineRule="auto"/>
        <w:ind w:firstLine="0" w:firstLineChars="0"/>
        <w:jc w:val="center"/>
        <w:textAlignment w:val="auto"/>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pPr>
      <w:r>
        <w:drawing>
          <wp:inline distT="0" distB="0" distL="114300" distR="114300">
            <wp:extent cx="5400040" cy="3820160"/>
            <wp:effectExtent l="0" t="0" r="10160" b="2540"/>
            <wp:docPr id="4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2"/>
                    <pic:cNvPicPr>
                      <a:picLocks noChangeAspect="1"/>
                    </pic:cNvPicPr>
                  </pic:nvPicPr>
                  <pic:blipFill>
                    <a:blip r:embed="rId16"/>
                    <a:stretch>
                      <a:fillRect/>
                    </a:stretch>
                  </pic:blipFill>
                  <pic:spPr>
                    <a:xfrm>
                      <a:off x="0" y="0"/>
                      <a:ext cx="5400040" cy="3820160"/>
                    </a:xfrm>
                    <a:prstGeom prst="rect">
                      <a:avLst/>
                    </a:prstGeom>
                    <a:noFill/>
                    <a:ln>
                      <a:noFill/>
                    </a:ln>
                  </pic:spPr>
                </pic:pic>
              </a:graphicData>
            </a:graphic>
          </wp:inline>
        </w:drawing>
      </w:r>
    </w:p>
    <w:p w14:paraId="28ABE17B">
      <w:pPr>
        <w:pStyle w:val="46"/>
        <w:bidi w:val="0"/>
        <w:rPr>
          <w:rFonts w:hint="default" w:ascii="Times New Roman" w:hAnsi="Times New Roman" w:eastAsia="仿宋_GB2312" w:cs="Times New Roman"/>
          <w:kern w:val="2"/>
          <w:sz w:val="32"/>
          <w:szCs w:val="28"/>
          <w:highlight w:val="none"/>
          <w:lang w:val="en-US" w:eastAsia="zh-CN" w:bidi="ar-SA"/>
        </w:rPr>
      </w:pPr>
      <w:r>
        <w:rPr>
          <w:rFonts w:hint="eastAsia" w:hAnsi="Times New Roman" w:cs="Times New Roman"/>
          <w:lang w:val="en-US" w:eastAsia="zh-CN"/>
        </w:rPr>
        <w:t>原创</w:t>
      </w:r>
      <w:r>
        <w:rPr>
          <w:rFonts w:hint="default" w:hAnsi="Times New Roman" w:cs="Times New Roman"/>
          <w:lang w:val="en-US" w:eastAsia="zh-CN"/>
        </w:rPr>
        <w:t>科普漫画《穿越时光的香醇——咖啡豆的奇幻人生》获2024年“科普中国青年之星创作交流活动优秀作品奖”</w:t>
      </w:r>
    </w:p>
    <w:p w14:paraId="4DF200B0">
      <w:pPr>
        <w:pStyle w:val="4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仿宋_GB2312"/>
          <w:lang w:eastAsia="zh-CN"/>
        </w:rPr>
      </w:pPr>
      <w:r>
        <w:rPr>
          <w:rFonts w:hint="eastAsia" w:eastAsia="仿宋_GB2312"/>
          <w:lang w:eastAsia="zh-CN"/>
        </w:rPr>
        <w:drawing>
          <wp:inline distT="0" distB="0" distL="114300" distR="114300">
            <wp:extent cx="5400040" cy="4048125"/>
            <wp:effectExtent l="0" t="0" r="10160" b="3175"/>
            <wp:docPr id="3" name="图片 3" descr="3fc801de4ef225bcc2839e7ef0edc2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3fc801de4ef225bcc2839e7ef0edc2f0"/>
                    <pic:cNvPicPr>
                      <a:picLocks noChangeAspect="1"/>
                    </pic:cNvPicPr>
                  </pic:nvPicPr>
                  <pic:blipFill>
                    <a:blip r:embed="rId17"/>
                    <a:stretch>
                      <a:fillRect/>
                    </a:stretch>
                  </pic:blipFill>
                  <pic:spPr>
                    <a:xfrm>
                      <a:off x="0" y="0"/>
                      <a:ext cx="5400040" cy="4048125"/>
                    </a:xfrm>
                    <a:prstGeom prst="rect">
                      <a:avLst/>
                    </a:prstGeom>
                  </pic:spPr>
                </pic:pic>
              </a:graphicData>
            </a:graphic>
          </wp:inline>
        </w:drawing>
      </w:r>
    </w:p>
    <w:p w14:paraId="521230F1">
      <w:pPr>
        <w:pStyle w:val="46"/>
        <w:bidi w:val="0"/>
        <w:rPr>
          <w:rFonts w:hint="default" w:hAnsi="Times New Roman" w:cs="Times New Roman"/>
          <w:lang w:val="en-US" w:eastAsia="zh-CN"/>
        </w:rPr>
      </w:pPr>
      <w:r>
        <w:rPr>
          <w:rFonts w:hint="eastAsia" w:hAnsi="Times New Roman" w:cs="Times New Roman"/>
          <w:lang w:val="en-US" w:eastAsia="zh-CN"/>
        </w:rPr>
        <w:t>《花木间的智慧》书籍</w:t>
      </w:r>
    </w:p>
    <w:p w14:paraId="6C39E99E">
      <w:pPr>
        <w:pStyle w:val="4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仿宋_GB2312"/>
          <w:lang w:eastAsia="zh-CN"/>
        </w:rPr>
      </w:pPr>
      <w:r>
        <w:rPr>
          <w:rFonts w:hint="eastAsia" w:eastAsia="仿宋_GB2312"/>
          <w:lang w:eastAsia="zh-CN"/>
        </w:rPr>
        <w:drawing>
          <wp:inline distT="0" distB="0" distL="114300" distR="114300">
            <wp:extent cx="5400040" cy="5100320"/>
            <wp:effectExtent l="0" t="0" r="10160" b="5080"/>
            <wp:docPr id="12" name="图片 12" descr="f5fa7ca6c9a3541898128ddb8fe6e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f5fa7ca6c9a3541898128ddb8fe6e776"/>
                    <pic:cNvPicPr>
                      <a:picLocks noChangeAspect="1"/>
                    </pic:cNvPicPr>
                  </pic:nvPicPr>
                  <pic:blipFill>
                    <a:blip r:embed="rId18"/>
                    <a:stretch>
                      <a:fillRect/>
                    </a:stretch>
                  </pic:blipFill>
                  <pic:spPr>
                    <a:xfrm>
                      <a:off x="0" y="0"/>
                      <a:ext cx="5400040" cy="5100320"/>
                    </a:xfrm>
                    <a:prstGeom prst="rect">
                      <a:avLst/>
                    </a:prstGeom>
                  </pic:spPr>
                </pic:pic>
              </a:graphicData>
            </a:graphic>
          </wp:inline>
        </w:drawing>
      </w:r>
    </w:p>
    <w:p w14:paraId="067E8F45">
      <w:pPr>
        <w:pStyle w:val="46"/>
        <w:bidi w:val="0"/>
        <w:rPr>
          <w:rFonts w:hint="default" w:hAnsi="Times New Roman" w:cs="Times New Roman"/>
          <w:lang w:val="en-US" w:eastAsia="zh-CN"/>
        </w:rPr>
      </w:pPr>
      <w:r>
        <w:rPr>
          <w:rFonts w:hint="eastAsia" w:hAnsi="Times New Roman" w:cs="Times New Roman"/>
          <w:lang w:val="en-US" w:eastAsia="zh-CN"/>
        </w:rPr>
        <w:t>《花木间的智慧》书籍获奖截图</w:t>
      </w:r>
    </w:p>
    <w:p w14:paraId="58259DF3">
      <w:pPr>
        <w:pStyle w:val="50"/>
        <w:spacing w:before="156" w:after="156"/>
        <w:rPr>
          <w:rFonts w:hint="default"/>
          <w:color w:val="000000" w:themeColor="text1"/>
          <w14:textFill>
            <w14:solidFill>
              <w14:schemeClr w14:val="tx1"/>
            </w14:solidFill>
          </w14:textFill>
        </w:rPr>
      </w:pPr>
      <w:r>
        <w:rPr>
          <w:color w:val="000000" w:themeColor="text1"/>
          <w14:textFill>
            <w14:solidFill>
              <w14:schemeClr w14:val="tx1"/>
            </w14:solidFill>
          </w14:textFill>
        </w:rPr>
        <w:t>（三）与现行法律、法规的关系，与有关国家标准、行业标准的协调情况</w:t>
      </w:r>
    </w:p>
    <w:p w14:paraId="5836EA03">
      <w:pPr>
        <w:pStyle w:val="49"/>
        <w:rPr>
          <w:rFonts w:hint="default"/>
          <w:color w:val="000000" w:themeColor="text1"/>
          <w14:textFill>
            <w14:solidFill>
              <w14:schemeClr w14:val="tx1"/>
            </w14:solidFill>
          </w14:textFill>
        </w:rPr>
      </w:pPr>
      <w:r>
        <w:rPr>
          <w:color w:val="000000" w:themeColor="text1"/>
          <w14:textFill>
            <w14:solidFill>
              <w14:schemeClr w14:val="tx1"/>
            </w14:solidFill>
          </w14:textFill>
        </w:rPr>
        <w:t>本编制工作组承诺本标准内容与各项指标不违反相关法律法规要求，且不低于国家强制性标准、推荐性国家标准和行业标准要求。</w:t>
      </w:r>
    </w:p>
    <w:p w14:paraId="1BA6F3FA">
      <w:pPr>
        <w:pStyle w:val="48"/>
        <w:spacing w:before="156" w:after="156"/>
        <w:rPr>
          <w:rFonts w:hint="eastAsia" w:ascii="Times New Roman" w:hAnsi="Times New Roman" w:eastAsia="仿宋_GB2312" w:cs="Times New Roman"/>
          <w:color w:val="000000" w:themeColor="text1"/>
          <w:kern w:val="2"/>
          <w:sz w:val="32"/>
          <w:szCs w:val="28"/>
          <w:lang w:val="en-US" w:eastAsia="zh-CN" w:bidi="ar-SA"/>
          <w14:textFill>
            <w14:solidFill>
              <w14:schemeClr w14:val="tx1"/>
            </w14:solidFill>
          </w14:textFill>
        </w:rPr>
      </w:pPr>
      <w:bookmarkStart w:id="1" w:name="_Toc526940084"/>
      <w:r>
        <w:rPr>
          <w:rFonts w:hint="eastAsia" w:ascii="Times New Roman" w:hAnsi="Times New Roman" w:eastAsia="仿宋_GB2312" w:cs="Times New Roman"/>
          <w:color w:val="000000" w:themeColor="text1"/>
          <w:kern w:val="2"/>
          <w:sz w:val="32"/>
          <w:szCs w:val="28"/>
          <w:lang w:val="en-US" w:eastAsia="zh-CN" w:bidi="ar-SA"/>
          <w14:textFill>
            <w14:solidFill>
              <w14:schemeClr w14:val="tx1"/>
            </w14:solidFill>
          </w14:textFill>
        </w:rPr>
        <w:t>经在全国标准信息公共服务平台等平台查阅，与“科普视频”“农业传统媒体”“科普评价”有关的标准有《LY/T 2251-2014 林业科普基地评选规范》《T/CSWA 001-2023 科普视频评价指标体系》。其中：</w:t>
      </w:r>
    </w:p>
    <w:p w14:paraId="1103CF7B">
      <w:pPr>
        <w:pStyle w:val="48"/>
        <w:spacing w:before="156" w:after="156"/>
        <w:rPr>
          <w:rFonts w:hint="eastAsia" w:ascii="Times New Roman" w:hAnsi="Times New Roman" w:eastAsia="仿宋_GB2312" w:cs="Times New Roman"/>
          <w:color w:val="000000" w:themeColor="text1"/>
          <w:kern w:val="2"/>
          <w:sz w:val="32"/>
          <w:szCs w:val="28"/>
          <w:lang w:val="en-US" w:eastAsia="zh-CN" w:bidi="ar-SA"/>
          <w14:textFill>
            <w14:solidFill>
              <w14:schemeClr w14:val="tx1"/>
            </w14:solidFill>
          </w14:textFill>
        </w:rPr>
      </w:pPr>
      <w:r>
        <w:rPr>
          <w:rFonts w:hint="eastAsia" w:ascii="Times New Roman" w:hAnsi="Times New Roman" w:eastAsia="仿宋_GB2312" w:cs="Times New Roman"/>
          <w:color w:val="000000" w:themeColor="text1"/>
          <w:kern w:val="2"/>
          <w:sz w:val="32"/>
          <w:szCs w:val="28"/>
          <w:lang w:val="en-US" w:eastAsia="zh-CN" w:bidi="ar-SA"/>
          <w14:textFill>
            <w14:solidFill>
              <w14:schemeClr w14:val="tx1"/>
            </w14:solidFill>
          </w14:textFill>
        </w:rPr>
        <w:t>1《LY/T 2251-2014 林业科普基地评选规范》规定了全国林业科普基地评选的原则与方法、基本条件、运营管理和工作要求，适用于全国林业科普基地的评选、验收、检查和规范化建设，与农业科普纸媒作品评价无关；</w:t>
      </w:r>
    </w:p>
    <w:p w14:paraId="4A589A34">
      <w:pPr>
        <w:pStyle w:val="48"/>
        <w:spacing w:before="156" w:after="156"/>
        <w:rPr>
          <w:rFonts w:hint="eastAsia" w:ascii="Times New Roman" w:hAnsi="Times New Roman" w:eastAsia="仿宋_GB2312" w:cs="Times New Roman"/>
          <w:color w:val="000000" w:themeColor="text1"/>
          <w:kern w:val="2"/>
          <w:sz w:val="32"/>
          <w:szCs w:val="28"/>
          <w:lang w:val="en-US" w:eastAsia="zh-CN" w:bidi="ar-SA"/>
          <w14:textFill>
            <w14:solidFill>
              <w14:schemeClr w14:val="tx1"/>
            </w14:solidFill>
          </w14:textFill>
        </w:rPr>
      </w:pPr>
      <w:r>
        <w:rPr>
          <w:rFonts w:hint="eastAsia" w:ascii="Times New Roman" w:hAnsi="Times New Roman" w:eastAsia="仿宋_GB2312" w:cs="Times New Roman"/>
          <w:color w:val="000000" w:themeColor="text1"/>
          <w:kern w:val="2"/>
          <w:sz w:val="32"/>
          <w:szCs w:val="28"/>
          <w:lang w:val="en-US" w:eastAsia="zh-CN" w:bidi="ar-SA"/>
          <w14:textFill>
            <w14:solidFill>
              <w14:schemeClr w14:val="tx1"/>
            </w14:solidFill>
          </w14:textFill>
        </w:rPr>
        <w:t>2.《T/CSWA 001-2023 科普视频评价指标体系》规定了科普视频评价的基本要求、评价方法和结果判定、指标体系等内容，缺少纸媒等传统科普作品的评价要求，不适用于本标准。</w:t>
      </w:r>
    </w:p>
    <w:p w14:paraId="41029F56">
      <w:pPr>
        <w:pStyle w:val="48"/>
        <w:spacing w:before="156" w:after="156"/>
        <w:rPr>
          <w:rFonts w:hint="eastAsia" w:ascii="Times New Roman" w:hAnsi="Times New Roman" w:eastAsia="仿宋_GB2312" w:cs="Times New Roman"/>
          <w:color w:val="000000" w:themeColor="text1"/>
          <w:kern w:val="2"/>
          <w:sz w:val="32"/>
          <w:szCs w:val="28"/>
          <w:lang w:val="en-US" w:eastAsia="zh-CN" w:bidi="ar-SA"/>
          <w14:textFill>
            <w14:solidFill>
              <w14:schemeClr w14:val="tx1"/>
            </w14:solidFill>
          </w14:textFill>
        </w:rPr>
      </w:pPr>
      <w:r>
        <w:rPr>
          <w:rFonts w:hint="eastAsia" w:ascii="Times New Roman" w:hAnsi="Times New Roman" w:eastAsia="仿宋_GB2312" w:cs="Times New Roman"/>
          <w:color w:val="000000" w:themeColor="text1"/>
          <w:kern w:val="2"/>
          <w:sz w:val="32"/>
          <w:szCs w:val="28"/>
          <w:lang w:val="en-US" w:eastAsia="zh-CN" w:bidi="ar-SA"/>
          <w14:textFill>
            <w14:solidFill>
              <w14:schemeClr w14:val="tx1"/>
            </w14:solidFill>
          </w14:textFill>
        </w:rPr>
        <w:t>综上所述，上述标准对科普视频的基本要求、评价方法以及指标体系等方面提出要求，但均未涉及农业科普纸媒作品评价。农业科普纸媒作品包括农业科普图书、农业科普报纸、农业科普媒体文章、农业科普论文等传统媒体作品形式，需要从农业角度、农业植物角度以及不同作品形式出发，评价的内容具有针对性，且目前没有出台农业科普纸媒作品评价的相关标准。因此制定团体标准《农业科普纸媒作品评价规范》，能够填补科普作品评价方面的标准空白，规范和提升农业科普纸媒作品的内容与质量，进一步促进科普行业的高质量发展。</w:t>
      </w:r>
    </w:p>
    <w:p w14:paraId="550FD2D3">
      <w:pPr>
        <w:pStyle w:val="48"/>
        <w:spacing w:before="156" w:after="156"/>
        <w:rPr>
          <w:rFonts w:hint="default"/>
          <w:color w:val="000000" w:themeColor="text1"/>
          <w14:textFill>
            <w14:solidFill>
              <w14:schemeClr w14:val="tx1"/>
            </w14:solidFill>
          </w14:textFill>
        </w:rPr>
      </w:pPr>
      <w:r>
        <w:rPr>
          <w:color w:val="000000" w:themeColor="text1"/>
          <w14:textFill>
            <w14:solidFill>
              <w14:schemeClr w14:val="tx1"/>
            </w14:solidFill>
          </w14:textFill>
        </w:rPr>
        <w:t>五、</w:t>
      </w:r>
      <w:bookmarkEnd w:id="1"/>
      <w:r>
        <w:rPr>
          <w:color w:val="000000" w:themeColor="text1"/>
          <w14:textFill>
            <w14:solidFill>
              <w14:schemeClr w14:val="tx1"/>
            </w14:solidFill>
          </w14:textFill>
        </w:rPr>
        <w:t>主要条款的说明</w:t>
      </w:r>
    </w:p>
    <w:p w14:paraId="2527E6D8">
      <w:pPr>
        <w:pStyle w:val="49"/>
        <w:rPr>
          <w:rFonts w:ascii="仿宋_GB2312" w:hAnsi="宋体"/>
          <w:color w:val="000000" w:themeColor="text1"/>
          <w:szCs w:val="32"/>
          <w:highlight w:val="none"/>
          <w:lang w:val="zh-CN"/>
          <w14:textFill>
            <w14:solidFill>
              <w14:schemeClr w14:val="tx1"/>
            </w14:solidFill>
          </w14:textFill>
        </w:rPr>
      </w:pPr>
      <w:r>
        <w:rPr>
          <w:rFonts w:ascii="仿宋_GB2312" w:hAnsi="宋体"/>
          <w:color w:val="000000" w:themeColor="text1"/>
          <w:szCs w:val="32"/>
          <w:lang w:val="zh-CN"/>
          <w14:textFill>
            <w14:solidFill>
              <w14:schemeClr w14:val="tx1"/>
            </w14:solidFill>
          </w14:textFill>
        </w:rPr>
        <w:t>团体标准《</w:t>
      </w:r>
      <w:r>
        <w:rPr>
          <w:rFonts w:hint="eastAsia"/>
          <w:color w:val="auto"/>
          <w:highlight w:val="none"/>
        </w:rPr>
        <w:t>农业科普纸媒作品评价</w:t>
      </w:r>
      <w:r>
        <w:rPr>
          <w:rFonts w:hint="eastAsia"/>
          <w:color w:val="auto"/>
          <w:highlight w:val="none"/>
          <w:lang w:val="en-US" w:eastAsia="zh-CN"/>
        </w:rPr>
        <w:t>规范</w:t>
      </w:r>
      <w:r>
        <w:rPr>
          <w:rFonts w:ascii="仿宋_GB2312" w:hAnsi="宋体"/>
          <w:color w:val="000000" w:themeColor="text1"/>
          <w:szCs w:val="32"/>
          <w:lang w:val="zh-CN"/>
          <w14:textFill>
            <w14:solidFill>
              <w14:schemeClr w14:val="tx1"/>
            </w14:solidFill>
          </w14:textFill>
        </w:rPr>
        <w:t>》的主要章节内容包括：</w:t>
      </w:r>
      <w:r>
        <w:rPr>
          <w:rFonts w:hint="eastAsia"/>
          <w:color w:val="auto"/>
          <w:highlight w:val="none"/>
        </w:rPr>
        <w:t>农业科普纸媒作品评价</w:t>
      </w:r>
      <w:r>
        <w:rPr>
          <w:rFonts w:hint="eastAsia"/>
          <w:color w:val="auto"/>
        </w:rPr>
        <w:t>的</w:t>
      </w:r>
      <w:bookmarkStart w:id="2" w:name="OLE_LINK1"/>
      <w:r>
        <w:rPr>
          <w:rFonts w:hint="eastAsia"/>
          <w:color w:val="auto"/>
          <w:highlight w:val="none"/>
        </w:rPr>
        <w:t>评价</w:t>
      </w:r>
      <w:bookmarkEnd w:id="2"/>
      <w:r>
        <w:rPr>
          <w:rFonts w:hint="eastAsia"/>
          <w:color w:val="auto"/>
          <w:highlight w:val="none"/>
          <w:lang w:val="en-US" w:eastAsia="zh-CN"/>
        </w:rPr>
        <w:t>内容</w:t>
      </w:r>
      <w:r>
        <w:rPr>
          <w:rFonts w:hint="eastAsia"/>
          <w:color w:val="auto"/>
          <w:highlight w:val="none"/>
          <w:lang w:eastAsia="zh-CN"/>
        </w:rPr>
        <w:t>、</w:t>
      </w:r>
      <w:r>
        <w:rPr>
          <w:rFonts w:hint="eastAsia"/>
          <w:color w:val="auto"/>
          <w:highlight w:val="none"/>
          <w:lang w:val="en-US" w:eastAsia="zh-CN"/>
        </w:rPr>
        <w:t>评价方法、评价流程及要求和档案管理</w:t>
      </w:r>
      <w:r>
        <w:rPr>
          <w:color w:val="000000" w:themeColor="text1"/>
          <w14:textFill>
            <w14:solidFill>
              <w14:schemeClr w14:val="tx1"/>
            </w14:solidFill>
          </w14:textFill>
        </w:rPr>
        <w:t>等要求</w:t>
      </w:r>
      <w:r>
        <w:rPr>
          <w:rFonts w:hint="eastAsia" w:ascii="仿宋_GB2312" w:hAnsi="宋体"/>
          <w:color w:val="000000" w:themeColor="text1"/>
          <w:szCs w:val="32"/>
          <w:lang w:val="zh-CN"/>
          <w14:textFill>
            <w14:solidFill>
              <w14:schemeClr w14:val="tx1"/>
            </w14:solidFill>
          </w14:textFill>
        </w:rPr>
        <w:t>，</w:t>
      </w:r>
      <w:r>
        <w:rPr>
          <w:rFonts w:hint="eastAsia" w:hAnsi="宋体"/>
          <w:color w:val="auto"/>
          <w:sz w:val="32"/>
          <w:szCs w:val="32"/>
          <w:highlight w:val="none"/>
          <w:lang w:val="en-US" w:eastAsia="zh-CN"/>
        </w:rPr>
        <w:t>保证了作品评价过程的顺利进行</w:t>
      </w:r>
      <w:r>
        <w:rPr>
          <w:rFonts w:hint="eastAsia" w:ascii="仿宋_GB2312" w:hAnsi="宋体"/>
          <w:color w:val="auto"/>
          <w:sz w:val="32"/>
          <w:szCs w:val="32"/>
          <w:highlight w:val="none"/>
          <w:lang w:val="en-US" w:eastAsia="zh-CN"/>
        </w:rPr>
        <w:t>。同时从</w:t>
      </w:r>
      <w:r>
        <w:rPr>
          <w:rFonts w:hint="eastAsia"/>
          <w:color w:val="auto"/>
          <w:lang w:val="en-US" w:eastAsia="zh-CN"/>
        </w:rPr>
        <w:t>方向与规范、内容质量、表达与传播</w:t>
      </w:r>
      <w:r>
        <w:rPr>
          <w:rFonts w:hint="eastAsia" w:ascii="仿宋_GB2312" w:hAnsi="宋体"/>
          <w:color w:val="auto"/>
          <w:sz w:val="32"/>
          <w:szCs w:val="32"/>
          <w:highlight w:val="none"/>
          <w:lang w:val="en-US" w:eastAsia="zh-CN"/>
        </w:rPr>
        <w:t>规定了与</w:t>
      </w:r>
      <w:r>
        <w:rPr>
          <w:rFonts w:hint="eastAsia"/>
          <w:color w:val="auto"/>
          <w:highlight w:val="none"/>
        </w:rPr>
        <w:t>农业科普纸媒作品评价</w:t>
      </w:r>
      <w:r>
        <w:rPr>
          <w:rFonts w:hint="eastAsia" w:ascii="仿宋_GB2312" w:hAnsi="宋体"/>
          <w:color w:val="auto"/>
          <w:sz w:val="32"/>
          <w:szCs w:val="32"/>
          <w:highlight w:val="none"/>
          <w:lang w:val="en-US" w:eastAsia="zh-CN"/>
        </w:rPr>
        <w:t>指标和评价内容，确保的评价的全面性和客观性</w:t>
      </w:r>
      <w:r>
        <w:rPr>
          <w:rFonts w:ascii="仿宋_GB2312" w:hAnsi="宋体"/>
          <w:color w:val="000000" w:themeColor="text1"/>
          <w:szCs w:val="32"/>
          <w:highlight w:val="none"/>
          <w14:textFill>
            <w14:solidFill>
              <w14:schemeClr w14:val="tx1"/>
            </w14:solidFill>
          </w14:textFill>
        </w:rPr>
        <w:t>。</w:t>
      </w:r>
      <w:r>
        <w:rPr>
          <w:rFonts w:ascii="仿宋_GB2312" w:hAnsi="宋体"/>
          <w:color w:val="000000" w:themeColor="text1"/>
          <w:szCs w:val="32"/>
          <w:highlight w:val="none"/>
          <w:lang w:val="zh-CN"/>
          <w14:textFill>
            <w14:solidFill>
              <w14:schemeClr w14:val="tx1"/>
            </w14:solidFill>
          </w14:textFill>
        </w:rPr>
        <w:t>本文件主要内容及依据来源说明如下：</w:t>
      </w:r>
    </w:p>
    <w:p w14:paraId="4976EBF0">
      <w:pPr>
        <w:pStyle w:val="50"/>
        <w:spacing w:before="156" w:after="156"/>
        <w:rPr>
          <w:rFonts w:hint="eastAsia"/>
          <w:color w:val="000000" w:themeColor="text1"/>
          <w:lang w:val="en-US" w:eastAsia="zh-CN"/>
          <w14:textFill>
            <w14:solidFill>
              <w14:schemeClr w14:val="tx1"/>
            </w14:solidFill>
          </w14:textFill>
        </w:rPr>
      </w:pPr>
      <w:r>
        <w:rPr>
          <w:rFonts w:hint="default"/>
          <w:color w:val="000000" w:themeColor="text1"/>
          <w:lang w:val="zh-CN"/>
          <w14:textFill>
            <w14:solidFill>
              <w14:schemeClr w14:val="tx1"/>
            </w14:solidFill>
          </w14:textFill>
        </w:rPr>
        <w:t>（一）</w:t>
      </w:r>
      <w:r>
        <w:rPr>
          <w:rFonts w:hint="eastAsia"/>
          <w:color w:val="000000" w:themeColor="text1"/>
          <w:lang w:val="en-US" w:eastAsia="zh-CN"/>
          <w14:textFill>
            <w14:solidFill>
              <w14:schemeClr w14:val="tx1"/>
            </w14:solidFill>
          </w14:textFill>
        </w:rPr>
        <w:t>评价内容</w:t>
      </w:r>
    </w:p>
    <w:p w14:paraId="2A9593D7">
      <w:pPr>
        <w:pStyle w:val="50"/>
        <w:spacing w:before="156" w:after="156"/>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pPr>
      <w:r>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t>（1）通则</w:t>
      </w:r>
    </w:p>
    <w:p w14:paraId="7393B3E5">
      <w:pPr>
        <w:pStyle w:val="50"/>
        <w:spacing w:before="156" w:after="156"/>
        <w:rPr>
          <w:rFonts w:hint="default"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pPr>
      <w:r>
        <w:rPr>
          <w:rFonts w:hint="default"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t>本标准设置方向与规范、内容质量、表达与传播三个一级指标。</w:t>
      </w:r>
      <w:r>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t>方</w:t>
      </w:r>
      <w:r>
        <w:rPr>
          <w:rFonts w:hint="default"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t>向与规范评价作品的价值导向和合规性；内容质量评价作品的科学性</w:t>
      </w:r>
      <w:r>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t>、准确性、原创性</w:t>
      </w:r>
      <w:r>
        <w:rPr>
          <w:rFonts w:hint="default"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t>和时效性；表达与传播评价作品的通俗性</w:t>
      </w:r>
      <w:r>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t>、</w:t>
      </w:r>
      <w:r>
        <w:rPr>
          <w:rFonts w:hint="default"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t>实用性</w:t>
      </w:r>
      <w:r>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t>和传播性</w:t>
      </w:r>
      <w:r>
        <w:rPr>
          <w:rFonts w:hint="default"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t>。农业科普作品涉及地域差异、农事季节、生产操作等特殊要求，三个维度分别对应作品的方向正确</w:t>
      </w:r>
      <w:r>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t>、</w:t>
      </w:r>
      <w:r>
        <w:rPr>
          <w:rFonts w:hint="default"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t>内容可靠</w:t>
      </w:r>
      <w:r>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t>、</w:t>
      </w:r>
      <w:r>
        <w:rPr>
          <w:rFonts w:hint="default"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t>便于使用三个方面。一级指标下设二级、三级指标，目的是将每项评价要求拆解为具体可打分的条目，减少评分主观性，提高评价一致性。具体指标层级和评分要点见附录A。</w:t>
      </w:r>
    </w:p>
    <w:p w14:paraId="69375AFC">
      <w:pPr>
        <w:pStyle w:val="49"/>
        <w:rPr>
          <w:rFonts w:hint="eastAsia"/>
          <w:color w:val="000000" w:themeColor="text1"/>
          <w:lang w:val="en-US" w:eastAsia="zh-CN"/>
          <w14:textFill>
            <w14:solidFill>
              <w14:schemeClr w14:val="tx1"/>
            </w14:solidFill>
          </w14:textFill>
        </w:rPr>
      </w:pPr>
      <w:r>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t>（2）</w:t>
      </w:r>
      <w:r>
        <w:rPr>
          <w:rFonts w:hint="eastAsia" w:cs="Times New Roman"/>
          <w:b w:val="0"/>
          <w:color w:val="000000" w:themeColor="text1"/>
          <w:kern w:val="2"/>
          <w:sz w:val="32"/>
          <w:szCs w:val="28"/>
          <w:lang w:val="en-US" w:eastAsia="zh-CN" w:bidi="ar-SA"/>
          <w14:textFill>
            <w14:solidFill>
              <w14:schemeClr w14:val="tx1"/>
            </w14:solidFill>
          </w14:textFill>
        </w:rPr>
        <w:t>方</w:t>
      </w:r>
      <w:r>
        <w:rPr>
          <w:rFonts w:hint="eastAsia"/>
          <w:color w:val="000000" w:themeColor="text1"/>
          <w:lang w:val="en-US" w:eastAsia="zh-CN"/>
          <w14:textFill>
            <w14:solidFill>
              <w14:schemeClr w14:val="tx1"/>
            </w14:solidFill>
          </w14:textFill>
        </w:rPr>
        <w:t>向与规范</w:t>
      </w:r>
    </w:p>
    <w:p w14:paraId="69972745">
      <w:pPr>
        <w:pStyle w:val="49"/>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纸媒作为农业科普的重要传播载体，留存时间长、传播范围稳，不仅承担着知识传递的功能，还肩负着引导认知、规范传播的责任，其导向是否正确、呈现是否规范，直接影响科普工作的质量和社会效果。</w:t>
      </w:r>
      <w:r>
        <w:rPr>
          <w:rFonts w:hint="eastAsia"/>
          <w:color w:val="000000" w:themeColor="text1"/>
          <w:lang w:val="en-US" w:eastAsia="zh-CN"/>
          <w14:textFill>
            <w14:solidFill>
              <w14:schemeClr w14:val="tx1"/>
            </w14:solidFill>
          </w14:textFill>
        </w:rPr>
        <w:t>方</w:t>
      </w:r>
      <w:r>
        <w:rPr>
          <w:rFonts w:hint="default"/>
          <w:color w:val="000000" w:themeColor="text1"/>
          <w:lang w:val="en-US" w:eastAsia="zh-CN"/>
          <w14:textFill>
            <w14:solidFill>
              <w14:schemeClr w14:val="tx1"/>
            </w14:solidFill>
          </w14:textFill>
        </w:rPr>
        <w:t>向与规范是把控农业科普纸媒的价值方向和呈现标准，确保科普作品既传递正确理念、契合国家农业发展战略，又符合行业规范、具备责任可追溯性，兼顾科普的社会价值与合规性。</w:t>
      </w:r>
    </w:p>
    <w:p w14:paraId="2CDFFF04">
      <w:pPr>
        <w:pStyle w:val="49"/>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方</w:t>
      </w:r>
      <w:r>
        <w:rPr>
          <w:rFonts w:hint="default"/>
          <w:color w:val="000000" w:themeColor="text1"/>
          <w:lang w:val="en-US" w:eastAsia="zh-CN"/>
          <w14:textFill>
            <w14:solidFill>
              <w14:schemeClr w14:val="tx1"/>
            </w14:solidFill>
          </w14:textFill>
        </w:rPr>
        <w:t>向性是确保农业科普纸媒传递正确的价值理念，契合国家农业发展战略和社会发展需求，避免错误</w:t>
      </w:r>
      <w:r>
        <w:rPr>
          <w:rFonts w:hint="eastAsia"/>
          <w:color w:val="000000" w:themeColor="text1"/>
          <w:lang w:val="en-US" w:eastAsia="zh-CN"/>
          <w14:textFill>
            <w14:solidFill>
              <w14:schemeClr w14:val="tx1"/>
            </w14:solidFill>
          </w14:textFill>
        </w:rPr>
        <w:t>方</w:t>
      </w:r>
      <w:r>
        <w:rPr>
          <w:rFonts w:hint="default"/>
          <w:color w:val="000000" w:themeColor="text1"/>
          <w:lang w:val="en-US" w:eastAsia="zh-CN"/>
          <w14:textFill>
            <w14:solidFill>
              <w14:schemeClr w14:val="tx1"/>
            </w14:solidFill>
          </w14:textFill>
        </w:rPr>
        <w:t>向影响受众认知和农业生产。</w:t>
      </w:r>
      <w:r>
        <w:rPr>
          <w:rFonts w:hint="eastAsia"/>
          <w:color w:val="000000" w:themeColor="text1"/>
          <w:lang w:val="en-US" w:eastAsia="zh-CN"/>
          <w14:textFill>
            <w14:solidFill>
              <w14:schemeClr w14:val="tx1"/>
            </w14:solidFill>
          </w14:textFill>
        </w:rPr>
        <w:t>方</w:t>
      </w:r>
      <w:r>
        <w:rPr>
          <w:rFonts w:hint="default"/>
          <w:color w:val="000000" w:themeColor="text1"/>
          <w:lang w:val="en-US" w:eastAsia="zh-CN"/>
          <w14:textFill>
            <w14:solidFill>
              <w14:schemeClr w14:val="tx1"/>
            </w14:solidFill>
          </w14:textFill>
        </w:rPr>
        <w:t>向性从</w:t>
      </w:r>
      <w:r>
        <w:rPr>
          <w:rFonts w:hint="eastAsia"/>
          <w:color w:val="000000" w:themeColor="text1"/>
          <w:lang w:val="en-US" w:eastAsia="zh-CN"/>
          <w14:textFill>
            <w14:solidFill>
              <w14:schemeClr w14:val="tx1"/>
            </w14:solidFill>
          </w14:textFill>
        </w:rPr>
        <w:t>“</w:t>
      </w:r>
      <w:r>
        <w:rPr>
          <w:rFonts w:hint="default"/>
          <w:color w:val="000000" w:themeColor="text1"/>
          <w:lang w:val="en-US" w:eastAsia="zh-CN"/>
          <w14:textFill>
            <w14:solidFill>
              <w14:schemeClr w14:val="tx1"/>
            </w14:solidFill>
          </w14:textFill>
        </w:rPr>
        <w:t>应聚焦国家粮食安全、乡村振兴、农业绿色发展、种业振兴、耕地保护、农产品质量安全等重大战略，普及农业科技知识，倡导科学方法，传播科学思想，弘扬科学精神与优秀农耕文化、乡土文化</w:t>
      </w:r>
      <w:r>
        <w:rPr>
          <w:rFonts w:hint="eastAsia"/>
          <w:color w:val="000000" w:themeColor="text1"/>
          <w:lang w:val="en-US" w:eastAsia="zh-CN"/>
          <w14:textFill>
            <w14:solidFill>
              <w14:schemeClr w14:val="tx1"/>
            </w14:solidFill>
          </w14:textFill>
        </w:rPr>
        <w:t>”“</w:t>
      </w:r>
      <w:r>
        <w:rPr>
          <w:rFonts w:hint="default"/>
          <w:color w:val="000000" w:themeColor="text1"/>
          <w:lang w:val="en-US" w:eastAsia="zh-CN"/>
          <w14:textFill>
            <w14:solidFill>
              <w14:schemeClr w14:val="tx1"/>
            </w14:solidFill>
          </w14:textFill>
        </w:rPr>
        <w:t>应提升农民科学素质，服务农业生产经营，增进社会对农业科技、农民价值与乡村发展的认同，推动农业政策与惠农措施的理解和落实</w:t>
      </w:r>
      <w:r>
        <w:rPr>
          <w:rFonts w:hint="eastAsia"/>
          <w:color w:val="000000" w:themeColor="text1"/>
          <w:lang w:val="en-US" w:eastAsia="zh-CN"/>
          <w14:textFill>
            <w14:solidFill>
              <w14:schemeClr w14:val="tx1"/>
            </w14:solidFill>
          </w14:textFill>
        </w:rPr>
        <w:t>”“</w:t>
      </w:r>
      <w:r>
        <w:rPr>
          <w:rFonts w:hint="default"/>
          <w:color w:val="000000" w:themeColor="text1"/>
          <w:lang w:val="en-US" w:eastAsia="zh-CN"/>
          <w14:textFill>
            <w14:solidFill>
              <w14:schemeClr w14:val="tx1"/>
            </w14:solidFill>
          </w14:textFill>
        </w:rPr>
        <w:t>应坚持正确价值导向，无伪科学、误导性及危害农业生产与公共安全的内容</w:t>
      </w:r>
      <w:r>
        <w:rPr>
          <w:rFonts w:hint="eastAsia"/>
          <w:color w:val="000000" w:themeColor="text1"/>
          <w:lang w:val="en-US" w:eastAsia="zh-CN"/>
          <w14:textFill>
            <w14:solidFill>
              <w14:schemeClr w14:val="tx1"/>
            </w14:solidFill>
          </w14:textFill>
        </w:rPr>
        <w:t>”</w:t>
      </w:r>
      <w:r>
        <w:rPr>
          <w:rFonts w:hint="default"/>
          <w:color w:val="000000" w:themeColor="text1"/>
          <w:lang w:val="en-US" w:eastAsia="zh-CN"/>
          <w14:textFill>
            <w14:solidFill>
              <w14:schemeClr w14:val="tx1"/>
            </w14:solidFill>
          </w14:textFill>
        </w:rPr>
        <w:t>和</w:t>
      </w:r>
      <w:r>
        <w:rPr>
          <w:rFonts w:hint="eastAsia"/>
          <w:color w:val="000000" w:themeColor="text1"/>
          <w:lang w:val="en-US" w:eastAsia="zh-CN"/>
          <w14:textFill>
            <w14:solidFill>
              <w14:schemeClr w14:val="tx1"/>
            </w14:solidFill>
          </w14:textFill>
        </w:rPr>
        <w:t>“</w:t>
      </w:r>
      <w:r>
        <w:rPr>
          <w:rFonts w:hint="default"/>
          <w:color w:val="000000" w:themeColor="text1"/>
          <w:lang w:val="en-US" w:eastAsia="zh-CN"/>
          <w14:textFill>
            <w14:solidFill>
              <w14:schemeClr w14:val="tx1"/>
            </w14:solidFill>
          </w14:textFill>
        </w:rPr>
        <w:t>应以科学态度审视和利用地方性知识、传统农耕经验，避免与现代农业科技的简单对立</w:t>
      </w:r>
      <w:r>
        <w:rPr>
          <w:rFonts w:hint="eastAsia"/>
          <w:color w:val="000000" w:themeColor="text1"/>
          <w:lang w:val="en-US" w:eastAsia="zh-CN"/>
          <w14:textFill>
            <w14:solidFill>
              <w14:schemeClr w14:val="tx1"/>
            </w14:solidFill>
          </w14:textFill>
        </w:rPr>
        <w:t>”</w:t>
      </w:r>
      <w:r>
        <w:rPr>
          <w:rFonts w:hint="default"/>
          <w:color w:val="000000" w:themeColor="text1"/>
          <w:lang w:val="en-US" w:eastAsia="zh-CN"/>
          <w14:textFill>
            <w14:solidFill>
              <w14:schemeClr w14:val="tx1"/>
            </w14:solidFill>
          </w14:textFill>
        </w:rPr>
        <w:t>进行评价是因为，农业科普纸媒传播范围广、受众群体固定，聚焦国家农业重大战略，能让受众在获取知识的同时，了解国家农业发展方向，将个人生产实践与国家战略需求相结合；农民是农业生产的核心主体，提升其科学素质、服务生产经营，能切实推动农业生产提质增效，增进社会对农业、农民、乡村的认同，助力农业政策和惠农措施落地见效；伪科学、误导性内容会扭曲受众认知，甚至危害农业生产和公共安全，坚持正确价值导向，能避免此类问题发生，保障科普内容的正向价值；地方性知识和传统农耕经验蕴含着先辈的生产智慧，但部分内容与现代农业科技存在差异，以科学态度审视和利用，既能传承优秀传统农耕文化，又能避免与现代农业科技对立，实现传统经验与现代科技的有机融合，提升科普的全面性和实用性。</w:t>
      </w:r>
    </w:p>
    <w:p w14:paraId="4C72E1F0">
      <w:pPr>
        <w:pStyle w:val="47"/>
        <w:bidi w:val="0"/>
        <w:rPr>
          <w:rFonts w:hint="default" w:ascii="Times New Roman" w:hAnsi="Times New Roman" w:eastAsia="仿宋_GB2312" w:cs="Times New Roman"/>
          <w:b w:val="0"/>
          <w:kern w:val="2"/>
          <w:szCs w:val="21"/>
          <w:lang w:val="en-US" w:eastAsia="zh-CN" w:bidi="ar-SA"/>
        </w:rPr>
      </w:pPr>
      <w:r>
        <w:rPr>
          <w:rFonts w:hint="eastAsia"/>
          <w:lang w:val="en-US" w:eastAsia="zh-CN"/>
        </w:rPr>
        <w:t>方向性参考来源</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1"/>
        <w:gridCol w:w="6652"/>
        <w:gridCol w:w="1001"/>
      </w:tblGrid>
      <w:tr w14:paraId="15B7D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6BF12780">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来源</w:t>
            </w:r>
          </w:p>
        </w:tc>
        <w:tc>
          <w:tcPr>
            <w:tcW w:w="6652" w:type="dxa"/>
            <w:vAlign w:val="center"/>
          </w:tcPr>
          <w:p w14:paraId="1CDBFD7E">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lang w:val="en-US" w:eastAsia="zh-CN" w:bidi="ar-SA"/>
              </w:rPr>
              <w:t>相关内容</w:t>
            </w:r>
          </w:p>
        </w:tc>
        <w:tc>
          <w:tcPr>
            <w:tcW w:w="1001" w:type="dxa"/>
            <w:vAlign w:val="center"/>
          </w:tcPr>
          <w:p w14:paraId="1D3AFFF5">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lang w:val="en-US" w:eastAsia="zh-CN" w:bidi="ar-SA"/>
              </w:rPr>
            </w:pPr>
            <w:r>
              <w:rPr>
                <w:rFonts w:hint="eastAsia" w:ascii="Times New Roman" w:hAnsi="Times New Roman" w:eastAsia="仿宋_GB2312" w:cs="Times New Roman"/>
                <w:b w:val="0"/>
                <w:kern w:val="2"/>
                <w:sz w:val="24"/>
                <w:szCs w:val="24"/>
                <w:lang w:val="en-US" w:eastAsia="zh-CN" w:bidi="ar-SA"/>
              </w:rPr>
              <w:t>要点</w:t>
            </w:r>
          </w:p>
        </w:tc>
      </w:tr>
      <w:tr w14:paraId="50BE3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782CB8A4">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《新科普法，新在哪里》</w:t>
            </w:r>
          </w:p>
        </w:tc>
        <w:tc>
          <w:tcPr>
            <w:tcW w:w="6652" w:type="dxa"/>
            <w:vAlign w:val="center"/>
          </w:tcPr>
          <w:p w14:paraId="77C990BD">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pPr>
            <w:r>
              <w:drawing>
                <wp:inline distT="0" distB="0" distL="114300" distR="114300">
                  <wp:extent cx="3599815" cy="7937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9"/>
                          <a:srcRect b="62919"/>
                          <a:stretch>
                            <a:fillRect/>
                          </a:stretch>
                        </pic:blipFill>
                        <pic:spPr>
                          <a:xfrm>
                            <a:off x="0" y="0"/>
                            <a:ext cx="3599815" cy="793750"/>
                          </a:xfrm>
                          <a:prstGeom prst="rect">
                            <a:avLst/>
                          </a:prstGeom>
                          <a:noFill/>
                          <a:ln>
                            <a:noFill/>
                          </a:ln>
                        </pic:spPr>
                      </pic:pic>
                    </a:graphicData>
                  </a:graphic>
                </wp:inline>
              </w:drawing>
            </w:r>
          </w:p>
        </w:tc>
        <w:tc>
          <w:tcPr>
            <w:tcW w:w="1001" w:type="dxa"/>
            <w:vAlign w:val="center"/>
          </w:tcPr>
          <w:p w14:paraId="4574C29C">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科普方向要紧跟科技前沿</w:t>
            </w:r>
          </w:p>
        </w:tc>
      </w:tr>
      <w:tr w14:paraId="5E870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3723785D">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GB/T 42421—2023  数字科普资源质量要求</w:t>
            </w:r>
          </w:p>
        </w:tc>
        <w:tc>
          <w:tcPr>
            <w:tcW w:w="6652" w:type="dxa"/>
            <w:vAlign w:val="center"/>
          </w:tcPr>
          <w:p w14:paraId="4EE1D4C4">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9815" cy="521335"/>
                  <wp:effectExtent l="0" t="0" r="6985" b="12065"/>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20"/>
                          <a:stretch>
                            <a:fillRect/>
                          </a:stretch>
                        </pic:blipFill>
                        <pic:spPr>
                          <a:xfrm>
                            <a:off x="0" y="0"/>
                            <a:ext cx="3599815" cy="521335"/>
                          </a:xfrm>
                          <a:prstGeom prst="rect">
                            <a:avLst/>
                          </a:prstGeom>
                          <a:noFill/>
                          <a:ln>
                            <a:noFill/>
                          </a:ln>
                        </pic:spPr>
                      </pic:pic>
                    </a:graphicData>
                  </a:graphic>
                </wp:inline>
              </w:drawing>
            </w:r>
          </w:p>
        </w:tc>
        <w:tc>
          <w:tcPr>
            <w:tcW w:w="1001" w:type="dxa"/>
            <w:vAlign w:val="center"/>
          </w:tcPr>
          <w:p w14:paraId="5C316953">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弘扬科学精神、传播科学思想</w:t>
            </w:r>
          </w:p>
        </w:tc>
      </w:tr>
      <w:tr w14:paraId="2FC2B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19A13C8C">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《关于征集优秀科普作品的通知》</w:t>
            </w:r>
          </w:p>
        </w:tc>
        <w:tc>
          <w:tcPr>
            <w:tcW w:w="6652" w:type="dxa"/>
            <w:vAlign w:val="center"/>
          </w:tcPr>
          <w:p w14:paraId="240F0317">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bdr w:val="single" w:sz="4" w:space="0"/>
              </w:rPr>
              <w:drawing>
                <wp:inline distT="0" distB="0" distL="114300" distR="114300">
                  <wp:extent cx="3599815" cy="170180"/>
                  <wp:effectExtent l="0" t="0" r="6985" b="7620"/>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21"/>
                          <a:stretch>
                            <a:fillRect/>
                          </a:stretch>
                        </pic:blipFill>
                        <pic:spPr>
                          <a:xfrm>
                            <a:off x="0" y="0"/>
                            <a:ext cx="3599815" cy="170180"/>
                          </a:xfrm>
                          <a:prstGeom prst="rect">
                            <a:avLst/>
                          </a:prstGeom>
                          <a:noFill/>
                          <a:ln>
                            <a:noFill/>
                          </a:ln>
                        </pic:spPr>
                      </pic:pic>
                    </a:graphicData>
                  </a:graphic>
                </wp:inline>
              </w:drawing>
            </w:r>
          </w:p>
        </w:tc>
        <w:tc>
          <w:tcPr>
            <w:tcW w:w="1001" w:type="dxa"/>
            <w:vAlign w:val="center"/>
          </w:tcPr>
          <w:p w14:paraId="31520953">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符合党的路线方针</w:t>
            </w:r>
          </w:p>
        </w:tc>
      </w:tr>
      <w:tr w14:paraId="69B76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71E0074A">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eastAsia"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2026年第二十三届“北京电影学院漫画节”征稿</w:t>
            </w:r>
          </w:p>
        </w:tc>
        <w:tc>
          <w:tcPr>
            <w:tcW w:w="6652" w:type="dxa"/>
            <w:vAlign w:val="center"/>
          </w:tcPr>
          <w:p w14:paraId="1A814C44">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pPr>
            <w:r>
              <w:drawing>
                <wp:inline distT="0" distB="0" distL="114300" distR="114300">
                  <wp:extent cx="3599815" cy="821055"/>
                  <wp:effectExtent l="0" t="0" r="6985" b="4445"/>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22"/>
                          <a:stretch>
                            <a:fillRect/>
                          </a:stretch>
                        </pic:blipFill>
                        <pic:spPr>
                          <a:xfrm>
                            <a:off x="0" y="0"/>
                            <a:ext cx="3599815" cy="821055"/>
                          </a:xfrm>
                          <a:prstGeom prst="rect">
                            <a:avLst/>
                          </a:prstGeom>
                          <a:noFill/>
                          <a:ln>
                            <a:noFill/>
                          </a:ln>
                        </pic:spPr>
                      </pic:pic>
                    </a:graphicData>
                  </a:graphic>
                </wp:inline>
              </w:drawing>
            </w:r>
          </w:p>
        </w:tc>
        <w:tc>
          <w:tcPr>
            <w:tcW w:w="1001" w:type="dxa"/>
            <w:vAlign w:val="center"/>
          </w:tcPr>
          <w:p w14:paraId="1CAA9D57">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eastAsia"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须坚持正确的价值导向与文化立场，内容健康，主题明确</w:t>
            </w:r>
          </w:p>
        </w:tc>
      </w:tr>
      <w:tr w14:paraId="2AF77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7DDCADB4">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eastAsia"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汇雅杯 ·全民阅读季——“星耀好书，全民共选 ”榜单评选大赛</w:t>
            </w:r>
          </w:p>
        </w:tc>
        <w:tc>
          <w:tcPr>
            <w:tcW w:w="6652" w:type="dxa"/>
            <w:vAlign w:val="center"/>
          </w:tcPr>
          <w:p w14:paraId="5C76BA1F">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pPr>
            <w:r>
              <w:drawing>
                <wp:inline distT="0" distB="0" distL="114300" distR="114300">
                  <wp:extent cx="3599815" cy="680085"/>
                  <wp:effectExtent l="0" t="0" r="6985" b="5715"/>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23"/>
                          <a:stretch>
                            <a:fillRect/>
                          </a:stretch>
                        </pic:blipFill>
                        <pic:spPr>
                          <a:xfrm>
                            <a:off x="0" y="0"/>
                            <a:ext cx="3599815" cy="680085"/>
                          </a:xfrm>
                          <a:prstGeom prst="rect">
                            <a:avLst/>
                          </a:prstGeom>
                          <a:noFill/>
                          <a:ln>
                            <a:noFill/>
                          </a:ln>
                        </pic:spPr>
                      </pic:pic>
                    </a:graphicData>
                  </a:graphic>
                </wp:inline>
              </w:drawing>
            </w:r>
          </w:p>
        </w:tc>
        <w:tc>
          <w:tcPr>
            <w:tcW w:w="1001" w:type="dxa"/>
            <w:vAlign w:val="center"/>
          </w:tcPr>
          <w:p w14:paraId="50DF2C7C">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内容积极向上</w:t>
            </w:r>
          </w:p>
        </w:tc>
      </w:tr>
      <w:tr w14:paraId="2B32C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7BFD1958">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eastAsia"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“青春执漫笔，妙手绘浔城”主题漫画创作大赛</w:t>
            </w:r>
          </w:p>
        </w:tc>
        <w:tc>
          <w:tcPr>
            <w:tcW w:w="6652" w:type="dxa"/>
            <w:vAlign w:val="center"/>
          </w:tcPr>
          <w:p w14:paraId="3E37238D">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pPr>
            <w:r>
              <w:drawing>
                <wp:inline distT="0" distB="0" distL="114300" distR="114300">
                  <wp:extent cx="3599815" cy="213995"/>
                  <wp:effectExtent l="0" t="0" r="6985" b="190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24"/>
                          <a:stretch>
                            <a:fillRect/>
                          </a:stretch>
                        </pic:blipFill>
                        <pic:spPr>
                          <a:xfrm>
                            <a:off x="0" y="0"/>
                            <a:ext cx="3599815" cy="213995"/>
                          </a:xfrm>
                          <a:prstGeom prst="rect">
                            <a:avLst/>
                          </a:prstGeom>
                          <a:noFill/>
                          <a:ln>
                            <a:noFill/>
                          </a:ln>
                        </pic:spPr>
                      </pic:pic>
                    </a:graphicData>
                  </a:graphic>
                </wp:inline>
              </w:drawing>
            </w:r>
          </w:p>
        </w:tc>
        <w:tc>
          <w:tcPr>
            <w:tcW w:w="1001" w:type="dxa"/>
            <w:vAlign w:val="center"/>
          </w:tcPr>
          <w:p w14:paraId="1386A053">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强调主题方向</w:t>
            </w:r>
          </w:p>
        </w:tc>
      </w:tr>
      <w:tr w14:paraId="796DC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30AE1726">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eastAsia"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《科技工作者科普创作指南》</w:t>
            </w:r>
          </w:p>
        </w:tc>
        <w:tc>
          <w:tcPr>
            <w:tcW w:w="6652" w:type="dxa"/>
            <w:vAlign w:val="center"/>
          </w:tcPr>
          <w:p w14:paraId="085BB046">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pPr>
            <w:r>
              <w:drawing>
                <wp:inline distT="0" distB="0" distL="114300" distR="114300">
                  <wp:extent cx="3599815" cy="2372360"/>
                  <wp:effectExtent l="0" t="0" r="6985" b="2540"/>
                  <wp:docPr id="4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
                          <pic:cNvPicPr>
                            <a:picLocks noChangeAspect="1"/>
                          </pic:cNvPicPr>
                        </pic:nvPicPr>
                        <pic:blipFill>
                          <a:blip r:embed="rId25"/>
                          <a:stretch>
                            <a:fillRect/>
                          </a:stretch>
                        </pic:blipFill>
                        <pic:spPr>
                          <a:xfrm>
                            <a:off x="0" y="0"/>
                            <a:ext cx="3599815" cy="2372360"/>
                          </a:xfrm>
                          <a:prstGeom prst="rect">
                            <a:avLst/>
                          </a:prstGeom>
                          <a:noFill/>
                          <a:ln>
                            <a:noFill/>
                          </a:ln>
                        </pic:spPr>
                      </pic:pic>
                    </a:graphicData>
                  </a:graphic>
                </wp:inline>
              </w:drawing>
            </w:r>
          </w:p>
        </w:tc>
        <w:tc>
          <w:tcPr>
            <w:tcW w:w="1001" w:type="dxa"/>
            <w:vAlign w:val="center"/>
          </w:tcPr>
          <w:p w14:paraId="64876235">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强调科普作品要有思想价值的引领作用</w:t>
            </w:r>
          </w:p>
        </w:tc>
      </w:tr>
    </w:tbl>
    <w:p w14:paraId="71F3D16A">
      <w:pPr>
        <w:pStyle w:val="49"/>
        <w:rPr>
          <w:rFonts w:hint="default"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pPr>
      <w:r>
        <w:rPr>
          <w:rFonts w:hint="default"/>
          <w:color w:val="000000" w:themeColor="text1"/>
          <w:lang w:val="en-US" w:eastAsia="zh-CN"/>
          <w14:textFill>
            <w14:solidFill>
              <w14:schemeClr w14:val="tx1"/>
            </w14:solidFill>
          </w14:textFill>
        </w:rPr>
        <w:t>规范性是确保农业科普纸媒符合国家相关法律法规和行业标准，呈现规范、责任可追溯，保障科普作品的合法性和严肃性。出版、印刷、版权等相关法律法规是纸媒作品出版传播的基本遵循，遵守相关规定、杜绝版权纠纷，能保障科普作品的合法性，维护创作者和使用者的合法权益；</w:t>
      </w:r>
      <w:r>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t>作品知识产权清晰，权属明确，无抄袭、剽窃、侵权等问题，且来源可追溯，这是保护原创者劳动成果、规避法律风险的基础。农业科普作品中文字、图片、数据等素材若未经授权使用，不仅损害原权利人利益，也可能导致评价被一票否决。通过明确权属和追溯来源，既维护了创作生态的公平公正，也为后续成果转化和再创作提供了法律保障。</w:t>
      </w:r>
    </w:p>
    <w:p w14:paraId="3B3B6B61">
      <w:pPr>
        <w:pStyle w:val="47"/>
        <w:bidi w:val="0"/>
        <w:rPr>
          <w:rFonts w:hint="default" w:ascii="Times New Roman" w:hAnsi="Times New Roman" w:eastAsia="仿宋_GB2312" w:cs="Times New Roman"/>
          <w:b w:val="0"/>
          <w:kern w:val="2"/>
          <w:szCs w:val="21"/>
          <w:lang w:val="en-US" w:eastAsia="zh-CN" w:bidi="ar-SA"/>
        </w:rPr>
      </w:pPr>
      <w:r>
        <w:rPr>
          <w:rFonts w:hint="eastAsia"/>
          <w:lang w:val="en-US" w:eastAsia="zh-CN"/>
        </w:rPr>
        <w:t>规范性参考来源</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1"/>
        <w:gridCol w:w="6652"/>
        <w:gridCol w:w="1001"/>
      </w:tblGrid>
      <w:tr w14:paraId="4C55C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75109302">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来源</w:t>
            </w:r>
          </w:p>
        </w:tc>
        <w:tc>
          <w:tcPr>
            <w:tcW w:w="6652" w:type="dxa"/>
            <w:vAlign w:val="center"/>
          </w:tcPr>
          <w:p w14:paraId="504AF782">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lang w:val="en-US" w:eastAsia="zh-CN" w:bidi="ar-SA"/>
              </w:rPr>
              <w:t>相关内容</w:t>
            </w:r>
          </w:p>
        </w:tc>
        <w:tc>
          <w:tcPr>
            <w:tcW w:w="1001" w:type="dxa"/>
            <w:vAlign w:val="center"/>
          </w:tcPr>
          <w:p w14:paraId="1DFCEAAF">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lang w:val="en-US" w:eastAsia="zh-CN" w:bidi="ar-SA"/>
              </w:rPr>
            </w:pPr>
            <w:r>
              <w:rPr>
                <w:rFonts w:hint="eastAsia" w:ascii="Times New Roman" w:hAnsi="Times New Roman" w:eastAsia="仿宋_GB2312" w:cs="Times New Roman"/>
                <w:b w:val="0"/>
                <w:kern w:val="2"/>
                <w:sz w:val="24"/>
                <w:szCs w:val="24"/>
                <w:lang w:val="en-US" w:eastAsia="zh-CN" w:bidi="ar-SA"/>
              </w:rPr>
              <w:t>要点</w:t>
            </w:r>
          </w:p>
        </w:tc>
      </w:tr>
      <w:tr w14:paraId="64AD9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12E393AB">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《科技工作者科普创作指南》</w:t>
            </w:r>
          </w:p>
        </w:tc>
        <w:tc>
          <w:tcPr>
            <w:tcW w:w="6652" w:type="dxa"/>
            <w:vAlign w:val="center"/>
          </w:tcPr>
          <w:p w14:paraId="4F2B9CAA">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9815" cy="842645"/>
                  <wp:effectExtent l="0" t="0" r="6985" b="8255"/>
                  <wp:docPr id="4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6"/>
                          <pic:cNvPicPr>
                            <a:picLocks noChangeAspect="1"/>
                          </pic:cNvPicPr>
                        </pic:nvPicPr>
                        <pic:blipFill>
                          <a:blip r:embed="rId26"/>
                          <a:stretch>
                            <a:fillRect/>
                          </a:stretch>
                        </pic:blipFill>
                        <pic:spPr>
                          <a:xfrm>
                            <a:off x="0" y="0"/>
                            <a:ext cx="3599815" cy="842645"/>
                          </a:xfrm>
                          <a:prstGeom prst="rect">
                            <a:avLst/>
                          </a:prstGeom>
                          <a:noFill/>
                          <a:ln>
                            <a:noFill/>
                          </a:ln>
                        </pic:spPr>
                      </pic:pic>
                    </a:graphicData>
                  </a:graphic>
                </wp:inline>
              </w:drawing>
            </w:r>
          </w:p>
        </w:tc>
        <w:tc>
          <w:tcPr>
            <w:tcW w:w="1001" w:type="dxa"/>
            <w:vAlign w:val="center"/>
          </w:tcPr>
          <w:p w14:paraId="186B6C07">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要求作品没有抄袭、剽窃等版权问题</w:t>
            </w:r>
          </w:p>
        </w:tc>
      </w:tr>
      <w:tr w14:paraId="76AE3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1B39A41A">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《科技工作者当好科普首发人，痛点在哪儿？方向在哪儿？》</w:t>
            </w:r>
          </w:p>
        </w:tc>
        <w:tc>
          <w:tcPr>
            <w:tcW w:w="6652" w:type="dxa"/>
            <w:vAlign w:val="center"/>
          </w:tcPr>
          <w:p w14:paraId="21FD039C">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4080510" cy="1023620"/>
                  <wp:effectExtent l="0" t="0" r="8890" b="5080"/>
                  <wp:docPr id="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7"/>
                          <pic:cNvPicPr>
                            <a:picLocks noChangeAspect="1"/>
                          </pic:cNvPicPr>
                        </pic:nvPicPr>
                        <pic:blipFill>
                          <a:blip r:embed="rId27"/>
                          <a:stretch>
                            <a:fillRect/>
                          </a:stretch>
                        </pic:blipFill>
                        <pic:spPr>
                          <a:xfrm>
                            <a:off x="0" y="0"/>
                            <a:ext cx="4080510" cy="1023620"/>
                          </a:xfrm>
                          <a:prstGeom prst="rect">
                            <a:avLst/>
                          </a:prstGeom>
                          <a:noFill/>
                          <a:ln>
                            <a:noFill/>
                          </a:ln>
                        </pic:spPr>
                      </pic:pic>
                    </a:graphicData>
                  </a:graphic>
                </wp:inline>
              </w:drawing>
            </w:r>
          </w:p>
        </w:tc>
        <w:tc>
          <w:tcPr>
            <w:tcW w:w="1001" w:type="dxa"/>
            <w:vAlign w:val="center"/>
          </w:tcPr>
          <w:p w14:paraId="2B16ACB1">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强调明确权益，杜绝抄袭和泄密</w:t>
            </w:r>
          </w:p>
        </w:tc>
      </w:tr>
      <w:tr w14:paraId="14374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1AF0687E">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5·25心理节 | 画中有话——2026年心理漫画大赛</w:t>
            </w:r>
          </w:p>
        </w:tc>
        <w:tc>
          <w:tcPr>
            <w:tcW w:w="6652" w:type="dxa"/>
            <w:vAlign w:val="center"/>
          </w:tcPr>
          <w:p w14:paraId="29457C5D">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pPr>
            <w:r>
              <w:drawing>
                <wp:inline distT="0" distB="0" distL="114300" distR="114300">
                  <wp:extent cx="3599815" cy="1093470"/>
                  <wp:effectExtent l="0" t="0" r="6985" b="11430"/>
                  <wp:docPr id="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
                          <pic:cNvPicPr>
                            <a:picLocks noChangeAspect="1"/>
                          </pic:cNvPicPr>
                        </pic:nvPicPr>
                        <pic:blipFill>
                          <a:blip r:embed="rId28"/>
                          <a:stretch>
                            <a:fillRect/>
                          </a:stretch>
                        </pic:blipFill>
                        <pic:spPr>
                          <a:xfrm>
                            <a:off x="0" y="0"/>
                            <a:ext cx="3599815" cy="1093470"/>
                          </a:xfrm>
                          <a:prstGeom prst="rect">
                            <a:avLst/>
                          </a:prstGeom>
                          <a:noFill/>
                          <a:ln>
                            <a:noFill/>
                          </a:ln>
                        </pic:spPr>
                      </pic:pic>
                    </a:graphicData>
                  </a:graphic>
                </wp:inline>
              </w:drawing>
            </w:r>
          </w:p>
        </w:tc>
        <w:tc>
          <w:tcPr>
            <w:tcW w:w="1001" w:type="dxa"/>
            <w:vAlign w:val="center"/>
          </w:tcPr>
          <w:p w14:paraId="3DB374D2">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eastAsia"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强调原创，无抄袭、不使用AI等工具，没有产权纠纷</w:t>
            </w:r>
          </w:p>
        </w:tc>
      </w:tr>
      <w:tr w14:paraId="67E4F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249A1D09">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“品读茅盾”阅读创作大赛</w:t>
            </w:r>
          </w:p>
        </w:tc>
        <w:tc>
          <w:tcPr>
            <w:tcW w:w="6652" w:type="dxa"/>
            <w:vAlign w:val="center"/>
          </w:tcPr>
          <w:p w14:paraId="24181C92">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pPr>
            <w:r>
              <w:drawing>
                <wp:inline distT="0" distB="0" distL="114300" distR="114300">
                  <wp:extent cx="3599815" cy="744220"/>
                  <wp:effectExtent l="0" t="0" r="6985" b="5080"/>
                  <wp:docPr id="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
                          <pic:cNvPicPr>
                            <a:picLocks noChangeAspect="1"/>
                          </pic:cNvPicPr>
                        </pic:nvPicPr>
                        <pic:blipFill>
                          <a:blip r:embed="rId29"/>
                          <a:stretch>
                            <a:fillRect/>
                          </a:stretch>
                        </pic:blipFill>
                        <pic:spPr>
                          <a:xfrm>
                            <a:off x="0" y="0"/>
                            <a:ext cx="3599815" cy="744220"/>
                          </a:xfrm>
                          <a:prstGeom prst="rect">
                            <a:avLst/>
                          </a:prstGeom>
                          <a:noFill/>
                          <a:ln>
                            <a:noFill/>
                          </a:ln>
                        </pic:spPr>
                      </pic:pic>
                    </a:graphicData>
                  </a:graphic>
                </wp:inline>
              </w:drawing>
            </w:r>
          </w:p>
        </w:tc>
        <w:tc>
          <w:tcPr>
            <w:tcW w:w="1001" w:type="dxa"/>
            <w:vAlign w:val="center"/>
          </w:tcPr>
          <w:p w14:paraId="051E6A40">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eastAsia"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强调原创性、杜绝AI工具生成、抄袭和剽窃</w:t>
            </w:r>
          </w:p>
        </w:tc>
      </w:tr>
    </w:tbl>
    <w:p w14:paraId="7DE24A98">
      <w:pPr>
        <w:pStyle w:val="50"/>
        <w:spacing w:before="156" w:after="156"/>
        <w:rPr>
          <w:rFonts w:hint="default"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pPr>
      <w:r>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t>（3）内容质量</w:t>
      </w:r>
    </w:p>
    <w:p w14:paraId="578DD0FF">
      <w:pPr>
        <w:pStyle w:val="50"/>
        <w:spacing w:before="156" w:after="156"/>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pPr>
      <w:r>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t>纸媒是农业科普的重要载体，以文字、图片为主要呈现形式，留存时间长、传播范围相对固定，受众以基层农民和农业从业者为主，核心功能是传递农业科学知识、指导农业生产实践。设置内容质量评价维度，核心是保障科普内容可靠、实用，确保受众获取的信息准确、可用，切实服务于农业生产、提升受众科学素养，这是农业科普纸媒发挥科普价值的基础。内容质量维度下设科学性、准确性、创新性、时效性四个二级指标，共40分。</w:t>
      </w:r>
    </w:p>
    <w:p w14:paraId="48B9B32F">
      <w:pPr>
        <w:pStyle w:val="50"/>
        <w:spacing w:before="156" w:after="156"/>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pPr>
      <w:r>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t>科学性指标的设置主要基于农业科普内容的专业门槛与安全生产要求。第一条要求内容基于农业科学研究成果与成熟生产实践，以科学事实为依据，核心要素准确。这是因为农业知识既需要前沿科研成果支撑，又需要经过生产实践检验，仅停留在实验室阶段的技术可能不具备大田推广条件，而纯经验主义的总结又缺乏科学验证，该条目强制作品将“研究”与“实践”两者结合，从源头上保障知识的可靠性。第二条要求内容符合农业科学基本原理，表述规范、逻辑严谨，无违背农业生产安全规范的内容。农业生产涉及人身安全、食品安全和环境安全，诸如农药安全间隔期、兽药休药期、农机操作规范等均有严格的技术标准，违背这些规范的表述可能直接导致安全事故。该条目通过强调基本原理和规范表述，防范科普内容自身成为安全隐患。第三条要求内容客观真实，无夸大、虚假、主观臆断及违背农业科学常识的表述。当前市场上部分农业科普读物存在夸大产品效果、编造增产数据、传播未经证实的“土方”“秘方”等问题，这些内容会误导农民投入无效甚至有害的生产行为。该条目要求内容实事求是，从源头上杜绝伪科学和虚假宣传。第四条要求内容编撰、审核、发布流程科学规范，各环节责任明确、可追溯。农业科普纸媒不同于一般读物，其内容错误可能造成大范围的生产损失，因此不能只靠作者自律，必须建立制度化的质量把关机制。该条目通过对流程规范和可追溯性的要求，确保每一份作品都经过专业审核，出现问题时有明确的追责路径，形成从创作到传播的完整质量保障闭环。综上所述，科学性的四个条目从知识来源、规范表述、内容真实、流程管控四个层面逐级设防，共同构筑农业科普纸媒内容的科学性和安全性底线。</w:t>
      </w:r>
    </w:p>
    <w:p w14:paraId="0733CE31">
      <w:pPr>
        <w:pStyle w:val="47"/>
        <w:bidi w:val="0"/>
        <w:rPr>
          <w:rFonts w:hint="default" w:ascii="Times New Roman" w:hAnsi="Times New Roman" w:eastAsia="仿宋_GB2312" w:cs="Times New Roman"/>
          <w:b w:val="0"/>
          <w:kern w:val="2"/>
          <w:szCs w:val="21"/>
          <w:lang w:val="en-US" w:eastAsia="zh-CN" w:bidi="ar-SA"/>
        </w:rPr>
      </w:pPr>
      <w:r>
        <w:rPr>
          <w:rFonts w:hint="eastAsia"/>
          <w:lang w:val="en-US" w:eastAsia="zh-CN"/>
        </w:rPr>
        <w:t>科学性参考来源</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1"/>
        <w:gridCol w:w="6652"/>
        <w:gridCol w:w="1001"/>
      </w:tblGrid>
      <w:tr w14:paraId="112CC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4011C4B1">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来源</w:t>
            </w:r>
          </w:p>
        </w:tc>
        <w:tc>
          <w:tcPr>
            <w:tcW w:w="6652" w:type="dxa"/>
            <w:vAlign w:val="center"/>
          </w:tcPr>
          <w:p w14:paraId="1DF89199">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lang w:val="en-US" w:eastAsia="zh-CN" w:bidi="ar-SA"/>
              </w:rPr>
              <w:t>相关内容</w:t>
            </w:r>
          </w:p>
        </w:tc>
        <w:tc>
          <w:tcPr>
            <w:tcW w:w="1001" w:type="dxa"/>
            <w:vAlign w:val="center"/>
          </w:tcPr>
          <w:p w14:paraId="1C953B68">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lang w:val="en-US" w:eastAsia="zh-CN" w:bidi="ar-SA"/>
              </w:rPr>
            </w:pPr>
            <w:r>
              <w:rPr>
                <w:rFonts w:hint="eastAsia" w:ascii="Times New Roman" w:hAnsi="Times New Roman" w:eastAsia="仿宋_GB2312" w:cs="Times New Roman"/>
                <w:b w:val="0"/>
                <w:kern w:val="2"/>
                <w:sz w:val="24"/>
                <w:szCs w:val="24"/>
                <w:lang w:val="en-US" w:eastAsia="zh-CN" w:bidi="ar-SA"/>
              </w:rPr>
              <w:t>要点</w:t>
            </w:r>
          </w:p>
        </w:tc>
      </w:tr>
      <w:tr w14:paraId="257B8E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204280B7">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T/CSWA 003-2025 科普图书评定指标体系</w:t>
            </w:r>
          </w:p>
        </w:tc>
        <w:tc>
          <w:tcPr>
            <w:tcW w:w="6652" w:type="dxa"/>
            <w:vAlign w:val="center"/>
          </w:tcPr>
          <w:p w14:paraId="3755E90F">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9815" cy="608330"/>
                  <wp:effectExtent l="0" t="0" r="6985"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0"/>
                          <a:stretch>
                            <a:fillRect/>
                          </a:stretch>
                        </pic:blipFill>
                        <pic:spPr>
                          <a:xfrm>
                            <a:off x="0" y="0"/>
                            <a:ext cx="3599815" cy="608330"/>
                          </a:xfrm>
                          <a:prstGeom prst="rect">
                            <a:avLst/>
                          </a:prstGeom>
                          <a:noFill/>
                          <a:ln>
                            <a:noFill/>
                          </a:ln>
                        </pic:spPr>
                      </pic:pic>
                    </a:graphicData>
                  </a:graphic>
                </wp:inline>
              </w:drawing>
            </w:r>
          </w:p>
        </w:tc>
        <w:tc>
          <w:tcPr>
            <w:tcW w:w="1001" w:type="dxa"/>
            <w:vAlign w:val="center"/>
          </w:tcPr>
          <w:p w14:paraId="32813CE9">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符合科学试试和规律</w:t>
            </w:r>
          </w:p>
        </w:tc>
      </w:tr>
      <w:tr w14:paraId="590A6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4E7C7064">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《新科普法，新在哪里》</w:t>
            </w:r>
          </w:p>
        </w:tc>
        <w:tc>
          <w:tcPr>
            <w:tcW w:w="6652" w:type="dxa"/>
            <w:vAlign w:val="center"/>
          </w:tcPr>
          <w:p w14:paraId="47B54F5B">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9815" cy="496570"/>
                  <wp:effectExtent l="0" t="0" r="6985" b="1143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9"/>
                          <a:srcRect t="34915" b="41887"/>
                          <a:stretch>
                            <a:fillRect/>
                          </a:stretch>
                        </pic:blipFill>
                        <pic:spPr>
                          <a:xfrm>
                            <a:off x="0" y="0"/>
                            <a:ext cx="3599815" cy="496570"/>
                          </a:xfrm>
                          <a:prstGeom prst="rect">
                            <a:avLst/>
                          </a:prstGeom>
                          <a:noFill/>
                          <a:ln>
                            <a:noFill/>
                          </a:ln>
                        </pic:spPr>
                      </pic:pic>
                    </a:graphicData>
                  </a:graphic>
                </wp:inline>
              </w:drawing>
            </w:r>
          </w:p>
        </w:tc>
        <w:tc>
          <w:tcPr>
            <w:tcW w:w="1001" w:type="dxa"/>
            <w:vAlign w:val="center"/>
          </w:tcPr>
          <w:p w14:paraId="662A4B7B">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强调科普信息要科学</w:t>
            </w:r>
          </w:p>
        </w:tc>
      </w:tr>
      <w:tr w14:paraId="7C3F8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0799394C">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eastAsia"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《科技工作者科普创作指南》</w:t>
            </w:r>
          </w:p>
        </w:tc>
        <w:tc>
          <w:tcPr>
            <w:tcW w:w="6652" w:type="dxa"/>
            <w:vAlign w:val="center"/>
          </w:tcPr>
          <w:p w14:paraId="7D2CF05E">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pPr>
            <w:r>
              <w:drawing>
                <wp:inline distT="0" distB="0" distL="114300" distR="114300">
                  <wp:extent cx="3599815" cy="2372360"/>
                  <wp:effectExtent l="0" t="0" r="6985" b="254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25"/>
                          <a:stretch>
                            <a:fillRect/>
                          </a:stretch>
                        </pic:blipFill>
                        <pic:spPr>
                          <a:xfrm>
                            <a:off x="0" y="0"/>
                            <a:ext cx="3599815" cy="2372360"/>
                          </a:xfrm>
                          <a:prstGeom prst="rect">
                            <a:avLst/>
                          </a:prstGeom>
                          <a:noFill/>
                          <a:ln>
                            <a:noFill/>
                          </a:ln>
                        </pic:spPr>
                      </pic:pic>
                    </a:graphicData>
                  </a:graphic>
                </wp:inline>
              </w:drawing>
            </w:r>
          </w:p>
        </w:tc>
        <w:tc>
          <w:tcPr>
            <w:tcW w:w="1001" w:type="dxa"/>
            <w:vAlign w:val="center"/>
          </w:tcPr>
          <w:p w14:paraId="754A9428">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强调科普作品创作要反映科学与真实，有数据、事实可依</w:t>
            </w:r>
          </w:p>
        </w:tc>
      </w:tr>
      <w:tr w14:paraId="6080D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57CED673">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eastAsia"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《医学科普文章应具备几大要素》</w:t>
            </w:r>
          </w:p>
        </w:tc>
        <w:tc>
          <w:tcPr>
            <w:tcW w:w="6652" w:type="dxa"/>
            <w:vAlign w:val="center"/>
          </w:tcPr>
          <w:p w14:paraId="79530185">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pPr>
            <w:r>
              <w:drawing>
                <wp:inline distT="0" distB="0" distL="114300" distR="114300">
                  <wp:extent cx="3599815" cy="980440"/>
                  <wp:effectExtent l="0" t="0" r="6985" b="10160"/>
                  <wp:docPr id="4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8"/>
                          <pic:cNvPicPr>
                            <a:picLocks noChangeAspect="1"/>
                          </pic:cNvPicPr>
                        </pic:nvPicPr>
                        <pic:blipFill>
                          <a:blip r:embed="rId31"/>
                          <a:stretch>
                            <a:fillRect/>
                          </a:stretch>
                        </pic:blipFill>
                        <pic:spPr>
                          <a:xfrm>
                            <a:off x="0" y="0"/>
                            <a:ext cx="3599815" cy="980440"/>
                          </a:xfrm>
                          <a:prstGeom prst="rect">
                            <a:avLst/>
                          </a:prstGeom>
                          <a:noFill/>
                          <a:ln>
                            <a:noFill/>
                          </a:ln>
                        </pic:spPr>
                      </pic:pic>
                    </a:graphicData>
                  </a:graphic>
                </wp:inline>
              </w:drawing>
            </w:r>
          </w:p>
        </w:tc>
        <w:tc>
          <w:tcPr>
            <w:tcW w:w="1001" w:type="dxa"/>
            <w:vAlign w:val="center"/>
          </w:tcPr>
          <w:p w14:paraId="15C4DFB1">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强调内容的真实性可靠性</w:t>
            </w:r>
          </w:p>
        </w:tc>
      </w:tr>
    </w:tbl>
    <w:p w14:paraId="0143635B">
      <w:pPr>
        <w:pStyle w:val="50"/>
        <w:spacing w:before="156" w:after="156"/>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pPr>
      <w:r>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t>准确性指标的设置主要基于农业生产的强地域性、信息的高风险性以及翻译导入的特殊性。第一条要求明确标注适用区域、气候带、土壤类型、海拔等关键限定条件，是因为农业技术或品种的适应范围极其狭窄，同一栽培技术在高海拔与平原、红壤与黑土、湿润区与干旱区的表现可能截然相反。若不标注限定条件，农民可能盲目引种或跟风操作，轻则减产，重则绝收。该条目强制作品给出适用范围，相当于为技术使用划定了安全边界。第二条要求动植物学名与俗名、农事节气与物候期、品种适宜条件、农机操作规范等关键信息精准无误，这是因为这些信息构成了农业科普的核心知识骨架。学名错误会导致物种混淆（如将有毒杂草误认为可食植物）；节气与物候期错乱会误导播种、施肥、植保等农事安排；品种适宜条件错误会造成引种失败；农机操作规范错误可能引发人身伤亡事故。此条通过罗列高风险信息点，提示创作者逐一核验，最大限度避免“一字之差、满盘皆输”的后果。第三条要求农业科普纸媒的主要阅读场景是农村、田间地头，光线条件、阅读环境相对复杂，版式、字体、图片的规范设计，适宜的正文字号，能适配不同阅读场景，方便各年龄段受众阅读，提升阅读体验。第四条要求翻译作品无信息失真、曲解或关键内容遗漏，是因为我国大量引进国外农业技术、种质资源和植保知识。翻译过程中若专业术语不统一、数据换算错误、操作步骤缺失，会导致整套技术在国内复制失败，甚至酿成生产事故。该条目专门针对翻译作品强化准确性管控，确保国际先进经验能够安全、完整地落地应用。综上，准确性从地理限定、核心信息、翻译质量三个维度层层设防，保障农业科普纸媒信息“准到田间、确到实处”。</w:t>
      </w:r>
    </w:p>
    <w:p w14:paraId="0C7C8586">
      <w:pPr>
        <w:pStyle w:val="47"/>
        <w:bidi w:val="0"/>
        <w:rPr>
          <w:rFonts w:hint="default" w:ascii="Times New Roman" w:hAnsi="Times New Roman" w:eastAsia="仿宋_GB2312" w:cs="Times New Roman"/>
          <w:b w:val="0"/>
          <w:kern w:val="2"/>
          <w:szCs w:val="21"/>
          <w:lang w:val="en-US" w:eastAsia="zh-CN" w:bidi="ar-SA"/>
        </w:rPr>
      </w:pPr>
      <w:r>
        <w:rPr>
          <w:rFonts w:hint="eastAsia"/>
          <w:lang w:val="en-US" w:eastAsia="zh-CN"/>
        </w:rPr>
        <w:t>准确性参考来源</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1"/>
        <w:gridCol w:w="6652"/>
        <w:gridCol w:w="1001"/>
      </w:tblGrid>
      <w:tr w14:paraId="74212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3A0787B0">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来源</w:t>
            </w:r>
          </w:p>
        </w:tc>
        <w:tc>
          <w:tcPr>
            <w:tcW w:w="6652" w:type="dxa"/>
            <w:vAlign w:val="center"/>
          </w:tcPr>
          <w:p w14:paraId="2DA075D5">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lang w:val="en-US" w:eastAsia="zh-CN" w:bidi="ar-SA"/>
              </w:rPr>
              <w:t>相关内容</w:t>
            </w:r>
          </w:p>
        </w:tc>
        <w:tc>
          <w:tcPr>
            <w:tcW w:w="1001" w:type="dxa"/>
            <w:vAlign w:val="center"/>
          </w:tcPr>
          <w:p w14:paraId="31FCA286">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lang w:val="en-US" w:eastAsia="zh-CN" w:bidi="ar-SA"/>
              </w:rPr>
            </w:pPr>
            <w:r>
              <w:rPr>
                <w:rFonts w:hint="eastAsia" w:ascii="Times New Roman" w:hAnsi="Times New Roman" w:eastAsia="仿宋_GB2312" w:cs="Times New Roman"/>
                <w:b w:val="0"/>
                <w:kern w:val="2"/>
                <w:sz w:val="24"/>
                <w:szCs w:val="24"/>
                <w:lang w:val="en-US" w:eastAsia="zh-CN" w:bidi="ar-SA"/>
              </w:rPr>
              <w:t>要点</w:t>
            </w:r>
          </w:p>
        </w:tc>
      </w:tr>
      <w:tr w14:paraId="3E309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1114DE49">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《新科普法，新在哪里》</w:t>
            </w:r>
          </w:p>
        </w:tc>
        <w:tc>
          <w:tcPr>
            <w:tcW w:w="6652" w:type="dxa"/>
            <w:vAlign w:val="center"/>
          </w:tcPr>
          <w:p w14:paraId="175AC86B">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9815" cy="49657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9"/>
                          <a:srcRect t="34915" b="41887"/>
                          <a:stretch>
                            <a:fillRect/>
                          </a:stretch>
                        </pic:blipFill>
                        <pic:spPr>
                          <a:xfrm>
                            <a:off x="0" y="0"/>
                            <a:ext cx="3599815" cy="496570"/>
                          </a:xfrm>
                          <a:prstGeom prst="rect">
                            <a:avLst/>
                          </a:prstGeom>
                          <a:noFill/>
                          <a:ln>
                            <a:noFill/>
                          </a:ln>
                        </pic:spPr>
                      </pic:pic>
                    </a:graphicData>
                  </a:graphic>
                </wp:inline>
              </w:drawing>
            </w:r>
          </w:p>
        </w:tc>
        <w:tc>
          <w:tcPr>
            <w:tcW w:w="1001" w:type="dxa"/>
            <w:vAlign w:val="center"/>
          </w:tcPr>
          <w:p w14:paraId="6C556DAA">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强调科普信息要准确</w:t>
            </w:r>
          </w:p>
        </w:tc>
      </w:tr>
      <w:tr w14:paraId="62D09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08312F7B">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eastAsia"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《优质科普文章“七大密码”</w:t>
            </w:r>
          </w:p>
          <w:p w14:paraId="5FFE7124">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w:t>
            </w:r>
          </w:p>
        </w:tc>
        <w:tc>
          <w:tcPr>
            <w:tcW w:w="6652" w:type="dxa"/>
            <w:vAlign w:val="center"/>
          </w:tcPr>
          <w:p w14:paraId="11D06E5A">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4079875" cy="1336675"/>
                  <wp:effectExtent l="0" t="0" r="9525" b="9525"/>
                  <wp:docPr id="6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9"/>
                          <pic:cNvPicPr>
                            <a:picLocks noChangeAspect="1"/>
                          </pic:cNvPicPr>
                        </pic:nvPicPr>
                        <pic:blipFill>
                          <a:blip r:embed="rId32"/>
                          <a:stretch>
                            <a:fillRect/>
                          </a:stretch>
                        </pic:blipFill>
                        <pic:spPr>
                          <a:xfrm>
                            <a:off x="0" y="0"/>
                            <a:ext cx="4079875" cy="1336675"/>
                          </a:xfrm>
                          <a:prstGeom prst="rect">
                            <a:avLst/>
                          </a:prstGeom>
                          <a:noFill/>
                          <a:ln>
                            <a:noFill/>
                          </a:ln>
                        </pic:spPr>
                      </pic:pic>
                    </a:graphicData>
                  </a:graphic>
                </wp:inline>
              </w:drawing>
            </w:r>
          </w:p>
        </w:tc>
        <w:tc>
          <w:tcPr>
            <w:tcW w:w="1001" w:type="dxa"/>
            <w:vAlign w:val="center"/>
          </w:tcPr>
          <w:p w14:paraId="54D27DAD">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错误的信息会误导读者</w:t>
            </w:r>
          </w:p>
        </w:tc>
      </w:tr>
    </w:tbl>
    <w:p w14:paraId="1098885B">
      <w:pPr>
        <w:pStyle w:val="50"/>
        <w:spacing w:before="156" w:after="156"/>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pPr>
      <w:r>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t>创新性指标的要求作品具备独特性与创新性，能够体现新知识点、新视角、新表达或新创作形式，这是因为农业科技日新月异，新品种、新技术、新政策不断涌现，科普作品需要紧跟发展，挖掘前沿话题或采用新颖的表现手法（如以故事化方式讲解栽培技术、用漫画呈现病虫害防治等），才能吸引读者注意力，避免信息陈旧和表达僵化。综上，原创性指标从内容创作、创新价值进行评价，旨在推动农业科普纸媒作品从“量”的增长转向“质”的提升，培育具有市场竞争力和文化影响力的原创科普精品。</w:t>
      </w:r>
    </w:p>
    <w:p w14:paraId="5794E204">
      <w:pPr>
        <w:pStyle w:val="47"/>
        <w:bidi w:val="0"/>
        <w:rPr>
          <w:rFonts w:hint="default" w:ascii="Times New Roman" w:hAnsi="Times New Roman" w:eastAsia="仿宋_GB2312" w:cs="Times New Roman"/>
          <w:b w:val="0"/>
          <w:kern w:val="2"/>
          <w:szCs w:val="21"/>
          <w:lang w:val="en-US" w:eastAsia="zh-CN" w:bidi="ar-SA"/>
        </w:rPr>
      </w:pPr>
      <w:r>
        <w:rPr>
          <w:rFonts w:hint="eastAsia"/>
          <w:lang w:val="en-US" w:eastAsia="zh-CN"/>
        </w:rPr>
        <w:t>创新性参考来源</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1"/>
        <w:gridCol w:w="6652"/>
        <w:gridCol w:w="1001"/>
      </w:tblGrid>
      <w:tr w14:paraId="4B80B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3CBC2D7B">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来源</w:t>
            </w:r>
          </w:p>
        </w:tc>
        <w:tc>
          <w:tcPr>
            <w:tcW w:w="6652" w:type="dxa"/>
            <w:vAlign w:val="center"/>
          </w:tcPr>
          <w:p w14:paraId="0200C187">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lang w:val="en-US" w:eastAsia="zh-CN" w:bidi="ar-SA"/>
              </w:rPr>
              <w:t>相关内容</w:t>
            </w:r>
          </w:p>
        </w:tc>
        <w:tc>
          <w:tcPr>
            <w:tcW w:w="1001" w:type="dxa"/>
            <w:vAlign w:val="center"/>
          </w:tcPr>
          <w:p w14:paraId="16231240">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lang w:val="en-US" w:eastAsia="zh-CN" w:bidi="ar-SA"/>
              </w:rPr>
            </w:pPr>
            <w:r>
              <w:rPr>
                <w:rFonts w:hint="eastAsia" w:ascii="Times New Roman" w:hAnsi="Times New Roman" w:eastAsia="仿宋_GB2312" w:cs="Times New Roman"/>
                <w:b w:val="0"/>
                <w:kern w:val="2"/>
                <w:sz w:val="24"/>
                <w:szCs w:val="24"/>
                <w:lang w:val="en-US" w:eastAsia="zh-CN" w:bidi="ar-SA"/>
              </w:rPr>
              <w:t>要点</w:t>
            </w:r>
          </w:p>
        </w:tc>
      </w:tr>
      <w:tr w14:paraId="3861F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1D1CFE6B">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《好的农产品质量安全科普作品既要“接地气”又要“有人气”》</w:t>
            </w:r>
          </w:p>
        </w:tc>
        <w:tc>
          <w:tcPr>
            <w:tcW w:w="6652" w:type="dxa"/>
            <w:vAlign w:val="center"/>
          </w:tcPr>
          <w:p w14:paraId="1E094AE0">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9815" cy="1052830"/>
                  <wp:effectExtent l="0" t="0" r="6985" b="1270"/>
                  <wp:docPr id="5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4"/>
                          <pic:cNvPicPr>
                            <a:picLocks noChangeAspect="1"/>
                          </pic:cNvPicPr>
                        </pic:nvPicPr>
                        <pic:blipFill>
                          <a:blip r:embed="rId33"/>
                          <a:stretch>
                            <a:fillRect/>
                          </a:stretch>
                        </pic:blipFill>
                        <pic:spPr>
                          <a:xfrm>
                            <a:off x="0" y="0"/>
                            <a:ext cx="3599815" cy="1052830"/>
                          </a:xfrm>
                          <a:prstGeom prst="rect">
                            <a:avLst/>
                          </a:prstGeom>
                          <a:noFill/>
                          <a:ln>
                            <a:noFill/>
                          </a:ln>
                        </pic:spPr>
                      </pic:pic>
                    </a:graphicData>
                  </a:graphic>
                </wp:inline>
              </w:drawing>
            </w:r>
          </w:p>
        </w:tc>
        <w:tc>
          <w:tcPr>
            <w:tcW w:w="1001" w:type="dxa"/>
            <w:vAlign w:val="center"/>
          </w:tcPr>
          <w:p w14:paraId="218F3D9C">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强调表现形成创新，具有吸引力</w:t>
            </w:r>
          </w:p>
        </w:tc>
      </w:tr>
      <w:tr w14:paraId="51597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709DC668">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w:t>
            </w:r>
            <w:r>
              <w:rPr>
                <w:rFonts w:hint="default" w:ascii="Times New Roman" w:hAnsi="Times New Roman" w:eastAsia="仿宋_GB2312" w:cs="Times New Roman"/>
                <w:b w:val="0"/>
                <w:kern w:val="2"/>
                <w:sz w:val="24"/>
                <w:szCs w:val="24"/>
                <w:vertAlign w:val="baseline"/>
                <w:lang w:val="en-US" w:eastAsia="zh-CN" w:bidi="ar-SA"/>
              </w:rPr>
              <w:t>关于新时代进一步加强科学技术普及工作的意见</w:t>
            </w:r>
            <w:r>
              <w:rPr>
                <w:rFonts w:hint="eastAsia" w:ascii="Times New Roman" w:hAnsi="Times New Roman" w:eastAsia="仿宋_GB2312" w:cs="Times New Roman"/>
                <w:b w:val="0"/>
                <w:kern w:val="2"/>
                <w:sz w:val="24"/>
                <w:szCs w:val="24"/>
                <w:vertAlign w:val="baseline"/>
                <w:lang w:val="en-US" w:eastAsia="zh-CN" w:bidi="ar-SA"/>
              </w:rPr>
              <w:t>》</w:t>
            </w:r>
          </w:p>
        </w:tc>
        <w:tc>
          <w:tcPr>
            <w:tcW w:w="6652" w:type="dxa"/>
            <w:vAlign w:val="center"/>
          </w:tcPr>
          <w:p w14:paraId="420A144E">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9815" cy="504190"/>
                  <wp:effectExtent l="0" t="0" r="6985" b="3810"/>
                  <wp:docPr id="5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5"/>
                          <pic:cNvPicPr>
                            <a:picLocks noChangeAspect="1"/>
                          </pic:cNvPicPr>
                        </pic:nvPicPr>
                        <pic:blipFill>
                          <a:blip r:embed="rId34"/>
                          <a:stretch>
                            <a:fillRect/>
                          </a:stretch>
                        </pic:blipFill>
                        <pic:spPr>
                          <a:xfrm>
                            <a:off x="0" y="0"/>
                            <a:ext cx="3599815" cy="504190"/>
                          </a:xfrm>
                          <a:prstGeom prst="rect">
                            <a:avLst/>
                          </a:prstGeom>
                          <a:noFill/>
                          <a:ln>
                            <a:noFill/>
                          </a:ln>
                        </pic:spPr>
                      </pic:pic>
                    </a:graphicData>
                  </a:graphic>
                </wp:inline>
              </w:drawing>
            </w:r>
          </w:p>
        </w:tc>
        <w:tc>
          <w:tcPr>
            <w:tcW w:w="1001" w:type="dxa"/>
            <w:vAlign w:val="center"/>
          </w:tcPr>
          <w:p w14:paraId="3A6CDC01">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要有更丰富的作品形态</w:t>
            </w:r>
          </w:p>
        </w:tc>
      </w:tr>
      <w:tr w14:paraId="41A34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1366BF18">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eastAsia"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《内容创新拼盘：如何让医学科普作品更具创意》</w:t>
            </w:r>
          </w:p>
        </w:tc>
        <w:tc>
          <w:tcPr>
            <w:tcW w:w="6652" w:type="dxa"/>
            <w:vAlign w:val="center"/>
          </w:tcPr>
          <w:p w14:paraId="2F2FBDDF">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pPr>
            <w:r>
              <w:drawing>
                <wp:inline distT="0" distB="0" distL="114300" distR="114300">
                  <wp:extent cx="3599815" cy="1119505"/>
                  <wp:effectExtent l="0" t="0" r="6985" b="10795"/>
                  <wp:docPr id="6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8"/>
                          <pic:cNvPicPr>
                            <a:picLocks noChangeAspect="1"/>
                          </pic:cNvPicPr>
                        </pic:nvPicPr>
                        <pic:blipFill>
                          <a:blip r:embed="rId35"/>
                          <a:stretch>
                            <a:fillRect/>
                          </a:stretch>
                        </pic:blipFill>
                        <pic:spPr>
                          <a:xfrm>
                            <a:off x="0" y="0"/>
                            <a:ext cx="3599815" cy="1119505"/>
                          </a:xfrm>
                          <a:prstGeom prst="rect">
                            <a:avLst/>
                          </a:prstGeom>
                          <a:noFill/>
                          <a:ln>
                            <a:noFill/>
                          </a:ln>
                        </pic:spPr>
                      </pic:pic>
                    </a:graphicData>
                  </a:graphic>
                </wp:inline>
              </w:drawing>
            </w:r>
          </w:p>
        </w:tc>
        <w:tc>
          <w:tcPr>
            <w:tcW w:w="1001" w:type="dxa"/>
            <w:vAlign w:val="center"/>
          </w:tcPr>
          <w:p w14:paraId="0950E930">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具有创新性的作品才更有吸引力</w:t>
            </w:r>
          </w:p>
        </w:tc>
      </w:tr>
    </w:tbl>
    <w:p w14:paraId="0555D11C">
      <w:pPr>
        <w:pStyle w:val="50"/>
        <w:spacing w:before="156" w:after="156"/>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pPr>
      <w:r>
        <w:rPr>
          <w:rFonts w:hint="eastAsia" w:ascii="Times New Roman" w:hAnsi="Times New Roman" w:eastAsia="仿宋_GB2312" w:cs="Times New Roman"/>
          <w:b w:val="0"/>
          <w:color w:val="000000" w:themeColor="text1"/>
          <w:kern w:val="2"/>
          <w:sz w:val="32"/>
          <w:szCs w:val="28"/>
          <w:lang w:val="en-US" w:eastAsia="zh-CN" w:bidi="ar-SA"/>
          <w14:textFill>
            <w14:solidFill>
              <w14:schemeClr w14:val="tx1"/>
            </w14:solidFill>
          </w14:textFill>
        </w:rPr>
        <w:t>时效性指标的设置主要基于农业生产的动态变化特征和信息失效风险。第一条要求所引用的数据、试验成果、技术参数等标注时间，涉及科研成果的注明成果来源及发布年份，这是因为农业领域的试验数据（如肥料施用量、作物产量）、技术参数（如农药稀释倍数）会随品种改良、环境变化和科研进展而更新，缺乏时间标注的陈旧数据可能直接导致生产决策失误。通过强制标注时间和来源，可帮助受众快速判断信息的可采信程度，也为后续的核验和更新提供依据。第二条要求信息反映经权威部门验证或行业公认的最新科研成果、主推技术、品种及政策导向，这是因为农业生产具有显著的路径依赖性，农民一旦接受了某种技术或品种，往往会在较长时期内持续使用。若科普作品传播的是已被替代的技术或已过时的政策，不仅浪费农户的生产投入，还可能造成产量损失或市场风险。该条目引导作品主动对接官方发布的品种审定目录、主推技术名单和最新惠农政策，确保内容与行业发展同步。第三条要求针对季节性农事操作，在相应农时前发布指导信息，这是因为农业生产季节窗口期极短，春耕、夏管、秋收、冬藏等环节的农事操作必须严格遵循自然节律。例如，水稻育秧技术指导若在插秧期之后才发布，则完全丧失实用价值。该条目通过强调发布时机，保障科普作品能够在农事操作前送达受众手中，真正发挥指导作用。第四条要求对于已过时、被替代或被淘汰的技术、品种、投入品，明确标注其状态或停止传播，这是因为农业生产中存在禁用农药、淘汰品种等历史信息仍在部分资料中流传的现象。若不加以标记或停止传播，农民可能误用已禁用的高毒农药，既触犯法律法规，也对农产品安全和生态环境构成威胁。该条目通过明确状态标注，起到“清源”作用，避免过时信息持续危害农业生产。综上所述，时效性的四个条目分别对应信息可追溯、内容先进性、发布及时性和淘汰内容管理，共同确保农业科普纸媒内容在时间维度上的可靠性和实用性。。</w:t>
      </w:r>
    </w:p>
    <w:p w14:paraId="1588B1D3">
      <w:pPr>
        <w:pStyle w:val="47"/>
        <w:bidi w:val="0"/>
        <w:rPr>
          <w:rFonts w:hint="default" w:ascii="Times New Roman" w:hAnsi="Times New Roman" w:eastAsia="仿宋_GB2312" w:cs="Times New Roman"/>
          <w:b w:val="0"/>
          <w:kern w:val="2"/>
          <w:szCs w:val="21"/>
          <w:lang w:val="en-US" w:eastAsia="zh-CN" w:bidi="ar-SA"/>
        </w:rPr>
      </w:pPr>
      <w:r>
        <w:rPr>
          <w:rFonts w:hint="eastAsia"/>
          <w:lang w:val="en-US" w:eastAsia="zh-CN"/>
        </w:rPr>
        <w:t>时效性参考来源</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1"/>
        <w:gridCol w:w="6652"/>
        <w:gridCol w:w="1001"/>
      </w:tblGrid>
      <w:tr w14:paraId="39D544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0513555E">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来源</w:t>
            </w:r>
          </w:p>
        </w:tc>
        <w:tc>
          <w:tcPr>
            <w:tcW w:w="6652" w:type="dxa"/>
            <w:vAlign w:val="center"/>
          </w:tcPr>
          <w:p w14:paraId="24B9ECFE">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lang w:val="en-US" w:eastAsia="zh-CN" w:bidi="ar-SA"/>
              </w:rPr>
              <w:t>相关内容</w:t>
            </w:r>
          </w:p>
        </w:tc>
        <w:tc>
          <w:tcPr>
            <w:tcW w:w="1001" w:type="dxa"/>
            <w:vAlign w:val="center"/>
          </w:tcPr>
          <w:p w14:paraId="1C11B8A0">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lang w:val="en-US" w:eastAsia="zh-CN" w:bidi="ar-SA"/>
              </w:rPr>
            </w:pPr>
            <w:r>
              <w:rPr>
                <w:rFonts w:hint="eastAsia" w:ascii="Times New Roman" w:hAnsi="Times New Roman" w:eastAsia="仿宋_GB2312" w:cs="Times New Roman"/>
                <w:b w:val="0"/>
                <w:kern w:val="2"/>
                <w:sz w:val="24"/>
                <w:szCs w:val="24"/>
                <w:lang w:val="en-US" w:eastAsia="zh-CN" w:bidi="ar-SA"/>
              </w:rPr>
              <w:t>要点</w:t>
            </w:r>
          </w:p>
        </w:tc>
      </w:tr>
      <w:tr w14:paraId="12210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503E1061">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《新科普法，新在哪里》</w:t>
            </w:r>
          </w:p>
        </w:tc>
        <w:tc>
          <w:tcPr>
            <w:tcW w:w="6652" w:type="dxa"/>
            <w:vAlign w:val="center"/>
          </w:tcPr>
          <w:p w14:paraId="3BC935AF">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9815" cy="35433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9"/>
                          <a:srcRect t="56630" b="26817"/>
                          <a:stretch>
                            <a:fillRect/>
                          </a:stretch>
                        </pic:blipFill>
                        <pic:spPr>
                          <a:xfrm>
                            <a:off x="0" y="0"/>
                            <a:ext cx="3599815" cy="354330"/>
                          </a:xfrm>
                          <a:prstGeom prst="rect">
                            <a:avLst/>
                          </a:prstGeom>
                          <a:noFill/>
                          <a:ln>
                            <a:noFill/>
                          </a:ln>
                        </pic:spPr>
                      </pic:pic>
                    </a:graphicData>
                  </a:graphic>
                </wp:inline>
              </w:drawing>
            </w:r>
          </w:p>
        </w:tc>
        <w:tc>
          <w:tcPr>
            <w:tcW w:w="1001" w:type="dxa"/>
            <w:vAlign w:val="center"/>
          </w:tcPr>
          <w:p w14:paraId="5C93C2AD">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科普内容要紧跟实际，有针对性和时效性</w:t>
            </w:r>
          </w:p>
        </w:tc>
      </w:tr>
      <w:tr w14:paraId="00096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2A81523B">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《医学科普文章应具备几大要素》</w:t>
            </w:r>
          </w:p>
        </w:tc>
        <w:tc>
          <w:tcPr>
            <w:tcW w:w="6652" w:type="dxa"/>
            <w:vAlign w:val="center"/>
          </w:tcPr>
          <w:p w14:paraId="4482C1EF">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4082415" cy="1666240"/>
                  <wp:effectExtent l="0" t="0" r="6985" b="10160"/>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1"/>
                          <pic:cNvPicPr>
                            <a:picLocks noChangeAspect="1"/>
                          </pic:cNvPicPr>
                        </pic:nvPicPr>
                        <pic:blipFill>
                          <a:blip r:embed="rId36"/>
                          <a:stretch>
                            <a:fillRect/>
                          </a:stretch>
                        </pic:blipFill>
                        <pic:spPr>
                          <a:xfrm>
                            <a:off x="0" y="0"/>
                            <a:ext cx="4082415" cy="1666240"/>
                          </a:xfrm>
                          <a:prstGeom prst="rect">
                            <a:avLst/>
                          </a:prstGeom>
                          <a:noFill/>
                          <a:ln>
                            <a:noFill/>
                          </a:ln>
                        </pic:spPr>
                      </pic:pic>
                    </a:graphicData>
                  </a:graphic>
                </wp:inline>
              </w:drawing>
            </w:r>
          </w:p>
        </w:tc>
        <w:tc>
          <w:tcPr>
            <w:tcW w:w="1001" w:type="dxa"/>
            <w:vAlign w:val="center"/>
          </w:tcPr>
          <w:p w14:paraId="0083E8D5">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科普内容要随时代发展迭代更新，及时回应社会关切</w:t>
            </w:r>
          </w:p>
        </w:tc>
      </w:tr>
    </w:tbl>
    <w:p w14:paraId="1F428926">
      <w:pPr>
        <w:pStyle w:val="49"/>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（4）表达与传播</w:t>
      </w:r>
    </w:p>
    <w:p w14:paraId="0857E2D4">
      <w:pPr>
        <w:pStyle w:val="49"/>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表达与传播是适配纸媒的载体属性和目标受众特点，打通科普知识从传递到落地的最后一环，确保科普内容既准确可靠，又好懂好用。</w:t>
      </w:r>
    </w:p>
    <w:p w14:paraId="3DB50A87">
      <w:pPr>
        <w:pStyle w:val="49"/>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通俗性是降低受众理解门槛，确保不同认知水平的受众都能清晰掌握科普内容。通俗性从“语言应通俗易懂，减少不必要专业术语，必要术语提供简洁解释，或使用乡土语言、类比等方法帮助理解”“应采用图解、案例、顺口溜、乡土语言等形式，简化复杂知识与技术”“图文搭配应合理，图表清晰准确，与文字内容协同辅助理解。手册/明白纸/活页/折页/挂图等载体应以图示、表格为主”和“科普插画/漫画等载体应兼顾可读性与趣味性”进行评价是因为，农业科普纸媒的核心受众是基层农民和农业从业者，部分受众文化水平有限，过多专业术语会增加理解难度，必要时提供简洁解释、使用乡土语言或类比，能贴合受众认知习惯，让复杂知识更易理解；农业科学知识和生产技术较为抽象，纸媒的图文呈现特性决定了图解、案例、顺口溜等形式比纯文字更直观、生动，可将复杂技术简化，降低理解成本；纸媒的图文呈现效果直接影响受众阅读体验，合理的图文搭配、清晰的图表，能与文字形成互补，帮助受众快速抓住核心信息，尤其手册、明白纸、挂图等常用载体，以图示、表格为主更符合受众快速查阅需求；科普插画、漫画类纸媒载体，兼顾可读性与趣味性，能提升受众阅读意愿，让科普内容更易被接受和记忆，提升科普传播效果。</w:t>
      </w:r>
    </w:p>
    <w:p w14:paraId="588EF03D">
      <w:pPr>
        <w:pStyle w:val="47"/>
        <w:bidi w:val="0"/>
        <w:rPr>
          <w:rFonts w:hint="default" w:ascii="Times New Roman" w:hAnsi="Times New Roman" w:eastAsia="仿宋_GB2312" w:cs="Times New Roman"/>
          <w:b w:val="0"/>
          <w:kern w:val="2"/>
          <w:szCs w:val="21"/>
          <w:lang w:val="en-US" w:eastAsia="zh-CN" w:bidi="ar-SA"/>
        </w:rPr>
      </w:pPr>
      <w:r>
        <w:rPr>
          <w:rFonts w:hint="eastAsia"/>
          <w:lang w:val="en-US" w:eastAsia="zh-CN"/>
        </w:rPr>
        <w:t>通俗性参考来源</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1"/>
        <w:gridCol w:w="6652"/>
        <w:gridCol w:w="1001"/>
      </w:tblGrid>
      <w:tr w14:paraId="5244A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0D33CAA1">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来源</w:t>
            </w:r>
          </w:p>
        </w:tc>
        <w:tc>
          <w:tcPr>
            <w:tcW w:w="6652" w:type="dxa"/>
            <w:vAlign w:val="center"/>
          </w:tcPr>
          <w:p w14:paraId="454CE94B">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lang w:val="en-US" w:eastAsia="zh-CN" w:bidi="ar-SA"/>
              </w:rPr>
              <w:t>相关内容</w:t>
            </w:r>
          </w:p>
        </w:tc>
        <w:tc>
          <w:tcPr>
            <w:tcW w:w="1001" w:type="dxa"/>
            <w:vAlign w:val="center"/>
          </w:tcPr>
          <w:p w14:paraId="59345B33">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lang w:val="en-US" w:eastAsia="zh-CN" w:bidi="ar-SA"/>
              </w:rPr>
            </w:pPr>
            <w:r>
              <w:rPr>
                <w:rFonts w:hint="eastAsia" w:ascii="Times New Roman" w:hAnsi="Times New Roman" w:eastAsia="仿宋_GB2312" w:cs="Times New Roman"/>
                <w:b w:val="0"/>
                <w:kern w:val="2"/>
                <w:sz w:val="24"/>
                <w:szCs w:val="24"/>
                <w:lang w:val="en-US" w:eastAsia="zh-CN" w:bidi="ar-SA"/>
              </w:rPr>
              <w:t>要点</w:t>
            </w:r>
          </w:p>
        </w:tc>
      </w:tr>
      <w:tr w14:paraId="5930AD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400AC48C">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T/CSWA 003-2025 科普图书评定指标体系</w:t>
            </w:r>
          </w:p>
        </w:tc>
        <w:tc>
          <w:tcPr>
            <w:tcW w:w="6652" w:type="dxa"/>
            <w:vAlign w:val="center"/>
          </w:tcPr>
          <w:p w14:paraId="0A3373DB">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9815" cy="768985"/>
                  <wp:effectExtent l="0" t="0" r="6985" b="571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7"/>
                          <a:stretch>
                            <a:fillRect/>
                          </a:stretch>
                        </pic:blipFill>
                        <pic:spPr>
                          <a:xfrm>
                            <a:off x="0" y="0"/>
                            <a:ext cx="3599815" cy="768985"/>
                          </a:xfrm>
                          <a:prstGeom prst="rect">
                            <a:avLst/>
                          </a:prstGeom>
                          <a:noFill/>
                          <a:ln>
                            <a:noFill/>
                          </a:ln>
                        </pic:spPr>
                      </pic:pic>
                    </a:graphicData>
                  </a:graphic>
                </wp:inline>
              </w:drawing>
            </w:r>
          </w:p>
        </w:tc>
        <w:tc>
          <w:tcPr>
            <w:tcW w:w="1001" w:type="dxa"/>
            <w:vAlign w:val="center"/>
          </w:tcPr>
          <w:p w14:paraId="7857D9B6">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p>
        </w:tc>
      </w:tr>
      <w:tr w14:paraId="1349C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561F3714">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《科技工作者科普创作指南》</w:t>
            </w:r>
          </w:p>
        </w:tc>
        <w:tc>
          <w:tcPr>
            <w:tcW w:w="6652" w:type="dxa"/>
            <w:vAlign w:val="center"/>
          </w:tcPr>
          <w:p w14:paraId="0B25FEAF">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9815" cy="2372360"/>
                  <wp:effectExtent l="0" t="0" r="6985" b="2540"/>
                  <wp:docPr id="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
                          <pic:cNvPicPr>
                            <a:picLocks noChangeAspect="1"/>
                          </pic:cNvPicPr>
                        </pic:nvPicPr>
                        <pic:blipFill>
                          <a:blip r:embed="rId25"/>
                          <a:stretch>
                            <a:fillRect/>
                          </a:stretch>
                        </pic:blipFill>
                        <pic:spPr>
                          <a:xfrm>
                            <a:off x="0" y="0"/>
                            <a:ext cx="3599815" cy="2372360"/>
                          </a:xfrm>
                          <a:prstGeom prst="rect">
                            <a:avLst/>
                          </a:prstGeom>
                          <a:noFill/>
                          <a:ln>
                            <a:noFill/>
                          </a:ln>
                        </pic:spPr>
                      </pic:pic>
                    </a:graphicData>
                  </a:graphic>
                </wp:inline>
              </w:drawing>
            </w:r>
          </w:p>
        </w:tc>
        <w:tc>
          <w:tcPr>
            <w:tcW w:w="1001" w:type="dxa"/>
            <w:vAlign w:val="center"/>
          </w:tcPr>
          <w:p w14:paraId="60D9BE13">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强调科普作品要具备通俗性，通俗易懂的语言解释专业概念</w:t>
            </w:r>
          </w:p>
        </w:tc>
      </w:tr>
      <w:tr w14:paraId="489F4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15075CE1">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eastAsia"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《医学科普文章应具备几大要素》</w:t>
            </w:r>
          </w:p>
        </w:tc>
        <w:tc>
          <w:tcPr>
            <w:tcW w:w="6652" w:type="dxa"/>
            <w:vAlign w:val="center"/>
          </w:tcPr>
          <w:p w14:paraId="20D1D9DA">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pPr>
            <w:r>
              <w:drawing>
                <wp:inline distT="0" distB="0" distL="114300" distR="114300">
                  <wp:extent cx="3599815" cy="1597025"/>
                  <wp:effectExtent l="0" t="0" r="6985" b="3175"/>
                  <wp:docPr id="4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9"/>
                          <pic:cNvPicPr>
                            <a:picLocks noChangeAspect="1"/>
                          </pic:cNvPicPr>
                        </pic:nvPicPr>
                        <pic:blipFill>
                          <a:blip r:embed="rId38"/>
                          <a:stretch>
                            <a:fillRect/>
                          </a:stretch>
                        </pic:blipFill>
                        <pic:spPr>
                          <a:xfrm>
                            <a:off x="0" y="0"/>
                            <a:ext cx="3599815" cy="1597025"/>
                          </a:xfrm>
                          <a:prstGeom prst="rect">
                            <a:avLst/>
                          </a:prstGeom>
                          <a:noFill/>
                          <a:ln>
                            <a:noFill/>
                          </a:ln>
                        </pic:spPr>
                      </pic:pic>
                    </a:graphicData>
                  </a:graphic>
                </wp:inline>
              </w:drawing>
            </w:r>
          </w:p>
        </w:tc>
        <w:tc>
          <w:tcPr>
            <w:tcW w:w="1001" w:type="dxa"/>
            <w:vAlign w:val="center"/>
          </w:tcPr>
          <w:p w14:paraId="1343670E">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强调科普作品要让复杂的知识简单化</w:t>
            </w:r>
          </w:p>
        </w:tc>
      </w:tr>
    </w:tbl>
    <w:p w14:paraId="05EC5AA9">
      <w:pPr>
        <w:pStyle w:val="49"/>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实用性是确保科普内容贴合受众生产实际，便于受众在生产场景中查阅、应用，真正发挥指导生产的作用。实用性从“内容深度与复杂度应与目标受众的认知水平、生产规模相匹配”“编排方式应符合目标受众的阅读习惯，重点突出、条理清晰”“应针对不同地域、季节、生产规模与设施条件，提供适用性说明或调整建议”“涉及农药、化肥等化学用品，应标注安全间隔期、防护措施及应急处理方法”“科普图书、期刊等载体，应设置索引、要点总结、术语表等内容，便于快速查阅使用”“手册/明白纸/活页/折页/挂图等载体，内容应高度精简，便于携带和现场查阅”进行评价是因为，不同受众的认知水平、生产规模存在差异，内容深度和复杂度与之匹配，可避免内容过深难以理解、过浅缺乏指导意义；目标受众的阅读习惯偏向简洁、直接，重点突出、条理清晰的编排方式，能让受众快速找到所需内容，提升阅读和使用效率；农业生产的地域性、季节性差异显著，不同生产规模和设施条件对技术的需求不同，提供针对性的适用性说明和调整建议，能让科普内容更贴合实际生产需求；农药、化肥等化学用品的使用直接关系生产安全和农产品质量，标注安全间隔期、防护措施及应急处理方法，可避免受众违规使用造成安全隐患和损失；科普图书、期刊等载体内容较多，设置索引、要点总结、术语表，能方便受众快速检索关键信息；手册、明白纸等载体多在田间地头现场使用，内容精简、便于携带，能满足受众随时查阅的需求。</w:t>
      </w:r>
    </w:p>
    <w:p w14:paraId="075A7055">
      <w:pPr>
        <w:pStyle w:val="47"/>
        <w:bidi w:val="0"/>
        <w:rPr>
          <w:rFonts w:hint="default" w:ascii="Times New Roman" w:hAnsi="Times New Roman" w:eastAsia="仿宋_GB2312" w:cs="Times New Roman"/>
          <w:b w:val="0"/>
          <w:kern w:val="2"/>
          <w:szCs w:val="21"/>
          <w:lang w:val="en-US" w:eastAsia="zh-CN" w:bidi="ar-SA"/>
        </w:rPr>
      </w:pPr>
      <w:r>
        <w:rPr>
          <w:rFonts w:hint="eastAsia"/>
          <w:lang w:val="en-US" w:eastAsia="zh-CN"/>
        </w:rPr>
        <w:t>实用性参考来源</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1"/>
        <w:gridCol w:w="6652"/>
        <w:gridCol w:w="1001"/>
      </w:tblGrid>
      <w:tr w14:paraId="49B1C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6DC1D45A">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来源</w:t>
            </w:r>
          </w:p>
        </w:tc>
        <w:tc>
          <w:tcPr>
            <w:tcW w:w="6652" w:type="dxa"/>
            <w:vAlign w:val="center"/>
          </w:tcPr>
          <w:p w14:paraId="3C16979B">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lang w:val="en-US" w:eastAsia="zh-CN" w:bidi="ar-SA"/>
              </w:rPr>
              <w:t>相关内容</w:t>
            </w:r>
          </w:p>
        </w:tc>
        <w:tc>
          <w:tcPr>
            <w:tcW w:w="1001" w:type="dxa"/>
            <w:vAlign w:val="center"/>
          </w:tcPr>
          <w:p w14:paraId="7901857A">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lang w:val="en-US" w:eastAsia="zh-CN" w:bidi="ar-SA"/>
              </w:rPr>
            </w:pPr>
            <w:r>
              <w:rPr>
                <w:rFonts w:hint="eastAsia" w:ascii="Times New Roman" w:hAnsi="Times New Roman" w:eastAsia="仿宋_GB2312" w:cs="Times New Roman"/>
                <w:b w:val="0"/>
                <w:kern w:val="2"/>
                <w:sz w:val="24"/>
                <w:szCs w:val="24"/>
                <w:lang w:val="en-US" w:eastAsia="zh-CN" w:bidi="ar-SA"/>
              </w:rPr>
              <w:t>要点</w:t>
            </w:r>
          </w:p>
        </w:tc>
      </w:tr>
      <w:tr w14:paraId="4DC5E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30137895">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《科技工作者当好科普首发人，痛点在哪儿？方向在哪儿？》</w:t>
            </w:r>
          </w:p>
        </w:tc>
        <w:tc>
          <w:tcPr>
            <w:tcW w:w="6652" w:type="dxa"/>
            <w:vAlign w:val="center"/>
          </w:tcPr>
          <w:p w14:paraId="54B6AE7F">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9815" cy="1004570"/>
                  <wp:effectExtent l="0" t="0" r="6985" b="1143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39"/>
                          <a:stretch>
                            <a:fillRect/>
                          </a:stretch>
                        </pic:blipFill>
                        <pic:spPr>
                          <a:xfrm>
                            <a:off x="0" y="0"/>
                            <a:ext cx="3599815" cy="1004570"/>
                          </a:xfrm>
                          <a:prstGeom prst="rect">
                            <a:avLst/>
                          </a:prstGeom>
                          <a:noFill/>
                          <a:ln>
                            <a:noFill/>
                          </a:ln>
                        </pic:spPr>
                      </pic:pic>
                    </a:graphicData>
                  </a:graphic>
                </wp:inline>
              </w:drawing>
            </w:r>
          </w:p>
        </w:tc>
        <w:tc>
          <w:tcPr>
            <w:tcW w:w="1001" w:type="dxa"/>
            <w:vAlign w:val="center"/>
          </w:tcPr>
          <w:p w14:paraId="12E73D2A">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针对不同人群优化表达形式</w:t>
            </w:r>
          </w:p>
        </w:tc>
      </w:tr>
      <w:tr w14:paraId="09984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48F57C1E">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《医学科普文章应具备几大要素》</w:t>
            </w:r>
          </w:p>
        </w:tc>
        <w:tc>
          <w:tcPr>
            <w:tcW w:w="6652" w:type="dxa"/>
            <w:vAlign w:val="center"/>
          </w:tcPr>
          <w:p w14:paraId="7CF2ED2D">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3599815" cy="1207135"/>
                  <wp:effectExtent l="0" t="0" r="6985" b="12065"/>
                  <wp:docPr id="5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0"/>
                          <pic:cNvPicPr>
                            <a:picLocks noChangeAspect="1"/>
                          </pic:cNvPicPr>
                        </pic:nvPicPr>
                        <pic:blipFill>
                          <a:blip r:embed="rId40"/>
                          <a:stretch>
                            <a:fillRect/>
                          </a:stretch>
                        </pic:blipFill>
                        <pic:spPr>
                          <a:xfrm>
                            <a:off x="0" y="0"/>
                            <a:ext cx="3599815" cy="1207135"/>
                          </a:xfrm>
                          <a:prstGeom prst="rect">
                            <a:avLst/>
                          </a:prstGeom>
                          <a:noFill/>
                          <a:ln>
                            <a:noFill/>
                          </a:ln>
                        </pic:spPr>
                      </pic:pic>
                    </a:graphicData>
                  </a:graphic>
                </wp:inline>
              </w:drawing>
            </w:r>
          </w:p>
        </w:tc>
        <w:tc>
          <w:tcPr>
            <w:tcW w:w="1001" w:type="dxa"/>
            <w:vAlign w:val="center"/>
          </w:tcPr>
          <w:p w14:paraId="45101157">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强调科普内容能有实际作用</w:t>
            </w:r>
          </w:p>
        </w:tc>
      </w:tr>
      <w:tr w14:paraId="6B20F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324DB9FB">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eastAsia" w:ascii="Times New Roman" w:hAnsi="Times New Roman" w:eastAsia="仿宋_GB2312" w:cs="Times New Roman"/>
                <w:b w:val="0"/>
                <w:kern w:val="2"/>
                <w:sz w:val="24"/>
                <w:szCs w:val="24"/>
                <w:vertAlign w:val="baseline"/>
                <w:lang w:val="en-US" w:eastAsia="zh-CN" w:bidi="ar-SA"/>
              </w:rPr>
            </w:pPr>
            <w:r>
              <w:rPr>
                <w:rFonts w:hint="default" w:ascii="Times New Roman" w:hAnsi="Times New Roman" w:eastAsia="仿宋_GB2312" w:cs="Times New Roman"/>
                <w:b w:val="0"/>
                <w:kern w:val="2"/>
                <w:sz w:val="24"/>
                <w:szCs w:val="24"/>
                <w:vertAlign w:val="baseline"/>
                <w:lang w:val="en-US" w:eastAsia="zh-CN" w:bidi="ar-SA"/>
              </w:rPr>
              <w:t>《科技工作者科普创作指南》</w:t>
            </w:r>
          </w:p>
        </w:tc>
        <w:tc>
          <w:tcPr>
            <w:tcW w:w="6652" w:type="dxa"/>
            <w:vAlign w:val="center"/>
          </w:tcPr>
          <w:p w14:paraId="32294D8E">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pPr>
            <w:r>
              <w:drawing>
                <wp:inline distT="0" distB="0" distL="114300" distR="114300">
                  <wp:extent cx="3599815" cy="1130300"/>
                  <wp:effectExtent l="0" t="0" r="6985" b="0"/>
                  <wp:docPr id="6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6"/>
                          <pic:cNvPicPr>
                            <a:picLocks noChangeAspect="1"/>
                          </pic:cNvPicPr>
                        </pic:nvPicPr>
                        <pic:blipFill>
                          <a:blip r:embed="rId41"/>
                          <a:stretch>
                            <a:fillRect/>
                          </a:stretch>
                        </pic:blipFill>
                        <pic:spPr>
                          <a:xfrm>
                            <a:off x="0" y="0"/>
                            <a:ext cx="3599815" cy="1130300"/>
                          </a:xfrm>
                          <a:prstGeom prst="rect">
                            <a:avLst/>
                          </a:prstGeom>
                          <a:noFill/>
                          <a:ln>
                            <a:noFill/>
                          </a:ln>
                        </pic:spPr>
                      </pic:pic>
                    </a:graphicData>
                  </a:graphic>
                </wp:inline>
              </w:drawing>
            </w:r>
          </w:p>
        </w:tc>
        <w:tc>
          <w:tcPr>
            <w:tcW w:w="1001" w:type="dxa"/>
            <w:vAlign w:val="center"/>
          </w:tcPr>
          <w:p w14:paraId="780DEE2E">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农业类科普作品要考虑农民的实际需求</w:t>
            </w:r>
          </w:p>
        </w:tc>
      </w:tr>
    </w:tbl>
    <w:p w14:paraId="16EC8D23">
      <w:pPr>
        <w:pStyle w:val="49"/>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传播性指标的设置基于农业科普纸媒作品的最终社会影响力考量。首先，农业科普作品若希望被广泛阅读和自愿转发，必须具备吸引力和情感共鸣。农业生产与农民生活具有独特的情感价值，如对土地的热爱、对丰收的期盼、对乡土文化的认同。评价“内容表达、情感传递、呈现形式是否具备吸引力与共情力，能否引起受众对农业、农村、农民的情感共鸣”，是为了筛选出那些能够打动人心的作品，使其在读者中自发传播，增强科普的实际效果。其次，农业科普需要覆盖广大农村地区和不同人群（农民、学生、基层干部等）。作品若只能小范围使用，则难以发挥规模效应。因此要求“适配多渠道、多人群推广，满足批量印发、公共投放等规模化传播要求”，确保作品在成本、形式、内容定位上适合通过村委会、学校、农技站、线上平台等多种渠道分发，真正实现科普普惠。最后，好的农业科普作品不应是一次性消费品。农业生产的基础知识（如土壤管理、作物栽培原理）具有长期参考价值，而某些时效性强的指导（如当年病虫害预警）则需明确标注。评价“核心内容、知识信息、价值理念是否具备稳定性与时效性，能否长期复用、持续发挥科普、文化宣传、知识普及等作用”，是为了鼓励创作那些经得起时间检验、可反复使用的优质内容，避免资源浪费，并为后续再版、汇编提供依据。综上，传播性的三个条目分别对应作品的感染力、传播广度与持久价值，共同构成对农业科普纸媒社会效益的完整评价。</w:t>
      </w:r>
    </w:p>
    <w:p w14:paraId="03BC1681">
      <w:pPr>
        <w:pStyle w:val="47"/>
        <w:bidi w:val="0"/>
        <w:rPr>
          <w:rFonts w:hint="default" w:ascii="Times New Roman" w:hAnsi="Times New Roman" w:eastAsia="仿宋_GB2312" w:cs="Times New Roman"/>
          <w:b w:val="0"/>
          <w:kern w:val="2"/>
          <w:szCs w:val="21"/>
          <w:lang w:val="en-US" w:eastAsia="zh-CN" w:bidi="ar-SA"/>
        </w:rPr>
      </w:pPr>
      <w:r>
        <w:rPr>
          <w:rFonts w:hint="eastAsia"/>
          <w:lang w:val="en-US" w:eastAsia="zh-CN"/>
        </w:rPr>
        <w:t>传播性参考来源</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1"/>
        <w:gridCol w:w="6652"/>
        <w:gridCol w:w="1001"/>
      </w:tblGrid>
      <w:tr w14:paraId="63B1F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2949F1F0">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来源</w:t>
            </w:r>
          </w:p>
        </w:tc>
        <w:tc>
          <w:tcPr>
            <w:tcW w:w="6652" w:type="dxa"/>
            <w:vAlign w:val="center"/>
          </w:tcPr>
          <w:p w14:paraId="188B8180">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lang w:val="en-US" w:eastAsia="zh-CN" w:bidi="ar-SA"/>
              </w:rPr>
              <w:t>相关内容</w:t>
            </w:r>
          </w:p>
        </w:tc>
        <w:tc>
          <w:tcPr>
            <w:tcW w:w="1001" w:type="dxa"/>
            <w:vAlign w:val="center"/>
          </w:tcPr>
          <w:p w14:paraId="32B3716A">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lang w:val="en-US" w:eastAsia="zh-CN" w:bidi="ar-SA"/>
              </w:rPr>
            </w:pPr>
            <w:r>
              <w:rPr>
                <w:rFonts w:hint="eastAsia" w:ascii="Times New Roman" w:hAnsi="Times New Roman" w:eastAsia="仿宋_GB2312" w:cs="Times New Roman"/>
                <w:b w:val="0"/>
                <w:kern w:val="2"/>
                <w:sz w:val="24"/>
                <w:szCs w:val="24"/>
                <w:lang w:val="en-US" w:eastAsia="zh-CN" w:bidi="ar-SA"/>
              </w:rPr>
              <w:t>要点</w:t>
            </w:r>
          </w:p>
        </w:tc>
      </w:tr>
      <w:tr w14:paraId="3CBCA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3689004A">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《医学科普文章应具备几大要素》</w:t>
            </w:r>
          </w:p>
        </w:tc>
        <w:tc>
          <w:tcPr>
            <w:tcW w:w="6652" w:type="dxa"/>
            <w:vAlign w:val="center"/>
          </w:tcPr>
          <w:p w14:paraId="75451231">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4082415" cy="1325880"/>
                  <wp:effectExtent l="0" t="0" r="6985" b="7620"/>
                  <wp:docPr id="5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2"/>
                          <pic:cNvPicPr>
                            <a:picLocks noChangeAspect="1"/>
                          </pic:cNvPicPr>
                        </pic:nvPicPr>
                        <pic:blipFill>
                          <a:blip r:embed="rId42"/>
                          <a:stretch>
                            <a:fillRect/>
                          </a:stretch>
                        </pic:blipFill>
                        <pic:spPr>
                          <a:xfrm>
                            <a:off x="0" y="0"/>
                            <a:ext cx="4082415" cy="1325880"/>
                          </a:xfrm>
                          <a:prstGeom prst="rect">
                            <a:avLst/>
                          </a:prstGeom>
                          <a:noFill/>
                          <a:ln>
                            <a:noFill/>
                          </a:ln>
                        </pic:spPr>
                      </pic:pic>
                    </a:graphicData>
                  </a:graphic>
                </wp:inline>
              </w:drawing>
            </w:r>
          </w:p>
        </w:tc>
        <w:tc>
          <w:tcPr>
            <w:tcW w:w="1001" w:type="dxa"/>
            <w:vAlign w:val="center"/>
          </w:tcPr>
          <w:p w14:paraId="4C773AD6">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强调作品要有推广意义</w:t>
            </w:r>
          </w:p>
        </w:tc>
      </w:tr>
      <w:tr w14:paraId="713B2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39944BC3">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《注意力稀缺时代，为科普铺好“情绪台阶”》</w:t>
            </w:r>
          </w:p>
        </w:tc>
        <w:tc>
          <w:tcPr>
            <w:tcW w:w="6652" w:type="dxa"/>
            <w:vAlign w:val="center"/>
          </w:tcPr>
          <w:p w14:paraId="58F7FCEF">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drawing>
                <wp:inline distT="0" distB="0" distL="114300" distR="114300">
                  <wp:extent cx="4086225" cy="979170"/>
                  <wp:effectExtent l="0" t="0" r="3175" b="11430"/>
                  <wp:docPr id="5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3"/>
                          <pic:cNvPicPr>
                            <a:picLocks noChangeAspect="1"/>
                          </pic:cNvPicPr>
                        </pic:nvPicPr>
                        <pic:blipFill>
                          <a:blip r:embed="rId43"/>
                          <a:stretch>
                            <a:fillRect/>
                          </a:stretch>
                        </pic:blipFill>
                        <pic:spPr>
                          <a:xfrm>
                            <a:off x="0" y="0"/>
                            <a:ext cx="4086225" cy="979170"/>
                          </a:xfrm>
                          <a:prstGeom prst="rect">
                            <a:avLst/>
                          </a:prstGeom>
                          <a:noFill/>
                          <a:ln>
                            <a:noFill/>
                          </a:ln>
                        </pic:spPr>
                      </pic:pic>
                    </a:graphicData>
                  </a:graphic>
                </wp:inline>
              </w:drawing>
            </w:r>
          </w:p>
        </w:tc>
        <w:tc>
          <w:tcPr>
            <w:tcW w:w="1001" w:type="dxa"/>
            <w:vAlign w:val="center"/>
          </w:tcPr>
          <w:p w14:paraId="0FD48FEA">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强调传播载体要多元</w:t>
            </w:r>
          </w:p>
        </w:tc>
      </w:tr>
      <w:tr w14:paraId="6D140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1" w:type="dxa"/>
            <w:vAlign w:val="center"/>
          </w:tcPr>
          <w:p w14:paraId="1A74EC3F">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第五届福建省科普作品创作打赏</w:t>
            </w:r>
          </w:p>
        </w:tc>
        <w:tc>
          <w:tcPr>
            <w:tcW w:w="6652" w:type="dxa"/>
            <w:vAlign w:val="center"/>
          </w:tcPr>
          <w:p w14:paraId="5F5FE3AE">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pPr>
            <w:r>
              <w:drawing>
                <wp:inline distT="0" distB="0" distL="114300" distR="114300">
                  <wp:extent cx="3599815" cy="313055"/>
                  <wp:effectExtent l="0" t="0" r="6985" b="4445"/>
                  <wp:docPr id="6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7"/>
                          <pic:cNvPicPr>
                            <a:picLocks noChangeAspect="1"/>
                          </pic:cNvPicPr>
                        </pic:nvPicPr>
                        <pic:blipFill>
                          <a:blip r:embed="rId44"/>
                          <a:stretch>
                            <a:fillRect/>
                          </a:stretch>
                        </pic:blipFill>
                        <pic:spPr>
                          <a:xfrm>
                            <a:off x="0" y="0"/>
                            <a:ext cx="3599815" cy="313055"/>
                          </a:xfrm>
                          <a:prstGeom prst="rect">
                            <a:avLst/>
                          </a:prstGeom>
                          <a:noFill/>
                          <a:ln>
                            <a:noFill/>
                          </a:ln>
                        </pic:spPr>
                      </pic:pic>
                    </a:graphicData>
                  </a:graphic>
                </wp:inline>
              </w:drawing>
            </w:r>
          </w:p>
        </w:tc>
        <w:tc>
          <w:tcPr>
            <w:tcW w:w="1001" w:type="dxa"/>
            <w:vAlign w:val="center"/>
          </w:tcPr>
          <w:p w14:paraId="76958CAF">
            <w:pPr>
              <w:pStyle w:val="50"/>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0" w:firstLineChars="0"/>
              <w:jc w:val="center"/>
              <w:textAlignment w:val="auto"/>
              <w:rPr>
                <w:rFonts w:hint="default" w:ascii="Times New Roman" w:hAnsi="Times New Roman" w:eastAsia="仿宋_GB2312" w:cs="Times New Roman"/>
                <w:b w:val="0"/>
                <w:kern w:val="2"/>
                <w:sz w:val="24"/>
                <w:szCs w:val="24"/>
                <w:vertAlign w:val="baseline"/>
                <w:lang w:val="en-US" w:eastAsia="zh-CN" w:bidi="ar-SA"/>
              </w:rPr>
            </w:pPr>
            <w:r>
              <w:rPr>
                <w:rFonts w:hint="eastAsia" w:ascii="Times New Roman" w:hAnsi="Times New Roman" w:eastAsia="仿宋_GB2312" w:cs="Times New Roman"/>
                <w:b w:val="0"/>
                <w:kern w:val="2"/>
                <w:sz w:val="24"/>
                <w:szCs w:val="24"/>
                <w:vertAlign w:val="baseline"/>
                <w:lang w:val="en-US" w:eastAsia="zh-CN" w:bidi="ar-SA"/>
              </w:rPr>
              <w:t>作品要有传播价值</w:t>
            </w:r>
          </w:p>
        </w:tc>
      </w:tr>
    </w:tbl>
    <w:p w14:paraId="79BAC0E3">
      <w:pPr>
        <w:pStyle w:val="50"/>
        <w:spacing w:before="156" w:after="156"/>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（二）评价方法</w:t>
      </w:r>
    </w:p>
    <w:p w14:paraId="09EE7900">
      <w:pPr>
        <w:pStyle w:val="49"/>
        <w:rPr>
          <w:rFonts w:hint="eastAsia"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（1）评价方式</w:t>
      </w:r>
    </w:p>
    <w:p w14:paraId="579BAB71">
      <w:pPr>
        <w:pStyle w:val="49"/>
        <w:rPr>
          <w:rFonts w:hint="eastAsia"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本标准规定农业科普纸媒书报类作品采用会议评价方式实施评价。农业科普纸媒作品评价维度多、专业性与综合性较强，会议评价可组织农业技术、科普创作、出版规范、标准化等领域专家开展集中审阅、逐项评议与充分研讨，确保评价过程全面严谨。会议评价组织流程规范、评审过程公开透明、结论形成高效，能够有效保障评价结果的客观性、公正性与权威性，符合农业科普作品公益性、专业性评价工作的实际需要。</w:t>
      </w:r>
    </w:p>
    <w:p w14:paraId="4474A937">
      <w:pPr>
        <w:pStyle w:val="49"/>
        <w:rPr>
          <w:rFonts w:hint="eastAsia"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（2）评价规则</w:t>
      </w:r>
    </w:p>
    <w:p w14:paraId="42E801AB">
      <w:pPr>
        <w:pStyle w:val="49"/>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本标准将总分设为100分，其中方向与规范30分、内容质量40分、表达与传播0分。分值分配遵循内容质量为评价核心，方向与规范为基本前提，表达与传播为效果保障的原则。内容质量占40分，权重最大。这是因为农业科普纸媒的核心价值在于向读者传递准确、科学、实用的农业知识。作品若科学性不实、准确性差、原创性低或时效性滞后，则无论形式如何美观、传播多广，都难以真正服务农业生产。因此，内容质量是评价的重心，赋予最高权重。方向与规范占30分。方向性确保作品价值导向正确，符合国家农业战略，弘扬优秀农耕文化，避免伪科学和误导性内容；规范性保障作品合法合规、设计规范、责任可追溯。这两者属于作品底线要求，一旦出现问题可能一票否决，但其条款多为定性筛查，故权重略低于内容质量。表达与传播占30分。通俗性、适用性、传播性直接影响读者是否愿意阅读、能否看懂、能否应用于生产、能否形成社会影响。农业科普作品尤其需要适配农村读者的文化水平和田间使用场景，因此表达与传播不可或缺，但因其建立在内容质量基础之上，故权重与方向与规范持平。综上，40:30:30的分配突出内容质量的核心地位，兼顾导向规范和表达传播的支撑作用，符合农业科普纸媒内容为本、导向为魂、传播为用的评价逻辑。</w:t>
      </w:r>
    </w:p>
    <w:p w14:paraId="1D6E11D0">
      <w:pPr>
        <w:pStyle w:val="49"/>
        <w:rPr>
          <w:rFonts w:hint="eastAsia"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评价规则规定按附录A所列指标逐项打分，汇总后得到作品最终得分A。该规则的设计基于农业科普纸媒作品多维度、多层级的特性，旨在保证评价的全面性、可操作性和结果可量化。农业科普纸媒涉及内容质量、表达与传播、导向与规范等多个方面，每个方面又有更细的分项，若仅凭整体印象打分，难以区分不同作品在各具体指标上的优劣。通过附录A的三级指标体系，评价组可逐条对照作品表现评分，确保每项评价要求落到实处，确保指标全覆盖。逐项打分后汇总得分的方式，具有以下优势：一是将定性评价转化为定量分数，便于不同作品之间的横向比较和等级划分；二是各分项得分可直观反映作品的短板所在，为后续修改完善提供明确方向；三是评分过程可追溯，降低主观因素影响，增强评价的公正性和可重复性；四是适应农业科普作品跨地域、跨作物品种的多样性特征，同一套评分体系可灵活应用于不同主题、不同载体类型（图书、手册、挂图等）的作品评价，保持一致性。因此，本标准采用附录A逐项打分、汇总得分作为最终得分的评价规则。</w:t>
      </w:r>
    </w:p>
    <w:p w14:paraId="4543B0C4">
      <w:pPr>
        <w:pStyle w:val="49"/>
        <w:rPr>
          <w:rFonts w:hint="eastAsia"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（3）评价等级</w:t>
      </w:r>
    </w:p>
    <w:p w14:paraId="4F98D24B">
      <w:pPr>
        <w:pStyle w:val="49"/>
        <w:rPr>
          <w:rFonts w:hint="default" w:ascii="Times New Roman" w:hAnsi="Times New Roman" w:cs="Times New Roman"/>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评价等级分为优秀、良好、中等、合格、不合格五个等级，分数区间依次设定为90分≤A≤100分、80分≤A＜90分、70分≤A＜80分、60分≤A＜70分、A＜60分</w:t>
      </w:r>
      <w:r>
        <w:rPr>
          <w:rFonts w:hint="eastAsia"/>
          <w:color w:val="000000" w:themeColor="text1"/>
          <w:lang w:val="en-US" w:eastAsia="zh-CN"/>
          <w14:textFill>
            <w14:solidFill>
              <w14:schemeClr w14:val="tx1"/>
            </w14:solidFill>
          </w14:textFill>
        </w:rPr>
        <w:t>。</w:t>
      </w:r>
      <w:r>
        <w:rPr>
          <w:rFonts w:hint="default"/>
          <w:color w:val="000000" w:themeColor="text1"/>
          <w:lang w:val="en-US" w:eastAsia="zh-CN"/>
          <w14:textFill>
            <w14:solidFill>
              <w14:schemeClr w14:val="tx1"/>
            </w14:solidFill>
          </w14:textFill>
        </w:rPr>
        <w:t>从分级数量来看，五个等级是国内外绩效评价领域广泛采用的划分方式，能细致区分不同质量水平的作品，避免因等级划分过粗导致质量梯度模糊，满足作品评选、推广应用、整改优化等不同场景的使用需求。优秀等级对应高质量标杆作品，良好等级界定优质水平作品，中等等级标识达标偏上作品，合格等级明确基本符合要求的作品，不合格等级划定未达评价底线的作品，各等级功能清晰，便于评价主体快速界定作品质量定位。从分数区间设定来看，以60分为合格线符合大众对评价合格与否的普遍认知习惯，降低评价结果的理解成本；每个等级10分的区间划分均匀，便于量化打分时进行分值分配，同时使不同作品的得分差异更直观，提升横向对比的便利性。特殊规定合规性不达标直接判定为不合格，依据是合规性是农业科普纸媒作品合法传播、发挥科普价值的前提，建立明确的质量红线；总得分低于60分判定为不合格，与通用评价标准的合格线保持一致，形成清晰的退出机制，确保不符合基本质量要求的作品不进入传播环节。</w:t>
      </w:r>
    </w:p>
    <w:p w14:paraId="3A371B53">
      <w:pPr>
        <w:pStyle w:val="50"/>
        <w:spacing w:before="156" w:after="156"/>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（三）评价流程及要求</w:t>
      </w:r>
    </w:p>
    <w:p w14:paraId="4ACFC932">
      <w:pPr>
        <w:pStyle w:val="49"/>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（1）评价流程</w:t>
      </w:r>
    </w:p>
    <w:p w14:paraId="4615E92F">
      <w:pPr>
        <w:pStyle w:val="44"/>
        <w:keepNext w:val="0"/>
        <w:keepLines w:val="0"/>
        <w:pageBreakBefore w:val="0"/>
        <w:widowControl/>
        <w:kinsoku/>
        <w:wordWrap/>
        <w:overflowPunct/>
        <w:topLinePunct w:val="0"/>
        <w:autoSpaceDE w:val="0"/>
        <w:autoSpaceDN w:val="0"/>
        <w:bidi w:val="0"/>
        <w:adjustRightInd/>
        <w:snapToGrid/>
        <w:ind w:firstLine="640" w:firstLineChars="200"/>
        <w:jc w:val="left"/>
        <w:textAlignment w:val="auto"/>
        <w:rPr>
          <w:rFonts w:hint="eastAsia" w:ascii="Times New Roman" w:hAnsi="Times New Roman" w:eastAsia="仿宋_GB2312" w:cs="Times New Roman"/>
          <w:color w:val="000000" w:themeColor="text1"/>
          <w:kern w:val="2"/>
          <w:sz w:val="32"/>
          <w:szCs w:val="28"/>
          <w:lang w:val="en-US" w:eastAsia="zh-CN" w:bidi="ar-SA"/>
          <w14:textFill>
            <w14:solidFill>
              <w14:schemeClr w14:val="tx1"/>
            </w14:solidFill>
          </w14:textFill>
        </w:rPr>
      </w:pPr>
      <w:r>
        <w:rPr>
          <w:rFonts w:hint="eastAsia" w:ascii="Times New Roman" w:hAnsi="Times New Roman" w:eastAsia="仿宋_GB2312" w:cs="Times New Roman"/>
          <w:color w:val="000000" w:themeColor="text1"/>
          <w:kern w:val="2"/>
          <w:sz w:val="32"/>
          <w:szCs w:val="28"/>
          <w:lang w:val="en-US" w:eastAsia="zh-CN" w:bidi="ar-SA"/>
          <w14:textFill>
            <w14:solidFill>
              <w14:schemeClr w14:val="tx1"/>
            </w14:solidFill>
          </w14:textFill>
        </w:rPr>
        <w:t>本标准设置的评价流程包括确定评价机构、提交评价申请表及佐证材料、受理评价委托、制定评价方案、组建评价工作组、组织评价、形成评价报告、评价完成八个环节，形成从启动到终结的完整链路。流程设计基于农业科普纸媒作品评价的专业性和实践性要求。确定评价机构明确责任主体；提交佐证材料（如适用区域标注、农时匹配说明、读者反馈数据等）确保评价有据可查；受理前的可行性分析可排除材料不实或不符合条件的申请，避免资源浪费；制定评价方案明确时间、人员、方法，保证评价过程有序；组建评价工作组要求包含农业领域专家且人数为奇数，保障专业判断和表决公正；组织评价环节可根据需要开展现场审阅、专家质询和讨论，必要时实地调研，核查作品在田间地头的适用性和农时指导的及时性；形成评价报告客观记载得分、等级及改进建议，使评价结果可追溯、用于作品优化；评价完成后进入档案管理，便于复查和对比。该流程的优势在于责任清晰、节点明确、专业支撑充分、具备实地验证的灵活性，同时增强透明度和可操作性，能够适应不同地域、不同作物、不同载体类型的农业科普纸媒评价需求。具体流程见下图。</w:t>
      </w:r>
    </w:p>
    <w:p w14:paraId="1E246C5B">
      <w:pPr>
        <w:pStyle w:val="44"/>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lang w:val="en-US" w:eastAsia="zh-CN"/>
        </w:rPr>
      </w:pPr>
      <w:r>
        <w:rPr>
          <w:color w:val="auto"/>
        </w:rPr>
        <mc:AlternateContent>
          <mc:Choice Requires="wpc">
            <w:drawing>
              <wp:inline distT="0" distB="0" distL="114300" distR="114300">
                <wp:extent cx="5727700" cy="2410460"/>
                <wp:effectExtent l="0" t="0" r="0" b="0"/>
                <wp:docPr id="29" name="画布 2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0" name="流程图: 终止 12"/>
                        <wps:cNvSpPr/>
                        <wps:spPr>
                          <a:xfrm>
                            <a:off x="386100" y="898560"/>
                            <a:ext cx="852800" cy="252117"/>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14:paraId="019FDA39">
                              <w:pPr>
                                <w:keepNext w:val="0"/>
                                <w:keepLines w:val="0"/>
                                <w:pageBreakBefore w:val="0"/>
                                <w:widowControl w:val="0"/>
                                <w:kinsoku/>
                                <w:wordWrap/>
                                <w:overflowPunct/>
                                <w:topLinePunct w:val="0"/>
                                <w:bidi w:val="0"/>
                                <w:adjustRightInd w:val="0"/>
                                <w:snapToGrid/>
                                <w:spacing w:line="240" w:lineRule="auto"/>
                                <w:ind w:firstLine="0" w:firstLineChars="0"/>
                                <w:jc w:val="center"/>
                                <w:textAlignment w:val="auto"/>
                                <w:rPr>
                                  <w:sz w:val="15"/>
                                  <w:szCs w:val="15"/>
                                </w:rPr>
                              </w:pPr>
                              <w:r>
                                <w:rPr>
                                  <w:rFonts w:hint="eastAsia"/>
                                  <w:sz w:val="15"/>
                                  <w:szCs w:val="15"/>
                                </w:rPr>
                                <w:t>确定评价机构</w:t>
                              </w:r>
                            </w:p>
                          </w:txbxContent>
                        </wps:txbx>
                        <wps:bodyPr lIns="0" tIns="0" rIns="0" bIns="0" anchor="ctr" anchorCtr="0" upright="1"/>
                      </wps:wsp>
                      <wps:wsp>
                        <wps:cNvPr id="31" name="矩形 13"/>
                        <wps:cNvSpPr/>
                        <wps:spPr>
                          <a:xfrm>
                            <a:off x="4731400" y="1931728"/>
                            <a:ext cx="904200" cy="25211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A119D73">
                              <w:pPr>
                                <w:keepNext w:val="0"/>
                                <w:keepLines w:val="0"/>
                                <w:pageBreakBefore w:val="0"/>
                                <w:widowControl w:val="0"/>
                                <w:kinsoku/>
                                <w:wordWrap/>
                                <w:overflowPunct/>
                                <w:topLinePunct w:val="0"/>
                                <w:bidi w:val="0"/>
                                <w:snapToGrid/>
                                <w:spacing w:line="200" w:lineRule="exact"/>
                                <w:ind w:firstLine="0" w:firstLineChars="0"/>
                                <w:jc w:val="center"/>
                                <w:textAlignment w:val="auto"/>
                                <w:rPr>
                                  <w:rFonts w:hint="default" w:eastAsia="宋体"/>
                                  <w:sz w:val="15"/>
                                  <w:szCs w:val="15"/>
                                  <w:lang w:val="en-US" w:eastAsia="zh-CN"/>
                                </w:rPr>
                              </w:pPr>
                              <w:r>
                                <w:rPr>
                                  <w:rFonts w:hint="eastAsia"/>
                                  <w:sz w:val="15"/>
                                  <w:szCs w:val="15"/>
                                  <w:lang w:val="en-US" w:eastAsia="zh-CN"/>
                                </w:rPr>
                                <w:t>组建评价工作组</w:t>
                              </w:r>
                            </w:p>
                          </w:txbxContent>
                        </wps:txbx>
                        <wps:bodyPr upright="1"/>
                      </wps:wsp>
                      <wps:wsp>
                        <wps:cNvPr id="15" name="矩形 15"/>
                        <wps:cNvSpPr/>
                        <wps:spPr>
                          <a:xfrm>
                            <a:off x="1700500" y="1931728"/>
                            <a:ext cx="897300" cy="25211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763A04">
                              <w:pPr>
                                <w:pStyle w:val="11"/>
                                <w:keepNext w:val="0"/>
                                <w:keepLines w:val="0"/>
                                <w:pageBreakBefore w:val="0"/>
                                <w:widowControl w:val="0"/>
                                <w:kinsoku/>
                                <w:wordWrap/>
                                <w:overflowPunct/>
                                <w:topLinePunct w:val="0"/>
                                <w:bidi w:val="0"/>
                                <w:snapToGrid/>
                                <w:spacing w:before="0" w:beforeAutospacing="0" w:after="0" w:afterAutospacing="0" w:line="200" w:lineRule="exact"/>
                                <w:ind w:firstLine="0" w:firstLineChars="0"/>
                                <w:jc w:val="center"/>
                                <w:textAlignment w:val="auto"/>
                                <w:rPr>
                                  <w:rFonts w:hint="eastAsia" w:eastAsia="宋体"/>
                                  <w:lang w:val="en-US" w:eastAsia="zh-CN"/>
                                </w:rPr>
                              </w:pPr>
                              <w:r>
                                <w:rPr>
                                  <w:rFonts w:hint="eastAsia" w:ascii="Calibri" w:cs="Times New Roman"/>
                                  <w:kern w:val="2"/>
                                  <w:sz w:val="15"/>
                                  <w:szCs w:val="15"/>
                                </w:rPr>
                                <w:t>形成评价</w:t>
                              </w:r>
                              <w:r>
                                <w:rPr>
                                  <w:rFonts w:hint="eastAsia" w:ascii="Calibri" w:cs="Times New Roman"/>
                                  <w:kern w:val="2"/>
                                  <w:sz w:val="15"/>
                                  <w:szCs w:val="15"/>
                                  <w:lang w:val="en-US" w:eastAsia="zh-CN"/>
                                </w:rPr>
                                <w:t>报告</w:t>
                              </w:r>
                            </w:p>
                          </w:txbxContent>
                        </wps:txbx>
                        <wps:bodyPr anchor="ctr" anchorCtr="0" upright="1"/>
                      </wps:wsp>
                      <wps:wsp>
                        <wps:cNvPr id="16" name="流程图: 终止 16"/>
                        <wps:cNvSpPr/>
                        <wps:spPr>
                          <a:xfrm>
                            <a:off x="386100" y="1931728"/>
                            <a:ext cx="853400" cy="252117"/>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14:paraId="7B25FC74">
                              <w:pPr>
                                <w:keepNext w:val="0"/>
                                <w:keepLines w:val="0"/>
                                <w:pageBreakBefore w:val="0"/>
                                <w:widowControl w:val="0"/>
                                <w:kinsoku/>
                                <w:wordWrap/>
                                <w:overflowPunct/>
                                <w:topLinePunct w:val="0"/>
                                <w:bidi w:val="0"/>
                                <w:adjustRightInd w:val="0"/>
                                <w:snapToGrid/>
                                <w:spacing w:line="240" w:lineRule="auto"/>
                                <w:ind w:firstLine="0" w:firstLineChars="0"/>
                                <w:jc w:val="center"/>
                                <w:textAlignment w:val="auto"/>
                                <w:rPr>
                                  <w:sz w:val="15"/>
                                  <w:szCs w:val="15"/>
                                </w:rPr>
                              </w:pPr>
                              <w:r>
                                <w:rPr>
                                  <w:rFonts w:hint="eastAsia"/>
                                  <w:sz w:val="15"/>
                                  <w:szCs w:val="15"/>
                                </w:rPr>
                                <w:t>评价完成</w:t>
                              </w:r>
                            </w:p>
                          </w:txbxContent>
                        </wps:txbx>
                        <wps:bodyPr lIns="0" tIns="0" rIns="0" bIns="0" anchor="ctr" anchorCtr="0" upright="1"/>
                      </wps:wsp>
                      <wps:wsp>
                        <wps:cNvPr id="17" name="肘形连接符 17"/>
                        <wps:cNvCnPr/>
                        <wps:spPr>
                          <a:xfrm flipV="1">
                            <a:off x="1238900" y="840156"/>
                            <a:ext cx="547400" cy="184112"/>
                          </a:xfrm>
                          <a:prstGeom prst="bentConnector3">
                            <a:avLst>
                              <a:gd name="adj1" fmla="val 50000"/>
                            </a:avLst>
                          </a:prstGeom>
                          <a:ln w="9525" cap="flat" cmpd="sng">
                            <a:solidFill>
                              <a:srgbClr val="000000"/>
                            </a:solidFill>
                            <a:prstDash val="solid"/>
                            <a:round/>
                            <a:headEnd type="none" w="med" len="med"/>
                            <a:tailEnd type="triangle" w="med" len="med"/>
                          </a:ln>
                        </wps:spPr>
                        <wps:bodyPr/>
                      </wps:wsp>
                      <wps:wsp>
                        <wps:cNvPr id="32" name="肘形连接符 22"/>
                        <wps:cNvCnPr/>
                        <wps:spPr>
                          <a:xfrm>
                            <a:off x="1238900" y="1024268"/>
                            <a:ext cx="557500" cy="165111"/>
                          </a:xfrm>
                          <a:prstGeom prst="bentConnector3">
                            <a:avLst>
                              <a:gd name="adj1" fmla="val 48861"/>
                            </a:avLst>
                          </a:prstGeom>
                          <a:ln w="9525" cap="flat" cmpd="sng">
                            <a:solidFill>
                              <a:srgbClr val="000000"/>
                            </a:solidFill>
                            <a:prstDash val="solid"/>
                            <a:round/>
                            <a:headEnd type="none" w="med" len="med"/>
                            <a:tailEnd type="triangle" w="med" len="med"/>
                          </a:ln>
                        </wps:spPr>
                        <wps:bodyPr/>
                      </wps:wsp>
                      <wps:wsp>
                        <wps:cNvPr id="33" name="矩形 23"/>
                        <wps:cNvSpPr/>
                        <wps:spPr>
                          <a:xfrm>
                            <a:off x="1786300" y="718848"/>
                            <a:ext cx="882000" cy="25211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A02787">
                              <w:pPr>
                                <w:keepNext w:val="0"/>
                                <w:keepLines w:val="0"/>
                                <w:pageBreakBefore w:val="0"/>
                                <w:widowControl w:val="0"/>
                                <w:kinsoku/>
                                <w:wordWrap/>
                                <w:overflowPunct/>
                                <w:topLinePunct w:val="0"/>
                                <w:bidi w:val="0"/>
                                <w:snapToGrid/>
                                <w:spacing w:line="200" w:lineRule="exact"/>
                                <w:ind w:firstLine="0" w:firstLineChars="0"/>
                                <w:jc w:val="center"/>
                                <w:textAlignment w:val="auto"/>
                                <w:rPr>
                                  <w:sz w:val="15"/>
                                  <w:szCs w:val="15"/>
                                </w:rPr>
                              </w:pPr>
                              <w:r>
                                <w:rPr>
                                  <w:rFonts w:hint="eastAsia"/>
                                  <w:sz w:val="15"/>
                                  <w:szCs w:val="15"/>
                                </w:rPr>
                                <w:t>提交评价申请表</w:t>
                              </w:r>
                            </w:p>
                          </w:txbxContent>
                        </wps:txbx>
                        <wps:bodyPr upright="1"/>
                      </wps:wsp>
                      <wps:wsp>
                        <wps:cNvPr id="24" name="矩形 24"/>
                        <wps:cNvSpPr/>
                        <wps:spPr>
                          <a:xfrm>
                            <a:off x="1786300" y="1071271"/>
                            <a:ext cx="880700" cy="23941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B09F10D">
                              <w:pPr>
                                <w:keepNext w:val="0"/>
                                <w:keepLines w:val="0"/>
                                <w:pageBreakBefore w:val="0"/>
                                <w:widowControl w:val="0"/>
                                <w:kinsoku/>
                                <w:wordWrap/>
                                <w:overflowPunct/>
                                <w:topLinePunct w:val="0"/>
                                <w:bidi w:val="0"/>
                                <w:snapToGrid/>
                                <w:spacing w:line="200" w:lineRule="exact"/>
                                <w:ind w:firstLine="0" w:firstLineChars="0"/>
                                <w:jc w:val="center"/>
                                <w:textAlignment w:val="auto"/>
                                <w:rPr>
                                  <w:sz w:val="15"/>
                                  <w:szCs w:val="15"/>
                                </w:rPr>
                              </w:pPr>
                              <w:r>
                                <w:rPr>
                                  <w:rFonts w:hint="eastAsia"/>
                                  <w:sz w:val="15"/>
                                  <w:szCs w:val="15"/>
                                </w:rPr>
                                <w:t>提供佐证材料</w:t>
                              </w:r>
                            </w:p>
                          </w:txbxContent>
                        </wps:txbx>
                        <wps:bodyPr upright="1"/>
                      </wps:wsp>
                      <wps:wsp>
                        <wps:cNvPr id="25" name="肘形连接符 25"/>
                        <wps:cNvCnPr/>
                        <wps:spPr>
                          <a:xfrm>
                            <a:off x="2677200" y="814854"/>
                            <a:ext cx="695300" cy="210214"/>
                          </a:xfrm>
                          <a:prstGeom prst="bentConnector3">
                            <a:avLst>
                              <a:gd name="adj1" fmla="val 50046"/>
                            </a:avLst>
                          </a:prstGeom>
                          <a:ln w="9525" cap="flat" cmpd="sng">
                            <a:solidFill>
                              <a:srgbClr val="000000"/>
                            </a:solidFill>
                            <a:prstDash val="solid"/>
                            <a:round/>
                            <a:headEnd type="none" w="med" len="med"/>
                            <a:tailEnd type="triangle" w="med" len="med"/>
                          </a:ln>
                        </wps:spPr>
                        <wps:bodyPr/>
                      </wps:wsp>
                      <wps:wsp>
                        <wps:cNvPr id="34" name="肘形连接符 26"/>
                        <wps:cNvCnPr/>
                        <wps:spPr>
                          <a:xfrm flipV="1">
                            <a:off x="2667000" y="1024968"/>
                            <a:ext cx="705500" cy="166311"/>
                          </a:xfrm>
                          <a:prstGeom prst="bentConnector3">
                            <a:avLst>
                              <a:gd name="adj1" fmla="val 50046"/>
                            </a:avLst>
                          </a:prstGeom>
                          <a:ln w="9525" cap="flat" cmpd="sng">
                            <a:solidFill>
                              <a:srgbClr val="000000"/>
                            </a:solidFill>
                            <a:prstDash val="solid"/>
                            <a:round/>
                            <a:headEnd type="none" w="med" len="med"/>
                            <a:tailEnd type="none" w="med" len="med"/>
                          </a:ln>
                        </wps:spPr>
                        <wps:bodyPr/>
                      </wps:wsp>
                      <wps:wsp>
                        <wps:cNvPr id="27" name="直接箭头连接符 27"/>
                        <wps:cNvCnPr/>
                        <wps:spPr>
                          <a:xfrm>
                            <a:off x="4221500" y="1021768"/>
                            <a:ext cx="542900" cy="6300"/>
                          </a:xfrm>
                          <a:prstGeom prst="straightConnector1">
                            <a:avLst/>
                          </a:prstGeom>
                          <a:ln w="9525" cap="flat" cmpd="sng">
                            <a:solidFill>
                              <a:srgbClr val="000000"/>
                            </a:solidFill>
                            <a:prstDash val="solid"/>
                            <a:headEnd type="none" w="med" len="med"/>
                            <a:tailEnd type="triangle" w="med" len="med"/>
                          </a:ln>
                        </wps:spPr>
                        <wps:bodyPr/>
                      </wps:wsp>
                      <wps:wsp>
                        <wps:cNvPr id="28" name="矩形 28"/>
                        <wps:cNvSpPr/>
                        <wps:spPr>
                          <a:xfrm>
                            <a:off x="4763100" y="898560"/>
                            <a:ext cx="844000" cy="25211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DDD48DE">
                              <w:pPr>
                                <w:keepNext w:val="0"/>
                                <w:keepLines w:val="0"/>
                                <w:pageBreakBefore w:val="0"/>
                                <w:widowControl w:val="0"/>
                                <w:kinsoku/>
                                <w:wordWrap/>
                                <w:overflowPunct/>
                                <w:topLinePunct w:val="0"/>
                                <w:bidi w:val="0"/>
                                <w:snapToGrid/>
                                <w:spacing w:line="200" w:lineRule="exact"/>
                                <w:ind w:firstLine="0" w:firstLineChars="0"/>
                                <w:jc w:val="center"/>
                                <w:textAlignment w:val="auto"/>
                                <w:rPr>
                                  <w:rFonts w:hint="default" w:eastAsia="宋体"/>
                                  <w:sz w:val="15"/>
                                  <w:szCs w:val="15"/>
                                  <w:lang w:val="en-US" w:eastAsia="zh-CN"/>
                                </w:rPr>
                              </w:pPr>
                              <w:r>
                                <w:rPr>
                                  <w:rFonts w:hint="eastAsia"/>
                                  <w:sz w:val="15"/>
                                  <w:szCs w:val="15"/>
                                  <w:lang w:val="en-US" w:eastAsia="zh-CN"/>
                                </w:rPr>
                                <w:t>制定评价方案</w:t>
                              </w:r>
                            </w:p>
                          </w:txbxContent>
                        </wps:txbx>
                        <wps:bodyPr upright="1"/>
                      </wps:wsp>
                      <wps:wsp>
                        <wps:cNvPr id="35" name="直接箭头连接符 29"/>
                        <wps:cNvCnPr/>
                        <wps:spPr>
                          <a:xfrm>
                            <a:off x="5177800" y="1185579"/>
                            <a:ext cx="5700" cy="757550"/>
                          </a:xfrm>
                          <a:prstGeom prst="straightConnector1">
                            <a:avLst/>
                          </a:prstGeom>
                          <a:ln w="9525" cap="flat" cmpd="sng">
                            <a:solidFill>
                              <a:srgbClr val="000000"/>
                            </a:solidFill>
                            <a:prstDash val="solid"/>
                            <a:headEnd type="none" w="med" len="med"/>
                            <a:tailEnd type="triangle" w="med" len="med"/>
                          </a:ln>
                        </wps:spPr>
                        <wps:bodyPr/>
                      </wps:wsp>
                      <wps:wsp>
                        <wps:cNvPr id="36" name="直接箭头连接符 30"/>
                        <wps:cNvCnPr/>
                        <wps:spPr>
                          <a:xfrm flipH="1">
                            <a:off x="1239500" y="2057537"/>
                            <a:ext cx="461100" cy="0"/>
                          </a:xfrm>
                          <a:prstGeom prst="straightConnector1">
                            <a:avLst/>
                          </a:prstGeom>
                          <a:ln w="9525" cap="flat" cmpd="sng">
                            <a:solidFill>
                              <a:srgbClr val="000000"/>
                            </a:solidFill>
                            <a:prstDash val="solid"/>
                            <a:headEnd type="none" w="med" len="med"/>
                            <a:tailEnd type="triangle" w="med" len="med"/>
                          </a:ln>
                        </wps:spPr>
                        <wps:bodyPr/>
                      </wps:wsp>
                      <wps:wsp>
                        <wps:cNvPr id="37" name="矩形 32"/>
                        <wps:cNvSpPr/>
                        <wps:spPr>
                          <a:xfrm>
                            <a:off x="3209300" y="1931728"/>
                            <a:ext cx="904800" cy="25151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95B2023">
                              <w:pPr>
                                <w:keepNext w:val="0"/>
                                <w:keepLines w:val="0"/>
                                <w:pageBreakBefore w:val="0"/>
                                <w:widowControl w:val="0"/>
                                <w:kinsoku/>
                                <w:wordWrap/>
                                <w:overflowPunct/>
                                <w:topLinePunct w:val="0"/>
                                <w:bidi w:val="0"/>
                                <w:snapToGrid/>
                                <w:spacing w:line="200" w:lineRule="exact"/>
                                <w:ind w:firstLine="0" w:firstLineChars="0"/>
                                <w:jc w:val="center"/>
                                <w:textAlignment w:val="auto"/>
                                <w:rPr>
                                  <w:rFonts w:hint="default" w:eastAsia="宋体"/>
                                  <w:sz w:val="15"/>
                                  <w:szCs w:val="15"/>
                                  <w:lang w:val="en-US" w:eastAsia="zh-CN"/>
                                </w:rPr>
                              </w:pPr>
                              <w:r>
                                <w:rPr>
                                  <w:rFonts w:hint="eastAsia"/>
                                  <w:sz w:val="15"/>
                                  <w:szCs w:val="15"/>
                                  <w:lang w:val="en-US" w:eastAsia="zh-CN"/>
                                </w:rPr>
                                <w:t>组织评价</w:t>
                              </w:r>
                            </w:p>
                            <w:p w14:paraId="3BB60D78">
                              <w:pPr>
                                <w:keepNext w:val="0"/>
                                <w:keepLines w:val="0"/>
                                <w:pageBreakBefore w:val="0"/>
                                <w:widowControl w:val="0"/>
                                <w:kinsoku/>
                                <w:wordWrap/>
                                <w:overflowPunct/>
                                <w:topLinePunct w:val="0"/>
                                <w:bidi w:val="0"/>
                                <w:snapToGrid/>
                                <w:spacing w:line="200" w:lineRule="exact"/>
                                <w:ind w:firstLine="0" w:firstLineChars="0"/>
                                <w:jc w:val="center"/>
                                <w:textAlignment w:val="auto"/>
                                <w:rPr>
                                  <w:sz w:val="15"/>
                                  <w:szCs w:val="15"/>
                                </w:rPr>
                              </w:pPr>
                            </w:p>
                          </w:txbxContent>
                        </wps:txbx>
                        <wps:bodyPr anchor="ctr" anchorCtr="0" upright="1"/>
                      </wps:wsp>
                      <wps:wsp>
                        <wps:cNvPr id="38" name="直接箭头连接符 33"/>
                        <wps:cNvCnPr/>
                        <wps:spPr>
                          <a:xfrm flipH="1">
                            <a:off x="4114100" y="2057537"/>
                            <a:ext cx="617300" cy="0"/>
                          </a:xfrm>
                          <a:prstGeom prst="straightConnector1">
                            <a:avLst/>
                          </a:prstGeom>
                          <a:ln w="9525" cap="flat" cmpd="sng">
                            <a:solidFill>
                              <a:srgbClr val="000000"/>
                            </a:solidFill>
                            <a:prstDash val="solid"/>
                            <a:headEnd type="none" w="med" len="med"/>
                            <a:tailEnd type="triangle" w="med" len="med"/>
                          </a:ln>
                        </wps:spPr>
                        <wps:bodyPr/>
                      </wps:wsp>
                      <wps:wsp>
                        <wps:cNvPr id="39" name="直接箭头连接符 34"/>
                        <wps:cNvCnPr/>
                        <wps:spPr>
                          <a:xfrm flipH="1">
                            <a:off x="2597700" y="2057437"/>
                            <a:ext cx="611600" cy="0"/>
                          </a:xfrm>
                          <a:prstGeom prst="straightConnector1">
                            <a:avLst/>
                          </a:prstGeom>
                          <a:ln w="9525" cap="flat" cmpd="sng">
                            <a:solidFill>
                              <a:srgbClr val="000000"/>
                            </a:solidFill>
                            <a:prstDash val="solid"/>
                            <a:headEnd type="none" w="med" len="med"/>
                            <a:tailEnd type="triangle" w="med" len="med"/>
                          </a:ln>
                        </wps:spPr>
                        <wps:bodyPr/>
                      </wps:wsp>
                      <wps:wsp>
                        <wps:cNvPr id="41" name="矩形 41"/>
                        <wps:cNvSpPr/>
                        <wps:spPr>
                          <a:xfrm>
                            <a:off x="3372500" y="898560"/>
                            <a:ext cx="843900" cy="25211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64C31F">
                              <w:pPr>
                                <w:keepNext w:val="0"/>
                                <w:keepLines w:val="0"/>
                                <w:pageBreakBefore w:val="0"/>
                                <w:widowControl w:val="0"/>
                                <w:kinsoku/>
                                <w:wordWrap/>
                                <w:overflowPunct/>
                                <w:topLinePunct w:val="0"/>
                                <w:bidi w:val="0"/>
                                <w:snapToGrid/>
                                <w:spacing w:line="200" w:lineRule="exact"/>
                                <w:ind w:firstLine="0" w:firstLineChars="0"/>
                                <w:jc w:val="center"/>
                                <w:textAlignment w:val="auto"/>
                                <w:rPr>
                                  <w:sz w:val="15"/>
                                  <w:szCs w:val="15"/>
                                </w:rPr>
                              </w:pPr>
                              <w:r>
                                <w:rPr>
                                  <w:rFonts w:hint="eastAsia"/>
                                  <w:sz w:val="15"/>
                                  <w:szCs w:val="15"/>
                                </w:rPr>
                                <w:t>受理评价委托</w:t>
                              </w:r>
                            </w:p>
                          </w:txbxContent>
                        </wps:txbx>
                        <wps:bodyPr upright="1"/>
                      </wps:wsp>
                    </wpc:wpc>
                  </a:graphicData>
                </a:graphic>
              </wp:inline>
            </w:drawing>
          </mc:Choice>
          <mc:Fallback>
            <w:pict>
              <v:group id="_x0000_s1026" o:spid="_x0000_s1026" o:spt="203" style="height:189.8pt;width:451pt;" coordsize="5727700,2410460" editas="canvas" o:gfxdata="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">
                <o:lock v:ext="edit" aspectratio="f"/>
                <v:shape id="_x0000_s1026" o:spid="_x0000_s1026" style="position:absolute;left:0;top:0;height:2410460;width:5727700;" filled="f" stroked="f" coordsize="21600,21600" o:gfxdata="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">
                  <v:fill on="f" focussize="0,0"/>
                  <v:stroke on="f"/>
                  <v:imagedata o:title=""/>
                  <o:lock v:ext="edit" aspectratio="t"/>
                </v:shape>
                <v:shape id="流程图: 终止 12" o:spid="_x0000_s1026" o:spt="116" type="#_x0000_t116" style="position:absolute;left:386100;top:898560;height:252117;width:852800;v-text-anchor:middle;" fillcolor="#FFFFFF" filled="t" stroked="t" coordsize="21600,21600" o:gfxdata="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lTSYVNYAAAAFAQAADwAAAAAAAAABACAAAAAi&#10;AAAAZHJzL2Rvd25yZXYueG1sUEsBAhQAFAAAAAgAh07iQPHwSYdFAgAAjQQAAA4AAAAAAAAAAQAg&#10;AAAAJQEAAGRycy9lMm9Eb2MueG1sUEsFBgAAAAAGAAYAWQEAANwFAAAAAA==&#10;">
                  <v:fill on="t" focussize="0,0"/>
                  <v:stroke color="#000000" joinstyle="miter"/>
                  <v:imagedata o:title=""/>
                  <o:lock v:ext="edit" aspectratio="f"/>
                  <v:textbox inset="0mm,0mm,0mm,0mm">
                    <w:txbxContent>
                      <w:p w14:paraId="019FDA39">
                        <w:pPr>
                          <w:keepNext w:val="0"/>
                          <w:keepLines w:val="0"/>
                          <w:pageBreakBefore w:val="0"/>
                          <w:widowControl w:val="0"/>
                          <w:kinsoku/>
                          <w:wordWrap/>
                          <w:overflowPunct/>
                          <w:topLinePunct w:val="0"/>
                          <w:bidi w:val="0"/>
                          <w:adjustRightInd w:val="0"/>
                          <w:snapToGrid/>
                          <w:spacing w:line="240" w:lineRule="auto"/>
                          <w:ind w:firstLine="0" w:firstLineChars="0"/>
                          <w:jc w:val="center"/>
                          <w:textAlignment w:val="auto"/>
                          <w:rPr>
                            <w:sz w:val="15"/>
                            <w:szCs w:val="15"/>
                          </w:rPr>
                        </w:pPr>
                        <w:r>
                          <w:rPr>
                            <w:rFonts w:hint="eastAsia"/>
                            <w:sz w:val="15"/>
                            <w:szCs w:val="15"/>
                          </w:rPr>
                          <w:t>确定评价机构</w:t>
                        </w:r>
                      </w:p>
                    </w:txbxContent>
                  </v:textbox>
                </v:shape>
                <v:rect id="矩形 13" o:spid="_x0000_s1026" o:spt="1" style="position:absolute;left:4731400;top:1931728;height:252117;width:904200;" fillcolor="#FFFFFF" filled="t" stroked="t" coordsize="21600,21600" o:gfxdata="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tmvhRtQAAAAFAQAADwAAAAAAAAABACAAAAAi&#10;AAAAZHJzL2Rvd25yZXYueG1sUEsBAhQAFAAAAAgAh07iQMXE0nkOAgAANgQAAA4AAAAAAAAAAQAg&#10;AAAAIwEAAGRycy9lMm9Eb2MueG1sUEsFBgAAAAAGAAYAWQEAAKMFAAAAAA==&#10;">
                  <v:fill on="t" focussize="0,0"/>
                  <v:stroke color="#000000" joinstyle="miter"/>
                  <v:imagedata o:title=""/>
                  <o:lock v:ext="edit" aspectratio="f"/>
                  <v:textbox>
                    <w:txbxContent>
                      <w:p w14:paraId="5A119D73">
                        <w:pPr>
                          <w:keepNext w:val="0"/>
                          <w:keepLines w:val="0"/>
                          <w:pageBreakBefore w:val="0"/>
                          <w:widowControl w:val="0"/>
                          <w:kinsoku/>
                          <w:wordWrap/>
                          <w:overflowPunct/>
                          <w:topLinePunct w:val="0"/>
                          <w:bidi w:val="0"/>
                          <w:snapToGrid/>
                          <w:spacing w:line="200" w:lineRule="exact"/>
                          <w:ind w:firstLine="0" w:firstLineChars="0"/>
                          <w:jc w:val="center"/>
                          <w:textAlignment w:val="auto"/>
                          <w:rPr>
                            <w:rFonts w:hint="default" w:eastAsia="宋体"/>
                            <w:sz w:val="15"/>
                            <w:szCs w:val="15"/>
                            <w:lang w:val="en-US" w:eastAsia="zh-CN"/>
                          </w:rPr>
                        </w:pPr>
                        <w:r>
                          <w:rPr>
                            <w:rFonts w:hint="eastAsia"/>
                            <w:sz w:val="15"/>
                            <w:szCs w:val="15"/>
                            <w:lang w:val="en-US" w:eastAsia="zh-CN"/>
                          </w:rPr>
                          <w:t>组建评价工作组</w:t>
                        </w:r>
                      </w:p>
                    </w:txbxContent>
                  </v:textbox>
                </v:rect>
                <v:rect id="_x0000_s1026" o:spid="_x0000_s1026" o:spt="1" style="position:absolute;left:1700500;top:1931728;height:252117;width:897300;v-text-anchor:middle;" fillcolor="#FFFFFF" filled="t" stroked="t" coordsize="21600,21600" o:gfxdata="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ukoP31gAAAAUBAAAP&#10;AAAAAAAAAAEAIAAAACIAAABkcnMvZG93bnJldi54bWxQSwECFAAUAAAACACHTuJAVPtE3hoCAABR&#10;BAAADgAAAAAAAAABACAAAAAlAQAAZHJzL2Uyb0RvYy54bWxQSwUGAAAAAAYABgBZAQAAsQUAAAAA&#10;">
                  <v:fill on="t" focussize="0,0"/>
                  <v:stroke color="#000000" joinstyle="miter"/>
                  <v:imagedata o:title=""/>
                  <o:lock v:ext="edit" aspectratio="f"/>
                  <v:textbox>
                    <w:txbxContent>
                      <w:p w14:paraId="0D763A04">
                        <w:pPr>
                          <w:pStyle w:val="11"/>
                          <w:keepNext w:val="0"/>
                          <w:keepLines w:val="0"/>
                          <w:pageBreakBefore w:val="0"/>
                          <w:widowControl w:val="0"/>
                          <w:kinsoku/>
                          <w:wordWrap/>
                          <w:overflowPunct/>
                          <w:topLinePunct w:val="0"/>
                          <w:bidi w:val="0"/>
                          <w:snapToGrid/>
                          <w:spacing w:before="0" w:beforeAutospacing="0" w:after="0" w:afterAutospacing="0" w:line="200" w:lineRule="exact"/>
                          <w:ind w:firstLine="0" w:firstLineChars="0"/>
                          <w:jc w:val="center"/>
                          <w:textAlignment w:val="auto"/>
                          <w:rPr>
                            <w:rFonts w:hint="eastAsia" w:eastAsia="宋体"/>
                            <w:lang w:val="en-US" w:eastAsia="zh-CN"/>
                          </w:rPr>
                        </w:pPr>
                        <w:r>
                          <w:rPr>
                            <w:rFonts w:hint="eastAsia" w:ascii="Calibri" w:cs="Times New Roman"/>
                            <w:kern w:val="2"/>
                            <w:sz w:val="15"/>
                            <w:szCs w:val="15"/>
                          </w:rPr>
                          <w:t>形成评价</w:t>
                        </w:r>
                        <w:r>
                          <w:rPr>
                            <w:rFonts w:hint="eastAsia" w:ascii="Calibri" w:cs="Times New Roman"/>
                            <w:kern w:val="2"/>
                            <w:sz w:val="15"/>
                            <w:szCs w:val="15"/>
                            <w:lang w:val="en-US" w:eastAsia="zh-CN"/>
                          </w:rPr>
                          <w:t>报告</w:t>
                        </w:r>
                      </w:p>
                    </w:txbxContent>
                  </v:textbox>
                </v:rect>
                <v:shape id="_x0000_s1026" o:spid="_x0000_s1026" o:spt="116" type="#_x0000_t116" style="position:absolute;left:386100;top:1931728;height:252117;width:853400;v-text-anchor:middle;" fillcolor="#FFFFFF" filled="t" stroked="t" coordsize="21600,21600" o:gfxdata="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lTSYVNYAAAAFAQAADwAAAAAAAAABACAA&#10;AAAiAAAAZHJzL2Rvd25yZXYueG1sUEsBAhQAFAAAAAgAh07iQPIocqFIAgAAjgQAAA4AAAAAAAAA&#10;AQAgAAAAJQEAAGRycy9lMm9Eb2MueG1sUEsFBgAAAAAGAAYAWQEAAN8FAAAAAA==&#10;">
                  <v:fill on="t" focussize="0,0"/>
                  <v:stroke color="#000000" joinstyle="miter"/>
                  <v:imagedata o:title=""/>
                  <o:lock v:ext="edit" aspectratio="f"/>
                  <v:textbox inset="0mm,0mm,0mm,0mm">
                    <w:txbxContent>
                      <w:p w14:paraId="7B25FC74">
                        <w:pPr>
                          <w:keepNext w:val="0"/>
                          <w:keepLines w:val="0"/>
                          <w:pageBreakBefore w:val="0"/>
                          <w:widowControl w:val="0"/>
                          <w:kinsoku/>
                          <w:wordWrap/>
                          <w:overflowPunct/>
                          <w:topLinePunct w:val="0"/>
                          <w:bidi w:val="0"/>
                          <w:adjustRightInd w:val="0"/>
                          <w:snapToGrid/>
                          <w:spacing w:line="240" w:lineRule="auto"/>
                          <w:ind w:firstLine="0" w:firstLineChars="0"/>
                          <w:jc w:val="center"/>
                          <w:textAlignment w:val="auto"/>
                          <w:rPr>
                            <w:sz w:val="15"/>
                            <w:szCs w:val="15"/>
                          </w:rPr>
                        </w:pPr>
                        <w:r>
                          <w:rPr>
                            <w:rFonts w:hint="eastAsia"/>
                            <w:sz w:val="15"/>
                            <w:szCs w:val="15"/>
                          </w:rPr>
                          <w:t>评价完成</w:t>
                        </w:r>
                      </w:p>
                    </w:txbxContent>
                  </v:textbox>
                </v:shape>
                <v:shape id="_x0000_s1026" o:spid="_x0000_s1026" o:spt="34" type="#_x0000_t34" style="position:absolute;left:1238900;top:840156;flip:y;height:184112;width:547400;" filled="f" stroked="t" coordsize="21600,21600" o:gfxdata="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EQ5S37UAAAABQEAAA8AAAAAAAAAAQAgAAAAIgAAAGRycy9kb3ducmV2LnhtbFBLAQIU&#10;ABQAAAAIAIdO4kAVkkNBMAIAADgEAAAOAAAAAAAAAAEAIAAAACMBAABkcnMvZTJvRG9jLnhtbFBL&#10;BQYAAAAABgAGAFkBAADFBQAAAAA=&#10;" adj="10800">
                  <v:fill on="f" focussize="0,0"/>
                  <v:stroke color="#000000" joinstyle="round" endarrow="block"/>
                  <v:imagedata o:title=""/>
                  <o:lock v:ext="edit" aspectratio="f"/>
                </v:shape>
                <v:shape id="肘形连接符 22" o:spid="_x0000_s1026" o:spt="34" type="#_x0000_t34" style="position:absolute;left:1238900;top:1024268;height:165111;width:557500;" filled="f" stroked="t" coordsize="21600,21600" o:gfxdata="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qIXpY9UAAAAFAQAADwAAAAAAAAABACAAAAAiAAAAZHJzL2Rvd25yZXYueG1sUEsBAhQAFAAA&#10;AAgAh07iQCq1r+IrAgAALwQAAA4AAAAAAAAAAQAgAAAAJAEAAGRycy9lMm9Eb2MueG1sUEsFBgAA&#10;AAAGAAYAWQEAAMEFAAAAAA==&#10;" adj="10554">
                  <v:fill on="f" focussize="0,0"/>
                  <v:stroke color="#000000" joinstyle="round" endarrow="block"/>
                  <v:imagedata o:title=""/>
                  <o:lock v:ext="edit" aspectratio="f"/>
                </v:shape>
                <v:rect id="矩形 23" o:spid="_x0000_s1026" o:spt="1" style="position:absolute;left:1786300;top:718848;height:252117;width:882000;" fillcolor="#FFFFFF" filled="t" stroked="t" coordsize="21600,21600" o:gfxdata="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2a+FG1AAAAAUBAAAPAAAAAAAAAAEAIAAA&#10;ACIAAABkcnMvZG93bnJldi54bWxQSwECFAAUAAAACACHTuJAi01JSRACAAA1BAAADgAAAAAAAAAB&#10;ACAAAAAjAQAAZHJzL2Uyb0RvYy54bWxQSwUGAAAAAAYABgBZAQAApQUAAAAA&#10;">
                  <v:fill on="t" focussize="0,0"/>
                  <v:stroke color="#000000" joinstyle="miter"/>
                  <v:imagedata o:title=""/>
                  <o:lock v:ext="edit" aspectratio="f"/>
                  <v:textbox>
                    <w:txbxContent>
                      <w:p w14:paraId="15A02787">
                        <w:pPr>
                          <w:keepNext w:val="0"/>
                          <w:keepLines w:val="0"/>
                          <w:pageBreakBefore w:val="0"/>
                          <w:widowControl w:val="0"/>
                          <w:kinsoku/>
                          <w:wordWrap/>
                          <w:overflowPunct/>
                          <w:topLinePunct w:val="0"/>
                          <w:bidi w:val="0"/>
                          <w:snapToGrid/>
                          <w:spacing w:line="200" w:lineRule="exact"/>
                          <w:ind w:firstLine="0" w:firstLineChars="0"/>
                          <w:jc w:val="center"/>
                          <w:textAlignment w:val="auto"/>
                          <w:rPr>
                            <w:sz w:val="15"/>
                            <w:szCs w:val="15"/>
                          </w:rPr>
                        </w:pPr>
                        <w:r>
                          <w:rPr>
                            <w:rFonts w:hint="eastAsia"/>
                            <w:sz w:val="15"/>
                            <w:szCs w:val="15"/>
                          </w:rPr>
                          <w:t>提交评价申请表</w:t>
                        </w:r>
                      </w:p>
                    </w:txbxContent>
                  </v:textbox>
                </v:rect>
                <v:rect id="_x0000_s1026" o:spid="_x0000_s1026" o:spt="1" style="position:absolute;left:1786300;top:1071271;height:239416;width:880700;" fillcolor="#FFFFFF" filled="t" stroked="t" coordsize="21600,21600" o:gfxdata="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Zr4UbUAAAABQEAAA8AAAAAAAAAAQAgAAAAIgAA&#10;AGRycy9kb3ducmV2LnhtbFBLAQIUABQAAAAIAIdO4kB8Bgf9DAIAADYEAAAOAAAAAAAAAAEAIAAA&#10;ACMBAABkcnMvZTJvRG9jLnhtbFBLBQYAAAAABgAGAFkBAAChBQAAAAA=&#10;">
                  <v:fill on="t" focussize="0,0"/>
                  <v:stroke color="#000000" joinstyle="miter"/>
                  <v:imagedata o:title=""/>
                  <o:lock v:ext="edit" aspectratio="f"/>
                  <v:textbox>
                    <w:txbxContent>
                      <w:p w14:paraId="6B09F10D">
                        <w:pPr>
                          <w:keepNext w:val="0"/>
                          <w:keepLines w:val="0"/>
                          <w:pageBreakBefore w:val="0"/>
                          <w:widowControl w:val="0"/>
                          <w:kinsoku/>
                          <w:wordWrap/>
                          <w:overflowPunct/>
                          <w:topLinePunct w:val="0"/>
                          <w:bidi w:val="0"/>
                          <w:snapToGrid/>
                          <w:spacing w:line="200" w:lineRule="exact"/>
                          <w:ind w:firstLine="0" w:firstLineChars="0"/>
                          <w:jc w:val="center"/>
                          <w:textAlignment w:val="auto"/>
                          <w:rPr>
                            <w:sz w:val="15"/>
                            <w:szCs w:val="15"/>
                          </w:rPr>
                        </w:pPr>
                        <w:r>
                          <w:rPr>
                            <w:rFonts w:hint="eastAsia"/>
                            <w:sz w:val="15"/>
                            <w:szCs w:val="15"/>
                          </w:rPr>
                          <w:t>提供佐证材料</w:t>
                        </w:r>
                      </w:p>
                    </w:txbxContent>
                  </v:textbox>
                </v:rect>
                <v:shape id="_x0000_s1026" o:spid="_x0000_s1026" o:spt="34" type="#_x0000_t34" style="position:absolute;left:2677200;top:814854;height:210214;width:695300;" filled="f" stroked="t" coordsize="21600,21600" o:gfxdata="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DwHt/1QAAAAUBAAAPAAAAAAAAAAEAIAAAACIAAABkcnMvZG93bnJldi54bWxQSwECFAAUAAAA&#10;CACHTuJAVvUNcSoCAAAuBAAADgAAAAAAAAABACAAAAAkAQAAZHJzL2Uyb0RvYy54bWxQSwUGAAAA&#10;AAYABgBZAQAAwAUAAAAA&#10;" adj="10810">
                  <v:fill on="f" focussize="0,0"/>
                  <v:stroke color="#000000" joinstyle="round" endarrow="block"/>
                  <v:imagedata o:title=""/>
                  <o:lock v:ext="edit" aspectratio="f"/>
                </v:shape>
                <v:shape id="肘形连接符 26" o:spid="_x0000_s1026" o:spt="34" type="#_x0000_t34" style="position:absolute;left:2667000;top:1024968;flip:y;height:166311;width:705500;" filled="f" stroked="t" coordsize="21600,21600" o:gfxdata="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G7AwXdUAAAAFAQAADwAAAAAAAAABACAAAAAiAAAAZHJzL2Rvd25yZXYueG1sUEsBAhQAFAAA&#10;AAgAh07iQHxxqs8rAgAANQQAAA4AAAAAAAAAAQAgAAAAJAEAAGRycy9lMm9Eb2MueG1sUEsFBgAA&#10;AAAGAAYAWQEAAMEFAAAAAA==&#10;" adj="10810">
                  <v:fill on="f" focussize="0,0"/>
                  <v:stroke color="#000000" joinstyle="round"/>
                  <v:imagedata o:title=""/>
                  <o:lock v:ext="edit" aspectratio="f"/>
                </v:shape>
                <v:shape id="_x0000_s1026" o:spid="_x0000_s1026" o:spt="32" type="#_x0000_t32" style="position:absolute;left:4221500;top:1021768;height:6300;width:542900;" filled="f" stroked="t" coordsize="21600,21600" o:gfxdata="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EFxz21gAAAAUBAAAPAAAAAAAA&#10;AAEAIAAAACIAAABkcnMvZG93bnJldi54bWxQSwECFAAUAAAACACHTuJAicu1qRQCAAAABAAADgAA&#10;AAAAAAABACAAAAAlAQAAZHJzL2Uyb0RvYy54bWxQSwUGAAAAAAYABgBZAQAAqwUAAAAA&#10;">
                  <v:fill on="f" focussize="0,0"/>
                  <v:stroke color="#000000" joinstyle="round" endarrow="block"/>
                  <v:imagedata o:title=""/>
                  <o:lock v:ext="edit" aspectratio="f"/>
                </v:shape>
                <v:rect id="_x0000_s1026" o:spid="_x0000_s1026" o:spt="1" style="position:absolute;left:4763100;top:898560;height:252117;width:844000;" fillcolor="#FFFFFF" filled="t" stroked="t" coordsize="21600,21600" o:gfxdata="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Zr4UbUAAAABQEAAA8AAAAAAAAAAQAgAAAA&#10;IgAAAGRycy9kb3ducmV2LnhtbFBLAQIUABQAAAAIAIdO4kD5DMgeDwIAADUEAAAOAAAAAAAAAAEA&#10;IAAAACMBAABkcnMvZTJvRG9jLnhtbFBLBQYAAAAABgAGAFkBAACkBQAAAAA=&#10;">
                  <v:fill on="t" focussize="0,0"/>
                  <v:stroke color="#000000" joinstyle="miter"/>
                  <v:imagedata o:title=""/>
                  <o:lock v:ext="edit" aspectratio="f"/>
                  <v:textbox>
                    <w:txbxContent>
                      <w:p w14:paraId="1DDD48DE">
                        <w:pPr>
                          <w:keepNext w:val="0"/>
                          <w:keepLines w:val="0"/>
                          <w:pageBreakBefore w:val="0"/>
                          <w:widowControl w:val="0"/>
                          <w:kinsoku/>
                          <w:wordWrap/>
                          <w:overflowPunct/>
                          <w:topLinePunct w:val="0"/>
                          <w:bidi w:val="0"/>
                          <w:snapToGrid/>
                          <w:spacing w:line="200" w:lineRule="exact"/>
                          <w:ind w:firstLine="0" w:firstLineChars="0"/>
                          <w:jc w:val="center"/>
                          <w:textAlignment w:val="auto"/>
                          <w:rPr>
                            <w:rFonts w:hint="default" w:eastAsia="宋体"/>
                            <w:sz w:val="15"/>
                            <w:szCs w:val="15"/>
                            <w:lang w:val="en-US" w:eastAsia="zh-CN"/>
                          </w:rPr>
                        </w:pPr>
                        <w:r>
                          <w:rPr>
                            <w:rFonts w:hint="eastAsia"/>
                            <w:sz w:val="15"/>
                            <w:szCs w:val="15"/>
                            <w:lang w:val="en-US" w:eastAsia="zh-CN"/>
                          </w:rPr>
                          <w:t>制定评价方案</w:t>
                        </w:r>
                      </w:p>
                    </w:txbxContent>
                  </v:textbox>
                </v:rect>
                <v:shape id="直接箭头连接符 29" o:spid="_x0000_s1026" o:spt="32" type="#_x0000_t32" style="position:absolute;left:5177800;top:1185579;height:757550;width:5700;" filled="f" stroked="t" coordsize="21600,21600" o:gfxdata="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BBcc9tYAAAAFAQAADwAAAAAA&#10;AAABACAAAAAiAAAAZHJzL2Rvd25yZXYueG1sUEsBAhQAFAAAAAgAh07iQFx+PFwVAgAAAAQAAA4A&#10;AAAAAAAAAQAgAAAAJQEAAGRycy9lMm9Eb2MueG1sUEsFBgAAAAAGAAYAWQEAAKwFAAAAAA==&#10;">
                  <v:fill on="f" focussize="0,0"/>
                  <v:stroke color="#000000" joinstyle="round" endarrow="block"/>
                  <v:imagedata o:title=""/>
                  <o:lock v:ext="edit" aspectratio="f"/>
                </v:shape>
                <v:shape id="直接箭头连接符 30" o:spid="_x0000_s1026" o:spt="32" type="#_x0000_t32" style="position:absolute;left:1239500;top:2057537;flip:x;height:0;width:461100;" filled="f" stroked="t" coordsize="21600,21600" o:gfxdata="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DSLNIjWAAAABQEAAA8A&#10;AAAAAAAAAQAgAAAAIgAAAGRycy9kb3ducmV2LnhtbFBLAQIUABQAAAAIAIdO4kCWkMgMGQIAAAcE&#10;AAAOAAAAAAAAAAEAIAAAACUBAABkcnMvZTJvRG9jLnhtbFBLBQYAAAAABgAGAFkBAACwBQAAAAA=&#10;">
                  <v:fill on="f" focussize="0,0"/>
                  <v:stroke color="#000000" joinstyle="round" endarrow="block"/>
                  <v:imagedata o:title=""/>
                  <o:lock v:ext="edit" aspectratio="f"/>
                </v:shape>
                <v:rect id="矩形 32" o:spid="_x0000_s1026" o:spt="1" style="position:absolute;left:3209300;top:1931728;height:251517;width:904800;v-text-anchor:middle;" fillcolor="#FFFFFF" filled="t" stroked="t" coordsize="21600,21600" o:gfxdata="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G6Sg/fWAAAABQEA&#10;AA8AAAAAAAAAAQAgAAAAIgAAAGRycy9kb3ducmV2LnhtbFBLAQIUABQAAAAIAIdO4kCcH7/tHAIA&#10;AFEEAAAOAAAAAAAAAAEAIAAAACUBAABkcnMvZTJvRG9jLnhtbFBLBQYAAAAABgAGAFkBAACzBQAA&#10;AAA=&#10;">
                  <v:fill on="t" focussize="0,0"/>
                  <v:stroke color="#000000" joinstyle="miter"/>
                  <v:imagedata o:title=""/>
                  <o:lock v:ext="edit" aspectratio="f"/>
                  <v:textbox>
                    <w:txbxContent>
                      <w:p w14:paraId="395B2023">
                        <w:pPr>
                          <w:keepNext w:val="0"/>
                          <w:keepLines w:val="0"/>
                          <w:pageBreakBefore w:val="0"/>
                          <w:widowControl w:val="0"/>
                          <w:kinsoku/>
                          <w:wordWrap/>
                          <w:overflowPunct/>
                          <w:topLinePunct w:val="0"/>
                          <w:bidi w:val="0"/>
                          <w:snapToGrid/>
                          <w:spacing w:line="200" w:lineRule="exact"/>
                          <w:ind w:firstLine="0" w:firstLineChars="0"/>
                          <w:jc w:val="center"/>
                          <w:textAlignment w:val="auto"/>
                          <w:rPr>
                            <w:rFonts w:hint="default" w:eastAsia="宋体"/>
                            <w:sz w:val="15"/>
                            <w:szCs w:val="15"/>
                            <w:lang w:val="en-US" w:eastAsia="zh-CN"/>
                          </w:rPr>
                        </w:pPr>
                        <w:r>
                          <w:rPr>
                            <w:rFonts w:hint="eastAsia"/>
                            <w:sz w:val="15"/>
                            <w:szCs w:val="15"/>
                            <w:lang w:val="en-US" w:eastAsia="zh-CN"/>
                          </w:rPr>
                          <w:t>组织评价</w:t>
                        </w:r>
                      </w:p>
                      <w:p w14:paraId="3BB60D78">
                        <w:pPr>
                          <w:keepNext w:val="0"/>
                          <w:keepLines w:val="0"/>
                          <w:pageBreakBefore w:val="0"/>
                          <w:widowControl w:val="0"/>
                          <w:kinsoku/>
                          <w:wordWrap/>
                          <w:overflowPunct/>
                          <w:topLinePunct w:val="0"/>
                          <w:bidi w:val="0"/>
                          <w:snapToGrid/>
                          <w:spacing w:line="200" w:lineRule="exact"/>
                          <w:ind w:firstLine="0" w:firstLineChars="0"/>
                          <w:jc w:val="center"/>
                          <w:textAlignment w:val="auto"/>
                          <w:rPr>
                            <w:sz w:val="15"/>
                            <w:szCs w:val="15"/>
                          </w:rPr>
                        </w:pPr>
                      </w:p>
                    </w:txbxContent>
                  </v:textbox>
                </v:rect>
                <v:shape id="直接箭头连接符 33" o:spid="_x0000_s1026" o:spt="32" type="#_x0000_t32" style="position:absolute;left:4114100;top:2057537;flip:x;height:0;width:617300;" filled="f" stroked="t" coordsize="21600,21600" o:gfxdata="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DSLNIjWAAAABQEA&#10;AA8AAAAAAAAAAQAgAAAAIgAAAGRycy9kb3ducmV2LnhtbFBLAQIUABQAAAAIAIdO4kDgll11HAIA&#10;AAcEAAAOAAAAAAAAAAEAIAAAACUBAABkcnMvZTJvRG9jLnhtbFBLBQYAAAAABgAGAFkBAACzBQAA&#10;AAA=&#10;">
                  <v:fill on="f" focussize="0,0"/>
                  <v:stroke color="#000000" joinstyle="round" endarrow="block"/>
                  <v:imagedata o:title=""/>
                  <o:lock v:ext="edit" aspectratio="f"/>
                </v:shape>
                <v:shape id="直接箭头连接符 34" o:spid="_x0000_s1026" o:spt="32" type="#_x0000_t32" style="position:absolute;left:2597700;top:2057437;flip:x;height:0;width:611600;" filled="f" stroked="t" coordsize="21600,21600" o:gfxdata="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DSLNIjWAAAABQEA&#10;AA8AAAAAAAAAAQAgAAAAIgAAAGRycy9kb3ducmV2LnhtbFBLAQIUABQAAAAIAIdO4kA8v8Q1HAIA&#10;AAcEAAAOAAAAAAAAAAEAIAAAACUBAABkcnMvZTJvRG9jLnhtbFBLBQYAAAAABgAGAFkBAACzBQAA&#10;AAA=&#10;">
                  <v:fill on="f" focussize="0,0"/>
                  <v:stroke color="#000000" joinstyle="round" endarrow="block"/>
                  <v:imagedata o:title=""/>
                  <o:lock v:ext="edit" aspectratio="f"/>
                </v:shape>
                <v:rect id="_x0000_s1026" o:spid="_x0000_s1026" o:spt="1" style="position:absolute;left:3372500;top:898560;height:252117;width:843900;" fillcolor="#FFFFFF" filled="t" stroked="t" coordsize="21600,21600" o:gfxdata="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Zr4UbUAAAABQEAAA8AAAAAAAAAAQAgAAAAIgAA&#10;AGRycy9kb3ducmV2LnhtbFBLAQIUABQAAAAIAIdO4kB0wUs/DAIAADUEAAAOAAAAAAAAAAEAIAAA&#10;ACMBAABkcnMvZTJvRG9jLnhtbFBLBQYAAAAABgAGAFkBAAChBQAAAAA=&#10;">
                  <v:fill on="t" focussize="0,0"/>
                  <v:stroke color="#000000" joinstyle="miter"/>
                  <v:imagedata o:title=""/>
                  <o:lock v:ext="edit" aspectratio="f"/>
                  <v:textbox>
                    <w:txbxContent>
                      <w:p w14:paraId="5664C31F">
                        <w:pPr>
                          <w:keepNext w:val="0"/>
                          <w:keepLines w:val="0"/>
                          <w:pageBreakBefore w:val="0"/>
                          <w:widowControl w:val="0"/>
                          <w:kinsoku/>
                          <w:wordWrap/>
                          <w:overflowPunct/>
                          <w:topLinePunct w:val="0"/>
                          <w:bidi w:val="0"/>
                          <w:snapToGrid/>
                          <w:spacing w:line="200" w:lineRule="exact"/>
                          <w:ind w:firstLine="0" w:firstLineChars="0"/>
                          <w:jc w:val="center"/>
                          <w:textAlignment w:val="auto"/>
                          <w:rPr>
                            <w:sz w:val="15"/>
                            <w:szCs w:val="15"/>
                          </w:rPr>
                        </w:pPr>
                        <w:r>
                          <w:rPr>
                            <w:rFonts w:hint="eastAsia"/>
                            <w:sz w:val="15"/>
                            <w:szCs w:val="15"/>
                          </w:rPr>
                          <w:t>受理评价委托</w:t>
                        </w:r>
                      </w:p>
                    </w:txbxContent>
                  </v:textbox>
                </v:rect>
                <w10:wrap type="none"/>
                <w10:anchorlock/>
              </v:group>
            </w:pict>
          </mc:Fallback>
        </mc:AlternateContent>
      </w:r>
    </w:p>
    <w:p w14:paraId="41D2A59C">
      <w:pPr>
        <w:pStyle w:val="46"/>
        <w:bidi w:val="0"/>
        <w:rPr>
          <w:rFonts w:hint="eastAsia"/>
          <w:lang w:val="en-US" w:eastAsia="zh-CN"/>
        </w:rPr>
      </w:pPr>
      <w:r>
        <w:rPr>
          <w:rFonts w:hint="eastAsia"/>
          <w:lang w:val="en-US" w:eastAsia="zh-CN"/>
        </w:rPr>
        <w:t>评价流程</w:t>
      </w:r>
    </w:p>
    <w:p w14:paraId="669E96F6">
      <w:pPr>
        <w:pStyle w:val="49"/>
        <w:rPr>
          <w:rFonts w:hint="eastAsia"/>
          <w:color w:val="000000" w:themeColor="text1"/>
          <w:sz w:val="36"/>
          <w:szCs w:val="36"/>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w:t>
      </w:r>
      <w:r>
        <w:rPr>
          <w:rFonts w:hint="eastAsia"/>
          <w:color w:val="000000" w:themeColor="text1"/>
          <w:sz w:val="36"/>
          <w:szCs w:val="36"/>
          <w:lang w:val="en-US" w:eastAsia="zh-CN"/>
          <w14:textFill>
            <w14:solidFill>
              <w14:schemeClr w14:val="tx1"/>
            </w14:solidFill>
          </w14:textFill>
        </w:rPr>
        <w:t>评价要求</w:t>
      </w:r>
    </w:p>
    <w:p w14:paraId="188ACA22">
      <w:pPr>
        <w:pStyle w:val="49"/>
        <w:rPr>
          <w:rFonts w:hint="eastAsia"/>
          <w:color w:val="000000" w:themeColor="text1"/>
          <w:sz w:val="36"/>
          <w:szCs w:val="36"/>
          <w:lang w:val="en-US" w:eastAsia="zh-CN"/>
          <w14:textFill>
            <w14:solidFill>
              <w14:schemeClr w14:val="tx1"/>
            </w14:solidFill>
          </w14:textFill>
        </w:rPr>
      </w:pPr>
      <w:r>
        <w:rPr>
          <w:rFonts w:hint="eastAsia"/>
          <w:color w:val="000000" w:themeColor="text1"/>
          <w:sz w:val="36"/>
          <w:szCs w:val="36"/>
          <w:lang w:val="en-US" w:eastAsia="zh-CN"/>
          <w14:textFill>
            <w14:solidFill>
              <w14:schemeClr w14:val="tx1"/>
            </w14:solidFill>
          </w14:textFill>
        </w:rPr>
        <w:t>①确定评价机构</w:t>
      </w:r>
    </w:p>
    <w:p w14:paraId="1D523DB5">
      <w:pPr>
        <w:pStyle w:val="49"/>
        <w:rPr>
          <w:rFonts w:hint="eastAsia"/>
          <w:color w:val="000000" w:themeColor="text1"/>
          <w:sz w:val="36"/>
          <w:szCs w:val="36"/>
          <w:lang w:val="en-US" w:eastAsia="zh-CN"/>
          <w14:textFill>
            <w14:solidFill>
              <w14:schemeClr w14:val="tx1"/>
            </w14:solidFill>
          </w14:textFill>
        </w:rPr>
      </w:pPr>
      <w:r>
        <w:rPr>
          <w:rFonts w:hint="eastAsia"/>
          <w:color w:val="000000" w:themeColor="text1"/>
          <w:sz w:val="36"/>
          <w:szCs w:val="36"/>
          <w:lang w:val="en-US" w:eastAsia="zh-CN"/>
          <w14:textFill>
            <w14:solidFill>
              <w14:schemeClr w14:val="tx1"/>
            </w14:solidFill>
          </w14:textFill>
        </w:rPr>
        <w:t>确定评价机构环节允许作品创作方根据评价目的和需要，自主选择委托第三方机构评价或自行组织开展评价活动。该设置基于农业科普纸媒作品类型的多样性和评价需求的差异性。一方面，农业科普纸媒包括图书、报纸、期刊、手册、挂图、折页等多种载体，创作方可能是科研院所、农业技术推广站、出版社、农民合作社或个体创作者，其评价目的各不相同：有的为申报奖项或项目验收，需要具有公信力的第三方评价报告；有的为内部质量改进，采用自评价即可满足需求。另一方面，农业科普具有较强的地域性和时效性，自行开展评价可快速组织本地专家进行审读和实地验证，节约时间和经费。该设置的优势在于：一是给予创作方灵活性，避免强制委托评价增加负担；二是第三方评价具备客观性和公信力，适合对公申报或市场推广场景；三是自行评价可结合田间实际使用反馈及时调整，适应农业生产季节窗口期短的特点，且评价费用可控。两者并行可满足不同层次、不同场景的评价需求，推动农业科普纸媒作品质量提升。</w:t>
      </w:r>
    </w:p>
    <w:p w14:paraId="5D86C02D">
      <w:pPr>
        <w:pStyle w:val="49"/>
        <w:rPr>
          <w:rFonts w:hint="eastAsia"/>
          <w:color w:val="000000" w:themeColor="text1"/>
          <w:sz w:val="36"/>
          <w:szCs w:val="36"/>
          <w:lang w:val="en-US" w:eastAsia="zh-CN"/>
          <w14:textFill>
            <w14:solidFill>
              <w14:schemeClr w14:val="tx1"/>
            </w14:solidFill>
          </w14:textFill>
        </w:rPr>
      </w:pPr>
      <w:r>
        <w:rPr>
          <w:rFonts w:hint="eastAsia"/>
          <w:color w:val="000000" w:themeColor="text1"/>
          <w:sz w:val="36"/>
          <w:szCs w:val="36"/>
          <w:lang w:val="en-US" w:eastAsia="zh-CN"/>
          <w14:textFill>
            <w14:solidFill>
              <w14:schemeClr w14:val="tx1"/>
            </w14:solidFill>
          </w14:textFill>
        </w:rPr>
        <w:t>②委托与受理</w:t>
      </w:r>
    </w:p>
    <w:p w14:paraId="378D8A9D">
      <w:pPr>
        <w:pStyle w:val="49"/>
        <w:rPr>
          <w:rFonts w:hint="eastAsia"/>
          <w:color w:val="000000" w:themeColor="text1"/>
          <w:sz w:val="36"/>
          <w:szCs w:val="36"/>
          <w:lang w:val="en-US" w:eastAsia="zh-CN"/>
          <w14:textFill>
            <w14:solidFill>
              <w14:schemeClr w14:val="tx1"/>
            </w14:solidFill>
          </w14:textFill>
        </w:rPr>
      </w:pPr>
      <w:r>
        <w:rPr>
          <w:rFonts w:hint="eastAsia"/>
          <w:color w:val="000000" w:themeColor="text1"/>
          <w:sz w:val="36"/>
          <w:szCs w:val="36"/>
          <w:lang w:val="en-US" w:eastAsia="zh-CN"/>
          <w14:textFill>
            <w14:solidFill>
              <w14:schemeClr w14:val="tx1"/>
            </w14:solidFill>
          </w14:textFill>
        </w:rPr>
        <w:t>本标准规定的委托与受理流程包括：申请评价单位提交评价申请表及佐证材料，评价机构基于材料进行合规性审查和可行性分析，协商后决定是否受理，第三方评价时签订合同。该设置旨在规范评价的入口管理，确保只有符合基本条件的作品进入后续评价程序，同时保障双方权益。农业科普纸媒作品的主题和载体差异较大，申请评价的目的也各不相同（如申报奖励、项目验收、内部改进等），因此需要申请单位首先明确评价意向并提交完整材料，以便评价机构判断是否具备评价条件。评价机构通过审核佐证材料（特别是附录A中要求的导向性、科学性等核心指标的初步证据）和合规性审查（如是否存在侵权、伪科学等一票否决项），分析评价的可行性，避免对不符合要求的作品投入评价资源。与申请单位协商受理，可针对作品的特殊性（如适用区域跨度大、季节性指导需要实地验证等）调整评价方案或补充材料要求。当由第三方机构承担委托任务时，建议签订评价合同，明确双方权利义务、评价范围、时间节点、费用及保密条款，为后续可能出现的争议提供法律依据。该流程的优势在于：一是通过前置审查筛除不合规作品，提高评价效率；二是材料清单明确（附录B申请表、附录A佐证材料），可操作性强；三是协商和合同机制保障了评价的专业性和公正性，尤其对于涉及跨区域、多作物类型的复杂作品，可提前约定附加验证措施。此外，农业科普作品常涉及田间应用效果、农民反馈等不易量化的信息，签订合同后便于评价机构必要时追加实地调研或补充调查，确保评价结论的准确性。</w:t>
      </w:r>
    </w:p>
    <w:p w14:paraId="0DBE6846">
      <w:pPr>
        <w:pStyle w:val="49"/>
        <w:rPr>
          <w:rFonts w:hint="eastAsia"/>
          <w:color w:val="000000" w:themeColor="text1"/>
          <w:sz w:val="36"/>
          <w:szCs w:val="36"/>
          <w:lang w:val="en-US" w:eastAsia="zh-CN"/>
          <w14:textFill>
            <w14:solidFill>
              <w14:schemeClr w14:val="tx1"/>
            </w14:solidFill>
          </w14:textFill>
        </w:rPr>
      </w:pPr>
      <w:r>
        <w:rPr>
          <w:rFonts w:hint="eastAsia"/>
          <w:color w:val="000000" w:themeColor="text1"/>
          <w:sz w:val="36"/>
          <w:szCs w:val="36"/>
          <w:lang w:val="en-US" w:eastAsia="zh-CN"/>
          <w14:textFill>
            <w14:solidFill>
              <w14:schemeClr w14:val="tx1"/>
            </w14:solidFill>
          </w14:textFill>
        </w:rPr>
        <w:t>③制定评价方案</w:t>
      </w:r>
    </w:p>
    <w:p w14:paraId="579CADAF">
      <w:pPr>
        <w:pStyle w:val="49"/>
        <w:rPr>
          <w:rFonts w:hint="eastAsia"/>
          <w:color w:val="000000" w:themeColor="text1"/>
          <w:sz w:val="36"/>
          <w:szCs w:val="36"/>
          <w:lang w:val="en-US" w:eastAsia="zh-CN"/>
          <w14:textFill>
            <w14:solidFill>
              <w14:schemeClr w14:val="tx1"/>
            </w14:solidFill>
          </w14:textFill>
        </w:rPr>
      </w:pPr>
      <w:r>
        <w:rPr>
          <w:rFonts w:hint="eastAsia"/>
          <w:color w:val="000000" w:themeColor="text1"/>
          <w:sz w:val="36"/>
          <w:szCs w:val="36"/>
          <w:lang w:val="en-US" w:eastAsia="zh-CN"/>
          <w14:textFill>
            <w14:solidFill>
              <w14:schemeClr w14:val="tx1"/>
            </w14:solidFill>
          </w14:textFill>
        </w:rPr>
        <w:t>制定评价方案环节要求根据评价需求、目的等，明确评价时间、地点、流程等事项。该设置基于农业科普纸媒作品评价的灵活性和具体性需求。不同作品的主题、载体类型、适用区域、目标受众各不相同，评价需求也差异较大（如有的为奖项申报，有的为内部质量改进，有的为大规模推广前的筛选），因此需要事先制定个性化方案。明确评价时间，可确保评价工作与农业生产季节相匹配，例如针对季节性农事指导类作品，评价应及时安排在相应农时之前，以便结论能够用于指导实践。明确评价地点，便于通知专家集中审阅，也有助于对需实地验证的作品（如挂图在田间的可读性、手册的便携性）安排合适的场次。明确评价流程，使评价组、申请单位等相关方清晰了解各环节任务，避免因流程不清导致工作延误或纠纷。该设置的优势在于：一是增强评价的可计划性，避免仓促组织影响质量；二是根据不同作品特点调整方案细节（如对跨区域适用的作品增加多位地域专家的审阅），使评价更具针对性；三是通过提前约定时间、地点、流程，有助于协调各方资源，提高评价效率。此外，农业科普作品常涉及专家实地走访、农户访谈等辅助验证，评价方案中可提前规划此类活动，减少临时协调的困难。</w:t>
      </w:r>
    </w:p>
    <w:p w14:paraId="4BE2F75F">
      <w:pPr>
        <w:pStyle w:val="49"/>
        <w:rPr>
          <w:rFonts w:hint="eastAsia"/>
          <w:color w:val="000000" w:themeColor="text1"/>
          <w:sz w:val="36"/>
          <w:szCs w:val="36"/>
          <w:lang w:val="en-US" w:eastAsia="zh-CN"/>
          <w14:textFill>
            <w14:solidFill>
              <w14:schemeClr w14:val="tx1"/>
            </w14:solidFill>
          </w14:textFill>
        </w:rPr>
      </w:pPr>
      <w:r>
        <w:rPr>
          <w:rFonts w:hint="eastAsia"/>
          <w:color w:val="000000" w:themeColor="text1"/>
          <w:sz w:val="36"/>
          <w:szCs w:val="36"/>
          <w:lang w:val="en-US" w:eastAsia="zh-CN"/>
          <w14:textFill>
            <w14:solidFill>
              <w14:schemeClr w14:val="tx1"/>
            </w14:solidFill>
          </w14:textFill>
        </w:rPr>
        <w:t>④组建评价工作组</w:t>
      </w:r>
    </w:p>
    <w:p w14:paraId="0CE5645F">
      <w:pPr>
        <w:pStyle w:val="49"/>
        <w:rPr>
          <w:rFonts w:hint="eastAsia"/>
          <w:color w:val="000000" w:themeColor="text1"/>
          <w:sz w:val="36"/>
          <w:szCs w:val="36"/>
          <w:lang w:val="en-US" w:eastAsia="zh-CN"/>
          <w14:textFill>
            <w14:solidFill>
              <w14:schemeClr w14:val="tx1"/>
            </w14:solidFill>
          </w14:textFill>
        </w:rPr>
      </w:pPr>
      <w:r>
        <w:rPr>
          <w:rFonts w:hint="eastAsia"/>
          <w:color w:val="000000" w:themeColor="text1"/>
          <w:sz w:val="36"/>
          <w:szCs w:val="36"/>
          <w:lang w:val="en-US" w:eastAsia="zh-CN"/>
          <w14:textFill>
            <w14:solidFill>
              <w14:schemeClr w14:val="tx1"/>
            </w14:solidFill>
          </w14:textFill>
        </w:rPr>
        <w:t>组建评价工作组是保障评价专业性和公正性的核心环节。本标准建议成员人数为奇数且不少于3人，奇数设置可避免表决时出现平局，保证能够形成明确结论；不少于3人则确保评价视角多元，减少个人主观判断偏差。要求至少包含1名农业领域专家，这是因为农业科普纸媒作品涉及作物栽培、植物保护、土壤肥料、农业机械、学名节气等专业内容，非农业专家难以准确判断其科学性和准确性，且农业专家熟悉田间生产实际，能够识别技术指导是否安全可用。建议专家具备中级及以上专业技术职称或从事农业科普等相关工作5年以上，以此验证其专业积累，确保专业能力。要求评价成员与被评价活动无利益关系，防止利益冲突影响公正性，如专家与创作方存在项目合作、亲属关系或竞业关系等均需回避。指定1名组长负责评价实施与报告编写，可使责任明确，保障评价报告的质量和格式统一。所有成员在评价前建议进行评价方法培训，培训内容包括指标含义解释、评分标准统一理解、打分尺度一致性等，这是为了减少因对条款理解不同造成的评分差异，提高评价结果的可比性和可重复性。综上，该设置的优势在于专业力量充足、决策机制合理、利益隔离明确、过程管理规范、结果可信度高，尤其适用于需要同时兼顾科学性和农业生产实用性的评价场景。</w:t>
      </w:r>
    </w:p>
    <w:p w14:paraId="6A959E96">
      <w:pPr>
        <w:pStyle w:val="49"/>
        <w:rPr>
          <w:rFonts w:hint="eastAsia"/>
          <w:color w:val="000000" w:themeColor="text1"/>
          <w:sz w:val="36"/>
          <w:szCs w:val="36"/>
          <w:lang w:val="en-US" w:eastAsia="zh-CN"/>
          <w14:textFill>
            <w14:solidFill>
              <w14:schemeClr w14:val="tx1"/>
            </w14:solidFill>
          </w14:textFill>
        </w:rPr>
      </w:pPr>
      <w:r>
        <w:rPr>
          <w:rFonts w:hint="eastAsia"/>
          <w:color w:val="000000" w:themeColor="text1"/>
          <w:sz w:val="36"/>
          <w:szCs w:val="36"/>
          <w:lang w:val="en-US" w:eastAsia="zh-CN"/>
          <w14:textFill>
            <w14:solidFill>
              <w14:schemeClr w14:val="tx1"/>
            </w14:solidFill>
          </w14:textFill>
        </w:rPr>
        <w:t>⑤组织评价</w:t>
      </w:r>
    </w:p>
    <w:p w14:paraId="63FBEB28">
      <w:pPr>
        <w:pStyle w:val="49"/>
        <w:rPr>
          <w:rFonts w:hint="eastAsia"/>
          <w:color w:val="000000" w:themeColor="text1"/>
          <w:sz w:val="36"/>
          <w:szCs w:val="36"/>
          <w:lang w:val="en-US" w:eastAsia="zh-CN"/>
          <w14:textFill>
            <w14:solidFill>
              <w14:schemeClr w14:val="tx1"/>
            </w14:solidFill>
          </w14:textFill>
        </w:rPr>
      </w:pPr>
      <w:r>
        <w:rPr>
          <w:rFonts w:hint="eastAsia"/>
          <w:color w:val="000000" w:themeColor="text1"/>
          <w:sz w:val="36"/>
          <w:szCs w:val="36"/>
          <w:lang w:val="en-US" w:eastAsia="zh-CN"/>
          <w14:textFill>
            <w14:solidFill>
              <w14:schemeClr w14:val="tx1"/>
            </w14:solidFill>
          </w14:textFill>
        </w:rPr>
        <w:t>组织评价环节是评价实施的核心步骤，要求评价工作组依据附录A规定的评价内容和申请单位提交的佐证材料（如适用区域标注、农时匹配说明、读者反馈数据等），对各项指标逐项进行初步评分。该设置基于农业科普纸媒作品评价的实证性需求，即评价不应仅凭专家印象，需对照具体指标和佐证材料一一核验。初步评分的作用在于：一是通过逐项打分，将评价内容细化为可量化的分值，防止主观笼统评分；二是佐证材料为评分提供客观依据，如田间照片、读者满意度数据可支撑“实用性”“传播性”等指标的评分，减少主观偏差；三是初步评分可在后续集体讨论前形成个人独立判断，为会议评价中的讨论和调整提供基础。该环节的优势在于：评价过程有据可查，评分结果可追溯；各分项得分直观展示作品优劣，便于后续分析和改进；同时适应农业科普作品跨地域、多载体的特点，不同作品可依据同一套指标和针对性佐证材料进行公平比较。因此，本标准将组织评价作为独立环节，确保评价的规范性和可操作性。</w:t>
      </w:r>
    </w:p>
    <w:p w14:paraId="4DAF812F">
      <w:pPr>
        <w:pStyle w:val="49"/>
        <w:rPr>
          <w:rFonts w:hint="eastAsia"/>
          <w:color w:val="000000" w:themeColor="text1"/>
          <w:sz w:val="36"/>
          <w:szCs w:val="36"/>
          <w:lang w:val="en-US" w:eastAsia="zh-CN"/>
          <w14:textFill>
            <w14:solidFill>
              <w14:schemeClr w14:val="tx1"/>
            </w14:solidFill>
          </w14:textFill>
        </w:rPr>
      </w:pPr>
      <w:r>
        <w:rPr>
          <w:rFonts w:hint="eastAsia"/>
          <w:color w:val="000000" w:themeColor="text1"/>
          <w:sz w:val="36"/>
          <w:szCs w:val="36"/>
          <w:lang w:val="en-US" w:eastAsia="zh-CN"/>
          <w14:textFill>
            <w14:solidFill>
              <w14:schemeClr w14:val="tx1"/>
            </w14:solidFill>
          </w14:textFill>
        </w:rPr>
        <w:t>⑥形成评价报告</w:t>
      </w:r>
    </w:p>
    <w:p w14:paraId="5C7EEDDB">
      <w:pPr>
        <w:pStyle w:val="49"/>
        <w:rPr>
          <w:rFonts w:hint="default"/>
          <w:color w:val="000000" w:themeColor="text1"/>
          <w:sz w:val="36"/>
          <w:szCs w:val="36"/>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要求评价报告记载时间、对象、人员、得分、等级、结论及改进建议，以保证可追溯和可核查。农业科普作品常因地域、季节、作物类型不同而有差异，详细记载得分和改进建议，便于创作方针对性修改。改进建议应具体指出不足，避免笼统表述。</w:t>
      </w:r>
    </w:p>
    <w:p w14:paraId="4EA3E05B">
      <w:pPr>
        <w:pStyle w:val="50"/>
        <w:spacing w:before="156" w:after="156"/>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（四）档案管理</w:t>
      </w:r>
    </w:p>
    <w:p w14:paraId="1AB53FF6">
      <w:pPr>
        <w:pStyle w:val="49"/>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要求统一归档纸媒作品、评分表及评价报告，便于查阅和追溯。农业科普作品常因年份、地域、作物不同而内容有别，归档后可用于复查和同类作品对比。</w:t>
      </w:r>
    </w:p>
    <w:p w14:paraId="248D21E7">
      <w:pPr>
        <w:autoSpaceDE w:val="0"/>
        <w:autoSpaceDN w:val="0"/>
        <w:adjustRightInd w:val="0"/>
        <w:spacing w:before="156" w:beforeLines="50" w:after="156" w:afterLines="50" w:line="560" w:lineRule="exact"/>
        <w:ind w:firstLine="640"/>
        <w:jc w:val="left"/>
        <w:rPr>
          <w:rFonts w:ascii="黑体" w:hAnsi="黑体" w:eastAsia="黑体" w:cs="仿宋_GB2312"/>
          <w:color w:val="000000" w:themeColor="text1"/>
          <w:szCs w:val="32"/>
          <w14:textFill>
            <w14:solidFill>
              <w14:schemeClr w14:val="tx1"/>
            </w14:solidFill>
          </w14:textFill>
        </w:rPr>
      </w:pPr>
      <w:bookmarkStart w:id="3" w:name="_Toc526940086"/>
      <w:r>
        <w:rPr>
          <w:rFonts w:hint="eastAsia" w:ascii="黑体" w:hAnsi="黑体" w:eastAsia="黑体" w:cs="仿宋_GB2312"/>
          <w:color w:val="000000" w:themeColor="text1"/>
          <w:szCs w:val="32"/>
          <w14:textFill>
            <w14:solidFill>
              <w14:schemeClr w14:val="tx1"/>
            </w14:solidFill>
          </w14:textFill>
        </w:rPr>
        <w:t>六、</w:t>
      </w:r>
      <w:bookmarkEnd w:id="3"/>
      <w:r>
        <w:rPr>
          <w:rFonts w:hint="eastAsia" w:ascii="黑体" w:hAnsi="黑体" w:eastAsia="黑体" w:cs="仿宋_GB2312"/>
          <w:color w:val="000000" w:themeColor="text1"/>
          <w:szCs w:val="32"/>
          <w14:textFill>
            <w14:solidFill>
              <w14:schemeClr w14:val="tx1"/>
            </w14:solidFill>
          </w14:textFill>
        </w:rPr>
        <w:t>重大分歧意见的处理经过和依据</w:t>
      </w:r>
    </w:p>
    <w:p w14:paraId="50578833">
      <w:pPr>
        <w:pStyle w:val="49"/>
        <w:rPr>
          <w:rFonts w:hint="default"/>
          <w:color w:val="000000" w:themeColor="text1"/>
          <w14:textFill>
            <w14:solidFill>
              <w14:schemeClr w14:val="tx1"/>
            </w14:solidFill>
          </w14:textFill>
        </w:rPr>
      </w:pPr>
      <w:r>
        <w:rPr>
          <w:color w:val="000000" w:themeColor="text1"/>
          <w14:textFill>
            <w14:solidFill>
              <w14:schemeClr w14:val="tx1"/>
            </w14:solidFill>
          </w14:textFill>
        </w:rPr>
        <w:t>本标准研制过程中无重大分歧意见。</w:t>
      </w:r>
    </w:p>
    <w:p w14:paraId="2E78D733">
      <w:pPr>
        <w:autoSpaceDE w:val="0"/>
        <w:autoSpaceDN w:val="0"/>
        <w:adjustRightInd w:val="0"/>
        <w:spacing w:before="156" w:beforeLines="50" w:after="156" w:afterLines="50" w:line="560" w:lineRule="exact"/>
        <w:ind w:firstLine="640"/>
        <w:jc w:val="left"/>
        <w:rPr>
          <w:rFonts w:ascii="黑体" w:hAnsi="黑体" w:eastAsia="黑体" w:cs="仿宋_GB2312"/>
          <w:color w:val="000000" w:themeColor="text1"/>
          <w:szCs w:val="32"/>
          <w14:textFill>
            <w14:solidFill>
              <w14:schemeClr w14:val="tx1"/>
            </w14:solidFill>
          </w14:textFill>
        </w:rPr>
      </w:pPr>
      <w:r>
        <w:rPr>
          <w:rFonts w:hint="eastAsia" w:ascii="黑体" w:hAnsi="黑体" w:eastAsia="黑体" w:cs="仿宋_GB2312"/>
          <w:color w:val="000000" w:themeColor="text1"/>
          <w:szCs w:val="32"/>
          <w14:textFill>
            <w14:solidFill>
              <w14:schemeClr w14:val="tx1"/>
            </w14:solidFill>
          </w14:textFill>
        </w:rPr>
        <w:t>七</w:t>
      </w:r>
      <w:r>
        <w:rPr>
          <w:rFonts w:ascii="黑体" w:hAnsi="黑体" w:eastAsia="黑体" w:cs="仿宋_GB2312"/>
          <w:color w:val="000000" w:themeColor="text1"/>
          <w:szCs w:val="32"/>
          <w14:textFill>
            <w14:solidFill>
              <w14:schemeClr w14:val="tx1"/>
            </w14:solidFill>
          </w14:textFill>
        </w:rPr>
        <w:t>、</w:t>
      </w:r>
      <w:r>
        <w:rPr>
          <w:rFonts w:hint="eastAsia" w:ascii="黑体" w:hAnsi="黑体" w:eastAsia="黑体" w:cs="仿宋_GB2312"/>
          <w:color w:val="000000" w:themeColor="text1"/>
          <w:szCs w:val="32"/>
          <w14:textFill>
            <w14:solidFill>
              <w14:schemeClr w14:val="tx1"/>
            </w14:solidFill>
          </w14:textFill>
        </w:rPr>
        <w:t>实施标准的措施</w:t>
      </w:r>
    </w:p>
    <w:p w14:paraId="02F0A370">
      <w:pPr>
        <w:spacing w:line="560" w:lineRule="exact"/>
        <w:ind w:firstLine="643"/>
        <w:rPr>
          <w:rFonts w:ascii="仿宋_GB2312" w:hAnsi="宋体"/>
          <w:b/>
          <w:color w:val="000000" w:themeColor="text1"/>
          <w:szCs w:val="28"/>
          <w14:textFill>
            <w14:solidFill>
              <w14:schemeClr w14:val="tx1"/>
            </w14:solidFill>
          </w14:textFill>
        </w:rPr>
      </w:pPr>
      <w:r>
        <w:rPr>
          <w:rFonts w:hint="eastAsia" w:ascii="仿宋_GB2312" w:hAnsi="宋体"/>
          <w:b/>
          <w:color w:val="000000" w:themeColor="text1"/>
          <w:szCs w:val="28"/>
          <w14:textFill>
            <w14:solidFill>
              <w14:schemeClr w14:val="tx1"/>
            </w14:solidFill>
          </w14:textFill>
        </w:rPr>
        <w:t>（一）标准报批发布后，成立标准宣贯工作组</w:t>
      </w:r>
    </w:p>
    <w:p w14:paraId="7FE1A2A7">
      <w:pPr>
        <w:pStyle w:val="49"/>
        <w:rPr>
          <w:rFonts w:hint="default"/>
          <w:color w:val="000000" w:themeColor="text1"/>
          <w14:textFill>
            <w14:solidFill>
              <w14:schemeClr w14:val="tx1"/>
            </w14:solidFill>
          </w14:textFill>
        </w:rPr>
      </w:pPr>
      <w:r>
        <w:rPr>
          <w:color w:val="000000" w:themeColor="text1"/>
          <w14:textFill>
            <w14:solidFill>
              <w14:schemeClr w14:val="tx1"/>
            </w14:solidFill>
          </w14:textFill>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4FA080BE">
      <w:pPr>
        <w:spacing w:line="560" w:lineRule="exact"/>
        <w:ind w:firstLine="643"/>
        <w:rPr>
          <w:rFonts w:ascii="仿宋_GB2312" w:hAnsi="宋体"/>
          <w:b/>
          <w:color w:val="000000" w:themeColor="text1"/>
          <w:szCs w:val="28"/>
          <w14:textFill>
            <w14:solidFill>
              <w14:schemeClr w14:val="tx1"/>
            </w14:solidFill>
          </w14:textFill>
        </w:rPr>
      </w:pPr>
      <w:r>
        <w:rPr>
          <w:rFonts w:hint="eastAsia" w:ascii="仿宋_GB2312" w:hAnsi="宋体"/>
          <w:b/>
          <w:color w:val="000000" w:themeColor="text1"/>
          <w:szCs w:val="28"/>
          <w14:textFill>
            <w14:solidFill>
              <w14:schemeClr w14:val="tx1"/>
            </w14:solidFill>
          </w14:textFill>
        </w:rPr>
        <w:t>（二）组织开展标准宣贯培训</w:t>
      </w:r>
    </w:p>
    <w:p w14:paraId="7A01992E">
      <w:pPr>
        <w:pStyle w:val="49"/>
        <w:rPr>
          <w:rFonts w:hint="default"/>
          <w:color w:val="000000" w:themeColor="text1"/>
          <w14:textFill>
            <w14:solidFill>
              <w14:schemeClr w14:val="tx1"/>
            </w14:solidFill>
          </w14:textFill>
        </w:rPr>
      </w:pPr>
      <w:r>
        <w:rPr>
          <w:color w:val="000000" w:themeColor="text1"/>
          <w14:textFill>
            <w14:solidFill>
              <w14:schemeClr w14:val="tx1"/>
            </w14:solidFill>
          </w14:textFill>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044B8C3B">
      <w:pPr>
        <w:spacing w:line="560" w:lineRule="exact"/>
        <w:ind w:firstLine="643"/>
        <w:rPr>
          <w:rFonts w:ascii="仿宋_GB2312" w:hAnsi="宋体"/>
          <w:b/>
          <w:color w:val="000000" w:themeColor="text1"/>
          <w:szCs w:val="28"/>
          <w14:textFill>
            <w14:solidFill>
              <w14:schemeClr w14:val="tx1"/>
            </w14:solidFill>
          </w14:textFill>
        </w:rPr>
      </w:pPr>
      <w:r>
        <w:rPr>
          <w:rFonts w:hint="eastAsia" w:ascii="仿宋_GB2312" w:hAnsi="宋体"/>
          <w:b/>
          <w:color w:val="000000" w:themeColor="text1"/>
          <w:szCs w:val="28"/>
          <w14:textFill>
            <w14:solidFill>
              <w14:schemeClr w14:val="tx1"/>
            </w14:solidFill>
          </w14:textFill>
        </w:rPr>
        <w:t>（三）开展标准实施交流会，收集标准实施反馈信息</w:t>
      </w:r>
    </w:p>
    <w:p w14:paraId="3FFE7383">
      <w:pPr>
        <w:pStyle w:val="49"/>
        <w:rPr>
          <w:rFonts w:hint="default"/>
          <w:color w:val="000000" w:themeColor="text1"/>
          <w14:textFill>
            <w14:solidFill>
              <w14:schemeClr w14:val="tx1"/>
            </w14:solidFill>
          </w14:textFill>
        </w:rPr>
      </w:pPr>
      <w:r>
        <w:rPr>
          <w:color w:val="000000" w:themeColor="text1"/>
          <w14:textFill>
            <w14:solidFill>
              <w14:schemeClr w14:val="tx1"/>
            </w14:solidFill>
          </w14:textFill>
        </w:rPr>
        <w:t>标准起草小组深入各市县相关机构、单位组织技术人员召开标准实施交流会，听取标准实施过程中存在的问题并做好记录和解答，对存在的问题组织专家团队进行研讨，为标准的复审修订做准备。</w:t>
      </w:r>
    </w:p>
    <w:p w14:paraId="509ED82B">
      <w:pPr>
        <w:spacing w:line="560" w:lineRule="exact"/>
        <w:ind w:firstLine="643"/>
        <w:rPr>
          <w:rFonts w:ascii="仿宋_GB2312" w:hAnsi="宋体"/>
          <w:b/>
          <w:color w:val="000000" w:themeColor="text1"/>
          <w:szCs w:val="28"/>
          <w14:textFill>
            <w14:solidFill>
              <w14:schemeClr w14:val="tx1"/>
            </w14:solidFill>
          </w14:textFill>
        </w:rPr>
      </w:pPr>
      <w:r>
        <w:rPr>
          <w:rFonts w:hint="eastAsia" w:ascii="仿宋_GB2312" w:hAnsi="宋体"/>
          <w:b/>
          <w:color w:val="000000" w:themeColor="text1"/>
          <w:szCs w:val="28"/>
          <w14:textFill>
            <w14:solidFill>
              <w14:schemeClr w14:val="tx1"/>
            </w14:solidFill>
          </w14:textFill>
        </w:rPr>
        <w:t>（四）开展标准实施效果评估</w:t>
      </w:r>
    </w:p>
    <w:p w14:paraId="629AAFC4">
      <w:pPr>
        <w:pStyle w:val="49"/>
        <w:rPr>
          <w:rFonts w:hint="default"/>
          <w:color w:val="000000" w:themeColor="text1"/>
          <w14:textFill>
            <w14:solidFill>
              <w14:schemeClr w14:val="tx1"/>
            </w14:solidFill>
          </w14:textFill>
        </w:rPr>
      </w:pPr>
      <w:r>
        <w:rPr>
          <w:color w:val="000000" w:themeColor="text1"/>
          <w14:textFill>
            <w14:solidFill>
              <w14:schemeClr w14:val="tx1"/>
            </w14:solidFill>
          </w14:textFill>
        </w:rPr>
        <w:t>标准实施满2年，每年标准宣贯工作组采取网络调查、问卷调查、实地调研、召开座谈会或论证会、专家咨询等方式开展标准实施效果评估，并形成标准实施效果评估报告，为标准的复审修订做准备。</w:t>
      </w:r>
    </w:p>
    <w:p w14:paraId="31F33243">
      <w:pPr>
        <w:autoSpaceDE w:val="0"/>
        <w:autoSpaceDN w:val="0"/>
        <w:adjustRightInd w:val="0"/>
        <w:spacing w:before="156" w:beforeLines="50" w:after="156" w:afterLines="50" w:line="560" w:lineRule="exact"/>
        <w:ind w:firstLine="640"/>
        <w:jc w:val="left"/>
        <w:rPr>
          <w:rFonts w:ascii="黑体" w:hAnsi="黑体" w:eastAsia="黑体" w:cs="仿宋_GB2312"/>
          <w:color w:val="000000" w:themeColor="text1"/>
          <w:szCs w:val="32"/>
          <w14:textFill>
            <w14:solidFill>
              <w14:schemeClr w14:val="tx1"/>
            </w14:solidFill>
          </w14:textFill>
        </w:rPr>
      </w:pPr>
      <w:r>
        <w:rPr>
          <w:rFonts w:hint="eastAsia" w:ascii="黑体" w:hAnsi="黑体" w:eastAsia="黑体" w:cs="仿宋_GB2312"/>
          <w:color w:val="000000" w:themeColor="text1"/>
          <w:szCs w:val="32"/>
          <w14:textFill>
            <w14:solidFill>
              <w14:schemeClr w14:val="tx1"/>
            </w14:solidFill>
          </w14:textFill>
        </w:rPr>
        <w:t>八、其他应当说明的事项</w:t>
      </w:r>
    </w:p>
    <w:p w14:paraId="64ADC243">
      <w:pPr>
        <w:spacing w:line="560" w:lineRule="exact"/>
        <w:ind w:firstLine="640"/>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无。</w:t>
      </w:r>
    </w:p>
    <w:p w14:paraId="32C0364F">
      <w:pPr>
        <w:spacing w:line="560" w:lineRule="exact"/>
        <w:ind w:firstLine="720"/>
        <w:rPr>
          <w:rFonts w:ascii="仿宋_GB2312" w:hAnsi="仿宋"/>
          <w:bCs/>
          <w:color w:val="000000" w:themeColor="text1"/>
          <w:sz w:val="36"/>
          <w:szCs w:val="32"/>
          <w14:textFill>
            <w14:solidFill>
              <w14:schemeClr w14:val="tx1"/>
            </w14:solidFill>
          </w14:textFill>
        </w:rPr>
      </w:pPr>
    </w:p>
    <w:p w14:paraId="3E29844E">
      <w:pPr>
        <w:spacing w:line="560" w:lineRule="exact"/>
        <w:ind w:firstLine="720"/>
        <w:rPr>
          <w:rFonts w:ascii="仿宋_GB2312" w:hAnsi="仿宋"/>
          <w:bCs/>
          <w:color w:val="000000" w:themeColor="text1"/>
          <w:sz w:val="36"/>
          <w:szCs w:val="32"/>
          <w14:textFill>
            <w14:solidFill>
              <w14:schemeClr w14:val="tx1"/>
            </w14:solidFill>
          </w14:textFill>
        </w:rPr>
      </w:pPr>
    </w:p>
    <w:p w14:paraId="38E7B28B">
      <w:pPr>
        <w:wordWrap w:val="0"/>
        <w:spacing w:line="560" w:lineRule="exact"/>
        <w:ind w:firstLine="640"/>
        <w:jc w:val="right"/>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 xml:space="preserve"> 团体标准《</w:t>
      </w:r>
      <w:r>
        <w:rPr>
          <w:rFonts w:hint="eastAsia"/>
          <w:color w:val="auto"/>
          <w:highlight w:val="none"/>
        </w:rPr>
        <w:t>农业科普纸媒作品评价</w:t>
      </w:r>
      <w:r>
        <w:rPr>
          <w:rFonts w:hint="eastAsia"/>
          <w:color w:val="auto"/>
          <w:highlight w:val="none"/>
          <w:lang w:val="en-US" w:eastAsia="zh-CN"/>
        </w:rPr>
        <w:t>规范</w:t>
      </w:r>
      <w:r>
        <w:rPr>
          <w:rFonts w:hint="eastAsia" w:ascii="仿宋_GB2312" w:hAnsi="宋体"/>
          <w:color w:val="000000" w:themeColor="text1"/>
          <w:szCs w:val="28"/>
          <w14:textFill>
            <w14:solidFill>
              <w14:schemeClr w14:val="tx1"/>
            </w14:solidFill>
          </w14:textFill>
        </w:rPr>
        <w:t>》</w:t>
      </w:r>
    </w:p>
    <w:p w14:paraId="1E7E82D1">
      <w:pPr>
        <w:wordWrap w:val="0"/>
        <w:spacing w:line="560" w:lineRule="exact"/>
        <w:ind w:firstLine="640"/>
        <w:jc w:val="right"/>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 xml:space="preserve">标准编制工作组 </w:t>
      </w:r>
      <w:r>
        <w:rPr>
          <w:rFonts w:ascii="仿宋_GB2312" w:hAnsi="宋体"/>
          <w:color w:val="000000" w:themeColor="text1"/>
          <w:szCs w:val="28"/>
          <w14:textFill>
            <w14:solidFill>
              <w14:schemeClr w14:val="tx1"/>
            </w14:solidFill>
          </w14:textFill>
        </w:rPr>
        <w:t xml:space="preserve">        </w:t>
      </w:r>
    </w:p>
    <w:p w14:paraId="42E6ADE9">
      <w:pPr>
        <w:wordWrap w:val="0"/>
        <w:spacing w:line="560" w:lineRule="exact"/>
        <w:ind w:firstLine="640"/>
        <w:jc w:val="right"/>
        <w:rPr>
          <w:rFonts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202</w:t>
      </w:r>
      <w:r>
        <w:rPr>
          <w:rFonts w:hint="eastAsia" w:ascii="仿宋_GB2312" w:hAnsi="宋体"/>
          <w:color w:val="000000" w:themeColor="text1"/>
          <w:szCs w:val="28"/>
          <w:lang w:val="en-US" w:eastAsia="zh-CN"/>
          <w14:textFill>
            <w14:solidFill>
              <w14:schemeClr w14:val="tx1"/>
            </w14:solidFill>
          </w14:textFill>
        </w:rPr>
        <w:t>6</w:t>
      </w:r>
      <w:r>
        <w:rPr>
          <w:rFonts w:hint="eastAsia" w:ascii="仿宋_GB2312" w:hAnsi="宋体"/>
          <w:color w:val="000000" w:themeColor="text1"/>
          <w:szCs w:val="28"/>
          <w14:textFill>
            <w14:solidFill>
              <w14:schemeClr w14:val="tx1"/>
            </w14:solidFill>
          </w14:textFill>
        </w:rPr>
        <w:t>年</w:t>
      </w:r>
      <w:r>
        <w:rPr>
          <w:rFonts w:hint="eastAsia" w:ascii="仿宋_GB2312" w:hAnsi="宋体"/>
          <w:color w:val="000000" w:themeColor="text1"/>
          <w:szCs w:val="28"/>
          <w:lang w:val="en-US" w:eastAsia="zh-CN"/>
          <w14:textFill>
            <w14:solidFill>
              <w14:schemeClr w14:val="tx1"/>
            </w14:solidFill>
          </w14:textFill>
        </w:rPr>
        <w:t>4</w:t>
      </w:r>
      <w:r>
        <w:rPr>
          <w:rFonts w:hint="eastAsia" w:ascii="仿宋_GB2312" w:hAnsi="宋体"/>
          <w:color w:val="000000" w:themeColor="text1"/>
          <w:szCs w:val="28"/>
          <w14:textFill>
            <w14:solidFill>
              <w14:schemeClr w14:val="tx1"/>
            </w14:solidFill>
          </w14:textFill>
        </w:rPr>
        <w:t>月</w:t>
      </w:r>
      <w:r>
        <w:rPr>
          <w:rFonts w:hint="eastAsia" w:ascii="仿宋_GB2312" w:hAnsi="宋体"/>
          <w:color w:val="000000" w:themeColor="text1"/>
          <w:szCs w:val="28"/>
          <w:lang w:val="en-US" w:eastAsia="zh-CN"/>
          <w14:textFill>
            <w14:solidFill>
              <w14:schemeClr w14:val="tx1"/>
            </w14:solidFill>
          </w14:textFill>
        </w:rPr>
        <w:t>30</w:t>
      </w:r>
      <w:r>
        <w:rPr>
          <w:rFonts w:hint="eastAsia" w:ascii="仿宋_GB2312" w:hAnsi="宋体"/>
          <w:color w:val="000000" w:themeColor="text1"/>
          <w:szCs w:val="28"/>
          <w14:textFill>
            <w14:solidFill>
              <w14:schemeClr w14:val="tx1"/>
            </w14:solidFill>
          </w14:textFill>
        </w:rPr>
        <w:t xml:space="preserve">日       </w:t>
      </w:r>
      <w:r>
        <w:rPr>
          <w:rFonts w:ascii="仿宋_GB2312" w:hAnsi="宋体"/>
          <w:color w:val="000000" w:themeColor="text1"/>
          <w:szCs w:val="28"/>
          <w14:textFill>
            <w14:solidFill>
              <w14:schemeClr w14:val="tx1"/>
            </w14:solidFill>
          </w14:textFill>
        </w:rPr>
        <w:t xml:space="preserve"> </w:t>
      </w:r>
    </w:p>
    <w:sectPr>
      <w:headerReference r:id="rId7" w:type="first"/>
      <w:footerReference r:id="rId10" w:type="first"/>
      <w:headerReference r:id="rId5" w:type="default"/>
      <w:footerReference r:id="rId8" w:type="default"/>
      <w:headerReference r:id="rId6" w:type="even"/>
      <w:footerReference r:id="rId9" w:type="even"/>
      <w:pgSz w:w="11906" w:h="16838"/>
      <w:pgMar w:top="1474" w:right="1474" w:bottom="1474" w:left="147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40"/>
      </w:pPr>
      <w:r>
        <w:separator/>
      </w:r>
    </w:p>
  </w:endnote>
  <w:endnote w:type="continuationSeparator" w:id="1">
    <w:p>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方正小标宋简体">
    <w:altName w:val="Arial Unicode MS"/>
    <w:panose1 w:val="03000509000000000000"/>
    <w:charset w:val="86"/>
    <w:family w:val="auto"/>
    <w:pitch w:val="default"/>
    <w:sig w:usb0="00000000" w:usb1="00000000" w:usb2="00000000" w:usb3="00000000" w:csb0="00040000" w:csb1="00000000"/>
  </w:font>
  <w:font w:name="Arial Unicode MS">
    <w:panose1 w:val="020B0604020202020204"/>
    <w:charset w:val="86"/>
    <w:family w:val="auto"/>
    <w:pitch w:val="default"/>
    <w:sig w:usb0="FFFFFFFF" w:usb1="E9FFFFFF" w:usb2="0000003F" w:usb3="00000000" w:csb0="603F01FF" w:csb1="FFFF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16374"/>
    </w:sdtPr>
    <w:sdtContent>
      <w:p w14:paraId="72798B7B">
        <w:pPr>
          <w:pStyle w:val="9"/>
          <w:ind w:firstLine="360"/>
          <w:jc w:val="center"/>
        </w:pPr>
        <w:r>
          <w:fldChar w:fldCharType="begin"/>
        </w:r>
        <w:r>
          <w:instrText xml:space="preserve">PAGE   \* MERGEFORMAT</w:instrText>
        </w:r>
        <w:r>
          <w:fldChar w:fldCharType="separate"/>
        </w:r>
        <w:r>
          <w:rPr>
            <w:lang w:val="zh-CN"/>
          </w:rPr>
          <w:t>29</w:t>
        </w:r>
        <w:r>
          <w:fldChar w:fldCharType="end"/>
        </w:r>
      </w:p>
    </w:sdtContent>
  </w:sdt>
  <w:p w14:paraId="34F4BF85">
    <w:pPr>
      <w:pStyle w:val="9"/>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8E6FB3">
    <w:pPr>
      <w:pStyle w:val="9"/>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6B975B">
    <w:pPr>
      <w:pStyle w:val="9"/>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40"/>
      </w:pPr>
      <w:r>
        <w:separator/>
      </w:r>
    </w:p>
  </w:footnote>
  <w:footnote w:type="continuationSeparator" w:id="1">
    <w:p>
      <w:pPr>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1E3AC3">
    <w:pPr>
      <w:pStyle w:val="10"/>
      <w:pBdr>
        <w:bottom w:val="none" w:color="auto" w:sz="0" w:space="0"/>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449941">
    <w:pPr>
      <w:pStyle w:val="10"/>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6EA0DA">
    <w:pPr>
      <w:pStyle w:val="10"/>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9102AD"/>
    <w:multiLevelType w:val="multilevel"/>
    <w:tmpl w:val="079102AD"/>
    <w:lvl w:ilvl="0" w:tentative="0">
      <w:start w:val="1"/>
      <w:numFmt w:val="decimal"/>
      <w:pStyle w:val="30"/>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DDE2B46"/>
    <w:multiLevelType w:val="multilevel"/>
    <w:tmpl w:val="0DDE2B46"/>
    <w:lvl w:ilvl="0" w:tentative="0">
      <w:start w:val="1"/>
      <w:numFmt w:val="lowerLetter"/>
      <w:pStyle w:val="34"/>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2">
    <w:nsid w:val="1DBF583A"/>
    <w:multiLevelType w:val="multilevel"/>
    <w:tmpl w:val="1DBF583A"/>
    <w:lvl w:ilvl="0" w:tentative="0">
      <w:start w:val="1"/>
      <w:numFmt w:val="decimal"/>
      <w:pStyle w:val="33"/>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3">
    <w:nsid w:val="1FC91163"/>
    <w:multiLevelType w:val="multilevel"/>
    <w:tmpl w:val="1FC91163"/>
    <w:lvl w:ilvl="0" w:tentative="0">
      <w:start w:val="1"/>
      <w:numFmt w:val="decimal"/>
      <w:pStyle w:val="25"/>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24"/>
      <w:suff w:val="nothing"/>
      <w:lvlText w:val="%1.%2　"/>
      <w:lvlJc w:val="left"/>
      <w:pPr>
        <w:ind w:left="525" w:firstLine="0"/>
      </w:pPr>
      <w:rPr>
        <w:rFonts w:hint="eastAsia" w:ascii="黑体" w:hAnsi="Times New Roman" w:eastAsia="黑体" w:cs="Times New Roman"/>
        <w:b w:val="0"/>
        <w:bCs w:val="0"/>
        <w:i w:val="0"/>
        <w:iCs w:val="0"/>
        <w:caps w:val="0"/>
        <w:strike w:val="0"/>
        <w:dstrike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26"/>
      <w:suff w:val="nothing"/>
      <w:lvlText w:val="%1.%2.%3　"/>
      <w:lvlJc w:val="left"/>
      <w:pPr>
        <w:ind w:left="0" w:firstLine="0"/>
      </w:pPr>
      <w:rPr>
        <w:rFonts w:hint="eastAsia" w:ascii="黑体" w:hAnsi="Times New Roman" w:eastAsia="黑体"/>
        <w:b w:val="0"/>
        <w:i w:val="0"/>
        <w:sz w:val="21"/>
      </w:rPr>
    </w:lvl>
    <w:lvl w:ilvl="3" w:tentative="0">
      <w:start w:val="1"/>
      <w:numFmt w:val="decimal"/>
      <w:pStyle w:val="27"/>
      <w:suff w:val="nothing"/>
      <w:lvlText w:val="%1.%2.%3.%4　"/>
      <w:lvlJc w:val="left"/>
      <w:pPr>
        <w:ind w:left="0" w:firstLine="0"/>
      </w:pPr>
      <w:rPr>
        <w:rFonts w:hint="eastAsia" w:ascii="黑体" w:hAnsi="Times New Roman" w:eastAsia="黑体"/>
        <w:b w:val="0"/>
        <w:i w:val="0"/>
        <w:sz w:val="21"/>
      </w:rPr>
    </w:lvl>
    <w:lvl w:ilvl="4" w:tentative="0">
      <w:start w:val="1"/>
      <w:numFmt w:val="decimal"/>
      <w:pStyle w:val="28"/>
      <w:suff w:val="nothing"/>
      <w:lvlText w:val="%1.%2.%3.%4.%5　"/>
      <w:lvlJc w:val="left"/>
      <w:pPr>
        <w:ind w:left="0" w:firstLine="0"/>
      </w:pPr>
      <w:rPr>
        <w:rFonts w:hint="eastAsia" w:ascii="黑体" w:hAnsi="Times New Roman" w:eastAsia="黑体"/>
        <w:b w:val="0"/>
        <w:i w:val="0"/>
        <w:sz w:val="21"/>
      </w:rPr>
    </w:lvl>
    <w:lvl w:ilvl="5" w:tentative="0">
      <w:start w:val="1"/>
      <w:numFmt w:val="decimal"/>
      <w:pStyle w:val="29"/>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2A8F7113"/>
    <w:multiLevelType w:val="multilevel"/>
    <w:tmpl w:val="2A8F7113"/>
    <w:lvl w:ilvl="0" w:tentative="0">
      <w:start w:val="1"/>
      <w:numFmt w:val="upperLetter"/>
      <w:pStyle w:val="31"/>
      <w:suff w:val="space"/>
      <w:lvlText w:val="%1"/>
      <w:lvlJc w:val="left"/>
      <w:pPr>
        <w:ind w:left="623" w:hanging="425"/>
      </w:pPr>
      <w:rPr>
        <w:rFonts w:hint="eastAsia"/>
      </w:rPr>
    </w:lvl>
    <w:lvl w:ilvl="1" w:tentative="0">
      <w:start w:val="1"/>
      <w:numFmt w:val="decimal"/>
      <w:pStyle w:val="32"/>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5">
    <w:nsid w:val="2C5917C3"/>
    <w:multiLevelType w:val="multilevel"/>
    <w:tmpl w:val="2C5917C3"/>
    <w:lvl w:ilvl="0" w:tentative="0">
      <w:start w:val="1"/>
      <w:numFmt w:val="none"/>
      <w:pStyle w:val="53"/>
      <w:lvlText w:val="%1——"/>
      <w:lvlJc w:val="left"/>
      <w:pPr>
        <w:tabs>
          <w:tab w:val="left" w:pos="851"/>
        </w:tabs>
        <w:ind w:left="851" w:hanging="426"/>
      </w:pPr>
      <w:rPr>
        <w:rFonts w:hint="eastAsia" w:ascii="宋体" w:hAnsi="Times New Roman" w:eastAsia="宋体"/>
        <w:b w:val="0"/>
        <w:i w:val="0"/>
        <w:sz w:val="21"/>
      </w:rPr>
    </w:lvl>
    <w:lvl w:ilvl="1" w:tentative="0">
      <w:start w:val="1"/>
      <w:numFmt w:val="none"/>
      <w:lvlText w:val=""/>
      <w:lvlJc w:val="left"/>
      <w:pPr>
        <w:ind w:left="851" w:hanging="431"/>
      </w:pPr>
      <w:rPr>
        <w:rFonts w:hint="default" w:ascii="Symbol" w:hAnsi="Symbol"/>
        <w:sz w:val="21"/>
      </w:rPr>
    </w:lvl>
    <w:lvl w:ilvl="2" w:tentative="0">
      <w:start w:val="1"/>
      <w:numFmt w:val="bullet"/>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6">
    <w:nsid w:val="557C2AF5"/>
    <w:multiLevelType w:val="multilevel"/>
    <w:tmpl w:val="557C2AF5"/>
    <w:lvl w:ilvl="0" w:tentative="0">
      <w:start w:val="1"/>
      <w:numFmt w:val="decimal"/>
      <w:pStyle w:val="46"/>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7">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38"/>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8">
    <w:nsid w:val="646260FA"/>
    <w:multiLevelType w:val="multilevel"/>
    <w:tmpl w:val="646260FA"/>
    <w:lvl w:ilvl="0" w:tentative="0">
      <w:start w:val="1"/>
      <w:numFmt w:val="decimal"/>
      <w:pStyle w:val="47"/>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9">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59"/>
      <w:suff w:val="nothing"/>
      <w:lvlText w:val="%1%2　"/>
      <w:lvlJc w:val="left"/>
      <w:pPr>
        <w:ind w:left="0" w:firstLine="0"/>
      </w:pPr>
      <w:rPr>
        <w:rFonts w:hint="eastAsia" w:ascii="黑体" w:eastAsia="黑体"/>
        <w:b w:val="0"/>
        <w:i w:val="0"/>
        <w:sz w:val="21"/>
      </w:rPr>
    </w:lvl>
    <w:lvl w:ilvl="2" w:tentative="0">
      <w:start w:val="1"/>
      <w:numFmt w:val="decimal"/>
      <w:pStyle w:val="58"/>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56"/>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3"/>
  </w:num>
  <w:num w:numId="2">
    <w:abstractNumId w:val="0"/>
  </w:num>
  <w:num w:numId="3">
    <w:abstractNumId w:val="4"/>
  </w:num>
  <w:num w:numId="4">
    <w:abstractNumId w:val="2"/>
  </w:num>
  <w:num w:numId="5">
    <w:abstractNumId w:val="1"/>
  </w:num>
  <w:num w:numId="6">
    <w:abstractNumId w:val="7"/>
  </w:num>
  <w:num w:numId="7">
    <w:abstractNumId w:val="6"/>
  </w:num>
  <w:num w:numId="8">
    <w:abstractNumId w:val="8"/>
  </w:num>
  <w:num w:numId="9">
    <w:abstractNumId w:val="5"/>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0"/>
  <w:doNotDisplayPageBoundaries w:val="1"/>
  <w:embedSystem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DD63C6"/>
    <w:rsid w:val="01E15581"/>
    <w:rsid w:val="032C77F3"/>
    <w:rsid w:val="034D759D"/>
    <w:rsid w:val="04E15802"/>
    <w:rsid w:val="05217B13"/>
    <w:rsid w:val="05517543"/>
    <w:rsid w:val="06436AAC"/>
    <w:rsid w:val="0C063434"/>
    <w:rsid w:val="0D4C7ED9"/>
    <w:rsid w:val="0ED4142C"/>
    <w:rsid w:val="108A327C"/>
    <w:rsid w:val="110F594F"/>
    <w:rsid w:val="129B495C"/>
    <w:rsid w:val="131A0ADC"/>
    <w:rsid w:val="1413102A"/>
    <w:rsid w:val="14C52A21"/>
    <w:rsid w:val="17527ACF"/>
    <w:rsid w:val="17AB7B5A"/>
    <w:rsid w:val="18626638"/>
    <w:rsid w:val="19A25F18"/>
    <w:rsid w:val="1A620D3B"/>
    <w:rsid w:val="1A92208D"/>
    <w:rsid w:val="1C545D2A"/>
    <w:rsid w:val="1C6A3ED7"/>
    <w:rsid w:val="1CB2172E"/>
    <w:rsid w:val="1E3860D9"/>
    <w:rsid w:val="20694D2D"/>
    <w:rsid w:val="20AB10F4"/>
    <w:rsid w:val="20E00C0C"/>
    <w:rsid w:val="2C6971C8"/>
    <w:rsid w:val="2D456D70"/>
    <w:rsid w:val="2DA64D5F"/>
    <w:rsid w:val="2E641A99"/>
    <w:rsid w:val="30306E87"/>
    <w:rsid w:val="3136286A"/>
    <w:rsid w:val="321D3A6E"/>
    <w:rsid w:val="32AA5162"/>
    <w:rsid w:val="33321C01"/>
    <w:rsid w:val="33B71CA0"/>
    <w:rsid w:val="344277BC"/>
    <w:rsid w:val="36EF73CF"/>
    <w:rsid w:val="37DF17C6"/>
    <w:rsid w:val="382977B6"/>
    <w:rsid w:val="38637D01"/>
    <w:rsid w:val="3A59520D"/>
    <w:rsid w:val="3ACF46C0"/>
    <w:rsid w:val="3BA40D5C"/>
    <w:rsid w:val="3CF067D2"/>
    <w:rsid w:val="3F281CA4"/>
    <w:rsid w:val="3F8F1119"/>
    <w:rsid w:val="414C5983"/>
    <w:rsid w:val="42985647"/>
    <w:rsid w:val="434370AD"/>
    <w:rsid w:val="457519FE"/>
    <w:rsid w:val="4822252D"/>
    <w:rsid w:val="49F954EB"/>
    <w:rsid w:val="4A5442B5"/>
    <w:rsid w:val="4E4A0AB9"/>
    <w:rsid w:val="4F072EB6"/>
    <w:rsid w:val="50023633"/>
    <w:rsid w:val="526A01B2"/>
    <w:rsid w:val="53FF795D"/>
    <w:rsid w:val="55E32959"/>
    <w:rsid w:val="56E050CD"/>
    <w:rsid w:val="5A1F1F88"/>
    <w:rsid w:val="5B0726A8"/>
    <w:rsid w:val="5CCC6077"/>
    <w:rsid w:val="5DB46DC9"/>
    <w:rsid w:val="5ED773C5"/>
    <w:rsid w:val="5F7421ED"/>
    <w:rsid w:val="5FCE2F90"/>
    <w:rsid w:val="60901440"/>
    <w:rsid w:val="617D06DE"/>
    <w:rsid w:val="61C84EF5"/>
    <w:rsid w:val="626F5A1C"/>
    <w:rsid w:val="638258E7"/>
    <w:rsid w:val="64DD0CB7"/>
    <w:rsid w:val="6AD541DF"/>
    <w:rsid w:val="6B0B7DC1"/>
    <w:rsid w:val="6C783B29"/>
    <w:rsid w:val="6E8F48D2"/>
    <w:rsid w:val="6EB3272C"/>
    <w:rsid w:val="6EC91883"/>
    <w:rsid w:val="6F290A3F"/>
    <w:rsid w:val="6FE62766"/>
    <w:rsid w:val="6FFF5556"/>
    <w:rsid w:val="71437EA4"/>
    <w:rsid w:val="71B42610"/>
    <w:rsid w:val="76B35963"/>
    <w:rsid w:val="77B04D8E"/>
    <w:rsid w:val="7A820536"/>
    <w:rsid w:val="7D616E2E"/>
    <w:rsid w:val="7E6E078B"/>
    <w:rsid w:val="7FBB0A5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qFormat="1" w:uiPriority="99" w:semiHidden="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semiHidden="0"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semiHidden="0"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880" w:firstLineChars="200"/>
      <w:jc w:val="both"/>
    </w:pPr>
    <w:rPr>
      <w:rFonts w:ascii="Times New Roman" w:hAnsi="Times New Roman" w:eastAsia="仿宋_GB2312" w:cs="Times New Roman"/>
      <w:kern w:val="2"/>
      <w:sz w:val="32"/>
      <w:szCs w:val="24"/>
      <w:lang w:val="en-US" w:eastAsia="zh-CN" w:bidi="ar-SA"/>
    </w:rPr>
  </w:style>
  <w:style w:type="paragraph" w:styleId="2">
    <w:name w:val="heading 1"/>
    <w:basedOn w:val="1"/>
    <w:next w:val="1"/>
    <w:qFormat/>
    <w:uiPriority w:val="0"/>
    <w:pPr>
      <w:spacing w:beforeAutospacing="1" w:afterAutospacing="1"/>
      <w:jc w:val="left"/>
      <w:outlineLvl w:val="0"/>
    </w:pPr>
    <w:rPr>
      <w:rFonts w:hint="eastAsia" w:ascii="宋体" w:hAnsi="宋体" w:eastAsia="宋体"/>
      <w:b/>
      <w:bCs/>
      <w:kern w:val="44"/>
      <w:sz w:val="48"/>
      <w:szCs w:val="48"/>
    </w:rPr>
  </w:style>
  <w:style w:type="paragraph" w:styleId="3">
    <w:name w:val="heading 2"/>
    <w:basedOn w:val="1"/>
    <w:next w:val="1"/>
    <w:unhideWhenUsed/>
    <w:qFormat/>
    <w:uiPriority w:val="0"/>
    <w:pPr>
      <w:spacing w:beforeAutospacing="1" w:afterAutospacing="1"/>
      <w:jc w:val="left"/>
      <w:outlineLvl w:val="1"/>
    </w:pPr>
    <w:rPr>
      <w:rFonts w:hint="eastAsia" w:ascii="宋体" w:hAnsi="宋体" w:eastAsia="宋体"/>
      <w:b/>
      <w:bCs/>
      <w:kern w:val="0"/>
      <w:sz w:val="36"/>
      <w:szCs w:val="36"/>
    </w:rPr>
  </w:style>
  <w:style w:type="paragraph" w:styleId="4">
    <w:name w:val="heading 3"/>
    <w:basedOn w:val="1"/>
    <w:next w:val="1"/>
    <w:unhideWhenUsed/>
    <w:qFormat/>
    <w:uiPriority w:val="0"/>
    <w:pPr>
      <w:spacing w:beforeAutospacing="1" w:afterAutospacing="1"/>
      <w:jc w:val="left"/>
      <w:outlineLvl w:val="2"/>
    </w:pPr>
    <w:rPr>
      <w:rFonts w:hint="eastAsia" w:ascii="宋体" w:hAnsi="宋体" w:eastAsia="宋体"/>
      <w:b/>
      <w:bCs/>
      <w:kern w:val="0"/>
      <w:sz w:val="27"/>
      <w:szCs w:val="27"/>
    </w:rPr>
  </w:style>
  <w:style w:type="paragraph" w:styleId="5">
    <w:name w:val="heading 4"/>
    <w:basedOn w:val="1"/>
    <w:next w:val="1"/>
    <w:unhideWhenUsed/>
    <w:qFormat/>
    <w:uiPriority w:val="0"/>
    <w:pPr>
      <w:spacing w:beforeAutospacing="1" w:afterAutospacing="1"/>
      <w:jc w:val="left"/>
      <w:outlineLvl w:val="3"/>
    </w:pPr>
    <w:rPr>
      <w:rFonts w:hint="eastAsia" w:ascii="宋体" w:hAnsi="宋体" w:eastAsia="宋体"/>
      <w:b/>
      <w:bCs/>
      <w:kern w:val="0"/>
      <w:sz w:val="24"/>
    </w:rPr>
  </w:style>
  <w:style w:type="paragraph" w:styleId="6">
    <w:name w:val="heading 5"/>
    <w:basedOn w:val="1"/>
    <w:next w:val="1"/>
    <w:semiHidden/>
    <w:unhideWhenUsed/>
    <w:qFormat/>
    <w:uiPriority w:val="0"/>
    <w:pPr>
      <w:spacing w:before="0" w:beforeAutospacing="1" w:after="0" w:afterAutospacing="1"/>
      <w:jc w:val="left"/>
    </w:pPr>
    <w:rPr>
      <w:rFonts w:hint="eastAsia" w:ascii="宋体" w:hAnsi="宋体" w:eastAsia="宋体" w:cs="宋体"/>
      <w:b/>
      <w:bCs/>
      <w:kern w:val="0"/>
      <w:sz w:val="20"/>
      <w:szCs w:val="20"/>
      <w:lang w:val="en-US" w:eastAsia="zh-CN" w:bidi="ar"/>
    </w:rPr>
  </w:style>
  <w:style w:type="character" w:default="1" w:styleId="14">
    <w:name w:val="Default Paragraph Font"/>
    <w:unhideWhenUsed/>
    <w:qFormat/>
    <w:uiPriority w:val="1"/>
  </w:style>
  <w:style w:type="table" w:default="1" w:styleId="12">
    <w:name w:val="Normal Table"/>
    <w:unhideWhenUsed/>
    <w:qFormat/>
    <w:uiPriority w:val="99"/>
    <w:tblPr>
      <w:tblCellMar>
        <w:top w:w="0" w:type="dxa"/>
        <w:left w:w="108" w:type="dxa"/>
        <w:bottom w:w="0" w:type="dxa"/>
        <w:right w:w="108" w:type="dxa"/>
      </w:tblCellMar>
    </w:tblPr>
  </w:style>
  <w:style w:type="paragraph" w:styleId="7">
    <w:name w:val="annotation text"/>
    <w:basedOn w:val="1"/>
    <w:unhideWhenUsed/>
    <w:qFormat/>
    <w:uiPriority w:val="99"/>
    <w:pPr>
      <w:jc w:val="left"/>
    </w:pPr>
  </w:style>
  <w:style w:type="paragraph" w:styleId="8">
    <w:name w:val="Balloon Text"/>
    <w:basedOn w:val="1"/>
    <w:link w:val="45"/>
    <w:unhideWhenUsed/>
    <w:qFormat/>
    <w:uiPriority w:val="0"/>
    <w:rPr>
      <w:sz w:val="18"/>
      <w:szCs w:val="18"/>
    </w:rPr>
  </w:style>
  <w:style w:type="paragraph" w:styleId="9">
    <w:name w:val="footer"/>
    <w:basedOn w:val="1"/>
    <w:link w:val="37"/>
    <w:qFormat/>
    <w:uiPriority w:val="99"/>
    <w:pPr>
      <w:tabs>
        <w:tab w:val="center" w:pos="4153"/>
        <w:tab w:val="right" w:pos="8306"/>
      </w:tabs>
      <w:snapToGrid w:val="0"/>
      <w:jc w:val="left"/>
    </w:pPr>
    <w:rPr>
      <w:sz w:val="18"/>
      <w:szCs w:val="18"/>
    </w:rPr>
  </w:style>
  <w:style w:type="paragraph" w:styleId="10">
    <w:name w:val="header"/>
    <w:basedOn w:val="1"/>
    <w:link w:val="36"/>
    <w:qFormat/>
    <w:uiPriority w:val="0"/>
    <w:pPr>
      <w:pBdr>
        <w:bottom w:val="single" w:color="auto" w:sz="6" w:space="1"/>
      </w:pBdr>
      <w:tabs>
        <w:tab w:val="center" w:pos="4153"/>
        <w:tab w:val="right" w:pos="8306"/>
      </w:tabs>
      <w:snapToGrid w:val="0"/>
      <w:jc w:val="center"/>
    </w:pPr>
    <w:rPr>
      <w:sz w:val="18"/>
      <w:szCs w:val="18"/>
    </w:rPr>
  </w:style>
  <w:style w:type="paragraph" w:styleId="11">
    <w:name w:val="Normal (Web)"/>
    <w:basedOn w:val="1"/>
    <w:qFormat/>
    <w:uiPriority w:val="99"/>
    <w:pPr>
      <w:spacing w:before="100" w:beforeAutospacing="1" w:after="100" w:afterAutospacing="1"/>
      <w:jc w:val="left"/>
    </w:pPr>
    <w:rPr>
      <w:kern w:val="0"/>
      <w:sz w:val="24"/>
    </w:rPr>
  </w:style>
  <w:style w:type="table" w:styleId="13">
    <w:name w:val="Table Grid"/>
    <w:basedOn w:val="12"/>
    <w:qFormat/>
    <w:uiPriority w:val="3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15">
    <w:name w:val="Strong"/>
    <w:basedOn w:val="14"/>
    <w:qFormat/>
    <w:uiPriority w:val="0"/>
    <w:rPr>
      <w:b/>
    </w:rPr>
  </w:style>
  <w:style w:type="character" w:styleId="16">
    <w:name w:val="Emphasis"/>
    <w:basedOn w:val="14"/>
    <w:qFormat/>
    <w:uiPriority w:val="0"/>
    <w:rPr>
      <w:i/>
    </w:rPr>
  </w:style>
  <w:style w:type="character" w:styleId="17">
    <w:name w:val="Hyperlink"/>
    <w:basedOn w:val="14"/>
    <w:unhideWhenUsed/>
    <w:qFormat/>
    <w:uiPriority w:val="99"/>
    <w:rPr>
      <w:color w:val="0000FF"/>
      <w:u w:val="single"/>
    </w:rPr>
  </w:style>
  <w:style w:type="paragraph" w:customStyle="1" w:styleId="18">
    <w:name w:val="公文-正文"/>
    <w:basedOn w:val="1"/>
    <w:link w:val="54"/>
    <w:qFormat/>
    <w:uiPriority w:val="0"/>
    <w:pPr>
      <w:ind w:firstLine="640"/>
    </w:pPr>
    <w:rPr>
      <w:rFonts w:hint="eastAsia" w:eastAsia="仿宋" w:cs="仿宋"/>
      <w:szCs w:val="32"/>
    </w:rPr>
  </w:style>
  <w:style w:type="paragraph" w:customStyle="1" w:styleId="19">
    <w:name w:val="BodyText2"/>
    <w:basedOn w:val="1"/>
    <w:qFormat/>
    <w:uiPriority w:val="0"/>
    <w:pPr>
      <w:spacing w:after="120" w:line="480" w:lineRule="auto"/>
      <w:textAlignment w:val="baseline"/>
    </w:pPr>
    <w:rPr>
      <w:rFonts w:eastAsia="宋体"/>
      <w:szCs w:val="32"/>
    </w:rPr>
  </w:style>
  <w:style w:type="paragraph" w:customStyle="1" w:styleId="20">
    <w:name w:val="段"/>
    <w:link w:val="35"/>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21">
    <w:name w:val="正文表标题"/>
    <w:next w:val="20"/>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22">
    <w:name w:val="正文图标题"/>
    <w:next w:val="20"/>
    <w:qFormat/>
    <w:uiPriority w:val="0"/>
    <w:p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23">
    <w:name w:val="其他发布日期"/>
    <w:basedOn w:val="1"/>
    <w:qFormat/>
    <w:uiPriority w:val="0"/>
    <w:pPr>
      <w:framePr w:w="3997" w:h="471" w:hRule="exact" w:vSpace="181" w:wrap="around" w:vAnchor="page" w:hAnchor="page" w:x="1419" w:y="14097" w:anchorLock="1"/>
      <w:widowControl/>
      <w:ind w:firstLine="0"/>
      <w:jc w:val="left"/>
    </w:pPr>
    <w:rPr>
      <w:rFonts w:eastAsia="黑体"/>
      <w:kern w:val="0"/>
      <w:sz w:val="28"/>
      <w:szCs w:val="20"/>
    </w:rPr>
  </w:style>
  <w:style w:type="paragraph" w:customStyle="1" w:styleId="24">
    <w:name w:val="一级条标题"/>
    <w:next w:val="20"/>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25">
    <w:name w:val="章标题"/>
    <w:next w:val="20"/>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26">
    <w:name w:val="二级条标题"/>
    <w:basedOn w:val="24"/>
    <w:next w:val="20"/>
    <w:qFormat/>
    <w:uiPriority w:val="0"/>
    <w:pPr>
      <w:numPr>
        <w:ilvl w:val="2"/>
      </w:numPr>
      <w:spacing w:before="50" w:after="50"/>
      <w:outlineLvl w:val="3"/>
    </w:pPr>
  </w:style>
  <w:style w:type="paragraph" w:customStyle="1" w:styleId="27">
    <w:name w:val="三级条标题"/>
    <w:basedOn w:val="26"/>
    <w:next w:val="20"/>
    <w:qFormat/>
    <w:uiPriority w:val="0"/>
    <w:pPr>
      <w:numPr>
        <w:ilvl w:val="3"/>
      </w:numPr>
      <w:outlineLvl w:val="4"/>
    </w:pPr>
  </w:style>
  <w:style w:type="paragraph" w:customStyle="1" w:styleId="28">
    <w:name w:val="四级条标题"/>
    <w:basedOn w:val="27"/>
    <w:next w:val="20"/>
    <w:qFormat/>
    <w:uiPriority w:val="0"/>
    <w:pPr>
      <w:numPr>
        <w:ilvl w:val="4"/>
      </w:numPr>
      <w:outlineLvl w:val="5"/>
    </w:pPr>
  </w:style>
  <w:style w:type="paragraph" w:customStyle="1" w:styleId="29">
    <w:name w:val="五级条标题"/>
    <w:basedOn w:val="28"/>
    <w:next w:val="20"/>
    <w:qFormat/>
    <w:uiPriority w:val="0"/>
    <w:pPr>
      <w:numPr>
        <w:ilvl w:val="5"/>
      </w:numPr>
      <w:outlineLvl w:val="6"/>
    </w:pPr>
  </w:style>
  <w:style w:type="paragraph" w:customStyle="1" w:styleId="30">
    <w:name w:val="注："/>
    <w:next w:val="20"/>
    <w:qFormat/>
    <w:uiPriority w:val="0"/>
    <w:pPr>
      <w:widowControl w:val="0"/>
      <w:numPr>
        <w:ilvl w:val="0"/>
        <w:numId w:val="2"/>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31">
    <w:name w:val="附录图标号"/>
    <w:basedOn w:val="1"/>
    <w:qFormat/>
    <w:uiPriority w:val="0"/>
    <w:pPr>
      <w:keepNext/>
      <w:pageBreakBefore/>
      <w:widowControl/>
      <w:numPr>
        <w:ilvl w:val="0"/>
        <w:numId w:val="3"/>
      </w:numPr>
      <w:spacing w:line="14" w:lineRule="exact"/>
      <w:ind w:left="0" w:firstLine="363"/>
      <w:jc w:val="center"/>
      <w:outlineLvl w:val="0"/>
    </w:pPr>
    <w:rPr>
      <w:color w:val="FFFFFF"/>
    </w:rPr>
  </w:style>
  <w:style w:type="paragraph" w:customStyle="1" w:styleId="32">
    <w:name w:val="附录图标题"/>
    <w:basedOn w:val="1"/>
    <w:next w:val="20"/>
    <w:qFormat/>
    <w:uiPriority w:val="0"/>
    <w:pPr>
      <w:numPr>
        <w:ilvl w:val="1"/>
        <w:numId w:val="3"/>
      </w:numPr>
      <w:tabs>
        <w:tab w:val="left" w:pos="363"/>
      </w:tabs>
      <w:spacing w:beforeLines="50" w:afterLines="50"/>
      <w:ind w:left="0" w:firstLine="0"/>
      <w:jc w:val="center"/>
    </w:pPr>
    <w:rPr>
      <w:rFonts w:ascii="黑体" w:eastAsia="黑体"/>
      <w:szCs w:val="21"/>
    </w:rPr>
  </w:style>
  <w:style w:type="paragraph" w:customStyle="1" w:styleId="33">
    <w:name w:val="注×：（正文）"/>
    <w:qFormat/>
    <w:uiPriority w:val="0"/>
    <w:pPr>
      <w:numPr>
        <w:ilvl w:val="0"/>
        <w:numId w:val="4"/>
      </w:numPr>
      <w:jc w:val="both"/>
    </w:pPr>
    <w:rPr>
      <w:rFonts w:ascii="宋体" w:hAnsi="Times New Roman" w:eastAsia="宋体" w:cs="Times New Roman"/>
      <w:sz w:val="18"/>
      <w:szCs w:val="18"/>
      <w:lang w:val="en-US" w:eastAsia="zh-CN" w:bidi="ar-SA"/>
    </w:rPr>
  </w:style>
  <w:style w:type="paragraph" w:customStyle="1" w:styleId="34">
    <w:name w:val="图表脚注说明"/>
    <w:basedOn w:val="1"/>
    <w:qFormat/>
    <w:uiPriority w:val="0"/>
    <w:pPr>
      <w:numPr>
        <w:ilvl w:val="0"/>
        <w:numId w:val="5"/>
      </w:numPr>
    </w:pPr>
    <w:rPr>
      <w:rFonts w:ascii="宋体"/>
      <w:sz w:val="18"/>
      <w:szCs w:val="18"/>
    </w:rPr>
  </w:style>
  <w:style w:type="character" w:customStyle="1" w:styleId="35">
    <w:name w:val="段 Char"/>
    <w:basedOn w:val="14"/>
    <w:link w:val="20"/>
    <w:qFormat/>
    <w:uiPriority w:val="0"/>
    <w:rPr>
      <w:rFonts w:ascii="宋体"/>
      <w:sz w:val="21"/>
      <w:lang w:val="en-US" w:eastAsia="zh-CN" w:bidi="ar-SA"/>
    </w:rPr>
  </w:style>
  <w:style w:type="character" w:customStyle="1" w:styleId="36">
    <w:name w:val="页眉 字符"/>
    <w:basedOn w:val="14"/>
    <w:link w:val="10"/>
    <w:qFormat/>
    <w:uiPriority w:val="0"/>
    <w:rPr>
      <w:kern w:val="2"/>
      <w:sz w:val="18"/>
      <w:szCs w:val="18"/>
    </w:rPr>
  </w:style>
  <w:style w:type="character" w:customStyle="1" w:styleId="37">
    <w:name w:val="页脚 字符"/>
    <w:basedOn w:val="14"/>
    <w:link w:val="9"/>
    <w:qFormat/>
    <w:uiPriority w:val="99"/>
    <w:rPr>
      <w:kern w:val="2"/>
      <w:sz w:val="18"/>
      <w:szCs w:val="18"/>
    </w:rPr>
  </w:style>
  <w:style w:type="paragraph" w:customStyle="1" w:styleId="38">
    <w:name w:val="附录表标题"/>
    <w:basedOn w:val="1"/>
    <w:next w:val="20"/>
    <w:qFormat/>
    <w:uiPriority w:val="0"/>
    <w:pPr>
      <w:numPr>
        <w:ilvl w:val="1"/>
        <w:numId w:val="6"/>
      </w:numPr>
      <w:tabs>
        <w:tab w:val="left" w:pos="180"/>
      </w:tabs>
      <w:spacing w:beforeLines="50" w:afterLines="50"/>
      <w:ind w:left="0" w:firstLine="0"/>
      <w:jc w:val="center"/>
    </w:pPr>
    <w:rPr>
      <w:rFonts w:ascii="黑体" w:eastAsia="黑体"/>
      <w:szCs w:val="21"/>
    </w:rPr>
  </w:style>
  <w:style w:type="paragraph" w:customStyle="1" w:styleId="39">
    <w:name w:val="列出段落1"/>
    <w:basedOn w:val="1"/>
    <w:unhideWhenUsed/>
    <w:qFormat/>
    <w:uiPriority w:val="34"/>
    <w:pPr>
      <w:ind w:firstLine="420"/>
    </w:pPr>
  </w:style>
  <w:style w:type="paragraph" w:customStyle="1" w:styleId="40">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41">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42">
    <w:name w:val="发布"/>
    <w:qFormat/>
    <w:uiPriority w:val="0"/>
    <w:rPr>
      <w:rFonts w:ascii="黑体" w:eastAsia="黑体"/>
      <w:spacing w:val="22"/>
      <w:w w:val="100"/>
      <w:position w:val="3"/>
      <w:sz w:val="28"/>
    </w:rPr>
  </w:style>
  <w:style w:type="paragraph" w:customStyle="1" w:styleId="43">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44">
    <w:name w:val="标准文件_段"/>
    <w:qFormat/>
    <w:uiPriority w:val="0"/>
    <w:pPr>
      <w:autoSpaceDE w:val="0"/>
      <w:autoSpaceDN w:val="0"/>
      <w:jc w:val="center"/>
    </w:pPr>
    <w:rPr>
      <w:rFonts w:ascii="宋体" w:hAnsi="宋体" w:eastAsia="宋体" w:cs="Times New Roman"/>
      <w:sz w:val="21"/>
      <w:lang w:val="en-US" w:eastAsia="zh-CN" w:bidi="ar-SA"/>
    </w:rPr>
  </w:style>
  <w:style w:type="character" w:customStyle="1" w:styleId="45">
    <w:name w:val="批注框文本 字符"/>
    <w:basedOn w:val="14"/>
    <w:link w:val="8"/>
    <w:semiHidden/>
    <w:qFormat/>
    <w:uiPriority w:val="0"/>
    <w:rPr>
      <w:rFonts w:ascii="Times New Roman" w:hAnsi="Times New Roman"/>
      <w:kern w:val="2"/>
      <w:sz w:val="18"/>
      <w:szCs w:val="18"/>
    </w:rPr>
  </w:style>
  <w:style w:type="paragraph" w:customStyle="1" w:styleId="46">
    <w:name w:val="标准文件_正文图标题"/>
    <w:next w:val="44"/>
    <w:qFormat/>
    <w:uiPriority w:val="0"/>
    <w:pPr>
      <w:numPr>
        <w:ilvl w:val="0"/>
        <w:numId w:val="7"/>
      </w:numPr>
      <w:spacing w:before="50" w:beforeLines="50" w:after="50" w:afterLines="50"/>
      <w:jc w:val="center"/>
    </w:pPr>
    <w:rPr>
      <w:rFonts w:ascii="黑体" w:hAnsi="Times New Roman" w:eastAsia="黑体" w:cs="Times New Roman"/>
      <w:sz w:val="21"/>
      <w:lang w:val="en-US" w:eastAsia="zh-CN" w:bidi="ar-SA"/>
    </w:rPr>
  </w:style>
  <w:style w:type="paragraph" w:customStyle="1" w:styleId="47">
    <w:name w:val="标准文件_正文表标题"/>
    <w:next w:val="44"/>
    <w:qFormat/>
    <w:uiPriority w:val="0"/>
    <w:pPr>
      <w:numPr>
        <w:ilvl w:val="0"/>
        <w:numId w:val="8"/>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48">
    <w:name w:val="标准-一级标题"/>
    <w:basedOn w:val="1"/>
    <w:qFormat/>
    <w:uiPriority w:val="0"/>
    <w:pPr>
      <w:autoSpaceDE w:val="0"/>
      <w:autoSpaceDN w:val="0"/>
      <w:adjustRightInd w:val="0"/>
      <w:spacing w:before="50" w:beforeLines="50" w:after="50" w:afterLines="50" w:line="560" w:lineRule="exact"/>
      <w:ind w:firstLine="640"/>
      <w:jc w:val="left"/>
    </w:pPr>
    <w:rPr>
      <w:rFonts w:hint="eastAsia" w:ascii="黑体" w:hAnsi="黑体" w:eastAsia="黑体" w:cs="仿宋_GB2312"/>
      <w:szCs w:val="32"/>
    </w:rPr>
  </w:style>
  <w:style w:type="paragraph" w:customStyle="1" w:styleId="49">
    <w:name w:val="标准-正文"/>
    <w:basedOn w:val="1"/>
    <w:qFormat/>
    <w:uiPriority w:val="0"/>
    <w:pPr>
      <w:spacing w:line="560" w:lineRule="exact"/>
      <w:ind w:firstLine="640"/>
    </w:pPr>
    <w:rPr>
      <w:rFonts w:hint="eastAsia"/>
      <w:szCs w:val="28"/>
    </w:rPr>
  </w:style>
  <w:style w:type="paragraph" w:customStyle="1" w:styleId="50">
    <w:name w:val="标准-二级标题"/>
    <w:basedOn w:val="1"/>
    <w:qFormat/>
    <w:uiPriority w:val="0"/>
    <w:pPr>
      <w:spacing w:before="50" w:beforeLines="50" w:after="50" w:afterLines="50" w:line="560" w:lineRule="exact"/>
      <w:ind w:firstLine="643"/>
    </w:pPr>
    <w:rPr>
      <w:rFonts w:hint="eastAsia" w:ascii="楷体" w:hAnsi="楷体" w:eastAsia="楷体" w:cs="仿宋_GB2312"/>
      <w:b/>
      <w:szCs w:val="28"/>
    </w:rPr>
  </w:style>
  <w:style w:type="paragraph" w:customStyle="1" w:styleId="51">
    <w:name w:val="标准-三级标准"/>
    <w:basedOn w:val="1"/>
    <w:qFormat/>
    <w:uiPriority w:val="0"/>
    <w:pPr>
      <w:tabs>
        <w:tab w:val="center" w:pos="4201"/>
        <w:tab w:val="right" w:leader="dot" w:pos="9298"/>
      </w:tabs>
      <w:autoSpaceDE w:val="0"/>
      <w:autoSpaceDN w:val="0"/>
      <w:ind w:firstLine="643"/>
      <w:outlineLvl w:val="2"/>
    </w:pPr>
    <w:rPr>
      <w:rFonts w:eastAsia="仿宋"/>
      <w:b/>
      <w:bCs/>
      <w:kern w:val="0"/>
      <w:szCs w:val="32"/>
    </w:rPr>
  </w:style>
  <w:style w:type="paragraph" w:customStyle="1" w:styleId="52">
    <w:name w:val="标准-图片"/>
    <w:basedOn w:val="1"/>
    <w:qFormat/>
    <w:uiPriority w:val="0"/>
    <w:pPr>
      <w:ind w:firstLine="0" w:firstLineChars="0"/>
      <w:jc w:val="center"/>
    </w:pPr>
    <w:rPr>
      <w:rFonts w:hint="eastAsia" w:ascii="仿宋_GB2312" w:hAnsi="仿宋_GB2312"/>
      <w:szCs w:val="28"/>
    </w:rPr>
  </w:style>
  <w:style w:type="paragraph" w:customStyle="1" w:styleId="53">
    <w:name w:val="标准文件_一级项"/>
    <w:qFormat/>
    <w:uiPriority w:val="0"/>
    <w:pPr>
      <w:numPr>
        <w:ilvl w:val="0"/>
        <w:numId w:val="9"/>
      </w:numPr>
    </w:pPr>
    <w:rPr>
      <w:rFonts w:ascii="宋体" w:hAnsi="Times New Roman" w:eastAsia="宋体" w:cs="Times New Roman"/>
      <w:sz w:val="21"/>
      <w:lang w:val="en-US" w:eastAsia="zh-CN" w:bidi="ar-SA"/>
    </w:rPr>
  </w:style>
  <w:style w:type="character" w:customStyle="1" w:styleId="54">
    <w:name w:val="公文-正文 Char"/>
    <w:link w:val="18"/>
    <w:qFormat/>
    <w:uiPriority w:val="0"/>
    <w:rPr>
      <w:rFonts w:hint="eastAsia" w:ascii="Times New Roman" w:hAnsi="Times New Roman" w:eastAsia="仿宋" w:cs="仿宋"/>
      <w:sz w:val="32"/>
      <w:szCs w:val="32"/>
    </w:rPr>
  </w:style>
  <w:style w:type="paragraph" w:customStyle="1" w:styleId="55">
    <w:name w:val="标准文件_表格"/>
    <w:basedOn w:val="44"/>
    <w:qFormat/>
    <w:uiPriority w:val="0"/>
    <w:rPr>
      <w:sz w:val="18"/>
    </w:rPr>
  </w:style>
  <w:style w:type="paragraph" w:customStyle="1" w:styleId="56">
    <w:name w:val="标准文件_二级条标题"/>
    <w:next w:val="44"/>
    <w:qFormat/>
    <w:uiPriority w:val="0"/>
    <w:pPr>
      <w:widowControl w:val="0"/>
      <w:numPr>
        <w:ilvl w:val="3"/>
        <w:numId w:val="10"/>
      </w:numPr>
      <w:spacing w:before="50" w:beforeLines="50" w:after="50" w:afterLines="50"/>
      <w:jc w:val="both"/>
      <w:outlineLvl w:val="2"/>
    </w:pPr>
    <w:rPr>
      <w:rFonts w:ascii="黑体" w:hAnsi="Times New Roman" w:eastAsia="黑体" w:cs="Times New Roman"/>
      <w:sz w:val="21"/>
      <w:lang w:val="en-US" w:eastAsia="zh-CN" w:bidi="ar-SA"/>
    </w:rPr>
  </w:style>
  <w:style w:type="paragraph" w:customStyle="1" w:styleId="57">
    <w:name w:val="标准文件_二级无标题"/>
    <w:basedOn w:val="56"/>
    <w:qFormat/>
    <w:uiPriority w:val="0"/>
    <w:pPr>
      <w:spacing w:before="0" w:beforeLines="0" w:after="0" w:afterLines="0"/>
      <w:outlineLvl w:val="9"/>
    </w:pPr>
    <w:rPr>
      <w:rFonts w:ascii="宋体" w:eastAsia="宋体"/>
    </w:rPr>
  </w:style>
  <w:style w:type="paragraph" w:customStyle="1" w:styleId="58">
    <w:name w:val="标准文件_一级条标题"/>
    <w:basedOn w:val="59"/>
    <w:next w:val="44"/>
    <w:qFormat/>
    <w:uiPriority w:val="0"/>
    <w:pPr>
      <w:numPr>
        <w:ilvl w:val="2"/>
      </w:numPr>
      <w:spacing w:before="50" w:beforeLines="50" w:after="50" w:afterLines="50"/>
      <w:outlineLvl w:val="1"/>
    </w:pPr>
  </w:style>
  <w:style w:type="paragraph" w:customStyle="1" w:styleId="59">
    <w:name w:val="标准文件_章标题"/>
    <w:next w:val="44"/>
    <w:qFormat/>
    <w:uiPriority w:val="0"/>
    <w:pPr>
      <w:numPr>
        <w:ilvl w:val="1"/>
        <w:numId w:val="10"/>
      </w:numPr>
      <w:spacing w:before="100" w:beforeLines="100" w:after="100" w:afterLines="100"/>
      <w:jc w:val="both"/>
      <w:outlineLvl w:val="0"/>
    </w:pPr>
    <w:rPr>
      <w:rFonts w:ascii="黑体" w:hAnsi="Times New Roman" w:eastAsia="黑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7" Type="http://schemas.openxmlformats.org/officeDocument/2006/relationships/fontTable" Target="fontTable.xml"/><Relationship Id="rId46" Type="http://schemas.openxmlformats.org/officeDocument/2006/relationships/numbering" Target="numbering.xml"/><Relationship Id="rId45" Type="http://schemas.openxmlformats.org/officeDocument/2006/relationships/customXml" Target="../customXml/item1.xml"/><Relationship Id="rId44" Type="http://schemas.openxmlformats.org/officeDocument/2006/relationships/image" Target="media/image33.png"/><Relationship Id="rId43" Type="http://schemas.openxmlformats.org/officeDocument/2006/relationships/image" Target="media/image32.png"/><Relationship Id="rId42" Type="http://schemas.openxmlformats.org/officeDocument/2006/relationships/image" Target="media/image31.png"/><Relationship Id="rId41" Type="http://schemas.openxmlformats.org/officeDocument/2006/relationships/image" Target="media/image30.png"/><Relationship Id="rId40" Type="http://schemas.openxmlformats.org/officeDocument/2006/relationships/image" Target="media/image29.png"/><Relationship Id="rId4" Type="http://schemas.openxmlformats.org/officeDocument/2006/relationships/endnotes" Target="endnotes.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jpe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jpe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WWW.YlmF.CoM</Company>
  <Pages>41</Pages>
  <Words>4485</Words>
  <Characters>4563</Characters>
  <Lines>217</Lines>
  <Paragraphs>61</Paragraphs>
  <TotalTime>9</TotalTime>
  <ScaleCrop>false</ScaleCrop>
  <LinksUpToDate>false</LinksUpToDate>
  <CharactersWithSpaces>4569</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2023-08-15T22:51:00Z</dcterms:created>
  <dc:creator>USER</dc:creator>
  <cp:lastModifiedBy>XIEX</cp:lastModifiedBy>
  <cp:lastPrinted>2019-07-12T03:21:00Z</cp:lastPrinted>
  <dcterms:modified xsi:type="dcterms:W3CDTF">2026-05-08T03:54:37Z</dcterms:modified>
  <dc:title>广西地方标准《脱氢枞酸》（征求意见稿）</dc:title>
  <cp:revision>78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07A13B7568594533A592445246BA1583_13</vt:lpwstr>
  </property>
  <property fmtid="{D5CDD505-2E9C-101B-9397-08002B2CF9AE}" pid="4" name="KSOTemplateDocerSaveRecord">
    <vt:lpwstr>eyJoZGlkIjoiZjUwYjRjNDYxNGIzZTYyN2FjOGViYTVlYzI3MTBmMzMiLCJ1c2VySWQiOiI2ODM5ODUzMDMifQ==</vt:lpwstr>
  </property>
</Properties>
</file>