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FCAD8">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团体标准《农业科普</w:t>
      </w:r>
      <w:r>
        <w:rPr>
          <w:rFonts w:hint="eastAsia" w:ascii="方正小标宋简体" w:hAnsi="宋体" w:eastAsia="方正小标宋简体"/>
          <w:color w:val="000000"/>
          <w:sz w:val="44"/>
          <w:szCs w:val="32"/>
          <w:lang w:val="en-US" w:eastAsia="zh-CN"/>
        </w:rPr>
        <w:t>视频</w:t>
      </w:r>
      <w:r>
        <w:rPr>
          <w:rFonts w:hint="eastAsia" w:ascii="方正小标宋简体" w:hAnsi="宋体" w:eastAsia="方正小标宋简体"/>
          <w:color w:val="000000"/>
          <w:sz w:val="44"/>
          <w:szCs w:val="32"/>
        </w:rPr>
        <w:t>作品</w:t>
      </w:r>
      <w:r>
        <w:rPr>
          <w:rFonts w:hint="eastAsia" w:ascii="方正小标宋简体" w:hAnsi="宋体" w:eastAsia="方正小标宋简体"/>
          <w:color w:val="000000"/>
          <w:sz w:val="44"/>
          <w:szCs w:val="32"/>
          <w:lang w:val="en-US" w:eastAsia="zh-CN"/>
        </w:rPr>
        <w:t>评价</w:t>
      </w:r>
      <w:r>
        <w:rPr>
          <w:rFonts w:hint="eastAsia" w:ascii="方正小标宋简体" w:hAnsi="宋体" w:eastAsia="方正小标宋简体"/>
          <w:color w:val="000000"/>
          <w:sz w:val="44"/>
          <w:szCs w:val="32"/>
        </w:rPr>
        <w:t>规范》（</w:t>
      </w:r>
      <w:r>
        <w:rPr>
          <w:rFonts w:hint="eastAsia" w:ascii="方正小标宋简体" w:hAnsi="宋体" w:eastAsia="方正小标宋简体"/>
          <w:color w:val="000000"/>
          <w:sz w:val="44"/>
          <w:szCs w:val="32"/>
          <w:lang w:val="en-US" w:eastAsia="zh-CN"/>
        </w:rPr>
        <w:t>征求意见稿</w:t>
      </w:r>
      <w:r>
        <w:rPr>
          <w:rFonts w:hint="eastAsia" w:ascii="方正小标宋简体" w:hAnsi="宋体" w:eastAsia="方正小标宋简体"/>
          <w:color w:val="000000"/>
          <w:sz w:val="44"/>
          <w:szCs w:val="32"/>
        </w:rPr>
        <w:t>）编制说明</w:t>
      </w:r>
    </w:p>
    <w:p w14:paraId="7545AED6">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p>
    <w:p w14:paraId="0D5136F0">
      <w:pPr>
        <w:pStyle w:val="46"/>
        <w:bidi w:val="0"/>
      </w:pPr>
      <w:r>
        <w:rPr>
          <w:rFonts w:hint="eastAsia"/>
        </w:rPr>
        <w:t>一、任务来源、起草单位、主要起草人</w:t>
      </w:r>
    </w:p>
    <w:p w14:paraId="7FB55DF0">
      <w:pPr>
        <w:pStyle w:val="47"/>
        <w:bidi w:val="0"/>
      </w:pPr>
      <w:r>
        <w:rPr>
          <w:rFonts w:hint="eastAsia"/>
        </w:rPr>
        <w:t>根据《广西标准化协会关于下达202</w:t>
      </w:r>
      <w:r>
        <w:rPr>
          <w:rFonts w:hint="eastAsia"/>
          <w:lang w:val="en-US" w:eastAsia="zh-CN"/>
        </w:rPr>
        <w:t>5</w:t>
      </w:r>
      <w:r>
        <w:rPr>
          <w:rFonts w:hint="eastAsia"/>
        </w:rPr>
        <w:t>年第</w:t>
      </w:r>
      <w:r>
        <w:rPr>
          <w:rFonts w:hint="eastAsia"/>
          <w:lang w:val="en-US" w:eastAsia="zh-CN"/>
        </w:rPr>
        <w:t>一</w:t>
      </w:r>
      <w:r>
        <w:rPr>
          <w:rFonts w:hint="eastAsia"/>
        </w:rPr>
        <w:t>批团体标准制修订项目计划的通知》（桂标协〔202</w:t>
      </w:r>
      <w:r>
        <w:rPr>
          <w:rFonts w:hint="eastAsia"/>
          <w:lang w:val="en-US" w:eastAsia="zh-CN"/>
        </w:rPr>
        <w:t>5</w:t>
      </w:r>
      <w:r>
        <w:rPr>
          <w:rFonts w:hint="eastAsia"/>
        </w:rPr>
        <w:t>〕</w:t>
      </w:r>
      <w:r>
        <w:rPr>
          <w:rFonts w:hint="eastAsia"/>
          <w:lang w:val="en-US" w:eastAsia="zh-CN"/>
        </w:rPr>
        <w:t>7</w:t>
      </w:r>
      <w:r>
        <w:rPr>
          <w:rFonts w:hint="eastAsia"/>
        </w:rPr>
        <w:t>号）文件精神，由广西壮族自治区农业科学院提出，广西壮族自治区亚热带作物研究所、广西标准化协会、农业农村部科技发展中心</w:t>
      </w:r>
      <w:r>
        <w:rPr>
          <w:rFonts w:hint="eastAsia"/>
          <w:highlight w:val="none"/>
          <w:lang w:eastAsia="zh-CN"/>
        </w:rPr>
        <w:t>、</w:t>
      </w:r>
      <w:r>
        <w:rPr>
          <w:rFonts w:hint="eastAsia"/>
        </w:rPr>
        <w:t>云南省热带作物科学研究所等</w:t>
      </w:r>
      <w:r>
        <w:t>单位</w:t>
      </w:r>
      <w:r>
        <w:rPr>
          <w:rFonts w:hint="eastAsia"/>
        </w:rPr>
        <w:t>共同起草的团体标准《农业科普</w:t>
      </w:r>
      <w:r>
        <w:rPr>
          <w:rFonts w:hint="eastAsia"/>
          <w:lang w:val="en-US" w:eastAsia="zh-CN"/>
        </w:rPr>
        <w:t>视频</w:t>
      </w:r>
      <w:r>
        <w:rPr>
          <w:rFonts w:hint="eastAsia"/>
        </w:rPr>
        <w:t>作品</w:t>
      </w:r>
      <w:r>
        <w:rPr>
          <w:rFonts w:hint="eastAsia"/>
          <w:lang w:val="en-US" w:eastAsia="zh-CN"/>
        </w:rPr>
        <w:t>评价</w:t>
      </w:r>
      <w:r>
        <w:rPr>
          <w:rFonts w:hint="eastAsia"/>
        </w:rPr>
        <w:t>规范》</w:t>
      </w:r>
      <w:r>
        <w:rPr>
          <w:rFonts w:hint="eastAsia"/>
          <w:highlight w:val="none"/>
        </w:rPr>
        <w:t>（项目编号：202</w:t>
      </w:r>
      <w:r>
        <w:rPr>
          <w:rFonts w:hint="eastAsia"/>
          <w:highlight w:val="none"/>
          <w:lang w:val="en-US" w:eastAsia="zh-CN"/>
        </w:rPr>
        <w:t>5</w:t>
      </w:r>
      <w:r>
        <w:rPr>
          <w:rFonts w:hint="eastAsia"/>
          <w:highlight w:val="none"/>
        </w:rPr>
        <w:t>-</w:t>
      </w:r>
      <w:r>
        <w:rPr>
          <w:rFonts w:hint="eastAsia"/>
          <w:highlight w:val="none"/>
          <w:lang w:val="en-US" w:eastAsia="zh-CN"/>
        </w:rPr>
        <w:t>0116</w:t>
      </w:r>
      <w:r>
        <w:rPr>
          <w:rFonts w:hint="eastAsia"/>
          <w:highlight w:val="none"/>
        </w:rPr>
        <w:t>）</w:t>
      </w:r>
      <w:r>
        <w:rPr>
          <w:rFonts w:hint="eastAsia"/>
        </w:rPr>
        <w:t>已获批立项。</w:t>
      </w:r>
    </w:p>
    <w:p w14:paraId="134AFA4C">
      <w:pPr>
        <w:pStyle w:val="47"/>
        <w:bidi w:val="0"/>
      </w:pPr>
      <w:r>
        <w:rPr>
          <w:rFonts w:hint="eastAsia"/>
        </w:rPr>
        <w:t>为高质量编制团体标准《农业科普</w:t>
      </w:r>
      <w:r>
        <w:rPr>
          <w:rFonts w:hint="eastAsia"/>
          <w:lang w:val="en-US" w:eastAsia="zh-CN"/>
        </w:rPr>
        <w:t>视频</w:t>
      </w:r>
      <w:r>
        <w:rPr>
          <w:rFonts w:hint="eastAsia"/>
        </w:rPr>
        <w:t>作品</w:t>
      </w:r>
      <w:r>
        <w:rPr>
          <w:rFonts w:hint="eastAsia"/>
          <w:lang w:val="en-US" w:eastAsia="zh-CN"/>
        </w:rPr>
        <w:t>评价</w:t>
      </w:r>
      <w:r>
        <w:rPr>
          <w:rFonts w:hint="eastAsia"/>
        </w:rPr>
        <w:t>规范》，由起草单位成立标准编制工作组并进行如下分工：</w:t>
      </w:r>
    </w:p>
    <w:tbl>
      <w:tblPr>
        <w:tblStyle w:val="11"/>
        <w:tblW w:w="9638" w:type="dxa"/>
        <w:jc w:val="center"/>
        <w:tblLayout w:type="fixed"/>
        <w:tblCellMar>
          <w:top w:w="0" w:type="dxa"/>
          <w:left w:w="108" w:type="dxa"/>
          <w:bottom w:w="0" w:type="dxa"/>
          <w:right w:w="108" w:type="dxa"/>
        </w:tblCellMar>
      </w:tblPr>
      <w:tblGrid>
        <w:gridCol w:w="776"/>
        <w:gridCol w:w="1137"/>
        <w:gridCol w:w="1576"/>
        <w:gridCol w:w="2168"/>
        <w:gridCol w:w="3981"/>
      </w:tblGrid>
      <w:tr w14:paraId="7809343D">
        <w:tblPrEx>
          <w:tblCellMar>
            <w:top w:w="0" w:type="dxa"/>
            <w:left w:w="108" w:type="dxa"/>
            <w:bottom w:w="0" w:type="dxa"/>
            <w:right w:w="108" w:type="dxa"/>
          </w:tblCellMar>
        </w:tblPrEx>
        <w:trPr>
          <w:cantSplit/>
          <w:trHeight w:val="576" w:hRule="atLeast"/>
          <w:jc w:val="center"/>
        </w:trPr>
        <w:tc>
          <w:tcPr>
            <w:tcW w:w="776" w:type="dxa"/>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sz w:val="24"/>
              </w:rPr>
            </w:pPr>
            <w:r>
              <w:rPr>
                <w:rFonts w:eastAsia="仿宋"/>
                <w:b/>
                <w:bCs/>
                <w:sz w:val="24"/>
              </w:rPr>
              <w:t>姓  名</w:t>
            </w:r>
          </w:p>
        </w:tc>
        <w:tc>
          <w:tcPr>
            <w:tcW w:w="1137" w:type="dxa"/>
            <w:tcBorders>
              <w:top w:val="single" w:color="auto" w:sz="4" w:space="0"/>
              <w:left w:val="single" w:color="auto" w:sz="4" w:space="0"/>
              <w:bottom w:val="single" w:color="auto" w:sz="4" w:space="0"/>
              <w:right w:val="single" w:color="auto" w:sz="4" w:space="0"/>
            </w:tcBorders>
            <w:vAlign w:val="center"/>
          </w:tcPr>
          <w:p w14:paraId="05FD9FB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sz w:val="24"/>
              </w:rPr>
            </w:pPr>
            <w:r>
              <w:rPr>
                <w:rFonts w:eastAsia="仿宋"/>
                <w:b/>
                <w:bCs/>
                <w:sz w:val="24"/>
              </w:rPr>
              <w:t>职称/职位</w:t>
            </w:r>
          </w:p>
        </w:tc>
        <w:tc>
          <w:tcPr>
            <w:tcW w:w="1576" w:type="dxa"/>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仿宋"/>
                <w:b/>
                <w:bCs/>
                <w:sz w:val="24"/>
                <w:lang w:val="en-US" w:eastAsia="zh-CN"/>
              </w:rPr>
            </w:pPr>
            <w:r>
              <w:rPr>
                <w:rFonts w:hint="eastAsia" w:eastAsia="仿宋"/>
                <w:b/>
                <w:bCs/>
                <w:sz w:val="24"/>
                <w:lang w:val="en-US" w:eastAsia="zh-CN"/>
              </w:rPr>
              <w:t>从事专业</w:t>
            </w:r>
          </w:p>
        </w:tc>
        <w:tc>
          <w:tcPr>
            <w:tcW w:w="2168" w:type="dxa"/>
            <w:tcBorders>
              <w:top w:val="single" w:color="auto" w:sz="4" w:space="0"/>
              <w:left w:val="single" w:color="auto" w:sz="4" w:space="0"/>
              <w:bottom w:val="single" w:color="auto" w:sz="4" w:space="0"/>
              <w:right w:val="single" w:color="auto" w:sz="4" w:space="0"/>
            </w:tcBorders>
            <w:vAlign w:val="center"/>
          </w:tcPr>
          <w:p w14:paraId="5162798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仿宋"/>
                <w:b/>
                <w:bCs/>
                <w:sz w:val="24"/>
                <w:lang w:val="en-US" w:eastAsia="zh-CN"/>
              </w:rPr>
            </w:pPr>
            <w:r>
              <w:rPr>
                <w:rFonts w:hint="eastAsia" w:eastAsia="仿宋"/>
                <w:b/>
                <w:bCs/>
                <w:sz w:val="24"/>
                <w:lang w:val="en-US" w:eastAsia="zh-CN"/>
              </w:rPr>
              <w:t>工作单位</w:t>
            </w:r>
          </w:p>
        </w:tc>
        <w:tc>
          <w:tcPr>
            <w:tcW w:w="3981" w:type="dxa"/>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sz w:val="24"/>
              </w:rPr>
            </w:pPr>
            <w:r>
              <w:rPr>
                <w:rFonts w:eastAsia="仿宋"/>
                <w:b/>
                <w:bCs/>
                <w:sz w:val="24"/>
              </w:rPr>
              <w:t>主要负责工作</w:t>
            </w:r>
          </w:p>
        </w:tc>
      </w:tr>
      <w:tr w14:paraId="3BA7805A">
        <w:tblPrEx>
          <w:tblCellMar>
            <w:top w:w="0" w:type="dxa"/>
            <w:left w:w="108" w:type="dxa"/>
            <w:bottom w:w="0" w:type="dxa"/>
            <w:right w:w="108" w:type="dxa"/>
          </w:tblCellMar>
        </w:tblPrEx>
        <w:trPr>
          <w:cantSplit/>
          <w:trHeight w:val="732"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刘思朝</w:t>
            </w:r>
          </w:p>
        </w:tc>
        <w:tc>
          <w:tcPr>
            <w:tcW w:w="1137" w:type="dxa"/>
            <w:tcBorders>
              <w:top w:val="single" w:color="auto" w:sz="4" w:space="0"/>
              <w:left w:val="single" w:color="auto" w:sz="4" w:space="0"/>
              <w:bottom w:val="single" w:color="auto" w:sz="4" w:space="0"/>
              <w:right w:val="single" w:color="auto" w:sz="4" w:space="0"/>
            </w:tcBorders>
            <w:vAlign w:val="center"/>
          </w:tcPr>
          <w:p w14:paraId="12102A0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副主任/助理研究员</w:t>
            </w:r>
          </w:p>
        </w:tc>
        <w:tc>
          <w:tcPr>
            <w:tcW w:w="1576" w:type="dxa"/>
            <w:tcBorders>
              <w:top w:val="single" w:color="000000" w:sz="2" w:space="0"/>
              <w:left w:val="single" w:color="auto" w:sz="4" w:space="0"/>
              <w:bottom w:val="single" w:color="auto" w:sz="4" w:space="0"/>
              <w:right w:val="single" w:color="auto" w:sz="4" w:space="0"/>
            </w:tcBorders>
            <w:vAlign w:val="center"/>
          </w:tcPr>
          <w:p w14:paraId="1129FF3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561A5B3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795455FB">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曹琬筝</w:t>
            </w:r>
          </w:p>
        </w:tc>
        <w:tc>
          <w:tcPr>
            <w:tcW w:w="1137" w:type="dxa"/>
            <w:tcBorders>
              <w:top w:val="single" w:color="auto" w:sz="4" w:space="0"/>
              <w:left w:val="single" w:color="auto" w:sz="4" w:space="0"/>
              <w:bottom w:val="single" w:color="auto" w:sz="4" w:space="0"/>
              <w:right w:val="single" w:color="auto" w:sz="4" w:space="0"/>
            </w:tcBorders>
            <w:vAlign w:val="center"/>
          </w:tcPr>
          <w:p w14:paraId="5AB9AB9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专业技术人员</w:t>
            </w:r>
          </w:p>
        </w:tc>
        <w:tc>
          <w:tcPr>
            <w:tcW w:w="1576" w:type="dxa"/>
            <w:tcBorders>
              <w:top w:val="single" w:color="000000" w:sz="2" w:space="0"/>
              <w:left w:val="single" w:color="auto" w:sz="4" w:space="0"/>
              <w:bottom w:val="single" w:color="auto" w:sz="4" w:space="0"/>
              <w:right w:val="single" w:color="auto" w:sz="4" w:space="0"/>
            </w:tcBorders>
            <w:vAlign w:val="center"/>
          </w:tcPr>
          <w:p w14:paraId="1FF99C8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08FA0AA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3373686F">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陆祖双</w:t>
            </w:r>
          </w:p>
        </w:tc>
        <w:tc>
          <w:tcPr>
            <w:tcW w:w="1137" w:type="dxa"/>
            <w:tcBorders>
              <w:top w:val="single" w:color="auto" w:sz="4" w:space="0"/>
              <w:left w:val="single" w:color="auto" w:sz="4" w:space="0"/>
              <w:bottom w:val="single" w:color="auto" w:sz="4" w:space="0"/>
              <w:right w:val="single" w:color="auto" w:sz="4" w:space="0"/>
            </w:tcBorders>
            <w:vAlign w:val="center"/>
          </w:tcPr>
          <w:p w14:paraId="6D7A33A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副主任/高级农艺师</w:t>
            </w:r>
          </w:p>
        </w:tc>
        <w:tc>
          <w:tcPr>
            <w:tcW w:w="1576" w:type="dxa"/>
            <w:tcBorders>
              <w:top w:val="single" w:color="000000" w:sz="2" w:space="0"/>
              <w:left w:val="single" w:color="auto" w:sz="4" w:space="0"/>
              <w:bottom w:val="single" w:color="auto" w:sz="4" w:space="0"/>
              <w:right w:val="single" w:color="auto" w:sz="4" w:space="0"/>
            </w:tcBorders>
            <w:vAlign w:val="center"/>
          </w:tcPr>
          <w:p w14:paraId="041D6D6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科普作品创作</w:t>
            </w:r>
          </w:p>
        </w:tc>
        <w:tc>
          <w:tcPr>
            <w:tcW w:w="2168" w:type="dxa"/>
            <w:tcBorders>
              <w:top w:val="single" w:color="auto" w:sz="4" w:space="0"/>
              <w:left w:val="single" w:color="auto" w:sz="4" w:space="0"/>
              <w:bottom w:val="single" w:color="auto" w:sz="4" w:space="0"/>
              <w:right w:val="single" w:color="auto" w:sz="4" w:space="0"/>
            </w:tcBorders>
            <w:vAlign w:val="center"/>
          </w:tcPr>
          <w:p w14:paraId="085D29B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4DA2C65D">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李鹭</w:t>
            </w:r>
          </w:p>
        </w:tc>
        <w:tc>
          <w:tcPr>
            <w:tcW w:w="1137" w:type="dxa"/>
            <w:tcBorders>
              <w:top w:val="single" w:color="auto" w:sz="4" w:space="0"/>
              <w:left w:val="single" w:color="auto" w:sz="4" w:space="0"/>
              <w:bottom w:val="single" w:color="auto" w:sz="4" w:space="0"/>
              <w:right w:val="single" w:color="auto" w:sz="4" w:space="0"/>
            </w:tcBorders>
            <w:vAlign w:val="center"/>
          </w:tcPr>
          <w:p w14:paraId="4EE4C89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主任科员/中级农艺师</w:t>
            </w:r>
          </w:p>
        </w:tc>
        <w:tc>
          <w:tcPr>
            <w:tcW w:w="1576" w:type="dxa"/>
            <w:tcBorders>
              <w:top w:val="single" w:color="000000" w:sz="2" w:space="0"/>
              <w:left w:val="single" w:color="auto" w:sz="4" w:space="0"/>
              <w:bottom w:val="single" w:color="auto" w:sz="4" w:space="0"/>
              <w:right w:val="single" w:color="auto" w:sz="4" w:space="0"/>
            </w:tcBorders>
            <w:vAlign w:val="center"/>
          </w:tcPr>
          <w:p w14:paraId="39F130E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科普研究</w:t>
            </w:r>
          </w:p>
        </w:tc>
        <w:tc>
          <w:tcPr>
            <w:tcW w:w="2168" w:type="dxa"/>
            <w:tcBorders>
              <w:top w:val="single" w:color="auto" w:sz="4" w:space="0"/>
              <w:left w:val="single" w:color="auto" w:sz="4" w:space="0"/>
              <w:bottom w:val="single" w:color="auto" w:sz="4" w:space="0"/>
              <w:right w:val="single" w:color="auto" w:sz="4" w:space="0"/>
            </w:tcBorders>
            <w:vAlign w:val="center"/>
          </w:tcPr>
          <w:p w14:paraId="1B74C5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农业农村部科技发展中心</w:t>
            </w:r>
          </w:p>
        </w:tc>
        <w:tc>
          <w:tcPr>
            <w:tcW w:w="3981" w:type="dxa"/>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425367DE">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78A0B453">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谢沐新</w:t>
            </w:r>
          </w:p>
        </w:tc>
        <w:tc>
          <w:tcPr>
            <w:tcW w:w="1137" w:type="dxa"/>
            <w:tcBorders>
              <w:top w:val="single" w:color="auto" w:sz="4" w:space="0"/>
              <w:left w:val="single" w:color="auto" w:sz="4" w:space="0"/>
              <w:bottom w:val="single" w:color="auto" w:sz="4" w:space="0"/>
              <w:right w:val="single" w:color="auto" w:sz="4" w:space="0"/>
            </w:tcBorders>
            <w:vAlign w:val="center"/>
          </w:tcPr>
          <w:p w14:paraId="4832CC7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助理工程师</w:t>
            </w:r>
          </w:p>
        </w:tc>
        <w:tc>
          <w:tcPr>
            <w:tcW w:w="1576" w:type="dxa"/>
            <w:tcBorders>
              <w:top w:val="single" w:color="000000" w:sz="2" w:space="0"/>
              <w:left w:val="single" w:color="auto" w:sz="4" w:space="0"/>
              <w:bottom w:val="single" w:color="auto" w:sz="4" w:space="0"/>
              <w:right w:val="single" w:color="auto" w:sz="4" w:space="0"/>
            </w:tcBorders>
            <w:vAlign w:val="center"/>
          </w:tcPr>
          <w:p w14:paraId="5FDBA67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标准化</w:t>
            </w:r>
          </w:p>
        </w:tc>
        <w:tc>
          <w:tcPr>
            <w:tcW w:w="2168" w:type="dxa"/>
            <w:tcBorders>
              <w:top w:val="single" w:color="auto" w:sz="4" w:space="0"/>
              <w:left w:val="single" w:color="auto" w:sz="4" w:space="0"/>
              <w:bottom w:val="single" w:color="auto" w:sz="4" w:space="0"/>
              <w:right w:val="single" w:color="auto" w:sz="4" w:space="0"/>
            </w:tcBorders>
            <w:vAlign w:val="center"/>
          </w:tcPr>
          <w:p w14:paraId="7045FE1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广西标准化协会</w:t>
            </w:r>
          </w:p>
        </w:tc>
        <w:tc>
          <w:tcPr>
            <w:tcW w:w="3981" w:type="dxa"/>
            <w:tcBorders>
              <w:top w:val="single" w:color="auto" w:sz="4" w:space="0"/>
              <w:left w:val="single" w:color="auto" w:sz="4" w:space="0"/>
              <w:bottom w:val="single" w:color="auto" w:sz="4" w:space="0"/>
              <w:right w:val="single" w:color="auto" w:sz="4" w:space="0"/>
            </w:tcBorders>
            <w:vAlign w:val="center"/>
          </w:tcPr>
          <w:p w14:paraId="088DC88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9D732CE">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14C494A8">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覃剑峰</w:t>
            </w:r>
          </w:p>
        </w:tc>
        <w:tc>
          <w:tcPr>
            <w:tcW w:w="1137" w:type="dxa"/>
            <w:tcBorders>
              <w:top w:val="single" w:color="auto" w:sz="4" w:space="0"/>
              <w:left w:val="single" w:color="auto" w:sz="4" w:space="0"/>
              <w:bottom w:val="single" w:color="auto" w:sz="4" w:space="0"/>
              <w:right w:val="single" w:color="auto" w:sz="4" w:space="0"/>
            </w:tcBorders>
            <w:vAlign w:val="center"/>
          </w:tcPr>
          <w:p w14:paraId="54879E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副所长/高级农艺师</w:t>
            </w:r>
          </w:p>
        </w:tc>
        <w:tc>
          <w:tcPr>
            <w:tcW w:w="1576" w:type="dxa"/>
            <w:tcBorders>
              <w:top w:val="single" w:color="000000" w:sz="2" w:space="0"/>
              <w:left w:val="single" w:color="auto" w:sz="4" w:space="0"/>
              <w:bottom w:val="single" w:color="auto" w:sz="4" w:space="0"/>
              <w:right w:val="single" w:color="auto" w:sz="4" w:space="0"/>
            </w:tcBorders>
            <w:vAlign w:val="center"/>
          </w:tcPr>
          <w:p w14:paraId="71E46AB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75EF5CB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62DF414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630B433">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3FC4DAA8">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苏文潘</w:t>
            </w:r>
          </w:p>
        </w:tc>
        <w:tc>
          <w:tcPr>
            <w:tcW w:w="1137" w:type="dxa"/>
            <w:tcBorders>
              <w:top w:val="single" w:color="auto" w:sz="4" w:space="0"/>
              <w:left w:val="single" w:color="auto" w:sz="4" w:space="0"/>
              <w:bottom w:val="single" w:color="auto" w:sz="4" w:space="0"/>
              <w:right w:val="single" w:color="auto" w:sz="4" w:space="0"/>
            </w:tcBorders>
            <w:vAlign w:val="center"/>
          </w:tcPr>
          <w:p w14:paraId="7E05465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专业技术人员/高级农艺师</w:t>
            </w:r>
          </w:p>
        </w:tc>
        <w:tc>
          <w:tcPr>
            <w:tcW w:w="1576" w:type="dxa"/>
            <w:tcBorders>
              <w:top w:val="single" w:color="000000" w:sz="2" w:space="0"/>
              <w:left w:val="single" w:color="auto" w:sz="4" w:space="0"/>
              <w:bottom w:val="single" w:color="000000" w:sz="2" w:space="0"/>
              <w:right w:val="single" w:color="auto" w:sz="4" w:space="0"/>
            </w:tcBorders>
            <w:vAlign w:val="center"/>
          </w:tcPr>
          <w:p w14:paraId="2B68FD6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科普基地管理与建设研究</w:t>
            </w:r>
          </w:p>
        </w:tc>
        <w:tc>
          <w:tcPr>
            <w:tcW w:w="2168" w:type="dxa"/>
            <w:tcBorders>
              <w:top w:val="single" w:color="auto" w:sz="4" w:space="0"/>
              <w:left w:val="single" w:color="auto" w:sz="4" w:space="0"/>
              <w:bottom w:val="single" w:color="auto" w:sz="4" w:space="0"/>
              <w:right w:val="single" w:color="auto" w:sz="4" w:space="0"/>
            </w:tcBorders>
            <w:vAlign w:val="center"/>
          </w:tcPr>
          <w:p w14:paraId="4665921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75CE4B6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60D75F4">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31938B55">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陈致威</w:t>
            </w:r>
          </w:p>
        </w:tc>
        <w:tc>
          <w:tcPr>
            <w:tcW w:w="1137" w:type="dxa"/>
            <w:tcBorders>
              <w:top w:val="single" w:color="auto" w:sz="4" w:space="0"/>
              <w:left w:val="single" w:color="auto" w:sz="4" w:space="0"/>
              <w:bottom w:val="single" w:color="auto" w:sz="4" w:space="0"/>
              <w:right w:val="single" w:color="auto" w:sz="4" w:space="0"/>
            </w:tcBorders>
            <w:vAlign w:val="center"/>
          </w:tcPr>
          <w:p w14:paraId="74F9BD9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专业技术人员/助理研究员</w:t>
            </w:r>
          </w:p>
        </w:tc>
        <w:tc>
          <w:tcPr>
            <w:tcW w:w="1576" w:type="dxa"/>
            <w:tcBorders>
              <w:top w:val="single" w:color="000000" w:sz="2" w:space="0"/>
              <w:left w:val="single" w:color="auto" w:sz="4" w:space="0"/>
              <w:bottom w:val="single" w:color="000000" w:sz="2" w:space="0"/>
              <w:right w:val="single" w:color="auto" w:sz="4" w:space="0"/>
            </w:tcBorders>
            <w:vAlign w:val="center"/>
          </w:tcPr>
          <w:p w14:paraId="2B39F43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0C18AFC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7327F06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DBCCEAD">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73CBFE26">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余炳宁</w:t>
            </w:r>
          </w:p>
        </w:tc>
        <w:tc>
          <w:tcPr>
            <w:tcW w:w="1137" w:type="dxa"/>
            <w:tcBorders>
              <w:top w:val="single" w:color="auto" w:sz="4" w:space="0"/>
              <w:left w:val="single" w:color="auto" w:sz="4" w:space="0"/>
              <w:bottom w:val="single" w:color="auto" w:sz="4" w:space="0"/>
              <w:right w:val="single" w:color="auto" w:sz="4" w:space="0"/>
            </w:tcBorders>
            <w:vAlign w:val="center"/>
          </w:tcPr>
          <w:p w14:paraId="6AB0E78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副主任/高级农艺师</w:t>
            </w:r>
          </w:p>
        </w:tc>
        <w:tc>
          <w:tcPr>
            <w:tcW w:w="1576" w:type="dxa"/>
            <w:tcBorders>
              <w:top w:val="single" w:color="000000" w:sz="2" w:space="0"/>
              <w:left w:val="single" w:color="auto" w:sz="4" w:space="0"/>
              <w:bottom w:val="single" w:color="auto" w:sz="4" w:space="0"/>
              <w:right w:val="single" w:color="auto" w:sz="4" w:space="0"/>
            </w:tcBorders>
            <w:vAlign w:val="center"/>
          </w:tcPr>
          <w:p w14:paraId="7B285E9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科普基地管理与建设研究</w:t>
            </w:r>
          </w:p>
        </w:tc>
        <w:tc>
          <w:tcPr>
            <w:tcW w:w="2168" w:type="dxa"/>
            <w:tcBorders>
              <w:top w:val="single" w:color="auto" w:sz="4" w:space="0"/>
              <w:left w:val="single" w:color="auto" w:sz="4" w:space="0"/>
              <w:bottom w:val="single" w:color="auto" w:sz="4" w:space="0"/>
              <w:right w:val="single" w:color="auto" w:sz="4" w:space="0"/>
            </w:tcBorders>
            <w:vAlign w:val="center"/>
          </w:tcPr>
          <w:p w14:paraId="2C92ECA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23AB532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bl>
    <w:p w14:paraId="6BE1CEB3">
      <w:pPr>
        <w:pStyle w:val="46"/>
        <w:bidi w:val="0"/>
        <w:rPr>
          <w:rFonts w:ascii="黑体" w:hAnsi="黑体" w:eastAsia="黑体" w:cs="仿宋_GB2312"/>
          <w:szCs w:val="32"/>
          <w:highlight w:val="none"/>
        </w:rPr>
      </w:pPr>
      <w:r>
        <w:rPr>
          <w:rFonts w:hint="eastAsia"/>
          <w:highlight w:val="none"/>
        </w:rPr>
        <w:t>二、制定标准的必要性和意义</w:t>
      </w:r>
    </w:p>
    <w:p w14:paraId="25AF54EE">
      <w:pPr>
        <w:pStyle w:val="47"/>
        <w:bidi w:val="0"/>
        <w:rPr>
          <w:rFonts w:hint="eastAsia" w:ascii="仿宋_GB2312" w:eastAsia="仿宋_GB2312"/>
          <w:bCs/>
          <w:sz w:val="32"/>
          <w:szCs w:val="32"/>
          <w:highlight w:val="none"/>
        </w:rPr>
      </w:pPr>
      <w:r>
        <w:rPr>
          <w:rFonts w:hint="eastAsia" w:ascii="仿宋_GB2312" w:eastAsia="仿宋_GB2312"/>
          <w:bCs/>
          <w:sz w:val="32"/>
          <w:szCs w:val="32"/>
          <w:highlight w:val="none"/>
        </w:rPr>
        <w:t>农业科普是实现农业科技创新发展的重要基础性工作，对于提升公众对农业的认知、促进农业科技的应用以及推动农业的可持续发展具有重要意义。</w:t>
      </w:r>
      <w:r>
        <w:rPr>
          <w:rFonts w:hint="eastAsia"/>
        </w:rPr>
        <w:t>《国务院办公厅关于印发全民科学素质行动计划纲要实施方案（2016—2020年）的通知》（国</w:t>
      </w:r>
      <w:r>
        <w:rPr>
          <w:rFonts w:hint="eastAsia"/>
          <w:lang w:val="en-US" w:eastAsia="zh-CN"/>
        </w:rPr>
        <w:t>办</w:t>
      </w:r>
      <w:r>
        <w:rPr>
          <w:rFonts w:hint="eastAsia"/>
        </w:rPr>
        <w:t>发【2016】10号）提出“科技创新、科学普及是实现创新发展的两翼，要把科学普及放在与科技创新同等重要的位置。”科普作品的创作是开展科普工作的重要推动力</w:t>
      </w:r>
      <w:r>
        <w:rPr>
          <w:rFonts w:hint="eastAsia"/>
          <w:lang w:eastAsia="zh-CN"/>
        </w:rPr>
        <w:t>。</w:t>
      </w:r>
      <w:r>
        <w:rPr>
          <w:rFonts w:hint="eastAsia" w:ascii="仿宋_GB2312" w:eastAsia="仿宋_GB2312"/>
          <w:bCs/>
          <w:sz w:val="32"/>
          <w:szCs w:val="32"/>
          <w:highlight w:val="none"/>
        </w:rPr>
        <w:t>同时优秀的农业科普作品传达了正确性高、科学性强、方向性正的农业科普知识。</w:t>
      </w:r>
      <w:r>
        <w:rPr>
          <w:rFonts w:hint="eastAsia"/>
        </w:rPr>
        <w:t>中共中央办公厅、国务院办公厅印发了</w:t>
      </w:r>
      <w:r>
        <w:rPr>
          <w:rFonts w:hint="eastAsia" w:ascii="仿宋_GB2312" w:eastAsia="仿宋_GB2312"/>
          <w:bCs/>
          <w:sz w:val="32"/>
          <w:szCs w:val="32"/>
          <w:highlight w:val="none"/>
        </w:rPr>
        <w:t>《关于新时代进一步加强科学技术普及工作的意见》提出加强科普作品创作，加大对优秀科普作品的推广力度，以满足公众需求为导向，持续提升科普作品原创能力。科技部、中央宣传部、中国科协印发《“十四五”国家科学技术普及发展规划》中提出完善国家、地方科普作品奖评体系，提升优秀作品推介水平，激励更多优秀作品产出。国家自然科学基金委印发《国家自然科学基金委员会关于新时代加强科学普及工作的意见》培育科学基金科普品牌，策划制作高质量科普作品，提高科学基金科普成果宣传的成效。广西壮族自治区科普工作联席会议办公室印发《广西壮族自治区科学技术普及三年行动方案（2024—2026年）》提出加强科普作品创作，定期举办科普作品征集评选活动。不同行业出版、印发了各领域的作品评价标准或指导改革意见。例如中共中央办公厅 国务院办公厅印发《关于全国性文艺评奖制度改革的意见》中提出了规范全国性文艺评奖制度的若干意见，确保文艺作品的高质量发展。中央宣传部等五部门联合印发《关于加强新时代文艺评论工作的指导意见》中提出促进提高文艺作品的精神高度、文化内涵和艺术价值，为人民提供更好更多精神食粮。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作品评价标准化影响着农业科普作品的高质量发展，农业科普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作品是农业科普作品中的重要组成部分，细化农业科普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作品评价规范，有利于构建完整的农业科普作品评价体系，对于提升农业科普作品质量作用巨大，对农业科普知识质量有极大的保障。</w:t>
      </w:r>
    </w:p>
    <w:p w14:paraId="7A02F342">
      <w:pPr>
        <w:pStyle w:val="47"/>
        <w:bidi w:val="0"/>
        <w:rPr>
          <w:rFonts w:hint="eastAsia" w:ascii="仿宋_GB2312" w:eastAsia="仿宋_GB2312"/>
          <w:bCs/>
          <w:sz w:val="32"/>
          <w:szCs w:val="32"/>
          <w:highlight w:val="none"/>
        </w:rPr>
      </w:pPr>
      <w:r>
        <w:rPr>
          <w:rFonts w:hint="eastAsia" w:ascii="仿宋_GB2312" w:eastAsia="仿宋_GB2312"/>
          <w:bCs/>
          <w:sz w:val="32"/>
          <w:szCs w:val="32"/>
          <w:highlight w:val="none"/>
        </w:rPr>
        <w:t>首届全国农产品质量安全科普大赛共有28个省份257家单位参与，推荐了518个科普作品；黑龙江省现代化农业科普作品征集评选活动，共收到部门推荐和社会机构、个人自荐作品125部；2024年武汉市健康科普大赛有110家参赛单位参与，共选送了915件参赛科普作品；2024年广东药品科普创作大赛，收到来自11个省（区）160余家参赛单位和个人的作品共1600多个；2024年，广西壮族自治区科协、自治区教育厅、自治区科技厅等承办了第二届广西网络科普作品创作大赛，共收到科普作品、新媒体科普作品、科普微视频作品921件；广西壮族自治区农业农村厅正在举办第二届“牛人桂农技”短视频大赛，征求符合党的方针政策，内容积极向上，呈现农业人才风采，突出广西地域特色的短视频作品。各类科普作品比赛如雨后春笋，源源不断，数量日益增多，评选高质量科普作品对科普知识传播具有重要作用。而相较于传统科普作品，新媒体时代下的</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科普作品有着更强的互动性。</w:t>
      </w:r>
    </w:p>
    <w:p w14:paraId="2F4B5879">
      <w:pPr>
        <w:pStyle w:val="47"/>
        <w:bidi w:val="0"/>
        <w:rPr>
          <w:rFonts w:hint="eastAsia" w:ascii="仿宋_GB2312" w:eastAsia="仿宋_GB2312"/>
          <w:bCs/>
          <w:sz w:val="32"/>
          <w:szCs w:val="32"/>
          <w:highlight w:val="none"/>
        </w:rPr>
      </w:pPr>
      <w:r>
        <w:rPr>
          <w:rFonts w:hint="eastAsia" w:ascii="仿宋_GB2312" w:eastAsia="仿宋_GB2312"/>
          <w:bCs/>
          <w:sz w:val="32"/>
          <w:szCs w:val="32"/>
          <w:highlight w:val="none"/>
        </w:rPr>
        <w:t>农业科普工作对推动农业科技成果转化和应用有着非常重要的作用。优秀的农业科普作品在推动农业科学知识传播、提升国民农业素质方面发挥了积极作用，保证农业科普作品的质量是推动农业科普高质量发展的重要手段，是培养宏大的农业高素质创新大军的重要途径，是增强国家自主创新能力和文化软实力、建设社会主义现代化强国的重要举措。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作品评价规范，有利于完善农业科普作品评价体系的内容，掌控农业科普知识的质量。</w:t>
      </w:r>
    </w:p>
    <w:p w14:paraId="25B1EBEC">
      <w:pPr>
        <w:pStyle w:val="47"/>
        <w:bidi w:val="0"/>
        <w:rPr>
          <w:rFonts w:hint="eastAsia" w:ascii="仿宋_GB2312" w:eastAsia="仿宋_GB2312"/>
          <w:bCs/>
          <w:sz w:val="32"/>
          <w:szCs w:val="32"/>
          <w:highlight w:val="none"/>
        </w:rPr>
      </w:pPr>
      <w:r>
        <w:rPr>
          <w:rFonts w:hint="eastAsia" w:ascii="仿宋_GB2312" w:eastAsia="仿宋_GB2312"/>
          <w:bCs/>
          <w:sz w:val="32"/>
          <w:szCs w:val="32"/>
          <w:highlight w:val="none"/>
        </w:rPr>
        <w:t>中国科协科普标准制修订计划（2021—2025年）中强调，科普评价标准对整个科普工作起着可持续的提升作用，有助于形成管理闭环，促进科普水平、效果和成果的螺旋式上升。优秀的科普作品还可以作为《自然科学研究系列科普专业技术职务任职资格》申报材料之一，帮助科研技术人员获得高职称，增加我国优秀的科研人才力量，完善我国的高层次人才培养方案。科普作品评价标准的制定，为科研技术人员提供了明确的职称申报目标，同时统一的评价标准提供了公平竞争的科研环境，激励科研人员提升自我素质，从而创作高质量科普作品，以促进科研质量的提升。</w:t>
      </w:r>
    </w:p>
    <w:p w14:paraId="7A493052">
      <w:pPr>
        <w:pStyle w:val="47"/>
        <w:bidi w:val="0"/>
        <w:rPr>
          <w:rFonts w:ascii="仿宋_GB2312" w:hAnsi="宋体" w:eastAsia="仿宋_GB2312"/>
          <w:sz w:val="32"/>
          <w:szCs w:val="28"/>
          <w:highlight w:val="none"/>
        </w:rPr>
      </w:pPr>
      <w:r>
        <w:rPr>
          <w:rFonts w:hint="eastAsia" w:ascii="仿宋_GB2312" w:eastAsia="仿宋_GB2312"/>
          <w:bCs/>
          <w:sz w:val="32"/>
          <w:szCs w:val="32"/>
          <w:highlight w:val="none"/>
        </w:rPr>
        <w:t>为进一步加强农业科普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管理工作，提升科普服务，通过制定团体标准《农业科普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规范》，以标准为抓手</w:t>
      </w:r>
      <w:r>
        <w:rPr>
          <w:rFonts w:hint="eastAsia" w:ascii="仿宋_GB2312"/>
          <w:bCs/>
          <w:sz w:val="32"/>
          <w:szCs w:val="32"/>
          <w:highlight w:val="none"/>
          <w:lang w:eastAsia="zh-CN"/>
        </w:rPr>
        <w:t>，</w:t>
      </w:r>
      <w:r>
        <w:rPr>
          <w:rFonts w:hint="eastAsia" w:ascii="仿宋_GB2312"/>
          <w:bCs/>
          <w:sz w:val="32"/>
          <w:szCs w:val="32"/>
          <w:highlight w:val="none"/>
          <w:lang w:val="en-US" w:eastAsia="zh-CN"/>
        </w:rPr>
        <w:t>统一</w:t>
      </w:r>
      <w:r>
        <w:rPr>
          <w:rFonts w:hint="eastAsia" w:ascii="仿宋_GB2312" w:eastAsia="仿宋_GB2312"/>
          <w:bCs/>
          <w:sz w:val="32"/>
          <w:szCs w:val="32"/>
          <w:highlight w:val="none"/>
        </w:rPr>
        <w:t>规范农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要求，</w:t>
      </w:r>
      <w:r>
        <w:rPr>
          <w:rFonts w:hint="eastAsia" w:ascii="仿宋_GB2312" w:hAnsi="宋体" w:eastAsia="仿宋_GB2312"/>
          <w:sz w:val="32"/>
          <w:szCs w:val="28"/>
          <w:highlight w:val="none"/>
        </w:rPr>
        <w:t>用标准化和规范化将更好的确保</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highlight w:val="none"/>
        </w:rPr>
        <w:t>要求，</w:t>
      </w:r>
      <w:r>
        <w:rPr>
          <w:rFonts w:hint="eastAsia" w:ascii="仿宋_GB2312" w:eastAsia="仿宋_GB2312"/>
          <w:bCs/>
          <w:sz w:val="32"/>
          <w:szCs w:val="32"/>
          <w:highlight w:val="none"/>
        </w:rPr>
        <w:t>对推动农业知识科普传播，提升农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的质量和水平，促进科普事业的健康发展，为公众提供更加优质、可靠的科普服务具有重要意义。</w:t>
      </w:r>
    </w:p>
    <w:p w14:paraId="64CFA7EF">
      <w:pPr>
        <w:pStyle w:val="46"/>
        <w:bidi w:val="0"/>
        <w:rPr>
          <w:rFonts w:ascii="黑体" w:hAnsi="黑体" w:eastAsia="黑体" w:cs="仿宋_GB2312"/>
          <w:szCs w:val="32"/>
        </w:rPr>
      </w:pPr>
      <w:r>
        <w:rPr>
          <w:rFonts w:hint="eastAsia"/>
        </w:rPr>
        <w:t>三、主要起草过程</w:t>
      </w:r>
    </w:p>
    <w:p w14:paraId="0D6A5644">
      <w:pPr>
        <w:pStyle w:val="48"/>
        <w:bidi w:val="0"/>
        <w:rPr>
          <w:rFonts w:ascii="楷体" w:hAnsi="楷体" w:eastAsia="楷体"/>
          <w:szCs w:val="28"/>
        </w:rPr>
      </w:pPr>
      <w:r>
        <w:rPr>
          <w:rFonts w:hint="eastAsia"/>
        </w:rPr>
        <w:t>（一）成立标准编制工作组</w:t>
      </w:r>
    </w:p>
    <w:p w14:paraId="437C2B65">
      <w:pPr>
        <w:pStyle w:val="47"/>
        <w:bidi w:val="0"/>
        <w:rPr>
          <w:rFonts w:ascii="仿宋_GB2312" w:hAnsi="宋体" w:eastAsia="仿宋_GB2312"/>
          <w:sz w:val="32"/>
          <w:szCs w:val="28"/>
        </w:rPr>
      </w:pPr>
      <w:r>
        <w:rPr>
          <w:rFonts w:hint="eastAsia" w:ascii="仿宋_GB2312" w:hAnsi="宋体" w:eastAsia="仿宋_GB2312"/>
          <w:sz w:val="32"/>
          <w:szCs w:val="28"/>
        </w:rPr>
        <w:t>团</w:t>
      </w:r>
      <w:r>
        <w:rPr>
          <w:rFonts w:hint="eastAsia" w:ascii="仿宋_GB2312" w:hAnsi="宋体" w:eastAsia="仿宋_GB2312"/>
          <w:sz w:val="32"/>
          <w:szCs w:val="28"/>
          <w:highlight w:val="none"/>
        </w:rPr>
        <w:t>体标准《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规范</w:t>
      </w:r>
      <w:r>
        <w:rPr>
          <w:rFonts w:hint="eastAsia" w:ascii="仿宋_GB2312" w:hAnsi="宋体" w:eastAsia="仿宋_GB2312"/>
          <w:sz w:val="32"/>
          <w:szCs w:val="28"/>
          <w:highlight w:val="none"/>
        </w:rPr>
        <w:t>》项目任务下达后，广西壮族自治区农业科学院成立了标准编制工作组，起草单位制定了起草编写方案与进度安排，明确任务职</w:t>
      </w:r>
      <w:r>
        <w:rPr>
          <w:rFonts w:hint="eastAsia" w:ascii="仿宋_GB2312" w:hAnsi="宋体" w:eastAsia="仿宋_GB2312"/>
          <w:sz w:val="32"/>
          <w:szCs w:val="28"/>
        </w:rPr>
        <w:t>责，确定工作技术路线，开展标准研制工作。具体标准编制工作由广西壮族自治区亚热带作物研究所、广西标准化协会、农业农村部科技发展中心</w:t>
      </w:r>
      <w:r>
        <w:rPr>
          <w:rFonts w:hint="eastAsia" w:ascii="仿宋_GB2312" w:hAnsi="宋体"/>
          <w:sz w:val="32"/>
          <w:szCs w:val="28"/>
          <w:lang w:eastAsia="zh-CN"/>
        </w:rPr>
        <w:t>、</w:t>
      </w:r>
      <w:r>
        <w:rPr>
          <w:rFonts w:hint="eastAsia" w:ascii="仿宋_GB2312" w:hAnsi="宋体" w:eastAsia="仿宋_GB2312"/>
          <w:sz w:val="32"/>
          <w:szCs w:val="28"/>
        </w:rPr>
        <w:t>云南省热带作物科学研究所等单位负责人组成的标准编制工作组完成。</w:t>
      </w:r>
    </w:p>
    <w:p w14:paraId="0D99A07B">
      <w:pPr>
        <w:pStyle w:val="47"/>
        <w:bidi w:val="0"/>
      </w:pPr>
      <w:r>
        <w:rPr>
          <w:rFonts w:hint="eastAsia"/>
        </w:rPr>
        <w:t>编制工作组下设三个组，分别是资料收集组、草案编写组、标准实施组。</w:t>
      </w:r>
    </w:p>
    <w:p w14:paraId="59AE398B">
      <w:pPr>
        <w:pStyle w:val="47"/>
        <w:bidi w:val="0"/>
      </w:pPr>
      <w:r>
        <w:rPr>
          <w:rFonts w:hint="eastAsia"/>
        </w:rPr>
        <w:t>资料收集组负责国内外有关</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的文献资料的查询、收集和整理工作，查阅前人对</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的研究情况。</w:t>
      </w:r>
    </w:p>
    <w:p w14:paraId="0BE25F71">
      <w:pPr>
        <w:pStyle w:val="47"/>
        <w:bidi w:val="0"/>
      </w:pPr>
      <w:r>
        <w:rPr>
          <w:rFonts w:hint="eastAsia"/>
        </w:rPr>
        <w:t>草案编写组负责起草标准草案、征求意见稿和标准编制说明、送审稿及编制说明的编写工作，包括后期召开征求意见会、网上征求意见，以及标准的不断修改和完善。</w:t>
      </w:r>
    </w:p>
    <w:p w14:paraId="067432A5">
      <w:pPr>
        <w:pStyle w:val="47"/>
        <w:bidi w:val="0"/>
      </w:pPr>
      <w:r>
        <w:rPr>
          <w:rFonts w:hint="eastAsia"/>
        </w:rPr>
        <w:t>标准实施组负责团体标准《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规范》发布后，组织相关企事业单位开展标准宣贯培训会，对标准进行详细解读，让相关人员了解标准，并根据标准对</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作品创作</w:t>
      </w:r>
      <w:r>
        <w:rPr>
          <w:rFonts w:hint="eastAsia" w:ascii="仿宋_GB2312"/>
          <w:bCs/>
          <w:sz w:val="32"/>
          <w:szCs w:val="32"/>
          <w:highlight w:val="none"/>
          <w:lang w:val="en-US" w:eastAsia="zh-CN"/>
        </w:rPr>
        <w:t>工作</w:t>
      </w:r>
      <w:r>
        <w:rPr>
          <w:rFonts w:hint="eastAsia"/>
        </w:rPr>
        <w:t>进行规范化操作，并对标准实施情况进行总结分析，不断对团体标准提出修正意见。</w:t>
      </w:r>
    </w:p>
    <w:p w14:paraId="32C78715">
      <w:pPr>
        <w:pStyle w:val="48"/>
        <w:bidi w:val="0"/>
        <w:rPr>
          <w:rFonts w:ascii="楷体" w:hAnsi="楷体" w:eastAsia="楷体" w:cs="仿宋_GB2312"/>
          <w:b/>
          <w:szCs w:val="28"/>
          <w:highlight w:val="none"/>
        </w:rPr>
      </w:pPr>
      <w:r>
        <w:rPr>
          <w:rFonts w:hint="eastAsia"/>
          <w:highlight w:val="none"/>
        </w:rPr>
        <w:t>（二）收集整理文献资料</w:t>
      </w:r>
    </w:p>
    <w:p w14:paraId="2B9611BD">
      <w:pPr>
        <w:pStyle w:val="47"/>
        <w:bidi w:val="0"/>
        <w:rPr>
          <w:rFonts w:ascii="仿宋_GB2312" w:hAnsi="宋体" w:eastAsia="仿宋_GB2312"/>
          <w:sz w:val="32"/>
          <w:szCs w:val="28"/>
          <w:highlight w:val="none"/>
          <w:lang w:val="fr-FR"/>
        </w:rPr>
      </w:pPr>
      <w:r>
        <w:rPr>
          <w:rFonts w:hint="eastAsia" w:ascii="仿宋_GB2312" w:hAnsi="宋体" w:eastAsia="仿宋_GB2312"/>
          <w:sz w:val="32"/>
          <w:szCs w:val="28"/>
          <w:highlight w:val="none"/>
        </w:rPr>
        <w:t>标准编制工作组收集了国内有关</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highlight w:val="none"/>
        </w:rPr>
        <w:t>相关文献资料。主要有</w:t>
      </w:r>
      <w:r>
        <w:rPr>
          <w:rFonts w:hint="eastAsia" w:ascii="仿宋_GB2312" w:hAnsi="宋体" w:eastAsia="仿宋_GB2312"/>
          <w:sz w:val="32"/>
          <w:szCs w:val="28"/>
          <w:highlight w:val="none"/>
          <w:lang w:val="fr-FR"/>
        </w:rPr>
        <w:t>：</w:t>
      </w:r>
    </w:p>
    <w:p w14:paraId="1E997B93">
      <w:pPr>
        <w:pStyle w:val="47"/>
        <w:bidi w:val="0"/>
        <w:rPr>
          <w:rFonts w:hint="eastAsia"/>
          <w:highlight w:val="none"/>
          <w:lang w:eastAsia="zh-CN"/>
        </w:rPr>
      </w:pPr>
      <w:r>
        <w:rPr>
          <w:rFonts w:hint="eastAsia"/>
          <w:highlight w:val="none"/>
          <w:lang w:eastAsia="zh-CN"/>
        </w:rPr>
        <w:t>《GB/T 42421—2023  数字科普资源质量要求》《T/CFRTA 0005—2025  科普视听内容分类及分级评价体系》《</w:t>
      </w:r>
      <w:r>
        <w:rPr>
          <w:rFonts w:hint="eastAsia"/>
          <w:color w:val="auto"/>
          <w:highlight w:val="none"/>
        </w:rPr>
        <w:t>T/</w:t>
      </w:r>
      <w:r>
        <w:rPr>
          <w:rFonts w:hint="eastAsia"/>
          <w:color w:val="auto"/>
          <w:highlight w:val="none"/>
          <w:lang w:val="en-US" w:eastAsia="zh-CN"/>
        </w:rPr>
        <w:t>CSWA</w:t>
      </w:r>
      <w:r>
        <w:rPr>
          <w:rFonts w:hint="eastAsia"/>
          <w:color w:val="auto"/>
          <w:highlight w:val="none"/>
        </w:rPr>
        <w:t xml:space="preserve"> </w:t>
      </w:r>
      <w:r>
        <w:rPr>
          <w:rFonts w:hint="eastAsia"/>
          <w:color w:val="auto"/>
          <w:highlight w:val="none"/>
          <w:lang w:val="en-US" w:eastAsia="zh-CN"/>
        </w:rPr>
        <w:t>001</w:t>
      </w:r>
      <w:r>
        <w:rPr>
          <w:rFonts w:hint="eastAsia"/>
          <w:color w:val="auto"/>
          <w:highlight w:val="none"/>
        </w:rPr>
        <w:t xml:space="preserve">—2023 </w:t>
      </w:r>
      <w:r>
        <w:rPr>
          <w:color w:val="auto"/>
          <w:highlight w:val="none"/>
        </w:rPr>
        <w:t xml:space="preserve"> </w:t>
      </w:r>
      <w:r>
        <w:rPr>
          <w:rFonts w:hint="eastAsia"/>
          <w:color w:val="auto"/>
          <w:highlight w:val="none"/>
          <w:lang w:val="en-US" w:eastAsia="zh-CN"/>
        </w:rPr>
        <w:t>科普视频评价指标体系</w:t>
      </w:r>
      <w:r>
        <w:rPr>
          <w:rFonts w:hint="eastAsia"/>
          <w:highlight w:val="none"/>
          <w:lang w:eastAsia="zh-CN"/>
        </w:rPr>
        <w:t>》《</w:t>
      </w:r>
      <w:r>
        <w:rPr>
          <w:rFonts w:hint="default"/>
          <w:color w:val="auto"/>
          <w:lang w:val="en-US" w:eastAsia="zh-CN"/>
        </w:rPr>
        <w:t>T/GXAS 1177—2025</w:t>
      </w:r>
      <w:r>
        <w:rPr>
          <w:rFonts w:hint="eastAsia"/>
          <w:color w:val="auto"/>
          <w:lang w:val="en-US" w:eastAsia="zh-CN"/>
        </w:rPr>
        <w:t xml:space="preserve">  农业科普视频作品创作工作规范</w:t>
      </w:r>
      <w:r>
        <w:rPr>
          <w:rFonts w:hint="eastAsia"/>
          <w:highlight w:val="none"/>
          <w:lang w:eastAsia="zh-CN"/>
        </w:rPr>
        <w:t>》《</w:t>
      </w:r>
      <w:r>
        <w:rPr>
          <w:rFonts w:hint="eastAsia"/>
          <w:color w:val="auto"/>
          <w:highlight w:val="none"/>
        </w:rPr>
        <w:t>科普短视频评价指标体系：概念澄明、价值审思与构建路径</w:t>
      </w:r>
      <w:r>
        <w:rPr>
          <w:rFonts w:hint="eastAsia"/>
          <w:highlight w:val="none"/>
          <w:lang w:eastAsia="zh-CN"/>
        </w:rPr>
        <w:t>》《</w:t>
      </w:r>
      <w:r>
        <w:rPr>
          <w:rFonts w:hint="eastAsia"/>
          <w:color w:val="auto"/>
          <w:lang w:val="en-US" w:eastAsia="zh-CN"/>
        </w:rPr>
        <w:t>新媒体健康科普作品传播影响力评价指标体系的构建</w:t>
      </w:r>
      <w:r>
        <w:rPr>
          <w:rFonts w:hint="eastAsia"/>
          <w:highlight w:val="none"/>
          <w:lang w:eastAsia="zh-CN"/>
        </w:rPr>
        <w:t>》《</w:t>
      </w:r>
      <w:r>
        <w:rPr>
          <w:rFonts w:hint="eastAsia"/>
          <w:color w:val="auto"/>
          <w:lang w:val="en-US" w:eastAsia="zh-CN"/>
        </w:rPr>
        <w:t>影视作品影响力评价指标体系和评价方法研究</w:t>
      </w:r>
      <w:r>
        <w:rPr>
          <w:rFonts w:hint="eastAsia"/>
          <w:highlight w:val="none"/>
          <w:lang w:eastAsia="zh-CN"/>
        </w:rPr>
        <w:t>》。</w:t>
      </w:r>
    </w:p>
    <w:p w14:paraId="44937C7D">
      <w:pPr>
        <w:spacing w:before="156" w:beforeLines="50" w:after="156" w:afterLines="50" w:line="560" w:lineRule="exact"/>
        <w:ind w:firstLine="643" w:firstLineChars="200"/>
        <w:rPr>
          <w:rFonts w:ascii="楷体" w:hAnsi="楷体" w:eastAsia="楷体" w:cs="仿宋_GB2312"/>
          <w:b/>
          <w:sz w:val="32"/>
          <w:szCs w:val="28"/>
          <w:highlight w:val="none"/>
        </w:rPr>
      </w:pPr>
      <w:r>
        <w:rPr>
          <w:rFonts w:hint="eastAsia" w:ascii="楷体" w:hAnsi="楷体" w:eastAsia="楷体" w:cs="仿宋_GB2312"/>
          <w:b/>
          <w:sz w:val="32"/>
          <w:szCs w:val="28"/>
          <w:highlight w:val="none"/>
        </w:rPr>
        <w:t>（三）研讨确定标准</w:t>
      </w:r>
      <w:r>
        <w:rPr>
          <w:rFonts w:hint="eastAsia" w:ascii="楷体" w:hAnsi="楷体" w:eastAsia="楷体" w:cs="仿宋_GB2312"/>
          <w:b/>
          <w:sz w:val="32"/>
          <w:szCs w:val="28"/>
          <w:highlight w:val="none"/>
          <w:lang w:eastAsia="zh-CN"/>
        </w:rPr>
        <w:t>特色、创新点和</w:t>
      </w:r>
      <w:r>
        <w:rPr>
          <w:rFonts w:hint="eastAsia" w:ascii="楷体" w:hAnsi="楷体" w:eastAsia="楷体" w:cs="仿宋_GB2312"/>
          <w:b/>
          <w:sz w:val="32"/>
          <w:szCs w:val="28"/>
          <w:highlight w:val="none"/>
        </w:rPr>
        <w:t>主体内容</w:t>
      </w:r>
    </w:p>
    <w:p w14:paraId="4ED61EBE">
      <w:pPr>
        <w:pStyle w:val="49"/>
        <w:bidi w:val="0"/>
        <w:rPr>
          <w:rFonts w:hint="eastAsia"/>
          <w:lang w:val="en-US" w:eastAsia="zh-CN"/>
        </w:rPr>
      </w:pPr>
      <w:r>
        <w:rPr>
          <w:rFonts w:hint="eastAsia"/>
          <w:lang w:val="en-US" w:eastAsia="zh-CN"/>
        </w:rPr>
        <w:t>1.特色</w:t>
      </w:r>
    </w:p>
    <w:p w14:paraId="3EBA38B2">
      <w:pPr>
        <w:ind w:firstLine="640"/>
        <w:rPr>
          <w:rFonts w:ascii="仿宋_GB2312" w:hAnsi="宋体"/>
          <w:szCs w:val="28"/>
        </w:rPr>
      </w:pPr>
      <w:r>
        <w:rPr>
          <w:rFonts w:hint="eastAsia" w:ascii="仿宋_GB2312" w:hAnsi="宋体"/>
          <w:szCs w:val="28"/>
        </w:rPr>
        <w:t>本</w:t>
      </w:r>
      <w:r>
        <w:rPr>
          <w:rFonts w:ascii="仿宋_GB2312" w:hAnsi="宋体"/>
          <w:szCs w:val="28"/>
        </w:rPr>
        <w:t>标准依托</w:t>
      </w:r>
      <w:r>
        <w:rPr>
          <w:rFonts w:hint="eastAsia" w:ascii="仿宋_GB2312" w:hAnsi="宋体"/>
          <w:szCs w:val="28"/>
        </w:rPr>
        <w:t>于广西壮族自治区亚热带作物研究所等</w:t>
      </w:r>
      <w:r>
        <w:rPr>
          <w:rFonts w:hint="eastAsia" w:ascii="仿宋_GB2312" w:hAnsi="宋体"/>
          <w:szCs w:val="28"/>
          <w:lang w:eastAsia="zh-CN"/>
        </w:rPr>
        <w:t>农业科普</w:t>
      </w:r>
      <w:r>
        <w:rPr>
          <w:rFonts w:hint="eastAsia" w:ascii="仿宋_GB2312" w:hAnsi="宋体"/>
          <w:szCs w:val="28"/>
          <w:lang w:val="en-US" w:eastAsia="zh-CN"/>
        </w:rPr>
        <w:t>视频</w:t>
      </w:r>
      <w:r>
        <w:rPr>
          <w:rFonts w:hint="eastAsia" w:ascii="仿宋_GB2312" w:hAnsi="宋体"/>
          <w:szCs w:val="28"/>
          <w:lang w:eastAsia="zh-CN"/>
        </w:rPr>
        <w:t>作品创作</w:t>
      </w:r>
      <w:r>
        <w:rPr>
          <w:rFonts w:ascii="仿宋_GB2312" w:hAnsi="宋体"/>
          <w:szCs w:val="28"/>
        </w:rPr>
        <w:t>经验，</w:t>
      </w:r>
      <w:r>
        <w:rPr>
          <w:rFonts w:hint="eastAsia" w:ascii="仿宋_GB2312" w:hAnsi="宋体"/>
          <w:szCs w:val="28"/>
        </w:rPr>
        <w:t>提出了农业科普视频作品的</w:t>
      </w:r>
      <w:r>
        <w:rPr>
          <w:rFonts w:hint="eastAsia" w:ascii="仿宋_GB2312" w:hAnsi="宋体"/>
          <w:szCs w:val="28"/>
          <w:lang w:val="en-US" w:eastAsia="zh-CN"/>
        </w:rPr>
        <w:t>评价</w:t>
      </w:r>
      <w:r>
        <w:rPr>
          <w:rFonts w:hint="eastAsia" w:ascii="仿宋_GB2312" w:hAnsi="宋体"/>
          <w:szCs w:val="28"/>
        </w:rPr>
        <w:t>流程</w:t>
      </w:r>
      <w:r>
        <w:rPr>
          <w:rFonts w:hint="eastAsia" w:ascii="仿宋_GB2312" w:hAnsi="宋体"/>
          <w:szCs w:val="28"/>
          <w:highlight w:val="none"/>
          <w:lang w:eastAsia="zh-CN"/>
        </w:rPr>
        <w:t>，</w:t>
      </w:r>
      <w:r>
        <w:rPr>
          <w:rFonts w:hint="eastAsia" w:hAnsi="宋体"/>
          <w:color w:val="auto"/>
          <w:sz w:val="32"/>
          <w:szCs w:val="32"/>
          <w:highlight w:val="none"/>
          <w:lang w:val="en-US" w:eastAsia="zh-CN"/>
        </w:rPr>
        <w:t>从评价内容、评价方法、评价流程及要求</w:t>
      </w:r>
      <w:r>
        <w:rPr>
          <w:rFonts w:hint="eastAsia" w:ascii="仿宋_GB2312" w:hAnsi="宋体"/>
          <w:szCs w:val="28"/>
          <w:highlight w:val="none"/>
          <w:lang w:val="en-US" w:eastAsia="zh-CN"/>
        </w:rPr>
        <w:t>等方面提出相关要求</w:t>
      </w:r>
      <w:r>
        <w:rPr>
          <w:rFonts w:hint="eastAsia" w:ascii="仿宋_GB2312" w:hAnsi="宋体"/>
          <w:szCs w:val="28"/>
          <w:highlight w:val="none"/>
        </w:rPr>
        <w:t>，使农业</w:t>
      </w:r>
      <w:r>
        <w:rPr>
          <w:rFonts w:ascii="仿宋_GB2312" w:hAnsi="宋体"/>
          <w:szCs w:val="28"/>
          <w:highlight w:val="none"/>
        </w:rPr>
        <w:t>科普</w:t>
      </w:r>
      <w:r>
        <w:rPr>
          <w:rFonts w:hint="eastAsia" w:ascii="仿宋_GB2312" w:hAnsi="宋体"/>
          <w:szCs w:val="28"/>
          <w:highlight w:val="none"/>
          <w:lang w:val="en-US" w:eastAsia="zh-CN"/>
        </w:rPr>
        <w:t>视频作品评价的</w:t>
      </w:r>
      <w:r>
        <w:rPr>
          <w:rFonts w:hint="eastAsia" w:ascii="仿宋_GB2312" w:hAnsi="宋体"/>
          <w:szCs w:val="28"/>
          <w:highlight w:val="none"/>
        </w:rPr>
        <w:t>内容更加标准化、规范化，从而为公众获取</w:t>
      </w:r>
      <w:r>
        <w:rPr>
          <w:rFonts w:hint="default" w:ascii="仿宋_GB2312" w:hAnsi="宋体"/>
          <w:szCs w:val="28"/>
          <w:highlight w:val="none"/>
          <w:lang w:val="en-US"/>
        </w:rPr>
        <w:t>农业</w:t>
      </w:r>
      <w:r>
        <w:rPr>
          <w:rFonts w:hint="eastAsia" w:ascii="仿宋_GB2312" w:hAnsi="宋体"/>
          <w:szCs w:val="28"/>
          <w:highlight w:val="none"/>
        </w:rPr>
        <w:t>科普知识的准确性提供了保障。</w:t>
      </w:r>
    </w:p>
    <w:p w14:paraId="3DAD6A56">
      <w:pPr>
        <w:pStyle w:val="49"/>
        <w:bidi w:val="0"/>
        <w:rPr>
          <w:rFonts w:hint="eastAsia"/>
          <w:lang w:val="en-US" w:eastAsia="zh-CN"/>
        </w:rPr>
      </w:pPr>
      <w:r>
        <w:rPr>
          <w:rFonts w:hint="eastAsia"/>
          <w:lang w:val="en-US" w:eastAsia="zh-CN"/>
        </w:rPr>
        <w:t>2.创新点</w:t>
      </w:r>
    </w:p>
    <w:p w14:paraId="41C26FAA">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（1）强化农业特色评价指标</w:t>
      </w:r>
    </w:p>
    <w:p w14:paraId="4C16ED31">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本标准在</w:t>
      </w:r>
      <w:r>
        <w:rPr>
          <w:rFonts w:hint="eastAsia"/>
          <w:color w:val="auto"/>
          <w:lang w:val="en-US" w:eastAsia="zh-CN"/>
        </w:rPr>
        <w:t>方向规范性和科学与准确性</w:t>
      </w:r>
      <w:r>
        <w:rPr>
          <w:rFonts w:hint="default" w:ascii="仿宋_GB2312" w:hAnsi="宋体"/>
          <w:color w:val="auto"/>
          <w:sz w:val="32"/>
          <w:szCs w:val="28"/>
          <w:highlight w:val="none"/>
          <w:lang w:val="en-US" w:eastAsia="zh-CN"/>
        </w:rPr>
        <w:t>指标中设置选题导向性和科学性两个二级指标。选题导向性要求围绕国家农业战略、农业科技前沿、社会关切、科学家精神及涉农辟谣等方向。科学性要求知识表述准确、素材真实可查、信息标注规范</w:t>
      </w:r>
      <w:r>
        <w:rPr>
          <w:rFonts w:hint="eastAsia" w:ascii="仿宋_GB2312" w:hAnsi="宋体"/>
          <w:color w:val="auto"/>
          <w:sz w:val="32"/>
          <w:szCs w:val="28"/>
          <w:highlight w:val="none"/>
          <w:lang w:val="en-US" w:eastAsia="zh-CN"/>
        </w:rPr>
        <w:t>，</w:t>
      </w:r>
      <w:r>
        <w:rPr>
          <w:rFonts w:hint="default" w:ascii="仿宋_GB2312" w:hAnsi="宋体"/>
          <w:color w:val="auto"/>
          <w:sz w:val="32"/>
          <w:szCs w:val="28"/>
          <w:highlight w:val="none"/>
          <w:lang w:val="en-US" w:eastAsia="zh-CN"/>
        </w:rPr>
        <w:t>如生物拉丁名、农业设备名称等，区别于一般科普视频评价。</w:t>
      </w:r>
    </w:p>
    <w:p w14:paraId="7905791C">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（2）平衡通俗转化与场景真实性</w:t>
      </w:r>
    </w:p>
    <w:p w14:paraId="6DA2A89C">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本标准要求将农业专业术语和技术原理转化为大众可理解的形式，同时规定视频制作应真实还原农业场景、技术细节和生物色彩，防止因追求趣味性而失真。</w:t>
      </w:r>
    </w:p>
    <w:p w14:paraId="28DB403C">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（3）突出传播效果与农业生产应用的关联</w:t>
      </w:r>
    </w:p>
    <w:p w14:paraId="00027393">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本标准不仅关注播放量、互动数据等常规传播指标，还要求评价视频对农业生产规范化、绿色技术应用、地方农业品牌宣传的实际促进作用，以及受众开展生产实践、农技推广机构应用视频培训等效果。</w:t>
      </w:r>
    </w:p>
    <w:p w14:paraId="5EEDE5F8">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（4）明确可操作的评价程序与佐证材料</w:t>
      </w:r>
    </w:p>
    <w:p w14:paraId="159FF247">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本标准规定了</w:t>
      </w:r>
      <w:r>
        <w:rPr>
          <w:rFonts w:hint="eastAsia" w:ascii="Times New Roman" w:hAnsi="Times New Roman" w:eastAsia="仿宋_GB2312" w:cs="Times New Roman"/>
          <w:b w:val="0"/>
          <w:lang w:val="en-US" w:eastAsia="zh-CN"/>
        </w:rPr>
        <w:t>确定评价机构、受理评价委托、制定评价方案、组建评价工作组、组织评价、形成评价报告、评价完成</w:t>
      </w:r>
      <w:r>
        <w:rPr>
          <w:rFonts w:hint="default" w:ascii="仿宋_GB2312" w:hAnsi="宋体"/>
          <w:color w:val="auto"/>
          <w:sz w:val="32"/>
          <w:szCs w:val="28"/>
          <w:highlight w:val="none"/>
          <w:lang w:val="en-US" w:eastAsia="zh-CN"/>
        </w:rPr>
        <w:t>等程序，并在附录A中为每项评价内容配套主要佐证材料。附录B提供农业科普视频作品评价申请表示例。评价人员中至少包含1名农业领域专家，保证评价的专业性。</w:t>
      </w:r>
    </w:p>
    <w:p w14:paraId="64E9AD33">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（5）建立全过程闭环评价与持续改进机制</w:t>
      </w:r>
    </w:p>
    <w:p w14:paraId="50EE1877">
      <w:pPr>
        <w:pStyle w:val="47"/>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本标准涵盖评价准备、实施、结论、档案管理各环节，评价等级分为五档，不合格作品可建议修改后重新评价，形成“评价—反馈—优化”的闭环，推动农业科普视频质量持续提升。</w:t>
      </w:r>
    </w:p>
    <w:p w14:paraId="3BE5DF5A">
      <w:pPr>
        <w:pStyle w:val="49"/>
        <w:bidi w:val="0"/>
        <w:rPr>
          <w:rFonts w:hint="default"/>
          <w:lang w:val="en-US" w:eastAsia="zh-CN"/>
        </w:rPr>
      </w:pPr>
      <w:r>
        <w:rPr>
          <w:rFonts w:hint="eastAsia"/>
          <w:lang w:val="en-US" w:eastAsia="zh-CN"/>
        </w:rPr>
        <w:t>3.主体内容</w:t>
      </w:r>
    </w:p>
    <w:p w14:paraId="691B939C">
      <w:pPr>
        <w:pStyle w:val="47"/>
        <w:bidi w:val="0"/>
        <w:rPr>
          <w:rFonts w:hint="eastAsia" w:ascii="仿宋_GB2312" w:hAnsi="宋体" w:eastAsia="仿宋_GB2312"/>
          <w:sz w:val="32"/>
          <w:szCs w:val="28"/>
          <w:highlight w:val="yellow"/>
          <w:lang w:eastAsia="zh-CN"/>
        </w:rPr>
      </w:pPr>
      <w:r>
        <w:rPr>
          <w:rFonts w:hint="eastAsia" w:ascii="仿宋_GB2312" w:hAnsi="宋体" w:eastAsia="仿宋_GB2312"/>
          <w:sz w:val="32"/>
          <w:szCs w:val="28"/>
        </w:rPr>
        <w:t>标准编制工作组在对收集的资料进行整理研究之后，202</w:t>
      </w:r>
      <w:r>
        <w:rPr>
          <w:rFonts w:hint="eastAsia" w:ascii="仿宋_GB2312" w:hAnsi="宋体"/>
          <w:sz w:val="32"/>
          <w:szCs w:val="28"/>
          <w:lang w:val="en-US" w:eastAsia="zh-CN"/>
        </w:rPr>
        <w:t>5</w:t>
      </w:r>
      <w:r>
        <w:rPr>
          <w:rFonts w:hint="eastAsia" w:ascii="仿宋_GB2312" w:hAnsi="宋体" w:eastAsia="仿宋_GB2312"/>
          <w:sz w:val="32"/>
          <w:szCs w:val="28"/>
        </w:rPr>
        <w:t>年</w:t>
      </w:r>
      <w:r>
        <w:rPr>
          <w:rFonts w:hint="eastAsia" w:ascii="仿宋_GB2312" w:hAnsi="宋体"/>
          <w:sz w:val="32"/>
          <w:szCs w:val="28"/>
          <w:lang w:val="en-US" w:eastAsia="zh-CN"/>
        </w:rPr>
        <w:t>12</w:t>
      </w:r>
      <w:r>
        <w:rPr>
          <w:rFonts w:hint="eastAsia" w:ascii="仿宋_GB2312" w:hAnsi="宋体" w:eastAsia="仿宋_GB2312"/>
          <w:sz w:val="32"/>
          <w:szCs w:val="28"/>
        </w:rPr>
        <w:t>月，标准编制工作组召开了标准编制会议，对标准的整体框架结构进行了研究，并对标准的关键性内容进行了初步探讨。经过研究，</w:t>
      </w:r>
      <w:r>
        <w:rPr>
          <w:rFonts w:hint="eastAsia" w:ascii="仿宋_GB2312" w:hAnsi="宋体"/>
          <w:szCs w:val="28"/>
        </w:rPr>
        <w:t>标准的主体内容规定了</w:t>
      </w:r>
      <w:r>
        <w:rPr>
          <w:rFonts w:hint="eastAsia" w:ascii="仿宋_GB2312" w:hAnsi="宋体"/>
          <w:szCs w:val="28"/>
          <w:lang w:eastAsia="zh-CN"/>
        </w:rPr>
        <w:t>农业科普</w:t>
      </w:r>
      <w:r>
        <w:rPr>
          <w:rFonts w:hint="eastAsia" w:ascii="仿宋_GB2312" w:hAnsi="宋体"/>
          <w:szCs w:val="28"/>
          <w:lang w:val="en-US" w:eastAsia="zh-CN"/>
        </w:rPr>
        <w:t>视频作品</w:t>
      </w:r>
      <w:bookmarkStart w:id="0" w:name="OLE_LINK1"/>
      <w:r>
        <w:rPr>
          <w:rFonts w:hint="eastAsia"/>
          <w:color w:val="auto"/>
          <w:highlight w:val="none"/>
        </w:rPr>
        <w:t>评价</w:t>
      </w:r>
      <w:bookmarkEnd w:id="0"/>
      <w:r>
        <w:rPr>
          <w:rFonts w:hint="eastAsia"/>
          <w:color w:val="auto"/>
          <w:highlight w:val="none"/>
          <w:lang w:val="en-US" w:eastAsia="zh-CN"/>
        </w:rPr>
        <w:t>内容</w:t>
      </w:r>
      <w:r>
        <w:rPr>
          <w:rFonts w:hint="eastAsia"/>
          <w:color w:val="auto"/>
          <w:highlight w:val="none"/>
          <w:lang w:eastAsia="zh-CN"/>
        </w:rPr>
        <w:t>、</w:t>
      </w:r>
      <w:r>
        <w:rPr>
          <w:rFonts w:hint="eastAsia"/>
          <w:color w:val="auto"/>
          <w:highlight w:val="none"/>
          <w:lang w:val="en-US" w:eastAsia="zh-CN"/>
        </w:rPr>
        <w:t>评价方法、评价流程及要求和档案管理</w:t>
      </w:r>
      <w:r>
        <w:rPr>
          <w:rFonts w:hint="eastAsia" w:hAnsi="宋体"/>
          <w:color w:val="auto"/>
          <w:sz w:val="32"/>
          <w:szCs w:val="32"/>
          <w:highlight w:val="none"/>
          <w:lang w:val="en-US" w:eastAsia="zh-CN"/>
        </w:rPr>
        <w:t>的要求</w:t>
      </w:r>
      <w:r>
        <w:rPr>
          <w:rFonts w:hint="eastAsia" w:ascii="仿宋_GB2312" w:hAnsi="宋体"/>
          <w:szCs w:val="28"/>
          <w:lang w:eastAsia="zh-CN"/>
        </w:rPr>
        <w:t>。</w:t>
      </w:r>
    </w:p>
    <w:p w14:paraId="61FABD75">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（四）调研及形成草案、征求意见稿</w:t>
      </w:r>
    </w:p>
    <w:p w14:paraId="2C6E207A">
      <w:pPr>
        <w:pStyle w:val="47"/>
        <w:bidi w:val="0"/>
        <w:rPr>
          <w:rFonts w:hint="eastAsia" w:ascii="仿宋_GB2312" w:hAnsi="宋体"/>
          <w:szCs w:val="28"/>
        </w:rPr>
      </w:pPr>
      <w:r>
        <w:rPr>
          <w:rFonts w:hint="eastAsia" w:ascii="仿宋_GB2312" w:hAnsi="宋体"/>
          <w:szCs w:val="28"/>
        </w:rPr>
        <w:t>标准筹备前期，标准起草工作小组进行了广泛调研工作，查阅了大量的国内外文献资料，收集了不同类型科普视频竞赛的评价指标，深入广西不同企事业单位进行科普视频评价的经验交流，为本标准条款的制定提供了实践依据和数据支撑。调研重点包括广西科普读物大赛、第二届广西网络科普作品创作大赛、2024年度“科普中国青年之星创作交流活动”、2025年广西科普视频大赛、第二届“牛人桂农技”短视频大赛等赛事，这些竞赛在选题把握、科学性评判、通俗性表达等方面的评价经验，为本标准指标的设定和条文的细化提供参考。为验证标准指标的适用性，工作小组结合广西热作所科普视频创作实践开展了试评价。广西热作所自行组织评价小组，依据本标准草案对《咖啡故事1咖啡家族》《咖啡故事2起源传说》《咖啡故事3咖啡产业》《咖啡故事4植物课堂》《咖啡故事5生鲜果》及《菩提树的“小尾巴”有点意思》等6部原创视频作品进行了完整评价。评价小组逐条对照指标评分，检验了各项指标在农业知识准确性、内容通俗性和形式规范性上的可操作性。试评价结果显示，标准指标能够反映作品质量差异，评价流程可行。其中，《菩提树的“小尾巴”有点意思》于2024年9月获第二届广西网络科普作品创作大赛微视频一等奖，截至2026年4月30日，获点赞153次、转发88次、播放量6035次；《咖啡故事》系列视频总播放量超2万次。作品的传播效果和所获荣誉，为标准评价指标的有效性提供参考。</w:t>
      </w:r>
    </w:p>
    <w:p w14:paraId="64858639">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drawing>
          <wp:inline distT="0" distB="0" distL="114300" distR="114300">
            <wp:extent cx="5400040" cy="4050030"/>
            <wp:effectExtent l="0" t="0" r="10160" b="1270"/>
            <wp:docPr id="3" name="图片 3" descr="afba904a08f076b3ceecb27ae5ba2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fba904a08f076b3ceecb27ae5ba2b20"/>
                    <pic:cNvPicPr>
                      <a:picLocks noChangeAspect="1"/>
                    </pic:cNvPicPr>
                  </pic:nvPicPr>
                  <pic:blipFill>
                    <a:blip r:embed="rId7"/>
                    <a:stretch>
                      <a:fillRect/>
                    </a:stretch>
                  </pic:blipFill>
                  <pic:spPr>
                    <a:xfrm>
                      <a:off x="0" y="0"/>
                      <a:ext cx="5400040" cy="4050030"/>
                    </a:xfrm>
                    <a:prstGeom prst="rect">
                      <a:avLst/>
                    </a:prstGeom>
                  </pic:spPr>
                </pic:pic>
              </a:graphicData>
            </a:graphic>
          </wp:inline>
        </w:drawing>
      </w:r>
    </w:p>
    <w:p w14:paraId="1D5B525B">
      <w:pPr>
        <w:pStyle w:val="44"/>
        <w:bidi w:val="0"/>
        <w:rPr>
          <w:rFonts w:hint="eastAsia"/>
        </w:rPr>
      </w:pPr>
      <w:r>
        <w:rPr>
          <w:rFonts w:hint="eastAsia"/>
          <w:lang w:val="en-US" w:eastAsia="zh-CN"/>
        </w:rPr>
        <w:t>评价材料</w:t>
      </w:r>
      <w:bookmarkStart w:id="28" w:name="_GoBack"/>
      <w:bookmarkEnd w:id="28"/>
    </w:p>
    <w:p w14:paraId="6B432005">
      <w:pPr>
        <w:pStyle w:val="47"/>
        <w:bidi w:val="0"/>
        <w:rPr>
          <w:rFonts w:hint="eastAsia" w:ascii="仿宋_GB2312" w:hAnsi="宋体"/>
          <w:szCs w:val="28"/>
        </w:rPr>
      </w:pPr>
      <w:r>
        <w:rPr>
          <w:rFonts w:hint="eastAsia" w:ascii="仿宋_GB2312" w:hAnsi="宋体"/>
          <w:szCs w:val="28"/>
        </w:rPr>
        <w:t>在调研基础上，结合各起草单位的实践经验与专家意见，对</w:t>
      </w:r>
      <w:r>
        <w:rPr>
          <w:rFonts w:hint="eastAsia"/>
          <w:color w:val="auto"/>
          <w:highlight w:val="none"/>
        </w:rPr>
        <w:t>农业科普纸媒书报类作品评价</w:t>
      </w:r>
      <w:r>
        <w:rPr>
          <w:rFonts w:hint="eastAsia" w:ascii="仿宋_GB2312" w:hAnsi="宋体"/>
          <w:szCs w:val="28"/>
        </w:rPr>
        <w:t>的实践情况进行系统总结，广西壮族自治区亚热带作物研究所召集相关人员开展了标准研讨会，对主要内容进行了讨论并对项目的工作进行了部署和安排。</w:t>
      </w:r>
    </w:p>
    <w:p w14:paraId="09305CF3">
      <w:pPr>
        <w:pStyle w:val="47"/>
        <w:bidi w:val="0"/>
        <w:rPr>
          <w:highlight w:val="none"/>
        </w:rPr>
      </w:pPr>
      <w:r>
        <w:rPr>
          <w:rFonts w:hint="eastAsia"/>
          <w:highlight w:val="none"/>
        </w:rPr>
        <w:t>202</w:t>
      </w:r>
      <w:r>
        <w:rPr>
          <w:rFonts w:hint="eastAsia"/>
          <w:highlight w:val="none"/>
          <w:lang w:val="en-US" w:eastAsia="zh-CN"/>
        </w:rPr>
        <w:t>5</w:t>
      </w:r>
      <w:r>
        <w:rPr>
          <w:rFonts w:hint="eastAsia"/>
          <w:highlight w:val="none"/>
        </w:rPr>
        <w:t>年</w:t>
      </w:r>
      <w:r>
        <w:rPr>
          <w:rFonts w:hint="eastAsia" w:ascii="仿宋_GB2312" w:hAnsi="宋体"/>
          <w:szCs w:val="28"/>
          <w:highlight w:val="none"/>
          <w:lang w:val="en-US" w:eastAsia="zh-CN"/>
        </w:rPr>
        <w:t>12</w:t>
      </w:r>
      <w:r>
        <w:rPr>
          <w:rFonts w:hint="eastAsia" w:ascii="仿宋_GB2312" w:hAnsi="宋体"/>
          <w:szCs w:val="28"/>
          <w:highlight w:val="none"/>
        </w:rPr>
        <w:t>月～</w:t>
      </w:r>
      <w:r>
        <w:rPr>
          <w:rFonts w:hint="eastAsia" w:ascii="仿宋_GB2312" w:hAnsi="宋体"/>
          <w:szCs w:val="28"/>
          <w:highlight w:val="none"/>
          <w:lang w:val="en-US" w:eastAsia="zh-CN"/>
        </w:rPr>
        <w:t>2026年1</w:t>
      </w:r>
      <w:r>
        <w:rPr>
          <w:rFonts w:hint="eastAsia" w:ascii="仿宋_GB2312" w:hAnsi="宋体"/>
          <w:szCs w:val="28"/>
          <w:highlight w:val="none"/>
        </w:rPr>
        <w:t>月</w:t>
      </w:r>
      <w:r>
        <w:rPr>
          <w:rFonts w:hint="eastAsia"/>
          <w:highlight w:val="none"/>
        </w:rPr>
        <w:t>，在前期工作的基础之上，通过理清逻辑脉络，整合已有的参考资料中有关农</w:t>
      </w:r>
      <w:r>
        <w:rPr>
          <w:rFonts w:hint="eastAsia"/>
          <w:highlight w:val="none"/>
          <w:lang w:val="en-US" w:eastAsia="zh-CN"/>
        </w:rPr>
        <w:t>业</w:t>
      </w:r>
      <w:r>
        <w:rPr>
          <w:rFonts w:hint="eastAsia"/>
          <w:highlight w:val="none"/>
        </w:rPr>
        <w:t>科普</w:t>
      </w:r>
      <w:r>
        <w:rPr>
          <w:rFonts w:hint="eastAsia"/>
          <w:highlight w:val="none"/>
          <w:lang w:val="en-US" w:eastAsia="zh-CN"/>
        </w:rPr>
        <w:t>视频</w:t>
      </w:r>
      <w:r>
        <w:rPr>
          <w:rFonts w:hint="eastAsia"/>
          <w:highlight w:val="none"/>
        </w:rPr>
        <w:t>作品</w:t>
      </w:r>
      <w:r>
        <w:rPr>
          <w:rFonts w:hint="eastAsia"/>
          <w:highlight w:val="none"/>
          <w:lang w:val="en-US" w:eastAsia="zh-CN"/>
        </w:rPr>
        <w:t>评价</w:t>
      </w:r>
      <w:r>
        <w:rPr>
          <w:rFonts w:hint="eastAsia"/>
          <w:highlight w:val="none"/>
        </w:rPr>
        <w:t>要求，并结合</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highlight w:val="none"/>
        </w:rPr>
        <w:t>实际要求的基础上，按照简化、统一等原则编制完成团体标准《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highlight w:val="none"/>
        </w:rPr>
        <w:t>规范》（草案）。</w:t>
      </w:r>
    </w:p>
    <w:p w14:paraId="04DB8BF2">
      <w:pPr>
        <w:pStyle w:val="47"/>
        <w:bidi w:val="0"/>
        <w:rPr>
          <w:rFonts w:hint="eastAsia"/>
        </w:rPr>
      </w:pPr>
      <w:bookmarkStart w:id="1" w:name="_Toc526940083"/>
      <w:r>
        <w:rPr>
          <w:rFonts w:hint="eastAsia"/>
          <w:highlight w:val="none"/>
        </w:rPr>
        <w:t>202</w:t>
      </w:r>
      <w:r>
        <w:rPr>
          <w:rFonts w:hint="eastAsia"/>
          <w:highlight w:val="none"/>
          <w:lang w:val="en-US" w:eastAsia="zh-CN"/>
        </w:rPr>
        <w:t>6</w:t>
      </w:r>
      <w:r>
        <w:rPr>
          <w:rFonts w:hint="eastAsia"/>
          <w:highlight w:val="none"/>
        </w:rPr>
        <w:t>年</w:t>
      </w:r>
      <w:r>
        <w:rPr>
          <w:rFonts w:hint="eastAsia" w:ascii="仿宋_GB2312" w:hAnsi="宋体"/>
          <w:szCs w:val="28"/>
          <w:highlight w:val="none"/>
          <w:lang w:val="en-US" w:eastAsia="zh-CN"/>
        </w:rPr>
        <w:t>2</w:t>
      </w:r>
      <w:r>
        <w:rPr>
          <w:rFonts w:hint="eastAsia" w:ascii="仿宋_GB2312" w:hAnsi="宋体"/>
          <w:szCs w:val="28"/>
          <w:highlight w:val="none"/>
        </w:rPr>
        <w:t>月</w:t>
      </w:r>
      <w:r>
        <w:rPr>
          <w:rFonts w:hint="eastAsia"/>
        </w:rPr>
        <w:t>～</w:t>
      </w:r>
      <w:r>
        <w:rPr>
          <w:rFonts w:hint="eastAsia"/>
          <w:lang w:val="en-US" w:eastAsia="zh-CN"/>
        </w:rPr>
        <w:t>4</w:t>
      </w:r>
      <w:r>
        <w:rPr>
          <w:rFonts w:hint="eastAsia"/>
        </w:rPr>
        <w:t>月</w:t>
      </w:r>
      <w:r>
        <w:rPr>
          <w:rFonts w:hint="eastAsia"/>
          <w:lang w:eastAsia="zh-CN"/>
        </w:rPr>
        <w:t>，</w:t>
      </w:r>
      <w:r>
        <w:rPr>
          <w:rFonts w:hint="eastAsia"/>
        </w:rPr>
        <w:t>标准起草工作组</w:t>
      </w:r>
      <w:r>
        <w:rPr>
          <w:rFonts w:hint="eastAsia"/>
          <w:lang w:val="en-US" w:eastAsia="zh-CN"/>
        </w:rPr>
        <w:t>与</w:t>
      </w:r>
      <w:r>
        <w:rPr>
          <w:rFonts w:hint="eastAsia"/>
          <w:highlight w:val="none"/>
        </w:rPr>
        <w:t>北京农学会、农科院所等单位和科研机构针对农</w:t>
      </w:r>
      <w:r>
        <w:rPr>
          <w:rFonts w:hint="eastAsia"/>
          <w:highlight w:val="none"/>
          <w:lang w:val="en-US" w:eastAsia="zh-CN"/>
        </w:rPr>
        <w:t>业</w:t>
      </w:r>
      <w:r>
        <w:rPr>
          <w:rFonts w:hint="eastAsia"/>
          <w:highlight w:val="none"/>
        </w:rPr>
        <w:t>科普视频作品</w:t>
      </w:r>
      <w:r>
        <w:rPr>
          <w:rFonts w:hint="eastAsia"/>
          <w:highlight w:val="none"/>
          <w:lang w:val="en-US" w:eastAsia="zh-CN"/>
        </w:rPr>
        <w:t>评价</w:t>
      </w:r>
      <w:r>
        <w:rPr>
          <w:rFonts w:hint="eastAsia"/>
          <w:highlight w:val="none"/>
        </w:rPr>
        <w:t>开展研讨会，</w:t>
      </w:r>
      <w:r>
        <w:rPr>
          <w:rFonts w:ascii="仿宋_GB2312" w:hAnsi="宋体"/>
          <w:szCs w:val="28"/>
          <w:highlight w:val="none"/>
        </w:rPr>
        <w:t>开展</w:t>
      </w:r>
      <w:r>
        <w:rPr>
          <w:rFonts w:ascii="仿宋_GB2312" w:hAnsi="宋体"/>
          <w:szCs w:val="28"/>
        </w:rPr>
        <w:t>试验验证</w:t>
      </w:r>
      <w:r>
        <w:rPr>
          <w:rFonts w:hint="eastAsia"/>
          <w:lang w:eastAsia="zh-CN"/>
        </w:rPr>
        <w:t>，</w:t>
      </w:r>
      <w:r>
        <w:rPr>
          <w:rFonts w:hint="eastAsia"/>
          <w:lang w:val="en-US" w:eastAsia="zh-CN"/>
        </w:rPr>
        <w:t>同时</w:t>
      </w:r>
      <w:r>
        <w:rPr>
          <w:rFonts w:hint="eastAsia"/>
        </w:rPr>
        <w:t>征求广西标准化协会、农业农村部科技发展中心</w:t>
      </w:r>
      <w:r>
        <w:rPr>
          <w:rFonts w:hint="eastAsia"/>
          <w:lang w:eastAsia="zh-CN"/>
        </w:rPr>
        <w:t>、</w:t>
      </w:r>
      <w:r>
        <w:rPr>
          <w:rFonts w:hint="eastAsia"/>
        </w:rPr>
        <w:t>云南省热带作物科学研究所等单位的意见，通过召开研讨会或征求意见的方式收集各方修改意见，对标准草案进行了反复修改和研究讨论，形成了团体标准《农</w:t>
      </w:r>
      <w:r>
        <w:rPr>
          <w:rFonts w:hint="eastAsia"/>
          <w:lang w:val="en-US" w:eastAsia="zh-CN"/>
        </w:rPr>
        <w:t>业</w:t>
      </w:r>
      <w:r>
        <w:rPr>
          <w:rFonts w:hint="eastAsia"/>
        </w:rPr>
        <w:t>科普视频作品</w:t>
      </w:r>
      <w:r>
        <w:rPr>
          <w:rFonts w:hint="eastAsia"/>
          <w:lang w:val="en-US" w:eastAsia="zh-CN"/>
        </w:rPr>
        <w:t>评价</w:t>
      </w:r>
      <w:r>
        <w:rPr>
          <w:rFonts w:hint="eastAsia"/>
        </w:rPr>
        <w:t>规范》（征求意见稿）和（征求意见稿）编制说明。</w:t>
      </w:r>
    </w:p>
    <w:p w14:paraId="63695540">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drawing>
          <wp:inline distT="0" distB="0" distL="114300" distR="114300">
            <wp:extent cx="5400040" cy="4050030"/>
            <wp:effectExtent l="0" t="0" r="10160" b="1270"/>
            <wp:docPr id="5" name="图片 5" descr="a00ba03d2a18446606706b4264cce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00ba03d2a18446606706b4264cce92a"/>
                    <pic:cNvPicPr>
                      <a:picLocks noChangeAspect="1"/>
                    </pic:cNvPicPr>
                  </pic:nvPicPr>
                  <pic:blipFill>
                    <a:blip r:embed="rId8"/>
                    <a:stretch>
                      <a:fillRect/>
                    </a:stretch>
                  </pic:blipFill>
                  <pic:spPr>
                    <a:xfrm>
                      <a:off x="0" y="0"/>
                      <a:ext cx="5400040" cy="4050030"/>
                    </a:xfrm>
                    <a:prstGeom prst="rect">
                      <a:avLst/>
                    </a:prstGeom>
                  </pic:spPr>
                </pic:pic>
              </a:graphicData>
            </a:graphic>
          </wp:inline>
        </w:drawing>
      </w:r>
    </w:p>
    <w:p w14:paraId="39162C55">
      <w:pPr>
        <w:pStyle w:val="44"/>
        <w:bidi w:val="0"/>
        <w:rPr>
          <w:rFonts w:hint="eastAsia"/>
        </w:rPr>
      </w:pPr>
      <w:r>
        <w:rPr>
          <w:rFonts w:hint="eastAsia"/>
          <w:lang w:val="en-US" w:eastAsia="zh-CN"/>
        </w:rPr>
        <w:t>内部讨论会</w:t>
      </w:r>
    </w:p>
    <w:p w14:paraId="3B832357">
      <w:pPr>
        <w:pStyle w:val="46"/>
        <w:bidi w:val="0"/>
      </w:pPr>
      <w:r>
        <w:t>四、</w:t>
      </w:r>
      <w:bookmarkEnd w:id="1"/>
      <w:r>
        <w:t>制定标准的原则和依据，与现行法律、法规的关系，与有关国家标准、行业标准的协调情况</w:t>
      </w:r>
    </w:p>
    <w:p w14:paraId="30EFA250">
      <w:pPr>
        <w:pStyle w:val="48"/>
        <w:bidi w:val="0"/>
        <w:rPr>
          <w:rFonts w:ascii="Times New Roman" w:eastAsia="仿宋"/>
          <w:b/>
          <w:bCs/>
          <w:szCs w:val="32"/>
        </w:rPr>
      </w:pPr>
      <w:r>
        <w:t>（一）编制原则</w:t>
      </w:r>
    </w:p>
    <w:p w14:paraId="7432AB81">
      <w:pPr>
        <w:pStyle w:val="49"/>
        <w:bidi w:val="0"/>
        <w:rPr>
          <w:rFonts w:eastAsia="仿宋"/>
          <w:b/>
          <w:bCs/>
          <w:kern w:val="0"/>
          <w:szCs w:val="32"/>
        </w:rPr>
      </w:pPr>
      <w:r>
        <w:t>1</w:t>
      </w:r>
      <w:r>
        <w:rPr>
          <w:rFonts w:hint="eastAsia"/>
          <w:lang w:val="en-US" w:eastAsia="zh-CN"/>
        </w:rPr>
        <w:t>.</w:t>
      </w:r>
      <w:r>
        <w:t>实用性原则</w:t>
      </w:r>
    </w:p>
    <w:p w14:paraId="096AD80F">
      <w:pPr>
        <w:pStyle w:val="47"/>
        <w:bidi w:val="0"/>
        <w:rPr>
          <w:rFonts w:ascii="仿宋_GB2312" w:hAnsi="宋体" w:eastAsia="仿宋_GB2312"/>
          <w:sz w:val="32"/>
          <w:szCs w:val="28"/>
        </w:rPr>
      </w:pPr>
      <w:r>
        <w:rPr>
          <w:rFonts w:hint="eastAsia" w:ascii="仿宋_GB2312" w:hAnsi="宋体" w:eastAsia="仿宋_GB2312"/>
          <w:sz w:val="32"/>
          <w:szCs w:val="28"/>
        </w:rPr>
        <w:t>本文件是在充分收集相关资料和文献，分析</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rPr>
        <w:t>当前现状，在现有相关</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rPr>
        <w:t>要求的基础上，结合编制单位</w:t>
      </w:r>
      <w:r>
        <w:rPr>
          <w:rFonts w:ascii="仿宋_GB2312" w:hAnsi="宋体" w:eastAsia="仿宋_GB2312"/>
          <w:sz w:val="32"/>
          <w:szCs w:val="28"/>
        </w:rPr>
        <w:t>多年</w:t>
      </w:r>
      <w:r>
        <w:rPr>
          <w:rFonts w:hint="eastAsia" w:ascii="仿宋_GB2312" w:hAnsi="宋体" w:eastAsia="仿宋_GB2312"/>
          <w:sz w:val="32"/>
          <w:szCs w:val="28"/>
        </w:rPr>
        <w:t>相关经验而总结起草的，符合当前</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rPr>
        <w:t>发展的方向，具有较强的实用性和可操作性。</w:t>
      </w:r>
    </w:p>
    <w:p w14:paraId="62EF7D35">
      <w:pPr>
        <w:pStyle w:val="49"/>
        <w:bidi w:val="0"/>
        <w:rPr>
          <w:rFonts w:eastAsia="仿宋"/>
          <w:b/>
          <w:bCs/>
          <w:kern w:val="0"/>
          <w:szCs w:val="32"/>
        </w:rPr>
      </w:pPr>
      <w:r>
        <w:rPr>
          <w:rFonts w:hint="eastAsia"/>
        </w:rPr>
        <w:t>2</w:t>
      </w:r>
      <w:r>
        <w:rPr>
          <w:rFonts w:hint="eastAsia"/>
          <w:lang w:val="en-US" w:eastAsia="zh-CN"/>
        </w:rPr>
        <w:t>.</w:t>
      </w:r>
      <w:r>
        <w:rPr>
          <w:rFonts w:hint="eastAsia"/>
        </w:rPr>
        <w:t>协调性原则</w:t>
      </w:r>
    </w:p>
    <w:p w14:paraId="18A33837">
      <w:pPr>
        <w:pStyle w:val="47"/>
        <w:bidi w:val="0"/>
        <w:rPr>
          <w:rFonts w:ascii="仿宋_GB2312" w:hAnsi="宋体" w:eastAsia="仿宋_GB2312"/>
          <w:sz w:val="32"/>
          <w:szCs w:val="28"/>
        </w:rPr>
      </w:pPr>
      <w:r>
        <w:rPr>
          <w:rFonts w:hint="eastAsia" w:ascii="仿宋_GB2312" w:hAnsi="宋体" w:eastAsia="仿宋_GB2312"/>
          <w:sz w:val="32"/>
          <w:szCs w:val="28"/>
        </w:rPr>
        <w:t>本文件编写过程中注意了与</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hAnsi="宋体" w:eastAsia="仿宋_GB2312"/>
          <w:sz w:val="32"/>
          <w:szCs w:val="28"/>
        </w:rPr>
        <w:t>相关法律法规的协调问题，在内容上与现行法律法规、标准协调一致。</w:t>
      </w:r>
    </w:p>
    <w:p w14:paraId="48B06747">
      <w:pPr>
        <w:pStyle w:val="49"/>
        <w:bidi w:val="0"/>
      </w:pPr>
      <w:r>
        <w:rPr>
          <w:rFonts w:hint="eastAsia"/>
        </w:rPr>
        <w:t>3</w:t>
      </w:r>
      <w:r>
        <w:rPr>
          <w:rFonts w:hint="eastAsia"/>
          <w:lang w:val="en-US" w:eastAsia="zh-CN"/>
        </w:rPr>
        <w:t>.</w:t>
      </w:r>
      <w:r>
        <w:rPr>
          <w:rFonts w:hint="eastAsia"/>
        </w:rPr>
        <w:t>规范性原则</w:t>
      </w:r>
    </w:p>
    <w:p w14:paraId="3276EBB5">
      <w:pPr>
        <w:pStyle w:val="47"/>
        <w:bidi w:val="0"/>
      </w:pPr>
      <w:r>
        <w:rPr>
          <w:rFonts w:hint="eastAsia"/>
        </w:rPr>
        <w:t>本文件严格参照GB/T 1.1—2020《标准化工作导则  第1部分：标准化文件的结构和起草规则》编写本标准的内容，保证标准的编写质量。</w:t>
      </w:r>
    </w:p>
    <w:p w14:paraId="173D3B39">
      <w:pPr>
        <w:pStyle w:val="49"/>
        <w:bidi w:val="0"/>
        <w:rPr>
          <w:rFonts w:eastAsia="仿宋"/>
          <w:b/>
          <w:bCs/>
          <w:kern w:val="0"/>
          <w:szCs w:val="32"/>
        </w:rPr>
      </w:pPr>
      <w:r>
        <w:rPr>
          <w:rFonts w:hint="eastAsia"/>
        </w:rPr>
        <w:t>4</w:t>
      </w:r>
      <w:r>
        <w:rPr>
          <w:rFonts w:hint="eastAsia"/>
          <w:lang w:val="en-US" w:eastAsia="zh-CN"/>
        </w:rPr>
        <w:t>.</w:t>
      </w:r>
      <w:r>
        <w:rPr>
          <w:rFonts w:hint="eastAsia"/>
        </w:rPr>
        <w:t>前瞻性原则</w:t>
      </w:r>
    </w:p>
    <w:p w14:paraId="2315C397">
      <w:pPr>
        <w:pStyle w:val="47"/>
        <w:bidi w:val="0"/>
      </w:pPr>
      <w:r>
        <w:rPr>
          <w:rFonts w:hint="eastAsia"/>
        </w:rPr>
        <w:t>本文件在兼顾当前区内</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现实情况的同时，还考虑到了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快速发展的趋势和需要，在标准中体现了个别特色性、前瞻性和先进性条款，作为对</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rPr>
        <w:t>发展的指导。</w:t>
      </w:r>
    </w:p>
    <w:p w14:paraId="323DB155">
      <w:pPr>
        <w:pStyle w:val="48"/>
        <w:bidi w:val="0"/>
      </w:pPr>
      <w:r>
        <w:t>（二）编制依据</w:t>
      </w:r>
    </w:p>
    <w:p w14:paraId="03C8CA65">
      <w:pPr>
        <w:pStyle w:val="47"/>
        <w:bidi w:val="0"/>
      </w:pPr>
      <w:r>
        <w:t>本标准严格按照GB/T 1.1—2020《标准化工作导则  第1部分：标准化文件的结构和起草规则》的规则起草，标准主要内容参考相关标准文件并结合起草单位多年的</w:t>
      </w:r>
      <w:r>
        <w:rPr>
          <w:rFonts w:hint="eastAsia"/>
        </w:rPr>
        <w:t>相关</w:t>
      </w:r>
      <w:r>
        <w:t>经验</w:t>
      </w:r>
      <w:r>
        <w:rPr>
          <w:rFonts w:hint="eastAsia"/>
        </w:rPr>
        <w:t>和实践</w:t>
      </w:r>
      <w:r>
        <w:t>验证情况总结进行起草。</w:t>
      </w:r>
    </w:p>
    <w:p w14:paraId="260C3723">
      <w:pPr>
        <w:pStyle w:val="50"/>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广西壮族自治区亚热带作物研究所（下称广西热作所），是广西农业科学院直属的从事芒果、澳洲坚果、茶叶、木薯、花卉、甘蔗、剑麻等热带、亚热带作物种质资源收集保存、良种选育繁育、丰产栽培、科普研究、环境与植物保护、贮藏保鲜、加工技术及中试示范、综合开发新技术等方面的研究和相关技术咨询的公益性事业单位。广西热作所主持或参与制定制订、修订标准50余项，有一定的标准化工作经验。广西热作所内的热作所（东盟）亚热带植物园是全国科普教育基地、全国热带作物科普基地、广西热作所中小学劳动教育实践基地、南宁市中小学劳动教育实践基地。广西热作所拥有一支专业从事亚热带植物科普创新研究的团队，专业涵盖自然科学、社会科学等领域，在科普理论、科普创作、科普传播、科普活动等方面积累了较为丰富的理论和实践研究经验。凭借丰富的物种资源与创新方法，亚热带植物科普创新研究团队构建了包含网站、微信公众号、视频号在内的全媒体科普传播体系，累计发布原创科普内容吸引超5万人次阅读，科普短视频观看量突破6万。主编的科普读物《花木间的智慧：民族植物学自然笔记》受北京新闻广播、中华读书报、学习强国等媒体推荐，入选中国植物学会典赞 · 2023科普中国活动推选作品，荣获2024年广西科普读物大赛三等奖；2024年亚热带植物科普创新研究团队主持创作的7部科普视频，单条视频平均播放量均在6000次以上，其中《菩提树的“小尾巴”有点意思》荣获第二届广西网络科普作品创作大赛科普微视频一等奖</w:t>
      </w:r>
      <w:r>
        <w:rPr>
          <w:rFonts w:hint="eastAsia" w:ascii="Times New Roman" w:hAnsi="Times New Roman" w:cs="Times New Roman"/>
          <w:kern w:val="2"/>
          <w:sz w:val="32"/>
          <w:szCs w:val="28"/>
          <w:lang w:val="en-US" w:eastAsia="zh-CN" w:bidi="ar-SA"/>
        </w:rPr>
        <w:t>、2024年度“科普中国青年之星创作交流活动”优秀作品；2025年共发布15条视频，获得78280次的观看量</w:t>
      </w:r>
      <w:r>
        <w:rPr>
          <w:rFonts w:hint="eastAsia" w:ascii="Times New Roman" w:hAnsi="Times New Roman" w:eastAsia="仿宋_GB2312" w:cs="Times New Roman"/>
          <w:kern w:val="2"/>
          <w:sz w:val="32"/>
          <w:szCs w:val="28"/>
          <w:lang w:val="en-US" w:eastAsia="zh-CN" w:bidi="ar-SA"/>
        </w:rPr>
        <w:t>。</w:t>
      </w:r>
    </w:p>
    <w:p w14:paraId="62C970D3">
      <w:pPr>
        <w:pStyle w:val="50"/>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default" w:ascii="Times New Roman" w:hAnsi="Times New Roman" w:eastAsia="仿宋_GB2312" w:cs="Times New Roman"/>
          <w:kern w:val="2"/>
          <w:sz w:val="32"/>
          <w:szCs w:val="28"/>
          <w:highlight w:val="none"/>
          <w:lang w:val="en-US" w:eastAsia="zh-CN" w:bidi="ar-SA"/>
        </w:rPr>
      </w:pPr>
      <w:r>
        <w:rPr>
          <w:rFonts w:hint="default" w:ascii="Times New Roman" w:hAnsi="Times New Roman" w:eastAsia="仿宋_GB2312" w:cs="Times New Roman"/>
          <w:kern w:val="2"/>
          <w:sz w:val="32"/>
          <w:szCs w:val="28"/>
          <w:highlight w:val="none"/>
          <w:lang w:val="en-US" w:eastAsia="zh-CN" w:bidi="ar-SA"/>
        </w:rPr>
        <w:t>这些作品持续获得较高观看量与受众喜爱，关键在于团队始终坚持创作与评价并行的工作方法。在每部视频发布后，团队均会系统收集播放量、点赞、收藏、转发、评论及观众满意度调查等多维数据，</w:t>
      </w:r>
      <w:r>
        <w:rPr>
          <w:rFonts w:hint="eastAsia" w:ascii="Times New Roman" w:hAnsi="Times New Roman" w:cs="Times New Roman"/>
          <w:kern w:val="2"/>
          <w:sz w:val="32"/>
          <w:szCs w:val="28"/>
          <w:highlight w:val="none"/>
          <w:lang w:val="en-US" w:eastAsia="zh-CN" w:bidi="ar-SA"/>
        </w:rPr>
        <w:t>结合</w:t>
      </w:r>
      <w:r>
        <w:rPr>
          <w:rFonts w:hint="default" w:ascii="Times New Roman" w:hAnsi="Times New Roman" w:eastAsia="仿宋_GB2312" w:cs="Times New Roman"/>
          <w:kern w:val="2"/>
          <w:sz w:val="32"/>
          <w:szCs w:val="28"/>
          <w:highlight w:val="none"/>
          <w:lang w:val="en-US" w:eastAsia="zh-CN" w:bidi="ar-SA"/>
        </w:rPr>
        <w:t>视频脚本、原始素材</w:t>
      </w:r>
      <w:r>
        <w:rPr>
          <w:rFonts w:hint="eastAsia" w:ascii="Times New Roman" w:hAnsi="Times New Roman" w:cs="Times New Roman"/>
          <w:kern w:val="2"/>
          <w:sz w:val="32"/>
          <w:szCs w:val="28"/>
          <w:highlight w:val="none"/>
          <w:lang w:val="en-US" w:eastAsia="zh-CN" w:bidi="ar-SA"/>
        </w:rPr>
        <w:t>等创作素材，</w:t>
      </w:r>
      <w:r>
        <w:rPr>
          <w:rFonts w:hint="default" w:ascii="Times New Roman" w:hAnsi="Times New Roman" w:eastAsia="仿宋_GB2312" w:cs="Times New Roman"/>
          <w:kern w:val="2"/>
          <w:sz w:val="32"/>
          <w:szCs w:val="28"/>
          <w:highlight w:val="none"/>
          <w:lang w:val="en-US" w:eastAsia="zh-CN" w:bidi="ar-SA"/>
        </w:rPr>
        <w:t>进行</w:t>
      </w:r>
      <w:r>
        <w:rPr>
          <w:rFonts w:hint="eastAsia" w:ascii="Times New Roman" w:hAnsi="Times New Roman" w:cs="Times New Roman"/>
          <w:kern w:val="2"/>
          <w:sz w:val="32"/>
          <w:szCs w:val="28"/>
          <w:highlight w:val="none"/>
          <w:lang w:val="en-US" w:eastAsia="zh-CN" w:bidi="ar-SA"/>
        </w:rPr>
        <w:t>科普视频的</w:t>
      </w:r>
      <w:r>
        <w:rPr>
          <w:rFonts w:hint="default" w:ascii="Times New Roman" w:hAnsi="Times New Roman" w:eastAsia="仿宋_GB2312" w:cs="Times New Roman"/>
          <w:kern w:val="2"/>
          <w:sz w:val="32"/>
          <w:szCs w:val="28"/>
          <w:highlight w:val="none"/>
          <w:lang w:val="en-US" w:eastAsia="zh-CN" w:bidi="ar-SA"/>
        </w:rPr>
        <w:t>评价</w:t>
      </w:r>
      <w:r>
        <w:rPr>
          <w:rFonts w:hint="eastAsia" w:ascii="Times New Roman" w:hAnsi="Times New Roman" w:cs="Times New Roman"/>
          <w:kern w:val="2"/>
          <w:sz w:val="32"/>
          <w:szCs w:val="28"/>
          <w:highlight w:val="none"/>
          <w:lang w:val="en-US" w:eastAsia="zh-CN" w:bidi="ar-SA"/>
        </w:rPr>
        <w:t>，总结需要保持、需要突破的要点，不断深化和完善后续的视频作品，同时</w:t>
      </w:r>
      <w:r>
        <w:rPr>
          <w:rFonts w:hint="default" w:ascii="Times New Roman" w:hAnsi="Times New Roman" w:eastAsia="仿宋_GB2312" w:cs="Times New Roman"/>
          <w:kern w:val="2"/>
          <w:sz w:val="32"/>
          <w:szCs w:val="28"/>
          <w:highlight w:val="none"/>
          <w:lang w:val="en-US" w:eastAsia="zh-CN" w:bidi="ar-SA"/>
        </w:rPr>
        <w:t>形成</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创作</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发布</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评价</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优化</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的良性循环。这一从实践中反复验证、凝练而来的评价逻辑与方法，为本标准中评价指标、方法、流程及附录的设计提供了可操作的实证依据，确保了标准内容源于实践、用于实践。</w:t>
      </w:r>
    </w:p>
    <w:p w14:paraId="4931FE23">
      <w:pPr>
        <w:pStyle w:val="47"/>
        <w:bidi w:val="0"/>
        <w:rPr>
          <w:rFonts w:hint="eastAsia"/>
        </w:rPr>
      </w:pPr>
    </w:p>
    <w:p w14:paraId="693E12D5">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drawing>
          <wp:inline distT="0" distB="0" distL="114300" distR="114300">
            <wp:extent cx="5687695" cy="6876415"/>
            <wp:effectExtent l="0" t="0" r="1905" b="698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9">
                      <a:lum bright="-6000"/>
                    </a:blip>
                    <a:stretch>
                      <a:fillRect/>
                    </a:stretch>
                  </pic:blipFill>
                  <pic:spPr>
                    <a:xfrm>
                      <a:off x="0" y="0"/>
                      <a:ext cx="5687695" cy="6876415"/>
                    </a:xfrm>
                    <a:prstGeom prst="rect">
                      <a:avLst/>
                    </a:prstGeom>
                    <a:noFill/>
                    <a:ln>
                      <a:noFill/>
                    </a:ln>
                  </pic:spPr>
                </pic:pic>
              </a:graphicData>
            </a:graphic>
          </wp:inline>
        </w:drawing>
      </w:r>
    </w:p>
    <w:p w14:paraId="4741DE79">
      <w:pPr>
        <w:pStyle w:val="44"/>
        <w:bidi w:val="0"/>
        <w:rPr>
          <w:rFonts w:hint="eastAsia"/>
        </w:rPr>
      </w:pPr>
      <w:r>
        <w:rPr>
          <w:rFonts w:hint="eastAsia"/>
          <w:lang w:val="en-US" w:eastAsia="zh-CN"/>
        </w:rPr>
        <w:t>广西亚热带作物研究所原创科普视频部分截图</w:t>
      </w:r>
    </w:p>
    <w:p w14:paraId="4471E2CF">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drawing>
          <wp:inline distT="0" distB="0" distL="114300" distR="114300">
            <wp:extent cx="5686425" cy="1048385"/>
            <wp:effectExtent l="0" t="0" r="3175" b="571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0"/>
                    <a:stretch>
                      <a:fillRect/>
                    </a:stretch>
                  </pic:blipFill>
                  <pic:spPr>
                    <a:xfrm>
                      <a:off x="0" y="0"/>
                      <a:ext cx="5686425" cy="1048385"/>
                    </a:xfrm>
                    <a:prstGeom prst="rect">
                      <a:avLst/>
                    </a:prstGeom>
                    <a:noFill/>
                    <a:ln>
                      <a:noFill/>
                    </a:ln>
                  </pic:spPr>
                </pic:pic>
              </a:graphicData>
            </a:graphic>
          </wp:inline>
        </w:drawing>
      </w:r>
    </w:p>
    <w:p w14:paraId="79099B2B">
      <w:pPr>
        <w:pStyle w:val="44"/>
        <w:bidi w:val="0"/>
        <w:rPr>
          <w:rFonts w:hint="eastAsia"/>
        </w:rPr>
      </w:pPr>
      <w:r>
        <w:rPr>
          <w:rFonts w:hint="eastAsia"/>
          <w:lang w:val="en-US" w:eastAsia="zh-CN"/>
        </w:rPr>
        <w:t>广西亚热带作物研究所最受欢迎原创科普视频</w:t>
      </w:r>
    </w:p>
    <w:p w14:paraId="628A15AB">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drawing>
          <wp:inline distT="0" distB="0" distL="114300" distR="114300">
            <wp:extent cx="3520440" cy="2553335"/>
            <wp:effectExtent l="0" t="0" r="10160" b="1206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1"/>
                    <a:stretch>
                      <a:fillRect/>
                    </a:stretch>
                  </pic:blipFill>
                  <pic:spPr>
                    <a:xfrm>
                      <a:off x="0" y="0"/>
                      <a:ext cx="3520440" cy="2553335"/>
                    </a:xfrm>
                    <a:prstGeom prst="rect">
                      <a:avLst/>
                    </a:prstGeom>
                    <a:noFill/>
                    <a:ln>
                      <a:noFill/>
                    </a:ln>
                  </pic:spPr>
                </pic:pic>
              </a:graphicData>
            </a:graphic>
          </wp:inline>
        </w:drawing>
      </w:r>
    </w:p>
    <w:p w14:paraId="7D2A1B2C">
      <w:pPr>
        <w:pStyle w:val="44"/>
        <w:bidi w:val="0"/>
        <w:rPr>
          <w:rFonts w:hint="default" w:hAnsi="Times New Roman" w:cs="Times New Roman"/>
          <w:lang w:val="en-US" w:eastAsia="zh-CN"/>
        </w:rPr>
      </w:pPr>
      <w:r>
        <w:rPr>
          <w:rFonts w:hint="eastAsia" w:hAnsi="Times New Roman" w:cs="Times New Roman"/>
          <w:lang w:val="en-US" w:eastAsia="zh-CN"/>
        </w:rPr>
        <w:t>原创</w:t>
      </w:r>
      <w:r>
        <w:rPr>
          <w:rFonts w:hint="default" w:hAnsi="Times New Roman" w:cs="Times New Roman"/>
          <w:lang w:val="en-US" w:eastAsia="zh-CN"/>
        </w:rPr>
        <w:t>科普视频《菩提树的“小尾巴”有点意思》获2024第二届广西网络科普作品大赛——微视频一等奖</w:t>
      </w:r>
    </w:p>
    <w:p w14:paraId="2D642010">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rPr>
          <w:rFonts w:hint="eastAsia" w:ascii="Times New Roman" w:hAnsi="Times New Roman" w:eastAsia="仿宋_GB2312" w:cs="Times New Roman"/>
          <w:color w:val="auto"/>
          <w:sz w:val="24"/>
          <w:szCs w:val="24"/>
          <w:highlight w:val="none"/>
          <w:lang w:val="en-US" w:eastAsia="zh-CN"/>
        </w:rPr>
        <w:drawing>
          <wp:inline distT="0" distB="0" distL="114300" distR="114300">
            <wp:extent cx="3211195" cy="4679950"/>
            <wp:effectExtent l="0" t="0" r="6350" b="1905"/>
            <wp:docPr id="22" name="图片 22" descr="《魅力兰花—轩弱兰草为何能跻身成为世界大家族？》作品在2025年广西科普视频大赛中荣获三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魅力兰花—轩弱兰草为何能跻身成为世界大家族？》作品在2025年广西科普视频大赛中荣获三等奖"/>
                    <pic:cNvPicPr>
                      <a:picLocks noChangeAspect="1"/>
                    </pic:cNvPicPr>
                  </pic:nvPicPr>
                  <pic:blipFill>
                    <a:blip r:embed="rId12"/>
                    <a:stretch>
                      <a:fillRect/>
                    </a:stretch>
                  </pic:blipFill>
                  <pic:spPr>
                    <a:xfrm rot="16200000">
                      <a:off x="0" y="0"/>
                      <a:ext cx="3211195" cy="4679950"/>
                    </a:xfrm>
                    <a:prstGeom prst="rect">
                      <a:avLst/>
                    </a:prstGeom>
                  </pic:spPr>
                </pic:pic>
              </a:graphicData>
            </a:graphic>
          </wp:inline>
        </w:drawing>
      </w:r>
    </w:p>
    <w:p w14:paraId="5DE8AA3B">
      <w:pPr>
        <w:pStyle w:val="44"/>
        <w:bidi w:val="0"/>
        <w:rPr>
          <w:rFonts w:hint="default" w:hAnsi="Times New Roman" w:cs="Times New Roman"/>
          <w:lang w:val="en-US" w:eastAsia="zh-CN"/>
        </w:rPr>
      </w:pPr>
      <w:r>
        <w:rPr>
          <w:rFonts w:hint="default" w:hAnsi="Times New Roman" w:cs="Times New Roman"/>
          <w:lang w:val="en-US" w:eastAsia="zh-CN"/>
        </w:rPr>
        <w:t>科普视频《魅力兰花——纤弱兰草为何能跻身成为世界大家族？》获2025年广西科普视频大赛三等奖</w:t>
      </w:r>
    </w:p>
    <w:p w14:paraId="4909473A">
      <w:pPr>
        <w:pStyle w:val="48"/>
        <w:bidi w:val="0"/>
      </w:pPr>
      <w:r>
        <w:t>（三）与现行法律、法规的关系，与有关国家标准、行业标准的协调情况</w:t>
      </w:r>
    </w:p>
    <w:p w14:paraId="03FE614D">
      <w:pPr>
        <w:pStyle w:val="47"/>
        <w:bidi w:val="0"/>
      </w:pPr>
      <w:r>
        <w:rPr>
          <w:rFonts w:hint="eastAsia"/>
        </w:rPr>
        <w:t>本编制工作组承诺本标准内容与各项指标不违反相关法律法规要求，且不低于国家强制性标准、推荐性国家标准和行业标准要求。</w:t>
      </w:r>
    </w:p>
    <w:p w14:paraId="60700417">
      <w:pPr>
        <w:pStyle w:val="47"/>
        <w:bidi w:val="0"/>
        <w:rPr>
          <w:rFonts w:hint="eastAsia"/>
          <w:highlight w:val="none"/>
          <w:lang w:eastAsia="zh-CN"/>
        </w:rPr>
      </w:pPr>
      <w:r>
        <w:rPr>
          <w:rFonts w:hint="eastAsia"/>
          <w:highlight w:val="none"/>
        </w:rPr>
        <w:t>经查阅，截至目前，与“科普视频”“农业新媒体”“科普评价”有关的标准有《LY/T 2251-2014 林业科普基地评选规范》《GB/T 42421-2023 数字科普资源质量要求》《T/CSWA 001-2023 科普视频评价指标体系》</w:t>
      </w:r>
      <w:r>
        <w:rPr>
          <w:rFonts w:hint="eastAsia"/>
          <w:highlight w:val="none"/>
          <w:lang w:eastAsia="zh-CN"/>
        </w:rPr>
        <w:t>，</w:t>
      </w:r>
      <w:r>
        <w:rPr>
          <w:rFonts w:hint="eastAsia"/>
          <w:highlight w:val="none"/>
        </w:rPr>
        <w:t>其中</w:t>
      </w:r>
      <w:r>
        <w:rPr>
          <w:rFonts w:hint="eastAsia"/>
          <w:highlight w:val="none"/>
          <w:lang w:eastAsia="zh-CN"/>
        </w:rPr>
        <w:t>：</w:t>
      </w:r>
    </w:p>
    <w:p w14:paraId="65C93A88">
      <w:pPr>
        <w:pStyle w:val="47"/>
        <w:bidi w:val="0"/>
        <w:rPr>
          <w:rFonts w:hint="eastAsia" w:eastAsia="仿宋_GB2312"/>
          <w:highlight w:val="none"/>
          <w:lang w:val="en-US" w:eastAsia="zh-CN"/>
        </w:rPr>
      </w:pPr>
      <w:r>
        <w:rPr>
          <w:rFonts w:hint="eastAsia"/>
          <w:highlight w:val="none"/>
          <w:lang w:val="en-US" w:eastAsia="zh-CN"/>
        </w:rPr>
        <w:t>1.</w:t>
      </w:r>
      <w:r>
        <w:rPr>
          <w:rFonts w:hint="eastAsia"/>
          <w:highlight w:val="none"/>
        </w:rPr>
        <w:t>《LY/T 2251-2014 林业科普基地评选规范》规定了全国林业科普基地评选的原则与方法、基本条件、运营管理和工作要求，适用于全国林业科普基地的评选、验收、检查和规范化建设，与农业科普</w:t>
      </w:r>
      <w:r>
        <w:rPr>
          <w:rFonts w:hint="eastAsia"/>
          <w:highlight w:val="none"/>
          <w:lang w:val="en-US" w:eastAsia="zh-CN"/>
        </w:rPr>
        <w:t>视频</w:t>
      </w:r>
      <w:r>
        <w:rPr>
          <w:rFonts w:hint="eastAsia"/>
          <w:highlight w:val="none"/>
        </w:rPr>
        <w:t>作品评价无关；</w:t>
      </w:r>
      <w:r>
        <w:rPr>
          <w:rFonts w:hint="eastAsia"/>
          <w:highlight w:val="none"/>
          <w:lang w:val="en-US" w:eastAsia="zh-CN"/>
        </w:rPr>
        <w:t>.</w:t>
      </w:r>
    </w:p>
    <w:p w14:paraId="17B84F78">
      <w:pPr>
        <w:pStyle w:val="47"/>
        <w:bidi w:val="0"/>
        <w:rPr>
          <w:rFonts w:hint="eastAsia"/>
          <w:highlight w:val="none"/>
        </w:rPr>
      </w:pPr>
      <w:r>
        <w:rPr>
          <w:rFonts w:hint="eastAsia"/>
          <w:highlight w:val="none"/>
          <w:lang w:val="en-US" w:eastAsia="zh-CN"/>
        </w:rPr>
        <w:t>2.</w:t>
      </w:r>
      <w:r>
        <w:rPr>
          <w:rFonts w:hint="eastAsia"/>
          <w:highlight w:val="none"/>
        </w:rPr>
        <w:t>《T/CSWA 001-2023 科普视频评价指标体系》规定了科普视频评价的基本要求、评价方法和结果判定、指标体系等内容，没有明确农业领域的基本要求，</w:t>
      </w:r>
      <w:r>
        <w:rPr>
          <w:rFonts w:hint="eastAsia"/>
          <w:highlight w:val="none"/>
          <w:lang w:val="en-US" w:eastAsia="zh-CN"/>
        </w:rPr>
        <w:t>同时缺少对</w:t>
      </w:r>
      <w:r>
        <w:rPr>
          <w:rFonts w:hint="eastAsia"/>
          <w:highlight w:val="none"/>
        </w:rPr>
        <w:t>评价</w:t>
      </w:r>
      <w:r>
        <w:rPr>
          <w:rFonts w:hint="eastAsia"/>
          <w:highlight w:val="none"/>
          <w:lang w:val="en-US" w:eastAsia="zh-CN"/>
        </w:rPr>
        <w:t>整理流程的要求，</w:t>
      </w:r>
      <w:r>
        <w:rPr>
          <w:rFonts w:hint="eastAsia"/>
          <w:highlight w:val="none"/>
        </w:rPr>
        <w:t>不适用于本标准。</w:t>
      </w:r>
    </w:p>
    <w:p w14:paraId="7FA8BB82">
      <w:pPr>
        <w:pStyle w:val="47"/>
        <w:bidi w:val="0"/>
        <w:rPr>
          <w:rFonts w:ascii="仿宋_GB2312" w:hAnsi="宋体" w:eastAsia="仿宋_GB2312"/>
          <w:szCs w:val="28"/>
          <w:highlight w:val="none"/>
        </w:rPr>
      </w:pPr>
      <w:r>
        <w:rPr>
          <w:rFonts w:hint="eastAsia"/>
          <w:highlight w:val="none"/>
        </w:rPr>
        <w:t>综上，国内暂未制定有</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作品创作</w:t>
      </w:r>
      <w:r>
        <w:rPr>
          <w:rFonts w:hint="eastAsia"/>
          <w:highlight w:val="none"/>
        </w:rPr>
        <w:t>相关的标准，因此有必要根据实际情况研制团体标准《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作品创作</w:t>
      </w:r>
      <w:r>
        <w:rPr>
          <w:rFonts w:hint="eastAsia"/>
          <w:highlight w:val="none"/>
        </w:rPr>
        <w:t>规范》，填补</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作品创作</w:t>
      </w:r>
      <w:r>
        <w:rPr>
          <w:rFonts w:hint="eastAsia"/>
          <w:highlight w:val="none"/>
        </w:rPr>
        <w:t>的标准空白，运用标准化手段指导、规范</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作品创作</w:t>
      </w:r>
      <w:r>
        <w:rPr>
          <w:rFonts w:hint="eastAsia"/>
          <w:highlight w:val="none"/>
        </w:rPr>
        <w:t>的发展。</w:t>
      </w:r>
    </w:p>
    <w:p w14:paraId="14FD2F15">
      <w:pPr>
        <w:pStyle w:val="46"/>
        <w:bidi w:val="0"/>
        <w:rPr>
          <w:rFonts w:ascii="黑体" w:hAnsi="黑体" w:eastAsia="黑体" w:cs="仿宋_GB2312"/>
          <w:szCs w:val="32"/>
          <w:highlight w:val="none"/>
        </w:rPr>
      </w:pPr>
      <w:bookmarkStart w:id="2" w:name="_Toc526940084"/>
      <w:r>
        <w:rPr>
          <w:rFonts w:hint="eastAsia"/>
          <w:highlight w:val="none"/>
        </w:rPr>
        <w:t>五、</w:t>
      </w:r>
      <w:bookmarkEnd w:id="2"/>
      <w:r>
        <w:rPr>
          <w:rFonts w:hint="eastAsia"/>
          <w:highlight w:val="none"/>
        </w:rPr>
        <w:t>主要条款的说明</w:t>
      </w:r>
    </w:p>
    <w:p w14:paraId="5003E715">
      <w:pPr>
        <w:pStyle w:val="47"/>
        <w:bidi w:val="0"/>
        <w:rPr>
          <w:rFonts w:ascii="仿宋_GB2312" w:hAnsi="宋体" w:eastAsia="仿宋_GB2312"/>
          <w:sz w:val="32"/>
          <w:szCs w:val="32"/>
          <w:highlight w:val="none"/>
          <w:lang w:val="zh-CN"/>
        </w:rPr>
      </w:pPr>
      <w:r>
        <w:rPr>
          <w:rFonts w:hint="eastAsia" w:ascii="仿宋_GB2312" w:hAnsi="宋体" w:eastAsia="仿宋_GB2312"/>
          <w:sz w:val="32"/>
          <w:szCs w:val="32"/>
          <w:highlight w:val="none"/>
          <w:lang w:val="zh-CN"/>
        </w:rPr>
        <w:t>团体标准《</w:t>
      </w:r>
      <w:r>
        <w:rPr>
          <w:rFonts w:hint="eastAsia" w:ascii="仿宋_GB2312" w:eastAsia="仿宋_GB2312"/>
          <w:bCs/>
          <w:sz w:val="32"/>
          <w:szCs w:val="32"/>
          <w:highlight w:val="none"/>
        </w:rPr>
        <w:t>农</w:t>
      </w:r>
      <w:r>
        <w:rPr>
          <w:rFonts w:hint="eastAsia" w:ascii="仿宋_GB2312"/>
          <w:bCs/>
          <w:sz w:val="32"/>
          <w:szCs w:val="32"/>
          <w:highlight w:val="none"/>
          <w:lang w:val="en-US" w:eastAsia="zh-CN"/>
        </w:rPr>
        <w:t>业</w:t>
      </w:r>
      <w:r>
        <w:rPr>
          <w:rFonts w:hint="eastAsia" w:ascii="仿宋_GB2312" w:eastAsia="仿宋_GB2312"/>
          <w:bCs/>
          <w:sz w:val="32"/>
          <w:szCs w:val="32"/>
          <w:highlight w:val="none"/>
        </w:rPr>
        <w:t>科普</w:t>
      </w:r>
      <w:r>
        <w:rPr>
          <w:rFonts w:hint="eastAsia" w:ascii="仿宋_GB2312"/>
          <w:bCs/>
          <w:sz w:val="32"/>
          <w:szCs w:val="32"/>
          <w:highlight w:val="none"/>
          <w:lang w:val="en-US" w:eastAsia="zh-CN"/>
        </w:rPr>
        <w:t>视频</w:t>
      </w:r>
      <w:r>
        <w:rPr>
          <w:rFonts w:hint="eastAsia" w:ascii="仿宋_GB2312" w:eastAsia="仿宋_GB2312"/>
          <w:bCs/>
          <w:sz w:val="32"/>
          <w:szCs w:val="32"/>
          <w:highlight w:val="none"/>
        </w:rPr>
        <w:t>作品</w:t>
      </w:r>
      <w:r>
        <w:rPr>
          <w:rFonts w:hint="eastAsia" w:ascii="仿宋_GB2312"/>
          <w:bCs/>
          <w:sz w:val="32"/>
          <w:szCs w:val="32"/>
          <w:highlight w:val="none"/>
          <w:lang w:val="en-US" w:eastAsia="zh-CN"/>
        </w:rPr>
        <w:t>评价</w:t>
      </w:r>
      <w:r>
        <w:rPr>
          <w:rFonts w:hint="eastAsia" w:ascii="仿宋_GB2312" w:eastAsia="仿宋_GB2312"/>
          <w:bCs/>
          <w:sz w:val="32"/>
          <w:szCs w:val="32"/>
          <w:highlight w:val="none"/>
        </w:rPr>
        <w:t>规范</w:t>
      </w:r>
      <w:r>
        <w:rPr>
          <w:rFonts w:hint="eastAsia" w:ascii="仿宋_GB2312" w:hAnsi="宋体" w:eastAsia="仿宋_GB2312"/>
          <w:sz w:val="32"/>
          <w:szCs w:val="32"/>
          <w:highlight w:val="none"/>
          <w:lang w:val="zh-CN"/>
        </w:rPr>
        <w:t>》的主要章节内容包括：</w:t>
      </w:r>
      <w:r>
        <w:rPr>
          <w:rFonts w:hint="eastAsia"/>
        </w:rPr>
        <w:t>农业科普</w:t>
      </w:r>
      <w:r>
        <w:rPr>
          <w:rFonts w:hint="eastAsia"/>
          <w:lang w:val="en-US" w:eastAsia="zh-CN"/>
        </w:rPr>
        <w:t>视频作品评价内容、评价方法、评价流程及要求和档案管理</w:t>
      </w:r>
      <w:r>
        <w:rPr>
          <w:rFonts w:hint="eastAsia" w:ascii="仿宋_GB2312" w:hAnsi="宋体" w:eastAsia="仿宋_GB2312"/>
          <w:sz w:val="32"/>
          <w:szCs w:val="32"/>
          <w:highlight w:val="none"/>
          <w:lang w:val="zh-CN"/>
        </w:rPr>
        <w:t>。</w:t>
      </w:r>
      <w:r>
        <w:rPr>
          <w:rFonts w:hint="eastAsia" w:ascii="仿宋_GB2312" w:hAnsi="宋体"/>
          <w:sz w:val="32"/>
          <w:szCs w:val="32"/>
          <w:highlight w:val="none"/>
          <w:lang w:val="en-US" w:eastAsia="zh-CN"/>
        </w:rPr>
        <w:t>近年涌现大量的农业科普视频作品比赛，不同社交平台上发布</w:t>
      </w:r>
      <w:r>
        <w:rPr>
          <w:rFonts w:hint="eastAsia" w:hAnsi="宋体"/>
          <w:sz w:val="32"/>
          <w:szCs w:val="32"/>
          <w:highlight w:val="none"/>
          <w:lang w:val="en-US" w:eastAsia="zh-CN"/>
        </w:rPr>
        <w:t>的</w:t>
      </w:r>
      <w:r>
        <w:rPr>
          <w:rFonts w:hint="eastAsia" w:ascii="仿宋_GB2312" w:hAnsi="宋体"/>
          <w:sz w:val="32"/>
          <w:szCs w:val="32"/>
          <w:highlight w:val="none"/>
          <w:lang w:val="en-US" w:eastAsia="zh-CN"/>
        </w:rPr>
        <w:t>农业相关科普视频</w:t>
      </w:r>
      <w:r>
        <w:rPr>
          <w:rFonts w:hint="eastAsia" w:hAnsi="宋体"/>
          <w:sz w:val="32"/>
          <w:szCs w:val="32"/>
          <w:highlight w:val="none"/>
          <w:lang w:val="en-US" w:eastAsia="zh-CN"/>
        </w:rPr>
        <w:t>收到广泛关注，不同比赛的评价要求有所不同</w:t>
      </w:r>
      <w:r>
        <w:rPr>
          <w:rFonts w:hint="eastAsia" w:ascii="仿宋_GB2312" w:hAnsi="宋体"/>
          <w:sz w:val="32"/>
          <w:szCs w:val="32"/>
          <w:highlight w:val="none"/>
          <w:lang w:val="en-US" w:eastAsia="zh-CN"/>
        </w:rPr>
        <w:t>。</w:t>
      </w:r>
      <w:r>
        <w:rPr>
          <w:rFonts w:hint="eastAsia" w:hAnsi="宋体"/>
          <w:sz w:val="32"/>
          <w:szCs w:val="32"/>
          <w:highlight w:val="none"/>
          <w:lang w:val="en-US" w:eastAsia="zh-CN"/>
        </w:rPr>
        <w:t>为了规范农业类科普视频作品评价细则，</w:t>
      </w:r>
      <w:r>
        <w:rPr>
          <w:rFonts w:hint="eastAsia" w:ascii="仿宋_GB2312" w:hAnsi="宋体"/>
          <w:sz w:val="32"/>
          <w:szCs w:val="32"/>
          <w:highlight w:val="none"/>
          <w:lang w:val="en-US" w:eastAsia="zh-CN"/>
        </w:rPr>
        <w:t>项目组以</w:t>
      </w:r>
      <w:r>
        <w:rPr>
          <w:rFonts w:hint="eastAsia" w:hAnsi="宋体"/>
          <w:sz w:val="32"/>
          <w:szCs w:val="32"/>
          <w:highlight w:val="none"/>
          <w:lang w:val="en-US" w:eastAsia="zh-CN"/>
        </w:rPr>
        <w:t>权威科普作品比赛、相关学术研究以及实践经验为基础，对农业科普视频作品的评价进行统一规范</w:t>
      </w:r>
      <w:r>
        <w:rPr>
          <w:rFonts w:hint="eastAsia" w:ascii="仿宋_GB2312" w:hAnsi="宋体"/>
          <w:sz w:val="32"/>
          <w:szCs w:val="32"/>
          <w:highlight w:val="none"/>
          <w:lang w:val="en-US" w:eastAsia="zh-CN"/>
        </w:rPr>
        <w:t>。</w:t>
      </w:r>
      <w:r>
        <w:rPr>
          <w:rFonts w:hint="eastAsia" w:ascii="仿宋_GB2312" w:hAnsi="宋体" w:eastAsia="仿宋_GB2312"/>
          <w:sz w:val="32"/>
          <w:szCs w:val="32"/>
          <w:highlight w:val="none"/>
          <w:lang w:val="zh-CN"/>
        </w:rPr>
        <w:t>本文件主要内容及依据来源说明如下：</w:t>
      </w:r>
    </w:p>
    <w:p w14:paraId="71AAB20E">
      <w:pPr>
        <w:pStyle w:val="48"/>
        <w:bidi w:val="0"/>
        <w:rPr>
          <w:rFonts w:hint="eastAsia"/>
          <w:lang w:val="en-US" w:eastAsia="zh-CN"/>
        </w:rPr>
      </w:pPr>
      <w:r>
        <w:rPr>
          <w:rFonts w:hint="default"/>
          <w:lang w:val="zh-CN" w:eastAsia="zh-CN"/>
        </w:rPr>
        <w:t>（一）</w:t>
      </w:r>
      <w:r>
        <w:rPr>
          <w:rFonts w:hint="eastAsia"/>
          <w:lang w:val="en-US" w:eastAsia="zh-CN"/>
        </w:rPr>
        <w:t>评价指标</w:t>
      </w:r>
    </w:p>
    <w:p w14:paraId="06FF0DD6">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（1）通则</w:t>
      </w:r>
    </w:p>
    <w:p w14:paraId="6AE76409">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为系统评价农业科普纸媒书报类作品的质量，本文件设置方向规范性、科学与准确性、通俗性、技巧性、传播性5个一级指标。方向规范性确保选题符合国家农业战略、政策导向及社会需求，防止导向偏差；科学与准确性保证农业知识真实可靠，不含有伪科学内容；通俗性将专业术语转化为目标受众易懂的表达，便于传播；技巧性关注语言组织、版式设计和图文搭配，影响受众阅读体验；传播性衡量作品的发行覆盖、受众认可及应用效果，反映科普实际成效。五个指标相互独立、互为补充，从内容到形式、从知识到应用全方位评价作品质量。此外，若作品包含音频或视频内容，其音视频质量应执行GB/T 42421—2023《数字科普资源质量要求》中相应的技术规范，其中视频清晰度宜达到高清或以上，以保证受众获取信息的良好体验。</w:t>
      </w:r>
    </w:p>
    <w:p w14:paraId="115B188D">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drawing>
          <wp:inline distT="0" distB="0" distL="114300" distR="114300">
            <wp:extent cx="5400040" cy="3517900"/>
            <wp:effectExtent l="0" t="0" r="1016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3"/>
                    <a:stretch>
                      <a:fillRect/>
                    </a:stretch>
                  </pic:blipFill>
                  <pic:spPr>
                    <a:xfrm>
                      <a:off x="0" y="0"/>
                      <a:ext cx="5400040" cy="3517900"/>
                    </a:xfrm>
                    <a:prstGeom prst="rect">
                      <a:avLst/>
                    </a:prstGeom>
                    <a:noFill/>
                    <a:ln>
                      <a:noFill/>
                    </a:ln>
                  </pic:spPr>
                </pic:pic>
              </a:graphicData>
            </a:graphic>
          </wp:inline>
        </w:drawing>
      </w:r>
    </w:p>
    <w:p w14:paraId="175C7799">
      <w:pPr>
        <w:pStyle w:val="44"/>
        <w:bidi w:val="0"/>
        <w:rPr>
          <w:rFonts w:hint="default" w:hAnsi="Times New Roman" w:cs="Times New Roman"/>
          <w:lang w:val="en-US" w:eastAsia="zh-CN"/>
        </w:rPr>
      </w:pPr>
      <w:r>
        <w:rPr>
          <w:rFonts w:hint="default" w:hAnsi="Times New Roman" w:cs="Times New Roman"/>
          <w:lang w:val="en-US" w:eastAsia="zh-CN"/>
        </w:rPr>
        <w:t>GB/T 42421—2023《数字科普资源质量要求》</w:t>
      </w:r>
      <w:r>
        <w:rPr>
          <w:rFonts w:hint="eastAsia" w:cs="Times New Roman"/>
          <w:lang w:val="en-US" w:eastAsia="zh-CN"/>
        </w:rPr>
        <w:t>中关于视频质量的内容</w:t>
      </w:r>
    </w:p>
    <w:p w14:paraId="0B3A1054">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（2）方向与规范性</w:t>
      </w:r>
    </w:p>
    <w:p w14:paraId="01357A38">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方向与规范性为农业科普纸媒书报类作品的基础性评价指标，用于保障作品导向正确、内容真实、合规传播。</w:t>
      </w:r>
    </w:p>
    <w:p w14:paraId="23AD7F80">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①选题方向性</w:t>
      </w:r>
    </w:p>
    <w:p w14:paraId="323A643C">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围绕国家农业发展战略、乡村振兴、粮食安全、生态安全、农业现代化建设等重大政策背景：本要点设定的依据为农业科普作品应服务于国家农业发展的整体布局。农业政策是引导生产方向、配置资源和制定扶持措施的重要依据。科普作品紧扣粮食安全、乡村振兴等国家战略，帮助公众理解政策意图并合理调整生产行为。例如围绕藏粮于地、藏粮于技战略（即通过保护耕地质量、提升科技贡献率保障粮食安全）推出耕地保护与种业创新的选题，为基层干部和农民将政策内涵落实到具体生产提供参考。</w:t>
      </w:r>
    </w:p>
    <w:p w14:paraId="2ED2E3C8">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聚焦农业领域关键核心技术、重要科研成果及其推广应用等：本要点设定的依据为农业科技创新的最终目标是转化为现实生产力，科普是成果从实验室走向生产一线的重要渠道。当前我国在生物育种、病虫害绿色防控、智能农机等领域取得了一批重要成果，若成果信息仅停留在论文和专利中，无法转化为实际效益。科普作品聚焦核心技术及其推广，可以加速成果落地，推动解决生产中的技术难题。</w:t>
      </w:r>
    </w:p>
    <w:p w14:paraId="001F555B">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围绕农产品质量安全、智慧农业发展、农业生态保护、农业生产风险等社会关切问题：本要点设定的依据为农业生产和农产品供应与公众生活密切相关，农产品质量安全、面源污染防控、生产风险等已成为社会广泛关注的议题，公众对相关信息有实际需求。科普作品回应这些关切，可提供科学的解释和可行的建议，减少因信息不充分导致的认知偏差。例如，围绕农药残留标准进行科普解读并介绍科学用药方法，为消费者和生产者在科学基础上理性看待农产品安全问题提供依据；再如，通过介绍传感器监测、无人机植保等智慧农业技术原理和应用实例，为公众理解其价值和适用场景提供参考。</w:t>
      </w:r>
    </w:p>
    <w:p w14:paraId="38AA16DF">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弘扬农业科学家精神，传播农业科技创新理念与价值等：本要点设定的依据为农业科普除传递知识外，还承担价值引领的作用。我国农业领域长期涌现出扎根一线、执着探索的科学家，其事迹和科研追求是鼓励社会关注农业、尊重农业科技工作者的鲜活资源。科普作品通过讲述科学家攻克种业难题、长期进行田间试验的真实经历，增进公众对农业科技的理解，促进社会形成尊重科学、尊重创新的氛围。</w:t>
      </w:r>
    </w:p>
    <w:p w14:paraId="33FD250A">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——针对涉农谣言或认知误区进行科学解释和理性引导等：本要点设定的依据为涉农谣言和认知误区在生产领域和消费领域均有传播，对生产决策和公众判断产生负面作用。例如</w:t>
      </w:r>
      <w:r>
        <w:rPr>
          <w:rFonts w:hint="eastAsia" w:ascii="Times New Roman" w:hAnsi="Times New Roman" w:eastAsia="仿宋_GB2312" w:cs="Times New Roman"/>
          <w:b w:val="0"/>
          <w:kern w:val="2"/>
          <w:sz w:val="32"/>
          <w:szCs w:val="28"/>
          <w:lang w:val="en-US" w:eastAsia="zh-CN" w:bidi="ar-SA"/>
        </w:rPr>
        <w:t>施</w:t>
      </w:r>
      <w:r>
        <w:rPr>
          <w:rFonts w:hint="default" w:ascii="Times New Roman" w:hAnsi="Times New Roman" w:eastAsia="仿宋_GB2312" w:cs="Times New Roman"/>
          <w:b w:val="0"/>
          <w:kern w:val="2"/>
          <w:sz w:val="32"/>
          <w:szCs w:val="28"/>
          <w:lang w:val="en-US" w:eastAsia="zh-CN" w:bidi="ar-SA"/>
        </w:rPr>
        <w:t>肥有毒论</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转基因食品普遍致癌</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特定偏方可使作物普遍增产等不实信息，若未获及时澄清，可能导致生产者放弃科学种植方案或消费者产生不必要的担忧。科普作品应主动识别并回应此类不实信息，以科学依据为基础进行解释和引导，帮助公众提升辨别能力。</w:t>
      </w:r>
    </w:p>
    <w:p w14:paraId="332B8D09">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选题方向性参考来源</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0"/>
        <w:gridCol w:w="5898"/>
        <w:gridCol w:w="2296"/>
      </w:tblGrid>
      <w:tr w14:paraId="5976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4A35467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3213" w:type="pct"/>
            <w:vAlign w:val="center"/>
          </w:tcPr>
          <w:p w14:paraId="188F5F59">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251" w:type="pct"/>
            <w:vAlign w:val="center"/>
          </w:tcPr>
          <w:p w14:paraId="2CD3E7B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4D195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3EC9523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2025中国健康科普大赛全国总决赛评审标准</w:t>
            </w:r>
          </w:p>
        </w:tc>
        <w:tc>
          <w:tcPr>
            <w:tcW w:w="3213" w:type="pct"/>
            <w:vAlign w:val="center"/>
          </w:tcPr>
          <w:p w14:paraId="63DAC52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453130" cy="899795"/>
                  <wp:effectExtent l="0" t="0" r="1270" b="1905"/>
                  <wp:docPr id="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6"/>
                          <pic:cNvPicPr>
                            <a:picLocks noChangeAspect="1"/>
                          </pic:cNvPicPr>
                        </pic:nvPicPr>
                        <pic:blipFill>
                          <a:blip r:embed="rId14"/>
                          <a:stretch>
                            <a:fillRect/>
                          </a:stretch>
                        </pic:blipFill>
                        <pic:spPr>
                          <a:xfrm>
                            <a:off x="0" y="0"/>
                            <a:ext cx="3453130" cy="899795"/>
                          </a:xfrm>
                          <a:prstGeom prst="rect">
                            <a:avLst/>
                          </a:prstGeom>
                          <a:noFill/>
                          <a:ln>
                            <a:noFill/>
                          </a:ln>
                        </pic:spPr>
                      </pic:pic>
                    </a:graphicData>
                  </a:graphic>
                </wp:inline>
              </w:drawing>
            </w:r>
          </w:p>
        </w:tc>
        <w:tc>
          <w:tcPr>
            <w:tcW w:w="1251" w:type="pct"/>
            <w:vAlign w:val="center"/>
          </w:tcPr>
          <w:p w14:paraId="423E78D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要求符合主题，强调选题导向性</w:t>
            </w:r>
          </w:p>
        </w:tc>
      </w:tr>
      <w:tr w14:paraId="0BD73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589F347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2024年全国科普微视频大赛</w:t>
            </w:r>
          </w:p>
        </w:tc>
        <w:tc>
          <w:tcPr>
            <w:tcW w:w="3213" w:type="pct"/>
            <w:vAlign w:val="center"/>
          </w:tcPr>
          <w:p w14:paraId="769CF87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272415"/>
                  <wp:effectExtent l="0" t="0" r="6985" b="698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5"/>
                          <a:stretch>
                            <a:fillRect/>
                          </a:stretch>
                        </pic:blipFill>
                        <pic:spPr>
                          <a:xfrm>
                            <a:off x="0" y="0"/>
                            <a:ext cx="3599815" cy="272415"/>
                          </a:xfrm>
                          <a:prstGeom prst="rect">
                            <a:avLst/>
                          </a:prstGeom>
                          <a:noFill/>
                          <a:ln>
                            <a:noFill/>
                          </a:ln>
                        </pic:spPr>
                      </pic:pic>
                    </a:graphicData>
                  </a:graphic>
                </wp:inline>
              </w:drawing>
            </w:r>
          </w:p>
        </w:tc>
        <w:tc>
          <w:tcPr>
            <w:tcW w:w="1251" w:type="pct"/>
            <w:vAlign w:val="center"/>
          </w:tcPr>
          <w:p w14:paraId="214D77E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强调作品要普及科学知识、弘扬科学精神、传播科学思想</w:t>
            </w:r>
          </w:p>
        </w:tc>
      </w:tr>
      <w:tr w14:paraId="4DD6A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16949E1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全国防灾减灾救灾科普视频征集</w:t>
            </w:r>
          </w:p>
        </w:tc>
        <w:tc>
          <w:tcPr>
            <w:tcW w:w="3213" w:type="pct"/>
            <w:vAlign w:val="center"/>
          </w:tcPr>
          <w:p w14:paraId="5920319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1793240"/>
                  <wp:effectExtent l="0" t="0" r="6985" b="1016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6"/>
                          <a:stretch>
                            <a:fillRect/>
                          </a:stretch>
                        </pic:blipFill>
                        <pic:spPr>
                          <a:xfrm>
                            <a:off x="0" y="0"/>
                            <a:ext cx="3599815" cy="1793240"/>
                          </a:xfrm>
                          <a:prstGeom prst="rect">
                            <a:avLst/>
                          </a:prstGeom>
                          <a:noFill/>
                          <a:ln>
                            <a:noFill/>
                          </a:ln>
                        </pic:spPr>
                      </pic:pic>
                    </a:graphicData>
                  </a:graphic>
                </wp:inline>
              </w:drawing>
            </w:r>
          </w:p>
        </w:tc>
        <w:tc>
          <w:tcPr>
            <w:tcW w:w="1251" w:type="pct"/>
            <w:vAlign w:val="center"/>
          </w:tcPr>
          <w:p w14:paraId="21D5DEA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围绕特定领域的主题</w:t>
            </w:r>
          </w:p>
        </w:tc>
      </w:tr>
      <w:tr w14:paraId="27E20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6B7FE5F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2026年全国科普微视频大赛</w:t>
            </w:r>
          </w:p>
        </w:tc>
        <w:tc>
          <w:tcPr>
            <w:tcW w:w="3213" w:type="pct"/>
            <w:vAlign w:val="center"/>
          </w:tcPr>
          <w:p w14:paraId="7B0FE02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509905"/>
                  <wp:effectExtent l="0" t="0" r="6985" b="10795"/>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17"/>
                          <a:stretch>
                            <a:fillRect/>
                          </a:stretch>
                        </pic:blipFill>
                        <pic:spPr>
                          <a:xfrm>
                            <a:off x="0" y="0"/>
                            <a:ext cx="3599815" cy="509905"/>
                          </a:xfrm>
                          <a:prstGeom prst="rect">
                            <a:avLst/>
                          </a:prstGeom>
                          <a:noFill/>
                          <a:ln>
                            <a:noFill/>
                          </a:ln>
                        </pic:spPr>
                      </pic:pic>
                    </a:graphicData>
                  </a:graphic>
                </wp:inline>
              </w:drawing>
            </w:r>
          </w:p>
        </w:tc>
        <w:tc>
          <w:tcPr>
            <w:tcW w:w="1251" w:type="pct"/>
            <w:vAlign w:val="center"/>
          </w:tcPr>
          <w:p w14:paraId="6056DEE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强调作品反映科技发展进步</w:t>
            </w:r>
          </w:p>
        </w:tc>
      </w:tr>
    </w:tbl>
    <w:p w14:paraId="26738B9A">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②规范性</w:t>
      </w:r>
    </w:p>
    <w:p w14:paraId="64789377">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使用国家通用语言文字，表述准确严谨，无错别字、病句或歧义性表达：本要点设定的依据为农业科普纸媒书报类作品是面向社会公众的正式出版物，语言文字的规范性影响内容的可信度和传播效果。农业技术信息具有操作指导性，若表述存在歧义或不严谨，可能导致读者在生产中作出错误判断。例如，将农药稀释倍数1000倍误写为100倍，或将施肥量每亩5公斤漏写为每亩5克，均可能导致经济损失或安全隐患。因此，要求使用国家通用语言文字并确保表述准确严谨，是保障作品专业性和实用性的基本条件。</w:t>
      </w:r>
    </w:p>
    <w:p w14:paraId="2ECFDFD5">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不得伪造、篡改数据或图表，不得抄袭；引用文献、数据、图片等应标注来源；涉及他人肖像、隐私或具体农户生产场景的，应取得合法授权：本要点设定的依据为农业科普作品常涉及试验数据、田间对比照片、农户案例等内容，其真实性和合法性影响作品的公信力与合规性。伪造产量数据、篡改试验图片以夸大效果、引用他人成果而不标注来源等行为，损害科普声誉，也可能引发知识产权纠纷。同时，农业科普采编过程中常拍摄农户肖像或生产场景用于内容说明，若未取得相关授权，存在侵犯肖像权或隐私权的风险。因此，规定数据真实、来源可溯、授权合规，是保障作品学术规范和合法权益的必要措施。</w:t>
      </w:r>
    </w:p>
    <w:p w14:paraId="331F6707">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介绍基因编辑、智慧农业等农业新兴科技时，应客观说明其潜在生态、社会及伦理影响：本要点设定的依据为部分农业新兴技术在提升生产效率的同时，也伴随生态安全、社会接受度和伦理层面的讨论。例如，介绍基因编辑作物时，除说明其抗逆、优质等特性外，需客观提及基因漂移的潜在风险和相应的安全评价管理制度；介绍智慧农业大数据平台时，应交代数据采集范围和产权归属等问题。科普作品若仅呈现技术优势而回避上述影响，可能形成片面引导，不利于公众全面理解技术和理性参与讨论。该要点旨在体现科普作品的客观性和社会责任。</w:t>
      </w:r>
    </w:p>
    <w:p w14:paraId="2A17C0AF">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符合版权、知识产权及农业科普出版相关规定，标注出版单位、出版日期、适用区域及修订日期，宜有审核专家信息：本要点设定的依据为农业科普纸媒作品属于正式出版物，须遵守国家出版管理规定和行业规范。农业技术具有时效性和地域性，标注出版日期和修订日期有助于读者判断内容的有效状态，标注适用区域可避免跨区域盲目套用技术方案。例如，专门针对南方稻区编写的病虫害防治手册，若缺少适用区域说明，被北方农户采用可能因气候和病虫害种类差异导致防治效果不达预期。鉴于纸媒作品不同于网络内容可即时更新，标注审核专家信息可为作品的专业性提供长效可追溯的保障，为读者提供参考依据。</w:t>
      </w:r>
    </w:p>
    <w:p w14:paraId="6B3B06AA">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规范性参考来源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1"/>
        <w:gridCol w:w="5896"/>
        <w:gridCol w:w="2297"/>
      </w:tblGrid>
      <w:tr w14:paraId="6D703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1" w:type="dxa"/>
            <w:vAlign w:val="center"/>
          </w:tcPr>
          <w:p w14:paraId="330A612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5896" w:type="dxa"/>
            <w:vAlign w:val="center"/>
          </w:tcPr>
          <w:p w14:paraId="51F2D19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2297" w:type="dxa"/>
            <w:vAlign w:val="center"/>
          </w:tcPr>
          <w:p w14:paraId="34EDE60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0791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1" w:type="dxa"/>
            <w:vAlign w:val="center"/>
          </w:tcPr>
          <w:p w14:paraId="25A78D2F">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“我爱我・AI 赋能心健康”心理科普微视频大赛</w:t>
            </w:r>
          </w:p>
        </w:tc>
        <w:tc>
          <w:tcPr>
            <w:tcW w:w="5896" w:type="dxa"/>
            <w:vAlign w:val="center"/>
          </w:tcPr>
          <w:p w14:paraId="0E8642A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396875"/>
                  <wp:effectExtent l="0" t="0" r="6985" b="952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8"/>
                          <a:stretch>
                            <a:fillRect/>
                          </a:stretch>
                        </pic:blipFill>
                        <pic:spPr>
                          <a:xfrm>
                            <a:off x="0" y="0"/>
                            <a:ext cx="3599815" cy="396875"/>
                          </a:xfrm>
                          <a:prstGeom prst="rect">
                            <a:avLst/>
                          </a:prstGeom>
                          <a:noFill/>
                          <a:ln>
                            <a:noFill/>
                          </a:ln>
                        </pic:spPr>
                      </pic:pic>
                    </a:graphicData>
                  </a:graphic>
                </wp:inline>
              </w:drawing>
            </w:r>
          </w:p>
        </w:tc>
        <w:tc>
          <w:tcPr>
            <w:tcW w:w="2297" w:type="dxa"/>
            <w:vAlign w:val="center"/>
          </w:tcPr>
          <w:p w14:paraId="40093D4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强调作品要原创，无抄袭和剽窃</w:t>
            </w:r>
          </w:p>
        </w:tc>
      </w:tr>
      <w:tr w14:paraId="3B8BF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1" w:type="dxa"/>
            <w:vAlign w:val="center"/>
          </w:tcPr>
          <w:p w14:paraId="48AE3A2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2026年德阳市科普微视频创作大赛</w:t>
            </w:r>
          </w:p>
        </w:tc>
        <w:tc>
          <w:tcPr>
            <w:tcW w:w="5896" w:type="dxa"/>
            <w:vAlign w:val="center"/>
          </w:tcPr>
          <w:p w14:paraId="61261F5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311150"/>
                  <wp:effectExtent l="0" t="0" r="6985" b="635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9"/>
                          <a:stretch>
                            <a:fillRect/>
                          </a:stretch>
                        </pic:blipFill>
                        <pic:spPr>
                          <a:xfrm>
                            <a:off x="0" y="0"/>
                            <a:ext cx="3599815" cy="311150"/>
                          </a:xfrm>
                          <a:prstGeom prst="rect">
                            <a:avLst/>
                          </a:prstGeom>
                          <a:noFill/>
                          <a:ln>
                            <a:noFill/>
                          </a:ln>
                        </pic:spPr>
                      </pic:pic>
                    </a:graphicData>
                  </a:graphic>
                </wp:inline>
              </w:drawing>
            </w:r>
          </w:p>
        </w:tc>
        <w:tc>
          <w:tcPr>
            <w:tcW w:w="2297" w:type="dxa"/>
            <w:vAlign w:val="center"/>
          </w:tcPr>
          <w:p w14:paraId="382B7EB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强敌作品无纠纷</w:t>
            </w:r>
          </w:p>
        </w:tc>
      </w:tr>
    </w:tbl>
    <w:p w14:paraId="2762A2D4">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（3）科学与准确性</w:t>
      </w:r>
    </w:p>
    <w:p w14:paraId="5CA92319">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科学与准确性是为了保障农业科普作品的知识质量。农业科普信息直接应用于生产一线，若内容在科学原理上出错、引用数据陈旧或效果描述失实，可能造成投入损失甚至生产事故。因此，有必要对作品的科学与准确提出明确要求。</w:t>
      </w:r>
    </w:p>
    <w:p w14:paraId="75DE083E">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①科学性</w:t>
      </w:r>
    </w:p>
    <w:p w14:paraId="6973E50C">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阐述的农业科学原理、技术规范符合行业共识，无概念偏差、原理错误或片面推广：本要点设定的依据为农业科学涉及作物栽培、土壤肥料、植物保护、畜禽养殖等多个专业领域，原理性错误会直接导致生产决策失误。例如，将作物缺素引起的叶片黄化误判为真菌性病害并据此推荐用药，无法解决问题，还会增加农资成本和农药残留风险。又如，仅强调某品种的高产性而回避其需肥量、倒伏风险及配套管理要求，或只宣传高产而不提投入成本，均属片面推广，会给生产者造成损失。因此，要求科普作品中的科学原理和技术规范符合行业共识，从知识源头减少误导。</w:t>
      </w:r>
    </w:p>
    <w:p w14:paraId="5FF41F6A">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引用农业数据、文献、案例应为最新有效版本，不用过时资料解读当前生产问题：本要点设定的依据为农业技术标准和生产管理要求处于持续更新状态。农药登记目录、禁限用农药名录、肥料产品标准和作物品种审定结果均在定期调整。若科普作品引用已禁用的高毒农药推荐给农民，或推荐已退出市场的作物品种供种植，将造成违反规定和技术失效的双重风险。因此，要求引用资料为最新有效版本，是保障科普信息时效性和适用性的基础条件。</w:t>
      </w:r>
    </w:p>
    <w:p w14:paraId="7A0041E0">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介绍农业技术成果时，客观说明其适用范围、条件和局限，不夸大效果或虚假宣传：本要点设定的依据为农业技术成果的效果与地域、气候、品种、管理水平等条件密切相关。如同一水稻品种在南方稻区和北方稻区的产量表现差异明显，同一缓控释肥在高温多雨地区和干旱寒冷地区的养分释放速率不同。若科普作品仅宣传技术的增产效果而不说明其适宜区域、水肥条件和管理要求，易引发超出适用范围的推广，造成生产损失。因此，要求客观说明适用范围与局限，有助于读者准确判断技术的适用性。</w:t>
      </w:r>
    </w:p>
    <w:p w14:paraId="2F3E9A81">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所有科学论断应经权威文献或农科院、农业院校、依法登记的农业科技社团、权威农业期刊等专业机构验证，不传播伪科学或错误信息：本要点设定的依据为农业领域仍有伪科学信息借科普渠道传播。例如，宣称一种微生物菌剂能根治所有土传病害，或某种微量元素可使所有作物普遍增产，此类未经验证的主张对读者具有迷惑性。若科普作品不加甄别地引用，会影响公众判断并可能造成生产损失。因此，要求关键科学论断具备可追溯的权威验证依据，从信息来源层面过滤伪科学内容，保证科普作品的可信度。</w:t>
      </w:r>
    </w:p>
    <w:p w14:paraId="0D402670">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科学性参考来源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8"/>
        <w:gridCol w:w="5896"/>
        <w:gridCol w:w="2280"/>
      </w:tblGrid>
      <w:tr w14:paraId="28461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8" w:type="dxa"/>
            <w:vAlign w:val="center"/>
          </w:tcPr>
          <w:p w14:paraId="211A874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5896" w:type="dxa"/>
            <w:vAlign w:val="center"/>
          </w:tcPr>
          <w:p w14:paraId="0D39B59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2280" w:type="dxa"/>
            <w:vAlign w:val="center"/>
          </w:tcPr>
          <w:p w14:paraId="2AC25F4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55078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8" w:type="dxa"/>
            <w:vAlign w:val="center"/>
          </w:tcPr>
          <w:p w14:paraId="502CC9E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“我爱我・AI 赋能心健康”心理科普微视频大赛</w:t>
            </w:r>
          </w:p>
        </w:tc>
        <w:tc>
          <w:tcPr>
            <w:tcW w:w="5896" w:type="dxa"/>
            <w:vAlign w:val="center"/>
          </w:tcPr>
          <w:p w14:paraId="05983D3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775970"/>
                  <wp:effectExtent l="0" t="0" r="6985" b="1143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20"/>
                          <a:stretch>
                            <a:fillRect/>
                          </a:stretch>
                        </pic:blipFill>
                        <pic:spPr>
                          <a:xfrm>
                            <a:off x="0" y="0"/>
                            <a:ext cx="3599815" cy="775970"/>
                          </a:xfrm>
                          <a:prstGeom prst="rect">
                            <a:avLst/>
                          </a:prstGeom>
                          <a:noFill/>
                          <a:ln>
                            <a:noFill/>
                          </a:ln>
                        </pic:spPr>
                      </pic:pic>
                    </a:graphicData>
                  </a:graphic>
                </wp:inline>
              </w:drawing>
            </w:r>
          </w:p>
        </w:tc>
        <w:tc>
          <w:tcPr>
            <w:tcW w:w="2280" w:type="dxa"/>
            <w:vAlign w:val="center"/>
          </w:tcPr>
          <w:p w14:paraId="7EF60AB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要求内容要有科学性</w:t>
            </w:r>
          </w:p>
        </w:tc>
      </w:tr>
      <w:tr w14:paraId="15C90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8" w:type="dxa"/>
            <w:vAlign w:val="center"/>
          </w:tcPr>
          <w:p w14:paraId="021F2DD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5896" w:type="dxa"/>
            <w:vAlign w:val="center"/>
          </w:tcPr>
          <w:p w14:paraId="0BD10F3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p>
          <w:p w14:paraId="50714A8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202305" cy="566420"/>
                  <wp:effectExtent l="0" t="0" r="0" b="0"/>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21"/>
                          <a:srcRect b="37050"/>
                          <a:stretch>
                            <a:fillRect/>
                          </a:stretch>
                        </pic:blipFill>
                        <pic:spPr>
                          <a:xfrm>
                            <a:off x="0" y="0"/>
                            <a:ext cx="3202305" cy="566420"/>
                          </a:xfrm>
                          <a:prstGeom prst="rect">
                            <a:avLst/>
                          </a:prstGeom>
                          <a:noFill/>
                          <a:ln>
                            <a:noFill/>
                          </a:ln>
                        </pic:spPr>
                      </pic:pic>
                    </a:graphicData>
                  </a:graphic>
                </wp:inline>
              </w:drawing>
            </w:r>
          </w:p>
        </w:tc>
        <w:tc>
          <w:tcPr>
            <w:tcW w:w="2280" w:type="dxa"/>
            <w:vAlign w:val="center"/>
          </w:tcPr>
          <w:p w14:paraId="017EFD0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强调内容的科学含量</w:t>
            </w:r>
          </w:p>
        </w:tc>
      </w:tr>
    </w:tbl>
    <w:p w14:paraId="5263659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②准确性</w:t>
      </w:r>
    </w:p>
    <w:p w14:paraId="369E4C01">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农业专业知识表述使用规范术语，定义清晰，避免口语化或随意缩略：本要点设定的依据为农业科普纸媒作品面向不同知识背景的读者，术语的规范性影响信息传递的准确程度。农业学科术语体系成熟，作物生长发育阶段有分蘖</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拔节</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抽穗扬花等规范表述，植保策略有生物防治</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理化诱控</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化学防治等标准分类。若术语使用不当，如将有机农业与有机化学中的有机概念混用而不加解释，或把生物防治随意缩略为生防而不加定义，会引发概念混乱甚至生产误判。因此，要求使用规范术语并确保定义清晰，是信息准确传递的基本前提。</w:t>
      </w:r>
    </w:p>
    <w:p w14:paraId="38F76EA3">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图文、案例等素材来源真实可信、可查证，标注引用出处：本要点设定的依据为农业科普作品常借助田间实拍照片、对比试验图表和典型案例增强说服力，素材的真实性影响作品的可信度。若配图与实际内容不符，如介绍某水稻品种时误用其他品种的田间照片，或引用产量对比数据却不注明试验区域、年限和样本量，均可能误导读者的品种选择或技术决策。标注引用出处为读者提供核查验证的渠道，也符合出版和学术规范的基本要求。因此，要求图文案例来源真实、标注出处，是维护作品严谨性的基本条件。</w:t>
      </w:r>
    </w:p>
    <w:p w14:paraId="7B57113A">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不得虚构或篡改农业产量、技术效果等事实，不得夸大技术适用范围，不得使用过期或失效的农业技术资料解读现行政策、技术或成果：本要点设定的依据为农业技术和生产数据具有客观性，虚构、篡改或不当使用数据会损害科普公信力并可能引发生产损失。在虚构事实方面，如编造某品种亩产量以吸引种植；在夸大适用范围方面，如宣传某农药对多种病害有效而回避防治靶标和使用条件；在使用过期资料方面，如依据已被修订的农药安全间隔期标准指导采收，可能导致农产品残留超标。上述偏差均可能影响生产安全和消费者权益。因此，要求数据真实、范围客观、资料版本有效，是保障农业科普作品准确性的基本要求。</w:t>
      </w:r>
    </w:p>
    <w:p w14:paraId="267146CD">
      <w:pPr>
        <w:pStyle w:val="48"/>
        <w:bidi w:val="0"/>
        <w:rPr>
          <w:rFonts w:hint="default" w:ascii="Times New Roman" w:hAnsi="Times New Roman" w:eastAsia="仿宋_GB2312" w:cs="Times New Roman"/>
          <w:b w:val="0"/>
          <w:kern w:val="2"/>
          <w:sz w:val="32"/>
          <w:szCs w:val="28"/>
          <w:lang w:val="en-US" w:eastAsia="zh-CN" w:bidi="ar-SA"/>
        </w:rPr>
      </w:pPr>
      <w:r>
        <w:rPr>
          <w:rFonts w:hint="default" w:ascii="Times New Roman" w:hAnsi="Times New Roman" w:eastAsia="仿宋_GB2312" w:cs="Times New Roman"/>
          <w:b w:val="0"/>
          <w:kern w:val="2"/>
          <w:sz w:val="32"/>
          <w:szCs w:val="28"/>
          <w:lang w:val="en-US" w:eastAsia="zh-CN" w:bidi="ar-SA"/>
        </w:rPr>
        <w:t>——规范标注农业生物的中文名、拉丁名、科属、农业设备、人物、法规政策、操作示范、专业术语等信息：本要点设定的依据为农业科普作品涉及生物、装备、政策等多类信息，标注规范性影响读者理解和使用效果。农业生物存在同物异名和同名异物现象，如马铃薯</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土豆</w:t>
      </w:r>
      <w:r>
        <w:rPr>
          <w:rFonts w:hint="eastAsia" w:ascii="Times New Roman" w:hAnsi="Times New Roman" w:eastAsia="仿宋_GB2312" w:cs="Times New Roman"/>
          <w:b w:val="0"/>
          <w:kern w:val="2"/>
          <w:sz w:val="32"/>
          <w:szCs w:val="28"/>
          <w:lang w:val="en-US" w:eastAsia="zh-CN" w:bidi="ar-SA"/>
        </w:rPr>
        <w:t>、</w:t>
      </w:r>
      <w:r>
        <w:rPr>
          <w:rFonts w:hint="default" w:ascii="Times New Roman" w:hAnsi="Times New Roman" w:eastAsia="仿宋_GB2312" w:cs="Times New Roman"/>
          <w:b w:val="0"/>
          <w:kern w:val="2"/>
          <w:sz w:val="32"/>
          <w:szCs w:val="28"/>
          <w:lang w:val="en-US" w:eastAsia="zh-CN" w:bidi="ar-SA"/>
        </w:rPr>
        <w:t>洋芋同指一物，而不同地区所称的土蚕可能指代不同的地下害虫种类，仅列俗称易致识别混淆，故须标注规范中文名和拉丁名。涉及农药、肥料等农资时标注通用名称或登记证号，引用法规时标注发布机关和文号，为读者准确查阅和执行提供便利。因此，要求对关键信息进行规范标注，是提升作品专业性和实用性的基本手段。</w:t>
      </w:r>
    </w:p>
    <w:p w14:paraId="656B882F">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准确性参考来源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5836"/>
        <w:gridCol w:w="2001"/>
      </w:tblGrid>
      <w:tr w14:paraId="6C1F5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vAlign w:val="center"/>
          </w:tcPr>
          <w:p w14:paraId="723F040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3949" w:type="dxa"/>
            <w:vAlign w:val="center"/>
          </w:tcPr>
          <w:p w14:paraId="4DF8F4EF">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3949" w:type="dxa"/>
            <w:vAlign w:val="center"/>
          </w:tcPr>
          <w:p w14:paraId="6C21F45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2A388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vAlign w:val="center"/>
          </w:tcPr>
          <w:p w14:paraId="236EE14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2025中国健康科普大赛全国总决赛评审标准</w:t>
            </w:r>
          </w:p>
        </w:tc>
        <w:tc>
          <w:tcPr>
            <w:tcW w:w="3949" w:type="dxa"/>
            <w:vAlign w:val="center"/>
          </w:tcPr>
          <w:p w14:paraId="6BDA59F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453130" cy="899795"/>
                  <wp:effectExtent l="0" t="0" r="1270" b="1905"/>
                  <wp:docPr id="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6"/>
                          <pic:cNvPicPr>
                            <a:picLocks noChangeAspect="1"/>
                          </pic:cNvPicPr>
                        </pic:nvPicPr>
                        <pic:blipFill>
                          <a:blip r:embed="rId14"/>
                          <a:stretch>
                            <a:fillRect/>
                          </a:stretch>
                        </pic:blipFill>
                        <pic:spPr>
                          <a:xfrm>
                            <a:off x="0" y="0"/>
                            <a:ext cx="3453130" cy="899795"/>
                          </a:xfrm>
                          <a:prstGeom prst="rect">
                            <a:avLst/>
                          </a:prstGeom>
                          <a:noFill/>
                          <a:ln>
                            <a:noFill/>
                          </a:ln>
                        </pic:spPr>
                      </pic:pic>
                    </a:graphicData>
                  </a:graphic>
                </wp:inline>
              </w:drawing>
            </w:r>
          </w:p>
        </w:tc>
        <w:tc>
          <w:tcPr>
            <w:tcW w:w="3949" w:type="dxa"/>
            <w:vAlign w:val="center"/>
          </w:tcPr>
          <w:p w14:paraId="16EC6AA9">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强调内容要有真实依据</w:t>
            </w:r>
          </w:p>
        </w:tc>
      </w:tr>
      <w:tr w14:paraId="50683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vAlign w:val="center"/>
          </w:tcPr>
          <w:p w14:paraId="65EC409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云说新科技</w:t>
            </w: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科普新星秀科普视频作品评价标准</w:t>
            </w:r>
          </w:p>
        </w:tc>
        <w:tc>
          <w:tcPr>
            <w:tcW w:w="3949" w:type="dxa"/>
            <w:vAlign w:val="center"/>
          </w:tcPr>
          <w:p w14:paraId="377B4D7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2352675" cy="1440180"/>
                  <wp:effectExtent l="0" t="0" r="9525" b="7620"/>
                  <wp:docPr id="8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8"/>
                          <pic:cNvPicPr>
                            <a:picLocks noChangeAspect="1"/>
                          </pic:cNvPicPr>
                        </pic:nvPicPr>
                        <pic:blipFill>
                          <a:blip r:embed="rId22"/>
                          <a:stretch>
                            <a:fillRect/>
                          </a:stretch>
                        </pic:blipFill>
                        <pic:spPr>
                          <a:xfrm>
                            <a:off x="0" y="0"/>
                            <a:ext cx="2352675" cy="1440180"/>
                          </a:xfrm>
                          <a:prstGeom prst="rect">
                            <a:avLst/>
                          </a:prstGeom>
                          <a:noFill/>
                          <a:ln>
                            <a:noFill/>
                          </a:ln>
                        </pic:spPr>
                      </pic:pic>
                    </a:graphicData>
                  </a:graphic>
                </wp:inline>
              </w:drawing>
            </w:r>
          </w:p>
        </w:tc>
        <w:tc>
          <w:tcPr>
            <w:tcW w:w="3949" w:type="dxa"/>
            <w:vAlign w:val="center"/>
          </w:tcPr>
          <w:p w14:paraId="6D5AEB09">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强调引用的数据权威可查</w:t>
            </w:r>
          </w:p>
        </w:tc>
      </w:tr>
      <w:tr w14:paraId="4332B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vAlign w:val="center"/>
          </w:tcPr>
          <w:p w14:paraId="2A8DEB6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3949" w:type="dxa"/>
            <w:vAlign w:val="center"/>
          </w:tcPr>
          <w:p w14:paraId="04AB55C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202305" cy="899795"/>
                  <wp:effectExtent l="0" t="0" r="10795" b="1905"/>
                  <wp:docPr id="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0"/>
                          <pic:cNvPicPr>
                            <a:picLocks noChangeAspect="1"/>
                          </pic:cNvPicPr>
                        </pic:nvPicPr>
                        <pic:blipFill>
                          <a:blip r:embed="rId21"/>
                          <a:stretch>
                            <a:fillRect/>
                          </a:stretch>
                        </pic:blipFill>
                        <pic:spPr>
                          <a:xfrm>
                            <a:off x="0" y="0"/>
                            <a:ext cx="3202305" cy="899795"/>
                          </a:xfrm>
                          <a:prstGeom prst="rect">
                            <a:avLst/>
                          </a:prstGeom>
                          <a:noFill/>
                          <a:ln>
                            <a:noFill/>
                          </a:ln>
                        </pic:spPr>
                      </pic:pic>
                    </a:graphicData>
                  </a:graphic>
                </wp:inline>
              </w:drawing>
            </w:r>
          </w:p>
        </w:tc>
        <w:tc>
          <w:tcPr>
            <w:tcW w:w="3949" w:type="dxa"/>
            <w:vAlign w:val="center"/>
          </w:tcPr>
          <w:p w14:paraId="7671A308">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强调数据来源真实性</w:t>
            </w:r>
          </w:p>
        </w:tc>
      </w:tr>
      <w:tr w14:paraId="3DDF4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vAlign w:val="center"/>
          </w:tcPr>
          <w:p w14:paraId="44175CD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T/CSWA 001—2023</w:t>
            </w:r>
            <w:r>
              <w:rPr>
                <w:rFonts w:hint="eastAsia" w:ascii="Times New Roman" w:hAnsi="Times New Roman" w:eastAsia="仿宋_GB2312" w:cs="Times New Roman"/>
                <w:b w:val="0"/>
                <w:kern w:val="2"/>
                <w:sz w:val="24"/>
                <w:szCs w:val="24"/>
                <w:vertAlign w:val="baseline"/>
                <w:lang w:val="en-US" w:eastAsia="zh-CN" w:bidi="ar-SA"/>
              </w:rPr>
              <w:t xml:space="preserve"> 科普视频评价指标体系》</w:t>
            </w:r>
          </w:p>
        </w:tc>
        <w:tc>
          <w:tcPr>
            <w:tcW w:w="3949" w:type="dxa"/>
            <w:vAlign w:val="center"/>
          </w:tcPr>
          <w:p w14:paraId="6ED0486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62350" cy="899795"/>
                  <wp:effectExtent l="0" t="0" r="6350" b="1905"/>
                  <wp:docPr id="8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1"/>
                          <pic:cNvPicPr>
                            <a:picLocks noChangeAspect="1"/>
                          </pic:cNvPicPr>
                        </pic:nvPicPr>
                        <pic:blipFill>
                          <a:blip r:embed="rId23"/>
                          <a:stretch>
                            <a:fillRect/>
                          </a:stretch>
                        </pic:blipFill>
                        <pic:spPr>
                          <a:xfrm>
                            <a:off x="0" y="0"/>
                            <a:ext cx="3562350" cy="899795"/>
                          </a:xfrm>
                          <a:prstGeom prst="rect">
                            <a:avLst/>
                          </a:prstGeom>
                          <a:noFill/>
                          <a:ln>
                            <a:noFill/>
                          </a:ln>
                        </pic:spPr>
                      </pic:pic>
                    </a:graphicData>
                  </a:graphic>
                </wp:inline>
              </w:drawing>
            </w:r>
          </w:p>
        </w:tc>
        <w:tc>
          <w:tcPr>
            <w:tcW w:w="3949" w:type="dxa"/>
            <w:vAlign w:val="center"/>
          </w:tcPr>
          <w:p w14:paraId="31D736F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强调数据来源真实性</w:t>
            </w:r>
          </w:p>
        </w:tc>
      </w:tr>
    </w:tbl>
    <w:p w14:paraId="2619C99C">
      <w:pPr>
        <w:pStyle w:val="48"/>
        <w:bidi w:val="0"/>
        <w:rPr>
          <w:rFonts w:hint="eastAsia" w:ascii="Times New Roman" w:hAnsi="Times New Roman" w:eastAsia="仿宋_GB2312" w:cs="Times New Roman"/>
          <w:b w:val="0"/>
          <w:bCs w:val="0"/>
          <w:kern w:val="2"/>
          <w:sz w:val="32"/>
          <w:szCs w:val="28"/>
          <w:lang w:val="en-US" w:eastAsia="zh-CN" w:bidi="ar-SA"/>
        </w:rPr>
      </w:pPr>
      <w:r>
        <w:rPr>
          <w:rFonts w:hint="eastAsia" w:ascii="Times New Roman" w:hAnsi="Times New Roman" w:eastAsia="仿宋_GB2312" w:cs="Times New Roman"/>
          <w:b w:val="0"/>
          <w:bCs w:val="0"/>
          <w:kern w:val="2"/>
          <w:sz w:val="32"/>
          <w:szCs w:val="28"/>
          <w:lang w:val="en-US" w:eastAsia="zh-CN" w:bidi="ar-SA"/>
        </w:rPr>
        <w:t>（3）通俗性</w:t>
      </w:r>
    </w:p>
    <w:p w14:paraId="4A1C7BD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农业科普视频的受众涵盖农民、学生、普通大众等不同年龄、文化程度和专业背景的多元群体，内容通俗性是打破农业专业知识的理解壁垒，确保各类受众能有效理解、吸收农业知识的基础，内容趣味性是提升视频的观看吸引力、调动受众学习积极性，进而提升农业科普知识传播效果的关键，二者共同决定了农业科普视频的知识传播覆盖面和实际接受度，因此本规范将内容通俗性和内容趣味性纳入通俗性评价指标，并结合表3规范了评价内容。</w:t>
      </w:r>
    </w:p>
    <w:p w14:paraId="38035DED">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①内容通俗性</w:t>
      </w:r>
    </w:p>
    <w:p w14:paraId="1C7BEA6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将农业专业术语、动植物、微生物的生长发育规律、农业技术原理等专业内容，通过解释概念、举例说明和图示辅助等方式，使不同年龄和专业背景的受众理解其基本原理及应用意义：本要点设定的依据为农业知识本身具有较强的专业性和实操性，而科普视频受众的知识储备和理解能力差异显著，单一的专业理论表述易形成理解障碍，如讲解“人工授粉”这一专业术语时，需通过解释核心概念、举例说明田间实操步骤、图示展示土壤检测与配方制定流程，才能让普通农户、青少年等非专业受众理解其原理和实际应用价值，实现科普知识的有效传递。</w:t>
      </w:r>
    </w:p>
    <w:p w14:paraId="0ACE6ECA">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通俗性参考来源</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6837"/>
        <w:gridCol w:w="1000"/>
      </w:tblGrid>
      <w:tr w14:paraId="74709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 w:type="pct"/>
            <w:vAlign w:val="center"/>
          </w:tcPr>
          <w:p w14:paraId="7378C3C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3725" w:type="pct"/>
            <w:vAlign w:val="center"/>
          </w:tcPr>
          <w:p w14:paraId="2EF049F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专业维度相关内容</w:t>
            </w:r>
          </w:p>
        </w:tc>
        <w:tc>
          <w:tcPr>
            <w:tcW w:w="545" w:type="pct"/>
            <w:vAlign w:val="center"/>
          </w:tcPr>
          <w:p w14:paraId="3AC27E6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7829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 w:type="pct"/>
            <w:vAlign w:val="center"/>
          </w:tcPr>
          <w:p w14:paraId="7F588F41">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2025中国健康科普大赛全国总决赛评审标准</w:t>
            </w:r>
          </w:p>
        </w:tc>
        <w:tc>
          <w:tcPr>
            <w:tcW w:w="3725" w:type="pct"/>
            <w:vAlign w:val="center"/>
          </w:tcPr>
          <w:p w14:paraId="0EB5C48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670560"/>
                  <wp:effectExtent l="0" t="0" r="6985" b="254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2"/>
                          <pic:cNvPicPr>
                            <a:picLocks noChangeAspect="1"/>
                          </pic:cNvPicPr>
                        </pic:nvPicPr>
                        <pic:blipFill>
                          <a:blip r:embed="rId24"/>
                          <a:stretch>
                            <a:fillRect/>
                          </a:stretch>
                        </pic:blipFill>
                        <pic:spPr>
                          <a:xfrm>
                            <a:off x="0" y="0"/>
                            <a:ext cx="3599815" cy="670560"/>
                          </a:xfrm>
                          <a:prstGeom prst="rect">
                            <a:avLst/>
                          </a:prstGeom>
                          <a:noFill/>
                          <a:ln>
                            <a:noFill/>
                          </a:ln>
                        </pic:spPr>
                      </pic:pic>
                    </a:graphicData>
                  </a:graphic>
                </wp:inline>
              </w:drawing>
            </w:r>
          </w:p>
        </w:tc>
        <w:tc>
          <w:tcPr>
            <w:tcW w:w="545" w:type="pct"/>
            <w:vAlign w:val="center"/>
          </w:tcPr>
          <w:p w14:paraId="366E8CB9">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强调要用大众熟悉的语言进行表达</w:t>
            </w:r>
          </w:p>
        </w:tc>
      </w:tr>
      <w:tr w14:paraId="06075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 w:type="pct"/>
            <w:vAlign w:val="center"/>
          </w:tcPr>
          <w:p w14:paraId="4AE6DF0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云说新科技</w:t>
            </w: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科普新星秀科普视频作品评价标准</w:t>
            </w:r>
          </w:p>
        </w:tc>
        <w:tc>
          <w:tcPr>
            <w:tcW w:w="3725" w:type="pct"/>
            <w:vAlign w:val="center"/>
          </w:tcPr>
          <w:p w14:paraId="5183883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2666365" cy="1440180"/>
                  <wp:effectExtent l="0" t="0" r="635" b="7620"/>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pic:cNvPicPr>
                        </pic:nvPicPr>
                        <pic:blipFill>
                          <a:blip r:embed="rId25"/>
                          <a:stretch>
                            <a:fillRect/>
                          </a:stretch>
                        </pic:blipFill>
                        <pic:spPr>
                          <a:xfrm>
                            <a:off x="0" y="0"/>
                            <a:ext cx="2666365" cy="1440180"/>
                          </a:xfrm>
                          <a:prstGeom prst="rect">
                            <a:avLst/>
                          </a:prstGeom>
                          <a:noFill/>
                          <a:ln>
                            <a:noFill/>
                          </a:ln>
                        </pic:spPr>
                      </pic:pic>
                    </a:graphicData>
                  </a:graphic>
                </wp:inline>
              </w:drawing>
            </w:r>
          </w:p>
        </w:tc>
        <w:tc>
          <w:tcPr>
            <w:tcW w:w="545" w:type="pct"/>
            <w:vAlign w:val="center"/>
          </w:tcPr>
          <w:p w14:paraId="2894722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强调类比举例等方式，用简单的语言表达专业内容</w:t>
            </w:r>
          </w:p>
        </w:tc>
      </w:tr>
      <w:tr w14:paraId="67768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 w:type="pct"/>
            <w:vAlign w:val="center"/>
          </w:tcPr>
          <w:p w14:paraId="56E7DE3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3725" w:type="pct"/>
            <w:vAlign w:val="center"/>
          </w:tcPr>
          <w:p w14:paraId="1D51EC5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352425"/>
                  <wp:effectExtent l="0" t="0" r="0"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4"/>
                          <pic:cNvPicPr>
                            <a:picLocks noChangeAspect="1"/>
                          </pic:cNvPicPr>
                        </pic:nvPicPr>
                        <pic:blipFill>
                          <a:blip r:embed="rId26"/>
                          <a:srcRect b="24490"/>
                          <a:stretch>
                            <a:fillRect/>
                          </a:stretch>
                        </pic:blipFill>
                        <pic:spPr>
                          <a:xfrm>
                            <a:off x="0" y="0"/>
                            <a:ext cx="3599815" cy="352425"/>
                          </a:xfrm>
                          <a:prstGeom prst="rect">
                            <a:avLst/>
                          </a:prstGeom>
                          <a:noFill/>
                          <a:ln>
                            <a:noFill/>
                          </a:ln>
                        </pic:spPr>
                      </pic:pic>
                    </a:graphicData>
                  </a:graphic>
                </wp:inline>
              </w:drawing>
            </w:r>
          </w:p>
        </w:tc>
        <w:tc>
          <w:tcPr>
            <w:tcW w:w="545" w:type="pct"/>
            <w:vAlign w:val="center"/>
          </w:tcPr>
          <w:p w14:paraId="4D8D8B53">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强调语言通俗易懂</w:t>
            </w:r>
          </w:p>
        </w:tc>
      </w:tr>
      <w:tr w14:paraId="5377A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 w:type="pct"/>
            <w:vAlign w:val="center"/>
          </w:tcPr>
          <w:p w14:paraId="2BCB2EC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T/CSWA 001—2023</w:t>
            </w:r>
            <w:r>
              <w:rPr>
                <w:rFonts w:hint="eastAsia" w:ascii="Times New Roman" w:hAnsi="Times New Roman" w:eastAsia="仿宋_GB2312" w:cs="Times New Roman"/>
                <w:b w:val="0"/>
                <w:kern w:val="2"/>
                <w:sz w:val="24"/>
                <w:szCs w:val="24"/>
                <w:vertAlign w:val="baseline"/>
                <w:lang w:val="en-US" w:eastAsia="zh-CN" w:bidi="ar-SA"/>
              </w:rPr>
              <w:t xml:space="preserve"> 科普视频评价指标体系》</w:t>
            </w:r>
          </w:p>
        </w:tc>
        <w:tc>
          <w:tcPr>
            <w:tcW w:w="3725" w:type="pct"/>
            <w:vAlign w:val="center"/>
          </w:tcPr>
          <w:p w14:paraId="416D8C8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443230"/>
                  <wp:effectExtent l="0" t="0" r="0" b="0"/>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5"/>
                          <pic:cNvPicPr>
                            <a:picLocks noChangeAspect="1"/>
                          </pic:cNvPicPr>
                        </pic:nvPicPr>
                        <pic:blipFill>
                          <a:blip r:embed="rId27"/>
                          <a:srcRect b="42551"/>
                          <a:stretch>
                            <a:fillRect/>
                          </a:stretch>
                        </pic:blipFill>
                        <pic:spPr>
                          <a:xfrm>
                            <a:off x="0" y="0"/>
                            <a:ext cx="3599815" cy="443230"/>
                          </a:xfrm>
                          <a:prstGeom prst="rect">
                            <a:avLst/>
                          </a:prstGeom>
                          <a:noFill/>
                          <a:ln>
                            <a:noFill/>
                          </a:ln>
                        </pic:spPr>
                      </pic:pic>
                    </a:graphicData>
                  </a:graphic>
                </wp:inline>
              </w:drawing>
            </w:r>
          </w:p>
        </w:tc>
        <w:tc>
          <w:tcPr>
            <w:tcW w:w="545" w:type="pct"/>
            <w:vAlign w:val="center"/>
          </w:tcPr>
          <w:p w14:paraId="38CAD76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强调语言通俗易懂</w:t>
            </w:r>
          </w:p>
        </w:tc>
      </w:tr>
    </w:tbl>
    <w:p w14:paraId="7AB01740">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②内容趣味性</w:t>
      </w:r>
    </w:p>
    <w:p w14:paraId="72D8CF86">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通过问题引入、对比展示、案例讲述、图示演示等方式讲解动植物、微生物的生长发育规律、农业技术原理等专业内容：本要点设定的依据为枯燥的理论讲解易降低受众的观看兴趣，而多元的内容表达形式能有效吸引受众注意力、调动主动学习的积极性，提升知识接收效率，如讲解植物光合作用的农业原理时，以“为什么向阳的庄稼比背阴的长得更茁壮？”的问题引入，结合田间种植的对比案例和植物生长过程的图示演示，能让不同受众更易接受和理解相关知识。</w:t>
      </w:r>
    </w:p>
    <w:p w14:paraId="13295140">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无夸张表现、过度娱乐化处理或与农业主题无关等画面：本要点设定的依据为农业科普视频的核心目标是传播农业知识，夸张表现、过度娱乐化的处理方式会偏离科普核心，弱化科普的专业性，甚至可能误导受众，而与农业主题无关的画面会分散受众的注意力，直接降低农业专业知识的传播效率，如讲解农业机械操作流程时，加入夸张的搞笑画面或与农机操作无关的娱乐内容，会让受众忽略核心的操作规范和技术要点，丧失农业科普的根本意义。</w:t>
      </w:r>
    </w:p>
    <w:p w14:paraId="2AC84D9E">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趣味性参考来源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6836"/>
        <w:gridCol w:w="1001"/>
      </w:tblGrid>
      <w:tr w14:paraId="56793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672C37B8">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836" w:type="dxa"/>
            <w:vAlign w:val="center"/>
          </w:tcPr>
          <w:p w14:paraId="6B22C35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专业维度相关内容</w:t>
            </w:r>
          </w:p>
        </w:tc>
        <w:tc>
          <w:tcPr>
            <w:tcW w:w="1001" w:type="dxa"/>
            <w:vAlign w:val="center"/>
          </w:tcPr>
          <w:p w14:paraId="00A41BC1">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121A6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44FA95AF">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6836" w:type="dxa"/>
            <w:vAlign w:val="center"/>
          </w:tcPr>
          <w:p w14:paraId="0BE90423">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132715"/>
                  <wp:effectExtent l="0" t="0" r="0" b="0"/>
                  <wp:docPr id="10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4"/>
                          <pic:cNvPicPr>
                            <a:picLocks noChangeAspect="1"/>
                          </pic:cNvPicPr>
                        </pic:nvPicPr>
                        <pic:blipFill>
                          <a:blip r:embed="rId26"/>
                          <a:srcRect t="71565"/>
                          <a:stretch>
                            <a:fillRect/>
                          </a:stretch>
                        </pic:blipFill>
                        <pic:spPr>
                          <a:xfrm>
                            <a:off x="0" y="0"/>
                            <a:ext cx="3599815" cy="132715"/>
                          </a:xfrm>
                          <a:prstGeom prst="rect">
                            <a:avLst/>
                          </a:prstGeom>
                          <a:noFill/>
                          <a:ln>
                            <a:noFill/>
                          </a:ln>
                        </pic:spPr>
                      </pic:pic>
                    </a:graphicData>
                  </a:graphic>
                </wp:inline>
              </w:drawing>
            </w:r>
          </w:p>
        </w:tc>
        <w:tc>
          <w:tcPr>
            <w:tcW w:w="1001" w:type="dxa"/>
            <w:vAlign w:val="center"/>
          </w:tcPr>
          <w:p w14:paraId="7CF151C9">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强调作品内容是否喜闻乐见</w:t>
            </w:r>
          </w:p>
        </w:tc>
      </w:tr>
      <w:tr w14:paraId="4775A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3D3E8AD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T/CSWA 001—2023</w:t>
            </w:r>
            <w:r>
              <w:rPr>
                <w:rFonts w:hint="eastAsia" w:ascii="Times New Roman" w:hAnsi="Times New Roman" w:eastAsia="仿宋_GB2312" w:cs="Times New Roman"/>
                <w:b w:val="0"/>
                <w:kern w:val="2"/>
                <w:sz w:val="24"/>
                <w:szCs w:val="24"/>
                <w:vertAlign w:val="baseline"/>
                <w:lang w:val="en-US" w:eastAsia="zh-CN" w:bidi="ar-SA"/>
              </w:rPr>
              <w:t xml:space="preserve"> 科普视频评价指标体系》</w:t>
            </w:r>
          </w:p>
        </w:tc>
        <w:tc>
          <w:tcPr>
            <w:tcW w:w="6836" w:type="dxa"/>
            <w:vAlign w:val="center"/>
          </w:tcPr>
          <w:p w14:paraId="1CB25947">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337185"/>
                  <wp:effectExtent l="0" t="0" r="0" b="0"/>
                  <wp:docPr id="10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5"/>
                          <pic:cNvPicPr>
                            <a:picLocks noChangeAspect="1"/>
                          </pic:cNvPicPr>
                        </pic:nvPicPr>
                        <pic:blipFill>
                          <a:blip r:embed="rId27"/>
                          <a:srcRect t="56296"/>
                          <a:stretch>
                            <a:fillRect/>
                          </a:stretch>
                        </pic:blipFill>
                        <pic:spPr>
                          <a:xfrm>
                            <a:off x="0" y="0"/>
                            <a:ext cx="3599815" cy="337185"/>
                          </a:xfrm>
                          <a:prstGeom prst="rect">
                            <a:avLst/>
                          </a:prstGeom>
                          <a:noFill/>
                          <a:ln>
                            <a:noFill/>
                          </a:ln>
                        </pic:spPr>
                      </pic:pic>
                    </a:graphicData>
                  </a:graphic>
                </wp:inline>
              </w:drawing>
            </w:r>
          </w:p>
        </w:tc>
        <w:tc>
          <w:tcPr>
            <w:tcW w:w="1001" w:type="dxa"/>
            <w:vAlign w:val="center"/>
          </w:tcPr>
          <w:p w14:paraId="0F57BF9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强调作品是否有趣味</w:t>
            </w:r>
          </w:p>
        </w:tc>
      </w:tr>
      <w:tr w14:paraId="6B88A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1D3D76F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“我爱我・AI 赋能心健康”心理科普微视频大赛</w:t>
            </w:r>
          </w:p>
        </w:tc>
        <w:tc>
          <w:tcPr>
            <w:tcW w:w="6836" w:type="dxa"/>
            <w:vAlign w:val="center"/>
          </w:tcPr>
          <w:p w14:paraId="7E790C0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775970"/>
                  <wp:effectExtent l="0" t="0" r="6985" b="1143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20"/>
                          <a:stretch>
                            <a:fillRect/>
                          </a:stretch>
                        </pic:blipFill>
                        <pic:spPr>
                          <a:xfrm>
                            <a:off x="0" y="0"/>
                            <a:ext cx="3599815" cy="775970"/>
                          </a:xfrm>
                          <a:prstGeom prst="rect">
                            <a:avLst/>
                          </a:prstGeom>
                          <a:noFill/>
                          <a:ln>
                            <a:noFill/>
                          </a:ln>
                        </pic:spPr>
                      </pic:pic>
                    </a:graphicData>
                  </a:graphic>
                </wp:inline>
              </w:drawing>
            </w:r>
          </w:p>
        </w:tc>
        <w:tc>
          <w:tcPr>
            <w:tcW w:w="1001" w:type="dxa"/>
            <w:vAlign w:val="center"/>
          </w:tcPr>
          <w:p w14:paraId="7553B8D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要求内容要有趣味性</w:t>
            </w:r>
          </w:p>
        </w:tc>
      </w:tr>
    </w:tbl>
    <w:p w14:paraId="5B5A8AC5">
      <w:pPr>
        <w:pStyle w:val="48"/>
        <w:bidi w:val="0"/>
        <w:rPr>
          <w:rFonts w:hint="eastAsia" w:ascii="Times New Roman" w:hAnsi="Times New Roman" w:eastAsia="仿宋_GB2312" w:cs="Times New Roman"/>
          <w:b w:val="0"/>
          <w:bCs w:val="0"/>
          <w:kern w:val="2"/>
          <w:sz w:val="32"/>
          <w:szCs w:val="28"/>
          <w:lang w:val="en-US" w:eastAsia="zh-CN" w:bidi="ar-SA"/>
        </w:rPr>
      </w:pPr>
      <w:r>
        <w:rPr>
          <w:rFonts w:hint="eastAsia" w:ascii="Times New Roman" w:hAnsi="Times New Roman" w:eastAsia="仿宋_GB2312" w:cs="Times New Roman"/>
          <w:b w:val="0"/>
          <w:bCs w:val="0"/>
          <w:kern w:val="2"/>
          <w:sz w:val="32"/>
          <w:szCs w:val="28"/>
          <w:lang w:val="en-US" w:eastAsia="zh-CN" w:bidi="ar-SA"/>
        </w:rPr>
        <w:t>（4）技巧性</w:t>
      </w:r>
    </w:p>
    <w:p w14:paraId="6C21A2D5">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农业科普视频的知识传递效果不仅依赖专业、通俗的内容，还需要优质的创作技巧做支撑，视频脚本质量是视频创作的前期基础，直接决定内容的逻辑完整性和呈现节奏合理性，视频制作水平是保障画面、声音等基础创作要素贴合农业场景和知识呈现需求的关键，后期制作水平则是优化视频整体呈现效果、提升农业知识传递流畅度的核心环节，三者形成从前期策划、中期制作到后期优化的完整技术创作链条，共同影响农业科普视频的最终呈现效果和知识传播效率，因此本规范将视频脚本质量、视频制作水平和后期制作水平纳入技巧性评价指标。</w:t>
      </w:r>
    </w:p>
    <w:p w14:paraId="4DCDE3E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①视频脚本质量</w:t>
      </w:r>
    </w:p>
    <w:p w14:paraId="3FF2CA2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结构完整、逻辑清晰，按照农业生产规律、生长周期、技术流程或实验步骤编写脚本，合理安排问题提出、原理阐释、示范展示和应用说明，避免知识堆砌或内容割裂：本要点设定的依据为农业生产、动植物生长、农业技术操作均有客观的规律和流程，脚本按其编写能让农业知识的呈现更贴合实际、更具逻辑性，如讲解果树种植技术时，按育苗、定植、田间管理、结果采收的生长周期编排内容模块，能让受众清晰梳理技术脉络，杂乱的编排会导致受众无法形成完整的知识体系。</w:t>
      </w:r>
    </w:p>
    <w:p w14:paraId="3D419D9E">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画面内容、画面时长、台词和配音文本字数编排合理：本要点设定的依据为农业科普中不同内容的知识传递需求存在差异，农业技术操作关键细节需延长画面时长，配音文本字数需与画面播放节奏相匹配，若操作细节画面过短、配音字数过多，会导致受众无法看清操作要点、跟不上讲解节奏，直接影响知识接收效果。</w:t>
      </w:r>
    </w:p>
    <w:p w14:paraId="0D8B6966">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明确作品风格、创作手法和色彩：本要点设定的依据为明确的作品风格、创作手法和色彩能让视频的整体呈现更统一，贴合农业科普的内容主题和目标受众定位，如面向青少年的农业科普视频采用活泼的创作风格和明快的色彩搭配，能有效提升受众观看兴趣，风格杂乱、色彩突兀则会降低视频的整体观感。</w:t>
      </w:r>
    </w:p>
    <w:p w14:paraId="52B1538E">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明确视频中期、后期制作设备和软件：本要点设定的依据为提前明确制作设备和软件能保障农业科普视频制作过程的规范性、专业性和高效性，确保农业特殊场景、细微技术细节能被精准捕捉和呈现，如拍摄农作物微观生长细节需要专用微距摄像设备，提前明确可避免因设备适配不当导致的画面呈现不佳。</w:t>
      </w:r>
    </w:p>
    <w:p w14:paraId="4A0195EF">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②视频制作水平</w:t>
      </w:r>
    </w:p>
    <w:p w14:paraId="65E27382">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制作的画面稳定清晰，无虚焦现象，能够清晰展示农业结构特征和技术细节：本要点设定的依据为农业病虫害识别、农机操作细节、动植物及微生物结构特征等是农业科普知识传递的核心内容，画面模糊、虚焦会让受众无法看清关键信息，如无法通过画面识别作物的病害症状，直接影响科普的实际效果。</w:t>
      </w:r>
    </w:p>
    <w:p w14:paraId="27487F34">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光线运用应均匀自然，色彩表现还原真实农业场景及农业动植物、微生物的实际色彩：本要点设定的依据为农业生产场景、动植物和微生物的真实色彩与状态是受众认知农业、掌握实操技能的基础，如不同作物的缺素症状需要还原真实色彩才能让农户准确识别，光线分布不均、色彩过度修饰失真，会对受众形成错误引导，影响生产实操判断。</w:t>
      </w:r>
    </w:p>
    <w:p w14:paraId="687A18D1">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旁白的发音清晰、断句准确、语速适中，无明显误读和背景噪声：本要点设定的依据为旁白是农业科普知识口头传递的核心载体，发音模糊、语速过快或背景噪声干扰，会让受众无法准确理解讲解内容，如讲解农业政策具体条款时，断句不准确、语速过快会导致受众对政策内涵产生误解，影响政策科普的准确性。</w:t>
      </w:r>
    </w:p>
    <w:p w14:paraId="75AF3572">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③后期制作水平</w:t>
      </w:r>
    </w:p>
    <w:p w14:paraId="170B8B08">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剪辑画面衔接自然流畅，无黑屏或突兀跳切：本要点设定的依据为流畅的画面剪辑是保障农业知识呈现连贯性的基本要求，如讲解农作物生长周期时，画面的突兀跳切会让生长环节出现断层，受众无法理解完整的生长规律，黑屏则会打断受众的观看和思考节奏，降低知识接收效率。</w:t>
      </w:r>
    </w:p>
    <w:p w14:paraId="711E28A9">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旁白声音与画面内容同步：本要点设定的依据为旁白与画面内容精准同步是保障农业知识精准传递的关键，如讲解农机操作流程时，旁白讲解的操作步骤与画面展示的操作动作不同步，会让受众无法将技术步骤与实际动作对应，形成知识理解障碍。</w:t>
      </w:r>
    </w:p>
    <w:p w14:paraId="14EE327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插图或示意图与整体风格和色彩协调，不遮挡主要画面：本要点设定的依据为插图和示意图是辅助受众理解抽象农业知识的重要手段，与视频整体风格、色彩协调能提升视觉观感，而遮挡主要画面则会让受众无法看清核心的农业场景或技术细节，让辅助元素丧失实际作用。</w:t>
      </w:r>
    </w:p>
    <w:p w14:paraId="1762450E">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特效使用简洁适度，不影响农业场景和技术细节呈现：本要点设定的依据为特效的核心作用是辅助呈现难以直观展示的农业知识，如用动态特效展示植物内部的光合作用机制，过度使用特效或特效遮挡技术细节，会让受众关注特效而非核心科普知识，如讲解田间施肥技术时，花哨的特效会掩盖施肥的实际操作要点。</w:t>
      </w:r>
    </w:p>
    <w:p w14:paraId="03AF676F">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调色符合实际农业场景，色彩自然，不夸张、不掩盖真实情况：本要点设定的依据为后期调色的核心是优化画面观感而非改变农业场景的真实状态，如呈现农业灾害后的田间场景时，过度调色掩盖真实灾情，会让受众无法准确认知灾害的实际影响，违背农业科普的真实性原则。</w:t>
      </w:r>
    </w:p>
    <w:p w14:paraId="2B88C684">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字幕使用规范，文字与画面同步显示，外文翻译准确：本要点设定的依据为规范的字幕能辅助受众理解口头讲解内容，尤其是农业专业术语、政策条款等内容，字幕错漏、显示不同步会直接影响知识理解，面向多元受众的农业科普视频，准确的外文翻译能有效扩大知识传播范围。</w:t>
      </w:r>
    </w:p>
    <w:p w14:paraId="22966406">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背景音乐与画面内容协调，音量适中：本要点设定的依据为背景音乐是烘托视频场景氛围的辅助元素，需与画面内容相契合，如讲解春耕备耕场景搭配轻快的音乐，讲解农业科研攻关场景搭配沉稳的音乐，而背景音乐音量过大会掩盖旁白和讲解声音，导致受众无法听清核心科普知识。</w:t>
      </w:r>
    </w:p>
    <w:p w14:paraId="43D33929">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技巧性参考来源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6176"/>
        <w:gridCol w:w="1661"/>
      </w:tblGrid>
      <w:tr w14:paraId="44438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2D240C7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176" w:type="dxa"/>
            <w:vAlign w:val="center"/>
          </w:tcPr>
          <w:p w14:paraId="28A608F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专业维度相关内容</w:t>
            </w:r>
          </w:p>
        </w:tc>
        <w:tc>
          <w:tcPr>
            <w:tcW w:w="1661" w:type="dxa"/>
            <w:vAlign w:val="center"/>
          </w:tcPr>
          <w:p w14:paraId="7700F87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41163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2321320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2025中国健康科普大赛全国总决赛评审标准</w:t>
            </w:r>
          </w:p>
        </w:tc>
        <w:tc>
          <w:tcPr>
            <w:tcW w:w="6176" w:type="dxa"/>
            <w:vAlign w:val="center"/>
          </w:tcPr>
          <w:p w14:paraId="1D5A8B73">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2351405" cy="899795"/>
                  <wp:effectExtent l="0" t="0" r="10795" b="1905"/>
                  <wp:docPr id="10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6"/>
                          <pic:cNvPicPr>
                            <a:picLocks noChangeAspect="1"/>
                          </pic:cNvPicPr>
                        </pic:nvPicPr>
                        <pic:blipFill>
                          <a:blip r:embed="rId28"/>
                          <a:stretch>
                            <a:fillRect/>
                          </a:stretch>
                        </pic:blipFill>
                        <pic:spPr>
                          <a:xfrm>
                            <a:off x="0" y="0"/>
                            <a:ext cx="2351405" cy="899795"/>
                          </a:xfrm>
                          <a:prstGeom prst="rect">
                            <a:avLst/>
                          </a:prstGeom>
                          <a:noFill/>
                          <a:ln>
                            <a:noFill/>
                          </a:ln>
                        </pic:spPr>
                      </pic:pic>
                    </a:graphicData>
                  </a:graphic>
                </wp:inline>
              </w:drawing>
            </w:r>
          </w:p>
        </w:tc>
        <w:tc>
          <w:tcPr>
            <w:tcW w:w="1661" w:type="dxa"/>
            <w:vAlign w:val="center"/>
          </w:tcPr>
          <w:p w14:paraId="2E7DD6B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视频制作水平、后期制作水平</w:t>
            </w:r>
          </w:p>
        </w:tc>
      </w:tr>
      <w:tr w14:paraId="1D34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07F10E43">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云说新科技</w:t>
            </w: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科普新星秀科普视频作品评价标准</w:t>
            </w:r>
          </w:p>
        </w:tc>
        <w:tc>
          <w:tcPr>
            <w:tcW w:w="6176" w:type="dxa"/>
            <w:vAlign w:val="center"/>
          </w:tcPr>
          <w:p w14:paraId="0060DB42">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2256790" cy="1800225"/>
                  <wp:effectExtent l="0" t="0" r="3810" b="3175"/>
                  <wp:docPr id="10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7"/>
                          <pic:cNvPicPr>
                            <a:picLocks noChangeAspect="1"/>
                          </pic:cNvPicPr>
                        </pic:nvPicPr>
                        <pic:blipFill>
                          <a:blip r:embed="rId29"/>
                          <a:stretch>
                            <a:fillRect/>
                          </a:stretch>
                        </pic:blipFill>
                        <pic:spPr>
                          <a:xfrm>
                            <a:off x="0" y="0"/>
                            <a:ext cx="2256790" cy="1800225"/>
                          </a:xfrm>
                          <a:prstGeom prst="rect">
                            <a:avLst/>
                          </a:prstGeom>
                          <a:noFill/>
                          <a:ln>
                            <a:noFill/>
                          </a:ln>
                        </pic:spPr>
                      </pic:pic>
                    </a:graphicData>
                  </a:graphic>
                </wp:inline>
              </w:drawing>
            </w:r>
          </w:p>
        </w:tc>
        <w:tc>
          <w:tcPr>
            <w:tcW w:w="1661" w:type="dxa"/>
            <w:vAlign w:val="center"/>
          </w:tcPr>
          <w:p w14:paraId="51EB1B6F">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视频制作水平、后期制作水平</w:t>
            </w:r>
          </w:p>
        </w:tc>
      </w:tr>
      <w:tr w14:paraId="2296F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32FB8F5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6176" w:type="dxa"/>
            <w:vAlign w:val="center"/>
          </w:tcPr>
          <w:p w14:paraId="225A420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783330" cy="899795"/>
                  <wp:effectExtent l="0" t="0" r="1270" b="1905"/>
                  <wp:docPr id="10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8"/>
                          <pic:cNvPicPr>
                            <a:picLocks noChangeAspect="1"/>
                          </pic:cNvPicPr>
                        </pic:nvPicPr>
                        <pic:blipFill>
                          <a:blip r:embed="rId30"/>
                          <a:stretch>
                            <a:fillRect/>
                          </a:stretch>
                        </pic:blipFill>
                        <pic:spPr>
                          <a:xfrm>
                            <a:off x="0" y="0"/>
                            <a:ext cx="3783330" cy="899795"/>
                          </a:xfrm>
                          <a:prstGeom prst="rect">
                            <a:avLst/>
                          </a:prstGeom>
                          <a:noFill/>
                          <a:ln>
                            <a:noFill/>
                          </a:ln>
                        </pic:spPr>
                      </pic:pic>
                    </a:graphicData>
                  </a:graphic>
                </wp:inline>
              </w:drawing>
            </w:r>
          </w:p>
        </w:tc>
        <w:tc>
          <w:tcPr>
            <w:tcW w:w="1661" w:type="dxa"/>
            <w:vAlign w:val="center"/>
          </w:tcPr>
          <w:p w14:paraId="6244666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视频制作水平、后期制作水平</w:t>
            </w:r>
          </w:p>
        </w:tc>
      </w:tr>
      <w:tr w14:paraId="63E00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61CB545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T/CSWA 001—2023</w:t>
            </w:r>
            <w:r>
              <w:rPr>
                <w:rFonts w:hint="eastAsia" w:ascii="Times New Roman" w:hAnsi="Times New Roman" w:eastAsia="仿宋_GB2312" w:cs="Times New Roman"/>
                <w:b w:val="0"/>
                <w:kern w:val="2"/>
                <w:sz w:val="24"/>
                <w:szCs w:val="24"/>
                <w:vertAlign w:val="baseline"/>
                <w:lang w:val="en-US" w:eastAsia="zh-CN" w:bidi="ar-SA"/>
              </w:rPr>
              <w:t xml:space="preserve"> 科普视频评价指标体系》</w:t>
            </w:r>
          </w:p>
        </w:tc>
        <w:tc>
          <w:tcPr>
            <w:tcW w:w="6176" w:type="dxa"/>
            <w:vAlign w:val="center"/>
          </w:tcPr>
          <w:p w14:paraId="110B9E1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412490" cy="360045"/>
                  <wp:effectExtent l="0" t="0" r="3810" b="8255"/>
                  <wp:docPr id="1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9"/>
                          <pic:cNvPicPr>
                            <a:picLocks noChangeAspect="1"/>
                          </pic:cNvPicPr>
                        </pic:nvPicPr>
                        <pic:blipFill>
                          <a:blip r:embed="rId31"/>
                          <a:stretch>
                            <a:fillRect/>
                          </a:stretch>
                        </pic:blipFill>
                        <pic:spPr>
                          <a:xfrm>
                            <a:off x="0" y="0"/>
                            <a:ext cx="3412490" cy="360045"/>
                          </a:xfrm>
                          <a:prstGeom prst="rect">
                            <a:avLst/>
                          </a:prstGeom>
                          <a:noFill/>
                          <a:ln>
                            <a:noFill/>
                          </a:ln>
                        </pic:spPr>
                      </pic:pic>
                    </a:graphicData>
                  </a:graphic>
                </wp:inline>
              </w:drawing>
            </w:r>
            <w:r>
              <w:drawing>
                <wp:inline distT="0" distB="0" distL="114300" distR="114300">
                  <wp:extent cx="3402330" cy="1224280"/>
                  <wp:effectExtent l="0" t="0" r="1270" b="7620"/>
                  <wp:docPr id="11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0"/>
                          <pic:cNvPicPr>
                            <a:picLocks noChangeAspect="1"/>
                          </pic:cNvPicPr>
                        </pic:nvPicPr>
                        <pic:blipFill>
                          <a:blip r:embed="rId32"/>
                          <a:stretch>
                            <a:fillRect/>
                          </a:stretch>
                        </pic:blipFill>
                        <pic:spPr>
                          <a:xfrm>
                            <a:off x="0" y="0"/>
                            <a:ext cx="3402330" cy="1224280"/>
                          </a:xfrm>
                          <a:prstGeom prst="rect">
                            <a:avLst/>
                          </a:prstGeom>
                          <a:noFill/>
                          <a:ln>
                            <a:noFill/>
                          </a:ln>
                        </pic:spPr>
                      </pic:pic>
                    </a:graphicData>
                  </a:graphic>
                </wp:inline>
              </w:drawing>
            </w:r>
          </w:p>
        </w:tc>
        <w:tc>
          <w:tcPr>
            <w:tcW w:w="1661" w:type="dxa"/>
            <w:vAlign w:val="center"/>
          </w:tcPr>
          <w:p w14:paraId="3C8607B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视频脚本质量、</w:t>
            </w:r>
            <w:r>
              <w:rPr>
                <w:rFonts w:hint="default" w:ascii="Times New Roman" w:hAnsi="Times New Roman" w:eastAsia="仿宋_GB2312" w:cs="Times New Roman"/>
                <w:b w:val="0"/>
                <w:kern w:val="2"/>
                <w:sz w:val="24"/>
                <w:szCs w:val="24"/>
                <w:vertAlign w:val="baseline"/>
                <w:lang w:val="en-US" w:eastAsia="zh-CN" w:bidi="ar-SA"/>
              </w:rPr>
              <w:t>视频制作水平、后期制作水平</w:t>
            </w:r>
          </w:p>
        </w:tc>
      </w:tr>
    </w:tbl>
    <w:p w14:paraId="083AB4D3">
      <w:pPr>
        <w:pStyle w:val="48"/>
        <w:bidi w:val="0"/>
        <w:rPr>
          <w:rFonts w:hint="eastAsia" w:ascii="Times New Roman" w:hAnsi="Times New Roman" w:eastAsia="仿宋_GB2312" w:cs="Times New Roman"/>
          <w:b w:val="0"/>
          <w:bCs w:val="0"/>
          <w:kern w:val="2"/>
          <w:sz w:val="32"/>
          <w:szCs w:val="28"/>
          <w:lang w:val="en-US" w:eastAsia="zh-CN" w:bidi="ar-SA"/>
        </w:rPr>
      </w:pPr>
      <w:r>
        <w:rPr>
          <w:rFonts w:hint="eastAsia" w:ascii="Times New Roman" w:hAnsi="Times New Roman" w:eastAsia="仿宋_GB2312" w:cs="Times New Roman"/>
          <w:b w:val="0"/>
          <w:bCs w:val="0"/>
          <w:kern w:val="2"/>
          <w:sz w:val="32"/>
          <w:szCs w:val="28"/>
          <w:lang w:val="en-US" w:eastAsia="zh-CN" w:bidi="ar-SA"/>
        </w:rPr>
        <w:t>（5）传播性</w:t>
      </w:r>
    </w:p>
    <w:p w14:paraId="58407AB5">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农业科普视频的核心目标是实现农业知识的广泛传播、落地应用并传递正向农业价值，传播效果是衡量视频基础传播触达范围与实际应用价值的基础，互动效果反映受众对视频内容的参与度、认可程度及内容的农业生产实践指导价值，社会关注度体现视频在农业行业内、社会层面的专业认可程度与自发传播热度，情感倾向则是视频引发受众农业情感共鸣、传递正向农业价值并引导社会农业认知的关键，四者从传播广度、实践深度、社会热度、价值导向四个维度，共同构成农业科普视频传播价值的完整评价体系，因此本规范将传播效果、互动效果、社会关注度和情感倾向纳入传播性评价指标。</w:t>
      </w:r>
    </w:p>
    <w:p w14:paraId="220F6BE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①传播效果</w:t>
      </w:r>
    </w:p>
    <w:p w14:paraId="3368D678">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通过主流视频平台、农业专业平台及社交媒体等渠道发布，形成稳定播放量和曝光量，具有一定跨区域传播能力：本要点设定的依据为农业科普知识的传播需要多元传播渠道协同支撑，主流视频平台保障大众圈层触达，农业专业平台实现行业精准传递，稳定的播放量和跨区域传播能力能让不同地域的受众平等获取农业知识，如智慧农业灌溉技术的科普视频通过多渠道传播，能让南北方不同种植区的农户均了解相关技术的应用场景与方法。</w:t>
      </w:r>
    </w:p>
    <w:p w14:paraId="42DCDF3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能够在农技培训会、农业生产实践等线下场景中使用，对农业生产规范化、绿色技术应用或农业创新创业产生促进作用：本要点设定的依据为农业科普视频的核心价值是服务农业生产实践，能落地到线下农技培训、田间生产等场景的视频，才能将理论知识转化为实际生产力，如农作物绿色防控技术的科普视频用于基层农技培训会，能直接推动农户采用绿色防控方法，实现农业生产的规范化与绿色化。</w:t>
      </w:r>
    </w:p>
    <w:p w14:paraId="7F05EA3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较好宣传地方特色农业品牌或区域农业产业：本要点设定的依据为农业科普视频兼具知识传播与产业宣传的双重价值，结合地方特色农业资源创作的科普视频，能在普及专业知识的同时，展示地方特色农产品优势与区域农业产业发展特点，如赣南脐橙标准化种植技术的科普视频，能同步普及种植知识并宣传赣南脐橙区域品牌，助力区域农业产业发展。</w:t>
      </w:r>
    </w:p>
    <w:p w14:paraId="487B62E9">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②互动效果</w:t>
      </w:r>
    </w:p>
    <w:p w14:paraId="0F671D89">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点赞、评论、收藏、转发等数据较高，农业从业者群体的转发和收藏占比较高：本要点设定的依据为点赞、收藏、转发等数据是受众对视频内容认可度的直接量化体现，农业从业者群体的高转发收藏占比，说明视频内容贴合农业生产实际需求，具备实际指导价值，如蔬菜大棚种植管理技术的视频被农户大量收藏转发，直接反映其对田间生产的实用意义。</w:t>
      </w:r>
    </w:p>
    <w:p w14:paraId="763F4FD8">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有一定数量围绕农业技术问题的经验交流评论，创作主体对农业问题进行及时有效回应：本要点设定的依据为围绕农业技术的经验交流评论，体现视频有效激发了受众的专业探讨与知识交流，创作主体对农业问题的及时有效回应，能解决受众的实际生产疑问，从而形成良性的科普互动闭环，如农作物病虫害防治视频的评论区，农户交流田间实操经验，创作主体针对性答疑解惑，能让科普知识更贴合生产实际。</w:t>
      </w:r>
    </w:p>
    <w:p w14:paraId="196AD498">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视频完播率和连看率保持稳定，受众围绕视频内容开展改编、配音、剪辑等农业相关的二次创作：本要点设定的依据为稳定的完播率和连看率说明视频内容设计合理、吸引力强，能让受众完整接收知识，而受众开展的农业相关二次创作，体现视频内容的传播影响力，能进一步扩大农业知识的传播范围与传播形式，如农业趣味科普短视频被受众二次创作改编，能让农业知识以更接地气的形式触达更多大众。</w:t>
      </w:r>
    </w:p>
    <w:p w14:paraId="1017767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受众能够根据视频内容开展农业生产实践，农技推广机构或人员将视频用于培训或技术推广：本要点设定的依据为这是农业科普视频实践价值的核心体现，视频内容能直接指导受众开展农业生产、被农技推广专业机构采用，说明其知识表述准确、实操性强，如农业机械标准化操作流程的视频被基层农技人员用于线下培训，能有效提升农业技术的推广效率与普及效果。</w:t>
      </w:r>
    </w:p>
    <w:p w14:paraId="3EDBF040">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③社会关注度</w:t>
      </w:r>
    </w:p>
    <w:p w14:paraId="26485F5B">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各社交平台对视频进行转载，社会公众围绕视频内容开展自发分享与传播：本要点设定的依据为涉农行业单位、农业生产经营主体的引用与推荐，体现视频内容的专业认可度与行业价值，各平台的主动转载和社会公众的自发分享传播，能进一步放大视频的传播效应，形成行业内及社会层面的农业知识传播热度，如农业科研院所推荐的农业科技成果转化科普视频，易引发农业行业内和社会大众的广泛关注。</w:t>
      </w:r>
    </w:p>
    <w:p w14:paraId="6B0479D4">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④情感倾向</w:t>
      </w:r>
    </w:p>
    <w:p w14:paraId="1D863926">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对青少年农业科学兴趣和职业认知有积极引导作用：本要点设定的依据为农业科普不仅是知识传播，更肩负着培育农业后备人才的重要使命，视频通过生动展示农业科技场景、趣味农业知识，能有效激发青少年对农业科学的探索兴趣，帮助其树立正确的农业职业认知，如农业生物育种科技实验类科普视频，能让青少年了解农业的科技属性，激发其从事农业相关领域研究与工作的意愿。</w:t>
      </w:r>
    </w:p>
    <w:p w14:paraId="1516B76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对农业从业者职业价值给予尊重，受众认同传递的农业价值理念：本要点设定的依据为农业从业者是农业生产与乡村发展的核心主体，视频通过真实呈现农业从业者的工作场景、彰显其劳动价值，能提升农业从业者的职业荣誉感，同时让社会大众理解并认同农业的基础地位与核心价值，如讲述基层农技人员扎根田间、农民辛勤劳作的视频，能让受众体会农业从业者的付出，认同农业的社会价值。</w:t>
      </w:r>
    </w:p>
    <w:p w14:paraId="514B6CC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共情呈现的农业活动、农民生活、农技推广、科研攻关等专业场景：本要点设定的依据为视频真实、细腻呈现农业生产、农民生活、农技推广、农业科研等各领域的专业场景，能让受众尤其是非农业从业者直观了解农业发展的实际情况，消除对农业的片面认知，进而引发情感共鸣，如拍摄农业科研人员顶着酷暑开展田间试验的视频，能让社会大众了解农业科研的艰辛与价值，产生强烈的情感共情。</w:t>
      </w:r>
    </w:p>
    <w:p w14:paraId="44E590C3">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对社农业、乡村发展等有积极引导作用：本要点设定的依据为农业科普视频的重要社会价值是引导社会大众关注农业、支持乡村发展，通过展示农业现代化发展成果、乡村振兴建设成效，能让社会大众看到农业与乡村的发展潜力，进而激发其对农业和乡村的关注，推动全社会形成支持乡村振兴的良好氛围，如展示乡村特色农业发展、美丽乡村建设的科普视频，能让大众直观感受乡村发展变化，引导其关注并支持乡村发展。</w:t>
      </w:r>
    </w:p>
    <w:p w14:paraId="712C91C9">
      <w:pPr>
        <w:pStyle w:val="45"/>
        <w:bidi w:val="0"/>
        <w:rPr>
          <w:rFonts w:hint="default" w:ascii="Times New Roman" w:hAnsi="Times New Roman" w:eastAsia="仿宋_GB2312" w:cs="Times New Roman"/>
          <w:b w:val="0"/>
          <w:kern w:val="2"/>
          <w:szCs w:val="21"/>
          <w:lang w:val="en-US" w:eastAsia="zh-CN" w:bidi="ar-SA"/>
        </w:rPr>
      </w:pPr>
      <w:r>
        <w:rPr>
          <w:rFonts w:hint="eastAsia"/>
          <w:lang w:val="en-US" w:eastAsia="zh-CN"/>
        </w:rPr>
        <w:t>传播性参考来源</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6716"/>
        <w:gridCol w:w="1121"/>
      </w:tblGrid>
      <w:tr w14:paraId="55BF6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239623B1">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716" w:type="dxa"/>
            <w:vAlign w:val="center"/>
          </w:tcPr>
          <w:p w14:paraId="278151A2">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专业维度相关内容</w:t>
            </w:r>
          </w:p>
        </w:tc>
        <w:tc>
          <w:tcPr>
            <w:tcW w:w="1121" w:type="dxa"/>
            <w:vAlign w:val="center"/>
          </w:tcPr>
          <w:p w14:paraId="7072444A">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5BCF8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792629A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2025中国健康科普大赛全国总决赛评审标准</w:t>
            </w:r>
          </w:p>
        </w:tc>
        <w:tc>
          <w:tcPr>
            <w:tcW w:w="6716" w:type="dxa"/>
            <w:vAlign w:val="center"/>
          </w:tcPr>
          <w:p w14:paraId="58FF99B8">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123055" cy="720090"/>
                  <wp:effectExtent l="0" t="0" r="4445" b="3810"/>
                  <wp:docPr id="1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4"/>
                          <pic:cNvPicPr>
                            <a:picLocks noChangeAspect="1"/>
                          </pic:cNvPicPr>
                        </pic:nvPicPr>
                        <pic:blipFill>
                          <a:blip r:embed="rId33"/>
                          <a:stretch>
                            <a:fillRect/>
                          </a:stretch>
                        </pic:blipFill>
                        <pic:spPr>
                          <a:xfrm>
                            <a:off x="0" y="0"/>
                            <a:ext cx="4123055" cy="720090"/>
                          </a:xfrm>
                          <a:prstGeom prst="rect">
                            <a:avLst/>
                          </a:prstGeom>
                          <a:noFill/>
                          <a:ln>
                            <a:noFill/>
                          </a:ln>
                        </pic:spPr>
                      </pic:pic>
                    </a:graphicData>
                  </a:graphic>
                </wp:inline>
              </w:drawing>
            </w:r>
          </w:p>
        </w:tc>
        <w:tc>
          <w:tcPr>
            <w:tcW w:w="1121" w:type="dxa"/>
            <w:vAlign w:val="center"/>
          </w:tcPr>
          <w:p w14:paraId="63B43C9F">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传播效果</w:t>
            </w:r>
          </w:p>
        </w:tc>
      </w:tr>
      <w:tr w14:paraId="21B5C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04BCBC7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《科普短视频评价指标体系：概念澄明、价值审思与构建路径》</w:t>
            </w:r>
          </w:p>
        </w:tc>
        <w:tc>
          <w:tcPr>
            <w:tcW w:w="6716" w:type="dxa"/>
            <w:vAlign w:val="center"/>
          </w:tcPr>
          <w:p w14:paraId="2A5CFD33">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1560" cy="539750"/>
                  <wp:effectExtent l="0" t="0" r="2540" b="6350"/>
                  <wp:docPr id="1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5"/>
                          <pic:cNvPicPr>
                            <a:picLocks noChangeAspect="1"/>
                          </pic:cNvPicPr>
                        </pic:nvPicPr>
                        <pic:blipFill>
                          <a:blip r:embed="rId34"/>
                          <a:stretch>
                            <a:fillRect/>
                          </a:stretch>
                        </pic:blipFill>
                        <pic:spPr>
                          <a:xfrm>
                            <a:off x="0" y="0"/>
                            <a:ext cx="3591560" cy="539750"/>
                          </a:xfrm>
                          <a:prstGeom prst="rect">
                            <a:avLst/>
                          </a:prstGeom>
                          <a:noFill/>
                          <a:ln>
                            <a:noFill/>
                          </a:ln>
                        </pic:spPr>
                      </pic:pic>
                    </a:graphicData>
                  </a:graphic>
                </wp:inline>
              </w:drawing>
            </w:r>
          </w:p>
        </w:tc>
        <w:tc>
          <w:tcPr>
            <w:tcW w:w="1121" w:type="dxa"/>
            <w:vAlign w:val="center"/>
          </w:tcPr>
          <w:p w14:paraId="2EE7590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传播效果、社会关注度、情感倾向</w:t>
            </w:r>
          </w:p>
        </w:tc>
      </w:tr>
      <w:tr w14:paraId="684AE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0F9833E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《新媒体健康科普作品传播影响力评价指标</w:t>
            </w:r>
          </w:p>
          <w:p w14:paraId="05E021C4">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体系的构建》</w:t>
            </w:r>
          </w:p>
        </w:tc>
        <w:tc>
          <w:tcPr>
            <w:tcW w:w="6716" w:type="dxa"/>
            <w:vAlign w:val="center"/>
          </w:tcPr>
          <w:p w14:paraId="50C23C1E">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331210" cy="2160270"/>
                  <wp:effectExtent l="0" t="0" r="8890" b="11430"/>
                  <wp:docPr id="12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8"/>
                          <pic:cNvPicPr>
                            <a:picLocks noChangeAspect="1"/>
                          </pic:cNvPicPr>
                        </pic:nvPicPr>
                        <pic:blipFill>
                          <a:blip r:embed="rId35"/>
                          <a:stretch>
                            <a:fillRect/>
                          </a:stretch>
                        </pic:blipFill>
                        <pic:spPr>
                          <a:xfrm>
                            <a:off x="0" y="0"/>
                            <a:ext cx="3331210" cy="2160270"/>
                          </a:xfrm>
                          <a:prstGeom prst="rect">
                            <a:avLst/>
                          </a:prstGeom>
                          <a:noFill/>
                          <a:ln>
                            <a:noFill/>
                          </a:ln>
                        </pic:spPr>
                      </pic:pic>
                    </a:graphicData>
                  </a:graphic>
                </wp:inline>
              </w:drawing>
            </w:r>
          </w:p>
        </w:tc>
        <w:tc>
          <w:tcPr>
            <w:tcW w:w="1121" w:type="dxa"/>
            <w:vAlign w:val="center"/>
          </w:tcPr>
          <w:p w14:paraId="128E116C">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传播效果、互动效果、社会关注度、情感倾向</w:t>
            </w:r>
          </w:p>
        </w:tc>
      </w:tr>
      <w:tr w14:paraId="70C43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7960A666">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《影视作品影响力评价指标体系和评价方法研究》</w:t>
            </w:r>
          </w:p>
        </w:tc>
        <w:tc>
          <w:tcPr>
            <w:tcW w:w="6716" w:type="dxa"/>
            <w:vAlign w:val="center"/>
          </w:tcPr>
          <w:p w14:paraId="4592B352">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2200910" cy="1800225"/>
                  <wp:effectExtent l="0" t="0" r="8890" b="3175"/>
                  <wp:docPr id="12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9"/>
                          <pic:cNvPicPr>
                            <a:picLocks noChangeAspect="1"/>
                          </pic:cNvPicPr>
                        </pic:nvPicPr>
                        <pic:blipFill>
                          <a:blip r:embed="rId36"/>
                          <a:stretch>
                            <a:fillRect/>
                          </a:stretch>
                        </pic:blipFill>
                        <pic:spPr>
                          <a:xfrm>
                            <a:off x="0" y="0"/>
                            <a:ext cx="2200910" cy="1800225"/>
                          </a:xfrm>
                          <a:prstGeom prst="rect">
                            <a:avLst/>
                          </a:prstGeom>
                          <a:noFill/>
                          <a:ln>
                            <a:noFill/>
                          </a:ln>
                        </pic:spPr>
                      </pic:pic>
                    </a:graphicData>
                  </a:graphic>
                </wp:inline>
              </w:drawing>
            </w:r>
          </w:p>
        </w:tc>
        <w:tc>
          <w:tcPr>
            <w:tcW w:w="1121" w:type="dxa"/>
            <w:vAlign w:val="center"/>
          </w:tcPr>
          <w:p w14:paraId="64763F7B">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传播效果、社会关注度</w:t>
            </w:r>
          </w:p>
        </w:tc>
      </w:tr>
      <w:tr w14:paraId="4BE76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center"/>
          </w:tcPr>
          <w:p w14:paraId="3B9F82B0">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T/CSWA 001—2023</w:t>
            </w:r>
            <w:r>
              <w:rPr>
                <w:rFonts w:hint="eastAsia" w:ascii="Times New Roman" w:hAnsi="Times New Roman" w:eastAsia="仿宋_GB2312" w:cs="Times New Roman"/>
                <w:b w:val="0"/>
                <w:kern w:val="2"/>
                <w:sz w:val="24"/>
                <w:szCs w:val="24"/>
                <w:vertAlign w:val="baseline"/>
                <w:lang w:val="en-US" w:eastAsia="zh-CN" w:bidi="ar-SA"/>
              </w:rPr>
              <w:t xml:space="preserve"> 科普视频评价指标体系》</w:t>
            </w:r>
          </w:p>
        </w:tc>
        <w:tc>
          <w:tcPr>
            <w:tcW w:w="6716" w:type="dxa"/>
            <w:vAlign w:val="center"/>
          </w:tcPr>
          <w:p w14:paraId="1172802D">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371215" cy="539750"/>
                  <wp:effectExtent l="0" t="0" r="6985" b="6350"/>
                  <wp:docPr id="11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46"/>
                          <pic:cNvPicPr>
                            <a:picLocks noChangeAspect="1"/>
                          </pic:cNvPicPr>
                        </pic:nvPicPr>
                        <pic:blipFill>
                          <a:blip r:embed="rId37"/>
                          <a:stretch>
                            <a:fillRect/>
                          </a:stretch>
                        </pic:blipFill>
                        <pic:spPr>
                          <a:xfrm>
                            <a:off x="0" y="0"/>
                            <a:ext cx="3371215" cy="539750"/>
                          </a:xfrm>
                          <a:prstGeom prst="rect">
                            <a:avLst/>
                          </a:prstGeom>
                          <a:noFill/>
                          <a:ln>
                            <a:noFill/>
                          </a:ln>
                        </pic:spPr>
                      </pic:pic>
                    </a:graphicData>
                  </a:graphic>
                </wp:inline>
              </w:drawing>
            </w:r>
            <w:r>
              <w:drawing>
                <wp:inline distT="0" distB="0" distL="114300" distR="114300">
                  <wp:extent cx="3406775" cy="360045"/>
                  <wp:effectExtent l="0" t="0" r="9525" b="8255"/>
                  <wp:docPr id="11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7"/>
                          <pic:cNvPicPr>
                            <a:picLocks noChangeAspect="1"/>
                          </pic:cNvPicPr>
                        </pic:nvPicPr>
                        <pic:blipFill>
                          <a:blip r:embed="rId38"/>
                          <a:stretch>
                            <a:fillRect/>
                          </a:stretch>
                        </pic:blipFill>
                        <pic:spPr>
                          <a:xfrm>
                            <a:off x="0" y="0"/>
                            <a:ext cx="3406775" cy="360045"/>
                          </a:xfrm>
                          <a:prstGeom prst="rect">
                            <a:avLst/>
                          </a:prstGeom>
                          <a:noFill/>
                          <a:ln>
                            <a:noFill/>
                          </a:ln>
                        </pic:spPr>
                      </pic:pic>
                    </a:graphicData>
                  </a:graphic>
                </wp:inline>
              </w:drawing>
            </w:r>
          </w:p>
        </w:tc>
        <w:tc>
          <w:tcPr>
            <w:tcW w:w="1121" w:type="dxa"/>
            <w:vAlign w:val="center"/>
          </w:tcPr>
          <w:p w14:paraId="715583B5">
            <w:pPr>
              <w:pStyle w:val="48"/>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传播效果、社会关注度、情感倾向</w:t>
            </w:r>
          </w:p>
        </w:tc>
      </w:tr>
    </w:tbl>
    <w:p w14:paraId="25767F63">
      <w:pPr>
        <w:pStyle w:val="48"/>
        <w:numPr>
          <w:ilvl w:val="0"/>
          <w:numId w:val="0"/>
        </w:numPr>
        <w:bidi w:val="0"/>
        <w:ind w:firstLine="643" w:firstLineChars="200"/>
        <w:rPr>
          <w:rFonts w:hint="eastAsia"/>
          <w:lang w:val="en-US" w:eastAsia="zh-CN"/>
        </w:rPr>
      </w:pPr>
      <w:r>
        <w:rPr>
          <w:rFonts w:hint="eastAsia" w:ascii="楷体" w:hAnsi="楷体" w:eastAsia="楷体" w:cs="仿宋_GB2312"/>
          <w:b/>
          <w:kern w:val="2"/>
          <w:sz w:val="32"/>
          <w:szCs w:val="28"/>
          <w:lang w:val="en-US" w:eastAsia="zh-CN" w:bidi="ar-SA"/>
        </w:rPr>
        <w:t>（二）</w:t>
      </w:r>
      <w:r>
        <w:rPr>
          <w:rFonts w:hint="eastAsia"/>
          <w:lang w:val="en-US" w:eastAsia="zh-CN"/>
        </w:rPr>
        <w:t>评价方法</w:t>
      </w:r>
    </w:p>
    <w:p w14:paraId="70FC1FD3">
      <w:pPr>
        <w:pStyle w:val="48"/>
        <w:numPr>
          <w:ilvl w:val="-1"/>
          <w:numId w:val="0"/>
        </w:numPr>
        <w:bidi w:val="0"/>
        <w:ind w:firstLine="640" w:firstLineChars="200"/>
        <w:rPr>
          <w:rFonts w:hint="eastAsia" w:ascii="Times New Roman" w:hAnsi="Times New Roman" w:eastAsia="仿宋_GB2312" w:cs="Times New Roman"/>
          <w:b w:val="0"/>
          <w:lang w:val="en-US" w:eastAsia="zh-CN"/>
        </w:rPr>
      </w:pPr>
      <w:r>
        <w:rPr>
          <w:rFonts w:hint="eastAsia" w:ascii="Times New Roman" w:hAnsi="Times New Roman" w:eastAsia="仿宋_GB2312" w:cs="Times New Roman"/>
          <w:b w:val="0"/>
          <w:lang w:val="en-US" w:eastAsia="zh-CN"/>
        </w:rPr>
        <w:t>文件规定按附录A逐项打分并汇总得到综合得分A，并设置优秀、良好、中等、合格、不合格五个等级及对应分值区间。采用逐项打分汇总的方法，是为避免单一指标评价的片面性，将多维度质量转化为可比分数，便于横向比较。设置五个等级，用于区分作品质量层次：优秀作品可用于示范推广或评奖，良好和中等作品可作为基础科普资源，合格作品满足基本传播要求，不合格作品需修改或不予采用。</w:t>
      </w:r>
    </w:p>
    <w:p w14:paraId="4DEF6D37">
      <w:pPr>
        <w:pStyle w:val="48"/>
        <w:numPr>
          <w:ilvl w:val="-1"/>
          <w:numId w:val="0"/>
        </w:numPr>
        <w:bidi w:val="0"/>
        <w:ind w:firstLine="640" w:firstLineChars="200"/>
        <w:rPr>
          <w:rFonts w:hint="eastAsia" w:ascii="Times New Roman" w:hAnsi="Times New Roman" w:eastAsia="仿宋_GB2312" w:cs="Times New Roman"/>
          <w:b w:val="0"/>
          <w:lang w:val="en-US" w:eastAsia="zh-CN"/>
        </w:rPr>
      </w:pPr>
      <w:r>
        <w:rPr>
          <w:rFonts w:hint="eastAsia" w:ascii="Times New Roman" w:hAnsi="Times New Roman" w:eastAsia="仿宋_GB2312" w:cs="Times New Roman"/>
          <w:b w:val="0"/>
          <w:lang w:val="en-US" w:eastAsia="zh-CN"/>
        </w:rPr>
        <w:t>评价等级分为优秀、良好、中等、合格、不合格5个等级，其中优秀为90分≤A≤100分、良好为80分≤A＜90分、中等为70分≤A＜80分、合格为60分≤A＜70分、不合格为A＜60分：本要点设定的依据为百分制是各类评价工作中通用且易操作的打分形式，五级等级划分符合行业内各类评价工作的常规分级原则，能精准匹配农业科普视频的质量层次差异，同时明确各等级对应的分数区间，让量化的打分结果能直接转化为直观的等级判定结论，适配农业科普视频评价与应用的实际需求，如90分及以上定为优秀，对应各评价维度表现俱佳、质量上乘的视频，可作为优质科普资源推广；60分以下定为不合格，对应存在明显知识错误、制作水平不佳等问题，未达到农业科普基本要求的视频，需整改完善；中等、良好等级则对应质量处于不同层次的视频，可满足不同农技培训、科普传播场景的使用需求。</w:t>
      </w:r>
    </w:p>
    <w:p w14:paraId="1DF1BC81">
      <w:pPr>
        <w:pStyle w:val="48"/>
        <w:bidi w:val="0"/>
        <w:rPr>
          <w:rFonts w:hint="default"/>
          <w:lang w:val="en-US" w:eastAsia="zh-CN"/>
        </w:rPr>
      </w:pPr>
      <w:r>
        <w:rPr>
          <w:rFonts w:hint="eastAsia"/>
          <w:lang w:val="en-US" w:eastAsia="zh-CN"/>
        </w:rPr>
        <w:t>（二）评价流程及要求</w:t>
      </w:r>
    </w:p>
    <w:p w14:paraId="68976B43">
      <w:pPr>
        <w:pStyle w:val="48"/>
        <w:bidi w:val="0"/>
        <w:rPr>
          <w:rFonts w:hint="default"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（1）评价流程</w:t>
      </w:r>
    </w:p>
    <w:p w14:paraId="0CACE2E3">
      <w:pPr>
        <w:pStyle w:val="48"/>
        <w:numPr>
          <w:ilvl w:val="0"/>
          <w:numId w:val="0"/>
        </w:numPr>
        <w:bidi w:val="0"/>
        <w:ind w:firstLine="640" w:firstLineChars="200"/>
        <w:rPr>
          <w:rFonts w:hint="eastAsia" w:ascii="Times New Roman" w:hAnsi="Times New Roman" w:eastAsia="仿宋_GB2312" w:cs="Times New Roman"/>
          <w:b w:val="0"/>
          <w:lang w:val="en-US" w:eastAsia="zh-CN"/>
        </w:rPr>
      </w:pPr>
      <w:r>
        <w:rPr>
          <w:rFonts w:hint="eastAsia" w:ascii="Times New Roman" w:hAnsi="Times New Roman" w:eastAsia="仿宋_GB2312" w:cs="Times New Roman"/>
          <w:b w:val="0"/>
          <w:lang w:val="en-US" w:eastAsia="zh-CN"/>
        </w:rPr>
        <w:t>文件将农业科普视频作品的评价流程设定为五个步骤：确定评价机构、受理评价委托、制定评价方案、组建评价工作组、组织评价、形成评价报告、评价完成。该流程参照“计划-执行-检查-处理”（PDCA）质量管理循环理念，使评价工作成为可重复、可追溯的闭环过程。审查合规性对应计划阶段，明确准入条件；确定评价人员和收集资料对应执行阶段，保障评价专业性与数据完整性；实施评价对应检查阶段，通过量化打分得出客观结论；形成评价报告对应处理阶段，提出改进建议并支持作品修改后重新评价，实现质量逐步提升。该流程主要依据广西壮族自治区亚热带作物研究所近年来在农业科普视频评价工作中的实践经验，将实际使用的步骤标准化，为行业提供规范、可操作的评价工作指南。</w:t>
      </w:r>
    </w:p>
    <w:p w14:paraId="24D9474B">
      <w:pPr>
        <w:pStyle w:val="47"/>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mc:AlternateContent>
          <mc:Choice Requires="wpc">
            <w:drawing>
              <wp:inline distT="0" distB="0" distL="114300" distR="114300">
                <wp:extent cx="5868035" cy="2257425"/>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流程图: 终止 12"/>
                        <wps:cNvSpPr/>
                        <wps:spPr>
                          <a:xfrm>
                            <a:off x="386100" y="898560"/>
                            <a:ext cx="852800" cy="252117"/>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019FDA39">
                              <w:pPr>
                                <w:keepNext w:val="0"/>
                                <w:keepLines w:val="0"/>
                                <w:pageBreakBefore w:val="0"/>
                                <w:widowControl w:val="0"/>
                                <w:kinsoku/>
                                <w:wordWrap/>
                                <w:overflowPunct/>
                                <w:topLinePunct w:val="0"/>
                                <w:bidi w:val="0"/>
                                <w:adjustRightInd w:val="0"/>
                                <w:snapToGrid/>
                                <w:spacing w:line="240" w:lineRule="auto"/>
                                <w:ind w:left="0" w:leftChars="0" w:firstLine="0" w:firstLineChars="0"/>
                                <w:jc w:val="both"/>
                                <w:textAlignment w:val="auto"/>
                                <w:rPr>
                                  <w:sz w:val="15"/>
                                  <w:szCs w:val="15"/>
                                </w:rPr>
                              </w:pPr>
                              <w:r>
                                <w:rPr>
                                  <w:rFonts w:hint="eastAsia"/>
                                  <w:sz w:val="15"/>
                                  <w:szCs w:val="15"/>
                                </w:rPr>
                                <w:t>确定评价机构</w:t>
                              </w:r>
                            </w:p>
                          </w:txbxContent>
                        </wps:txbx>
                        <wps:bodyPr lIns="0" tIns="0" rIns="0" bIns="0" anchor="ctr" anchorCtr="0" upright="1"/>
                      </wps:wsp>
                      <wps:wsp>
                        <wps:cNvPr id="13" name="矩形 13"/>
                        <wps:cNvSpPr/>
                        <wps:spPr>
                          <a:xfrm>
                            <a:off x="4731400" y="1931728"/>
                            <a:ext cx="9042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119D73">
                              <w:pPr>
                                <w:spacing w:line="200" w:lineRule="exact"/>
                                <w:ind w:left="0" w:leftChars="0" w:firstLine="0" w:firstLineChars="0"/>
                                <w:rPr>
                                  <w:rFonts w:hint="default" w:eastAsia="宋体"/>
                                  <w:sz w:val="15"/>
                                  <w:szCs w:val="15"/>
                                  <w:lang w:val="en-US" w:eastAsia="zh-CN"/>
                                </w:rPr>
                              </w:pPr>
                              <w:r>
                                <w:rPr>
                                  <w:rFonts w:hint="eastAsia"/>
                                  <w:sz w:val="15"/>
                                  <w:szCs w:val="15"/>
                                  <w:lang w:val="en-US" w:eastAsia="zh-CN"/>
                                </w:rPr>
                                <w:t>组建评价工作组</w:t>
                              </w:r>
                            </w:p>
                          </w:txbxContent>
                        </wps:txbx>
                        <wps:bodyPr upright="1"/>
                      </wps:wsp>
                      <wps:wsp>
                        <wps:cNvPr id="10" name="矩形 15"/>
                        <wps:cNvSpPr/>
                        <wps:spPr>
                          <a:xfrm>
                            <a:off x="1700500" y="1931728"/>
                            <a:ext cx="8973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63A04">
                              <w:pPr>
                                <w:pStyle w:val="10"/>
                                <w:spacing w:before="0" w:beforeAutospacing="0" w:after="0" w:afterAutospacing="0" w:line="200" w:lineRule="exact"/>
                                <w:ind w:left="0" w:leftChars="0" w:firstLine="0" w:firstLineChars="0"/>
                                <w:jc w:val="both"/>
                                <w:rPr>
                                  <w:rFonts w:hint="eastAsia" w:eastAsia="宋体"/>
                                  <w:lang w:val="en-US" w:eastAsia="zh-CN"/>
                                </w:rPr>
                              </w:pPr>
                              <w:r>
                                <w:rPr>
                                  <w:rFonts w:hint="eastAsia" w:ascii="Calibri" w:cs="Times New Roman"/>
                                  <w:kern w:val="2"/>
                                  <w:sz w:val="15"/>
                                  <w:szCs w:val="15"/>
                                </w:rPr>
                                <w:t>形成评价</w:t>
                              </w:r>
                              <w:r>
                                <w:rPr>
                                  <w:rFonts w:hint="eastAsia" w:ascii="Calibri" w:cs="Times New Roman"/>
                                  <w:kern w:val="2"/>
                                  <w:sz w:val="15"/>
                                  <w:szCs w:val="15"/>
                                  <w:lang w:val="en-US" w:eastAsia="zh-CN"/>
                                </w:rPr>
                                <w:t>报告</w:t>
                              </w:r>
                            </w:p>
                          </w:txbxContent>
                        </wps:txbx>
                        <wps:bodyPr anchor="ctr" anchorCtr="0" upright="1"/>
                      </wps:wsp>
                      <wps:wsp>
                        <wps:cNvPr id="16" name="流程图: 终止 16"/>
                        <wps:cNvSpPr/>
                        <wps:spPr>
                          <a:xfrm>
                            <a:off x="386100" y="1931728"/>
                            <a:ext cx="853400" cy="252117"/>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7B25FC74">
                              <w:pPr>
                                <w:keepNext w:val="0"/>
                                <w:keepLines w:val="0"/>
                                <w:pageBreakBefore w:val="0"/>
                                <w:widowControl w:val="0"/>
                                <w:kinsoku/>
                                <w:wordWrap/>
                                <w:overflowPunct/>
                                <w:topLinePunct w:val="0"/>
                                <w:bidi w:val="0"/>
                                <w:adjustRightInd w:val="0"/>
                                <w:snapToGrid/>
                                <w:spacing w:line="240" w:lineRule="auto"/>
                                <w:ind w:left="0" w:leftChars="0" w:firstLine="0" w:firstLineChars="0"/>
                                <w:jc w:val="both"/>
                                <w:textAlignment w:val="auto"/>
                                <w:rPr>
                                  <w:sz w:val="15"/>
                                  <w:szCs w:val="15"/>
                                </w:rPr>
                              </w:pPr>
                              <w:r>
                                <w:rPr>
                                  <w:rFonts w:hint="eastAsia"/>
                                  <w:sz w:val="15"/>
                                  <w:szCs w:val="15"/>
                                </w:rPr>
                                <w:t>评价完成</w:t>
                              </w:r>
                            </w:p>
                          </w:txbxContent>
                        </wps:txbx>
                        <wps:bodyPr lIns="0" tIns="0" rIns="0" bIns="0" anchor="ctr" anchorCtr="0" upright="1"/>
                      </wps:wsp>
                      <wps:wsp>
                        <wps:cNvPr id="11" name="肘形连接符 17"/>
                        <wps:cNvCnPr/>
                        <wps:spPr>
                          <a:xfrm flipV="1">
                            <a:off x="1238900" y="840156"/>
                            <a:ext cx="547400" cy="184112"/>
                          </a:xfrm>
                          <a:prstGeom prst="bentConnector3">
                            <a:avLst>
                              <a:gd name="adj1" fmla="val 50000"/>
                            </a:avLst>
                          </a:prstGeom>
                          <a:ln w="9525" cap="flat" cmpd="sng">
                            <a:solidFill>
                              <a:srgbClr val="000000"/>
                            </a:solidFill>
                            <a:prstDash val="solid"/>
                            <a:round/>
                            <a:headEnd type="none" w="med" len="med"/>
                            <a:tailEnd type="triangle" w="med" len="med"/>
                          </a:ln>
                        </wps:spPr>
                        <wps:bodyPr/>
                      </wps:wsp>
                      <wps:wsp>
                        <wps:cNvPr id="19" name="肘形连接符 22"/>
                        <wps:cNvCnPr/>
                        <wps:spPr>
                          <a:xfrm>
                            <a:off x="1238900" y="1024268"/>
                            <a:ext cx="557500" cy="165111"/>
                          </a:xfrm>
                          <a:prstGeom prst="bentConnector3">
                            <a:avLst>
                              <a:gd name="adj1" fmla="val 48861"/>
                            </a:avLst>
                          </a:prstGeom>
                          <a:ln w="9525" cap="flat" cmpd="sng">
                            <a:solidFill>
                              <a:srgbClr val="000000"/>
                            </a:solidFill>
                            <a:prstDash val="solid"/>
                            <a:round/>
                            <a:headEnd type="none" w="med" len="med"/>
                            <a:tailEnd type="triangle" w="med" len="med"/>
                          </a:ln>
                        </wps:spPr>
                        <wps:bodyPr/>
                      </wps:wsp>
                      <wps:wsp>
                        <wps:cNvPr id="23" name="矩形 23"/>
                        <wps:cNvSpPr/>
                        <wps:spPr>
                          <a:xfrm>
                            <a:off x="1786300" y="718848"/>
                            <a:ext cx="8820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A02787">
                              <w:pPr>
                                <w:spacing w:line="200" w:lineRule="exact"/>
                                <w:ind w:left="0" w:leftChars="0" w:firstLine="0" w:firstLineChars="0"/>
                                <w:jc w:val="both"/>
                                <w:rPr>
                                  <w:sz w:val="15"/>
                                  <w:szCs w:val="15"/>
                                </w:rPr>
                              </w:pPr>
                              <w:r>
                                <w:rPr>
                                  <w:rFonts w:hint="eastAsia"/>
                                  <w:sz w:val="15"/>
                                  <w:szCs w:val="15"/>
                                </w:rPr>
                                <w:t>提交评价申请表</w:t>
                              </w:r>
                            </w:p>
                          </w:txbxContent>
                        </wps:txbx>
                        <wps:bodyPr upright="1"/>
                      </wps:wsp>
                      <wps:wsp>
                        <wps:cNvPr id="24" name="矩形 24"/>
                        <wps:cNvSpPr/>
                        <wps:spPr>
                          <a:xfrm>
                            <a:off x="1786300" y="1071271"/>
                            <a:ext cx="880700" cy="23941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09F10D">
                              <w:pPr>
                                <w:spacing w:line="200" w:lineRule="exact"/>
                                <w:ind w:left="0" w:leftChars="0" w:firstLine="0" w:firstLineChars="0"/>
                                <w:jc w:val="both"/>
                                <w:rPr>
                                  <w:sz w:val="15"/>
                                  <w:szCs w:val="15"/>
                                </w:rPr>
                              </w:pPr>
                              <w:r>
                                <w:rPr>
                                  <w:rFonts w:hint="eastAsia"/>
                                  <w:sz w:val="15"/>
                                  <w:szCs w:val="15"/>
                                </w:rPr>
                                <w:t>提供佐证材料</w:t>
                              </w:r>
                            </w:p>
                          </w:txbxContent>
                        </wps:txbx>
                        <wps:bodyPr upright="1"/>
                      </wps:wsp>
                      <wps:wsp>
                        <wps:cNvPr id="25" name="肘形连接符 25"/>
                        <wps:cNvCnPr/>
                        <wps:spPr>
                          <a:xfrm>
                            <a:off x="2677200" y="814854"/>
                            <a:ext cx="695300" cy="210214"/>
                          </a:xfrm>
                          <a:prstGeom prst="bentConnector3">
                            <a:avLst>
                              <a:gd name="adj1" fmla="val 50046"/>
                            </a:avLst>
                          </a:prstGeom>
                          <a:ln w="9525" cap="flat" cmpd="sng">
                            <a:solidFill>
                              <a:srgbClr val="000000"/>
                            </a:solidFill>
                            <a:prstDash val="solid"/>
                            <a:round/>
                            <a:headEnd type="none" w="med" len="med"/>
                            <a:tailEnd type="triangle" w="med" len="med"/>
                          </a:ln>
                        </wps:spPr>
                        <wps:bodyPr/>
                      </wps:wsp>
                      <wps:wsp>
                        <wps:cNvPr id="20" name="肘形连接符 26"/>
                        <wps:cNvCnPr/>
                        <wps:spPr>
                          <a:xfrm flipV="1">
                            <a:off x="2667000" y="1024968"/>
                            <a:ext cx="705500" cy="166311"/>
                          </a:xfrm>
                          <a:prstGeom prst="bentConnector3">
                            <a:avLst>
                              <a:gd name="adj1" fmla="val 50046"/>
                            </a:avLst>
                          </a:prstGeom>
                          <a:ln w="9525" cap="flat" cmpd="sng">
                            <a:solidFill>
                              <a:srgbClr val="000000"/>
                            </a:solidFill>
                            <a:prstDash val="solid"/>
                            <a:round/>
                            <a:headEnd type="none" w="med" len="med"/>
                            <a:tailEnd type="none" w="med" len="med"/>
                          </a:ln>
                        </wps:spPr>
                        <wps:bodyPr/>
                      </wps:wsp>
                      <wps:wsp>
                        <wps:cNvPr id="27" name="直接箭头连接符 27"/>
                        <wps:cNvCnPr/>
                        <wps:spPr>
                          <a:xfrm>
                            <a:off x="4221500" y="1021768"/>
                            <a:ext cx="542900" cy="6300"/>
                          </a:xfrm>
                          <a:prstGeom prst="straightConnector1">
                            <a:avLst/>
                          </a:prstGeom>
                          <a:ln w="9525" cap="flat" cmpd="sng">
                            <a:solidFill>
                              <a:srgbClr val="000000"/>
                            </a:solidFill>
                            <a:prstDash val="solid"/>
                            <a:headEnd type="none" w="med" len="med"/>
                            <a:tailEnd type="triangle" w="med" len="med"/>
                          </a:ln>
                        </wps:spPr>
                        <wps:bodyPr/>
                      </wps:wsp>
                      <wps:wsp>
                        <wps:cNvPr id="28" name="矩形 28"/>
                        <wps:cNvSpPr/>
                        <wps:spPr>
                          <a:xfrm>
                            <a:off x="4763100" y="898560"/>
                            <a:ext cx="8440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DD48DE">
                              <w:pPr>
                                <w:spacing w:line="200" w:lineRule="exact"/>
                                <w:ind w:left="0" w:leftChars="0" w:firstLine="0" w:firstLineChars="0"/>
                                <w:jc w:val="both"/>
                                <w:rPr>
                                  <w:rFonts w:hint="default" w:eastAsia="宋体"/>
                                  <w:sz w:val="15"/>
                                  <w:szCs w:val="15"/>
                                  <w:lang w:val="en-US" w:eastAsia="zh-CN"/>
                                </w:rPr>
                              </w:pPr>
                              <w:r>
                                <w:rPr>
                                  <w:rFonts w:hint="eastAsia"/>
                                  <w:sz w:val="15"/>
                                  <w:szCs w:val="15"/>
                                  <w:lang w:val="en-US" w:eastAsia="zh-CN"/>
                                </w:rPr>
                                <w:t>制定评价方案</w:t>
                              </w:r>
                            </w:p>
                          </w:txbxContent>
                        </wps:txbx>
                        <wps:bodyPr upright="1"/>
                      </wps:wsp>
                      <wps:wsp>
                        <wps:cNvPr id="29" name="直接箭头连接符 29"/>
                        <wps:cNvCnPr/>
                        <wps:spPr>
                          <a:xfrm>
                            <a:off x="5177800" y="1185579"/>
                            <a:ext cx="5700" cy="757550"/>
                          </a:xfrm>
                          <a:prstGeom prst="straightConnector1">
                            <a:avLst/>
                          </a:prstGeom>
                          <a:ln w="9525" cap="flat" cmpd="sng">
                            <a:solidFill>
                              <a:srgbClr val="000000"/>
                            </a:solidFill>
                            <a:prstDash val="solid"/>
                            <a:headEnd type="none" w="med" len="med"/>
                            <a:tailEnd type="triangle" w="med" len="med"/>
                          </a:ln>
                        </wps:spPr>
                        <wps:bodyPr/>
                      </wps:wsp>
                      <wps:wsp>
                        <wps:cNvPr id="30" name="直接箭头连接符 30"/>
                        <wps:cNvCnPr/>
                        <wps:spPr>
                          <a:xfrm flipH="1">
                            <a:off x="1239500" y="2057537"/>
                            <a:ext cx="461100" cy="0"/>
                          </a:xfrm>
                          <a:prstGeom prst="straightConnector1">
                            <a:avLst/>
                          </a:prstGeom>
                          <a:ln w="9525" cap="flat" cmpd="sng">
                            <a:solidFill>
                              <a:srgbClr val="000000"/>
                            </a:solidFill>
                            <a:prstDash val="solid"/>
                            <a:headEnd type="none" w="med" len="med"/>
                            <a:tailEnd type="triangle" w="med" len="med"/>
                          </a:ln>
                        </wps:spPr>
                        <wps:bodyPr/>
                      </wps:wsp>
                      <wps:wsp>
                        <wps:cNvPr id="31" name="矩形 32"/>
                        <wps:cNvSpPr/>
                        <wps:spPr>
                          <a:xfrm>
                            <a:off x="3209300" y="1931728"/>
                            <a:ext cx="904800" cy="2515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5B2023">
                              <w:pPr>
                                <w:spacing w:line="200" w:lineRule="exact"/>
                                <w:ind w:left="0" w:leftChars="0" w:firstLine="0" w:firstLineChars="0"/>
                                <w:jc w:val="both"/>
                                <w:rPr>
                                  <w:rFonts w:hint="default" w:eastAsia="宋体"/>
                                  <w:sz w:val="15"/>
                                  <w:szCs w:val="15"/>
                                  <w:lang w:val="en-US" w:eastAsia="zh-CN"/>
                                </w:rPr>
                              </w:pPr>
                              <w:r>
                                <w:rPr>
                                  <w:rFonts w:hint="eastAsia"/>
                                  <w:sz w:val="15"/>
                                  <w:szCs w:val="15"/>
                                  <w:lang w:val="en-US" w:eastAsia="zh-CN"/>
                                </w:rPr>
                                <w:t>组织评价</w:t>
                              </w:r>
                            </w:p>
                            <w:p w14:paraId="3BB60D78">
                              <w:pPr>
                                <w:spacing w:line="200" w:lineRule="exact"/>
                                <w:rPr>
                                  <w:sz w:val="15"/>
                                  <w:szCs w:val="15"/>
                                </w:rPr>
                              </w:pPr>
                            </w:p>
                          </w:txbxContent>
                        </wps:txbx>
                        <wps:bodyPr anchor="ctr" anchorCtr="0" upright="1"/>
                      </wps:wsp>
                      <wps:wsp>
                        <wps:cNvPr id="33" name="直接箭头连接符 33"/>
                        <wps:cNvCnPr/>
                        <wps:spPr>
                          <a:xfrm flipH="1">
                            <a:off x="4114100" y="2057537"/>
                            <a:ext cx="617300" cy="0"/>
                          </a:xfrm>
                          <a:prstGeom prst="straightConnector1">
                            <a:avLst/>
                          </a:prstGeom>
                          <a:ln w="9525" cap="flat" cmpd="sng">
                            <a:solidFill>
                              <a:srgbClr val="000000"/>
                            </a:solidFill>
                            <a:prstDash val="solid"/>
                            <a:headEnd type="none" w="med" len="med"/>
                            <a:tailEnd type="triangle" w="med" len="med"/>
                          </a:ln>
                        </wps:spPr>
                        <wps:bodyPr/>
                      </wps:wsp>
                      <wps:wsp>
                        <wps:cNvPr id="34" name="直接箭头连接符 34"/>
                        <wps:cNvCnPr/>
                        <wps:spPr>
                          <a:xfrm flipH="1">
                            <a:off x="2597700" y="2057437"/>
                            <a:ext cx="611600" cy="0"/>
                          </a:xfrm>
                          <a:prstGeom prst="straightConnector1">
                            <a:avLst/>
                          </a:prstGeom>
                          <a:ln w="9525" cap="flat" cmpd="sng">
                            <a:solidFill>
                              <a:srgbClr val="000000"/>
                            </a:solidFill>
                            <a:prstDash val="solid"/>
                            <a:headEnd type="none" w="med" len="med"/>
                            <a:tailEnd type="triangle" w="med" len="med"/>
                          </a:ln>
                        </wps:spPr>
                        <wps:bodyPr/>
                      </wps:wsp>
                      <wps:wsp>
                        <wps:cNvPr id="41" name="矩形 41"/>
                        <wps:cNvSpPr/>
                        <wps:spPr>
                          <a:xfrm>
                            <a:off x="3372500" y="898560"/>
                            <a:ext cx="8439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64C31F">
                              <w:pPr>
                                <w:spacing w:line="200" w:lineRule="exact"/>
                                <w:ind w:left="0" w:leftChars="0" w:firstLine="0" w:firstLineChars="0"/>
                                <w:jc w:val="both"/>
                                <w:rPr>
                                  <w:sz w:val="15"/>
                                  <w:szCs w:val="15"/>
                                </w:rPr>
                              </w:pPr>
                              <w:r>
                                <w:rPr>
                                  <w:rFonts w:hint="eastAsia"/>
                                  <w:sz w:val="15"/>
                                  <w:szCs w:val="15"/>
                                </w:rPr>
                                <w:t>受理评价委托</w:t>
                              </w:r>
                            </w:p>
                          </w:txbxContent>
                        </wps:txbx>
                        <wps:bodyPr upright="1"/>
                      </wps:wsp>
                    </wpc:wpc>
                  </a:graphicData>
                </a:graphic>
              </wp:inline>
            </w:drawing>
          </mc:Choice>
          <mc:Fallback>
            <w:pict>
              <v:group id="_x0000_s1026" o:spid="_x0000_s1026" o:spt="203" style="height:177.75pt;width:462.05pt;" coordsize="5868035,2257425" editas="canvas" o:gfxdata="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">
                <o:lock v:ext="edit" aspectratio="f"/>
                <v:shape id="_x0000_s1026" o:spid="_x0000_s1026" style="position:absolute;left:0;top:0;height:2257425;width:5868035;" filled="f" stroked="f" coordsize="21600,21600" o:gfxdata="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">
                  <v:fill on="f" focussize="0,0"/>
                  <v:stroke on="f"/>
                  <v:imagedata o:title=""/>
                  <o:lock v:ext="edit" aspectratio="t"/>
                </v:shape>
                <v:shape id="流程图: 终止 12" o:spid="_x0000_s1026" o:spt="116" type="#_x0000_t116" style="position:absolute;left:386100;top:898560;height:252117;width:852800;v-text-anchor:middle;" fillcolor="#FFFFFF" filled="t" stroked="t" coordsize="21600,21600" o:gfxdata="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PmUpKNYAAAAFAQAADwAAAAAAAAABACAAAAAi&#10;AAAAZHJzL2Rvd25yZXYueG1sUEsBAhQAFAAAAAgAh07iQN6Q0PhFAgAAjAQAAA4AAAAAAAAAAQAg&#10;AAAAJQEAAGRycy9lMm9Eb2MueG1sUEsFBgAAAAAGAAYAWQEAANwFAAAAAA==&#10;">
                  <v:fill on="t" focussize="0,0"/>
                  <v:stroke color="#000000" joinstyle="miter"/>
                  <v:imagedata o:title=""/>
                  <o:lock v:ext="edit" aspectratio="f"/>
                  <v:textbox inset="0mm,0mm,0mm,0mm">
                    <w:txbxContent>
                      <w:p w14:paraId="019FDA39">
                        <w:pPr>
                          <w:keepNext w:val="0"/>
                          <w:keepLines w:val="0"/>
                          <w:pageBreakBefore w:val="0"/>
                          <w:widowControl w:val="0"/>
                          <w:kinsoku/>
                          <w:wordWrap/>
                          <w:overflowPunct/>
                          <w:topLinePunct w:val="0"/>
                          <w:bidi w:val="0"/>
                          <w:adjustRightInd w:val="0"/>
                          <w:snapToGrid/>
                          <w:spacing w:line="240" w:lineRule="auto"/>
                          <w:ind w:left="0" w:leftChars="0" w:firstLine="0" w:firstLineChars="0"/>
                          <w:jc w:val="both"/>
                          <w:textAlignment w:val="auto"/>
                          <w:rPr>
                            <w:sz w:val="15"/>
                            <w:szCs w:val="15"/>
                          </w:rPr>
                        </w:pPr>
                        <w:r>
                          <w:rPr>
                            <w:rFonts w:hint="eastAsia"/>
                            <w:sz w:val="15"/>
                            <w:szCs w:val="15"/>
                          </w:rPr>
                          <w:t>确定评价机构</w:t>
                        </w:r>
                      </w:p>
                    </w:txbxContent>
                  </v:textbox>
                </v:shape>
                <v:rect id="_x0000_s1026" o:spid="_x0000_s1026" o:spt="1" style="position:absolute;left:4731400;top:1931728;height:252117;width:904200;" fillcolor="#FFFFFF" filled="t" stroked="t" coordsize="21600,21600" o:gfxdata="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TpQOtUAAAAFAQAADwAAAAAAAAABACAAAAAi&#10;AAAAZHJzL2Rvd25yZXYueG1sUEsBAhQAFAAAAAgAh07iQAvv0qkNAgAANgQAAA4AAAAAAAAAAQAg&#10;AAAAJAEAAGRycy9lMm9Eb2MueG1sUEsFBgAAAAAGAAYAWQEAAKMFAAAAAA==&#10;">
                  <v:fill on="t" focussize="0,0"/>
                  <v:stroke color="#000000" joinstyle="miter"/>
                  <v:imagedata o:title=""/>
                  <o:lock v:ext="edit" aspectratio="f"/>
                  <v:textbox>
                    <w:txbxContent>
                      <w:p w14:paraId="5A119D73">
                        <w:pPr>
                          <w:spacing w:line="200" w:lineRule="exact"/>
                          <w:ind w:left="0" w:leftChars="0" w:firstLine="0" w:firstLineChars="0"/>
                          <w:rPr>
                            <w:rFonts w:hint="default" w:eastAsia="宋体"/>
                            <w:sz w:val="15"/>
                            <w:szCs w:val="15"/>
                            <w:lang w:val="en-US" w:eastAsia="zh-CN"/>
                          </w:rPr>
                        </w:pPr>
                        <w:r>
                          <w:rPr>
                            <w:rFonts w:hint="eastAsia"/>
                            <w:sz w:val="15"/>
                            <w:szCs w:val="15"/>
                            <w:lang w:val="en-US" w:eastAsia="zh-CN"/>
                          </w:rPr>
                          <w:t>组建评价工作组</w:t>
                        </w:r>
                      </w:p>
                    </w:txbxContent>
                  </v:textbox>
                </v:rect>
                <v:rect id="矩形 15" o:spid="_x0000_s1026" o:spt="1" style="position:absolute;left:1700500;top:1931728;height:252117;width:897300;v-text-anchor:middle;" fillcolor="#FFFFFF" filled="t" stroked="t" coordsize="21600,21600" o:gfxdata="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FwzKL1gAAAAUBAAAP&#10;AAAAAAAAAAEAIAAAACIAAABkcnMvZG93bnJldi54bWxQSwECFAAUAAAACACHTuJAsCTluxoCAABR&#10;BAAADgAAAAAAAAABACAAAAAlAQAAZHJzL2Uyb0RvYy54bWxQSwUGAAAAAAYABgBZAQAAsQUAAAAA&#10;">
                  <v:fill on="t" focussize="0,0"/>
                  <v:stroke color="#000000" joinstyle="miter"/>
                  <v:imagedata o:title=""/>
                  <o:lock v:ext="edit" aspectratio="f"/>
                  <v:textbox>
                    <w:txbxContent>
                      <w:p w14:paraId="0D763A04">
                        <w:pPr>
                          <w:pStyle w:val="10"/>
                          <w:spacing w:before="0" w:beforeAutospacing="0" w:after="0" w:afterAutospacing="0" w:line="200" w:lineRule="exact"/>
                          <w:ind w:left="0" w:leftChars="0" w:firstLine="0" w:firstLineChars="0"/>
                          <w:jc w:val="both"/>
                          <w:rPr>
                            <w:rFonts w:hint="eastAsia" w:eastAsia="宋体"/>
                            <w:lang w:val="en-US" w:eastAsia="zh-CN"/>
                          </w:rPr>
                        </w:pPr>
                        <w:r>
                          <w:rPr>
                            <w:rFonts w:hint="eastAsia" w:ascii="Calibri" w:cs="Times New Roman"/>
                            <w:kern w:val="2"/>
                            <w:sz w:val="15"/>
                            <w:szCs w:val="15"/>
                          </w:rPr>
                          <w:t>形成评价</w:t>
                        </w:r>
                        <w:r>
                          <w:rPr>
                            <w:rFonts w:hint="eastAsia" w:ascii="Calibri" w:cs="Times New Roman"/>
                            <w:kern w:val="2"/>
                            <w:sz w:val="15"/>
                            <w:szCs w:val="15"/>
                            <w:lang w:val="en-US" w:eastAsia="zh-CN"/>
                          </w:rPr>
                          <w:t>报告</w:t>
                        </w:r>
                      </w:p>
                    </w:txbxContent>
                  </v:textbox>
                </v:rect>
                <v:shape id="_x0000_s1026" o:spid="_x0000_s1026" o:spt="116" type="#_x0000_t116" style="position:absolute;left:386100;top:1931728;height:252117;width:853400;v-text-anchor:middle;" fillcolor="#FFFFFF" filled="t" stroked="t" coordsize="21600,21600" o:gfxdata="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PmUpKNYAAAAFAQAADwAAAAAAAAABACAA&#10;AAAiAAAAZHJzL2Rvd25yZXYueG1sUEsBAhQAFAAAAAgAh07iQPIocqFIAgAAjgQAAA4AAAAAAAAA&#10;AQAgAAAAJQEAAGRycy9lMm9Eb2MueG1sUEsFBgAAAAAGAAYAWQEAAN8FAAAAAA==&#10;">
                  <v:fill on="t" focussize="0,0"/>
                  <v:stroke color="#000000" joinstyle="miter"/>
                  <v:imagedata o:title=""/>
                  <o:lock v:ext="edit" aspectratio="f"/>
                  <v:textbox inset="0mm,0mm,0mm,0mm">
                    <w:txbxContent>
                      <w:p w14:paraId="7B25FC74">
                        <w:pPr>
                          <w:keepNext w:val="0"/>
                          <w:keepLines w:val="0"/>
                          <w:pageBreakBefore w:val="0"/>
                          <w:widowControl w:val="0"/>
                          <w:kinsoku/>
                          <w:wordWrap/>
                          <w:overflowPunct/>
                          <w:topLinePunct w:val="0"/>
                          <w:bidi w:val="0"/>
                          <w:adjustRightInd w:val="0"/>
                          <w:snapToGrid/>
                          <w:spacing w:line="240" w:lineRule="auto"/>
                          <w:ind w:left="0" w:leftChars="0" w:firstLine="0" w:firstLineChars="0"/>
                          <w:jc w:val="both"/>
                          <w:textAlignment w:val="auto"/>
                          <w:rPr>
                            <w:sz w:val="15"/>
                            <w:szCs w:val="15"/>
                          </w:rPr>
                        </w:pPr>
                        <w:r>
                          <w:rPr>
                            <w:rFonts w:hint="eastAsia"/>
                            <w:sz w:val="15"/>
                            <w:szCs w:val="15"/>
                          </w:rPr>
                          <w:t>评价完成</w:t>
                        </w:r>
                      </w:p>
                    </w:txbxContent>
                  </v:textbox>
                </v:shape>
                <v:shape id="肘形连接符 17" o:spid="_x0000_s1026" o:spt="34" type="#_x0000_t34" style="position:absolute;left:1238900;top:840156;flip:y;height:184112;width:547400;" filled="f" stroked="t" coordsize="21600,21600" o:gfxdata="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9o+gLUAAAABQEAAA8AAAAAAAAAAQAgAAAAIgAAAGRycy9kb3ducmV2LnhtbFBLAQIU&#10;ABQAAAAIAIdO4kCm1pfCMAIAADgEAAAOAAAAAAAAAAEAIAAAACMBAABkcnMvZTJvRG9jLnhtbFBL&#10;BQYAAAAABgAGAFkBAADFBQAAAAA=&#10;" adj="10800">
                  <v:fill on="f" focussize="0,0"/>
                  <v:stroke color="#000000" joinstyle="round" endarrow="block"/>
                  <v:imagedata o:title=""/>
                  <o:lock v:ext="edit" aspectratio="f"/>
                </v:shape>
                <v:shape id="肘形连接符 22" o:spid="_x0000_s1026" o:spt="34" type="#_x0000_t34" style="position:absolute;left:1238900;top:1024268;height:165111;width:557500;" filled="f" stroked="t" coordsize="21600,21600" o:gfxdata="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9RYH9YAAAAFAQAADwAAAAAAAAABACAAAAAiAAAAZHJzL2Rvd25yZXYueG1sUEsBAhQAFAAA&#10;AAgAh07iQE1UXRYqAgAALwQAAA4AAAAAAAAAAQAgAAAAJQEAAGRycy9lMm9Eb2MueG1sUEsFBgAA&#10;AAAGAAYAWQEAAMEFAAAAAA==&#10;" adj="10554">
                  <v:fill on="f" focussize="0,0"/>
                  <v:stroke color="#000000" joinstyle="round" endarrow="block"/>
                  <v:imagedata o:title=""/>
                  <o:lock v:ext="edit" aspectratio="f"/>
                </v:shape>
                <v:rect id="_x0000_s1026" o:spid="_x0000_s1026" o:spt="1" style="position:absolute;left:1786300;top:718848;height:252117;width:882000;" fillcolor="#FFFFFF" filled="t" stroked="t" coordsize="21600,21600" o:gfxdata="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TpQOtUAAAAFAQAADwAAAAAAAAABACAA&#10;AAAiAAAAZHJzL2Rvd25yZXYueG1sUEsBAhQAFAAAAAgAh07iQEpNrs0QAgAANQQAAA4AAAAAAAAA&#10;AQAgAAAAJAEAAGRycy9lMm9Eb2MueG1sUEsFBgAAAAAGAAYAWQEAAKYFAAAAAA==&#10;">
                  <v:fill on="t" focussize="0,0"/>
                  <v:stroke color="#000000" joinstyle="miter"/>
                  <v:imagedata o:title=""/>
                  <o:lock v:ext="edit" aspectratio="f"/>
                  <v:textbox>
                    <w:txbxContent>
                      <w:p w14:paraId="15A02787">
                        <w:pPr>
                          <w:spacing w:line="200" w:lineRule="exact"/>
                          <w:ind w:left="0" w:leftChars="0" w:firstLine="0" w:firstLineChars="0"/>
                          <w:jc w:val="both"/>
                          <w:rPr>
                            <w:sz w:val="15"/>
                            <w:szCs w:val="15"/>
                          </w:rPr>
                        </w:pPr>
                        <w:r>
                          <w:rPr>
                            <w:rFonts w:hint="eastAsia"/>
                            <w:sz w:val="15"/>
                            <w:szCs w:val="15"/>
                          </w:rPr>
                          <w:t>提交评价申请表</w:t>
                        </w:r>
                      </w:p>
                    </w:txbxContent>
                  </v:textbox>
                </v:rect>
                <v:rect id="_x0000_s1026" o:spid="_x0000_s1026" o:spt="1" style="position:absolute;left:1786300;top:1071271;height:239416;width:880700;" fillcolor="#FFFFFF" filled="t" stroked="t" coordsize="21600,21600" o:gfxdata="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OlA61QAAAAUBAAAPAAAAAAAAAAEAIAAAACIA&#10;AABkcnMvZG93bnJldi54bWxQSwECFAAUAAAACACHTuJAfAYH/QwCAAA2BAAADgAAAAAAAAABACAA&#10;AAAkAQAAZHJzL2Uyb0RvYy54bWxQSwUGAAAAAAYABgBZAQAAogUAAAAA&#10;">
                  <v:fill on="t" focussize="0,0"/>
                  <v:stroke color="#000000" joinstyle="miter"/>
                  <v:imagedata o:title=""/>
                  <o:lock v:ext="edit" aspectratio="f"/>
                  <v:textbox>
                    <w:txbxContent>
                      <w:p w14:paraId="6B09F10D">
                        <w:pPr>
                          <w:spacing w:line="200" w:lineRule="exact"/>
                          <w:ind w:left="0" w:leftChars="0" w:firstLine="0" w:firstLineChars="0"/>
                          <w:jc w:val="both"/>
                          <w:rPr>
                            <w:sz w:val="15"/>
                            <w:szCs w:val="15"/>
                          </w:rPr>
                        </w:pPr>
                        <w:r>
                          <w:rPr>
                            <w:rFonts w:hint="eastAsia"/>
                            <w:sz w:val="15"/>
                            <w:szCs w:val="15"/>
                          </w:rPr>
                          <w:t>提供佐证材料</w:t>
                        </w:r>
                      </w:p>
                    </w:txbxContent>
                  </v:textbox>
                </v:rect>
                <v:shape id="_x0000_s1026" o:spid="_x0000_s1026" o:spt="34" type="#_x0000_t34" style="position:absolute;left:2677200;top:814854;height:210214;width:695300;" filled="f" stroked="t" coordsize="21600,21600" o:gfxdata="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qJHKA9YAAAAFAQAADwAAAAAAAAABACAAAAAiAAAAZHJzL2Rvd25yZXYueG1sUEsBAhQAFAAA&#10;AAgAh07iQFb1DXEqAgAALgQAAA4AAAAAAAAAAQAgAAAAJQEAAGRycy9lMm9Eb2MueG1sUEsFBgAA&#10;AAAGAAYAWQEAAMEFAAAAAA==&#10;" adj="10810">
                  <v:fill on="f" focussize="0,0"/>
                  <v:stroke color="#000000" joinstyle="round" endarrow="block"/>
                  <v:imagedata o:title=""/>
                  <o:lock v:ext="edit" aspectratio="f"/>
                </v:shape>
                <v:shape id="肘形连接符 26" o:spid="_x0000_s1026" o:spt="34" type="#_x0000_t34" style="position:absolute;left:2667000;top:1024968;flip:y;height:166311;width:705500;" filled="f" stroked="t" coordsize="21600,21600" o:gfxdata="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OGBIdYAAAAFAQAADwAAAAAAAAABACAAAAAiAAAAZHJzL2Rvd25yZXYueG1sUEsBAhQAFAAA&#10;AAgAh07iQLALOPUqAgAANQQAAA4AAAAAAAAAAQAgAAAAJQEAAGRycy9lMm9Eb2MueG1sUEsFBgAA&#10;AAAGAAYAWQEAAMEFAAAAAA==&#10;" adj="10810">
                  <v:fill on="f" focussize="0,0"/>
                  <v:stroke color="#000000" joinstyle="round"/>
                  <v:imagedata o:title=""/>
                  <o:lock v:ext="edit" aspectratio="f"/>
                </v:shape>
                <v:shape id="_x0000_s1026" o:spid="_x0000_s1026" o:spt="32" type="#_x0000_t32" style="position:absolute;left:4221500;top:1021768;height:6300;width:542900;" filled="f" stroked="t" coordsize="21600,21600" o:gfxdata="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9GrYrYAAAABQEAAA8AAAAA&#10;AAAAAQAgAAAAIgAAAGRycy9kb3ducmV2LnhtbFBLAQIUABQAAAAIAIdO4kCJy7WpFAIAAAAEAAAO&#10;AAAAAAAAAAEAIAAAACcBAABkcnMvZTJvRG9jLnhtbFBLBQYAAAAABgAGAFkBAACtBQAAAAA=&#10;">
                  <v:fill on="f" focussize="0,0"/>
                  <v:stroke color="#000000" joinstyle="round" endarrow="block"/>
                  <v:imagedata o:title=""/>
                  <o:lock v:ext="edit" aspectratio="f"/>
                </v:shape>
                <v:rect id="_x0000_s1026" o:spid="_x0000_s1026" o:spt="1" style="position:absolute;left:4763100;top:898560;height:252117;width:844000;" fillcolor="#FFFFFF" filled="t" stroked="t" coordsize="21600,21600" o:gfxdata="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dOlA61QAAAAUBAAAPAAAAAAAAAAEAIAAA&#10;ACIAAABkcnMvZG93bnJldi54bWxQSwECFAAUAAAACACHTuJA+QzIHg8CAAA1BAAADgAAAAAAAAAB&#10;ACAAAAAkAQAAZHJzL2Uyb0RvYy54bWxQSwUGAAAAAAYABgBZAQAApQUAAAAA&#10;">
                  <v:fill on="t" focussize="0,0"/>
                  <v:stroke color="#000000" joinstyle="miter"/>
                  <v:imagedata o:title=""/>
                  <o:lock v:ext="edit" aspectratio="f"/>
                  <v:textbox>
                    <w:txbxContent>
                      <w:p w14:paraId="1DDD48DE">
                        <w:pPr>
                          <w:spacing w:line="200" w:lineRule="exact"/>
                          <w:ind w:left="0" w:leftChars="0" w:firstLine="0" w:firstLineChars="0"/>
                          <w:jc w:val="both"/>
                          <w:rPr>
                            <w:rFonts w:hint="default" w:eastAsia="宋体"/>
                            <w:sz w:val="15"/>
                            <w:szCs w:val="15"/>
                            <w:lang w:val="en-US" w:eastAsia="zh-CN"/>
                          </w:rPr>
                        </w:pPr>
                        <w:r>
                          <w:rPr>
                            <w:rFonts w:hint="eastAsia"/>
                            <w:sz w:val="15"/>
                            <w:szCs w:val="15"/>
                            <w:lang w:val="en-US" w:eastAsia="zh-CN"/>
                          </w:rPr>
                          <w:t>制定评价方案</w:t>
                        </w:r>
                      </w:p>
                    </w:txbxContent>
                  </v:textbox>
                </v:rect>
                <v:shape id="_x0000_s1026" o:spid="_x0000_s1026" o:spt="32" type="#_x0000_t32" style="position:absolute;left:5177800;top:1185579;height:757550;width:5700;" filled="f" stroked="t" coordsize="21600,21600" o:gfxdata="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9GrYrYAAAABQEAAA8AAAAA&#10;AAAAAQAgAAAAIgAAAGRycy9kb3ducmV2LnhtbFBLAQIUABQAAAAIAIdO4kCuiW6yFAIAAAAEAAAO&#10;AAAAAAAAAAEAIAAAACcBAABkcnMvZTJvRG9jLnhtbFBLBQYAAAAABgAGAFkBAACtBQAAAAA=&#10;">
                  <v:fill on="f" focussize="0,0"/>
                  <v:stroke color="#000000" joinstyle="round" endarrow="block"/>
                  <v:imagedata o:title=""/>
                  <o:lock v:ext="edit" aspectratio="f"/>
                </v:shape>
                <v:shape id="_x0000_s1026" o:spid="_x0000_s1026" o:spt="32" type="#_x0000_t32" style="position:absolute;left:1239500;top:2057537;flip:x;height:0;width:461100;" filled="f" stroked="t" coordsize="21600,21600" o:gfxdata="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f2oX01gAAAAUBAAAP&#10;AAAAAAAAAAEAIAAAACIAAABkcnMvZG93bnJldi54bWxQSwECFAAUAAAACACHTuJA4c9UARoCAAAH&#10;BAAADgAAAAAAAAABACAAAAAlAQAAZHJzL2Uyb0RvYy54bWxQSwUGAAAAAAYABgBZAQAAsQUAAAAA&#10;">
                  <v:fill on="f" focussize="0,0"/>
                  <v:stroke color="#000000" joinstyle="round" endarrow="block"/>
                  <v:imagedata o:title=""/>
                  <o:lock v:ext="edit" aspectratio="f"/>
                </v:shape>
                <v:rect id="矩形 32" o:spid="_x0000_s1026" o:spt="1" style="position:absolute;left:3209300;top:1931728;height:251517;width:904800;v-text-anchor:middle;" fillcolor="#FFFFFF" filled="t" stroked="t" coordsize="21600,21600" o:gfxdata="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MXDMovWAAAABQEA&#10;AA8AAAAAAAAAAQAgAAAAIgAAAGRycy9kb3ducmV2LnhtbFBLAQIUABQAAAAIAIdO4kAkdX6rHAIA&#10;AFEEAAAOAAAAAAAAAAEAIAAAACUBAABkcnMvZTJvRG9jLnhtbFBLBQYAAAAABgAGAFkBAACzBQAA&#10;AAA=&#10;">
                  <v:fill on="t" focussize="0,0"/>
                  <v:stroke color="#000000" joinstyle="miter"/>
                  <v:imagedata o:title=""/>
                  <o:lock v:ext="edit" aspectratio="f"/>
                  <v:textbox>
                    <w:txbxContent>
                      <w:p w14:paraId="395B2023">
                        <w:pPr>
                          <w:spacing w:line="200" w:lineRule="exact"/>
                          <w:ind w:left="0" w:leftChars="0" w:firstLine="0" w:firstLineChars="0"/>
                          <w:jc w:val="both"/>
                          <w:rPr>
                            <w:rFonts w:hint="default" w:eastAsia="宋体"/>
                            <w:sz w:val="15"/>
                            <w:szCs w:val="15"/>
                            <w:lang w:val="en-US" w:eastAsia="zh-CN"/>
                          </w:rPr>
                        </w:pPr>
                        <w:r>
                          <w:rPr>
                            <w:rFonts w:hint="eastAsia"/>
                            <w:sz w:val="15"/>
                            <w:szCs w:val="15"/>
                            <w:lang w:val="en-US" w:eastAsia="zh-CN"/>
                          </w:rPr>
                          <w:t>组织评价</w:t>
                        </w:r>
                      </w:p>
                      <w:p w14:paraId="3BB60D78">
                        <w:pPr>
                          <w:spacing w:line="200" w:lineRule="exact"/>
                          <w:rPr>
                            <w:sz w:val="15"/>
                            <w:szCs w:val="15"/>
                          </w:rPr>
                        </w:pPr>
                      </w:p>
                    </w:txbxContent>
                  </v:textbox>
                </v:rect>
                <v:shape id="_x0000_s1026" o:spid="_x0000_s1026" o:spt="32" type="#_x0000_t32" style="position:absolute;left:4114100;top:2057537;flip:x;height:0;width:617300;" filled="f" stroked="t" coordsize="21600,21600" o:gfxdata="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ahfTWAAAABQEA&#10;AA8AAAAAAAAAAQAgAAAAIgAAAGRycy9kb3ducmV2LnhtbFBLAQIUABQAAAAIAIdO4kDw7NQ6HAIA&#10;AAcEAAAOAAAAAAAAAAEAIAAAACUBAABkcnMvZTJvRG9jLnhtbFBLBQYAAAAABgAGAFkBAACzBQAA&#10;AAA=&#10;">
                  <v:fill on="f" focussize="0,0"/>
                  <v:stroke color="#000000" joinstyle="round" endarrow="block"/>
                  <v:imagedata o:title=""/>
                  <o:lock v:ext="edit" aspectratio="f"/>
                </v:shape>
                <v:shape id="_x0000_s1026" o:spid="_x0000_s1026" o:spt="32" type="#_x0000_t32" style="position:absolute;left:2597700;top:2057437;flip:x;height:0;width:611600;" filled="f" stroked="t" coordsize="21600,21600" o:gfxdata="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9qF9NYAAAAFAQAA&#10;DwAAAAAAAAABACAAAAAiAAAAZHJzL2Rvd25yZXYueG1sUEsBAhQAFAAAAAgAh07iQFua0XcbAgAA&#10;BwQAAA4AAAAAAAAAAQAgAAAAJQEAAGRycy9lMm9Eb2MueG1sUEsFBgAAAAAGAAYAWQEAALIFAAAA&#10;AA==&#10;">
                  <v:fill on="f" focussize="0,0"/>
                  <v:stroke color="#000000" joinstyle="round" endarrow="block"/>
                  <v:imagedata o:title=""/>
                  <o:lock v:ext="edit" aspectratio="f"/>
                </v:shape>
                <v:rect id="_x0000_s1026" o:spid="_x0000_s1026" o:spt="1" style="position:absolute;left:3372500;top:898560;height:252117;width:843900;" fillcolor="#FFFFFF" filled="t" stroked="t" coordsize="21600,21600" o:gfxdata="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OlA61QAAAAUBAAAPAAAAAAAAAAEAIAAAACIA&#10;AABkcnMvZG93bnJldi54bWxQSwECFAAUAAAACACHTuJAdMFLPwwCAAA1BAAADgAAAAAAAAABACAA&#10;AAAkAQAAZHJzL2Uyb0RvYy54bWxQSwUGAAAAAAYABgBZAQAAogUAAAAA&#10;">
                  <v:fill on="t" focussize="0,0"/>
                  <v:stroke color="#000000" joinstyle="miter"/>
                  <v:imagedata o:title=""/>
                  <o:lock v:ext="edit" aspectratio="f"/>
                  <v:textbox>
                    <w:txbxContent>
                      <w:p w14:paraId="5664C31F">
                        <w:pPr>
                          <w:spacing w:line="200" w:lineRule="exact"/>
                          <w:ind w:left="0" w:leftChars="0" w:firstLine="0" w:firstLineChars="0"/>
                          <w:jc w:val="both"/>
                          <w:rPr>
                            <w:sz w:val="15"/>
                            <w:szCs w:val="15"/>
                          </w:rPr>
                        </w:pPr>
                        <w:r>
                          <w:rPr>
                            <w:rFonts w:hint="eastAsia"/>
                            <w:sz w:val="15"/>
                            <w:szCs w:val="15"/>
                          </w:rPr>
                          <w:t>受理评价委托</w:t>
                        </w:r>
                      </w:p>
                    </w:txbxContent>
                  </v:textbox>
                </v:rect>
                <w10:wrap type="none"/>
                <w10:anchorlock/>
              </v:group>
            </w:pict>
          </mc:Fallback>
        </mc:AlternateContent>
      </w:r>
    </w:p>
    <w:p w14:paraId="205EC481">
      <w:pPr>
        <w:pStyle w:val="44"/>
        <w:bidi w:val="0"/>
        <w:rPr>
          <w:rFonts w:hint="eastAsia"/>
        </w:rPr>
      </w:pPr>
      <w:r>
        <w:rPr>
          <w:rFonts w:hint="eastAsia"/>
          <w:lang w:val="en-US" w:eastAsia="zh-CN"/>
        </w:rPr>
        <w:t>评价程序</w:t>
      </w:r>
    </w:p>
    <w:p w14:paraId="62C23160">
      <w:pPr>
        <w:pStyle w:val="48"/>
        <w:bidi w:val="0"/>
        <w:rPr>
          <w:rFonts w:hint="eastAsia" w:ascii="Times New Roman" w:hAnsi="Times New Roman" w:eastAsia="仿宋_GB2312" w:cs="Times New Roman"/>
          <w:b w:val="0"/>
          <w:kern w:val="2"/>
          <w:sz w:val="32"/>
          <w:szCs w:val="28"/>
          <w:lang w:val="en-US" w:eastAsia="zh-CN" w:bidi="ar-SA"/>
        </w:rPr>
      </w:pPr>
      <w:bookmarkStart w:id="3" w:name="_Toc192003623"/>
      <w:bookmarkStart w:id="4" w:name="_Toc191979657"/>
      <w:bookmarkStart w:id="5" w:name="_Toc193376363"/>
      <w:bookmarkStart w:id="6" w:name="_Toc191388848"/>
      <w:bookmarkStart w:id="7" w:name="_Toc191981478"/>
      <w:bookmarkStart w:id="8" w:name="_Toc192078045"/>
      <w:bookmarkStart w:id="9" w:name="_Toc192074519"/>
      <w:bookmarkStart w:id="10" w:name="_Toc192083626"/>
      <w:bookmarkStart w:id="11" w:name="_Toc193229597"/>
      <w:bookmarkStart w:id="12" w:name="_Toc191388534"/>
      <w:r>
        <w:rPr>
          <w:rFonts w:hint="eastAsia" w:ascii="Times New Roman" w:hAnsi="Times New Roman" w:eastAsia="仿宋_GB2312" w:cs="Times New Roman"/>
          <w:b w:val="0"/>
          <w:kern w:val="2"/>
          <w:sz w:val="32"/>
          <w:szCs w:val="28"/>
          <w:lang w:val="en-US" w:eastAsia="zh-CN" w:bidi="ar-SA"/>
        </w:rPr>
        <w:t>（2）确定评价机构</w:t>
      </w:r>
      <w:bookmarkEnd w:id="3"/>
      <w:bookmarkEnd w:id="4"/>
      <w:bookmarkEnd w:id="5"/>
      <w:bookmarkEnd w:id="6"/>
      <w:bookmarkEnd w:id="7"/>
      <w:bookmarkEnd w:id="8"/>
      <w:bookmarkEnd w:id="9"/>
      <w:bookmarkEnd w:id="10"/>
      <w:bookmarkEnd w:id="11"/>
      <w:bookmarkEnd w:id="12"/>
    </w:p>
    <w:p w14:paraId="31B198E7">
      <w:pPr>
        <w:pStyle w:val="48"/>
        <w:bidi w:val="0"/>
        <w:ind w:firstLine="0" w:firstLineChars="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评价机构由出版方根据评价目的和需要确定，可委托第三方机构承担评价任务，也可自行开展农业科普纸媒书报类作品评价活动：本要点设定的依据为农业科普纸媒书报类作品覆盖报纸专栏、科普期刊、技术手册、农业读物、宣传折页等多种形态，不同作品的内容深度、受众群体和传播目标差异明显，相应的评价需求也不相同。例如，由农业科研单位编写的专项技术手册，评价重点可能是技术原理和数据的准确性；由出版社发行的农业科普书籍，评价常需兼顾知识性、可读性和社会效益；由基层农技推广部门编制的明白纸，则更侧重于信息是否简明实用、是否符合当地生产实际。鉴于各类作品的评价需求和实施条件不一，不宜设定统一的评价机构。出版方可根据评价目的，委托具有农业专业背景的学术团体、科技评价组织或具备审读能力的媒体机构等第三方承担评价，借助其独立性提升评价结果的公信力；也可自行组织内部审校或面向读者的意见征集开展评价，这种方式灵活便捷，适用于内部质量把关和资源有限的情况。本条对委托第三方评价与自行评价两种方式均予认可，目的是为适应农业科普纸媒作品生产和传播的多样性，并保障评价质量。</w:t>
      </w:r>
    </w:p>
    <w:p w14:paraId="0AC232BF">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（3）</w:t>
      </w:r>
      <w:bookmarkStart w:id="13" w:name="_Toc192078046"/>
      <w:bookmarkStart w:id="14" w:name="_Toc193229598"/>
      <w:bookmarkStart w:id="15" w:name="_Toc191388849"/>
      <w:bookmarkStart w:id="16" w:name="_Toc191368129"/>
      <w:bookmarkStart w:id="17" w:name="_Toc191979658"/>
      <w:bookmarkStart w:id="18" w:name="_Toc190894987"/>
      <w:bookmarkStart w:id="19" w:name="_Toc192003624"/>
      <w:bookmarkStart w:id="20" w:name="_Toc192083627"/>
      <w:bookmarkStart w:id="21" w:name="_Toc192074520"/>
      <w:bookmarkStart w:id="22" w:name="_Toc191981479"/>
      <w:bookmarkStart w:id="23" w:name="_Toc191388535"/>
      <w:bookmarkStart w:id="24" w:name="_Toc193376364"/>
      <w:bookmarkStart w:id="25" w:name="_Toc191362529"/>
      <w:bookmarkStart w:id="26" w:name="_Toc191366840"/>
      <w:r>
        <w:rPr>
          <w:rFonts w:hint="eastAsia" w:ascii="Times New Roman" w:hAnsi="Times New Roman" w:eastAsia="仿宋_GB2312" w:cs="Times New Roman"/>
          <w:b w:val="0"/>
          <w:kern w:val="2"/>
          <w:sz w:val="32"/>
          <w:szCs w:val="28"/>
          <w:lang w:val="en-US" w:eastAsia="zh-CN" w:bidi="ar-SA"/>
        </w:rPr>
        <w:t>委托</w:t>
      </w:r>
      <w:bookmarkEnd w:id="13"/>
      <w:bookmarkEnd w:id="14"/>
      <w:bookmarkEnd w:id="15"/>
      <w:bookmarkEnd w:id="16"/>
      <w:bookmarkEnd w:id="17"/>
      <w:bookmarkEnd w:id="18"/>
      <w:bookmarkEnd w:id="19"/>
      <w:bookmarkEnd w:id="20"/>
      <w:bookmarkEnd w:id="21"/>
      <w:bookmarkEnd w:id="22"/>
      <w:bookmarkEnd w:id="23"/>
      <w:bookmarkEnd w:id="24"/>
      <w:bookmarkEnd w:id="25"/>
      <w:bookmarkEnd w:id="26"/>
      <w:r>
        <w:rPr>
          <w:rFonts w:hint="eastAsia" w:ascii="Times New Roman" w:hAnsi="Times New Roman" w:eastAsia="仿宋_GB2312" w:cs="Times New Roman"/>
          <w:b w:val="0"/>
          <w:kern w:val="2"/>
          <w:sz w:val="32"/>
          <w:szCs w:val="28"/>
          <w:lang w:val="en-US" w:eastAsia="zh-CN" w:bidi="ar-SA"/>
        </w:rPr>
        <w:t>与受理</w:t>
      </w:r>
    </w:p>
    <w:p w14:paraId="1F6705E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申请评价单位提出委托意向，向评价机构提交农业科普纸媒书报类作品评价申请表（示例见附录B），并按附录A提供所需的佐证材料：本要点设定的依据为农业科普纸媒书报类作品评价涉及内容质量、科学准确性、规范性等多个维度，评价机构需掌握充分信息方可作出判断。申请表用于明确评价目的、作品类型和申请单位基本信息，使评价机构初步把握任务需求。附录A所列佐证材料，包括作品样书样刊、引用文献目录、作者资质说明等，其中涉及农业技术数据的应提供数据来源或原始试验依据，为评价提供事实支撑。标准化的申请与受理流程，可减少因材料缺失导致评价受阻或结论依据不充分的情况。</w:t>
      </w:r>
    </w:p>
    <w:p w14:paraId="0AB3B0B7">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评价机构基于评价要求、佐证材料、合规性审查分析评价可行性，并与申请评价单位协商，决定是否受理委托：本要点设定的依据为农业科普纸媒作品类型多样，不同作品在技术领域、内容深度和适用地域上的差异影响评价所需资源和操作方式。评价机构受理前应进行可行性分析，包括确认自身是否具备相关专业领域的审读能力、佐证材料是否齐全、作品是否属于本标准适用范围等。例如，涉及畜牧兽医、水产养殖等细分领域的专业出版物，需确认评审人员是否具备相应学科背景；部分作品引用特定地域的田间试验案例，评价机构需评估是否具备对照验证的条件。协商环节则为双方就评价范围、时间周期和成果形式达成共识提供空间，保障评价任务的可操作性。</w:t>
      </w:r>
    </w:p>
    <w:p w14:paraId="7504E4AE">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第三方评价机构承担委托任务时，建议评价机构与申请评价单位签订评价合同：本要点设定的依据为委托评价属于双方的正式合作行为，合同可明确各方权利义务，规范评价流程和成果交付方式，减少因约定不明产生的争议。农业科普纸媒作品评价有时涉及未公开发表的技术成果、农户个人种植养殖经验或田间试验数据，对保密性和授权使用的要求具有实际意义。第三方评价机构可通过合同对评价标准依据、保密义务、评价报告使用范围等加以明确，保障评价活动的独立性和规范性。</w:t>
      </w:r>
    </w:p>
    <w:p w14:paraId="44B5F72B">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（4）制定评价方案</w:t>
      </w:r>
    </w:p>
    <w:p w14:paraId="26DA9358">
      <w:pPr>
        <w:pStyle w:val="48"/>
        <w:bidi w:val="0"/>
        <w:rPr>
          <w:rFonts w:hint="eastAsia"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建议根据评价需求、目的等制定评价方案，明确评价时间、地点、流程等事项：本要点设定的依据为农业科普纸媒书报类作品类型多样，评价目的和规模差异较大，预先制定评价方案可保障评价活动的完整性和有序性。例如，对一本公开出版的农业科普图书开展全面质量评价，需要安排较长的审读周期并组织多领域专家参与；对一份基层农技推广明白纸进行实用性审查，可能仅需邀请农技人员和种植户代表进行集中评议。评价方案中建议明确的评价时间指各阶段的起止节点，评价地点指审读讨论场所或必要时赴农业生产现场进行对照验证的安排，评价流程指从材料分发、专家审读到结论汇总的操作步骤。此外，农业科普纸媒作品有时涉及技术应用效果的判断，评价方案可预先考虑是否设置田间实地验证或农户反馈收集环节，使技术性内容的评价具备实践依据。本条采用建议而非强制性表述，是考虑到部分机构开展内部自评时可根据实际条件简化程序，避免因要求过高增加不必要的工作成本。</w:t>
      </w:r>
    </w:p>
    <w:p w14:paraId="399D9CDF">
      <w:pPr>
        <w:pStyle w:val="48"/>
        <w:bidi w:val="0"/>
        <w:rPr>
          <w:rFonts w:hint="default" w:ascii="Times New Roman" w:hAnsi="Times New Roman" w:eastAsia="仿宋_GB2312" w:cs="Times New Roman"/>
          <w:b w:val="0"/>
          <w:kern w:val="2"/>
          <w:sz w:val="32"/>
          <w:szCs w:val="28"/>
          <w:lang w:val="en-US" w:eastAsia="zh-CN" w:bidi="ar-SA"/>
        </w:rPr>
      </w:pPr>
      <w:r>
        <w:rPr>
          <w:rFonts w:hint="eastAsia" w:ascii="Times New Roman" w:hAnsi="Times New Roman" w:eastAsia="仿宋_GB2312" w:cs="Times New Roman"/>
          <w:b w:val="0"/>
          <w:kern w:val="2"/>
          <w:sz w:val="32"/>
          <w:szCs w:val="28"/>
          <w:lang w:val="en-US" w:eastAsia="zh-CN" w:bidi="ar-SA"/>
        </w:rPr>
        <w:t>（5）组建评价工作组</w:t>
      </w:r>
    </w:p>
    <w:p w14:paraId="6AD1CA58">
      <w:pPr>
        <w:pStyle w:val="47"/>
        <w:bidi w:val="0"/>
        <w:rPr>
          <w:rFonts w:hint="eastAsia"/>
          <w:lang w:val="en-US" w:eastAsia="zh-CN"/>
        </w:rPr>
      </w:pPr>
      <w:r>
        <w:rPr>
          <w:rFonts w:hint="eastAsia"/>
          <w:lang w:val="en-US" w:eastAsia="zh-CN"/>
        </w:rPr>
        <w:t>建议组建评价工作组，成员人数建议为奇数且不少于3人，其中至少包含1名农业领域专家，建议具备中级及以上专业技术职称或从事农业科普等相关工作5年以上。评价工作组成员建议与被评价活动无利益关系，同时建议指定1名组长负责评价实施与报告编写，所有成员在评价前建议进行评价方法的培训：本要点设定的依据为农业科普纸媒书报类作品评价涉及农业技术科学性、科普表达效果、出版规范等多维度判断，单人难以全面覆盖，组建工作组可汇集不同领域成员的专业视角。人数建议奇数且不少于3人，是考虑到评价中可能出现意见分歧需投票形成结论，奇数设置可避免表决僵局；3人以上则成员可分别侧重农业技术内容、科普表达和编辑规范等不同维度的审查，保证评价覆盖面。至少包含1名农业领域专家的要求，是基于农业科普作品涵盖作物栽培、植保、土肥、畜牧等诸多技术领域，需由具备扎实农业专业背景的人员对技术内容进行把关；建议的中级及以上职称或从事农业科普等相关工作5年以上，是针对不同从业背景的专家并行设置的条件，前一种情形面向高校院所的科研教学人员，后一种情形面向长期从事农业科普或农技推广的基层实践型人员，兼顾了专业能力的多元体现方式。成员与被评价活动无利益关系的要求，是为保障评价的独立性和结论的客观性。指定组长负责评价实施与报告编写，可统一协调工作进度、把握评分尺度的一致性。评价前进行方法培训，使成员熟悉本标准条款和评价流程，统一判断尺度；农业科普评价培训还需关注农业术语规范、禁限用农药名录等时效性信息的统一认知，以减少评分偏差。</w:t>
      </w:r>
    </w:p>
    <w:p w14:paraId="4E9C410E">
      <w:pPr>
        <w:pStyle w:val="47"/>
        <w:bidi w:val="0"/>
        <w:rPr>
          <w:rFonts w:hint="eastAsia"/>
          <w:lang w:val="en-US" w:eastAsia="zh-CN"/>
        </w:rPr>
      </w:pPr>
      <w:r>
        <w:rPr>
          <w:rFonts w:hint="eastAsia"/>
          <w:lang w:val="en-US" w:eastAsia="zh-CN"/>
        </w:rPr>
        <w:t>（6）组织评价</w:t>
      </w:r>
    </w:p>
    <w:p w14:paraId="514E64E9">
      <w:pPr>
        <w:pStyle w:val="47"/>
        <w:numPr>
          <w:ilvl w:val="-1"/>
          <w:numId w:val="0"/>
        </w:numPr>
        <w:bidi w:val="0"/>
        <w:ind w:firstLine="640" w:firstLineChars="200"/>
        <w:rPr>
          <w:rFonts w:hint="eastAsia"/>
          <w:lang w:val="en-US" w:eastAsia="zh-CN"/>
        </w:rPr>
      </w:pPr>
      <w:r>
        <w:rPr>
          <w:rFonts w:hint="eastAsia"/>
          <w:lang w:val="en-US" w:eastAsia="zh-CN"/>
        </w:rPr>
        <w:t>评价工作组根据评价内容、佐证材料对各项指标进行初步评分：本要点设定的依据为农业科普纸媒书报类作品评价需以客观材料和标准条款为基准，系统评分形成质量判断。评价内容覆盖选题方向、科学与准确性、通俗性、规范性等维度，佐证材料包括作品样书样刊、引用文献、技术数据来源及合法性授权文件等。设置初步评分环节，将评价过程分为独立审查与集体合议两个步骤：各成员在初步评分阶段独立阅读作品和材料，依据各项指标给出个人评分；此后的工作组讨论中，对评分差异进行分析，并结合可能需要的补充验证统一认识。农业科普纸媒作品常涉及品种审定、农药登记、肥料标准、禁限用名录等时效性信息，初步评分时发现作品内容与现行规定不一致，直接记录并影响相应指标得分，后续讨论中可要求补充佐证或启动核查。如作品推广某种农药，工作组需对照现行农药登记公告，若该农药已被禁用或撤销登记，则在初步评分中即予以反映。这一设置使评分结论有据可查，也为后续可能的多轮审核或现场验证提供起点。</w:t>
      </w:r>
    </w:p>
    <w:p w14:paraId="3FF8597C">
      <w:pPr>
        <w:pStyle w:val="47"/>
        <w:bidi w:val="0"/>
        <w:rPr>
          <w:rFonts w:hint="eastAsia"/>
          <w:lang w:val="en-US" w:eastAsia="zh-CN"/>
        </w:rPr>
      </w:pPr>
      <w:r>
        <w:rPr>
          <w:rFonts w:hint="eastAsia"/>
          <w:lang w:val="en-US" w:eastAsia="zh-CN"/>
        </w:rPr>
        <w:t>（7）形成评价报告</w:t>
      </w:r>
    </w:p>
    <w:p w14:paraId="023A5375">
      <w:pPr>
        <w:pStyle w:val="47"/>
        <w:bidi w:val="0"/>
        <w:rPr>
          <w:rFonts w:hint="default"/>
          <w:lang w:val="en-US" w:eastAsia="zh-CN"/>
        </w:rPr>
      </w:pPr>
      <w:r>
        <w:rPr>
          <w:rFonts w:hint="default"/>
          <w:lang w:val="en-US" w:eastAsia="zh-CN"/>
        </w:rPr>
        <w:t>文件规定评价报告应记载评价时间、评价对象、评价人员、评价内容与得分、总得分与等级、评价结论及改进建议。基本信息用于追溯评价的时空范围和责任主体；核心结果（得分与等级）便于查阅和比较，为质量分析提供数据；评价结论决定作品后续处理，改进建议提供具体修改方向，发挥评价的反馈优化作用。</w:t>
      </w:r>
    </w:p>
    <w:p w14:paraId="31BFC46E">
      <w:pPr>
        <w:pStyle w:val="48"/>
        <w:bidi w:val="0"/>
        <w:rPr>
          <w:rFonts w:hint="default"/>
          <w:lang w:val="en-US" w:eastAsia="zh-CN"/>
        </w:rPr>
      </w:pPr>
      <w:r>
        <w:rPr>
          <w:rFonts w:hint="eastAsia"/>
          <w:lang w:val="en-US" w:eastAsia="zh-CN"/>
        </w:rPr>
        <w:t>（三）档案管理</w:t>
      </w:r>
    </w:p>
    <w:p w14:paraId="32CCE46E">
      <w:pPr>
        <w:pStyle w:val="47"/>
        <w:bidi w:val="0"/>
        <w:rPr>
          <w:rFonts w:hint="default"/>
          <w:lang w:val="en-US" w:eastAsia="zh-CN"/>
        </w:rPr>
      </w:pPr>
      <w:r>
        <w:rPr>
          <w:rFonts w:hint="default"/>
          <w:lang w:val="en-US" w:eastAsia="zh-CN"/>
        </w:rPr>
        <w:t>本文件规定统一归档视频作品、视频脚本、创作说明、评价报告等材料。归档材料作为评价的原始凭证，便于后续查阅、复核和追溯；通过对比档案可分析作品质量变化趋势，为改进提供依据；同时可用于知识产权争议或成果认定，作为佐证材料。</w:t>
      </w:r>
    </w:p>
    <w:p w14:paraId="412D30FF">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bookmarkStart w:id="27" w:name="_Toc526940086"/>
      <w:r>
        <w:rPr>
          <w:rFonts w:hint="eastAsia" w:ascii="黑体" w:hAnsi="黑体" w:eastAsia="黑体" w:cs="仿宋_GB2312"/>
          <w:sz w:val="32"/>
          <w:szCs w:val="32"/>
        </w:rPr>
        <w:t>六、</w:t>
      </w:r>
      <w:bookmarkEnd w:id="27"/>
      <w:r>
        <w:rPr>
          <w:rFonts w:hint="eastAsia" w:ascii="黑体" w:hAnsi="黑体" w:eastAsia="黑体" w:cs="仿宋_GB2312"/>
          <w:sz w:val="32"/>
          <w:szCs w:val="32"/>
        </w:rPr>
        <w:t>重大分歧意见的处理经过和依据</w:t>
      </w:r>
    </w:p>
    <w:p w14:paraId="7DBD7D8D">
      <w:pPr>
        <w:pStyle w:val="47"/>
        <w:bidi w:val="0"/>
      </w:pPr>
      <w:r>
        <w:rPr>
          <w:rFonts w:hint="eastAsia"/>
        </w:rPr>
        <w:t>本标准研制过程中无重大分歧意见。</w:t>
      </w:r>
    </w:p>
    <w:p w14:paraId="69867F09">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pStyle w:val="47"/>
        <w:bidi w:val="0"/>
      </w:pPr>
      <w:r>
        <w:rPr>
          <w:rFonts w:hint="eastAsia"/>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pStyle w:val="47"/>
        <w:bidi w:val="0"/>
      </w:pPr>
      <w:r>
        <w:rPr>
          <w:rFonts w:hint="eastAsia"/>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pStyle w:val="47"/>
        <w:bidi w:val="0"/>
      </w:pPr>
      <w:r>
        <w:rPr>
          <w:rFonts w:hint="eastAsia"/>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pStyle w:val="47"/>
        <w:bidi w:val="0"/>
      </w:pPr>
      <w:r>
        <w:rPr>
          <w:rFonts w:hint="eastAsia"/>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无。</w:t>
      </w:r>
    </w:p>
    <w:p w14:paraId="1562F1AF">
      <w:pPr>
        <w:spacing w:line="560" w:lineRule="exact"/>
        <w:rPr>
          <w:rFonts w:ascii="仿宋_GB2312" w:hAnsi="仿宋" w:eastAsia="仿宋_GB2312"/>
          <w:bCs/>
          <w:color w:val="000000"/>
          <w:sz w:val="36"/>
          <w:szCs w:val="32"/>
        </w:rPr>
      </w:pPr>
    </w:p>
    <w:p w14:paraId="0FDE70D6">
      <w:pPr>
        <w:spacing w:line="560" w:lineRule="exact"/>
        <w:rPr>
          <w:rFonts w:ascii="仿宋_GB2312" w:hAnsi="仿宋" w:eastAsia="仿宋_GB2312"/>
          <w:bCs/>
          <w:color w:val="000000"/>
          <w:sz w:val="36"/>
          <w:szCs w:val="32"/>
        </w:rPr>
      </w:pPr>
    </w:p>
    <w:p w14:paraId="639B864D">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 团体标准《农业科普</w:t>
      </w:r>
      <w:r>
        <w:rPr>
          <w:rFonts w:hint="eastAsia" w:ascii="仿宋_GB2312" w:hAnsi="宋体"/>
          <w:sz w:val="32"/>
          <w:szCs w:val="28"/>
          <w:lang w:val="en-US" w:eastAsia="zh-CN"/>
        </w:rPr>
        <w:t>视频</w:t>
      </w:r>
      <w:r>
        <w:rPr>
          <w:rFonts w:hint="eastAsia" w:ascii="仿宋_GB2312" w:hAnsi="宋体" w:eastAsia="仿宋_GB2312"/>
          <w:sz w:val="32"/>
          <w:szCs w:val="28"/>
        </w:rPr>
        <w:t>作品</w:t>
      </w:r>
      <w:r>
        <w:rPr>
          <w:rFonts w:hint="eastAsia" w:ascii="仿宋_GB2312"/>
          <w:bCs/>
          <w:sz w:val="32"/>
          <w:szCs w:val="32"/>
          <w:highlight w:val="none"/>
          <w:lang w:val="en-US" w:eastAsia="zh-CN"/>
        </w:rPr>
        <w:t>评价</w:t>
      </w:r>
      <w:r>
        <w:rPr>
          <w:rFonts w:hint="eastAsia" w:ascii="仿宋_GB2312" w:hAnsi="宋体" w:eastAsia="仿宋_GB2312"/>
          <w:sz w:val="32"/>
          <w:szCs w:val="28"/>
        </w:rPr>
        <w:t>规范》</w:t>
      </w:r>
    </w:p>
    <w:p w14:paraId="607C1987">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标准编制工作组 </w:t>
      </w:r>
      <w:r>
        <w:rPr>
          <w:rFonts w:ascii="仿宋_GB2312" w:hAnsi="宋体" w:eastAsia="仿宋_GB2312"/>
          <w:sz w:val="32"/>
          <w:szCs w:val="28"/>
        </w:rPr>
        <w:t xml:space="preserve">        </w:t>
      </w:r>
    </w:p>
    <w:p w14:paraId="13EC3CEB">
      <w:pPr>
        <w:wordWrap w:val="0"/>
        <w:spacing w:line="560" w:lineRule="exact"/>
        <w:jc w:val="right"/>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202</w:t>
      </w:r>
      <w:r>
        <w:rPr>
          <w:rFonts w:hint="eastAsia" w:ascii="仿宋_GB2312" w:hAnsi="宋体"/>
          <w:color w:val="auto"/>
          <w:sz w:val="32"/>
          <w:szCs w:val="28"/>
          <w:highlight w:val="none"/>
          <w:lang w:val="en-US" w:eastAsia="zh-CN"/>
        </w:rPr>
        <w:t>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4</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30</w:t>
      </w:r>
      <w:r>
        <w:rPr>
          <w:rFonts w:hint="eastAsia" w:ascii="仿宋_GB2312" w:hAnsi="宋体" w:eastAsia="仿宋_GB2312"/>
          <w:color w:val="auto"/>
          <w:sz w:val="32"/>
          <w:szCs w:val="28"/>
          <w:highlight w:val="none"/>
        </w:rPr>
        <w:t xml:space="preserve">日       </w:t>
      </w:r>
      <w:r>
        <w:rPr>
          <w:rFonts w:ascii="仿宋_GB2312" w:hAnsi="宋体" w:eastAsia="仿宋_GB2312"/>
          <w:color w:val="auto"/>
          <w:sz w:val="32"/>
          <w:szCs w:val="28"/>
          <w:highlight w:val="none"/>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方正小标宋简体">
    <w:altName w:val="Arial Unicode MS"/>
    <w:panose1 w:val="03000509000000000000"/>
    <w:charset w:val="86"/>
    <w:family w:val="script"/>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KSOFE44F9426">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2BE1229F">
        <w:pPr>
          <w:pStyle w:val="7"/>
          <w:jc w:val="center"/>
        </w:pPr>
        <w:r>
          <w:fldChar w:fldCharType="begin"/>
        </w:r>
        <w:r>
          <w:instrText xml:space="preserve">PAGE   \* MERGEFORMAT</w:instrText>
        </w:r>
        <w:r>
          <w:fldChar w:fldCharType="separate"/>
        </w:r>
        <w:r>
          <w:rPr>
            <w:lang w:val="zh-CN"/>
          </w:rPr>
          <w:t>7</w:t>
        </w:r>
        <w:r>
          <w:fldChar w:fldCharType="end"/>
        </w:r>
      </w:p>
    </w:sdtContent>
  </w:sdt>
  <w:p w14:paraId="76F9E80E">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8"/>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32"/>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31"/>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23"/>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2"/>
      <w:suff w:val="nothing"/>
      <w:lvlText w:val="%1.%2　"/>
      <w:lvlJc w:val="left"/>
      <w:pPr>
        <w:ind w:left="525" w:firstLine="0"/>
      </w:pPr>
      <w:rPr>
        <w:rFonts w:hint="eastAsia" w:ascii="黑体" w:hAnsi="Times New Roman" w:eastAsia="黑体" w:cs="Times New Roman"/>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4"/>
      <w:suff w:val="nothing"/>
      <w:lvlText w:val="%1.%2.%3　"/>
      <w:lvlJc w:val="left"/>
      <w:pPr>
        <w:ind w:left="0" w:firstLine="0"/>
      </w:pPr>
      <w:rPr>
        <w:rFonts w:hint="eastAsia" w:ascii="黑体" w:hAnsi="Times New Roman" w:eastAsia="黑体"/>
        <w:b w:val="0"/>
        <w:i w:val="0"/>
        <w:sz w:val="21"/>
      </w:rPr>
    </w:lvl>
    <w:lvl w:ilvl="3" w:tentative="0">
      <w:start w:val="1"/>
      <w:numFmt w:val="decimal"/>
      <w:pStyle w:val="25"/>
      <w:suff w:val="nothing"/>
      <w:lvlText w:val="%1.%2.%3.%4　"/>
      <w:lvlJc w:val="left"/>
      <w:pPr>
        <w:ind w:left="0" w:firstLine="0"/>
      </w:pPr>
      <w:rPr>
        <w:rFonts w:hint="eastAsia" w:ascii="黑体" w:hAnsi="Times New Roman" w:eastAsia="黑体"/>
        <w:b w:val="0"/>
        <w:i w:val="0"/>
        <w:sz w:val="21"/>
      </w:rPr>
    </w:lvl>
    <w:lvl w:ilvl="4" w:tentative="0">
      <w:start w:val="1"/>
      <w:numFmt w:val="decimal"/>
      <w:pStyle w:val="26"/>
      <w:suff w:val="nothing"/>
      <w:lvlText w:val="%1.%2.%3.%4.%5　"/>
      <w:lvlJc w:val="left"/>
      <w:pPr>
        <w:ind w:left="0" w:firstLine="0"/>
      </w:pPr>
      <w:rPr>
        <w:rFonts w:hint="eastAsia" w:ascii="黑体" w:hAnsi="Times New Roman" w:eastAsia="黑体"/>
        <w:b w:val="0"/>
        <w:i w:val="0"/>
        <w:sz w:val="21"/>
      </w:rPr>
    </w:lvl>
    <w:lvl w:ilvl="5" w:tentative="0">
      <w:start w:val="1"/>
      <w:numFmt w:val="decimal"/>
      <w:pStyle w:val="27"/>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9"/>
      <w:suff w:val="space"/>
      <w:lvlText w:val="%1"/>
      <w:lvlJc w:val="left"/>
      <w:pPr>
        <w:ind w:left="623" w:hanging="425"/>
      </w:pPr>
      <w:rPr>
        <w:rFonts w:hint="eastAsia"/>
      </w:rPr>
    </w:lvl>
    <w:lvl w:ilvl="1" w:tentative="0">
      <w:start w:val="1"/>
      <w:numFmt w:val="decimal"/>
      <w:pStyle w:val="30"/>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2C5917C3"/>
    <w:multiLevelType w:val="multilevel"/>
    <w:tmpl w:val="2C5917C3"/>
    <w:lvl w:ilvl="0" w:tentative="0">
      <w:start w:val="1"/>
      <w:numFmt w:val="none"/>
      <w:pStyle w:val="51"/>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6">
    <w:nsid w:val="557C2AF5"/>
    <w:multiLevelType w:val="multilevel"/>
    <w:tmpl w:val="557C2AF5"/>
    <w:lvl w:ilvl="0" w:tentative="0">
      <w:start w:val="1"/>
      <w:numFmt w:val="decimal"/>
      <w:pStyle w:val="4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6"/>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45"/>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7"/>
      <w:suff w:val="nothing"/>
      <w:lvlText w:val="%1%2　"/>
      <w:lvlJc w:val="left"/>
      <w:pPr>
        <w:ind w:left="0" w:firstLine="0"/>
      </w:pPr>
      <w:rPr>
        <w:rFonts w:hint="eastAsia" w:ascii="黑体" w:eastAsia="黑体"/>
        <w:b w:val="0"/>
        <w:i w:val="0"/>
        <w:sz w:val="21"/>
      </w:rPr>
    </w:lvl>
    <w:lvl w:ilvl="2" w:tentative="0">
      <w:start w:val="1"/>
      <w:numFmt w:val="decimal"/>
      <w:pStyle w:val="5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4"/>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8"/>
  </w:num>
  <w:num w:numId="2">
    <w:abstractNumId w:val="6"/>
  </w:num>
  <w:num w:numId="3">
    <w:abstractNumId w:val="3"/>
  </w:num>
  <w:num w:numId="4">
    <w:abstractNumId w:val="0"/>
  </w:num>
  <w:num w:numId="5">
    <w:abstractNumId w:val="4"/>
  </w:num>
  <w:num w:numId="6">
    <w:abstractNumId w:val="2"/>
  </w:num>
  <w:num w:numId="7">
    <w:abstractNumId w:val="1"/>
  </w:num>
  <w:num w:numId="8">
    <w:abstractNumId w:val="7"/>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doNotDisplayPageBoundaries w:val="1"/>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191EF4"/>
    <w:rsid w:val="007A6DA5"/>
    <w:rsid w:val="008953F8"/>
    <w:rsid w:val="00D126DF"/>
    <w:rsid w:val="010667DD"/>
    <w:rsid w:val="010C72D2"/>
    <w:rsid w:val="01522213"/>
    <w:rsid w:val="0169215F"/>
    <w:rsid w:val="01754665"/>
    <w:rsid w:val="017B2F92"/>
    <w:rsid w:val="01976CC6"/>
    <w:rsid w:val="01D152A8"/>
    <w:rsid w:val="021E0508"/>
    <w:rsid w:val="0234263B"/>
    <w:rsid w:val="0236335D"/>
    <w:rsid w:val="025477FA"/>
    <w:rsid w:val="032D26DE"/>
    <w:rsid w:val="037C1244"/>
    <w:rsid w:val="03992C21"/>
    <w:rsid w:val="04501325"/>
    <w:rsid w:val="045521C0"/>
    <w:rsid w:val="052878D5"/>
    <w:rsid w:val="053242B0"/>
    <w:rsid w:val="054F6A7F"/>
    <w:rsid w:val="05882122"/>
    <w:rsid w:val="05C23886"/>
    <w:rsid w:val="05F82FDF"/>
    <w:rsid w:val="06176614"/>
    <w:rsid w:val="06510766"/>
    <w:rsid w:val="065B6605"/>
    <w:rsid w:val="066875E9"/>
    <w:rsid w:val="06A905A2"/>
    <w:rsid w:val="06FC7E48"/>
    <w:rsid w:val="0730481F"/>
    <w:rsid w:val="073C0370"/>
    <w:rsid w:val="07BE007D"/>
    <w:rsid w:val="07C17505"/>
    <w:rsid w:val="08163A15"/>
    <w:rsid w:val="086329D2"/>
    <w:rsid w:val="086700D5"/>
    <w:rsid w:val="088D5F62"/>
    <w:rsid w:val="08915791"/>
    <w:rsid w:val="08A640D8"/>
    <w:rsid w:val="08BB636A"/>
    <w:rsid w:val="09002D4A"/>
    <w:rsid w:val="099077F7"/>
    <w:rsid w:val="09A6701A"/>
    <w:rsid w:val="09B96D22"/>
    <w:rsid w:val="0ABD7E63"/>
    <w:rsid w:val="0AD41965"/>
    <w:rsid w:val="0B1A7CC0"/>
    <w:rsid w:val="0B4B7E79"/>
    <w:rsid w:val="0B903ADE"/>
    <w:rsid w:val="0BB818BD"/>
    <w:rsid w:val="0BBC48D3"/>
    <w:rsid w:val="0BCC389B"/>
    <w:rsid w:val="0BE74194"/>
    <w:rsid w:val="0C0F51C7"/>
    <w:rsid w:val="0DB00467"/>
    <w:rsid w:val="0EA004DC"/>
    <w:rsid w:val="0EDB1AAC"/>
    <w:rsid w:val="0F0C3DC3"/>
    <w:rsid w:val="0F256112"/>
    <w:rsid w:val="0F2B2AA6"/>
    <w:rsid w:val="0FAC2EB1"/>
    <w:rsid w:val="0FC226D4"/>
    <w:rsid w:val="0FC621C4"/>
    <w:rsid w:val="10421708"/>
    <w:rsid w:val="108A2DF9"/>
    <w:rsid w:val="10C13C9D"/>
    <w:rsid w:val="10C36704"/>
    <w:rsid w:val="10ED1D02"/>
    <w:rsid w:val="111E587A"/>
    <w:rsid w:val="125A606E"/>
    <w:rsid w:val="12655CC4"/>
    <w:rsid w:val="12A14823"/>
    <w:rsid w:val="136C7742"/>
    <w:rsid w:val="13D604FC"/>
    <w:rsid w:val="14060DE1"/>
    <w:rsid w:val="14237BE5"/>
    <w:rsid w:val="143771ED"/>
    <w:rsid w:val="14C64A14"/>
    <w:rsid w:val="14E259B7"/>
    <w:rsid w:val="15233C15"/>
    <w:rsid w:val="15497373"/>
    <w:rsid w:val="156E3DAB"/>
    <w:rsid w:val="16B93837"/>
    <w:rsid w:val="16C41A0B"/>
    <w:rsid w:val="16C76048"/>
    <w:rsid w:val="171C6B6E"/>
    <w:rsid w:val="17397720"/>
    <w:rsid w:val="1770359D"/>
    <w:rsid w:val="17A252C5"/>
    <w:rsid w:val="182061EA"/>
    <w:rsid w:val="185C1667"/>
    <w:rsid w:val="18786026"/>
    <w:rsid w:val="18B41207"/>
    <w:rsid w:val="19CA465F"/>
    <w:rsid w:val="1A1D75F8"/>
    <w:rsid w:val="1A562397"/>
    <w:rsid w:val="1B796674"/>
    <w:rsid w:val="1B862808"/>
    <w:rsid w:val="1B9A4616"/>
    <w:rsid w:val="1C093B64"/>
    <w:rsid w:val="1C1B73F4"/>
    <w:rsid w:val="1CA27B15"/>
    <w:rsid w:val="1CB02401"/>
    <w:rsid w:val="1CB52F74"/>
    <w:rsid w:val="1CCF71DD"/>
    <w:rsid w:val="1D105C87"/>
    <w:rsid w:val="1D631052"/>
    <w:rsid w:val="1D8134A2"/>
    <w:rsid w:val="1D965A48"/>
    <w:rsid w:val="1DF20E20"/>
    <w:rsid w:val="1E1B7B7F"/>
    <w:rsid w:val="1E20147D"/>
    <w:rsid w:val="1E2118ED"/>
    <w:rsid w:val="1E334EC9"/>
    <w:rsid w:val="1EF5217E"/>
    <w:rsid w:val="1F081A1F"/>
    <w:rsid w:val="1F0B7BF4"/>
    <w:rsid w:val="1F705077"/>
    <w:rsid w:val="1F933745"/>
    <w:rsid w:val="1FC70E64"/>
    <w:rsid w:val="1FDC50EC"/>
    <w:rsid w:val="1FE30A3F"/>
    <w:rsid w:val="208C731F"/>
    <w:rsid w:val="213A039E"/>
    <w:rsid w:val="217C0935"/>
    <w:rsid w:val="21DD0233"/>
    <w:rsid w:val="222A213F"/>
    <w:rsid w:val="22753315"/>
    <w:rsid w:val="22CD6979"/>
    <w:rsid w:val="230B6414"/>
    <w:rsid w:val="23B02B18"/>
    <w:rsid w:val="24561911"/>
    <w:rsid w:val="24BE1264"/>
    <w:rsid w:val="24BE4E0B"/>
    <w:rsid w:val="24C77598"/>
    <w:rsid w:val="24E2526B"/>
    <w:rsid w:val="252437BD"/>
    <w:rsid w:val="255F2A47"/>
    <w:rsid w:val="25AD37B3"/>
    <w:rsid w:val="25B25D17"/>
    <w:rsid w:val="260B3AE0"/>
    <w:rsid w:val="260D178D"/>
    <w:rsid w:val="261A6891"/>
    <w:rsid w:val="26CC5F78"/>
    <w:rsid w:val="26D134D1"/>
    <w:rsid w:val="26D42FC1"/>
    <w:rsid w:val="27111B1F"/>
    <w:rsid w:val="271433BD"/>
    <w:rsid w:val="279664C8"/>
    <w:rsid w:val="27F21951"/>
    <w:rsid w:val="281573ED"/>
    <w:rsid w:val="28423818"/>
    <w:rsid w:val="284F637D"/>
    <w:rsid w:val="287C121A"/>
    <w:rsid w:val="28B430AA"/>
    <w:rsid w:val="297D349C"/>
    <w:rsid w:val="298C1931"/>
    <w:rsid w:val="29C40029"/>
    <w:rsid w:val="29FA0F90"/>
    <w:rsid w:val="2A000DB1"/>
    <w:rsid w:val="2A273408"/>
    <w:rsid w:val="2A2B6011"/>
    <w:rsid w:val="2A337FFE"/>
    <w:rsid w:val="2A8244FE"/>
    <w:rsid w:val="2A924D25"/>
    <w:rsid w:val="2AA17FE8"/>
    <w:rsid w:val="2AE15CAC"/>
    <w:rsid w:val="2B1851DD"/>
    <w:rsid w:val="2BCE4483"/>
    <w:rsid w:val="2BFC3EB7"/>
    <w:rsid w:val="2C3147DC"/>
    <w:rsid w:val="2C44083F"/>
    <w:rsid w:val="2C4B4C1E"/>
    <w:rsid w:val="2C697D08"/>
    <w:rsid w:val="2C710C40"/>
    <w:rsid w:val="2C7D37B3"/>
    <w:rsid w:val="2CE6446E"/>
    <w:rsid w:val="2CFA3055"/>
    <w:rsid w:val="2D2808C1"/>
    <w:rsid w:val="2D8536F2"/>
    <w:rsid w:val="2DC0604D"/>
    <w:rsid w:val="2E28593E"/>
    <w:rsid w:val="2E2C6BA8"/>
    <w:rsid w:val="2E426DE3"/>
    <w:rsid w:val="2E583E9B"/>
    <w:rsid w:val="2F3E549C"/>
    <w:rsid w:val="2FB20830"/>
    <w:rsid w:val="2FB238A0"/>
    <w:rsid w:val="2FC260AC"/>
    <w:rsid w:val="30633E9F"/>
    <w:rsid w:val="306C431F"/>
    <w:rsid w:val="3079528D"/>
    <w:rsid w:val="3106646D"/>
    <w:rsid w:val="3135465C"/>
    <w:rsid w:val="318D0EED"/>
    <w:rsid w:val="319A4D84"/>
    <w:rsid w:val="31A95BE6"/>
    <w:rsid w:val="32A171EA"/>
    <w:rsid w:val="32DE2533"/>
    <w:rsid w:val="3313692E"/>
    <w:rsid w:val="331D35FA"/>
    <w:rsid w:val="333102FE"/>
    <w:rsid w:val="33437504"/>
    <w:rsid w:val="33541711"/>
    <w:rsid w:val="33941B0E"/>
    <w:rsid w:val="33D57876"/>
    <w:rsid w:val="33E660E2"/>
    <w:rsid w:val="34046622"/>
    <w:rsid w:val="34272982"/>
    <w:rsid w:val="348222AE"/>
    <w:rsid w:val="34ED6EBA"/>
    <w:rsid w:val="3598340C"/>
    <w:rsid w:val="36DB72F1"/>
    <w:rsid w:val="36EA5EE9"/>
    <w:rsid w:val="37203C7E"/>
    <w:rsid w:val="375872F6"/>
    <w:rsid w:val="378516B1"/>
    <w:rsid w:val="37985DF5"/>
    <w:rsid w:val="37B54749"/>
    <w:rsid w:val="37D3697D"/>
    <w:rsid w:val="37E666B0"/>
    <w:rsid w:val="384E4AEF"/>
    <w:rsid w:val="38C033A5"/>
    <w:rsid w:val="39447B32"/>
    <w:rsid w:val="39D74761"/>
    <w:rsid w:val="3A61177C"/>
    <w:rsid w:val="3A887EF3"/>
    <w:rsid w:val="3AAB1F5E"/>
    <w:rsid w:val="3B007A89"/>
    <w:rsid w:val="3B4A33FA"/>
    <w:rsid w:val="3B537386"/>
    <w:rsid w:val="3BB85D78"/>
    <w:rsid w:val="3BE636E1"/>
    <w:rsid w:val="3C460065"/>
    <w:rsid w:val="3C4936B2"/>
    <w:rsid w:val="3CC80618"/>
    <w:rsid w:val="3CF961DD"/>
    <w:rsid w:val="3D402D06"/>
    <w:rsid w:val="3D4A2BD7"/>
    <w:rsid w:val="3D7228FE"/>
    <w:rsid w:val="3D766728"/>
    <w:rsid w:val="3D860562"/>
    <w:rsid w:val="3E0930F8"/>
    <w:rsid w:val="3E3E7246"/>
    <w:rsid w:val="3F7E306A"/>
    <w:rsid w:val="3F982986"/>
    <w:rsid w:val="3F9F64A1"/>
    <w:rsid w:val="3FB2368A"/>
    <w:rsid w:val="3FEA0343"/>
    <w:rsid w:val="40537DE8"/>
    <w:rsid w:val="406A1241"/>
    <w:rsid w:val="40BD0514"/>
    <w:rsid w:val="41356370"/>
    <w:rsid w:val="415B7967"/>
    <w:rsid w:val="418026BB"/>
    <w:rsid w:val="41B14DE1"/>
    <w:rsid w:val="42091919"/>
    <w:rsid w:val="421502BE"/>
    <w:rsid w:val="42237A68"/>
    <w:rsid w:val="42850900"/>
    <w:rsid w:val="42EB101F"/>
    <w:rsid w:val="432B1D63"/>
    <w:rsid w:val="434768FE"/>
    <w:rsid w:val="43862CFC"/>
    <w:rsid w:val="44337121"/>
    <w:rsid w:val="44A26055"/>
    <w:rsid w:val="44D10724"/>
    <w:rsid w:val="44F02FDE"/>
    <w:rsid w:val="45FB77CB"/>
    <w:rsid w:val="4645549A"/>
    <w:rsid w:val="46490C4A"/>
    <w:rsid w:val="466B2BA2"/>
    <w:rsid w:val="46F273E0"/>
    <w:rsid w:val="473A6296"/>
    <w:rsid w:val="47431429"/>
    <w:rsid w:val="474D04FA"/>
    <w:rsid w:val="478D571E"/>
    <w:rsid w:val="47C928F3"/>
    <w:rsid w:val="47EC3EC5"/>
    <w:rsid w:val="482F5E51"/>
    <w:rsid w:val="48561630"/>
    <w:rsid w:val="48E96000"/>
    <w:rsid w:val="49C65BC4"/>
    <w:rsid w:val="49C729BC"/>
    <w:rsid w:val="4A840963"/>
    <w:rsid w:val="4ABB39CC"/>
    <w:rsid w:val="4B5455E8"/>
    <w:rsid w:val="4B9A1834"/>
    <w:rsid w:val="4BDC1EA0"/>
    <w:rsid w:val="4BFB6776"/>
    <w:rsid w:val="4CA77A95"/>
    <w:rsid w:val="4D181A37"/>
    <w:rsid w:val="4D30352B"/>
    <w:rsid w:val="4D994499"/>
    <w:rsid w:val="4DEA4CF4"/>
    <w:rsid w:val="4DF64DC5"/>
    <w:rsid w:val="4E174B39"/>
    <w:rsid w:val="4E1C0C26"/>
    <w:rsid w:val="4E291FE4"/>
    <w:rsid w:val="4E9E5ADF"/>
    <w:rsid w:val="4F815C1D"/>
    <w:rsid w:val="4F94051C"/>
    <w:rsid w:val="4F9F14AB"/>
    <w:rsid w:val="4FAF75AB"/>
    <w:rsid w:val="4FD926D5"/>
    <w:rsid w:val="50446212"/>
    <w:rsid w:val="505B3C87"/>
    <w:rsid w:val="506E380A"/>
    <w:rsid w:val="50BB64D4"/>
    <w:rsid w:val="510161A8"/>
    <w:rsid w:val="511D0FED"/>
    <w:rsid w:val="519805C3"/>
    <w:rsid w:val="51DA0248"/>
    <w:rsid w:val="52584785"/>
    <w:rsid w:val="527C5554"/>
    <w:rsid w:val="52A15B9E"/>
    <w:rsid w:val="52AD009F"/>
    <w:rsid w:val="53610379"/>
    <w:rsid w:val="53BF6CA9"/>
    <w:rsid w:val="53C06ABF"/>
    <w:rsid w:val="53DB06C2"/>
    <w:rsid w:val="53EC2E48"/>
    <w:rsid w:val="54B43966"/>
    <w:rsid w:val="554910BB"/>
    <w:rsid w:val="5579695E"/>
    <w:rsid w:val="55945546"/>
    <w:rsid w:val="55F25012"/>
    <w:rsid w:val="56582A17"/>
    <w:rsid w:val="5705251A"/>
    <w:rsid w:val="57144B90"/>
    <w:rsid w:val="57212E09"/>
    <w:rsid w:val="5726041F"/>
    <w:rsid w:val="57985019"/>
    <w:rsid w:val="58704048"/>
    <w:rsid w:val="58A91308"/>
    <w:rsid w:val="58B303D9"/>
    <w:rsid w:val="5A0740B4"/>
    <w:rsid w:val="5A54184F"/>
    <w:rsid w:val="5AB83A84"/>
    <w:rsid w:val="5AB97114"/>
    <w:rsid w:val="5AC17227"/>
    <w:rsid w:val="5AD84127"/>
    <w:rsid w:val="5ADB597E"/>
    <w:rsid w:val="5AE623A0"/>
    <w:rsid w:val="5B355C2A"/>
    <w:rsid w:val="5B4E4D05"/>
    <w:rsid w:val="5BE2022E"/>
    <w:rsid w:val="5C090286"/>
    <w:rsid w:val="5C2807E4"/>
    <w:rsid w:val="5C4F02F9"/>
    <w:rsid w:val="5CB04857"/>
    <w:rsid w:val="5D610403"/>
    <w:rsid w:val="5D691A2F"/>
    <w:rsid w:val="5D7869AF"/>
    <w:rsid w:val="5E591A42"/>
    <w:rsid w:val="5E5A53D0"/>
    <w:rsid w:val="5F3062DF"/>
    <w:rsid w:val="5F335AED"/>
    <w:rsid w:val="5F8403D9"/>
    <w:rsid w:val="5FB30ED5"/>
    <w:rsid w:val="5FB3315D"/>
    <w:rsid w:val="60850EA0"/>
    <w:rsid w:val="60FC4644"/>
    <w:rsid w:val="61CE5D71"/>
    <w:rsid w:val="61F53810"/>
    <w:rsid w:val="620A3B70"/>
    <w:rsid w:val="621A4315"/>
    <w:rsid w:val="626253CB"/>
    <w:rsid w:val="629C09D7"/>
    <w:rsid w:val="62A25746"/>
    <w:rsid w:val="62C236F2"/>
    <w:rsid w:val="639A466F"/>
    <w:rsid w:val="63B21E68"/>
    <w:rsid w:val="63CD67F3"/>
    <w:rsid w:val="644E33C8"/>
    <w:rsid w:val="64C64FF0"/>
    <w:rsid w:val="64FD6C64"/>
    <w:rsid w:val="65733C50"/>
    <w:rsid w:val="65766F68"/>
    <w:rsid w:val="657B402C"/>
    <w:rsid w:val="65815AE7"/>
    <w:rsid w:val="65876E75"/>
    <w:rsid w:val="65913850"/>
    <w:rsid w:val="65B761F3"/>
    <w:rsid w:val="666219E2"/>
    <w:rsid w:val="66636F9A"/>
    <w:rsid w:val="66AF3F8D"/>
    <w:rsid w:val="66D02156"/>
    <w:rsid w:val="68426E99"/>
    <w:rsid w:val="69085BD7"/>
    <w:rsid w:val="698D100B"/>
    <w:rsid w:val="699F58C1"/>
    <w:rsid w:val="69EC2A0A"/>
    <w:rsid w:val="6A2061FA"/>
    <w:rsid w:val="6B07026D"/>
    <w:rsid w:val="6B274F09"/>
    <w:rsid w:val="6B3978E5"/>
    <w:rsid w:val="6B3B2294"/>
    <w:rsid w:val="6B607F06"/>
    <w:rsid w:val="6B7D28AC"/>
    <w:rsid w:val="6BA75B7B"/>
    <w:rsid w:val="6BE50451"/>
    <w:rsid w:val="6C6121CE"/>
    <w:rsid w:val="6C6E48EB"/>
    <w:rsid w:val="6CC32432"/>
    <w:rsid w:val="6CD72490"/>
    <w:rsid w:val="6CF7491F"/>
    <w:rsid w:val="6E8D188A"/>
    <w:rsid w:val="6F173018"/>
    <w:rsid w:val="6F176B74"/>
    <w:rsid w:val="6F1C23DC"/>
    <w:rsid w:val="6F92269E"/>
    <w:rsid w:val="6FB6638D"/>
    <w:rsid w:val="71C72AD3"/>
    <w:rsid w:val="722515CA"/>
    <w:rsid w:val="72514A93"/>
    <w:rsid w:val="725E4E77"/>
    <w:rsid w:val="72B056BD"/>
    <w:rsid w:val="73571C35"/>
    <w:rsid w:val="73907A80"/>
    <w:rsid w:val="73D47729"/>
    <w:rsid w:val="73FC458A"/>
    <w:rsid w:val="74027D53"/>
    <w:rsid w:val="74E76FE8"/>
    <w:rsid w:val="751122B7"/>
    <w:rsid w:val="752B5392"/>
    <w:rsid w:val="75793C38"/>
    <w:rsid w:val="75D752AF"/>
    <w:rsid w:val="761C7166"/>
    <w:rsid w:val="76312C11"/>
    <w:rsid w:val="76433C09"/>
    <w:rsid w:val="765E777E"/>
    <w:rsid w:val="768C425C"/>
    <w:rsid w:val="76984A3E"/>
    <w:rsid w:val="77040325"/>
    <w:rsid w:val="77354636"/>
    <w:rsid w:val="77C41863"/>
    <w:rsid w:val="780F50C8"/>
    <w:rsid w:val="781B2746"/>
    <w:rsid w:val="78211B13"/>
    <w:rsid w:val="782A4D50"/>
    <w:rsid w:val="78663A6E"/>
    <w:rsid w:val="78E73A5B"/>
    <w:rsid w:val="791463FC"/>
    <w:rsid w:val="796055BB"/>
    <w:rsid w:val="79E41D48"/>
    <w:rsid w:val="79FA1348"/>
    <w:rsid w:val="7B6A54D9"/>
    <w:rsid w:val="7B770A17"/>
    <w:rsid w:val="7BC4180F"/>
    <w:rsid w:val="7C2A1172"/>
    <w:rsid w:val="7C7C6485"/>
    <w:rsid w:val="7D3B79D2"/>
    <w:rsid w:val="7D9C536E"/>
    <w:rsid w:val="7DC51E91"/>
    <w:rsid w:val="7E413C0D"/>
    <w:rsid w:val="7E415989"/>
    <w:rsid w:val="7EBE0DBA"/>
    <w:rsid w:val="7EC02D84"/>
    <w:rsid w:val="7ED6458B"/>
    <w:rsid w:val="7F111831"/>
    <w:rsid w:val="7F6F01AB"/>
    <w:rsid w:val="7FF013FF"/>
    <w:rsid w:val="7FFF03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3">
    <w:name w:val="Default Paragraph Font"/>
    <w:unhideWhenUsed/>
    <w:qFormat/>
    <w:uiPriority w:val="1"/>
  </w:style>
  <w:style w:type="table" w:default="1" w:styleId="11">
    <w:name w:val="Normal Table"/>
    <w:unhideWhenUsed/>
    <w:qFormat/>
    <w:uiPriority w:val="99"/>
    <w:tblPr>
      <w:tblCellMar>
        <w:top w:w="0" w:type="dxa"/>
        <w:left w:w="108" w:type="dxa"/>
        <w:bottom w:w="0" w:type="dxa"/>
        <w:right w:w="108" w:type="dxa"/>
      </w:tblCellMar>
    </w:tblPr>
  </w:style>
  <w:style w:type="paragraph" w:styleId="5">
    <w:name w:val="annotation text"/>
    <w:basedOn w:val="1"/>
    <w:unhideWhenUsed/>
    <w:qFormat/>
    <w:uiPriority w:val="99"/>
    <w:pPr>
      <w:jc w:val="left"/>
    </w:pPr>
  </w:style>
  <w:style w:type="paragraph" w:styleId="6">
    <w:name w:val="Balloon Text"/>
    <w:basedOn w:val="1"/>
    <w:link w:val="43"/>
    <w:unhideWhenUsed/>
    <w:qFormat/>
    <w:uiPriority w:val="0"/>
    <w:rPr>
      <w:sz w:val="18"/>
      <w:szCs w:val="18"/>
    </w:rPr>
  </w:style>
  <w:style w:type="paragraph" w:styleId="7">
    <w:name w:val="footer"/>
    <w:basedOn w:val="1"/>
    <w:link w:val="35"/>
    <w:qFormat/>
    <w:uiPriority w:val="99"/>
    <w:pPr>
      <w:tabs>
        <w:tab w:val="center" w:pos="4153"/>
        <w:tab w:val="right" w:pos="8306"/>
      </w:tabs>
      <w:snapToGrid w:val="0"/>
      <w:jc w:val="left"/>
    </w:pPr>
    <w:rPr>
      <w:sz w:val="18"/>
      <w:szCs w:val="18"/>
    </w:rPr>
  </w:style>
  <w:style w:type="paragraph" w:styleId="8">
    <w:name w:val="header"/>
    <w:basedOn w:val="1"/>
    <w:link w:val="34"/>
    <w:qFormat/>
    <w:uiPriority w:val="0"/>
    <w:pPr>
      <w:pBdr>
        <w:bottom w:val="single" w:color="auto" w:sz="6" w:space="1"/>
      </w:pBdr>
      <w:tabs>
        <w:tab w:val="center" w:pos="4153"/>
        <w:tab w:val="right" w:pos="8306"/>
      </w:tabs>
      <w:snapToGrid w:val="0"/>
      <w:jc w:val="center"/>
    </w:pPr>
    <w:rPr>
      <w:sz w:val="18"/>
      <w:szCs w:val="18"/>
    </w:rPr>
  </w:style>
  <w:style w:type="paragraph" w:styleId="9">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0">
    <w:name w:val="Normal (Web)"/>
    <w:basedOn w:val="1"/>
    <w:qFormat/>
    <w:uiPriority w:val="99"/>
    <w:pPr>
      <w:spacing w:before="100" w:beforeAutospacing="1" w:after="100" w:afterAutospacing="1"/>
      <w:jc w:val="left"/>
    </w:pPr>
    <w:rPr>
      <w:kern w:val="0"/>
      <w:sz w:val="24"/>
    </w:rPr>
  </w:style>
  <w:style w:type="table" w:styleId="12">
    <w:name w:val="Table Grid"/>
    <w:basedOn w:val="11"/>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4">
    <w:name w:val="Strong"/>
    <w:basedOn w:val="13"/>
    <w:qFormat/>
    <w:uiPriority w:val="0"/>
    <w:rPr>
      <w:b/>
    </w:rPr>
  </w:style>
  <w:style w:type="character" w:styleId="15">
    <w:name w:val="Hyperlink"/>
    <w:basedOn w:val="13"/>
    <w:unhideWhenUsed/>
    <w:qFormat/>
    <w:uiPriority w:val="99"/>
    <w:rPr>
      <w:color w:val="0000FF"/>
      <w:u w:val="single"/>
    </w:rPr>
  </w:style>
  <w:style w:type="paragraph" w:customStyle="1" w:styleId="16">
    <w:name w:val="公文-正文"/>
    <w:basedOn w:val="1"/>
    <w:link w:val="52"/>
    <w:qFormat/>
    <w:uiPriority w:val="0"/>
    <w:pPr>
      <w:ind w:firstLine="640" w:firstLineChars="200"/>
    </w:pPr>
    <w:rPr>
      <w:rFonts w:hint="eastAsia" w:ascii="Times New Roman" w:hAnsi="Times New Roman" w:eastAsia="仿宋" w:cs="仿宋"/>
      <w:sz w:val="32"/>
      <w:szCs w:val="32"/>
    </w:rPr>
  </w:style>
  <w:style w:type="paragraph" w:customStyle="1" w:styleId="17">
    <w:name w:val="BodyText2"/>
    <w:basedOn w:val="1"/>
    <w:qFormat/>
    <w:uiPriority w:val="0"/>
    <w:pPr>
      <w:spacing w:after="120" w:line="480" w:lineRule="auto"/>
      <w:textAlignment w:val="baseline"/>
    </w:pPr>
    <w:rPr>
      <w:rFonts w:ascii="Times New Roman" w:hAnsi="Times New Roman" w:eastAsia="宋体"/>
      <w:sz w:val="32"/>
      <w:szCs w:val="32"/>
    </w:rPr>
  </w:style>
  <w:style w:type="paragraph" w:customStyle="1" w:styleId="18">
    <w:name w:val="段"/>
    <w:link w:val="3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9">
    <w:name w:val="正文表标题"/>
    <w:next w:val="18"/>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20">
    <w:name w:val="正文图标题"/>
    <w:next w:val="18"/>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1">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22">
    <w:name w:val="一级条标题"/>
    <w:next w:val="18"/>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23">
    <w:name w:val="章标题"/>
    <w:next w:val="18"/>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24">
    <w:name w:val="二级条标题"/>
    <w:basedOn w:val="22"/>
    <w:next w:val="18"/>
    <w:qFormat/>
    <w:uiPriority w:val="0"/>
    <w:pPr>
      <w:numPr>
        <w:ilvl w:val="2"/>
      </w:numPr>
      <w:spacing w:before="50" w:after="50"/>
      <w:outlineLvl w:val="3"/>
    </w:pPr>
  </w:style>
  <w:style w:type="paragraph" w:customStyle="1" w:styleId="25">
    <w:name w:val="三级条标题"/>
    <w:basedOn w:val="24"/>
    <w:next w:val="18"/>
    <w:qFormat/>
    <w:uiPriority w:val="0"/>
    <w:pPr>
      <w:numPr>
        <w:ilvl w:val="3"/>
      </w:numPr>
      <w:outlineLvl w:val="4"/>
    </w:pPr>
  </w:style>
  <w:style w:type="paragraph" w:customStyle="1" w:styleId="26">
    <w:name w:val="四级条标题"/>
    <w:basedOn w:val="25"/>
    <w:next w:val="18"/>
    <w:qFormat/>
    <w:uiPriority w:val="0"/>
    <w:pPr>
      <w:numPr>
        <w:ilvl w:val="4"/>
      </w:numPr>
      <w:outlineLvl w:val="5"/>
    </w:pPr>
  </w:style>
  <w:style w:type="paragraph" w:customStyle="1" w:styleId="27">
    <w:name w:val="五级条标题"/>
    <w:basedOn w:val="26"/>
    <w:next w:val="18"/>
    <w:qFormat/>
    <w:uiPriority w:val="0"/>
    <w:pPr>
      <w:numPr>
        <w:ilvl w:val="5"/>
      </w:numPr>
      <w:outlineLvl w:val="6"/>
    </w:pPr>
  </w:style>
  <w:style w:type="paragraph" w:customStyle="1" w:styleId="28">
    <w:name w:val="注："/>
    <w:next w:val="18"/>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9">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30">
    <w:name w:val="附录图标题"/>
    <w:basedOn w:val="1"/>
    <w:next w:val="18"/>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31">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32">
    <w:name w:val="图表脚注说明"/>
    <w:basedOn w:val="1"/>
    <w:qFormat/>
    <w:uiPriority w:val="0"/>
    <w:pPr>
      <w:numPr>
        <w:ilvl w:val="0"/>
        <w:numId w:val="7"/>
      </w:numPr>
    </w:pPr>
    <w:rPr>
      <w:rFonts w:ascii="宋体"/>
      <w:sz w:val="18"/>
      <w:szCs w:val="18"/>
    </w:rPr>
  </w:style>
  <w:style w:type="character" w:customStyle="1" w:styleId="33">
    <w:name w:val="段 Char"/>
    <w:basedOn w:val="13"/>
    <w:link w:val="18"/>
    <w:qFormat/>
    <w:uiPriority w:val="0"/>
    <w:rPr>
      <w:rFonts w:ascii="宋体"/>
      <w:sz w:val="21"/>
      <w:lang w:val="en-US" w:eastAsia="zh-CN" w:bidi="ar-SA"/>
    </w:rPr>
  </w:style>
  <w:style w:type="character" w:customStyle="1" w:styleId="34">
    <w:name w:val="页眉 字符"/>
    <w:basedOn w:val="13"/>
    <w:link w:val="8"/>
    <w:qFormat/>
    <w:uiPriority w:val="0"/>
    <w:rPr>
      <w:kern w:val="2"/>
      <w:sz w:val="18"/>
      <w:szCs w:val="18"/>
    </w:rPr>
  </w:style>
  <w:style w:type="character" w:customStyle="1" w:styleId="35">
    <w:name w:val="页脚 字符"/>
    <w:basedOn w:val="13"/>
    <w:link w:val="7"/>
    <w:qFormat/>
    <w:uiPriority w:val="99"/>
    <w:rPr>
      <w:kern w:val="2"/>
      <w:sz w:val="18"/>
      <w:szCs w:val="18"/>
    </w:rPr>
  </w:style>
  <w:style w:type="paragraph" w:customStyle="1" w:styleId="36">
    <w:name w:val="附录表标题"/>
    <w:basedOn w:val="1"/>
    <w:next w:val="18"/>
    <w:qFormat/>
    <w:uiPriority w:val="0"/>
    <w:pPr>
      <w:numPr>
        <w:ilvl w:val="1"/>
        <w:numId w:val="8"/>
      </w:numPr>
      <w:tabs>
        <w:tab w:val="left" w:pos="180"/>
      </w:tabs>
      <w:spacing w:beforeLines="50" w:afterLines="50"/>
      <w:ind w:left="0" w:firstLine="0"/>
      <w:jc w:val="center"/>
    </w:pPr>
    <w:rPr>
      <w:rFonts w:ascii="黑体" w:eastAsia="黑体"/>
      <w:szCs w:val="21"/>
    </w:rPr>
  </w:style>
  <w:style w:type="paragraph" w:customStyle="1" w:styleId="37">
    <w:name w:val="List Paragraph"/>
    <w:basedOn w:val="1"/>
    <w:unhideWhenUsed/>
    <w:qFormat/>
    <w:uiPriority w:val="34"/>
    <w:pPr>
      <w:ind w:firstLine="420" w:firstLineChars="200"/>
    </w:pPr>
  </w:style>
  <w:style w:type="paragraph" w:customStyle="1" w:styleId="38">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40">
    <w:name w:val="发布"/>
    <w:qFormat/>
    <w:uiPriority w:val="0"/>
    <w:rPr>
      <w:rFonts w:ascii="黑体" w:eastAsia="黑体"/>
      <w:spacing w:val="22"/>
      <w:w w:val="100"/>
      <w:position w:val="3"/>
      <w:sz w:val="28"/>
    </w:rPr>
  </w:style>
  <w:style w:type="paragraph" w:customStyle="1" w:styleId="41">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42">
    <w:name w:val="标准文件_段"/>
    <w:qFormat/>
    <w:uiPriority w:val="0"/>
    <w:pPr>
      <w:autoSpaceDE w:val="0"/>
      <w:autoSpaceDN w:val="0"/>
      <w:ind w:firstLine="0" w:firstLineChars="0"/>
      <w:jc w:val="center"/>
    </w:pPr>
    <w:rPr>
      <w:rFonts w:ascii="宋体" w:hAnsi="宋体" w:eastAsia="宋体" w:cs="Times New Roman"/>
      <w:sz w:val="21"/>
      <w:lang w:val="en-US" w:eastAsia="zh-CN" w:bidi="ar-SA"/>
    </w:rPr>
  </w:style>
  <w:style w:type="character" w:customStyle="1" w:styleId="43">
    <w:name w:val="批注框文本 字符"/>
    <w:basedOn w:val="13"/>
    <w:link w:val="6"/>
    <w:semiHidden/>
    <w:qFormat/>
    <w:uiPriority w:val="0"/>
    <w:rPr>
      <w:rFonts w:ascii="Times New Roman" w:hAnsi="Times New Roman"/>
      <w:kern w:val="2"/>
      <w:sz w:val="18"/>
      <w:szCs w:val="18"/>
    </w:rPr>
  </w:style>
  <w:style w:type="paragraph" w:customStyle="1" w:styleId="44">
    <w:name w:val="标准文件_正文图标题"/>
    <w:next w:val="42"/>
    <w:qFormat/>
    <w:uiPriority w:val="0"/>
    <w:pPr>
      <w:numPr>
        <w:ilvl w:val="0"/>
        <w:numId w:val="2"/>
      </w:numPr>
      <w:spacing w:before="50" w:beforeLines="50" w:after="50" w:afterLines="50"/>
      <w:jc w:val="center"/>
    </w:pPr>
    <w:rPr>
      <w:rFonts w:ascii="黑体" w:hAnsi="Times New Roman" w:eastAsia="黑体" w:cs="Times New Roman"/>
      <w:sz w:val="21"/>
      <w:lang w:val="en-US" w:eastAsia="zh-CN" w:bidi="ar-SA"/>
    </w:rPr>
  </w:style>
  <w:style w:type="paragraph" w:customStyle="1" w:styleId="45">
    <w:name w:val="标准文件_正文表标题"/>
    <w:next w:val="42"/>
    <w:qFormat/>
    <w:uiPriority w:val="0"/>
    <w:pPr>
      <w:numPr>
        <w:ilvl w:val="0"/>
        <w:numId w:val="1"/>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6">
    <w:name w:val="标准-一级标题"/>
    <w:basedOn w:val="1"/>
    <w:qFormat/>
    <w:uiPriority w:val="0"/>
    <w:pPr>
      <w:autoSpaceDE w:val="0"/>
      <w:autoSpaceDN w:val="0"/>
      <w:adjustRightInd w:val="0"/>
      <w:spacing w:before="50" w:beforeLines="50" w:after="50" w:afterLines="50" w:line="560" w:lineRule="exact"/>
      <w:ind w:firstLine="640"/>
      <w:jc w:val="left"/>
    </w:pPr>
    <w:rPr>
      <w:rFonts w:hint="eastAsia" w:ascii="黑体" w:hAnsi="黑体" w:eastAsia="黑体" w:cs="仿宋_GB2312"/>
      <w:szCs w:val="32"/>
    </w:rPr>
  </w:style>
  <w:style w:type="paragraph" w:customStyle="1" w:styleId="47">
    <w:name w:val="标准-正文"/>
    <w:basedOn w:val="1"/>
    <w:qFormat/>
    <w:uiPriority w:val="0"/>
    <w:pPr>
      <w:spacing w:line="560" w:lineRule="exact"/>
      <w:ind w:firstLine="640"/>
    </w:pPr>
    <w:rPr>
      <w:rFonts w:hint="eastAsia" w:ascii="Times New Roman" w:hAnsi="Times New Roman"/>
      <w:szCs w:val="28"/>
    </w:rPr>
  </w:style>
  <w:style w:type="paragraph" w:customStyle="1" w:styleId="48">
    <w:name w:val="标准-二级标题"/>
    <w:basedOn w:val="1"/>
    <w:qFormat/>
    <w:uiPriority w:val="0"/>
    <w:pPr>
      <w:spacing w:before="50" w:beforeLines="50" w:after="50" w:afterLines="50" w:line="560" w:lineRule="exact"/>
      <w:ind w:firstLine="643"/>
    </w:pPr>
    <w:rPr>
      <w:rFonts w:hint="eastAsia" w:ascii="楷体" w:hAnsi="楷体" w:eastAsia="楷体" w:cs="仿宋_GB2312"/>
      <w:b/>
      <w:szCs w:val="28"/>
    </w:rPr>
  </w:style>
  <w:style w:type="paragraph" w:customStyle="1" w:styleId="49">
    <w:name w:val="标准-三级标准"/>
    <w:basedOn w:val="1"/>
    <w:qFormat/>
    <w:uiPriority w:val="0"/>
    <w:pPr>
      <w:tabs>
        <w:tab w:val="center" w:pos="4201"/>
        <w:tab w:val="right" w:leader="dot" w:pos="9298"/>
      </w:tabs>
      <w:autoSpaceDE w:val="0"/>
      <w:autoSpaceDN w:val="0"/>
      <w:ind w:firstLine="643"/>
      <w:outlineLvl w:val="2"/>
    </w:pPr>
    <w:rPr>
      <w:rFonts w:ascii="Times New Roman" w:hAnsi="Times New Roman" w:eastAsia="仿宋"/>
      <w:b/>
      <w:bCs/>
      <w:kern w:val="0"/>
      <w:szCs w:val="32"/>
    </w:rPr>
  </w:style>
  <w:style w:type="paragraph" w:customStyle="1" w:styleId="50">
    <w:name w:val="标准-图片"/>
    <w:basedOn w:val="1"/>
    <w:qFormat/>
    <w:uiPriority w:val="0"/>
    <w:pPr>
      <w:ind w:firstLine="0" w:firstLineChars="0"/>
      <w:jc w:val="center"/>
    </w:pPr>
    <w:rPr>
      <w:rFonts w:hint="eastAsia" w:ascii="仿宋_GB2312" w:hAnsi="仿宋_GB2312"/>
      <w:szCs w:val="28"/>
    </w:rPr>
  </w:style>
  <w:style w:type="paragraph" w:customStyle="1" w:styleId="51">
    <w:name w:val="标准文件_一级项"/>
    <w:qFormat/>
    <w:uiPriority w:val="0"/>
    <w:pPr>
      <w:numPr>
        <w:ilvl w:val="0"/>
        <w:numId w:val="9"/>
      </w:numPr>
    </w:pPr>
    <w:rPr>
      <w:rFonts w:ascii="宋体" w:hAnsi="Times New Roman" w:eastAsia="宋体" w:cs="Times New Roman"/>
      <w:sz w:val="21"/>
      <w:lang w:val="en-US" w:eastAsia="zh-CN" w:bidi="ar-SA"/>
    </w:rPr>
  </w:style>
  <w:style w:type="character" w:customStyle="1" w:styleId="52">
    <w:name w:val="公文-正文 Char"/>
    <w:link w:val="16"/>
    <w:qFormat/>
    <w:uiPriority w:val="0"/>
    <w:rPr>
      <w:rFonts w:hint="eastAsia" w:ascii="Times New Roman" w:hAnsi="Times New Roman" w:eastAsia="仿宋" w:cs="仿宋"/>
      <w:sz w:val="32"/>
      <w:szCs w:val="32"/>
    </w:rPr>
  </w:style>
  <w:style w:type="paragraph" w:customStyle="1" w:styleId="53">
    <w:name w:val="标准文件_表格"/>
    <w:basedOn w:val="42"/>
    <w:qFormat/>
    <w:uiPriority w:val="0"/>
    <w:pPr>
      <w:ind w:firstLine="0" w:firstLineChars="0"/>
      <w:jc w:val="center"/>
    </w:pPr>
    <w:rPr>
      <w:sz w:val="18"/>
    </w:rPr>
  </w:style>
  <w:style w:type="paragraph" w:customStyle="1" w:styleId="54">
    <w:name w:val="标准文件_二级条标题"/>
    <w:next w:val="42"/>
    <w:qFormat/>
    <w:uiPriority w:val="0"/>
    <w:pPr>
      <w:widowControl w:val="0"/>
      <w:numPr>
        <w:ilvl w:val="3"/>
        <w:numId w:val="10"/>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5">
    <w:name w:val="标准文件_二级无标题"/>
    <w:basedOn w:val="54"/>
    <w:qFormat/>
    <w:uiPriority w:val="0"/>
    <w:pPr>
      <w:spacing w:before="0" w:beforeLines="0" w:after="0" w:afterLines="0"/>
      <w:outlineLvl w:val="9"/>
    </w:pPr>
    <w:rPr>
      <w:rFonts w:ascii="宋体" w:eastAsia="宋体"/>
    </w:rPr>
  </w:style>
  <w:style w:type="paragraph" w:customStyle="1" w:styleId="56">
    <w:name w:val="标准文件_一级条标题"/>
    <w:basedOn w:val="57"/>
    <w:next w:val="42"/>
    <w:qFormat/>
    <w:uiPriority w:val="0"/>
    <w:pPr>
      <w:numPr>
        <w:ilvl w:val="2"/>
      </w:numPr>
      <w:spacing w:before="50" w:beforeLines="50" w:after="50" w:afterLines="50"/>
      <w:outlineLvl w:val="1"/>
    </w:pPr>
  </w:style>
  <w:style w:type="paragraph" w:customStyle="1" w:styleId="57">
    <w:name w:val="标准文件_章标题"/>
    <w:next w:val="42"/>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47</Pages>
  <Words>2777</Words>
  <Characters>2841</Characters>
  <Lines>2</Lines>
  <Paragraphs>5</Paragraphs>
  <TotalTime>2</TotalTime>
  <ScaleCrop>false</ScaleCrop>
  <LinksUpToDate>false</LinksUpToDate>
  <CharactersWithSpaces>2844</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2023-08-14T14:51:00Z</dcterms:created>
  <dc:creator>USER</dc:creator>
  <cp:lastModifiedBy>XIEX</cp:lastModifiedBy>
  <cp:lastPrinted>2019-07-10T19:21:00Z</cp:lastPrinted>
  <dcterms:modified xsi:type="dcterms:W3CDTF">2026-05-08T03:47:41Z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6A743359F6FB4DDAB0BB2CA2AC8B3077_13</vt:lpwstr>
  </property>
  <property fmtid="{D5CDD505-2E9C-101B-9397-08002B2CF9AE}" pid="4" name="KSOTemplateDocerSaveRecord">
    <vt:lpwstr>eyJoZGlkIjoiZjUwYjRjNDYxNGIzZTYyN2FjOGViYTVlYzI3MTBmMzMiLCJ1c2VySWQiOiI2ODM5ODUzMDMifQ==</vt:lpwstr>
  </property>
</Properties>
</file>