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DEA943">
      <w:pPr>
        <w:keepNext w:val="0"/>
        <w:keepLines w:val="0"/>
        <w:pageBreakBefore w:val="0"/>
        <w:widowControl w:val="0"/>
        <w:kinsoku/>
        <w:wordWrap/>
        <w:overflowPunct/>
        <w:topLinePunct w:val="0"/>
        <w:autoSpaceDE/>
        <w:autoSpaceDN/>
        <w:bidi w:val="0"/>
        <w:adjustRightInd/>
        <w:snapToGrid/>
        <w:spacing w:line="600" w:lineRule="exact"/>
        <w:ind w:firstLine="0" w:firstLineChars="0"/>
        <w:jc w:val="center"/>
        <w:textAlignment w:val="auto"/>
        <w:rPr>
          <w:rFonts w:ascii="方正小标宋简体" w:hAnsi="宋体" w:eastAsia="方正小标宋简体"/>
          <w:color w:val="auto"/>
          <w:sz w:val="44"/>
          <w:szCs w:val="32"/>
        </w:rPr>
      </w:pPr>
      <w:r>
        <w:rPr>
          <w:rFonts w:hint="eastAsia" w:ascii="方正小标宋简体" w:hAnsi="宋体" w:eastAsia="方正小标宋简体"/>
          <w:color w:val="auto"/>
          <w:sz w:val="44"/>
          <w:szCs w:val="32"/>
        </w:rPr>
        <w:t>团体标准《农业科普展览活动可持续性评价指南》（</w:t>
      </w:r>
      <w:r>
        <w:rPr>
          <w:rFonts w:hint="eastAsia" w:ascii="方正小标宋简体" w:hAnsi="宋体" w:eastAsia="方正小标宋简体"/>
          <w:color w:val="auto"/>
          <w:sz w:val="44"/>
          <w:szCs w:val="32"/>
          <w:lang w:val="en-US" w:eastAsia="zh-CN"/>
        </w:rPr>
        <w:t>征求意见稿</w:t>
      </w:r>
      <w:r>
        <w:rPr>
          <w:rFonts w:hint="eastAsia" w:ascii="方正小标宋简体" w:hAnsi="宋体" w:eastAsia="方正小标宋简体"/>
          <w:color w:val="auto"/>
          <w:sz w:val="44"/>
          <w:szCs w:val="32"/>
        </w:rPr>
        <w:t>）编制说明</w:t>
      </w:r>
    </w:p>
    <w:p w14:paraId="2F4113F5">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rPr>
      </w:pPr>
    </w:p>
    <w:p w14:paraId="2FAD9B27">
      <w:pPr>
        <w:pStyle w:val="45"/>
        <w:bidi w:val="0"/>
        <w:rPr>
          <w:color w:val="auto"/>
        </w:rPr>
      </w:pPr>
      <w:r>
        <w:rPr>
          <w:rFonts w:hint="eastAsia"/>
          <w:color w:val="auto"/>
        </w:rPr>
        <w:t>一、任务来源、起草单位、主要起草人</w:t>
      </w:r>
    </w:p>
    <w:p w14:paraId="07492386">
      <w:pPr>
        <w:pStyle w:val="46"/>
        <w:bidi w:val="0"/>
        <w:rPr>
          <w:color w:val="auto"/>
        </w:rPr>
      </w:pPr>
      <w:r>
        <w:rPr>
          <w:rFonts w:hint="eastAsia"/>
          <w:color w:val="auto"/>
        </w:rPr>
        <w:t>根据《广西标准化协会关于下达202</w:t>
      </w:r>
      <w:r>
        <w:rPr>
          <w:rFonts w:hint="eastAsia"/>
          <w:color w:val="auto"/>
          <w:lang w:val="en-US" w:eastAsia="zh-CN"/>
        </w:rPr>
        <w:t>5</w:t>
      </w:r>
      <w:r>
        <w:rPr>
          <w:rFonts w:hint="eastAsia"/>
          <w:color w:val="auto"/>
        </w:rPr>
        <w:t>年第</w:t>
      </w:r>
      <w:r>
        <w:rPr>
          <w:rFonts w:hint="eastAsia"/>
          <w:color w:val="auto"/>
          <w:lang w:val="en-US" w:eastAsia="zh-CN"/>
        </w:rPr>
        <w:t>一</w:t>
      </w:r>
      <w:r>
        <w:rPr>
          <w:rFonts w:hint="eastAsia"/>
          <w:color w:val="auto"/>
        </w:rPr>
        <w:t>批团体标准制修订项目计划的通知》（桂标协〔202</w:t>
      </w:r>
      <w:r>
        <w:rPr>
          <w:rFonts w:hint="eastAsia"/>
          <w:color w:val="auto"/>
          <w:lang w:val="en-US" w:eastAsia="zh-CN"/>
        </w:rPr>
        <w:t>5</w:t>
      </w:r>
      <w:r>
        <w:rPr>
          <w:rFonts w:hint="eastAsia"/>
          <w:color w:val="auto"/>
        </w:rPr>
        <w:t>〕</w:t>
      </w:r>
      <w:r>
        <w:rPr>
          <w:rFonts w:hint="eastAsia"/>
          <w:color w:val="auto"/>
          <w:lang w:val="en-US" w:eastAsia="zh-CN"/>
        </w:rPr>
        <w:t>7</w:t>
      </w:r>
      <w:r>
        <w:rPr>
          <w:rFonts w:hint="eastAsia"/>
          <w:color w:val="auto"/>
        </w:rPr>
        <w:t>号）文件精神，由广西壮族自治区农业科学院提出，广西壮族自治区亚热带作物研究所、广西标准化协会、农业农村部科技发展</w:t>
      </w:r>
      <w:r>
        <w:rPr>
          <w:rFonts w:hint="eastAsia"/>
          <w:color w:val="auto"/>
          <w:highlight w:val="none"/>
        </w:rPr>
        <w:t>中心</w:t>
      </w:r>
      <w:r>
        <w:rPr>
          <w:rFonts w:hint="eastAsia"/>
          <w:color w:val="auto"/>
          <w:highlight w:val="none"/>
          <w:lang w:eastAsia="zh-CN"/>
        </w:rPr>
        <w:t>、</w:t>
      </w:r>
      <w:r>
        <w:rPr>
          <w:rFonts w:hint="eastAsia"/>
          <w:color w:val="auto"/>
          <w:highlight w:val="none"/>
        </w:rPr>
        <w:t>云南</w:t>
      </w:r>
      <w:r>
        <w:rPr>
          <w:rFonts w:hint="eastAsia"/>
          <w:color w:val="auto"/>
        </w:rPr>
        <w:t>省热带作物科学研究所等</w:t>
      </w:r>
      <w:r>
        <w:rPr>
          <w:color w:val="auto"/>
        </w:rPr>
        <w:t>单位</w:t>
      </w:r>
      <w:r>
        <w:rPr>
          <w:rFonts w:hint="eastAsia"/>
          <w:color w:val="auto"/>
        </w:rPr>
        <w:t>共同起草的团体标准《农业科普展览活动可持续性评价指南》</w:t>
      </w:r>
      <w:r>
        <w:rPr>
          <w:rFonts w:hint="eastAsia"/>
          <w:color w:val="auto"/>
          <w:highlight w:val="none"/>
        </w:rPr>
        <w:t>（项目编号：202</w:t>
      </w:r>
      <w:r>
        <w:rPr>
          <w:rFonts w:hint="eastAsia"/>
          <w:color w:val="auto"/>
          <w:highlight w:val="none"/>
          <w:lang w:val="en-US" w:eastAsia="zh-CN"/>
        </w:rPr>
        <w:t>5</w:t>
      </w:r>
      <w:r>
        <w:rPr>
          <w:rFonts w:hint="eastAsia"/>
          <w:color w:val="auto"/>
          <w:highlight w:val="none"/>
        </w:rPr>
        <w:t>-</w:t>
      </w:r>
      <w:r>
        <w:rPr>
          <w:rFonts w:hint="eastAsia"/>
          <w:color w:val="auto"/>
          <w:highlight w:val="none"/>
          <w:lang w:val="en-US" w:eastAsia="zh-CN"/>
        </w:rPr>
        <w:t>0118</w:t>
      </w:r>
      <w:r>
        <w:rPr>
          <w:rFonts w:hint="eastAsia"/>
          <w:color w:val="auto"/>
          <w:highlight w:val="none"/>
        </w:rPr>
        <w:t>）</w:t>
      </w:r>
      <w:r>
        <w:rPr>
          <w:rFonts w:hint="eastAsia"/>
          <w:color w:val="auto"/>
        </w:rPr>
        <w:t>已获批立项。</w:t>
      </w:r>
    </w:p>
    <w:p w14:paraId="25B5DA54">
      <w:pPr>
        <w:pStyle w:val="46"/>
        <w:bidi w:val="0"/>
        <w:rPr>
          <w:color w:val="auto"/>
        </w:rPr>
      </w:pPr>
      <w:r>
        <w:rPr>
          <w:rFonts w:hint="eastAsia"/>
          <w:color w:val="auto"/>
        </w:rPr>
        <w:t>为高质量编制团体标准《农业科普展览活动可持续性评价指南》，由起草单位成立标准编制工作组并进行如下分工：</w:t>
      </w:r>
    </w:p>
    <w:tbl>
      <w:tblPr>
        <w:tblStyle w:val="10"/>
        <w:tblW w:w="9638" w:type="dxa"/>
        <w:jc w:val="center"/>
        <w:tblLayout w:type="fixed"/>
        <w:tblCellMar>
          <w:top w:w="0" w:type="dxa"/>
          <w:left w:w="108" w:type="dxa"/>
          <w:bottom w:w="0" w:type="dxa"/>
          <w:right w:w="108" w:type="dxa"/>
        </w:tblCellMar>
      </w:tblPr>
      <w:tblGrid>
        <w:gridCol w:w="776"/>
        <w:gridCol w:w="1137"/>
        <w:gridCol w:w="1576"/>
        <w:gridCol w:w="2168"/>
        <w:gridCol w:w="3981"/>
      </w:tblGrid>
      <w:tr w14:paraId="5F3B7284">
        <w:tblPrEx>
          <w:tblCellMar>
            <w:top w:w="0" w:type="dxa"/>
            <w:left w:w="108" w:type="dxa"/>
            <w:bottom w:w="0" w:type="dxa"/>
            <w:right w:w="108" w:type="dxa"/>
          </w:tblCellMar>
        </w:tblPrEx>
        <w:trPr>
          <w:cantSplit/>
          <w:trHeight w:val="576" w:hRule="atLeast"/>
          <w:jc w:val="center"/>
        </w:trPr>
        <w:tc>
          <w:tcPr>
            <w:tcW w:w="776" w:type="dxa"/>
            <w:tcBorders>
              <w:top w:val="single" w:color="auto" w:sz="4" w:space="0"/>
              <w:left w:val="single" w:color="auto" w:sz="4" w:space="0"/>
              <w:bottom w:val="single" w:color="auto" w:sz="4" w:space="0"/>
              <w:right w:val="single" w:color="auto" w:sz="4" w:space="0"/>
            </w:tcBorders>
            <w:vAlign w:val="center"/>
          </w:tcPr>
          <w:p w14:paraId="35E96A3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color w:val="auto"/>
                <w:sz w:val="24"/>
              </w:rPr>
            </w:pPr>
            <w:r>
              <w:rPr>
                <w:rFonts w:eastAsia="仿宋"/>
                <w:b/>
                <w:bCs/>
                <w:color w:val="auto"/>
                <w:sz w:val="24"/>
              </w:rPr>
              <w:t>姓  名</w:t>
            </w:r>
          </w:p>
        </w:tc>
        <w:tc>
          <w:tcPr>
            <w:tcW w:w="1137" w:type="dxa"/>
            <w:tcBorders>
              <w:top w:val="single" w:color="auto" w:sz="4" w:space="0"/>
              <w:left w:val="single" w:color="auto" w:sz="4" w:space="0"/>
              <w:bottom w:val="single" w:color="auto" w:sz="4" w:space="0"/>
              <w:right w:val="single" w:color="auto" w:sz="4" w:space="0"/>
            </w:tcBorders>
            <w:vAlign w:val="center"/>
          </w:tcPr>
          <w:p w14:paraId="7149EF3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color w:val="auto"/>
                <w:sz w:val="24"/>
              </w:rPr>
            </w:pPr>
            <w:r>
              <w:rPr>
                <w:rFonts w:eastAsia="仿宋"/>
                <w:b/>
                <w:bCs/>
                <w:color w:val="auto"/>
                <w:sz w:val="24"/>
              </w:rPr>
              <w:t>职称/职位</w:t>
            </w:r>
          </w:p>
        </w:tc>
        <w:tc>
          <w:tcPr>
            <w:tcW w:w="1576" w:type="dxa"/>
            <w:tcBorders>
              <w:top w:val="single" w:color="auto" w:sz="4" w:space="0"/>
              <w:left w:val="single" w:color="auto" w:sz="4" w:space="0"/>
              <w:bottom w:val="single" w:color="auto" w:sz="4" w:space="0"/>
              <w:right w:val="single" w:color="auto" w:sz="4" w:space="0"/>
            </w:tcBorders>
            <w:vAlign w:val="center"/>
          </w:tcPr>
          <w:p w14:paraId="749E2C0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eastAsia="仿宋"/>
                <w:b/>
                <w:bCs/>
                <w:color w:val="auto"/>
                <w:sz w:val="24"/>
                <w:lang w:val="en-US" w:eastAsia="zh-CN"/>
              </w:rPr>
            </w:pPr>
            <w:r>
              <w:rPr>
                <w:rFonts w:hint="eastAsia" w:eastAsia="仿宋"/>
                <w:b/>
                <w:bCs/>
                <w:color w:val="auto"/>
                <w:sz w:val="24"/>
                <w:lang w:val="en-US" w:eastAsia="zh-CN"/>
              </w:rPr>
              <w:t>从事专业</w:t>
            </w:r>
          </w:p>
        </w:tc>
        <w:tc>
          <w:tcPr>
            <w:tcW w:w="2168" w:type="dxa"/>
            <w:tcBorders>
              <w:top w:val="single" w:color="auto" w:sz="4" w:space="0"/>
              <w:left w:val="single" w:color="auto" w:sz="4" w:space="0"/>
              <w:bottom w:val="single" w:color="auto" w:sz="4" w:space="0"/>
              <w:right w:val="single" w:color="auto" w:sz="4" w:space="0"/>
            </w:tcBorders>
            <w:vAlign w:val="center"/>
          </w:tcPr>
          <w:p w14:paraId="75BFC23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eastAsia="仿宋"/>
                <w:b/>
                <w:bCs/>
                <w:color w:val="auto"/>
                <w:sz w:val="24"/>
                <w:lang w:val="en-US" w:eastAsia="zh-CN"/>
              </w:rPr>
            </w:pPr>
            <w:r>
              <w:rPr>
                <w:rFonts w:hint="eastAsia" w:eastAsia="仿宋"/>
                <w:b/>
                <w:bCs/>
                <w:color w:val="auto"/>
                <w:sz w:val="24"/>
                <w:lang w:val="en-US" w:eastAsia="zh-CN"/>
              </w:rPr>
              <w:t>工作单位</w:t>
            </w:r>
          </w:p>
        </w:tc>
        <w:tc>
          <w:tcPr>
            <w:tcW w:w="3981" w:type="dxa"/>
            <w:tcBorders>
              <w:top w:val="single" w:color="auto" w:sz="4" w:space="0"/>
              <w:left w:val="single" w:color="auto" w:sz="4" w:space="0"/>
              <w:bottom w:val="single" w:color="auto" w:sz="4" w:space="0"/>
              <w:right w:val="single" w:color="auto" w:sz="4" w:space="0"/>
            </w:tcBorders>
            <w:vAlign w:val="center"/>
          </w:tcPr>
          <w:p w14:paraId="2C3765A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color w:val="auto"/>
                <w:sz w:val="24"/>
              </w:rPr>
            </w:pPr>
            <w:r>
              <w:rPr>
                <w:rFonts w:eastAsia="仿宋"/>
                <w:b/>
                <w:bCs/>
                <w:color w:val="auto"/>
                <w:sz w:val="24"/>
              </w:rPr>
              <w:t>主要负责工作</w:t>
            </w:r>
          </w:p>
        </w:tc>
      </w:tr>
      <w:tr w14:paraId="0BD41FDB">
        <w:tblPrEx>
          <w:tblCellMar>
            <w:top w:w="0" w:type="dxa"/>
            <w:left w:w="108" w:type="dxa"/>
            <w:bottom w:w="0" w:type="dxa"/>
            <w:right w:w="108" w:type="dxa"/>
          </w:tblCellMar>
        </w:tblPrEx>
        <w:trPr>
          <w:cantSplit/>
          <w:trHeight w:val="732"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11D5DFB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刘思朝</w:t>
            </w:r>
          </w:p>
        </w:tc>
        <w:tc>
          <w:tcPr>
            <w:tcW w:w="1137" w:type="dxa"/>
            <w:tcBorders>
              <w:top w:val="single" w:color="auto" w:sz="4" w:space="0"/>
              <w:left w:val="single" w:color="auto" w:sz="4" w:space="0"/>
              <w:bottom w:val="single" w:color="auto" w:sz="4" w:space="0"/>
              <w:right w:val="single" w:color="auto" w:sz="4" w:space="0"/>
            </w:tcBorders>
            <w:vAlign w:val="center"/>
          </w:tcPr>
          <w:p w14:paraId="522C6D5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副主任/助理研究员</w:t>
            </w:r>
          </w:p>
        </w:tc>
        <w:tc>
          <w:tcPr>
            <w:tcW w:w="1576" w:type="dxa"/>
            <w:tcBorders>
              <w:top w:val="single" w:color="000000" w:sz="2" w:space="0"/>
              <w:left w:val="single" w:color="auto" w:sz="4" w:space="0"/>
              <w:bottom w:val="single" w:color="auto" w:sz="4" w:space="0"/>
              <w:right w:val="single" w:color="auto" w:sz="4" w:space="0"/>
            </w:tcBorders>
            <w:vAlign w:val="center"/>
          </w:tcPr>
          <w:p w14:paraId="630B566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科普理论研究</w:t>
            </w:r>
          </w:p>
        </w:tc>
        <w:tc>
          <w:tcPr>
            <w:tcW w:w="2168" w:type="dxa"/>
            <w:tcBorders>
              <w:top w:val="single" w:color="auto" w:sz="4" w:space="0"/>
              <w:left w:val="single" w:color="auto" w:sz="4" w:space="0"/>
              <w:bottom w:val="single" w:color="auto" w:sz="4" w:space="0"/>
              <w:right w:val="single" w:color="auto" w:sz="4" w:space="0"/>
            </w:tcBorders>
            <w:vAlign w:val="center"/>
          </w:tcPr>
          <w:p w14:paraId="36F44F5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386BD15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统筹主持标准编制工作</w:t>
            </w:r>
          </w:p>
        </w:tc>
      </w:tr>
      <w:tr w14:paraId="0AB7A70E">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03E9EFE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曹琬筝</w:t>
            </w:r>
          </w:p>
        </w:tc>
        <w:tc>
          <w:tcPr>
            <w:tcW w:w="1137" w:type="dxa"/>
            <w:tcBorders>
              <w:top w:val="single" w:color="auto" w:sz="4" w:space="0"/>
              <w:left w:val="single" w:color="auto" w:sz="4" w:space="0"/>
              <w:bottom w:val="single" w:color="auto" w:sz="4" w:space="0"/>
              <w:right w:val="single" w:color="auto" w:sz="4" w:space="0"/>
            </w:tcBorders>
            <w:vAlign w:val="center"/>
          </w:tcPr>
          <w:p w14:paraId="3BE9B40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专业技术人员</w:t>
            </w:r>
          </w:p>
        </w:tc>
        <w:tc>
          <w:tcPr>
            <w:tcW w:w="1576" w:type="dxa"/>
            <w:tcBorders>
              <w:top w:val="single" w:color="000000" w:sz="2" w:space="0"/>
              <w:left w:val="single" w:color="auto" w:sz="4" w:space="0"/>
              <w:bottom w:val="single" w:color="auto" w:sz="4" w:space="0"/>
              <w:right w:val="single" w:color="auto" w:sz="4" w:space="0"/>
            </w:tcBorders>
            <w:vAlign w:val="center"/>
          </w:tcPr>
          <w:p w14:paraId="75E47C7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科普理论研究</w:t>
            </w:r>
          </w:p>
        </w:tc>
        <w:tc>
          <w:tcPr>
            <w:tcW w:w="2168" w:type="dxa"/>
            <w:tcBorders>
              <w:top w:val="single" w:color="auto" w:sz="4" w:space="0"/>
              <w:left w:val="single" w:color="auto" w:sz="4" w:space="0"/>
              <w:bottom w:val="single" w:color="auto" w:sz="4" w:space="0"/>
              <w:right w:val="single" w:color="auto" w:sz="4" w:space="0"/>
            </w:tcBorders>
            <w:vAlign w:val="center"/>
          </w:tcPr>
          <w:p w14:paraId="4C490A8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4108C20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参与标准编制工作，组织人员进行标准发布后的宣贯培训。</w:t>
            </w:r>
          </w:p>
        </w:tc>
      </w:tr>
      <w:tr w14:paraId="5664863F">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7D2E426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黄昶吟</w:t>
            </w:r>
          </w:p>
        </w:tc>
        <w:tc>
          <w:tcPr>
            <w:tcW w:w="1137" w:type="dxa"/>
            <w:tcBorders>
              <w:top w:val="single" w:color="auto" w:sz="4" w:space="0"/>
              <w:left w:val="single" w:color="auto" w:sz="4" w:space="0"/>
              <w:bottom w:val="single" w:color="auto" w:sz="4" w:space="0"/>
              <w:right w:val="single" w:color="auto" w:sz="4" w:space="0"/>
            </w:tcBorders>
            <w:vAlign w:val="center"/>
          </w:tcPr>
          <w:p w14:paraId="6AFF313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专业技术人员</w:t>
            </w:r>
          </w:p>
        </w:tc>
        <w:tc>
          <w:tcPr>
            <w:tcW w:w="1576" w:type="dxa"/>
            <w:tcBorders>
              <w:top w:val="single" w:color="000000" w:sz="2" w:space="0"/>
              <w:left w:val="single" w:color="auto" w:sz="4" w:space="0"/>
              <w:bottom w:val="single" w:color="auto" w:sz="4" w:space="0"/>
              <w:right w:val="single" w:color="auto" w:sz="4" w:space="0"/>
            </w:tcBorders>
            <w:vAlign w:val="center"/>
          </w:tcPr>
          <w:p w14:paraId="208761F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科普理论研究</w:t>
            </w:r>
          </w:p>
        </w:tc>
        <w:tc>
          <w:tcPr>
            <w:tcW w:w="2168" w:type="dxa"/>
            <w:tcBorders>
              <w:top w:val="single" w:color="auto" w:sz="4" w:space="0"/>
              <w:left w:val="single" w:color="auto" w:sz="4" w:space="0"/>
              <w:bottom w:val="single" w:color="auto" w:sz="4" w:space="0"/>
              <w:right w:val="single" w:color="auto" w:sz="4" w:space="0"/>
            </w:tcBorders>
            <w:vAlign w:val="center"/>
          </w:tcPr>
          <w:p w14:paraId="2C7AB80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169761B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参与标准文本及编制说明编写，质量控制。</w:t>
            </w:r>
          </w:p>
        </w:tc>
      </w:tr>
      <w:tr w14:paraId="2647D0D7">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3F0653A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黄强</w:t>
            </w:r>
          </w:p>
        </w:tc>
        <w:tc>
          <w:tcPr>
            <w:tcW w:w="1137" w:type="dxa"/>
            <w:tcBorders>
              <w:top w:val="single" w:color="auto" w:sz="4" w:space="0"/>
              <w:left w:val="single" w:color="auto" w:sz="4" w:space="0"/>
              <w:bottom w:val="single" w:color="auto" w:sz="4" w:space="0"/>
              <w:right w:val="single" w:color="auto" w:sz="4" w:space="0"/>
            </w:tcBorders>
            <w:vAlign w:val="center"/>
          </w:tcPr>
          <w:p w14:paraId="1054FE2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工程师</w:t>
            </w:r>
          </w:p>
        </w:tc>
        <w:tc>
          <w:tcPr>
            <w:tcW w:w="1576" w:type="dxa"/>
            <w:tcBorders>
              <w:top w:val="single" w:color="000000" w:sz="2" w:space="0"/>
              <w:left w:val="single" w:color="auto" w:sz="4" w:space="0"/>
              <w:bottom w:val="single" w:color="auto" w:sz="4" w:space="0"/>
              <w:right w:val="single" w:color="auto" w:sz="4" w:space="0"/>
            </w:tcBorders>
            <w:vAlign w:val="center"/>
          </w:tcPr>
          <w:p w14:paraId="7F34DD6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标准化</w:t>
            </w:r>
          </w:p>
        </w:tc>
        <w:tc>
          <w:tcPr>
            <w:tcW w:w="2168" w:type="dxa"/>
            <w:tcBorders>
              <w:top w:val="single" w:color="auto" w:sz="4" w:space="0"/>
              <w:left w:val="single" w:color="auto" w:sz="4" w:space="0"/>
              <w:bottom w:val="single" w:color="auto" w:sz="4" w:space="0"/>
              <w:right w:val="single" w:color="auto" w:sz="4" w:space="0"/>
            </w:tcBorders>
            <w:vAlign w:val="center"/>
          </w:tcPr>
          <w:p w14:paraId="5B47C39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广西标准化协会</w:t>
            </w:r>
          </w:p>
        </w:tc>
        <w:tc>
          <w:tcPr>
            <w:tcW w:w="3981" w:type="dxa"/>
            <w:tcBorders>
              <w:top w:val="single" w:color="auto" w:sz="4" w:space="0"/>
              <w:left w:val="single" w:color="auto" w:sz="4" w:space="0"/>
              <w:bottom w:val="single" w:color="auto" w:sz="4" w:space="0"/>
              <w:right w:val="single" w:color="auto" w:sz="4" w:space="0"/>
            </w:tcBorders>
            <w:vAlign w:val="center"/>
          </w:tcPr>
          <w:p w14:paraId="3C78B49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w:t>
            </w:r>
            <w:r>
              <w:rPr>
                <w:rFonts w:hint="eastAsia" w:ascii="仿宋_GB2312" w:hAnsi="仿宋_GB2312" w:cs="仿宋_GB2312"/>
                <w:color w:val="auto"/>
                <w:sz w:val="24"/>
                <w:lang w:eastAsia="zh-CN" w:bidi="ar"/>
              </w:rPr>
              <w:t>团体标准</w:t>
            </w:r>
            <w:r>
              <w:rPr>
                <w:rFonts w:hint="eastAsia" w:ascii="仿宋_GB2312" w:hAnsi="仿宋_GB2312" w:eastAsia="仿宋_GB2312" w:cs="仿宋_GB2312"/>
                <w:color w:val="auto"/>
                <w:sz w:val="24"/>
                <w:lang w:bidi="ar"/>
              </w:rPr>
              <w:t>提出修正意见。</w:t>
            </w:r>
          </w:p>
        </w:tc>
      </w:tr>
      <w:tr w14:paraId="186E9F67">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4737BE0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覃思颖</w:t>
            </w:r>
          </w:p>
        </w:tc>
        <w:tc>
          <w:tcPr>
            <w:tcW w:w="1137" w:type="dxa"/>
            <w:tcBorders>
              <w:top w:val="single" w:color="auto" w:sz="4" w:space="0"/>
              <w:left w:val="single" w:color="auto" w:sz="4" w:space="0"/>
              <w:bottom w:val="single" w:color="auto" w:sz="4" w:space="0"/>
              <w:right w:val="single" w:color="auto" w:sz="4" w:space="0"/>
            </w:tcBorders>
            <w:vAlign w:val="center"/>
          </w:tcPr>
          <w:p w14:paraId="3E3649C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助理工程师</w:t>
            </w:r>
          </w:p>
        </w:tc>
        <w:tc>
          <w:tcPr>
            <w:tcW w:w="1576" w:type="dxa"/>
            <w:tcBorders>
              <w:top w:val="single" w:color="000000" w:sz="2" w:space="0"/>
              <w:left w:val="single" w:color="auto" w:sz="4" w:space="0"/>
              <w:bottom w:val="single" w:color="auto" w:sz="4" w:space="0"/>
              <w:right w:val="single" w:color="auto" w:sz="4" w:space="0"/>
            </w:tcBorders>
            <w:vAlign w:val="center"/>
          </w:tcPr>
          <w:p w14:paraId="49033B7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标准化</w:t>
            </w:r>
          </w:p>
        </w:tc>
        <w:tc>
          <w:tcPr>
            <w:tcW w:w="2168" w:type="dxa"/>
            <w:tcBorders>
              <w:top w:val="single" w:color="auto" w:sz="4" w:space="0"/>
              <w:left w:val="single" w:color="auto" w:sz="4" w:space="0"/>
              <w:bottom w:val="single" w:color="auto" w:sz="4" w:space="0"/>
              <w:right w:val="single" w:color="auto" w:sz="4" w:space="0"/>
            </w:tcBorders>
            <w:vAlign w:val="center"/>
          </w:tcPr>
          <w:p w14:paraId="33E2B98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广西标准化协会</w:t>
            </w:r>
          </w:p>
        </w:tc>
        <w:tc>
          <w:tcPr>
            <w:tcW w:w="3981" w:type="dxa"/>
            <w:tcBorders>
              <w:top w:val="single" w:color="auto" w:sz="4" w:space="0"/>
              <w:left w:val="single" w:color="auto" w:sz="4" w:space="0"/>
              <w:bottom w:val="single" w:color="auto" w:sz="4" w:space="0"/>
              <w:right w:val="single" w:color="auto" w:sz="4" w:space="0"/>
            </w:tcBorders>
            <w:vAlign w:val="center"/>
          </w:tcPr>
          <w:p w14:paraId="6B94236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w:t>
            </w:r>
            <w:r>
              <w:rPr>
                <w:rFonts w:hint="eastAsia" w:ascii="仿宋_GB2312" w:hAnsi="仿宋_GB2312" w:cs="仿宋_GB2312"/>
                <w:color w:val="auto"/>
                <w:sz w:val="24"/>
                <w:lang w:eastAsia="zh-CN" w:bidi="ar"/>
              </w:rPr>
              <w:t>团体标准</w:t>
            </w:r>
            <w:r>
              <w:rPr>
                <w:rFonts w:hint="eastAsia" w:ascii="仿宋_GB2312" w:hAnsi="仿宋_GB2312" w:eastAsia="仿宋_GB2312" w:cs="仿宋_GB2312"/>
                <w:color w:val="auto"/>
                <w:sz w:val="24"/>
                <w:lang w:bidi="ar"/>
              </w:rPr>
              <w:t>提出修正意见。</w:t>
            </w:r>
          </w:p>
        </w:tc>
      </w:tr>
      <w:tr w14:paraId="20364E71">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45BBDC7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李宁</w:t>
            </w:r>
          </w:p>
        </w:tc>
        <w:tc>
          <w:tcPr>
            <w:tcW w:w="1137" w:type="dxa"/>
            <w:tcBorders>
              <w:top w:val="single" w:color="auto" w:sz="4" w:space="0"/>
              <w:left w:val="single" w:color="auto" w:sz="4" w:space="0"/>
              <w:bottom w:val="single" w:color="auto" w:sz="4" w:space="0"/>
              <w:right w:val="single" w:color="auto" w:sz="4" w:space="0"/>
            </w:tcBorders>
            <w:vAlign w:val="center"/>
          </w:tcPr>
          <w:p w14:paraId="77EB83D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研究员</w:t>
            </w:r>
          </w:p>
        </w:tc>
        <w:tc>
          <w:tcPr>
            <w:tcW w:w="1576" w:type="dxa"/>
            <w:tcBorders>
              <w:top w:val="single" w:color="000000" w:sz="2" w:space="0"/>
              <w:left w:val="single" w:color="auto" w:sz="4" w:space="0"/>
              <w:bottom w:val="single" w:color="auto" w:sz="4" w:space="0"/>
              <w:right w:val="single" w:color="auto" w:sz="4" w:space="0"/>
            </w:tcBorders>
            <w:vAlign w:val="center"/>
          </w:tcPr>
          <w:p w14:paraId="3FABE28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科普研究</w:t>
            </w:r>
          </w:p>
        </w:tc>
        <w:tc>
          <w:tcPr>
            <w:tcW w:w="2168" w:type="dxa"/>
            <w:tcBorders>
              <w:top w:val="single" w:color="auto" w:sz="4" w:space="0"/>
              <w:left w:val="single" w:color="auto" w:sz="4" w:space="0"/>
              <w:bottom w:val="single" w:color="auto" w:sz="4" w:space="0"/>
              <w:right w:val="single" w:color="auto" w:sz="4" w:space="0"/>
            </w:tcBorders>
            <w:vAlign w:val="center"/>
          </w:tcPr>
          <w:p w14:paraId="1AA3EEC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农业农村部科技发展中心</w:t>
            </w:r>
          </w:p>
        </w:tc>
        <w:tc>
          <w:tcPr>
            <w:tcW w:w="3981" w:type="dxa"/>
            <w:tcBorders>
              <w:top w:val="single" w:color="auto" w:sz="4" w:space="0"/>
              <w:left w:val="single" w:color="auto" w:sz="4" w:space="0"/>
              <w:bottom w:val="single" w:color="auto" w:sz="4" w:space="0"/>
              <w:right w:val="single" w:color="auto" w:sz="4" w:space="0"/>
            </w:tcBorders>
            <w:vAlign w:val="center"/>
          </w:tcPr>
          <w:p w14:paraId="6845926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w:t>
            </w:r>
            <w:r>
              <w:rPr>
                <w:rFonts w:hint="eastAsia" w:ascii="仿宋_GB2312" w:hAnsi="仿宋_GB2312" w:cs="仿宋_GB2312"/>
                <w:color w:val="auto"/>
                <w:sz w:val="24"/>
                <w:lang w:eastAsia="zh-CN" w:bidi="ar"/>
              </w:rPr>
              <w:t>团体标准</w:t>
            </w:r>
            <w:r>
              <w:rPr>
                <w:rFonts w:hint="eastAsia" w:ascii="仿宋_GB2312" w:hAnsi="仿宋_GB2312" w:eastAsia="仿宋_GB2312" w:cs="仿宋_GB2312"/>
                <w:color w:val="auto"/>
                <w:sz w:val="24"/>
                <w:lang w:bidi="ar"/>
              </w:rPr>
              <w:t>提出修正意见。</w:t>
            </w:r>
          </w:p>
        </w:tc>
      </w:tr>
      <w:tr w14:paraId="07442605">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087A669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苏文潘</w:t>
            </w:r>
          </w:p>
        </w:tc>
        <w:tc>
          <w:tcPr>
            <w:tcW w:w="1137" w:type="dxa"/>
            <w:tcBorders>
              <w:top w:val="single" w:color="auto" w:sz="4" w:space="0"/>
              <w:left w:val="single" w:color="auto" w:sz="4" w:space="0"/>
              <w:bottom w:val="single" w:color="auto" w:sz="4" w:space="0"/>
              <w:right w:val="single" w:color="auto" w:sz="4" w:space="0"/>
            </w:tcBorders>
            <w:vAlign w:val="center"/>
          </w:tcPr>
          <w:p w14:paraId="0C12F83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专业技术人员/高级农艺师</w:t>
            </w:r>
          </w:p>
        </w:tc>
        <w:tc>
          <w:tcPr>
            <w:tcW w:w="1576" w:type="dxa"/>
            <w:tcBorders>
              <w:top w:val="single" w:color="000000" w:sz="2" w:space="0"/>
              <w:left w:val="single" w:color="auto" w:sz="4" w:space="0"/>
              <w:bottom w:val="single" w:color="000000" w:sz="2" w:space="0"/>
              <w:right w:val="single" w:color="auto" w:sz="4" w:space="0"/>
            </w:tcBorders>
            <w:vAlign w:val="center"/>
          </w:tcPr>
          <w:p w14:paraId="2DEDBAE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科普基地管理与建设研究</w:t>
            </w:r>
          </w:p>
        </w:tc>
        <w:tc>
          <w:tcPr>
            <w:tcW w:w="2168" w:type="dxa"/>
            <w:tcBorders>
              <w:top w:val="single" w:color="auto" w:sz="4" w:space="0"/>
              <w:left w:val="single" w:color="auto" w:sz="4" w:space="0"/>
              <w:bottom w:val="single" w:color="auto" w:sz="4" w:space="0"/>
              <w:right w:val="single" w:color="auto" w:sz="4" w:space="0"/>
            </w:tcBorders>
            <w:vAlign w:val="center"/>
          </w:tcPr>
          <w:p w14:paraId="4E281E0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30526E4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w:t>
            </w:r>
            <w:r>
              <w:rPr>
                <w:rFonts w:hint="eastAsia" w:ascii="仿宋_GB2312" w:hAnsi="仿宋_GB2312" w:cs="仿宋_GB2312"/>
                <w:color w:val="auto"/>
                <w:sz w:val="24"/>
                <w:lang w:eastAsia="zh-CN" w:bidi="ar"/>
              </w:rPr>
              <w:t>团体标准</w:t>
            </w:r>
            <w:r>
              <w:rPr>
                <w:rFonts w:hint="eastAsia" w:ascii="仿宋_GB2312" w:hAnsi="仿宋_GB2312" w:eastAsia="仿宋_GB2312" w:cs="仿宋_GB2312"/>
                <w:color w:val="auto"/>
                <w:sz w:val="24"/>
                <w:lang w:bidi="ar"/>
              </w:rPr>
              <w:t>提出修正意见。</w:t>
            </w:r>
          </w:p>
        </w:tc>
      </w:tr>
      <w:tr w14:paraId="405AED00">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31EF428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蒋宏</w:t>
            </w:r>
          </w:p>
        </w:tc>
        <w:tc>
          <w:tcPr>
            <w:tcW w:w="1137" w:type="dxa"/>
            <w:tcBorders>
              <w:top w:val="single" w:color="auto" w:sz="4" w:space="0"/>
              <w:left w:val="single" w:color="auto" w:sz="4" w:space="0"/>
              <w:bottom w:val="single" w:color="auto" w:sz="4" w:space="0"/>
              <w:right w:val="single" w:color="auto" w:sz="4" w:space="0"/>
            </w:tcBorders>
            <w:vAlign w:val="center"/>
          </w:tcPr>
          <w:p w14:paraId="3AE6BE8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专业技术人员/助理农艺师</w:t>
            </w:r>
          </w:p>
        </w:tc>
        <w:tc>
          <w:tcPr>
            <w:tcW w:w="1576" w:type="dxa"/>
            <w:tcBorders>
              <w:top w:val="single" w:color="000000" w:sz="2" w:space="0"/>
              <w:left w:val="single" w:color="auto" w:sz="4" w:space="0"/>
              <w:bottom w:val="single" w:color="000000" w:sz="2" w:space="0"/>
              <w:right w:val="single" w:color="auto" w:sz="4" w:space="0"/>
            </w:tcBorders>
            <w:vAlign w:val="center"/>
          </w:tcPr>
          <w:p w14:paraId="3835157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科普基地管理与建设研究</w:t>
            </w:r>
          </w:p>
        </w:tc>
        <w:tc>
          <w:tcPr>
            <w:tcW w:w="2168" w:type="dxa"/>
            <w:tcBorders>
              <w:top w:val="single" w:color="auto" w:sz="4" w:space="0"/>
              <w:left w:val="single" w:color="auto" w:sz="4" w:space="0"/>
              <w:bottom w:val="single" w:color="auto" w:sz="4" w:space="0"/>
              <w:right w:val="single" w:color="auto" w:sz="4" w:space="0"/>
            </w:tcBorders>
            <w:vAlign w:val="center"/>
          </w:tcPr>
          <w:p w14:paraId="075C197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2A2608B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w:t>
            </w:r>
            <w:r>
              <w:rPr>
                <w:rFonts w:hint="eastAsia" w:ascii="仿宋_GB2312" w:hAnsi="仿宋_GB2312" w:cs="仿宋_GB2312"/>
                <w:color w:val="auto"/>
                <w:sz w:val="24"/>
                <w:lang w:eastAsia="zh-CN" w:bidi="ar"/>
              </w:rPr>
              <w:t>团体标准</w:t>
            </w:r>
            <w:r>
              <w:rPr>
                <w:rFonts w:hint="eastAsia" w:ascii="仿宋_GB2312" w:hAnsi="仿宋_GB2312" w:eastAsia="仿宋_GB2312" w:cs="仿宋_GB2312"/>
                <w:color w:val="auto"/>
                <w:sz w:val="24"/>
                <w:lang w:bidi="ar"/>
              </w:rPr>
              <w:t>提出修正意见。</w:t>
            </w:r>
          </w:p>
        </w:tc>
      </w:tr>
      <w:tr w14:paraId="5C5AADED">
        <w:tblPrEx>
          <w:tblCellMar>
            <w:top w:w="0" w:type="dxa"/>
            <w:left w:w="108" w:type="dxa"/>
            <w:bottom w:w="0" w:type="dxa"/>
            <w:right w:w="108" w:type="dxa"/>
          </w:tblCellMar>
        </w:tblPrEx>
        <w:trPr>
          <w:cantSplit/>
          <w:trHeight w:val="517" w:hRule="atLeast"/>
          <w:jc w:val="center"/>
        </w:trPr>
        <w:tc>
          <w:tcPr>
            <w:tcW w:w="776" w:type="dxa"/>
            <w:tcBorders>
              <w:top w:val="single" w:color="auto" w:sz="4" w:space="0"/>
              <w:left w:val="single" w:color="auto" w:sz="4" w:space="0"/>
              <w:bottom w:val="single" w:color="auto" w:sz="4" w:space="0"/>
              <w:right w:val="single" w:color="008000" w:sz="4" w:space="0"/>
            </w:tcBorders>
            <w:vAlign w:val="center"/>
          </w:tcPr>
          <w:p w14:paraId="23BF8B6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朱鹏锦</w:t>
            </w:r>
          </w:p>
        </w:tc>
        <w:tc>
          <w:tcPr>
            <w:tcW w:w="1137" w:type="dxa"/>
            <w:tcBorders>
              <w:top w:val="single" w:color="auto" w:sz="4" w:space="0"/>
              <w:left w:val="single" w:color="auto" w:sz="4" w:space="0"/>
              <w:bottom w:val="single" w:color="auto" w:sz="4" w:space="0"/>
              <w:right w:val="single" w:color="auto" w:sz="4" w:space="0"/>
            </w:tcBorders>
            <w:vAlign w:val="center"/>
          </w:tcPr>
          <w:p w14:paraId="63A1AA6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主任/高级农艺师</w:t>
            </w:r>
          </w:p>
        </w:tc>
        <w:tc>
          <w:tcPr>
            <w:tcW w:w="1576" w:type="dxa"/>
            <w:tcBorders>
              <w:top w:val="single" w:color="000000" w:sz="2" w:space="0"/>
              <w:left w:val="single" w:color="auto" w:sz="4" w:space="0"/>
              <w:bottom w:val="single" w:color="auto" w:sz="4" w:space="0"/>
              <w:right w:val="single" w:color="auto" w:sz="4" w:space="0"/>
            </w:tcBorders>
            <w:vAlign w:val="center"/>
          </w:tcPr>
          <w:p w14:paraId="3D0C3E0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科普作品创作</w:t>
            </w:r>
          </w:p>
        </w:tc>
        <w:tc>
          <w:tcPr>
            <w:tcW w:w="2168" w:type="dxa"/>
            <w:tcBorders>
              <w:top w:val="single" w:color="auto" w:sz="4" w:space="0"/>
              <w:left w:val="single" w:color="auto" w:sz="4" w:space="0"/>
              <w:bottom w:val="single" w:color="auto" w:sz="4" w:space="0"/>
              <w:right w:val="single" w:color="auto" w:sz="4" w:space="0"/>
            </w:tcBorders>
            <w:vAlign w:val="center"/>
          </w:tcPr>
          <w:p w14:paraId="0FA4CC6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广西壮族自治区亚热带作物研究所</w:t>
            </w:r>
          </w:p>
        </w:tc>
        <w:tc>
          <w:tcPr>
            <w:tcW w:w="3981" w:type="dxa"/>
            <w:tcBorders>
              <w:top w:val="single" w:color="auto" w:sz="4" w:space="0"/>
              <w:left w:val="single" w:color="auto" w:sz="4" w:space="0"/>
              <w:bottom w:val="single" w:color="auto" w:sz="4" w:space="0"/>
              <w:right w:val="single" w:color="auto" w:sz="4" w:space="0"/>
            </w:tcBorders>
            <w:vAlign w:val="center"/>
          </w:tcPr>
          <w:p w14:paraId="3C86CBB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w:t>
            </w:r>
            <w:r>
              <w:rPr>
                <w:rFonts w:hint="eastAsia" w:ascii="仿宋_GB2312" w:hAnsi="仿宋_GB2312" w:cs="仿宋_GB2312"/>
                <w:color w:val="auto"/>
                <w:sz w:val="24"/>
                <w:lang w:eastAsia="zh-CN" w:bidi="ar"/>
              </w:rPr>
              <w:t>团体标准</w:t>
            </w:r>
            <w:r>
              <w:rPr>
                <w:rFonts w:hint="eastAsia" w:ascii="仿宋_GB2312" w:hAnsi="仿宋_GB2312" w:eastAsia="仿宋_GB2312" w:cs="仿宋_GB2312"/>
                <w:color w:val="auto"/>
                <w:sz w:val="24"/>
                <w:lang w:bidi="ar"/>
              </w:rPr>
              <w:t>提出修正意见。</w:t>
            </w:r>
          </w:p>
        </w:tc>
      </w:tr>
    </w:tbl>
    <w:p w14:paraId="1F5998F5">
      <w:pPr>
        <w:pStyle w:val="45"/>
        <w:bidi w:val="0"/>
        <w:rPr>
          <w:rFonts w:ascii="黑体" w:hAnsi="黑体" w:eastAsia="黑体" w:cs="仿宋_GB2312"/>
          <w:color w:val="auto"/>
          <w:szCs w:val="32"/>
          <w:highlight w:val="none"/>
        </w:rPr>
      </w:pPr>
      <w:r>
        <w:rPr>
          <w:rFonts w:hint="eastAsia"/>
          <w:color w:val="auto"/>
          <w:highlight w:val="none"/>
        </w:rPr>
        <w:t>二、制定标准的必要性和意义</w:t>
      </w:r>
    </w:p>
    <w:p w14:paraId="1992649F">
      <w:pPr>
        <w:pStyle w:val="46"/>
        <w:bidi w:val="0"/>
        <w:rPr>
          <w:rFonts w:hint="eastAsia" w:ascii="仿宋_GB2312" w:eastAsia="仿宋_GB2312"/>
          <w:bCs/>
          <w:color w:val="auto"/>
          <w:sz w:val="32"/>
          <w:szCs w:val="32"/>
          <w:highlight w:val="none"/>
        </w:rPr>
      </w:pPr>
      <w:r>
        <w:rPr>
          <w:rFonts w:hint="eastAsia" w:ascii="仿宋_GB2312" w:eastAsia="仿宋_GB2312"/>
          <w:bCs/>
          <w:color w:val="auto"/>
          <w:sz w:val="32"/>
          <w:szCs w:val="32"/>
          <w:highlight w:val="none"/>
        </w:rPr>
        <w:t>可持续发展是当今社会的重要议题，国家十分重视可持续性发展工作，2003年，中共中央国务院发布了《中国21世纪初可持续发展行动纲要》，提出了我国可持续发展的目标、重点领域和保障措施，明确了经济、社会、生态环境等方面的具体发展目标，为各类活动的可持续性发展提供了宏观指导和框架。2024年中共中央国务院发布了《中共中央国务院关于加快经济社会发展全面绿色转型的意见》，明确提出加快形成节约资源和保护环境的空间格局、产业结构、生产方式、生活方式，推动经济社会发展全面绿色转型，从而促进各类活动在绿色、低碳、可持续的轨道上运行。2024年修订的《科普法》新增了“科普活动”章节，规定国家完善科普工作评估体系和公民科学素质监测评估体系，开展科普调查统计和公民科学素质测评，监测和评价科普事业发展成效，这为制定农业科普展览活动可持续性评价指南标准提供了直接的政策依据。《农业农村标准化管理办法》规定了农业农村标准的制定范围，包括农业农村方面的名词术语、通用的指南、方法、管理体系、评价规则等，明确了可以针对农业科普展览活动等制定相应的评价标准，为制定农业科普展览活动可持续性评价指南标准提供了具体的管理办法和规范依据。我国作为农业大国，丰富的农业资源受到越来越多公众的关注，农业科普展览活动是科普农业知识的重要途径，对农业科普展览活动的成效进行科学评估，对促进农业科普事业的繁荣发展、实现农业可持续发展和乡村振兴战略具有重要意义。</w:t>
      </w:r>
    </w:p>
    <w:p w14:paraId="44F7AFFC">
      <w:pPr>
        <w:pStyle w:val="46"/>
        <w:bidi w:val="0"/>
        <w:rPr>
          <w:rFonts w:hint="eastAsia" w:ascii="仿宋_GB2312" w:eastAsia="仿宋_GB2312"/>
          <w:bCs/>
          <w:color w:val="auto"/>
          <w:sz w:val="32"/>
          <w:szCs w:val="32"/>
          <w:highlight w:val="none"/>
        </w:rPr>
      </w:pPr>
      <w:r>
        <w:rPr>
          <w:rFonts w:hint="eastAsia" w:ascii="仿宋_GB2312" w:eastAsia="仿宋_GB2312"/>
          <w:bCs/>
          <w:color w:val="auto"/>
          <w:sz w:val="32"/>
          <w:szCs w:val="32"/>
          <w:highlight w:val="none"/>
        </w:rPr>
        <w:t>制定农业科普展览活动可持续性评价指南标准可以保障农业科普工作长期有效开展，增强知识传播连贯性。农业科普展览活动是农业知识传播的重要载体。可持续性评价指南标准能够确保这些活动不是一次性的、短暂的展示，而是能够长期、稳定地为农民提供新知识、新技术的平台。通过持续地开展高质量的展览活动，农民能够系统地学习农业知识，跟上农业科技发展的步伐。提升农民科学素养的稳定性，长期有效的农业科普展览活动有助于在农村地区形成良好的学习氛围，使农民养成关注农业科技发展的习惯。这对于提升农民整体的科学素养具有深远意义，能够为农业现代化建设培养具有科学思维和实践能力的新型农民。促进农业科技成果转化的持续性，建立科研与应用的长期桥梁。农业科普展览活动是连接农业科研机构和农民的重要纽带。可持续性评价能够促使活动更好地发挥这一桥梁作用，使得农业科技成果能够持续地从实验室走向田间地头。推动农业产业持续升级，持续的科技成果转化能够带动农业生产方式的不断创新和升级。从新品种的推广种植到新型农业机械的应用，再到生态农业模式的普及，这些都有助于提高农业生产效率、增加农产品附加值，从而推动农业产业的持续健康发展。助力农业生态环境可持续发播生态理念。在农业科普展览活动中，通过可持续性评价，可以更好地引导活动内容向生态农业知识倾斜。推动农业科普展览行业健康发展，树立行业标杆，制定可持续性评价指南标准为农业科普展览活动行业树立了质量标杆，使得各个活动组织者能够明确努力的方向。优化行业资源配置，通过对活动可持续性的评价，能够清晰地了解行业内资源的分布和利用情况。这有助于引导资源向更具可持续性和发展潜力的活动倾斜，避免低水平、重复建设的展览活动，促进农业科普展览行业的资源优化配置和健康有序发展。可持续的农业科普展览活动能够让公众深刻认识到农业在保障粮食安全、提供生态服务、促进经济发展等方面发挥重要作用。</w:t>
      </w:r>
    </w:p>
    <w:p w14:paraId="5CC429F8">
      <w:pPr>
        <w:pStyle w:val="46"/>
        <w:bidi w:val="0"/>
        <w:rPr>
          <w:rFonts w:hint="eastAsia" w:ascii="仿宋_GB2312" w:eastAsia="仿宋_GB2312"/>
          <w:bCs/>
          <w:color w:val="auto"/>
          <w:sz w:val="32"/>
          <w:szCs w:val="32"/>
          <w:highlight w:val="none"/>
        </w:rPr>
      </w:pPr>
      <w:r>
        <w:rPr>
          <w:rFonts w:hint="eastAsia" w:ascii="仿宋_GB2312" w:eastAsia="仿宋_GB2312"/>
          <w:bCs/>
          <w:color w:val="auto"/>
          <w:sz w:val="32"/>
          <w:szCs w:val="32"/>
          <w:highlight w:val="none"/>
        </w:rPr>
        <w:t>随着社会对农业科普的重视程度不断提高，可持续发展理念的日益重视，具有可持续性的农业科普展览活动更容易获得公众的认可和支持。农业科普展览活动作为传播农业知识、推广农业技术和促进农业创新的重要平台，其可持续性直接关系到农业发展的长远前景。公众对农业科普展览活动的质量和效果也提出了更高的要求。为了满足公众对农业知识的渴望和需求，农业科普展览活动需要不断创新和发展，以更好地服务于公众，推动着农业科普事业的繁荣发展。通过对农业科普展览活动的各个方面进行可持续性评价，可以指导展览活动在内容上更具有科学性、准确性和时效性，能够真实、全面地反映农业领域的最新知识和技术成果。同时，可持续性评价还关注展览活动的资源利用和环境保护，促使农业科普展览活动更加绿色、环保，符合可持续发展的要求，为农业科普的长期开展奠定基础，进一步推动了农业科普创作与传播的需求。农业科普展览活动的可持续性发展对于创作高质量的科普作品、提升公众对农业科学的认识和兴趣和促进环境保护意识的普及意义重大。</w:t>
      </w:r>
    </w:p>
    <w:p w14:paraId="040FD544">
      <w:pPr>
        <w:pStyle w:val="46"/>
        <w:bidi w:val="0"/>
        <w:rPr>
          <w:rFonts w:hint="eastAsia" w:ascii="仿宋_GB2312" w:eastAsia="仿宋_GB2312"/>
          <w:bCs/>
          <w:color w:val="auto"/>
          <w:sz w:val="32"/>
          <w:szCs w:val="32"/>
          <w:highlight w:val="none"/>
        </w:rPr>
      </w:pPr>
      <w:r>
        <w:rPr>
          <w:rFonts w:hint="eastAsia" w:ascii="仿宋_GB2312" w:eastAsia="仿宋_GB2312"/>
          <w:bCs/>
          <w:color w:val="auto"/>
          <w:sz w:val="32"/>
          <w:szCs w:val="32"/>
          <w:highlight w:val="none"/>
        </w:rPr>
        <w:t>据悉，全国各地每年都举办许多场科普展览活动，包括大型、小型等，如2024年全国科普日活动：于9月15日至25日举行，全国各地同步开展各类科普活动10万余场，主场活动在国家科技传播中心、中国科学技术馆开展，包括“千馆展览探未来”“万场报告话前沿”“千万IP创科普”3项重点活动，学会、科普阵地、高校、企业、园区等8个联合行动，以及各部门、各地区、各单位打造的活动；2024“AI星球奇遇记”流动科普展全国巡展：由中国科技馆等单位主办，覆盖北京、江苏、福建、山东、湖南、广东、四川7个省份，设置14个巡展站点；2024 年全国优秀科普展品巡展暨流动科技馆进基层活动：9月20—23日在新疆自治区塔城地区沙湾市举办，由科技部主办，12家单位组成的近40人的科普服务团队，通过多种沉浸式科普教育活动，重点面向青少年群体开展科普宣传和科学教育；2024年“中国航天日”航天科普系列展览：4月24日在湖北武汉的武汉国际会展中心向公众开放，展览分为科普展区、航天产业成就展区，总面积17000平米。近年来，国家、社会、人民对科普展览活动越来越重视，每年开展的科普展览活动也越来越多。农业科普展览活动作为科普展览活动的重要组成成分，在开展活动时需要消耗一定的资源，并对环境产生持续的影响。</w:t>
      </w:r>
    </w:p>
    <w:p w14:paraId="40355FAC">
      <w:pPr>
        <w:pStyle w:val="46"/>
        <w:bidi w:val="0"/>
        <w:rPr>
          <w:rFonts w:ascii="仿宋_GB2312" w:hAnsi="宋体" w:eastAsia="仿宋_GB2312"/>
          <w:color w:val="auto"/>
          <w:sz w:val="32"/>
          <w:szCs w:val="28"/>
          <w:highlight w:val="none"/>
        </w:rPr>
      </w:pPr>
      <w:r>
        <w:rPr>
          <w:rFonts w:hint="eastAsia" w:ascii="仿宋_GB2312" w:eastAsia="仿宋_GB2312"/>
          <w:bCs/>
          <w:color w:val="auto"/>
          <w:sz w:val="32"/>
          <w:szCs w:val="32"/>
          <w:highlight w:val="none"/>
        </w:rPr>
        <w:t>为进一步加强农业科普展览活动可持续性评价指南管理工作，提升科普服务，通过制定团体标准《农业科普展览活动可持续性评价指南》，以标准为抓手</w:t>
      </w:r>
      <w:r>
        <w:rPr>
          <w:rFonts w:hint="eastAsia" w:ascii="仿宋_GB2312"/>
          <w:bCs/>
          <w:color w:val="auto"/>
          <w:sz w:val="32"/>
          <w:szCs w:val="32"/>
          <w:highlight w:val="none"/>
          <w:lang w:eastAsia="zh-CN"/>
        </w:rPr>
        <w:t>，</w:t>
      </w:r>
      <w:r>
        <w:rPr>
          <w:rFonts w:hint="eastAsia" w:ascii="仿宋_GB2312"/>
          <w:bCs/>
          <w:color w:val="auto"/>
          <w:sz w:val="32"/>
          <w:szCs w:val="32"/>
          <w:highlight w:val="none"/>
          <w:lang w:val="en-US" w:eastAsia="zh-CN"/>
        </w:rPr>
        <w:t>统一</w:t>
      </w:r>
      <w:r>
        <w:rPr>
          <w:rFonts w:hint="eastAsia" w:ascii="仿宋_GB2312" w:eastAsia="仿宋_GB2312"/>
          <w:bCs/>
          <w:color w:val="auto"/>
          <w:sz w:val="32"/>
          <w:szCs w:val="32"/>
          <w:highlight w:val="none"/>
        </w:rPr>
        <w:t>规范农业科普展览活动可持续性评价指南要求，</w:t>
      </w:r>
      <w:r>
        <w:rPr>
          <w:rFonts w:hint="eastAsia" w:ascii="仿宋_GB2312" w:hAnsi="宋体" w:eastAsia="仿宋_GB2312"/>
          <w:color w:val="auto"/>
          <w:sz w:val="32"/>
          <w:szCs w:val="28"/>
          <w:highlight w:val="none"/>
        </w:rPr>
        <w:t>用标准化和规范化将更好的确保</w:t>
      </w:r>
      <w:r>
        <w:rPr>
          <w:rFonts w:hint="eastAsia" w:ascii="仿宋_GB2312" w:eastAsia="仿宋_GB2312"/>
          <w:bCs/>
          <w:color w:val="auto"/>
          <w:sz w:val="32"/>
          <w:szCs w:val="32"/>
          <w:highlight w:val="none"/>
        </w:rPr>
        <w:t>农业科普展览活动可持续性评价指南</w:t>
      </w:r>
      <w:r>
        <w:rPr>
          <w:rFonts w:hint="eastAsia" w:ascii="仿宋_GB2312" w:hAnsi="宋体" w:eastAsia="仿宋_GB2312"/>
          <w:color w:val="auto"/>
          <w:sz w:val="32"/>
          <w:szCs w:val="28"/>
          <w:highlight w:val="none"/>
        </w:rPr>
        <w:t>要求，</w:t>
      </w:r>
      <w:r>
        <w:rPr>
          <w:rFonts w:hint="eastAsia" w:ascii="仿宋_GB2312" w:eastAsia="仿宋_GB2312"/>
          <w:bCs/>
          <w:color w:val="auto"/>
          <w:sz w:val="32"/>
          <w:szCs w:val="32"/>
          <w:highlight w:val="none"/>
        </w:rPr>
        <w:t>对推动农业知识科普传播，提升农业科普展览活动可持续性评价指南的质量和水平，促进科普事业的健康发展，为公众提供更加优质、可靠的科普服务具有重要意义。</w:t>
      </w:r>
    </w:p>
    <w:p w14:paraId="1FFD5AC1">
      <w:pPr>
        <w:pStyle w:val="45"/>
        <w:bidi w:val="0"/>
        <w:rPr>
          <w:rFonts w:ascii="黑体" w:hAnsi="黑体" w:eastAsia="黑体" w:cs="仿宋_GB2312"/>
          <w:color w:val="auto"/>
          <w:szCs w:val="32"/>
        </w:rPr>
      </w:pPr>
      <w:r>
        <w:rPr>
          <w:rFonts w:hint="eastAsia"/>
          <w:color w:val="auto"/>
        </w:rPr>
        <w:t>三、主要起草过程</w:t>
      </w:r>
    </w:p>
    <w:p w14:paraId="1FA3FB49">
      <w:pPr>
        <w:pStyle w:val="47"/>
        <w:bidi w:val="0"/>
        <w:rPr>
          <w:rFonts w:ascii="楷体" w:hAnsi="楷体" w:eastAsia="楷体"/>
          <w:color w:val="auto"/>
          <w:szCs w:val="28"/>
        </w:rPr>
      </w:pPr>
      <w:r>
        <w:rPr>
          <w:rFonts w:hint="eastAsia"/>
          <w:color w:val="auto"/>
        </w:rPr>
        <w:t>（一）成立标准编制工作组</w:t>
      </w:r>
    </w:p>
    <w:p w14:paraId="431CDFCC">
      <w:pPr>
        <w:pStyle w:val="46"/>
        <w:bidi w:val="0"/>
        <w:rPr>
          <w:rFonts w:ascii="仿宋_GB2312" w:hAnsi="宋体" w:eastAsia="仿宋_GB2312"/>
          <w:color w:val="auto"/>
          <w:sz w:val="32"/>
          <w:szCs w:val="28"/>
        </w:rPr>
      </w:pPr>
      <w:r>
        <w:rPr>
          <w:rFonts w:hint="eastAsia" w:ascii="仿宋_GB2312" w:hAnsi="宋体" w:eastAsia="仿宋_GB2312"/>
          <w:color w:val="auto"/>
          <w:sz w:val="32"/>
          <w:szCs w:val="28"/>
        </w:rPr>
        <w:t>团</w:t>
      </w:r>
      <w:r>
        <w:rPr>
          <w:rFonts w:hint="eastAsia" w:ascii="仿宋_GB2312" w:hAnsi="宋体" w:eastAsia="仿宋_GB2312"/>
          <w:color w:val="auto"/>
          <w:sz w:val="32"/>
          <w:szCs w:val="28"/>
          <w:highlight w:val="none"/>
        </w:rPr>
        <w:t>体标准《</w:t>
      </w:r>
      <w:r>
        <w:rPr>
          <w:rFonts w:hint="eastAsia" w:ascii="仿宋_GB2312" w:eastAsia="仿宋_GB2312"/>
          <w:bCs/>
          <w:color w:val="auto"/>
          <w:sz w:val="32"/>
          <w:szCs w:val="32"/>
          <w:highlight w:val="none"/>
        </w:rPr>
        <w:t>农业科普展览活动可持续性评价指南</w:t>
      </w:r>
      <w:r>
        <w:rPr>
          <w:rFonts w:hint="eastAsia" w:ascii="仿宋_GB2312" w:hAnsi="宋体" w:eastAsia="仿宋_GB2312"/>
          <w:color w:val="auto"/>
          <w:sz w:val="32"/>
          <w:szCs w:val="28"/>
          <w:highlight w:val="none"/>
        </w:rPr>
        <w:t>》项目任务下达后，广西壮族自治区农业科学院成立了标准编制工作组，起草单位制定了起草编写方案与进度安排，明确任务职</w:t>
      </w:r>
      <w:r>
        <w:rPr>
          <w:rFonts w:hint="eastAsia" w:ascii="仿宋_GB2312" w:hAnsi="宋体" w:eastAsia="仿宋_GB2312"/>
          <w:color w:val="auto"/>
          <w:sz w:val="32"/>
          <w:szCs w:val="28"/>
        </w:rPr>
        <w:t>责，确定工作技术路线，开展标准研制工作。具体标准编制工作由广西壮族自治区亚热带作物研究所、广西标准化协会、农业农村部科技发展中心</w:t>
      </w:r>
      <w:r>
        <w:rPr>
          <w:rFonts w:hint="eastAsia"/>
          <w:color w:val="auto"/>
          <w:highlight w:val="none"/>
        </w:rPr>
        <w:t>、</w:t>
      </w:r>
      <w:r>
        <w:rPr>
          <w:rFonts w:hint="eastAsia" w:ascii="仿宋_GB2312" w:hAnsi="宋体" w:eastAsia="仿宋_GB2312"/>
          <w:color w:val="auto"/>
          <w:sz w:val="32"/>
          <w:szCs w:val="28"/>
          <w:highlight w:val="none"/>
        </w:rPr>
        <w:t>云</w:t>
      </w:r>
      <w:r>
        <w:rPr>
          <w:rFonts w:hint="eastAsia" w:ascii="仿宋_GB2312" w:hAnsi="宋体" w:eastAsia="仿宋_GB2312"/>
          <w:color w:val="auto"/>
          <w:sz w:val="32"/>
          <w:szCs w:val="28"/>
        </w:rPr>
        <w:t>南省热带作物科学研究所等单位负责人组成的标准编制工作组完成。</w:t>
      </w:r>
    </w:p>
    <w:p w14:paraId="6F22378E">
      <w:pPr>
        <w:pStyle w:val="46"/>
        <w:bidi w:val="0"/>
        <w:rPr>
          <w:color w:val="auto"/>
        </w:rPr>
      </w:pPr>
      <w:r>
        <w:rPr>
          <w:rFonts w:hint="eastAsia"/>
          <w:color w:val="auto"/>
        </w:rPr>
        <w:t>编制工作组下设三个组，分别是资料收集组、草案编写组、标准实施组。</w:t>
      </w:r>
    </w:p>
    <w:p w14:paraId="283A60CF">
      <w:pPr>
        <w:pStyle w:val="46"/>
        <w:bidi w:val="0"/>
        <w:rPr>
          <w:color w:val="auto"/>
        </w:rPr>
      </w:pPr>
      <w:r>
        <w:rPr>
          <w:rFonts w:hint="eastAsia"/>
          <w:color w:val="auto"/>
        </w:rPr>
        <w:t>资料收集组负责国内外有关</w:t>
      </w:r>
      <w:r>
        <w:rPr>
          <w:rFonts w:hint="eastAsia" w:ascii="仿宋_GB2312" w:eastAsia="仿宋_GB2312"/>
          <w:bCs/>
          <w:color w:val="auto"/>
          <w:sz w:val="32"/>
          <w:szCs w:val="32"/>
          <w:highlight w:val="none"/>
        </w:rPr>
        <w:t>农业科普展览活动可持续性评价</w:t>
      </w:r>
      <w:r>
        <w:rPr>
          <w:rFonts w:hint="eastAsia"/>
          <w:color w:val="auto"/>
        </w:rPr>
        <w:t>的文献资料的查询、收集和整理工作，查阅前人对</w:t>
      </w:r>
      <w:r>
        <w:rPr>
          <w:rFonts w:hint="eastAsia" w:ascii="仿宋_GB2312" w:eastAsia="仿宋_GB2312"/>
          <w:bCs/>
          <w:color w:val="auto"/>
          <w:sz w:val="32"/>
          <w:szCs w:val="32"/>
          <w:highlight w:val="none"/>
        </w:rPr>
        <w:t>农业科普展览活动可持续性评价</w:t>
      </w:r>
      <w:r>
        <w:rPr>
          <w:rFonts w:hint="eastAsia"/>
          <w:color w:val="auto"/>
        </w:rPr>
        <w:t>的研究情况。</w:t>
      </w:r>
    </w:p>
    <w:p w14:paraId="171DB1AF">
      <w:pPr>
        <w:pStyle w:val="46"/>
        <w:bidi w:val="0"/>
        <w:rPr>
          <w:color w:val="auto"/>
        </w:rPr>
      </w:pPr>
      <w:r>
        <w:rPr>
          <w:rFonts w:hint="eastAsia"/>
          <w:color w:val="auto"/>
        </w:rPr>
        <w:t>草案编写组负责起草标准草案、征求意见稿和标准编制说明、送审稿及编制说明的编写工作，包括后期召开征求意见会、网上征求意见，以及标准的不断修改和完善。</w:t>
      </w:r>
    </w:p>
    <w:p w14:paraId="67A7FF75">
      <w:pPr>
        <w:pStyle w:val="46"/>
        <w:bidi w:val="0"/>
        <w:rPr>
          <w:color w:val="auto"/>
        </w:rPr>
      </w:pPr>
      <w:r>
        <w:rPr>
          <w:rFonts w:hint="eastAsia"/>
          <w:color w:val="auto"/>
        </w:rPr>
        <w:t>标准实施组负责团体标准《</w:t>
      </w:r>
      <w:r>
        <w:rPr>
          <w:rFonts w:hint="eastAsia" w:ascii="仿宋_GB2312" w:eastAsia="仿宋_GB2312"/>
          <w:bCs/>
          <w:color w:val="auto"/>
          <w:sz w:val="32"/>
          <w:szCs w:val="32"/>
          <w:highlight w:val="none"/>
        </w:rPr>
        <w:t>农业科普展览活动可持续性评价指南</w:t>
      </w:r>
      <w:r>
        <w:rPr>
          <w:rFonts w:hint="eastAsia"/>
          <w:color w:val="auto"/>
        </w:rPr>
        <w:t>》发布后，组织相关企事业单位开展标准宣贯培训会，对标准进行详细解读，让相关人员了解标准，并根据标准对农业科普展览活动可持续性评价进行规范化操作，并对标准实施情况进行总结分析，不断对团体标准提出修正意见。</w:t>
      </w:r>
    </w:p>
    <w:p w14:paraId="7EB71267">
      <w:pPr>
        <w:pStyle w:val="47"/>
        <w:bidi w:val="0"/>
        <w:rPr>
          <w:rFonts w:ascii="楷体" w:hAnsi="楷体" w:eastAsia="楷体" w:cs="仿宋_GB2312"/>
          <w:b/>
          <w:color w:val="auto"/>
          <w:szCs w:val="28"/>
          <w:highlight w:val="none"/>
        </w:rPr>
      </w:pPr>
      <w:r>
        <w:rPr>
          <w:rFonts w:hint="eastAsia"/>
          <w:color w:val="auto"/>
          <w:highlight w:val="none"/>
        </w:rPr>
        <w:t>（二）收集整理文献资料</w:t>
      </w:r>
    </w:p>
    <w:p w14:paraId="0A3381F0">
      <w:pPr>
        <w:pStyle w:val="46"/>
        <w:bidi w:val="0"/>
        <w:rPr>
          <w:rFonts w:ascii="仿宋_GB2312" w:hAnsi="宋体" w:eastAsia="仿宋_GB2312"/>
          <w:color w:val="auto"/>
          <w:sz w:val="32"/>
          <w:szCs w:val="28"/>
          <w:lang w:val="fr-FR"/>
        </w:rPr>
      </w:pPr>
      <w:r>
        <w:rPr>
          <w:rFonts w:hint="eastAsia" w:ascii="仿宋_GB2312" w:hAnsi="宋体" w:eastAsia="仿宋_GB2312"/>
          <w:color w:val="auto"/>
          <w:sz w:val="32"/>
          <w:szCs w:val="28"/>
        </w:rPr>
        <w:t>标准编制工作组收集了国内有关</w:t>
      </w:r>
      <w:r>
        <w:rPr>
          <w:rFonts w:hint="eastAsia" w:ascii="仿宋_GB2312" w:eastAsia="仿宋_GB2312"/>
          <w:bCs/>
          <w:color w:val="auto"/>
          <w:sz w:val="32"/>
          <w:szCs w:val="32"/>
          <w:highlight w:val="none"/>
        </w:rPr>
        <w:t>农业科普展览活动可持续性评价</w:t>
      </w:r>
      <w:r>
        <w:rPr>
          <w:rFonts w:hint="eastAsia" w:ascii="仿宋_GB2312" w:hAnsi="宋体" w:eastAsia="仿宋_GB2312"/>
          <w:color w:val="auto"/>
          <w:sz w:val="32"/>
          <w:szCs w:val="28"/>
        </w:rPr>
        <w:t>相关文献资料。主要有</w:t>
      </w:r>
      <w:r>
        <w:rPr>
          <w:rFonts w:hint="eastAsia" w:ascii="仿宋_GB2312" w:hAnsi="宋体" w:eastAsia="仿宋_GB2312"/>
          <w:color w:val="auto"/>
          <w:sz w:val="32"/>
          <w:szCs w:val="28"/>
          <w:lang w:val="fr-FR"/>
        </w:rPr>
        <w:t>：</w:t>
      </w:r>
    </w:p>
    <w:p w14:paraId="5E21C29F">
      <w:pPr>
        <w:pStyle w:val="46"/>
        <w:bidi w:val="0"/>
        <w:rPr>
          <w:rFonts w:hint="eastAsia"/>
          <w:color w:val="auto"/>
          <w:highlight w:val="none"/>
          <w:lang w:eastAsia="zh-CN"/>
        </w:rPr>
      </w:pPr>
      <w:r>
        <w:rPr>
          <w:rFonts w:hint="eastAsia"/>
          <w:color w:val="auto"/>
          <w:highlight w:val="none"/>
          <w:lang w:eastAsia="zh-CN"/>
        </w:rPr>
        <w:t xml:space="preserve">[1]GB/T 31045  </w:t>
      </w:r>
      <w:r>
        <w:rPr>
          <w:rFonts w:hint="eastAsia"/>
          <w:color w:val="auto"/>
          <w:highlight w:val="none"/>
          <w:lang w:val="en-US" w:eastAsia="zh-CN"/>
        </w:rPr>
        <w:t>品牌</w:t>
      </w:r>
      <w:r>
        <w:rPr>
          <w:rFonts w:hint="eastAsia"/>
          <w:color w:val="auto"/>
          <w:highlight w:val="none"/>
          <w:lang w:eastAsia="zh-CN"/>
        </w:rPr>
        <w:t>价值评价</w:t>
      </w:r>
      <w:r>
        <w:rPr>
          <w:rFonts w:hint="eastAsia"/>
          <w:color w:val="auto"/>
          <w:highlight w:val="none"/>
          <w:lang w:val="en-US" w:eastAsia="zh-CN"/>
        </w:rPr>
        <w:t xml:space="preserve">  </w:t>
      </w:r>
      <w:r>
        <w:rPr>
          <w:rFonts w:hint="eastAsia"/>
          <w:color w:val="auto"/>
          <w:highlight w:val="none"/>
          <w:lang w:eastAsia="zh-CN"/>
        </w:rPr>
        <w:t>农产品</w:t>
      </w:r>
    </w:p>
    <w:p w14:paraId="10FD6CFC">
      <w:pPr>
        <w:pStyle w:val="46"/>
        <w:bidi w:val="0"/>
        <w:rPr>
          <w:rFonts w:hint="eastAsia"/>
          <w:color w:val="auto"/>
          <w:highlight w:val="none"/>
          <w:lang w:eastAsia="zh-CN"/>
        </w:rPr>
      </w:pPr>
      <w:r>
        <w:rPr>
          <w:rFonts w:hint="eastAsia"/>
          <w:color w:val="auto"/>
          <w:highlight w:val="none"/>
          <w:lang w:eastAsia="zh-CN"/>
        </w:rPr>
        <w:t xml:space="preserve">[2]GB/T 33170 </w:t>
      </w:r>
      <w:r>
        <w:rPr>
          <w:rFonts w:hint="eastAsia"/>
          <w:color w:val="auto"/>
          <w:highlight w:val="none"/>
          <w:lang w:val="en-US" w:eastAsia="zh-CN"/>
        </w:rPr>
        <w:t xml:space="preserve"> </w:t>
      </w:r>
      <w:r>
        <w:rPr>
          <w:rFonts w:hint="eastAsia"/>
          <w:color w:val="auto"/>
          <w:highlight w:val="none"/>
          <w:lang w:eastAsia="zh-CN"/>
        </w:rPr>
        <w:t>大型活动安全要求</w:t>
      </w:r>
    </w:p>
    <w:p w14:paraId="2FADB21B">
      <w:pPr>
        <w:pStyle w:val="46"/>
        <w:bidi w:val="0"/>
        <w:rPr>
          <w:rFonts w:hint="eastAsia"/>
          <w:color w:val="auto"/>
          <w:highlight w:val="none"/>
          <w:lang w:eastAsia="zh-CN"/>
        </w:rPr>
      </w:pPr>
      <w:r>
        <w:rPr>
          <w:rFonts w:hint="eastAsia"/>
          <w:color w:val="auto"/>
          <w:highlight w:val="none"/>
          <w:lang w:eastAsia="zh-CN"/>
        </w:rPr>
        <w:t xml:space="preserve">[3]GB/T 40248 </w:t>
      </w:r>
      <w:r>
        <w:rPr>
          <w:rFonts w:hint="eastAsia"/>
          <w:color w:val="auto"/>
          <w:highlight w:val="none"/>
          <w:lang w:val="en-US" w:eastAsia="zh-CN"/>
        </w:rPr>
        <w:t xml:space="preserve"> </w:t>
      </w:r>
      <w:r>
        <w:rPr>
          <w:rFonts w:hint="eastAsia"/>
          <w:color w:val="auto"/>
          <w:highlight w:val="none"/>
          <w:lang w:eastAsia="zh-CN"/>
        </w:rPr>
        <w:t>人员密集场所消防安全管理</w:t>
      </w:r>
    </w:p>
    <w:p w14:paraId="6205C666">
      <w:pPr>
        <w:pStyle w:val="46"/>
        <w:bidi w:val="0"/>
        <w:rPr>
          <w:rFonts w:hint="eastAsia"/>
          <w:color w:val="auto"/>
          <w:highlight w:val="none"/>
          <w:lang w:eastAsia="zh-CN"/>
        </w:rPr>
      </w:pPr>
      <w:r>
        <w:rPr>
          <w:rFonts w:hint="eastAsia"/>
          <w:color w:val="auto"/>
          <w:highlight w:val="none"/>
          <w:lang w:eastAsia="zh-CN"/>
        </w:rPr>
        <w:t>[4]GB/T 41370  农业技术推广社会化服务效果评价方法</w:t>
      </w:r>
    </w:p>
    <w:p w14:paraId="64766D1B">
      <w:pPr>
        <w:pStyle w:val="46"/>
        <w:bidi w:val="0"/>
        <w:rPr>
          <w:rFonts w:hint="eastAsia"/>
          <w:color w:val="auto"/>
          <w:highlight w:val="none"/>
          <w:lang w:eastAsia="zh-CN"/>
        </w:rPr>
      </w:pPr>
      <w:r>
        <w:rPr>
          <w:rFonts w:hint="eastAsia"/>
          <w:color w:val="auto"/>
          <w:highlight w:val="none"/>
          <w:lang w:eastAsia="zh-CN"/>
        </w:rPr>
        <w:t>[5]GB/T 44160  大型活动可持续性评价指南</w:t>
      </w:r>
    </w:p>
    <w:p w14:paraId="5E1B2DB0">
      <w:pPr>
        <w:pStyle w:val="46"/>
        <w:bidi w:val="0"/>
        <w:rPr>
          <w:rFonts w:hint="eastAsia"/>
          <w:color w:val="auto"/>
          <w:highlight w:val="none"/>
          <w:lang w:eastAsia="zh-CN"/>
        </w:rPr>
      </w:pPr>
      <w:r>
        <w:rPr>
          <w:rFonts w:hint="eastAsia"/>
          <w:color w:val="auto"/>
          <w:highlight w:val="none"/>
          <w:lang w:eastAsia="zh-CN"/>
        </w:rPr>
        <w:t>[6]GB/T 47178  科普展教服务提供者基本要求</w:t>
      </w:r>
    </w:p>
    <w:p w14:paraId="3B86BED2">
      <w:pPr>
        <w:pStyle w:val="46"/>
        <w:bidi w:val="0"/>
        <w:rPr>
          <w:rFonts w:hint="eastAsia"/>
          <w:color w:val="auto"/>
          <w:highlight w:val="none"/>
          <w:lang w:eastAsia="zh-CN"/>
        </w:rPr>
      </w:pPr>
      <w:r>
        <w:rPr>
          <w:rFonts w:hint="eastAsia"/>
          <w:color w:val="auto"/>
          <w:highlight w:val="none"/>
          <w:lang w:eastAsia="zh-CN"/>
        </w:rPr>
        <w:t>[7]GB/T 47179  科普教育基地服务基本要求</w:t>
      </w:r>
    </w:p>
    <w:p w14:paraId="46419D14">
      <w:pPr>
        <w:pStyle w:val="46"/>
        <w:bidi w:val="0"/>
        <w:rPr>
          <w:rFonts w:hint="eastAsia"/>
          <w:color w:val="auto"/>
          <w:highlight w:val="none"/>
          <w:lang w:eastAsia="zh-CN"/>
        </w:rPr>
      </w:pPr>
      <w:r>
        <w:rPr>
          <w:rFonts w:hint="eastAsia"/>
          <w:color w:val="auto"/>
          <w:highlight w:val="none"/>
          <w:lang w:eastAsia="zh-CN"/>
        </w:rPr>
        <w:t>[8]T/GXAS 1174  农业科普展览活动管理规范</w:t>
      </w:r>
    </w:p>
    <w:p w14:paraId="18E28A54">
      <w:pPr>
        <w:pStyle w:val="46"/>
        <w:bidi w:val="0"/>
        <w:rPr>
          <w:rFonts w:hint="eastAsia"/>
          <w:color w:val="auto"/>
          <w:highlight w:val="none"/>
          <w:lang w:eastAsia="zh-CN"/>
        </w:rPr>
      </w:pPr>
      <w:r>
        <w:rPr>
          <w:rFonts w:hint="eastAsia"/>
          <w:color w:val="auto"/>
          <w:highlight w:val="none"/>
          <w:lang w:eastAsia="zh-CN"/>
        </w:rPr>
        <w:t>[9]宋冰雪.基于循环经济理论的绿色会展评价指标体系与综合评价方法研究[D].东北财经大学,2010.</w:t>
      </w:r>
    </w:p>
    <w:p w14:paraId="189A06C1">
      <w:pPr>
        <w:pStyle w:val="46"/>
        <w:bidi w:val="0"/>
        <w:rPr>
          <w:rFonts w:hint="eastAsia"/>
          <w:color w:val="auto"/>
          <w:highlight w:val="none"/>
          <w:lang w:eastAsia="zh-CN"/>
        </w:rPr>
      </w:pPr>
      <w:r>
        <w:rPr>
          <w:rFonts w:hint="eastAsia"/>
          <w:color w:val="auto"/>
          <w:highlight w:val="none"/>
          <w:lang w:eastAsia="zh-CN"/>
        </w:rPr>
        <w:t>[10]蔡萌,格林斯·迈克凯恩,唐佳妮.国际绿色会展的概念与实践评述[J].上海对外经贸大学学报,2015,22(04):37-47.</w:t>
      </w:r>
    </w:p>
    <w:p w14:paraId="007A6E27">
      <w:pPr>
        <w:pStyle w:val="46"/>
        <w:bidi w:val="0"/>
        <w:rPr>
          <w:rFonts w:hint="eastAsia"/>
          <w:color w:val="auto"/>
          <w:highlight w:val="none"/>
          <w:lang w:eastAsia="zh-CN"/>
        </w:rPr>
      </w:pPr>
      <w:r>
        <w:rPr>
          <w:rFonts w:hint="eastAsia"/>
          <w:color w:val="auto"/>
          <w:highlight w:val="none"/>
          <w:lang w:eastAsia="zh-CN"/>
        </w:rPr>
        <w:t>[11]栢豪,蔡礼彬.低碳会展及其评价指标体系构建研究[J].山东社会科学,2015,(03):162-166.</w:t>
      </w:r>
    </w:p>
    <w:p w14:paraId="69CEF791">
      <w:pPr>
        <w:pStyle w:val="46"/>
        <w:bidi w:val="0"/>
        <w:rPr>
          <w:rFonts w:hint="eastAsia"/>
          <w:color w:val="auto"/>
          <w:highlight w:val="none"/>
          <w:lang w:eastAsia="zh-CN"/>
        </w:rPr>
      </w:pPr>
      <w:r>
        <w:rPr>
          <w:rFonts w:hint="eastAsia"/>
          <w:color w:val="auto"/>
          <w:highlight w:val="none"/>
          <w:lang w:eastAsia="zh-CN"/>
        </w:rPr>
        <w:t>[12]吴晓涛.打造绿色展会,共创绿色会展梦[J].现代装饰(理论),2015,(08):191.</w:t>
      </w:r>
    </w:p>
    <w:p w14:paraId="7CC81FA3">
      <w:pPr>
        <w:pStyle w:val="46"/>
        <w:bidi w:val="0"/>
        <w:rPr>
          <w:rFonts w:hint="eastAsia"/>
          <w:color w:val="auto"/>
          <w:highlight w:val="none"/>
          <w:lang w:eastAsia="zh-CN"/>
        </w:rPr>
      </w:pPr>
      <w:r>
        <w:rPr>
          <w:rFonts w:hint="eastAsia"/>
          <w:color w:val="auto"/>
          <w:highlight w:val="none"/>
          <w:lang w:eastAsia="zh-CN"/>
        </w:rPr>
        <w:t>[13]蔡礼彬,司玲.会展可持续发展评价指标之构建——以广交会为例[J].广州大学学报(社会科学版),2016,15(01):73-81.</w:t>
      </w:r>
    </w:p>
    <w:p w14:paraId="630435B0">
      <w:pPr>
        <w:spacing w:before="156" w:beforeLines="50" w:after="156" w:afterLines="50" w:line="560" w:lineRule="exact"/>
        <w:ind w:firstLine="643" w:firstLineChars="200"/>
        <w:rPr>
          <w:rFonts w:ascii="楷体" w:hAnsi="楷体" w:eastAsia="楷体" w:cs="仿宋_GB2312"/>
          <w:b/>
          <w:color w:val="auto"/>
          <w:sz w:val="32"/>
          <w:szCs w:val="28"/>
          <w:highlight w:val="none"/>
        </w:rPr>
      </w:pPr>
      <w:r>
        <w:rPr>
          <w:rFonts w:hint="eastAsia" w:ascii="楷体" w:hAnsi="楷体" w:eastAsia="楷体" w:cs="仿宋_GB2312"/>
          <w:b/>
          <w:color w:val="auto"/>
          <w:sz w:val="32"/>
          <w:szCs w:val="28"/>
          <w:highlight w:val="none"/>
        </w:rPr>
        <w:t>（三）研讨确定标准</w:t>
      </w:r>
      <w:r>
        <w:rPr>
          <w:rFonts w:hint="eastAsia" w:ascii="楷体" w:hAnsi="楷体" w:eastAsia="楷体" w:cs="仿宋_GB2312"/>
          <w:b/>
          <w:color w:val="auto"/>
          <w:sz w:val="32"/>
          <w:szCs w:val="28"/>
          <w:highlight w:val="none"/>
          <w:lang w:eastAsia="zh-CN"/>
        </w:rPr>
        <w:t>特色、创新点和</w:t>
      </w:r>
      <w:r>
        <w:rPr>
          <w:rFonts w:hint="eastAsia" w:ascii="楷体" w:hAnsi="楷体" w:eastAsia="楷体" w:cs="仿宋_GB2312"/>
          <w:b/>
          <w:color w:val="auto"/>
          <w:sz w:val="32"/>
          <w:szCs w:val="28"/>
          <w:highlight w:val="none"/>
        </w:rPr>
        <w:t>主体内容</w:t>
      </w:r>
    </w:p>
    <w:p w14:paraId="36547C4D">
      <w:pPr>
        <w:pStyle w:val="48"/>
        <w:bidi w:val="0"/>
        <w:rPr>
          <w:rFonts w:hint="eastAsia"/>
          <w:color w:val="auto"/>
          <w:lang w:val="en-US" w:eastAsia="zh-CN"/>
        </w:rPr>
      </w:pPr>
      <w:r>
        <w:rPr>
          <w:rFonts w:hint="eastAsia"/>
          <w:color w:val="auto"/>
          <w:lang w:val="en-US" w:eastAsia="zh-CN"/>
        </w:rPr>
        <w:t>1.特色</w:t>
      </w:r>
    </w:p>
    <w:p w14:paraId="6C8A438B">
      <w:pPr>
        <w:ind w:firstLine="640"/>
        <w:rPr>
          <w:rFonts w:ascii="仿宋_GB2312" w:hAnsi="宋体"/>
          <w:color w:val="auto"/>
          <w:szCs w:val="28"/>
        </w:rPr>
      </w:pPr>
      <w:r>
        <w:rPr>
          <w:rFonts w:hint="eastAsia" w:ascii="仿宋_GB2312" w:hAnsi="宋体"/>
          <w:color w:val="auto"/>
          <w:szCs w:val="28"/>
        </w:rPr>
        <w:t>本</w:t>
      </w:r>
      <w:r>
        <w:rPr>
          <w:rFonts w:ascii="仿宋_GB2312" w:hAnsi="宋体"/>
          <w:color w:val="auto"/>
          <w:szCs w:val="28"/>
        </w:rPr>
        <w:t>标准依托</w:t>
      </w:r>
      <w:r>
        <w:rPr>
          <w:rFonts w:hint="eastAsia" w:ascii="仿宋_GB2312" w:hAnsi="宋体"/>
          <w:color w:val="auto"/>
          <w:szCs w:val="28"/>
        </w:rPr>
        <w:t>于广西壮族自治区亚热带作物研究所等</w:t>
      </w:r>
      <w:r>
        <w:rPr>
          <w:rFonts w:hint="eastAsia" w:ascii="仿宋_GB2312" w:hAnsi="宋体"/>
          <w:color w:val="auto"/>
          <w:szCs w:val="28"/>
          <w:lang w:eastAsia="zh-CN"/>
        </w:rPr>
        <w:t>农业科普</w:t>
      </w:r>
      <w:r>
        <w:rPr>
          <w:rFonts w:hint="eastAsia" w:ascii="仿宋_GB2312" w:hAnsi="宋体"/>
          <w:color w:val="auto"/>
          <w:szCs w:val="28"/>
          <w:lang w:val="en-US" w:eastAsia="zh-CN"/>
        </w:rPr>
        <w:t>展览活动举办</w:t>
      </w:r>
      <w:r>
        <w:rPr>
          <w:rFonts w:ascii="仿宋_GB2312" w:hAnsi="宋体"/>
          <w:color w:val="auto"/>
          <w:szCs w:val="28"/>
        </w:rPr>
        <w:t>经验，</w:t>
      </w:r>
      <w:r>
        <w:rPr>
          <w:rFonts w:hint="eastAsia" w:ascii="仿宋_GB2312" w:hAnsi="宋体"/>
          <w:color w:val="auto"/>
          <w:szCs w:val="28"/>
          <w:lang w:val="en-US" w:eastAsia="zh-CN"/>
        </w:rPr>
        <w:t>确定</w:t>
      </w:r>
      <w:r>
        <w:rPr>
          <w:rFonts w:hint="eastAsia" w:ascii="仿宋_GB2312" w:hAnsi="宋体"/>
          <w:color w:val="auto"/>
          <w:szCs w:val="28"/>
        </w:rPr>
        <w:t>了</w:t>
      </w:r>
      <w:r>
        <w:rPr>
          <w:rFonts w:hint="eastAsia" w:ascii="仿宋_GB2312" w:eastAsia="仿宋_GB2312"/>
          <w:bCs/>
          <w:color w:val="auto"/>
          <w:sz w:val="32"/>
          <w:szCs w:val="32"/>
          <w:highlight w:val="none"/>
        </w:rPr>
        <w:t>农业科普展览活动可持续性评价</w:t>
      </w:r>
      <w:r>
        <w:rPr>
          <w:rFonts w:hint="eastAsia" w:ascii="仿宋_GB2312" w:hAnsi="宋体"/>
          <w:color w:val="auto"/>
          <w:szCs w:val="28"/>
          <w:lang w:val="en-US" w:eastAsia="zh-CN"/>
        </w:rPr>
        <w:t>总则</w:t>
      </w:r>
      <w:r>
        <w:rPr>
          <w:rFonts w:hint="eastAsia" w:ascii="仿宋_GB2312" w:hAnsi="宋体"/>
          <w:color w:val="auto"/>
          <w:szCs w:val="28"/>
          <w:highlight w:val="none"/>
          <w:lang w:eastAsia="zh-CN"/>
        </w:rPr>
        <w:t>，</w:t>
      </w:r>
      <w:r>
        <w:rPr>
          <w:rFonts w:hint="eastAsia" w:hAnsi="宋体"/>
          <w:color w:val="auto"/>
          <w:sz w:val="32"/>
          <w:szCs w:val="32"/>
          <w:highlight w:val="none"/>
          <w:lang w:val="en-US" w:eastAsia="zh-CN"/>
        </w:rPr>
        <w:t>从</w:t>
      </w:r>
      <w:r>
        <w:rPr>
          <w:rFonts w:hint="eastAsia"/>
          <w:color w:val="auto"/>
          <w:highlight w:val="none"/>
        </w:rPr>
        <w:t>评价</w:t>
      </w:r>
      <w:r>
        <w:rPr>
          <w:rFonts w:hint="eastAsia"/>
          <w:color w:val="auto"/>
          <w:highlight w:val="none"/>
          <w:lang w:val="en-US" w:eastAsia="zh-CN"/>
        </w:rPr>
        <w:t>内容、评价方法、评价流程及要求</w:t>
      </w:r>
      <w:r>
        <w:rPr>
          <w:rFonts w:hint="eastAsia" w:ascii="仿宋_GB2312" w:hAnsi="宋体"/>
          <w:color w:val="auto"/>
          <w:szCs w:val="28"/>
          <w:highlight w:val="none"/>
          <w:lang w:val="en-US" w:eastAsia="zh-CN"/>
        </w:rPr>
        <w:t>等方面提出相关要求</w:t>
      </w:r>
      <w:r>
        <w:rPr>
          <w:rFonts w:hint="eastAsia" w:ascii="仿宋_GB2312" w:hAnsi="宋体"/>
          <w:color w:val="auto"/>
          <w:szCs w:val="28"/>
          <w:highlight w:val="none"/>
        </w:rPr>
        <w:t>，使</w:t>
      </w:r>
      <w:r>
        <w:rPr>
          <w:rFonts w:hint="eastAsia" w:ascii="仿宋_GB2312" w:eastAsia="仿宋_GB2312"/>
          <w:bCs/>
          <w:color w:val="auto"/>
          <w:sz w:val="32"/>
          <w:szCs w:val="32"/>
          <w:highlight w:val="none"/>
        </w:rPr>
        <w:t>农业科普展览活动可持续性评价</w:t>
      </w:r>
      <w:r>
        <w:rPr>
          <w:rFonts w:hint="eastAsia" w:ascii="仿宋_GB2312" w:hAnsi="宋体"/>
          <w:color w:val="auto"/>
          <w:szCs w:val="28"/>
          <w:highlight w:val="none"/>
        </w:rPr>
        <w:t>的</w:t>
      </w:r>
      <w:r>
        <w:rPr>
          <w:rFonts w:hint="eastAsia" w:ascii="仿宋_GB2312" w:hAnsi="宋体"/>
          <w:color w:val="auto"/>
          <w:szCs w:val="28"/>
          <w:highlight w:val="none"/>
          <w:lang w:val="en-US" w:eastAsia="zh-CN"/>
        </w:rPr>
        <w:t>工作</w:t>
      </w:r>
      <w:r>
        <w:rPr>
          <w:rFonts w:hint="eastAsia" w:ascii="仿宋_GB2312" w:hAnsi="宋体"/>
          <w:color w:val="auto"/>
          <w:szCs w:val="28"/>
          <w:highlight w:val="none"/>
        </w:rPr>
        <w:t>内容更加标准化、规范化，从而为</w:t>
      </w:r>
      <w:r>
        <w:rPr>
          <w:rFonts w:hint="default" w:ascii="仿宋_GB2312" w:hAnsi="宋体"/>
          <w:color w:val="auto"/>
          <w:szCs w:val="28"/>
          <w:highlight w:val="none"/>
          <w:lang w:val="en-US"/>
        </w:rPr>
        <w:t>农业</w:t>
      </w:r>
      <w:r>
        <w:rPr>
          <w:rFonts w:hint="eastAsia" w:ascii="仿宋_GB2312" w:hAnsi="宋体"/>
          <w:color w:val="auto"/>
          <w:szCs w:val="28"/>
          <w:highlight w:val="none"/>
        </w:rPr>
        <w:t>科普</w:t>
      </w:r>
      <w:r>
        <w:rPr>
          <w:rFonts w:hint="eastAsia" w:ascii="仿宋_GB2312" w:hAnsi="宋体"/>
          <w:color w:val="auto"/>
          <w:szCs w:val="28"/>
          <w:highlight w:val="none"/>
          <w:lang w:val="en-US" w:eastAsia="zh-CN"/>
        </w:rPr>
        <w:t>展览活动的举办</w:t>
      </w:r>
      <w:r>
        <w:rPr>
          <w:rFonts w:hint="eastAsia" w:ascii="仿宋_GB2312" w:hAnsi="宋体"/>
          <w:color w:val="auto"/>
          <w:szCs w:val="28"/>
          <w:highlight w:val="none"/>
        </w:rPr>
        <w:t>提供了保障。</w:t>
      </w:r>
    </w:p>
    <w:p w14:paraId="76070D51">
      <w:pPr>
        <w:pStyle w:val="48"/>
        <w:bidi w:val="0"/>
        <w:rPr>
          <w:rFonts w:hint="eastAsia"/>
          <w:color w:val="auto"/>
          <w:highlight w:val="none"/>
          <w:lang w:val="en-US" w:eastAsia="zh-CN"/>
        </w:rPr>
      </w:pPr>
      <w:r>
        <w:rPr>
          <w:rFonts w:hint="eastAsia"/>
          <w:color w:val="auto"/>
          <w:highlight w:val="none"/>
          <w:lang w:val="en-US" w:eastAsia="zh-CN"/>
        </w:rPr>
        <w:t>2.创新点</w:t>
      </w:r>
    </w:p>
    <w:p w14:paraId="0B4F8D3A">
      <w:pPr>
        <w:pStyle w:val="46"/>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（1）紧扣农业科普展览活动特点，构建可持续性评价专业维度</w:t>
      </w:r>
    </w:p>
    <w:p w14:paraId="1C36FD01">
      <w:pPr>
        <w:pStyle w:val="46"/>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本标准围绕农业科普展览活动的策划、布展、实施、撤展全流程，设置7个一级指标（基础设施与场地、采购与管理、生态环境保护与管理、交通与物流、低碳与气候变化、人员与社会影响、智慧与创新实践），并在二级指标中纳入活体生物生长环境适配性、农机展示操作安全、农业废弃物分类处置、本地特色作物品种展示、测土配方施肥等农业特有评价内容，确保指标具有鲜明的行业辨识度。</w:t>
      </w:r>
    </w:p>
    <w:p w14:paraId="31BFB713">
      <w:pPr>
        <w:pStyle w:val="46"/>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（2）突出全生命周期可持续性，实现环境、社会、资源利用多维度平衡</w:t>
      </w:r>
    </w:p>
    <w:p w14:paraId="4ABE968F">
      <w:pPr>
        <w:pStyle w:val="46"/>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本标准将可持续发展理念贯穿展览活动各阶段，评价内容既关注节水灌溉技术、节能设备、可再生能源使用等环境维度，也涵盖社区参与、本地就业、科普惠农等社会维度，同时兼顾展品本地化采购、可降解材料使用、物资回收复用等资源利用维度，引导活动组织方在降低环境负面影响的同时，提升社会效益与资源利用效率。</w:t>
      </w:r>
    </w:p>
    <w:p w14:paraId="30B1BE39">
      <w:pPr>
        <w:pStyle w:val="46"/>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（3）建立可量化、可操作的评价指标体系与评分规则</w:t>
      </w:r>
    </w:p>
    <w:p w14:paraId="597929B7">
      <w:pPr>
        <w:pStyle w:val="46"/>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本标准设置7个一级指标、20余个二级指标，总分100分，每个二级指标明确分值和评分依据。采用现场评价的方式，评价</w:t>
      </w:r>
      <w:r>
        <w:rPr>
          <w:rFonts w:hint="eastAsia" w:ascii="仿宋_GB2312" w:hAnsi="宋体"/>
          <w:color w:val="auto"/>
          <w:sz w:val="32"/>
          <w:szCs w:val="28"/>
          <w:highlight w:val="none"/>
          <w:lang w:val="en-US" w:eastAsia="zh-CN"/>
        </w:rPr>
        <w:t>工作</w:t>
      </w:r>
      <w:r>
        <w:rPr>
          <w:rFonts w:hint="default" w:ascii="仿宋_GB2312" w:hAnsi="宋体"/>
          <w:color w:val="auto"/>
          <w:sz w:val="32"/>
          <w:szCs w:val="28"/>
          <w:highlight w:val="none"/>
          <w:lang w:val="en-US" w:eastAsia="zh-CN"/>
        </w:rPr>
        <w:t>组由不少于5名成员组成（含农业领域专家），并配套附录A评分表及佐证材料清单，便于评价组快速对照打分，降低主观差异，提升评价结果的客观性与可比性。</w:t>
      </w:r>
    </w:p>
    <w:p w14:paraId="11F29D05">
      <w:pPr>
        <w:pStyle w:val="46"/>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（4）明确评价结果应用导向，形成“评价—改进—提升”闭环</w:t>
      </w:r>
    </w:p>
    <w:p w14:paraId="47B77F01">
      <w:pPr>
        <w:pStyle w:val="46"/>
        <w:bidi w:val="0"/>
        <w:rPr>
          <w:rFonts w:hint="default" w:ascii="仿宋_GB2312" w:hAnsi="宋体"/>
          <w:color w:val="auto"/>
          <w:sz w:val="32"/>
          <w:szCs w:val="28"/>
          <w:highlight w:val="none"/>
          <w:lang w:val="en-US" w:eastAsia="zh-CN"/>
        </w:rPr>
      </w:pPr>
      <w:r>
        <w:rPr>
          <w:rFonts w:hint="default" w:ascii="仿宋_GB2312" w:hAnsi="宋体"/>
          <w:color w:val="auto"/>
          <w:sz w:val="32"/>
          <w:szCs w:val="28"/>
          <w:highlight w:val="none"/>
          <w:lang w:val="en-US" w:eastAsia="zh-CN"/>
        </w:rPr>
        <w:t>本标准规定评价报告应包含改进建议，评价结果应用于后续农业科普展览活动的方案优化以及下一年度活动规划，推动活动组织方建立持续改进机制。</w:t>
      </w:r>
    </w:p>
    <w:p w14:paraId="2524B948">
      <w:pPr>
        <w:pStyle w:val="48"/>
        <w:bidi w:val="0"/>
        <w:rPr>
          <w:rFonts w:hint="default"/>
          <w:color w:val="auto"/>
          <w:lang w:val="en-US" w:eastAsia="zh-CN"/>
        </w:rPr>
      </w:pPr>
      <w:r>
        <w:rPr>
          <w:rFonts w:hint="eastAsia"/>
          <w:color w:val="auto"/>
          <w:lang w:val="en-US" w:eastAsia="zh-CN"/>
        </w:rPr>
        <w:t>3.主体内容</w:t>
      </w:r>
    </w:p>
    <w:p w14:paraId="488639D2">
      <w:pPr>
        <w:pStyle w:val="46"/>
        <w:bidi w:val="0"/>
        <w:rPr>
          <w:rFonts w:hint="eastAsia" w:ascii="仿宋_GB2312" w:hAnsi="宋体" w:eastAsia="仿宋_GB2312"/>
          <w:color w:val="auto"/>
          <w:sz w:val="32"/>
          <w:szCs w:val="28"/>
          <w:highlight w:val="yellow"/>
          <w:lang w:eastAsia="zh-CN"/>
        </w:rPr>
      </w:pPr>
      <w:r>
        <w:rPr>
          <w:rFonts w:hint="eastAsia" w:ascii="仿宋_GB2312" w:hAnsi="宋体" w:eastAsia="仿宋_GB2312"/>
          <w:color w:val="auto"/>
          <w:sz w:val="32"/>
          <w:szCs w:val="28"/>
        </w:rPr>
        <w:t>标准编制工作组在对收集的资料进行整理研究之</w:t>
      </w:r>
      <w:r>
        <w:rPr>
          <w:rFonts w:hint="eastAsia" w:ascii="仿宋_GB2312" w:hAnsi="宋体" w:eastAsia="仿宋_GB2312"/>
          <w:color w:val="auto"/>
          <w:sz w:val="32"/>
          <w:szCs w:val="28"/>
          <w:highlight w:val="none"/>
        </w:rPr>
        <w:t>后，202</w:t>
      </w:r>
      <w:r>
        <w:rPr>
          <w:rFonts w:hint="eastAsia" w:ascii="仿宋_GB2312" w:hAnsi="宋体"/>
          <w:color w:val="auto"/>
          <w:sz w:val="32"/>
          <w:szCs w:val="28"/>
          <w:highlight w:val="none"/>
          <w:lang w:val="en-US" w:eastAsia="zh-CN"/>
        </w:rPr>
        <w:t>5</w:t>
      </w:r>
      <w:r>
        <w:rPr>
          <w:rFonts w:hint="eastAsia" w:ascii="仿宋_GB2312" w:hAnsi="宋体" w:eastAsia="仿宋_GB2312"/>
          <w:color w:val="auto"/>
          <w:sz w:val="32"/>
          <w:szCs w:val="28"/>
          <w:highlight w:val="none"/>
        </w:rPr>
        <w:t>年</w:t>
      </w:r>
      <w:r>
        <w:rPr>
          <w:rFonts w:hint="eastAsia" w:ascii="仿宋_GB2312" w:hAnsi="宋体"/>
          <w:color w:val="auto"/>
          <w:sz w:val="32"/>
          <w:szCs w:val="28"/>
          <w:highlight w:val="none"/>
          <w:lang w:val="en-US" w:eastAsia="zh-CN"/>
        </w:rPr>
        <w:t>12</w:t>
      </w:r>
      <w:r>
        <w:rPr>
          <w:rFonts w:hint="eastAsia" w:ascii="仿宋_GB2312" w:hAnsi="宋体" w:eastAsia="仿宋_GB2312"/>
          <w:color w:val="auto"/>
          <w:sz w:val="32"/>
          <w:szCs w:val="28"/>
          <w:highlight w:val="none"/>
        </w:rPr>
        <w:t>月，标准编制工作组召开了标准编</w:t>
      </w:r>
      <w:r>
        <w:rPr>
          <w:rFonts w:hint="eastAsia" w:ascii="仿宋_GB2312" w:hAnsi="宋体" w:eastAsia="仿宋_GB2312"/>
          <w:color w:val="auto"/>
          <w:sz w:val="32"/>
          <w:szCs w:val="28"/>
        </w:rPr>
        <w:t>制会议，对标准的整体框架结构进行了研究，并对标准的关键性内容进行了初步探讨。经过</w:t>
      </w:r>
      <w:r>
        <w:rPr>
          <w:rFonts w:hint="eastAsia" w:ascii="仿宋_GB2312" w:hAnsi="宋体" w:eastAsia="仿宋_GB2312"/>
          <w:color w:val="auto"/>
          <w:sz w:val="32"/>
          <w:szCs w:val="28"/>
          <w:highlight w:val="none"/>
        </w:rPr>
        <w:t>研究，标准的主体内容</w:t>
      </w:r>
      <w:r>
        <w:rPr>
          <w:rFonts w:hint="eastAsia" w:ascii="仿宋_GB2312" w:hAnsi="宋体"/>
          <w:color w:val="auto"/>
          <w:szCs w:val="28"/>
          <w:lang w:val="en-US" w:eastAsia="zh-CN"/>
        </w:rPr>
        <w:t>确定为</w:t>
      </w:r>
      <w:r>
        <w:rPr>
          <w:rFonts w:hint="eastAsia" w:ascii="仿宋_GB2312" w:eastAsia="仿宋_GB2312"/>
          <w:bCs/>
          <w:color w:val="auto"/>
          <w:sz w:val="32"/>
          <w:szCs w:val="32"/>
          <w:highlight w:val="none"/>
        </w:rPr>
        <w:t>农业科普展览活动可持续性评价</w:t>
      </w:r>
      <w:r>
        <w:rPr>
          <w:rFonts w:hint="eastAsia" w:ascii="仿宋_GB2312" w:hAnsi="宋体"/>
          <w:color w:val="auto"/>
          <w:szCs w:val="28"/>
          <w:lang w:val="en-US" w:eastAsia="zh-CN"/>
        </w:rPr>
        <w:t>总则</w:t>
      </w:r>
      <w:r>
        <w:rPr>
          <w:rFonts w:hint="eastAsia" w:ascii="仿宋_GB2312" w:hAnsi="宋体"/>
          <w:color w:val="auto"/>
          <w:szCs w:val="28"/>
          <w:highlight w:val="none"/>
          <w:lang w:eastAsia="zh-CN"/>
        </w:rPr>
        <w:t>，</w:t>
      </w:r>
      <w:r>
        <w:rPr>
          <w:rFonts w:hint="eastAsia"/>
          <w:color w:val="auto"/>
          <w:highlight w:val="none"/>
        </w:rPr>
        <w:t>评价</w:t>
      </w:r>
      <w:r>
        <w:rPr>
          <w:rFonts w:hint="eastAsia"/>
          <w:color w:val="auto"/>
          <w:highlight w:val="none"/>
          <w:lang w:val="en-US" w:eastAsia="zh-CN"/>
        </w:rPr>
        <w:t>内容、评价方法、评价流程及要求</w:t>
      </w:r>
      <w:r>
        <w:rPr>
          <w:rFonts w:hint="eastAsia" w:ascii="仿宋_GB2312" w:hAnsi="宋体" w:eastAsia="仿宋_GB2312"/>
          <w:color w:val="auto"/>
          <w:sz w:val="32"/>
          <w:szCs w:val="28"/>
          <w:highlight w:val="none"/>
        </w:rPr>
        <w:t>。</w:t>
      </w:r>
    </w:p>
    <w:p w14:paraId="750E1371">
      <w:pPr>
        <w:spacing w:before="156" w:beforeLines="50" w:after="156" w:afterLines="50" w:line="560" w:lineRule="exact"/>
        <w:ind w:firstLine="643" w:firstLineChars="200"/>
        <w:rPr>
          <w:rFonts w:ascii="楷体" w:hAnsi="楷体" w:eastAsia="楷体" w:cs="仿宋_GB2312"/>
          <w:b/>
          <w:color w:val="auto"/>
          <w:sz w:val="32"/>
          <w:szCs w:val="28"/>
        </w:rPr>
      </w:pPr>
      <w:r>
        <w:rPr>
          <w:rFonts w:hint="eastAsia" w:ascii="楷体" w:hAnsi="楷体" w:eastAsia="楷体" w:cs="仿宋_GB2312"/>
          <w:b/>
          <w:color w:val="auto"/>
          <w:sz w:val="32"/>
          <w:szCs w:val="28"/>
        </w:rPr>
        <w:t>（四）调研及形成草案、征求意见稿</w:t>
      </w:r>
    </w:p>
    <w:p w14:paraId="768CFE4B">
      <w:pPr>
        <w:pStyle w:val="46"/>
        <w:bidi w:val="0"/>
        <w:rPr>
          <w:rFonts w:hint="eastAsia" w:ascii="仿宋_GB2312" w:hAnsi="宋体" w:eastAsia="仿宋_GB2312"/>
          <w:color w:val="auto"/>
          <w:sz w:val="32"/>
          <w:szCs w:val="28"/>
        </w:rPr>
      </w:pPr>
      <w:r>
        <w:rPr>
          <w:rFonts w:hint="eastAsia" w:ascii="仿宋_GB2312" w:hAnsi="宋体"/>
          <w:color w:val="auto"/>
          <w:szCs w:val="28"/>
        </w:rPr>
        <w:t>标准筹备前期，</w:t>
      </w:r>
      <w:r>
        <w:rPr>
          <w:rFonts w:hint="eastAsia" w:ascii="仿宋_GB2312" w:hAnsi="宋体" w:eastAsia="仿宋_GB2312"/>
          <w:color w:val="auto"/>
          <w:sz w:val="32"/>
          <w:szCs w:val="28"/>
        </w:rPr>
        <w:t>标准起草工作小组进行了广泛调研工作，查阅了大量的国内外文献资料，对</w:t>
      </w:r>
      <w:r>
        <w:rPr>
          <w:rFonts w:hint="eastAsia" w:ascii="仿宋_GB2312" w:eastAsia="仿宋_GB2312"/>
          <w:bCs/>
          <w:color w:val="auto"/>
          <w:sz w:val="32"/>
          <w:szCs w:val="32"/>
          <w:highlight w:val="none"/>
        </w:rPr>
        <w:t>农业科普展览活动可持续性评价</w:t>
      </w:r>
      <w:r>
        <w:rPr>
          <w:rFonts w:hint="eastAsia" w:ascii="仿宋_GB2312" w:hAnsi="宋体" w:eastAsia="仿宋_GB2312"/>
          <w:color w:val="auto"/>
          <w:sz w:val="32"/>
          <w:szCs w:val="28"/>
        </w:rPr>
        <w:t>的前人研究成果进行系统总结</w:t>
      </w:r>
      <w:r>
        <w:rPr>
          <w:rFonts w:hint="eastAsia" w:ascii="仿宋_GB2312" w:hAnsi="宋体"/>
          <w:color w:val="auto"/>
          <w:sz w:val="32"/>
          <w:szCs w:val="28"/>
          <w:lang w:val="en-US" w:eastAsia="zh-CN"/>
        </w:rPr>
        <w:t>,深入广西不同企事业单位进行科普展览活动评价的经验交流，</w:t>
      </w:r>
      <w:r>
        <w:rPr>
          <w:rFonts w:hint="eastAsia" w:ascii="仿宋_GB2312" w:hAnsi="宋体"/>
          <w:color w:val="auto"/>
          <w:szCs w:val="28"/>
        </w:rPr>
        <w:t>为本标准条款的制定提供了实践依据和数据支撑</w:t>
      </w:r>
      <w:r>
        <w:rPr>
          <w:rFonts w:hint="eastAsia" w:ascii="仿宋_GB2312" w:hAnsi="宋体" w:eastAsia="仿宋_GB2312"/>
          <w:color w:val="auto"/>
          <w:sz w:val="32"/>
          <w:szCs w:val="28"/>
        </w:rPr>
        <w:t>。</w:t>
      </w:r>
    </w:p>
    <w:p w14:paraId="0075E05C">
      <w:pPr>
        <w:pStyle w:val="46"/>
        <w:bidi w:val="0"/>
        <w:rPr>
          <w:rFonts w:hint="eastAsia" w:ascii="仿宋_GB2312" w:hAnsi="宋体"/>
          <w:color w:val="auto"/>
          <w:szCs w:val="28"/>
        </w:rPr>
      </w:pPr>
      <w:r>
        <w:rPr>
          <w:rFonts w:hint="eastAsia" w:ascii="仿宋_GB2312" w:hAnsi="宋体"/>
          <w:color w:val="auto"/>
          <w:szCs w:val="28"/>
        </w:rPr>
        <w:t>在调研基础上，结合各起草单位的实践经验与专家意见，对</w:t>
      </w:r>
      <w:r>
        <w:rPr>
          <w:rFonts w:hint="eastAsia" w:ascii="仿宋_GB2312" w:eastAsia="仿宋_GB2312"/>
          <w:bCs/>
          <w:color w:val="auto"/>
          <w:sz w:val="32"/>
          <w:szCs w:val="32"/>
          <w:highlight w:val="none"/>
        </w:rPr>
        <w:t>农业科普展览活动可持续性评价</w:t>
      </w:r>
      <w:r>
        <w:rPr>
          <w:rFonts w:hint="eastAsia" w:ascii="仿宋_GB2312" w:hAnsi="宋体"/>
          <w:color w:val="auto"/>
          <w:szCs w:val="28"/>
        </w:rPr>
        <w:t>的实践情况进行系统总结，广西壮族自治区亚热带作物研究所召集相关人员开展了标准研讨会，对主要内容进行了讨论并对项目的工作进行了部署和安排。</w:t>
      </w:r>
    </w:p>
    <w:p w14:paraId="03BD7579">
      <w:pPr>
        <w:pStyle w:val="46"/>
        <w:bidi w:val="0"/>
        <w:rPr>
          <w:rFonts w:hint="eastAsia" w:ascii="仿宋_GB2312" w:hAnsi="宋体"/>
          <w:color w:val="auto"/>
          <w:szCs w:val="28"/>
          <w:highlight w:val="none"/>
        </w:rPr>
      </w:pPr>
      <w:r>
        <w:rPr>
          <w:rFonts w:hint="eastAsia" w:ascii="仿宋_GB2312" w:hAnsi="宋体"/>
          <w:color w:val="auto"/>
          <w:szCs w:val="28"/>
          <w:highlight w:val="none"/>
        </w:rPr>
        <w:t>为进一步验证评价指标的科学性与可操作性，标准编制组选取本单位组织的典型农业科普展览活动，开展系统的试点评价工作。评价工作严格遵循草案设定附录A框架，综合运用查阅活动方案与过程记录</w:t>
      </w:r>
      <w:r>
        <w:rPr>
          <w:rFonts w:hint="eastAsia" w:ascii="仿宋_GB2312" w:hAnsi="宋体"/>
          <w:color w:val="auto"/>
          <w:szCs w:val="28"/>
          <w:highlight w:val="none"/>
          <w:lang w:eastAsia="zh-CN"/>
        </w:rPr>
        <w:t>、</w:t>
      </w:r>
      <w:r>
        <w:rPr>
          <w:rFonts w:hint="eastAsia" w:ascii="仿宋_GB2312" w:hAnsi="宋体"/>
          <w:color w:val="auto"/>
          <w:szCs w:val="28"/>
          <w:highlight w:val="none"/>
        </w:rPr>
        <w:t>现场观察活体生物养护、农机安全操作和废弃物处置情况</w:t>
      </w:r>
      <w:r>
        <w:rPr>
          <w:rFonts w:hint="eastAsia" w:ascii="仿宋_GB2312" w:hAnsi="宋体"/>
          <w:color w:val="auto"/>
          <w:szCs w:val="28"/>
          <w:highlight w:val="none"/>
          <w:lang w:eastAsia="zh-CN"/>
        </w:rPr>
        <w:t>、</w:t>
      </w:r>
      <w:r>
        <w:rPr>
          <w:rFonts w:hint="eastAsia" w:ascii="仿宋_GB2312" w:hAnsi="宋体"/>
          <w:color w:val="auto"/>
          <w:szCs w:val="28"/>
          <w:highlight w:val="none"/>
        </w:rPr>
        <w:t>实地测量场地环境参数</w:t>
      </w:r>
      <w:r>
        <w:rPr>
          <w:rFonts w:hint="eastAsia" w:ascii="仿宋_GB2312" w:hAnsi="宋体"/>
          <w:color w:val="auto"/>
          <w:szCs w:val="28"/>
          <w:highlight w:val="none"/>
          <w:lang w:eastAsia="zh-CN"/>
        </w:rPr>
        <w:t>、</w:t>
      </w:r>
      <w:r>
        <w:rPr>
          <w:rFonts w:hint="eastAsia" w:ascii="仿宋_GB2312" w:hAnsi="宋体"/>
          <w:color w:val="auto"/>
          <w:szCs w:val="28"/>
          <w:highlight w:val="none"/>
        </w:rPr>
        <w:t>开展观众、参展方及工作人员满意度调查</w:t>
      </w:r>
      <w:r>
        <w:rPr>
          <w:rFonts w:hint="eastAsia" w:ascii="仿宋_GB2312" w:hAnsi="宋体"/>
          <w:color w:val="auto"/>
          <w:szCs w:val="28"/>
        </w:rPr>
        <w:t>等多元方法收集数据</w:t>
      </w:r>
      <w:r>
        <w:rPr>
          <w:rFonts w:hint="eastAsia" w:ascii="仿宋_GB2312" w:hAnsi="宋体"/>
          <w:color w:val="auto"/>
          <w:szCs w:val="28"/>
          <w:lang w:eastAsia="zh-CN"/>
        </w:rPr>
        <w:t>，</w:t>
      </w:r>
      <w:r>
        <w:rPr>
          <w:rFonts w:hint="eastAsia" w:ascii="仿宋_GB2312" w:hAnsi="宋体"/>
          <w:color w:val="auto"/>
          <w:szCs w:val="28"/>
          <w:lang w:val="en-US" w:eastAsia="zh-CN"/>
        </w:rPr>
        <w:t>对由热作所主办的</w:t>
      </w:r>
      <w:r>
        <w:rPr>
          <w:rFonts w:hint="eastAsia" w:ascii="仿宋_GB2312" w:hAnsi="宋体"/>
          <w:color w:val="auto"/>
          <w:szCs w:val="28"/>
          <w:lang w:eastAsia="zh-CN"/>
        </w:rPr>
        <w:t>“湖光‘杉’色正当时”-全民科普乐享节、“呵护万千生灵 共建和谐壮美家园”野生动植物保护宣传月暨广西热作所“守护种苗”主题系列活动、“草木香，佑安康”端午主题文化节、广西首届咖啡文化节等大型科普活动</w:t>
      </w:r>
      <w:r>
        <w:rPr>
          <w:rFonts w:hint="eastAsia" w:ascii="仿宋_GB2312" w:hAnsi="宋体"/>
          <w:color w:val="auto"/>
          <w:szCs w:val="28"/>
          <w:lang w:val="en-US" w:eastAsia="zh-CN"/>
        </w:rPr>
        <w:t>进行了评价</w:t>
      </w:r>
      <w:r>
        <w:rPr>
          <w:rFonts w:hint="eastAsia" w:ascii="仿宋_GB2312" w:hAnsi="宋体"/>
          <w:color w:val="auto"/>
          <w:szCs w:val="28"/>
          <w:highlight w:val="none"/>
        </w:rPr>
        <w:t>。试点评价结果表明，本文件设定的评价指标体系与评价方法具有一定的科学性、适用性和可操作性，能够在一定程度上客观反映农业科普展览活动的可持续发展状况与短板问题，可为规范提升农业科普展览活动组织管理水平、推动农业科普事业高质量健康发展提供参考与支撑。</w:t>
      </w:r>
    </w:p>
    <w:p w14:paraId="06605192">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_GB2312" w:hAnsi="宋体" w:eastAsia="仿宋_GB2312"/>
          <w:color w:val="auto"/>
          <w:szCs w:val="28"/>
          <w:highlight w:val="none"/>
          <w:lang w:eastAsia="zh-CN"/>
        </w:rPr>
      </w:pPr>
      <w:r>
        <w:rPr>
          <w:rFonts w:hint="eastAsia" w:ascii="仿宋_GB2312" w:hAnsi="宋体" w:eastAsia="仿宋_GB2312"/>
          <w:color w:val="auto"/>
          <w:szCs w:val="28"/>
          <w:highlight w:val="none"/>
          <w:lang w:eastAsia="zh-CN"/>
        </w:rPr>
        <w:drawing>
          <wp:inline distT="0" distB="0" distL="114300" distR="114300">
            <wp:extent cx="4048760" cy="5400040"/>
            <wp:effectExtent l="0" t="0" r="10160" b="2540"/>
            <wp:docPr id="7" name="图片 7" descr="b3c145e3a99aef17b353deb607aff4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b3c145e3a99aef17b353deb607aff4e9"/>
                    <pic:cNvPicPr>
                      <a:picLocks noChangeAspect="1"/>
                    </pic:cNvPicPr>
                  </pic:nvPicPr>
                  <pic:blipFill>
                    <a:blip r:embed="rId7"/>
                    <a:stretch>
                      <a:fillRect/>
                    </a:stretch>
                  </pic:blipFill>
                  <pic:spPr>
                    <a:xfrm rot="16200000">
                      <a:off x="0" y="0"/>
                      <a:ext cx="4048760" cy="5400040"/>
                    </a:xfrm>
                    <a:prstGeom prst="rect">
                      <a:avLst/>
                    </a:prstGeom>
                  </pic:spPr>
                </pic:pic>
              </a:graphicData>
            </a:graphic>
          </wp:inline>
        </w:drawing>
      </w:r>
    </w:p>
    <w:p w14:paraId="3756F843">
      <w:pPr>
        <w:pStyle w:val="43"/>
        <w:bidi w:val="0"/>
        <w:rPr>
          <w:rFonts w:hint="default"/>
          <w:color w:val="auto"/>
          <w:lang w:val="en-US" w:eastAsia="zh-CN"/>
        </w:rPr>
      </w:pPr>
      <w:r>
        <w:rPr>
          <w:rFonts w:hint="eastAsia"/>
          <w:color w:val="auto"/>
          <w:lang w:val="en-US" w:eastAsia="zh-CN"/>
        </w:rPr>
        <w:t>广西热作所开展农业科普展览活动的可持续性评价材料</w:t>
      </w:r>
    </w:p>
    <w:p w14:paraId="5B0E9549">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_GB2312" w:hAnsi="宋体" w:eastAsia="仿宋_GB2312"/>
          <w:color w:val="auto"/>
          <w:szCs w:val="28"/>
          <w:highlight w:val="none"/>
          <w:lang w:eastAsia="zh-CN"/>
        </w:rPr>
      </w:pPr>
      <w:r>
        <w:rPr>
          <w:rFonts w:hint="eastAsia" w:ascii="仿宋_GB2312" w:hAnsi="宋体" w:eastAsia="仿宋_GB2312"/>
          <w:color w:val="auto"/>
          <w:szCs w:val="28"/>
          <w:highlight w:val="none"/>
          <w:lang w:eastAsia="zh-CN"/>
        </w:rPr>
        <w:drawing>
          <wp:inline distT="0" distB="0" distL="114300" distR="114300">
            <wp:extent cx="4048760" cy="5400040"/>
            <wp:effectExtent l="0" t="0" r="10160" b="2540"/>
            <wp:docPr id="9" name="图片 9" descr="b780bd34cc75c88cb4c59fceae720b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b780bd34cc75c88cb4c59fceae720b16"/>
                    <pic:cNvPicPr>
                      <a:picLocks noChangeAspect="1"/>
                    </pic:cNvPicPr>
                  </pic:nvPicPr>
                  <pic:blipFill>
                    <a:blip r:embed="rId8"/>
                    <a:stretch>
                      <a:fillRect/>
                    </a:stretch>
                  </pic:blipFill>
                  <pic:spPr>
                    <a:xfrm rot="16200000">
                      <a:off x="0" y="0"/>
                      <a:ext cx="4048760" cy="5400040"/>
                    </a:xfrm>
                    <a:prstGeom prst="rect">
                      <a:avLst/>
                    </a:prstGeom>
                  </pic:spPr>
                </pic:pic>
              </a:graphicData>
            </a:graphic>
          </wp:inline>
        </w:drawing>
      </w:r>
    </w:p>
    <w:p w14:paraId="43937FB4">
      <w:pPr>
        <w:pStyle w:val="43"/>
        <w:bidi w:val="0"/>
        <w:rPr>
          <w:rFonts w:hint="default"/>
          <w:color w:val="auto"/>
          <w:lang w:val="en-US" w:eastAsia="zh-CN"/>
        </w:rPr>
      </w:pPr>
      <w:r>
        <w:rPr>
          <w:rFonts w:hint="eastAsia"/>
          <w:color w:val="auto"/>
          <w:lang w:val="en-US" w:eastAsia="zh-CN"/>
        </w:rPr>
        <w:t>广西热作所开展农业科普展览活动可持续性评价表格和结果</w:t>
      </w:r>
    </w:p>
    <w:p w14:paraId="07D05AA3">
      <w:pPr>
        <w:pStyle w:val="41"/>
        <w:rPr>
          <w:color w:val="auto"/>
        </w:rPr>
      </w:pPr>
      <w:r>
        <w:rPr>
          <w:color w:val="auto"/>
        </w:rPr>
        <w:drawing>
          <wp:inline distT="0" distB="0" distL="114300" distR="114300">
            <wp:extent cx="2642235" cy="3239770"/>
            <wp:effectExtent l="0" t="0" r="12065" b="1143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9"/>
                    <a:stretch>
                      <a:fillRect/>
                    </a:stretch>
                  </pic:blipFill>
                  <pic:spPr>
                    <a:xfrm>
                      <a:off x="0" y="0"/>
                      <a:ext cx="2642235" cy="3239770"/>
                    </a:xfrm>
                    <a:prstGeom prst="rect">
                      <a:avLst/>
                    </a:prstGeom>
                    <a:noFill/>
                    <a:ln>
                      <a:noFill/>
                    </a:ln>
                  </pic:spPr>
                </pic:pic>
              </a:graphicData>
            </a:graphic>
          </wp:inline>
        </w:drawing>
      </w:r>
      <w:r>
        <w:rPr>
          <w:color w:val="auto"/>
        </w:rPr>
        <w:drawing>
          <wp:inline distT="0" distB="0" distL="114300" distR="114300">
            <wp:extent cx="2533015" cy="3239770"/>
            <wp:effectExtent l="0" t="0" r="6985" b="1143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0"/>
                    <a:stretch>
                      <a:fillRect/>
                    </a:stretch>
                  </pic:blipFill>
                  <pic:spPr>
                    <a:xfrm>
                      <a:off x="0" y="0"/>
                      <a:ext cx="2533015" cy="3239770"/>
                    </a:xfrm>
                    <a:prstGeom prst="rect">
                      <a:avLst/>
                    </a:prstGeom>
                    <a:noFill/>
                    <a:ln>
                      <a:noFill/>
                    </a:ln>
                  </pic:spPr>
                </pic:pic>
              </a:graphicData>
            </a:graphic>
          </wp:inline>
        </w:drawing>
      </w:r>
    </w:p>
    <w:p w14:paraId="3B26D466">
      <w:pPr>
        <w:pStyle w:val="43"/>
        <w:bidi w:val="0"/>
        <w:rPr>
          <w:rFonts w:hint="default"/>
          <w:color w:val="auto"/>
          <w:lang w:val="en-US" w:eastAsia="zh-CN"/>
        </w:rPr>
      </w:pPr>
      <w:r>
        <w:rPr>
          <w:rFonts w:hint="eastAsia"/>
          <w:color w:val="auto"/>
          <w:lang w:val="en-US" w:eastAsia="zh-CN"/>
        </w:rPr>
        <w:t>部分佐证材料</w:t>
      </w:r>
    </w:p>
    <w:p w14:paraId="3AA38934">
      <w:pPr>
        <w:pStyle w:val="46"/>
        <w:bidi w:val="0"/>
        <w:rPr>
          <w:color w:val="auto"/>
          <w:highlight w:val="none"/>
        </w:rPr>
      </w:pPr>
      <w:r>
        <w:rPr>
          <w:rFonts w:hint="eastAsia"/>
          <w:color w:val="auto"/>
          <w:highlight w:val="none"/>
        </w:rPr>
        <w:t>202</w:t>
      </w:r>
      <w:r>
        <w:rPr>
          <w:rFonts w:hint="eastAsia"/>
          <w:color w:val="auto"/>
          <w:highlight w:val="none"/>
          <w:lang w:val="en-US" w:eastAsia="zh-CN"/>
        </w:rPr>
        <w:t>5</w:t>
      </w:r>
      <w:r>
        <w:rPr>
          <w:rFonts w:hint="eastAsia"/>
          <w:color w:val="auto"/>
          <w:highlight w:val="none"/>
        </w:rPr>
        <w:t>年</w:t>
      </w:r>
      <w:r>
        <w:rPr>
          <w:rFonts w:hint="eastAsia" w:ascii="仿宋_GB2312" w:hAnsi="宋体"/>
          <w:color w:val="auto"/>
          <w:szCs w:val="28"/>
          <w:highlight w:val="none"/>
          <w:lang w:val="en-US" w:eastAsia="zh-CN"/>
        </w:rPr>
        <w:t>9</w:t>
      </w:r>
      <w:r>
        <w:rPr>
          <w:rFonts w:hint="eastAsia" w:ascii="仿宋_GB2312" w:hAnsi="宋体"/>
          <w:color w:val="auto"/>
          <w:szCs w:val="28"/>
          <w:highlight w:val="none"/>
        </w:rPr>
        <w:t>月～</w:t>
      </w:r>
      <w:r>
        <w:rPr>
          <w:rFonts w:hint="eastAsia" w:ascii="仿宋_GB2312" w:hAnsi="宋体"/>
          <w:color w:val="auto"/>
          <w:szCs w:val="28"/>
          <w:highlight w:val="none"/>
          <w:lang w:val="en-US" w:eastAsia="zh-CN"/>
        </w:rPr>
        <w:t>11</w:t>
      </w:r>
      <w:r>
        <w:rPr>
          <w:rFonts w:hint="eastAsia" w:ascii="仿宋_GB2312" w:hAnsi="宋体"/>
          <w:color w:val="auto"/>
          <w:szCs w:val="28"/>
          <w:highlight w:val="none"/>
        </w:rPr>
        <w:t>月</w:t>
      </w:r>
      <w:r>
        <w:rPr>
          <w:rFonts w:hint="eastAsia"/>
          <w:color w:val="auto"/>
          <w:highlight w:val="none"/>
        </w:rPr>
        <w:t>，在前期工作的基础之上，通过理清逻辑脉络，整合已有的参考资料中有关农业科普展览活动可持续性评价要求，并结合</w:t>
      </w:r>
      <w:r>
        <w:rPr>
          <w:rFonts w:hint="eastAsia" w:ascii="仿宋_GB2312" w:eastAsia="仿宋_GB2312"/>
          <w:bCs/>
          <w:color w:val="auto"/>
          <w:sz w:val="32"/>
          <w:szCs w:val="32"/>
          <w:highlight w:val="none"/>
        </w:rPr>
        <w:t>农业科普展览活动可持续性评价</w:t>
      </w:r>
      <w:r>
        <w:rPr>
          <w:rFonts w:hint="eastAsia"/>
          <w:color w:val="auto"/>
          <w:highlight w:val="none"/>
        </w:rPr>
        <w:t>实际要求的基础上，按照简化、统一等原则编制完成团体标准《</w:t>
      </w:r>
      <w:r>
        <w:rPr>
          <w:rFonts w:hint="eastAsia" w:ascii="仿宋_GB2312" w:eastAsia="仿宋_GB2312"/>
          <w:bCs/>
          <w:color w:val="auto"/>
          <w:sz w:val="32"/>
          <w:szCs w:val="32"/>
          <w:highlight w:val="none"/>
        </w:rPr>
        <w:t>农业科普展览活动可持续性评价指南</w:t>
      </w:r>
      <w:r>
        <w:rPr>
          <w:rFonts w:hint="eastAsia"/>
          <w:color w:val="auto"/>
          <w:highlight w:val="none"/>
        </w:rPr>
        <w:t>》（草案）。</w:t>
      </w:r>
    </w:p>
    <w:p w14:paraId="5CC62AB0">
      <w:pPr>
        <w:pStyle w:val="46"/>
        <w:bidi w:val="0"/>
        <w:rPr>
          <w:rFonts w:hint="eastAsia"/>
          <w:color w:val="auto"/>
        </w:rPr>
      </w:pPr>
      <w:bookmarkStart w:id="0" w:name="_Toc526940083"/>
      <w:r>
        <w:rPr>
          <w:rFonts w:hint="eastAsia"/>
          <w:color w:val="auto"/>
          <w:highlight w:val="none"/>
        </w:rPr>
        <w:t>2025年</w:t>
      </w:r>
      <w:r>
        <w:rPr>
          <w:rFonts w:hint="eastAsia"/>
          <w:color w:val="auto"/>
          <w:highlight w:val="none"/>
          <w:lang w:val="en-US" w:eastAsia="zh-CN"/>
        </w:rPr>
        <w:t>12</w:t>
      </w:r>
      <w:r>
        <w:rPr>
          <w:rFonts w:hint="eastAsia"/>
          <w:color w:val="auto"/>
          <w:highlight w:val="none"/>
        </w:rPr>
        <w:t>月～</w:t>
      </w:r>
      <w:r>
        <w:rPr>
          <w:rFonts w:hint="eastAsia"/>
          <w:color w:val="auto"/>
          <w:highlight w:val="none"/>
          <w:lang w:val="en-US" w:eastAsia="zh-CN"/>
        </w:rPr>
        <w:t>2026年1</w:t>
      </w:r>
      <w:r>
        <w:rPr>
          <w:rFonts w:hint="eastAsia"/>
          <w:color w:val="auto"/>
          <w:highlight w:val="none"/>
        </w:rPr>
        <w:t>月</w:t>
      </w:r>
      <w:r>
        <w:rPr>
          <w:rFonts w:hint="eastAsia"/>
          <w:color w:val="auto"/>
          <w:lang w:eastAsia="zh-CN"/>
        </w:rPr>
        <w:t>，</w:t>
      </w:r>
      <w:r>
        <w:rPr>
          <w:rFonts w:hint="eastAsia"/>
          <w:color w:val="auto"/>
        </w:rPr>
        <w:t>标准起草工作组</w:t>
      </w:r>
      <w:r>
        <w:rPr>
          <w:rFonts w:hint="eastAsia"/>
          <w:color w:val="auto"/>
          <w:lang w:val="en-US" w:eastAsia="zh-CN"/>
        </w:rPr>
        <w:t>与</w:t>
      </w:r>
      <w:r>
        <w:rPr>
          <w:rFonts w:hint="eastAsia"/>
          <w:color w:val="auto"/>
        </w:rPr>
        <w:t>北京农学会、农科院所</w:t>
      </w:r>
      <w:r>
        <w:rPr>
          <w:rFonts w:hint="eastAsia"/>
          <w:color w:val="auto"/>
          <w:lang w:eastAsia="zh-CN"/>
        </w:rPr>
        <w:t>、</w:t>
      </w:r>
      <w:r>
        <w:rPr>
          <w:rFonts w:hint="eastAsia"/>
          <w:color w:val="auto"/>
          <w:lang w:val="en-US" w:eastAsia="zh-CN"/>
        </w:rPr>
        <w:t>广西标准化协会</w:t>
      </w:r>
      <w:r>
        <w:rPr>
          <w:rFonts w:hint="eastAsia"/>
          <w:color w:val="auto"/>
        </w:rPr>
        <w:t>等单位和科研机构针对农业科普展览活动可持续性评价开展研讨会，通过座谈交流、实地调研等方式掌握各单位或科研机构对农业科普展览活动可持续性评价的具体技术要求。标准编制组还征求了广西标准化协会、农业农村部科技发展中心</w:t>
      </w:r>
      <w:r>
        <w:rPr>
          <w:rFonts w:hint="eastAsia"/>
          <w:color w:val="auto"/>
          <w:lang w:eastAsia="zh-CN"/>
        </w:rPr>
        <w:t>、</w:t>
      </w:r>
      <w:r>
        <w:rPr>
          <w:rFonts w:hint="eastAsia"/>
          <w:color w:val="auto"/>
        </w:rPr>
        <w:t>云南省热带作物科学研究所等单位的意见，通过召开研讨会或征求意见的方式收集各方修改意见，对标准草案进行了反复修改和研究讨论，形成了团体标准《农业科普展览活动可持续性评价指南》（征求意见稿）和（征求意见稿）编制说明。</w:t>
      </w:r>
    </w:p>
    <w:p w14:paraId="326E1D33">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仿宋_GB2312"/>
          <w:color w:val="auto"/>
          <w:lang w:eastAsia="zh-CN"/>
        </w:rPr>
      </w:pPr>
      <w:r>
        <w:rPr>
          <w:rFonts w:hint="eastAsia" w:eastAsia="仿宋_GB2312"/>
          <w:color w:val="auto"/>
          <w:lang w:eastAsia="zh-CN"/>
        </w:rPr>
        <w:drawing>
          <wp:inline distT="0" distB="0" distL="114300" distR="114300">
            <wp:extent cx="5400040" cy="4050030"/>
            <wp:effectExtent l="0" t="0" r="10160" b="1270"/>
            <wp:docPr id="31" name="图片 31" descr="74f3b68b10a9037a100602b31ebe0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74f3b68b10a9037a100602b31ebe0485"/>
                    <pic:cNvPicPr>
                      <a:picLocks noChangeAspect="1"/>
                    </pic:cNvPicPr>
                  </pic:nvPicPr>
                  <pic:blipFill>
                    <a:blip r:embed="rId11"/>
                    <a:stretch>
                      <a:fillRect/>
                    </a:stretch>
                  </pic:blipFill>
                  <pic:spPr>
                    <a:xfrm>
                      <a:off x="0" y="0"/>
                      <a:ext cx="5400040" cy="4050030"/>
                    </a:xfrm>
                    <a:prstGeom prst="rect">
                      <a:avLst/>
                    </a:prstGeom>
                  </pic:spPr>
                </pic:pic>
              </a:graphicData>
            </a:graphic>
          </wp:inline>
        </w:drawing>
      </w:r>
    </w:p>
    <w:p w14:paraId="33A4B0AD">
      <w:pPr>
        <w:pStyle w:val="43"/>
        <w:bidi w:val="0"/>
        <w:rPr>
          <w:rFonts w:hint="default"/>
          <w:color w:val="auto"/>
          <w:lang w:val="en-US" w:eastAsia="zh-CN"/>
        </w:rPr>
      </w:pPr>
      <w:r>
        <w:rPr>
          <w:rFonts w:hint="eastAsia"/>
          <w:color w:val="auto"/>
          <w:lang w:val="en-US" w:eastAsia="zh-CN"/>
        </w:rPr>
        <w:t>内部讨论会</w:t>
      </w:r>
    </w:p>
    <w:p w14:paraId="3301AD6B">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仿宋_GB2312"/>
          <w:color w:val="auto"/>
          <w:lang w:eastAsia="zh-CN"/>
        </w:rPr>
      </w:pPr>
      <w:r>
        <w:rPr>
          <w:rFonts w:hint="eastAsia" w:eastAsia="仿宋_GB2312"/>
          <w:color w:val="auto"/>
          <w:lang w:eastAsia="zh-CN"/>
        </w:rPr>
        <w:drawing>
          <wp:inline distT="0" distB="0" distL="114300" distR="114300">
            <wp:extent cx="5400040" cy="3597910"/>
            <wp:effectExtent l="0" t="0" r="10160" b="8890"/>
            <wp:docPr id="1" name="图片 1" descr="QQ图片20260421100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图片20260421100303(8)"/>
                    <pic:cNvPicPr>
                      <a:picLocks noChangeAspect="1"/>
                    </pic:cNvPicPr>
                  </pic:nvPicPr>
                  <pic:blipFill>
                    <a:blip r:embed="rId12"/>
                    <a:stretch>
                      <a:fillRect/>
                    </a:stretch>
                  </pic:blipFill>
                  <pic:spPr>
                    <a:xfrm>
                      <a:off x="0" y="0"/>
                      <a:ext cx="5400040" cy="3597910"/>
                    </a:xfrm>
                    <a:prstGeom prst="rect">
                      <a:avLst/>
                    </a:prstGeom>
                  </pic:spPr>
                </pic:pic>
              </a:graphicData>
            </a:graphic>
          </wp:inline>
        </w:drawing>
      </w:r>
    </w:p>
    <w:p w14:paraId="698674BC">
      <w:pPr>
        <w:pStyle w:val="43"/>
        <w:bidi w:val="0"/>
        <w:rPr>
          <w:rFonts w:hint="default"/>
          <w:color w:val="auto"/>
          <w:lang w:val="en-US" w:eastAsia="zh-CN"/>
        </w:rPr>
      </w:pPr>
      <w:r>
        <w:rPr>
          <w:rFonts w:hint="eastAsia"/>
          <w:color w:val="auto"/>
          <w:lang w:val="en-US" w:eastAsia="zh-CN"/>
        </w:rPr>
        <w:t>广西热作所开展农业科普展览活动</w:t>
      </w:r>
    </w:p>
    <w:p w14:paraId="45CBA426">
      <w:pPr>
        <w:pStyle w:val="46"/>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仿宋_GB2312"/>
          <w:color w:val="auto"/>
          <w:lang w:eastAsia="zh-CN"/>
        </w:rPr>
      </w:pPr>
      <w:r>
        <w:rPr>
          <w:rFonts w:hint="eastAsia" w:eastAsia="仿宋_GB2312"/>
          <w:color w:val="auto"/>
          <w:lang w:eastAsia="zh-CN"/>
        </w:rPr>
        <w:drawing>
          <wp:inline distT="0" distB="0" distL="114300" distR="114300">
            <wp:extent cx="5400040" cy="3597910"/>
            <wp:effectExtent l="0" t="0" r="10160" b="8890"/>
            <wp:docPr id="2" name="图片 2" descr="QQ图片202604211004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QQ图片20260421100458(12)"/>
                    <pic:cNvPicPr>
                      <a:picLocks noChangeAspect="1"/>
                    </pic:cNvPicPr>
                  </pic:nvPicPr>
                  <pic:blipFill>
                    <a:blip r:embed="rId13"/>
                    <a:stretch>
                      <a:fillRect/>
                    </a:stretch>
                  </pic:blipFill>
                  <pic:spPr>
                    <a:xfrm>
                      <a:off x="0" y="0"/>
                      <a:ext cx="5400040" cy="3597910"/>
                    </a:xfrm>
                    <a:prstGeom prst="rect">
                      <a:avLst/>
                    </a:prstGeom>
                  </pic:spPr>
                </pic:pic>
              </a:graphicData>
            </a:graphic>
          </wp:inline>
        </w:drawing>
      </w:r>
    </w:p>
    <w:p w14:paraId="75C51DC3">
      <w:pPr>
        <w:pStyle w:val="43"/>
        <w:bidi w:val="0"/>
        <w:rPr>
          <w:rFonts w:hint="eastAsia" w:eastAsia="仿宋_GB2312"/>
          <w:color w:val="auto"/>
          <w:lang w:eastAsia="zh-CN"/>
        </w:rPr>
      </w:pPr>
      <w:r>
        <w:rPr>
          <w:rFonts w:hint="eastAsia"/>
          <w:color w:val="auto"/>
          <w:lang w:val="en-US" w:eastAsia="zh-CN"/>
        </w:rPr>
        <w:t>广西热作所开展农业科普展览活动现场情况调查</w:t>
      </w:r>
    </w:p>
    <w:p w14:paraId="4DECCC6F">
      <w:pPr>
        <w:pStyle w:val="41"/>
        <w:rPr>
          <w:rFonts w:hint="eastAsia"/>
          <w:color w:val="auto"/>
          <w:lang w:eastAsia="zh-CN"/>
        </w:rPr>
      </w:pPr>
      <w:r>
        <w:rPr>
          <w:rFonts w:hint="eastAsia"/>
          <w:color w:val="auto"/>
          <w:lang w:eastAsia="zh-CN"/>
        </w:rPr>
        <w:drawing>
          <wp:inline distT="0" distB="0" distL="114300" distR="114300">
            <wp:extent cx="5400040" cy="3600450"/>
            <wp:effectExtent l="0" t="0" r="10160" b="6350"/>
            <wp:docPr id="5" name="图片 5" descr="QQ图片20260421101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QQ图片20260421101452(3)"/>
                    <pic:cNvPicPr>
                      <a:picLocks noChangeAspect="1"/>
                    </pic:cNvPicPr>
                  </pic:nvPicPr>
                  <pic:blipFill>
                    <a:blip r:embed="rId14"/>
                    <a:stretch>
                      <a:fillRect/>
                    </a:stretch>
                  </pic:blipFill>
                  <pic:spPr>
                    <a:xfrm>
                      <a:off x="0" y="0"/>
                      <a:ext cx="5400040" cy="3600450"/>
                    </a:xfrm>
                    <a:prstGeom prst="rect">
                      <a:avLst/>
                    </a:prstGeom>
                  </pic:spPr>
                </pic:pic>
              </a:graphicData>
            </a:graphic>
          </wp:inline>
        </w:drawing>
      </w:r>
    </w:p>
    <w:p w14:paraId="071ED9EE">
      <w:pPr>
        <w:pStyle w:val="43"/>
        <w:bidi w:val="0"/>
        <w:rPr>
          <w:rFonts w:hint="eastAsia" w:eastAsia="仿宋_GB2312"/>
          <w:color w:val="auto"/>
          <w:lang w:eastAsia="zh-CN"/>
        </w:rPr>
      </w:pPr>
      <w:r>
        <w:rPr>
          <w:rFonts w:hint="eastAsia"/>
          <w:color w:val="auto"/>
          <w:lang w:val="en-US" w:eastAsia="zh-CN"/>
        </w:rPr>
        <w:t>成员开展农业科普展览活体植物状态记录</w:t>
      </w:r>
    </w:p>
    <w:p w14:paraId="48171E1A">
      <w:pPr>
        <w:pStyle w:val="41"/>
        <w:rPr>
          <w:rFonts w:hint="eastAsia"/>
          <w:color w:val="auto"/>
          <w:lang w:eastAsia="zh-CN"/>
        </w:rPr>
      </w:pPr>
      <w:r>
        <w:rPr>
          <w:rFonts w:hint="eastAsia"/>
          <w:color w:val="auto"/>
          <w:lang w:eastAsia="zh-CN"/>
        </w:rPr>
        <w:drawing>
          <wp:inline distT="0" distB="0" distL="114300" distR="114300">
            <wp:extent cx="5400040" cy="4050665"/>
            <wp:effectExtent l="0" t="0" r="10160" b="635"/>
            <wp:docPr id="6" name="图片 6" descr="QQ图片202604211017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QQ图片20260421101754(4)"/>
                    <pic:cNvPicPr>
                      <a:picLocks noChangeAspect="1"/>
                    </pic:cNvPicPr>
                  </pic:nvPicPr>
                  <pic:blipFill>
                    <a:blip r:embed="rId15"/>
                    <a:stretch>
                      <a:fillRect/>
                    </a:stretch>
                  </pic:blipFill>
                  <pic:spPr>
                    <a:xfrm>
                      <a:off x="0" y="0"/>
                      <a:ext cx="5400040" cy="4050665"/>
                    </a:xfrm>
                    <a:prstGeom prst="rect">
                      <a:avLst/>
                    </a:prstGeom>
                  </pic:spPr>
                </pic:pic>
              </a:graphicData>
            </a:graphic>
          </wp:inline>
        </w:drawing>
      </w:r>
    </w:p>
    <w:p w14:paraId="49EF2C44">
      <w:pPr>
        <w:pStyle w:val="43"/>
        <w:bidi w:val="0"/>
        <w:rPr>
          <w:rFonts w:hint="eastAsia" w:eastAsia="仿宋_GB2312"/>
          <w:color w:val="auto"/>
          <w:lang w:eastAsia="zh-CN"/>
        </w:rPr>
      </w:pPr>
      <w:r>
        <w:rPr>
          <w:rFonts w:hint="eastAsia"/>
          <w:color w:val="auto"/>
          <w:lang w:val="en-US" w:eastAsia="zh-CN"/>
        </w:rPr>
        <w:t>成员到广西科技馆开展科普展览活动可持续评价调研</w:t>
      </w:r>
    </w:p>
    <w:p w14:paraId="318BCF67">
      <w:pPr>
        <w:pStyle w:val="45"/>
        <w:bidi w:val="0"/>
        <w:rPr>
          <w:color w:val="auto"/>
        </w:rPr>
      </w:pPr>
      <w:r>
        <w:rPr>
          <w:color w:val="auto"/>
        </w:rPr>
        <w:t>四、</w:t>
      </w:r>
      <w:bookmarkEnd w:id="0"/>
      <w:r>
        <w:rPr>
          <w:color w:val="auto"/>
        </w:rPr>
        <w:t>制定标准的原则和依据，与现行法律、法规的关系，与有关国家标准、行业标准的协调情况</w:t>
      </w:r>
    </w:p>
    <w:p w14:paraId="726C4CC2">
      <w:pPr>
        <w:pStyle w:val="47"/>
        <w:bidi w:val="0"/>
        <w:rPr>
          <w:rFonts w:ascii="Times New Roman" w:eastAsia="仿宋"/>
          <w:b/>
          <w:bCs/>
          <w:color w:val="auto"/>
          <w:szCs w:val="32"/>
        </w:rPr>
      </w:pPr>
      <w:r>
        <w:rPr>
          <w:color w:val="auto"/>
        </w:rPr>
        <w:t>（一）编制原则</w:t>
      </w:r>
    </w:p>
    <w:p w14:paraId="575E3BAB">
      <w:pPr>
        <w:pStyle w:val="48"/>
        <w:bidi w:val="0"/>
        <w:rPr>
          <w:rFonts w:eastAsia="仿宋"/>
          <w:b/>
          <w:bCs/>
          <w:color w:val="auto"/>
          <w:kern w:val="0"/>
          <w:szCs w:val="32"/>
        </w:rPr>
      </w:pPr>
      <w:r>
        <w:rPr>
          <w:color w:val="auto"/>
        </w:rPr>
        <w:t>1</w:t>
      </w:r>
      <w:r>
        <w:rPr>
          <w:rFonts w:hint="eastAsia"/>
          <w:color w:val="auto"/>
          <w:lang w:val="en-US" w:eastAsia="zh-CN"/>
        </w:rPr>
        <w:t>.</w:t>
      </w:r>
      <w:r>
        <w:rPr>
          <w:color w:val="auto"/>
        </w:rPr>
        <w:t>实用性原则</w:t>
      </w:r>
    </w:p>
    <w:p w14:paraId="288D4538">
      <w:pPr>
        <w:pStyle w:val="46"/>
        <w:bidi w:val="0"/>
        <w:rPr>
          <w:rFonts w:ascii="仿宋_GB2312" w:hAnsi="宋体" w:eastAsia="仿宋_GB2312"/>
          <w:color w:val="auto"/>
          <w:sz w:val="32"/>
          <w:szCs w:val="28"/>
        </w:rPr>
      </w:pPr>
      <w:r>
        <w:rPr>
          <w:rFonts w:hint="eastAsia" w:ascii="仿宋_GB2312" w:hAnsi="宋体" w:eastAsia="仿宋_GB2312"/>
          <w:color w:val="auto"/>
          <w:sz w:val="32"/>
          <w:szCs w:val="28"/>
        </w:rPr>
        <w:t>本文件是在充分收集相关资料和文献，分析</w:t>
      </w:r>
      <w:r>
        <w:rPr>
          <w:rFonts w:hint="eastAsia"/>
          <w:color w:val="auto"/>
        </w:rPr>
        <w:t>农业科普展览活动可持续性评价</w:t>
      </w:r>
      <w:r>
        <w:rPr>
          <w:rFonts w:hint="eastAsia" w:ascii="仿宋_GB2312" w:hAnsi="宋体" w:eastAsia="仿宋_GB2312"/>
          <w:color w:val="auto"/>
          <w:sz w:val="32"/>
          <w:szCs w:val="28"/>
        </w:rPr>
        <w:t>当前现状，在现有相关</w:t>
      </w:r>
      <w:r>
        <w:rPr>
          <w:rFonts w:hint="eastAsia" w:ascii="仿宋_GB2312" w:eastAsia="仿宋_GB2312"/>
          <w:bCs/>
          <w:color w:val="auto"/>
          <w:sz w:val="32"/>
          <w:szCs w:val="32"/>
          <w:highlight w:val="none"/>
        </w:rPr>
        <w:t>农业科普展览活动可持续性评价</w:t>
      </w:r>
      <w:r>
        <w:rPr>
          <w:rFonts w:hint="eastAsia" w:ascii="仿宋_GB2312" w:hAnsi="宋体" w:eastAsia="仿宋_GB2312"/>
          <w:color w:val="auto"/>
          <w:sz w:val="32"/>
          <w:szCs w:val="28"/>
        </w:rPr>
        <w:t>要求的基础上，结合编制单位</w:t>
      </w:r>
      <w:r>
        <w:rPr>
          <w:rFonts w:ascii="仿宋_GB2312" w:hAnsi="宋体" w:eastAsia="仿宋_GB2312"/>
          <w:color w:val="auto"/>
          <w:sz w:val="32"/>
          <w:szCs w:val="28"/>
        </w:rPr>
        <w:t>多年</w:t>
      </w:r>
      <w:r>
        <w:rPr>
          <w:rFonts w:hint="eastAsia" w:ascii="仿宋_GB2312" w:hAnsi="宋体" w:eastAsia="仿宋_GB2312"/>
          <w:color w:val="auto"/>
          <w:sz w:val="32"/>
          <w:szCs w:val="28"/>
        </w:rPr>
        <w:t>相关经验而总结起草的，符合当前</w:t>
      </w:r>
      <w:r>
        <w:rPr>
          <w:rFonts w:hint="eastAsia"/>
          <w:color w:val="auto"/>
        </w:rPr>
        <w:t>农业科普展览活动可持续性评价</w:t>
      </w:r>
      <w:r>
        <w:rPr>
          <w:rFonts w:hint="eastAsia" w:ascii="仿宋_GB2312" w:hAnsi="宋体" w:eastAsia="仿宋_GB2312"/>
          <w:color w:val="auto"/>
          <w:sz w:val="32"/>
          <w:szCs w:val="28"/>
        </w:rPr>
        <w:t>发展的方向，具有较强的实用性和可操作性。</w:t>
      </w:r>
    </w:p>
    <w:p w14:paraId="51269F0B">
      <w:pPr>
        <w:pStyle w:val="48"/>
        <w:bidi w:val="0"/>
        <w:rPr>
          <w:rFonts w:eastAsia="仿宋"/>
          <w:b/>
          <w:bCs/>
          <w:color w:val="auto"/>
          <w:kern w:val="0"/>
          <w:szCs w:val="32"/>
        </w:rPr>
      </w:pPr>
      <w:r>
        <w:rPr>
          <w:rFonts w:hint="eastAsia"/>
          <w:color w:val="auto"/>
        </w:rPr>
        <w:t>2</w:t>
      </w:r>
      <w:r>
        <w:rPr>
          <w:rFonts w:hint="eastAsia"/>
          <w:color w:val="auto"/>
          <w:lang w:val="en-US" w:eastAsia="zh-CN"/>
        </w:rPr>
        <w:t>.</w:t>
      </w:r>
      <w:r>
        <w:rPr>
          <w:rFonts w:hint="eastAsia"/>
          <w:color w:val="auto"/>
        </w:rPr>
        <w:t>协调性原则</w:t>
      </w:r>
    </w:p>
    <w:p w14:paraId="70A960D1">
      <w:pPr>
        <w:pStyle w:val="46"/>
        <w:bidi w:val="0"/>
        <w:rPr>
          <w:rFonts w:ascii="仿宋_GB2312" w:hAnsi="宋体" w:eastAsia="仿宋_GB2312"/>
          <w:color w:val="auto"/>
          <w:sz w:val="32"/>
          <w:szCs w:val="28"/>
        </w:rPr>
      </w:pPr>
      <w:r>
        <w:rPr>
          <w:rFonts w:hint="eastAsia" w:ascii="仿宋_GB2312" w:hAnsi="宋体" w:eastAsia="仿宋_GB2312"/>
          <w:color w:val="auto"/>
          <w:sz w:val="32"/>
          <w:szCs w:val="28"/>
        </w:rPr>
        <w:t>本文件编写过程中注意了与</w:t>
      </w:r>
      <w:r>
        <w:rPr>
          <w:rFonts w:hint="eastAsia" w:ascii="仿宋_GB2312" w:eastAsia="仿宋_GB2312"/>
          <w:bCs/>
          <w:color w:val="auto"/>
          <w:sz w:val="32"/>
          <w:szCs w:val="32"/>
          <w:highlight w:val="none"/>
        </w:rPr>
        <w:t>农业科普展览活动可持续性评价</w:t>
      </w:r>
      <w:r>
        <w:rPr>
          <w:rFonts w:hint="eastAsia" w:ascii="仿宋_GB2312" w:hAnsi="宋体" w:eastAsia="仿宋_GB2312"/>
          <w:color w:val="auto"/>
          <w:sz w:val="32"/>
          <w:szCs w:val="28"/>
        </w:rPr>
        <w:t>相关法律法规的协调问题，在内容上与现行法律法规、标准协调一致。</w:t>
      </w:r>
    </w:p>
    <w:p w14:paraId="5E67D484">
      <w:pPr>
        <w:pStyle w:val="48"/>
        <w:bidi w:val="0"/>
        <w:rPr>
          <w:color w:val="auto"/>
        </w:rPr>
      </w:pPr>
      <w:r>
        <w:rPr>
          <w:rFonts w:hint="eastAsia"/>
          <w:color w:val="auto"/>
        </w:rPr>
        <w:t>3</w:t>
      </w:r>
      <w:r>
        <w:rPr>
          <w:rFonts w:hint="eastAsia"/>
          <w:color w:val="auto"/>
          <w:lang w:val="en-US" w:eastAsia="zh-CN"/>
        </w:rPr>
        <w:t>.</w:t>
      </w:r>
      <w:r>
        <w:rPr>
          <w:rFonts w:hint="eastAsia"/>
          <w:color w:val="auto"/>
        </w:rPr>
        <w:t>规范性原则</w:t>
      </w:r>
    </w:p>
    <w:p w14:paraId="6D82543B">
      <w:pPr>
        <w:pStyle w:val="46"/>
        <w:bidi w:val="0"/>
        <w:rPr>
          <w:color w:val="auto"/>
        </w:rPr>
      </w:pPr>
      <w:r>
        <w:rPr>
          <w:rFonts w:hint="eastAsia"/>
          <w:color w:val="auto"/>
        </w:rPr>
        <w:t>本文件严格参照GB/T 1.1—2020《标准化工作导则  第1部分：标准化文件的结构和起草规则》编写本标准的内容，保证标准的编写质量。</w:t>
      </w:r>
    </w:p>
    <w:p w14:paraId="1B34DD46">
      <w:pPr>
        <w:pStyle w:val="48"/>
        <w:bidi w:val="0"/>
        <w:rPr>
          <w:rFonts w:eastAsia="仿宋"/>
          <w:b/>
          <w:bCs/>
          <w:color w:val="auto"/>
          <w:kern w:val="0"/>
          <w:szCs w:val="32"/>
        </w:rPr>
      </w:pPr>
      <w:r>
        <w:rPr>
          <w:rFonts w:hint="eastAsia"/>
          <w:color w:val="auto"/>
        </w:rPr>
        <w:t>4</w:t>
      </w:r>
      <w:r>
        <w:rPr>
          <w:rFonts w:hint="eastAsia"/>
          <w:color w:val="auto"/>
          <w:lang w:val="en-US" w:eastAsia="zh-CN"/>
        </w:rPr>
        <w:t>.</w:t>
      </w:r>
      <w:r>
        <w:rPr>
          <w:rFonts w:hint="eastAsia"/>
          <w:color w:val="auto"/>
        </w:rPr>
        <w:t>前瞻性原则</w:t>
      </w:r>
    </w:p>
    <w:p w14:paraId="032DD414">
      <w:pPr>
        <w:pStyle w:val="46"/>
        <w:bidi w:val="0"/>
        <w:rPr>
          <w:color w:val="auto"/>
        </w:rPr>
      </w:pPr>
      <w:r>
        <w:rPr>
          <w:rFonts w:hint="eastAsia"/>
          <w:color w:val="auto"/>
        </w:rPr>
        <w:t>本文件在兼顾当前区内</w:t>
      </w:r>
      <w:r>
        <w:rPr>
          <w:rFonts w:hint="eastAsia" w:ascii="仿宋_GB2312" w:eastAsia="仿宋_GB2312"/>
          <w:bCs/>
          <w:color w:val="auto"/>
          <w:sz w:val="32"/>
          <w:szCs w:val="32"/>
          <w:highlight w:val="none"/>
        </w:rPr>
        <w:t>农业科普展览活动可持续性评价</w:t>
      </w:r>
      <w:r>
        <w:rPr>
          <w:rFonts w:hint="eastAsia"/>
          <w:color w:val="auto"/>
        </w:rPr>
        <w:t>现实情况的同时，还考虑到了</w:t>
      </w:r>
      <w:r>
        <w:rPr>
          <w:rFonts w:hint="eastAsia" w:ascii="仿宋_GB2312" w:eastAsia="仿宋_GB2312"/>
          <w:bCs/>
          <w:color w:val="auto"/>
          <w:sz w:val="32"/>
          <w:szCs w:val="32"/>
          <w:highlight w:val="none"/>
        </w:rPr>
        <w:t>农业科普展览活动可持续性评价</w:t>
      </w:r>
      <w:r>
        <w:rPr>
          <w:rFonts w:hint="eastAsia"/>
          <w:color w:val="auto"/>
        </w:rPr>
        <w:t>快速发展的趋势和需要，在标准中体现了个别特色性、前瞻性和先进性条款，作为对农业科普展览活动可持续性评价发展的指导。</w:t>
      </w:r>
    </w:p>
    <w:p w14:paraId="7C1A2ADE">
      <w:pPr>
        <w:pStyle w:val="47"/>
        <w:bidi w:val="0"/>
        <w:rPr>
          <w:color w:val="auto"/>
        </w:rPr>
      </w:pPr>
      <w:r>
        <w:rPr>
          <w:color w:val="auto"/>
        </w:rPr>
        <w:t>（二）编制依据</w:t>
      </w:r>
    </w:p>
    <w:p w14:paraId="58961274">
      <w:pPr>
        <w:pStyle w:val="46"/>
        <w:bidi w:val="0"/>
        <w:rPr>
          <w:color w:val="auto"/>
        </w:rPr>
      </w:pPr>
      <w:r>
        <w:rPr>
          <w:color w:val="auto"/>
        </w:rPr>
        <w:t>本标准严格按照GB/T 1.1—2020《标准化工作导则  第1部分：标准化文件的结构和起草规则》的规则起草，标准主要内容参考相关标准文件并结合起草单位多年的</w:t>
      </w:r>
      <w:r>
        <w:rPr>
          <w:rFonts w:hint="eastAsia"/>
          <w:color w:val="auto"/>
        </w:rPr>
        <w:t>相关</w:t>
      </w:r>
      <w:r>
        <w:rPr>
          <w:color w:val="auto"/>
        </w:rPr>
        <w:t>经验</w:t>
      </w:r>
      <w:r>
        <w:rPr>
          <w:rFonts w:hint="eastAsia"/>
          <w:color w:val="auto"/>
        </w:rPr>
        <w:t>和实践</w:t>
      </w:r>
      <w:r>
        <w:rPr>
          <w:color w:val="auto"/>
        </w:rPr>
        <w:t>验证情况总结进行起草。</w:t>
      </w:r>
    </w:p>
    <w:p w14:paraId="313E401B">
      <w:pPr>
        <w:pStyle w:val="49"/>
        <w:keepNext w:val="0"/>
        <w:keepLines w:val="0"/>
        <w:pageBreakBefore w:val="0"/>
        <w:widowControl w:val="0"/>
        <w:kinsoku/>
        <w:wordWrap/>
        <w:overflowPunct/>
        <w:topLinePunct w:val="0"/>
        <w:autoSpaceDE/>
        <w:autoSpaceDN/>
        <w:bidi w:val="0"/>
        <w:adjustRightInd/>
        <w:snapToGrid/>
        <w:ind w:firstLine="640" w:firstLineChars="200"/>
        <w:jc w:val="left"/>
        <w:textAlignment w:val="auto"/>
        <w:rPr>
          <w:rFonts w:hint="eastAsia" w:ascii="Times New Roman" w:hAnsi="Times New Roman" w:eastAsia="仿宋_GB2312" w:cs="Times New Roman"/>
          <w:color w:val="auto"/>
          <w:kern w:val="2"/>
          <w:sz w:val="32"/>
          <w:szCs w:val="28"/>
          <w:lang w:val="en-US" w:eastAsia="zh-CN" w:bidi="ar-SA"/>
        </w:rPr>
      </w:pPr>
      <w:r>
        <w:rPr>
          <w:rFonts w:hint="eastAsia" w:ascii="Times New Roman" w:hAnsi="Times New Roman" w:eastAsia="仿宋_GB2312" w:cs="Times New Roman"/>
          <w:color w:val="auto"/>
          <w:kern w:val="2"/>
          <w:sz w:val="32"/>
          <w:szCs w:val="28"/>
          <w:lang w:val="en-US" w:eastAsia="zh-CN" w:bidi="ar-SA"/>
        </w:rPr>
        <w:t>广西壮族自治区亚热带作物研究所（下称广西热作所），是广西农业科学院直属的从事杧果、澳洲坚果、茶叶、木薯、花卉、甘蔗、剑麻等热带、亚热带作物种质资源收集保存、良种选育繁育、丰产栽培、科普研究、环境与植物保护、贮藏保鲜、加工技术及中试示范、综合开发新技术等方面的研究和相关技术咨询的公益性事业单位。广西热作所内的热作所（东盟）亚热带植物园是全国科普教育基地、全国热带作物科普基地、广西热作所中小学劳动教育实践基地、南宁市中小学劳动教育实践基地。广西热作所组建了广西农科院第一个专业从事科普的团队——亚热带植物科普创新研究团队，该团队专业涵盖自然科学、社会科学等领域，在科普理论、科普创作、科普传播、科普活动等方面积累了较为丰富的理论和实践研究经验。广西热作所科普活动开展场所主要在广西热作所亚热带植物园，总面积1510亩，其中核心区科普园410亩，分为户外区、室内区两个区域。户外区有科普活动草坪面积3000平方米，可供公众集中教学、活动、体验、休整；森林露营区面积2200平方米、素质拓展场地面积3000平方米、种植体验区面积11000平方米、果园面积719000平方米。室内区建有面积1750平方米的科普活动中心大棚，兼具科普活动、农业实验探究、生产加工等功能；自然教室4座，配有与科普实践教育活动相匹配的教育教学设施（含软件）。多年来，广西热作所科普基地凭借其独特的资源优势和优质的服务质量，面向广西公众开展了多次大型科普活动，在全国科技活动周、全国科普日、广西八桂科普大行动等重大科普活动中表现突出，先后被中国科协评为“优秀组织单位”2次、“优秀特色活动”3次；被广西科学技术协会被评为“先进单位”6次，“优秀特色科普活动”5次；科技人员参加全国科普讲解大赛广西选拔赛，获优秀奖10人次。广西热作所近五年发表科技论文300余篇，截止至2024年9月，获科学技术奖励128项，其中获国家级奖项4个，省部级51项，育成优良新品种46个，获授权国家专利209件，有丰富的亚热带作物研究基础。</w:t>
      </w:r>
    </w:p>
    <w:p w14:paraId="2F956A36">
      <w:pPr>
        <w:pStyle w:val="49"/>
        <w:keepNext w:val="0"/>
        <w:keepLines w:val="0"/>
        <w:pageBreakBefore w:val="0"/>
        <w:widowControl w:val="0"/>
        <w:kinsoku/>
        <w:wordWrap/>
        <w:overflowPunct/>
        <w:topLinePunct w:val="0"/>
        <w:autoSpaceDE/>
        <w:autoSpaceDN/>
        <w:bidi w:val="0"/>
        <w:adjustRightInd/>
        <w:snapToGrid/>
        <w:ind w:firstLine="640" w:firstLineChars="200"/>
        <w:jc w:val="left"/>
        <w:textAlignment w:val="auto"/>
        <w:rPr>
          <w:rFonts w:hint="eastAsia" w:ascii="Times New Roman" w:hAnsi="Times New Roman" w:eastAsia="仿宋_GB2312" w:cs="Times New Roman"/>
          <w:color w:val="auto"/>
          <w:kern w:val="2"/>
          <w:sz w:val="32"/>
          <w:szCs w:val="28"/>
          <w:lang w:val="en-US" w:eastAsia="zh-CN" w:bidi="ar-SA"/>
        </w:rPr>
      </w:pPr>
      <w:r>
        <w:rPr>
          <w:rFonts w:hint="eastAsia" w:ascii="Times New Roman" w:hAnsi="Times New Roman" w:eastAsia="仿宋_GB2312" w:cs="Times New Roman"/>
          <w:color w:val="auto"/>
          <w:kern w:val="2"/>
          <w:sz w:val="32"/>
          <w:szCs w:val="28"/>
          <w:lang w:val="en-US" w:eastAsia="zh-CN" w:bidi="ar-SA"/>
        </w:rPr>
        <w:t>另外，广西热作所主持策划了2场大型农业科普展览活动，一是端午主题文化节的端午与植物文化展，本次展览活动为期2天且线上线下同步举行，线上直播超过15000人观看，点赞数超过3万次，线下吸引3000余名市民共同参与；二是2024年11月8日至10日，由广西壮族自治区农业农村厅主办的2024年广西国际农业博览会上，主持设计原创咖啡科普展，以漫画的形式进行了咖啡科普，展览吸引了上万人次参与。同时广西热作所主持或参与制定制订、修订标准50余项，有一定的标准化工作经验。</w:t>
      </w:r>
    </w:p>
    <w:p w14:paraId="3480EBF9">
      <w:pPr>
        <w:pStyle w:val="49"/>
        <w:keepNext w:val="0"/>
        <w:keepLines w:val="0"/>
        <w:pageBreakBefore w:val="0"/>
        <w:widowControl w:val="0"/>
        <w:kinsoku/>
        <w:wordWrap/>
        <w:overflowPunct/>
        <w:topLinePunct w:val="0"/>
        <w:autoSpaceDE/>
        <w:autoSpaceDN/>
        <w:bidi w:val="0"/>
        <w:adjustRightInd/>
        <w:snapToGrid/>
        <w:ind w:firstLine="640" w:firstLineChars="200"/>
        <w:jc w:val="left"/>
        <w:textAlignment w:val="auto"/>
        <w:rPr>
          <w:rFonts w:hint="eastAsia" w:ascii="Times New Roman" w:hAnsi="Times New Roman" w:cs="Times New Roman"/>
          <w:color w:val="auto"/>
          <w:kern w:val="2"/>
          <w:sz w:val="32"/>
          <w:szCs w:val="28"/>
          <w:highlight w:val="none"/>
          <w:lang w:val="en-US" w:eastAsia="zh-CN" w:bidi="ar-SA"/>
        </w:rPr>
      </w:pPr>
      <w:r>
        <w:rPr>
          <w:rFonts w:hint="eastAsia" w:ascii="Times New Roman" w:hAnsi="Times New Roman" w:eastAsia="仿宋_GB2312" w:cs="Times New Roman"/>
          <w:color w:val="auto"/>
          <w:kern w:val="2"/>
          <w:sz w:val="32"/>
          <w:szCs w:val="28"/>
          <w:lang w:val="en-US" w:eastAsia="zh-CN" w:bidi="ar-SA"/>
        </w:rPr>
        <w:t>广西热作所</w:t>
      </w:r>
      <w:r>
        <w:rPr>
          <w:rFonts w:hint="default" w:ascii="Times New Roman" w:hAnsi="Times New Roman" w:eastAsia="仿宋_GB2312" w:cs="Times New Roman"/>
          <w:color w:val="auto"/>
          <w:kern w:val="2"/>
          <w:sz w:val="32"/>
          <w:szCs w:val="28"/>
          <w:highlight w:val="none"/>
          <w:lang w:val="en-US" w:eastAsia="zh-CN" w:bidi="ar-SA"/>
        </w:rPr>
        <w:t>以全国科技活动周、科普基地暑期专题、</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科创筑梦</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联合行动-建设和美乡村、全国科普日、广西八桂科普大行动等重大科普活动为契机，举办</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湖光</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杉</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色正当时</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-全民科普乐享节、</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呵护万千生灵 共建和谐壮美家园</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野生动植物保护宣传月暨广西热作所“守护种苗”主题系列活动、</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草木香，佑安康</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端午主题文化节、</w:t>
      </w:r>
      <w:r>
        <w:rPr>
          <w:rFonts w:hint="eastAsia" w:ascii="Times New Roman" w:hAnsi="Times New Roman" w:cs="Times New Roman"/>
          <w:color w:val="auto"/>
          <w:kern w:val="2"/>
          <w:sz w:val="32"/>
          <w:szCs w:val="28"/>
          <w:highlight w:val="none"/>
          <w:lang w:val="en-US" w:eastAsia="zh-CN" w:bidi="ar-SA"/>
        </w:rPr>
        <w:t>广西首届</w:t>
      </w:r>
      <w:r>
        <w:rPr>
          <w:rFonts w:hint="default" w:ascii="Times New Roman" w:hAnsi="Times New Roman" w:eastAsia="仿宋_GB2312" w:cs="Times New Roman"/>
          <w:color w:val="auto"/>
          <w:kern w:val="2"/>
          <w:sz w:val="32"/>
          <w:szCs w:val="28"/>
          <w:highlight w:val="none"/>
          <w:lang w:val="en-US" w:eastAsia="zh-CN" w:bidi="ar-SA"/>
        </w:rPr>
        <w:t>咖啡文化节等大型科普活动，亚热带植物科普创新研究团队作为主创设计的咖啡科普展在广西咖啡创新发展交流推介会上展览，并且咖啡</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大咖</w:t>
      </w:r>
      <w:r>
        <w:rPr>
          <w:rFonts w:hint="eastAsia" w:ascii="Times New Roman" w:hAnsi="Times New Roman" w:cs="Times New Roman"/>
          <w:color w:val="auto"/>
          <w:kern w:val="2"/>
          <w:sz w:val="32"/>
          <w:szCs w:val="28"/>
          <w:highlight w:val="none"/>
          <w:lang w:val="en-US" w:eastAsia="zh-CN" w:bidi="ar-SA"/>
        </w:rPr>
        <w:t>”</w:t>
      </w:r>
      <w:r>
        <w:rPr>
          <w:rFonts w:hint="default" w:ascii="Times New Roman" w:hAnsi="Times New Roman" w:eastAsia="仿宋_GB2312" w:cs="Times New Roman"/>
          <w:color w:val="auto"/>
          <w:kern w:val="2"/>
          <w:sz w:val="32"/>
          <w:szCs w:val="28"/>
          <w:highlight w:val="none"/>
          <w:lang w:val="en-US" w:eastAsia="zh-CN" w:bidi="ar-SA"/>
        </w:rPr>
        <w:t>卡通形象作为原创logo应用于整场广西咖啡创新发展交流推介会上</w:t>
      </w:r>
      <w:r>
        <w:rPr>
          <w:rFonts w:hint="eastAsia" w:ascii="Times New Roman" w:hAnsi="Times New Roman" w:cs="Times New Roman"/>
          <w:color w:val="auto"/>
          <w:kern w:val="2"/>
          <w:sz w:val="32"/>
          <w:szCs w:val="28"/>
          <w:highlight w:val="none"/>
          <w:lang w:val="en-US" w:eastAsia="zh-CN" w:bidi="ar-SA"/>
        </w:rPr>
        <w:t>。</w:t>
      </w:r>
      <w:r>
        <w:rPr>
          <w:rFonts w:hint="eastAsia" w:ascii="Times New Roman" w:hAnsi="Times New Roman" w:cs="Times New Roman"/>
          <w:b/>
          <w:bCs/>
          <w:color w:val="auto"/>
          <w:kern w:val="2"/>
          <w:sz w:val="32"/>
          <w:szCs w:val="28"/>
          <w:highlight w:val="none"/>
          <w:lang w:val="en-US" w:eastAsia="zh-CN" w:bidi="ar-SA"/>
        </w:rPr>
        <w:t>广西首届</w:t>
      </w:r>
      <w:r>
        <w:rPr>
          <w:rFonts w:hint="default" w:ascii="Times New Roman" w:hAnsi="Times New Roman" w:eastAsia="仿宋_GB2312" w:cs="Times New Roman"/>
          <w:b/>
          <w:bCs/>
          <w:color w:val="auto"/>
          <w:kern w:val="2"/>
          <w:sz w:val="32"/>
          <w:szCs w:val="28"/>
          <w:highlight w:val="none"/>
          <w:lang w:val="en-US" w:eastAsia="zh-CN" w:bidi="ar-SA"/>
        </w:rPr>
        <w:t>咖啡文化节获新华社、中国新闻网、人民网、人民日报客户端广西频道等主流媒体报道，其中在新华社客户端浏览量达24.4万次。</w:t>
      </w:r>
      <w:r>
        <w:rPr>
          <w:rFonts w:hint="default" w:ascii="Times New Roman" w:hAnsi="Times New Roman" w:eastAsia="仿宋_GB2312" w:cs="Times New Roman"/>
          <w:color w:val="auto"/>
          <w:kern w:val="2"/>
          <w:sz w:val="32"/>
          <w:szCs w:val="28"/>
          <w:highlight w:val="none"/>
          <w:lang w:val="en-US" w:eastAsia="zh-CN" w:bidi="ar-SA"/>
        </w:rPr>
        <w:t>累计开展科普活动10余次，线上线下科普受众人数超100000人次；策划大型科普展2场，观展人数达20000人次；开展各类研学活动10余场次，受众学生超7000人次</w:t>
      </w:r>
      <w:r>
        <w:rPr>
          <w:rFonts w:hint="eastAsia" w:ascii="Times New Roman" w:hAnsi="Times New Roman" w:cs="Times New Roman"/>
          <w:color w:val="auto"/>
          <w:kern w:val="2"/>
          <w:sz w:val="32"/>
          <w:szCs w:val="28"/>
          <w:highlight w:val="none"/>
          <w:lang w:val="en-US" w:eastAsia="zh-CN" w:bidi="ar-SA"/>
        </w:rPr>
        <w:t>。有丰富的举办农业科普展览活动的经验。并且每次活动团队都进行评价总结，明确活动优秀和不足的地方，为下次活动的顺利举办总结经验，让农业科普展览活动得到可持续发展。</w:t>
      </w:r>
    </w:p>
    <w:p w14:paraId="6A1C15B1">
      <w:pPr>
        <w:pStyle w:val="49"/>
        <w:keepNext w:val="0"/>
        <w:keepLines w:val="0"/>
        <w:pageBreakBefore w:val="0"/>
        <w:widowControl w:val="0"/>
        <w:kinsoku/>
        <w:wordWrap/>
        <w:overflowPunct/>
        <w:topLinePunct w:val="0"/>
        <w:autoSpaceDE/>
        <w:autoSpaceDN/>
        <w:bidi w:val="0"/>
        <w:adjustRightInd/>
        <w:snapToGrid/>
        <w:ind w:firstLine="0" w:firstLineChars="0"/>
        <w:jc w:val="center"/>
        <w:textAlignment w:val="auto"/>
        <w:rPr>
          <w:color w:val="auto"/>
        </w:rPr>
      </w:pPr>
      <w:r>
        <w:rPr>
          <w:color w:val="auto"/>
        </w:rPr>
        <w:drawing>
          <wp:inline distT="0" distB="0" distL="114300" distR="114300">
            <wp:extent cx="5271770" cy="5219700"/>
            <wp:effectExtent l="0" t="0" r="11430" b="0"/>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16"/>
                    <a:stretch>
                      <a:fillRect/>
                    </a:stretch>
                  </pic:blipFill>
                  <pic:spPr>
                    <a:xfrm>
                      <a:off x="0" y="0"/>
                      <a:ext cx="5271770" cy="5219700"/>
                    </a:xfrm>
                    <a:prstGeom prst="rect">
                      <a:avLst/>
                    </a:prstGeom>
                    <a:noFill/>
                    <a:ln>
                      <a:noFill/>
                    </a:ln>
                  </pic:spPr>
                </pic:pic>
              </a:graphicData>
            </a:graphic>
          </wp:inline>
        </w:drawing>
      </w:r>
    </w:p>
    <w:p w14:paraId="12454763">
      <w:pPr>
        <w:pStyle w:val="43"/>
        <w:bidi w:val="0"/>
        <w:rPr>
          <w:rFonts w:hint="default"/>
          <w:color w:val="auto"/>
          <w:lang w:val="en-US" w:eastAsia="zh-CN"/>
        </w:rPr>
      </w:pPr>
      <w:r>
        <w:rPr>
          <w:rFonts w:hint="eastAsia"/>
          <w:color w:val="auto"/>
          <w:lang w:val="en-US" w:eastAsia="zh-CN"/>
        </w:rPr>
        <w:t>广西咖啡文化节活动方案</w:t>
      </w:r>
    </w:p>
    <w:p w14:paraId="3D8694ED">
      <w:pPr>
        <w:pStyle w:val="47"/>
        <w:bidi w:val="0"/>
        <w:rPr>
          <w:color w:val="auto"/>
        </w:rPr>
      </w:pPr>
      <w:r>
        <w:rPr>
          <w:color w:val="auto"/>
        </w:rPr>
        <w:t>（三）与现行法律、法规的关系，与有关国家标准、行业标准的协调情况</w:t>
      </w:r>
    </w:p>
    <w:p w14:paraId="6501D37E">
      <w:pPr>
        <w:pStyle w:val="46"/>
        <w:bidi w:val="0"/>
        <w:rPr>
          <w:color w:val="auto"/>
        </w:rPr>
      </w:pPr>
      <w:r>
        <w:rPr>
          <w:rFonts w:hint="eastAsia"/>
          <w:color w:val="auto"/>
        </w:rPr>
        <w:t>本编制工作组承诺本标准内容与各项指标不违反相关法律法规要求，且不低于国家强制性标准、推荐性国家标准和行业标准要求。</w:t>
      </w:r>
    </w:p>
    <w:p w14:paraId="254F6000">
      <w:pPr>
        <w:pStyle w:val="46"/>
        <w:bidi w:val="0"/>
        <w:rPr>
          <w:rFonts w:hint="eastAsia"/>
          <w:color w:val="auto"/>
          <w:highlight w:val="none"/>
        </w:rPr>
      </w:pPr>
      <w:r>
        <w:rPr>
          <w:rFonts w:hint="eastAsia"/>
          <w:color w:val="auto"/>
          <w:highlight w:val="none"/>
        </w:rPr>
        <w:t>经查阅，截至目前，与，“展览可持续评价”“科普活动评价”“农业科普展览评价”相关的标准有：《GB/T44160-2024 大型活动可持续性评价指南》提供了开展大型活动可持续性评价的指导，包括总则、评价内容、评价方法和评价过程，涉及大型体育赛事、展览展销、庆典和演出、峰会论坛和群体性活动等大型活动的可持续性评价。《GB/T 42365-2023 农产品流通服务可持续性评价技术导则》给出了开展农产品流通服务可持续性评价活动的评价原则、评价指标等信息，提供了评价方法、评价程序的指导和建议，适用于农产品流通服务的可持续性评价。</w:t>
      </w:r>
    </w:p>
    <w:p w14:paraId="0CF0B5E1">
      <w:pPr>
        <w:pStyle w:val="46"/>
        <w:bidi w:val="0"/>
        <w:rPr>
          <w:rFonts w:ascii="仿宋_GB2312" w:hAnsi="宋体" w:eastAsia="仿宋_GB2312"/>
          <w:color w:val="auto"/>
          <w:szCs w:val="28"/>
          <w:highlight w:val="none"/>
        </w:rPr>
      </w:pPr>
      <w:r>
        <w:rPr>
          <w:rFonts w:hint="eastAsia"/>
          <w:color w:val="auto"/>
          <w:highlight w:val="none"/>
        </w:rPr>
        <w:t>综上，国内暂未制定有</w:t>
      </w:r>
      <w:r>
        <w:rPr>
          <w:rFonts w:hint="eastAsia" w:ascii="仿宋_GB2312" w:eastAsia="仿宋_GB2312"/>
          <w:bCs/>
          <w:color w:val="auto"/>
          <w:sz w:val="32"/>
          <w:szCs w:val="32"/>
          <w:highlight w:val="none"/>
        </w:rPr>
        <w:t>农业科普展览活动可持续性评价</w:t>
      </w:r>
      <w:r>
        <w:rPr>
          <w:rFonts w:hint="eastAsia"/>
          <w:color w:val="auto"/>
          <w:highlight w:val="none"/>
        </w:rPr>
        <w:t>相关的标准，因此有必要根据实际情况研制团体标准《</w:t>
      </w:r>
      <w:r>
        <w:rPr>
          <w:rFonts w:hint="eastAsia" w:ascii="仿宋_GB2312" w:eastAsia="仿宋_GB2312"/>
          <w:bCs/>
          <w:color w:val="auto"/>
          <w:sz w:val="32"/>
          <w:szCs w:val="32"/>
          <w:highlight w:val="none"/>
        </w:rPr>
        <w:t>农业科普展览活动可持续性评价指南</w:t>
      </w:r>
      <w:r>
        <w:rPr>
          <w:rFonts w:hint="eastAsia"/>
          <w:color w:val="auto"/>
          <w:highlight w:val="none"/>
        </w:rPr>
        <w:t>》，填补</w:t>
      </w:r>
      <w:r>
        <w:rPr>
          <w:rFonts w:hint="eastAsia" w:ascii="仿宋_GB2312" w:eastAsia="仿宋_GB2312"/>
          <w:bCs/>
          <w:color w:val="auto"/>
          <w:sz w:val="32"/>
          <w:szCs w:val="32"/>
          <w:highlight w:val="none"/>
        </w:rPr>
        <w:t>农业科普展览活动可持续性评价</w:t>
      </w:r>
      <w:r>
        <w:rPr>
          <w:rFonts w:hint="eastAsia"/>
          <w:color w:val="auto"/>
          <w:highlight w:val="none"/>
        </w:rPr>
        <w:t>的标准空白，运用标准化手段指导、规范</w:t>
      </w:r>
      <w:r>
        <w:rPr>
          <w:rFonts w:hint="eastAsia" w:ascii="仿宋_GB2312" w:eastAsia="仿宋_GB2312"/>
          <w:bCs/>
          <w:color w:val="auto"/>
          <w:sz w:val="32"/>
          <w:szCs w:val="32"/>
          <w:highlight w:val="none"/>
        </w:rPr>
        <w:t>农业科普展览活动可持续性评价</w:t>
      </w:r>
      <w:r>
        <w:rPr>
          <w:rFonts w:hint="eastAsia"/>
          <w:color w:val="auto"/>
          <w:highlight w:val="none"/>
        </w:rPr>
        <w:t>的发展。</w:t>
      </w:r>
    </w:p>
    <w:p w14:paraId="429E54C7">
      <w:pPr>
        <w:pStyle w:val="45"/>
        <w:bidi w:val="0"/>
        <w:rPr>
          <w:rFonts w:ascii="黑体" w:hAnsi="黑体" w:eastAsia="黑体" w:cs="仿宋_GB2312"/>
          <w:color w:val="auto"/>
          <w:szCs w:val="32"/>
          <w:highlight w:val="none"/>
        </w:rPr>
      </w:pPr>
      <w:bookmarkStart w:id="1" w:name="_Toc526940084"/>
      <w:r>
        <w:rPr>
          <w:rFonts w:hint="eastAsia"/>
          <w:color w:val="auto"/>
          <w:highlight w:val="none"/>
        </w:rPr>
        <w:t>五、</w:t>
      </w:r>
      <w:bookmarkEnd w:id="1"/>
      <w:r>
        <w:rPr>
          <w:rFonts w:hint="eastAsia"/>
          <w:color w:val="auto"/>
          <w:highlight w:val="none"/>
        </w:rPr>
        <w:t>主要条款的说明</w:t>
      </w:r>
    </w:p>
    <w:p w14:paraId="187FC970">
      <w:pPr>
        <w:pStyle w:val="46"/>
        <w:bidi w:val="0"/>
        <w:rPr>
          <w:rFonts w:ascii="仿宋_GB2312" w:hAnsi="宋体" w:eastAsia="仿宋_GB2312"/>
          <w:color w:val="auto"/>
          <w:sz w:val="32"/>
          <w:szCs w:val="32"/>
          <w:highlight w:val="none"/>
          <w:lang w:val="zh-CN"/>
        </w:rPr>
      </w:pPr>
      <w:r>
        <w:rPr>
          <w:rFonts w:hint="eastAsia" w:ascii="仿宋_GB2312" w:hAnsi="宋体" w:eastAsia="仿宋_GB2312"/>
          <w:color w:val="auto"/>
          <w:sz w:val="32"/>
          <w:szCs w:val="32"/>
          <w:highlight w:val="none"/>
          <w:lang w:val="zh-CN"/>
        </w:rPr>
        <w:t>团体标准《</w:t>
      </w:r>
      <w:r>
        <w:rPr>
          <w:rFonts w:hint="eastAsia" w:ascii="仿宋_GB2312" w:eastAsia="仿宋_GB2312"/>
          <w:bCs/>
          <w:color w:val="auto"/>
          <w:sz w:val="32"/>
          <w:szCs w:val="32"/>
          <w:highlight w:val="none"/>
        </w:rPr>
        <w:t>农业科普展览活动可持续性评价指南</w:t>
      </w:r>
      <w:r>
        <w:rPr>
          <w:rFonts w:hint="eastAsia" w:ascii="仿宋_GB2312" w:hAnsi="宋体" w:eastAsia="仿宋_GB2312"/>
          <w:color w:val="auto"/>
          <w:sz w:val="32"/>
          <w:szCs w:val="32"/>
          <w:highlight w:val="none"/>
          <w:lang w:val="zh-CN"/>
        </w:rPr>
        <w:t>》的主要章节内容包括：</w:t>
      </w:r>
      <w:r>
        <w:rPr>
          <w:rFonts w:hint="eastAsia"/>
          <w:color w:val="auto"/>
          <w:highlight w:val="none"/>
        </w:rPr>
        <w:t>术语和定义</w:t>
      </w:r>
      <w:r>
        <w:rPr>
          <w:rFonts w:hint="eastAsia"/>
          <w:color w:val="auto"/>
          <w:highlight w:val="none"/>
          <w:lang w:eastAsia="zh-CN"/>
        </w:rPr>
        <w:t>、</w:t>
      </w:r>
      <w:r>
        <w:rPr>
          <w:rFonts w:hint="eastAsia"/>
          <w:color w:val="auto"/>
          <w:highlight w:val="none"/>
          <w:lang w:val="en-US" w:eastAsia="zh-CN"/>
        </w:rPr>
        <w:t>总则、</w:t>
      </w:r>
      <w:r>
        <w:rPr>
          <w:rFonts w:hint="eastAsia"/>
          <w:color w:val="auto"/>
          <w:highlight w:val="none"/>
        </w:rPr>
        <w:t>评价</w:t>
      </w:r>
      <w:r>
        <w:rPr>
          <w:rFonts w:hint="eastAsia"/>
          <w:color w:val="auto"/>
          <w:highlight w:val="none"/>
          <w:lang w:val="en-US" w:eastAsia="zh-CN"/>
        </w:rPr>
        <w:t>内容、评价方法、评价流程及要求</w:t>
      </w:r>
      <w:r>
        <w:rPr>
          <w:rFonts w:hint="eastAsia" w:ascii="仿宋_GB2312" w:hAnsi="宋体"/>
          <w:color w:val="auto"/>
          <w:sz w:val="32"/>
          <w:szCs w:val="32"/>
          <w:highlight w:val="none"/>
          <w:lang w:val="en-US" w:eastAsia="zh-CN"/>
        </w:rPr>
        <w:t>。</w:t>
      </w:r>
      <w:r>
        <w:rPr>
          <w:rFonts w:hint="eastAsia" w:ascii="仿宋_GB2312" w:hAnsi="宋体" w:eastAsia="仿宋_GB2312"/>
          <w:color w:val="auto"/>
          <w:sz w:val="32"/>
          <w:szCs w:val="32"/>
          <w:highlight w:val="none"/>
          <w:lang w:val="zh-CN"/>
        </w:rPr>
        <w:t>本文件主要内容及依据来源说明如下：</w:t>
      </w:r>
    </w:p>
    <w:p w14:paraId="75C7EE00">
      <w:pPr>
        <w:pStyle w:val="47"/>
        <w:bidi w:val="0"/>
        <w:rPr>
          <w:color w:val="auto"/>
          <w:lang w:val="zh-CN"/>
        </w:rPr>
      </w:pPr>
      <w:r>
        <w:rPr>
          <w:rFonts w:hint="default"/>
          <w:color w:val="auto"/>
          <w:lang w:val="zh-CN" w:eastAsia="zh-CN"/>
        </w:rPr>
        <w:t>（一）</w:t>
      </w:r>
      <w:r>
        <w:rPr>
          <w:rFonts w:hint="eastAsia"/>
          <w:color w:val="auto"/>
          <w:lang w:val="zh-CN"/>
        </w:rPr>
        <w:t>术语与定义</w:t>
      </w:r>
    </w:p>
    <w:p w14:paraId="491DF672">
      <w:pPr>
        <w:pStyle w:val="46"/>
        <w:bidi w:val="0"/>
        <w:rPr>
          <w:rFonts w:hint="eastAsia"/>
          <w:color w:val="auto"/>
          <w:lang w:val="zh-CN"/>
        </w:rPr>
      </w:pPr>
      <w:r>
        <w:rPr>
          <w:rFonts w:hint="eastAsia"/>
          <w:color w:val="auto"/>
        </w:rPr>
        <w:t>主要参考</w:t>
      </w:r>
      <w:r>
        <w:rPr>
          <w:rFonts w:hint="eastAsia"/>
          <w:color w:val="auto"/>
          <w:lang w:eastAsia="zh-CN"/>
        </w:rPr>
        <w:t>《GB/T 44160-2024  大型活动可持续性评价指南》</w:t>
      </w:r>
      <w:r>
        <w:rPr>
          <w:rFonts w:hint="eastAsia"/>
          <w:color w:val="auto"/>
        </w:rPr>
        <w:t>《T/GXAS 1174-2025  农业科普展览活动管理规范》</w:t>
      </w:r>
      <w:r>
        <w:rPr>
          <w:rFonts w:hint="eastAsia"/>
          <w:color w:val="auto"/>
          <w:lang w:val="en-US" w:eastAsia="zh-CN"/>
        </w:rPr>
        <w:t>等相关标准的基础上</w:t>
      </w:r>
      <w:r>
        <w:rPr>
          <w:rFonts w:hint="eastAsia"/>
          <w:color w:val="auto"/>
          <w:lang w:val="zh-CN"/>
        </w:rPr>
        <w:t>，</w:t>
      </w:r>
      <w:r>
        <w:rPr>
          <w:rFonts w:hint="eastAsia"/>
          <w:color w:val="auto"/>
          <w:lang w:val="en-US" w:eastAsia="zh-CN"/>
        </w:rPr>
        <w:t>结合</w:t>
      </w:r>
      <w:r>
        <w:rPr>
          <w:rFonts w:hint="eastAsia"/>
          <w:color w:val="auto"/>
        </w:rPr>
        <w:t>从事农业科普工作相关经验</w:t>
      </w:r>
      <w:r>
        <w:rPr>
          <w:rFonts w:hint="eastAsia" w:ascii="仿宋_GB2312" w:hAnsi="宋体" w:eastAsia="仿宋_GB2312"/>
          <w:color w:val="auto"/>
          <w:sz w:val="32"/>
          <w:szCs w:val="32"/>
          <w:lang w:val="zh-CN"/>
        </w:rPr>
        <w:t>与起草单位讨论确定</w:t>
      </w:r>
      <w:r>
        <w:rPr>
          <w:rFonts w:hint="eastAsia"/>
          <w:color w:val="auto"/>
          <w:lang w:val="zh-CN"/>
        </w:rPr>
        <w:t>。</w:t>
      </w:r>
    </w:p>
    <w:p w14:paraId="208502F2">
      <w:pPr>
        <w:pStyle w:val="46"/>
        <w:bidi w:val="0"/>
        <w:rPr>
          <w:rFonts w:hint="eastAsia"/>
          <w:color w:val="auto"/>
          <w:lang w:val="en-US" w:eastAsia="zh-CN"/>
        </w:rPr>
      </w:pPr>
      <w:r>
        <w:rPr>
          <w:rFonts w:hint="eastAsia"/>
          <w:color w:val="auto"/>
          <w:lang w:val="en-US" w:eastAsia="zh-CN"/>
        </w:rPr>
        <w:t>农业科普展览来源：</w:t>
      </w:r>
    </w:p>
    <w:p w14:paraId="57C452C9">
      <w:pPr>
        <w:pStyle w:val="49"/>
        <w:bidi w:val="0"/>
        <w:rPr>
          <w:color w:val="auto"/>
          <w:highlight w:val="none"/>
        </w:rPr>
      </w:pPr>
      <w:r>
        <w:rPr>
          <w:color w:val="auto"/>
        </w:rPr>
        <w:drawing>
          <wp:inline distT="0" distB="0" distL="114300" distR="114300">
            <wp:extent cx="5683250" cy="6750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7"/>
                    <a:srcRect t="11417"/>
                    <a:stretch>
                      <a:fillRect/>
                    </a:stretch>
                  </pic:blipFill>
                  <pic:spPr>
                    <a:xfrm>
                      <a:off x="0" y="0"/>
                      <a:ext cx="5683250" cy="675005"/>
                    </a:xfrm>
                    <a:prstGeom prst="rect">
                      <a:avLst/>
                    </a:prstGeom>
                    <a:noFill/>
                    <a:ln>
                      <a:noFill/>
                    </a:ln>
                  </pic:spPr>
                </pic:pic>
              </a:graphicData>
            </a:graphic>
          </wp:inline>
        </w:drawing>
      </w:r>
    </w:p>
    <w:p w14:paraId="6850C8D2">
      <w:pPr>
        <w:pStyle w:val="43"/>
        <w:bidi w:val="0"/>
        <w:rPr>
          <w:rFonts w:hint="default"/>
          <w:color w:val="auto"/>
          <w:highlight w:val="none"/>
          <w:lang w:val="en-US" w:eastAsia="zh-CN"/>
        </w:rPr>
      </w:pPr>
      <w:r>
        <w:rPr>
          <w:rFonts w:hint="eastAsia"/>
          <w:color w:val="auto"/>
          <w:highlight w:val="none"/>
          <w:lang w:val="en-US" w:eastAsia="zh-CN"/>
        </w:rPr>
        <w:t>农业科普展览的定义</w:t>
      </w:r>
    </w:p>
    <w:p w14:paraId="68445879">
      <w:pPr>
        <w:pStyle w:val="46"/>
        <w:bidi w:val="0"/>
        <w:rPr>
          <w:rFonts w:hint="eastAsia"/>
          <w:color w:val="auto"/>
          <w:lang w:val="en-US" w:eastAsia="zh-CN"/>
        </w:rPr>
      </w:pPr>
      <w:r>
        <w:rPr>
          <w:rFonts w:hint="eastAsia"/>
          <w:color w:val="auto"/>
          <w:lang w:val="en-US" w:eastAsia="zh-CN"/>
        </w:rPr>
        <w:t>将</w:t>
      </w:r>
      <w:bookmarkStart w:id="3" w:name="_GoBack"/>
      <w:bookmarkEnd w:id="3"/>
      <w:r>
        <w:rPr>
          <w:rFonts w:hint="eastAsia"/>
          <w:color w:val="auto"/>
          <w:lang w:val="en-US" w:eastAsia="zh-CN"/>
        </w:rPr>
        <w:t>农业科普展览定义为：对展品的展出进行组织，通过展示促进农产品、服务的推广和农业科学信息、农业技术交流的社会活动。</w:t>
      </w:r>
    </w:p>
    <w:p w14:paraId="523E74C6">
      <w:pPr>
        <w:pStyle w:val="46"/>
        <w:bidi w:val="0"/>
        <w:rPr>
          <w:rFonts w:hint="eastAsia"/>
          <w:color w:val="auto"/>
          <w:highlight w:val="none"/>
          <w:lang w:val="en-US" w:eastAsia="zh-CN"/>
        </w:rPr>
      </w:pPr>
      <w:r>
        <w:rPr>
          <w:rFonts w:hint="eastAsia"/>
          <w:color w:val="auto"/>
          <w:lang w:val="en-US" w:eastAsia="zh-CN"/>
        </w:rPr>
        <w:t>农业科普展览活</w:t>
      </w:r>
      <w:r>
        <w:rPr>
          <w:rFonts w:hint="eastAsia"/>
          <w:color w:val="auto"/>
          <w:highlight w:val="none"/>
          <w:lang w:val="en-US" w:eastAsia="zh-CN"/>
        </w:rPr>
        <w:t>动可持续性来源：</w:t>
      </w:r>
    </w:p>
    <w:p w14:paraId="0E55946C">
      <w:pPr>
        <w:pStyle w:val="49"/>
        <w:bidi w:val="0"/>
        <w:rPr>
          <w:color w:val="auto"/>
          <w:highlight w:val="none"/>
        </w:rPr>
      </w:pPr>
      <w:r>
        <w:rPr>
          <w:color w:val="auto"/>
        </w:rPr>
        <w:drawing>
          <wp:inline distT="0" distB="0" distL="114300" distR="114300">
            <wp:extent cx="5645150" cy="889000"/>
            <wp:effectExtent l="0" t="0" r="635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8"/>
                    <a:stretch>
                      <a:fillRect/>
                    </a:stretch>
                  </pic:blipFill>
                  <pic:spPr>
                    <a:xfrm>
                      <a:off x="0" y="0"/>
                      <a:ext cx="5645150" cy="889000"/>
                    </a:xfrm>
                    <a:prstGeom prst="rect">
                      <a:avLst/>
                    </a:prstGeom>
                    <a:noFill/>
                    <a:ln>
                      <a:noFill/>
                    </a:ln>
                  </pic:spPr>
                </pic:pic>
              </a:graphicData>
            </a:graphic>
          </wp:inline>
        </w:drawing>
      </w:r>
    </w:p>
    <w:p w14:paraId="45D7C6D2">
      <w:pPr>
        <w:pStyle w:val="43"/>
        <w:bidi w:val="0"/>
        <w:rPr>
          <w:rFonts w:hint="default"/>
          <w:color w:val="auto"/>
          <w:highlight w:val="none"/>
          <w:lang w:val="en-US" w:eastAsia="zh-CN"/>
        </w:rPr>
      </w:pPr>
      <w:r>
        <w:rPr>
          <w:rFonts w:hint="eastAsia"/>
          <w:color w:val="auto"/>
          <w:highlight w:val="none"/>
          <w:lang w:val="en-US" w:eastAsia="zh-CN"/>
        </w:rPr>
        <w:t>农业科普展览活动可持续性的定义</w:t>
      </w:r>
    </w:p>
    <w:p w14:paraId="30B0C662">
      <w:pPr>
        <w:pStyle w:val="46"/>
        <w:bidi w:val="0"/>
        <w:rPr>
          <w:rFonts w:hint="eastAsia"/>
          <w:color w:val="auto"/>
          <w:lang w:val="en-US" w:eastAsia="zh-CN"/>
        </w:rPr>
      </w:pPr>
      <w:r>
        <w:rPr>
          <w:rFonts w:hint="eastAsia"/>
          <w:color w:val="auto"/>
          <w:lang w:val="en-US" w:eastAsia="zh-CN"/>
        </w:rPr>
        <w:t>将农业科普展览活动可持续性定义为：组织将可持续发展理念融入农业科普展览活动（包括涉及的产品和服务）的策划、布展、实施和撤展等各阶段，并采取措施，减少对环境的负面影响，促进经济和社会发展，实现可持续性绩效。</w:t>
      </w:r>
    </w:p>
    <w:p w14:paraId="353C2C23">
      <w:pPr>
        <w:pStyle w:val="47"/>
        <w:bidi w:val="0"/>
        <w:rPr>
          <w:rFonts w:hint="default"/>
          <w:color w:val="auto"/>
          <w:lang w:val="en-US" w:eastAsia="zh-CN"/>
        </w:rPr>
      </w:pPr>
      <w:r>
        <w:rPr>
          <w:rFonts w:hint="eastAsia"/>
          <w:color w:val="auto"/>
          <w:lang w:val="en-US" w:eastAsia="zh-CN"/>
        </w:rPr>
        <w:t>（二）总则</w:t>
      </w:r>
    </w:p>
    <w:p w14:paraId="773A11DA">
      <w:pPr>
        <w:pStyle w:val="46"/>
        <w:bidi w:val="0"/>
        <w:rPr>
          <w:rFonts w:hint="default"/>
          <w:color w:val="auto"/>
          <w:lang w:val="en-US" w:eastAsia="zh-CN"/>
        </w:rPr>
      </w:pPr>
      <w:r>
        <w:rPr>
          <w:rFonts w:hint="default"/>
          <w:color w:val="auto"/>
          <w:lang w:val="en-US" w:eastAsia="zh-CN"/>
        </w:rPr>
        <w:t>农业科普展览活动常直接涉及活体动植物、土壤耕作、农业投入品施用与农机具操作等环节，其可持续性评价需要综合运用农学、生态学、教育学及安全管理等多学科知识。组建包含上述相关专业背景的评价组，以弥补个人知识局限，保证评价结论的专业性、客观性与全面性。</w:t>
      </w:r>
    </w:p>
    <w:p w14:paraId="32025DFC">
      <w:pPr>
        <w:pStyle w:val="46"/>
        <w:bidi w:val="0"/>
        <w:rPr>
          <w:rFonts w:hint="eastAsia"/>
          <w:color w:val="auto"/>
          <w:lang w:val="en-US" w:eastAsia="zh-CN"/>
        </w:rPr>
      </w:pPr>
      <w:r>
        <w:rPr>
          <w:rFonts w:hint="eastAsia"/>
          <w:color w:val="auto"/>
          <w:lang w:val="en-US" w:eastAsia="zh-CN"/>
        </w:rPr>
        <w:t>我国农业科普展览活动类型丰富，从大规模农业展会到基层田间课堂，其资源消耗、环境影响和科普产出差异显著，一套固定不变的指标与分值体系难以准确衡量所有活动的真实可持续性水平。为此，本标准允许在保持评价核心维度一致的前提下，灵活选用具体指标并调整赋值。这是农业活动评价因地制宜原则的具体体现，保障了本文件的广泛适用性。</w:t>
      </w:r>
    </w:p>
    <w:p w14:paraId="361ABA0C">
      <w:pPr>
        <w:pStyle w:val="46"/>
        <w:bidi w:val="0"/>
        <w:rPr>
          <w:rFonts w:hint="eastAsia"/>
          <w:color w:val="auto"/>
          <w:lang w:val="en-US" w:eastAsia="zh-CN"/>
        </w:rPr>
      </w:pPr>
      <w:r>
        <w:rPr>
          <w:rFonts w:hint="eastAsia"/>
          <w:color w:val="auto"/>
          <w:lang w:val="en-US" w:eastAsia="zh-CN"/>
        </w:rPr>
        <w:t>可持续性评价的核心在于衡量展览活动在环境、社会、资源利用等方面的正向表现。依据GB/T 44160-2024《大型活动可持续性评价指南》第4章总则（4.5）规定，如出现重大安全事故、重大环境影响事件或影响较大的社会责任事件等，则该大型活动不宜使用该文件进行可持续性评价。故发生重大安全事故、重大农业生态破坏或严重不良社会影响的活动，已不具备可持续性评价的基本前提，不宜依据本文件进行评价，否则评价结果将失去参考意义。</w:t>
      </w:r>
    </w:p>
    <w:p w14:paraId="39EBE535">
      <w:pPr>
        <w:pStyle w:val="46"/>
        <w:bidi w:val="0"/>
        <w:rPr>
          <w:rFonts w:hint="eastAsia"/>
          <w:color w:val="auto"/>
          <w:lang w:val="en-US" w:eastAsia="zh-CN"/>
        </w:rPr>
      </w:pPr>
      <w:r>
        <w:rPr>
          <w:rFonts w:hint="eastAsia"/>
          <w:color w:val="auto"/>
          <w:lang w:val="en-US" w:eastAsia="zh-CN"/>
        </w:rPr>
        <w:t>此外，立足农业科普展览活动全流程管理与高质量发展需求设置“鼓励活动组织方建立内部可持续性绩效评估与持续改进机制”相关条款。农业科普展览涉及活体植物养护、农业生态保护、绿色展览实施、公共安全保障等重点内容，建立内部评估与改进机制，能够系统评价活动可持续性绩效，精准查找薄弱环节并落实改进措施，推动可持续理念融入活动策划、实施、复盘全过程，助力农业科普展览活动规范化、绿色化、长效化开展。</w:t>
      </w:r>
    </w:p>
    <w:p w14:paraId="6C4D58EB">
      <w:pPr>
        <w:pStyle w:val="49"/>
        <w:bidi w:val="0"/>
        <w:rPr>
          <w:color w:val="auto"/>
          <w:highlight w:val="none"/>
        </w:rPr>
      </w:pPr>
      <w:r>
        <w:rPr>
          <w:color w:val="auto"/>
        </w:rPr>
        <w:drawing>
          <wp:inline distT="0" distB="0" distL="114300" distR="114300">
            <wp:extent cx="5685155" cy="2994660"/>
            <wp:effectExtent l="0" t="0" r="4445" b="254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9"/>
                    <a:stretch>
                      <a:fillRect/>
                    </a:stretch>
                  </pic:blipFill>
                  <pic:spPr>
                    <a:xfrm>
                      <a:off x="0" y="0"/>
                      <a:ext cx="5685155" cy="2994660"/>
                    </a:xfrm>
                    <a:prstGeom prst="rect">
                      <a:avLst/>
                    </a:prstGeom>
                    <a:noFill/>
                    <a:ln>
                      <a:noFill/>
                    </a:ln>
                  </pic:spPr>
                </pic:pic>
              </a:graphicData>
            </a:graphic>
          </wp:inline>
        </w:drawing>
      </w:r>
    </w:p>
    <w:p w14:paraId="0C66A937">
      <w:pPr>
        <w:pStyle w:val="43"/>
        <w:bidi w:val="0"/>
        <w:rPr>
          <w:rFonts w:hint="default"/>
          <w:color w:val="auto"/>
          <w:highlight w:val="none"/>
          <w:lang w:val="en-US" w:eastAsia="zh-CN"/>
        </w:rPr>
      </w:pPr>
      <w:r>
        <w:rPr>
          <w:rFonts w:hint="default"/>
          <w:color w:val="auto"/>
          <w:highlight w:val="none"/>
          <w:lang w:val="en-US" w:eastAsia="zh-CN"/>
        </w:rPr>
        <w:t>GB/T 44160-2024 大型活动可持续性评价指南</w:t>
      </w:r>
      <w:r>
        <w:rPr>
          <w:rFonts w:hint="eastAsia"/>
          <w:color w:val="auto"/>
          <w:highlight w:val="none"/>
          <w:lang w:val="en-US" w:eastAsia="zh-CN"/>
        </w:rPr>
        <w:t>中总则内容</w:t>
      </w:r>
    </w:p>
    <w:p w14:paraId="2D3C5674">
      <w:pPr>
        <w:pStyle w:val="47"/>
        <w:bidi w:val="0"/>
        <w:rPr>
          <w:rFonts w:hint="eastAsia"/>
          <w:color w:val="auto"/>
          <w:lang w:val="en-US" w:eastAsia="zh-CN"/>
        </w:rPr>
      </w:pPr>
      <w:r>
        <w:rPr>
          <w:rFonts w:hint="eastAsia"/>
          <w:color w:val="auto"/>
          <w:lang w:val="en-US" w:eastAsia="zh-CN"/>
        </w:rPr>
        <w:t>（三）评价内容</w:t>
      </w:r>
    </w:p>
    <w:p w14:paraId="0B511F64">
      <w:pPr>
        <w:pStyle w:val="46"/>
        <w:bidi w:val="0"/>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1）通则：评价内容分为7个一级指标：基础设施与场地、采购与管理、生态环境保护与管理、交通与物流、低碳与气候变化、人员与社会影响、智慧与创新实践，下设25个二级指标，系统覆盖展览活动策划、布展、实施、撤展全流程。指标设计兼顾环境、社会、资源利用等多维度，形成全过程闭环评价。主要依据GB/T 44160-2024《大型活动可持续性评价指南》的指标体系框架，并结合农业科普展览活动特点进行适应性调整。上述指标主要源于起草单位长期农业科普展览活动评价实践的凝练。例如，在评价广西咖啡文化节科普展览时，咖啡活体苗木的“活体生物生长环境适配性”是影响展品质量和展览效果的关键，因此标准中特别强调场地规划需符合光照、温湿度及灌溉条件。“农机展示操作空间与安全防护”指标则源于对农机现场演示活动安全风险点的总结，要求预留运行演示区域并设置安全防护措施。“农业废弃物分类处置”指标源于对撤展阶段农业残渣处理不规范问题的总结，要求对可堆肥部分和不可堆肥部分分类处置。“社区参与程度”指标中鼓励农民代表、农业非遗传承人参与科普讲解，其有效性已在实践中验证。</w:t>
      </w:r>
    </w:p>
    <w:p w14:paraId="592B4260">
      <w:pPr>
        <w:pStyle w:val="46"/>
        <w:bidi w:val="0"/>
        <w:rPr>
          <w:rFonts w:hint="eastAsia"/>
          <w:color w:val="auto"/>
          <w:lang w:val="en-US" w:eastAsia="zh-CN"/>
        </w:rPr>
      </w:pPr>
      <w:r>
        <w:rPr>
          <w:rFonts w:hint="eastAsia"/>
          <w:color w:val="auto"/>
          <w:lang w:val="en-US" w:eastAsia="zh-CN"/>
        </w:rPr>
        <w:t>（2）基础设施与场地</w:t>
      </w:r>
    </w:p>
    <w:p w14:paraId="53B01B5A">
      <w:pPr>
        <w:pStyle w:val="46"/>
        <w:bidi w:val="0"/>
        <w:rPr>
          <w:rFonts w:hint="eastAsia"/>
          <w:color w:val="auto"/>
          <w:lang w:val="en-US" w:eastAsia="zh-CN"/>
        </w:rPr>
      </w:pPr>
      <w:r>
        <w:rPr>
          <w:rFonts w:hint="eastAsia"/>
          <w:color w:val="auto"/>
          <w:lang w:val="en-US" w:eastAsia="zh-CN"/>
        </w:rPr>
        <w:t>基础设施与场地是农业科普活动顺利开展的物质基础。与一般室内科普场所不同，农业科普活动多在田间、大棚、养殖场舍等户外或半户外环境中开展，面临自然条件多变、安全风险类型多样、受众群体广泛等实际情况。本标准将基础设施与场地单独成章，下设场地规划、消防设施、医疗设施、标识标牌四项内容，旨在引导活动组织方系统性地建设与管护科普场地，保障活动安全、有序、绿色、包容。</w:t>
      </w:r>
    </w:p>
    <w:p w14:paraId="6DD6B13D">
      <w:pPr>
        <w:pStyle w:val="46"/>
        <w:bidi w:val="0"/>
        <w:rPr>
          <w:rFonts w:hint="eastAsia"/>
          <w:color w:val="auto"/>
          <w:lang w:val="en-US" w:eastAsia="zh-CN"/>
        </w:rPr>
      </w:pPr>
      <w:r>
        <w:rPr>
          <w:rFonts w:hint="eastAsia"/>
          <w:color w:val="auto"/>
          <w:lang w:val="en-US" w:eastAsia="zh-CN"/>
        </w:rPr>
        <w:t>①场地规划，要求综合考虑动植物展品生长环境适配性、农机展示操作空间与安全防护、无障碍设施设置、饮水点设置及垃圾分类引导等内容。活体动植物是农业科普的核心展品，其正常生长依赖适宜的光照、温湿度、通风与灌溉条件，这是保证科普内容科学性的基本前提。农机具是农业科技的重要展示载体，需预留充足的操作演示空间与参观安全距离，防范机械伤害。无障碍设施设置保障老年人、残障人士等群体的平等参与，考虑到农村留守老人在农业科普受众中占比较高，此项设置尤为必要。饮水点与垃圾分类引导则旨在践行绿色环保理念。</w:t>
      </w:r>
    </w:p>
    <w:p w14:paraId="4CFD2DE2">
      <w:pPr>
        <w:pStyle w:val="46"/>
        <w:bidi w:val="0"/>
        <w:rPr>
          <w:rFonts w:hint="eastAsia"/>
          <w:color w:val="auto"/>
          <w:lang w:val="en-US" w:eastAsia="zh-CN"/>
        </w:rPr>
      </w:pPr>
      <w:r>
        <w:rPr>
          <w:rFonts w:hint="eastAsia"/>
          <w:color w:val="auto"/>
          <w:lang w:val="en-US" w:eastAsia="zh-CN"/>
        </w:rPr>
        <w:t>②消防设施，要求配置并维护消防器材、保障消防通道及安全出口畅通、对重点区域实施防火管控。本条参照GB/T 47179—2026关于安全服务的有关规定，结合农业科普场所实际风险特征设置。农业场所存在秸秆、枯枝落叶、农业废弃物等易燃物，部分场景涉及农机燃油、临时用电、温室大棚加温设备等火灾诱因。据此，条款明确消防沙等适用于油类火灾的器材配置，以及植物展区、废弃物堆放区、温室大棚等重点区域的针对性防火措施。</w:t>
      </w:r>
    </w:p>
    <w:p w14:paraId="39F64692">
      <w:pPr>
        <w:pStyle w:val="46"/>
        <w:bidi w:val="0"/>
        <w:rPr>
          <w:rFonts w:hint="eastAsia"/>
          <w:color w:val="auto"/>
          <w:lang w:val="en-US" w:eastAsia="zh-CN"/>
        </w:rPr>
      </w:pPr>
      <w:r>
        <w:rPr>
          <w:rFonts w:hint="eastAsia"/>
          <w:color w:val="auto"/>
          <w:lang w:val="en-US" w:eastAsia="zh-CN"/>
        </w:rPr>
        <w:t>③医疗设施，要求设置临时医疗救护点、配备应急药品与器材、制定户外及农事场景应急处置方案，并公示应急联络方式，与就近医疗机构建立联动。本条所指“医疗设施”并非要求设立永久性医务室，而是强调应急救护能力的有效到位。农业科普活动涉及户外劳作体验、亲水活动、农机操作、高温暴晒等场景，参观者面临的特定风险包括中暑、跌打损伤、锐器割伤、农药接触、蜂蛇叮咬等。此类风险在常规应急方案中易被忽视，故本条突出针对性药品配置与处置预案要求。</w:t>
      </w:r>
    </w:p>
    <w:p w14:paraId="54A88C04">
      <w:pPr>
        <w:pStyle w:val="46"/>
        <w:bidi w:val="0"/>
        <w:rPr>
          <w:rFonts w:hint="eastAsia"/>
          <w:color w:val="auto"/>
          <w:lang w:val="en-US" w:eastAsia="zh-CN"/>
        </w:rPr>
      </w:pPr>
      <w:r>
        <w:rPr>
          <w:rFonts w:hint="eastAsia"/>
          <w:color w:val="auto"/>
          <w:lang w:val="en-US" w:eastAsia="zh-CN"/>
        </w:rPr>
        <w:t>④标识标牌，要求材质环保、提供多语言及拼音标注、在危险区域设置醒目的安全警示标识，并配置无障碍导向标识。农业科普基地多依托农业园区或乡村田园而建，标识材质宜选用可再生、可降解材料，减少对农田生态的干扰。多语言标注服务外籍参观者，拼音标注面向识字能力有限的群体（如部分农村老年人和低龄儿童），帮助其准确获取信息，体现对基层科普受众的现实关怀。危险区域警示标识与无障碍标识是保障参观者安全知情权和通行便利的基础措施。</w:t>
      </w:r>
    </w:p>
    <w:p w14:paraId="1EE75FDF">
      <w:pPr>
        <w:pStyle w:val="46"/>
        <w:bidi w:val="0"/>
        <w:rPr>
          <w:rFonts w:hint="eastAsia"/>
          <w:color w:val="auto"/>
          <w:lang w:val="en-US" w:eastAsia="zh-CN"/>
        </w:rPr>
      </w:pPr>
      <w:r>
        <w:rPr>
          <w:rFonts w:hint="eastAsia"/>
          <w:color w:val="auto"/>
          <w:lang w:val="en-US" w:eastAsia="zh-CN"/>
        </w:rPr>
        <w:t>（3）采购与管理</w:t>
      </w:r>
    </w:p>
    <w:p w14:paraId="21B3CF70">
      <w:pPr>
        <w:pStyle w:val="46"/>
        <w:bidi w:val="0"/>
        <w:rPr>
          <w:rFonts w:hint="eastAsia"/>
          <w:color w:val="auto"/>
          <w:lang w:val="en-US" w:eastAsia="zh-CN"/>
        </w:rPr>
      </w:pPr>
      <w:r>
        <w:rPr>
          <w:rFonts w:hint="eastAsia"/>
          <w:color w:val="auto"/>
          <w:lang w:val="en-US" w:eastAsia="zh-CN"/>
        </w:rPr>
        <w:t>采购与管理是农业科普活动实现绿色可持续的关键环节。活动涉及的物资采购、展品选用和配套服务，在材质、来源、使用效率和去向处理等方面对举办地生态环境和社区具有直接影响。农业科普活动在物料方面具有户外临时布展多、活体生物展品占比大、常设农产品品鉴与餐饮配套等鲜明特点。本标准将采购与管理单独成章，下设布展材料、展品管理、绿色配套服务三项内容，旨在将绿色、循环、低碳原则贯穿于活动物资的全生命周期管理。</w:t>
      </w:r>
    </w:p>
    <w:p w14:paraId="2CF72AF7">
      <w:pPr>
        <w:pStyle w:val="46"/>
        <w:bidi w:val="0"/>
        <w:rPr>
          <w:rFonts w:hint="eastAsia"/>
          <w:color w:val="auto"/>
          <w:lang w:val="en-US" w:eastAsia="zh-CN"/>
        </w:rPr>
      </w:pPr>
      <w:r>
        <w:rPr>
          <w:rFonts w:hint="eastAsia"/>
          <w:color w:val="auto"/>
          <w:lang w:val="en-US" w:eastAsia="zh-CN"/>
        </w:rPr>
        <w:t>①布展材料，要求优先选用竹木、秸秆板材、棉麻织物等绿色可降解材料和模块化展具。农业科普活动布展场景涵盖室内展厅与田间地头，临时搭建物料用量较大。若大量使用不可降解的塑料、泡沫等材料，活动结束后易在乡村形成难以处理的固体废弃物，对农田土壤和水体造成潜在污染。模块化展具可重复组装、多次利用，有效降低物料消耗与制作成本。本条旨在从采购源头减少废弃物产生。</w:t>
      </w:r>
    </w:p>
    <w:p w14:paraId="1837A3C7">
      <w:pPr>
        <w:pStyle w:val="46"/>
        <w:bidi w:val="0"/>
        <w:rPr>
          <w:rFonts w:hint="eastAsia"/>
          <w:color w:val="auto"/>
          <w:lang w:val="en-US" w:eastAsia="zh-CN"/>
        </w:rPr>
      </w:pPr>
      <w:r>
        <w:rPr>
          <w:rFonts w:hint="eastAsia"/>
          <w:color w:val="auto"/>
          <w:lang w:val="en-US" w:eastAsia="zh-CN"/>
        </w:rPr>
        <w:t>②展品管理，要求注重展品本地化、建立活体生物养护及农机维护记录制度、制定展品回收计划。农业科普的核心展品多为动植物活体、农产品实物或农业机械，其管理要求显著区别于一般工业展品。展品本地化可减少运输碳排放，真实反映地方农业特色，增强科普说服力。活体生物展览期间的生存状态涉及动物福利与科学伦理，须通过养护记录确保其健康状况可控；农机维护记录关乎操作演示的安全性。展品回收计划确保活动结束后，可利用物资有明确的分类去向，避免资源浪费。</w:t>
      </w:r>
    </w:p>
    <w:p w14:paraId="3F9CEC4C">
      <w:pPr>
        <w:pStyle w:val="46"/>
        <w:bidi w:val="0"/>
        <w:rPr>
          <w:rFonts w:hint="eastAsia"/>
          <w:color w:val="auto"/>
          <w:lang w:val="en-US" w:eastAsia="zh-CN"/>
        </w:rPr>
      </w:pPr>
      <w:r>
        <w:rPr>
          <w:rFonts w:hint="eastAsia"/>
          <w:color w:val="auto"/>
          <w:lang w:val="en-US" w:eastAsia="zh-CN"/>
        </w:rPr>
        <w:t>③绿色配套服务，要求餐饮服务减少一次性塑料制品、使用可重复清洗消毒的餐具，纪念品推行环保材质与简约化包装。农业科普活动常设农产品品鉴、农事体验餐等环节，是传播绿色消费理念的有利时机。减少一次性餐具可降低塑料污染，与活动倡导的可持续农业理念形成呼应。纪念品是农业文化传播的延伸载体，过度包装背离环保初衷，要求选用可再生或可降解材质并控制包装层数，使纪念品成为绿色理念的承载物。</w:t>
      </w:r>
    </w:p>
    <w:p w14:paraId="0E905383">
      <w:pPr>
        <w:pStyle w:val="46"/>
        <w:bidi w:val="0"/>
        <w:rPr>
          <w:rFonts w:hint="eastAsia"/>
          <w:color w:val="auto"/>
          <w:lang w:val="en-US" w:eastAsia="zh-CN"/>
        </w:rPr>
      </w:pPr>
      <w:r>
        <w:rPr>
          <w:rFonts w:hint="eastAsia"/>
          <w:color w:val="auto"/>
          <w:lang w:val="en-US" w:eastAsia="zh-CN"/>
        </w:rPr>
        <w:t>（4）生态环境保护与管理</w:t>
      </w:r>
    </w:p>
    <w:p w14:paraId="43AEFDA4">
      <w:pPr>
        <w:pStyle w:val="46"/>
        <w:bidi w:val="0"/>
        <w:rPr>
          <w:rFonts w:hint="eastAsia"/>
          <w:color w:val="auto"/>
          <w:lang w:val="en-US" w:eastAsia="zh-CN"/>
        </w:rPr>
      </w:pPr>
      <w:r>
        <w:rPr>
          <w:rFonts w:hint="eastAsia"/>
          <w:color w:val="auto"/>
          <w:lang w:val="en-US" w:eastAsia="zh-CN"/>
        </w:rPr>
        <w:t>生态环境保护与管理是农业科普活动可持续性的核心支撑。农业科普活动以农田、林草地、养殖场、设施大棚等农业生态系统为载体，与水土资源、生物群落的互动密切且直接。若管理缺位，活动可能对土壤、水体及生物多样性造成负面影响。本标准将生态环境保护与管理列专章，设水资源保护与节约、土壤与生物多样性保护、农药化肥使用管控、农业废弃物与撤展回收四项内容，旨在将环保原则转化为覆盖活动全过程的管理规范，使农业科普活动成为绿色生产生活方式的示范平台。</w:t>
      </w:r>
    </w:p>
    <w:p w14:paraId="30B86D5B">
      <w:pPr>
        <w:pStyle w:val="46"/>
        <w:bidi w:val="0"/>
        <w:rPr>
          <w:rFonts w:hint="eastAsia"/>
          <w:color w:val="auto"/>
          <w:lang w:val="en-US" w:eastAsia="zh-CN"/>
        </w:rPr>
      </w:pPr>
      <w:r>
        <w:rPr>
          <w:rFonts w:hint="eastAsia"/>
          <w:color w:val="auto"/>
          <w:lang w:val="en-US" w:eastAsia="zh-CN"/>
        </w:rPr>
        <w:t>①水资源保护与节约，要求采用滴灌、渗灌、微喷灌等节水灌溉技术，设置雨水收集利用系统，控制污水直排。农业科普展示中的灌溉作业、水产养殖、景观水体维护等环节均依赖水资源。节水灌溉技术本身是现代农业知识的重要展示内容，其应用可实现科普与节水的双重目标。雨水收集系统可降低对市政供水或地下水的依赖。控制污水直排旨在防止餐饮、清洁等环节产生的废水未经处理进入农田灌渠或自然水体。</w:t>
      </w:r>
    </w:p>
    <w:p w14:paraId="592372C3">
      <w:pPr>
        <w:pStyle w:val="46"/>
        <w:bidi w:val="0"/>
        <w:rPr>
          <w:rFonts w:hint="eastAsia"/>
          <w:color w:val="auto"/>
          <w:lang w:val="en-US" w:eastAsia="zh-CN"/>
        </w:rPr>
      </w:pPr>
      <w:r>
        <w:rPr>
          <w:rFonts w:hint="eastAsia"/>
          <w:color w:val="auto"/>
          <w:lang w:val="en-US" w:eastAsia="zh-CN"/>
        </w:rPr>
        <w:t>②土壤与生物多样性保护，要求禁用高毒高残留农药、倡导施用有机肥和生物防治、撤展后恢复场地农业生产功能、展示本地特色作物品种。不当的化学投入品使用可致土壤退化和有益生物种群减少。倡导有机肥与绿色防控手段，可保护土壤生态并传递生态农业理念。展示本地特色作物品种是保护农业生物多样性的具体实践，有助于防止地方种质资源流失。恢复场地原貌强调撤除临时设施后恢复土地耕作能力，包括清除硬化物、恢复耕作层。</w:t>
      </w:r>
    </w:p>
    <w:p w14:paraId="7868250B">
      <w:pPr>
        <w:pStyle w:val="46"/>
        <w:bidi w:val="0"/>
        <w:rPr>
          <w:rFonts w:hint="eastAsia"/>
          <w:color w:val="auto"/>
          <w:lang w:val="en-US" w:eastAsia="zh-CN"/>
        </w:rPr>
      </w:pPr>
      <w:r>
        <w:rPr>
          <w:rFonts w:hint="eastAsia"/>
          <w:color w:val="auto"/>
          <w:lang w:val="en-US" w:eastAsia="zh-CN"/>
        </w:rPr>
        <w:t>③农药化肥使用管控，要求建立采购、领用、使用的全流程台账。本条与5.4.2配套互补，从制度层面保障化学投入品的规范使用与可追溯。农业科普活动可能因病虫害防治需要而必须使用农药，台账制度可记录品种、用量、时间、范围及操作人员等关键信息，防止高毒高残留农药误用，为减量化管理和监督检查提供依据。</w:t>
      </w:r>
    </w:p>
    <w:p w14:paraId="7A0D611B">
      <w:pPr>
        <w:pStyle w:val="46"/>
        <w:bidi w:val="0"/>
        <w:rPr>
          <w:rFonts w:hint="eastAsia"/>
          <w:color w:val="auto"/>
          <w:lang w:val="en-US" w:eastAsia="zh-CN"/>
        </w:rPr>
      </w:pPr>
      <w:r>
        <w:rPr>
          <w:rFonts w:hint="eastAsia"/>
          <w:color w:val="auto"/>
          <w:lang w:val="en-US" w:eastAsia="zh-CN"/>
        </w:rPr>
        <w:t>④农业废弃物与撤展回收，要求对农业废弃物分类处置，对撤展物资进行回收登记。农业科普活动废弃物构成复杂，包括枯枝落叶、作物秸秆、畜禽粪便等有机废弃物，及地膜、农药包装、展具废料等无机废弃物。分类处置可使有机废弃物通过堆肥等方式就地还田，实现养分循环，同时防止塑料等难降解物在场地遗留造成污染。撤展物资回收登记制度，确保可再利用物资有序流转，不可再利用物资合规处理，实现全过程闭环管理。</w:t>
      </w:r>
    </w:p>
    <w:p w14:paraId="4789AEEA">
      <w:pPr>
        <w:pStyle w:val="46"/>
        <w:bidi w:val="0"/>
        <w:rPr>
          <w:rFonts w:hint="eastAsia"/>
          <w:color w:val="auto"/>
          <w:lang w:val="en-US" w:eastAsia="zh-CN"/>
        </w:rPr>
      </w:pPr>
      <w:r>
        <w:rPr>
          <w:rFonts w:hint="eastAsia"/>
          <w:color w:val="auto"/>
          <w:lang w:val="en-US" w:eastAsia="zh-CN"/>
        </w:rPr>
        <w:t>（5）交通与物流</w:t>
      </w:r>
    </w:p>
    <w:p w14:paraId="7DF6410C">
      <w:pPr>
        <w:pStyle w:val="46"/>
        <w:bidi w:val="0"/>
        <w:rPr>
          <w:rFonts w:hint="eastAsia"/>
          <w:color w:val="auto"/>
          <w:lang w:val="en-US" w:eastAsia="zh-CN"/>
        </w:rPr>
      </w:pPr>
      <w:r>
        <w:rPr>
          <w:rFonts w:hint="eastAsia"/>
          <w:color w:val="auto"/>
          <w:lang w:val="en-US" w:eastAsia="zh-CN"/>
        </w:rPr>
        <w:t>交通与物流是农业科普活动碳排放和环境影响的重要来源。农业科普活动多位于城郊或乡村，面临公共交通可达性不足、展品运输条件特殊、内部人车混行风险等问题。活体生物、鲜活农产品、大型农机具等展品对运输时效、温控和装卸有较高要求。本标准设展品运输管理、物流通道设置、观众绿色出行引导三项内容，从展品流转和人员出行两个维度引导构建低碳、安全、高效的交通物流体系。</w:t>
      </w:r>
    </w:p>
    <w:p w14:paraId="548D2C95">
      <w:pPr>
        <w:pStyle w:val="46"/>
        <w:bidi w:val="0"/>
        <w:rPr>
          <w:rFonts w:hint="eastAsia"/>
          <w:color w:val="auto"/>
          <w:lang w:val="en-US" w:eastAsia="zh-CN"/>
        </w:rPr>
      </w:pPr>
      <w:r>
        <w:rPr>
          <w:rFonts w:hint="eastAsia"/>
          <w:color w:val="auto"/>
          <w:lang w:val="en-US" w:eastAsia="zh-CN"/>
        </w:rPr>
        <w:t>①展品运输管理，要求优先选用本地展品，倡导集中配送、合车运输、新能源车辆等低碳运输方式。动植物活体、生鲜农产品等展品对运输时长和环境条件敏感，远距离运输碳排放较高，且易致展品损耗。展品本地化可压缩运输里程，降低物流成本与碳排放，同时使展品贴近当地生产实际，增强科普内容的真实性与说服力。</w:t>
      </w:r>
    </w:p>
    <w:p w14:paraId="594E46B0">
      <w:pPr>
        <w:pStyle w:val="46"/>
        <w:bidi w:val="0"/>
        <w:rPr>
          <w:rFonts w:hint="eastAsia"/>
          <w:color w:val="auto"/>
          <w:lang w:val="en-US" w:eastAsia="zh-CN"/>
        </w:rPr>
      </w:pPr>
      <w:r>
        <w:rPr>
          <w:rFonts w:hint="eastAsia"/>
          <w:color w:val="auto"/>
          <w:lang w:val="en-US" w:eastAsia="zh-CN"/>
        </w:rPr>
        <w:t>②物流通道设置，要求规划专用物流通道，实现人车分流。农业科普活动布展与撤展期间，涉及农机自走转运、土球苗木装卸、活体生物转移等特殊物流作业，通行需求特殊。专用通道可避免布撤展作业与观众流线交叉，保障安全并提升物资流转效率。</w:t>
      </w:r>
    </w:p>
    <w:p w14:paraId="5C1B9F9B">
      <w:pPr>
        <w:pStyle w:val="46"/>
        <w:bidi w:val="0"/>
        <w:rPr>
          <w:rFonts w:hint="eastAsia"/>
          <w:color w:val="auto"/>
          <w:lang w:val="en-US" w:eastAsia="zh-CN"/>
        </w:rPr>
      </w:pPr>
      <w:r>
        <w:rPr>
          <w:rFonts w:hint="eastAsia"/>
          <w:color w:val="auto"/>
          <w:lang w:val="en-US" w:eastAsia="zh-CN"/>
        </w:rPr>
        <w:t>③观众绿色出行引导，要求提供公共交通出行指引、短途接驳服务及非机动车停放和步行便利设施。农业科普基地多远离城市公交主干网，参观者自驾比例较高，易造成交通拥堵与停车压力。公示公交信息、开设接驳班车、设置自行车停放区和步行导引，可引导选择低碳出行方式。针对乡村道路可能存在的无硬化或照明不足情况，步行路径应兼顾安全性与通达性。</w:t>
      </w:r>
    </w:p>
    <w:p w14:paraId="56957B6F">
      <w:pPr>
        <w:pStyle w:val="46"/>
        <w:bidi w:val="0"/>
        <w:rPr>
          <w:rFonts w:hint="eastAsia"/>
          <w:color w:val="auto"/>
          <w:lang w:val="en-US" w:eastAsia="zh-CN"/>
        </w:rPr>
      </w:pPr>
      <w:r>
        <w:rPr>
          <w:rFonts w:hint="eastAsia"/>
          <w:color w:val="auto"/>
          <w:lang w:val="en-US" w:eastAsia="zh-CN"/>
        </w:rPr>
        <w:t>（6）低碳与气候变化</w:t>
      </w:r>
    </w:p>
    <w:p w14:paraId="5570EEE3">
      <w:pPr>
        <w:pStyle w:val="46"/>
        <w:bidi w:val="0"/>
        <w:rPr>
          <w:rFonts w:hint="eastAsia"/>
          <w:color w:val="auto"/>
          <w:lang w:val="en-US" w:eastAsia="zh-CN"/>
        </w:rPr>
      </w:pPr>
      <w:r>
        <w:rPr>
          <w:rFonts w:hint="eastAsia"/>
          <w:color w:val="auto"/>
          <w:lang w:val="en-US" w:eastAsia="zh-CN"/>
        </w:rPr>
        <w:t>农业是受气候变化影响显著的产业，也具备碳减排和碳汇潜力。农业科普活动在能源消耗、资源利用和宣传物料等方面产生碳排放。与一般室内科普场所不同，农业科普活动所在的设施大棚、养殖场舍、户外展区对温控、灌溉、补光等有特殊能耗需求，同时具备应用光伏、沼气等可再生能源的场地条件。本标准设节能设备、能耗监测、宣传材料三项内容，从能源使用和宣传推广两端推进低碳化，使科普活动成为绿色发展的践行者与示范者。</w:t>
      </w:r>
    </w:p>
    <w:p w14:paraId="56738120">
      <w:pPr>
        <w:pStyle w:val="46"/>
        <w:bidi w:val="0"/>
        <w:rPr>
          <w:rFonts w:hint="eastAsia"/>
          <w:color w:val="auto"/>
          <w:lang w:val="en-US" w:eastAsia="zh-CN"/>
        </w:rPr>
      </w:pPr>
      <w:r>
        <w:rPr>
          <w:rFonts w:hint="eastAsia"/>
          <w:color w:val="auto"/>
          <w:lang w:val="en-US" w:eastAsia="zh-CN"/>
        </w:rPr>
        <w:t>①节能设备，要求采用节能照明灯具、合理调控温控设备、积极使用可再生能源。温室展区、畜禽展舍等对照明和温度有较高要求，能耗较集中。推广LED等高效光源，结合自然采光减少人工照明；温控设备设定合理区间，避免过度制冷或制热。鼓励利用光伏农业大棚、太阳能提水灌溉、沼气利用等适用于农业场景的可再生能源方案，将低碳运营与绿色技术科普展示相结合。</w:t>
      </w:r>
    </w:p>
    <w:p w14:paraId="3663F47B">
      <w:pPr>
        <w:pStyle w:val="46"/>
        <w:bidi w:val="0"/>
        <w:rPr>
          <w:rFonts w:hint="eastAsia"/>
          <w:color w:val="auto"/>
          <w:lang w:val="en-US" w:eastAsia="zh-CN"/>
        </w:rPr>
      </w:pPr>
      <w:r>
        <w:rPr>
          <w:rFonts w:hint="eastAsia"/>
          <w:color w:val="auto"/>
          <w:lang w:val="en-US" w:eastAsia="zh-CN"/>
        </w:rPr>
        <w:t>②能耗监测，要求建立能源与重要资源消耗监测机制，对电力、水资源等实施动态管控。农业科普场所能耗涵盖展陈照明、温控设备、灌溉系统、充电设施等多个系统。通过分项计量或智能监测，可识别高耗能环节并实施改进。水资源消耗监测与节水条款形成管理闭环。</w:t>
      </w:r>
    </w:p>
    <w:p w14:paraId="353A1D4F">
      <w:pPr>
        <w:pStyle w:val="46"/>
        <w:bidi w:val="0"/>
        <w:rPr>
          <w:rFonts w:hint="eastAsia"/>
          <w:color w:val="auto"/>
          <w:lang w:val="en-US" w:eastAsia="zh-CN"/>
        </w:rPr>
      </w:pPr>
      <w:r>
        <w:rPr>
          <w:rFonts w:hint="eastAsia"/>
          <w:color w:val="auto"/>
          <w:lang w:val="en-US" w:eastAsia="zh-CN"/>
        </w:rPr>
        <w:t>③宣传材料，要求优先采用线上数字化宣传方式，减少纸质印刷品用量。纸质宣传册页、海报、展板等物料活动后多成废弃物，增加固废处置和印刷碳排放。线上渠道可降低纸张消耗，且信息更新便捷。若确需保留纸质材料，宜选用再生纸、大豆油墨等低碳印刷方案。</w:t>
      </w:r>
    </w:p>
    <w:p w14:paraId="454DCA9A">
      <w:pPr>
        <w:pStyle w:val="46"/>
        <w:bidi w:val="0"/>
        <w:rPr>
          <w:rFonts w:hint="eastAsia"/>
          <w:color w:val="auto"/>
          <w:lang w:val="en-US" w:eastAsia="zh-CN"/>
        </w:rPr>
      </w:pPr>
      <w:r>
        <w:rPr>
          <w:rFonts w:hint="eastAsia"/>
          <w:color w:val="auto"/>
          <w:lang w:val="en-US" w:eastAsia="zh-CN"/>
        </w:rPr>
        <w:t>（7）人员与社会影响</w:t>
      </w:r>
    </w:p>
    <w:p w14:paraId="4FB8B81E">
      <w:pPr>
        <w:pStyle w:val="46"/>
        <w:bidi w:val="0"/>
        <w:rPr>
          <w:rFonts w:hint="eastAsia"/>
          <w:color w:val="auto"/>
          <w:lang w:val="en-US" w:eastAsia="zh-CN"/>
        </w:rPr>
      </w:pPr>
      <w:r>
        <w:rPr>
          <w:rFonts w:hint="eastAsia"/>
          <w:color w:val="auto"/>
          <w:lang w:val="en-US" w:eastAsia="zh-CN"/>
        </w:rPr>
        <w:t>人员与社会影响是农业科普活动社会可持续性的集中体现。科普活动既是知识传播过程，也是人的能力建设和社会价值创造过程。农业科普活动植根乡村社区，人员构成涵盖专业技术人员、基层农民、科普志愿者等，与所在地社区联系紧密。本标准设人员培训与技能、应急预案、持续改进与社会责任、社区参与程度、社会影响五项内容。前两项侧重内部能力建设，后三项关注对社区和社会的价值回馈，共同构成社会可持续性支柱。</w:t>
      </w:r>
    </w:p>
    <w:p w14:paraId="66258E78">
      <w:pPr>
        <w:pStyle w:val="46"/>
        <w:bidi w:val="0"/>
        <w:rPr>
          <w:rFonts w:hint="eastAsia"/>
          <w:color w:val="auto"/>
          <w:lang w:val="en-US" w:eastAsia="zh-CN"/>
        </w:rPr>
      </w:pPr>
      <w:r>
        <w:rPr>
          <w:rFonts w:hint="eastAsia"/>
          <w:color w:val="auto"/>
          <w:lang w:val="en-US" w:eastAsia="zh-CN"/>
        </w:rPr>
        <w:t>①人员培训与技能，要求对各岗位人员开展系统培训，内容宜涵盖节能降耗、废弃物分类、活体生物养护、应急环境处置等可持续性操作规范。一线服务人员及后勤保障人员的操作行为直接影响活动环境表现。将绿色规范纳入培训体系，可使可持续性要求从制度转化为实践自觉。</w:t>
      </w:r>
    </w:p>
    <w:p w14:paraId="4AE3C872">
      <w:pPr>
        <w:pStyle w:val="46"/>
        <w:bidi w:val="0"/>
        <w:rPr>
          <w:rFonts w:hint="eastAsia"/>
          <w:color w:val="auto"/>
          <w:lang w:val="en-US" w:eastAsia="zh-CN"/>
        </w:rPr>
      </w:pPr>
      <w:r>
        <w:rPr>
          <w:rFonts w:hint="eastAsia"/>
          <w:color w:val="auto"/>
          <w:lang w:val="en-US" w:eastAsia="zh-CN"/>
        </w:rPr>
        <w:t>②应急预案，要求开展应急预案培训并制定生态保护专项方案。农业科普活动户外比例高，易受暴雨、冰雹、大风等自然灾害影响，活体生物展品在突发疫情或极端天气下面临特殊威胁。生态保护方案包括展品紧急转移、活体生物应急救护、化学品泄漏控制、场地水土保护等，体现农业科普活动对生态环境的特殊责任。</w:t>
      </w:r>
    </w:p>
    <w:p w14:paraId="1470D2D9">
      <w:pPr>
        <w:pStyle w:val="46"/>
        <w:bidi w:val="0"/>
        <w:rPr>
          <w:rFonts w:hint="eastAsia"/>
          <w:color w:val="auto"/>
          <w:lang w:val="en-US" w:eastAsia="zh-CN"/>
        </w:rPr>
      </w:pPr>
      <w:r>
        <w:rPr>
          <w:rFonts w:hint="eastAsia"/>
          <w:color w:val="auto"/>
          <w:lang w:val="en-US" w:eastAsia="zh-CN"/>
        </w:rPr>
        <w:t>③持续改进与社会责任，要求建立内部评估机制、收集观众对可持续性措施的意见、对改进措施进行记录与验证。本条构建“评估—反馈—改进—验证”闭环。观众意见涉及垃圾分类、绿色出行、无障碍设施等，是改进的重要依据。持续改进机制确保可持续性表现动态提升。</w:t>
      </w:r>
    </w:p>
    <w:p w14:paraId="0CDA6D6C">
      <w:pPr>
        <w:pStyle w:val="46"/>
        <w:bidi w:val="0"/>
        <w:rPr>
          <w:rFonts w:hint="eastAsia"/>
          <w:color w:val="auto"/>
          <w:lang w:val="en-US" w:eastAsia="zh-CN"/>
        </w:rPr>
      </w:pPr>
      <w:r>
        <w:rPr>
          <w:rFonts w:hint="eastAsia"/>
          <w:color w:val="auto"/>
          <w:lang w:val="en-US" w:eastAsia="zh-CN"/>
        </w:rPr>
        <w:t>④社区参与程度，要求积极吸纳社区居民、农民代表及非遗传承人参与活动的策划、组织与实施。农民代表可保障科普内容的准确性与在地性，非遗传承人可拓展活动的文化厚度。社区居民广泛参与有助于增强活动认同感和社会基础。</w:t>
      </w:r>
    </w:p>
    <w:p w14:paraId="3E657F39">
      <w:pPr>
        <w:pStyle w:val="46"/>
        <w:bidi w:val="0"/>
        <w:rPr>
          <w:rFonts w:hint="eastAsia"/>
          <w:color w:val="auto"/>
          <w:lang w:val="en-US" w:eastAsia="zh-CN"/>
        </w:rPr>
      </w:pPr>
      <w:r>
        <w:rPr>
          <w:rFonts w:hint="eastAsia"/>
          <w:color w:val="auto"/>
          <w:lang w:val="en-US" w:eastAsia="zh-CN"/>
        </w:rPr>
        <w:t>⑤社会影响，要求关注本地就业岗位规划，鼓励优先聘用当地居民。活动运营涉及展品养护、场地维护、餐饮配套、导览服务等用工环节，可为当地提供就业机会，并带动农产品销售、旅游消费等关联效益，使科普活动产生更广泛的综合社会价值。</w:t>
      </w:r>
    </w:p>
    <w:p w14:paraId="396F6018">
      <w:pPr>
        <w:pStyle w:val="46"/>
        <w:bidi w:val="0"/>
        <w:rPr>
          <w:rFonts w:hint="eastAsia"/>
          <w:color w:val="auto"/>
          <w:lang w:val="en-US" w:eastAsia="zh-CN"/>
        </w:rPr>
      </w:pPr>
      <w:r>
        <w:rPr>
          <w:rFonts w:hint="eastAsia"/>
          <w:color w:val="auto"/>
          <w:lang w:val="en-US" w:eastAsia="zh-CN"/>
        </w:rPr>
        <w:t>（8）智慧与创新实践</w:t>
      </w:r>
    </w:p>
    <w:p w14:paraId="40EC9110">
      <w:pPr>
        <w:pStyle w:val="46"/>
        <w:bidi w:val="0"/>
        <w:rPr>
          <w:rFonts w:hint="eastAsia"/>
          <w:color w:val="auto"/>
          <w:lang w:val="en-US" w:eastAsia="zh-CN"/>
        </w:rPr>
      </w:pPr>
      <w:r>
        <w:rPr>
          <w:rFonts w:hint="eastAsia"/>
          <w:color w:val="auto"/>
          <w:lang w:val="en-US" w:eastAsia="zh-CN"/>
        </w:rPr>
        <w:t>智慧与创新实践是农业科普活动适应数字化趋势、提升服务效能与可持续性的重要路径。传统农业科普以实物展品、展板及人工讲解为主，在信息承载量、互动体验和传播时效方面存在局限。数字技术可突破农业生产季节性和地域性限制，扩大科普受众覆盖面，同时减少宣传物料消耗和实物标本重复采制。本标准设数字化展示和信息数字化管理两项，前者面向公众优化科普服务，后者面向组织方提升管理效率，共同构成智慧科普的实现路径。</w:t>
      </w:r>
    </w:p>
    <w:p w14:paraId="1D0A03DE">
      <w:pPr>
        <w:pStyle w:val="46"/>
        <w:bidi w:val="0"/>
        <w:rPr>
          <w:rFonts w:hint="eastAsia"/>
          <w:color w:val="auto"/>
          <w:lang w:val="en-US" w:eastAsia="zh-CN"/>
        </w:rPr>
      </w:pPr>
      <w:r>
        <w:rPr>
          <w:rFonts w:hint="eastAsia"/>
          <w:color w:val="auto"/>
          <w:lang w:val="en-US" w:eastAsia="zh-CN"/>
        </w:rPr>
        <w:t>①数字化展示，要求运用虚拟现实、增强现实等技术，配置互动触摸屏和电子导览设施，并通过线上平台实现同步或异步展示。农业科普展示受季节和动植物生长周期制约较强，部分内容在特定时段难以实物呈现。数字化技术可模拟作物各生长阶段形态、农机内部结构、农田生态系统动态等，为公众提供全时段、多维度的科普体验。互动触摸屏和电子导览承载信息量大且可随时更新，可有效替代纸质展板和解说牌。线上平台展示可突破地理空间限制，显著扩展活动的社会覆盖面。</w:t>
      </w:r>
    </w:p>
    <w:p w14:paraId="5F42F96D">
      <w:pPr>
        <w:pStyle w:val="46"/>
        <w:bidi w:val="0"/>
        <w:rPr>
          <w:rFonts w:hint="eastAsia"/>
          <w:color w:val="auto"/>
          <w:lang w:val="en-US" w:eastAsia="zh-CN"/>
        </w:rPr>
      </w:pPr>
      <w:r>
        <w:rPr>
          <w:rFonts w:hint="eastAsia"/>
          <w:color w:val="auto"/>
          <w:lang w:val="en-US" w:eastAsia="zh-CN"/>
        </w:rPr>
        <w:t>②信息数字化管理，要求建立信息管理平台、推行电子票务、实施数据档案电子化管理。农业科普活动管理信息涵盖参观者数据、展品状态、能耗及物料消耗等方面。传统纸质记录方式分析效率有限，长期保存不易。信息管理平台可实现数据集成采集、存储与分析，为精细化管理及可持续性评估提供支撑。电子票务可减少纸质票证消耗。数据档案电子化节约纸张，便于后续调取和成效呈现。</w:t>
      </w:r>
    </w:p>
    <w:p w14:paraId="53E87BDA">
      <w:pPr>
        <w:pStyle w:val="46"/>
        <w:bidi w:val="0"/>
        <w:rPr>
          <w:rFonts w:hint="eastAsia"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（三）</w:t>
      </w:r>
      <w:r>
        <w:rPr>
          <w:rFonts w:hint="eastAsia" w:cs="Times New Roman"/>
          <w:b w:val="0"/>
          <w:color w:val="auto"/>
          <w:kern w:val="2"/>
          <w:sz w:val="32"/>
          <w:szCs w:val="28"/>
          <w:lang w:val="en-US" w:eastAsia="zh-CN" w:bidi="ar-SA"/>
        </w:rPr>
        <w:t>评价方法</w:t>
      </w:r>
    </w:p>
    <w:p w14:paraId="6274541A">
      <w:pPr>
        <w:pStyle w:val="46"/>
        <w:bidi w:val="0"/>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（1）评价方式</w:t>
      </w:r>
    </w:p>
    <w:p w14:paraId="39291893">
      <w:pPr>
        <w:pStyle w:val="46"/>
        <w:bidi w:val="0"/>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农业科普展览活动常涉及土壤耕作、活体动植物展示、农业投入品使用、实地农事体验等环节，其环境影响、生物安全状况及互动教育效果难以通过书面或汇报材料全面真实反映。例如，环保措施是否如实执行、生物检疫手续是否完备、观众是否获得有效实践体验等，均需在活动现场进行实地观察与核实。采用现场评价，以保障评价结论建立在一手现场信息基础之上，是保证评价真实性与准确性的核心手段。</w:t>
      </w:r>
    </w:p>
    <w:p w14:paraId="730E39D6">
      <w:pPr>
        <w:pStyle w:val="46"/>
        <w:bidi w:val="0"/>
        <w:rPr>
          <w:rFonts w:hint="default"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（2）评价规则</w:t>
      </w:r>
    </w:p>
    <w:p w14:paraId="6E9CF070">
      <w:pPr>
        <w:autoSpaceDE w:val="0"/>
        <w:autoSpaceDN w:val="0"/>
        <w:adjustRightInd w:val="0"/>
        <w:spacing w:before="156" w:beforeLines="50" w:after="156" w:afterLines="50" w:line="560" w:lineRule="exact"/>
        <w:ind w:firstLine="640" w:firstLineChars="200"/>
        <w:jc w:val="left"/>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分值分配总分100分。一级指标分值分别为：基础设施与场地20分；采购与管理15分；生态环境保护与管理15分；交通与物流10分；低碳与气候变化10分；人员与社会影响20分；智慧与创新实践10分。赋分依据参考GB/T 44160-2024的权重分配原则，兼顾基础保障、生态保护、社会影响三大核心领域的均衡，并结合农业科普展览活动的实践重点进行优化调整。各指标具体赋分理由如下：</w:t>
      </w:r>
    </w:p>
    <w:p w14:paraId="424461BD">
      <w:pPr>
        <w:autoSpaceDE w:val="0"/>
        <w:autoSpaceDN w:val="0"/>
        <w:adjustRightInd w:val="0"/>
        <w:spacing w:before="156" w:beforeLines="50" w:after="156" w:afterLines="50" w:line="560" w:lineRule="exact"/>
        <w:ind w:firstLine="640" w:firstLineChars="200"/>
        <w:jc w:val="left"/>
        <w:rPr>
          <w:rFonts w:hint="default"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①基础设施与场地（20分）：农业科普展览多在户外或半户外环境举办，场地是活动的物理载体。临时搭建物、农机展示区等的安全状况关乎人员安全底线；场地选址若占用或破坏基本农田、生态敏感区，后果不可逆；活体生物对光照、温湿度等环境条件的适配需求、无障碍设施等硬件条件是活动顺利开展的前提。所以该指标给予了20分的分值。</w:t>
      </w:r>
    </w:p>
    <w:p w14:paraId="70E1F185">
      <w:pPr>
        <w:autoSpaceDE w:val="0"/>
        <w:autoSpaceDN w:val="0"/>
        <w:adjustRightInd w:val="0"/>
        <w:spacing w:before="156" w:beforeLines="50" w:after="156" w:afterLines="50" w:line="560" w:lineRule="exact"/>
        <w:ind w:firstLine="640" w:firstLineChars="200"/>
        <w:jc w:val="left"/>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②人员与社会影响（20分）：农业科普展览以面向公众的知识传播和社会价值创造为根本目的，该分值体现“以人为本”的核心导向。下设人员培训与技能、宣传管理、应急预案、社区参与程度、社会影响五个二级指标，覆盖从观众体验、社区受益到持续社会效益的完整链条，以达到科普、宣传的目的。</w:t>
      </w:r>
    </w:p>
    <w:p w14:paraId="49B15E6E">
      <w:pPr>
        <w:autoSpaceDE w:val="0"/>
        <w:autoSpaceDN w:val="0"/>
        <w:adjustRightInd w:val="0"/>
        <w:spacing w:before="156" w:beforeLines="50" w:after="156" w:afterLines="50" w:line="560" w:lineRule="exact"/>
        <w:ind w:firstLine="640" w:firstLineChars="200"/>
        <w:jc w:val="left"/>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③生态环境保护与管理（15分）：该指标是农业展览区别于一般展览的核心指标之一，涉及水资源保护、土壤与生物多样性保护、农药化肥使用管控、农业废弃物处置等农业特有领域。体现“生态优先”原则在农业活动中的重要性。</w:t>
      </w:r>
    </w:p>
    <w:p w14:paraId="0DC987C2">
      <w:pPr>
        <w:autoSpaceDE w:val="0"/>
        <w:autoSpaceDN w:val="0"/>
        <w:adjustRightInd w:val="0"/>
        <w:spacing w:before="156" w:beforeLines="50" w:after="156" w:afterLines="50" w:line="560" w:lineRule="exact"/>
        <w:ind w:firstLine="640" w:firstLineChars="200"/>
        <w:jc w:val="left"/>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④采购与管理（15分）：该指标关注布展材料、展品、餐饮服务等采购过程的绿色化程度。农业展览展品可能为活体动植物，其来源合法性与检疫合规性、养护过程的环保性、展后回收复用计划等均影响资源循环效率。15分体现资源循环利用理念，分值略低于基础设施是基于前述两类指标风险不可逆程度的差异。</w:t>
      </w:r>
    </w:p>
    <w:p w14:paraId="130A946E">
      <w:pPr>
        <w:autoSpaceDE w:val="0"/>
        <w:autoSpaceDN w:val="0"/>
        <w:adjustRightInd w:val="0"/>
        <w:spacing w:before="156" w:beforeLines="50" w:after="156" w:afterLines="50" w:line="560" w:lineRule="exact"/>
        <w:ind w:firstLine="640" w:firstLineChars="200"/>
        <w:jc w:val="left"/>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⑤交通与物流（10分）。该指标涉及展品运输管理、物流通道设置导。农业展览的展品运输具有特殊性——农机展品体型大、活体展品有防护要求，鼓励绿色物流实践。</w:t>
      </w:r>
    </w:p>
    <w:p w14:paraId="5277E179">
      <w:pPr>
        <w:autoSpaceDE w:val="0"/>
        <w:autoSpaceDN w:val="0"/>
        <w:adjustRightInd w:val="0"/>
        <w:spacing w:before="156" w:beforeLines="50" w:after="156" w:afterLines="50" w:line="560" w:lineRule="exact"/>
        <w:ind w:firstLine="640" w:firstLineChars="200"/>
        <w:jc w:val="left"/>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⑥低碳与气候变化（10分）。该指标涉及节能设备、能耗监测、可再生能源使用及低碳农作模式展示。鉴于现阶段多数农业科普展览尚不具备全面的碳排放核算条件，该项侧重能耗数据监测和节能措施应用。</w:t>
      </w:r>
    </w:p>
    <w:p w14:paraId="0AF24582">
      <w:pPr>
        <w:autoSpaceDE w:val="0"/>
        <w:autoSpaceDN w:val="0"/>
        <w:adjustRightInd w:val="0"/>
        <w:spacing w:before="156" w:beforeLines="50" w:after="156" w:afterLines="50" w:line="560" w:lineRule="exact"/>
        <w:ind w:firstLine="640" w:firstLineChars="200"/>
        <w:jc w:val="left"/>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⑦智慧与创新实践（10分）。该指标关注数字化展示与信息数字化管理。农业科普展览在智慧化应用方面整体处于起步阶段，鼓励虚拟现实、电子导览、线上平台等技术手段的应用。</w:t>
      </w:r>
    </w:p>
    <w:p w14:paraId="6F46C273">
      <w:pPr>
        <w:autoSpaceDE w:val="0"/>
        <w:autoSpaceDN w:val="0"/>
        <w:adjustRightInd w:val="0"/>
        <w:spacing w:before="156" w:beforeLines="50" w:after="156" w:afterLines="50" w:line="560" w:lineRule="exact"/>
        <w:ind w:firstLine="640" w:firstLineChars="200"/>
        <w:jc w:val="left"/>
        <w:rPr>
          <w:rFonts w:hint="eastAsia"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上述七个一级指标按三档分配，形成“基础保障（20分）→特色强化（15分）→全面提升（10分）”的梯度结构，对活动可持续性影响越根本、后果越不可逆的维度，赋予越高分值，使评价体系在重点突出与均衡覆盖之间取得平衡。</w:t>
      </w:r>
    </w:p>
    <w:p w14:paraId="06DD973C">
      <w:pPr>
        <w:autoSpaceDE w:val="0"/>
        <w:autoSpaceDN w:val="0"/>
        <w:adjustRightInd w:val="0"/>
        <w:spacing w:before="156" w:beforeLines="50" w:after="156" w:afterLines="50" w:line="560" w:lineRule="exact"/>
        <w:ind w:firstLine="640" w:firstLineChars="200"/>
        <w:jc w:val="left"/>
        <w:rPr>
          <w:rFonts w:hint="eastAsia" w:ascii="Times New Roman" w:hAnsi="Times New Roman" w:eastAsia="仿宋_GB2312" w:cs="Times New Roman"/>
          <w:b w:val="0"/>
          <w:color w:val="auto"/>
          <w:kern w:val="2"/>
          <w:sz w:val="32"/>
          <w:szCs w:val="28"/>
          <w:lang w:val="en-US" w:eastAsia="zh-CN" w:bidi="ar-SA"/>
        </w:rPr>
      </w:pPr>
      <w:r>
        <w:rPr>
          <w:rFonts w:hint="eastAsia" w:cs="Times New Roman"/>
          <w:b w:val="0"/>
          <w:color w:val="auto"/>
          <w:kern w:val="2"/>
          <w:sz w:val="32"/>
          <w:szCs w:val="28"/>
          <w:lang w:val="en-US" w:eastAsia="zh-CN" w:bidi="ar-SA"/>
        </w:rPr>
        <w:t>评</w:t>
      </w:r>
      <w:r>
        <w:rPr>
          <w:rFonts w:hint="eastAsia" w:ascii="Times New Roman" w:hAnsi="Times New Roman" w:eastAsia="仿宋_GB2312" w:cs="Times New Roman"/>
          <w:b w:val="0"/>
          <w:color w:val="auto"/>
          <w:kern w:val="2"/>
          <w:sz w:val="32"/>
          <w:szCs w:val="28"/>
          <w:lang w:val="en-US" w:eastAsia="zh-CN" w:bidi="ar-SA"/>
        </w:rPr>
        <w:t>价组依据附录A所列各项指标逐项评分后，各指标得分直接求和得出总分A。选择直接求和法，一是考虑本文件面向基层农业科普单位推广应用，计算简便、透明，易于操作；二是附录A所选指标均为衡量农业科普展览可持续性的同等重要维度，等权求和能够综合反映活动整体表现，各维度表现可进行整体衡量。将可持续性分为强、中、弱三个等级，便于活动组织方直观了解自身水平。85分及以上为强可持续性；60～84分为中可持续性；低于60分为弱可持续性。分数界线参考GB/T 44160-2024的等级划分方法，并结合农业科普展览活动实际评分分布确定。</w:t>
      </w:r>
    </w:p>
    <w:p w14:paraId="1CABEAC2">
      <w:pPr>
        <w:pStyle w:val="49"/>
        <w:bidi w:val="0"/>
        <w:rPr>
          <w:color w:val="auto"/>
          <w:highlight w:val="none"/>
        </w:rPr>
      </w:pPr>
      <w:r>
        <w:rPr>
          <w:color w:val="auto"/>
        </w:rPr>
        <w:drawing>
          <wp:inline distT="0" distB="0" distL="114300" distR="114300">
            <wp:extent cx="5645150" cy="2393950"/>
            <wp:effectExtent l="0" t="0" r="6350" b="635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0"/>
                    <a:stretch>
                      <a:fillRect/>
                    </a:stretch>
                  </pic:blipFill>
                  <pic:spPr>
                    <a:xfrm>
                      <a:off x="0" y="0"/>
                      <a:ext cx="5645150" cy="2393950"/>
                    </a:xfrm>
                    <a:prstGeom prst="rect">
                      <a:avLst/>
                    </a:prstGeom>
                    <a:noFill/>
                    <a:ln>
                      <a:noFill/>
                    </a:ln>
                  </pic:spPr>
                </pic:pic>
              </a:graphicData>
            </a:graphic>
          </wp:inline>
        </w:drawing>
      </w:r>
    </w:p>
    <w:p w14:paraId="53E5D6AC">
      <w:pPr>
        <w:pStyle w:val="43"/>
        <w:bidi w:val="0"/>
        <w:rPr>
          <w:rFonts w:hint="default"/>
          <w:color w:val="auto"/>
          <w:highlight w:val="none"/>
          <w:lang w:val="en-US" w:eastAsia="zh-CN"/>
        </w:rPr>
      </w:pPr>
      <w:r>
        <w:rPr>
          <w:rFonts w:hint="default"/>
          <w:color w:val="auto"/>
          <w:highlight w:val="none"/>
          <w:lang w:val="en-US" w:eastAsia="zh-CN"/>
        </w:rPr>
        <w:t>GB/T 44160-2024 大型活动可持续性评价指南</w:t>
      </w:r>
      <w:r>
        <w:rPr>
          <w:rFonts w:hint="eastAsia"/>
          <w:color w:val="auto"/>
          <w:highlight w:val="none"/>
          <w:lang w:val="en-US" w:eastAsia="zh-CN"/>
        </w:rPr>
        <w:t>中评价总得分内容</w:t>
      </w:r>
    </w:p>
    <w:p w14:paraId="4A8838A6">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（四）评价流程及要求</w:t>
      </w:r>
    </w:p>
    <w:p w14:paraId="22848310">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（1）评价流程</w:t>
      </w:r>
    </w:p>
    <w:p w14:paraId="314F368E">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本次评价流程明确为“确定评价机构→提交评价申请表和佐证材料→受理评价委托→制定评价方案→组建评价工作组→组织评价→形成评价结论”，核心是构建“权责清晰、步骤有序、贴合农业科普实践”的可持续性评价闭环，规范评价全流程操作，确保评价工作科学、客观、高效，突出农业科普展览专业特色，衔接指南中评价指标、分值分配等相关内容，为评价工作标准化开展提供明确指引。该流程结合农业科普展览“重实效、强特色、多场景”的核心特点，充分考虑农业展品（活体作物、农机等）、农业技术演示、科普受众（农民、学生等）的特殊性，避免照搬通用展览评价流程，确保流程各环节均适配农业科普展览实际需求，实现评价流程与农业科普实践深度融合。</w:t>
      </w:r>
    </w:p>
    <w:p w14:paraId="556322FE">
      <w:pPr>
        <w:pStyle w:val="47"/>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仿宋_GB2312" w:cs="Times New Roman"/>
          <w:b w:val="0"/>
          <w:color w:val="auto"/>
          <w:kern w:val="2"/>
          <w:sz w:val="32"/>
          <w:szCs w:val="28"/>
          <w:lang w:val="en-US" w:eastAsia="zh-CN" w:bidi="ar-SA"/>
        </w:rPr>
      </w:pPr>
      <w:r>
        <w:rPr>
          <w:color w:val="auto"/>
        </w:rPr>
        <mc:AlternateContent>
          <mc:Choice Requires="wpc">
            <w:drawing>
              <wp:inline distT="0" distB="0" distL="114300" distR="114300">
                <wp:extent cx="5727700" cy="1924685"/>
                <wp:effectExtent l="0" t="0" r="0" b="0"/>
                <wp:docPr id="29" name="画布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 name="流程图: 终止 13"/>
                        <wps:cNvSpPr/>
                        <wps:spPr>
                          <a:xfrm>
                            <a:off x="386080" y="412750"/>
                            <a:ext cx="852805" cy="25209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14:paraId="611A4496">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确定评价机构</w:t>
                              </w:r>
                            </w:p>
                          </w:txbxContent>
                        </wps:txbx>
                        <wps:bodyPr lIns="0" tIns="0" rIns="0" bIns="0" upright="1"/>
                      </wps:wsp>
                      <wps:wsp>
                        <wps:cNvPr id="14" name="矩形 14"/>
                        <wps:cNvSpPr/>
                        <wps:spPr>
                          <a:xfrm>
                            <a:off x="4731385" y="1445895"/>
                            <a:ext cx="904240" cy="252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62002E">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组建评价工作组</w:t>
                              </w:r>
                            </w:p>
                          </w:txbxContent>
                        </wps:txbx>
                        <wps:bodyPr lIns="0" tIns="0" rIns="0" bIns="0" upright="1"/>
                      </wps:wsp>
                      <wps:wsp>
                        <wps:cNvPr id="15" name="流程图: 终止 15"/>
                        <wps:cNvSpPr/>
                        <wps:spPr>
                          <a:xfrm>
                            <a:off x="1748155" y="1445895"/>
                            <a:ext cx="853440" cy="25209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14:paraId="318511E6">
                              <w:pPr>
                                <w:pStyle w:val="9"/>
                                <w:keepNext w:val="0"/>
                                <w:keepLines w:val="0"/>
                                <w:pageBreakBefore w:val="0"/>
                                <w:widowControl w:val="0"/>
                                <w:kinsoku/>
                                <w:wordWrap/>
                                <w:overflowPunct/>
                                <w:topLinePunct w:val="0"/>
                                <w:bidi w:val="0"/>
                                <w:adjustRightInd/>
                                <w:snapToGrid/>
                                <w:spacing w:before="0" w:beforeAutospacing="0" w:after="0" w:afterAutospacing="0" w:line="240" w:lineRule="auto"/>
                                <w:ind w:firstLine="0" w:firstLineChars="0"/>
                                <w:jc w:val="center"/>
                                <w:textAlignment w:val="auto"/>
                              </w:pPr>
                              <w:r>
                                <w:rPr>
                                  <w:rFonts w:hint="eastAsia" w:ascii="Calibri" w:cs="Times New Roman"/>
                                  <w:kern w:val="2"/>
                                  <w:sz w:val="15"/>
                                  <w:szCs w:val="15"/>
                                </w:rPr>
                                <w:t>形成评价报告</w:t>
                              </w:r>
                            </w:p>
                            <w:p w14:paraId="67DE8E55">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p>
                          </w:txbxContent>
                        </wps:txbx>
                        <wps:bodyPr lIns="0" tIns="0" rIns="0" bIns="0" upright="1"/>
                      </wps:wsp>
                      <wps:wsp>
                        <wps:cNvPr id="16" name="肘形连接符 16"/>
                        <wps:cNvCnPr/>
                        <wps:spPr>
                          <a:xfrm flipV="1">
                            <a:off x="1238885" y="354330"/>
                            <a:ext cx="547370" cy="184150"/>
                          </a:xfrm>
                          <a:prstGeom prst="bentConnector3">
                            <a:avLst>
                              <a:gd name="adj1" fmla="val 50000"/>
                            </a:avLst>
                          </a:prstGeom>
                          <a:ln w="9525" cap="flat" cmpd="sng">
                            <a:solidFill>
                              <a:srgbClr val="000000"/>
                            </a:solidFill>
                            <a:prstDash val="solid"/>
                            <a:round/>
                            <a:headEnd type="none" w="med" len="med"/>
                            <a:tailEnd type="triangle" w="med" len="med"/>
                          </a:ln>
                        </wps:spPr>
                        <wps:bodyPr/>
                      </wps:wsp>
                      <wps:wsp>
                        <wps:cNvPr id="17" name="肘形连接符 17"/>
                        <wps:cNvCnPr/>
                        <wps:spPr>
                          <a:xfrm>
                            <a:off x="1238885" y="538480"/>
                            <a:ext cx="557530" cy="165100"/>
                          </a:xfrm>
                          <a:prstGeom prst="bentConnector3">
                            <a:avLst>
                              <a:gd name="adj1" fmla="val 48861"/>
                            </a:avLst>
                          </a:prstGeom>
                          <a:ln w="9525" cap="flat" cmpd="sng">
                            <a:solidFill>
                              <a:srgbClr val="000000"/>
                            </a:solidFill>
                            <a:prstDash val="solid"/>
                            <a:round/>
                            <a:headEnd type="none" w="med" len="med"/>
                            <a:tailEnd type="triangle" w="med" len="med"/>
                          </a:ln>
                        </wps:spPr>
                        <wps:bodyPr/>
                      </wps:wsp>
                      <wps:wsp>
                        <wps:cNvPr id="18" name="矩形 18"/>
                        <wps:cNvSpPr/>
                        <wps:spPr>
                          <a:xfrm>
                            <a:off x="1786255" y="233045"/>
                            <a:ext cx="882015" cy="252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DE9EEA">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提交评价申请表</w:t>
                              </w:r>
                            </w:p>
                          </w:txbxContent>
                        </wps:txbx>
                        <wps:bodyPr lIns="0" tIns="0" rIns="0" bIns="0" upright="1"/>
                      </wps:wsp>
                      <wps:wsp>
                        <wps:cNvPr id="19" name="矩形 19"/>
                        <wps:cNvSpPr/>
                        <wps:spPr>
                          <a:xfrm>
                            <a:off x="1786255" y="585470"/>
                            <a:ext cx="880745" cy="2393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882222">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提供佐证材料</w:t>
                              </w:r>
                            </w:p>
                          </w:txbxContent>
                        </wps:txbx>
                        <wps:bodyPr lIns="0" tIns="0" rIns="0" bIns="0" upright="1"/>
                      </wps:wsp>
                      <wps:wsp>
                        <wps:cNvPr id="20" name="肘形连接符 20"/>
                        <wps:cNvCnPr/>
                        <wps:spPr>
                          <a:xfrm>
                            <a:off x="2677160" y="328930"/>
                            <a:ext cx="695325" cy="210185"/>
                          </a:xfrm>
                          <a:prstGeom prst="bentConnector3">
                            <a:avLst>
                              <a:gd name="adj1" fmla="val 49315"/>
                            </a:avLst>
                          </a:prstGeom>
                          <a:ln w="9525" cap="flat" cmpd="sng">
                            <a:solidFill>
                              <a:srgbClr val="000000"/>
                            </a:solidFill>
                            <a:prstDash val="solid"/>
                            <a:round/>
                            <a:headEnd type="none" w="med" len="med"/>
                            <a:tailEnd type="triangle" w="med" len="med"/>
                          </a:ln>
                        </wps:spPr>
                        <wps:bodyPr/>
                      </wps:wsp>
                      <wps:wsp>
                        <wps:cNvPr id="21" name="肘形连接符 21"/>
                        <wps:cNvCnPr/>
                        <wps:spPr>
                          <a:xfrm flipV="1">
                            <a:off x="2667000" y="539115"/>
                            <a:ext cx="705485" cy="166370"/>
                          </a:xfrm>
                          <a:prstGeom prst="bentConnector3">
                            <a:avLst>
                              <a:gd name="adj1" fmla="val 49773"/>
                            </a:avLst>
                          </a:prstGeom>
                          <a:ln w="9525" cap="flat" cmpd="sng">
                            <a:solidFill>
                              <a:srgbClr val="000000"/>
                            </a:solidFill>
                            <a:prstDash val="solid"/>
                            <a:round/>
                            <a:headEnd type="none" w="med" len="med"/>
                            <a:tailEnd type="none" w="med" len="med"/>
                          </a:ln>
                        </wps:spPr>
                        <wps:bodyPr/>
                      </wps:wsp>
                      <wps:wsp>
                        <wps:cNvPr id="22" name="直接箭头连接符 22"/>
                        <wps:cNvCnPr/>
                        <wps:spPr>
                          <a:xfrm>
                            <a:off x="4221480" y="535940"/>
                            <a:ext cx="542925" cy="6350"/>
                          </a:xfrm>
                          <a:prstGeom prst="straightConnector1">
                            <a:avLst/>
                          </a:prstGeom>
                          <a:ln w="9525" cap="flat" cmpd="sng">
                            <a:solidFill>
                              <a:srgbClr val="000000"/>
                            </a:solidFill>
                            <a:prstDash val="solid"/>
                            <a:headEnd type="none" w="med" len="med"/>
                            <a:tailEnd type="triangle" w="med" len="med"/>
                          </a:ln>
                        </wps:spPr>
                        <wps:bodyPr/>
                      </wps:wsp>
                      <wps:wsp>
                        <wps:cNvPr id="23" name="矩形 23"/>
                        <wps:cNvSpPr/>
                        <wps:spPr>
                          <a:xfrm>
                            <a:off x="4763135" y="412750"/>
                            <a:ext cx="843915" cy="252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027563">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制定评价方案</w:t>
                              </w:r>
                            </w:p>
                          </w:txbxContent>
                        </wps:txbx>
                        <wps:bodyPr lIns="0" tIns="0" rIns="0" bIns="0" upright="1"/>
                      </wps:wsp>
                      <wps:wsp>
                        <wps:cNvPr id="24" name="肘形连接符 24"/>
                        <wps:cNvCnPr/>
                        <wps:spPr>
                          <a:xfrm rot="5400000">
                            <a:off x="4788535" y="1059815"/>
                            <a:ext cx="792480" cy="1905"/>
                          </a:xfrm>
                          <a:prstGeom prst="bentConnector3">
                            <a:avLst>
                              <a:gd name="adj1" fmla="val 49921"/>
                            </a:avLst>
                          </a:prstGeom>
                          <a:ln w="9525" cap="flat" cmpd="sng">
                            <a:solidFill>
                              <a:srgbClr val="000000"/>
                            </a:solidFill>
                            <a:prstDash val="solid"/>
                            <a:miter/>
                            <a:headEnd type="none" w="med" len="med"/>
                            <a:tailEnd type="triangle" w="med" len="med"/>
                          </a:ln>
                        </wps:spPr>
                        <wps:bodyPr/>
                      </wps:wsp>
                      <wps:wsp>
                        <wps:cNvPr id="25" name="矩形 25"/>
                        <wps:cNvSpPr/>
                        <wps:spPr>
                          <a:xfrm>
                            <a:off x="3209290" y="1445895"/>
                            <a:ext cx="904875" cy="251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D66A0C">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组织评价</w:t>
                              </w:r>
                            </w:p>
                            <w:p w14:paraId="684DB8F3">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p>
                          </w:txbxContent>
                        </wps:txbx>
                        <wps:bodyPr lIns="0" tIns="0" rIns="0" bIns="0" upright="1"/>
                      </wps:wsp>
                      <wps:wsp>
                        <wps:cNvPr id="26" name="直接箭头连接符 26"/>
                        <wps:cNvCnPr/>
                        <wps:spPr>
                          <a:xfrm flipH="1">
                            <a:off x="4114165" y="1571625"/>
                            <a:ext cx="617220" cy="0"/>
                          </a:xfrm>
                          <a:prstGeom prst="straightConnector1">
                            <a:avLst/>
                          </a:prstGeom>
                          <a:ln w="9525" cap="flat" cmpd="sng">
                            <a:solidFill>
                              <a:srgbClr val="000000"/>
                            </a:solidFill>
                            <a:prstDash val="solid"/>
                            <a:headEnd type="none" w="med" len="med"/>
                            <a:tailEnd type="triangle" w="med" len="med"/>
                          </a:ln>
                        </wps:spPr>
                        <wps:bodyPr/>
                      </wps:wsp>
                      <wps:wsp>
                        <wps:cNvPr id="27" name="直接箭头连接符 27"/>
                        <wps:cNvCnPr/>
                        <wps:spPr>
                          <a:xfrm flipH="1">
                            <a:off x="2597785" y="1571625"/>
                            <a:ext cx="611505" cy="0"/>
                          </a:xfrm>
                          <a:prstGeom prst="straightConnector1">
                            <a:avLst/>
                          </a:prstGeom>
                          <a:ln w="9525" cap="flat" cmpd="sng">
                            <a:solidFill>
                              <a:srgbClr val="000000"/>
                            </a:solidFill>
                            <a:prstDash val="solid"/>
                            <a:headEnd type="none" w="med" len="med"/>
                            <a:tailEnd type="triangle" w="med" len="med"/>
                          </a:ln>
                        </wps:spPr>
                        <wps:bodyPr/>
                      </wps:wsp>
                      <wps:wsp>
                        <wps:cNvPr id="28" name="矩形 28"/>
                        <wps:cNvSpPr/>
                        <wps:spPr>
                          <a:xfrm>
                            <a:off x="3372485" y="412750"/>
                            <a:ext cx="843915" cy="252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D1E5B0">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委托与受理</w:t>
                              </w:r>
                            </w:p>
                          </w:txbxContent>
                        </wps:txbx>
                        <wps:bodyPr lIns="0" tIns="0" rIns="0" bIns="0" upright="1"/>
                      </wps:wsp>
                    </wpc:wpc>
                  </a:graphicData>
                </a:graphic>
              </wp:inline>
            </w:drawing>
          </mc:Choice>
          <mc:Fallback>
            <w:pict>
              <v:group id="_x0000_s1026" o:spid="_x0000_s1026" o:spt="203" style="height:151.55pt;width:451pt;" coordsize="5727700,1924685" editas="canvas" o:gfxdata="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">
                <o:lock v:ext="edit" aspectratio="f"/>
                <v:shape id="_x0000_s1026" o:spid="_x0000_s1026" style="position:absolute;left:0;top:0;height:1924685;width:5727700;" filled="f" stroked="f" coordsize="21600,21600" o:gfxdata="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">
                  <v:fill on="f" focussize="0,0"/>
                  <v:stroke on="f"/>
                  <v:imagedata o:title=""/>
                  <o:lock v:ext="edit" aspectratio="t"/>
                </v:shape>
                <v:shape id="_x0000_s1026" o:spid="_x0000_s1026" o:spt="116" type="#_x0000_t116" style="position:absolute;left:386080;top:412750;height:252095;width:852805;" fillcolor="#FFFFFF" filled="t" stroked="t" coordsize="21600,21600" o:gfxdata="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ODGD1XUAAAABQEAAA8AAAAAAAAAAQAgAAAAIgAAAGRycy9kb3ducmV2&#10;LnhtbFBLAQIUABQAAAAIAIdO4kBVijnQOQIAAHIEAAAOAAAAAAAAAAEAIAAAACMBAABkcnMvZTJv&#10;RG9jLnhtbFBLBQYAAAAABgAGAFkBAADOBQAAAAA=&#10;">
                  <v:fill on="t" focussize="0,0"/>
                  <v:stroke color="#000000" joinstyle="miter"/>
                  <v:imagedata o:title=""/>
                  <o:lock v:ext="edit" aspectratio="f"/>
                  <v:textbox inset="0mm,0mm,0mm,0mm">
                    <w:txbxContent>
                      <w:p w14:paraId="611A4496">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确定评价机构</w:t>
                        </w:r>
                      </w:p>
                    </w:txbxContent>
                  </v:textbox>
                </v:shape>
                <v:rect id="_x0000_s1026" o:spid="_x0000_s1026" o:spt="1" style="position:absolute;left:4731385;top:1445895;height:252095;width:904240;" fillcolor="#FFFFFF" filled="t" stroked="t" coordsize="21600,21600" o:gfxdata="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04OH01gAAAAUB&#10;AAAPAAAAAAAAAAEAIAAAACIAAABkcnMvZG93bnJldi54bWxQSwECFAAUAAAACACHTuJAV5bbLh0C&#10;AABaBAAADgAAAAAAAAABACAAAAAlAQAAZHJzL2Uyb0RvYy54bWxQSwUGAAAAAAYABgBZAQAAtAUA&#10;AAAA&#10;">
                  <v:fill on="t" focussize="0,0"/>
                  <v:stroke color="#000000" joinstyle="miter"/>
                  <v:imagedata o:title=""/>
                  <o:lock v:ext="edit" aspectratio="f"/>
                  <v:textbox inset="0mm,0mm,0mm,0mm">
                    <w:txbxContent>
                      <w:p w14:paraId="6562002E">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组建评价工作组</w:t>
                        </w:r>
                      </w:p>
                    </w:txbxContent>
                  </v:textbox>
                </v:rect>
                <v:shape id="_x0000_s1026" o:spid="_x0000_s1026" o:spt="116" type="#_x0000_t116" style="position:absolute;left:1748155;top:1445895;height:252095;width:853440;" fillcolor="#FFFFFF" filled="t" stroked="t" coordsize="21600,21600" o:gfxdata="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4MYPVdQAAAAFAQAADwAAAAAAAAABACAAAAAiAAAAZHJzL2Rvd25y&#10;ZXYueG1sUEsBAhQAFAAAAAgAh07iQAPmKmw7AgAAdAQAAA4AAAAAAAAAAQAgAAAAIwEAAGRycy9l&#10;Mm9Eb2MueG1sUEsFBgAAAAAGAAYAWQEAANAFAAAAAA==&#10;">
                  <v:fill on="t" focussize="0,0"/>
                  <v:stroke color="#000000" joinstyle="miter"/>
                  <v:imagedata o:title=""/>
                  <o:lock v:ext="edit" aspectratio="f"/>
                  <v:textbox inset="0mm,0mm,0mm,0mm">
                    <w:txbxContent>
                      <w:p w14:paraId="318511E6">
                        <w:pPr>
                          <w:pStyle w:val="9"/>
                          <w:keepNext w:val="0"/>
                          <w:keepLines w:val="0"/>
                          <w:pageBreakBefore w:val="0"/>
                          <w:widowControl w:val="0"/>
                          <w:kinsoku/>
                          <w:wordWrap/>
                          <w:overflowPunct/>
                          <w:topLinePunct w:val="0"/>
                          <w:bidi w:val="0"/>
                          <w:adjustRightInd/>
                          <w:snapToGrid/>
                          <w:spacing w:before="0" w:beforeAutospacing="0" w:after="0" w:afterAutospacing="0" w:line="240" w:lineRule="auto"/>
                          <w:ind w:firstLine="0" w:firstLineChars="0"/>
                          <w:jc w:val="center"/>
                          <w:textAlignment w:val="auto"/>
                        </w:pPr>
                        <w:r>
                          <w:rPr>
                            <w:rFonts w:hint="eastAsia" w:ascii="Calibri" w:cs="Times New Roman"/>
                            <w:kern w:val="2"/>
                            <w:sz w:val="15"/>
                            <w:szCs w:val="15"/>
                          </w:rPr>
                          <w:t>形成评价报告</w:t>
                        </w:r>
                      </w:p>
                      <w:p w14:paraId="67DE8E55">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p>
                    </w:txbxContent>
                  </v:textbox>
                </v:shape>
                <v:shape id="_x0000_s1026" o:spid="_x0000_s1026" o:spt="34" type="#_x0000_t34" style="position:absolute;left:1238885;top:354330;flip:y;height:184150;width:547370;" filled="f" stroked="t" coordsize="21600,21600" o:gfxdata="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aZSHCtIAAAAFAQAADwAAAAAAAAABACAAAAAiAAAAZHJzL2Rvd25yZXYueG1sUEsBAhQA&#10;FAAAAAgAh07iQDobD/QxAgAAOAQAAA4AAAAAAAAAAQAgAAAAIQEAAGRycy9lMm9Eb2MueG1sUEsF&#10;BgAAAAAGAAYAWQEAAMQFAAAAAA==&#10;" adj="10800">
                  <v:fill on="f" focussize="0,0"/>
                  <v:stroke color="#000000" joinstyle="round" endarrow="block"/>
                  <v:imagedata o:title=""/>
                  <o:lock v:ext="edit" aspectratio="f"/>
                </v:shape>
                <v:shape id="_x0000_s1026" o:spid="_x0000_s1026" o:spt="34" type="#_x0000_t34" style="position:absolute;left:1238885;top:538480;height:165100;width:557530;" filled="f" stroked="t" coordsize="21600,21600" o:gfxdata="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UoJRfVAAAABQEAAA8AAAAAAAAAAQAgAAAAIgAAAGRycy9kb3ducmV2LnhtbFBLAQIUABQA&#10;AAAIAIdO4kCgKPJ/LAIAAC4EAAAOAAAAAAAAAAEAIAAAACQBAABkcnMvZTJvRG9jLnhtbFBLBQYA&#10;AAAABgAGAFkBAADCBQAAAAA=&#10;" adj="10554">
                  <v:fill on="f" focussize="0,0"/>
                  <v:stroke color="#000000" joinstyle="round" endarrow="block"/>
                  <v:imagedata o:title=""/>
                  <o:lock v:ext="edit" aspectratio="f"/>
                </v:shape>
                <v:rect id="_x0000_s1026" o:spid="_x0000_s1026" o:spt="1" style="position:absolute;left:1786255;top:233045;height:252095;width:882015;" fillcolor="#FFFFFF" filled="t" stroked="t" coordsize="21600,21600" o:gfxdata="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ODh9NYAAAAFAQAA&#10;DwAAAAAAAAABACAAAAAiAAAAZHJzL2Rvd25yZXYueG1sUEsBAhQAFAAAAAgAh07iQL51Jj0bAgAA&#10;WQQAAA4AAAAAAAAAAQAgAAAAJQEAAGRycy9lMm9Eb2MueG1sUEsFBgAAAAAGAAYAWQEAALIFAAAA&#10;AA==&#10;">
                  <v:fill on="t" focussize="0,0"/>
                  <v:stroke color="#000000" joinstyle="miter"/>
                  <v:imagedata o:title=""/>
                  <o:lock v:ext="edit" aspectratio="f"/>
                  <v:textbox inset="0mm,0mm,0mm,0mm">
                    <w:txbxContent>
                      <w:p w14:paraId="75DE9EEA">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提交评价申请表</w:t>
                        </w:r>
                      </w:p>
                    </w:txbxContent>
                  </v:textbox>
                </v:rect>
                <v:rect id="_x0000_s1026" o:spid="_x0000_s1026" o:spt="1" style="position:absolute;left:1786255;top:585470;height:239395;width:880745;" fillcolor="#FFFFFF" filled="t" stroked="t" coordsize="21600,21600" o:gfxdata="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ODh9NYAAAAFAQAA&#10;DwAAAAAAAAABACAAAAAiAAAAZHJzL2Rvd25yZXYueG1sUEsBAhQAFAAAAAgAh07iQCAFxVgbAgAA&#10;WQQAAA4AAAAAAAAAAQAgAAAAJQEAAGRycy9lMm9Eb2MueG1sUEsFBgAAAAAGAAYAWQEAALIFAAAA&#10;AA==&#10;">
                  <v:fill on="t" focussize="0,0"/>
                  <v:stroke color="#000000" joinstyle="miter"/>
                  <v:imagedata o:title=""/>
                  <o:lock v:ext="edit" aspectratio="f"/>
                  <v:textbox inset="0mm,0mm,0mm,0mm">
                    <w:txbxContent>
                      <w:p w14:paraId="52882222">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提供佐证材料</w:t>
                        </w:r>
                      </w:p>
                    </w:txbxContent>
                  </v:textbox>
                </v:rect>
                <v:shape id="_x0000_s1026" o:spid="_x0000_s1026" o:spt="34" type="#_x0000_t34" style="position:absolute;left:2677160;top:328930;height:210185;width:695325;" filled="f" stroked="t" coordsize="21600,21600" o:gfxdata="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T&#10;LXM90gAAAAUBAAAPAAAAAAAAAAEAIAAAACIAAABkcnMvZG93bnJldi54bWxQSwECFAAUAAAACACH&#10;TuJAZvMsWCoCAAAuBAAADgAAAAAAAAABACAAAAAhAQAAZHJzL2Uyb0RvYy54bWxQSwUGAAAAAAYA&#10;BgBZAQAAvQUAAAAA&#10;" adj="10652">
                  <v:fill on="f" focussize="0,0"/>
                  <v:stroke color="#000000" joinstyle="round" endarrow="block"/>
                  <v:imagedata o:title=""/>
                  <o:lock v:ext="edit" aspectratio="f"/>
                </v:shape>
                <v:shape id="_x0000_s1026" o:spid="_x0000_s1026" o:spt="34" type="#_x0000_t34" style="position:absolute;left:2667000;top:539115;flip:y;height:166370;width:705485;" filled="f" stroked="t" coordsize="21600,21600" o:gfxdata="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ujud3dQAAAAFAQAADwAAAAAAAAABACAAAAAiAAAAZHJzL2Rvd25yZXYueG1sUEsBAhQAFAAA&#10;AAgAh07iQDnYPFQsAgAANAQAAA4AAAAAAAAAAQAgAAAAIwEAAGRycy9lMm9Eb2MueG1sUEsFBgAA&#10;AAAGAAYAWQEAAMEFAAAAAA==&#10;" adj="10751">
                  <v:fill on="f" focussize="0,0"/>
                  <v:stroke color="#000000" joinstyle="round"/>
                  <v:imagedata o:title=""/>
                  <o:lock v:ext="edit" aspectratio="f"/>
                </v:shape>
                <v:shape id="_x0000_s1026" o:spid="_x0000_s1026" o:spt="32" type="#_x0000_t32" style="position:absolute;left:4221480;top:535940;height:6350;width:542925;" filled="f" stroked="t" coordsize="21600,21600" o:gfxdata="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brQgtYAAAAFAQAADwAAAAAA&#10;AAABACAAAAAiAAAAZHJzL2Rvd25yZXYueG1sUEsBAhQAFAAAAAgAh07iQNGBxgYVAgAA/wMAAA4A&#10;AAAAAAAAAQAgAAAAJQEAAGRycy9lMm9Eb2MueG1sUEsFBgAAAAAGAAYAWQEAAKwFAAAAAA==&#10;">
                  <v:fill on="f" focussize="0,0"/>
                  <v:stroke color="#000000" joinstyle="round" endarrow="block"/>
                  <v:imagedata o:title=""/>
                  <o:lock v:ext="edit" aspectratio="f"/>
                </v:shape>
                <v:rect id="_x0000_s1026" o:spid="_x0000_s1026" o:spt="1" style="position:absolute;left:4763135;top:412750;height:252095;width:843915;" fillcolor="#FFFFFF" filled="t" stroked="t" coordsize="21600,21600" o:gfxdata="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ODh9NYAAAAFAQAA&#10;DwAAAAAAAAABACAAAAAiAAAAZHJzL2Rvd25yZXYueG1sUEsBAhQAFAAAAAgAh07iQBId1uIbAgAA&#10;WQQAAA4AAAAAAAAAAQAgAAAAJQEAAGRycy9lMm9Eb2MueG1sUEsFBgAAAAAGAAYAWQEAALIFAAAA&#10;AA==&#10;">
                  <v:fill on="t" focussize="0,0"/>
                  <v:stroke color="#000000" joinstyle="miter"/>
                  <v:imagedata o:title=""/>
                  <o:lock v:ext="edit" aspectratio="f"/>
                  <v:textbox inset="0mm,0mm,0mm,0mm">
                    <w:txbxContent>
                      <w:p w14:paraId="3D027563">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制定评价方案</w:t>
                        </w:r>
                      </w:p>
                    </w:txbxContent>
                  </v:textbox>
                </v:rect>
                <v:shape id="_x0000_s1026" o:spid="_x0000_s1026" o:spt="34" type="#_x0000_t34" style="position:absolute;left:4788535;top:1059815;height:1905;width:792480;rotation:5898240f;" filled="f" stroked="t" coordsize="21600,21600" o:gfxdata="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at+u51QAAAAUBAAAPAAAAAAAAAAEAIAAAACIAAABkcnMvZG93bnJldi54&#10;bWxQSwECFAAUAAAACACHTuJAYhxPXzYCAAA7BAAADgAAAAAAAAABACAAAAAkAQAAZHJzL2Uyb0Rv&#10;Yy54bWxQSwUGAAAAAAYABgBZAQAAzAUAAAAA&#10;" adj="10783">
                  <v:fill on="f" focussize="0,0"/>
                  <v:stroke color="#000000" joinstyle="miter" endarrow="block"/>
                  <v:imagedata o:title=""/>
                  <o:lock v:ext="edit" aspectratio="f"/>
                </v:shape>
                <v:rect id="_x0000_s1026" o:spid="_x0000_s1026" o:spt="1" style="position:absolute;left:3209290;top:1445895;height:251460;width:904875;" fillcolor="#FFFFFF" filled="t" stroked="t" coordsize="21600,21600" o:gfxdata="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Tg4fTWAAAA&#10;BQEAAA8AAAAAAAAAAQAgAAAAIgAAAGRycy9kb3ducmV2LnhtbFBLAQIUABQAAAAIAIdO4kCHwmOm&#10;HwIAAFoEAAAOAAAAAAAAAAEAIAAAACUBAABkcnMvZTJvRG9jLnhtbFBLBQYAAAAABgAGAFkBAAC2&#10;BQAAAAA=&#10;">
                  <v:fill on="t" focussize="0,0"/>
                  <v:stroke color="#000000" joinstyle="miter"/>
                  <v:imagedata o:title=""/>
                  <o:lock v:ext="edit" aspectratio="f"/>
                  <v:textbox inset="0mm,0mm,0mm,0mm">
                    <w:txbxContent>
                      <w:p w14:paraId="42D66A0C">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组织评价</w:t>
                        </w:r>
                      </w:p>
                      <w:p w14:paraId="684DB8F3">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p>
                    </w:txbxContent>
                  </v:textbox>
                </v:rect>
                <v:shape id="_x0000_s1026" o:spid="_x0000_s1026" o:spt="32" type="#_x0000_t32" style="position:absolute;left:4114165;top:1571625;flip:x;height:0;width:617220;" filled="f" stroked="t" coordsize="21600,21600" o:gfxdata="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ZJvj81QAAAAUBAAAP&#10;AAAAAAAAAAEAIAAAACIAAABkcnMvZG93bnJldi54bWxQSwECFAAUAAAACACHTuJAAXG23BsCAAAH&#10;BAAADgAAAAAAAAABACAAAAAkAQAAZHJzL2Uyb0RvYy54bWxQSwUGAAAAAAYABgBZAQAAsQUAAAAA&#10;">
                  <v:fill on="f" focussize="0,0"/>
                  <v:stroke color="#000000" joinstyle="round" endarrow="block"/>
                  <v:imagedata o:title=""/>
                  <o:lock v:ext="edit" aspectratio="f"/>
                </v:shape>
                <v:shape id="_x0000_s1026" o:spid="_x0000_s1026" o:spt="32" type="#_x0000_t32" style="position:absolute;left:2597785;top:1571625;flip:x;height:0;width:611505;" filled="f" stroked="t" coordsize="21600,21600" o:gfxdata="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km+PzVAAAABQEAAA8A&#10;AAAAAAAAAQAgAAAAIgAAAGRycy9kb3ducmV2LnhtbFBLAQIUABQAAAAIAIdO4kCcM2+9GgIAAAcE&#10;AAAOAAAAAAAAAAEAIAAAACQBAABkcnMvZTJvRG9jLnhtbFBLBQYAAAAABgAGAFkBAACwBQAAAAA=&#10;">
                  <v:fill on="f" focussize="0,0"/>
                  <v:stroke color="#000000" joinstyle="round" endarrow="block"/>
                  <v:imagedata o:title=""/>
                  <o:lock v:ext="edit" aspectratio="f"/>
                </v:shape>
                <v:rect id="_x0000_s1026" o:spid="_x0000_s1026" o:spt="1" style="position:absolute;left:3372485;top:412750;height:252095;width:843915;" fillcolor="#FFFFFF" filled="t" stroked="t" coordsize="21600,21600" o:gfxdata="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Tg4fTWAAAABQEA&#10;AA8AAAAAAAAAAQAgAAAAIgAAAGRycy9kb3ducmV2LnhtbFBLAQIUABQAAAAIAIdO4kAvsb6LHAIA&#10;AFkEAAAOAAAAAAAAAAEAIAAAACUBAABkcnMvZTJvRG9jLnhtbFBLBQYAAAAABgAGAFkBAACzBQAA&#10;AAA=&#10;">
                  <v:fill on="t" focussize="0,0"/>
                  <v:stroke color="#000000" joinstyle="miter"/>
                  <v:imagedata o:title=""/>
                  <o:lock v:ext="edit" aspectratio="f"/>
                  <v:textbox inset="0mm,0mm,0mm,0mm">
                    <w:txbxContent>
                      <w:p w14:paraId="5DD1E5B0">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sz w:val="15"/>
                            <w:szCs w:val="15"/>
                          </w:rPr>
                        </w:pPr>
                        <w:r>
                          <w:rPr>
                            <w:rFonts w:hint="eastAsia"/>
                            <w:sz w:val="15"/>
                            <w:szCs w:val="15"/>
                          </w:rPr>
                          <w:t>委托与受理</w:t>
                        </w:r>
                      </w:p>
                    </w:txbxContent>
                  </v:textbox>
                </v:rect>
                <w10:wrap type="none"/>
                <w10:anchorlock/>
              </v:group>
            </w:pict>
          </mc:Fallback>
        </mc:AlternateContent>
      </w:r>
    </w:p>
    <w:p w14:paraId="557DD5EA">
      <w:pPr>
        <w:pStyle w:val="43"/>
        <w:bidi w:val="0"/>
        <w:rPr>
          <w:rFonts w:hint="default"/>
          <w:color w:val="auto"/>
          <w:highlight w:val="none"/>
          <w:lang w:val="en-US" w:eastAsia="zh-CN"/>
        </w:rPr>
      </w:pPr>
      <w:r>
        <w:rPr>
          <w:rFonts w:hint="eastAsia"/>
          <w:color w:val="auto"/>
          <w:highlight w:val="none"/>
          <w:lang w:val="en-US" w:eastAsia="zh-CN"/>
        </w:rPr>
        <w:t>评价流程</w:t>
      </w:r>
    </w:p>
    <w:p w14:paraId="70010569">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（2）评价要求</w:t>
      </w:r>
    </w:p>
    <w:p w14:paraId="5E846CE1">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①确定评价机构</w:t>
      </w:r>
    </w:p>
    <w:p w14:paraId="42C07EF4">
      <w:pPr>
        <w:pStyle w:val="47"/>
        <w:bidi w:val="0"/>
        <w:rPr>
          <w:rFonts w:hint="default" w:ascii="Times New Roman" w:hAnsi="Times New Roman" w:eastAsia="仿宋_GB2312" w:cs="Times New Roman"/>
          <w:b w:val="0"/>
          <w:color w:val="auto"/>
          <w:kern w:val="2"/>
          <w:sz w:val="32"/>
          <w:szCs w:val="28"/>
          <w:lang w:val="en-US" w:eastAsia="zh-CN" w:bidi="ar-SA"/>
        </w:rPr>
      </w:pPr>
      <w:r>
        <w:rPr>
          <w:rFonts w:hint="default" w:ascii="Times New Roman" w:hAnsi="Times New Roman" w:eastAsia="仿宋_GB2312" w:cs="Times New Roman"/>
          <w:b w:val="0"/>
          <w:color w:val="auto"/>
          <w:kern w:val="2"/>
          <w:sz w:val="32"/>
          <w:szCs w:val="28"/>
          <w:lang w:val="en-US" w:eastAsia="zh-CN" w:bidi="ar-SA"/>
        </w:rPr>
        <w:t>农业科普展览活动的主办方性质、活动规模、评价目的及资源条件存在差异，赋予主办方自主选择评价机构的权利，核心是兼顾评价工作的灵活性、适用性和经济性，适配农业科普展览的差异化实际。</w:t>
      </w:r>
    </w:p>
    <w:p w14:paraId="3B983F96">
      <w:pPr>
        <w:pStyle w:val="47"/>
        <w:bidi w:val="0"/>
        <w:rPr>
          <w:rFonts w:hint="default" w:ascii="Times New Roman" w:hAnsi="Times New Roman" w:eastAsia="仿宋_GB2312" w:cs="Times New Roman"/>
          <w:b w:val="0"/>
          <w:color w:val="auto"/>
          <w:kern w:val="2"/>
          <w:sz w:val="32"/>
          <w:szCs w:val="28"/>
          <w:lang w:val="en-US" w:eastAsia="zh-CN" w:bidi="ar-SA"/>
        </w:rPr>
      </w:pPr>
      <w:r>
        <w:rPr>
          <w:rFonts w:hint="default" w:ascii="Times New Roman" w:hAnsi="Times New Roman" w:eastAsia="仿宋_GB2312" w:cs="Times New Roman"/>
          <w:b w:val="0"/>
          <w:color w:val="auto"/>
          <w:kern w:val="2"/>
          <w:sz w:val="32"/>
          <w:szCs w:val="28"/>
          <w:lang w:val="en-US" w:eastAsia="zh-CN" w:bidi="ar-SA"/>
        </w:rPr>
        <w:t>小型农业科普展览（如乡村小型农业技术科普展、社区农业科普宣传展），主办方多为基层农业部门、乡村集体经济组织等，活动规模小、评价内容简单，主办方自身具备相应能力时，自行评价可降低成本、提高效率，便于针对性整改优化。</w:t>
      </w:r>
    </w:p>
    <w:p w14:paraId="1360FAAA">
      <w:pPr>
        <w:pStyle w:val="47"/>
        <w:bidi w:val="0"/>
        <w:rPr>
          <w:rFonts w:hint="default" w:ascii="Times New Roman" w:hAnsi="Times New Roman" w:eastAsia="仿宋_GB2312" w:cs="Times New Roman"/>
          <w:b w:val="0"/>
          <w:color w:val="auto"/>
          <w:kern w:val="2"/>
          <w:sz w:val="32"/>
          <w:szCs w:val="28"/>
          <w:lang w:val="en-US" w:eastAsia="zh-CN" w:bidi="ar-SA"/>
        </w:rPr>
      </w:pPr>
      <w:r>
        <w:rPr>
          <w:rFonts w:hint="default" w:ascii="Times New Roman" w:hAnsi="Times New Roman" w:eastAsia="仿宋_GB2312" w:cs="Times New Roman"/>
          <w:b w:val="0"/>
          <w:color w:val="auto"/>
          <w:kern w:val="2"/>
          <w:sz w:val="32"/>
          <w:szCs w:val="28"/>
          <w:lang w:val="en-US" w:eastAsia="zh-CN" w:bidi="ar-SA"/>
        </w:rPr>
        <w:t>大型、跨区域农业科普展览，评价内容复杂、专业性要求高，委托具备农业相关资质和专业评价能力的第三方机构，可避免自主评价的主观偏差，确保评价结果的公正性、专业性，同时第三方机构的专业经验可提供针对性改进建议，适配活动评优评先、项目验收等需求。</w:t>
      </w:r>
    </w:p>
    <w:p w14:paraId="7672005F">
      <w:pPr>
        <w:pStyle w:val="47"/>
        <w:bidi w:val="0"/>
        <w:rPr>
          <w:rFonts w:hint="default" w:ascii="Times New Roman" w:hAnsi="Times New Roman" w:eastAsia="仿宋_GB2312" w:cs="Times New Roman"/>
          <w:b w:val="0"/>
          <w:color w:val="auto"/>
          <w:kern w:val="2"/>
          <w:sz w:val="32"/>
          <w:szCs w:val="28"/>
          <w:lang w:val="en-US" w:eastAsia="zh-CN" w:bidi="ar-SA"/>
        </w:rPr>
      </w:pPr>
      <w:r>
        <w:rPr>
          <w:rFonts w:hint="default" w:ascii="Times New Roman" w:hAnsi="Times New Roman" w:eastAsia="仿宋_GB2312" w:cs="Times New Roman"/>
          <w:b w:val="0"/>
          <w:color w:val="auto"/>
          <w:kern w:val="2"/>
          <w:sz w:val="32"/>
          <w:szCs w:val="28"/>
          <w:lang w:val="en-US" w:eastAsia="zh-CN" w:bidi="ar-SA"/>
        </w:rPr>
        <w:t>不同主办方评价目的不同，自主评价可满足梳理成效、优化后续活动的需求，第三方评价可满足客观认证、对外展示的需求，两种方式并行可充分适配各类场景，保障评价工作贴合实际、高效开展。</w:t>
      </w:r>
    </w:p>
    <w:p w14:paraId="4086E832">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②委托和受理</w:t>
      </w:r>
    </w:p>
    <w:p w14:paraId="7C0F7B46">
      <w:pPr>
        <w:pStyle w:val="47"/>
        <w:bidi w:val="0"/>
        <w:rPr>
          <w:rFonts w:hint="default" w:ascii="Times New Roman" w:hAnsi="Times New Roman" w:eastAsia="仿宋_GB2312" w:cs="Times New Roman"/>
          <w:b w:val="0"/>
          <w:color w:val="auto"/>
          <w:kern w:val="2"/>
          <w:sz w:val="32"/>
          <w:szCs w:val="28"/>
          <w:lang w:val="en-US" w:eastAsia="zh-CN" w:bidi="ar-SA"/>
        </w:rPr>
      </w:pPr>
      <w:r>
        <w:rPr>
          <w:rFonts w:hint="default" w:ascii="Times New Roman" w:hAnsi="Times New Roman" w:eastAsia="仿宋_GB2312" w:cs="Times New Roman"/>
          <w:b w:val="0"/>
          <w:color w:val="auto"/>
          <w:kern w:val="2"/>
          <w:sz w:val="32"/>
          <w:szCs w:val="28"/>
          <w:lang w:val="en-US" w:eastAsia="zh-CN" w:bidi="ar-SA"/>
        </w:rPr>
        <w:t>委托与受理是农业科普展览活动可持续性评价的起始环节，其条款设置核心是规范评价启动流程、保障评价工作有序高效开展，适配农业科普展览活动的差异化特点。要求提交申请表及佐证材料，是为了让评价机构快速掌握活动核心信息，通过农业科普方案、展品说明等针对性佐证材料，全面核查活动实际情况，为后续评价工作提供坚实支撑，避免主观评价偏差，保障评价结果的真实性和专业性。评价机构开展可行性分析并协商后决定是否受理，可排查不符合评价条件的活动，避免评价资源浪费，同时明确双方共识，减少后续评价分歧，确保评价工作顺利推进。第三方评价机构签订评价合同，可明确双方权利义务，细化农业科普实效、生态保护等核心评价标准，约束第三方机构坚守客观专业原则，保障申请评价单位合法权益，为评价工作开展和争议解决提供依据，强化第三方评价的权威性和规范性。</w:t>
      </w:r>
    </w:p>
    <w:p w14:paraId="7D35A3A0">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③制定评价方案</w:t>
      </w:r>
    </w:p>
    <w:p w14:paraId="06EA1835">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制定评价方案是农业科普展览活动可持续性评价的核心筹备环节，衔接委托受理与现场评价，其条款设置核心是规范评价筹备工作，保障评价工作有序、高效、精准开展，适配农业科普展览活动的差异化及农业特色特点。要求结合评价需求、目的及农业特色制定评价方案，是因为农业科普展览活动类型、场景、评价目的差异较大，明确方案可避免评价工作盲目性，确保评价工作围绕核心目标推进，为评价工作规范化开展提供明确指引。明确评价时间、地点、流程等事项，是为了适配农业季节性特点，保障评价内容完整性；让评价组提前熟悉场地环境，提升评价效率；规范评价各环节操作，明确双方责任，减少沟通成本和评价分歧，确保评价结果的客观性和专业性。</w:t>
      </w:r>
    </w:p>
    <w:p w14:paraId="7BAD5DAA">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④组建评价工作组</w:t>
      </w:r>
    </w:p>
    <w:p w14:paraId="05FC47EF">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组建评价工作组是农业科普展览活动可持续性评价的重要组织保障，其条款设置核心是规范评价组织架构，保障评价工作客观、公正、专业、高效开展，适配农业科普展览评价的专业性和复杂性特点。成员人数设定为奇数且不少于5人，目的是避免评价意见分歧时出现决策僵局，确保评价结论统一，同时保障评价视角全面、专业覆盖充足，提升评价结果的全面性和权威性。要求包含农业领域相关专家并明确资质、工作年限，是因为农业科普展览评价具有鲜明农业专业性，专家可精准判断农业科普科学性、技术规范性等核心指标，保障评价的专业性和针对性。明确成员与被评价活动无利益关系，可规避利益冲突，确保评价成员坚守客观公正原则，保障评价结果的真实性和严肃性。指定具备相关经验或农业专业背景的组长，可统筹协调评价工作、分配任务、规范报告编写，提升评价效率和成果质量。评价前开展方法培训，可统一成员对评价标准、流程的理解，减少评价误差，确保评价工作规范统一，保障评价结果的可比性。</w:t>
      </w:r>
    </w:p>
    <w:p w14:paraId="3E07A028">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⑤组织评价</w:t>
      </w:r>
    </w:p>
    <w:p w14:paraId="044152E5">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组织评价是农业科普展览活动可持续性评价的核心实施环节，初步评分是形成最终评价结果的基础，其条款设置核心是规范评分流程，保障评价工作全面、客观、专业开展，适配农业科普展览评价的专业性和实践性特点。依据本指南及评价方案明确的评价内容评分，可确保评分围绕核心目标展开，避免偏离评价方向；结合佐证材料评分，可依托书面依据减少主观臆断，保障评分真实性；结合现场核查情况评分，可弥补书面材料局限性，精准反映农业技术演示、展品展示等现场核心内容的实际成效，避免评分偏差。明确逐项核查、逐项打分及专人记录要求，可规范评分流程，确保评分过程可追溯、意见统一，为后续评分复核、结果确定奠定基础，保障评价结果的科学性和公正性。</w:t>
      </w:r>
    </w:p>
    <w:p w14:paraId="723276F3">
      <w:pPr>
        <w:pStyle w:val="47"/>
        <w:bidi w:val="0"/>
        <w:rPr>
          <w:rFonts w:hint="eastAsia" w:ascii="Times New Roman" w:hAnsi="Times New Roman" w:eastAsia="仿宋_GB2312" w:cs="Times New Roman"/>
          <w:b w:val="0"/>
          <w:color w:val="auto"/>
          <w:kern w:val="2"/>
          <w:sz w:val="32"/>
          <w:szCs w:val="28"/>
          <w:lang w:val="en-US" w:eastAsia="zh-CN" w:bidi="ar-SA"/>
        </w:rPr>
      </w:pPr>
      <w:r>
        <w:rPr>
          <w:rFonts w:hint="eastAsia" w:ascii="Times New Roman" w:hAnsi="Times New Roman" w:eastAsia="仿宋_GB2312" w:cs="Times New Roman"/>
          <w:b w:val="0"/>
          <w:color w:val="auto"/>
          <w:kern w:val="2"/>
          <w:sz w:val="32"/>
          <w:szCs w:val="28"/>
          <w:lang w:val="en-US" w:eastAsia="zh-CN" w:bidi="ar-SA"/>
        </w:rPr>
        <w:t>⑥形成评价报告</w:t>
      </w:r>
    </w:p>
    <w:p w14:paraId="3B68962B">
      <w:pPr>
        <w:pStyle w:val="47"/>
        <w:bidi w:val="0"/>
        <w:rPr>
          <w:rFonts w:hint="default" w:ascii="Times New Roman" w:hAnsi="Times New Roman" w:eastAsia="仿宋_GB2312" w:cs="Times New Roman"/>
          <w:b w:val="0"/>
          <w:color w:val="auto"/>
          <w:kern w:val="2"/>
          <w:sz w:val="32"/>
          <w:szCs w:val="28"/>
          <w:lang w:val="en-US" w:eastAsia="zh-CN" w:bidi="ar-SA"/>
        </w:rPr>
      </w:pPr>
      <w:r>
        <w:rPr>
          <w:rFonts w:hint="default" w:ascii="Times New Roman" w:hAnsi="Times New Roman" w:eastAsia="仿宋_GB2312" w:cs="Times New Roman"/>
          <w:b w:val="0"/>
          <w:color w:val="auto"/>
          <w:kern w:val="2"/>
          <w:sz w:val="32"/>
          <w:szCs w:val="28"/>
          <w:lang w:val="en-US" w:eastAsia="zh-CN" w:bidi="ar-SA"/>
        </w:rPr>
        <w:t>形成评价报告是农业科普展览活动可持续性评价的收尾环节，也是评价成果的集中体现，其条款设置核心是规范报告撰写，确保报告完整、规范、实用，发挥评价</w:t>
      </w:r>
      <w:r>
        <w:rPr>
          <w:rFonts w:hint="eastAsia" w:ascii="Times New Roman" w:hAnsi="Times New Roman" w:eastAsia="仿宋_GB2312" w:cs="Times New Roman"/>
          <w:b w:val="0"/>
          <w:color w:val="auto"/>
          <w:kern w:val="2"/>
          <w:sz w:val="32"/>
          <w:szCs w:val="28"/>
          <w:lang w:val="en-US" w:eastAsia="zh-CN" w:bidi="ar-SA"/>
        </w:rPr>
        <w:t>“</w:t>
      </w:r>
      <w:r>
        <w:rPr>
          <w:rFonts w:hint="default" w:ascii="Times New Roman" w:hAnsi="Times New Roman" w:eastAsia="仿宋_GB2312" w:cs="Times New Roman"/>
          <w:b w:val="0"/>
          <w:color w:val="auto"/>
          <w:kern w:val="2"/>
          <w:sz w:val="32"/>
          <w:szCs w:val="28"/>
          <w:lang w:val="en-US" w:eastAsia="zh-CN" w:bidi="ar-SA"/>
        </w:rPr>
        <w:t>以评促改、以评促优</w:t>
      </w:r>
      <w:r>
        <w:rPr>
          <w:rFonts w:hint="eastAsia" w:ascii="Times New Roman" w:hAnsi="Times New Roman" w:eastAsia="仿宋_GB2312" w:cs="Times New Roman"/>
          <w:b w:val="0"/>
          <w:color w:val="auto"/>
          <w:kern w:val="2"/>
          <w:sz w:val="32"/>
          <w:szCs w:val="28"/>
          <w:lang w:val="en-US" w:eastAsia="zh-CN" w:bidi="ar-SA"/>
        </w:rPr>
        <w:t>”</w:t>
      </w:r>
      <w:r>
        <w:rPr>
          <w:rFonts w:hint="default" w:ascii="Times New Roman" w:hAnsi="Times New Roman" w:eastAsia="仿宋_GB2312" w:cs="Times New Roman"/>
          <w:b w:val="0"/>
          <w:color w:val="auto"/>
          <w:kern w:val="2"/>
          <w:sz w:val="32"/>
          <w:szCs w:val="28"/>
          <w:lang w:val="en-US" w:eastAsia="zh-CN" w:bidi="ar-SA"/>
        </w:rPr>
        <w:t>的作用，适配农业科普展览评价的专业性需求。根据评价结果撰写报告并提供附录示例，可整合零散评价信息、固化评价成果，确保报告格式统一、内容规范，为相关方全面掌握活动可持续性情况提供清晰依据，同时为评价工作组提供撰写指引，提升报告质量。明确报告应包含的核心内容，可确保报告的完整性和可追溯性；评价指标得分、总分及等级可直观反映活动可持续性水平；评价结论明确农业科普相关核心维度表现，贴合农业特色；改进建议聚焦农业相关优化方向，为活动主办方后续优化农业科普展览、提升可持续性提供具体指引，发挥评价的实际价值。</w:t>
      </w:r>
    </w:p>
    <w:p w14:paraId="2BA905DA">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rPr>
      </w:pPr>
      <w:bookmarkStart w:id="2" w:name="_Toc526940086"/>
      <w:r>
        <w:rPr>
          <w:rFonts w:hint="eastAsia" w:ascii="黑体" w:hAnsi="黑体" w:eastAsia="黑体" w:cs="仿宋_GB2312"/>
          <w:color w:val="auto"/>
          <w:sz w:val="32"/>
          <w:szCs w:val="32"/>
        </w:rPr>
        <w:t>六、</w:t>
      </w:r>
      <w:bookmarkEnd w:id="2"/>
      <w:r>
        <w:rPr>
          <w:rFonts w:hint="eastAsia" w:ascii="黑体" w:hAnsi="黑体" w:eastAsia="黑体" w:cs="仿宋_GB2312"/>
          <w:color w:val="auto"/>
          <w:sz w:val="32"/>
          <w:szCs w:val="32"/>
        </w:rPr>
        <w:t>重大分歧意见的处理经过和依据</w:t>
      </w:r>
    </w:p>
    <w:p w14:paraId="00289637">
      <w:pPr>
        <w:pStyle w:val="46"/>
        <w:bidi w:val="0"/>
        <w:rPr>
          <w:color w:val="auto"/>
        </w:rPr>
      </w:pPr>
      <w:r>
        <w:rPr>
          <w:rFonts w:hint="eastAsia"/>
          <w:color w:val="auto"/>
        </w:rPr>
        <w:t>本标准研制过程中无重大分歧意见。</w:t>
      </w:r>
    </w:p>
    <w:p w14:paraId="0D6BA9CB">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rPr>
      </w:pPr>
      <w:r>
        <w:rPr>
          <w:rFonts w:hint="eastAsia" w:ascii="黑体" w:hAnsi="黑体" w:eastAsia="黑体" w:cs="仿宋_GB2312"/>
          <w:color w:val="auto"/>
          <w:sz w:val="32"/>
          <w:szCs w:val="32"/>
        </w:rPr>
        <w:t>七</w:t>
      </w:r>
      <w:r>
        <w:rPr>
          <w:rFonts w:ascii="黑体" w:hAnsi="黑体" w:eastAsia="黑体" w:cs="仿宋_GB2312"/>
          <w:color w:val="auto"/>
          <w:sz w:val="32"/>
          <w:szCs w:val="32"/>
        </w:rPr>
        <w:t>、</w:t>
      </w:r>
      <w:r>
        <w:rPr>
          <w:rFonts w:hint="eastAsia" w:ascii="黑体" w:hAnsi="黑体" w:eastAsia="黑体" w:cs="仿宋_GB2312"/>
          <w:color w:val="auto"/>
          <w:sz w:val="32"/>
          <w:szCs w:val="32"/>
        </w:rPr>
        <w:t>实施标准的措施</w:t>
      </w:r>
    </w:p>
    <w:p w14:paraId="3DE57FD0">
      <w:pPr>
        <w:spacing w:line="560" w:lineRule="exact"/>
        <w:ind w:firstLine="643" w:firstLineChars="200"/>
        <w:rPr>
          <w:rFonts w:ascii="仿宋_GB2312" w:hAnsi="宋体" w:eastAsia="仿宋_GB2312"/>
          <w:b/>
          <w:color w:val="auto"/>
          <w:sz w:val="32"/>
          <w:szCs w:val="28"/>
        </w:rPr>
      </w:pPr>
      <w:r>
        <w:rPr>
          <w:rFonts w:hint="eastAsia" w:ascii="仿宋_GB2312" w:hAnsi="宋体" w:eastAsia="仿宋_GB2312"/>
          <w:b/>
          <w:color w:val="auto"/>
          <w:sz w:val="32"/>
          <w:szCs w:val="28"/>
        </w:rPr>
        <w:t>（一）标准报批发布后，成立标准宣贯工作组</w:t>
      </w:r>
    </w:p>
    <w:p w14:paraId="358FEDB0">
      <w:pPr>
        <w:pStyle w:val="46"/>
        <w:bidi w:val="0"/>
        <w:rPr>
          <w:color w:val="auto"/>
        </w:rPr>
      </w:pPr>
      <w:r>
        <w:rPr>
          <w:rFonts w:hint="eastAsia"/>
          <w:color w:val="auto"/>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12EE2840">
      <w:pPr>
        <w:spacing w:line="560" w:lineRule="exact"/>
        <w:ind w:firstLine="643" w:firstLineChars="200"/>
        <w:rPr>
          <w:rFonts w:ascii="仿宋_GB2312" w:hAnsi="宋体" w:eastAsia="仿宋_GB2312"/>
          <w:b/>
          <w:color w:val="auto"/>
          <w:sz w:val="32"/>
          <w:szCs w:val="28"/>
        </w:rPr>
      </w:pPr>
      <w:r>
        <w:rPr>
          <w:rFonts w:hint="eastAsia" w:ascii="仿宋_GB2312" w:hAnsi="宋体" w:eastAsia="仿宋_GB2312"/>
          <w:b/>
          <w:color w:val="auto"/>
          <w:sz w:val="32"/>
          <w:szCs w:val="28"/>
        </w:rPr>
        <w:t>（二）组织开展标准宣贯培训</w:t>
      </w:r>
    </w:p>
    <w:p w14:paraId="5AD8E3A1">
      <w:pPr>
        <w:pStyle w:val="46"/>
        <w:bidi w:val="0"/>
        <w:rPr>
          <w:color w:val="auto"/>
        </w:rPr>
      </w:pPr>
      <w:r>
        <w:rPr>
          <w:rFonts w:hint="eastAsia"/>
          <w:color w:val="auto"/>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3F1C9A51">
      <w:pPr>
        <w:spacing w:line="560" w:lineRule="exact"/>
        <w:ind w:firstLine="643" w:firstLineChars="200"/>
        <w:rPr>
          <w:rFonts w:ascii="仿宋_GB2312" w:hAnsi="宋体" w:eastAsia="仿宋_GB2312"/>
          <w:b/>
          <w:color w:val="auto"/>
          <w:sz w:val="32"/>
          <w:szCs w:val="28"/>
        </w:rPr>
      </w:pPr>
      <w:r>
        <w:rPr>
          <w:rFonts w:hint="eastAsia" w:ascii="仿宋_GB2312" w:hAnsi="宋体" w:eastAsia="仿宋_GB2312"/>
          <w:b/>
          <w:color w:val="auto"/>
          <w:sz w:val="32"/>
          <w:szCs w:val="28"/>
        </w:rPr>
        <w:t>（三）开展标准实施交流会，收集标准实施反馈信息</w:t>
      </w:r>
    </w:p>
    <w:p w14:paraId="3DCB35D5">
      <w:pPr>
        <w:pStyle w:val="46"/>
        <w:bidi w:val="0"/>
        <w:rPr>
          <w:color w:val="auto"/>
        </w:rPr>
      </w:pPr>
      <w:r>
        <w:rPr>
          <w:rFonts w:hint="eastAsia"/>
          <w:color w:val="auto"/>
        </w:rPr>
        <w:t>标准起草小组深入各市县相关机构、单位组织技术人员召开标准实施交流会，听取标准实施过程中存在的问题并做好记录和解答，对存在的问题组织专家团队进行研讨，为标准的复审修订做准备。</w:t>
      </w:r>
    </w:p>
    <w:p w14:paraId="0339B32F">
      <w:pPr>
        <w:spacing w:line="560" w:lineRule="exact"/>
        <w:ind w:firstLine="643" w:firstLineChars="200"/>
        <w:rPr>
          <w:rFonts w:ascii="仿宋_GB2312" w:hAnsi="宋体" w:eastAsia="仿宋_GB2312"/>
          <w:b/>
          <w:color w:val="auto"/>
          <w:sz w:val="32"/>
          <w:szCs w:val="28"/>
        </w:rPr>
      </w:pPr>
      <w:r>
        <w:rPr>
          <w:rFonts w:hint="eastAsia" w:ascii="仿宋_GB2312" w:hAnsi="宋体" w:eastAsia="仿宋_GB2312"/>
          <w:b/>
          <w:color w:val="auto"/>
          <w:sz w:val="32"/>
          <w:szCs w:val="28"/>
        </w:rPr>
        <w:t>（四）开展标准实施效果评估</w:t>
      </w:r>
    </w:p>
    <w:p w14:paraId="0B9F8EE6">
      <w:pPr>
        <w:pStyle w:val="46"/>
        <w:bidi w:val="0"/>
        <w:rPr>
          <w:color w:val="auto"/>
        </w:rPr>
      </w:pPr>
      <w:r>
        <w:rPr>
          <w:rFonts w:hint="eastAsia"/>
          <w:color w:val="auto"/>
        </w:rPr>
        <w:t>标准实施满2年，每年标准宣贯工作组采取网络调查、问卷调查、实地调研、召开座谈会或论证会、专家咨询等方式开展标准实施效果评估，并形成标准实施效果评估报告，为标准的复审修订做准备。</w:t>
      </w:r>
    </w:p>
    <w:p w14:paraId="2495AB57">
      <w:pPr>
        <w:autoSpaceDE w:val="0"/>
        <w:autoSpaceDN w:val="0"/>
        <w:adjustRightInd w:val="0"/>
        <w:spacing w:before="156" w:beforeLines="50" w:after="156" w:afterLines="50" w:line="560" w:lineRule="exact"/>
        <w:ind w:firstLine="640" w:firstLineChars="200"/>
        <w:jc w:val="left"/>
        <w:rPr>
          <w:rFonts w:ascii="黑体" w:hAnsi="黑体" w:eastAsia="黑体" w:cs="仿宋_GB2312"/>
          <w:color w:val="auto"/>
          <w:sz w:val="32"/>
          <w:szCs w:val="32"/>
        </w:rPr>
      </w:pPr>
      <w:r>
        <w:rPr>
          <w:rFonts w:hint="eastAsia" w:ascii="黑体" w:hAnsi="黑体" w:eastAsia="黑体" w:cs="仿宋_GB2312"/>
          <w:color w:val="auto"/>
          <w:sz w:val="32"/>
          <w:szCs w:val="32"/>
        </w:rPr>
        <w:t>八、其他应当说明的事项</w:t>
      </w:r>
    </w:p>
    <w:p w14:paraId="7AA9BD4F">
      <w:pPr>
        <w:spacing w:line="560" w:lineRule="exact"/>
        <w:ind w:firstLine="640" w:firstLineChars="200"/>
        <w:rPr>
          <w:rFonts w:ascii="仿宋_GB2312" w:hAnsi="宋体" w:eastAsia="仿宋_GB2312"/>
          <w:color w:val="auto"/>
          <w:sz w:val="32"/>
          <w:szCs w:val="28"/>
        </w:rPr>
      </w:pPr>
      <w:r>
        <w:rPr>
          <w:rFonts w:hint="eastAsia" w:ascii="仿宋_GB2312" w:hAnsi="宋体" w:eastAsia="仿宋_GB2312"/>
          <w:color w:val="auto"/>
          <w:sz w:val="32"/>
          <w:szCs w:val="28"/>
        </w:rPr>
        <w:t>无。</w:t>
      </w:r>
    </w:p>
    <w:p w14:paraId="02810CCB">
      <w:pPr>
        <w:spacing w:line="560" w:lineRule="exact"/>
        <w:rPr>
          <w:rFonts w:ascii="仿宋_GB2312" w:hAnsi="仿宋" w:eastAsia="仿宋_GB2312"/>
          <w:bCs/>
          <w:color w:val="auto"/>
          <w:sz w:val="36"/>
          <w:szCs w:val="32"/>
        </w:rPr>
      </w:pPr>
    </w:p>
    <w:p w14:paraId="1D8AB9E2">
      <w:pPr>
        <w:spacing w:line="560" w:lineRule="exact"/>
        <w:rPr>
          <w:rFonts w:ascii="仿宋_GB2312" w:hAnsi="仿宋" w:eastAsia="仿宋_GB2312"/>
          <w:bCs/>
          <w:color w:val="auto"/>
          <w:sz w:val="36"/>
          <w:szCs w:val="32"/>
        </w:rPr>
      </w:pPr>
    </w:p>
    <w:p w14:paraId="7BD2E932">
      <w:pPr>
        <w:wordWrap w:val="0"/>
        <w:spacing w:line="560" w:lineRule="exact"/>
        <w:jc w:val="right"/>
        <w:rPr>
          <w:rFonts w:ascii="仿宋_GB2312" w:hAnsi="宋体" w:eastAsia="仿宋_GB2312"/>
          <w:color w:val="auto"/>
          <w:sz w:val="32"/>
          <w:szCs w:val="28"/>
          <w:highlight w:val="none"/>
        </w:rPr>
      </w:pPr>
      <w:r>
        <w:rPr>
          <w:rFonts w:hint="eastAsia" w:ascii="仿宋_GB2312" w:hAnsi="宋体" w:eastAsia="仿宋_GB2312"/>
          <w:color w:val="auto"/>
          <w:sz w:val="32"/>
          <w:szCs w:val="28"/>
        </w:rPr>
        <w:t xml:space="preserve"> 团体标准《农业科普</w:t>
      </w:r>
      <w:r>
        <w:rPr>
          <w:rFonts w:hint="eastAsia" w:ascii="仿宋_GB2312" w:hAnsi="宋体" w:eastAsia="仿宋_GB2312"/>
          <w:color w:val="auto"/>
          <w:sz w:val="32"/>
          <w:szCs w:val="28"/>
          <w:highlight w:val="none"/>
        </w:rPr>
        <w:t>展览活动可持续性评价指南》</w:t>
      </w:r>
    </w:p>
    <w:p w14:paraId="48E5CD03">
      <w:pPr>
        <w:wordWrap w:val="0"/>
        <w:spacing w:line="560" w:lineRule="exact"/>
        <w:jc w:val="right"/>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 xml:space="preserve">标准编制工作组 </w:t>
      </w:r>
      <w:r>
        <w:rPr>
          <w:rFonts w:ascii="仿宋_GB2312" w:hAnsi="宋体" w:eastAsia="仿宋_GB2312"/>
          <w:color w:val="auto"/>
          <w:sz w:val="32"/>
          <w:szCs w:val="28"/>
          <w:highlight w:val="none"/>
        </w:rPr>
        <w:t xml:space="preserve">        </w:t>
      </w:r>
    </w:p>
    <w:p w14:paraId="04379C9B">
      <w:pPr>
        <w:wordWrap w:val="0"/>
        <w:spacing w:line="560" w:lineRule="exact"/>
        <w:jc w:val="right"/>
        <w:rPr>
          <w:rFonts w:ascii="仿宋_GB2312" w:hAnsi="宋体" w:eastAsia="仿宋_GB2312"/>
          <w:color w:val="auto"/>
          <w:sz w:val="32"/>
          <w:szCs w:val="28"/>
          <w:highlight w:val="none"/>
        </w:rPr>
      </w:pPr>
      <w:r>
        <w:rPr>
          <w:rFonts w:hint="eastAsia" w:ascii="仿宋_GB2312" w:hAnsi="宋体" w:eastAsia="仿宋_GB2312"/>
          <w:color w:val="auto"/>
          <w:sz w:val="32"/>
          <w:szCs w:val="28"/>
          <w:highlight w:val="none"/>
        </w:rPr>
        <w:t>202</w:t>
      </w:r>
      <w:r>
        <w:rPr>
          <w:rFonts w:hint="eastAsia" w:ascii="仿宋_GB2312" w:hAnsi="宋体"/>
          <w:color w:val="auto"/>
          <w:sz w:val="32"/>
          <w:szCs w:val="28"/>
          <w:highlight w:val="none"/>
          <w:lang w:val="en-US" w:eastAsia="zh-CN"/>
        </w:rPr>
        <w:t>6</w:t>
      </w:r>
      <w:r>
        <w:rPr>
          <w:rFonts w:hint="eastAsia" w:ascii="仿宋_GB2312" w:hAnsi="宋体" w:eastAsia="仿宋_GB2312"/>
          <w:color w:val="auto"/>
          <w:sz w:val="32"/>
          <w:szCs w:val="28"/>
          <w:highlight w:val="none"/>
        </w:rPr>
        <w:t>年</w:t>
      </w:r>
      <w:r>
        <w:rPr>
          <w:rFonts w:hint="eastAsia" w:ascii="仿宋_GB2312" w:hAnsi="宋体"/>
          <w:color w:val="auto"/>
          <w:sz w:val="32"/>
          <w:szCs w:val="28"/>
          <w:highlight w:val="none"/>
          <w:lang w:val="en-US" w:eastAsia="zh-CN"/>
        </w:rPr>
        <w:t>4</w:t>
      </w:r>
      <w:r>
        <w:rPr>
          <w:rFonts w:hint="eastAsia" w:ascii="仿宋_GB2312" w:hAnsi="宋体" w:eastAsia="仿宋_GB2312"/>
          <w:color w:val="auto"/>
          <w:sz w:val="32"/>
          <w:szCs w:val="28"/>
          <w:highlight w:val="none"/>
        </w:rPr>
        <w:t>月</w:t>
      </w:r>
      <w:r>
        <w:rPr>
          <w:rFonts w:hint="eastAsia" w:ascii="仿宋_GB2312" w:hAnsi="宋体"/>
          <w:color w:val="auto"/>
          <w:sz w:val="32"/>
          <w:szCs w:val="28"/>
          <w:highlight w:val="none"/>
          <w:lang w:val="en-US" w:eastAsia="zh-CN"/>
        </w:rPr>
        <w:t>29</w:t>
      </w:r>
      <w:r>
        <w:rPr>
          <w:rFonts w:hint="eastAsia" w:ascii="仿宋_GB2312" w:hAnsi="宋体" w:eastAsia="仿宋_GB2312"/>
          <w:color w:val="auto"/>
          <w:sz w:val="32"/>
          <w:szCs w:val="28"/>
          <w:highlight w:val="none"/>
        </w:rPr>
        <w:t xml:space="preserve">日       </w:t>
      </w:r>
      <w:r>
        <w:rPr>
          <w:rFonts w:ascii="仿宋_GB2312" w:hAnsi="宋体" w:eastAsia="仿宋_GB2312"/>
          <w:color w:val="auto"/>
          <w:sz w:val="32"/>
          <w:szCs w:val="28"/>
          <w:highlight w:val="none"/>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8E96A9C-4F17-4D0F-BE83-07A35090841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1D963C54-59DE-4C38-8E86-B34F7CBCC666}"/>
  </w:font>
  <w:font w:name="仿宋_GB2312">
    <w:panose1 w:val="02010609030101010101"/>
    <w:charset w:val="86"/>
    <w:family w:val="auto"/>
    <w:pitch w:val="default"/>
    <w:sig w:usb0="00000001" w:usb1="080E0000" w:usb2="00000000" w:usb3="00000000" w:csb0="00040000" w:csb1="00000000"/>
    <w:embedRegular r:id="rId3" w:fontKey="{EC742852-F24F-4116-A144-487AB0E646D6}"/>
  </w:font>
  <w:font w:name="仿宋">
    <w:panose1 w:val="02010609060101010101"/>
    <w:charset w:val="86"/>
    <w:family w:val="auto"/>
    <w:pitch w:val="default"/>
    <w:sig w:usb0="800002BF" w:usb1="38CF7CFA" w:usb2="00000016" w:usb3="00000000" w:csb0="00040001" w:csb1="00000000"/>
    <w:embedRegular r:id="rId4" w:fontKey="{B6676A68-23ED-4232-8B4D-4BE7FCCE466E}"/>
  </w:font>
  <w:font w:name="楷体">
    <w:panose1 w:val="02010609060101010101"/>
    <w:charset w:val="86"/>
    <w:family w:val="modern"/>
    <w:pitch w:val="default"/>
    <w:sig w:usb0="800002BF" w:usb1="38CF7CFA" w:usb2="00000016" w:usb3="00000000" w:csb0="00040001" w:csb1="00000000"/>
    <w:embedRegular r:id="rId5" w:fontKey="{616512D1-C683-4DAE-8187-F80B0EFEEA91}"/>
  </w:font>
  <w:font w:name="方正小标宋简体">
    <w:panose1 w:val="02000000000000000000"/>
    <w:charset w:val="86"/>
    <w:family w:val="script"/>
    <w:pitch w:val="default"/>
    <w:sig w:usb0="00000001" w:usb1="080E0000" w:usb2="00000000" w:usb3="00000000" w:csb0="00040000" w:csb1="00000000"/>
    <w:embedRegular r:id="rId6" w:fontKey="{2A0F9E19-BA87-41E4-9D0D-3A5C2663D34C}"/>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2687B576">
        <w:pPr>
          <w:pStyle w:val="7"/>
          <w:jc w:val="center"/>
        </w:pPr>
        <w:r>
          <w:fldChar w:fldCharType="begin"/>
        </w:r>
        <w:r>
          <w:instrText xml:space="preserve">PAGE   \* MERGEFORMAT</w:instrText>
        </w:r>
        <w:r>
          <w:fldChar w:fldCharType="separate"/>
        </w:r>
        <w:r>
          <w:rPr>
            <w:lang w:val="zh-CN"/>
          </w:rPr>
          <w:t>7</w:t>
        </w:r>
        <w:r>
          <w:fldChar w:fldCharType="end"/>
        </w:r>
      </w:p>
    </w:sdtContent>
  </w:sdt>
  <w:p w14:paraId="2CAC4AA4">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7"/>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31"/>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30"/>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22"/>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1"/>
      <w:suff w:val="nothing"/>
      <w:lvlText w:val="%1.%2　"/>
      <w:lvlJc w:val="left"/>
      <w:pPr>
        <w:ind w:left="525" w:firstLine="0"/>
      </w:pPr>
      <w:rPr>
        <w:rFonts w:hint="eastAsia" w:ascii="黑体" w:hAnsi="Times New Roman" w:eastAsia="黑体" w:cs="Times New Roman"/>
        <w:b w:val="0"/>
        <w:bCs w:val="0"/>
        <w:i w:val="0"/>
        <w:iCs w:val="0"/>
        <w:caps w:val="0"/>
        <w:strike w:val="0"/>
        <w:dstrike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23"/>
      <w:suff w:val="nothing"/>
      <w:lvlText w:val="%1.%2.%3　"/>
      <w:lvlJc w:val="left"/>
      <w:pPr>
        <w:ind w:left="0" w:firstLine="0"/>
      </w:pPr>
      <w:rPr>
        <w:rFonts w:hint="eastAsia" w:ascii="黑体" w:hAnsi="Times New Roman" w:eastAsia="黑体"/>
        <w:b w:val="0"/>
        <w:i w:val="0"/>
        <w:sz w:val="21"/>
      </w:rPr>
    </w:lvl>
    <w:lvl w:ilvl="3" w:tentative="0">
      <w:start w:val="1"/>
      <w:numFmt w:val="decimal"/>
      <w:pStyle w:val="24"/>
      <w:suff w:val="nothing"/>
      <w:lvlText w:val="%1.%2.%3.%4　"/>
      <w:lvlJc w:val="left"/>
      <w:pPr>
        <w:ind w:left="0" w:firstLine="0"/>
      </w:pPr>
      <w:rPr>
        <w:rFonts w:hint="eastAsia" w:ascii="黑体" w:hAnsi="Times New Roman" w:eastAsia="黑体"/>
        <w:b w:val="0"/>
        <w:i w:val="0"/>
        <w:sz w:val="21"/>
      </w:rPr>
    </w:lvl>
    <w:lvl w:ilvl="4" w:tentative="0">
      <w:start w:val="1"/>
      <w:numFmt w:val="decimal"/>
      <w:pStyle w:val="25"/>
      <w:suff w:val="nothing"/>
      <w:lvlText w:val="%1.%2.%3.%4.%5　"/>
      <w:lvlJc w:val="left"/>
      <w:pPr>
        <w:ind w:left="0" w:firstLine="0"/>
      </w:pPr>
      <w:rPr>
        <w:rFonts w:hint="eastAsia" w:ascii="黑体" w:hAnsi="Times New Roman" w:eastAsia="黑体"/>
        <w:b w:val="0"/>
        <w:i w:val="0"/>
        <w:sz w:val="21"/>
      </w:rPr>
    </w:lvl>
    <w:lvl w:ilvl="5" w:tentative="0">
      <w:start w:val="1"/>
      <w:numFmt w:val="decimal"/>
      <w:pStyle w:val="26"/>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8"/>
      <w:suff w:val="space"/>
      <w:lvlText w:val="%1"/>
      <w:lvlJc w:val="left"/>
      <w:pPr>
        <w:ind w:left="623" w:hanging="425"/>
      </w:pPr>
      <w:rPr>
        <w:rFonts w:hint="eastAsia"/>
      </w:rPr>
    </w:lvl>
    <w:lvl w:ilvl="1" w:tentative="0">
      <w:start w:val="1"/>
      <w:numFmt w:val="decimal"/>
      <w:pStyle w:val="29"/>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2C5917C3"/>
    <w:multiLevelType w:val="multilevel"/>
    <w:tmpl w:val="2C5917C3"/>
    <w:lvl w:ilvl="0" w:tentative="0">
      <w:start w:val="1"/>
      <w:numFmt w:val="none"/>
      <w:pStyle w:val="50"/>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6">
    <w:nsid w:val="557C2AF5"/>
    <w:multiLevelType w:val="multilevel"/>
    <w:tmpl w:val="557C2AF5"/>
    <w:lvl w:ilvl="0" w:tentative="0">
      <w:start w:val="1"/>
      <w:numFmt w:val="decimal"/>
      <w:pStyle w:val="43"/>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5"/>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44"/>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56"/>
      <w:suff w:val="nothing"/>
      <w:lvlText w:val="%1%2　"/>
      <w:lvlJc w:val="left"/>
      <w:pPr>
        <w:ind w:left="0" w:firstLine="0"/>
      </w:pPr>
      <w:rPr>
        <w:rFonts w:hint="eastAsia" w:ascii="黑体" w:eastAsia="黑体"/>
        <w:b w:val="0"/>
        <w:i w:val="0"/>
        <w:sz w:val="21"/>
      </w:rPr>
    </w:lvl>
    <w:lvl w:ilvl="2" w:tentative="0">
      <w:start w:val="1"/>
      <w:numFmt w:val="decimal"/>
      <w:pStyle w:val="5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53"/>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0">
    <w:nsid w:val="72696647"/>
    <w:multiLevelType w:val="multilevel"/>
    <w:tmpl w:val="72696647"/>
    <w:lvl w:ilvl="0" w:tentative="0">
      <w:start w:val="1"/>
      <w:numFmt w:val="decimal"/>
      <w:pStyle w:val="57"/>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num w:numId="1">
    <w:abstractNumId w:val="8"/>
  </w:num>
  <w:num w:numId="2">
    <w:abstractNumId w:val="6"/>
  </w:num>
  <w:num w:numId="3">
    <w:abstractNumId w:val="3"/>
  </w:num>
  <w:num w:numId="4">
    <w:abstractNumId w:val="0"/>
  </w:num>
  <w:num w:numId="5">
    <w:abstractNumId w:val="4"/>
  </w:num>
  <w:num w:numId="6">
    <w:abstractNumId w:val="2"/>
  </w:num>
  <w:num w:numId="7">
    <w:abstractNumId w:val="1"/>
  </w:num>
  <w:num w:numId="8">
    <w:abstractNumId w:val="7"/>
  </w:num>
  <w:num w:numId="9">
    <w:abstractNumId w:val="5"/>
  </w:num>
  <w:num w:numId="10">
    <w:abstractNumId w:val="9"/>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5036AF"/>
    <w:rsid w:val="007A6DA5"/>
    <w:rsid w:val="008953F8"/>
    <w:rsid w:val="00D126DF"/>
    <w:rsid w:val="010B4357"/>
    <w:rsid w:val="010C72D2"/>
    <w:rsid w:val="01522213"/>
    <w:rsid w:val="0169215F"/>
    <w:rsid w:val="01754665"/>
    <w:rsid w:val="01D152A8"/>
    <w:rsid w:val="021E0508"/>
    <w:rsid w:val="0234263B"/>
    <w:rsid w:val="0236335D"/>
    <w:rsid w:val="02C50BD2"/>
    <w:rsid w:val="032D26DE"/>
    <w:rsid w:val="037C1244"/>
    <w:rsid w:val="04501325"/>
    <w:rsid w:val="045521C0"/>
    <w:rsid w:val="0528675E"/>
    <w:rsid w:val="052878D5"/>
    <w:rsid w:val="053242B0"/>
    <w:rsid w:val="05882122"/>
    <w:rsid w:val="05C23886"/>
    <w:rsid w:val="05F82FDF"/>
    <w:rsid w:val="06340970"/>
    <w:rsid w:val="06510766"/>
    <w:rsid w:val="065B6605"/>
    <w:rsid w:val="066875E9"/>
    <w:rsid w:val="06A905A2"/>
    <w:rsid w:val="0730481F"/>
    <w:rsid w:val="073C0370"/>
    <w:rsid w:val="07BE007D"/>
    <w:rsid w:val="08163A15"/>
    <w:rsid w:val="086329D2"/>
    <w:rsid w:val="086700D5"/>
    <w:rsid w:val="088C0960"/>
    <w:rsid w:val="088D5F62"/>
    <w:rsid w:val="08915791"/>
    <w:rsid w:val="08A640D8"/>
    <w:rsid w:val="08BB636A"/>
    <w:rsid w:val="099077F7"/>
    <w:rsid w:val="09A6701A"/>
    <w:rsid w:val="09B96D22"/>
    <w:rsid w:val="0AD41965"/>
    <w:rsid w:val="0B0C6E20"/>
    <w:rsid w:val="0B1A7CC0"/>
    <w:rsid w:val="0B4B7E79"/>
    <w:rsid w:val="0B5B1AAE"/>
    <w:rsid w:val="0B903ADE"/>
    <w:rsid w:val="0BBC48D3"/>
    <w:rsid w:val="0BE74194"/>
    <w:rsid w:val="0DB00467"/>
    <w:rsid w:val="0EA004DC"/>
    <w:rsid w:val="0EDB1AAC"/>
    <w:rsid w:val="0F024CF3"/>
    <w:rsid w:val="0F0C3DC3"/>
    <w:rsid w:val="0F256112"/>
    <w:rsid w:val="0F672C50"/>
    <w:rsid w:val="0FAC2EB1"/>
    <w:rsid w:val="0FC226D4"/>
    <w:rsid w:val="0FC621C4"/>
    <w:rsid w:val="10421708"/>
    <w:rsid w:val="108A2DF9"/>
    <w:rsid w:val="10C13C9D"/>
    <w:rsid w:val="10C36704"/>
    <w:rsid w:val="10ED1D02"/>
    <w:rsid w:val="111E587A"/>
    <w:rsid w:val="12326DC2"/>
    <w:rsid w:val="12655CC4"/>
    <w:rsid w:val="12A14823"/>
    <w:rsid w:val="1307385E"/>
    <w:rsid w:val="13482EF0"/>
    <w:rsid w:val="136C7742"/>
    <w:rsid w:val="13947FF0"/>
    <w:rsid w:val="13D604FC"/>
    <w:rsid w:val="14060DE1"/>
    <w:rsid w:val="14237BE5"/>
    <w:rsid w:val="143771ED"/>
    <w:rsid w:val="14C64A14"/>
    <w:rsid w:val="151E03AD"/>
    <w:rsid w:val="15233C15"/>
    <w:rsid w:val="15497373"/>
    <w:rsid w:val="156E3DAB"/>
    <w:rsid w:val="1602135B"/>
    <w:rsid w:val="16B93837"/>
    <w:rsid w:val="171C6B6E"/>
    <w:rsid w:val="17397720"/>
    <w:rsid w:val="1770359D"/>
    <w:rsid w:val="17A252C5"/>
    <w:rsid w:val="182061EA"/>
    <w:rsid w:val="18286F8C"/>
    <w:rsid w:val="185C1667"/>
    <w:rsid w:val="18786026"/>
    <w:rsid w:val="187F3EE9"/>
    <w:rsid w:val="19C82F3E"/>
    <w:rsid w:val="19CA465F"/>
    <w:rsid w:val="1B796674"/>
    <w:rsid w:val="1B862808"/>
    <w:rsid w:val="1C093B64"/>
    <w:rsid w:val="1C1B73F4"/>
    <w:rsid w:val="1CA27B15"/>
    <w:rsid w:val="1CB02401"/>
    <w:rsid w:val="1CB52F74"/>
    <w:rsid w:val="1D105C87"/>
    <w:rsid w:val="1D476932"/>
    <w:rsid w:val="1D631052"/>
    <w:rsid w:val="1D8134A2"/>
    <w:rsid w:val="1E1B7B7F"/>
    <w:rsid w:val="1E20147D"/>
    <w:rsid w:val="1E334EC9"/>
    <w:rsid w:val="1ED920B2"/>
    <w:rsid w:val="1EF13407"/>
    <w:rsid w:val="1EF5217E"/>
    <w:rsid w:val="1F705077"/>
    <w:rsid w:val="1F933745"/>
    <w:rsid w:val="1FC70E64"/>
    <w:rsid w:val="1FDC50EC"/>
    <w:rsid w:val="208C731F"/>
    <w:rsid w:val="20ED4FDA"/>
    <w:rsid w:val="213A039E"/>
    <w:rsid w:val="21DD0233"/>
    <w:rsid w:val="222A213F"/>
    <w:rsid w:val="22753315"/>
    <w:rsid w:val="22CA0BF9"/>
    <w:rsid w:val="230B6414"/>
    <w:rsid w:val="230E5838"/>
    <w:rsid w:val="233C6969"/>
    <w:rsid w:val="23B02B18"/>
    <w:rsid w:val="24561911"/>
    <w:rsid w:val="24BE1264"/>
    <w:rsid w:val="24BE4E0B"/>
    <w:rsid w:val="24E2526B"/>
    <w:rsid w:val="24EC295E"/>
    <w:rsid w:val="251B0C48"/>
    <w:rsid w:val="252437BD"/>
    <w:rsid w:val="25495B11"/>
    <w:rsid w:val="255F2A47"/>
    <w:rsid w:val="25AD37B3"/>
    <w:rsid w:val="25B25D17"/>
    <w:rsid w:val="260B3AE0"/>
    <w:rsid w:val="260D178D"/>
    <w:rsid w:val="26373CD8"/>
    <w:rsid w:val="26CC5F78"/>
    <w:rsid w:val="26D134D1"/>
    <w:rsid w:val="26D42FC1"/>
    <w:rsid w:val="27111B1F"/>
    <w:rsid w:val="271433BD"/>
    <w:rsid w:val="273477D8"/>
    <w:rsid w:val="27457B31"/>
    <w:rsid w:val="279664C8"/>
    <w:rsid w:val="28423818"/>
    <w:rsid w:val="284F637D"/>
    <w:rsid w:val="285945DE"/>
    <w:rsid w:val="287C121A"/>
    <w:rsid w:val="28B430AA"/>
    <w:rsid w:val="290A1FB6"/>
    <w:rsid w:val="298C1931"/>
    <w:rsid w:val="29EE7838"/>
    <w:rsid w:val="29FA0F90"/>
    <w:rsid w:val="2A000DB1"/>
    <w:rsid w:val="2A273408"/>
    <w:rsid w:val="2A2B6011"/>
    <w:rsid w:val="2A337FFE"/>
    <w:rsid w:val="2A8244FE"/>
    <w:rsid w:val="2A924D25"/>
    <w:rsid w:val="2AA17FE8"/>
    <w:rsid w:val="2ABB00A5"/>
    <w:rsid w:val="2AE15CAC"/>
    <w:rsid w:val="2B1851DD"/>
    <w:rsid w:val="2BCE4483"/>
    <w:rsid w:val="2BFC3EB7"/>
    <w:rsid w:val="2C3147DC"/>
    <w:rsid w:val="2C44083F"/>
    <w:rsid w:val="2C4B4C1E"/>
    <w:rsid w:val="2C52228F"/>
    <w:rsid w:val="2C697D08"/>
    <w:rsid w:val="2C710C40"/>
    <w:rsid w:val="2C7D37B3"/>
    <w:rsid w:val="2CFA3055"/>
    <w:rsid w:val="2D2808C1"/>
    <w:rsid w:val="2D6B72D5"/>
    <w:rsid w:val="2DC0604D"/>
    <w:rsid w:val="2E28593E"/>
    <w:rsid w:val="2E2C6BA8"/>
    <w:rsid w:val="2E426DE3"/>
    <w:rsid w:val="2E583E9B"/>
    <w:rsid w:val="2FC260AC"/>
    <w:rsid w:val="2FD569F2"/>
    <w:rsid w:val="2FFB63E8"/>
    <w:rsid w:val="306C431F"/>
    <w:rsid w:val="3079528D"/>
    <w:rsid w:val="3106646D"/>
    <w:rsid w:val="3135465C"/>
    <w:rsid w:val="318D0EED"/>
    <w:rsid w:val="319A4D84"/>
    <w:rsid w:val="329D3770"/>
    <w:rsid w:val="32A171EA"/>
    <w:rsid w:val="32DE2533"/>
    <w:rsid w:val="33113520"/>
    <w:rsid w:val="331D35FA"/>
    <w:rsid w:val="33437504"/>
    <w:rsid w:val="33541711"/>
    <w:rsid w:val="33941B0E"/>
    <w:rsid w:val="33D57876"/>
    <w:rsid w:val="33E660E2"/>
    <w:rsid w:val="34046622"/>
    <w:rsid w:val="3409636E"/>
    <w:rsid w:val="34272982"/>
    <w:rsid w:val="348222AE"/>
    <w:rsid w:val="34ED6EBA"/>
    <w:rsid w:val="3598340C"/>
    <w:rsid w:val="368220F2"/>
    <w:rsid w:val="36DB72F1"/>
    <w:rsid w:val="36EA5EE9"/>
    <w:rsid w:val="375872F6"/>
    <w:rsid w:val="378516B1"/>
    <w:rsid w:val="37985DF5"/>
    <w:rsid w:val="37B54749"/>
    <w:rsid w:val="37C05AD8"/>
    <w:rsid w:val="37D3697D"/>
    <w:rsid w:val="37E666B0"/>
    <w:rsid w:val="3812304E"/>
    <w:rsid w:val="384E4AEF"/>
    <w:rsid w:val="39447B32"/>
    <w:rsid w:val="39D07EE8"/>
    <w:rsid w:val="39D74761"/>
    <w:rsid w:val="3A61177C"/>
    <w:rsid w:val="3A887EF3"/>
    <w:rsid w:val="3AAB1F5E"/>
    <w:rsid w:val="3B007A89"/>
    <w:rsid w:val="3B4A33FA"/>
    <w:rsid w:val="3B537386"/>
    <w:rsid w:val="3BB85D78"/>
    <w:rsid w:val="3BDE9909"/>
    <w:rsid w:val="3BE636E1"/>
    <w:rsid w:val="3C460065"/>
    <w:rsid w:val="3C4936B2"/>
    <w:rsid w:val="3CB47266"/>
    <w:rsid w:val="3CC80618"/>
    <w:rsid w:val="3D402D06"/>
    <w:rsid w:val="3DD516A1"/>
    <w:rsid w:val="3E0930F8"/>
    <w:rsid w:val="3E3E7246"/>
    <w:rsid w:val="3E474004"/>
    <w:rsid w:val="3F576D80"/>
    <w:rsid w:val="3FEA0343"/>
    <w:rsid w:val="40537DE8"/>
    <w:rsid w:val="41356370"/>
    <w:rsid w:val="415B7967"/>
    <w:rsid w:val="418026BB"/>
    <w:rsid w:val="42091919"/>
    <w:rsid w:val="42237A68"/>
    <w:rsid w:val="42EB101F"/>
    <w:rsid w:val="432B1D63"/>
    <w:rsid w:val="434768FE"/>
    <w:rsid w:val="44A26055"/>
    <w:rsid w:val="45FB77CB"/>
    <w:rsid w:val="4645549A"/>
    <w:rsid w:val="466B2BA2"/>
    <w:rsid w:val="46F273E0"/>
    <w:rsid w:val="47431429"/>
    <w:rsid w:val="474D04FA"/>
    <w:rsid w:val="478D571E"/>
    <w:rsid w:val="47C928F3"/>
    <w:rsid w:val="47EC3EC5"/>
    <w:rsid w:val="482F5E51"/>
    <w:rsid w:val="484418FD"/>
    <w:rsid w:val="48561630"/>
    <w:rsid w:val="48E96000"/>
    <w:rsid w:val="49C65BC4"/>
    <w:rsid w:val="4A840963"/>
    <w:rsid w:val="4ABB39CC"/>
    <w:rsid w:val="4B5455E8"/>
    <w:rsid w:val="4B5C132C"/>
    <w:rsid w:val="4B9425A7"/>
    <w:rsid w:val="4B9A1834"/>
    <w:rsid w:val="4BFB6776"/>
    <w:rsid w:val="4C7A260A"/>
    <w:rsid w:val="4CA77A95"/>
    <w:rsid w:val="4CFB0F9A"/>
    <w:rsid w:val="4D30352B"/>
    <w:rsid w:val="4D994499"/>
    <w:rsid w:val="4DEA4CF4"/>
    <w:rsid w:val="4DF64DC5"/>
    <w:rsid w:val="4E024B22"/>
    <w:rsid w:val="4E0337FE"/>
    <w:rsid w:val="4E1C0C26"/>
    <w:rsid w:val="4E291FE4"/>
    <w:rsid w:val="4E9E5ADF"/>
    <w:rsid w:val="4F815C1D"/>
    <w:rsid w:val="4F94051C"/>
    <w:rsid w:val="4F9F14AB"/>
    <w:rsid w:val="4FAF75AB"/>
    <w:rsid w:val="4FD926D5"/>
    <w:rsid w:val="50446212"/>
    <w:rsid w:val="505B3C87"/>
    <w:rsid w:val="506E380A"/>
    <w:rsid w:val="50BB64D4"/>
    <w:rsid w:val="510161A8"/>
    <w:rsid w:val="517D03BF"/>
    <w:rsid w:val="519805C3"/>
    <w:rsid w:val="51DA0248"/>
    <w:rsid w:val="52584785"/>
    <w:rsid w:val="527126AD"/>
    <w:rsid w:val="52A15B9E"/>
    <w:rsid w:val="52AD009F"/>
    <w:rsid w:val="53BF6CA9"/>
    <w:rsid w:val="53EC2E48"/>
    <w:rsid w:val="540A5371"/>
    <w:rsid w:val="54B43966"/>
    <w:rsid w:val="554910BB"/>
    <w:rsid w:val="5579695E"/>
    <w:rsid w:val="55945546"/>
    <w:rsid w:val="5595029C"/>
    <w:rsid w:val="56582A17"/>
    <w:rsid w:val="567D6779"/>
    <w:rsid w:val="5705251A"/>
    <w:rsid w:val="57144B90"/>
    <w:rsid w:val="57212E09"/>
    <w:rsid w:val="5726041F"/>
    <w:rsid w:val="57985019"/>
    <w:rsid w:val="58A91308"/>
    <w:rsid w:val="58B303D9"/>
    <w:rsid w:val="5AC17227"/>
    <w:rsid w:val="5AD84127"/>
    <w:rsid w:val="5AE623A0"/>
    <w:rsid w:val="5BE2022E"/>
    <w:rsid w:val="5C220AFE"/>
    <w:rsid w:val="5C2807E4"/>
    <w:rsid w:val="5C4F02F9"/>
    <w:rsid w:val="5CE1477E"/>
    <w:rsid w:val="5D610403"/>
    <w:rsid w:val="5E591A42"/>
    <w:rsid w:val="5E5A53D0"/>
    <w:rsid w:val="5F3062DF"/>
    <w:rsid w:val="5F335AED"/>
    <w:rsid w:val="5F8403D9"/>
    <w:rsid w:val="5FB30ED5"/>
    <w:rsid w:val="5FB3315D"/>
    <w:rsid w:val="60850EA0"/>
    <w:rsid w:val="61CE5D71"/>
    <w:rsid w:val="61F53810"/>
    <w:rsid w:val="621A4315"/>
    <w:rsid w:val="622043D5"/>
    <w:rsid w:val="624C7790"/>
    <w:rsid w:val="626253CB"/>
    <w:rsid w:val="62A25746"/>
    <w:rsid w:val="62C236F2"/>
    <w:rsid w:val="639A466F"/>
    <w:rsid w:val="644E33C8"/>
    <w:rsid w:val="64FD6C64"/>
    <w:rsid w:val="65766F68"/>
    <w:rsid w:val="657B402C"/>
    <w:rsid w:val="65815AE7"/>
    <w:rsid w:val="65876E75"/>
    <w:rsid w:val="666219E2"/>
    <w:rsid w:val="66636F9A"/>
    <w:rsid w:val="66AF3F8D"/>
    <w:rsid w:val="66D02156"/>
    <w:rsid w:val="673278E7"/>
    <w:rsid w:val="69085BD7"/>
    <w:rsid w:val="698D100B"/>
    <w:rsid w:val="699F58C1"/>
    <w:rsid w:val="69EC2A0A"/>
    <w:rsid w:val="69FA40CD"/>
    <w:rsid w:val="6B274F09"/>
    <w:rsid w:val="6B3978E5"/>
    <w:rsid w:val="6B3B2294"/>
    <w:rsid w:val="6B7D28AC"/>
    <w:rsid w:val="6BA47991"/>
    <w:rsid w:val="6BA75B7B"/>
    <w:rsid w:val="6BE50451"/>
    <w:rsid w:val="6C6E48EB"/>
    <w:rsid w:val="6CA30902"/>
    <w:rsid w:val="6CD72490"/>
    <w:rsid w:val="6E3A6CA9"/>
    <w:rsid w:val="6E8D188A"/>
    <w:rsid w:val="6F173018"/>
    <w:rsid w:val="6F176B74"/>
    <w:rsid w:val="6F1C23DC"/>
    <w:rsid w:val="6F6F34A1"/>
    <w:rsid w:val="6F92269E"/>
    <w:rsid w:val="6FB6638D"/>
    <w:rsid w:val="6FC77977"/>
    <w:rsid w:val="70D12C45"/>
    <w:rsid w:val="71C72AD3"/>
    <w:rsid w:val="72514A93"/>
    <w:rsid w:val="725E4E77"/>
    <w:rsid w:val="72C34BED"/>
    <w:rsid w:val="73571C35"/>
    <w:rsid w:val="73907A80"/>
    <w:rsid w:val="73D47729"/>
    <w:rsid w:val="73FC458A"/>
    <w:rsid w:val="74027D53"/>
    <w:rsid w:val="74E76FE8"/>
    <w:rsid w:val="751122B7"/>
    <w:rsid w:val="752B5392"/>
    <w:rsid w:val="75793C38"/>
    <w:rsid w:val="75D752AF"/>
    <w:rsid w:val="75EFC4F2"/>
    <w:rsid w:val="761C7166"/>
    <w:rsid w:val="76433C09"/>
    <w:rsid w:val="76464DAE"/>
    <w:rsid w:val="765E777E"/>
    <w:rsid w:val="768C425C"/>
    <w:rsid w:val="76984A3E"/>
    <w:rsid w:val="77040325"/>
    <w:rsid w:val="77354636"/>
    <w:rsid w:val="774643A5"/>
    <w:rsid w:val="77C41863"/>
    <w:rsid w:val="780F50C8"/>
    <w:rsid w:val="781B2746"/>
    <w:rsid w:val="78663A6E"/>
    <w:rsid w:val="78D71DB0"/>
    <w:rsid w:val="78E4686E"/>
    <w:rsid w:val="78E73A5B"/>
    <w:rsid w:val="796055BB"/>
    <w:rsid w:val="79E41D48"/>
    <w:rsid w:val="79EB767A"/>
    <w:rsid w:val="7A0D4155"/>
    <w:rsid w:val="7B6A54D9"/>
    <w:rsid w:val="7BEC083F"/>
    <w:rsid w:val="7C783CF7"/>
    <w:rsid w:val="7C7C6485"/>
    <w:rsid w:val="7D0A5C7C"/>
    <w:rsid w:val="7D3B79D2"/>
    <w:rsid w:val="7D9C536E"/>
    <w:rsid w:val="7DC51E91"/>
    <w:rsid w:val="7E413C0D"/>
    <w:rsid w:val="7EBE0DBA"/>
    <w:rsid w:val="7EC02D84"/>
    <w:rsid w:val="7ED6458B"/>
    <w:rsid w:val="7FF013FF"/>
    <w:rsid w:val="7FFF0336"/>
    <w:rsid w:val="BAAFB472"/>
    <w:rsid w:val="BFD729BB"/>
    <w:rsid w:val="D3DE5A37"/>
    <w:rsid w:val="E763C44A"/>
    <w:rsid w:val="F197A0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99"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2">
    <w:name w:val="Default Paragraph Font"/>
    <w:unhideWhenUsed/>
    <w:qFormat/>
    <w:uiPriority w:val="1"/>
  </w:style>
  <w:style w:type="table" w:default="1" w:styleId="10">
    <w:name w:val="Normal Table"/>
    <w:unhideWhenUsed/>
    <w:qFormat/>
    <w:uiPriority w:val="99"/>
    <w:tblPr>
      <w:tblCellMar>
        <w:top w:w="0" w:type="dxa"/>
        <w:left w:w="108" w:type="dxa"/>
        <w:bottom w:w="0" w:type="dxa"/>
        <w:right w:w="108" w:type="dxa"/>
      </w:tblCellMar>
    </w:tblPr>
  </w:style>
  <w:style w:type="paragraph" w:styleId="5">
    <w:name w:val="annotation text"/>
    <w:basedOn w:val="1"/>
    <w:unhideWhenUsed/>
    <w:qFormat/>
    <w:uiPriority w:val="99"/>
    <w:pPr>
      <w:jc w:val="left"/>
    </w:pPr>
  </w:style>
  <w:style w:type="paragraph" w:styleId="6">
    <w:name w:val="Balloon Text"/>
    <w:basedOn w:val="1"/>
    <w:link w:val="42"/>
    <w:unhideWhenUsed/>
    <w:qFormat/>
    <w:uiPriority w:val="0"/>
    <w:rPr>
      <w:sz w:val="18"/>
      <w:szCs w:val="18"/>
    </w:rPr>
  </w:style>
  <w:style w:type="paragraph" w:styleId="7">
    <w:name w:val="footer"/>
    <w:basedOn w:val="1"/>
    <w:link w:val="34"/>
    <w:qFormat/>
    <w:uiPriority w:val="99"/>
    <w:pPr>
      <w:tabs>
        <w:tab w:val="center" w:pos="4153"/>
        <w:tab w:val="right" w:pos="8306"/>
      </w:tabs>
      <w:snapToGrid w:val="0"/>
      <w:jc w:val="left"/>
    </w:pPr>
    <w:rPr>
      <w:sz w:val="18"/>
      <w:szCs w:val="18"/>
    </w:rPr>
  </w:style>
  <w:style w:type="paragraph" w:styleId="8">
    <w:name w:val="header"/>
    <w:basedOn w:val="1"/>
    <w:link w:val="33"/>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qFormat/>
    <w:uiPriority w:val="99"/>
    <w:pPr>
      <w:spacing w:before="100" w:beforeAutospacing="1" w:after="100" w:afterAutospacing="1"/>
      <w:jc w:val="left"/>
    </w:pPr>
    <w:rPr>
      <w:kern w:val="0"/>
      <w:sz w:val="24"/>
    </w:rPr>
  </w:style>
  <w:style w:type="table" w:styleId="11">
    <w:name w:val="Table Grid"/>
    <w:basedOn w:val="10"/>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3">
    <w:name w:val="Strong"/>
    <w:basedOn w:val="12"/>
    <w:qFormat/>
    <w:uiPriority w:val="0"/>
    <w:rPr>
      <w:b/>
    </w:rPr>
  </w:style>
  <w:style w:type="character" w:styleId="14">
    <w:name w:val="Hyperlink"/>
    <w:basedOn w:val="12"/>
    <w:unhideWhenUsed/>
    <w:qFormat/>
    <w:uiPriority w:val="99"/>
    <w:rPr>
      <w:color w:val="0000FF"/>
      <w:u w:val="single"/>
    </w:rPr>
  </w:style>
  <w:style w:type="paragraph" w:customStyle="1" w:styleId="15">
    <w:name w:val="公文-正文"/>
    <w:basedOn w:val="1"/>
    <w:link w:val="51"/>
    <w:qFormat/>
    <w:uiPriority w:val="0"/>
    <w:pPr>
      <w:ind w:firstLine="640" w:firstLineChars="200"/>
    </w:pPr>
    <w:rPr>
      <w:rFonts w:hint="eastAsia" w:ascii="Times New Roman" w:hAnsi="Times New Roman" w:eastAsia="仿宋" w:cs="仿宋"/>
      <w:sz w:val="32"/>
      <w:szCs w:val="32"/>
    </w:rPr>
  </w:style>
  <w:style w:type="paragraph" w:customStyle="1" w:styleId="16">
    <w:name w:val="BodyText2"/>
    <w:basedOn w:val="1"/>
    <w:qFormat/>
    <w:uiPriority w:val="0"/>
    <w:pPr>
      <w:spacing w:after="120" w:line="480" w:lineRule="auto"/>
      <w:textAlignment w:val="baseline"/>
    </w:pPr>
    <w:rPr>
      <w:rFonts w:ascii="Times New Roman" w:hAnsi="Times New Roman" w:eastAsia="宋体"/>
      <w:sz w:val="32"/>
      <w:szCs w:val="32"/>
    </w:rPr>
  </w:style>
  <w:style w:type="paragraph" w:customStyle="1" w:styleId="17">
    <w:name w:val="段"/>
    <w:link w:val="32"/>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8">
    <w:name w:val="正文表标题"/>
    <w:next w:val="17"/>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9">
    <w:name w:val="正文图标题"/>
    <w:next w:val="17"/>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20">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21">
    <w:name w:val="一级条标题"/>
    <w:next w:val="17"/>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22">
    <w:name w:val="章标题"/>
    <w:next w:val="17"/>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23">
    <w:name w:val="二级条标题"/>
    <w:basedOn w:val="21"/>
    <w:next w:val="17"/>
    <w:qFormat/>
    <w:uiPriority w:val="0"/>
    <w:pPr>
      <w:numPr>
        <w:ilvl w:val="2"/>
      </w:numPr>
      <w:spacing w:before="50" w:after="50"/>
      <w:outlineLvl w:val="3"/>
    </w:pPr>
  </w:style>
  <w:style w:type="paragraph" w:customStyle="1" w:styleId="24">
    <w:name w:val="三级条标题"/>
    <w:basedOn w:val="23"/>
    <w:next w:val="17"/>
    <w:qFormat/>
    <w:uiPriority w:val="0"/>
    <w:pPr>
      <w:numPr>
        <w:ilvl w:val="3"/>
      </w:numPr>
      <w:outlineLvl w:val="4"/>
    </w:pPr>
  </w:style>
  <w:style w:type="paragraph" w:customStyle="1" w:styleId="25">
    <w:name w:val="四级条标题"/>
    <w:basedOn w:val="24"/>
    <w:next w:val="17"/>
    <w:qFormat/>
    <w:uiPriority w:val="0"/>
    <w:pPr>
      <w:numPr>
        <w:ilvl w:val="4"/>
      </w:numPr>
      <w:outlineLvl w:val="5"/>
    </w:pPr>
  </w:style>
  <w:style w:type="paragraph" w:customStyle="1" w:styleId="26">
    <w:name w:val="五级条标题"/>
    <w:basedOn w:val="25"/>
    <w:next w:val="17"/>
    <w:qFormat/>
    <w:uiPriority w:val="0"/>
    <w:pPr>
      <w:numPr>
        <w:ilvl w:val="5"/>
      </w:numPr>
      <w:outlineLvl w:val="6"/>
    </w:pPr>
  </w:style>
  <w:style w:type="paragraph" w:customStyle="1" w:styleId="27">
    <w:name w:val="注："/>
    <w:next w:val="17"/>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8">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9">
    <w:name w:val="附录图标题"/>
    <w:basedOn w:val="1"/>
    <w:next w:val="17"/>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30">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31">
    <w:name w:val="图表脚注说明"/>
    <w:basedOn w:val="1"/>
    <w:qFormat/>
    <w:uiPriority w:val="0"/>
    <w:pPr>
      <w:numPr>
        <w:ilvl w:val="0"/>
        <w:numId w:val="7"/>
      </w:numPr>
    </w:pPr>
    <w:rPr>
      <w:rFonts w:ascii="宋体"/>
      <w:sz w:val="18"/>
      <w:szCs w:val="18"/>
    </w:rPr>
  </w:style>
  <w:style w:type="character" w:customStyle="1" w:styleId="32">
    <w:name w:val="段 Char"/>
    <w:basedOn w:val="12"/>
    <w:link w:val="17"/>
    <w:qFormat/>
    <w:uiPriority w:val="0"/>
    <w:rPr>
      <w:rFonts w:ascii="宋体"/>
      <w:sz w:val="21"/>
      <w:lang w:val="en-US" w:eastAsia="zh-CN" w:bidi="ar-SA"/>
    </w:rPr>
  </w:style>
  <w:style w:type="character" w:customStyle="1" w:styleId="33">
    <w:name w:val="页眉 字符"/>
    <w:basedOn w:val="12"/>
    <w:link w:val="8"/>
    <w:qFormat/>
    <w:uiPriority w:val="0"/>
    <w:rPr>
      <w:kern w:val="2"/>
      <w:sz w:val="18"/>
      <w:szCs w:val="18"/>
    </w:rPr>
  </w:style>
  <w:style w:type="character" w:customStyle="1" w:styleId="34">
    <w:name w:val="页脚 字符"/>
    <w:basedOn w:val="12"/>
    <w:link w:val="7"/>
    <w:qFormat/>
    <w:uiPriority w:val="99"/>
    <w:rPr>
      <w:kern w:val="2"/>
      <w:sz w:val="18"/>
      <w:szCs w:val="18"/>
    </w:rPr>
  </w:style>
  <w:style w:type="paragraph" w:customStyle="1" w:styleId="35">
    <w:name w:val="附录表标题"/>
    <w:basedOn w:val="1"/>
    <w:next w:val="17"/>
    <w:qFormat/>
    <w:uiPriority w:val="0"/>
    <w:pPr>
      <w:numPr>
        <w:ilvl w:val="1"/>
        <w:numId w:val="8"/>
      </w:numPr>
      <w:tabs>
        <w:tab w:val="left" w:pos="180"/>
      </w:tabs>
      <w:spacing w:beforeLines="50" w:afterLines="50"/>
      <w:ind w:left="0" w:firstLine="0"/>
      <w:jc w:val="center"/>
    </w:pPr>
    <w:rPr>
      <w:rFonts w:ascii="黑体" w:eastAsia="黑体"/>
      <w:szCs w:val="21"/>
    </w:rPr>
  </w:style>
  <w:style w:type="paragraph" w:customStyle="1" w:styleId="36">
    <w:name w:val="List Paragraph"/>
    <w:basedOn w:val="1"/>
    <w:unhideWhenUsed/>
    <w:qFormat/>
    <w:uiPriority w:val="34"/>
    <w:pPr>
      <w:ind w:firstLine="420" w:firstLineChars="200"/>
    </w:pPr>
  </w:style>
  <w:style w:type="paragraph" w:customStyle="1" w:styleId="37">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8">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9">
    <w:name w:val="发布"/>
    <w:qFormat/>
    <w:uiPriority w:val="0"/>
    <w:rPr>
      <w:rFonts w:ascii="黑体" w:eastAsia="黑体"/>
      <w:spacing w:val="22"/>
      <w:w w:val="100"/>
      <w:position w:val="3"/>
      <w:sz w:val="28"/>
    </w:rPr>
  </w:style>
  <w:style w:type="paragraph" w:customStyle="1" w:styleId="40">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41">
    <w:name w:val="标准文件_段"/>
    <w:qFormat/>
    <w:uiPriority w:val="0"/>
    <w:pPr>
      <w:autoSpaceDE w:val="0"/>
      <w:autoSpaceDN w:val="0"/>
      <w:ind w:firstLine="0" w:firstLineChars="0"/>
      <w:jc w:val="center"/>
    </w:pPr>
    <w:rPr>
      <w:rFonts w:ascii="宋体" w:hAnsi="宋体" w:eastAsia="宋体" w:cs="Times New Roman"/>
      <w:sz w:val="21"/>
      <w:lang w:val="en-US" w:eastAsia="zh-CN" w:bidi="ar-SA"/>
    </w:rPr>
  </w:style>
  <w:style w:type="character" w:customStyle="1" w:styleId="42">
    <w:name w:val="批注框文本 字符"/>
    <w:basedOn w:val="12"/>
    <w:link w:val="6"/>
    <w:semiHidden/>
    <w:qFormat/>
    <w:uiPriority w:val="0"/>
    <w:rPr>
      <w:rFonts w:ascii="Times New Roman" w:hAnsi="Times New Roman"/>
      <w:kern w:val="2"/>
      <w:sz w:val="18"/>
      <w:szCs w:val="18"/>
    </w:rPr>
  </w:style>
  <w:style w:type="paragraph" w:customStyle="1" w:styleId="43">
    <w:name w:val="标准文件_正文图标题"/>
    <w:next w:val="41"/>
    <w:qFormat/>
    <w:uiPriority w:val="0"/>
    <w:pPr>
      <w:numPr>
        <w:ilvl w:val="0"/>
        <w:numId w:val="2"/>
      </w:numPr>
      <w:spacing w:before="50" w:beforeLines="50" w:after="50" w:afterLines="50"/>
      <w:jc w:val="center"/>
    </w:pPr>
    <w:rPr>
      <w:rFonts w:ascii="黑体" w:hAnsi="Times New Roman" w:eastAsia="黑体" w:cs="Times New Roman"/>
      <w:sz w:val="21"/>
      <w:lang w:val="en-US" w:eastAsia="zh-CN" w:bidi="ar-SA"/>
    </w:rPr>
  </w:style>
  <w:style w:type="paragraph" w:customStyle="1" w:styleId="44">
    <w:name w:val="标准文件_正文表标题"/>
    <w:next w:val="41"/>
    <w:qFormat/>
    <w:uiPriority w:val="0"/>
    <w:pPr>
      <w:numPr>
        <w:ilvl w:val="0"/>
        <w:numId w:val="1"/>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45">
    <w:name w:val="标准-一级标题"/>
    <w:basedOn w:val="1"/>
    <w:qFormat/>
    <w:uiPriority w:val="0"/>
    <w:pPr>
      <w:autoSpaceDE w:val="0"/>
      <w:autoSpaceDN w:val="0"/>
      <w:adjustRightInd w:val="0"/>
      <w:spacing w:before="50" w:beforeLines="50" w:after="50" w:afterLines="50" w:line="560" w:lineRule="exact"/>
      <w:ind w:firstLine="640"/>
      <w:jc w:val="left"/>
    </w:pPr>
    <w:rPr>
      <w:rFonts w:hint="eastAsia" w:ascii="黑体" w:hAnsi="黑体" w:eastAsia="黑体" w:cs="仿宋_GB2312"/>
      <w:szCs w:val="32"/>
    </w:rPr>
  </w:style>
  <w:style w:type="paragraph" w:customStyle="1" w:styleId="46">
    <w:name w:val="标准-正文"/>
    <w:basedOn w:val="1"/>
    <w:qFormat/>
    <w:uiPriority w:val="0"/>
    <w:pPr>
      <w:spacing w:line="560" w:lineRule="exact"/>
      <w:ind w:firstLine="640"/>
    </w:pPr>
    <w:rPr>
      <w:rFonts w:hint="eastAsia" w:ascii="Times New Roman" w:hAnsi="Times New Roman"/>
      <w:szCs w:val="28"/>
    </w:rPr>
  </w:style>
  <w:style w:type="paragraph" w:customStyle="1" w:styleId="47">
    <w:name w:val="标准-二级标题"/>
    <w:basedOn w:val="1"/>
    <w:qFormat/>
    <w:uiPriority w:val="0"/>
    <w:pPr>
      <w:spacing w:before="50" w:beforeLines="50" w:after="50" w:afterLines="50" w:line="560" w:lineRule="exact"/>
      <w:ind w:firstLine="643"/>
    </w:pPr>
    <w:rPr>
      <w:rFonts w:hint="eastAsia" w:ascii="楷体" w:hAnsi="楷体" w:eastAsia="楷体" w:cs="仿宋_GB2312"/>
      <w:b/>
      <w:szCs w:val="28"/>
    </w:rPr>
  </w:style>
  <w:style w:type="paragraph" w:customStyle="1" w:styleId="48">
    <w:name w:val="标准-三级标准"/>
    <w:basedOn w:val="1"/>
    <w:qFormat/>
    <w:uiPriority w:val="0"/>
    <w:pPr>
      <w:tabs>
        <w:tab w:val="center" w:pos="4201"/>
        <w:tab w:val="right" w:leader="dot" w:pos="9298"/>
      </w:tabs>
      <w:autoSpaceDE w:val="0"/>
      <w:autoSpaceDN w:val="0"/>
      <w:ind w:firstLine="643"/>
      <w:outlineLvl w:val="2"/>
    </w:pPr>
    <w:rPr>
      <w:rFonts w:ascii="Times New Roman" w:hAnsi="Times New Roman" w:eastAsia="仿宋"/>
      <w:b/>
      <w:bCs/>
      <w:kern w:val="0"/>
      <w:szCs w:val="32"/>
    </w:rPr>
  </w:style>
  <w:style w:type="paragraph" w:customStyle="1" w:styleId="49">
    <w:name w:val="标准-图片"/>
    <w:basedOn w:val="1"/>
    <w:qFormat/>
    <w:uiPriority w:val="0"/>
    <w:pPr>
      <w:ind w:firstLine="0" w:firstLineChars="0"/>
      <w:jc w:val="center"/>
    </w:pPr>
    <w:rPr>
      <w:rFonts w:hint="eastAsia" w:ascii="仿宋_GB2312" w:hAnsi="仿宋_GB2312"/>
      <w:szCs w:val="28"/>
    </w:rPr>
  </w:style>
  <w:style w:type="paragraph" w:customStyle="1" w:styleId="50">
    <w:name w:val="标准文件_一级项"/>
    <w:qFormat/>
    <w:uiPriority w:val="0"/>
    <w:pPr>
      <w:numPr>
        <w:ilvl w:val="0"/>
        <w:numId w:val="9"/>
      </w:numPr>
    </w:pPr>
    <w:rPr>
      <w:rFonts w:ascii="宋体" w:hAnsi="Times New Roman" w:eastAsia="宋体" w:cs="Times New Roman"/>
      <w:sz w:val="21"/>
      <w:lang w:val="en-US" w:eastAsia="zh-CN" w:bidi="ar-SA"/>
    </w:rPr>
  </w:style>
  <w:style w:type="character" w:customStyle="1" w:styleId="51">
    <w:name w:val="公文-正文 Char"/>
    <w:link w:val="15"/>
    <w:qFormat/>
    <w:uiPriority w:val="0"/>
    <w:rPr>
      <w:rFonts w:hint="eastAsia" w:ascii="Times New Roman" w:hAnsi="Times New Roman" w:eastAsia="仿宋" w:cs="仿宋"/>
      <w:sz w:val="32"/>
      <w:szCs w:val="32"/>
    </w:rPr>
  </w:style>
  <w:style w:type="paragraph" w:customStyle="1" w:styleId="52">
    <w:name w:val="标准文件_表格"/>
    <w:basedOn w:val="41"/>
    <w:qFormat/>
    <w:uiPriority w:val="0"/>
    <w:pPr>
      <w:ind w:firstLine="0" w:firstLineChars="0"/>
      <w:jc w:val="center"/>
    </w:pPr>
    <w:rPr>
      <w:sz w:val="18"/>
    </w:rPr>
  </w:style>
  <w:style w:type="paragraph" w:customStyle="1" w:styleId="53">
    <w:name w:val="标准文件_二级条标题"/>
    <w:next w:val="41"/>
    <w:qFormat/>
    <w:uiPriority w:val="0"/>
    <w:pPr>
      <w:widowControl w:val="0"/>
      <w:numPr>
        <w:ilvl w:val="3"/>
        <w:numId w:val="10"/>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54">
    <w:name w:val="标准文件_二级无标题"/>
    <w:basedOn w:val="53"/>
    <w:qFormat/>
    <w:uiPriority w:val="0"/>
    <w:pPr>
      <w:spacing w:before="0" w:beforeLines="0" w:after="0" w:afterLines="0"/>
      <w:outlineLvl w:val="9"/>
    </w:pPr>
    <w:rPr>
      <w:rFonts w:ascii="宋体" w:eastAsia="宋体"/>
    </w:rPr>
  </w:style>
  <w:style w:type="paragraph" w:customStyle="1" w:styleId="55">
    <w:name w:val="标准文件_一级条标题"/>
    <w:basedOn w:val="56"/>
    <w:next w:val="41"/>
    <w:qFormat/>
    <w:uiPriority w:val="0"/>
    <w:pPr>
      <w:numPr>
        <w:ilvl w:val="2"/>
      </w:numPr>
      <w:spacing w:before="50" w:beforeLines="50" w:after="50" w:afterLines="50"/>
      <w:outlineLvl w:val="1"/>
    </w:pPr>
  </w:style>
  <w:style w:type="paragraph" w:customStyle="1" w:styleId="56">
    <w:name w:val="标准文件_章标题"/>
    <w:next w:val="41"/>
    <w:qFormat/>
    <w:uiPriority w:val="0"/>
    <w:pPr>
      <w:numPr>
        <w:ilvl w:val="1"/>
        <w:numId w:val="10"/>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57">
    <w:name w:val="标准文件_参考文献条目"/>
    <w:qFormat/>
    <w:uiPriority w:val="0"/>
    <w:pPr>
      <w:numPr>
        <w:ilvl w:val="0"/>
        <w:numId w:val="11"/>
      </w:numPr>
      <w:tabs>
        <w:tab w:val="clear" w:pos="1646"/>
      </w:tabs>
      <w:spacing w:line="240" w:lineRule="auto"/>
      <w:ind w:left="1644" w:hanging="646"/>
    </w:pPr>
    <w:rPr>
      <w:rFonts w:ascii="宋体" w:hAnsi="宋体"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WWW.YlmF.CoM</Company>
  <Pages>41</Pages>
  <Words>10939</Words>
  <Characters>11389</Characters>
  <Lines>2</Lines>
  <Paragraphs>5</Paragraphs>
  <TotalTime>34</TotalTime>
  <ScaleCrop>false</ScaleCrop>
  <LinksUpToDate>false</LinksUpToDate>
  <CharactersWithSpaces>11440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2023-08-14T22:51:00Z</dcterms:created>
  <dc:creator>USER</dc:creator>
  <cp:lastModifiedBy>树年强</cp:lastModifiedBy>
  <cp:lastPrinted>2019-07-11T03:21:00Z</cp:lastPrinted>
  <dcterms:modified xsi:type="dcterms:W3CDTF">2026-05-07T07:21:27Z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F6F1EF64F3514247AABFB5A6F5F3673E_13</vt:lpwstr>
  </property>
  <property fmtid="{D5CDD505-2E9C-101B-9397-08002B2CF9AE}" pid="4" name="KSOTemplateDocerSaveRecord">
    <vt:lpwstr>eyJoZGlkIjoiNmE0MDE4M2RjOWFiNWU0ODQyYTkxNTQ5ODY1MjVmYmQiLCJ1c2VySWQiOiI2Mzk4NzAxMjYifQ==</vt:lpwstr>
  </property>
</Properties>
</file>