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12B74F">
      <w:pPr>
        <w:spacing w:line="520" w:lineRule="exact"/>
        <w:jc w:val="center"/>
        <w:outlineLvl w:val="0"/>
        <w:rPr>
          <w:rFonts w:hint="eastAsia" w:ascii="方正小标宋简体" w:hAnsi="方正小标宋简体" w:eastAsia="方正小标宋简体" w:cs="方正小标宋简体"/>
          <w:bCs/>
          <w:sz w:val="36"/>
          <w:szCs w:val="32"/>
          <w:lang w:eastAsia="zh-CN"/>
        </w:rPr>
      </w:pPr>
      <w:r>
        <w:rPr>
          <w:rFonts w:hint="eastAsia" w:ascii="方正小标宋简体" w:hAnsi="方正小标宋简体" w:eastAsia="方正小标宋简体" w:cs="方正小标宋简体"/>
          <w:bCs/>
          <w:sz w:val="36"/>
          <w:szCs w:val="32"/>
        </w:rPr>
        <w:t>团体标准《</w:t>
      </w:r>
      <w:r>
        <w:rPr>
          <w:rFonts w:hint="eastAsia" w:ascii="方正小标宋简体" w:hAnsi="方正小标宋简体" w:eastAsia="方正小标宋简体" w:cs="方正小标宋简体"/>
          <w:bCs/>
          <w:sz w:val="36"/>
          <w:szCs w:val="32"/>
          <w:lang w:eastAsia="zh-CN"/>
        </w:rPr>
        <w:t>卒中后抑郁（郁病）中西医结合诊疗规范</w:t>
      </w:r>
      <w:r>
        <w:rPr>
          <w:rFonts w:hint="eastAsia" w:ascii="方正小标宋简体" w:hAnsi="方正小标宋简体" w:eastAsia="方正小标宋简体" w:cs="方正小标宋简体"/>
          <w:bCs/>
          <w:sz w:val="36"/>
          <w:szCs w:val="32"/>
        </w:rPr>
        <w:t>》（征求意见稿）编制说明</w:t>
      </w:r>
    </w:p>
    <w:p w14:paraId="1AB0CDFD">
      <w:pPr>
        <w:spacing w:line="520" w:lineRule="exact"/>
        <w:ind w:firstLine="640" w:firstLineChars="200"/>
        <w:outlineLvl w:val="0"/>
        <w:rPr>
          <w:rFonts w:ascii="黑体" w:eastAsia="黑体" w:cs="仿宋_GB2312"/>
          <w:bCs/>
          <w:sz w:val="32"/>
          <w:szCs w:val="32"/>
        </w:rPr>
      </w:pPr>
      <w:r>
        <w:rPr>
          <w:rFonts w:hint="eastAsia" w:ascii="黑体" w:eastAsia="黑体" w:cs="仿宋_GB2312"/>
          <w:sz w:val="32"/>
          <w:szCs w:val="32"/>
        </w:rPr>
        <w:t>一、任务来源、起草单位、主要起草人</w:t>
      </w:r>
    </w:p>
    <w:p w14:paraId="0BDB15B7">
      <w:pPr>
        <w:spacing w:line="520" w:lineRule="exact"/>
        <w:ind w:firstLine="560" w:firstLineChars="200"/>
        <w:rPr>
          <w:rFonts w:ascii="仿宋_GB2312" w:eastAsia="仿宋_GB2312"/>
          <w:sz w:val="28"/>
          <w:szCs w:val="28"/>
          <w:highlight w:val="none"/>
        </w:rPr>
      </w:pPr>
      <w:r>
        <w:rPr>
          <w:rFonts w:hint="eastAsia" w:ascii="仿宋_GB2312" w:eastAsia="仿宋_GB2312"/>
          <w:sz w:val="28"/>
          <w:szCs w:val="28"/>
        </w:rPr>
        <w:t>根据《广西标准化协会关于下达2026年第</w:t>
      </w:r>
      <w:r>
        <w:rPr>
          <w:rFonts w:hint="eastAsia" w:ascii="仿宋_GB2312" w:eastAsia="仿宋_GB2312"/>
          <w:sz w:val="28"/>
          <w:szCs w:val="28"/>
          <w:lang w:eastAsia="zh-CN"/>
        </w:rPr>
        <w:t>十二</w:t>
      </w:r>
      <w:r>
        <w:rPr>
          <w:rFonts w:hint="eastAsia" w:ascii="仿宋_GB2312" w:eastAsia="仿宋_GB2312"/>
          <w:sz w:val="28"/>
          <w:szCs w:val="28"/>
        </w:rPr>
        <w:t>批团体标准制修订项目计划的通知》（桂标协〔2026</w:t>
      </w:r>
      <w:r>
        <w:rPr>
          <w:rFonts w:hint="eastAsia" w:ascii="仿宋_GB2312" w:eastAsia="仿宋_GB2312"/>
          <w:color w:val="auto"/>
          <w:sz w:val="28"/>
          <w:szCs w:val="28"/>
        </w:rPr>
        <w:t>〕</w:t>
      </w:r>
      <w:r>
        <w:rPr>
          <w:rFonts w:hint="eastAsia" w:ascii="仿宋_GB2312" w:eastAsia="仿宋_GB2312"/>
          <w:color w:val="auto"/>
          <w:sz w:val="28"/>
          <w:szCs w:val="28"/>
          <w:highlight w:val="none"/>
          <w:lang w:val="en-US" w:eastAsia="zh-CN"/>
        </w:rPr>
        <w:t>150</w:t>
      </w:r>
      <w:r>
        <w:rPr>
          <w:rFonts w:hint="eastAsia" w:ascii="仿宋_GB2312" w:eastAsia="仿宋_GB2312"/>
          <w:color w:val="auto"/>
          <w:sz w:val="28"/>
          <w:szCs w:val="28"/>
          <w:highlight w:val="none"/>
        </w:rPr>
        <w:t>号）精神，由广西中医药大学第二附属医院提出，</w:t>
      </w:r>
      <w:r>
        <w:rPr>
          <w:rFonts w:hint="eastAsia" w:ascii="仿宋_GB2312" w:eastAsia="仿宋_GB2312"/>
          <w:color w:val="auto"/>
          <w:sz w:val="28"/>
          <w:szCs w:val="28"/>
          <w:highlight w:val="none"/>
          <w:lang w:eastAsia="zh-CN"/>
        </w:rPr>
        <w:t>广西中医药大学第二附属医院、广西中医药大学第一附属医院、右江民族医学院附属医院</w:t>
      </w:r>
      <w:r>
        <w:rPr>
          <w:rFonts w:hint="eastAsia" w:ascii="仿宋_GB2312" w:eastAsia="仿宋_GB2312"/>
          <w:color w:val="auto"/>
          <w:sz w:val="28"/>
          <w:szCs w:val="28"/>
          <w:highlight w:val="none"/>
        </w:rPr>
        <w:t>等单位共同起草的团体标准《</w:t>
      </w:r>
      <w:r>
        <w:rPr>
          <w:rFonts w:hint="eastAsia" w:ascii="仿宋_GB2312" w:eastAsia="仿宋_GB2312"/>
          <w:color w:val="auto"/>
          <w:sz w:val="28"/>
          <w:szCs w:val="28"/>
          <w:highlight w:val="none"/>
          <w:lang w:eastAsia="zh-CN"/>
        </w:rPr>
        <w:t>卒中后抑郁（郁病）中西医结合诊疗规范</w:t>
      </w:r>
      <w:r>
        <w:rPr>
          <w:rFonts w:hint="eastAsia" w:ascii="仿宋_GB2312" w:eastAsia="仿宋_GB2312"/>
          <w:color w:val="auto"/>
          <w:sz w:val="28"/>
          <w:szCs w:val="28"/>
          <w:highlight w:val="none"/>
        </w:rPr>
        <w:t>》（项目编号：2026-</w:t>
      </w:r>
      <w:r>
        <w:rPr>
          <w:rFonts w:hint="eastAsia" w:ascii="仿宋_GB2312" w:eastAsia="仿宋_GB2312"/>
          <w:color w:val="auto"/>
          <w:sz w:val="28"/>
          <w:szCs w:val="28"/>
          <w:highlight w:val="none"/>
          <w:lang w:val="en-US" w:eastAsia="zh-CN"/>
        </w:rPr>
        <w:t>1202</w:t>
      </w:r>
      <w:r>
        <w:rPr>
          <w:rFonts w:hint="eastAsia" w:ascii="仿宋_GB2312" w:eastAsia="仿宋_GB2312"/>
          <w:color w:val="auto"/>
          <w:sz w:val="28"/>
          <w:szCs w:val="28"/>
          <w:highlight w:val="none"/>
        </w:rPr>
        <w:t>）</w:t>
      </w:r>
      <w:r>
        <w:rPr>
          <w:rFonts w:hint="eastAsia" w:ascii="仿宋_GB2312" w:eastAsia="仿宋_GB2312"/>
          <w:sz w:val="28"/>
          <w:szCs w:val="28"/>
          <w:highlight w:val="none"/>
        </w:rPr>
        <w:t>，已获立项。</w:t>
      </w:r>
    </w:p>
    <w:p w14:paraId="6EDCD24D">
      <w:pPr>
        <w:spacing w:line="520" w:lineRule="exact"/>
        <w:ind w:firstLine="560" w:firstLineChars="200"/>
        <w:rPr>
          <w:rFonts w:hint="eastAsia" w:ascii="仿宋_GB2312" w:eastAsia="仿宋_GB2312"/>
          <w:sz w:val="28"/>
          <w:szCs w:val="28"/>
          <w:highlight w:val="yellow"/>
          <w:lang w:val="en-US" w:eastAsia="zh-CN"/>
        </w:rPr>
      </w:pPr>
      <w:r>
        <w:rPr>
          <w:rFonts w:hint="eastAsia" w:ascii="仿宋_GB2312" w:eastAsia="仿宋_GB2312"/>
          <w:sz w:val="28"/>
          <w:szCs w:val="28"/>
        </w:rPr>
        <w:t>为高质量编制团体标准《</w:t>
      </w:r>
      <w:r>
        <w:rPr>
          <w:rFonts w:hint="eastAsia" w:ascii="仿宋_GB2312" w:eastAsia="仿宋_GB2312"/>
          <w:sz w:val="28"/>
          <w:szCs w:val="28"/>
          <w:lang w:eastAsia="zh-CN"/>
        </w:rPr>
        <w:t>卒中后抑郁（郁病）中西医结合诊疗规范</w:t>
      </w:r>
      <w:r>
        <w:rPr>
          <w:rFonts w:hint="eastAsia" w:ascii="仿宋_GB2312" w:eastAsia="仿宋_GB2312"/>
          <w:sz w:val="28"/>
          <w:szCs w:val="28"/>
        </w:rPr>
        <w:t>》，由起草单位成立标准编制工作组并进行如下分工：</w:t>
      </w:r>
    </w:p>
    <w:tbl>
      <w:tblPr>
        <w:tblStyle w:val="16"/>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583"/>
        <w:gridCol w:w="1538"/>
        <w:gridCol w:w="2386"/>
        <w:gridCol w:w="2948"/>
      </w:tblGrid>
      <w:tr w14:paraId="0DF7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87CBABD">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姓名</w:t>
            </w:r>
          </w:p>
        </w:tc>
        <w:tc>
          <w:tcPr>
            <w:tcW w:w="1583" w:type="dxa"/>
            <w:tcBorders>
              <w:top w:val="single" w:color="auto" w:sz="4" w:space="0"/>
              <w:left w:val="single" w:color="auto" w:sz="4" w:space="0"/>
              <w:bottom w:val="single" w:color="auto" w:sz="4" w:space="0"/>
              <w:right w:val="single" w:color="auto" w:sz="4" w:space="0"/>
            </w:tcBorders>
            <w:vAlign w:val="center"/>
          </w:tcPr>
          <w:p w14:paraId="5414AFF6">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职务/职</w:t>
            </w:r>
            <w:r>
              <w:rPr>
                <w:rFonts w:hint="default" w:ascii="仿宋_GB2312" w:hAnsi="仿宋" w:eastAsia="仿宋_GB2312" w:cs="仿宋"/>
                <w:b/>
                <w:sz w:val="24"/>
              </w:rPr>
              <w:t>称</w:t>
            </w:r>
          </w:p>
        </w:tc>
        <w:tc>
          <w:tcPr>
            <w:tcW w:w="1538" w:type="dxa"/>
            <w:tcBorders>
              <w:top w:val="single" w:color="auto" w:sz="4" w:space="0"/>
              <w:left w:val="single" w:color="auto" w:sz="4" w:space="0"/>
              <w:bottom w:val="single" w:color="auto" w:sz="4" w:space="0"/>
              <w:right w:val="single" w:color="auto" w:sz="4" w:space="0"/>
            </w:tcBorders>
            <w:vAlign w:val="center"/>
          </w:tcPr>
          <w:p w14:paraId="38AF5F43">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从事</w:t>
            </w:r>
          </w:p>
          <w:p w14:paraId="3AE66096">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专业</w:t>
            </w:r>
          </w:p>
        </w:tc>
        <w:tc>
          <w:tcPr>
            <w:tcW w:w="2386" w:type="dxa"/>
            <w:tcBorders>
              <w:top w:val="single" w:color="auto" w:sz="4" w:space="0"/>
              <w:left w:val="single" w:color="auto" w:sz="4" w:space="0"/>
              <w:bottom w:val="single" w:color="auto" w:sz="4" w:space="0"/>
              <w:right w:val="single" w:color="auto" w:sz="4" w:space="0"/>
            </w:tcBorders>
            <w:vAlign w:val="center"/>
          </w:tcPr>
          <w:p w14:paraId="33142CC4">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工作单位</w:t>
            </w:r>
          </w:p>
        </w:tc>
        <w:tc>
          <w:tcPr>
            <w:tcW w:w="2948" w:type="dxa"/>
            <w:tcBorders>
              <w:top w:val="single" w:color="auto" w:sz="4" w:space="0"/>
              <w:left w:val="single" w:color="auto" w:sz="4" w:space="0"/>
              <w:bottom w:val="single" w:color="auto" w:sz="4" w:space="0"/>
              <w:right w:val="single" w:color="auto" w:sz="4" w:space="0"/>
            </w:tcBorders>
            <w:vAlign w:val="center"/>
          </w:tcPr>
          <w:p w14:paraId="28061F9D">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主要负责工作</w:t>
            </w:r>
          </w:p>
        </w:tc>
      </w:tr>
      <w:tr w14:paraId="00665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F6804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val="en-US" w:eastAsia="zh-CN" w:bidi="ar"/>
              </w:rPr>
              <w:t>李雪斌</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48C42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13EC6E4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705024A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广西中医药大学第二附属医院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D9C4DED">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全面组织</w:t>
            </w:r>
          </w:p>
        </w:tc>
      </w:tr>
      <w:tr w14:paraId="43FF8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72023C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古联</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5AE242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528EC9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7E083E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广西中医药大学第二附属医院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D50E8CC">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指导规范文本及编制说明编写，质量控制</w:t>
            </w:r>
          </w:p>
        </w:tc>
      </w:tr>
      <w:tr w14:paraId="3AB93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D354D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黄建敏</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40DED0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EEEC2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8BA174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右江民族医学院附属医院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61BFCAC">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负责起草规范草案，征求意见稿和规范编制说明的编写工作</w:t>
            </w:r>
          </w:p>
        </w:tc>
      </w:tr>
      <w:tr w14:paraId="00D32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DCC337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胡恕艳</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4DDFB84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主任护师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1AAE01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207D10D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广西中医药大学第一附属医院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8FC443F">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对规范实施情况进行总结分析，不断对规范提出修正意见</w:t>
            </w:r>
          </w:p>
        </w:tc>
      </w:tr>
      <w:tr w14:paraId="52A1C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FD54E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韦宇飞</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5347F1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副主任医师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9FCC6A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715D2C0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广西中医药大学第一附属医院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E703B5B">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对规范实施情况进行总结分析，不断对规范提出修正意见</w:t>
            </w:r>
          </w:p>
        </w:tc>
      </w:tr>
      <w:tr w14:paraId="5CE68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237FE6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江颖</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CB306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B1E25C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E9B9E5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广西中医药大学第二附属医院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316CDEB">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统筹规范编制工作组织人员进行规范发布后的宣贯培训</w:t>
            </w:r>
          </w:p>
        </w:tc>
      </w:tr>
      <w:tr w14:paraId="1AB0A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12E6B0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王伟涛</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36FDA15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主治医师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B22872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神经内科</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6A7BE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广西中医药大学第二附属医院</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C35E575">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负责送审稿及编制说明的编写工作</w:t>
            </w:r>
          </w:p>
        </w:tc>
      </w:tr>
    </w:tbl>
    <w:p w14:paraId="1E4A505B">
      <w:pPr>
        <w:spacing w:line="520" w:lineRule="exact"/>
        <w:ind w:firstLine="640" w:firstLineChars="200"/>
        <w:outlineLvl w:val="0"/>
        <w:rPr>
          <w:rFonts w:ascii="黑体" w:eastAsia="黑体" w:cs="仿宋_GB2312"/>
          <w:sz w:val="32"/>
          <w:szCs w:val="32"/>
        </w:rPr>
      </w:pPr>
      <w:r>
        <w:rPr>
          <w:rFonts w:hint="eastAsia" w:ascii="黑体" w:eastAsia="黑体" w:cs="仿宋_GB2312"/>
          <w:sz w:val="32"/>
          <w:szCs w:val="32"/>
        </w:rPr>
        <w:t>二、制定标准的必要性和意义</w:t>
      </w:r>
    </w:p>
    <w:p w14:paraId="0C47EE11">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卒中后抑郁（Post-stroke Depression, PSD）是脑卒中后最常见的神经精神并发症之一，严重影响患者的神经功能康复、生活质量及社会回归能力，甚至增加患者的死亡风险。中西医结合诊疗模式在卒中后抑郁的防治中具有独特优势，通过中药、针灸、情志调理与现代抗抑郁药物及康复技术的有机融合，可实现“形神同调”，有效改善患者的抑郁症状及神经功能缺损。制定本规范，是贯彻落实国家脑血管病防治政策、推动中西医协同发展、满足人民群众健康需求的重要举措。</w:t>
      </w:r>
    </w:p>
    <w:p w14:paraId="5F75480A">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社会需求调查显示，卒中后抑郁具有极高的发病率和危害性。系统评价显示，卒中后抑郁的患病率约为34.46%，卒中患者发生抑郁的风险是普通人群的2.71倍。国内研究数据表明，我国卒中后抑郁的患病率约为45.79%，其中约1/3的患者在卒中后2个月内即发生抑郁。研究证实，合并卒中后抑郁的患者较无抑郁者死亡风险增加50%，卒中复发风险增加1.49倍，致残率和认知损害显著加重。卒中后3个月内，患者罹患抑郁的风险为正常人群的9倍。这一系列流行病学数据充分凸显了卒中后抑郁规范化诊疗的极端必要性与紧迫性。</w:t>
      </w:r>
    </w:p>
    <w:p w14:paraId="2085C921">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目前，卒中后抑郁的临床诊疗面临多重挑战。一是识别率严重不足。由于卒中后抑郁症状多样且不典型，常被误认为卒中后的“正常情绪反应”而忽视，大量患者未能得到及时诊断。二是诊疗行为缺乏规范。目前临床对卒中后抑郁的筛查时机、评估工具、中西医干预方案的选择、疗效评价等尚无统一的操作规范，不同地区、不同层级医疗机构诊疗差异较大，影响疗效与安全。三是中西医结合优势尚未充分发挥。尽管中医药在卒中后抑郁治疗中积累了丰富的临床经验，但缺乏系统的循证证据和标准化方案，制约了其在临床的推广应用。</w:t>
      </w:r>
    </w:p>
    <w:p w14:paraId="5897B9A6">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从国内实践基础看，近年来卒中后抑郁的中西医结合诊疗已在国内多地形成积极探索。上海、北京等地中西医结合医院及脑病专科中心，围绕卒中后抑郁的辨证分型、针灸干预时机、中西药联用方案等开展了多项临床研究，积累了丰富的循证依据。部分地区的卒中中心已将心理评估纳入卒中患者常规管理流程，康复科与脑病科协作开展情志调理的实践模式逐步成熟。上述探索成果，为本标准的研制奠定了广泛的临床基础。</w:t>
      </w:r>
    </w:p>
    <w:p w14:paraId="1DCA4DF1">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区域实践层面，部分地区已积累了可资借鉴的经验。广西作为中医药民族医药资源富集区，具备推动卒中后抑郁中西医结合诊疗规范化发展的坚实基础。广西中医药大学及其附属医院、广西壮族自治区脑卒中防治网络单位长期从事脑血管病的中西医结合临床与科研工作，拥有一批国家级、自治区级名老中医和脑病专家，积累了丰富的临床经验。据广西壮族自治区中医药管理局统计（示例数据，仅供参考），2025年全区中医（壮瑶医）医疗服务总量突破1200万人次，其中脑病相关病症（中风、郁病、眩晕、不寐等）就诊量年均增长显著。广西自2023年起持续推进卒中中心建设和中医优势病种诊疗方案推广工作，为卒中后抑郁规范化诊疗的落地应用奠定了良好基础。</w:t>
      </w:r>
    </w:p>
    <w:p w14:paraId="12149800">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目前广西进行卒中后抑郁（郁病）中西医结合诊疗的单位有3家，每年诊疗人数1500人，诊疗满意度90%。</w:t>
      </w:r>
    </w:p>
    <w:p w14:paraId="675FC4A6">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国内中西医结合诊疗标准化建设持续推进。国家卫生健康委、国家中医药管理局将脑血管病防治和中医康复服务体系建设列入重点任务。中国卒中学会、中华中医药学会等学术组织已发布多项脑血管病及抑郁障碍相关诊疗指南和专家共识。卒中后抑郁作为临床常见且危害严重的并发症，亟待纳入中西医结合标准化体系，以填补细分领域规范空白，推动卒中后抑郁诊疗从经验医学向循证规范转变。</w:t>
      </w:r>
    </w:p>
    <w:p w14:paraId="055A35C6">
      <w:pPr>
        <w:suppressAutoHyphens/>
        <w:spacing w:line="560" w:lineRule="exact"/>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因此，为规范卒中后抑郁（郁病）的中西医结合诊疗行为、保障临床疗效与安全、提高早期识别率、满足广大卒中患者的康复需求，制定团体标准《卒中后抑郁（郁病）中西医结合诊疗规范》</w:t>
      </w:r>
      <w:r>
        <w:rPr>
          <w:rFonts w:hint="eastAsia" w:ascii="仿宋_GB2312" w:hAnsi="仿宋_GB2312" w:eastAsia="仿宋_GB2312" w:cs="仿宋_GB2312"/>
          <w:sz w:val="28"/>
          <w:szCs w:val="28"/>
          <w:lang w:eastAsia="zh-CN"/>
        </w:rPr>
        <w:t>具有重要意义。</w:t>
      </w:r>
    </w:p>
    <w:p w14:paraId="63989AAB">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三、主要起草过程</w:t>
      </w:r>
    </w:p>
    <w:p w14:paraId="7072813D">
      <w:pPr>
        <w:spacing w:line="520" w:lineRule="exact"/>
        <w:ind w:firstLine="562" w:firstLineChars="200"/>
        <w:outlineLvl w:val="1"/>
        <w:rPr>
          <w:rFonts w:ascii="仿宋_GB2312" w:eastAsia="仿宋_GB2312"/>
          <w:sz w:val="28"/>
          <w:szCs w:val="28"/>
        </w:rPr>
      </w:pPr>
      <w:r>
        <w:rPr>
          <w:rFonts w:hint="eastAsia" w:ascii="仿宋_GB2312" w:eastAsia="仿宋_GB2312" w:cs="仿宋_GB2312"/>
          <w:b/>
          <w:sz w:val="28"/>
          <w:szCs w:val="28"/>
        </w:rPr>
        <w:t>（一）成立标准编制工作组</w:t>
      </w:r>
    </w:p>
    <w:p w14:paraId="73D4E94F">
      <w:pPr>
        <w:spacing w:line="520" w:lineRule="exact"/>
        <w:ind w:firstLine="560" w:firstLineChars="200"/>
        <w:jc w:val="left"/>
        <w:rPr>
          <w:rFonts w:ascii="仿宋_GB2312" w:eastAsia="仿宋_GB2312"/>
          <w:sz w:val="28"/>
          <w:szCs w:val="28"/>
        </w:rPr>
      </w:pPr>
      <w:r>
        <w:rPr>
          <w:rFonts w:hint="eastAsia" w:ascii="仿宋_GB2312" w:hAnsi="宋体" w:eastAsia="仿宋_GB2312"/>
          <w:sz w:val="28"/>
          <w:szCs w:val="28"/>
        </w:rPr>
        <w:t>团体标准</w:t>
      </w:r>
      <w:r>
        <w:rPr>
          <w:rFonts w:hint="eastAsia" w:ascii="仿宋_GB2312" w:eastAsia="仿宋_GB2312"/>
          <w:sz w:val="28"/>
          <w:szCs w:val="28"/>
        </w:rPr>
        <w:t>《</w:t>
      </w:r>
      <w:r>
        <w:rPr>
          <w:rFonts w:hint="eastAsia" w:ascii="仿宋_GB2312" w:eastAsia="仿宋_GB2312"/>
          <w:sz w:val="28"/>
          <w:szCs w:val="28"/>
          <w:lang w:eastAsia="zh-CN"/>
        </w:rPr>
        <w:t>卒中后抑郁（郁病）中西医结合诊疗规范</w:t>
      </w:r>
      <w:r>
        <w:rPr>
          <w:rFonts w:hint="eastAsia" w:ascii="仿宋_GB2312" w:eastAsia="仿宋_GB2312"/>
          <w:sz w:val="28"/>
          <w:szCs w:val="28"/>
        </w:rPr>
        <w:t>》项目任务下达后，由</w:t>
      </w:r>
      <w:r>
        <w:rPr>
          <w:rFonts w:hint="eastAsia" w:ascii="仿宋_GB2312" w:eastAsia="仿宋_GB2312"/>
          <w:sz w:val="28"/>
          <w:szCs w:val="28"/>
          <w:lang w:eastAsia="zh-CN"/>
        </w:rPr>
        <w:t>广西中医药大学第二附属医院</w:t>
      </w:r>
      <w:r>
        <w:rPr>
          <w:rFonts w:hint="eastAsia" w:ascii="仿宋_GB2312" w:eastAsia="仿宋_GB2312"/>
          <w:sz w:val="28"/>
          <w:szCs w:val="28"/>
        </w:rPr>
        <w:t>牵头组织成立了标准编制工作组，制定了起草编写方案与进度安排，明确任务职责，确定工作技术路线，开展标准研制工作。具体标准编制工作由起草单位相关人员配合完成。</w:t>
      </w:r>
    </w:p>
    <w:p w14:paraId="4A07681F">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为明确标准编制的任务职责，确定工作技术路线，开展标准研制工作，标准编制工作组下设两个组，分别是资料收集组、草案编写组。资料收集组负责国内外有关</w:t>
      </w:r>
      <w:r>
        <w:rPr>
          <w:rFonts w:hint="eastAsia" w:ascii="仿宋_GB2312" w:eastAsia="仿宋_GB2312"/>
          <w:sz w:val="28"/>
          <w:szCs w:val="28"/>
          <w:lang w:eastAsia="zh-CN"/>
        </w:rPr>
        <w:t>卒中后抑郁（郁病）中西医结合诊疗</w:t>
      </w:r>
      <w:r>
        <w:rPr>
          <w:rFonts w:hint="eastAsia" w:ascii="仿宋_GB2312" w:eastAsia="仿宋_GB2312"/>
          <w:sz w:val="28"/>
          <w:szCs w:val="28"/>
        </w:rPr>
        <w:t>方面的文献资料的查询、收集和整理工作，查阅前期对</w:t>
      </w:r>
      <w:r>
        <w:rPr>
          <w:rFonts w:hint="eastAsia" w:ascii="仿宋_GB2312" w:eastAsia="仿宋_GB2312"/>
          <w:sz w:val="28"/>
          <w:szCs w:val="28"/>
          <w:lang w:eastAsia="zh-CN"/>
        </w:rPr>
        <w:t>卒中后抑郁（郁病）中西医结合诊疗</w:t>
      </w:r>
      <w:r>
        <w:rPr>
          <w:rFonts w:hint="eastAsia" w:ascii="仿宋_GB2312" w:eastAsia="仿宋_GB2312"/>
          <w:sz w:val="28"/>
          <w:szCs w:val="28"/>
        </w:rPr>
        <w:t>方面的有关研究情况和目前科学界</w:t>
      </w:r>
      <w:r>
        <w:rPr>
          <w:rFonts w:hint="eastAsia" w:ascii="仿宋_GB2312" w:eastAsia="仿宋_GB2312"/>
          <w:sz w:val="28"/>
          <w:szCs w:val="28"/>
          <w:lang w:eastAsia="zh-CN"/>
        </w:rPr>
        <w:t>卒中后抑郁（郁病）中西医结合诊疗</w:t>
      </w:r>
      <w:r>
        <w:rPr>
          <w:rFonts w:hint="eastAsia" w:ascii="仿宋_GB2312" w:eastAsia="仿宋_GB2312"/>
          <w:sz w:val="28"/>
          <w:szCs w:val="28"/>
        </w:rPr>
        <w:t>的研究进展；草案编写组负责起草标准草案及后续征求意见稿和标准编制说明、送审稿及编制说明等编写工作，包括后期召开征求意见会、网上征求意见，以及标准的不断修改和完善。</w:t>
      </w:r>
    </w:p>
    <w:p w14:paraId="193240CF">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（二）收集整理文献资料</w:t>
      </w:r>
    </w:p>
    <w:p w14:paraId="37ED0CFB">
      <w:pPr>
        <w:spacing w:line="520" w:lineRule="exact"/>
        <w:ind w:firstLine="560" w:firstLineChars="200"/>
        <w:rPr>
          <w:rFonts w:ascii="仿宋_GB2312" w:eastAsia="仿宋_GB2312"/>
          <w:sz w:val="28"/>
          <w:szCs w:val="28"/>
        </w:rPr>
      </w:pPr>
      <w:r>
        <w:rPr>
          <w:rFonts w:hint="eastAsia" w:ascii="仿宋_GB2312" w:eastAsia="仿宋_GB2312"/>
          <w:sz w:val="28"/>
          <w:szCs w:val="28"/>
        </w:rPr>
        <w:t>标准编制工作组收集了国内有关</w:t>
      </w:r>
      <w:r>
        <w:rPr>
          <w:rFonts w:hint="eastAsia" w:ascii="仿宋_GB2312" w:eastAsia="仿宋_GB2312"/>
          <w:sz w:val="28"/>
          <w:szCs w:val="28"/>
          <w:lang w:eastAsia="zh-CN"/>
        </w:rPr>
        <w:t>卒中后抑郁（郁病）中西医结合诊疗</w:t>
      </w:r>
      <w:r>
        <w:rPr>
          <w:rFonts w:hint="eastAsia" w:ascii="仿宋_GB2312" w:eastAsia="仿宋_GB2312"/>
          <w:sz w:val="28"/>
          <w:szCs w:val="28"/>
        </w:rPr>
        <w:t>的相关文献资料。主要有：</w:t>
      </w:r>
    </w:p>
    <w:p w14:paraId="70E17B3E">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  王少石,周新雨,朱春燕.卒中后抑郁临床实践的中国专家共识[J] .中国卒中杂志 ,2016,1(8) :685-693.</w:t>
      </w:r>
    </w:p>
    <w:p w14:paraId="1BED8446">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[2]  吕路线,宋景贵 ,卢红 .卒中后抑郁状态患者的血浆、脑脊液单胺类神 经递质测定 [J] . 中华精神科杂志, 2000, 33 (1) :29-32.</w:t>
      </w:r>
    </w:p>
    <w:p w14:paraId="577A5325">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[3]  韩永凯 ,李斯娜 , 宋景贵. 卒中后抑郁患者认知功能与ApoE基因多态性的关联研究[J] . 中华行为医学与脑科学杂志 ,2012,21(3) :199-202.</w:t>
      </w:r>
    </w:p>
    <w:p w14:paraId="649F8A2E">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[4]  籍玉红 ,宋景贵. 卒中后抑郁患者的认知功能、自主神经功能及血浆单胺类神经递质 水平的相关 性[J] . 临床神经病学杂志 ,2007,20(6) :426-428.</w:t>
      </w:r>
    </w:p>
    <w:p w14:paraId="3F065CBA">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[5]  刘丹 ,赖学章 ,韩永凯 ,等. 卒中后抑郁患者的认知功能与血浆同型半胱氨酸水平的 关 系[J] . 中国康复医学杂志 , 2013,28(1) :47-50.</w:t>
      </w:r>
    </w:p>
    <w:p w14:paraId="0C34D42A">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[6]  宋景贵 ,张朝辉 ,王夏红 , 等. 不同病期和不同部位脑卒中患者抑郁情绪及事件相关电位 P300对照研究[J] . 中国神经精神疾病杂志 ,2006,32(1) :69-70.</w:t>
      </w:r>
    </w:p>
    <w:p w14:paraId="2CDB494F">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[7]  张作记 . 行为医学量表手册[M] . 北京 : 中华医学电子音像出版社 ,2015:222-223.</w:t>
      </w:r>
    </w:p>
    <w:p w14:paraId="2EA71DAB">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[8]  王夏红,宋景贵,穆俊林, 等. 心理干预对脑卒中患者抑郁状态及认知功 能的影响[J] .中国心理卫生杂志 , 2004, 18 (11) :777-779.</w:t>
      </w:r>
    </w:p>
    <w:p w14:paraId="2CF53566">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[9]  王素祥 ,杨艳琴 . 早期心理干预对 脑卒中后抑郁症的预防作用[J] .中华物理医学与康复杂志 ,2008,30(4) :265-266.</w:t>
      </w:r>
    </w:p>
    <w:p w14:paraId="697D7609">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[10]  穆俊林 ,宋景贵 ,李六一 , 等 . 放松治疗对卒中后抑郁患者睡眠及心率变异性的影响[J] . 中华物理医学 与 康 复 杂 志 , 2016,38(9) :690-693.</w:t>
      </w:r>
    </w:p>
    <w:p w14:paraId="6C0EABE6">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[11]  Feigin VL, ForouzanfarMH , KrishnamurthiR, etal. Globaland regionalburden of stroke during 1990-2010:find- ings from the global burden of disease study2010[J] .  Lan- cet, 2014, 383(9913) : 245-254.</w:t>
      </w:r>
    </w:p>
    <w:p w14:paraId="3795E61E">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[12]  TowfighiA, OvbiageleB, ElHusseiniN, etal.  Posts- troke depression: A scientific statement for healthcare pro- fessionals from  the American  heart association/American stroke association [J] . Stroke, 2017, 48(2) : 30-43.</w:t>
      </w:r>
    </w:p>
    <w:p w14:paraId="7675BE05">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[13]  Obinson RG, Jorge RE.  Post-stroke depression: A re- view[J] . Am J Psychiatry, 2016, 173(3) : 221-231.</w:t>
      </w:r>
    </w:p>
    <w:p w14:paraId="51ABA94C">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[14]  Tang WK, Tang N, LiaoCD, etal. Serotonin receptor 2C gene polymorphism associated with post-stroke depres- sion in Chinese patients[J] .  GenetMol Res, 2013, 12(2) :1546-1 553.</w:t>
      </w:r>
    </w:p>
    <w:p w14:paraId="1083BD91">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[15]  Espárrago Llorca G,  Castilla-Guerra L,  Fernández Moreno MC, et al.  Post-stroke depression:  an update [J] . Neurologia, 2015, 30(1) : 23-31.</w:t>
      </w:r>
    </w:p>
    <w:p w14:paraId="20079F97">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[16]  Zhang T, Jing X, Zhao X, et al. A prospective cohort study oflesion location and its relation to post-stroke depres- sion among Chinese patients[J] . J Affect Disord, 2012, 136 (1-2) :83-87.</w:t>
      </w:r>
    </w:p>
    <w:p w14:paraId="11500B20">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[17]  Santos M , GoldG, KövariE, etal.  Differentialimpact oflacunesand microvascularlesionson poststroke depression [J] .  Stroke, 2009, 40(11) : 3 557-3 562.</w:t>
      </w:r>
    </w:p>
    <w:p w14:paraId="3B837EB0">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[18]  HommelM , Carey L, Jaillard A.  Depression: cogni- tion relations after stroke [J] .  IntJ Stroke, 2015, 10(6) : 893-896.</w:t>
      </w:r>
    </w:p>
    <w:p w14:paraId="46900C6E">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[19]  Mead GE, Hsieh CF, LeeR, eta1.  Selectiveserotonin reuptake inhibitors for stroke recovery: a systematic review and meta-analysis[J] . Stroke, 2013, 44(3) : 844-850.</w:t>
      </w:r>
    </w:p>
    <w:p w14:paraId="3C808107">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[20]  Townend BS, W hyteS, DesboroughT, eta1.  Longi- tudinal prevalence and determinants of early mood disorder post-stroke [J] .  JClinNeurosci, 2007, 14(5) : 429-434.</w:t>
      </w:r>
    </w:p>
    <w:p w14:paraId="755344BA">
      <w:pPr>
        <w:spacing w:line="520" w:lineRule="exact"/>
        <w:ind w:firstLine="560" w:firstLineChars="200"/>
        <w:outlineLvl w:val="1"/>
        <w:rPr>
          <w:rFonts w:hint="eastAsia" w:ascii="仿宋_GB2312" w:eastAsia="仿宋_GB2312"/>
          <w:sz w:val="28"/>
          <w:szCs w:val="28"/>
          <w:lang w:eastAsia="zh-CN"/>
        </w:rPr>
      </w:pPr>
      <w:r>
        <w:rPr>
          <w:rFonts w:hint="eastAsia" w:ascii="仿宋_GB2312" w:eastAsia="仿宋_GB2312"/>
          <w:sz w:val="28"/>
          <w:szCs w:val="28"/>
        </w:rPr>
        <w:t>[21]  JaraczK, KozubskiW.  Theroleofsocialsupportin the quality oflifeafterstroke.  A review ofselected experimental research [J] .  NeurolNeurochirPol, 2006, 40(2) : 140-150.</w:t>
      </w:r>
    </w:p>
    <w:p w14:paraId="207525EE">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（三）研讨确定标准主体内容及标准创新点</w:t>
      </w:r>
    </w:p>
    <w:p w14:paraId="493CEBE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标准编制工作组在对收集的资料进行整理研究之后，召开了标准编制会议，对标准的整体框架结构进行了研究，并对标准的关键性内容进行了初步探讨。经过研究，标准的主体内容为</w:t>
      </w:r>
      <w:r>
        <w:rPr>
          <w:rFonts w:hint="eastAsia" w:ascii="仿宋_GB2312" w:hAnsi="仿宋_GB2312" w:eastAsia="仿宋_GB2312" w:cs="仿宋_GB2312"/>
          <w:sz w:val="28"/>
          <w:szCs w:val="28"/>
          <w:lang w:eastAsia="zh-CN"/>
        </w:rPr>
        <w:t>卒中后抑郁（郁病）中西医结合诊疗</w:t>
      </w:r>
      <w:r>
        <w:rPr>
          <w:rFonts w:hint="eastAsia" w:ascii="仿宋_GB2312" w:hAnsi="仿宋_GB2312" w:eastAsia="仿宋_GB2312" w:cs="仿宋_GB2312"/>
          <w:sz w:val="28"/>
          <w:szCs w:val="28"/>
        </w:rPr>
        <w:t>的诊断、禁忌证及慎用证、治疗、注意事项等内容。</w:t>
      </w:r>
    </w:p>
    <w:p w14:paraId="41340CC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本标准创新点主要为：</w:t>
      </w:r>
    </w:p>
    <w:p w14:paraId="0CE3456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 构建“病证结合、形神同调”的中西医双重诊断一体化方案</w:t>
      </w:r>
    </w:p>
    <w:p w14:paraId="49E6D92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将现代医学卒中后抑郁诊断标准（DSM-5、专家共识）与中医郁病辨证分型（肝气郁结、气郁化火、痰热扰神、心脾两虚、肾虚肝郁、瘀血阻络六型）有机融合，形成“西医辨病+中医辨证”的双重诊断路径，实现病因与病机互参、药物与非药物协同、急性期与康复期衔接的全周期管理，体现“形神同调”的诊疗理念。</w:t>
      </w:r>
    </w:p>
    <w:p w14:paraId="1E01A51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 新增岭南地区特色证型“痰热扰神证”并推荐广西道地药材</w:t>
      </w:r>
    </w:p>
    <w:p w14:paraId="2CF6D0B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针对岭南地区湿热气候与人群体质特点，专门增设“痰热扰神证”（心绪不宁、烦躁不安、胸闷脘痞、头重如裹、口干口苦、纳呆、舌质红、苔黄腻、脉滑数），在黄连温胆汤加减中明确配伍绞股蓝、罗汉果等道地药材以减轻苦寒伤胃；同时在瘀血阻络证中推荐土茯苓、苍术增强祛湿化痰之力，体现标准的地域适应性和临床实用性。</w:t>
      </w:r>
    </w:p>
    <w:p w14:paraId="708C8BA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 首次在卒中后抑郁诊疗规范中系统纳入壮瑶医特色技术</w:t>
      </w:r>
    </w:p>
    <w:p w14:paraId="6AD6C73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首次系统纳入三项壮瑶医外治技术：壮医药熨疗法（取百会、大椎、神阙及腰背部穴位）、壮医敷贴疗法（取内关、太冲、心俞等穴）、壮医药线点灸（取脐环穴、百会、印堂等穴），并明确操作频次与方法，形成“中医+民族医+现代康复”的多维度干预体系，填补同类标准在民族医药整合方面的空白。</w:t>
      </w:r>
    </w:p>
    <w:p w14:paraId="5C56EDFC">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（四）调研及形成草案、征求意见稿</w:t>
      </w:r>
    </w:p>
    <w:p w14:paraId="0DF4B976">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3</w:t>
      </w:r>
      <w:r>
        <w:rPr>
          <w:rFonts w:hint="eastAsia" w:ascii="仿宋_GB2312" w:eastAsia="仿宋_GB2312"/>
          <w:kern w:val="0"/>
          <w:sz w:val="28"/>
          <w:szCs w:val="28"/>
        </w:rPr>
        <w:t>月，标准编制工作组查阅了大量的国内文献资料，对</w:t>
      </w:r>
      <w:r>
        <w:rPr>
          <w:rFonts w:hint="eastAsia" w:ascii="仿宋_GB2312" w:eastAsia="仿宋_GB2312"/>
          <w:kern w:val="0"/>
          <w:sz w:val="28"/>
          <w:szCs w:val="28"/>
          <w:lang w:eastAsia="zh-CN"/>
        </w:rPr>
        <w:t>卒中后抑郁（郁病）中西医结合诊疗</w:t>
      </w:r>
      <w:r>
        <w:rPr>
          <w:rFonts w:hint="eastAsia" w:ascii="仿宋_GB2312" w:eastAsia="仿宋_GB2312"/>
          <w:kern w:val="0"/>
          <w:sz w:val="28"/>
          <w:szCs w:val="28"/>
        </w:rPr>
        <w:t>相关的文件进行系统总结。形成了标准的基本构架，对主要内容进行了讨论并对项目的工作进行了部署和安排。</w:t>
      </w:r>
    </w:p>
    <w:p w14:paraId="007BA057">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2026年</w:t>
      </w:r>
      <w:r>
        <w:rPr>
          <w:rFonts w:hint="eastAsia" w:ascii="仿宋_GB2312" w:eastAsia="仿宋_GB2312"/>
          <w:kern w:val="0"/>
          <w:sz w:val="28"/>
          <w:szCs w:val="28"/>
          <w:lang w:val="en-US" w:eastAsia="zh-CN"/>
        </w:rPr>
        <w:t>4</w:t>
      </w:r>
      <w:r>
        <w:rPr>
          <w:rFonts w:hint="eastAsia" w:ascii="仿宋_GB2312" w:eastAsia="仿宋_GB2312"/>
          <w:kern w:val="0"/>
          <w:sz w:val="28"/>
          <w:szCs w:val="28"/>
        </w:rPr>
        <w:t>月，团体标准《</w:t>
      </w:r>
      <w:r>
        <w:rPr>
          <w:rFonts w:hint="eastAsia" w:ascii="仿宋_GB2312" w:eastAsia="仿宋_GB2312"/>
          <w:kern w:val="0"/>
          <w:sz w:val="28"/>
          <w:szCs w:val="28"/>
          <w:lang w:eastAsia="zh-CN"/>
        </w:rPr>
        <w:t>卒中后抑郁（郁病）中西医结合诊疗规范</w:t>
      </w:r>
      <w:r>
        <w:rPr>
          <w:rFonts w:hint="eastAsia" w:ascii="仿宋_GB2312" w:eastAsia="仿宋_GB2312"/>
          <w:kern w:val="0"/>
          <w:sz w:val="28"/>
          <w:szCs w:val="28"/>
        </w:rPr>
        <w:t>》获批立项，在前期工作的基础之上，通过理清逻辑脉络，整合已有参考资料中有关</w:t>
      </w:r>
      <w:r>
        <w:rPr>
          <w:rFonts w:hint="eastAsia" w:ascii="仿宋_GB2312" w:eastAsia="仿宋_GB2312"/>
          <w:kern w:val="0"/>
          <w:sz w:val="28"/>
          <w:szCs w:val="28"/>
          <w:lang w:eastAsia="zh-CN"/>
        </w:rPr>
        <w:t>卒中后抑郁（郁病）中西医结合诊疗</w:t>
      </w:r>
      <w:r>
        <w:rPr>
          <w:rFonts w:hint="eastAsia" w:ascii="仿宋_GB2312" w:eastAsia="仿宋_GB2312"/>
          <w:kern w:val="0"/>
          <w:sz w:val="28"/>
          <w:szCs w:val="28"/>
        </w:rPr>
        <w:t>的要求，并在目前</w:t>
      </w:r>
      <w:r>
        <w:rPr>
          <w:rFonts w:hint="eastAsia" w:ascii="仿宋_GB2312" w:eastAsia="仿宋_GB2312"/>
          <w:kern w:val="0"/>
          <w:sz w:val="28"/>
          <w:szCs w:val="28"/>
          <w:lang w:eastAsia="zh-CN"/>
        </w:rPr>
        <w:t>卒中后抑郁（郁病）中西医结合诊疗</w:t>
      </w:r>
      <w:r>
        <w:rPr>
          <w:rFonts w:hint="eastAsia" w:ascii="仿宋_GB2312" w:eastAsia="仿宋_GB2312"/>
          <w:kern w:val="0"/>
          <w:sz w:val="28"/>
          <w:szCs w:val="28"/>
        </w:rPr>
        <w:t>实际操作的基础上，按照简化、统一等原则编制完成团体标准《</w:t>
      </w:r>
      <w:r>
        <w:rPr>
          <w:rFonts w:hint="eastAsia" w:ascii="仿宋_GB2312" w:eastAsia="仿宋_GB2312"/>
          <w:kern w:val="0"/>
          <w:sz w:val="28"/>
          <w:szCs w:val="28"/>
          <w:lang w:eastAsia="zh-CN"/>
        </w:rPr>
        <w:t>卒中后抑郁（郁病）中西医结合诊疗规范</w:t>
      </w:r>
      <w:r>
        <w:rPr>
          <w:rFonts w:hint="eastAsia" w:ascii="仿宋_GB2312" w:eastAsia="仿宋_GB2312"/>
          <w:kern w:val="0"/>
          <w:sz w:val="28"/>
          <w:szCs w:val="28"/>
        </w:rPr>
        <w:t>》（草案）。</w:t>
      </w:r>
    </w:p>
    <w:p w14:paraId="21C2CD20">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4</w:t>
      </w:r>
      <w:r>
        <w:rPr>
          <w:rFonts w:hint="eastAsia" w:ascii="仿宋_GB2312" w:eastAsia="仿宋_GB2312"/>
          <w:kern w:val="0"/>
          <w:sz w:val="28"/>
          <w:szCs w:val="28"/>
        </w:rPr>
        <w:t>月，标准编制工作组对标准草案进行了反复修改和研究讨论，掌握了</w:t>
      </w:r>
      <w:r>
        <w:rPr>
          <w:rFonts w:hint="eastAsia" w:ascii="仿宋_GB2312" w:eastAsia="仿宋_GB2312"/>
          <w:kern w:val="0"/>
          <w:sz w:val="28"/>
          <w:szCs w:val="28"/>
          <w:lang w:eastAsia="zh-CN"/>
        </w:rPr>
        <w:t>卒中后抑郁（郁病）中西医结合诊疗</w:t>
      </w:r>
      <w:r>
        <w:rPr>
          <w:rFonts w:hint="eastAsia" w:ascii="仿宋_GB2312" w:eastAsia="仿宋_GB2312"/>
          <w:kern w:val="0"/>
          <w:sz w:val="28"/>
          <w:szCs w:val="28"/>
        </w:rPr>
        <w:t>的基本情况以及要求，最终形成了团体标准《</w:t>
      </w:r>
      <w:r>
        <w:rPr>
          <w:rFonts w:hint="eastAsia" w:ascii="仿宋_GB2312" w:eastAsia="仿宋_GB2312"/>
          <w:kern w:val="0"/>
          <w:sz w:val="28"/>
          <w:szCs w:val="28"/>
          <w:lang w:eastAsia="zh-CN"/>
        </w:rPr>
        <w:t>卒中后抑郁（郁病）中西医结合诊疗规范</w:t>
      </w:r>
      <w:r>
        <w:rPr>
          <w:rFonts w:hint="eastAsia" w:ascii="仿宋_GB2312" w:eastAsia="仿宋_GB2312"/>
          <w:kern w:val="0"/>
          <w:sz w:val="28"/>
          <w:szCs w:val="28"/>
        </w:rPr>
        <w:t>》（征求意见稿）及其编制说明。</w:t>
      </w:r>
    </w:p>
    <w:p w14:paraId="186D448E">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32EBC970">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kern w:val="0"/>
          <w:sz w:val="28"/>
          <w:szCs w:val="28"/>
        </w:rPr>
      </w:pPr>
      <w:r>
        <w:rPr>
          <w:rFonts w:hint="eastAsia" w:ascii="仿宋_GB2312" w:eastAsia="仿宋_GB2312"/>
          <w:b/>
          <w:bCs/>
          <w:kern w:val="0"/>
          <w:sz w:val="28"/>
          <w:szCs w:val="28"/>
        </w:rPr>
        <w:t>（一）编制原则</w:t>
      </w:r>
    </w:p>
    <w:p w14:paraId="1A9B9CF7">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14:paraId="5EE169F3">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kern w:val="0"/>
          <w:sz w:val="28"/>
          <w:szCs w:val="28"/>
          <w:lang w:eastAsia="zh-CN"/>
        </w:rPr>
        <w:t>卒中后抑郁（郁病）中西医结合诊疗</w:t>
      </w:r>
      <w:r>
        <w:rPr>
          <w:rFonts w:hint="eastAsia" w:ascii="仿宋_GB2312" w:eastAsia="仿宋_GB2312" w:cs="仿宋"/>
          <w:sz w:val="28"/>
          <w:szCs w:val="28"/>
        </w:rPr>
        <w:t>现状，结合起草单位前期研究工作取得的研究成果及积累的</w:t>
      </w:r>
      <w:r>
        <w:rPr>
          <w:rFonts w:hint="eastAsia" w:ascii="仿宋_GB2312" w:eastAsia="仿宋_GB2312"/>
          <w:kern w:val="0"/>
          <w:sz w:val="28"/>
          <w:szCs w:val="28"/>
          <w:lang w:eastAsia="zh-CN"/>
        </w:rPr>
        <w:t>卒中后抑郁（郁病）中西医结合诊疗</w:t>
      </w:r>
      <w:r>
        <w:rPr>
          <w:rFonts w:hint="eastAsia" w:ascii="仿宋_GB2312" w:eastAsia="仿宋_GB2312" w:cs="仿宋"/>
          <w:sz w:val="28"/>
          <w:szCs w:val="28"/>
        </w:rPr>
        <w:t>实践经验，并借鉴国内</w:t>
      </w:r>
      <w:r>
        <w:rPr>
          <w:rFonts w:hint="eastAsia" w:ascii="仿宋_GB2312" w:eastAsia="仿宋_GB2312"/>
          <w:kern w:val="0"/>
          <w:sz w:val="28"/>
          <w:szCs w:val="28"/>
          <w:lang w:eastAsia="zh-CN"/>
        </w:rPr>
        <w:t>卒中后抑郁（郁病）中西医结合诊疗</w:t>
      </w:r>
      <w:r>
        <w:rPr>
          <w:rFonts w:hint="eastAsia" w:ascii="仿宋_GB2312" w:eastAsia="仿宋_GB2312" w:cs="仿宋"/>
          <w:sz w:val="28"/>
          <w:szCs w:val="28"/>
        </w:rPr>
        <w:t>进行总结起草的，符合工作实际，利于</w:t>
      </w:r>
      <w:r>
        <w:rPr>
          <w:rFonts w:hint="eastAsia" w:ascii="仿宋_GB2312" w:eastAsia="仿宋_GB2312"/>
          <w:kern w:val="0"/>
          <w:sz w:val="28"/>
          <w:szCs w:val="28"/>
          <w:lang w:eastAsia="zh-CN"/>
        </w:rPr>
        <w:t>卒中后抑郁（郁病）中西医结合诊疗</w:t>
      </w:r>
      <w:r>
        <w:rPr>
          <w:rFonts w:hint="eastAsia" w:ascii="仿宋_GB2312" w:eastAsia="仿宋_GB2312" w:cs="仿宋"/>
          <w:sz w:val="28"/>
          <w:szCs w:val="28"/>
        </w:rPr>
        <w:t>的实施与推广，具有可操作性和实用性。</w:t>
      </w:r>
    </w:p>
    <w:p w14:paraId="08AA6E4A">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14:paraId="0D55CCA6">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w:t>
      </w:r>
      <w:r>
        <w:rPr>
          <w:rFonts w:hint="eastAsia" w:ascii="仿宋_GB2312" w:eastAsia="仿宋_GB2312"/>
          <w:kern w:val="0"/>
          <w:sz w:val="28"/>
          <w:szCs w:val="28"/>
          <w:lang w:eastAsia="zh-CN"/>
        </w:rPr>
        <w:t>卒中后抑郁（郁病）中西医结合诊疗</w:t>
      </w:r>
      <w:r>
        <w:rPr>
          <w:rFonts w:hint="eastAsia" w:ascii="仿宋_GB2312" w:eastAsia="仿宋_GB2312"/>
          <w:sz w:val="28"/>
          <w:szCs w:val="28"/>
        </w:rPr>
        <w:t>相关法律法规的协调问题，在内容上与现行法律法规、标准协调一致。</w:t>
      </w:r>
    </w:p>
    <w:p w14:paraId="2F98C5E3">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14:paraId="12EC572E">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第1部分：标准化文件的结构和起草规则》编写本标准的内容，保证标准的编写质量。</w:t>
      </w:r>
    </w:p>
    <w:p w14:paraId="0FD93EA7">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14:paraId="1C455653">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w:t>
      </w:r>
      <w:r>
        <w:rPr>
          <w:rFonts w:hint="eastAsia" w:ascii="仿宋_GB2312" w:eastAsia="仿宋_GB2312"/>
          <w:kern w:val="0"/>
          <w:sz w:val="28"/>
          <w:szCs w:val="28"/>
          <w:lang w:eastAsia="zh-CN"/>
        </w:rPr>
        <w:t>卒中后抑郁（郁病）中西医结合诊疗</w:t>
      </w:r>
      <w:r>
        <w:rPr>
          <w:rFonts w:hint="eastAsia" w:ascii="仿宋_GB2312" w:eastAsia="仿宋_GB2312"/>
          <w:sz w:val="28"/>
          <w:szCs w:val="28"/>
        </w:rPr>
        <w:t>现实情况的同时，还考虑到了</w:t>
      </w:r>
      <w:r>
        <w:rPr>
          <w:rFonts w:hint="eastAsia" w:ascii="仿宋_GB2312" w:eastAsia="仿宋_GB2312"/>
          <w:kern w:val="0"/>
          <w:sz w:val="28"/>
          <w:szCs w:val="28"/>
          <w:lang w:eastAsia="zh-CN"/>
        </w:rPr>
        <w:t>卒中后抑郁（郁病）中西医结合诊疗</w:t>
      </w:r>
      <w:r>
        <w:rPr>
          <w:rFonts w:hint="eastAsia" w:ascii="仿宋_GB2312" w:eastAsia="仿宋_GB2312"/>
          <w:sz w:val="28"/>
          <w:szCs w:val="28"/>
        </w:rPr>
        <w:t>的需要，在标准中体现了个别特色性、前瞻性和先进性条款，作为对</w:t>
      </w:r>
      <w:r>
        <w:rPr>
          <w:rFonts w:hint="eastAsia" w:ascii="仿宋_GB2312" w:eastAsia="仿宋_GB2312"/>
          <w:kern w:val="0"/>
          <w:sz w:val="28"/>
          <w:szCs w:val="28"/>
          <w:lang w:eastAsia="zh-CN"/>
        </w:rPr>
        <w:t>卒中后抑郁（郁病）中西医结合诊疗</w:t>
      </w:r>
      <w:r>
        <w:rPr>
          <w:rFonts w:hint="eastAsia" w:ascii="仿宋_GB2312" w:eastAsia="仿宋_GB2312"/>
          <w:sz w:val="28"/>
          <w:szCs w:val="28"/>
        </w:rPr>
        <w:t>发展的指导。</w:t>
      </w:r>
    </w:p>
    <w:p w14:paraId="2B0D76D6">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（二）编制依据</w:t>
      </w:r>
    </w:p>
    <w:p w14:paraId="3E94AA90">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w:t>
      </w:r>
      <w:r>
        <w:rPr>
          <w:rFonts w:hint="eastAsia" w:ascii="仿宋_GB2312" w:eastAsia="仿宋_GB2312"/>
          <w:kern w:val="0"/>
          <w:sz w:val="28"/>
          <w:szCs w:val="28"/>
          <w:lang w:eastAsia="zh-CN"/>
        </w:rPr>
        <w:t>卒中后抑郁（郁病）中西医结合诊疗</w:t>
      </w:r>
      <w:r>
        <w:rPr>
          <w:rFonts w:hint="eastAsia" w:ascii="仿宋_GB2312" w:eastAsia="仿宋_GB2312"/>
          <w:sz w:val="28"/>
          <w:szCs w:val="28"/>
        </w:rPr>
        <w:t>研究应用过程中的实践经验确定。</w:t>
      </w:r>
    </w:p>
    <w:p w14:paraId="68602057">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（三）与现行法律法规的关系，与有关国家标准、行业标准的协调情况</w:t>
      </w:r>
    </w:p>
    <w:p w14:paraId="4AC59521">
      <w:pPr>
        <w:adjustRightInd w:val="0"/>
        <w:snapToGrid w:val="0"/>
        <w:spacing w:line="520" w:lineRule="exact"/>
        <w:ind w:firstLine="560" w:firstLineChars="200"/>
        <w:rPr>
          <w:rFonts w:hint="eastAsia" w:ascii="仿宋_GB2312" w:eastAsia="仿宋_GB2312"/>
          <w:sz w:val="28"/>
          <w:szCs w:val="28"/>
          <w:lang w:eastAsia="zh-CN"/>
        </w:rPr>
      </w:pPr>
      <w:r>
        <w:rPr>
          <w:rFonts w:hint="eastAsia" w:ascii="仿宋_GB2312" w:eastAsia="仿宋_GB2312"/>
          <w:sz w:val="28"/>
          <w:szCs w:val="28"/>
        </w:rPr>
        <w:t>经查阅，目前国内外与“卒中后抑郁（郁病）中西医结合诊疗”现行相关的国家、行业、地方和团体标准</w:t>
      </w:r>
      <w:r>
        <w:rPr>
          <w:rFonts w:hint="eastAsia" w:ascii="仿宋_GB2312" w:eastAsia="仿宋_GB2312"/>
          <w:sz w:val="28"/>
          <w:szCs w:val="28"/>
          <w:lang w:eastAsia="zh-CN"/>
        </w:rPr>
        <w:t>有：T/GXAS 1031—2025《缺血性中风急性期常见并发症中西医结合诊疗规范》</w:t>
      </w:r>
    </w:p>
    <w:p w14:paraId="138075C4">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经比对，本标准《卒中后抑郁（郁病）中西医结合诊疗规范》与T/GXAS 1031—2025《缺血性中风急性期常见并发症中西医结合诊疗规范》在定位与内容上存在显著差异。本标准为卒中后抑郁的专病诊疗规范，内容系统完整，涵盖西医诊断、中医辨证分型及多维度治疗；而T/GXAS 1031—2025为综合性标准，卒中后抑郁仅为其中一节，篇幅简要。</w:t>
      </w:r>
    </w:p>
    <w:p w14:paraId="327DEFBB">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在治疗体系上，本标准更为深入，除药物治疗外，明确纳入了心理治疗（如认知行为疗法、音乐治疗）、物理治疗（重复经颅磁刺激）、康复训练及高压氧治疗，体现多学科协同干预；T/GXAS 1031—2025则仅涉及基础药物与针刺治疗。</w:t>
      </w:r>
    </w:p>
    <w:p w14:paraId="10BE1E86">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在民族医药特色方面，本标准充分融入壮瑶医特色疗法，规定了壮医药熨、药线点灸等外治技术，具有鲜明地域特征；T/GXAS 1031—2025在卒中后抑郁部分未涉及民族医内容。</w:t>
      </w:r>
    </w:p>
    <w:p w14:paraId="34B9593B">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在辨证分型上，本标准单列“痰热扰神证”作为岭南地区突出证型，推荐黄连温胆汤加减及广西道地药材，体现了地域适应性；T/GXAS 1031—2025的辨证分型较为通用，未突出地域特色。综上，本标准在专病深度、多学科整合及民族医药特色方面均显著优于T/GXAS 1031—2025中相关章节。</w:t>
      </w:r>
    </w:p>
    <w:p w14:paraId="4324D3A7">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现有标准均未涵盖“卒中后抑郁（郁病）中西医结合诊疗”，制定团体标准《卒中后抑郁（郁病）中西医结合诊疗规范》具有创新性，先进性。</w:t>
      </w:r>
    </w:p>
    <w:p w14:paraId="5409CCAE">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本标准的内容与现行的法律法规及强制性标准无冲突，标准的编写符合GB/T 1.1—2020的要求。</w:t>
      </w:r>
    </w:p>
    <w:p w14:paraId="16FE07DB">
      <w:pPr>
        <w:spacing w:before="240" w:after="60" w:line="520" w:lineRule="exact"/>
        <w:ind w:firstLine="640" w:firstLineChars="200"/>
        <w:jc w:val="left"/>
        <w:outlineLvl w:val="0"/>
        <w:rPr>
          <w:rFonts w:ascii="仿宋_GB2312" w:eastAsia="仿宋_GB2312" w:cs="仿宋"/>
          <w:bCs/>
          <w:sz w:val="28"/>
          <w:szCs w:val="28"/>
        </w:rPr>
      </w:pPr>
      <w:r>
        <w:rPr>
          <w:rFonts w:hint="eastAsia" w:ascii="黑体" w:eastAsia="黑体"/>
          <w:bCs/>
          <w:sz w:val="32"/>
          <w:szCs w:val="32"/>
        </w:rPr>
        <w:t>五、主要条款的说明</w:t>
      </w:r>
    </w:p>
    <w:p w14:paraId="2A800B77">
      <w:pPr>
        <w:pStyle w:val="33"/>
        <w:spacing w:before="0" w:beforeLines="0" w:after="0" w:afterLines="0"/>
        <w:ind w:firstLine="562"/>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（一）</w:t>
      </w:r>
      <w:r>
        <w:rPr>
          <w:rFonts w:hint="eastAsia" w:ascii="仿宋_GB2312" w:hAnsi="仿宋_GB2312" w:eastAsia="仿宋_GB2312" w:cs="仿宋_GB2312"/>
          <w:b/>
          <w:bCs w:val="0"/>
          <w:sz w:val="28"/>
          <w:szCs w:val="28"/>
          <w:lang w:eastAsia="zh-CN"/>
        </w:rPr>
        <w:t>诊断</w:t>
      </w:r>
    </w:p>
    <w:p w14:paraId="0D44A2D5">
      <w:pPr>
        <w:pStyle w:val="33"/>
        <w:spacing w:before="0" w:beforeLines="0" w:after="0" w:afterLines="0"/>
        <w:ind w:firstLine="562"/>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1.西医诊断</w:t>
      </w:r>
    </w:p>
    <w:p w14:paraId="31C3671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标准规定的卒中后抑郁西医诊断条件，参照《卒中后抑郁临床实践的中国专家共识》及《中国抑郁障碍防治指南2025版》的西医诊断标准。抑郁程度参考《国际疾病分类（第十一次修订本）》（ICD-11），并分为轻度抑郁发作、中度抑郁发作、重度抑郁发作。</w:t>
      </w:r>
    </w:p>
    <w:p w14:paraId="515C73FB">
      <w:pPr>
        <w:pStyle w:val="33"/>
        <w:spacing w:before="0" w:beforeLines="0" w:after="0" w:afterLines="0" w:line="240" w:lineRule="auto"/>
        <w:ind w:left="0" w:leftChars="0" w:firstLine="0" w:firstLineChars="0"/>
        <w:jc w:val="center"/>
      </w:pPr>
      <w:r>
        <w:drawing>
          <wp:inline distT="0" distB="0" distL="114300" distR="114300">
            <wp:extent cx="1833880" cy="2817495"/>
            <wp:effectExtent l="9525" t="9525" r="23495" b="1143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1833880" cy="2817495"/>
                    </a:xfrm>
                    <a:prstGeom prst="rect">
                      <a:avLst/>
                    </a:prstGeom>
                    <a:noFill/>
                    <a:ln>
                      <a:solidFill>
                        <a:schemeClr val="tx1"/>
                      </a:solidFill>
                    </a:ln>
                  </pic:spPr>
                </pic:pic>
              </a:graphicData>
            </a:graphic>
          </wp:inline>
        </w:drawing>
      </w:r>
    </w:p>
    <w:p w14:paraId="01EDAB50">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来源：卒中后抑郁临床实践的中国专家共识</w:t>
      </w:r>
    </w:p>
    <w:p w14:paraId="1D278D9D">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2.中医诊断</w:t>
      </w:r>
    </w:p>
    <w:p w14:paraId="30B46668">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本标准将卒中后抑郁归属于中医“郁病”范畴，结合卒中后抑郁的病理特点及各起草单位临床实际，确定主证及六个次证。</w:t>
      </w:r>
    </w:p>
    <w:p w14:paraId="4E451726">
      <w:pPr>
        <w:pStyle w:val="33"/>
        <w:spacing w:before="0" w:beforeLines="0" w:after="0" w:afterLines="0"/>
        <w:ind w:firstLine="560"/>
        <w:jc w:val="both"/>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b/>
          <w:bCs w:val="0"/>
          <w:sz w:val="28"/>
          <w:szCs w:val="28"/>
          <w:lang w:val="en-US" w:eastAsia="zh-CN"/>
        </w:rPr>
        <w:t>主证</w:t>
      </w:r>
      <w:r>
        <w:rPr>
          <w:rFonts w:hint="default" w:ascii="仿宋_GB2312" w:hAnsi="仿宋_GB2312" w:eastAsia="仿宋_GB2312" w:cs="仿宋_GB2312"/>
          <w:sz w:val="28"/>
          <w:szCs w:val="28"/>
          <w:lang w:val="en-US" w:eastAsia="zh-CN"/>
        </w:rPr>
        <w:t>设定为“忧郁不畅，精神不振，胸闷胁胀，善太息；或不思饮食，失眠多梦，易怒善哭等症”。其设定理由如下：</w:t>
      </w:r>
    </w:p>
    <w:p w14:paraId="73006233">
      <w:pPr>
        <w:pStyle w:val="33"/>
        <w:numPr>
          <w:ilvl w:val="0"/>
          <w:numId w:val="11"/>
        </w:numPr>
        <w:spacing w:before="0" w:beforeLines="0" w:after="0" w:afterLines="0"/>
        <w:ind w:firstLine="560"/>
        <w:jc w:val="both"/>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卒中后抑郁的基本病机仍属郁病范畴，故必须保留郁病共性的气机郁滞表现（忧郁、胸闷、胁胀、善太息）。</w:t>
      </w:r>
    </w:p>
    <w:p w14:paraId="3A59D8F1">
      <w:pPr>
        <w:pStyle w:val="33"/>
        <w:numPr>
          <w:ilvl w:val="0"/>
          <w:numId w:val="11"/>
        </w:numPr>
        <w:spacing w:before="0" w:beforeLines="0" w:after="0" w:afterLines="0"/>
        <w:ind w:firstLine="560"/>
        <w:jc w:val="both"/>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卒中患者常因神经功能缺损（失语、运动障碍、认知障碍等）难以完整表达典型抑郁心境，若仅依靠“情绪低落、兴趣减退”等核心症状，易导致大量漏诊。因此，主证特别纳入了卒中后患者更为突出的非特异性症状，如精神不振、不思饮食、失眠多梦、易怒善哭等，以提高筛查敏感性。</w:t>
      </w:r>
    </w:p>
    <w:p w14:paraId="042BF4FB">
      <w:pPr>
        <w:pStyle w:val="33"/>
        <w:numPr>
          <w:ilvl w:val="0"/>
          <w:numId w:val="11"/>
        </w:numPr>
        <w:spacing w:before="0" w:beforeLines="0" w:after="0" w:afterLines="0"/>
        <w:ind w:firstLine="560"/>
        <w:jc w:val="both"/>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主证采用“或”连接，不要求全部具备，既保持了辨证的灵活性，又避免了因病程阶段不同、病灶部位不同而出现的症状不典型所导致的漏辨。综上，主证的设置充分兼顾了郁病的共性病机与卒中后抑郁的特殊临床表现，是在保证中医辨证准确性的前提下，最大限度减少漏诊的务实设计。</w:t>
      </w:r>
    </w:p>
    <w:p w14:paraId="2149B448">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default" w:ascii="仿宋_GB2312" w:hAnsi="仿宋_GB2312" w:eastAsia="仿宋_GB2312" w:cs="仿宋_GB2312"/>
          <w:sz w:val="28"/>
          <w:szCs w:val="28"/>
          <w:lang w:val="en-US" w:eastAsia="zh-CN"/>
        </w:rPr>
        <w:t>次证包括</w:t>
      </w:r>
      <w:r>
        <w:rPr>
          <w:rFonts w:hint="default" w:ascii="仿宋_GB2312" w:hAnsi="仿宋_GB2312" w:eastAsia="仿宋_GB2312" w:cs="仿宋_GB2312"/>
          <w:b/>
          <w:bCs w:val="0"/>
          <w:sz w:val="28"/>
          <w:szCs w:val="28"/>
          <w:lang w:val="en-US" w:eastAsia="zh-CN"/>
        </w:rPr>
        <w:t>肝郁气滞证、气郁化火证、痰热扰神证、心脾两虚证、肝肾阴虚证、瘀血阻络证六个证型</w:t>
      </w:r>
      <w:r>
        <w:rPr>
          <w:rFonts w:hint="eastAsia" w:ascii="仿宋_GB2312" w:hAnsi="仿宋_GB2312" w:eastAsia="仿宋_GB2312" w:cs="仿宋_GB2312"/>
          <w:b w:val="0"/>
          <w:bCs/>
          <w:sz w:val="28"/>
          <w:szCs w:val="28"/>
          <w:lang w:val="en-US" w:eastAsia="zh-CN"/>
        </w:rPr>
        <w:t>，其设定理由及病机分析如下：</w:t>
      </w:r>
    </w:p>
    <w:p w14:paraId="3C4F12AD">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（1）</w:t>
      </w:r>
      <w:r>
        <w:rPr>
          <w:rFonts w:hint="eastAsia" w:ascii="仿宋_GB2312" w:hAnsi="仿宋_GB2312" w:eastAsia="仿宋_GB2312" w:cs="仿宋_GB2312"/>
          <w:b/>
          <w:bCs w:val="0"/>
          <w:sz w:val="28"/>
          <w:szCs w:val="28"/>
          <w:lang w:val="en-US" w:eastAsia="zh-CN"/>
        </w:rPr>
        <w:t>肝郁气滞证</w:t>
      </w:r>
      <w:r>
        <w:rPr>
          <w:rFonts w:hint="eastAsia" w:ascii="仿宋_GB2312" w:hAnsi="仿宋_GB2312" w:eastAsia="仿宋_GB2312" w:cs="仿宋_GB2312"/>
          <w:b w:val="0"/>
          <w:bCs/>
          <w:sz w:val="28"/>
          <w:szCs w:val="28"/>
          <w:lang w:val="en-US" w:eastAsia="zh-CN"/>
        </w:rPr>
        <w:t>：卒中后患者因突发肢体功能障碍、言语不利、社会角色改变等，情志不遂，肝气郁结，疏泄失常，气机不畅。本证为郁病之始，多发生于卒中后早期、病情较轻者。其症状表现为情绪抑郁、胸胁胀满、善太息，舌淡红、苔薄白、脉弦。本证型的设置在于抓住“气郁”这一核心病机，早期干预可防止郁久化火、生痰、致虚及成瘀。</w:t>
      </w:r>
    </w:p>
    <w:p w14:paraId="4FDD8F91">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（2）</w:t>
      </w:r>
      <w:r>
        <w:rPr>
          <w:rFonts w:hint="eastAsia" w:ascii="仿宋_GB2312" w:hAnsi="仿宋_GB2312" w:eastAsia="仿宋_GB2312" w:cs="仿宋_GB2312"/>
          <w:b/>
          <w:bCs w:val="0"/>
          <w:sz w:val="28"/>
          <w:szCs w:val="28"/>
          <w:lang w:val="en-US" w:eastAsia="zh-CN"/>
        </w:rPr>
        <w:t>气郁化火证</w:t>
      </w:r>
      <w:r>
        <w:rPr>
          <w:rFonts w:hint="eastAsia" w:ascii="仿宋_GB2312" w:hAnsi="仿宋_GB2312" w:eastAsia="仿宋_GB2312" w:cs="仿宋_GB2312"/>
          <w:b w:val="0"/>
          <w:bCs/>
          <w:sz w:val="28"/>
          <w:szCs w:val="28"/>
          <w:lang w:val="en-US" w:eastAsia="zh-CN"/>
        </w:rPr>
        <w:t>：肝气郁结日久，气有余便是火，郁而化火，形成气郁化火证。卒中后患者常因康复进展缓慢、家庭支持不足或对自身状况不满而产生急躁易怒情绪，加之卒中急性期常合并火热之象，使本证在临床中并不少见。其症状表现为情绪烦躁易怒、胸胁灼痛、口苦咽干、便秘溲赤，舌红苔黄、脉弦数。本证型的设置旨在引导临床早期识别“由郁转火”的病机转变，及时使用清肝泻火之品，防止火热扰心加重神志症状。</w:t>
      </w:r>
    </w:p>
    <w:p w14:paraId="3DD30FC3">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（3）</w:t>
      </w:r>
      <w:r>
        <w:rPr>
          <w:rFonts w:hint="eastAsia" w:ascii="仿宋_GB2312" w:hAnsi="仿宋_GB2312" w:eastAsia="仿宋_GB2312" w:cs="仿宋_GB2312"/>
          <w:b/>
          <w:bCs w:val="0"/>
          <w:sz w:val="28"/>
          <w:szCs w:val="28"/>
          <w:lang w:val="en-US" w:eastAsia="zh-CN"/>
        </w:rPr>
        <w:t>痰热扰神证</w:t>
      </w:r>
      <w:r>
        <w:rPr>
          <w:rFonts w:hint="eastAsia" w:ascii="仿宋_GB2312" w:hAnsi="仿宋_GB2312" w:eastAsia="仿宋_GB2312" w:cs="仿宋_GB2312"/>
          <w:b w:val="0"/>
          <w:bCs/>
          <w:sz w:val="28"/>
          <w:szCs w:val="28"/>
          <w:lang w:val="en-US" w:eastAsia="zh-CN"/>
        </w:rPr>
        <w:t>：本证型为本标准针对岭南地区气候湿热、人群体质多痰湿的特点而特别增补。卒中急性期患者常因卧床、吞咽困难等易并发肺部感染，或平素嗜食肥甘厚味，导致痰湿内生、郁而化热，痰热上扰心神，故见心绪不宁、烦躁不安、胸闷脘痞、头重如裹、口干口苦、纳呆，舌质红、苔黄腻、脉滑数。本证型的设置弥补了现有郁病辨证体系中“痰热扰神”未被单列的缺陷，为岭南地区卒中后抑郁的常见证型提供了标准化的辨证依据。</w:t>
      </w:r>
    </w:p>
    <w:p w14:paraId="3557AA9F">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（4）</w:t>
      </w:r>
      <w:r>
        <w:rPr>
          <w:rFonts w:hint="eastAsia" w:ascii="仿宋_GB2312" w:hAnsi="仿宋_GB2312" w:eastAsia="仿宋_GB2312" w:cs="仿宋_GB2312"/>
          <w:b/>
          <w:bCs w:val="0"/>
          <w:sz w:val="28"/>
          <w:szCs w:val="28"/>
          <w:lang w:val="en-US" w:eastAsia="zh-CN"/>
        </w:rPr>
        <w:t>心脾两虚证</w:t>
      </w:r>
      <w:r>
        <w:rPr>
          <w:rFonts w:hint="eastAsia" w:ascii="仿宋_GB2312" w:hAnsi="仿宋_GB2312" w:eastAsia="仿宋_GB2312" w:cs="仿宋_GB2312"/>
          <w:b w:val="0"/>
          <w:bCs/>
          <w:sz w:val="28"/>
          <w:szCs w:val="28"/>
          <w:lang w:val="en-US" w:eastAsia="zh-CN"/>
        </w:rPr>
        <w:t>：卒中后抑郁患者病程迁延者，常因久病耗伤气血，加之卒中后进食困难、营养摄入不足、思虑过度，导致心脾两虚。本证多见于恢复期及后遗症期，患者除抑郁情绪外，常伴心悸失眠、健忘、食欲不振、腹胀便溏、神疲乏力等症。其病机体现为“因病致虚、因虚致郁”。本证型的设置旨在提醒临床在病程较长的患者中注意兼顾补益心脾，避免一味疏肝理气而耗伤气血。</w:t>
      </w:r>
    </w:p>
    <w:p w14:paraId="6819D8FC">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（5）</w:t>
      </w:r>
      <w:r>
        <w:rPr>
          <w:rFonts w:hint="eastAsia" w:ascii="仿宋_GB2312" w:hAnsi="仿宋_GB2312" w:eastAsia="仿宋_GB2312" w:cs="仿宋_GB2312"/>
          <w:b/>
          <w:bCs w:val="0"/>
          <w:sz w:val="28"/>
          <w:szCs w:val="28"/>
          <w:lang w:val="en-US" w:eastAsia="zh-CN"/>
        </w:rPr>
        <w:t>肝肾阴虚证</w:t>
      </w:r>
      <w:r>
        <w:rPr>
          <w:rFonts w:hint="eastAsia" w:ascii="仿宋_GB2312" w:hAnsi="仿宋_GB2312" w:eastAsia="仿宋_GB2312" w:cs="仿宋_GB2312"/>
          <w:b w:val="0"/>
          <w:bCs/>
          <w:sz w:val="28"/>
          <w:szCs w:val="28"/>
          <w:lang w:val="en-US" w:eastAsia="zh-CN"/>
        </w:rPr>
        <w:t>：中风病多见于中老年人，肾精渐亏，脑髓失养。中风后情志不遂，肝气郁结，日久化火伤阴，或素体肾阴不足，水不涵木，致肝阴亦虚，形成肝肾阴虚的复合病机，体现了“久病及肾”及中风病“肾虚为本”的病机特点。其症状表现为情绪低落、兴趣减退、头晕耳鸣、腰膝酸软、失眠多梦、五心烦热、盗汗，舌红、苔少、脉弦细或细数。本证型的设置突出了老年卒中患者肾虚与肝郁并存的病机特点，治疗需滋养肝肾与疏肝解郁并行。</w:t>
      </w:r>
    </w:p>
    <w:p w14:paraId="5CE8AF3B">
      <w:pPr>
        <w:pStyle w:val="33"/>
        <w:spacing w:before="0" w:beforeLines="0" w:after="0" w:afterLines="0"/>
        <w:ind w:firstLine="560"/>
        <w:jc w:val="both"/>
        <w:rPr>
          <w:rFonts w:hint="eastAsia" w:ascii="仿宋_GB2312" w:hAnsi="仿宋_GB2312" w:eastAsia="仿宋_GB2312" w:cs="仿宋_GB2312"/>
          <w:b w:val="0"/>
          <w:bCs/>
          <w:sz w:val="28"/>
          <w:szCs w:val="28"/>
          <w:lang w:val="en-US" w:eastAsia="zh-CN"/>
        </w:rPr>
      </w:pPr>
      <w:r>
        <w:rPr>
          <w:rFonts w:hint="eastAsia" w:ascii="仿宋_GB2312" w:hAnsi="仿宋_GB2312" w:eastAsia="仿宋_GB2312" w:cs="仿宋_GB2312"/>
          <w:b w:val="0"/>
          <w:bCs/>
          <w:sz w:val="28"/>
          <w:szCs w:val="28"/>
          <w:lang w:val="en-US" w:eastAsia="zh-CN"/>
        </w:rPr>
        <w:t>（6）</w:t>
      </w:r>
      <w:r>
        <w:rPr>
          <w:rFonts w:hint="eastAsia" w:ascii="仿宋_GB2312" w:hAnsi="仿宋_GB2312" w:eastAsia="仿宋_GB2312" w:cs="仿宋_GB2312"/>
          <w:b/>
          <w:bCs w:val="0"/>
          <w:sz w:val="28"/>
          <w:szCs w:val="28"/>
          <w:lang w:val="en-US" w:eastAsia="zh-CN"/>
        </w:rPr>
        <w:t>瘀血阻络证</w:t>
      </w:r>
      <w:r>
        <w:rPr>
          <w:rFonts w:hint="eastAsia" w:ascii="仿宋_GB2312" w:hAnsi="仿宋_GB2312" w:eastAsia="仿宋_GB2312" w:cs="仿宋_GB2312"/>
          <w:b w:val="0"/>
          <w:bCs/>
          <w:sz w:val="28"/>
          <w:szCs w:val="28"/>
          <w:lang w:val="en-US" w:eastAsia="zh-CN"/>
        </w:rPr>
        <w:t>：中风病核心病机为瘀血阻络，卒中后抑郁作为中风并发症，瘀血是其重要的病理基础。瘀血内阻，脑络不通，气机不畅，故见情绪抑郁；瘀血阻滞经络，则见头痛或肢体刺痛、部位固定。其症状表现为面色晦暗、舌质紫暗或有瘀点瘀斑、脉涩。本证型的设置体现了“从瘀论治”卒中后抑郁的思路，适用于影像学显示明确病灶或伴有明显血瘀征象的患者。</w:t>
      </w:r>
    </w:p>
    <w:p w14:paraId="7F68250A">
      <w:pPr>
        <w:pStyle w:val="33"/>
        <w:spacing w:before="0" w:beforeLines="0" w:after="0" w:afterLines="0"/>
        <w:ind w:firstLine="560"/>
        <w:jc w:val="both"/>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val="0"/>
          <w:bCs/>
          <w:sz w:val="28"/>
          <w:szCs w:val="28"/>
          <w:lang w:val="en-US" w:eastAsia="zh-CN"/>
        </w:rPr>
        <w:t>以上六个证型涵盖了卒中后抑郁从气郁→化火→生痰→致虚→成瘀的完整病机演变过程，兼顾了卒中后“虚、瘀、痰”的病理特点及岭南地区“湿热、痰热”的地域特征，具有较强的临床适用性。各证型症状的确定均经各起草单位临床验证，能够有效指导辨证论治。</w:t>
      </w:r>
    </w:p>
    <w:p w14:paraId="3071780C">
      <w:pPr>
        <w:pStyle w:val="33"/>
        <w:spacing w:before="0" w:beforeLines="0" w:after="0" w:afterLines="0"/>
        <w:ind w:firstLine="562"/>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w:t>
      </w:r>
      <w:r>
        <w:rPr>
          <w:rFonts w:hint="eastAsia" w:ascii="仿宋_GB2312" w:hAnsi="仿宋_GB2312" w:eastAsia="仿宋_GB2312" w:cs="仿宋_GB2312"/>
          <w:b/>
          <w:bCs w:val="0"/>
          <w:sz w:val="28"/>
          <w:szCs w:val="28"/>
          <w:lang w:eastAsia="zh-CN"/>
        </w:rPr>
        <w:t>二</w:t>
      </w:r>
      <w:r>
        <w:rPr>
          <w:rFonts w:hint="eastAsia" w:ascii="仿宋_GB2312" w:hAnsi="仿宋_GB2312" w:eastAsia="仿宋_GB2312" w:cs="仿宋_GB2312"/>
          <w:b/>
          <w:bCs w:val="0"/>
          <w:sz w:val="28"/>
          <w:szCs w:val="28"/>
        </w:rPr>
        <w:t>）</w:t>
      </w:r>
      <w:r>
        <w:rPr>
          <w:rFonts w:hint="eastAsia" w:ascii="仿宋_GB2312" w:hAnsi="仿宋_GB2312" w:eastAsia="仿宋_GB2312" w:cs="仿宋_GB2312"/>
          <w:b/>
          <w:bCs w:val="0"/>
          <w:sz w:val="28"/>
          <w:szCs w:val="28"/>
          <w:lang w:eastAsia="zh-CN"/>
        </w:rPr>
        <w:t>治疗</w:t>
      </w:r>
    </w:p>
    <w:p w14:paraId="1D38E927">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1.方案</w:t>
      </w:r>
    </w:p>
    <w:p w14:paraId="69437821">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本标准规定，治疗方案的制定依据卒中后抑郁的严重程度进行分层管理。</w:t>
      </w:r>
    </w:p>
    <w:p w14:paraId="5D4E6264">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分层治疗逻辑：</w:t>
      </w:r>
    </w:p>
    <w:p w14:paraId="558EE92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卒中后抑郁的发病机制涉及卒中脑损害所致的单胺能神经递质通路破坏、炎症反应、下丘脑-垂体-肾上腺轴功能紊乱，以及心理社会因素等多重机制。西医治疗（抗抑郁药物、心理治疗等）针对上述机制具有明确的循证依据，可作为症状控制的重要手段。然而，卒中后抑郁患者临床表现异质性高，且卒中不同阶段（急性期、恢复期、后遗症期）病机重心各异，如急性期多实（气郁、痰热、瘀血），恢复期虚实夹杂，后遗症期多虚（脾虚、肾虚）。中医辨证论治可根据病机演变动态调整，与西医治疗形成互补。</w:t>
      </w:r>
    </w:p>
    <w:p w14:paraId="015D52A3">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具体分层方案：</w:t>
      </w:r>
    </w:p>
    <w:p w14:paraId="0F56C72E">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（1）轻度抑郁发作</w:t>
      </w:r>
    </w:p>
    <w:p w14:paraId="511F3AB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轻度抑郁发作患者症状相对较轻，西药治疗的必要性较低，且部分患者对西药存在顾虑或不耐受，故以心理治疗和中医治疗为主，通过定期随访评估病情变化，必要时启动药物治疗。</w:t>
      </w:r>
    </w:p>
    <w:p w14:paraId="7DAC3C5E">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（2）中度至重度抑郁发作</w:t>
      </w:r>
    </w:p>
    <w:p w14:paraId="2D9F15A7">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中度至重度抑郁发作患者症状重、功能损害明显，单用非药物治疗往往起效较慢、难以快速控制病情，故应以药物治疗为基础，联合心理治疗，中医治疗则作为辅助手段。该分层兼顾了患者个体差异与不同干预措施的证据强度。</w:t>
      </w:r>
    </w:p>
    <w:p w14:paraId="4A94B9D3">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（3）转诊指征</w:t>
      </w:r>
    </w:p>
    <w:p w14:paraId="706EA845">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转诊指征的设置，主要参考《卒中后抑郁临床实践的中国专家共识》（2016年），并结合各起草单位临床实际制定。其依据在于：</w:t>
      </w:r>
    </w:p>
    <w:p w14:paraId="512F4737">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①</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伴有自杀风险、自杀想法或行为者：属于精神科急症，神经科缺乏相应的危机干预体系，需专科紧急处理；</w:t>
      </w:r>
    </w:p>
    <w:p w14:paraId="7E1005B5">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②</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治疗效果不明显者：经规范化抗抑郁治疗（通常4～6周）后效果不明显者，可能为难治性抑郁，涉及药物代谢异常、耐药或共病其他精神障碍，需精神科调整方案或联合用药；</w:t>
      </w:r>
    </w:p>
    <w:p w14:paraId="619658FF">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③</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伴有精神病性症状者：伴有幻觉、妄想等精神病性症状者，需联用非典型抗精神病药物，此类药物的使用及监测超出神经科常规范畴。</w:t>
      </w:r>
    </w:p>
    <w:p w14:paraId="114A625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上述三项指征明确、操作性强，在各起草单位临床中均作为强制性转诊条件执行，可有效保障患者安全，避免延误治疗。</w:t>
      </w:r>
    </w:p>
    <w:p w14:paraId="04B73E76">
      <w:pPr>
        <w:pStyle w:val="33"/>
        <w:spacing w:before="0" w:beforeLines="0" w:after="0" w:afterLines="0" w:line="240" w:lineRule="auto"/>
        <w:ind w:left="0" w:leftChars="0" w:firstLine="0" w:firstLineChars="0"/>
        <w:jc w:val="center"/>
      </w:pPr>
      <w:r>
        <w:drawing>
          <wp:inline distT="0" distB="0" distL="114300" distR="114300">
            <wp:extent cx="2035810" cy="2847975"/>
            <wp:effectExtent l="9525" t="9525" r="12065" b="1905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
                    <a:stretch>
                      <a:fillRect/>
                    </a:stretch>
                  </pic:blipFill>
                  <pic:spPr>
                    <a:xfrm>
                      <a:off x="0" y="0"/>
                      <a:ext cx="2035810" cy="2847975"/>
                    </a:xfrm>
                    <a:prstGeom prst="rect">
                      <a:avLst/>
                    </a:prstGeom>
                    <a:noFill/>
                    <a:ln>
                      <a:solidFill>
                        <a:schemeClr val="tx1"/>
                      </a:solidFill>
                    </a:ln>
                  </pic:spPr>
                </pic:pic>
              </a:graphicData>
            </a:graphic>
          </wp:inline>
        </w:drawing>
      </w:r>
    </w:p>
    <w:p w14:paraId="25AF8DF2">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来源：卒中后抑郁临床实践的中国专家共识</w:t>
      </w:r>
    </w:p>
    <w:p w14:paraId="7FD1E8A4">
      <w:pPr>
        <w:pStyle w:val="33"/>
        <w:spacing w:before="0" w:beforeLines="0" w:after="0" w:afterLines="0"/>
        <w:ind w:firstLine="560"/>
        <w:jc w:val="both"/>
        <w:outlineLvl w:val="2"/>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2.西医</w:t>
      </w:r>
    </w:p>
    <w:p w14:paraId="722CC6BC">
      <w:pPr>
        <w:pStyle w:val="33"/>
        <w:spacing w:before="0" w:beforeLines="0" w:after="0" w:afterLines="0"/>
        <w:ind w:firstLine="560"/>
        <w:jc w:val="both"/>
        <w:outlineLvl w:val="9"/>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本标准</w:t>
      </w:r>
      <w:r>
        <w:rPr>
          <w:rFonts w:hint="eastAsia" w:ascii="仿宋_GB2312" w:hAnsi="仿宋_GB2312" w:eastAsia="仿宋_GB2312" w:cs="仿宋_GB2312"/>
          <w:b w:val="0"/>
          <w:bCs/>
          <w:sz w:val="28"/>
          <w:szCs w:val="28"/>
        </w:rPr>
        <w:t>西医治疗内容主要参考《卒中后抑郁临床实践的中国专家共识》（2016年），并结合各起草单位临床实际制定。</w:t>
      </w:r>
    </w:p>
    <w:p w14:paraId="5A95BBCA">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1</w:t>
      </w:r>
      <w:r>
        <w:rPr>
          <w:rFonts w:hint="eastAsia" w:ascii="仿宋_GB2312" w:hAnsi="仿宋_GB2312" w:eastAsia="仿宋_GB2312" w:cs="仿宋_GB2312"/>
          <w:b/>
          <w:bCs w:val="0"/>
          <w:sz w:val="28"/>
          <w:szCs w:val="28"/>
        </w:rPr>
        <w:t xml:space="preserve"> 心理治疗</w:t>
      </w:r>
    </w:p>
    <w:p w14:paraId="4F1CF10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rPr>
        <w:t>.1 要求为所有脑卒中患者提供心理支持和健康教育，基于卒中事件作为一种急性应激源，可诱发创伤后应激反应，早期心理干预有助于阻断应激向抑郁的转化。</w:t>
      </w:r>
    </w:p>
    <w:p w14:paraId="2236BFA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rPr>
        <w:t>.2 分层治疗策略的制定依据如下：轻症且无认知交流障碍者，单一心理治疗可避免不必要的药物暴露；症状较重影响康复及社会功能者，药物治疗可快速缓解核心症状，联合心理治疗则兼顾病因处理；用药依从性差、药物应答不良或不宜药物治疗者，认知行为治疗、动机性访谈、问题解决疗法具有循证支持，且无药物相关风险。</w:t>
      </w:r>
    </w:p>
    <w:p w14:paraId="4796B40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rPr>
        <w:t>.3 所列七种心理治疗方法的选择依据：认知行为治疗是目前证据等级最高的抑郁心理疗法；森田疗法契合东亚文化背景下患者“顺其自然”的认知特点；松弛疗法及音乐治疗操作简便、依从性好；人际动力、正念疗法、家庭疗法分别针对人际关系困扰、情绪调节能力缺陷及家庭支持系统薄弱等不同病因环节。各起草单位根据患者具体情况选择应用。</w:t>
      </w:r>
    </w:p>
    <w:p w14:paraId="749DEB8A">
      <w:pPr>
        <w:pStyle w:val="33"/>
        <w:spacing w:before="0" w:beforeLines="0" w:after="0" w:afterLines="0" w:line="240" w:lineRule="auto"/>
        <w:ind w:left="0" w:leftChars="0" w:firstLine="0" w:firstLineChars="0"/>
        <w:jc w:val="center"/>
      </w:pPr>
      <w:r>
        <w:drawing>
          <wp:inline distT="0" distB="0" distL="114300" distR="114300">
            <wp:extent cx="2377440" cy="2534920"/>
            <wp:effectExtent l="9525" t="9525" r="13335" b="273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2377440" cy="2534920"/>
                    </a:xfrm>
                    <a:prstGeom prst="rect">
                      <a:avLst/>
                    </a:prstGeom>
                    <a:noFill/>
                    <a:ln>
                      <a:solidFill>
                        <a:schemeClr val="tx1"/>
                      </a:solidFill>
                    </a:ln>
                  </pic:spPr>
                </pic:pic>
              </a:graphicData>
            </a:graphic>
          </wp:inline>
        </w:drawing>
      </w:r>
    </w:p>
    <w:p w14:paraId="126BBF3F">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来源：卒中后抑郁临床实践的中国专家共识</w:t>
      </w:r>
    </w:p>
    <w:p w14:paraId="520A6EB8">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2</w:t>
      </w:r>
      <w:r>
        <w:rPr>
          <w:rFonts w:hint="eastAsia" w:ascii="仿宋_GB2312" w:hAnsi="仿宋_GB2312" w:eastAsia="仿宋_GB2312" w:cs="仿宋_GB2312"/>
          <w:b/>
          <w:bCs w:val="0"/>
          <w:sz w:val="28"/>
          <w:szCs w:val="28"/>
        </w:rPr>
        <w:t xml:space="preserve"> 物理治疗</w:t>
      </w:r>
    </w:p>
    <w:p w14:paraId="35122BC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物理治疗手段的设置主要针对重度及难治性PSD。重复经颅磁刺激通过调节背外侧前额叶皮层兴奋性改善抑郁症状，经颅直流电刺激通过微弱直流电调节皮层兴奋性，二者均为无创、不良反应少的治疗选择。迷走神经刺激、深部脑刺激、磁休克治疗适用于极重度或难治性患者，但需严格把握适应症。MECT是目前治疗重度抑郁最快速、最有效的手段之一，尤其适用于伴有强烈自杀意念或拒食拒药者。上述治疗在各起草单位中，重复经颅磁刺激应用最为广泛，MECT在有条件的单位作为二线或三线选择。</w:t>
      </w:r>
    </w:p>
    <w:p w14:paraId="689E714D">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3</w:t>
      </w:r>
      <w:r>
        <w:rPr>
          <w:rFonts w:hint="eastAsia" w:ascii="仿宋_GB2312" w:hAnsi="仿宋_GB2312" w:eastAsia="仿宋_GB2312" w:cs="仿宋_GB2312"/>
          <w:b/>
          <w:bCs w:val="0"/>
          <w:sz w:val="28"/>
          <w:szCs w:val="28"/>
        </w:rPr>
        <w:t xml:space="preserve"> 康复治疗</w:t>
      </w:r>
    </w:p>
    <w:p w14:paraId="7B1D7CD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康复治疗的四项内容设置依据：运动康复训练通过促进脑源性神经营养因子表达、改善神经可塑性，兼具改善肢体功能与抗抑郁双重效应；物理康复针对卒中后功能障碍，可提升患者自我效能感，间接改善抑郁；中医传统康复疗法（如太极、八段锦、功法训练）融合了运动、呼吸与意念调节，在改善情绪方面具有独特优势；高压氧治疗通过提高脑组织氧分压、减轻缺血再灌注损伤、促进神经修复，对PSD合并脑缺血患者具有潜在获益。上述措施在各起草单位中作为综合康复方案常规实施。</w:t>
      </w:r>
    </w:p>
    <w:p w14:paraId="1320B363">
      <w:pPr>
        <w:pStyle w:val="33"/>
        <w:spacing w:before="0" w:beforeLines="0" w:after="0" w:afterLines="0"/>
        <w:ind w:firstLine="560"/>
        <w:jc w:val="both"/>
        <w:outlineLvl w:val="3"/>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lang w:eastAsia="zh-CN"/>
        </w:rPr>
        <w:t>2.4</w:t>
      </w:r>
      <w:r>
        <w:rPr>
          <w:rFonts w:hint="eastAsia" w:ascii="仿宋_GB2312" w:hAnsi="仿宋_GB2312" w:eastAsia="仿宋_GB2312" w:cs="仿宋_GB2312"/>
          <w:b/>
          <w:bCs w:val="0"/>
          <w:sz w:val="28"/>
          <w:szCs w:val="28"/>
        </w:rPr>
        <w:t xml:space="preserve"> 药物治疗</w:t>
      </w:r>
    </w:p>
    <w:p w14:paraId="4006CBE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2.4</w:t>
      </w:r>
      <w:r>
        <w:rPr>
          <w:rFonts w:hint="eastAsia" w:ascii="仿宋_GB2312" w:hAnsi="仿宋_GB2312" w:eastAsia="仿宋_GB2312" w:cs="仿宋_GB2312"/>
          <w:sz w:val="28"/>
          <w:szCs w:val="28"/>
        </w:rPr>
        <w:t>.1 治疗要求的设置：评估癫痫、跌倒、谵妄等风险因素，因卒中患者以老年人为主，存在上述风险；初始剂量为最小推荐剂量的1/4～1/2并缓慢增减，可降低不良反应；症状缓解后维持治疗4～6个月，基于PSD复发率高的特点；4～6周无效即请精神科会诊，避免长期无效治疗。</w:t>
      </w:r>
    </w:p>
    <w:p w14:paraId="3C3A702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2.4</w:t>
      </w:r>
      <w:r>
        <w:rPr>
          <w:rFonts w:hint="eastAsia" w:ascii="仿宋_GB2312" w:hAnsi="仿宋_GB2312" w:eastAsia="仿宋_GB2312" w:cs="仿宋_GB2312"/>
          <w:sz w:val="28"/>
          <w:szCs w:val="28"/>
        </w:rPr>
        <w:t>.2 监测内容（依从性、疗效、症状变化）的设定，源于PSD患者常因药物不良反应或病情波动而自行停药或减量，定期监测有助于早期识别和干预。</w:t>
      </w:r>
    </w:p>
    <w:p w14:paraId="25A2939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2.4</w:t>
      </w:r>
      <w:r>
        <w:rPr>
          <w:rFonts w:hint="eastAsia" w:ascii="仿宋_GB2312" w:hAnsi="仿宋_GB2312" w:eastAsia="仿宋_GB2312" w:cs="仿宋_GB2312"/>
          <w:sz w:val="28"/>
          <w:szCs w:val="28"/>
        </w:rPr>
        <w:t>.3 本文件将抗抑郁药物分为SSRIs、SNRI、NaSSA、TCAs及其他药物五类。SSRIs为临床一线抗抑郁药；SNRI需重点关注心率增快及Q-T间期延长，故明确癫痫患者慎用；TCAs抗胆碱能和心血管不良反应显著，故规定不良反应较重者应减量、停药或换药；黛力新注明每片成分含量（0.5 mg/10 mg），便于临床剂量换算。各类药物不良反应监测条目的设置，基于其已知药理特性和临床常见不良反应谱。本文件未规定具体给药剂量，因卒中患者个体差异大，剂量应依据患者年龄、体重、肝肾功能及合并用药情况个体化调整。</w:t>
      </w:r>
    </w:p>
    <w:p w14:paraId="4C00A09C">
      <w:pPr>
        <w:pStyle w:val="33"/>
        <w:spacing w:before="0" w:beforeLines="0" w:after="0" w:afterLines="0" w:line="240" w:lineRule="auto"/>
        <w:ind w:left="0" w:leftChars="0" w:firstLine="0" w:firstLineChars="0"/>
        <w:jc w:val="center"/>
      </w:pPr>
      <w:r>
        <w:drawing>
          <wp:inline distT="0" distB="0" distL="114300" distR="114300">
            <wp:extent cx="2504440" cy="2619375"/>
            <wp:effectExtent l="9525" t="9525" r="19685" b="190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2504440" cy="2619375"/>
                    </a:xfrm>
                    <a:prstGeom prst="rect">
                      <a:avLst/>
                    </a:prstGeom>
                    <a:noFill/>
                    <a:ln>
                      <a:solidFill>
                        <a:schemeClr val="tx1"/>
                      </a:solidFill>
                    </a:ln>
                  </pic:spPr>
                </pic:pic>
              </a:graphicData>
            </a:graphic>
          </wp:inline>
        </w:drawing>
      </w:r>
    </w:p>
    <w:p w14:paraId="33330D85">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来源：卒中后抑郁临床实践的中国专家共识</w:t>
      </w:r>
    </w:p>
    <w:p w14:paraId="21B89387">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中医</w:t>
      </w:r>
    </w:p>
    <w:p w14:paraId="4074DE18">
      <w:pPr>
        <w:pStyle w:val="33"/>
        <w:spacing w:before="0" w:beforeLines="0" w:after="0" w:afterLines="0"/>
        <w:ind w:firstLine="560"/>
        <w:jc w:val="both"/>
        <w:outlineLvl w:val="2"/>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3.1 内服法</w:t>
      </w:r>
    </w:p>
    <w:p w14:paraId="5B9577CA">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内服法针对肝郁气滞证、气郁化火证、痰热扰神证、心脾两虚证、肝肾阴虚证、瘀血阻络证六个证型，分别规定了推荐方药、药物组成、加减、煎服方法和疗程。各证型的煎服方法均为每日1剂，水煎成400 mL，分2次温服；疗程均为2周为一个疗程，服用1个疗程后视病情调整用药。以下不再重复列出，仅对各方药及加减的依据进行分析。</w:t>
      </w:r>
    </w:p>
    <w:p w14:paraId="6300279C">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（1）证型与方药设置的总体依据</w:t>
      </w:r>
    </w:p>
    <w:p w14:paraId="220B795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六个证型涵盖了卒中后抑郁从气郁→化火→生痰→致虚→成瘀的完整病机演变过程。肝郁气滞证为郁病之始，多见于卒中后早期，患者因突发病残而产生心理应激，肝气首当受抑；气郁化火证为郁久化热之变，常见于急躁易怒或康复进展缓慢者；痰热扰神证针对卒中后卧床、肺部感染所致的痰热互结病机，为本标准的重要增补证型；心脾两虚证见于病程迁延、气血耗伤者，患者常伴明显疲乏、纳差、失眠；肝肾阴虚证反映中老年患者肾精渐亏、水不涵木的体质基础，多见于高龄或合并慢性病者；瘀血阻络证则体现卒中后“瘀血”贯穿始终的核心病理，适用于影像学有明确病灶或伴有血瘀征象者。六证型既可单独存在，又可相兼出现，临床由医师根据主次病机灵活辨证。</w:t>
      </w:r>
    </w:p>
    <w:p w14:paraId="3C75FC4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（2）肝郁气滞证方药选择依据</w:t>
      </w:r>
    </w:p>
    <w:p w14:paraId="2B534C18">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柴胡疏肝散加减。该方出自《景岳全书》，由柴胡、枳壳、白芍、香附、川芎、陈皮、甘草组成，功善疏肝解郁、理气和中，是治疗郁病肝气郁结的经典方剂。本方针对卒中后抑郁气机郁滞的核心病机，使肝气条达、气机通畅。在药物组成上，保留原方柴胡、枳壳、白芍、香附、川芎、陈皮，加田七叶、鸡血藤。田七叶活血化瘀、鸡血藤养血通络，两味药的加入，是针对卒中后脑络瘀阻的病理特点而设。卒中后抑郁患者大多存在脑梗死或脑出血的基础病变，瘀血是其发病前提，故在疏肝解郁的同时佐以活血通络之品，体现了“病证结合”的用药思路。</w:t>
      </w:r>
    </w:p>
    <w:p w14:paraId="5BA16721">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加减条目的设置基于临床常见兼夹症状：胸胁胀痛明显加郁金、延胡索行气止痛；嗳气呃逆频繁加代赭石、旋覆花降逆止呃；食欲差、腹胀加炒麦芽、厚朴消食导滞；失眠多梦加合欢皮、夜交藤安神解郁；口干口苦心烦加栀子、牡丹皮清热除烦。各加减药物均为临床验证有效的常用对药。</w:t>
      </w:r>
    </w:p>
    <w:p w14:paraId="7E4F21AE">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（3）气郁化火证方药选择依据</w:t>
      </w:r>
    </w:p>
    <w:p w14:paraId="15C19EBF">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丹栀逍遥散加减。该方由逍遥散加丹皮、栀子而成，逍遥散疏肝解郁、健脾养血，丹皮、栀子清热凉血、泻火除烦，全方疏肝与清火并施，适用于气郁化火之证。卒中后抑郁患者肝郁日久，气有余便是火，表现为烦躁易怒、口苦咽干、便秘溲赤等，丹栀逍遥散切中病机。在药物组成上，保留丹皮、栀子、柴胡、白芍、当归、茯苓，未用原方薄荷、煨姜、甘草，使方药更为精炼。加减中选用三叉苦、两面针等以增强清热祛湿之力，体现了标准对湿热证型的关注。其他加减条目如川楝子、郁金行气止痛，黄连、龙胆草泻火除烦，决明子、大黄通便泄热，夏枯草、菊花清肝明目，黄连、吴茱萸清肝和胃止呕，均为基于药性理论和临床经验的常用配伍。</w:t>
      </w:r>
    </w:p>
    <w:p w14:paraId="4DBE993A">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（4）痰热扰神证方药选择依据</w:t>
      </w:r>
    </w:p>
    <w:p w14:paraId="2ACABC77">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黄连温胆汤加减。该方出自《六因条辨》，由黄连、半夏、陈皮、茯苓、竹茹、枳实等组成，功能清热化痰、安神定志，为痰热扰心的代表方。本证型为本标准的重要增补证型。卒中急性期患者常因卧床、吞咽困难而活动减少，或并发肺部感染，加之中风前多有饮食不节、嗜食肥甘厚味，导致脾失健运，痰湿内生，郁而化热，痰热上扰心神，故见心绪不宁、烦躁不安、胸闷脘痞、头重如裹等症。黄连温胆汤中黄连清热燥湿，半夏、陈皮、茯苓、竹茹、枳实化痰理气，诸药合用，痰热俱清。加减条目中，胆南星、天竺黄增强化痰之力；龙骨、牡蛎重镇安神；瓜蒌、生姜化痰降逆；天麻、白术健脾化痰止眩；大黄、瓜蒌仁通腑泄热；黄芩、栀子加强清热。本证型及方药的设置，填补了现有郁病辨证体系中“痰热扰神”未被单列的空白。</w:t>
      </w:r>
    </w:p>
    <w:p w14:paraId="4EA4BA7E">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（5）心脾两虚证方药选择依据</w:t>
      </w:r>
    </w:p>
    <w:p w14:paraId="388CFC4D">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归脾汤加减。该方出自《济生方》，由黄芪、党参、白术、当归、龙眼肉、远志等组成，功能益气补血、健脾养心，为心脾气血两虚之首选方。卒中后抑郁患者病程迁延，常因久病耗伤气血，加之卒中后进食困难、营养摄入不足、思虑过度，导致心脾两虚，表现为情绪低落、心悸失眠、健忘、食欲不振、腹胀便溏、神疲乏力等。归脾汤中黄芪、党参、白术健脾益气，当归、龙眼肉养血安神，远志交通心肾，切中病机。加减条目中，酸枣仁、柏子仁增强养心安神之力；五味子、夜交藤敛阴安神；茯苓、山药、砂仁健脾化湿；熟地、阿胶滋阴补血；炙甘草、大枣益气和中；仙鹤草、艾叶炭收敛止血，针对月经不调者。上述加减均基于气血两虚可能出现的兼夹症状而设。</w:t>
      </w:r>
    </w:p>
    <w:p w14:paraId="37C23126">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（6）肝肾阴虚证方药选择依据</w:t>
      </w:r>
    </w:p>
    <w:p w14:paraId="568727F6">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一贯煎合六味地黄丸加减。一贯煎出自《续名医类案》，由北沙参、麦冬、当归、生地黄、枸杞子、川楝子组成，功能滋养肝肾、疏肝理气；六味地黄丸出自《小儿药证直诀》，由熟地黄、山茱萸、山药、茯苓、泽泻、丹皮组成，功能滋阴补肾。两方合用，肝肾同补，兼顾疏肝。卒中多发于中老年人，其生理基础即为肾精渐亏，脑髓失养。卒中后情志不遂，肝气郁结，日久化火伤阴，或素体肾阴不足，水不涵木，致肝阴亦虚，形成肝肾阴虚。本证型多见于老年、病程长、合并高血压或糖尿病等慢性基础疾病的患者，其治疗需滋养肝肾与疏肝解郁并行，不可一味疏肝耗伤阴液。加减条目中，女贞子、旱莲草增强滋阴之力；杜仲、牛膝补肾强腰；酸枣仁、夜交藤安神；知母、黄柏、地骨皮清虚热；玄参、石斛润燥生津；金樱子、芡实固精缩尿；阿胶、丹参养血调经。本证型的设置，突出了卒中后抑郁“虚中夹郁”的病机特点。</w:t>
      </w:r>
    </w:p>
    <w:p w14:paraId="4AD323F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（7）瘀血阻络证方药选择依据</w:t>
      </w:r>
    </w:p>
    <w:p w14:paraId="0C99A65D">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荐方药为温胆汤合桃红四物汤加减。温胆汤（半夏、陈皮、茯苓、枳实等）化痰理气，桃红四物汤（桃仁、红花、川芎、当归、白芍、熟地）活血化瘀。两方合用，痰瘀同治。卒中核心病机为“瘀血阻络”，卒中后抑郁作为并发症，瘀血是其重要的病理基础。瘀血内阻，脑络不通，气机不畅，故见情绪抑郁；瘀血阻滞经络则见头痛或肢体刺痛、部位固定；痰瘀互结则病情缠绵。本证型的设置体现了“从瘀论治”的理念。加减条目中，全蝎、蜈蚣搜风通络止痛；丹参、赤芍增强活血之力；鸡血藤、桂枝养血通络；石菖蒲、郁金化痰开窍；水蛭、地龙破血逐瘀；瓜蒌、薤白宽胸散结；益母草、蒲黄活血止血。本方药性偏于攻伐，临床应用时应根据患者体质调整，中病即止。</w:t>
      </w:r>
    </w:p>
    <w:p w14:paraId="6BE01C97">
      <w:pPr>
        <w:pStyle w:val="33"/>
        <w:spacing w:before="0" w:beforeLines="0" w:after="0" w:afterLines="0"/>
        <w:ind w:firstLine="560"/>
        <w:jc w:val="both"/>
        <w:outlineLvl w:val="2"/>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rPr>
        <w:t>3.2 外治法</w:t>
      </w:r>
    </w:p>
    <w:p w14:paraId="54D60AFC">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外治法包括体针、耳针、推拿、壮瑶医药熨、壮医敷贴和壮医药线点灸六类技术。以下分别说明各类技术的设置依据。</w:t>
      </w:r>
    </w:p>
    <w:p w14:paraId="4EA8675E">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3.2.1 体针</w:t>
      </w:r>
    </w:p>
    <w:p w14:paraId="16F101A9">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体针按GB/T 21709.21执行，留针30 min。各证型所选穴位及针法如标准正文所列，其配伍依据如下。</w:t>
      </w:r>
    </w:p>
    <w:p w14:paraId="48189F22">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1）肝郁气滞证：取百会、印堂、神门、内关、太冲、三阴交，平补平泻。百会、印堂为督脉穴，督脉入络脑，二穴合用可调神醒脑、升阳解郁；神门（心经原穴）、内关（心包经络穴）宁心安神；太冲（肝经原穴）疏肝解郁；三阴交为肝、脾、肾三经交会穴，调理三脏气血。六穴共奏调神、疏肝、安神之效。</w:t>
      </w:r>
    </w:p>
    <w:p w14:paraId="06D5FAFD">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2）气郁化火证：取太冲、行间、内关、神门、阳陵泉、百会，用泻法或平补平泻。本证在肝郁基础上化火，故去三阴交（恐补益助热），保留太冲疏肝，加行间（肝经荥穴，清泻肝火）、阳陵泉（胆经合穴，清泄胆热），以增强清热泻火之力；针用泻法，体现“实则泻之”。</w:t>
      </w:r>
    </w:p>
    <w:p w14:paraId="7B0D2621">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3）痰热扰神证：取丰隆、内关、神门、太冲、中脘、百会，用泻法或平补平泻。丰隆（胃经络穴）为化痰要穴，中脘（胃之募穴）和胃降浊，二者合用化痰清热；内关、神门、百会宁心安神；太冲疏肝理气，助气行则痰消。针用泻法或平补平泻，以化痰清热、安神定志。</w:t>
      </w:r>
    </w:p>
    <w:p w14:paraId="66282421">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4）心脾两虚证：取心俞、脾俞、神门、足三里、三阴交、百会，用补法或平补平泻。心俞、脾俞（背俞穴）补益心脾；足三里（胃经合穴）益气养血；三阴交调理肝脾肾以助生血；神门、百会宁心安神。针用补法，体现“虚则补之”。</w:t>
      </w:r>
    </w:p>
    <w:p w14:paraId="01C3C066">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5）肝肾阴虚证：取肝俞、肾俞、太溪、三阴交、太冲、百会、神门，用平补平泻或补法。肝俞、肾俞补益肝肾；太溪（肾经原穴）滋补肾阴；三阴交调理肝脾肾以助滋阴；太冲疏肝，百会、神门安神。针用平补平泻或补法，避免泻法更伤阴血。</w:t>
      </w:r>
    </w:p>
    <w:p w14:paraId="31CD527E">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6）瘀血阻络证：取血海、膈俞、内关、神门、太冲、丰隆，用泻法或平补平泻。血海（脾经穴）活血化瘀，膈俞为血会，活血通络；丰隆化痰，三穴合用痰瘀同治；内关、神门、太冲宁心安神、疏肝理气。针用泻法或平补平泻，以活血通络、化痰开窍。</w:t>
      </w:r>
    </w:p>
    <w:p w14:paraId="702C44AD">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3.2.2 耳针</w:t>
      </w:r>
    </w:p>
    <w:p w14:paraId="60C6EDFA">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耳针按GB/T 21709.3执行。耳穴与脏腑经络存在对应关系，通过刺激耳穴可调节相应脏腑功能及自主神经状态。各证型所选穴位如标准正文所列，其配伍依据如下。</w:t>
      </w:r>
    </w:p>
    <w:p w14:paraId="622D6CAF">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（1）肝郁气滞证：取心、肝、肾、神门、皮质下。心主神明，肝主疏泄，肾藏精，三脏同调以安神疏郁；神门、皮质下为耳针常用要穴，可镇静安神、调节大脑皮层功能。</w:t>
      </w:r>
    </w:p>
    <w:p w14:paraId="0C7E60A7">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（2）气郁化火证：取肝、胆、心、神门、交感。取肝、胆以清泄郁火；交感穴调节自主神经，缓解焦虑；去肾、皮质下，加胆、交感，增强清热泻火之力。</w:t>
      </w:r>
    </w:p>
    <w:p w14:paraId="4FD40206">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（3）痰热扰神证：取心、脾、神门、皮质下、交感。加脾以健脾化痰（脾为生痰之源）；皮质下、交感调节紊乱的自主神经；去肝、肾，免滋腻助痰。</w:t>
      </w:r>
    </w:p>
    <w:p w14:paraId="00885810">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（4）心脾两虚证：取心、脾、神门、皮质下、肾。心、脾同补以益气养血，加肾以固本培元；去肝、胆，防疏泄太过耗气。</w:t>
      </w:r>
    </w:p>
    <w:p w14:paraId="741311B2">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（5）肝肾阴虚证：取肝、肾、心、神门、内分泌。肝、肾同补，内分泌穴调节内分泌功能，适用于阴虚所致的神经内分泌紊乱；去皮质下，以防过度刺激加重虚火。</w:t>
      </w:r>
    </w:p>
    <w:p w14:paraId="597E115F">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（6）瘀血阻络证：取心、肝、皮质下、神门、交感。心、肝调神疏肝；皮质下、交感调节血管舒缩功能，有助于改善脑部血液循环；去肾，因本证以实为主。</w:t>
      </w:r>
    </w:p>
    <w:p w14:paraId="3B8573FB">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3.2.3 推拿</w:t>
      </w:r>
    </w:p>
    <w:p w14:paraId="0972F3E0">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推拿各证型操作方法如标准正文所列。推拿作为非药物疗法，通过手法刺激体表特定部位，达到疏通经络、调节脏腑、安神定志的作用。各证型操作方法的依据如下。</w:t>
      </w:r>
    </w:p>
    <w:p w14:paraId="3208FC3D">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1）肝郁气滞证：行头面部开天门、推坎宫、揉太阳、拿五经，躯干部按揉背俞穴、捏脊，四肢点按合谷、太冲、阳陵泉。开天门、推坎宫、拿五经可安神定志、疏通头部经气；揉太阳疏风解郁；按揉背俞穴调节相应脏腑功能；捏脊自下而上刺激督脉及膀胱经，调畅全身气机；点按合谷、太冲（开四关）通调气血、疏肝解郁；阳陵泉为筋会，舒筋活络、缓解躯体紧张。</w:t>
      </w:r>
    </w:p>
    <w:p w14:paraId="4DBA05F8">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2）气郁化火证：行头面部拿五经、揉太阳、点按风池，躯干部按揉肝俞、胆俞、心俞，四肢点按太冲、侠溪、内庭。去开天门、推坎宫，加风池以清泻胆热、平肝熄风；按揉肝俞、胆俞清泄郁火，心俞宁心安神；点按太冲疏肝，侠溪（胆经荥穴）清泻胆火，内庭（胃经荥穴）清泻胃热，三穴合用清泻三焦火热。</w:t>
      </w:r>
    </w:p>
    <w:p w14:paraId="79007F58">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3）痰热扰神证：行头面部开天门、点按百会、揉太阳，躯干部按揉中脘、天枢、脾俞、胃俞，四肢点按丰隆、内关、足三里、太冲。开天门、点按百会、揉太阳安神醒脑；按揉中脘（胃募）、天枢（大肠募）、脾俞、胃俞健脾和胃、化痰降浊；点按丰隆化痰要穴，内关宽胸理气，足三里健脾益气，太冲疏肝理气，共奏化痰清热、安神定志之功。</w:t>
      </w:r>
    </w:p>
    <w:p w14:paraId="319C05CF">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4）心脾两虚证：行头面部揉太阳、按百会、拿五经，躯干部按揉心俞、脾俞、膈俞、捏脊（从下至上，以补为主），四肢点按足三里、三阴交、内关、神门。揉太阳、按百会、拿五经安神定志；按揉心俞、脾俞补益心脾，膈俞养血，捏脊从下至上以补为主，益气养血、调理脏腑；点按足三里益气养血，三阴交调理肝脾肾以助生血，内关、神门宁心安神。</w:t>
      </w:r>
    </w:p>
    <w:p w14:paraId="2E830D4A">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5）肝肾阴虚证：行头面部揉太阳、点按百会、拿五经，躯干部按揉肝俞、肾俞、命门、关元，四肢点按太溪、三阴交、太冲、涌泉。揉太阳、点按百会、拿五经安神定志；按揉肝俞、肾俞补益肝肾，命门温补肾阳（阳中求阴），关元培补元气；点按太溪滋补肾阴，三阴交调理肝脾肾以助滋阴，太冲疏肝，涌泉引火归元、滋阴降火。</w:t>
      </w:r>
    </w:p>
    <w:p w14:paraId="3CD326E0">
      <w:pPr>
        <w:pStyle w:val="33"/>
        <w:spacing w:before="0" w:beforeLines="0" w:after="0" w:afterLines="0"/>
        <w:ind w:firstLine="560"/>
        <w:jc w:val="both"/>
        <w:rPr>
          <w:rFonts w:hint="eastAsia" w:ascii="仿宋_GB2312" w:hAnsi="仿宋_GB2312" w:eastAsia="仿宋_GB2312" w:cs="仿宋_GB2312"/>
          <w:b w:val="0"/>
          <w:bCs/>
          <w:sz w:val="28"/>
          <w:szCs w:val="28"/>
          <w:lang w:eastAsia="zh-CN"/>
        </w:rPr>
      </w:pPr>
      <w:r>
        <w:rPr>
          <w:rFonts w:hint="eastAsia" w:ascii="仿宋_GB2312" w:hAnsi="仿宋_GB2312" w:eastAsia="仿宋_GB2312" w:cs="仿宋_GB2312"/>
          <w:b w:val="0"/>
          <w:bCs/>
          <w:sz w:val="28"/>
          <w:szCs w:val="28"/>
          <w:lang w:eastAsia="zh-CN"/>
        </w:rPr>
        <w:t>（6）瘀血阻络证：行头面部点按百会、揉太阳、拿五经，躯干部按揉膈俞、肝俞、血海、膻中，四肢点按血海、三阴交、合谷、太冲。点按百会、揉太阳、拿五经安神醒脑、疏通头部经气；按揉膈俞（血会）、肝俞（藏血）、血海活血化瘀，膻中（气会）调畅气机，助血行；点按血海活血化瘀，三阴交调理肝脾肾以助活血，合谷配太冲通调气血、疏肝解郁。</w:t>
      </w:r>
    </w:p>
    <w:p w14:paraId="3065A55F">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3.2.4 壮瑶医药熨</w:t>
      </w:r>
    </w:p>
    <w:p w14:paraId="499F943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壮瑶医药熨按DB45/T 2791的要求执行。药熨疗法将药物加热后熨烫于穴位或患处，通过药热协同作用温通经络、散寒除湿、活血化瘀。各证型所用药物及熨烫部位如标准正文所列，其配伍依据如下。</w:t>
      </w:r>
    </w:p>
    <w:p w14:paraId="476B0C37">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肝郁气滞证：取干姜、桂枝、艾叶熨百会、大椎、神阙及腰背部。干姜、桂枝、艾叶均为辛温之品，有温经散寒、通阳解郁之效。气郁则气机不畅，气血运行滞涩，局部失于温煦，故用温热药熨以温通行气。百会为诸阳之会，升阳解郁；大椎为手足三阳与督脉交会穴，可通阳行气；神阙为先天之蒂，温补元阳；腰背部为膀胱经所过，背俞穴分布于此，熨之可调畅脏腑气机。药熨以温助气行，使郁滞得通。</w:t>
      </w:r>
    </w:p>
    <w:p w14:paraId="04E6808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气郁化火证：取大黄、黄芩、栀子等清热药熨大椎、曲池、合谷及背部膀胱经。大黄泻火解毒，黄芩清热燥湿，栀子泻火除烦，三药合用清热泻火之力强。气郁化火者不宜再用温热药，故改用清热之品。大椎为清热要穴；曲池、合谷为手阳明经穴，阳明多气多血，泻之可清泄气分之热；背部膀胱经为脏腑俞穴所在，熨之可清脏腑之热。药熨以清热泻火，使郁火得降。</w:t>
      </w:r>
    </w:p>
    <w:p w14:paraId="7C9C308F">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3）痰热扰神证：取法半夏、陈皮、竹茹、枳实等化痰药熨中脘、背部膈俞至胃俞区域。法半夏燥湿化痰，陈皮理气化痰，竹茹清热化痰，枳实行气消痰，四药合用化痰清热。中脘为胃之募穴，熨之可和胃降浊；背部膈俞至胃俞区域，涵盖膈俞（血会）、脾俞、胃俞，熨之可健脾和胃、化痰降逆。药熨以化痰清热，使痰热得清。</w:t>
      </w:r>
    </w:p>
    <w:p w14:paraId="0C376F13">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4）心脾两虚证：取党参、黄芪、当归、桂枝等温补药熨关元、气海、脾俞、肾俞等穴。党参、黄芪益气健脾，当归养血和血，桂枝温通经脉。四药温补气血，适用于虚证。关元、气海为任脉要穴，培补元气；脾俞、肾俞补益脾肾，益气养血。药熨以温补，使气血得充、心神得养。</w:t>
      </w:r>
    </w:p>
    <w:p w14:paraId="12919692">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5）肝肾阴虚证：取熟地黄、山茱萸、枸杞子、女贞子等滋肾药熨肾俞、命门、关元、涌泉等穴。熟地黄滋阴补肾，山茱萸补益肝肾，枸杞子滋补肝肾，女贞子滋阴清热。四药合用滋养肝肾之阴。肾俞、命门补肾固本，关元培补元气，涌泉为肾经井穴，熨之可滋阴降火、引火归元。药熨以滋阴，使阴液得充、虚火得降。</w:t>
      </w:r>
    </w:p>
    <w:p w14:paraId="353D7E8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6）瘀血阻络证：取桃仁、红花、川芎、丹参等活血药熨疼痛部位及膈俞、血海、肝俞等穴。桃仁、红花活血化瘀，川芎行气活血，丹参凉血活血。四药合用活血通络。疼痛部位即阿是穴，熨之可直接化瘀止痛；膈俞为血会，血海为活血要穴，肝俞藏血，熨之可增强活血化瘀之力。药熨以化瘀，使瘀血得除、经络得通。</w:t>
      </w:r>
    </w:p>
    <w:p w14:paraId="32E4698B">
      <w:pPr>
        <w:pStyle w:val="33"/>
        <w:spacing w:before="0" w:beforeLines="0" w:after="0" w:afterLines="0" w:line="240" w:lineRule="auto"/>
        <w:ind w:left="0" w:leftChars="0" w:firstLine="0" w:firstLineChars="0"/>
        <w:jc w:val="center"/>
        <w:rPr>
          <w:rFonts w:hint="eastAsia"/>
          <w:lang w:eastAsia="zh-CN"/>
        </w:rPr>
      </w:pPr>
      <w:r>
        <w:drawing>
          <wp:inline distT="0" distB="0" distL="114300" distR="114300">
            <wp:extent cx="3693795" cy="4801870"/>
            <wp:effectExtent l="0" t="0" r="1905" b="1778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a:stretch>
                      <a:fillRect/>
                    </a:stretch>
                  </pic:blipFill>
                  <pic:spPr>
                    <a:xfrm>
                      <a:off x="0" y="0"/>
                      <a:ext cx="3693795" cy="4801870"/>
                    </a:xfrm>
                    <a:prstGeom prst="rect">
                      <a:avLst/>
                    </a:prstGeom>
                    <a:noFill/>
                    <a:ln>
                      <a:noFill/>
                    </a:ln>
                  </pic:spPr>
                </pic:pic>
              </a:graphicData>
            </a:graphic>
          </wp:inline>
        </w:drawing>
      </w:r>
    </w:p>
    <w:p w14:paraId="2C8D4030">
      <w:pPr>
        <w:pStyle w:val="33"/>
        <w:spacing w:before="0" w:beforeLines="0" w:after="0" w:afterLines="0" w:line="240" w:lineRule="auto"/>
        <w:ind w:left="0" w:leftChars="0" w:firstLine="0" w:firstLineChars="0"/>
        <w:jc w:val="center"/>
        <w:rPr>
          <w:rFonts w:hint="eastAsia"/>
          <w:lang w:eastAsia="zh-CN"/>
        </w:rPr>
      </w:pPr>
      <w:r>
        <w:rPr>
          <w:rFonts w:hint="eastAsia"/>
          <w:lang w:eastAsia="zh-CN"/>
        </w:rPr>
        <w:t>来源：DB45/T 2791</w:t>
      </w:r>
    </w:p>
    <w:p w14:paraId="1AA48D14">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3.2.5 壮医敷贴</w:t>
      </w:r>
    </w:p>
    <w:p w14:paraId="7695D4B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壮医敷贴按DB45/T 2792的要求执行。敷贴疗法将药物制成膏贴敷于穴位，通过经皮吸收发挥作用。各证型所用药物及贴敷部位如标准正文所列，其配伍依据如下。</w:t>
      </w:r>
    </w:p>
    <w:p w14:paraId="641AA2CF">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（1）肝郁气滞证：敷贴选内关、太冲、心俞。内关宁心安神，太冲疏肝解郁，心俞调心气。本证仅敷贴穴位，未使用特定壮药膏，以穴位刺激为主。</w:t>
      </w:r>
    </w:p>
    <w:p w14:paraId="00A8B214">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（2）气郁化火证：壮医敷贴取太冲、内关、心俞，用清热解郁类壮药膏贴敷。太冲疏肝，内关、心俞宁心，配合清热解郁类壮药膏（如含栀子、丹皮等成分），共奏清肝泻火、解郁安神之效。</w:t>
      </w:r>
    </w:p>
    <w:p w14:paraId="2F14A6D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（3）痰热扰神证：壮医敷贴取内关、神门、丰隆，用化痰安神类壮药膏贴敷。内关、神门宁心安神，丰隆化痰要穴，配合化痰安神类壮药膏（如含半夏、竹茹等成分），共奏化痰清热、安神定志之效。</w:t>
      </w:r>
    </w:p>
    <w:p w14:paraId="782F6806">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（4）心脾两虚证：壮医敷贴取神门、内关、足三里，用健脾养心类壮药膏贴敷。神门、内关宁心安神，足三里益气养血，配合健脾养心类壮药膏（如含党参、黄芪等成分），共奏补益心脾、安神定志之效。</w:t>
      </w:r>
    </w:p>
    <w:p w14:paraId="18DF07B8">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5）肝肾阴虚证：壮医敷贴取太溪、三阴交、神门，用滋阴补肾类壮药膏贴敷。太溪滋补肾阴，三阴交调理肝脾肾，神门安神，配合滋阴补肾类壮药膏（如含熟地黄、山茱萸等成分），共奏滋养肝肾、安神定志之效。</w:t>
      </w:r>
    </w:p>
    <w:p w14:paraId="74BC2A00">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（6）瘀血阻络证：壮医敷贴取血海、内关、神门，用活血通络类壮药膏贴敷。血海活血化瘀，内关、神门宁心安神，配合活血通络类壮药膏（如含桃仁、红花等成分），共奏活血化瘀、通络安神之效。</w:t>
      </w:r>
    </w:p>
    <w:p w14:paraId="12DFF0E6">
      <w:pPr>
        <w:pStyle w:val="33"/>
        <w:spacing w:before="0" w:beforeLines="0" w:after="0" w:afterLines="0" w:line="240" w:lineRule="auto"/>
        <w:ind w:left="0" w:leftChars="0" w:firstLine="0" w:firstLineChars="0"/>
        <w:jc w:val="center"/>
        <w:rPr>
          <w:rFonts w:hint="eastAsia"/>
          <w:lang w:eastAsia="zh-CN"/>
        </w:rPr>
      </w:pPr>
      <w:r>
        <w:drawing>
          <wp:inline distT="0" distB="0" distL="114300" distR="114300">
            <wp:extent cx="3867150" cy="4716780"/>
            <wp:effectExtent l="0" t="0" r="0" b="762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
                    <a:stretch>
                      <a:fillRect/>
                    </a:stretch>
                  </pic:blipFill>
                  <pic:spPr>
                    <a:xfrm>
                      <a:off x="0" y="0"/>
                      <a:ext cx="3867150" cy="4716780"/>
                    </a:xfrm>
                    <a:prstGeom prst="rect">
                      <a:avLst/>
                    </a:prstGeom>
                    <a:noFill/>
                    <a:ln>
                      <a:noFill/>
                    </a:ln>
                  </pic:spPr>
                </pic:pic>
              </a:graphicData>
            </a:graphic>
          </wp:inline>
        </w:drawing>
      </w:r>
    </w:p>
    <w:p w14:paraId="6C259CDC">
      <w:pPr>
        <w:pStyle w:val="33"/>
        <w:spacing w:before="0" w:beforeLines="0" w:after="0" w:afterLines="0" w:line="240" w:lineRule="auto"/>
        <w:ind w:left="0" w:leftChars="0" w:firstLine="0" w:firstLineChars="0"/>
        <w:jc w:val="center"/>
        <w:rPr>
          <w:rFonts w:hint="eastAsia"/>
          <w:lang w:eastAsia="zh-CN"/>
        </w:rPr>
      </w:pPr>
      <w:r>
        <w:rPr>
          <w:rFonts w:hint="eastAsia"/>
          <w:lang w:eastAsia="zh-CN"/>
        </w:rPr>
        <w:t>来源：DB45/T 2792</w:t>
      </w:r>
    </w:p>
    <w:p w14:paraId="7838B171">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3.2.6 壮医药线点灸</w:t>
      </w:r>
    </w:p>
    <w:p w14:paraId="72CBBE0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壮医药线点灸按DB45/T 2789的要求执行，每周2～3次。药线点灸以药线点燃后点灸穴位，通过热力和药效刺激穴位，调和气血。各证型取穴及频率如标准正文所列，其配伍依据如下。</w:t>
      </w:r>
    </w:p>
    <w:p w14:paraId="2B2F08A5">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（1）肝郁气滞证：取脐环穴、百会、印堂。脐环穴为壮医常用要穴，位于脐周，点灸可调节全身气机；百会、印堂调神醒脑、疏肝解郁。三穴共奏行气解郁、安神定志之效。</w:t>
      </w:r>
    </w:p>
    <w:p w14:paraId="5609A6F7">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（2）气郁化火证：取脐环穴、耳尖、大敦、行间。脐环穴调气；耳尖为清热要穴，点灸可泻火；大敦（肝经井穴）、行间（肝经荥穴）清泻肝火。四穴合用清肝泻火、解郁安神。</w:t>
      </w:r>
    </w:p>
    <w:p w14:paraId="0B626A3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（3）痰热扰神证：取脐环穴、丰隆、内关、膻中。脐环穴调气；丰隆化痰要穴；内关宁心安神；膻中为气会，点灸可宽胸理气。四穴合用化痰清热、安神定志。</w:t>
      </w:r>
    </w:p>
    <w:p w14:paraId="7883FC79">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（4）心脾两虚证：取脐环穴、足三里、三阴交、心俞。脐环穴调气；足三里益气养血；三阴交调理肝脾肾；心俞补益心气。四穴合用补益心脾、安神定志。</w:t>
      </w:r>
    </w:p>
    <w:p w14:paraId="125517B2">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（5）肝肾阴虚证：取脐环穴、太溪、三阴交、肝俞、肾俞。脐环穴调气；太溪滋补肾阴；三阴交调理肝脾肾；肝俞、肾俞补益肝肾。五穴合用滋养肝肾、安神定志。</w:t>
      </w:r>
    </w:p>
    <w:p w14:paraId="0BCCD3FB">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（6）瘀血阻络证：取脐环穴、血海、膈俞、内关。脐环穴调气；血海活血化瘀；膈俞为血会，活血通络；内关宁心安神。四穴合用活血化瘀、通络安神。</w:t>
      </w:r>
    </w:p>
    <w:p w14:paraId="72FF480D">
      <w:pPr>
        <w:pStyle w:val="33"/>
        <w:spacing w:before="0" w:beforeLines="0" w:after="0" w:afterLines="0" w:line="240" w:lineRule="auto"/>
        <w:ind w:left="0" w:leftChars="0" w:firstLine="0" w:firstLineChars="0"/>
        <w:jc w:val="center"/>
        <w:rPr>
          <w:rFonts w:hint="eastAsia"/>
          <w:lang w:eastAsia="zh-CN"/>
        </w:rPr>
      </w:pPr>
      <w:r>
        <w:drawing>
          <wp:inline distT="0" distB="0" distL="114300" distR="114300">
            <wp:extent cx="3413760" cy="3738880"/>
            <wp:effectExtent l="0" t="0" r="15240" b="1397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1"/>
                    <a:stretch>
                      <a:fillRect/>
                    </a:stretch>
                  </pic:blipFill>
                  <pic:spPr>
                    <a:xfrm>
                      <a:off x="0" y="0"/>
                      <a:ext cx="3413760" cy="3738880"/>
                    </a:xfrm>
                    <a:prstGeom prst="rect">
                      <a:avLst/>
                    </a:prstGeom>
                    <a:noFill/>
                    <a:ln>
                      <a:noFill/>
                    </a:ln>
                  </pic:spPr>
                </pic:pic>
              </a:graphicData>
            </a:graphic>
          </wp:inline>
        </w:drawing>
      </w:r>
    </w:p>
    <w:p w14:paraId="336A3651">
      <w:pPr>
        <w:pStyle w:val="33"/>
        <w:spacing w:before="0" w:beforeLines="0" w:after="0" w:afterLines="0"/>
        <w:ind w:left="0" w:leftChars="0" w:firstLine="0" w:firstLineChars="0"/>
        <w:jc w:val="center"/>
        <w:outlineLvl w:val="1"/>
        <w:rPr>
          <w:rFonts w:hint="eastAsia"/>
          <w:lang w:val="en-US" w:eastAsia="zh-CN"/>
        </w:rPr>
      </w:pPr>
      <w:r>
        <w:rPr>
          <w:rFonts w:hint="eastAsia"/>
          <w:lang w:eastAsia="zh-CN"/>
        </w:rPr>
        <w:t>来源：DB45/T 27</w:t>
      </w:r>
      <w:r>
        <w:rPr>
          <w:rFonts w:hint="eastAsia"/>
          <w:lang w:val="en-US" w:eastAsia="zh-CN"/>
        </w:rPr>
        <w:t>89</w:t>
      </w:r>
    </w:p>
    <w:p w14:paraId="1CF282D8">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壮瑶医药熨、壮医敷贴、壮医药线点灸均为广西壮族自治区地方标准规范的特色民族医技术，其药物选择、穴位配伍及操作频次均依据DB45/T 2791、DB45/T 2792、DB45/T 2789及各起草单位临床实践验证确定。上述外治法的系统纳入，首次在卒中后抑郁诊疗规范中形成“中医+民族医+现代康复”的多维度干预体系。</w:t>
      </w:r>
    </w:p>
    <w:p w14:paraId="28D6C1CA">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w:t>
      </w:r>
      <w:r>
        <w:rPr>
          <w:rFonts w:hint="eastAsia" w:ascii="仿宋_GB2312" w:hAnsi="仿宋_GB2312" w:eastAsia="仿宋_GB2312" w:cs="仿宋_GB2312"/>
          <w:b/>
          <w:bCs w:val="0"/>
          <w:sz w:val="28"/>
          <w:szCs w:val="28"/>
          <w:lang w:eastAsia="zh-CN"/>
        </w:rPr>
        <w:t>三</w:t>
      </w:r>
      <w:r>
        <w:rPr>
          <w:rFonts w:hint="eastAsia" w:ascii="仿宋_GB2312" w:hAnsi="仿宋_GB2312" w:eastAsia="仿宋_GB2312" w:cs="仿宋_GB2312"/>
          <w:b/>
          <w:bCs w:val="0"/>
          <w:sz w:val="28"/>
          <w:szCs w:val="28"/>
        </w:rPr>
        <w:t>）禁忌证及慎用证</w:t>
      </w:r>
    </w:p>
    <w:p w14:paraId="203A1091">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 西医禁忌证</w:t>
      </w:r>
    </w:p>
    <w:p w14:paraId="1B0C4AB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标准规定西医禁忌证见《中国脑血管病临床管理指南（第二版）》。该指南由中国卒中学会组织编写，是当前国内脑血管病临床管理的权威依据，其中详细列明了卒中后患者进行各项治疗（包括抗抑郁药物治疗、物理治疗、康复治疗等）的禁忌情形。本标准直接引用该指南，避免重复表述，同时确保西医禁忌证的完整性和权威性。</w:t>
      </w:r>
    </w:p>
    <w:p w14:paraId="77BAFF9D">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 中医禁忌、慎用证</w:t>
      </w:r>
    </w:p>
    <w:p w14:paraId="12A1702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中医禁忌、慎用证主要针对针灸、内服中药等治疗手段的安全性考虑，结合各起草单位临床经验制定。</w:t>
      </w:r>
    </w:p>
    <w:p w14:paraId="28A46C2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针灸禁忌证：出血性疾病、严重血小板减少者，因凝血功能障碍，针刺后易引起出血或血肿；局部皮肤破损或感染者，针刺可能加重感染或导致感染扩散；孕妇腹部及腰骶部，因针刺可能刺激子宫、影响胎儿安全。上述情形列为针灸禁忌，旨在最大限度避免针刺操作导致的不良事件。</w:t>
      </w:r>
    </w:p>
    <w:p w14:paraId="562D738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（2）内服法禁忌证：对方药中的中药有过敏史者，服用后可出现过敏反应，严重者可危及生命，故列为绝对禁忌。标准中“对推荐方药中的中药有过敏者”与前述禁忌实质相同，系进一步强调。</w:t>
      </w:r>
    </w:p>
    <w:p w14:paraId="68EB037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慎用证：孕妇、产妇、哺乳期妇女、儿童属于特殊人群，其生理状态与普通成人不同，对中药的敏感性、耐受性及药物代谢能力存在差异。目前部分中药在特殊人群中的安全性数据尚不充分，且卒中后抑郁在上述人群中的循证医学证据有限。因此，本标准将其列为慎用证，不绝对禁止使用，但建议临床使用时由专科医师评估获益与风险后谨慎决策，不作为常规推荐。这一分类体现了风险分层管理的理念，既避免了绝对化限制导致部分患者无法获得治疗，又通过“慎用”提示提醒临床医生加强监测。</w:t>
      </w:r>
    </w:p>
    <w:p w14:paraId="1E0E0716">
      <w:pPr>
        <w:pStyle w:val="33"/>
        <w:spacing w:before="0" w:beforeLines="0" w:after="0" w:afterLines="0"/>
        <w:ind w:firstLine="560"/>
        <w:jc w:val="both"/>
        <w:rPr>
          <w:rFonts w:hint="eastAsia" w:ascii="仿宋_GB2312" w:hAnsi="仿宋_GB2312" w:eastAsia="仿宋_GB2312" w:cs="仿宋_GB2312"/>
          <w:sz w:val="28"/>
          <w:szCs w:val="28"/>
        </w:rPr>
      </w:pPr>
    </w:p>
    <w:p w14:paraId="2FDF2EA5">
      <w:pPr>
        <w:keepNext w:val="0"/>
        <w:keepLines w:val="0"/>
        <w:widowControl w:val="0"/>
        <w:suppressLineNumbers w:val="0"/>
        <w:spacing w:before="0" w:beforeAutospacing="0" w:after="0" w:afterAutospacing="0" w:line="480" w:lineRule="exact"/>
        <w:ind w:left="0" w:right="0" w:firstLine="560" w:firstLineChars="200"/>
        <w:jc w:val="both"/>
        <w:rPr>
          <w:rFonts w:hint="default" w:ascii="Times New Roman" w:hAnsi="Times New Roman" w:cs="Times New Roman"/>
          <w:bCs/>
          <w:sz w:val="24"/>
          <w:szCs w:val="24"/>
          <w:lang w:val="en-US"/>
        </w:rPr>
      </w:pPr>
      <w:r>
        <w:rPr>
          <w:rFonts w:hint="eastAsia" w:ascii="Times New Roman" w:hAnsi="Times New Roman" w:eastAsia="仿宋_GB2312" w:cs="Times New Roman"/>
          <w:bCs/>
          <w:kern w:val="0"/>
          <w:sz w:val="28"/>
          <w:szCs w:val="28"/>
          <w:lang w:val="en-US" w:eastAsia="zh-CN" w:bidi="ar"/>
        </w:rPr>
        <w:t>卒中后抑郁（郁病）中西医结合诊疗记录：</w:t>
      </w:r>
    </w:p>
    <w:p w14:paraId="7F9D573C">
      <w:pPr>
        <w:pStyle w:val="14"/>
        <w:keepNext w:val="0"/>
        <w:keepLines w:val="0"/>
        <w:widowControl w:val="0"/>
        <w:suppressLineNumbers w:val="0"/>
        <w:autoSpaceDE w:val="0"/>
        <w:autoSpaceDN w:val="0"/>
        <w:spacing w:before="0" w:beforeAutospacing="0" w:after="0" w:afterAutospacing="0" w:line="480" w:lineRule="exact"/>
        <w:ind w:left="0" w:right="0" w:firstLine="0" w:firstLineChars="0"/>
        <w:jc w:val="center"/>
        <w:rPr>
          <w:rFonts w:hint="default" w:ascii="Times New Roman" w:hAnsi="Times New Roman" w:eastAsia="仿宋_GB2312" w:cs="Times New Roman"/>
          <w:bCs/>
          <w:sz w:val="28"/>
          <w:szCs w:val="28"/>
          <w:lang w:val="en-US"/>
        </w:rPr>
      </w:pPr>
      <w:r>
        <w:rPr>
          <w:rFonts w:hint="eastAsia" w:ascii="Times New Roman" w:hAnsi="Times New Roman" w:eastAsia="黑体" w:cs="Times New Roman"/>
          <w:bCs/>
          <w:kern w:val="0"/>
          <w:sz w:val="24"/>
          <w:szCs w:val="24"/>
          <w:lang w:val="en-US" w:eastAsia="zh-CN" w:bidi="ar"/>
        </w:rPr>
        <w:t>卒中后抑郁（郁病）中西医结合诊疗记录</w:t>
      </w:r>
    </w:p>
    <w:tbl>
      <w:tblPr>
        <w:tblStyle w:val="17"/>
        <w:tblW w:w="91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0" w:type="dxa"/>
          <w:left w:w="108" w:type="dxa"/>
          <w:bottom w:w="0" w:type="dxa"/>
          <w:right w:w="108" w:type="dxa"/>
        </w:tblCellMar>
      </w:tblPr>
      <w:tblGrid>
        <w:gridCol w:w="845"/>
        <w:gridCol w:w="845"/>
        <w:gridCol w:w="2122"/>
        <w:gridCol w:w="5359"/>
      </w:tblGrid>
      <w:tr w14:paraId="58340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PrEx>
        <w:trPr>
          <w:trHeight w:val="1040" w:hRule="atLeast"/>
          <w:jc w:val="center"/>
        </w:trPr>
        <w:tc>
          <w:tcPr>
            <w:tcW w:w="845" w:type="dxa"/>
            <w:tcBorders>
              <w:top w:val="single" w:color="auto" w:sz="4" w:space="0"/>
              <w:left w:val="single" w:color="auto" w:sz="4" w:space="0"/>
              <w:bottom w:val="single" w:color="auto" w:sz="4" w:space="0"/>
              <w:right w:val="single" w:color="auto" w:sz="4" w:space="0"/>
            </w:tcBorders>
            <w:shd w:val="clear"/>
            <w:vAlign w:val="center"/>
          </w:tcPr>
          <w:p w14:paraId="7889AECF">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eastAsia" w:ascii="Times New Roman" w:hAnsi="Times New Roman" w:eastAsia="仿宋_GB2312" w:cs="Times New Roman"/>
                <w:bCs/>
                <w:kern w:val="0"/>
                <w:sz w:val="24"/>
                <w:szCs w:val="24"/>
                <w:bdr w:val="none" w:color="auto" w:sz="0" w:space="0"/>
                <w:lang w:val="en-US" w:eastAsia="zh-CN" w:bidi="ar"/>
              </w:rPr>
              <w:t>医院</w:t>
            </w:r>
          </w:p>
        </w:tc>
        <w:tc>
          <w:tcPr>
            <w:tcW w:w="845" w:type="dxa"/>
            <w:tcBorders>
              <w:top w:val="single" w:color="auto" w:sz="4" w:space="0"/>
              <w:left w:val="single" w:color="auto" w:sz="4" w:space="0"/>
              <w:bottom w:val="single" w:color="auto" w:sz="4" w:space="0"/>
              <w:right w:val="single" w:color="auto" w:sz="4" w:space="0"/>
            </w:tcBorders>
            <w:shd w:val="clear"/>
            <w:vAlign w:val="center"/>
          </w:tcPr>
          <w:p w14:paraId="3E857456">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cs="Times New Roman"/>
                <w:bCs/>
                <w:kern w:val="0"/>
                <w:sz w:val="24"/>
                <w:szCs w:val="24"/>
                <w:bdr w:val="none" w:color="auto" w:sz="0" w:space="0"/>
                <w:lang w:val="en-US"/>
              </w:rPr>
            </w:pPr>
            <w:r>
              <w:rPr>
                <w:rFonts w:hint="eastAsia" w:ascii="Times New Roman" w:hAnsi="Times New Roman" w:eastAsia="仿宋_GB2312" w:cs="Times New Roman"/>
                <w:bCs/>
                <w:kern w:val="0"/>
                <w:sz w:val="24"/>
                <w:szCs w:val="24"/>
                <w:bdr w:val="none" w:color="auto" w:sz="0" w:space="0"/>
                <w:lang w:val="en-US" w:eastAsia="zh-CN" w:bidi="ar"/>
              </w:rPr>
              <w:t>年份</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105C6FAA">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cs="Times New Roman"/>
                <w:bCs/>
                <w:kern w:val="0"/>
                <w:sz w:val="24"/>
                <w:szCs w:val="24"/>
                <w:bdr w:val="none" w:color="auto" w:sz="0" w:space="0"/>
                <w:lang w:val="en-US"/>
              </w:rPr>
            </w:pPr>
            <w:r>
              <w:rPr>
                <w:rFonts w:hint="eastAsia" w:ascii="Times New Roman" w:hAnsi="Times New Roman" w:eastAsia="仿宋_GB2312" w:cs="Times New Roman"/>
                <w:bCs/>
                <w:kern w:val="0"/>
                <w:sz w:val="24"/>
                <w:szCs w:val="24"/>
                <w:bdr w:val="none" w:color="auto" w:sz="0" w:space="0"/>
                <w:lang w:val="en-US" w:eastAsia="zh-CN" w:bidi="ar"/>
              </w:rPr>
              <w:t>诊疗人数</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0A23295C">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cs="Times New Roman"/>
                <w:bCs/>
                <w:kern w:val="0"/>
                <w:sz w:val="24"/>
                <w:szCs w:val="24"/>
                <w:bdr w:val="none" w:color="auto" w:sz="0" w:space="0"/>
                <w:lang w:val="en-US"/>
              </w:rPr>
            </w:pPr>
            <w:r>
              <w:rPr>
                <w:rFonts w:hint="eastAsia" w:ascii="Times New Roman" w:hAnsi="Times New Roman" w:eastAsia="仿宋_GB2312" w:cs="Times New Roman"/>
                <w:bCs/>
                <w:kern w:val="0"/>
                <w:sz w:val="24"/>
                <w:szCs w:val="24"/>
                <w:bdr w:val="none" w:color="auto" w:sz="0" w:space="0"/>
                <w:lang w:val="en-US" w:eastAsia="zh-CN" w:bidi="ar"/>
              </w:rPr>
              <w:t>诊疗效果</w:t>
            </w:r>
          </w:p>
        </w:tc>
      </w:tr>
      <w:tr w14:paraId="49300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restart"/>
            <w:tcBorders>
              <w:top w:val="single" w:color="auto" w:sz="4" w:space="0"/>
              <w:left w:val="single" w:color="auto" w:sz="4" w:space="0"/>
              <w:right w:val="single" w:color="auto" w:sz="4" w:space="0"/>
            </w:tcBorders>
            <w:shd w:val="clear"/>
            <w:vAlign w:val="center"/>
          </w:tcPr>
          <w:p w14:paraId="61816750">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eastAsia" w:ascii="Times New Roman" w:hAnsi="Times New Roman" w:eastAsia="仿宋_GB2312" w:cs="Times New Roman"/>
                <w:bCs/>
                <w:kern w:val="0"/>
                <w:sz w:val="24"/>
                <w:szCs w:val="24"/>
                <w:bdr w:val="none" w:color="auto" w:sz="0" w:space="0"/>
                <w:lang w:val="en-US" w:eastAsia="zh-CN" w:bidi="ar"/>
              </w:rPr>
              <w:t>A</w:t>
            </w:r>
          </w:p>
        </w:tc>
        <w:tc>
          <w:tcPr>
            <w:tcW w:w="845" w:type="dxa"/>
            <w:tcBorders>
              <w:top w:val="single" w:color="auto" w:sz="4" w:space="0"/>
              <w:left w:val="single" w:color="auto" w:sz="4" w:space="0"/>
              <w:bottom w:val="single" w:color="auto" w:sz="4" w:space="0"/>
              <w:right w:val="single" w:color="auto" w:sz="4" w:space="0"/>
            </w:tcBorders>
            <w:shd w:val="clear"/>
            <w:vAlign w:val="center"/>
          </w:tcPr>
          <w:p w14:paraId="748F2596">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2022</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5E399B5D">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112</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0F53B5B4">
            <w:pPr>
              <w:pStyle w:val="14"/>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
                <w:bCs w:val="0"/>
                <w:sz w:val="24"/>
                <w:szCs w:val="20"/>
                <w:bdr w:val="none" w:color="auto" w:sz="0" w:space="0"/>
                <w:lang w:val="en-US"/>
              </w:rPr>
            </w:pPr>
            <w:r>
              <w:rPr>
                <w:rFonts w:hint="eastAsia" w:ascii="Times New Roman" w:hAnsi="Times New Roman" w:eastAsia="仿宋_GB2312" w:cs="Times New Roman"/>
                <w:bCs/>
                <w:kern w:val="0"/>
                <w:sz w:val="24"/>
                <w:szCs w:val="24"/>
                <w:lang w:val="en-US" w:eastAsia="zh-CN" w:bidi="ar"/>
              </w:rPr>
              <w:t>显</w:t>
            </w:r>
            <w:r>
              <w:rPr>
                <w:rFonts w:hint="eastAsia" w:ascii="Times New Roman" w:hAnsi="Times New Roman" w:eastAsia="仿宋_GB2312" w:cs="Times New Roman"/>
                <w:bCs/>
                <w:color w:val="000000"/>
                <w:kern w:val="0"/>
                <w:sz w:val="24"/>
                <w:szCs w:val="24"/>
                <w:lang w:val="en-US" w:eastAsia="zh-CN" w:bidi="ar"/>
              </w:rPr>
              <w:t>效</w:t>
            </w:r>
            <w:r>
              <w:rPr>
                <w:rFonts w:hint="default" w:ascii="Times New Roman" w:hAnsi="Times New Roman" w:eastAsia="仿宋_GB2312" w:cs="Times New Roman"/>
                <w:bCs/>
                <w:color w:val="000000"/>
                <w:kern w:val="0"/>
                <w:sz w:val="24"/>
                <w:szCs w:val="20"/>
                <w:lang w:val="en-US" w:eastAsia="zh-CN" w:bidi="ar"/>
              </w:rPr>
              <w:t>47</w:t>
            </w:r>
            <w:r>
              <w:rPr>
                <w:rFonts w:hint="eastAsia" w:ascii="Times New Roman" w:hAnsi="Times New Roman" w:eastAsia="仿宋_GB2312" w:cs="Times New Roman"/>
                <w:bCs/>
                <w:color w:val="000000"/>
                <w:kern w:val="0"/>
                <w:sz w:val="24"/>
                <w:szCs w:val="24"/>
                <w:lang w:val="en-US" w:eastAsia="zh-CN" w:bidi="ar"/>
              </w:rPr>
              <w:t>例，有效</w:t>
            </w:r>
            <w:r>
              <w:rPr>
                <w:rFonts w:hint="default" w:ascii="Times New Roman" w:hAnsi="Times New Roman" w:eastAsia="仿宋_GB2312" w:cs="Times New Roman"/>
                <w:bCs/>
                <w:color w:val="000000"/>
                <w:kern w:val="0"/>
                <w:sz w:val="24"/>
                <w:szCs w:val="24"/>
                <w:lang w:val="en-US" w:eastAsia="zh-CN" w:bidi="ar"/>
              </w:rPr>
              <w:t>45</w:t>
            </w:r>
            <w:r>
              <w:rPr>
                <w:rFonts w:hint="eastAsia" w:ascii="Times New Roman" w:hAnsi="Times New Roman" w:eastAsia="仿宋_GB2312" w:cs="Times New Roman"/>
                <w:bCs/>
                <w:color w:val="000000"/>
                <w:kern w:val="0"/>
                <w:sz w:val="24"/>
                <w:szCs w:val="24"/>
                <w:lang w:val="en-US" w:eastAsia="zh-CN" w:bidi="ar"/>
              </w:rPr>
              <w:t>例，无效</w:t>
            </w:r>
            <w:r>
              <w:rPr>
                <w:rFonts w:hint="default" w:ascii="Times New Roman" w:hAnsi="Times New Roman" w:eastAsia="仿宋_GB2312" w:cs="Times New Roman"/>
                <w:bCs/>
                <w:color w:val="000000"/>
                <w:kern w:val="0"/>
                <w:sz w:val="24"/>
                <w:szCs w:val="24"/>
                <w:lang w:val="en-US" w:eastAsia="zh-CN" w:bidi="ar"/>
              </w:rPr>
              <w:t>20</w:t>
            </w:r>
            <w:r>
              <w:rPr>
                <w:rFonts w:hint="eastAsia" w:ascii="Times New Roman" w:hAnsi="Times New Roman" w:eastAsia="仿宋_GB2312" w:cs="Times New Roman"/>
                <w:bCs/>
                <w:color w:val="000000"/>
                <w:kern w:val="0"/>
                <w:sz w:val="24"/>
                <w:szCs w:val="24"/>
                <w:lang w:val="en-US" w:eastAsia="zh-CN" w:bidi="ar"/>
              </w:rPr>
              <w:t>例，总有效</w:t>
            </w:r>
            <w:r>
              <w:rPr>
                <w:rFonts w:hint="default" w:ascii="Times New Roman" w:hAnsi="Times New Roman" w:eastAsia="仿宋_GB2312" w:cs="Times New Roman"/>
                <w:bCs/>
                <w:color w:val="000000"/>
                <w:kern w:val="0"/>
                <w:sz w:val="24"/>
                <w:szCs w:val="20"/>
                <w:lang w:val="en-US" w:eastAsia="zh-CN" w:bidi="ar"/>
              </w:rPr>
              <w:t>82</w:t>
            </w:r>
            <w:r>
              <w:rPr>
                <w:rFonts w:hint="default" w:ascii="Times New Roman" w:hAnsi="Times New Roman" w:eastAsia="仿宋_GB2312" w:cs="Times New Roman"/>
                <w:bCs/>
                <w:color w:val="000000"/>
                <w:kern w:val="0"/>
                <w:sz w:val="24"/>
                <w:szCs w:val="24"/>
                <w:lang w:val="en-US" w:eastAsia="zh-CN" w:bidi="ar"/>
              </w:rPr>
              <w:t>%</w:t>
            </w:r>
            <w:r>
              <w:rPr>
                <w:rFonts w:hint="eastAsia" w:ascii="Times New Roman" w:hAnsi="Times New Roman" w:eastAsia="仿宋_GB2312" w:cs="Times New Roman"/>
                <w:bCs/>
                <w:color w:val="000000"/>
                <w:kern w:val="0"/>
                <w:sz w:val="24"/>
                <w:szCs w:val="24"/>
                <w:lang w:val="en-US" w:eastAsia="zh-CN" w:bidi="ar"/>
              </w:rPr>
              <w:t>。</w:t>
            </w:r>
          </w:p>
        </w:tc>
      </w:tr>
      <w:tr w14:paraId="6903A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25DAFB23">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0B0096F2">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2023</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20650008">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125</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42155C52">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default" w:ascii="Times New Roman" w:hAnsi="Times New Roman" w:cs="Times New Roman"/>
                <w:bCs/>
                <w:sz w:val="24"/>
                <w:szCs w:val="24"/>
                <w:bdr w:val="none" w:color="auto" w:sz="0" w:space="0"/>
                <w:lang w:val="en-US"/>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51</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48</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26</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80%</w:t>
            </w:r>
            <w:r>
              <w:rPr>
                <w:rFonts w:hint="eastAsia" w:ascii="Times New Roman" w:hAnsi="Times New Roman" w:eastAsia="仿宋_GB2312" w:cs="Times New Roman"/>
                <w:bCs/>
                <w:color w:val="000000"/>
                <w:kern w:val="2"/>
                <w:sz w:val="24"/>
                <w:szCs w:val="24"/>
                <w:lang w:val="en-US" w:eastAsia="zh-CN" w:bidi="ar"/>
              </w:rPr>
              <w:t>。</w:t>
            </w:r>
          </w:p>
        </w:tc>
      </w:tr>
      <w:tr w14:paraId="4D50F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52A4464D">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61F1BA98">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2024</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784135F1">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144</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482AB76E">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default" w:ascii="Times New Roman" w:hAnsi="Times New Roman" w:cs="Times New Roman"/>
                <w:bCs/>
                <w:sz w:val="24"/>
                <w:szCs w:val="24"/>
                <w:bdr w:val="none" w:color="auto" w:sz="0" w:space="0"/>
                <w:lang w:val="en-US"/>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68</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46</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30</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79.2%</w:t>
            </w:r>
            <w:r>
              <w:rPr>
                <w:rFonts w:hint="eastAsia" w:ascii="Times New Roman" w:hAnsi="Times New Roman" w:eastAsia="仿宋_GB2312" w:cs="Times New Roman"/>
                <w:bCs/>
                <w:color w:val="000000"/>
                <w:kern w:val="2"/>
                <w:sz w:val="24"/>
                <w:szCs w:val="24"/>
                <w:lang w:val="en-US" w:eastAsia="zh-CN" w:bidi="ar"/>
              </w:rPr>
              <w:t>。</w:t>
            </w:r>
          </w:p>
        </w:tc>
      </w:tr>
      <w:tr w14:paraId="1A44A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38B3B425">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32FC14F8">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2025</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4671ED76">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cs="Times New Roman"/>
                <w:bCs/>
                <w:kern w:val="0"/>
                <w:sz w:val="24"/>
                <w:szCs w:val="24"/>
                <w:bdr w:val="none" w:color="auto" w:sz="0" w:space="0"/>
                <w:lang w:val="en-US"/>
              </w:rPr>
            </w:pPr>
            <w:r>
              <w:rPr>
                <w:rFonts w:hint="default" w:ascii="Times New Roman" w:hAnsi="Times New Roman" w:eastAsia="仿宋_GB2312" w:cs="Times New Roman"/>
                <w:bCs/>
                <w:kern w:val="0"/>
                <w:sz w:val="24"/>
                <w:szCs w:val="24"/>
                <w:lang w:val="en-US" w:eastAsia="zh-CN" w:bidi="ar"/>
              </w:rPr>
              <w:t>167</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00220F34">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default" w:ascii="Times New Roman" w:hAnsi="Times New Roman" w:cs="Times New Roman"/>
                <w:bCs/>
                <w:sz w:val="24"/>
                <w:szCs w:val="24"/>
                <w:bdr w:val="none" w:color="auto" w:sz="0" w:space="0"/>
                <w:lang w:val="en-US"/>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67</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65</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35</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79%</w:t>
            </w:r>
            <w:r>
              <w:rPr>
                <w:rFonts w:hint="eastAsia" w:ascii="Times New Roman" w:hAnsi="Times New Roman" w:eastAsia="仿宋_GB2312" w:cs="Times New Roman"/>
                <w:bCs/>
                <w:color w:val="000000"/>
                <w:kern w:val="2"/>
                <w:sz w:val="24"/>
                <w:szCs w:val="24"/>
                <w:lang w:val="en-US" w:eastAsia="zh-CN" w:bidi="ar"/>
              </w:rPr>
              <w:t>。</w:t>
            </w:r>
          </w:p>
        </w:tc>
      </w:tr>
      <w:tr w14:paraId="7CE8B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restart"/>
            <w:tcBorders>
              <w:left w:val="single" w:color="auto" w:sz="4" w:space="0"/>
              <w:right w:val="single" w:color="auto" w:sz="4" w:space="0"/>
            </w:tcBorders>
            <w:shd w:val="clear"/>
            <w:vAlign w:val="center"/>
          </w:tcPr>
          <w:p w14:paraId="3CED0889">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eastAsia" w:ascii="Times New Roman" w:hAnsi="Times New Roman" w:eastAsia="仿宋_GB2312" w:cs="Times New Roman"/>
                <w:bCs/>
                <w:kern w:val="0"/>
                <w:sz w:val="24"/>
                <w:szCs w:val="24"/>
                <w:bdr w:val="none" w:color="auto" w:sz="0" w:space="0"/>
                <w:lang w:val="en-US" w:eastAsia="zh-CN" w:bidi="ar"/>
              </w:rPr>
              <w:t>B</w:t>
            </w:r>
          </w:p>
        </w:tc>
        <w:tc>
          <w:tcPr>
            <w:tcW w:w="845" w:type="dxa"/>
            <w:tcBorders>
              <w:top w:val="single" w:color="auto" w:sz="4" w:space="0"/>
              <w:left w:val="single" w:color="auto" w:sz="4" w:space="0"/>
              <w:bottom w:val="single" w:color="auto" w:sz="4" w:space="0"/>
              <w:right w:val="single" w:color="auto" w:sz="4" w:space="0"/>
            </w:tcBorders>
            <w:shd w:val="clear"/>
            <w:vAlign w:val="center"/>
          </w:tcPr>
          <w:p w14:paraId="56C2B00D">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2022</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7E077696">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108</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67930B9D">
            <w:pPr>
              <w:pStyle w:val="14"/>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eastAsia" w:ascii="Times New Roman" w:hAnsi="Times New Roman" w:eastAsia="仿宋_GB2312" w:cs="Times New Roman"/>
                <w:bCs/>
                <w:kern w:val="2"/>
                <w:sz w:val="24"/>
                <w:szCs w:val="24"/>
                <w:bdr w:val="none" w:color="auto" w:sz="0" w:space="0"/>
                <w:lang w:val="en-US" w:eastAsia="zh-CN" w:bidi="ar"/>
              </w:rPr>
            </w:pPr>
            <w:r>
              <w:rPr>
                <w:rFonts w:hint="eastAsia" w:ascii="Times New Roman" w:hAnsi="Times New Roman" w:eastAsia="仿宋_GB2312" w:cs="Times New Roman"/>
                <w:bCs/>
                <w:kern w:val="0"/>
                <w:sz w:val="24"/>
                <w:szCs w:val="24"/>
                <w:lang w:val="en-US" w:eastAsia="zh-CN" w:bidi="ar"/>
              </w:rPr>
              <w:t>显</w:t>
            </w:r>
            <w:r>
              <w:rPr>
                <w:rFonts w:hint="eastAsia" w:ascii="Times New Roman" w:hAnsi="Times New Roman" w:eastAsia="仿宋_GB2312" w:cs="Times New Roman"/>
                <w:bCs/>
                <w:color w:val="000000"/>
                <w:kern w:val="0"/>
                <w:sz w:val="24"/>
                <w:szCs w:val="24"/>
                <w:lang w:val="en-US" w:eastAsia="zh-CN" w:bidi="ar"/>
              </w:rPr>
              <w:t>效</w:t>
            </w:r>
            <w:r>
              <w:rPr>
                <w:rFonts w:hint="default" w:ascii="Times New Roman" w:hAnsi="Times New Roman" w:eastAsia="仿宋_GB2312" w:cs="Times New Roman"/>
                <w:bCs/>
                <w:color w:val="000000"/>
                <w:kern w:val="0"/>
                <w:sz w:val="24"/>
                <w:szCs w:val="24"/>
                <w:lang w:val="en-US" w:eastAsia="zh-CN" w:bidi="ar"/>
              </w:rPr>
              <w:t>45</w:t>
            </w:r>
            <w:r>
              <w:rPr>
                <w:rFonts w:hint="eastAsia" w:ascii="Times New Roman" w:hAnsi="Times New Roman" w:eastAsia="仿宋_GB2312" w:cs="Times New Roman"/>
                <w:bCs/>
                <w:color w:val="000000"/>
                <w:kern w:val="0"/>
                <w:sz w:val="24"/>
                <w:szCs w:val="24"/>
                <w:lang w:val="en-US" w:eastAsia="zh-CN" w:bidi="ar"/>
              </w:rPr>
              <w:t>例，有效</w:t>
            </w:r>
            <w:r>
              <w:rPr>
                <w:rFonts w:hint="default" w:ascii="Times New Roman" w:hAnsi="Times New Roman" w:eastAsia="仿宋_GB2312" w:cs="Times New Roman"/>
                <w:bCs/>
                <w:color w:val="000000"/>
                <w:kern w:val="0"/>
                <w:sz w:val="24"/>
                <w:szCs w:val="24"/>
                <w:lang w:val="en-US" w:eastAsia="zh-CN" w:bidi="ar"/>
              </w:rPr>
              <w:t>45</w:t>
            </w:r>
            <w:r>
              <w:rPr>
                <w:rFonts w:hint="eastAsia" w:ascii="Times New Roman" w:hAnsi="Times New Roman" w:eastAsia="仿宋_GB2312" w:cs="Times New Roman"/>
                <w:bCs/>
                <w:color w:val="000000"/>
                <w:kern w:val="0"/>
                <w:sz w:val="24"/>
                <w:szCs w:val="24"/>
                <w:lang w:val="en-US" w:eastAsia="zh-CN" w:bidi="ar"/>
              </w:rPr>
              <w:t>例，无效</w:t>
            </w:r>
            <w:r>
              <w:rPr>
                <w:rFonts w:hint="default" w:ascii="Times New Roman" w:hAnsi="Times New Roman" w:eastAsia="仿宋_GB2312" w:cs="Times New Roman"/>
                <w:bCs/>
                <w:color w:val="000000"/>
                <w:kern w:val="0"/>
                <w:sz w:val="24"/>
                <w:szCs w:val="24"/>
                <w:lang w:val="en-US" w:eastAsia="zh-CN" w:bidi="ar"/>
              </w:rPr>
              <w:t>18</w:t>
            </w:r>
            <w:r>
              <w:rPr>
                <w:rFonts w:hint="eastAsia" w:ascii="Times New Roman" w:hAnsi="Times New Roman" w:eastAsia="仿宋_GB2312" w:cs="Times New Roman"/>
                <w:bCs/>
                <w:color w:val="000000"/>
                <w:kern w:val="0"/>
                <w:sz w:val="24"/>
                <w:szCs w:val="24"/>
                <w:lang w:val="en-US" w:eastAsia="zh-CN" w:bidi="ar"/>
              </w:rPr>
              <w:t>例，总有效</w:t>
            </w:r>
            <w:r>
              <w:rPr>
                <w:rFonts w:hint="default" w:ascii="Times New Roman" w:hAnsi="Times New Roman" w:eastAsia="仿宋_GB2312" w:cs="Times New Roman"/>
                <w:bCs/>
                <w:color w:val="000000"/>
                <w:kern w:val="0"/>
                <w:sz w:val="24"/>
                <w:szCs w:val="20"/>
                <w:lang w:val="en-US" w:eastAsia="zh-CN" w:bidi="ar"/>
              </w:rPr>
              <w:t>83</w:t>
            </w:r>
            <w:r>
              <w:rPr>
                <w:rFonts w:hint="default" w:ascii="Times New Roman" w:hAnsi="Times New Roman" w:eastAsia="仿宋_GB2312" w:cs="Times New Roman"/>
                <w:bCs/>
                <w:color w:val="000000"/>
                <w:kern w:val="0"/>
                <w:sz w:val="24"/>
                <w:szCs w:val="24"/>
                <w:lang w:val="en-US" w:eastAsia="zh-CN" w:bidi="ar"/>
              </w:rPr>
              <w:t>%</w:t>
            </w:r>
            <w:r>
              <w:rPr>
                <w:rFonts w:hint="eastAsia" w:ascii="Times New Roman" w:hAnsi="Times New Roman" w:eastAsia="仿宋_GB2312" w:cs="Times New Roman"/>
                <w:bCs/>
                <w:color w:val="000000"/>
                <w:kern w:val="0"/>
                <w:sz w:val="24"/>
                <w:szCs w:val="24"/>
                <w:lang w:val="en-US" w:eastAsia="zh-CN" w:bidi="ar"/>
              </w:rPr>
              <w:t>。</w:t>
            </w:r>
          </w:p>
        </w:tc>
      </w:tr>
      <w:tr w14:paraId="32C77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04C288AD">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4419EEDE">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2023</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419B4303">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122</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26B8B5E7">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bdr w:val="none" w:color="auto" w:sz="0" w:space="0"/>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43</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58</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21</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82.7%</w:t>
            </w:r>
            <w:r>
              <w:rPr>
                <w:rFonts w:hint="eastAsia" w:ascii="Times New Roman" w:hAnsi="Times New Roman" w:eastAsia="仿宋_GB2312" w:cs="Times New Roman"/>
                <w:bCs/>
                <w:color w:val="000000"/>
                <w:kern w:val="2"/>
                <w:sz w:val="24"/>
                <w:szCs w:val="24"/>
                <w:lang w:val="en-US" w:eastAsia="zh-CN" w:bidi="ar"/>
              </w:rPr>
              <w:t>。</w:t>
            </w:r>
          </w:p>
        </w:tc>
      </w:tr>
      <w:tr w14:paraId="0F73A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2504E023">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6BBB3F60">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2024</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1FC5FEF4">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132</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365D0891">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bdr w:val="none" w:color="auto" w:sz="0" w:space="0"/>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41</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68</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23</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82.5%</w:t>
            </w:r>
            <w:r>
              <w:rPr>
                <w:rFonts w:hint="eastAsia" w:ascii="Times New Roman" w:hAnsi="Times New Roman" w:eastAsia="仿宋_GB2312" w:cs="Times New Roman"/>
                <w:bCs/>
                <w:color w:val="000000"/>
                <w:kern w:val="2"/>
                <w:sz w:val="24"/>
                <w:szCs w:val="24"/>
                <w:lang w:val="en-US" w:eastAsia="zh-CN" w:bidi="ar"/>
              </w:rPr>
              <w:t>。</w:t>
            </w:r>
          </w:p>
        </w:tc>
      </w:tr>
      <w:tr w14:paraId="6F197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064E5C47">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vAlign w:val="center"/>
          </w:tcPr>
          <w:p w14:paraId="7FF1196A">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2025</w:t>
            </w:r>
          </w:p>
        </w:tc>
        <w:tc>
          <w:tcPr>
            <w:tcW w:w="2122" w:type="dxa"/>
            <w:tcBorders>
              <w:top w:val="single" w:color="auto" w:sz="4" w:space="0"/>
              <w:left w:val="single" w:color="auto" w:sz="4" w:space="0"/>
              <w:bottom w:val="single" w:color="auto" w:sz="4" w:space="0"/>
              <w:right w:val="single" w:color="auto" w:sz="4" w:space="0"/>
            </w:tcBorders>
            <w:shd w:val="clear"/>
            <w:vAlign w:val="center"/>
          </w:tcPr>
          <w:p w14:paraId="0AA67079">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default" w:ascii="Times New Roman" w:hAnsi="Times New Roman" w:eastAsia="仿宋_GB2312" w:cs="Times New Roman"/>
                <w:bCs/>
                <w:kern w:val="0"/>
                <w:sz w:val="24"/>
                <w:szCs w:val="24"/>
                <w:lang w:val="en-US" w:eastAsia="zh-CN" w:bidi="ar"/>
              </w:rPr>
              <w:t>138</w:t>
            </w:r>
          </w:p>
        </w:tc>
        <w:tc>
          <w:tcPr>
            <w:tcW w:w="5359" w:type="dxa"/>
            <w:tcBorders>
              <w:top w:val="single" w:color="auto" w:sz="4" w:space="0"/>
              <w:left w:val="single" w:color="auto" w:sz="4" w:space="0"/>
              <w:bottom w:val="single" w:color="auto" w:sz="4" w:space="0"/>
              <w:right w:val="single" w:color="auto" w:sz="4" w:space="0"/>
            </w:tcBorders>
            <w:shd w:val="clear"/>
            <w:vAlign w:val="center"/>
          </w:tcPr>
          <w:p w14:paraId="104FEB11">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bdr w:val="none" w:color="auto" w:sz="0" w:space="0"/>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41</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65</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32</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76.8%</w:t>
            </w:r>
            <w:r>
              <w:rPr>
                <w:rFonts w:hint="eastAsia" w:ascii="Times New Roman" w:hAnsi="Times New Roman" w:eastAsia="仿宋_GB2312" w:cs="Times New Roman"/>
                <w:bCs/>
                <w:color w:val="000000"/>
                <w:kern w:val="2"/>
                <w:sz w:val="24"/>
                <w:szCs w:val="24"/>
                <w:lang w:val="en-US" w:eastAsia="zh-CN" w:bidi="ar"/>
              </w:rPr>
              <w:t>。</w:t>
            </w:r>
          </w:p>
        </w:tc>
      </w:tr>
      <w:tr w14:paraId="21632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restart"/>
            <w:tcBorders>
              <w:left w:val="single" w:color="auto" w:sz="4" w:space="0"/>
              <w:right w:val="single" w:color="auto" w:sz="4" w:space="0"/>
            </w:tcBorders>
            <w:shd w:val="clear"/>
            <w:vAlign w:val="center"/>
          </w:tcPr>
          <w:p w14:paraId="71D8882F">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r>
              <w:rPr>
                <w:rFonts w:hint="eastAsia" w:ascii="Times New Roman" w:hAnsi="Times New Roman" w:eastAsia="仿宋_GB2312" w:cs="Times New Roman"/>
                <w:bCs/>
                <w:kern w:val="0"/>
                <w:sz w:val="24"/>
                <w:szCs w:val="24"/>
                <w:bdr w:val="none" w:color="auto" w:sz="0" w:space="0"/>
                <w:lang w:val="en-US" w:eastAsia="zh-CN" w:bidi="ar"/>
              </w:rPr>
              <w:t>C</w:t>
            </w:r>
          </w:p>
        </w:tc>
        <w:tc>
          <w:tcPr>
            <w:tcW w:w="845" w:type="dxa"/>
            <w:tcBorders>
              <w:top w:val="single" w:color="auto" w:sz="4" w:space="0"/>
              <w:left w:val="single" w:color="auto" w:sz="4" w:space="0"/>
              <w:bottom w:val="single" w:color="auto" w:sz="4" w:space="0"/>
              <w:right w:val="single" w:color="auto" w:sz="4" w:space="0"/>
            </w:tcBorders>
            <w:shd w:val="clear" w:color="auto" w:fill="auto"/>
            <w:vAlign w:val="center"/>
          </w:tcPr>
          <w:p w14:paraId="4B5A06EA">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2022</w:t>
            </w:r>
          </w:p>
        </w:tc>
        <w:tc>
          <w:tcPr>
            <w:tcW w:w="2122" w:type="dxa"/>
            <w:tcBorders>
              <w:top w:val="single" w:color="auto" w:sz="4" w:space="0"/>
              <w:left w:val="single" w:color="auto" w:sz="4" w:space="0"/>
              <w:bottom w:val="single" w:color="auto" w:sz="4" w:space="0"/>
              <w:right w:val="single" w:color="auto" w:sz="4" w:space="0"/>
            </w:tcBorders>
            <w:shd w:val="clear" w:color="auto" w:fill="auto"/>
            <w:vAlign w:val="center"/>
          </w:tcPr>
          <w:p w14:paraId="139666E0">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78</w:t>
            </w:r>
          </w:p>
        </w:tc>
        <w:tc>
          <w:tcPr>
            <w:tcW w:w="5359" w:type="dxa"/>
            <w:tcBorders>
              <w:top w:val="single" w:color="auto" w:sz="4" w:space="0"/>
              <w:left w:val="single" w:color="auto" w:sz="4" w:space="0"/>
              <w:bottom w:val="single" w:color="auto" w:sz="4" w:space="0"/>
              <w:right w:val="single" w:color="auto" w:sz="4" w:space="0"/>
            </w:tcBorders>
            <w:shd w:val="clear" w:color="auto" w:fill="auto"/>
            <w:vAlign w:val="center"/>
          </w:tcPr>
          <w:p w14:paraId="318AC50F">
            <w:pPr>
              <w:pStyle w:val="14"/>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eastAsia" w:ascii="Times New Roman" w:hAnsi="Times New Roman" w:eastAsia="仿宋_GB2312" w:cs="Times New Roman"/>
                <w:bCs/>
                <w:kern w:val="2"/>
                <w:sz w:val="24"/>
                <w:szCs w:val="24"/>
                <w:lang w:val="en-US" w:eastAsia="zh-CN" w:bidi="ar"/>
              </w:rPr>
            </w:pPr>
            <w:r>
              <w:rPr>
                <w:rFonts w:hint="eastAsia" w:ascii="Times New Roman" w:hAnsi="Times New Roman" w:eastAsia="仿宋_GB2312" w:cs="Times New Roman"/>
                <w:bCs/>
                <w:kern w:val="0"/>
                <w:sz w:val="24"/>
                <w:szCs w:val="24"/>
                <w:lang w:val="en-US" w:eastAsia="zh-CN" w:bidi="ar"/>
              </w:rPr>
              <w:t>显</w:t>
            </w:r>
            <w:r>
              <w:rPr>
                <w:rFonts w:hint="eastAsia" w:ascii="Times New Roman" w:hAnsi="Times New Roman" w:eastAsia="仿宋_GB2312" w:cs="Times New Roman"/>
                <w:bCs/>
                <w:color w:val="000000"/>
                <w:kern w:val="0"/>
                <w:sz w:val="24"/>
                <w:szCs w:val="24"/>
                <w:lang w:val="en-US" w:eastAsia="zh-CN" w:bidi="ar"/>
              </w:rPr>
              <w:t>效</w:t>
            </w:r>
            <w:r>
              <w:rPr>
                <w:rFonts w:hint="default" w:ascii="Times New Roman" w:hAnsi="Times New Roman" w:eastAsia="仿宋_GB2312" w:cs="Times New Roman"/>
                <w:bCs/>
                <w:color w:val="000000"/>
                <w:kern w:val="0"/>
                <w:sz w:val="24"/>
                <w:szCs w:val="24"/>
                <w:lang w:val="en-US" w:eastAsia="zh-CN" w:bidi="ar"/>
              </w:rPr>
              <w:t>25</w:t>
            </w:r>
            <w:r>
              <w:rPr>
                <w:rFonts w:hint="eastAsia" w:ascii="Times New Roman" w:hAnsi="Times New Roman" w:eastAsia="仿宋_GB2312" w:cs="Times New Roman"/>
                <w:bCs/>
                <w:color w:val="000000"/>
                <w:kern w:val="0"/>
                <w:sz w:val="24"/>
                <w:szCs w:val="24"/>
                <w:lang w:val="en-US" w:eastAsia="zh-CN" w:bidi="ar"/>
              </w:rPr>
              <w:t>例，有效</w:t>
            </w:r>
            <w:r>
              <w:rPr>
                <w:rFonts w:hint="default" w:ascii="Times New Roman" w:hAnsi="Times New Roman" w:eastAsia="仿宋_GB2312" w:cs="Times New Roman"/>
                <w:bCs/>
                <w:color w:val="000000"/>
                <w:kern w:val="0"/>
                <w:sz w:val="24"/>
                <w:szCs w:val="24"/>
                <w:lang w:val="en-US" w:eastAsia="zh-CN" w:bidi="ar"/>
              </w:rPr>
              <w:t>38</w:t>
            </w:r>
            <w:r>
              <w:rPr>
                <w:rFonts w:hint="eastAsia" w:ascii="Times New Roman" w:hAnsi="Times New Roman" w:eastAsia="仿宋_GB2312" w:cs="Times New Roman"/>
                <w:bCs/>
                <w:color w:val="000000"/>
                <w:kern w:val="0"/>
                <w:sz w:val="24"/>
                <w:szCs w:val="24"/>
                <w:lang w:val="en-US" w:eastAsia="zh-CN" w:bidi="ar"/>
              </w:rPr>
              <w:t>例，无效</w:t>
            </w:r>
            <w:r>
              <w:rPr>
                <w:rFonts w:hint="default" w:ascii="Times New Roman" w:hAnsi="Times New Roman" w:eastAsia="仿宋_GB2312" w:cs="Times New Roman"/>
                <w:bCs/>
                <w:color w:val="000000"/>
                <w:kern w:val="0"/>
                <w:sz w:val="24"/>
                <w:szCs w:val="24"/>
                <w:lang w:val="en-US" w:eastAsia="zh-CN" w:bidi="ar"/>
              </w:rPr>
              <w:t>15</w:t>
            </w:r>
            <w:r>
              <w:rPr>
                <w:rFonts w:hint="eastAsia" w:ascii="Times New Roman" w:hAnsi="Times New Roman" w:eastAsia="仿宋_GB2312" w:cs="Times New Roman"/>
                <w:bCs/>
                <w:color w:val="000000"/>
                <w:kern w:val="0"/>
                <w:sz w:val="24"/>
                <w:szCs w:val="24"/>
                <w:lang w:val="en-US" w:eastAsia="zh-CN" w:bidi="ar"/>
              </w:rPr>
              <w:t>例，总有效</w:t>
            </w:r>
            <w:r>
              <w:rPr>
                <w:rFonts w:hint="default" w:ascii="Times New Roman" w:hAnsi="Times New Roman" w:eastAsia="仿宋_GB2312" w:cs="Times New Roman"/>
                <w:bCs/>
                <w:color w:val="000000"/>
                <w:kern w:val="0"/>
                <w:sz w:val="24"/>
                <w:szCs w:val="20"/>
                <w:lang w:val="en-US" w:eastAsia="zh-CN" w:bidi="ar"/>
              </w:rPr>
              <w:t>80.7</w:t>
            </w:r>
            <w:r>
              <w:rPr>
                <w:rFonts w:hint="default" w:ascii="Times New Roman" w:hAnsi="Times New Roman" w:eastAsia="仿宋_GB2312" w:cs="Times New Roman"/>
                <w:bCs/>
                <w:color w:val="000000"/>
                <w:kern w:val="0"/>
                <w:sz w:val="24"/>
                <w:szCs w:val="24"/>
                <w:lang w:val="en-US" w:eastAsia="zh-CN" w:bidi="ar"/>
              </w:rPr>
              <w:t>%</w:t>
            </w:r>
            <w:r>
              <w:rPr>
                <w:rFonts w:hint="eastAsia" w:ascii="Times New Roman" w:hAnsi="Times New Roman" w:eastAsia="仿宋_GB2312" w:cs="Times New Roman"/>
                <w:bCs/>
                <w:color w:val="000000"/>
                <w:kern w:val="0"/>
                <w:sz w:val="24"/>
                <w:szCs w:val="24"/>
                <w:lang w:val="en-US" w:eastAsia="zh-CN" w:bidi="ar"/>
              </w:rPr>
              <w:t>。</w:t>
            </w:r>
          </w:p>
        </w:tc>
      </w:tr>
      <w:tr w14:paraId="1ACF8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43701480">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color="auto" w:fill="auto"/>
            <w:vAlign w:val="center"/>
          </w:tcPr>
          <w:p w14:paraId="6E4D3476">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2023</w:t>
            </w:r>
          </w:p>
        </w:tc>
        <w:tc>
          <w:tcPr>
            <w:tcW w:w="2122" w:type="dxa"/>
            <w:tcBorders>
              <w:top w:val="single" w:color="auto" w:sz="4" w:space="0"/>
              <w:left w:val="single" w:color="auto" w:sz="4" w:space="0"/>
              <w:bottom w:val="single" w:color="auto" w:sz="4" w:space="0"/>
              <w:right w:val="single" w:color="auto" w:sz="4" w:space="0"/>
            </w:tcBorders>
            <w:shd w:val="clear" w:color="auto" w:fill="auto"/>
            <w:vAlign w:val="center"/>
          </w:tcPr>
          <w:p w14:paraId="5655CF85">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96</w:t>
            </w:r>
          </w:p>
        </w:tc>
        <w:tc>
          <w:tcPr>
            <w:tcW w:w="5359" w:type="dxa"/>
            <w:tcBorders>
              <w:top w:val="single" w:color="auto" w:sz="4" w:space="0"/>
              <w:left w:val="single" w:color="auto" w:sz="4" w:space="0"/>
              <w:bottom w:val="single" w:color="auto" w:sz="4" w:space="0"/>
              <w:right w:val="single" w:color="auto" w:sz="4" w:space="0"/>
            </w:tcBorders>
            <w:shd w:val="clear" w:color="auto" w:fill="auto"/>
            <w:vAlign w:val="center"/>
          </w:tcPr>
          <w:p w14:paraId="1BE342E6">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26</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48</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22</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77.1%</w:t>
            </w:r>
            <w:r>
              <w:rPr>
                <w:rFonts w:hint="eastAsia" w:ascii="Times New Roman" w:hAnsi="Times New Roman" w:eastAsia="仿宋_GB2312" w:cs="Times New Roman"/>
                <w:bCs/>
                <w:color w:val="000000"/>
                <w:kern w:val="2"/>
                <w:sz w:val="24"/>
                <w:szCs w:val="24"/>
                <w:lang w:val="en-US" w:eastAsia="zh-CN" w:bidi="ar"/>
              </w:rPr>
              <w:t>。</w:t>
            </w:r>
          </w:p>
        </w:tc>
      </w:tr>
      <w:tr w14:paraId="517C3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0C1BD2CD">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color="auto" w:fill="auto"/>
            <w:vAlign w:val="center"/>
          </w:tcPr>
          <w:p w14:paraId="316DEAC7">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2024</w:t>
            </w:r>
          </w:p>
        </w:tc>
        <w:tc>
          <w:tcPr>
            <w:tcW w:w="2122" w:type="dxa"/>
            <w:tcBorders>
              <w:top w:val="single" w:color="auto" w:sz="4" w:space="0"/>
              <w:left w:val="single" w:color="auto" w:sz="4" w:space="0"/>
              <w:bottom w:val="single" w:color="auto" w:sz="4" w:space="0"/>
              <w:right w:val="single" w:color="auto" w:sz="4" w:space="0"/>
            </w:tcBorders>
            <w:shd w:val="clear" w:color="auto" w:fill="auto"/>
            <w:vAlign w:val="center"/>
          </w:tcPr>
          <w:p w14:paraId="12E00FC8">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102</w:t>
            </w:r>
          </w:p>
        </w:tc>
        <w:tc>
          <w:tcPr>
            <w:tcW w:w="5359" w:type="dxa"/>
            <w:tcBorders>
              <w:top w:val="single" w:color="auto" w:sz="4" w:space="0"/>
              <w:left w:val="single" w:color="auto" w:sz="4" w:space="0"/>
              <w:bottom w:val="single" w:color="auto" w:sz="4" w:space="0"/>
              <w:right w:val="single" w:color="auto" w:sz="4" w:space="0"/>
            </w:tcBorders>
            <w:shd w:val="clear" w:color="auto" w:fill="auto"/>
            <w:vAlign w:val="center"/>
          </w:tcPr>
          <w:p w14:paraId="763A4EBE">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23</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58</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21</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79.4%</w:t>
            </w:r>
            <w:r>
              <w:rPr>
                <w:rFonts w:hint="eastAsia" w:ascii="Times New Roman" w:hAnsi="Times New Roman" w:eastAsia="仿宋_GB2312" w:cs="Times New Roman"/>
                <w:bCs/>
                <w:color w:val="000000"/>
                <w:kern w:val="2"/>
                <w:sz w:val="24"/>
                <w:szCs w:val="24"/>
                <w:lang w:val="en-US" w:eastAsia="zh-CN" w:bidi="ar"/>
              </w:rPr>
              <w:t>。</w:t>
            </w:r>
          </w:p>
        </w:tc>
      </w:tr>
      <w:tr w14:paraId="07DEC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jc w:val="center"/>
        </w:trPr>
        <w:tc>
          <w:tcPr>
            <w:tcW w:w="845" w:type="dxa"/>
            <w:vMerge w:val="continue"/>
            <w:tcBorders>
              <w:left w:val="single" w:color="auto" w:sz="4" w:space="0"/>
              <w:right w:val="single" w:color="auto" w:sz="4" w:space="0"/>
            </w:tcBorders>
            <w:shd w:val="clear"/>
            <w:vAlign w:val="center"/>
          </w:tcPr>
          <w:p w14:paraId="64948812">
            <w:pPr>
              <w:keepNext w:val="0"/>
              <w:keepLines w:val="0"/>
              <w:widowControl w:val="0"/>
              <w:suppressLineNumbers w:val="0"/>
              <w:autoSpaceDE w:val="0"/>
              <w:autoSpaceDN w:val="0"/>
              <w:spacing w:before="0" w:beforeAutospacing="0" w:after="0" w:afterAutospacing="0" w:line="400" w:lineRule="exact"/>
              <w:ind w:left="0" w:right="0" w:firstLine="0" w:firstLineChars="0"/>
              <w:jc w:val="center"/>
              <w:rPr>
                <w:rFonts w:hint="default" w:ascii="Times New Roman" w:hAnsi="Times New Roman" w:eastAsia="仿宋_GB2312" w:cs="Times New Roman"/>
                <w:bCs/>
                <w:kern w:val="0"/>
                <w:sz w:val="24"/>
                <w:szCs w:val="24"/>
                <w:bdr w:val="none" w:color="auto" w:sz="0" w:space="0"/>
                <w:lang w:val="en-US" w:eastAsia="zh-CN" w:bidi="ar"/>
              </w:rPr>
            </w:pPr>
          </w:p>
        </w:tc>
        <w:tc>
          <w:tcPr>
            <w:tcW w:w="845" w:type="dxa"/>
            <w:tcBorders>
              <w:top w:val="single" w:color="auto" w:sz="4" w:space="0"/>
              <w:left w:val="single" w:color="auto" w:sz="4" w:space="0"/>
              <w:bottom w:val="single" w:color="auto" w:sz="4" w:space="0"/>
              <w:right w:val="single" w:color="auto" w:sz="4" w:space="0"/>
            </w:tcBorders>
            <w:shd w:val="clear" w:color="auto" w:fill="auto"/>
            <w:vAlign w:val="center"/>
          </w:tcPr>
          <w:p w14:paraId="599BF8C6">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2025</w:t>
            </w:r>
          </w:p>
        </w:tc>
        <w:tc>
          <w:tcPr>
            <w:tcW w:w="2122" w:type="dxa"/>
            <w:tcBorders>
              <w:top w:val="single" w:color="auto" w:sz="4" w:space="0"/>
              <w:left w:val="single" w:color="auto" w:sz="4" w:space="0"/>
              <w:bottom w:val="single" w:color="auto" w:sz="4" w:space="0"/>
              <w:right w:val="single" w:color="auto" w:sz="4" w:space="0"/>
            </w:tcBorders>
            <w:shd w:val="clear" w:color="auto" w:fill="auto"/>
            <w:vAlign w:val="center"/>
          </w:tcPr>
          <w:p w14:paraId="63A57743">
            <w:pPr>
              <w:keepNext w:val="0"/>
              <w:keepLines w:val="0"/>
              <w:widowControl w:val="0"/>
              <w:suppressLineNumbers w:val="0"/>
              <w:autoSpaceDE w:val="0"/>
              <w:autoSpaceDN w:val="0"/>
              <w:spacing w:before="0" w:beforeAutospacing="0" w:after="0" w:afterAutospacing="0" w:line="400" w:lineRule="exact"/>
              <w:ind w:left="0" w:leftChars="0" w:right="0" w:rightChars="0" w:firstLine="0" w:firstLineChars="0"/>
              <w:jc w:val="center"/>
              <w:rPr>
                <w:rFonts w:hint="default" w:ascii="Times New Roman" w:hAnsi="Times New Roman" w:eastAsia="仿宋_GB2312" w:cs="Times New Roman"/>
                <w:bCs/>
                <w:kern w:val="0"/>
                <w:sz w:val="24"/>
                <w:szCs w:val="24"/>
                <w:lang w:val="en-US" w:eastAsia="zh-CN" w:bidi="ar"/>
              </w:rPr>
            </w:pPr>
            <w:r>
              <w:rPr>
                <w:rFonts w:hint="default" w:ascii="Times New Roman" w:hAnsi="Times New Roman" w:eastAsia="仿宋_GB2312" w:cs="Times New Roman"/>
                <w:bCs/>
                <w:kern w:val="0"/>
                <w:sz w:val="24"/>
                <w:szCs w:val="24"/>
                <w:lang w:val="en-US" w:eastAsia="zh-CN" w:bidi="ar"/>
              </w:rPr>
              <w:t>89</w:t>
            </w:r>
          </w:p>
        </w:tc>
        <w:tc>
          <w:tcPr>
            <w:tcW w:w="5359" w:type="dxa"/>
            <w:tcBorders>
              <w:top w:val="single" w:color="auto" w:sz="4" w:space="0"/>
              <w:left w:val="single" w:color="auto" w:sz="4" w:space="0"/>
              <w:bottom w:val="single" w:color="auto" w:sz="4" w:space="0"/>
              <w:right w:val="single" w:color="auto" w:sz="4" w:space="0"/>
            </w:tcBorders>
            <w:shd w:val="clear" w:color="auto" w:fill="auto"/>
            <w:vAlign w:val="center"/>
          </w:tcPr>
          <w:p w14:paraId="09B1FD52">
            <w:pPr>
              <w:keepNext w:val="0"/>
              <w:keepLines w:val="0"/>
              <w:widowControl w:val="0"/>
              <w:suppressLineNumbers w:val="0"/>
              <w:spacing w:before="0" w:beforeAutospacing="0" w:after="0" w:afterAutospacing="0" w:line="400" w:lineRule="exact"/>
              <w:ind w:left="0" w:leftChars="0" w:right="0" w:rightChars="0" w:firstLine="480" w:firstLineChars="200"/>
              <w:jc w:val="center"/>
              <w:rPr>
                <w:rFonts w:hint="eastAsia" w:ascii="Times New Roman" w:hAnsi="Times New Roman" w:eastAsia="仿宋_GB2312" w:cs="Times New Roman"/>
                <w:bCs/>
                <w:kern w:val="2"/>
                <w:sz w:val="24"/>
                <w:szCs w:val="24"/>
                <w:lang w:val="en-US" w:eastAsia="zh-CN" w:bidi="ar"/>
              </w:rPr>
            </w:pPr>
            <w:r>
              <w:rPr>
                <w:rFonts w:hint="eastAsia" w:ascii="Times New Roman" w:hAnsi="Times New Roman" w:eastAsia="仿宋_GB2312" w:cs="Times New Roman"/>
                <w:bCs/>
                <w:kern w:val="2"/>
                <w:sz w:val="24"/>
                <w:szCs w:val="24"/>
                <w:lang w:val="en-US" w:eastAsia="zh-CN" w:bidi="ar"/>
              </w:rPr>
              <w:t>显</w:t>
            </w:r>
            <w:r>
              <w:rPr>
                <w:rFonts w:hint="eastAsia" w:ascii="Times New Roman" w:hAnsi="Times New Roman" w:eastAsia="仿宋_GB2312" w:cs="Times New Roman"/>
                <w:bCs/>
                <w:color w:val="000000"/>
                <w:kern w:val="2"/>
                <w:sz w:val="24"/>
                <w:szCs w:val="24"/>
                <w:lang w:val="en-US" w:eastAsia="zh-CN" w:bidi="ar"/>
              </w:rPr>
              <w:t>效</w:t>
            </w:r>
            <w:r>
              <w:rPr>
                <w:rFonts w:hint="default" w:ascii="Times New Roman" w:hAnsi="Times New Roman" w:eastAsia="仿宋_GB2312" w:cs="Times New Roman"/>
                <w:bCs/>
                <w:color w:val="000000"/>
                <w:kern w:val="2"/>
                <w:sz w:val="24"/>
                <w:szCs w:val="24"/>
                <w:lang w:val="en-US" w:eastAsia="zh-CN" w:bidi="ar"/>
              </w:rPr>
              <w:t>29</w:t>
            </w:r>
            <w:r>
              <w:rPr>
                <w:rFonts w:hint="eastAsia" w:ascii="Times New Roman" w:hAnsi="Times New Roman" w:eastAsia="仿宋_GB2312" w:cs="Times New Roman"/>
                <w:bCs/>
                <w:color w:val="000000"/>
                <w:kern w:val="2"/>
                <w:sz w:val="24"/>
                <w:szCs w:val="24"/>
                <w:lang w:val="en-US" w:eastAsia="zh-CN" w:bidi="ar"/>
              </w:rPr>
              <w:t>例，有效</w:t>
            </w:r>
            <w:r>
              <w:rPr>
                <w:rFonts w:hint="default" w:ascii="Times New Roman" w:hAnsi="Times New Roman" w:eastAsia="仿宋_GB2312" w:cs="Times New Roman"/>
                <w:bCs/>
                <w:color w:val="000000"/>
                <w:kern w:val="2"/>
                <w:sz w:val="24"/>
                <w:szCs w:val="24"/>
                <w:lang w:val="en-US" w:eastAsia="zh-CN" w:bidi="ar"/>
              </w:rPr>
              <w:t>45</w:t>
            </w:r>
            <w:r>
              <w:rPr>
                <w:rFonts w:hint="eastAsia" w:ascii="Times New Roman" w:hAnsi="Times New Roman" w:eastAsia="仿宋_GB2312" w:cs="Times New Roman"/>
                <w:bCs/>
                <w:color w:val="000000"/>
                <w:kern w:val="2"/>
                <w:sz w:val="24"/>
                <w:szCs w:val="24"/>
                <w:lang w:val="en-US" w:eastAsia="zh-CN" w:bidi="ar"/>
              </w:rPr>
              <w:t>例，无效</w:t>
            </w:r>
            <w:r>
              <w:rPr>
                <w:rFonts w:hint="default" w:ascii="Times New Roman" w:hAnsi="Times New Roman" w:eastAsia="仿宋_GB2312" w:cs="Times New Roman"/>
                <w:bCs/>
                <w:color w:val="000000"/>
                <w:kern w:val="2"/>
                <w:sz w:val="24"/>
                <w:szCs w:val="24"/>
                <w:lang w:val="en-US" w:eastAsia="zh-CN" w:bidi="ar"/>
              </w:rPr>
              <w:t>15</w:t>
            </w:r>
            <w:r>
              <w:rPr>
                <w:rFonts w:hint="eastAsia" w:ascii="Times New Roman" w:hAnsi="Times New Roman" w:eastAsia="仿宋_GB2312" w:cs="Times New Roman"/>
                <w:bCs/>
                <w:color w:val="000000"/>
                <w:kern w:val="2"/>
                <w:sz w:val="24"/>
                <w:szCs w:val="24"/>
                <w:lang w:val="en-US" w:eastAsia="zh-CN" w:bidi="ar"/>
              </w:rPr>
              <w:t>例，总有效</w:t>
            </w:r>
            <w:r>
              <w:rPr>
                <w:rFonts w:hint="default" w:ascii="Times New Roman" w:hAnsi="Times New Roman" w:eastAsia="仿宋_GB2312" w:cs="Times New Roman"/>
                <w:bCs/>
                <w:color w:val="000000"/>
                <w:kern w:val="2"/>
                <w:sz w:val="24"/>
                <w:szCs w:val="24"/>
                <w:lang w:val="en-US" w:eastAsia="zh-CN" w:bidi="ar"/>
              </w:rPr>
              <w:t>83.1%</w:t>
            </w:r>
            <w:r>
              <w:rPr>
                <w:rFonts w:hint="eastAsia" w:ascii="Times New Roman" w:hAnsi="Times New Roman" w:eastAsia="仿宋_GB2312" w:cs="Times New Roman"/>
                <w:bCs/>
                <w:color w:val="000000"/>
                <w:kern w:val="2"/>
                <w:sz w:val="24"/>
                <w:szCs w:val="24"/>
                <w:lang w:val="en-US" w:eastAsia="zh-CN" w:bidi="ar"/>
              </w:rPr>
              <w:t>。</w:t>
            </w:r>
          </w:p>
        </w:tc>
      </w:tr>
    </w:tbl>
    <w:p w14:paraId="531984B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根据三家医院2022—2025年卒中后抑郁中西医结合诊疗的临床实践数据，该方案在不同医疗机构、不同年份间均取得稳定疗效，总有效率维持在76.8%～83.1%之间，平均约80.5%，且诊疗量呈逐年上升趋势，表明本</w:t>
      </w:r>
      <w:r>
        <w:rPr>
          <w:rFonts w:hint="eastAsia" w:ascii="仿宋_GB2312" w:hAnsi="仿宋_GB2312" w:eastAsia="仿宋_GB2312" w:cs="仿宋_GB2312"/>
          <w:sz w:val="28"/>
          <w:szCs w:val="28"/>
          <w:lang w:val="en-US" w:eastAsia="zh-CN"/>
        </w:rPr>
        <w:t>标准</w:t>
      </w:r>
      <w:bookmarkStart w:id="0" w:name="_GoBack"/>
      <w:bookmarkEnd w:id="0"/>
      <w:r>
        <w:rPr>
          <w:rFonts w:hint="eastAsia" w:ascii="仿宋_GB2312" w:hAnsi="仿宋_GB2312" w:eastAsia="仿宋_GB2312" w:cs="仿宋_GB2312"/>
          <w:sz w:val="28"/>
          <w:szCs w:val="28"/>
        </w:rPr>
        <w:t>所规定的诊疗方法具有良好的临床可重复性和推广应用价值。</w:t>
      </w:r>
    </w:p>
    <w:p w14:paraId="4D5F839A">
      <w:pPr>
        <w:pStyle w:val="35"/>
        <w:numPr>
          <w:ilvl w:val="0"/>
          <w:numId w:val="0"/>
        </w:numPr>
        <w:spacing w:beforeLines="0" w:afterLines="0" w:line="360" w:lineRule="auto"/>
        <w:ind w:firstLine="643" w:firstLineChars="200"/>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64488681">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14:paraId="4D5D01B7">
      <w:pPr>
        <w:autoSpaceDE w:val="0"/>
        <w:autoSpaceDN w:val="0"/>
        <w:adjustRightInd w:val="0"/>
        <w:spacing w:before="156" w:beforeLines="50" w:after="156" w:afterLines="50" w:line="520" w:lineRule="exact"/>
        <w:ind w:firstLine="640" w:firstLineChars="200"/>
        <w:outlineLvl w:val="0"/>
        <w:rPr>
          <w:rFonts w:eastAsia="黑体"/>
          <w:sz w:val="32"/>
          <w:szCs w:val="32"/>
        </w:rPr>
      </w:pPr>
      <w:r>
        <w:rPr>
          <w:rFonts w:hint="eastAsia" w:ascii="黑体" w:eastAsia="黑体"/>
          <w:bCs/>
          <w:sz w:val="32"/>
          <w:szCs w:val="32"/>
        </w:rPr>
        <w:t>七、</w:t>
      </w:r>
      <w:r>
        <w:rPr>
          <w:rFonts w:hint="eastAsia" w:eastAsia="黑体"/>
          <w:sz w:val="32"/>
          <w:szCs w:val="32"/>
        </w:rPr>
        <w:t>实施标准的措施</w:t>
      </w:r>
    </w:p>
    <w:p w14:paraId="0417B72E">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14:paraId="1CDB1031">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B08EF49">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14:paraId="40D081EF">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医疗相关机构，对相关人员开展标准宣贯培训，对标准进行逐条解读，让相关人员掌握标准核心技术内容，助力标准实施落地，推动</w:t>
      </w:r>
      <w:r>
        <w:rPr>
          <w:rFonts w:hint="eastAsia" w:ascii="仿宋_GB2312" w:eastAsia="仿宋_GB2312"/>
          <w:sz w:val="28"/>
          <w:szCs w:val="28"/>
          <w:lang w:eastAsia="zh-CN"/>
        </w:rPr>
        <w:t>卒中后抑郁（郁病）中西医结合诊疗</w:t>
      </w:r>
      <w:r>
        <w:rPr>
          <w:rFonts w:hint="eastAsia" w:ascii="仿宋_GB2312" w:eastAsia="仿宋_GB2312"/>
          <w:sz w:val="28"/>
          <w:szCs w:val="28"/>
        </w:rPr>
        <w:t>高质量发展。</w:t>
      </w:r>
    </w:p>
    <w:p w14:paraId="1A15936E">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14:paraId="48C5A220">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标准起草小组深入各医疗相关机构组织相关人员召开标准实施交流会，听取标准实施过程中存在的问题并做好记录和解答，对存在的问题组织专家团队进行研讨，为标准的复审修订做准备。</w:t>
      </w:r>
    </w:p>
    <w:p w14:paraId="60E9842F">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14:paraId="7980E1C0">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60618B6B">
      <w:pPr>
        <w:spacing w:before="240" w:after="60" w:line="520" w:lineRule="exact"/>
        <w:ind w:firstLine="640" w:firstLineChars="200"/>
        <w:outlineLvl w:val="0"/>
        <w:rPr>
          <w:rFonts w:ascii="黑体" w:eastAsia="黑体"/>
          <w:bCs/>
          <w:sz w:val="32"/>
          <w:szCs w:val="32"/>
        </w:rPr>
      </w:pPr>
      <w:r>
        <w:rPr>
          <w:rFonts w:hint="eastAsia" w:ascii="黑体" w:eastAsia="黑体"/>
          <w:bCs/>
          <w:sz w:val="32"/>
          <w:szCs w:val="32"/>
        </w:rPr>
        <w:t>八、其他应当说明的事项</w:t>
      </w:r>
    </w:p>
    <w:p w14:paraId="192E6DB4">
      <w:pPr>
        <w:spacing w:line="520" w:lineRule="exact"/>
        <w:ind w:firstLine="560" w:firstLineChars="200"/>
        <w:rPr>
          <w:rFonts w:ascii="仿宋_GB2312" w:eastAsia="仿宋_GB2312"/>
          <w:sz w:val="28"/>
          <w:szCs w:val="28"/>
        </w:rPr>
      </w:pPr>
      <w:r>
        <w:rPr>
          <w:rFonts w:hint="eastAsia" w:ascii="仿宋_GB2312" w:eastAsia="仿宋_GB2312"/>
          <w:sz w:val="28"/>
          <w:szCs w:val="28"/>
        </w:rPr>
        <w:t>无。</w:t>
      </w:r>
    </w:p>
    <w:p w14:paraId="25334019">
      <w:pPr>
        <w:autoSpaceDE w:val="0"/>
        <w:autoSpaceDN w:val="0"/>
        <w:adjustRightInd w:val="0"/>
        <w:spacing w:before="156" w:beforeLines="50" w:after="156" w:afterLines="50" w:line="520" w:lineRule="exact"/>
        <w:ind w:firstLine="640"/>
        <w:outlineLvl w:val="0"/>
        <w:rPr>
          <w:rFonts w:eastAsia="黑体"/>
          <w:sz w:val="32"/>
          <w:szCs w:val="32"/>
        </w:rPr>
      </w:pPr>
      <w:r>
        <w:rPr>
          <w:rFonts w:hint="eastAsia" w:eastAsia="黑体"/>
          <w:sz w:val="32"/>
          <w:szCs w:val="32"/>
        </w:rPr>
        <w:t>九、自我承诺</w:t>
      </w:r>
    </w:p>
    <w:p w14:paraId="6B8D46E9">
      <w:pPr>
        <w:spacing w:before="240" w:after="60" w:line="520" w:lineRule="exact"/>
        <w:ind w:firstLine="1120" w:firstLineChars="400"/>
        <w:outlineLvl w:val="0"/>
        <w:rPr>
          <w:rFonts w:hint="eastAsia" w:ascii="仿宋_GB2312" w:eastAsia="仿宋_GB2312"/>
          <w:sz w:val="28"/>
          <w:szCs w:val="28"/>
          <w:lang w:eastAsia="zh-CN"/>
        </w:rPr>
      </w:pPr>
      <w:r>
        <w:rPr>
          <w:rFonts w:hint="eastAsia" w:ascii="仿宋_GB2312" w:eastAsia="仿宋_GB2312"/>
          <w:sz w:val="28"/>
          <w:szCs w:val="28"/>
        </w:rPr>
        <w:t>该标准的内容符合国家相关法律法规，技术要求不低于强制性国家标准的相关技术要求，与相关的国家、行业推荐性标准协调一致，标准的编写符合GB/T 1.1-2020的要求。</w:t>
      </w:r>
    </w:p>
    <w:p w14:paraId="1EC8E953">
      <w:pPr>
        <w:spacing w:before="240" w:after="60" w:line="520" w:lineRule="exact"/>
        <w:ind w:firstLine="1120" w:firstLineChars="400"/>
        <w:outlineLvl w:val="0"/>
        <w:rPr>
          <w:rFonts w:ascii="仿宋_GB2312" w:eastAsia="仿宋_GB2312"/>
          <w:sz w:val="28"/>
          <w:szCs w:val="28"/>
        </w:rPr>
      </w:pPr>
      <w:r>
        <w:rPr>
          <w:rFonts w:hint="eastAsia" w:ascii="仿宋_GB2312" w:eastAsia="仿宋_GB2312"/>
          <w:sz w:val="28"/>
          <w:szCs w:val="28"/>
        </w:rPr>
        <w:t>团体标准《</w:t>
      </w:r>
      <w:r>
        <w:rPr>
          <w:rFonts w:hint="eastAsia" w:ascii="仿宋_GB2312" w:eastAsia="仿宋_GB2312"/>
          <w:sz w:val="28"/>
          <w:szCs w:val="28"/>
          <w:lang w:eastAsia="zh-CN"/>
        </w:rPr>
        <w:t>卒中后抑郁（郁病）中西医结合诊疗规范</w:t>
      </w:r>
      <w:r>
        <w:rPr>
          <w:rFonts w:hint="eastAsia" w:ascii="仿宋_GB2312" w:eastAsia="仿宋_GB2312"/>
          <w:sz w:val="28"/>
          <w:szCs w:val="28"/>
        </w:rPr>
        <w:t>》</w:t>
      </w:r>
    </w:p>
    <w:p w14:paraId="1CABE388">
      <w:pPr>
        <w:spacing w:line="520" w:lineRule="exact"/>
        <w:ind w:right="1120"/>
        <w:jc w:val="center"/>
        <w:rPr>
          <w:rFonts w:ascii="仿宋_GB2312" w:eastAsia="仿宋_GB2312"/>
          <w:sz w:val="28"/>
          <w:szCs w:val="28"/>
        </w:rPr>
      </w:pPr>
      <w:r>
        <w:rPr>
          <w:rFonts w:hint="eastAsia" w:ascii="仿宋_GB2312" w:eastAsia="仿宋_GB2312"/>
          <w:sz w:val="28"/>
          <w:szCs w:val="28"/>
        </w:rPr>
        <w:t xml:space="preserve">                   标准编制工作组</w:t>
      </w:r>
    </w:p>
    <w:p w14:paraId="2E4AE916">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28"/>
          <w:szCs w:val="28"/>
        </w:rPr>
        <w:t>2026年</w:t>
      </w:r>
      <w:r>
        <w:rPr>
          <w:rFonts w:hint="eastAsia" w:ascii="仿宋_GB2312" w:eastAsia="仿宋_GB2312"/>
          <w:sz w:val="28"/>
          <w:szCs w:val="28"/>
          <w:lang w:val="en-US" w:eastAsia="zh-CN"/>
        </w:rPr>
        <w:t>5</w:t>
      </w:r>
      <w:r>
        <w:rPr>
          <w:rFonts w:hint="eastAsia" w:ascii="仿宋_GB2312" w:eastAsia="仿宋_GB2312"/>
          <w:sz w:val="28"/>
          <w:szCs w:val="28"/>
        </w:rPr>
        <w:t>月</w:t>
      </w:r>
      <w:r>
        <w:rPr>
          <w:rFonts w:hint="eastAsia" w:ascii="仿宋_GB2312" w:eastAsia="仿宋_GB2312"/>
          <w:sz w:val="28"/>
          <w:szCs w:val="28"/>
          <w:lang w:val="en-US" w:eastAsia="zh-CN"/>
        </w:rPr>
        <w:t>15</w:t>
      </w:r>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970646F-40A8-4471-8C15-687826E8D47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2" w:fontKey="{8E0D69F2-7B2A-4FC8-BD72-240FAF08EF30}"/>
  </w:font>
  <w:font w:name="仿宋_GB2312">
    <w:panose1 w:val="02010609030101010101"/>
    <w:charset w:val="86"/>
    <w:family w:val="modern"/>
    <w:pitch w:val="default"/>
    <w:sig w:usb0="00000001" w:usb1="080E0000" w:usb2="00000000" w:usb3="00000000" w:csb0="00040000" w:csb1="00000000"/>
    <w:embedRegular r:id="rId3" w:fontKey="{022B831A-9055-4D63-805C-6EA49E3819B3}"/>
  </w:font>
  <w:font w:name="仿宋">
    <w:panose1 w:val="02010609060101010101"/>
    <w:charset w:val="86"/>
    <w:family w:val="modern"/>
    <w:pitch w:val="default"/>
    <w:sig w:usb0="800002BF" w:usb1="38CF7CFA" w:usb2="00000016" w:usb3="00000000" w:csb0="00040001" w:csb1="00000000"/>
    <w:embedRegular r:id="rId4" w:fontKey="{2DC8534E-5961-41A0-A6E3-C6B7412E0B4F}"/>
  </w:font>
  <w:font w:name="@黑体">
    <w:panose1 w:val="02010609060101010101"/>
    <w:charset w:val="86"/>
    <w:family w:val="auto"/>
    <w:pitch w:val="fixed"/>
    <w:sig w:usb0="800002BF" w:usb1="38CF7CFA" w:usb2="00000016" w:usb3="00000000" w:csb0="00040001"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 w:name="@仿宋_GB2312">
    <w:panose1 w:val="02010609030101010101"/>
    <w:charset w:val="86"/>
    <w:family w:val="auto"/>
    <w:pitch w:val="fixed"/>
    <w:sig w:usb0="00000001" w:usb1="080E0000" w:usb2="00000000" w:usb3="00000000" w:csb0="0004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AF60D">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46CC976E">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46CC976E">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4"/>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A333FDA2"/>
    <w:multiLevelType w:val="multilevel"/>
    <w:tmpl w:val="A333FDA2"/>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B16E2ACE"/>
    <w:multiLevelType w:val="multilevel"/>
    <w:tmpl w:val="B16E2ACE"/>
    <w:lvl w:ilvl="0" w:tentative="0">
      <w:start w:val="1"/>
      <w:numFmt w:val="upperLetter"/>
      <w:suff w:val="nothing"/>
      <w:lvlText w:val="附录%1"/>
      <w:lvlJc w:val="left"/>
      <w:pPr>
        <w:ind w:left="0" w:firstLine="0"/>
      </w:pPr>
      <w:rPr>
        <w:spacing w:val="100"/>
      </w:rPr>
    </w:lvl>
    <w:lvl w:ilvl="1" w:tentative="0">
      <w:start w:val="1"/>
      <w:numFmt w:val="decimal"/>
      <w:pStyle w:val="65"/>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B744FEDA"/>
    <w:multiLevelType w:val="singleLevel"/>
    <w:tmpl w:val="B744FEDA"/>
    <w:lvl w:ilvl="0" w:tentative="0">
      <w:start w:val="1"/>
      <w:numFmt w:val="decimal"/>
      <w:suff w:val="nothing"/>
      <w:lvlText w:val="（%1）"/>
      <w:lvlJc w:val="left"/>
    </w:lvl>
  </w:abstractNum>
  <w:abstractNum w:abstractNumId="4">
    <w:nsid w:val="BA7B8511"/>
    <w:multiLevelType w:val="multilevel"/>
    <w:tmpl w:val="BA7B8511"/>
    <w:lvl w:ilvl="0" w:tentative="0">
      <w:start w:val="1"/>
      <w:numFmt w:val="decimal"/>
      <w:pStyle w:val="61"/>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5">
    <w:nsid w:val="F947AA72"/>
    <w:multiLevelType w:val="multilevel"/>
    <w:tmpl w:val="F947AA72"/>
    <w:lvl w:ilvl="0" w:tentative="0">
      <w:start w:val="1"/>
      <w:numFmt w:val="upperLetter"/>
      <w:suff w:val="space"/>
      <w:lvlText w:val="%1"/>
      <w:lvlJc w:val="left"/>
      <w:pPr>
        <w:ind w:left="425" w:hanging="425"/>
      </w:pPr>
    </w:lvl>
    <w:lvl w:ilvl="1" w:tentative="0">
      <w:start w:val="1"/>
      <w:numFmt w:val="decimal"/>
      <w:pStyle w:val="63"/>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6">
    <w:nsid w:val="0FFFFF7E"/>
    <w:multiLevelType w:val="singleLevel"/>
    <w:tmpl w:val="0FFFFF7E"/>
    <w:lvl w:ilvl="0" w:tentative="0">
      <w:start w:val="1"/>
      <w:numFmt w:val="decimal"/>
      <w:lvlText w:val="%1."/>
      <w:lvlJc w:val="left"/>
      <w:pPr>
        <w:tabs>
          <w:tab w:val="left" w:pos="1200"/>
        </w:tabs>
        <w:ind w:left="1200" w:hanging="360"/>
      </w:pPr>
    </w:lvl>
  </w:abstractNum>
  <w:abstractNum w:abstractNumId="7">
    <w:nsid w:val="0FFFFF7F"/>
    <w:multiLevelType w:val="singleLevel"/>
    <w:tmpl w:val="0FFFFF7F"/>
    <w:lvl w:ilvl="0" w:tentative="0">
      <w:start w:val="1"/>
      <w:numFmt w:val="decimal"/>
      <w:lvlText w:val="%1."/>
      <w:lvlJc w:val="left"/>
      <w:pPr>
        <w:tabs>
          <w:tab w:val="left" w:pos="780"/>
        </w:tabs>
        <w:ind w:left="780" w:hanging="360"/>
      </w:pPr>
    </w:lvl>
  </w:abstractNum>
  <w:abstractNum w:abstractNumId="8">
    <w:nsid w:val="2C5917C3"/>
    <w:multiLevelType w:val="multilevel"/>
    <w:tmpl w:val="2C5917C3"/>
    <w:lvl w:ilvl="0" w:tentative="0">
      <w:start w:val="1"/>
      <w:numFmt w:val="none"/>
      <w:pStyle w:val="58"/>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9">
    <w:nsid w:val="44C50F90"/>
    <w:multiLevelType w:val="multilevel"/>
    <w:tmpl w:val="44C50F90"/>
    <w:lvl w:ilvl="0" w:tentative="0">
      <w:start w:val="1"/>
      <w:numFmt w:val="lowerLetter"/>
      <w:pStyle w:val="53"/>
      <w:lvlText w:val="%1)"/>
      <w:lvlJc w:val="left"/>
      <w:pPr>
        <w:tabs>
          <w:tab w:val="left" w:pos="851"/>
        </w:tabs>
        <w:ind w:left="851" w:hanging="426"/>
      </w:pPr>
      <w:rPr>
        <w:rFonts w:hint="eastAsia" w:ascii="宋体" w:hAnsi="Times New Roman" w:eastAsia="宋体"/>
        <w:sz w:val="21"/>
      </w:rPr>
    </w:lvl>
    <w:lvl w:ilvl="1" w:tentative="0">
      <w:start w:val="1"/>
      <w:numFmt w:val="decimal"/>
      <w:pStyle w:val="51"/>
      <w:lvlText w:val="%2)"/>
      <w:lvlJc w:val="left"/>
      <w:pPr>
        <w:tabs>
          <w:tab w:val="left" w:pos="1276"/>
        </w:tabs>
        <w:ind w:left="1276" w:hanging="425"/>
      </w:pPr>
      <w:rPr>
        <w:rFonts w:hint="eastAsia" w:ascii="宋体" w:hAnsi="Times New Roman" w:eastAsia="宋体"/>
        <w:sz w:val="21"/>
      </w:rPr>
    </w:lvl>
    <w:lvl w:ilvl="2" w:tentative="0">
      <w:start w:val="1"/>
      <w:numFmt w:val="decimal"/>
      <w:pStyle w:val="5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0">
    <w:nsid w:val="5A9B6960"/>
    <w:multiLevelType w:val="multilevel"/>
    <w:tmpl w:val="5A9B6960"/>
    <w:lvl w:ilvl="0" w:tentative="0">
      <w:start w:val="1"/>
      <w:numFmt w:val="none"/>
      <w:pStyle w:val="41"/>
      <w:suff w:val="nothing"/>
      <w:lvlText w:val="%1"/>
      <w:legacy w:legacy="1" w:legacySpace="0" w:legacyIndent="0"/>
      <w:lvlJc w:val="left"/>
      <w:pPr>
        <w:ind w:left="0" w:firstLine="0"/>
      </w:pPr>
      <w:rPr>
        <w:rFonts w:hint="eastAsia"/>
      </w:rPr>
    </w:lvl>
    <w:lvl w:ilvl="1" w:tentative="0">
      <w:start w:val="1"/>
      <w:numFmt w:val="decimal"/>
      <w:pStyle w:val="35"/>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7"/>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3"/>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2"/>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0"/>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10"/>
  </w:num>
  <w:num w:numId="2">
    <w:abstractNumId w:val="0"/>
  </w:num>
  <w:num w:numId="3">
    <w:abstractNumId w:val="7"/>
  </w:num>
  <w:num w:numId="4">
    <w:abstractNumId w:val="6"/>
  </w:num>
  <w:num w:numId="5">
    <w:abstractNumId w:val="9"/>
  </w:num>
  <w:num w:numId="6">
    <w:abstractNumId w:val="8"/>
  </w:num>
  <w:num w:numId="7">
    <w:abstractNumId w:val="1"/>
  </w:num>
  <w:num w:numId="8">
    <w:abstractNumId w:val="4"/>
  </w:num>
  <w:num w:numId="9">
    <w:abstractNumId w:val="5"/>
  </w:num>
  <w:num w:numId="10">
    <w:abstractNumId w:val="2"/>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mZjdmNjQ0Mzc5YTc3ZDgxN2Y5N2UwYjg1YWNjN2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15A62"/>
    <w:rsid w:val="00142D19"/>
    <w:rsid w:val="001655CC"/>
    <w:rsid w:val="0018012C"/>
    <w:rsid w:val="001821C9"/>
    <w:rsid w:val="001A7570"/>
    <w:rsid w:val="001C58D4"/>
    <w:rsid w:val="001D3156"/>
    <w:rsid w:val="001D4C84"/>
    <w:rsid w:val="001E2D73"/>
    <w:rsid w:val="001E6087"/>
    <w:rsid w:val="0020127F"/>
    <w:rsid w:val="00205352"/>
    <w:rsid w:val="002210B4"/>
    <w:rsid w:val="0022236C"/>
    <w:rsid w:val="002227B6"/>
    <w:rsid w:val="002324B6"/>
    <w:rsid w:val="00234F7D"/>
    <w:rsid w:val="00236909"/>
    <w:rsid w:val="00236EB4"/>
    <w:rsid w:val="00241F8A"/>
    <w:rsid w:val="0026503D"/>
    <w:rsid w:val="00281F39"/>
    <w:rsid w:val="0028500C"/>
    <w:rsid w:val="002879F6"/>
    <w:rsid w:val="002905CF"/>
    <w:rsid w:val="00292F73"/>
    <w:rsid w:val="0029554A"/>
    <w:rsid w:val="002A3479"/>
    <w:rsid w:val="002B7C92"/>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D06F2"/>
    <w:rsid w:val="003D485E"/>
    <w:rsid w:val="00426DC5"/>
    <w:rsid w:val="004373E9"/>
    <w:rsid w:val="0044036C"/>
    <w:rsid w:val="0044065E"/>
    <w:rsid w:val="004805DB"/>
    <w:rsid w:val="0048511D"/>
    <w:rsid w:val="004A75FF"/>
    <w:rsid w:val="004B4D68"/>
    <w:rsid w:val="004C43A5"/>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B0BA0"/>
    <w:rsid w:val="006B12C0"/>
    <w:rsid w:val="006F2543"/>
    <w:rsid w:val="00714DDE"/>
    <w:rsid w:val="00727452"/>
    <w:rsid w:val="007345CF"/>
    <w:rsid w:val="0074491A"/>
    <w:rsid w:val="007557E4"/>
    <w:rsid w:val="00756356"/>
    <w:rsid w:val="007643FB"/>
    <w:rsid w:val="00774434"/>
    <w:rsid w:val="007756AB"/>
    <w:rsid w:val="00781D6C"/>
    <w:rsid w:val="00784DBC"/>
    <w:rsid w:val="007A149B"/>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E1EB5"/>
    <w:rsid w:val="00926E1B"/>
    <w:rsid w:val="00932BA3"/>
    <w:rsid w:val="00947EBA"/>
    <w:rsid w:val="009718CC"/>
    <w:rsid w:val="009A4141"/>
    <w:rsid w:val="009B7918"/>
    <w:rsid w:val="009E3161"/>
    <w:rsid w:val="00A06B7F"/>
    <w:rsid w:val="00A16A3E"/>
    <w:rsid w:val="00A263D3"/>
    <w:rsid w:val="00A365A2"/>
    <w:rsid w:val="00A368A3"/>
    <w:rsid w:val="00A37FDF"/>
    <w:rsid w:val="00A42C5E"/>
    <w:rsid w:val="00A47FB7"/>
    <w:rsid w:val="00A75476"/>
    <w:rsid w:val="00A851D3"/>
    <w:rsid w:val="00A87F41"/>
    <w:rsid w:val="00A95A00"/>
    <w:rsid w:val="00AB5B3D"/>
    <w:rsid w:val="00AC57C3"/>
    <w:rsid w:val="00AD0172"/>
    <w:rsid w:val="00AE408C"/>
    <w:rsid w:val="00B0429D"/>
    <w:rsid w:val="00B051B4"/>
    <w:rsid w:val="00B07A8A"/>
    <w:rsid w:val="00B3173E"/>
    <w:rsid w:val="00B655EA"/>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E332B"/>
    <w:rsid w:val="00EF4610"/>
    <w:rsid w:val="00EF6CB2"/>
    <w:rsid w:val="00F01A5C"/>
    <w:rsid w:val="00F10D46"/>
    <w:rsid w:val="00F1246B"/>
    <w:rsid w:val="00F40513"/>
    <w:rsid w:val="00F424A9"/>
    <w:rsid w:val="00F5729F"/>
    <w:rsid w:val="00F65587"/>
    <w:rsid w:val="00F77E06"/>
    <w:rsid w:val="00F843C0"/>
    <w:rsid w:val="00F9021F"/>
    <w:rsid w:val="00FA7D60"/>
    <w:rsid w:val="00FB260A"/>
    <w:rsid w:val="00FC7CE6"/>
    <w:rsid w:val="00FD5DA3"/>
    <w:rsid w:val="00FD6497"/>
    <w:rsid w:val="00FF2EC3"/>
    <w:rsid w:val="00FF56B9"/>
    <w:rsid w:val="012A4E2C"/>
    <w:rsid w:val="013B5F16"/>
    <w:rsid w:val="023615AF"/>
    <w:rsid w:val="025E2D19"/>
    <w:rsid w:val="02614FC7"/>
    <w:rsid w:val="02DC2156"/>
    <w:rsid w:val="02E82811"/>
    <w:rsid w:val="030A6CC4"/>
    <w:rsid w:val="03614FBD"/>
    <w:rsid w:val="036C0D75"/>
    <w:rsid w:val="036E42DF"/>
    <w:rsid w:val="039B3DC0"/>
    <w:rsid w:val="03CC3F79"/>
    <w:rsid w:val="03FB03BA"/>
    <w:rsid w:val="04790F9B"/>
    <w:rsid w:val="04DA4474"/>
    <w:rsid w:val="04EC1DF7"/>
    <w:rsid w:val="05645BE9"/>
    <w:rsid w:val="057B7A05"/>
    <w:rsid w:val="05CD222A"/>
    <w:rsid w:val="05FD2B10"/>
    <w:rsid w:val="06084616"/>
    <w:rsid w:val="0619721E"/>
    <w:rsid w:val="06456265"/>
    <w:rsid w:val="06A74CDB"/>
    <w:rsid w:val="06A9292B"/>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35598B"/>
    <w:rsid w:val="0C4845D6"/>
    <w:rsid w:val="0C770416"/>
    <w:rsid w:val="0CCA0D59"/>
    <w:rsid w:val="0DB22432"/>
    <w:rsid w:val="0E1B0D4A"/>
    <w:rsid w:val="0EE41D10"/>
    <w:rsid w:val="0F29068B"/>
    <w:rsid w:val="10395851"/>
    <w:rsid w:val="10A125AF"/>
    <w:rsid w:val="10B547F0"/>
    <w:rsid w:val="10BF65F0"/>
    <w:rsid w:val="11186A50"/>
    <w:rsid w:val="11386E78"/>
    <w:rsid w:val="11B73ED3"/>
    <w:rsid w:val="121E62E8"/>
    <w:rsid w:val="12241424"/>
    <w:rsid w:val="12277661"/>
    <w:rsid w:val="12511EBC"/>
    <w:rsid w:val="12B66520"/>
    <w:rsid w:val="12D30089"/>
    <w:rsid w:val="12F36381"/>
    <w:rsid w:val="133D4C82"/>
    <w:rsid w:val="13C20390"/>
    <w:rsid w:val="13D12EE6"/>
    <w:rsid w:val="13EE1CEA"/>
    <w:rsid w:val="13F37300"/>
    <w:rsid w:val="13FA2960"/>
    <w:rsid w:val="14700951"/>
    <w:rsid w:val="148154C9"/>
    <w:rsid w:val="151244E3"/>
    <w:rsid w:val="156F60AE"/>
    <w:rsid w:val="15A85F7C"/>
    <w:rsid w:val="15DF0A75"/>
    <w:rsid w:val="16875DAB"/>
    <w:rsid w:val="169F0A74"/>
    <w:rsid w:val="16A11295"/>
    <w:rsid w:val="174D6D27"/>
    <w:rsid w:val="175400B6"/>
    <w:rsid w:val="17C675A6"/>
    <w:rsid w:val="17D631C0"/>
    <w:rsid w:val="18CE5C46"/>
    <w:rsid w:val="196F7429"/>
    <w:rsid w:val="19C77265"/>
    <w:rsid w:val="1A2024D1"/>
    <w:rsid w:val="1A2A2D28"/>
    <w:rsid w:val="1A514D80"/>
    <w:rsid w:val="1ABC0F82"/>
    <w:rsid w:val="1B9C64CF"/>
    <w:rsid w:val="1C0F4EF3"/>
    <w:rsid w:val="1C5E2638"/>
    <w:rsid w:val="1CAD7BD6"/>
    <w:rsid w:val="1CDC3027"/>
    <w:rsid w:val="1D2C4A21"/>
    <w:rsid w:val="1D4806BC"/>
    <w:rsid w:val="1E023D84"/>
    <w:rsid w:val="1E6C7E3E"/>
    <w:rsid w:val="1E8C6387"/>
    <w:rsid w:val="1EEE7042"/>
    <w:rsid w:val="1EF0375A"/>
    <w:rsid w:val="1F436741"/>
    <w:rsid w:val="1FFA549F"/>
    <w:rsid w:val="20346CD6"/>
    <w:rsid w:val="206E043A"/>
    <w:rsid w:val="20B63B8F"/>
    <w:rsid w:val="20FB3F44"/>
    <w:rsid w:val="211200FF"/>
    <w:rsid w:val="213E3BC7"/>
    <w:rsid w:val="21B75E11"/>
    <w:rsid w:val="21C34F08"/>
    <w:rsid w:val="22D62711"/>
    <w:rsid w:val="23046E34"/>
    <w:rsid w:val="23675615"/>
    <w:rsid w:val="23E80503"/>
    <w:rsid w:val="24376F6E"/>
    <w:rsid w:val="2443573A"/>
    <w:rsid w:val="24B42104"/>
    <w:rsid w:val="24F86524"/>
    <w:rsid w:val="25496D80"/>
    <w:rsid w:val="25670B39"/>
    <w:rsid w:val="25CD79B1"/>
    <w:rsid w:val="25DC3EE8"/>
    <w:rsid w:val="25E42F4C"/>
    <w:rsid w:val="27095D8A"/>
    <w:rsid w:val="27532138"/>
    <w:rsid w:val="27604855"/>
    <w:rsid w:val="277B51EB"/>
    <w:rsid w:val="279E6744"/>
    <w:rsid w:val="2829733C"/>
    <w:rsid w:val="28CC0709"/>
    <w:rsid w:val="29C22B06"/>
    <w:rsid w:val="2AB6770F"/>
    <w:rsid w:val="2AFC1105"/>
    <w:rsid w:val="2B3116E7"/>
    <w:rsid w:val="2BAD2B02"/>
    <w:rsid w:val="2BDA1E37"/>
    <w:rsid w:val="2D4B05DB"/>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1F06DE7"/>
    <w:rsid w:val="327A0EC0"/>
    <w:rsid w:val="33685BF1"/>
    <w:rsid w:val="339F33DF"/>
    <w:rsid w:val="34B76D87"/>
    <w:rsid w:val="34C65624"/>
    <w:rsid w:val="34D01D12"/>
    <w:rsid w:val="34D90AD3"/>
    <w:rsid w:val="350B5B62"/>
    <w:rsid w:val="3573099D"/>
    <w:rsid w:val="35C44201"/>
    <w:rsid w:val="366B28CE"/>
    <w:rsid w:val="380F4839"/>
    <w:rsid w:val="38206066"/>
    <w:rsid w:val="38913D17"/>
    <w:rsid w:val="38955FDF"/>
    <w:rsid w:val="393E01A9"/>
    <w:rsid w:val="396B1F46"/>
    <w:rsid w:val="39DC7D6B"/>
    <w:rsid w:val="3AD4054D"/>
    <w:rsid w:val="3B651FE2"/>
    <w:rsid w:val="3B714E2B"/>
    <w:rsid w:val="3D5134B7"/>
    <w:rsid w:val="3D6C58AA"/>
    <w:rsid w:val="3D6D1ED3"/>
    <w:rsid w:val="3D8C5F4C"/>
    <w:rsid w:val="3E65515C"/>
    <w:rsid w:val="3E94330A"/>
    <w:rsid w:val="3F2E1041"/>
    <w:rsid w:val="401F30A7"/>
    <w:rsid w:val="403F2E01"/>
    <w:rsid w:val="41480210"/>
    <w:rsid w:val="42B43A05"/>
    <w:rsid w:val="42CD0EA8"/>
    <w:rsid w:val="431A1904"/>
    <w:rsid w:val="43947908"/>
    <w:rsid w:val="44CB4DED"/>
    <w:rsid w:val="44F56185"/>
    <w:rsid w:val="4520080C"/>
    <w:rsid w:val="45413951"/>
    <w:rsid w:val="45B30A7B"/>
    <w:rsid w:val="45D90566"/>
    <w:rsid w:val="467B530C"/>
    <w:rsid w:val="46E47FFF"/>
    <w:rsid w:val="4779601E"/>
    <w:rsid w:val="481B0E08"/>
    <w:rsid w:val="482D3E87"/>
    <w:rsid w:val="48353A66"/>
    <w:rsid w:val="489160CA"/>
    <w:rsid w:val="48E01E61"/>
    <w:rsid w:val="49327CD0"/>
    <w:rsid w:val="493E1AE1"/>
    <w:rsid w:val="4A9B6FA0"/>
    <w:rsid w:val="4AF51556"/>
    <w:rsid w:val="4B035C36"/>
    <w:rsid w:val="4B2238EC"/>
    <w:rsid w:val="4B44550B"/>
    <w:rsid w:val="4C7D362F"/>
    <w:rsid w:val="4CAC0AD9"/>
    <w:rsid w:val="4CD55219"/>
    <w:rsid w:val="4DDD59C1"/>
    <w:rsid w:val="4E32294F"/>
    <w:rsid w:val="4E395334"/>
    <w:rsid w:val="4E593C28"/>
    <w:rsid w:val="4EFD2805"/>
    <w:rsid w:val="4F2558B8"/>
    <w:rsid w:val="4FAD1FC6"/>
    <w:rsid w:val="4FC74BC1"/>
    <w:rsid w:val="501324CE"/>
    <w:rsid w:val="501778F7"/>
    <w:rsid w:val="50520AB9"/>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016D25"/>
    <w:rsid w:val="58286739"/>
    <w:rsid w:val="583A6878"/>
    <w:rsid w:val="58733B38"/>
    <w:rsid w:val="588E44CE"/>
    <w:rsid w:val="58D367F3"/>
    <w:rsid w:val="592C1295"/>
    <w:rsid w:val="595B4CF8"/>
    <w:rsid w:val="5992568E"/>
    <w:rsid w:val="59DD74BB"/>
    <w:rsid w:val="59E266CB"/>
    <w:rsid w:val="59EF3692"/>
    <w:rsid w:val="5A121AEF"/>
    <w:rsid w:val="5A420BA5"/>
    <w:rsid w:val="5A8C449C"/>
    <w:rsid w:val="5B571FFB"/>
    <w:rsid w:val="5B6B556E"/>
    <w:rsid w:val="5BFB00CD"/>
    <w:rsid w:val="5C452F47"/>
    <w:rsid w:val="5C537F09"/>
    <w:rsid w:val="5C582B15"/>
    <w:rsid w:val="5C867919"/>
    <w:rsid w:val="5D086F45"/>
    <w:rsid w:val="5D243653"/>
    <w:rsid w:val="5D4D6706"/>
    <w:rsid w:val="5D9B49EA"/>
    <w:rsid w:val="5DF4639A"/>
    <w:rsid w:val="5DF76C0B"/>
    <w:rsid w:val="5E0E07F8"/>
    <w:rsid w:val="5E166162"/>
    <w:rsid w:val="5E42134A"/>
    <w:rsid w:val="5ED15115"/>
    <w:rsid w:val="5EFD5F0A"/>
    <w:rsid w:val="5FD702EA"/>
    <w:rsid w:val="5FEF619A"/>
    <w:rsid w:val="601A7C70"/>
    <w:rsid w:val="60252B89"/>
    <w:rsid w:val="604F4E8B"/>
    <w:rsid w:val="60745363"/>
    <w:rsid w:val="60B11334"/>
    <w:rsid w:val="61524586"/>
    <w:rsid w:val="616C2448"/>
    <w:rsid w:val="61882403"/>
    <w:rsid w:val="620316C6"/>
    <w:rsid w:val="62174A92"/>
    <w:rsid w:val="626C326C"/>
    <w:rsid w:val="628C5F22"/>
    <w:rsid w:val="62C44CEE"/>
    <w:rsid w:val="630E06E5"/>
    <w:rsid w:val="634A0790"/>
    <w:rsid w:val="63DF2082"/>
    <w:rsid w:val="64E33DF4"/>
    <w:rsid w:val="652F2B95"/>
    <w:rsid w:val="654A16B4"/>
    <w:rsid w:val="654C7BEB"/>
    <w:rsid w:val="65DF5D81"/>
    <w:rsid w:val="65E76184"/>
    <w:rsid w:val="65FA2E2F"/>
    <w:rsid w:val="660F1D12"/>
    <w:rsid w:val="66375416"/>
    <w:rsid w:val="664803B2"/>
    <w:rsid w:val="66770C98"/>
    <w:rsid w:val="66EF6B43"/>
    <w:rsid w:val="67277FC8"/>
    <w:rsid w:val="677C2407"/>
    <w:rsid w:val="6804655B"/>
    <w:rsid w:val="68552A56"/>
    <w:rsid w:val="68C47A98"/>
    <w:rsid w:val="68C53F3C"/>
    <w:rsid w:val="6A8A21D9"/>
    <w:rsid w:val="6AFD3324"/>
    <w:rsid w:val="6B170353"/>
    <w:rsid w:val="6B805A13"/>
    <w:rsid w:val="6B913722"/>
    <w:rsid w:val="6BFB1CFC"/>
    <w:rsid w:val="6CC80E6D"/>
    <w:rsid w:val="6CEE57FE"/>
    <w:rsid w:val="6D6A740A"/>
    <w:rsid w:val="6DDA15E5"/>
    <w:rsid w:val="6E0252EB"/>
    <w:rsid w:val="6E315BD0"/>
    <w:rsid w:val="6E9331FA"/>
    <w:rsid w:val="6F393D6E"/>
    <w:rsid w:val="6F8B1586"/>
    <w:rsid w:val="6F986B5B"/>
    <w:rsid w:val="70015658"/>
    <w:rsid w:val="7061760A"/>
    <w:rsid w:val="70B2124A"/>
    <w:rsid w:val="70EC47D4"/>
    <w:rsid w:val="70F47B1E"/>
    <w:rsid w:val="710B6BAC"/>
    <w:rsid w:val="712B2DAA"/>
    <w:rsid w:val="71CC633B"/>
    <w:rsid w:val="71F238C8"/>
    <w:rsid w:val="72534367"/>
    <w:rsid w:val="72D70869"/>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3F5645"/>
    <w:rsid w:val="79477DB9"/>
    <w:rsid w:val="798B5FEA"/>
    <w:rsid w:val="7A035425"/>
    <w:rsid w:val="7A5154DA"/>
    <w:rsid w:val="7A937FAF"/>
    <w:rsid w:val="7AB465B7"/>
    <w:rsid w:val="7ACC115A"/>
    <w:rsid w:val="7AF81F4F"/>
    <w:rsid w:val="7AFA7F37"/>
    <w:rsid w:val="7B0D59BF"/>
    <w:rsid w:val="7B215011"/>
    <w:rsid w:val="7B5C267D"/>
    <w:rsid w:val="7B6C6499"/>
    <w:rsid w:val="7B7B492E"/>
    <w:rsid w:val="7B913955"/>
    <w:rsid w:val="7BEC3554"/>
    <w:rsid w:val="7C9E3D4A"/>
    <w:rsid w:val="7CB63E70"/>
    <w:rsid w:val="7D221505"/>
    <w:rsid w:val="7D334C5C"/>
    <w:rsid w:val="7D902913"/>
    <w:rsid w:val="7DE81904"/>
    <w:rsid w:val="7E2B6198"/>
    <w:rsid w:val="7E5135DF"/>
    <w:rsid w:val="7E60202D"/>
    <w:rsid w:val="7F2A12E9"/>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4"/>
    <w:basedOn w:val="1"/>
    <w:next w:val="1"/>
    <w:semiHidden/>
    <w:unhideWhenUsed/>
    <w:qFormat/>
    <w:uiPriority w:val="9"/>
    <w:pPr>
      <w:spacing w:beforeAutospacing="1" w:afterAutospacing="1"/>
      <w:jc w:val="left"/>
      <w:outlineLvl w:val="3"/>
    </w:pPr>
    <w:rPr>
      <w:rFonts w:hint="eastAsia" w:ascii="宋体" w:hAnsi="宋体" w:cs="Times New Roman"/>
      <w:b/>
      <w:bCs/>
      <w:kern w:val="0"/>
      <w:sz w:val="24"/>
    </w:rPr>
  </w:style>
  <w:style w:type="paragraph" w:styleId="6">
    <w:name w:val="heading 7"/>
    <w:basedOn w:val="1"/>
    <w:next w:val="1"/>
    <w:link w:val="27"/>
    <w:autoRedefine/>
    <w:qFormat/>
    <w:uiPriority w:val="9"/>
    <w:pPr>
      <w:keepNext/>
      <w:keepLines/>
      <w:spacing w:before="240" w:after="64" w:line="320" w:lineRule="auto"/>
      <w:outlineLvl w:val="6"/>
    </w:pPr>
    <w:rPr>
      <w:b/>
      <w:bCs/>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annotation text"/>
    <w:basedOn w:val="1"/>
    <w:link w:val="28"/>
    <w:autoRedefine/>
    <w:unhideWhenUsed/>
    <w:qFormat/>
    <w:uiPriority w:val="99"/>
    <w:pPr>
      <w:adjustRightInd w:val="0"/>
      <w:spacing w:line="400" w:lineRule="exact"/>
      <w:jc w:val="left"/>
    </w:pPr>
    <w:rPr>
      <w:szCs w:val="21"/>
    </w:rPr>
  </w:style>
  <w:style w:type="paragraph" w:styleId="8">
    <w:name w:val="Balloon Text"/>
    <w:basedOn w:val="1"/>
    <w:link w:val="29"/>
    <w:autoRedefine/>
    <w:unhideWhenUsed/>
    <w:qFormat/>
    <w:uiPriority w:val="99"/>
    <w:rPr>
      <w:sz w:val="18"/>
      <w:szCs w:val="18"/>
    </w:rPr>
  </w:style>
  <w:style w:type="paragraph" w:styleId="9">
    <w:name w:val="footer"/>
    <w:basedOn w:val="1"/>
    <w:link w:val="30"/>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3">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rPr>
  </w:style>
  <w:style w:type="paragraph" w:styleId="14">
    <w:name w:val="Normal (Web)"/>
    <w:basedOn w:val="1"/>
    <w:autoRedefine/>
    <w:semiHidden/>
    <w:unhideWhenUsed/>
    <w:qFormat/>
    <w:uiPriority w:val="99"/>
    <w:rPr>
      <w:sz w:val="24"/>
    </w:rPr>
  </w:style>
  <w:style w:type="paragraph" w:styleId="15">
    <w:name w:val="Title"/>
    <w:basedOn w:val="1"/>
    <w:link w:val="66"/>
    <w:qFormat/>
    <w:uiPriority w:val="10"/>
    <w:pPr>
      <w:spacing w:before="240" w:after="60"/>
      <w:jc w:val="center"/>
      <w:outlineLvl w:val="0"/>
    </w:pPr>
    <w:rPr>
      <w:rFonts w:ascii="Arial" w:hAnsi="Arial"/>
      <w:b/>
      <w:sz w:val="32"/>
    </w:rPr>
  </w:style>
  <w:style w:type="table" w:styleId="17">
    <w:name w:val="Table Grid"/>
    <w:basedOn w:val="16"/>
    <w:autoRedefine/>
    <w:qFormat/>
    <w:uiPriority w:val="3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Emphasis"/>
    <w:basedOn w:val="18"/>
    <w:qFormat/>
    <w:uiPriority w:val="20"/>
    <w:rPr>
      <w:i/>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basedOn w:val="18"/>
    <w:autoRedefine/>
    <w:qFormat/>
    <w:uiPriority w:val="99"/>
    <w:rPr>
      <w:sz w:val="21"/>
      <w:szCs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cs="Times New Roman"/>
      <w:sz w:val="32"/>
      <w:szCs w:val="32"/>
    </w:rPr>
  </w:style>
  <w:style w:type="paragraph" w:customStyle="1" w:styleId="26">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7">
    <w:name w:val="标题 7 字符"/>
    <w:link w:val="6"/>
    <w:autoRedefine/>
    <w:qFormat/>
    <w:uiPriority w:val="0"/>
    <w:rPr>
      <w:rFonts w:eastAsia="宋体"/>
      <w:b/>
      <w:bCs/>
      <w:kern w:val="2"/>
      <w:sz w:val="24"/>
      <w:szCs w:val="24"/>
    </w:rPr>
  </w:style>
  <w:style w:type="character" w:customStyle="1" w:styleId="28">
    <w:name w:val="批注文字 字符"/>
    <w:link w:val="7"/>
    <w:autoRedefine/>
    <w:semiHidden/>
    <w:qFormat/>
    <w:uiPriority w:val="99"/>
    <w:rPr>
      <w:rFonts w:ascii="Calibri" w:hAnsi="Calibri" w:eastAsia="宋体"/>
      <w:kern w:val="2"/>
      <w:sz w:val="21"/>
      <w:szCs w:val="21"/>
    </w:rPr>
  </w:style>
  <w:style w:type="character" w:customStyle="1" w:styleId="29">
    <w:name w:val="批注框文本 字符"/>
    <w:link w:val="8"/>
    <w:autoRedefine/>
    <w:semiHidden/>
    <w:qFormat/>
    <w:uiPriority w:val="99"/>
    <w:rPr>
      <w:rFonts w:eastAsia="宋体"/>
      <w:kern w:val="2"/>
      <w:sz w:val="18"/>
      <w:szCs w:val="18"/>
    </w:rPr>
  </w:style>
  <w:style w:type="character" w:customStyle="1" w:styleId="30">
    <w:name w:val="页脚 字符"/>
    <w:link w:val="9"/>
    <w:autoRedefine/>
    <w:qFormat/>
    <w:locked/>
    <w:uiPriority w:val="99"/>
    <w:rPr>
      <w:rFonts w:eastAsia="宋体"/>
      <w:kern w:val="2"/>
      <w:sz w:val="18"/>
      <w:szCs w:val="18"/>
    </w:rPr>
  </w:style>
  <w:style w:type="paragraph" w:customStyle="1" w:styleId="31">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2">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3">
    <w:name w:val="标准文件_段"/>
    <w:link w:val="34"/>
    <w:autoRedefine/>
    <w:qFormat/>
    <w:uiPriority w:val="0"/>
    <w:pPr>
      <w:autoSpaceDE w:val="0"/>
      <w:autoSpaceDN w:val="0"/>
      <w:spacing w:before="156" w:beforeLines="50" w:after="156" w:afterLines="50" w:line="520" w:lineRule="exact"/>
      <w:ind w:firstLine="480" w:firstLineChars="200"/>
      <w:jc w:val="center"/>
    </w:pPr>
    <w:rPr>
      <w:rFonts w:ascii="黑体" w:hAnsi="黑体" w:eastAsia="黑体" w:cs="黑体"/>
      <w:bCs/>
      <w:sz w:val="24"/>
      <w:szCs w:val="24"/>
      <w:lang w:val="en-US" w:eastAsia="zh-CN" w:bidi="ar-SA"/>
    </w:rPr>
  </w:style>
  <w:style w:type="character" w:customStyle="1" w:styleId="34">
    <w:name w:val="标准文件_段 Char"/>
    <w:link w:val="33"/>
    <w:autoRedefine/>
    <w:qFormat/>
    <w:uiPriority w:val="0"/>
    <w:rPr>
      <w:rFonts w:ascii="黑体" w:hAnsi="黑体" w:eastAsia="黑体" w:cs="黑体"/>
      <w:bCs/>
      <w:sz w:val="24"/>
      <w:szCs w:val="24"/>
    </w:rPr>
  </w:style>
  <w:style w:type="paragraph" w:customStyle="1" w:styleId="35">
    <w:name w:val="标准文件_章标题"/>
    <w:next w:val="33"/>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6">
    <w:name w:val="标准文件_二级条标题"/>
    <w:next w:val="33"/>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7">
    <w:name w:val="标准文件_一级条标题"/>
    <w:basedOn w:val="35"/>
    <w:next w:val="33"/>
    <w:autoRedefine/>
    <w:qFormat/>
    <w:uiPriority w:val="0"/>
    <w:pPr>
      <w:numPr>
        <w:ilvl w:val="2"/>
      </w:numPr>
      <w:spacing w:before="50" w:beforeLines="0" w:after="50" w:afterLines="0"/>
      <w:outlineLvl w:val="1"/>
    </w:pPr>
  </w:style>
  <w:style w:type="paragraph" w:customStyle="1" w:styleId="38">
    <w:name w:val="标准文件_三级条标题"/>
    <w:basedOn w:val="36"/>
    <w:next w:val="33"/>
    <w:autoRedefine/>
    <w:qFormat/>
    <w:uiPriority w:val="0"/>
    <w:pPr>
      <w:outlineLvl w:val="3"/>
    </w:pPr>
  </w:style>
  <w:style w:type="paragraph" w:customStyle="1" w:styleId="39">
    <w:name w:val="标准文件_四级条标题"/>
    <w:next w:val="33"/>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0">
    <w:name w:val="标准文件_五级条标题"/>
    <w:next w:val="36"/>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1">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2">
    <w:name w:val="标准文件_四级无标题"/>
    <w:basedOn w:val="39"/>
    <w:autoRedefine/>
    <w:qFormat/>
    <w:uiPriority w:val="0"/>
    <w:pPr>
      <w:numPr>
        <w:ilvl w:val="5"/>
        <w:numId w:val="1"/>
      </w:numPr>
    </w:pPr>
    <w:rPr>
      <w:rFonts w:ascii="宋体" w:eastAsia="宋体"/>
      <w:szCs w:val="52"/>
    </w:rPr>
  </w:style>
  <w:style w:type="paragraph" w:customStyle="1" w:styleId="43">
    <w:name w:val="标准文件_三级无标题"/>
    <w:basedOn w:val="38"/>
    <w:autoRedefine/>
    <w:qFormat/>
    <w:uiPriority w:val="0"/>
    <w:pPr>
      <w:numPr>
        <w:ilvl w:val="4"/>
        <w:numId w:val="1"/>
      </w:numPr>
    </w:pPr>
    <w:rPr>
      <w:rFonts w:ascii="宋体" w:eastAsia="宋体"/>
    </w:rPr>
  </w:style>
  <w:style w:type="paragraph" w:customStyle="1" w:styleId="44">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5">
    <w:name w:val="font11"/>
    <w:autoRedefine/>
    <w:qFormat/>
    <w:uiPriority w:val="0"/>
    <w:rPr>
      <w:rFonts w:ascii="等线" w:eastAsia="等线"/>
      <w:b/>
      <w:bCs/>
      <w:color w:val="FF0000"/>
      <w:sz w:val="22"/>
      <w:szCs w:val="22"/>
      <w:u w:val="none"/>
    </w:rPr>
  </w:style>
  <w:style w:type="character" w:customStyle="1" w:styleId="46">
    <w:name w:val="font01"/>
    <w:autoRedefine/>
    <w:qFormat/>
    <w:uiPriority w:val="0"/>
    <w:rPr>
      <w:rFonts w:ascii="等线" w:eastAsia="等线"/>
      <w:color w:val="000000"/>
      <w:sz w:val="22"/>
      <w:szCs w:val="22"/>
      <w:u w:val="none"/>
    </w:rPr>
  </w:style>
  <w:style w:type="paragraph" w:customStyle="1" w:styleId="47">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8">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9">
    <w:name w:val="标准文件_二级无标题"/>
    <w:basedOn w:val="36"/>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0">
    <w:name w:val="Char Char Char Char"/>
    <w:basedOn w:val="1"/>
    <w:autoRedefine/>
    <w:qFormat/>
    <w:uiPriority w:val="0"/>
  </w:style>
  <w:style w:type="paragraph" w:customStyle="1" w:styleId="51">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2">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3">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4">
    <w:name w:val="标准文件_术语条一"/>
    <w:basedOn w:val="1"/>
    <w:next w:val="33"/>
    <w:autoRedefine/>
    <w:qFormat/>
    <w:uiPriority w:val="0"/>
    <w:pPr>
      <w:widowControl/>
    </w:pPr>
    <w:rPr>
      <w:rFonts w:ascii="宋体"/>
      <w:kern w:val="0"/>
      <w:szCs w:val="20"/>
    </w:rPr>
  </w:style>
  <w:style w:type="paragraph" w:customStyle="1" w:styleId="55">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6">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7">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8">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9">
    <w:name w:val="普通(网站) Char"/>
    <w:basedOn w:val="1"/>
    <w:qFormat/>
    <w:uiPriority w:val="0"/>
    <w:pPr>
      <w:spacing w:beforeAutospacing="1" w:afterAutospacing="1"/>
      <w:jc w:val="left"/>
    </w:pPr>
    <w:rPr>
      <w:rFonts w:hint="eastAsia" w:ascii="宋体" w:hAnsi="宋体" w:cs="Times New Roman"/>
      <w:kern w:val="0"/>
      <w:sz w:val="24"/>
    </w:rPr>
  </w:style>
  <w:style w:type="paragraph" w:customStyle="1" w:styleId="60">
    <w:name w:val="标准文件_五级无标题"/>
    <w:qFormat/>
    <w:uiPriority w:val="0"/>
    <w:pPr>
      <w:widowControl w:val="0"/>
      <w:numPr>
        <w:ilvl w:val="6"/>
        <w:numId w:val="7"/>
      </w:numPr>
      <w:jc w:val="both"/>
    </w:pPr>
    <w:rPr>
      <w:rFonts w:hint="eastAsia" w:ascii="宋体" w:hAnsi="Times New Roman" w:eastAsia="宋体" w:cs="Times New Roman"/>
      <w:sz w:val="21"/>
      <w:lang w:val="en-US" w:eastAsia="zh-CN" w:bidi="ar-SA"/>
    </w:rPr>
  </w:style>
  <w:style w:type="paragraph" w:customStyle="1" w:styleId="61">
    <w:name w:val="标准文件_注×："/>
    <w:basedOn w:val="1"/>
    <w:qFormat/>
    <w:uiPriority w:val="0"/>
    <w:pPr>
      <w:numPr>
        <w:ilvl w:val="0"/>
        <w:numId w:val="8"/>
      </w:numPr>
      <w:autoSpaceDE w:val="0"/>
      <w:autoSpaceDN w:val="0"/>
    </w:pPr>
    <w:rPr>
      <w:rFonts w:hint="eastAsia" w:ascii="宋体" w:hAnsi="Times New Roman" w:cs="Times New Roman"/>
      <w:kern w:val="0"/>
      <w:sz w:val="18"/>
      <w:szCs w:val="18"/>
    </w:rPr>
  </w:style>
  <w:style w:type="paragraph" w:customStyle="1" w:styleId="62">
    <w:name w:val="标准文件_表格"/>
    <w:basedOn w:val="1"/>
    <w:qFormat/>
    <w:uiPriority w:val="0"/>
    <w:pPr>
      <w:widowControl/>
      <w:autoSpaceDE w:val="0"/>
      <w:autoSpaceDN w:val="0"/>
      <w:jc w:val="center"/>
    </w:pPr>
    <w:rPr>
      <w:rFonts w:hint="eastAsia" w:ascii="宋体" w:hAnsi="Times New Roman" w:cs="Times New Roman"/>
      <w:kern w:val="0"/>
      <w:sz w:val="18"/>
      <w:szCs w:val="20"/>
    </w:rPr>
  </w:style>
  <w:style w:type="paragraph" w:customStyle="1" w:styleId="63">
    <w:name w:val="标准文件_附录表标题"/>
    <w:basedOn w:val="1"/>
    <w:next w:val="1"/>
    <w:qFormat/>
    <w:uiPriority w:val="0"/>
    <w:pPr>
      <w:widowControl/>
      <w:numPr>
        <w:ilvl w:val="1"/>
        <w:numId w:val="9"/>
      </w:numPr>
      <w:adjustRightInd w:val="0"/>
      <w:snapToGrid w:val="0"/>
      <w:spacing w:before="50" w:beforeLines="50" w:after="50" w:afterLines="50"/>
      <w:jc w:val="center"/>
    </w:pPr>
    <w:rPr>
      <w:rFonts w:hint="eastAsia" w:ascii="黑体" w:hAnsi="Times New Roman" w:eastAsia="黑体" w:cs="Times New Roman"/>
      <w:kern w:val="21"/>
      <w:szCs w:val="20"/>
    </w:rPr>
  </w:style>
  <w:style w:type="character" w:customStyle="1" w:styleId="64">
    <w:name w:val="font31"/>
    <w:basedOn w:val="18"/>
    <w:qFormat/>
    <w:uiPriority w:val="0"/>
    <w:rPr>
      <w:rFonts w:hint="eastAsia" w:ascii="宋体" w:hAnsi="宋体" w:eastAsia="宋体" w:cs="宋体"/>
      <w:color w:val="1F2329"/>
      <w:sz w:val="24"/>
      <w:szCs w:val="24"/>
      <w:u w:val="none"/>
    </w:rPr>
  </w:style>
  <w:style w:type="paragraph" w:customStyle="1" w:styleId="65">
    <w:name w:val="标准文件_附录一级条标题"/>
    <w:basedOn w:val="1"/>
    <w:next w:val="1"/>
    <w:qFormat/>
    <w:uiPriority w:val="0"/>
    <w:pPr>
      <w:numPr>
        <w:ilvl w:val="1"/>
        <w:numId w:val="10"/>
      </w:numPr>
      <w:spacing w:before="50" w:beforeLines="50" w:after="50" w:afterLines="50"/>
      <w:outlineLvl w:val="2"/>
    </w:pPr>
    <w:rPr>
      <w:rFonts w:hint="eastAsia" w:ascii="黑体" w:hAnsi="Times New Roman" w:eastAsia="黑体" w:cs="Times New Roman"/>
      <w:kern w:val="21"/>
      <w:szCs w:val="20"/>
    </w:rPr>
  </w:style>
  <w:style w:type="character" w:customStyle="1" w:styleId="66">
    <w:name w:val="标题 字符"/>
    <w:basedOn w:val="18"/>
    <w:link w:val="15"/>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33</Pages>
  <Words>18143</Words>
  <Characters>20125</Characters>
  <Lines>88</Lines>
  <Paragraphs>24</Paragraphs>
  <TotalTime>5</TotalTime>
  <ScaleCrop>false</ScaleCrop>
  <LinksUpToDate>false</LinksUpToDate>
  <CharactersWithSpaces>20619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2025-04-23T01:45:00Z</dcterms:created>
  <dc:creator>Administrator</dc:creator>
  <cp:lastModifiedBy>对方正在输入...</cp:lastModifiedBy>
  <cp:lastPrinted>2025-09-04T06:54:00Z</cp:lastPrinted>
  <dcterms:modified xsi:type="dcterms:W3CDTF">2026-05-16T03:22:06Z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02B0B39527BF4E238AB6AE7B8B2610FF_13</vt:lpwstr>
  </property>
  <property fmtid="{D5CDD505-2E9C-101B-9397-08002B2CF9AE}" pid="4" name="KSOTemplateDocerSaveRecord">
    <vt:lpwstr>eyJoZGlkIjoiNzk2NmE1MTk2OWY2NTk2NmUzMzM1MmVkMTU3ZDcwYjciLCJ1c2VySWQiOiIzMjAyMTY5NjkifQ==</vt:lpwstr>
  </property>
</Properties>
</file>