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07B7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72FBD8">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5343FA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13.030.99</w:t>
            </w:r>
            <w:r>
              <w:rPr>
                <w:rFonts w:ascii="黑体" w:hAnsi="黑体" w:eastAsia="黑体"/>
                <w:sz w:val="21"/>
                <w:szCs w:val="21"/>
              </w:rPr>
              <w:fldChar w:fldCharType="end"/>
            </w:r>
            <w:bookmarkEnd w:id="0"/>
          </w:p>
        </w:tc>
      </w:tr>
      <w:tr w14:paraId="5C10F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AF2CB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CB065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A543CE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61F5BC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Z 68</w:t>
            </w:r>
            <w:r>
              <w:rPr>
                <w:rFonts w:ascii="黑体" w:hAnsi="黑体" w:eastAsia="黑体"/>
                <w:sz w:val="21"/>
                <w:szCs w:val="21"/>
              </w:rPr>
              <w:fldChar w:fldCharType="end"/>
            </w:r>
            <w:bookmarkEnd w:id="2"/>
          </w:p>
        </w:tc>
      </w:tr>
    </w:tbl>
    <w:p w14:paraId="12C68759">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5432A76">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CC0D57F">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CCB40C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81E63E">
      <w:pPr>
        <w:pStyle w:val="50"/>
        <w:framePr w:w="9639" w:h="6976" w:hRule="exact" w:hSpace="0" w:vSpace="0" w:wrap="around" w:hAnchor="page" w:y="6408"/>
        <w:jc w:val="center"/>
        <w:rPr>
          <w:rFonts w:hint="eastAsia" w:ascii="黑体" w:hAnsi="黑体" w:eastAsia="黑体"/>
          <w:b w:val="0"/>
          <w:bCs w:val="0"/>
          <w:w w:val="100"/>
        </w:rPr>
      </w:pPr>
    </w:p>
    <w:p w14:paraId="2E6AB66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大件垃圾回收及资源化利用规范</w:t>
      </w:r>
      <w:r>
        <w:fldChar w:fldCharType="end"/>
      </w:r>
      <w:bookmarkEnd w:id="8"/>
    </w:p>
    <w:p w14:paraId="4EE4A479">
      <w:pPr>
        <w:framePr w:w="9639" w:h="6974" w:hRule="exact" w:wrap="around" w:vAnchor="page" w:hAnchor="page" w:x="1419" w:y="6408" w:anchorLock="1"/>
        <w:ind w:left="-1418"/>
      </w:pPr>
    </w:p>
    <w:p w14:paraId="348696F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recycle and utilization of bulky waste</w:t>
      </w:r>
      <w:r>
        <w:rPr>
          <w:rFonts w:eastAsia="黑体"/>
          <w:szCs w:val="28"/>
        </w:rPr>
        <w:fldChar w:fldCharType="end"/>
      </w:r>
      <w:bookmarkEnd w:id="9"/>
    </w:p>
    <w:p w14:paraId="2A5B4A5E">
      <w:pPr>
        <w:framePr w:w="9639" w:h="6974" w:hRule="exact" w:wrap="around" w:vAnchor="page" w:hAnchor="page" w:x="1419" w:y="6408" w:anchorLock="1"/>
        <w:spacing w:line="760" w:lineRule="exact"/>
        <w:ind w:left="-1418"/>
      </w:pPr>
    </w:p>
    <w:p w14:paraId="0B40C58E">
      <w:pPr>
        <w:pStyle w:val="125"/>
        <w:framePr w:w="9639" w:h="6974" w:hRule="exact" w:wrap="around" w:vAnchor="page" w:hAnchor="page" w:x="1419" w:y="6408" w:anchorLock="1"/>
        <w:textAlignment w:val="bottom"/>
        <w:rPr>
          <w:rFonts w:eastAsia="黑体"/>
          <w:szCs w:val="28"/>
        </w:rPr>
      </w:pPr>
    </w:p>
    <w:p w14:paraId="4EE77E0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1DB8BA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E89FBE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E90E200">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73AC5D5">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4C4602F">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CAAC2D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E009A4E">
      <w:pPr>
        <w:pStyle w:val="91"/>
        <w:spacing w:after="360"/>
      </w:pPr>
      <w:bookmarkStart w:id="20" w:name="BookMark1"/>
      <w:bookmarkStart w:id="21" w:name="_Toc218609739"/>
      <w:bookmarkStart w:id="22" w:name="_Toc218609692"/>
      <w:bookmarkStart w:id="23" w:name="_Toc218609360"/>
      <w:r>
        <w:rPr>
          <w:rFonts w:hint="eastAsia"/>
          <w:spacing w:val="320"/>
        </w:rPr>
        <w:t>目</w:t>
      </w:r>
      <w:r>
        <w:rPr>
          <w:rFonts w:hint="eastAsia"/>
        </w:rPr>
        <w:t>次</w:t>
      </w:r>
    </w:p>
    <w:p w14:paraId="482C55A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"_Toc218610028"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_Toc218610028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7DF1E7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"_Toc218610029"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_Toc218610029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A1A96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"_Toc218610030"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_Toc218610030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5ECC84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"_Toc218610031"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_Toc218610031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7CB5EE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"_Toc218610032" </w:instrText>
      </w:r>
      <w:r>
        <w:fldChar w:fldCharType="separate"/>
      </w:r>
      <w:r>
        <w:rPr>
          <w:rStyle w:val="32"/>
          <w:rFonts w:hint="eastAsia"/>
        </w:rPr>
        <w:t>4</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_Toc218610032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00560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"_Toc218610033" </w:instrText>
      </w:r>
      <w:r>
        <w:fldChar w:fldCharType="separate"/>
      </w:r>
      <w:r>
        <w:rPr>
          <w:rStyle w:val="32"/>
          <w:rFonts w:hint="eastAsia"/>
        </w:rPr>
        <w:t>5</w:t>
      </w:r>
      <w:r>
        <w:rPr>
          <w:rStyle w:val="32"/>
        </w:rPr>
        <w:t xml:space="preserve"> </w:t>
      </w:r>
      <w:r>
        <w:rPr>
          <w:rStyle w:val="32"/>
          <w:rFonts w:hint="eastAsia"/>
        </w:rPr>
        <w:t xml:space="preserve"> 收集</w:t>
      </w:r>
      <w:r>
        <w:rPr>
          <w:rFonts w:hint="eastAsia"/>
        </w:rPr>
        <w:tab/>
      </w:r>
      <w:r>
        <w:rPr>
          <w:rFonts w:hint="eastAsia"/>
        </w:rPr>
        <w:fldChar w:fldCharType="begin"/>
      </w:r>
      <w:r>
        <w:rPr>
          <w:rFonts w:hint="eastAsia"/>
        </w:rPr>
        <w:instrText xml:space="preserve"> </w:instrText>
      </w:r>
      <w:r>
        <w:instrText xml:space="preserve">PAGEREF _Toc218610033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953BD2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"_Toc218610034" </w:instrText>
      </w:r>
      <w:r>
        <w:fldChar w:fldCharType="separate"/>
      </w:r>
      <w:r>
        <w:rPr>
          <w:rStyle w:val="32"/>
          <w:rFonts w:hint="eastAsia"/>
        </w:rPr>
        <w:t>6</w:t>
      </w:r>
      <w:r>
        <w:rPr>
          <w:rStyle w:val="32"/>
        </w:rPr>
        <w:t xml:space="preserve"> </w:t>
      </w:r>
      <w:r>
        <w:rPr>
          <w:rStyle w:val="32"/>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_Toc218610034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8D6DC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"_Toc218610035" </w:instrText>
      </w:r>
      <w:r>
        <w:fldChar w:fldCharType="separate"/>
      </w:r>
      <w:r>
        <w:rPr>
          <w:rStyle w:val="32"/>
          <w:rFonts w:hint="eastAsia"/>
        </w:rPr>
        <w:t>7</w:t>
      </w:r>
      <w:r>
        <w:rPr>
          <w:rStyle w:val="32"/>
        </w:rPr>
        <w:t xml:space="preserve"> </w:t>
      </w:r>
      <w:r>
        <w:rPr>
          <w:rStyle w:val="32"/>
          <w:rFonts w:hint="eastAsia"/>
        </w:rPr>
        <w:t xml:space="preserve"> 资源化利用</w:t>
      </w:r>
      <w:r>
        <w:rPr>
          <w:rFonts w:hint="eastAsia"/>
        </w:rPr>
        <w:tab/>
      </w:r>
      <w:r>
        <w:rPr>
          <w:rFonts w:hint="eastAsia"/>
        </w:rPr>
        <w:fldChar w:fldCharType="begin"/>
      </w:r>
      <w:r>
        <w:rPr>
          <w:rFonts w:hint="eastAsia"/>
        </w:rPr>
        <w:instrText xml:space="preserve"> </w:instrText>
      </w:r>
      <w:r>
        <w:instrText xml:space="preserve">PAGEREF _Toc218610035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8B8F3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"_Toc218610036" </w:instrText>
      </w:r>
      <w:r>
        <w:fldChar w:fldCharType="separate"/>
      </w:r>
      <w:r>
        <w:rPr>
          <w:rStyle w:val="32"/>
          <w:rFonts w:hint="eastAsia"/>
        </w:rPr>
        <w:t>8</w:t>
      </w:r>
      <w:r>
        <w:rPr>
          <w:rStyle w:val="32"/>
        </w:rPr>
        <w:t xml:space="preserve"> </w:t>
      </w:r>
      <w:r>
        <w:rPr>
          <w:rStyle w:val="32"/>
          <w:rFonts w:hint="eastAsia"/>
        </w:rPr>
        <w:t xml:space="preserve"> 环境保护和安全防护</w:t>
      </w:r>
      <w:r>
        <w:rPr>
          <w:rFonts w:hint="eastAsia"/>
        </w:rPr>
        <w:tab/>
      </w:r>
      <w:r>
        <w:rPr>
          <w:rFonts w:hint="eastAsia"/>
        </w:rPr>
        <w:fldChar w:fldCharType="begin"/>
      </w:r>
      <w:r>
        <w:rPr>
          <w:rFonts w:hint="eastAsia"/>
        </w:rPr>
        <w:instrText xml:space="preserve"> </w:instrText>
      </w:r>
      <w:r>
        <w:instrText xml:space="preserve">PAGEREF _Toc218610036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A5B083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"_Toc218610037" </w:instrText>
      </w:r>
      <w:r>
        <w:fldChar w:fldCharType="separate"/>
      </w:r>
      <w:r>
        <w:rPr>
          <w:rStyle w:val="32"/>
          <w:rFonts w:hint="eastAsia"/>
        </w:rPr>
        <w:t>9</w:t>
      </w:r>
      <w:r>
        <w:rPr>
          <w:rStyle w:val="32"/>
        </w:rPr>
        <w:t xml:space="preserve"> </w:t>
      </w:r>
      <w:r>
        <w:rPr>
          <w:rStyle w:val="32"/>
          <w:rFonts w:hint="eastAsia"/>
        </w:rPr>
        <w:t xml:space="preserve"> 应急处置</w:t>
      </w:r>
      <w:r>
        <w:rPr>
          <w:rFonts w:hint="eastAsia"/>
        </w:rPr>
        <w:tab/>
      </w:r>
      <w:r>
        <w:rPr>
          <w:rFonts w:hint="eastAsia"/>
        </w:rPr>
        <w:fldChar w:fldCharType="begin"/>
      </w:r>
      <w:r>
        <w:rPr>
          <w:rFonts w:hint="eastAsia"/>
        </w:rPr>
        <w:instrText xml:space="preserve"> </w:instrText>
      </w:r>
      <w:r>
        <w:instrText xml:space="preserve">PAGEREF _Toc218610037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1583E1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"_Toc218610038"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_Toc218610038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153C795">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361C924B">
      <w:pPr>
        <w:pStyle w:val="89"/>
        <w:spacing w:before="560" w:after="360"/>
      </w:pPr>
      <w:bookmarkStart w:id="24" w:name="_Toc218610028"/>
      <w:bookmarkStart w:id="25" w:name="BookMark2"/>
      <w:r>
        <w:rPr>
          <w:rFonts w:hint="eastAsia"/>
          <w:spacing w:val="320"/>
        </w:rPr>
        <w:t>前</w:t>
      </w:r>
      <w:r>
        <w:rPr>
          <w:rFonts w:hint="eastAsia"/>
        </w:rPr>
        <w:t>言</w:t>
      </w:r>
      <w:bookmarkEnd w:id="21"/>
      <w:bookmarkEnd w:id="22"/>
      <w:bookmarkEnd w:id="23"/>
      <w:bookmarkEnd w:id="24"/>
    </w:p>
    <w:p w14:paraId="01252822">
      <w:pPr>
        <w:pStyle w:val="56"/>
        <w:ind w:firstLine="420"/>
      </w:pPr>
      <w:r>
        <w:rPr>
          <w:rFonts w:hint="eastAsia"/>
        </w:rPr>
        <w:t>本文件按照</w:t>
      </w:r>
      <w:r>
        <w:rPr>
          <w:rFonts w:hint="eastAsia" w:ascii="宋体" w:hAnsi="宋体" w:cs="宋体"/>
        </w:rPr>
        <w:t>GB/T 1.1—2020</w:t>
      </w:r>
      <w:r>
        <w:rPr>
          <w:rFonts w:hint="eastAsia"/>
        </w:rPr>
        <w:t>《标准化工作导则  第</w:t>
      </w:r>
      <w:r>
        <w:rPr>
          <w:rFonts w:hint="eastAsia" w:ascii="宋体" w:hAnsi="宋体" w:cs="宋体"/>
        </w:rPr>
        <w:t>1</w:t>
      </w:r>
      <w:r>
        <w:rPr>
          <w:rFonts w:hint="eastAsia"/>
        </w:rPr>
        <w:t>部分：标准化文件的结构和起草规则》的规定起草。</w:t>
      </w:r>
    </w:p>
    <w:p w14:paraId="09814E83">
      <w:pPr>
        <w:pStyle w:val="56"/>
        <w:ind w:firstLine="420"/>
      </w:pPr>
      <w:r>
        <w:rPr>
          <w:rFonts w:hint="eastAsia"/>
        </w:rPr>
        <w:t>请注意本文件的某些内容可能涉及专利。本文件的发布机构不承担识别专利的责任。</w:t>
      </w:r>
    </w:p>
    <w:p w14:paraId="40ADA6DF">
      <w:pPr>
        <w:pStyle w:val="56"/>
        <w:ind w:firstLine="420"/>
      </w:pPr>
      <w:r>
        <w:rPr>
          <w:rFonts w:hint="eastAsia"/>
        </w:rPr>
        <w:t>本文件由南宁市环境卫生管理处提出并宣贯。</w:t>
      </w:r>
    </w:p>
    <w:p w14:paraId="60E78F97">
      <w:pPr>
        <w:pStyle w:val="56"/>
        <w:ind w:firstLine="420"/>
      </w:pPr>
      <w:r>
        <w:rPr>
          <w:rFonts w:hint="eastAsia"/>
        </w:rPr>
        <w:t>本文件由广西标准化协会归口。</w:t>
      </w:r>
    </w:p>
    <w:p w14:paraId="2E7C7C75">
      <w:pPr>
        <w:pStyle w:val="56"/>
        <w:ind w:firstLine="420"/>
      </w:pPr>
      <w:r>
        <w:rPr>
          <w:rFonts w:hint="eastAsia"/>
        </w:rPr>
        <w:t>本文件起草单位：南宁市环境卫生管理处、南宁建宁水务投资集团有限责任公司、南宁市建筑规划设计集团有限公司。</w:t>
      </w:r>
    </w:p>
    <w:p w14:paraId="78BF5DDB">
      <w:pPr>
        <w:pStyle w:val="56"/>
        <w:ind w:firstLine="420"/>
      </w:pPr>
      <w:r>
        <w:rPr>
          <w:rFonts w:hint="eastAsia"/>
        </w:rPr>
        <w:t>本文件主要起草人：黄华、罗启荣、黄淑娟、李航、韦振雷、梁立东、蓝婉瑜、蒙槿、李浓、陈俊、涂乐乐、文衍顺、申朋程、韦露、黄意环、李庄</w:t>
      </w:r>
    </w:p>
    <w:p w14:paraId="60809417">
      <w:pPr>
        <w:pStyle w:val="56"/>
        <w:ind w:firstLine="420"/>
      </w:pPr>
    </w:p>
    <w:p w14:paraId="3FBE282C">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5"/>
    <w:p w14:paraId="7D17F673">
      <w:pPr>
        <w:spacing w:line="20" w:lineRule="exact"/>
        <w:jc w:val="center"/>
        <w:rPr>
          <w:rFonts w:hint="eastAsia" w:ascii="黑体" w:hAnsi="黑体" w:eastAsia="黑体"/>
          <w:sz w:val="32"/>
          <w:szCs w:val="32"/>
        </w:rPr>
      </w:pPr>
      <w:bookmarkStart w:id="26" w:name="BookMark4"/>
    </w:p>
    <w:p w14:paraId="1B568B25">
      <w:pPr>
        <w:spacing w:line="20" w:lineRule="exact"/>
        <w:jc w:val="center"/>
        <w:rPr>
          <w:rFonts w:hint="eastAsia" w:ascii="黑体" w:hAnsi="黑体" w:eastAsia="黑体"/>
          <w:sz w:val="32"/>
          <w:szCs w:val="32"/>
        </w:rPr>
      </w:pPr>
    </w:p>
    <w:sdt>
      <w:sdtPr>
        <w:tag w:val="NEW_STAND_NAME"/>
        <w:id w:val="595910757"/>
        <w:lock w:val="sdtLocked"/>
        <w:placeholder>
          <w:docPart w:val="FD1EC15EBE6C452DA4233D70D52A63D4"/>
        </w:placeholder>
      </w:sdtPr>
      <w:sdtContent>
        <w:p w14:paraId="6224DD89">
          <w:pPr>
            <w:pStyle w:val="177"/>
            <w:spacing w:before="240" w:beforeLines="100" w:after="528" w:afterLines="220"/>
            <w:rPr>
              <w:rFonts w:hint="eastAsia"/>
            </w:rPr>
          </w:pPr>
          <w:bookmarkStart w:id="27" w:name="NEW_STAND_NAME"/>
          <w:r>
            <w:rPr>
              <w:rFonts w:hint="eastAsia"/>
            </w:rPr>
            <w:t>大件垃圾回收及资源化利用规范</w:t>
          </w:r>
        </w:p>
      </w:sdtContent>
    </w:sdt>
    <w:bookmarkEnd w:id="27"/>
    <w:p w14:paraId="3B53BB78">
      <w:pPr>
        <w:pStyle w:val="104"/>
        <w:spacing w:before="240" w:after="240"/>
      </w:pPr>
      <w:bookmarkStart w:id="28" w:name="_Toc26986771"/>
      <w:bookmarkStart w:id="29" w:name="_Toc24884218"/>
      <w:bookmarkStart w:id="30" w:name="_Toc17233333"/>
      <w:bookmarkStart w:id="31" w:name="_Toc26986530"/>
      <w:bookmarkStart w:id="32" w:name="_Toc24884211"/>
      <w:bookmarkStart w:id="33" w:name="_Toc218610029"/>
      <w:bookmarkStart w:id="34" w:name="_Toc26648465"/>
      <w:bookmarkStart w:id="35" w:name="_Toc218609361"/>
      <w:bookmarkStart w:id="36" w:name="_Toc17233325"/>
      <w:bookmarkStart w:id="37" w:name="_Toc26718930"/>
      <w:bookmarkStart w:id="38" w:name="_Toc218609740"/>
      <w:bookmarkStart w:id="39" w:name="_Toc218609693"/>
      <w:bookmarkStart w:id="40" w:name="_Toc9719296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164BB740">
      <w:pPr>
        <w:pStyle w:val="56"/>
        <w:ind w:firstLine="420"/>
      </w:pPr>
      <w:bookmarkStart w:id="41" w:name="_Toc17233326"/>
      <w:bookmarkStart w:id="42" w:name="_Toc17233334"/>
      <w:bookmarkStart w:id="43" w:name="_Toc24884212"/>
      <w:bookmarkStart w:id="44" w:name="_Toc24884219"/>
      <w:bookmarkStart w:id="45" w:name="_Toc26648466"/>
      <w:r>
        <w:rPr>
          <w:rFonts w:hint="eastAsia"/>
        </w:rPr>
        <w:t xml:space="preserve">本文件界定了大件垃圾回收及其资源化利用的术语和定义，规定了大件垃圾收集、运输、资源化利用要求。 </w:t>
      </w:r>
    </w:p>
    <w:p w14:paraId="71C1BEC1">
      <w:pPr>
        <w:pStyle w:val="56"/>
        <w:ind w:firstLine="420"/>
      </w:pPr>
      <w:r>
        <w:rPr>
          <w:rFonts w:hint="eastAsia"/>
        </w:rPr>
        <w:t>本文件适用于城市化管理区域内大件垃圾的回收及资源化利用。</w:t>
      </w:r>
    </w:p>
    <w:p w14:paraId="30BFEE45">
      <w:pPr>
        <w:pStyle w:val="104"/>
        <w:spacing w:before="240" w:after="240"/>
      </w:pPr>
      <w:bookmarkStart w:id="46" w:name="_Toc97192965"/>
      <w:bookmarkStart w:id="47" w:name="_Toc26986531"/>
      <w:bookmarkStart w:id="48" w:name="_Toc218609694"/>
      <w:bookmarkStart w:id="49" w:name="_Toc218609362"/>
      <w:bookmarkStart w:id="50" w:name="_Toc26718931"/>
      <w:bookmarkStart w:id="51" w:name="_Toc218609741"/>
      <w:bookmarkStart w:id="52" w:name="_Toc26986772"/>
      <w:bookmarkStart w:id="53" w:name="_Toc218610030"/>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ADB82BAFCA4C41A58C7B067220CA13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E24A62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07253E">
      <w:pPr>
        <w:pStyle w:val="56"/>
        <w:ind w:firstLine="420"/>
      </w:pPr>
      <w:r>
        <w:rPr>
          <w:rFonts w:hint="eastAsia" w:ascii="宋体" w:hAnsi="宋体" w:cs="宋体"/>
        </w:rPr>
        <w:t>GB 3095</w:t>
      </w:r>
      <w:r>
        <w:rPr>
          <w:rFonts w:hint="eastAsia"/>
        </w:rPr>
        <w:t xml:space="preserve">  环境空气质量标准</w:t>
      </w:r>
    </w:p>
    <w:p w14:paraId="002CBE21">
      <w:pPr>
        <w:pStyle w:val="56"/>
        <w:ind w:firstLine="420"/>
        <w:rPr>
          <w:rFonts w:hint="eastAsia" w:ascii="宋体" w:hAnsi="宋体" w:cs="宋体"/>
        </w:rPr>
      </w:pPr>
      <w:r>
        <w:rPr>
          <w:rFonts w:hint="eastAsia" w:ascii="宋体" w:hAnsi="宋体" w:cs="宋体"/>
        </w:rPr>
        <w:t>GB/T 4223  废钢铁</w:t>
      </w:r>
    </w:p>
    <w:p w14:paraId="4F869C2E">
      <w:pPr>
        <w:pStyle w:val="56"/>
        <w:ind w:firstLine="420"/>
        <w:rPr>
          <w:rFonts w:hint="eastAsia" w:ascii="宋体" w:hAnsi="宋体" w:cs="宋体"/>
        </w:rPr>
      </w:pPr>
      <w:r>
        <w:rPr>
          <w:rFonts w:hint="eastAsia" w:ascii="宋体" w:hAnsi="宋体" w:cs="宋体"/>
        </w:rPr>
        <w:t>GB 8978  污水综合排放标准</w:t>
      </w:r>
    </w:p>
    <w:p w14:paraId="7A226048">
      <w:pPr>
        <w:pStyle w:val="56"/>
        <w:ind w:firstLine="420"/>
        <w:rPr>
          <w:rFonts w:hint="eastAsia" w:ascii="宋体" w:hAnsi="宋体" w:cs="宋体"/>
        </w:rPr>
      </w:pPr>
      <w:r>
        <w:rPr>
          <w:rFonts w:hint="eastAsia" w:ascii="宋体" w:hAnsi="宋体" w:cs="宋体"/>
        </w:rPr>
        <w:t>GB 12348  工业企业厂界环境噪声排放标准</w:t>
      </w:r>
    </w:p>
    <w:p w14:paraId="13D4B500">
      <w:pPr>
        <w:pStyle w:val="56"/>
        <w:ind w:firstLine="420"/>
        <w:rPr>
          <w:rFonts w:hint="eastAsia" w:ascii="宋体" w:hAnsi="宋体" w:cs="宋体"/>
        </w:rPr>
      </w:pPr>
      <w:r>
        <w:rPr>
          <w:rFonts w:hint="eastAsia" w:ascii="宋体" w:hAnsi="宋体" w:cs="宋体"/>
        </w:rPr>
        <w:t>GB/T 12801  生产过程安全卫生要求总则</w:t>
      </w:r>
    </w:p>
    <w:p w14:paraId="62308ACD">
      <w:pPr>
        <w:pStyle w:val="56"/>
        <w:ind w:firstLine="420"/>
        <w:rPr>
          <w:rFonts w:hint="eastAsia" w:ascii="宋体" w:hAnsi="宋体" w:cs="宋体"/>
        </w:rPr>
      </w:pPr>
      <w:r>
        <w:rPr>
          <w:rFonts w:hint="eastAsia" w:ascii="宋体" w:hAnsi="宋体" w:cs="宋体"/>
        </w:rPr>
        <w:t>GB/T 13586  回收铝</w:t>
      </w:r>
    </w:p>
    <w:p w14:paraId="7B49D773">
      <w:pPr>
        <w:pStyle w:val="56"/>
        <w:ind w:firstLine="420"/>
        <w:rPr>
          <w:rFonts w:hint="eastAsia" w:ascii="宋体" w:hAnsi="宋体" w:cs="宋体"/>
        </w:rPr>
      </w:pPr>
      <w:r>
        <w:rPr>
          <w:rFonts w:hint="eastAsia" w:ascii="宋体" w:hAnsi="宋体" w:cs="宋体"/>
        </w:rPr>
        <w:t>GB/T 13587  铜及铜合金废料</w:t>
      </w:r>
    </w:p>
    <w:p w14:paraId="5ADB5614">
      <w:pPr>
        <w:pStyle w:val="56"/>
        <w:ind w:firstLine="420"/>
        <w:rPr>
          <w:rFonts w:hint="eastAsia" w:ascii="宋体" w:hAnsi="宋体" w:cs="宋体"/>
        </w:rPr>
      </w:pPr>
      <w:r>
        <w:rPr>
          <w:rFonts w:hint="eastAsia" w:ascii="宋体" w:hAnsi="宋体" w:cs="宋体"/>
        </w:rPr>
        <w:t>GB 14554  恶臭污染物排放标准</w:t>
      </w:r>
    </w:p>
    <w:p w14:paraId="2B822E7C">
      <w:pPr>
        <w:pStyle w:val="56"/>
        <w:ind w:firstLine="420"/>
        <w:rPr>
          <w:rFonts w:hint="eastAsia" w:ascii="宋体" w:hAnsi="宋体" w:cs="宋体"/>
        </w:rPr>
      </w:pPr>
      <w:r>
        <w:rPr>
          <w:rFonts w:hint="eastAsia" w:ascii="宋体" w:hAnsi="宋体" w:cs="宋体"/>
        </w:rPr>
        <w:t>GB 16297  大气污染物综合排放标准</w:t>
      </w:r>
    </w:p>
    <w:p w14:paraId="3C3E1022">
      <w:pPr>
        <w:pStyle w:val="56"/>
        <w:ind w:firstLine="420"/>
        <w:rPr>
          <w:rFonts w:hint="eastAsia" w:ascii="宋体" w:hAnsi="宋体" w:cs="宋体"/>
        </w:rPr>
      </w:pPr>
      <w:r>
        <w:rPr>
          <w:rFonts w:hint="eastAsia" w:ascii="宋体" w:hAnsi="宋体" w:cs="宋体"/>
        </w:rPr>
        <w:t>GB/T 20811  废纸分类技术要求</w:t>
      </w:r>
    </w:p>
    <w:p w14:paraId="33FDADF6">
      <w:pPr>
        <w:pStyle w:val="56"/>
        <w:ind w:firstLine="420"/>
        <w:rPr>
          <w:rFonts w:hint="eastAsia" w:ascii="宋体" w:hAnsi="宋体" w:cs="宋体"/>
        </w:rPr>
      </w:pPr>
      <w:r>
        <w:rPr>
          <w:rFonts w:hint="eastAsia" w:ascii="宋体" w:hAnsi="宋体" w:cs="宋体"/>
        </w:rPr>
        <w:t>GB/T 22529  废弃木质材料回收利用管理规范</w:t>
      </w:r>
    </w:p>
    <w:p w14:paraId="26078664">
      <w:pPr>
        <w:pStyle w:val="56"/>
        <w:ind w:firstLine="420"/>
        <w:rPr>
          <w:rFonts w:hint="eastAsia" w:ascii="宋体" w:hAnsi="宋体" w:cs="宋体"/>
        </w:rPr>
      </w:pPr>
      <w:r>
        <w:rPr>
          <w:rFonts w:hint="eastAsia" w:ascii="宋体" w:hAnsi="宋体" w:cs="宋体"/>
        </w:rPr>
        <w:t>GB/T 25175  大件垃圾收集和利用技术要求</w:t>
      </w:r>
    </w:p>
    <w:p w14:paraId="09BB83DF">
      <w:pPr>
        <w:pStyle w:val="56"/>
        <w:ind w:firstLine="420"/>
        <w:rPr>
          <w:rFonts w:hint="eastAsia" w:ascii="宋体" w:hAnsi="宋体" w:cs="宋体"/>
        </w:rPr>
      </w:pPr>
      <w:r>
        <w:rPr>
          <w:rFonts w:hint="eastAsia" w:ascii="宋体" w:hAnsi="宋体" w:cs="宋体"/>
        </w:rPr>
        <w:t>GB/T 39196  废玻璃回收技术规范</w:t>
      </w:r>
    </w:p>
    <w:p w14:paraId="79BEB7CF">
      <w:pPr>
        <w:pStyle w:val="56"/>
        <w:ind w:firstLine="420"/>
        <w:rPr>
          <w:rFonts w:hint="eastAsia" w:ascii="宋体" w:hAnsi="宋体" w:cs="宋体"/>
        </w:rPr>
      </w:pPr>
      <w:r>
        <w:rPr>
          <w:rFonts w:hint="eastAsia" w:ascii="宋体" w:hAnsi="宋体" w:cs="宋体"/>
        </w:rPr>
        <w:t>GBZ 1  工业企业设计卫生标准</w:t>
      </w:r>
    </w:p>
    <w:p w14:paraId="249E6A13">
      <w:pPr>
        <w:pStyle w:val="56"/>
        <w:ind w:firstLine="420"/>
      </w:pPr>
      <w:r>
        <w:rPr>
          <w:rFonts w:hint="eastAsia" w:ascii="宋体" w:hAnsi="宋体" w:cs="宋体"/>
        </w:rPr>
        <w:t>DB45/T 1896  城市生活垃圾分类设施配置及作业规范</w:t>
      </w:r>
    </w:p>
    <w:p w14:paraId="6C5827B4">
      <w:pPr>
        <w:pStyle w:val="104"/>
        <w:spacing w:before="240" w:after="240"/>
      </w:pPr>
      <w:bookmarkStart w:id="54" w:name="_Toc218609695"/>
      <w:bookmarkStart w:id="55" w:name="_Toc97192966"/>
      <w:bookmarkStart w:id="56" w:name="_Toc218609363"/>
      <w:bookmarkStart w:id="57" w:name="_Toc218610031"/>
      <w:bookmarkStart w:id="58" w:name="_Toc218609742"/>
      <w:r>
        <w:rPr>
          <w:rFonts w:hint="eastAsia"/>
          <w:szCs w:val="21"/>
        </w:rPr>
        <w:t>术语和定义</w:t>
      </w:r>
      <w:bookmarkEnd w:id="54"/>
      <w:bookmarkEnd w:id="55"/>
      <w:bookmarkEnd w:id="56"/>
      <w:bookmarkEnd w:id="57"/>
      <w:bookmarkEnd w:id="58"/>
    </w:p>
    <w:sdt>
      <w:sdtPr>
        <w:id w:val="-1909835108"/>
        <w:placeholder>
          <w:docPart w:val="7BE512F8E51E43329F7E54A0E1C3CA12"/>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CF80534">
          <w:pPr>
            <w:pStyle w:val="56"/>
            <w:ind w:firstLine="420"/>
          </w:pPr>
          <w:bookmarkStart w:id="59" w:name="_Toc26986532"/>
          <w:bookmarkEnd w:id="59"/>
          <w:r>
            <w:t>下列术语和定义适用于本文件。</w:t>
          </w:r>
        </w:p>
      </w:sdtContent>
    </w:sdt>
    <w:p w14:paraId="21EC4315">
      <w:pPr>
        <w:pStyle w:val="105"/>
        <w:spacing w:before="120" w:after="120"/>
      </w:pPr>
      <w:bookmarkStart w:id="60" w:name="_Toc218609696"/>
      <w:bookmarkEnd w:id="60"/>
      <w:bookmarkStart w:id="61" w:name="_Toc218609364"/>
      <w:bookmarkEnd w:id="61"/>
    </w:p>
    <w:p w14:paraId="7FD63007">
      <w:pPr>
        <w:pStyle w:val="56"/>
        <w:ind w:firstLine="420"/>
        <w:rPr>
          <w:rFonts w:hint="eastAsia" w:ascii="黑体" w:hAnsi="黑体" w:eastAsia="黑体"/>
        </w:rPr>
      </w:pPr>
      <w:r>
        <w:rPr>
          <w:rFonts w:hint="eastAsia" w:ascii="黑体" w:hAnsi="黑体" w:eastAsia="黑体"/>
        </w:rPr>
        <w:t>大件垃圾  bulky waste</w:t>
      </w:r>
    </w:p>
    <w:p w14:paraId="56FD6D9C">
      <w:pPr>
        <w:pStyle w:val="56"/>
        <w:ind w:firstLine="420"/>
      </w:pPr>
      <w:r>
        <w:rPr>
          <w:rFonts w:hint="eastAsia"/>
        </w:rPr>
        <w:t>重量超过</w:t>
      </w:r>
      <w:r>
        <w:rPr>
          <w:rFonts w:hint="eastAsia" w:ascii="宋体" w:hAnsi="宋体" w:cs="宋体"/>
        </w:rPr>
        <w:t>5</w:t>
      </w:r>
      <w:r>
        <w:t> </w:t>
      </w:r>
      <w:r>
        <w:rPr>
          <w:rFonts w:hint="eastAsia" w:ascii="宋体" w:hAnsi="宋体" w:cs="宋体"/>
        </w:rPr>
        <w:t>kg</w:t>
      </w:r>
      <w:r>
        <w:rPr>
          <w:rFonts w:hint="eastAsia" w:ascii="宋体" w:hAnsi="宋体"/>
        </w:rPr>
        <w:t>或者体积超过</w:t>
      </w:r>
      <w:r>
        <w:rPr>
          <w:rFonts w:hint="eastAsia" w:ascii="宋体" w:hAnsi="宋体" w:cs="宋体"/>
        </w:rPr>
        <w:t>0.2</w:t>
      </w:r>
      <w:r>
        <w:t> </w:t>
      </w:r>
      <w:r>
        <w:rPr>
          <w:rFonts w:hint="eastAsia" w:ascii="宋体" w:hAnsi="宋体"/>
        </w:rPr>
        <w:t>m³</w:t>
      </w:r>
      <w:r>
        <w:rPr>
          <w:rFonts w:hint="eastAsia" w:ascii="宋体" w:hAnsi="宋体" w:cs="宋体"/>
        </w:rPr>
        <w:t>或长度超过1</w:t>
      </w:r>
      <w:r>
        <w:t> </w:t>
      </w:r>
      <w:r>
        <w:rPr>
          <w:rFonts w:hint="eastAsia" w:ascii="宋体" w:hAnsi="宋体" w:cs="宋体"/>
        </w:rPr>
        <w:t>ｍ，</w:t>
      </w:r>
      <w:r>
        <w:rPr>
          <w:rFonts w:hint="eastAsia"/>
        </w:rPr>
        <w:t>且整体性强的废弃物（如废旧家具及其他大件废物等）。</w:t>
      </w:r>
    </w:p>
    <w:p w14:paraId="5362D742">
      <w:pPr>
        <w:pStyle w:val="179"/>
      </w:pPr>
      <w:r>
        <w:rPr>
          <w:rFonts w:hint="eastAsia"/>
        </w:rPr>
        <w:t>本文件涉及的大件垃圾不包括废弃电器电子产品、建筑垃圾、园林废弃物（现场裁剪后树干除外）、工业生产活动中产生的大件垃圾等。</w:t>
      </w:r>
    </w:p>
    <w:p w14:paraId="11E8D3CC">
      <w:pPr>
        <w:pStyle w:val="56"/>
        <w:ind w:firstLine="420"/>
      </w:pPr>
      <w:r>
        <w:rPr>
          <w:rFonts w:hint="eastAsia"/>
        </w:rPr>
        <w:t xml:space="preserve">[来源： </w:t>
      </w:r>
      <w:r>
        <w:rPr>
          <w:rFonts w:hint="eastAsia" w:ascii="宋体" w:hAnsi="宋体" w:cs="宋体"/>
        </w:rPr>
        <w:t>GB/T 25175—2010，3.1，</w:t>
      </w:r>
      <w:r>
        <w:rPr>
          <w:rFonts w:hint="eastAsia"/>
        </w:rPr>
        <w:t>有修改]</w:t>
      </w:r>
    </w:p>
    <w:p w14:paraId="2C120444">
      <w:pPr>
        <w:pStyle w:val="105"/>
        <w:spacing w:before="120" w:after="120"/>
      </w:pPr>
    </w:p>
    <w:p w14:paraId="4A3A5F4C">
      <w:pPr>
        <w:pStyle w:val="56"/>
        <w:ind w:firstLine="420"/>
        <w:rPr>
          <w:rFonts w:hint="eastAsia" w:ascii="黑体" w:hAnsi="黑体" w:eastAsia="黑体"/>
        </w:rPr>
      </w:pPr>
      <w:r>
        <w:rPr>
          <w:rFonts w:hint="eastAsia" w:ascii="黑体" w:hAnsi="黑体" w:eastAsia="黑体"/>
        </w:rPr>
        <w:t>大件垃圾暂存点  bulky waste temporary storage point</w:t>
      </w:r>
    </w:p>
    <w:p w14:paraId="3C66C219">
      <w:pPr>
        <w:pStyle w:val="56"/>
        <w:ind w:firstLine="420"/>
      </w:pPr>
      <w:r>
        <w:rPr>
          <w:rFonts w:hint="eastAsia"/>
        </w:rPr>
        <w:t>专门用于存放大件垃圾的临时存放设施</w:t>
      </w:r>
      <w:r>
        <w:t>‌</w:t>
      </w:r>
      <w:r>
        <w:rPr>
          <w:rFonts w:hint="eastAsia" w:ascii="宋体" w:hAnsi="宋体" w:cs="宋体"/>
        </w:rPr>
        <w:t>。</w:t>
      </w:r>
    </w:p>
    <w:p w14:paraId="4D310A9B">
      <w:pPr>
        <w:pStyle w:val="105"/>
        <w:spacing w:before="120" w:after="120"/>
      </w:pPr>
      <w:bookmarkStart w:id="62" w:name="_Toc218609698"/>
      <w:bookmarkEnd w:id="62"/>
      <w:bookmarkStart w:id="63" w:name="_Toc218609366"/>
      <w:bookmarkEnd w:id="63"/>
    </w:p>
    <w:p w14:paraId="6D70A7C2">
      <w:pPr>
        <w:pStyle w:val="56"/>
        <w:ind w:firstLine="420"/>
        <w:rPr>
          <w:rFonts w:hint="eastAsia" w:ascii="黑体" w:hAnsi="黑体" w:eastAsia="黑体"/>
        </w:rPr>
      </w:pPr>
      <w:r>
        <w:rPr>
          <w:rFonts w:hint="eastAsia" w:ascii="黑体" w:hAnsi="黑体" w:eastAsia="黑体"/>
        </w:rPr>
        <w:t>拆解  disassembly</w:t>
      </w:r>
    </w:p>
    <w:p w14:paraId="15E0BA4F">
      <w:pPr>
        <w:pStyle w:val="56"/>
        <w:ind w:firstLine="420"/>
      </w:pPr>
      <w:r>
        <w:rPr>
          <w:rFonts w:hint="eastAsia"/>
        </w:rPr>
        <w:t>以利用或处理处置为目的，通过人工或机械的方式将大件垃圾进行拆卸、解体的过程。</w:t>
      </w:r>
    </w:p>
    <w:p w14:paraId="695833DA">
      <w:pPr>
        <w:pStyle w:val="56"/>
        <w:ind w:firstLine="420"/>
      </w:pPr>
      <w:r>
        <w:rPr>
          <w:rFonts w:hint="eastAsia"/>
        </w:rPr>
        <w:t>[来源：</w:t>
      </w:r>
      <w:r>
        <w:rPr>
          <w:rFonts w:hint="eastAsia" w:ascii="宋体" w:hAnsi="宋体" w:cs="宋体"/>
        </w:rPr>
        <w:t xml:space="preserve"> GB/T 25175—2010，3.6</w:t>
      </w:r>
      <w:r>
        <w:rPr>
          <w:rFonts w:hint="eastAsia"/>
        </w:rPr>
        <w:t>]</w:t>
      </w:r>
    </w:p>
    <w:p w14:paraId="77CA1326">
      <w:pPr>
        <w:pStyle w:val="105"/>
        <w:spacing w:before="120" w:after="120"/>
      </w:pPr>
      <w:bookmarkStart w:id="64" w:name="_Toc218609367"/>
      <w:bookmarkEnd w:id="64"/>
      <w:bookmarkStart w:id="65" w:name="_Toc218609699"/>
      <w:bookmarkEnd w:id="65"/>
    </w:p>
    <w:p w14:paraId="1E4D9AA8">
      <w:pPr>
        <w:pStyle w:val="56"/>
        <w:ind w:firstLine="420"/>
        <w:rPr>
          <w:rFonts w:hint="eastAsia" w:ascii="黑体" w:hAnsi="黑体" w:eastAsia="黑体"/>
        </w:rPr>
      </w:pPr>
      <w:r>
        <w:rPr>
          <w:rFonts w:hint="eastAsia" w:ascii="黑体" w:hAnsi="黑体" w:eastAsia="黑体"/>
        </w:rPr>
        <w:t>破碎  crushing</w:t>
      </w:r>
    </w:p>
    <w:p w14:paraId="2232F0A1">
      <w:pPr>
        <w:pStyle w:val="56"/>
        <w:ind w:firstLine="420"/>
      </w:pPr>
      <w:r>
        <w:rPr>
          <w:rFonts w:hint="eastAsia"/>
        </w:rPr>
        <w:t>通过外力（机械设备冲击/剪切/挤压力）使大件垃圾分解为小块物料的过程。</w:t>
      </w:r>
    </w:p>
    <w:p w14:paraId="174622EA">
      <w:pPr>
        <w:pStyle w:val="56"/>
        <w:ind w:firstLine="0" w:firstLineChars="0"/>
      </w:pPr>
      <w:bookmarkStart w:id="66" w:name="_Toc218609368"/>
      <w:bookmarkEnd w:id="66"/>
      <w:bookmarkStart w:id="67" w:name="_Toc218609700"/>
      <w:bookmarkEnd w:id="67"/>
    </w:p>
    <w:p w14:paraId="78B616FD">
      <w:pPr>
        <w:pStyle w:val="105"/>
        <w:spacing w:before="120" w:after="120"/>
      </w:pPr>
      <w:bookmarkStart w:id="68" w:name="_Toc218609369"/>
      <w:bookmarkEnd w:id="68"/>
      <w:bookmarkStart w:id="69" w:name="_Toc218609701"/>
      <w:bookmarkEnd w:id="69"/>
    </w:p>
    <w:p w14:paraId="7C9CD9A6">
      <w:pPr>
        <w:pStyle w:val="56"/>
        <w:ind w:firstLine="420"/>
        <w:rPr>
          <w:rFonts w:hint="eastAsia" w:ascii="黑体" w:hAnsi="黑体" w:eastAsia="黑体"/>
        </w:rPr>
      </w:pPr>
      <w:r>
        <w:rPr>
          <w:rFonts w:hint="eastAsia" w:ascii="黑体" w:hAnsi="黑体" w:eastAsia="黑体"/>
        </w:rPr>
        <w:t>分选  sorting</w:t>
      </w:r>
    </w:p>
    <w:p w14:paraId="2856AB52">
      <w:pPr>
        <w:pStyle w:val="56"/>
        <w:ind w:firstLine="420"/>
      </w:pPr>
      <w:r>
        <w:rPr>
          <w:rFonts w:hint="eastAsia"/>
        </w:rPr>
        <w:t>将破碎或粉碎后的大件垃圾物料进行同类物质归类的过程。</w:t>
      </w:r>
    </w:p>
    <w:p w14:paraId="1FF71F90">
      <w:pPr>
        <w:pStyle w:val="105"/>
        <w:spacing w:before="120" w:after="120"/>
      </w:pPr>
      <w:bookmarkStart w:id="70" w:name="_Toc218609370"/>
      <w:bookmarkEnd w:id="70"/>
      <w:bookmarkStart w:id="71" w:name="_Toc218609702"/>
      <w:bookmarkEnd w:id="71"/>
    </w:p>
    <w:p w14:paraId="6682A8AF">
      <w:pPr>
        <w:pStyle w:val="56"/>
        <w:ind w:firstLine="420"/>
        <w:rPr>
          <w:rFonts w:hint="eastAsia" w:ascii="黑体" w:hAnsi="黑体" w:eastAsia="黑体"/>
        </w:rPr>
      </w:pPr>
      <w:r>
        <w:rPr>
          <w:rFonts w:hint="eastAsia" w:ascii="黑体" w:hAnsi="黑体" w:eastAsia="黑体"/>
        </w:rPr>
        <w:t>资源化  resource recovery</w:t>
      </w:r>
    </w:p>
    <w:p w14:paraId="3D8E2574">
      <w:pPr>
        <w:pStyle w:val="56"/>
        <w:ind w:firstLine="420"/>
      </w:pPr>
      <w:r>
        <w:rPr>
          <w:rFonts w:hint="eastAsia"/>
        </w:rPr>
        <w:t>对大件垃圾进行处理，使其具备再次利用价值的过程，包括再使用和再生利用。</w:t>
      </w:r>
    </w:p>
    <w:p w14:paraId="113FB1DA">
      <w:pPr>
        <w:pStyle w:val="105"/>
        <w:spacing w:before="120" w:after="120"/>
      </w:pPr>
      <w:bookmarkStart w:id="72" w:name="_Toc218609703"/>
      <w:bookmarkEnd w:id="72"/>
      <w:bookmarkStart w:id="73" w:name="_Toc218609371"/>
      <w:bookmarkEnd w:id="73"/>
    </w:p>
    <w:p w14:paraId="5396C273">
      <w:pPr>
        <w:pStyle w:val="56"/>
        <w:ind w:firstLine="420"/>
        <w:rPr>
          <w:rFonts w:hint="eastAsia" w:ascii="黑体" w:hAnsi="黑体" w:eastAsia="黑体"/>
        </w:rPr>
      </w:pPr>
      <w:r>
        <w:rPr>
          <w:rFonts w:hint="eastAsia" w:ascii="黑体" w:hAnsi="黑体" w:eastAsia="黑体"/>
        </w:rPr>
        <w:t>再使用  reuse</w:t>
      </w:r>
    </w:p>
    <w:p w14:paraId="59AE8FD7">
      <w:pPr>
        <w:pStyle w:val="56"/>
        <w:ind w:firstLine="420"/>
      </w:pPr>
      <w:r>
        <w:rPr>
          <w:rFonts w:hint="eastAsia"/>
        </w:rPr>
        <w:t>大件垃圾或其拆解后的零部件经清洁、消毒、灭菌、整理并检验合格后可继续使用的过程。</w:t>
      </w:r>
    </w:p>
    <w:p w14:paraId="18D111AF">
      <w:pPr>
        <w:pStyle w:val="56"/>
        <w:ind w:firstLine="420"/>
      </w:pPr>
      <w:r>
        <w:rPr>
          <w:rFonts w:hint="eastAsia"/>
        </w:rPr>
        <w:t>[来源：</w:t>
      </w:r>
      <w:r>
        <w:rPr>
          <w:rFonts w:hint="eastAsia" w:ascii="宋体" w:hAnsi="宋体" w:cs="宋体"/>
        </w:rPr>
        <w:t>GB/T 25175—2010，3.5，</w:t>
      </w:r>
      <w:r>
        <w:rPr>
          <w:rFonts w:hint="eastAsia"/>
        </w:rPr>
        <w:t>有修改]</w:t>
      </w:r>
    </w:p>
    <w:p w14:paraId="27A0339A">
      <w:pPr>
        <w:pStyle w:val="105"/>
        <w:spacing w:before="120" w:after="120"/>
      </w:pPr>
      <w:bookmarkStart w:id="74" w:name="_Toc218609704"/>
      <w:bookmarkEnd w:id="74"/>
      <w:bookmarkStart w:id="75" w:name="_Toc218609372"/>
      <w:bookmarkEnd w:id="75"/>
    </w:p>
    <w:p w14:paraId="47E86A4B">
      <w:pPr>
        <w:pStyle w:val="56"/>
        <w:ind w:firstLine="420"/>
        <w:rPr>
          <w:rFonts w:hint="eastAsia" w:ascii="黑体" w:hAnsi="黑体" w:eastAsia="黑体"/>
        </w:rPr>
      </w:pPr>
      <w:r>
        <w:rPr>
          <w:rFonts w:hint="eastAsia" w:ascii="黑体" w:hAnsi="黑体" w:eastAsia="黑体"/>
        </w:rPr>
        <w:t>再生利用  recycling</w:t>
      </w:r>
    </w:p>
    <w:p w14:paraId="3A42A6CC">
      <w:pPr>
        <w:pStyle w:val="56"/>
        <w:ind w:firstLine="420"/>
      </w:pPr>
      <w:r>
        <w:rPr>
          <w:rFonts w:hint="eastAsia"/>
        </w:rPr>
        <w:t>大件垃圾经拆解、加工、转化，使之能够作为原材料重新利用的过程。材料主要包括木材、塑料、玻璃、皮革、纸张、金属等。</w:t>
      </w:r>
    </w:p>
    <w:p w14:paraId="2A05BB00">
      <w:pPr>
        <w:pStyle w:val="56"/>
        <w:ind w:firstLine="420"/>
      </w:pPr>
      <w:r>
        <w:rPr>
          <w:rFonts w:hint="eastAsia"/>
        </w:rPr>
        <w:t>[来源：</w:t>
      </w:r>
      <w:r>
        <w:rPr>
          <w:rFonts w:hint="eastAsia" w:ascii="宋体" w:hAnsi="宋体" w:cs="宋体"/>
        </w:rPr>
        <w:t>GB/T 25175—2010，3.7</w:t>
      </w:r>
      <w:r>
        <w:rPr>
          <w:rFonts w:hint="eastAsia"/>
        </w:rPr>
        <w:t>]</w:t>
      </w:r>
    </w:p>
    <w:p w14:paraId="38E3AF24">
      <w:pPr>
        <w:pStyle w:val="104"/>
        <w:spacing w:before="240" w:after="240"/>
      </w:pPr>
      <w:bookmarkStart w:id="76" w:name="_Toc218609373"/>
      <w:bookmarkStart w:id="77" w:name="_Toc218610032"/>
      <w:bookmarkStart w:id="78" w:name="_Toc218609705"/>
      <w:bookmarkStart w:id="79" w:name="_Toc218609743"/>
      <w:r>
        <w:rPr>
          <w:rFonts w:hint="eastAsia"/>
        </w:rPr>
        <w:t>基本要求</w:t>
      </w:r>
      <w:bookmarkEnd w:id="76"/>
      <w:bookmarkEnd w:id="77"/>
      <w:bookmarkEnd w:id="78"/>
      <w:bookmarkEnd w:id="79"/>
    </w:p>
    <w:p w14:paraId="11C2BE24">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大件垃圾回收及资源化利用工作遵循政府主导、属地管理、全民参与、市场运作、社会监督的原则，通过源头分流，实现大件垃圾回收及资源化利用。</w:t>
      </w:r>
    </w:p>
    <w:p w14:paraId="03C392A5">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鼓励居民、非居民按照国家法律、法规等有关规定规范投放大件垃圾。</w:t>
      </w:r>
    </w:p>
    <w:p w14:paraId="197DAA41">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鼓励营造规范投放、自觉清运、互相监督的处理大件垃圾氛围。</w:t>
      </w:r>
    </w:p>
    <w:p w14:paraId="04F937BD">
      <w:pPr>
        <w:pStyle w:val="104"/>
        <w:spacing w:before="240" w:after="240"/>
        <w:rPr>
          <w:color w:val="000000" w:themeColor="text1"/>
          <w14:textFill>
            <w14:solidFill>
              <w14:schemeClr w14:val="tx1"/>
            </w14:solidFill>
          </w14:textFill>
        </w:rPr>
      </w:pPr>
      <w:bookmarkStart w:id="80" w:name="_Toc218609378"/>
      <w:bookmarkStart w:id="81" w:name="_Toc218610033"/>
      <w:bookmarkStart w:id="82" w:name="_Toc218609744"/>
      <w:bookmarkStart w:id="83" w:name="_Toc218609710"/>
      <w:r>
        <w:rPr>
          <w:rFonts w:hint="eastAsia"/>
          <w:color w:val="000000" w:themeColor="text1"/>
          <w14:textFill>
            <w14:solidFill>
              <w14:schemeClr w14:val="tx1"/>
            </w14:solidFill>
          </w14:textFill>
        </w:rPr>
        <w:t>收集</w:t>
      </w:r>
      <w:bookmarkEnd w:id="80"/>
      <w:bookmarkEnd w:id="81"/>
      <w:bookmarkEnd w:id="82"/>
      <w:bookmarkEnd w:id="83"/>
    </w:p>
    <w:p w14:paraId="67DC0302">
      <w:pPr>
        <w:pStyle w:val="105"/>
        <w:spacing w:before="120" w:after="120"/>
      </w:pPr>
      <w:bookmarkStart w:id="84" w:name="_Toc218609711"/>
      <w:bookmarkStart w:id="85" w:name="_Toc218609379"/>
      <w:r>
        <w:rPr>
          <w:rFonts w:hint="eastAsia"/>
        </w:rPr>
        <w:t>一般要求</w:t>
      </w:r>
    </w:p>
    <w:p w14:paraId="7E6C4A26">
      <w:pPr>
        <w:pStyle w:val="105"/>
        <w:numPr>
          <w:ilvl w:val="2"/>
          <w:numId w:val="0"/>
        </w:numPr>
        <w:spacing w:before="120" w:after="120"/>
        <w:rPr>
          <w:rFonts w:hint="eastAsia" w:ascii="宋体" w:hAnsi="宋体" w:eastAsia="宋体" w:cs="宋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5.1.1</w:t>
      </w:r>
      <w:r>
        <w:rPr>
          <w:rFonts w:hint="eastAsia" w:ascii="宋体" w:hAnsi="宋体" w:eastAsia="宋体" w:cs="宋体"/>
          <w:color w:val="000000" w:themeColor="text1"/>
          <w14:textFill>
            <w14:solidFill>
              <w14:schemeClr w14:val="tx1"/>
            </w14:solidFill>
          </w14:textFill>
        </w:rPr>
        <w:t xml:space="preserve"> 大件垃圾投放前，宜除去包装等杂物，并避免建筑垃圾、工业废料、有毒有害物品混入。杂物宜按照DB45/T 1896的规定分类投放至相应的收集容器。</w:t>
      </w:r>
    </w:p>
    <w:p w14:paraId="1B659FA0">
      <w:pPr>
        <w:pStyle w:val="105"/>
        <w:numPr>
          <w:ilvl w:val="2"/>
          <w:numId w:val="0"/>
        </w:numPr>
        <w:spacing w:before="120" w:after="120"/>
        <w:rPr>
          <w:rFonts w:hint="eastAsia" w:ascii="宋体" w:hAnsi="宋体" w:eastAsia="宋体" w:cs="宋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5.1.2</w:t>
      </w:r>
      <w:r>
        <w:rPr>
          <w:rFonts w:hint="eastAsia" w:ascii="宋体" w:hAnsi="宋体" w:cs="宋体"/>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大件垃圾宜按照DB45/T 1896要求的范围内放置，不宜影响其他城市功能空间的使用。</w:t>
      </w:r>
    </w:p>
    <w:p w14:paraId="24A96E81">
      <w:pPr>
        <w:pStyle w:val="105"/>
        <w:spacing w:before="120" w:after="120"/>
      </w:pPr>
      <w:r>
        <w:rPr>
          <w:rFonts w:hint="eastAsia"/>
        </w:rPr>
        <w:t>住宅区</w:t>
      </w:r>
      <w:bookmarkEnd w:id="84"/>
      <w:bookmarkEnd w:id="85"/>
    </w:p>
    <w:p w14:paraId="1301193E">
      <w:pPr>
        <w:pStyle w:val="165"/>
      </w:pPr>
      <w:r>
        <w:rPr>
          <w:rFonts w:hint="eastAsia"/>
        </w:rPr>
        <w:t>住宅区宜按照DB45/T 1896的要求，设置大件垃圾暂存点；不具备条件的，宜在街道、社区的指导下与相邻区域共建共享。大件垃圾暂存点符合下列规定：</w:t>
      </w:r>
    </w:p>
    <w:p w14:paraId="2C3212DA">
      <w:pPr>
        <w:pStyle w:val="132"/>
      </w:pPr>
      <w:r>
        <w:rPr>
          <w:rFonts w:hint="eastAsia"/>
        </w:rPr>
        <w:t>标志醒目、引导清晰；</w:t>
      </w:r>
    </w:p>
    <w:p w14:paraId="1809F8EF">
      <w:pPr>
        <w:pStyle w:val="132"/>
      </w:pPr>
      <w:r>
        <w:rPr>
          <w:rFonts w:hint="eastAsia"/>
        </w:rPr>
        <w:t>设置位置宜方便收运车辆进出、回车；</w:t>
      </w:r>
    </w:p>
    <w:p w14:paraId="519FA417">
      <w:pPr>
        <w:pStyle w:val="132"/>
      </w:pPr>
      <w:r>
        <w:rPr>
          <w:rFonts w:hint="eastAsia"/>
        </w:rPr>
        <w:t>宜采取隔墙、围挡、房（间）等方式，保持区域的独立性；</w:t>
      </w:r>
    </w:p>
    <w:p w14:paraId="7466FA31">
      <w:pPr>
        <w:pStyle w:val="132"/>
      </w:pPr>
      <w:r>
        <w:rPr>
          <w:rFonts w:hint="eastAsia"/>
        </w:rPr>
        <w:t>采用房（间）型式时，建筑面积不宜小于12</w:t>
      </w:r>
      <w:r>
        <w:t> </w:t>
      </w:r>
      <w:r>
        <w:rPr>
          <w:rFonts w:hint="eastAsia"/>
        </w:rPr>
        <w:t>㎡；</w:t>
      </w:r>
    </w:p>
    <w:p w14:paraId="2D9922F6">
      <w:pPr>
        <w:pStyle w:val="132"/>
      </w:pPr>
      <w:r>
        <w:rPr>
          <w:rFonts w:hint="eastAsia"/>
        </w:rPr>
        <w:t>外观与周边环境协调；</w:t>
      </w:r>
    </w:p>
    <w:p w14:paraId="66DF0644">
      <w:pPr>
        <w:pStyle w:val="132"/>
      </w:pPr>
      <w:r>
        <w:rPr>
          <w:rFonts w:hint="eastAsia"/>
        </w:rPr>
        <w:t>宜采取地面硬化、防雨、消防安全、保洁消杀等措施，并由专人管理；</w:t>
      </w:r>
    </w:p>
    <w:p w14:paraId="150042CF">
      <w:pPr>
        <w:pStyle w:val="132"/>
      </w:pPr>
      <w:r>
        <w:rPr>
          <w:rFonts w:hint="eastAsia"/>
        </w:rPr>
        <w:t>宜配置平板小推车等便民工具，便于居民投放和取走废旧家具。</w:t>
      </w:r>
    </w:p>
    <w:p w14:paraId="460FCC73">
      <w:pPr>
        <w:pStyle w:val="165"/>
      </w:pPr>
      <w:r>
        <w:rPr>
          <w:rFonts w:hint="eastAsia"/>
        </w:rPr>
        <w:t>居民宜自行将大件垃圾投放至大件垃圾暂存点，或自行运送至资源化利用设施；否则，宜预约专门机构上门</w:t>
      </w:r>
      <w:r>
        <w:rPr>
          <w:rFonts w:hint="eastAsia"/>
          <w:color w:val="000000" w:themeColor="text1"/>
          <w14:textFill>
            <w14:solidFill>
              <w14:schemeClr w14:val="tx1"/>
            </w14:solidFill>
          </w14:textFill>
        </w:rPr>
        <w:t>收集</w:t>
      </w:r>
      <w:r>
        <w:rPr>
          <w:rFonts w:hint="eastAsia"/>
        </w:rPr>
        <w:t>。</w:t>
      </w:r>
    </w:p>
    <w:p w14:paraId="67233C08">
      <w:pPr>
        <w:pStyle w:val="165"/>
      </w:pPr>
      <w:r>
        <w:rPr>
          <w:rFonts w:hint="eastAsia"/>
        </w:rPr>
        <w:t>生活垃圾分类投放管理责任人宜通过公告栏、互联网群组等方式，定期公开大件垃圾暂存点内大件垃圾的名称、尺寸、材质、实物照片等基本信息，鼓励有需求的居民做好相关消毒处理后自行取走再使用。</w:t>
      </w:r>
    </w:p>
    <w:p w14:paraId="4DC2DA18">
      <w:pPr>
        <w:pStyle w:val="165"/>
      </w:pPr>
      <w:r>
        <w:rPr>
          <w:rFonts w:hint="eastAsia"/>
        </w:rPr>
        <w:t>大件垃圾宜采取定期或预约的方式进行清运。</w:t>
      </w:r>
    </w:p>
    <w:p w14:paraId="4735A6BB">
      <w:pPr>
        <w:pStyle w:val="105"/>
        <w:spacing w:before="120" w:after="120"/>
      </w:pPr>
      <w:bookmarkStart w:id="86" w:name="_Toc218609384"/>
      <w:bookmarkStart w:id="87" w:name="_Toc218609712"/>
      <w:r>
        <w:rPr>
          <w:rFonts w:hint="eastAsia"/>
        </w:rPr>
        <w:t>机关企事业单位</w:t>
      </w:r>
      <w:bookmarkEnd w:id="86"/>
      <w:bookmarkEnd w:id="87"/>
    </w:p>
    <w:p w14:paraId="704A2FDE">
      <w:pPr>
        <w:pStyle w:val="165"/>
      </w:pPr>
      <w:r>
        <w:rPr>
          <w:rFonts w:hint="eastAsia"/>
        </w:rPr>
        <w:t>机关企事业单位宜单独设置大件垃圾暂存点或利用空置的仓库、储藏室、办公室等场所暂存大件垃圾。</w:t>
      </w:r>
    </w:p>
    <w:p w14:paraId="691B52FA">
      <w:pPr>
        <w:pStyle w:val="165"/>
      </w:pPr>
      <w:r>
        <w:rPr>
          <w:rFonts w:hint="eastAsia"/>
        </w:rPr>
        <w:t>机关企事业单位的大件垃圾宜由生活垃圾分类投放管理责任人组织运送至资源化利用设施，或预约专门机构上门</w:t>
      </w:r>
      <w:r>
        <w:rPr>
          <w:rFonts w:hint="eastAsia"/>
          <w:color w:val="000000" w:themeColor="text1"/>
          <w14:textFill>
            <w14:solidFill>
              <w14:schemeClr w14:val="tx1"/>
            </w14:solidFill>
          </w14:textFill>
        </w:rPr>
        <w:t>收集</w:t>
      </w:r>
      <w:r>
        <w:rPr>
          <w:rFonts w:hint="eastAsia"/>
        </w:rPr>
        <w:t>。</w:t>
      </w:r>
    </w:p>
    <w:p w14:paraId="584B406C">
      <w:pPr>
        <w:pStyle w:val="105"/>
        <w:spacing w:before="120" w:after="120"/>
      </w:pPr>
      <w:bookmarkStart w:id="88" w:name="_Toc218609713"/>
      <w:bookmarkStart w:id="89" w:name="_Toc218609387"/>
      <w:r>
        <w:rPr>
          <w:rFonts w:hint="eastAsia"/>
        </w:rPr>
        <w:t>公共场所</w:t>
      </w:r>
      <w:bookmarkEnd w:id="88"/>
      <w:bookmarkEnd w:id="89"/>
    </w:p>
    <w:p w14:paraId="59F355E3">
      <w:pPr>
        <w:pStyle w:val="165"/>
      </w:pPr>
      <w:r>
        <w:rPr>
          <w:rFonts w:hint="eastAsia"/>
        </w:rPr>
        <w:t>商场超市、宾馆饭店、农贸市场、交通物流场站、体育场馆等公共场所宜根据大件垃圾排出量、收集</w:t>
      </w:r>
      <w:r>
        <w:rPr>
          <w:rFonts w:hint="eastAsia"/>
          <w:color w:val="000000" w:themeColor="text1"/>
          <w14:textFill>
            <w14:solidFill>
              <w14:schemeClr w14:val="tx1"/>
            </w14:solidFill>
          </w14:textFill>
        </w:rPr>
        <w:t>清运</w:t>
      </w:r>
      <w:r>
        <w:rPr>
          <w:rFonts w:hint="eastAsia"/>
        </w:rPr>
        <w:t>方式及频次，确定暂存方式，确有必要布设大件垃圾暂存点的，宜将大件垃圾暂存点布设在室内。</w:t>
      </w:r>
    </w:p>
    <w:p w14:paraId="6732B975">
      <w:pPr>
        <w:pStyle w:val="165"/>
      </w:pPr>
      <w:r>
        <w:rPr>
          <w:rFonts w:hint="eastAsia"/>
        </w:rPr>
        <w:t>公共场所的大件垃圾宜由生活垃圾分类投放管理责任人组织运送至资源化利用设施，或预约专门机构上门</w:t>
      </w:r>
      <w:r>
        <w:rPr>
          <w:rFonts w:hint="eastAsia"/>
          <w:color w:val="000000" w:themeColor="text1"/>
          <w14:textFill>
            <w14:solidFill>
              <w14:schemeClr w14:val="tx1"/>
            </w14:solidFill>
          </w14:textFill>
        </w:rPr>
        <w:t>收集</w:t>
      </w:r>
      <w:r>
        <w:rPr>
          <w:rFonts w:hint="eastAsia"/>
        </w:rPr>
        <w:t>。</w:t>
      </w:r>
    </w:p>
    <w:p w14:paraId="2001AF19">
      <w:pPr>
        <w:pStyle w:val="104"/>
        <w:spacing w:before="240" w:after="240"/>
      </w:pPr>
      <w:bookmarkStart w:id="90" w:name="_Toc218610034"/>
      <w:bookmarkStart w:id="91" w:name="_Toc218609745"/>
      <w:bookmarkStart w:id="92" w:name="_Toc218609390"/>
      <w:bookmarkStart w:id="93" w:name="_Toc218609714"/>
      <w:r>
        <w:rPr>
          <w:rFonts w:hint="eastAsia"/>
        </w:rPr>
        <w:t>运输</w:t>
      </w:r>
      <w:bookmarkEnd w:id="90"/>
      <w:bookmarkEnd w:id="91"/>
      <w:bookmarkEnd w:id="92"/>
      <w:bookmarkEnd w:id="93"/>
    </w:p>
    <w:p w14:paraId="7BA713A4">
      <w:pPr>
        <w:pStyle w:val="162"/>
      </w:pPr>
      <w:r>
        <w:rPr>
          <w:rFonts w:hint="eastAsia"/>
        </w:rPr>
        <w:t>具备条件的大件垃圾收运单位宜向属地环境卫生主管部门报备。</w:t>
      </w:r>
    </w:p>
    <w:p w14:paraId="53A9784F">
      <w:pPr>
        <w:pStyle w:val="162"/>
      </w:pPr>
      <w:r>
        <w:rPr>
          <w:rFonts w:hint="eastAsia"/>
        </w:rPr>
        <w:t>属地环境卫生主管部门宜根据实际，动态公布不少于1家大件垃圾收运单位信息，并设置监督电话。</w:t>
      </w:r>
    </w:p>
    <w:p w14:paraId="277940BF">
      <w:pPr>
        <w:pStyle w:val="162"/>
      </w:pPr>
      <w:r>
        <w:rPr>
          <w:rFonts w:hint="eastAsia"/>
        </w:rPr>
        <w:t>大件垃圾收运单位宜按照与生活垃圾分类投放责任人约定的时间定期收集或者预约收集大件垃圾，并建立联单管理台账，记录大件垃圾的来源、名称、数量、重量、收运日期去向等，定期向属地环境卫生主管部门报告。</w:t>
      </w:r>
    </w:p>
    <w:p w14:paraId="71B5B540">
      <w:pPr>
        <w:pStyle w:val="162"/>
        <w:rPr>
          <w:color w:val="000000" w:themeColor="text1"/>
          <w14:textFill>
            <w14:solidFill>
              <w14:schemeClr w14:val="tx1"/>
            </w14:solidFill>
          </w14:textFill>
        </w:rPr>
      </w:pPr>
      <w:r>
        <w:rPr>
          <w:rFonts w:hint="eastAsia"/>
        </w:rPr>
        <w:t>大件垃圾宜采用符合收运规范的专用车辆</w:t>
      </w:r>
      <w:r>
        <w:rPr>
          <w:rFonts w:hint="eastAsia"/>
          <w:color w:val="000000" w:themeColor="text1"/>
          <w14:textFill>
            <w14:solidFill>
              <w14:schemeClr w14:val="tx1"/>
            </w14:solidFill>
          </w14:textFill>
        </w:rPr>
        <w:t>进行运输，运输车辆外观和性能应满足下列要求：</w:t>
      </w:r>
    </w:p>
    <w:p w14:paraId="62F75E98">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保持外观整洁，在车身醒目位置喷涂分类标志，标注收运单位名称、回收联系电话、监管电话等信息；</w:t>
      </w:r>
    </w:p>
    <w:p w14:paraId="46F4E148">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安装卫星定位和监控系统，保持系统正常运行，并将运输车辆行驶信息接入主管部门的管理信息系统；</w:t>
      </w:r>
    </w:p>
    <w:p w14:paraId="3B736EDC">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保持车辆性能良好，杜绝“遗撒滴漏”，实现收集和运输无尘化、密闭化。</w:t>
      </w:r>
    </w:p>
    <w:p w14:paraId="5670B062">
      <w:pPr>
        <w:pStyle w:val="104"/>
        <w:spacing w:before="240" w:after="240"/>
        <w:rPr>
          <w:color w:val="0000FF"/>
        </w:rPr>
      </w:pPr>
      <w:bookmarkStart w:id="94" w:name="_Toc218610035"/>
      <w:bookmarkStart w:id="95" w:name="_Toc218609395"/>
      <w:bookmarkStart w:id="96" w:name="_Toc218609746"/>
      <w:bookmarkStart w:id="97" w:name="_Toc218609719"/>
      <w:r>
        <w:rPr>
          <w:rFonts w:hint="eastAsia"/>
          <w:color w:val="000000" w:themeColor="text1"/>
          <w14:textFill>
            <w14:solidFill>
              <w14:schemeClr w14:val="tx1"/>
            </w14:solidFill>
          </w14:textFill>
        </w:rPr>
        <w:t>资源化利用</w:t>
      </w:r>
      <w:bookmarkEnd w:id="94"/>
      <w:bookmarkEnd w:id="95"/>
      <w:bookmarkEnd w:id="96"/>
      <w:bookmarkEnd w:id="97"/>
      <w:bookmarkStart w:id="98" w:name="_Toc218609720"/>
      <w:bookmarkStart w:id="99" w:name="_Toc218609396"/>
    </w:p>
    <w:p w14:paraId="3C2B7DDD">
      <w:pPr>
        <w:pStyle w:val="105"/>
        <w:spacing w:before="120" w:after="120"/>
      </w:pPr>
      <w:r>
        <w:rPr>
          <w:rFonts w:hint="eastAsia"/>
        </w:rPr>
        <w:t>再使用</w:t>
      </w:r>
      <w:bookmarkEnd w:id="98"/>
      <w:bookmarkEnd w:id="99"/>
    </w:p>
    <w:p w14:paraId="6B884E17">
      <w:pPr>
        <w:pStyle w:val="165"/>
      </w:pPr>
      <w:r>
        <w:rPr>
          <w:rFonts w:hint="eastAsia"/>
        </w:rPr>
        <w:t>具有再使用价值的大件垃圾宜通过线上线下二手交易、慈善拍卖、捐赠等形式优先重复利用。确需废弃的，宜按照GB/T 25175的要求处理。</w:t>
      </w:r>
    </w:p>
    <w:p w14:paraId="6728BB25">
      <w:pPr>
        <w:pStyle w:val="165"/>
      </w:pPr>
      <w:r>
        <w:rPr>
          <w:rFonts w:hint="eastAsia"/>
        </w:rPr>
        <w:t>具备修复条件的大件垃圾资源化利用设施，宜对外观完好、利用价值较高的大件垃圾进行修复，通过转赠或二手交易的方式再使用。</w:t>
      </w:r>
    </w:p>
    <w:p w14:paraId="20A05EC6">
      <w:pPr>
        <w:pStyle w:val="165"/>
      </w:pPr>
      <w:r>
        <w:rPr>
          <w:rFonts w:hint="eastAsia"/>
        </w:rPr>
        <w:t>再使用的大件垃圾或其构件材料，宜采取防护措施，避免损坏。</w:t>
      </w:r>
    </w:p>
    <w:p w14:paraId="43608DB9">
      <w:pPr>
        <w:pStyle w:val="165"/>
      </w:pPr>
      <w:r>
        <w:rPr>
          <w:rFonts w:hint="eastAsia"/>
        </w:rPr>
        <w:t>不宜再使用的大件垃圾应对其进行再生利用。</w:t>
      </w:r>
    </w:p>
    <w:p w14:paraId="6A29CA18">
      <w:pPr>
        <w:pStyle w:val="105"/>
        <w:spacing w:before="120" w:after="120"/>
      </w:pPr>
      <w:bookmarkStart w:id="100" w:name="_Toc218609401"/>
      <w:bookmarkStart w:id="101" w:name="_Toc218609721"/>
      <w:r>
        <w:rPr>
          <w:rFonts w:hint="eastAsia"/>
        </w:rPr>
        <w:t>再生利用</w:t>
      </w:r>
      <w:bookmarkEnd w:id="100"/>
      <w:bookmarkEnd w:id="101"/>
    </w:p>
    <w:p w14:paraId="603AFD64">
      <w:pPr>
        <w:pStyle w:val="165"/>
      </w:pPr>
      <w:r>
        <w:rPr>
          <w:rFonts w:hint="eastAsia"/>
        </w:rPr>
        <w:t>再生利用设施接收大件垃圾时，宜做好进场运输车辆管控并设置计量系统，统计进场及外运的物料数据信息；登记进场大件垃圾的名称、来源、重量、数量等信息，进行检视和鉴别，不宜混入杂物、危险废物等。</w:t>
      </w:r>
    </w:p>
    <w:p w14:paraId="5217DD23">
      <w:pPr>
        <w:pStyle w:val="165"/>
      </w:pPr>
      <w:r>
        <w:rPr>
          <w:rFonts w:hint="eastAsia"/>
        </w:rPr>
        <w:t>再生利用拆解、破碎过程中产生的残余物，具有再生价值的成分纳入再生利用渠道，其余的纳入生活垃圾无害化处置渠道，实现资源化、无害化。</w:t>
      </w:r>
    </w:p>
    <w:p w14:paraId="788B728F">
      <w:pPr>
        <w:pStyle w:val="165"/>
      </w:pPr>
      <w:r>
        <w:rPr>
          <w:rFonts w:hint="eastAsia"/>
        </w:rPr>
        <w:t>再生利用各类操作宜以机械为主、人工为辅。</w:t>
      </w:r>
    </w:p>
    <w:p w14:paraId="18B6D8E7">
      <w:pPr>
        <w:pStyle w:val="165"/>
      </w:pPr>
      <w:r>
        <w:rPr>
          <w:rFonts w:hint="eastAsia"/>
        </w:rPr>
        <w:t>大件垃圾拆解符合下列规定：</w:t>
      </w:r>
    </w:p>
    <w:p w14:paraId="39ABE09F">
      <w:pPr>
        <w:pStyle w:val="132"/>
      </w:pPr>
      <w:r>
        <w:rPr>
          <w:rFonts w:hint="eastAsia"/>
        </w:rPr>
        <w:t>大件垃圾拆解场所宜在大件垃圾相对集中区域。场所应平整，具有一定的抗压强度，有防雨淋、防渗漏措</w:t>
      </w:r>
      <w:r>
        <w:rPr>
          <w:rFonts w:hint="eastAsia"/>
          <w:color w:val="000000" w:themeColor="text1"/>
          <w14:textFill>
            <w14:solidFill>
              <w14:schemeClr w14:val="tx1"/>
            </w14:solidFill>
          </w14:textFill>
        </w:rPr>
        <w:t>施。</w:t>
      </w:r>
      <w:r>
        <w:rPr>
          <w:rFonts w:hint="eastAsia" w:hAnsi="宋体" w:cs="宋体"/>
          <w:color w:val="000000" w:themeColor="text1"/>
          <w14:textFill>
            <w14:solidFill>
              <w14:schemeClr w14:val="tx1"/>
            </w14:solidFill>
          </w14:textFill>
        </w:rPr>
        <w:t>属地政府宜将大件垃圾资源化利用设施纳入城市规划体系，落实设施用地</w:t>
      </w:r>
      <w:r>
        <w:rPr>
          <w:rFonts w:hint="eastAsia"/>
          <w:color w:val="000000" w:themeColor="text1"/>
          <w14:textFill>
            <w14:solidFill>
              <w14:schemeClr w14:val="tx1"/>
            </w14:solidFill>
          </w14:textFill>
        </w:rPr>
        <w:t>；</w:t>
      </w:r>
    </w:p>
    <w:p w14:paraId="11D51146">
      <w:pPr>
        <w:pStyle w:val="132"/>
      </w:pPr>
      <w:r>
        <w:rPr>
          <w:rFonts w:hint="eastAsia"/>
        </w:rPr>
        <w:t>拆解作业采取经济合理、安全可靠的工艺技术及必要的安全防护，并宜防止对环境产生二次污染以及人体健康产生危险；</w:t>
      </w:r>
    </w:p>
    <w:p w14:paraId="36047848">
      <w:pPr>
        <w:pStyle w:val="132"/>
      </w:pPr>
      <w:r>
        <w:rPr>
          <w:rFonts w:hint="eastAsia"/>
        </w:rPr>
        <w:t>宜先行拣出可直接回收利用的玻璃、金属、木料、废纸等材料，并分类存放；</w:t>
      </w:r>
    </w:p>
    <w:p w14:paraId="6487316E">
      <w:pPr>
        <w:pStyle w:val="132"/>
      </w:pPr>
      <w:r>
        <w:rPr>
          <w:rFonts w:hint="eastAsia"/>
        </w:rPr>
        <w:t>床垫、皮革沙发、布艺沙发等由柔软性面料包裹的大件垃圾，宜先行人工拆解，以提高织物、皮革、海绵、金属等材料的回收率；</w:t>
      </w:r>
    </w:p>
    <w:p w14:paraId="3180298B">
      <w:pPr>
        <w:pStyle w:val="132"/>
      </w:pPr>
      <w:r>
        <w:rPr>
          <w:rFonts w:hint="eastAsia"/>
        </w:rPr>
        <w:t>实木制作的大件垃圾，可先行人工拆解，以提高实木的回收率；人造板材制作的大件垃圾，可直接机械拆解；</w:t>
      </w:r>
    </w:p>
    <w:p w14:paraId="1CC69882">
      <w:pPr>
        <w:pStyle w:val="132"/>
      </w:pPr>
      <w:r>
        <w:rPr>
          <w:rFonts w:hint="eastAsia"/>
        </w:rPr>
        <w:t>拆解过程宜尽量拣出金属的构件、零件、附件，以免损坏后续工艺的设备。</w:t>
      </w:r>
    </w:p>
    <w:p w14:paraId="09D572FF">
      <w:pPr>
        <w:pStyle w:val="165"/>
      </w:pPr>
      <w:r>
        <w:rPr>
          <w:rFonts w:hint="eastAsia"/>
        </w:rPr>
        <w:t>大件垃圾破碎符合下列规定：</w:t>
      </w:r>
    </w:p>
    <w:p w14:paraId="5CA943DA">
      <w:pPr>
        <w:pStyle w:val="132"/>
      </w:pPr>
      <w:r>
        <w:rPr>
          <w:rFonts w:hint="eastAsia"/>
        </w:rPr>
        <w:t>宜组合选用颚式、辊式、剪切式等破碎设备，分别适应柔软性物料和硬脆性物料的破碎要求；</w:t>
      </w:r>
    </w:p>
    <w:p w14:paraId="649CEA45">
      <w:pPr>
        <w:pStyle w:val="132"/>
      </w:pPr>
      <w:r>
        <w:rPr>
          <w:rFonts w:hint="eastAsia"/>
        </w:rPr>
        <w:t>破碎设备宜采用密闭式设计，并配套除尘措施。</w:t>
      </w:r>
    </w:p>
    <w:p w14:paraId="72D43E5E">
      <w:pPr>
        <w:pStyle w:val="165"/>
      </w:pPr>
      <w:r>
        <w:rPr>
          <w:rFonts w:hint="eastAsia"/>
        </w:rPr>
        <w:t>破碎物料分选符合下列规定：</w:t>
      </w:r>
    </w:p>
    <w:p w14:paraId="53698C2A">
      <w:pPr>
        <w:pStyle w:val="132"/>
      </w:pPr>
      <w:r>
        <w:rPr>
          <w:rFonts w:hint="eastAsia"/>
        </w:rPr>
        <w:t>宜组合选用滚筒、风力、磁力、涡流等分选设备，以满足不同特性和粒径物料的分离要求；</w:t>
      </w:r>
    </w:p>
    <w:p w14:paraId="13331661">
      <w:pPr>
        <w:pStyle w:val="132"/>
      </w:pPr>
      <w:r>
        <w:rPr>
          <w:rFonts w:hint="eastAsia"/>
        </w:rPr>
        <w:t>分选设备宜采用密闭式设计，并配套除尘设备。</w:t>
      </w:r>
    </w:p>
    <w:p w14:paraId="29EE4907">
      <w:pPr>
        <w:pStyle w:val="165"/>
      </w:pPr>
      <w:r>
        <w:rPr>
          <w:rFonts w:hint="eastAsia"/>
        </w:rPr>
        <w:t>大件垃圾再生利用过程拣出、分选出的各类材料后续利用宜符合下列规定：</w:t>
      </w:r>
    </w:p>
    <w:p w14:paraId="35745774">
      <w:pPr>
        <w:pStyle w:val="132"/>
      </w:pPr>
      <w:r>
        <w:rPr>
          <w:rFonts w:hint="eastAsia"/>
        </w:rPr>
        <w:t>木料的回收利用宜符合GB/T 22529的规定；</w:t>
      </w:r>
    </w:p>
    <w:p w14:paraId="4B4BC2AC">
      <w:pPr>
        <w:pStyle w:val="132"/>
      </w:pPr>
      <w:r>
        <w:rPr>
          <w:rFonts w:hint="eastAsia"/>
        </w:rPr>
        <w:t>海绵（原生海绵、再生海绵）、皮革（真皮革、人造革）、塑料（聚乙烯、聚氯乙烯、聚丙烯）宜按材质、外形尺寸、完好程度和再加工材料的用途进行分类回收利用；</w:t>
      </w:r>
    </w:p>
    <w:p w14:paraId="34782FE7">
      <w:pPr>
        <w:pStyle w:val="132"/>
      </w:pPr>
      <w:r>
        <w:rPr>
          <w:rFonts w:hint="eastAsia"/>
        </w:rPr>
        <w:t>废纸的回收利用宜符合GB/T 20811的规定；</w:t>
      </w:r>
    </w:p>
    <w:p w14:paraId="01D28E95">
      <w:pPr>
        <w:pStyle w:val="132"/>
      </w:pPr>
      <w:r>
        <w:rPr>
          <w:rFonts w:hint="eastAsia"/>
        </w:rPr>
        <w:t>玻璃的回收利用宜符合GB/T 39196的规定；</w:t>
      </w:r>
    </w:p>
    <w:p w14:paraId="05B49F8F">
      <w:pPr>
        <w:pStyle w:val="132"/>
      </w:pPr>
      <w:r>
        <w:rPr>
          <w:rFonts w:hint="eastAsia"/>
        </w:rPr>
        <w:t>钢铁的回收利用宜符合GB/T 4223的规定；</w:t>
      </w:r>
    </w:p>
    <w:p w14:paraId="7D59D19E">
      <w:pPr>
        <w:pStyle w:val="132"/>
      </w:pPr>
      <w:r>
        <w:rPr>
          <w:rFonts w:hint="eastAsia"/>
        </w:rPr>
        <w:t>铜及铜合金的回收利用宜符合GB/T 13587的规定；</w:t>
      </w:r>
    </w:p>
    <w:p w14:paraId="79CB92B9">
      <w:pPr>
        <w:pStyle w:val="132"/>
      </w:pPr>
      <w:r>
        <w:rPr>
          <w:rFonts w:hint="eastAsia"/>
        </w:rPr>
        <w:t>铝及铝合金的回收利用宜符合GB/T 13586的规定。</w:t>
      </w:r>
    </w:p>
    <w:p w14:paraId="75EFF083">
      <w:pPr>
        <w:pStyle w:val="105"/>
        <w:spacing w:before="120" w:after="120"/>
      </w:pPr>
      <w:r>
        <w:rPr>
          <w:rFonts w:hint="eastAsia"/>
        </w:rPr>
        <w:t>信息公开</w:t>
      </w:r>
    </w:p>
    <w:p w14:paraId="5DEF122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资源化利用设施运营单位宜主动公布大件垃圾资源化利用动态，接受社会监督。</w:t>
      </w:r>
    </w:p>
    <w:p w14:paraId="75D777F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资源化利用设施运营单位宜在场区大门设置电子公示信息牌，公开污染物排放信息。</w:t>
      </w:r>
    </w:p>
    <w:p w14:paraId="6622A249">
      <w:pPr>
        <w:pStyle w:val="104"/>
        <w:spacing w:before="240" w:after="240"/>
      </w:pPr>
      <w:bookmarkStart w:id="102" w:name="_Toc218609729"/>
      <w:bookmarkStart w:id="103" w:name="_Toc218609747"/>
      <w:bookmarkStart w:id="104" w:name="_Toc218610036"/>
      <w:bookmarkStart w:id="105" w:name="_Toc218609409"/>
      <w:r>
        <w:rPr>
          <w:rFonts w:hint="eastAsia"/>
        </w:rPr>
        <w:t>环境保护和安全防护</w:t>
      </w:r>
      <w:bookmarkEnd w:id="102"/>
      <w:bookmarkEnd w:id="103"/>
      <w:bookmarkEnd w:id="104"/>
      <w:bookmarkEnd w:id="105"/>
    </w:p>
    <w:p w14:paraId="59B8BD15">
      <w:pPr>
        <w:pStyle w:val="105"/>
        <w:spacing w:before="120" w:after="120"/>
        <w:rPr>
          <w:rFonts w:hint="eastAsia" w:hAnsi="黑体"/>
        </w:rPr>
      </w:pPr>
      <w:r>
        <w:rPr>
          <w:rFonts w:hint="eastAsia" w:hAnsi="黑体"/>
        </w:rPr>
        <w:t>环境保护</w:t>
      </w:r>
    </w:p>
    <w:p w14:paraId="1F3AC46B">
      <w:pPr>
        <w:pStyle w:val="56"/>
        <w:ind w:firstLine="420"/>
      </w:pPr>
      <w:r>
        <w:rPr>
          <w:rFonts w:hint="eastAsia"/>
        </w:rPr>
        <w:t>大件垃圾回收及资源化利用环境保护宜符合</w:t>
      </w:r>
      <w:r>
        <w:rPr>
          <w:rFonts w:hint="eastAsia" w:ascii="宋体" w:hAnsi="宋体" w:cs="宋体"/>
        </w:rPr>
        <w:t>GB 12348、GB 16297、GB 3095、GB 8978、GB 14554</w:t>
      </w:r>
      <w:r>
        <w:rPr>
          <w:rFonts w:hint="eastAsia"/>
        </w:rPr>
        <w:t>的相关规定。</w:t>
      </w:r>
    </w:p>
    <w:p w14:paraId="2C8E0507">
      <w:pPr>
        <w:pStyle w:val="105"/>
        <w:spacing w:before="120" w:after="120"/>
        <w:rPr>
          <w:rFonts w:hint="eastAsia" w:hAnsi="黑体"/>
        </w:rPr>
      </w:pPr>
      <w:r>
        <w:rPr>
          <w:rFonts w:hint="eastAsia" w:hAnsi="黑体"/>
        </w:rPr>
        <w:t>安全防护</w:t>
      </w:r>
    </w:p>
    <w:p w14:paraId="5F63B44F">
      <w:pPr>
        <w:pStyle w:val="165"/>
        <w:rPr>
          <w:color w:val="000000" w:themeColor="text1"/>
          <w14:textFill>
            <w14:solidFill>
              <w14:schemeClr w14:val="tx1"/>
            </w14:solidFill>
          </w14:textFill>
        </w:rPr>
      </w:pPr>
      <w:r>
        <w:rPr>
          <w:rFonts w:hint="eastAsia"/>
        </w:rPr>
        <w:t>大</w:t>
      </w:r>
      <w:r>
        <w:rPr>
          <w:rFonts w:hint="eastAsia"/>
          <w:color w:val="000000" w:themeColor="text1"/>
          <w14:textFill>
            <w14:solidFill>
              <w14:schemeClr w14:val="tx1"/>
            </w14:solidFill>
          </w14:textFill>
        </w:rPr>
        <w:t>件垃圾回收及资源化利用作业场所宜设置防火、防倒塌等安全警示标志和人员物流通道标识等。</w:t>
      </w:r>
    </w:p>
    <w:p w14:paraId="0F09219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大件垃圾回收及资源化利用作业场所宜配备灭火器、消防沙等消防器材。</w:t>
      </w:r>
    </w:p>
    <w:p w14:paraId="6C59ED4D">
      <w:pPr>
        <w:pStyle w:val="165"/>
      </w:pPr>
      <w:r>
        <w:rPr>
          <w:rFonts w:hint="eastAsia"/>
        </w:rPr>
        <w:t>大件垃圾资源化利用设施运行单位宜按下列规定加强职业卫生管理：</w:t>
      </w:r>
    </w:p>
    <w:p w14:paraId="50F18833">
      <w:pPr>
        <w:pStyle w:val="132"/>
      </w:pPr>
      <w:r>
        <w:rPr>
          <w:rFonts w:hint="eastAsia"/>
        </w:rPr>
        <w:t>采取防尘、防噪、防机械伤害等必要防护措施，并严格按照规范安全操作；</w:t>
      </w:r>
    </w:p>
    <w:p w14:paraId="5D02F5A6">
      <w:pPr>
        <w:pStyle w:val="132"/>
      </w:pPr>
      <w:r>
        <w:rPr>
          <w:rFonts w:hint="eastAsia"/>
        </w:rPr>
        <w:t>发放必要的劳动工具和劳动防护用品；</w:t>
      </w:r>
    </w:p>
    <w:p w14:paraId="5596DB70">
      <w:pPr>
        <w:pStyle w:val="132"/>
      </w:pPr>
      <w:r>
        <w:rPr>
          <w:rFonts w:hint="eastAsia"/>
        </w:rPr>
        <w:t>劳动保护宜按照GBZ 1和GB/T 12801的有关规定执行，并结合作业特点采取有利于职业病防治和保护作业人员健康的措施。职工宜每年体检1次，并建立健康登记卡。</w:t>
      </w:r>
    </w:p>
    <w:p w14:paraId="176D3460">
      <w:pPr>
        <w:pStyle w:val="104"/>
        <w:spacing w:before="240" w:after="240"/>
      </w:pPr>
      <w:bookmarkStart w:id="106" w:name="_Toc218610037"/>
      <w:bookmarkStart w:id="107" w:name="_Toc218609412"/>
      <w:bookmarkStart w:id="108" w:name="_Toc218609732"/>
      <w:bookmarkStart w:id="109" w:name="_Toc218609748"/>
      <w:r>
        <w:rPr>
          <w:rFonts w:hint="eastAsia"/>
        </w:rPr>
        <w:t>应急处置</w:t>
      </w:r>
      <w:bookmarkEnd w:id="106"/>
      <w:bookmarkEnd w:id="107"/>
      <w:bookmarkEnd w:id="108"/>
      <w:bookmarkEnd w:id="109"/>
    </w:p>
    <w:p w14:paraId="537F14CD">
      <w:pPr>
        <w:pStyle w:val="162"/>
      </w:pPr>
      <w:r>
        <w:rPr>
          <w:rFonts w:hint="eastAsia"/>
        </w:rPr>
        <w:t>大件垃圾收集、运输、资源化利用单位宜建立并落实应急管理机制。</w:t>
      </w:r>
    </w:p>
    <w:p w14:paraId="4D4DD2B7">
      <w:pPr>
        <w:pStyle w:val="162"/>
      </w:pPr>
      <w:r>
        <w:rPr>
          <w:rFonts w:hint="eastAsia"/>
        </w:rPr>
        <w:t>大件垃圾运输和资源化利用单位宜定期开展应急演练。</w:t>
      </w:r>
    </w:p>
    <w:p w14:paraId="3D9992F1">
      <w:pPr>
        <w:pStyle w:val="162"/>
      </w:pPr>
      <w:r>
        <w:rPr>
          <w:rFonts w:hint="eastAsia"/>
        </w:rPr>
        <w:t>大件垃圾运输和资源化利用单位宜建立健全并落实应急物资储备保障制度。</w:t>
      </w:r>
    </w:p>
    <w:p w14:paraId="47A706EF">
      <w:pPr>
        <w:pStyle w:val="162"/>
      </w:pPr>
      <w:r>
        <w:rPr>
          <w:rFonts w:hint="eastAsia"/>
        </w:rPr>
        <w:t>大件垃圾资源化利用单</w:t>
      </w:r>
      <w:r>
        <w:rPr>
          <w:rFonts w:hint="eastAsia"/>
          <w:color w:val="000000" w:themeColor="text1"/>
          <w14:textFill>
            <w14:solidFill>
              <w14:schemeClr w14:val="tx1"/>
            </w14:solidFill>
          </w14:textFill>
        </w:rPr>
        <w:t>位宜建立健全作业场所重大事故隐患排查制度，加强运</w:t>
      </w:r>
      <w:r>
        <w:rPr>
          <w:rFonts w:hint="eastAsia"/>
        </w:rPr>
        <w:t>行过程中重大安全风险的控制，并确保设施事故预防和应急预案处于受控状态，对安全事故、环境事件处理进行跟踪记录。</w:t>
      </w:r>
    </w:p>
    <w:p w14:paraId="6DC1E16D">
      <w:pPr>
        <w:pStyle w:val="162"/>
      </w:pPr>
      <w:r>
        <w:rPr>
          <w:rFonts w:hint="eastAsia"/>
        </w:rPr>
        <w:t>遇突发事件时，大件垃圾收集、运输、资源化利用单位宜立即启动相关应急预案，做好先期处理和公共关系应对等。</w:t>
      </w:r>
    </w:p>
    <w:bookmarkEnd w:id="26"/>
    <w:p w14:paraId="41F2144C">
      <w:pPr>
        <w:pStyle w:val="56"/>
        <w:ind w:firstLine="420"/>
        <w:sectPr>
          <w:pgSz w:w="11906" w:h="16838"/>
          <w:pgMar w:top="1928" w:right="1134" w:bottom="1134" w:left="1134" w:header="1418" w:footer="1134" w:gutter="284"/>
          <w:pgNumType w:start="1"/>
          <w:cols w:space="425" w:num="1"/>
          <w:formProt w:val="0"/>
          <w:docGrid w:linePitch="312" w:charSpace="0"/>
        </w:sectPr>
      </w:pPr>
      <w:bookmarkStart w:id="110" w:name="BookMark6"/>
    </w:p>
    <w:p w14:paraId="7F0191A1">
      <w:pPr>
        <w:pStyle w:val="63"/>
        <w:spacing w:after="120"/>
      </w:pPr>
      <w:bookmarkStart w:id="111" w:name="_Toc218609749"/>
      <w:bookmarkStart w:id="112" w:name="_Toc218610038"/>
      <w:bookmarkStart w:id="113" w:name="_Toc218609738"/>
      <w:r>
        <w:rPr>
          <w:rFonts w:hint="eastAsia"/>
          <w:spacing w:val="105"/>
        </w:rPr>
        <w:t>参考文</w:t>
      </w:r>
      <w:r>
        <w:rPr>
          <w:rFonts w:hint="eastAsia"/>
        </w:rPr>
        <w:t>献</w:t>
      </w:r>
      <w:bookmarkEnd w:id="111"/>
      <w:bookmarkEnd w:id="112"/>
      <w:bookmarkEnd w:id="113"/>
    </w:p>
    <w:p w14:paraId="7A3CCE83">
      <w:pPr>
        <w:pStyle w:val="56"/>
        <w:ind w:firstLine="420"/>
        <w:rPr>
          <w:rFonts w:hint="eastAsia" w:ascii="宋体" w:hAnsi="宋体"/>
        </w:rPr>
      </w:pPr>
      <w:r>
        <w:rPr>
          <w:rFonts w:hint="eastAsia" w:ascii="宋体" w:hAnsi="宋体"/>
        </w:rPr>
        <w:t>[1] 广西壮族自治区固体废物污染环境防治条例（</w:t>
      </w:r>
      <w:r>
        <w:rPr>
          <w:rFonts w:hint="eastAsia" w:ascii="宋体" w:hAnsi="宋体" w:cs="宋体"/>
        </w:rPr>
        <w:t>2022</w:t>
      </w:r>
      <w:r>
        <w:rPr>
          <w:rFonts w:hint="eastAsia" w:ascii="宋体" w:hAnsi="宋体"/>
        </w:rPr>
        <w:t>年）</w:t>
      </w:r>
    </w:p>
    <w:p w14:paraId="09CB6FB4">
      <w:pPr>
        <w:pStyle w:val="56"/>
        <w:ind w:firstLine="420"/>
        <w:rPr>
          <w:rFonts w:hint="eastAsia" w:ascii="宋体" w:hAnsi="宋体"/>
        </w:rPr>
      </w:pPr>
      <w:r>
        <w:rPr>
          <w:rFonts w:hint="eastAsia" w:ascii="宋体" w:hAnsi="宋体"/>
        </w:rPr>
        <w:t>[2] 南宁市人民政府办公室  南府办函</w:t>
      </w:r>
      <w:r>
        <w:rPr>
          <w:rFonts w:hint="eastAsia" w:ascii="宋体" w:hAnsi="宋体" w:cs="宋体"/>
        </w:rPr>
        <w:t>〔2020〕89</w:t>
      </w:r>
      <w:r>
        <w:rPr>
          <w:rFonts w:hint="eastAsia" w:ascii="宋体" w:hAnsi="宋体"/>
        </w:rPr>
        <w:t>号  南宁市生活垃圾分类投放、收运操作规程（试行）</w:t>
      </w:r>
    </w:p>
    <w:p w14:paraId="3293284D">
      <w:pPr>
        <w:pStyle w:val="56"/>
        <w:ind w:firstLine="420"/>
        <w:rPr>
          <w:rFonts w:hint="eastAsia" w:ascii="宋体" w:hAnsi="宋体"/>
        </w:rPr>
      </w:pPr>
      <w:r>
        <w:rPr>
          <w:rFonts w:hint="eastAsia" w:ascii="宋体" w:hAnsi="宋体"/>
        </w:rPr>
        <w:t>[3] 南宁市生活垃圾分类管理条例</w:t>
      </w:r>
      <w:r>
        <w:rPr>
          <w:rFonts w:hint="eastAsia" w:ascii="宋体" w:hAnsi="宋体" w:cs="宋体"/>
        </w:rPr>
        <w:t>（2020</w:t>
      </w:r>
      <w:r>
        <w:rPr>
          <w:rFonts w:hint="eastAsia" w:ascii="宋体" w:hAnsi="宋体"/>
        </w:rPr>
        <w:t>年）</w:t>
      </w:r>
      <w:bookmarkStart w:id="115" w:name="_GoBack"/>
      <w:bookmarkEnd w:id="115"/>
    </w:p>
    <w:bookmarkEnd w:id="110"/>
    <w:p w14:paraId="4E22DD4B">
      <w:pPr>
        <w:pStyle w:val="56"/>
        <w:ind w:firstLine="0" w:firstLineChars="0"/>
        <w:jc w:val="center"/>
      </w:pPr>
      <w:bookmarkStart w:id="114" w:name="BookMark8"/>
      <w:r>
        <w:drawing>
          <wp:inline distT="0" distB="0" distL="0" distR="0">
            <wp:extent cx="1485900" cy="317500"/>
            <wp:effectExtent l="0" t="0" r="0" b="6350"/>
            <wp:docPr id="654984369" name="图片 3"/>
            <wp:cNvGraphicFramePr/>
            <a:graphic xmlns:a="http://schemas.openxmlformats.org/drawingml/2006/main">
              <a:graphicData uri="http://schemas.openxmlformats.org/drawingml/2006/picture">
                <pic:pic xmlns:pic="http://schemas.openxmlformats.org/drawingml/2006/picture">
                  <pic:nvPicPr>
                    <pic:cNvPr id="654984369"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4"/>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C643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C325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10DC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A1E2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6D60">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195F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E132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40E35">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46A19">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color w:val="auto"/>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70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7aqeOjF6nllg58rXJSGgYj2qa3VFozisVDu426oB0SGgMLMRlFoUkvMmGRHyq1dh+He4Ks9ZzNRjwkU9EG+WlQ==" w:salt="SBCKsL2qGMYAgb/7Mjc5O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9F1"/>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1783"/>
    <w:rsid w:val="000331D3"/>
    <w:rsid w:val="000346A5"/>
    <w:rsid w:val="000359C3"/>
    <w:rsid w:val="00035A7D"/>
    <w:rsid w:val="000365ED"/>
    <w:rsid w:val="0004249A"/>
    <w:rsid w:val="00043282"/>
    <w:rsid w:val="00044286"/>
    <w:rsid w:val="00047F28"/>
    <w:rsid w:val="000503AA"/>
    <w:rsid w:val="000506A1"/>
    <w:rsid w:val="00050D79"/>
    <w:rsid w:val="000515DD"/>
    <w:rsid w:val="00051877"/>
    <w:rsid w:val="0005265A"/>
    <w:rsid w:val="000539DD"/>
    <w:rsid w:val="00053BD3"/>
    <w:rsid w:val="00054501"/>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9F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A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51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D9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902"/>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18F0"/>
    <w:rsid w:val="001D212F"/>
    <w:rsid w:val="001D29D7"/>
    <w:rsid w:val="001D2DE7"/>
    <w:rsid w:val="001D411C"/>
    <w:rsid w:val="001D592D"/>
    <w:rsid w:val="001E1B6A"/>
    <w:rsid w:val="001E2484"/>
    <w:rsid w:val="001E3CC4"/>
    <w:rsid w:val="001E4882"/>
    <w:rsid w:val="001E73AB"/>
    <w:rsid w:val="001E78BE"/>
    <w:rsid w:val="001F092D"/>
    <w:rsid w:val="001F143A"/>
    <w:rsid w:val="001F1605"/>
    <w:rsid w:val="001F2508"/>
    <w:rsid w:val="001F4816"/>
    <w:rsid w:val="001F54F0"/>
    <w:rsid w:val="001F69B4"/>
    <w:rsid w:val="001F77C7"/>
    <w:rsid w:val="00200183"/>
    <w:rsid w:val="00200333"/>
    <w:rsid w:val="0020107D"/>
    <w:rsid w:val="00202AA4"/>
    <w:rsid w:val="002031F7"/>
    <w:rsid w:val="002040E6"/>
    <w:rsid w:val="0020527B"/>
    <w:rsid w:val="00205F2C"/>
    <w:rsid w:val="00210B15"/>
    <w:rsid w:val="002142EA"/>
    <w:rsid w:val="00215ADD"/>
    <w:rsid w:val="00216B96"/>
    <w:rsid w:val="002204BB"/>
    <w:rsid w:val="00220C86"/>
    <w:rsid w:val="00221B79"/>
    <w:rsid w:val="00221C6B"/>
    <w:rsid w:val="002253A1"/>
    <w:rsid w:val="00225CF8"/>
    <w:rsid w:val="0022794E"/>
    <w:rsid w:val="00233B16"/>
    <w:rsid w:val="00233D64"/>
    <w:rsid w:val="0023482A"/>
    <w:rsid w:val="002359CB"/>
    <w:rsid w:val="00241087"/>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7FE"/>
    <w:rsid w:val="002B1966"/>
    <w:rsid w:val="002B4508"/>
    <w:rsid w:val="002B5779"/>
    <w:rsid w:val="002B7332"/>
    <w:rsid w:val="002B7F51"/>
    <w:rsid w:val="002C09E7"/>
    <w:rsid w:val="002C19F8"/>
    <w:rsid w:val="002C1E06"/>
    <w:rsid w:val="002C3F07"/>
    <w:rsid w:val="002C4411"/>
    <w:rsid w:val="002C5278"/>
    <w:rsid w:val="002C7EBB"/>
    <w:rsid w:val="002D06C1"/>
    <w:rsid w:val="002D0A19"/>
    <w:rsid w:val="002D42B5"/>
    <w:rsid w:val="002D4F1A"/>
    <w:rsid w:val="002D6EC6"/>
    <w:rsid w:val="002D79AC"/>
    <w:rsid w:val="002E039D"/>
    <w:rsid w:val="002E11A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C12"/>
    <w:rsid w:val="003331E4"/>
    <w:rsid w:val="00336C64"/>
    <w:rsid w:val="00337162"/>
    <w:rsid w:val="00337C6B"/>
    <w:rsid w:val="0034194F"/>
    <w:rsid w:val="00344605"/>
    <w:rsid w:val="003446D6"/>
    <w:rsid w:val="003474AA"/>
    <w:rsid w:val="00350D1D"/>
    <w:rsid w:val="00352C83"/>
    <w:rsid w:val="00352F1A"/>
    <w:rsid w:val="00353097"/>
    <w:rsid w:val="0035395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8FE"/>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AE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1D7"/>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641"/>
    <w:rsid w:val="00463B77"/>
    <w:rsid w:val="00463C7B"/>
    <w:rsid w:val="004644A6"/>
    <w:rsid w:val="004659BD"/>
    <w:rsid w:val="00470775"/>
    <w:rsid w:val="004724BB"/>
    <w:rsid w:val="0047347E"/>
    <w:rsid w:val="0047370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636"/>
    <w:rsid w:val="004C7556"/>
    <w:rsid w:val="004C7E8B"/>
    <w:rsid w:val="004C7E9D"/>
    <w:rsid w:val="004C7F67"/>
    <w:rsid w:val="004D076D"/>
    <w:rsid w:val="004D0EF1"/>
    <w:rsid w:val="004D178C"/>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1E2"/>
    <w:rsid w:val="00573D9E"/>
    <w:rsid w:val="005801E3"/>
    <w:rsid w:val="00581802"/>
    <w:rsid w:val="00581C59"/>
    <w:rsid w:val="005836A8"/>
    <w:rsid w:val="0058409C"/>
    <w:rsid w:val="00584262"/>
    <w:rsid w:val="00586630"/>
    <w:rsid w:val="00587ADD"/>
    <w:rsid w:val="00593344"/>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76F"/>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3485"/>
    <w:rsid w:val="006252D8"/>
    <w:rsid w:val="006259BC"/>
    <w:rsid w:val="00625CE5"/>
    <w:rsid w:val="0062636B"/>
    <w:rsid w:val="00627FA4"/>
    <w:rsid w:val="00632182"/>
    <w:rsid w:val="00632AE0"/>
    <w:rsid w:val="00633C17"/>
    <w:rsid w:val="00634939"/>
    <w:rsid w:val="00634D9E"/>
    <w:rsid w:val="00636E3E"/>
    <w:rsid w:val="006379F7"/>
    <w:rsid w:val="00637E4D"/>
    <w:rsid w:val="00640620"/>
    <w:rsid w:val="00641A1F"/>
    <w:rsid w:val="00645904"/>
    <w:rsid w:val="00651ACB"/>
    <w:rsid w:val="00651C47"/>
    <w:rsid w:val="00652AB2"/>
    <w:rsid w:val="00653FED"/>
    <w:rsid w:val="00654370"/>
    <w:rsid w:val="00654EC0"/>
    <w:rsid w:val="0065525B"/>
    <w:rsid w:val="00655D4F"/>
    <w:rsid w:val="00656D29"/>
    <w:rsid w:val="0065789B"/>
    <w:rsid w:val="00663AFC"/>
    <w:rsid w:val="006640E5"/>
    <w:rsid w:val="006646F1"/>
    <w:rsid w:val="00664929"/>
    <w:rsid w:val="00664F62"/>
    <w:rsid w:val="006655E1"/>
    <w:rsid w:val="00672060"/>
    <w:rsid w:val="00672BFD"/>
    <w:rsid w:val="006770F4"/>
    <w:rsid w:val="00677A84"/>
    <w:rsid w:val="0068026D"/>
    <w:rsid w:val="00680A27"/>
    <w:rsid w:val="006816A4"/>
    <w:rsid w:val="006819B8"/>
    <w:rsid w:val="0068393E"/>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793"/>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2F9"/>
    <w:rsid w:val="00704387"/>
    <w:rsid w:val="00707669"/>
    <w:rsid w:val="00711CBA"/>
    <w:rsid w:val="00711FB5"/>
    <w:rsid w:val="00712A01"/>
    <w:rsid w:val="007143A0"/>
    <w:rsid w:val="00714F58"/>
    <w:rsid w:val="00717C7C"/>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EA7"/>
    <w:rsid w:val="00752B4D"/>
    <w:rsid w:val="00755402"/>
    <w:rsid w:val="00756B26"/>
    <w:rsid w:val="00756EDF"/>
    <w:rsid w:val="007600E3"/>
    <w:rsid w:val="007648C0"/>
    <w:rsid w:val="00765B4E"/>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FA0"/>
    <w:rsid w:val="007C6069"/>
    <w:rsid w:val="007D002C"/>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6DFC"/>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4B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B92"/>
    <w:rsid w:val="008B7E05"/>
    <w:rsid w:val="008C1797"/>
    <w:rsid w:val="008C219C"/>
    <w:rsid w:val="008C475E"/>
    <w:rsid w:val="008C619A"/>
    <w:rsid w:val="008D0CE8"/>
    <w:rsid w:val="008D2D1D"/>
    <w:rsid w:val="008D453D"/>
    <w:rsid w:val="008D53AD"/>
    <w:rsid w:val="008D562B"/>
    <w:rsid w:val="008D5733"/>
    <w:rsid w:val="008D622B"/>
    <w:rsid w:val="008D666C"/>
    <w:rsid w:val="008D67A9"/>
    <w:rsid w:val="008D7B54"/>
    <w:rsid w:val="008E05CE"/>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19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202D"/>
    <w:rsid w:val="0096381A"/>
    <w:rsid w:val="00965E04"/>
    <w:rsid w:val="009674AD"/>
    <w:rsid w:val="00970CDC"/>
    <w:rsid w:val="00975727"/>
    <w:rsid w:val="00977010"/>
    <w:rsid w:val="00977D02"/>
    <w:rsid w:val="00977FF9"/>
    <w:rsid w:val="009809BB"/>
    <w:rsid w:val="0098364B"/>
    <w:rsid w:val="00984DEA"/>
    <w:rsid w:val="009908A3"/>
    <w:rsid w:val="009911AF"/>
    <w:rsid w:val="00991875"/>
    <w:rsid w:val="00991F92"/>
    <w:rsid w:val="00992985"/>
    <w:rsid w:val="00993176"/>
    <w:rsid w:val="00993889"/>
    <w:rsid w:val="0099551B"/>
    <w:rsid w:val="00996BD2"/>
    <w:rsid w:val="00997BF1"/>
    <w:rsid w:val="009A089C"/>
    <w:rsid w:val="009A118E"/>
    <w:rsid w:val="009A11F9"/>
    <w:rsid w:val="009A21CD"/>
    <w:rsid w:val="009A278C"/>
    <w:rsid w:val="009A2BC2"/>
    <w:rsid w:val="009A42C1"/>
    <w:rsid w:val="009A5429"/>
    <w:rsid w:val="009A72AD"/>
    <w:rsid w:val="009B09E0"/>
    <w:rsid w:val="009B0BC5"/>
    <w:rsid w:val="009B1247"/>
    <w:rsid w:val="009B6029"/>
    <w:rsid w:val="009B6971"/>
    <w:rsid w:val="009C258B"/>
    <w:rsid w:val="009C27F1"/>
    <w:rsid w:val="009C3152"/>
    <w:rsid w:val="009C3257"/>
    <w:rsid w:val="009C4CFA"/>
    <w:rsid w:val="009C5070"/>
    <w:rsid w:val="009D112C"/>
    <w:rsid w:val="009D1385"/>
    <w:rsid w:val="009D430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80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500"/>
    <w:rsid w:val="00A55927"/>
    <w:rsid w:val="00A55BD6"/>
    <w:rsid w:val="00A55D50"/>
    <w:rsid w:val="00A57142"/>
    <w:rsid w:val="00A648CD"/>
    <w:rsid w:val="00A6537A"/>
    <w:rsid w:val="00A67866"/>
    <w:rsid w:val="00A70B07"/>
    <w:rsid w:val="00A723F8"/>
    <w:rsid w:val="00A75E7C"/>
    <w:rsid w:val="00A77CCB"/>
    <w:rsid w:val="00A83D8D"/>
    <w:rsid w:val="00A8446B"/>
    <w:rsid w:val="00A8473F"/>
    <w:rsid w:val="00A862D6"/>
    <w:rsid w:val="00A8715E"/>
    <w:rsid w:val="00A9295B"/>
    <w:rsid w:val="00A93B09"/>
    <w:rsid w:val="00A952D7"/>
    <w:rsid w:val="00A963F7"/>
    <w:rsid w:val="00A96AD8"/>
    <w:rsid w:val="00AA0033"/>
    <w:rsid w:val="00AA052C"/>
    <w:rsid w:val="00AA1E45"/>
    <w:rsid w:val="00AA4286"/>
    <w:rsid w:val="00AA456B"/>
    <w:rsid w:val="00AA57F5"/>
    <w:rsid w:val="00AA672E"/>
    <w:rsid w:val="00AA6EC9"/>
    <w:rsid w:val="00AB6309"/>
    <w:rsid w:val="00AB6C5F"/>
    <w:rsid w:val="00AB7129"/>
    <w:rsid w:val="00AC19DC"/>
    <w:rsid w:val="00AC27A6"/>
    <w:rsid w:val="00AC30F7"/>
    <w:rsid w:val="00AC3A5A"/>
    <w:rsid w:val="00AC4D95"/>
    <w:rsid w:val="00AC5DF4"/>
    <w:rsid w:val="00AD08E5"/>
    <w:rsid w:val="00AD0AEF"/>
    <w:rsid w:val="00AD11B7"/>
    <w:rsid w:val="00AD1A94"/>
    <w:rsid w:val="00AD1C05"/>
    <w:rsid w:val="00AD3286"/>
    <w:rsid w:val="00AD4126"/>
    <w:rsid w:val="00AD421C"/>
    <w:rsid w:val="00AD44FA"/>
    <w:rsid w:val="00AE070A"/>
    <w:rsid w:val="00AE101C"/>
    <w:rsid w:val="00AE2A69"/>
    <w:rsid w:val="00AE37E5"/>
    <w:rsid w:val="00AE5EB4"/>
    <w:rsid w:val="00AF0C18"/>
    <w:rsid w:val="00AF47C5"/>
    <w:rsid w:val="00AF5398"/>
    <w:rsid w:val="00AF57FB"/>
    <w:rsid w:val="00B03BE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73E"/>
    <w:rsid w:val="00B4346D"/>
    <w:rsid w:val="00B440F4"/>
    <w:rsid w:val="00B447A5"/>
    <w:rsid w:val="00B4654C"/>
    <w:rsid w:val="00B47293"/>
    <w:rsid w:val="00B50E50"/>
    <w:rsid w:val="00B51C49"/>
    <w:rsid w:val="00B52120"/>
    <w:rsid w:val="00B5493D"/>
    <w:rsid w:val="00B54ABC"/>
    <w:rsid w:val="00B56FBE"/>
    <w:rsid w:val="00B607F6"/>
    <w:rsid w:val="00B60ACF"/>
    <w:rsid w:val="00B62B58"/>
    <w:rsid w:val="00B65149"/>
    <w:rsid w:val="00B66567"/>
    <w:rsid w:val="00B66E5B"/>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EFB"/>
    <w:rsid w:val="00BC1A4E"/>
    <w:rsid w:val="00BC5DC7"/>
    <w:rsid w:val="00BC6B8B"/>
    <w:rsid w:val="00BC73D8"/>
    <w:rsid w:val="00BD52D7"/>
    <w:rsid w:val="00BD5AD2"/>
    <w:rsid w:val="00BD646A"/>
    <w:rsid w:val="00BE22F3"/>
    <w:rsid w:val="00BE249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005"/>
    <w:rsid w:val="00C71372"/>
    <w:rsid w:val="00C72410"/>
    <w:rsid w:val="00C7287F"/>
    <w:rsid w:val="00C72DEA"/>
    <w:rsid w:val="00C80CB8"/>
    <w:rsid w:val="00C819F8"/>
    <w:rsid w:val="00C8248C"/>
    <w:rsid w:val="00C84E33"/>
    <w:rsid w:val="00C86D6F"/>
    <w:rsid w:val="00C905FC"/>
    <w:rsid w:val="00C91EF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BD8"/>
    <w:rsid w:val="00CB517D"/>
    <w:rsid w:val="00CB726C"/>
    <w:rsid w:val="00CC038D"/>
    <w:rsid w:val="00CC08DB"/>
    <w:rsid w:val="00CC39FF"/>
    <w:rsid w:val="00CC3C2F"/>
    <w:rsid w:val="00CC4AC8"/>
    <w:rsid w:val="00CC5233"/>
    <w:rsid w:val="00CC5DE6"/>
    <w:rsid w:val="00CC6E4E"/>
    <w:rsid w:val="00CC6FE8"/>
    <w:rsid w:val="00CC7202"/>
    <w:rsid w:val="00CD11BD"/>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C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812"/>
    <w:rsid w:val="00DA1E08"/>
    <w:rsid w:val="00DA24F8"/>
    <w:rsid w:val="00DA28E8"/>
    <w:rsid w:val="00DA38D3"/>
    <w:rsid w:val="00DA3932"/>
    <w:rsid w:val="00DA3AFC"/>
    <w:rsid w:val="00DA64F8"/>
    <w:rsid w:val="00DA6C15"/>
    <w:rsid w:val="00DB0258"/>
    <w:rsid w:val="00DB286E"/>
    <w:rsid w:val="00DB33EA"/>
    <w:rsid w:val="00DB38EE"/>
    <w:rsid w:val="00DB498B"/>
    <w:rsid w:val="00DB66CA"/>
    <w:rsid w:val="00DB6BCA"/>
    <w:rsid w:val="00DB6F54"/>
    <w:rsid w:val="00DB73F7"/>
    <w:rsid w:val="00DC020B"/>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C2D"/>
    <w:rsid w:val="00E02DFB"/>
    <w:rsid w:val="00E030F9"/>
    <w:rsid w:val="00E0311A"/>
    <w:rsid w:val="00E03138"/>
    <w:rsid w:val="00E06404"/>
    <w:rsid w:val="00E071D4"/>
    <w:rsid w:val="00E11A85"/>
    <w:rsid w:val="00E12495"/>
    <w:rsid w:val="00E15CCD"/>
    <w:rsid w:val="00E202EF"/>
    <w:rsid w:val="00E210B5"/>
    <w:rsid w:val="00E218C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0D6"/>
    <w:rsid w:val="00E55624"/>
    <w:rsid w:val="00E56800"/>
    <w:rsid w:val="00E5681D"/>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C0C"/>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084"/>
    <w:rsid w:val="00ED75C2"/>
    <w:rsid w:val="00EE0350"/>
    <w:rsid w:val="00EE03EA"/>
    <w:rsid w:val="00EE0719"/>
    <w:rsid w:val="00EE0E80"/>
    <w:rsid w:val="00EE613F"/>
    <w:rsid w:val="00EE7295"/>
    <w:rsid w:val="00EE7869"/>
    <w:rsid w:val="00EF054A"/>
    <w:rsid w:val="00EF2548"/>
    <w:rsid w:val="00EF3235"/>
    <w:rsid w:val="00EF7076"/>
    <w:rsid w:val="00EF7E72"/>
    <w:rsid w:val="00F06D37"/>
    <w:rsid w:val="00F07B9D"/>
    <w:rsid w:val="00F11586"/>
    <w:rsid w:val="00F1183B"/>
    <w:rsid w:val="00F11C9F"/>
    <w:rsid w:val="00F12263"/>
    <w:rsid w:val="00F1409D"/>
    <w:rsid w:val="00F14214"/>
    <w:rsid w:val="00F157A9"/>
    <w:rsid w:val="00F15ED7"/>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97C"/>
    <w:rsid w:val="00FE1FBE"/>
    <w:rsid w:val="00FE3901"/>
    <w:rsid w:val="00FE39D3"/>
    <w:rsid w:val="00FE4BCE"/>
    <w:rsid w:val="00FE54AE"/>
    <w:rsid w:val="00FE576A"/>
    <w:rsid w:val="00FE632E"/>
    <w:rsid w:val="00FE7E79"/>
    <w:rsid w:val="00FF03D7"/>
    <w:rsid w:val="00FF3E7D"/>
    <w:rsid w:val="00FF5B99"/>
    <w:rsid w:val="00FF730C"/>
    <w:rsid w:val="00FF73F4"/>
    <w:rsid w:val="00FF7CE4"/>
    <w:rsid w:val="00FF7E39"/>
    <w:rsid w:val="03A00125"/>
    <w:rsid w:val="06C24E9F"/>
    <w:rsid w:val="08B57453"/>
    <w:rsid w:val="0C290057"/>
    <w:rsid w:val="0DF75261"/>
    <w:rsid w:val="0F3D6BE3"/>
    <w:rsid w:val="10C53AD6"/>
    <w:rsid w:val="127F150C"/>
    <w:rsid w:val="17BB6387"/>
    <w:rsid w:val="1AD17541"/>
    <w:rsid w:val="1C7E45DE"/>
    <w:rsid w:val="1FA272F0"/>
    <w:rsid w:val="201553A4"/>
    <w:rsid w:val="236C6B2F"/>
    <w:rsid w:val="2AFB754E"/>
    <w:rsid w:val="2BF122DB"/>
    <w:rsid w:val="2C783A80"/>
    <w:rsid w:val="33632873"/>
    <w:rsid w:val="33A81721"/>
    <w:rsid w:val="36336F67"/>
    <w:rsid w:val="37BD32F9"/>
    <w:rsid w:val="3C9B29F6"/>
    <w:rsid w:val="3E0A3EC6"/>
    <w:rsid w:val="40912613"/>
    <w:rsid w:val="40F26A45"/>
    <w:rsid w:val="450B0B6D"/>
    <w:rsid w:val="4C605171"/>
    <w:rsid w:val="4D067C3B"/>
    <w:rsid w:val="541E756C"/>
    <w:rsid w:val="574F045C"/>
    <w:rsid w:val="5BD30E5A"/>
    <w:rsid w:val="5D4A130C"/>
    <w:rsid w:val="603D4413"/>
    <w:rsid w:val="67543C17"/>
    <w:rsid w:val="67DF7076"/>
    <w:rsid w:val="68144385"/>
    <w:rsid w:val="6ABA1153"/>
    <w:rsid w:val="6B3E24AA"/>
    <w:rsid w:val="6C711CE5"/>
    <w:rsid w:val="6E9F5D67"/>
    <w:rsid w:val="7158007C"/>
    <w:rsid w:val="72A221EF"/>
    <w:rsid w:val="75193FF7"/>
    <w:rsid w:val="76B1231E"/>
    <w:rsid w:val="7F68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1EC15EBE6C452DA4233D70D52A63D4"/>
        <w:style w:val=""/>
        <w:category>
          <w:name w:val="常规"/>
          <w:gallery w:val="placeholder"/>
        </w:category>
        <w:types>
          <w:type w:val="bbPlcHdr"/>
        </w:types>
        <w:behaviors>
          <w:behavior w:val="content"/>
        </w:behaviors>
        <w:description w:val=""/>
        <w:guid w:val="{C34837DD-C746-4FEA-9CBD-F20D434FEB91}"/>
      </w:docPartPr>
      <w:docPartBody>
        <w:p w14:paraId="72F03AB8">
          <w:pPr>
            <w:pStyle w:val="5"/>
            <w:rPr>
              <w:rFonts w:hint="eastAsia"/>
            </w:rPr>
          </w:pPr>
          <w:r>
            <w:rPr>
              <w:rStyle w:val="4"/>
              <w:rFonts w:hint="eastAsia"/>
            </w:rPr>
            <w:t>单击或点击此处输入文字。</w:t>
          </w:r>
        </w:p>
      </w:docPartBody>
    </w:docPart>
    <w:docPart>
      <w:docPartPr>
        <w:name w:val="ADB82BAFCA4C41A58C7B067220CA13B8"/>
        <w:style w:val=""/>
        <w:category>
          <w:name w:val="常规"/>
          <w:gallery w:val="placeholder"/>
        </w:category>
        <w:types>
          <w:type w:val="bbPlcHdr"/>
        </w:types>
        <w:behaviors>
          <w:behavior w:val="content"/>
        </w:behaviors>
        <w:description w:val=""/>
        <w:guid w:val="{690296FA-1BBD-491F-B1D3-5743AA3EA169}"/>
      </w:docPartPr>
      <w:docPartBody>
        <w:p w14:paraId="780F08DC">
          <w:pPr>
            <w:pStyle w:val="6"/>
            <w:rPr>
              <w:rFonts w:hint="eastAsia"/>
            </w:rPr>
          </w:pPr>
          <w:r>
            <w:rPr>
              <w:rStyle w:val="4"/>
              <w:rFonts w:hint="eastAsia"/>
            </w:rPr>
            <w:t>选择一项。</w:t>
          </w:r>
        </w:p>
      </w:docPartBody>
    </w:docPart>
    <w:docPart>
      <w:docPartPr>
        <w:name w:val="7BE512F8E51E43329F7E54A0E1C3CA12"/>
        <w:style w:val=""/>
        <w:category>
          <w:name w:val="常规"/>
          <w:gallery w:val="placeholder"/>
        </w:category>
        <w:types>
          <w:type w:val="bbPlcHdr"/>
        </w:types>
        <w:behaviors>
          <w:behavior w:val="content"/>
        </w:behaviors>
        <w:description w:val=""/>
        <w:guid w:val="{8E043474-0285-4B43-9256-7F3FCBBB3E32}"/>
      </w:docPartPr>
      <w:docPartBody>
        <w:p w14:paraId="5F6250AB">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96E"/>
    <w:rsid w:val="00031783"/>
    <w:rsid w:val="000766E3"/>
    <w:rsid w:val="000C7185"/>
    <w:rsid w:val="000D6943"/>
    <w:rsid w:val="001D592D"/>
    <w:rsid w:val="00241087"/>
    <w:rsid w:val="00353097"/>
    <w:rsid w:val="003E61D7"/>
    <w:rsid w:val="00445BE7"/>
    <w:rsid w:val="004A2977"/>
    <w:rsid w:val="005731E2"/>
    <w:rsid w:val="005F0CD8"/>
    <w:rsid w:val="00623485"/>
    <w:rsid w:val="006D771C"/>
    <w:rsid w:val="0078702A"/>
    <w:rsid w:val="007C25D7"/>
    <w:rsid w:val="00826DFC"/>
    <w:rsid w:val="008855A1"/>
    <w:rsid w:val="008938FF"/>
    <w:rsid w:val="008B6B92"/>
    <w:rsid w:val="0099096E"/>
    <w:rsid w:val="009C690C"/>
    <w:rsid w:val="009D430D"/>
    <w:rsid w:val="00AA05AC"/>
    <w:rsid w:val="00AD08E5"/>
    <w:rsid w:val="00B130D5"/>
    <w:rsid w:val="00B933AB"/>
    <w:rsid w:val="00BF122E"/>
    <w:rsid w:val="00CB4BD8"/>
    <w:rsid w:val="00D22ADA"/>
    <w:rsid w:val="00D70B47"/>
    <w:rsid w:val="00DA641C"/>
    <w:rsid w:val="00EE03EA"/>
    <w:rsid w:val="00F06F68"/>
    <w:rsid w:val="00F10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D1EC15EBE6C452DA4233D70D52A63D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DB82BAFCA4C41A58C7B067220CA13B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BE512F8E51E43329F7E54A0E1C3CA1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admin</Company>
  <Pages>9</Pages>
  <Words>4094</Words>
  <Characters>4562</Characters>
  <Lines>158</Lines>
  <Paragraphs>210</Paragraphs>
  <TotalTime>77</TotalTime>
  <ScaleCrop>false</ScaleCrop>
  <LinksUpToDate>false</LinksUpToDate>
  <CharactersWithSpaces>4720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2026-01-06T07:32:00Z</dcterms:created>
  <dc:creator>admin</dc:creator>
  <cp:lastModifiedBy>WPS_1620876520</cp:lastModifiedBy>
  <cp:lastPrinted>2021-02-02T08:22:00Z</cp:lastPrinted>
  <dcterms:modified xsi:type="dcterms:W3CDTF">2026-04-23T03:14:53Z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eyJoZGlkIjoiZDhlNjM1ZGE2MDUwMGI2OTM2ZTEzNTY0ZjFmYmUwOTQiLCJ1c2VySWQiOiIxMjA1NTAwMjc5In0=</vt:lpwstr>
  </property>
  <property fmtid="{D5CDD505-2E9C-101B-9397-08002B2CF9AE}" pid="15" name="KSOProductBuildVer">
    <vt:lpwstr>2052-12.1.0.25865</vt:lpwstr>
  </property>
  <property fmtid="{D5CDD505-2E9C-101B-9397-08002B2CF9AE}" pid="16" name="ICV">
    <vt:lpwstr>F38FE36F50B24B34B1610ED8A591706F_12</vt:lpwstr>
  </property>
</Properties>
</file>