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after="313" w:afterLines="100" w:line="600" w:lineRule="exact"/>
        <w:jc w:val="center"/>
        <w:textAlignment w:val="auto"/>
        <w:rPr>
          <w:rFonts w:ascii="方正小标宋简体" w:hAnsi="黑体" w:eastAsia="方正小标宋简体" w:cs="黑体"/>
          <w:color w:val="000000"/>
          <w:sz w:val="44"/>
          <w:szCs w:val="44"/>
        </w:rPr>
      </w:pPr>
      <w:bookmarkStart w:id="0" w:name="_Hlk132269986"/>
      <w:bookmarkEnd w:id="0"/>
      <w:r>
        <w:rPr>
          <w:rFonts w:hint="eastAsia" w:ascii="方正小标宋简体" w:hAnsi="黑体" w:eastAsia="方正小标宋简体" w:cs="黑体"/>
          <w:color w:val="000000"/>
          <w:sz w:val="44"/>
          <w:szCs w:val="44"/>
        </w:rPr>
        <w:t>团体标准《铁路运行气象服务规范》</w:t>
      </w:r>
    </w:p>
    <w:p>
      <w:pPr>
        <w:keepNext w:val="0"/>
        <w:keepLines w:val="0"/>
        <w:pageBreakBefore w:val="0"/>
        <w:widowControl w:val="0"/>
        <w:kinsoku/>
        <w:wordWrap/>
        <w:overflowPunct/>
        <w:topLinePunct w:val="0"/>
        <w:autoSpaceDE/>
        <w:autoSpaceDN/>
        <w:bidi w:val="0"/>
        <w:adjustRightInd/>
        <w:snapToGrid/>
        <w:spacing w:after="313" w:afterLines="100" w:line="600" w:lineRule="exact"/>
        <w:jc w:val="center"/>
        <w:textAlignment w:val="auto"/>
        <w:rPr>
          <w:rFonts w:ascii="方正小标宋简体" w:hAnsi="黑体" w:eastAsia="方正小标宋简体" w:cs="黑体"/>
          <w:color w:val="000000"/>
          <w:sz w:val="44"/>
          <w:szCs w:val="44"/>
        </w:rPr>
      </w:pPr>
      <w:r>
        <w:rPr>
          <w:rFonts w:hint="eastAsia" w:ascii="方正小标宋简体" w:hAnsi="黑体" w:eastAsia="方正小标宋简体" w:cs="黑体"/>
          <w:color w:val="000000"/>
          <w:sz w:val="44"/>
          <w:szCs w:val="44"/>
        </w:rPr>
        <w:t>（</w:t>
      </w:r>
      <w:r>
        <w:rPr>
          <w:rFonts w:hint="eastAsia" w:ascii="方正小标宋简体" w:hAnsi="黑体" w:eastAsia="方正小标宋简体" w:cs="黑体"/>
          <w:color w:val="000000"/>
          <w:sz w:val="44"/>
          <w:szCs w:val="44"/>
          <w:lang w:val="en-US" w:eastAsia="zh-CN"/>
        </w:rPr>
        <w:t>征求意见</w:t>
      </w:r>
      <w:r>
        <w:rPr>
          <w:rFonts w:hint="eastAsia" w:ascii="方正小标宋简体" w:hAnsi="黑体" w:eastAsia="方正小标宋简体" w:cs="黑体"/>
          <w:color w:val="000000"/>
          <w:sz w:val="44"/>
          <w:szCs w:val="44"/>
        </w:rPr>
        <w:t>稿）编制说明</w:t>
      </w:r>
    </w:p>
    <w:p>
      <w:pPr>
        <w:tabs>
          <w:tab w:val="left" w:pos="3828"/>
        </w:tabs>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一、项目来源</w:t>
      </w:r>
    </w:p>
    <w:p>
      <w:pPr>
        <w:keepNext w:val="0"/>
        <w:keepLines w:val="0"/>
        <w:pageBreakBefore w:val="0"/>
        <w:widowControl w:val="0"/>
        <w:kinsoku/>
        <w:wordWrap/>
        <w:overflowPunct/>
        <w:topLinePunct w:val="0"/>
        <w:autoSpaceDE/>
        <w:autoSpaceDN/>
        <w:bidi w:val="0"/>
        <w:adjustRightInd/>
        <w:snapToGrid/>
        <w:spacing w:after="313" w:afterLines="100" w:line="560" w:lineRule="exact"/>
        <w:ind w:firstLine="640" w:firstLineChars="200"/>
        <w:textAlignment w:val="auto"/>
        <w:rPr>
          <w:rFonts w:hint="eastAsia" w:ascii="仿宋_GB2312" w:hAnsi="仿宋" w:eastAsia="仿宋_GB2312"/>
          <w:sz w:val="32"/>
          <w:szCs w:val="32"/>
          <w:lang w:eastAsia="zh-CN"/>
        </w:rPr>
      </w:pPr>
      <w:r>
        <w:rPr>
          <w:rFonts w:hint="eastAsia" w:ascii="仿宋_GB2312" w:hAnsi="Calibri" w:eastAsia="仿宋_GB2312"/>
          <w:sz w:val="32"/>
          <w:szCs w:val="32"/>
        </w:rPr>
        <w:t>根据《广西标准化协会关于下达202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年第</w:t>
      </w:r>
      <w:r>
        <w:rPr>
          <w:rFonts w:hint="eastAsia" w:ascii="仿宋_GB2312" w:hAnsi="Calibri" w:eastAsia="仿宋_GB2312"/>
          <w:sz w:val="32"/>
          <w:szCs w:val="32"/>
          <w:lang w:val="en-US" w:eastAsia="zh-CN"/>
        </w:rPr>
        <w:t>四</w:t>
      </w:r>
      <w:r>
        <w:rPr>
          <w:rFonts w:hint="eastAsia" w:ascii="仿宋_GB2312" w:hAnsi="Calibri" w:eastAsia="仿宋_GB2312"/>
          <w:sz w:val="32"/>
          <w:szCs w:val="32"/>
        </w:rPr>
        <w:t>批</w:t>
      </w:r>
      <w:r>
        <w:rPr>
          <w:rFonts w:hint="eastAsia" w:ascii="仿宋_GB2312" w:hAnsi="Calibri" w:eastAsia="仿宋_GB2312"/>
          <w:sz w:val="32"/>
          <w:szCs w:val="32"/>
          <w:lang w:val="en-US" w:eastAsia="zh-CN"/>
        </w:rPr>
        <w:t>原创性高质量</w:t>
      </w:r>
      <w:r>
        <w:rPr>
          <w:rFonts w:hint="eastAsia" w:ascii="仿宋_GB2312" w:hAnsi="Calibri" w:eastAsia="仿宋_GB2312"/>
          <w:sz w:val="32"/>
          <w:szCs w:val="32"/>
        </w:rPr>
        <w:t>团体标准制修订项目计划的通知》（桂标协〔202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w:t>
      </w:r>
      <w:r>
        <w:rPr>
          <w:rFonts w:hint="eastAsia" w:ascii="仿宋_GB2312" w:hAnsi="Calibri" w:eastAsia="仿宋_GB2312"/>
          <w:sz w:val="32"/>
          <w:szCs w:val="32"/>
          <w:lang w:val="en-US" w:eastAsia="zh-CN"/>
        </w:rPr>
        <w:t>52</w:t>
      </w:r>
      <w:r>
        <w:rPr>
          <w:rFonts w:hint="eastAsia" w:ascii="仿宋_GB2312" w:hAnsi="Calibri" w:eastAsia="仿宋_GB2312"/>
          <w:sz w:val="32"/>
          <w:szCs w:val="32"/>
        </w:rPr>
        <w:t>号），由</w:t>
      </w:r>
      <w:r>
        <w:rPr>
          <w:rFonts w:hint="eastAsia" w:ascii="仿宋_GB2312" w:hAnsi="Calibri" w:eastAsia="仿宋_GB2312"/>
          <w:sz w:val="32"/>
          <w:szCs w:val="32"/>
          <w:lang w:val="en-US" w:eastAsia="zh-CN"/>
        </w:rPr>
        <w:t>广西壮族自治区防雷中心</w:t>
      </w:r>
      <w:r>
        <w:rPr>
          <w:rFonts w:hint="eastAsia" w:ascii="仿宋_GB2312" w:hAnsi="Calibri" w:eastAsia="仿宋_GB2312"/>
          <w:sz w:val="32"/>
          <w:szCs w:val="32"/>
        </w:rPr>
        <w:t>提出，中国铁路南宁局集团有限公司防洪指挥部办公室、中国气象局武汉暴雨研究所、广西华茂气象科技有限公司等单位共同起草的团体标准《</w:t>
      </w:r>
      <w:r>
        <w:rPr>
          <w:rFonts w:hint="eastAsia" w:ascii="仿宋_GB2312" w:hAnsi="Calibri" w:eastAsia="仿宋_GB2312"/>
          <w:sz w:val="32"/>
          <w:szCs w:val="32"/>
          <w:lang w:eastAsia="zh-CN"/>
        </w:rPr>
        <w:t>铁路运行气象服务规范</w:t>
      </w:r>
      <w:r>
        <w:rPr>
          <w:rFonts w:hint="eastAsia" w:ascii="仿宋_GB2312" w:hAnsi="Calibri" w:eastAsia="仿宋_GB2312"/>
          <w:sz w:val="32"/>
          <w:szCs w:val="32"/>
        </w:rPr>
        <w:t>》（项目编号202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w:t>
      </w:r>
      <w:r>
        <w:rPr>
          <w:rFonts w:hint="eastAsia" w:ascii="仿宋_GB2312" w:hAnsi="Calibri" w:eastAsia="仿宋_GB2312"/>
          <w:sz w:val="32"/>
          <w:szCs w:val="32"/>
          <w:lang w:val="en-US" w:eastAsia="zh-CN"/>
        </w:rPr>
        <w:t>0417</w:t>
      </w:r>
      <w:r>
        <w:rPr>
          <w:rFonts w:hint="eastAsia" w:ascii="仿宋_GB2312" w:hAnsi="Calibri" w:eastAsia="仿宋_GB2312"/>
          <w:sz w:val="32"/>
          <w:szCs w:val="32"/>
        </w:rPr>
        <w:t>）</w:t>
      </w:r>
      <w:r>
        <w:rPr>
          <w:rFonts w:hint="eastAsia" w:ascii="仿宋_GB2312" w:hAnsi="仿宋" w:eastAsia="仿宋_GB2312"/>
          <w:sz w:val="32"/>
          <w:szCs w:val="32"/>
        </w:rPr>
        <w:t>已获批立项。主要起草人姓名及分工情况如下：</w:t>
      </w:r>
    </w:p>
    <w:tbl>
      <w:tblPr>
        <w:tblStyle w:val="12"/>
        <w:tblW w:w="4998" w:type="pct"/>
        <w:tblInd w:w="0" w:type="dxa"/>
        <w:tblLayout w:type="fixed"/>
        <w:tblCellMar>
          <w:top w:w="0" w:type="dxa"/>
          <w:left w:w="108" w:type="dxa"/>
          <w:bottom w:w="0" w:type="dxa"/>
          <w:right w:w="108" w:type="dxa"/>
        </w:tblCellMar>
      </w:tblPr>
      <w:tblGrid>
        <w:gridCol w:w="414"/>
        <w:gridCol w:w="967"/>
        <w:gridCol w:w="850"/>
        <w:gridCol w:w="1184"/>
        <w:gridCol w:w="1783"/>
        <w:gridCol w:w="3321"/>
      </w:tblGrid>
      <w:tr>
        <w:tblPrEx>
          <w:tblCellMar>
            <w:top w:w="0" w:type="dxa"/>
            <w:left w:w="108" w:type="dxa"/>
            <w:bottom w:w="0" w:type="dxa"/>
            <w:right w:w="108" w:type="dxa"/>
          </w:tblCellMar>
        </w:tblPrEx>
        <w:trPr>
          <w:cantSplit/>
          <w:trHeight w:val="576" w:hRule="atLeast"/>
        </w:trPr>
        <w:tc>
          <w:tcPr>
            <w:tcW w:w="242"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bCs/>
                <w:szCs w:val="21"/>
              </w:rPr>
            </w:pPr>
            <w:r>
              <w:rPr>
                <w:rFonts w:hint="eastAsia" w:ascii="宋体" w:hAnsi="宋体" w:cs="宋体"/>
                <w:b/>
                <w:bCs/>
                <w:szCs w:val="21"/>
              </w:rPr>
              <w:t>序号</w:t>
            </w:r>
          </w:p>
        </w:tc>
        <w:tc>
          <w:tcPr>
            <w:tcW w:w="567"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bCs/>
                <w:szCs w:val="21"/>
              </w:rPr>
            </w:pPr>
            <w:r>
              <w:rPr>
                <w:rFonts w:hint="eastAsia" w:ascii="宋体" w:hAnsi="宋体" w:cs="宋体"/>
                <w:b/>
                <w:bCs/>
                <w:szCs w:val="21"/>
              </w:rPr>
              <w:t>姓  名</w:t>
            </w:r>
          </w:p>
        </w:tc>
        <w:tc>
          <w:tcPr>
            <w:tcW w:w="498"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bCs/>
                <w:szCs w:val="21"/>
              </w:rPr>
            </w:pPr>
            <w:r>
              <w:rPr>
                <w:rFonts w:hint="eastAsia" w:ascii="宋体" w:hAnsi="宋体" w:cs="宋体"/>
                <w:b/>
                <w:bCs/>
                <w:szCs w:val="21"/>
              </w:rPr>
              <w:t>职务/职称</w:t>
            </w:r>
          </w:p>
        </w:tc>
        <w:tc>
          <w:tcPr>
            <w:tcW w:w="694" w:type="pct"/>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eastAsia="宋体"/>
                <w:bCs/>
                <w:szCs w:val="21"/>
                <w:lang w:eastAsia="zh-CN"/>
              </w:rPr>
            </w:pPr>
            <w:r>
              <w:rPr>
                <w:rFonts w:hint="eastAsia" w:ascii="宋体" w:hAnsi="宋体" w:cs="宋体"/>
                <w:b/>
                <w:szCs w:val="21"/>
                <w:lang w:eastAsia="zh-CN"/>
              </w:rPr>
              <w:t>专业</w:t>
            </w:r>
          </w:p>
        </w:tc>
        <w:tc>
          <w:tcPr>
            <w:tcW w:w="1046" w:type="pct"/>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cs="宋体"/>
                <w:b/>
                <w:szCs w:val="21"/>
              </w:rPr>
            </w:pPr>
            <w:r>
              <w:rPr>
                <w:rFonts w:hint="eastAsia" w:ascii="宋体" w:hAnsi="宋体" w:cs="宋体"/>
                <w:b/>
                <w:szCs w:val="21"/>
              </w:rPr>
              <w:t>单位</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bCs/>
                <w:szCs w:val="21"/>
              </w:rPr>
            </w:pPr>
            <w:r>
              <w:rPr>
                <w:rFonts w:hint="eastAsia" w:ascii="宋体" w:hAnsi="宋体" w:cs="宋体"/>
                <w:b/>
                <w:bCs/>
                <w:szCs w:val="21"/>
              </w:rPr>
              <w:t>参与编制标准分工情况</w:t>
            </w:r>
          </w:p>
        </w:tc>
      </w:tr>
      <w:tr>
        <w:tblPrEx>
          <w:tblCellMar>
            <w:top w:w="0" w:type="dxa"/>
            <w:left w:w="108" w:type="dxa"/>
            <w:bottom w:w="0" w:type="dxa"/>
            <w:right w:w="108" w:type="dxa"/>
          </w:tblCellMar>
        </w:tblPrEx>
        <w:trPr>
          <w:cantSplit/>
          <w:trHeight w:val="470"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罗红磊</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应用气象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广西壮族自治区防雷中心</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ascii="宋体" w:hAnsi="宋体"/>
                <w:szCs w:val="21"/>
              </w:rPr>
            </w:pPr>
            <w:r>
              <w:rPr>
                <w:rFonts w:hint="eastAsia" w:ascii="宋体" w:hAnsi="宋体"/>
                <w:szCs w:val="21"/>
                <w:lang w:val="en-US" w:eastAsia="zh-CN"/>
              </w:rPr>
              <w:t>统筹</w:t>
            </w:r>
            <w:r>
              <w:rPr>
                <w:rFonts w:hint="eastAsia" w:ascii="宋体" w:hAnsi="宋体"/>
                <w:szCs w:val="21"/>
              </w:rPr>
              <w:t>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、送审稿，以及</w:t>
            </w:r>
            <w:r>
              <w:rPr>
                <w:rFonts w:hint="eastAsia" w:ascii="宋体" w:hAnsi="宋体"/>
                <w:szCs w:val="21"/>
              </w:rPr>
              <w:t>编制说明</w:t>
            </w:r>
            <w:r>
              <w:rPr>
                <w:rFonts w:hint="eastAsia" w:ascii="宋体" w:hAnsi="宋体"/>
                <w:szCs w:val="21"/>
                <w:lang w:eastAsia="zh-CN"/>
              </w:rPr>
              <w:t>的编写</w:t>
            </w:r>
            <w:r>
              <w:rPr>
                <w:rFonts w:hint="eastAsia" w:ascii="宋体" w:hAnsi="宋体"/>
                <w:szCs w:val="21"/>
              </w:rPr>
              <w:t>工作</w:t>
            </w:r>
          </w:p>
        </w:tc>
      </w:tr>
      <w:tr>
        <w:tblPrEx>
          <w:tblCellMar>
            <w:top w:w="0" w:type="dxa"/>
            <w:left w:w="108" w:type="dxa"/>
            <w:bottom w:w="0" w:type="dxa"/>
            <w:right w:w="108" w:type="dxa"/>
          </w:tblCellMar>
        </w:tblPrEx>
        <w:trPr>
          <w:cantSplit/>
          <w:trHeight w:val="470"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郭晓薇</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专业气象预报</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广西壮族自治区防雷中心</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ascii="宋体" w:hAnsi="宋体"/>
                <w:szCs w:val="21"/>
              </w:rPr>
            </w:pPr>
            <w:r>
              <w:rPr>
                <w:rFonts w:hint="eastAsia" w:ascii="宋体" w:hAnsi="宋体"/>
                <w:szCs w:val="21"/>
                <w:lang w:val="en-US" w:eastAsia="zh-CN"/>
              </w:rPr>
              <w:t>协助标准</w:t>
            </w:r>
            <w:r>
              <w:rPr>
                <w:rFonts w:hint="eastAsia" w:ascii="宋体" w:hAnsi="宋体"/>
                <w:szCs w:val="21"/>
              </w:rPr>
              <w:t>编制工作，组织人员进行规范发布后的宣贯培训</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曾鹏</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正高级工程师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专业气象预报</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广西壮族自治区防雷中心</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指导</w:t>
            </w:r>
            <w:r>
              <w:rPr>
                <w:rFonts w:hint="eastAsia" w:ascii="宋体" w:hAnsi="宋体"/>
                <w:szCs w:val="21"/>
                <w:lang w:val="en-US" w:eastAsia="zh-CN"/>
              </w:rPr>
              <w:t>标准</w:t>
            </w:r>
            <w:r>
              <w:rPr>
                <w:rFonts w:hint="eastAsia" w:ascii="宋体" w:hAnsi="宋体"/>
                <w:szCs w:val="21"/>
              </w:rPr>
              <w:t>文本及编制说明编写，质量控制</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周悦</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研究员</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应用气象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top"/>
          </w:tcPr>
          <w:p>
            <w:pPr>
              <w:rPr>
                <w:rFonts w:ascii="宋体" w:hAnsi="宋体"/>
                <w:szCs w:val="21"/>
              </w:rPr>
            </w:pPr>
            <w:r>
              <w:rPr>
                <w:rFonts w:hint="eastAsia" w:ascii="宋体" w:hAnsi="宋体"/>
                <w:szCs w:val="21"/>
              </w:rPr>
              <w:t>负责起草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编制说明，送审稿及编制说明的编写工作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黄琰</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防洪防灾管理</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中国铁路南宁局集团有限公司防洪指挥部办公室</w:t>
            </w:r>
          </w:p>
        </w:tc>
        <w:tc>
          <w:tcPr>
            <w:tcW w:w="1949" w:type="pct"/>
            <w:tcBorders>
              <w:top w:val="single" w:color="auto" w:sz="4" w:space="0"/>
              <w:left w:val="single" w:color="auto" w:sz="4" w:space="0"/>
              <w:bottom w:val="single" w:color="auto" w:sz="4" w:space="0"/>
              <w:right w:val="single" w:color="auto" w:sz="4" w:space="0"/>
            </w:tcBorders>
            <w:vAlign w:val="top"/>
          </w:tcPr>
          <w:p>
            <w:pPr>
              <w:rPr>
                <w:rFonts w:ascii="宋体" w:hAnsi="宋体"/>
                <w:szCs w:val="21"/>
              </w:rPr>
            </w:pPr>
            <w:r>
              <w:rPr>
                <w:rFonts w:hint="eastAsia" w:ascii="宋体" w:hAnsi="宋体"/>
                <w:szCs w:val="21"/>
              </w:rPr>
              <w:t>负责起草</w:t>
            </w:r>
            <w:r>
              <w:rPr>
                <w:rFonts w:hint="eastAsia" w:ascii="宋体" w:hAnsi="宋体"/>
                <w:szCs w:val="21"/>
                <w:lang w:val="en-US" w:eastAsia="zh-CN"/>
              </w:rPr>
              <w:t>标准</w:t>
            </w:r>
            <w:r>
              <w:rPr>
                <w:rFonts w:hint="eastAsia" w:ascii="宋体" w:hAnsi="宋体"/>
                <w:szCs w:val="21"/>
              </w:rPr>
              <w:t>草案，征求意见稿和</w:t>
            </w:r>
            <w:r>
              <w:rPr>
                <w:rFonts w:hint="eastAsia" w:ascii="宋体" w:hAnsi="宋体"/>
                <w:szCs w:val="21"/>
                <w:lang w:val="en-US" w:eastAsia="zh-CN"/>
              </w:rPr>
              <w:t>标准</w:t>
            </w:r>
            <w:r>
              <w:rPr>
                <w:rFonts w:hint="eastAsia" w:ascii="宋体" w:hAnsi="宋体"/>
                <w:szCs w:val="21"/>
              </w:rPr>
              <w:t>编制说明，送审稿及编制说明的编写工作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伍丽泉</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气候应用与研究</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广西壮族自治区防雷中心</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、征求意见</w:t>
            </w:r>
            <w:r>
              <w:rPr>
                <w:rFonts w:hint="eastAsia" w:ascii="宋体" w:hAnsi="宋体"/>
                <w:szCs w:val="21"/>
              </w:rPr>
              <w:t>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1514"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叶丽梅</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应用气象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ascii="宋体" w:hAnsi="宋体"/>
                <w:szCs w:val="21"/>
              </w:rPr>
            </w:pPr>
            <w:r>
              <w:rPr>
                <w:rFonts w:hint="eastAsia" w:ascii="宋体" w:hAnsi="宋体"/>
                <w:szCs w:val="21"/>
              </w:rPr>
              <w:t>对</w:t>
            </w:r>
            <w:r>
              <w:rPr>
                <w:rFonts w:hint="eastAsia" w:ascii="宋体" w:hAnsi="宋体"/>
                <w:szCs w:val="21"/>
                <w:lang w:val="en-US" w:eastAsia="zh-CN"/>
              </w:rPr>
              <w:t>标准</w:t>
            </w:r>
            <w:r>
              <w:rPr>
                <w:rFonts w:hint="eastAsia" w:ascii="宋体" w:hAnsi="宋体"/>
                <w:szCs w:val="21"/>
              </w:rPr>
              <w:t>实施情况进行总结分析，不断对</w:t>
            </w:r>
            <w:r>
              <w:rPr>
                <w:rFonts w:hint="eastAsia" w:ascii="宋体" w:hAnsi="宋体"/>
                <w:szCs w:val="21"/>
                <w:lang w:val="en-US" w:eastAsia="zh-CN"/>
              </w:rPr>
              <w:t>标准</w:t>
            </w:r>
            <w:r>
              <w:rPr>
                <w:rFonts w:hint="eastAsia" w:ascii="宋体" w:hAnsi="宋体"/>
                <w:szCs w:val="21"/>
              </w:rPr>
              <w:t>提出修正意见</w:t>
            </w:r>
          </w:p>
        </w:tc>
      </w:tr>
      <w:tr>
        <w:tblPrEx>
          <w:tblCellMar>
            <w:top w:w="0" w:type="dxa"/>
            <w:left w:w="108" w:type="dxa"/>
            <w:bottom w:w="0" w:type="dxa"/>
            <w:right w:w="108" w:type="dxa"/>
          </w:tblCellMar>
        </w:tblPrEx>
        <w:trPr>
          <w:cantSplit/>
          <w:trHeight w:val="1564"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赖雨曈</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助理工程师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应用气象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广西壮族自治区防雷中心</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1564"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shd w:val="clear" w:color="auto" w:fill="auto"/>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向怡衡</w:t>
            </w:r>
          </w:p>
        </w:tc>
        <w:tc>
          <w:tcPr>
            <w:tcW w:w="498" w:type="pct"/>
            <w:tcBorders>
              <w:top w:val="single" w:color="auto" w:sz="4" w:space="0"/>
              <w:left w:val="single" w:color="auto" w:sz="4" w:space="0"/>
              <w:bottom w:val="single" w:color="auto" w:sz="4" w:space="0"/>
              <w:right w:val="single" w:color="auto" w:sz="4" w:space="0"/>
            </w:tcBorders>
            <w:shd w:val="clear" w:color="auto" w:fill="auto"/>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tcBorders>
            <w:shd w:val="clear" w:color="auto" w:fill="auto"/>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水文气象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1564"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谭忠川</w:t>
            </w:r>
          </w:p>
        </w:tc>
        <w:tc>
          <w:tcPr>
            <w:tcW w:w="498"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防洪防灾管理</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中国铁路南宁局集团有限公司防洪指挥部办公室</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祁海霞</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水文气象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彭涛</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正高级工程师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水文气象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szCs w:val="21"/>
                <w:highlight w:val="none"/>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陈志伟</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防洪防灾管理</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中国铁路南宁局集团有限公司防洪指挥部办公室</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王俊超</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副研究员</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水文气象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中国气象局武汉暴雨研究所</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赵卫浦</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防洪防灾管理</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中国铁路南宁局集团有限公司防洪指挥部办公室</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秦金修</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防洪防灾管理</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中国铁路南宁局集团有限公司防洪指挥部办公室</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征求意见稿和</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彭秋平</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高级工程师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专业气象服务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广西华茂气象科技有限公司</w:t>
            </w:r>
          </w:p>
        </w:tc>
        <w:tc>
          <w:tcPr>
            <w:tcW w:w="1949" w:type="pc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r>
        <w:tblPrEx>
          <w:tblCellMar>
            <w:top w:w="0" w:type="dxa"/>
            <w:left w:w="108" w:type="dxa"/>
            <w:bottom w:w="0" w:type="dxa"/>
            <w:right w:w="108" w:type="dxa"/>
          </w:tblCellMar>
        </w:tblPrEx>
        <w:trPr>
          <w:cantSplit/>
          <w:trHeight w:val="517" w:hRule="atLeast"/>
        </w:trPr>
        <w:tc>
          <w:tcPr>
            <w:tcW w:w="242" w:type="pct"/>
            <w:tcBorders>
              <w:top w:val="single" w:color="auto" w:sz="4" w:space="0"/>
              <w:left w:val="single" w:color="auto" w:sz="4" w:space="0"/>
              <w:bottom w:val="single" w:color="auto" w:sz="4" w:space="0"/>
              <w:right w:val="single" w:color="auto" w:sz="4" w:space="0"/>
            </w:tcBorders>
            <w:vAlign w:val="center"/>
          </w:tcPr>
          <w:p>
            <w:pPr>
              <w:pStyle w:val="41"/>
              <w:numPr>
                <w:ilvl w:val="0"/>
                <w:numId w:val="8"/>
              </w:numPr>
              <w:tabs>
                <w:tab w:val="left" w:pos="420"/>
              </w:tabs>
              <w:suppressAutoHyphens/>
              <w:ind w:firstLineChars="0"/>
              <w:jc w:val="center"/>
              <w:rPr>
                <w:rFonts w:ascii="宋体" w:hAnsi="宋体"/>
                <w:bCs/>
                <w:szCs w:val="21"/>
              </w:rPr>
            </w:pPr>
          </w:p>
        </w:tc>
        <w:tc>
          <w:tcPr>
            <w:tcW w:w="567"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黄烨</w:t>
            </w:r>
          </w:p>
        </w:tc>
        <w:tc>
          <w:tcPr>
            <w:tcW w:w="498" w:type="pct"/>
            <w:tcBorders>
              <w:top w:val="single" w:color="auto" w:sz="4" w:space="0"/>
              <w:bottom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助理工程师</w:t>
            </w:r>
          </w:p>
        </w:tc>
        <w:tc>
          <w:tcPr>
            <w:tcW w:w="694"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专业气象服务</w:t>
            </w:r>
          </w:p>
        </w:tc>
        <w:tc>
          <w:tcPr>
            <w:tcW w:w="1046"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s="Times New Roman"/>
                <w:szCs w:val="21"/>
                <w:lang w:val="en-US" w:eastAsia="zh-CN"/>
              </w:rPr>
            </w:pPr>
            <w:r>
              <w:rPr>
                <w:rFonts w:hint="eastAsia" w:ascii="宋体" w:hAnsi="宋体" w:cs="Times New Roman"/>
                <w:szCs w:val="21"/>
                <w:lang w:val="en-US" w:eastAsia="zh-CN"/>
              </w:rPr>
              <w:t>广西华茂气象科技有限公司</w:t>
            </w:r>
          </w:p>
        </w:tc>
        <w:tc>
          <w:tcPr>
            <w:tcW w:w="1949" w:type="pct"/>
            <w:tcBorders>
              <w:top w:val="single" w:color="auto" w:sz="4" w:space="0"/>
              <w:left w:val="single" w:color="auto" w:sz="4" w:space="0"/>
              <w:bottom w:val="single" w:color="auto" w:sz="4" w:space="0"/>
              <w:right w:val="single" w:color="auto" w:sz="4" w:space="0"/>
            </w:tcBorders>
            <w:vAlign w:val="center"/>
          </w:tcPr>
          <w:p>
            <w:pPr>
              <w:suppressAutoHyphens/>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szCs w:val="21"/>
              </w:rPr>
              <w:t>协助起草</w:t>
            </w:r>
            <w:r>
              <w:rPr>
                <w:rFonts w:hint="eastAsia" w:ascii="宋体" w:hAnsi="宋体"/>
                <w:szCs w:val="21"/>
                <w:lang w:val="en-US" w:eastAsia="zh-CN"/>
              </w:rPr>
              <w:t>标准</w:t>
            </w:r>
            <w:r>
              <w:rPr>
                <w:rFonts w:hint="eastAsia" w:ascii="宋体" w:hAnsi="宋体"/>
                <w:szCs w:val="21"/>
              </w:rPr>
              <w:t>草案</w:t>
            </w:r>
            <w:r>
              <w:rPr>
                <w:rFonts w:hint="eastAsia" w:ascii="宋体" w:hAnsi="宋体"/>
                <w:szCs w:val="21"/>
                <w:lang w:eastAsia="zh-CN"/>
              </w:rPr>
              <w:t>、</w:t>
            </w:r>
            <w:r>
              <w:rPr>
                <w:rFonts w:hint="eastAsia" w:ascii="宋体" w:hAnsi="宋体"/>
                <w:szCs w:val="21"/>
              </w:rPr>
              <w:t>征求意见稿</w:t>
            </w:r>
            <w:r>
              <w:rPr>
                <w:rFonts w:hint="eastAsia" w:ascii="宋体" w:hAnsi="宋体"/>
                <w:szCs w:val="21"/>
                <w:lang w:eastAsia="zh-CN"/>
              </w:rPr>
              <w:t>、</w:t>
            </w:r>
            <w:r>
              <w:rPr>
                <w:rFonts w:hint="eastAsia" w:ascii="宋体" w:hAnsi="宋体"/>
                <w:szCs w:val="21"/>
                <w:lang w:val="en-US" w:eastAsia="zh-CN"/>
              </w:rPr>
              <w:t>标准</w:t>
            </w:r>
            <w:r>
              <w:rPr>
                <w:rFonts w:hint="eastAsia" w:ascii="宋体" w:hAnsi="宋体"/>
                <w:szCs w:val="21"/>
              </w:rPr>
              <w:t>编制说明</w:t>
            </w:r>
            <w:r>
              <w:rPr>
                <w:rFonts w:hint="eastAsia" w:ascii="宋体" w:hAnsi="宋体"/>
                <w:szCs w:val="21"/>
                <w:lang w:eastAsia="zh-CN"/>
              </w:rPr>
              <w:t>、</w:t>
            </w:r>
            <w:r>
              <w:rPr>
                <w:rFonts w:hint="eastAsia" w:ascii="宋体" w:hAnsi="宋体"/>
                <w:szCs w:val="21"/>
              </w:rPr>
              <w:t>送审稿及编制说明编写工作</w:t>
            </w:r>
          </w:p>
        </w:tc>
      </w:tr>
    </w:tbl>
    <w:p>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FF0000"/>
          <w:sz w:val="32"/>
          <w:szCs w:val="32"/>
        </w:rPr>
      </w:pPr>
      <w:r>
        <w:rPr>
          <w:rFonts w:hint="eastAsia" w:ascii="黑体" w:hAnsi="黑体" w:eastAsia="黑体" w:cs="仿宋_GB2312"/>
          <w:sz w:val="32"/>
          <w:szCs w:val="32"/>
        </w:rPr>
        <w:t>二、项目背景及目的意义</w:t>
      </w:r>
    </w:p>
    <w:p>
      <w:pPr>
        <w:ind w:firstLine="640" w:firstLineChars="200"/>
        <w:rPr>
          <w:rFonts w:hint="eastAsia" w:ascii="仿宋_GB2312" w:hAnsi="宋体" w:eastAsia="仿宋_GB2312"/>
        </w:rPr>
      </w:pPr>
      <w:r>
        <w:rPr>
          <w:rFonts w:hint="eastAsia" w:ascii="Times New Roman" w:hAnsi="Times New Roman" w:eastAsia="仿宋_GB2312" w:cs="Times New Roman"/>
          <w:sz w:val="32"/>
          <w:szCs w:val="32"/>
          <w:lang w:eastAsia="zh-CN"/>
        </w:rPr>
        <w:t>铁路是我国综合交通运输体系的核心命脉，其安全高效运行直接关系到国民经济发展、社会公共安全和人民群众出行福祉。随着我国铁路网络不断延伸，截至2024年底，全国铁路营业里程已突破16.2万公里，线路广泛覆盖寒旱、高原、季风、台风等多元气候区，不少路段穿越气象灾害高发区域，气象条件已成为影响铁路运行安全与运输效率的关键制约因素。当前，铁路气象服务领域普遍存在标准不统一、服务精准度不足、跨部门协同不畅等问题，难以满足新时代铁路高质量发展的需求。为规范铁路运行气象服务的全流程工作，提升服务的专业化、标准化与精细化水平，切实保障铁路运输安全，推动铁路与气象行业深度融合发展，特提出制定团体标准《铁路运行气象服务规范》。《铁路运行气象服务规范》的制定和实施，将有效提升我国铁路运行气象服务水平，保障铁路运输安全高效，具有重要的行业价值和社会意义。</w:t>
      </w:r>
    </w:p>
    <w:p>
      <w:pPr>
        <w:autoSpaceDE w:val="0"/>
        <w:autoSpaceDN w:val="0"/>
        <w:adjustRightInd w:val="0"/>
        <w:spacing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三、项目编制过程</w:t>
      </w:r>
    </w:p>
    <w:p>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（一）成立标准编制组</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铁路运行气象服务规范</w:t>
      </w:r>
      <w:r>
        <w:rPr>
          <w:rFonts w:hint="eastAsia" w:ascii="仿宋_GB2312" w:hAnsi="宋体" w:eastAsia="仿宋_GB2312"/>
          <w:sz w:val="32"/>
          <w:szCs w:val="32"/>
        </w:rPr>
        <w:t>》项目任务下达后，由广西壮族自治区防雷中心牵头组织成立了标准编制组，制定了标准编写方案，明确任务职责，确定工作技术路线，开展标准研制工作。具体编制工作由广西壮族自治区防雷中心</w:t>
      </w:r>
      <w:r>
        <w:rPr>
          <w:rFonts w:hint="eastAsia" w:ascii="仿宋_GB2312" w:hAnsi="宋体" w:eastAsia="仿宋_GB2312"/>
          <w:sz w:val="32"/>
          <w:szCs w:val="32"/>
          <w:lang w:eastAsia="zh-CN"/>
        </w:rPr>
        <w:t>、中国铁路南宁局集团有限公司防洪指挥部办公室、中国气象局武汉暴雨研究所、广西华茂气象科技有限公司</w:t>
      </w:r>
      <w:r>
        <w:rPr>
          <w:rFonts w:hint="eastAsia" w:ascii="仿宋_GB2312" w:hAnsi="宋体" w:eastAsia="仿宋_GB2312"/>
          <w:sz w:val="32"/>
          <w:szCs w:val="32"/>
        </w:rPr>
        <w:t>组成的标准编制组负责。编制组下设三个小组，分别是资料收集组、草案编写组、标准实施组。</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资料收集组：负责国内关于铁路运行气象服务文献资料的查询、收集和整理工作，查阅现存关于铁路运行气象服务的研究以及国内相关标准的制定。</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草案编写组：负责标准立项、征求意见、审定、报批等阶段的标准文本及编制说明的起草工作，包括标准制定过程各阶段标准文本及相关材料的修改和完善。</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标准实施组：负责团体标准《</w:t>
      </w:r>
      <w:r>
        <w:rPr>
          <w:rFonts w:hint="eastAsia" w:ascii="仿宋_GB2312" w:hAnsi="宋体" w:eastAsia="仿宋_GB2312"/>
          <w:sz w:val="32"/>
          <w:szCs w:val="32"/>
          <w:lang w:eastAsia="zh-CN"/>
        </w:rPr>
        <w:t>铁路运行气象服务规范</w:t>
      </w:r>
      <w:r>
        <w:rPr>
          <w:rFonts w:hint="eastAsia" w:ascii="仿宋_GB2312" w:hAnsi="宋体" w:eastAsia="仿宋_GB2312"/>
          <w:sz w:val="32"/>
          <w:szCs w:val="32"/>
        </w:rPr>
        <w:t>》标准发布后，组织相关部门、企业等，开展标准宣贯培训会，对标准进行研讨和详细解读，使相关人员了解标准，熟悉标准，并能熟练运用标准；为确保标准的实施效果和综合运用率，对标准实施情况进行总结分析，对标准提出持续改进意见。</w:t>
      </w:r>
    </w:p>
    <w:p>
      <w:pPr>
        <w:numPr>
          <w:ilvl w:val="0"/>
          <w:numId w:val="9"/>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收集整理文献资料</w:t>
      </w:r>
    </w:p>
    <w:p>
      <w:pPr>
        <w:pStyle w:val="2"/>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通过资料收集组对文献资料的收集和整理，草案编写组主要参考了以下国内相关的标准和期刊书籍：</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 GB/T 21984</w:t>
      </w:r>
      <w:r>
        <w:rPr>
          <w:rFonts w:hint="eastAsia" w:ascii="仿宋_GB2312" w:hAnsi="宋体" w:eastAsia="仿宋_GB2312"/>
          <w:sz w:val="32"/>
          <w:szCs w:val="32"/>
          <w:lang w:eastAsia="zh-CN"/>
        </w:rPr>
        <w:t>—</w:t>
      </w:r>
      <w:r>
        <w:rPr>
          <w:rFonts w:hint="eastAsia" w:ascii="仿宋_GB2312" w:hAnsi="宋体" w:eastAsia="仿宋_GB2312"/>
          <w:sz w:val="32"/>
          <w:szCs w:val="32"/>
        </w:rPr>
        <w:t>2017 短期天气预报</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[2] GB/T 27956</w:t>
      </w:r>
      <w:r>
        <w:rPr>
          <w:rFonts w:hint="eastAsia" w:ascii="仿宋_GB2312" w:hAnsi="宋体" w:eastAsia="仿宋_GB2312"/>
          <w:sz w:val="32"/>
          <w:szCs w:val="32"/>
          <w:lang w:eastAsia="zh-CN"/>
        </w:rPr>
        <w:t>—</w:t>
      </w:r>
      <w:r>
        <w:rPr>
          <w:rFonts w:hint="eastAsia" w:ascii="仿宋_GB2312" w:hAnsi="宋体" w:eastAsia="仿宋_GB2312"/>
          <w:sz w:val="32"/>
          <w:szCs w:val="32"/>
        </w:rPr>
        <w:t>2011 中期天气预报</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[3] GB/T 27966</w:t>
      </w:r>
      <w:r>
        <w:rPr>
          <w:rFonts w:hint="eastAsia" w:ascii="仿宋_GB2312" w:hAnsi="宋体" w:eastAsia="仿宋_GB2312"/>
          <w:sz w:val="32"/>
          <w:szCs w:val="32"/>
          <w:lang w:eastAsia="zh-CN"/>
        </w:rPr>
        <w:t>—</w:t>
      </w:r>
      <w:r>
        <w:rPr>
          <w:rFonts w:hint="eastAsia" w:ascii="仿宋_GB2312" w:hAnsi="宋体" w:eastAsia="仿宋_GB2312"/>
          <w:sz w:val="32"/>
          <w:szCs w:val="32"/>
        </w:rPr>
        <w:t>2011 灾害性天气预报警报指南</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[4] GB/T 28594</w:t>
      </w:r>
      <w:r>
        <w:rPr>
          <w:rFonts w:hint="eastAsia" w:ascii="仿宋_GB2312" w:hAnsi="宋体" w:eastAsia="仿宋_GB2312"/>
          <w:sz w:val="32"/>
          <w:szCs w:val="32"/>
          <w:lang w:eastAsia="zh-CN"/>
        </w:rPr>
        <w:t>—</w:t>
      </w:r>
      <w:r>
        <w:rPr>
          <w:rFonts w:hint="eastAsia" w:ascii="仿宋_GB2312" w:hAnsi="宋体" w:eastAsia="仿宋_GB2312"/>
          <w:sz w:val="32"/>
          <w:szCs w:val="32"/>
        </w:rPr>
        <w:t>2021 临近天气预报</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[5] QX/T 334</w:t>
      </w:r>
      <w:r>
        <w:rPr>
          <w:rFonts w:hint="eastAsia" w:ascii="仿宋_GB2312" w:hAnsi="宋体" w:eastAsia="仿宋_GB2312"/>
          <w:sz w:val="32"/>
          <w:szCs w:val="32"/>
          <w:lang w:eastAsia="zh-CN"/>
        </w:rPr>
        <w:t>—</w:t>
      </w:r>
      <w:r>
        <w:rPr>
          <w:rFonts w:hint="eastAsia" w:ascii="仿宋_GB2312" w:hAnsi="宋体" w:eastAsia="仿宋_GB2312"/>
          <w:sz w:val="32"/>
          <w:szCs w:val="32"/>
        </w:rPr>
        <w:t>2016 高速铁路运行高影响天气条件等级</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[6] GB/T 40239</w:t>
      </w:r>
      <w:r>
        <w:rPr>
          <w:rFonts w:hint="eastAsia" w:ascii="仿宋_GB2312" w:hAnsi="宋体" w:eastAsia="仿宋_GB2312"/>
          <w:sz w:val="32"/>
          <w:szCs w:val="32"/>
          <w:lang w:eastAsia="zh-CN"/>
        </w:rPr>
        <w:t>—</w:t>
      </w:r>
      <w:r>
        <w:rPr>
          <w:rFonts w:hint="eastAsia" w:ascii="仿宋_GB2312" w:hAnsi="宋体" w:eastAsia="仿宋_GB2312"/>
          <w:sz w:val="32"/>
          <w:szCs w:val="32"/>
        </w:rPr>
        <w:t>2021</w:t>
      </w:r>
      <w:r>
        <w:rPr>
          <w:rFonts w:hint="eastAsia" w:ascii="仿宋_GB2312" w:hAnsi="宋体" w:eastAsia="仿宋_GB2312"/>
          <w:sz w:val="32"/>
          <w:szCs w:val="32"/>
        </w:rPr>
        <w:tab/>
      </w:r>
      <w:r>
        <w:rPr>
          <w:rFonts w:hint="eastAsia" w:ascii="仿宋_GB2312" w:hAnsi="宋体" w:eastAsia="仿宋_GB2312"/>
          <w:sz w:val="32"/>
          <w:szCs w:val="32"/>
        </w:rPr>
        <w:t>城市雪灾气象等级</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[7] 中国气象局.气象信息服务管理办法（修订）[Z].2020年3月24日.</w:t>
      </w:r>
    </w:p>
    <w:p>
      <w:pPr>
        <w:spacing w:before="156" w:beforeLines="50" w:after="156" w:afterLines="50" w:line="560" w:lineRule="exact"/>
        <w:ind w:firstLine="643" w:firstLineChars="200"/>
        <w:outlineLvl w:val="1"/>
        <w:rPr>
          <w:rFonts w:hint="eastAsia" w:ascii="楷体" w:hAnsi="楷体" w:eastAsia="楷体" w:cs="仿宋_GB2312"/>
          <w:b/>
          <w:sz w:val="32"/>
          <w:szCs w:val="32"/>
        </w:rPr>
      </w:pPr>
      <w:r>
        <w:rPr>
          <w:rFonts w:hint="eastAsia" w:ascii="楷体" w:hAnsi="楷体" w:eastAsia="楷体" w:cs="仿宋_GB2312"/>
          <w:b/>
          <w:sz w:val="32"/>
          <w:szCs w:val="32"/>
        </w:rPr>
        <w:t>（三）研讨确定标准</w:t>
      </w:r>
      <w:r>
        <w:rPr>
          <w:rFonts w:hint="eastAsia" w:ascii="楷体" w:hAnsi="楷体" w:eastAsia="楷体" w:cs="仿宋_GB2312"/>
          <w:b/>
          <w:sz w:val="32"/>
          <w:szCs w:val="32"/>
          <w:lang w:eastAsia="zh-CN"/>
        </w:rPr>
        <w:t>特色、创新点及</w:t>
      </w:r>
      <w:r>
        <w:rPr>
          <w:rFonts w:hint="eastAsia" w:ascii="楷体" w:hAnsi="楷体" w:eastAsia="楷体" w:cs="仿宋_GB2312"/>
          <w:b/>
          <w:sz w:val="32"/>
          <w:szCs w:val="32"/>
        </w:rPr>
        <w:t>主体内容</w:t>
      </w:r>
    </w:p>
    <w:p>
      <w:pPr>
        <w:spacing w:line="56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1.标准特色、创新点</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多年来，广西壮族自治区防雷中心深入推进</w:t>
      </w:r>
      <w:r>
        <w:rPr>
          <w:rFonts w:hint="eastAsia" w:ascii="仿宋_GB2312" w:hAnsi="宋体" w:eastAsia="仿宋_GB2312"/>
          <w:sz w:val="32"/>
          <w:szCs w:val="32"/>
          <w:lang w:val="en-US" w:eastAsia="zh-CN"/>
        </w:rPr>
        <w:t>铁路运行</w:t>
      </w:r>
      <w:r>
        <w:rPr>
          <w:rFonts w:hint="eastAsia" w:ascii="仿宋_GB2312" w:hAnsi="宋体" w:eastAsia="仿宋_GB2312"/>
          <w:sz w:val="32"/>
          <w:szCs w:val="32"/>
          <w:lang w:eastAsia="zh-CN"/>
        </w:rPr>
        <w:t>气象</w:t>
      </w:r>
      <w:r>
        <w:rPr>
          <w:rFonts w:hint="eastAsia" w:ascii="仿宋_GB2312" w:hAnsi="宋体" w:eastAsia="仿宋_GB2312"/>
          <w:sz w:val="32"/>
          <w:szCs w:val="32"/>
        </w:rPr>
        <w:t>服务高质量发展，依托中国铁路南宁局集团有限公司在技术与管理等方面的优势，进一步发挥各自行业优势，在加强技术创新、气象服务信息化与标准化方面达成合作</w:t>
      </w:r>
      <w:r>
        <w:rPr>
          <w:rFonts w:hint="eastAsia" w:ascii="仿宋_GB2312" w:hAnsi="宋体" w:eastAsia="仿宋_GB2312"/>
          <w:sz w:val="32"/>
          <w:szCs w:val="32"/>
          <w:lang w:eastAsia="zh-CN"/>
        </w:rPr>
        <w:t>，</w:t>
      </w:r>
      <w:r>
        <w:rPr>
          <w:rFonts w:hint="eastAsia" w:ascii="仿宋_GB2312" w:hAnsi="宋体" w:eastAsia="仿宋_GB2312"/>
          <w:sz w:val="32"/>
          <w:szCs w:val="32"/>
        </w:rPr>
        <w:t>在专业气象服务系统建设、气象服务标准化建设等方面建立长期的战略合作伙伴关系。</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eastAsia="zh-CN"/>
        </w:rPr>
        <w:t>提供的</w:t>
      </w:r>
      <w:r>
        <w:rPr>
          <w:rFonts w:hint="eastAsia" w:ascii="仿宋_GB2312" w:hAnsi="宋体" w:eastAsia="仿宋_GB2312"/>
          <w:sz w:val="32"/>
          <w:szCs w:val="32"/>
          <w:lang w:val="en-US" w:eastAsia="zh-CN"/>
        </w:rPr>
        <w:t>铁路运行</w:t>
      </w:r>
      <w:r>
        <w:rPr>
          <w:rFonts w:hint="eastAsia" w:ascii="仿宋_GB2312" w:hAnsi="宋体" w:eastAsia="仿宋_GB2312"/>
          <w:sz w:val="32"/>
          <w:szCs w:val="32"/>
          <w:lang w:eastAsia="zh-CN"/>
        </w:rPr>
        <w:t>气象</w:t>
      </w:r>
      <w:r>
        <w:rPr>
          <w:rFonts w:hint="eastAsia" w:ascii="仿宋_GB2312" w:hAnsi="宋体" w:eastAsia="仿宋_GB2312"/>
          <w:sz w:val="32"/>
          <w:szCs w:val="32"/>
        </w:rPr>
        <w:t>服务不再局限于提供天气预报，而是设计</w:t>
      </w:r>
      <w:r>
        <w:rPr>
          <w:rFonts w:hint="eastAsia" w:ascii="仿宋_GB2312" w:hAnsi="宋体" w:eastAsia="仿宋_GB2312"/>
          <w:sz w:val="32"/>
          <w:szCs w:val="32"/>
          <w:lang w:eastAsia="zh-CN"/>
        </w:rPr>
        <w:t>了</w:t>
      </w:r>
      <w:r>
        <w:rPr>
          <w:rFonts w:hint="eastAsia" w:ascii="仿宋_GB2312" w:hAnsi="宋体" w:eastAsia="仿宋_GB2312"/>
          <w:sz w:val="32"/>
          <w:szCs w:val="32"/>
        </w:rPr>
        <w:t>全流程闭环服务，构建 “服务准备</w:t>
      </w:r>
      <w:r>
        <w:rPr>
          <w:rFonts w:hint="eastAsia" w:ascii="仿宋_GB2312" w:hAnsi="宋体" w:eastAsia="仿宋_GB2312"/>
          <w:sz w:val="32"/>
          <w:szCs w:val="32"/>
          <w:lang w:eastAsia="zh-CN"/>
        </w:rPr>
        <w:t>—</w:t>
      </w:r>
      <w:r>
        <w:rPr>
          <w:rFonts w:hint="eastAsia" w:ascii="仿宋_GB2312" w:hAnsi="宋体" w:eastAsia="仿宋_GB2312"/>
          <w:sz w:val="32"/>
          <w:szCs w:val="32"/>
        </w:rPr>
        <w:t>服务实施</w:t>
      </w:r>
      <w:r>
        <w:rPr>
          <w:rFonts w:hint="eastAsia" w:ascii="仿宋_GB2312" w:hAnsi="宋体" w:eastAsia="仿宋_GB2312"/>
          <w:sz w:val="32"/>
          <w:szCs w:val="32"/>
          <w:lang w:eastAsia="zh-CN"/>
        </w:rPr>
        <w:t>—</w:t>
      </w:r>
      <w:r>
        <w:rPr>
          <w:rFonts w:hint="eastAsia" w:ascii="仿宋_GB2312" w:hAnsi="宋体" w:eastAsia="仿宋_GB2312"/>
          <w:sz w:val="32"/>
          <w:szCs w:val="32"/>
        </w:rPr>
        <w:t>服务评价</w:t>
      </w:r>
      <w:r>
        <w:rPr>
          <w:rFonts w:hint="eastAsia" w:ascii="仿宋_GB2312" w:hAnsi="宋体" w:eastAsia="仿宋_GB2312"/>
          <w:sz w:val="32"/>
          <w:szCs w:val="32"/>
          <w:lang w:eastAsia="zh-CN"/>
        </w:rPr>
        <w:t>—</w:t>
      </w:r>
      <w:r>
        <w:rPr>
          <w:rFonts w:hint="eastAsia" w:ascii="仿宋_GB2312" w:hAnsi="宋体" w:eastAsia="仿宋_GB2312"/>
          <w:sz w:val="32"/>
          <w:szCs w:val="32"/>
        </w:rPr>
        <w:t>改进优化”的完整闭环，在服务终结或关键天气过程结束后，通过回访评估、资料归档、总结改进等环节，持续提升服务质量，确保服务可持续优化。</w:t>
      </w:r>
    </w:p>
    <w:p>
      <w:pPr>
        <w:spacing w:line="56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2.主体内容</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标准编制组在对收集的资料进行整理研究之后</w:t>
      </w:r>
      <w:r>
        <w:rPr>
          <w:rFonts w:hint="eastAsia" w:ascii="仿宋_GB2312" w:hAnsi="宋体" w:eastAsia="仿宋_GB2312"/>
          <w:sz w:val="32"/>
          <w:szCs w:val="32"/>
          <w:lang w:eastAsia="zh-CN"/>
        </w:rPr>
        <w:t>，</w:t>
      </w:r>
      <w:r>
        <w:rPr>
          <w:rFonts w:hint="eastAsia" w:ascii="仿宋_GB2312" w:hAnsi="宋体" w:eastAsia="仿宋_GB2312"/>
          <w:sz w:val="32"/>
          <w:szCs w:val="32"/>
        </w:rPr>
        <w:t>召开了标准编制会议，对标准的整体框架结构进行了研究，并对标准的关键性内容进行了初步探讨。经过研究，标准的主体内容确定为</w:t>
      </w:r>
      <w:bookmarkStart w:id="1" w:name="_Hlk132042510"/>
      <w:r>
        <w:rPr>
          <w:rFonts w:ascii="仿宋_GB2312" w:hAnsi="宋体" w:eastAsia="仿宋_GB2312"/>
          <w:sz w:val="32"/>
          <w:szCs w:val="32"/>
        </w:rPr>
        <w:t>术语和定义</w:t>
      </w:r>
      <w:r>
        <w:rPr>
          <w:rFonts w:hint="eastAsia" w:ascii="仿宋_GB2312" w:hAnsi="宋体" w:eastAsia="仿宋_GB2312"/>
          <w:sz w:val="32"/>
          <w:szCs w:val="32"/>
        </w:rPr>
        <w:t>、</w:t>
      </w:r>
      <w:r>
        <w:rPr>
          <w:rFonts w:hint="eastAsia" w:ascii="仿宋_GB2312" w:hAnsi="宋体" w:eastAsia="仿宋_GB2312"/>
          <w:sz w:val="32"/>
          <w:szCs w:val="32"/>
          <w:lang w:val="en-US" w:eastAsia="zh-CN"/>
        </w:rPr>
        <w:t>基本要求、</w:t>
      </w:r>
      <w:r>
        <w:rPr>
          <w:rFonts w:ascii="仿宋_GB2312" w:hAnsi="宋体" w:eastAsia="仿宋_GB2312"/>
          <w:sz w:val="32"/>
          <w:szCs w:val="32"/>
        </w:rPr>
        <w:t>服务</w:t>
      </w:r>
      <w:r>
        <w:rPr>
          <w:rFonts w:hint="eastAsia" w:ascii="仿宋_GB2312" w:hAnsi="宋体" w:eastAsia="仿宋_GB2312"/>
          <w:sz w:val="32"/>
          <w:szCs w:val="32"/>
        </w:rPr>
        <w:t>准备</w:t>
      </w:r>
      <w:r>
        <w:rPr>
          <w:rFonts w:ascii="仿宋_GB2312" w:hAnsi="宋体" w:eastAsia="仿宋_GB2312"/>
          <w:sz w:val="32"/>
          <w:szCs w:val="32"/>
        </w:rPr>
        <w:t>、服务内容</w:t>
      </w:r>
      <w:r>
        <w:rPr>
          <w:rFonts w:hint="eastAsia" w:ascii="仿宋_GB2312" w:hAnsi="宋体" w:eastAsia="仿宋_GB2312"/>
          <w:sz w:val="32"/>
          <w:szCs w:val="32"/>
          <w:lang w:eastAsia="zh-CN"/>
        </w:rPr>
        <w:t>、</w:t>
      </w:r>
      <w:r>
        <w:rPr>
          <w:rFonts w:ascii="仿宋_GB2312" w:hAnsi="宋体" w:eastAsia="仿宋_GB2312"/>
          <w:sz w:val="32"/>
          <w:szCs w:val="32"/>
        </w:rPr>
        <w:t>服务评价与改进</w:t>
      </w:r>
      <w:r>
        <w:rPr>
          <w:rFonts w:hint="eastAsia" w:ascii="仿宋_GB2312" w:hAnsi="宋体" w:eastAsia="仿宋_GB2312"/>
          <w:sz w:val="32"/>
          <w:szCs w:val="32"/>
        </w:rPr>
        <w:t>。</w:t>
      </w:r>
      <w:bookmarkEnd w:id="1"/>
    </w:p>
    <w:p>
      <w:pPr>
        <w:numPr>
          <w:ilvl w:val="0"/>
          <w:numId w:val="10"/>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调研，形成草案、征求意见稿</w:t>
      </w:r>
      <w:r>
        <w:rPr>
          <w:rFonts w:hint="eastAsia" w:ascii="楷体" w:hAnsi="楷体" w:eastAsia="楷体" w:cs="仿宋_GB2312"/>
          <w:b/>
          <w:sz w:val="32"/>
          <w:szCs w:val="32"/>
          <w:lang w:eastAsia="zh-CN"/>
        </w:rPr>
        <w:t>、送审稿</w:t>
      </w:r>
    </w:p>
    <w:p>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2</w:t>
      </w:r>
      <w:r>
        <w:rPr>
          <w:rFonts w:hint="eastAsia" w:ascii="仿宋_GB2312" w:hAnsi="宋体" w:eastAsia="仿宋_GB2312"/>
          <w:color w:val="000000" w:themeColor="text1"/>
          <w:sz w:val="32"/>
          <w:szCs w:val="32"/>
          <w14:textFill>
            <w14:solidFill>
              <w14:schemeClr w14:val="tx1"/>
            </w14:solidFill>
          </w14:textFill>
        </w:rPr>
        <w:t>月</w:t>
      </w:r>
      <w:r>
        <w:rPr>
          <w:rFonts w:ascii="仿宋_GB2312" w:hAnsi="宋体" w:eastAsia="仿宋_GB2312"/>
          <w:color w:val="000000" w:themeColor="text1"/>
          <w:sz w:val="32"/>
          <w:szCs w:val="32"/>
          <w14:textFill>
            <w14:solidFill>
              <w14:schemeClr w14:val="tx1"/>
            </w14:solidFill>
          </w14:textFill>
        </w:rPr>
        <w:t>，</w:t>
      </w:r>
      <w:r>
        <w:rPr>
          <w:rFonts w:hint="eastAsia" w:ascii="仿宋_GB2312" w:hAnsi="宋体" w:eastAsia="仿宋_GB2312"/>
          <w:color w:val="000000" w:themeColor="text1"/>
          <w:sz w:val="32"/>
          <w:szCs w:val="32"/>
          <w14:textFill>
            <w14:solidFill>
              <w14:schemeClr w14:val="tx1"/>
            </w14:solidFill>
          </w14:textFill>
        </w:rPr>
        <w:t>标准编制组</w:t>
      </w:r>
      <w:r>
        <w:rPr>
          <w:rFonts w:hint="eastAsia" w:ascii="仿宋_GB2312" w:hAnsi="宋体" w:eastAsia="仿宋_GB2312"/>
          <w:color w:val="000000" w:themeColor="text1"/>
          <w:sz w:val="32"/>
          <w:szCs w:val="32"/>
          <w:lang w:eastAsia="zh-CN"/>
          <w14:textFill>
            <w14:solidFill>
              <w14:schemeClr w14:val="tx1"/>
            </w14:solidFill>
          </w14:textFill>
        </w:rPr>
        <w:t>深入</w:t>
      </w:r>
      <w:r>
        <w:rPr>
          <w:rFonts w:hint="eastAsia" w:ascii="仿宋_GB2312" w:hAnsi="宋体" w:eastAsia="仿宋_GB2312"/>
          <w:sz w:val="32"/>
          <w:szCs w:val="32"/>
        </w:rPr>
        <w:t>中国铁路南宁局集团有限公司</w:t>
      </w:r>
      <w:r>
        <w:rPr>
          <w:rFonts w:ascii="仿宋_GB2312" w:hAnsi="宋体" w:eastAsia="仿宋_GB2312"/>
          <w:sz w:val="32"/>
          <w:szCs w:val="32"/>
        </w:rPr>
        <w:t>等</w:t>
      </w:r>
      <w:r>
        <w:rPr>
          <w:rFonts w:hint="eastAsia" w:ascii="仿宋_GB2312" w:hAnsi="宋体" w:eastAsia="仿宋_GB2312"/>
          <w:sz w:val="32"/>
          <w:szCs w:val="32"/>
          <w:lang w:val="en-US" w:eastAsia="zh-CN"/>
        </w:rPr>
        <w:t>铁路运行气象</w:t>
      </w:r>
      <w:r>
        <w:rPr>
          <w:rFonts w:ascii="仿宋_GB2312" w:hAnsi="宋体" w:eastAsia="仿宋_GB2312"/>
          <w:sz w:val="32"/>
          <w:szCs w:val="32"/>
        </w:rPr>
        <w:t>服务对象</w:t>
      </w:r>
      <w:r>
        <w:rPr>
          <w:rFonts w:hint="eastAsia" w:ascii="仿宋_GB2312" w:hAnsi="宋体" w:eastAsia="仿宋_GB2312"/>
          <w:sz w:val="32"/>
          <w:szCs w:val="32"/>
        </w:rPr>
        <w:t>进行了实地调研工作，查阅了大量的国内文献资料，对</w:t>
      </w:r>
      <w:r>
        <w:rPr>
          <w:rFonts w:hint="eastAsia" w:ascii="仿宋_GB2312" w:hAnsi="宋体" w:eastAsia="仿宋_GB2312"/>
          <w:sz w:val="32"/>
          <w:szCs w:val="32"/>
          <w:lang w:val="en-US" w:eastAsia="zh-CN"/>
        </w:rPr>
        <w:t>铁路运行</w:t>
      </w:r>
      <w:r>
        <w:rPr>
          <w:rFonts w:hint="eastAsia" w:ascii="仿宋_GB2312" w:hAnsi="宋体" w:eastAsia="仿宋_GB2312"/>
          <w:sz w:val="32"/>
          <w:szCs w:val="32"/>
        </w:rPr>
        <w:t>气象服务的相关文件进行系统总</w:t>
      </w:r>
      <w:r>
        <w:rPr>
          <w:rFonts w:hint="eastAsia" w:ascii="仿宋_GB2312" w:hAnsi="宋体" w:eastAsia="仿宋_GB2312"/>
          <w:color w:val="000000" w:themeColor="text1"/>
          <w:sz w:val="32"/>
          <w:szCs w:val="32"/>
          <w14:textFill>
            <w14:solidFill>
              <w14:schemeClr w14:val="tx1"/>
            </w14:solidFill>
          </w14:textFill>
        </w:rPr>
        <w:t>结。形成了标准的基本构架，对主要内容进行了讨论并对项目的工作进行了部署和安排。</w:t>
      </w:r>
    </w:p>
    <w:p>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bookmarkStart w:id="2" w:name="_Hlk132042443"/>
      <w:r>
        <w:rPr>
          <w:rFonts w:hint="eastAsia" w:ascii="仿宋_GB2312" w:hAnsi="宋体" w:eastAsia="仿宋_GB2312"/>
          <w:color w:val="000000" w:themeColor="text1"/>
          <w:sz w:val="32"/>
          <w:szCs w:val="32"/>
          <w14:textFill>
            <w14:solidFill>
              <w14:schemeClr w14:val="tx1"/>
            </w14:solidFill>
          </w14:textFill>
        </w:rPr>
        <w:t>20</w:t>
      </w:r>
      <w:r>
        <w:rPr>
          <w:rFonts w:hint="eastAsia" w:ascii="仿宋_GB2312" w:hAnsi="宋体" w:eastAsia="仿宋_GB2312"/>
          <w:color w:val="000000" w:themeColor="text1"/>
          <w:sz w:val="32"/>
          <w:szCs w:val="32"/>
          <w:lang w:val="en-US" w:eastAsia="zh-CN"/>
          <w14:textFill>
            <w14:solidFill>
              <w14:schemeClr w14:val="tx1"/>
            </w14:solidFill>
          </w14:textFill>
        </w:rPr>
        <w:t>26</w:t>
      </w:r>
      <w:r>
        <w:rPr>
          <w:rFonts w:hint="eastAsia" w:ascii="仿宋_GB2312" w:hAnsi="宋体" w:eastAsia="仿宋_GB2312"/>
          <w:color w:val="000000" w:themeColor="text1"/>
          <w:sz w:val="32"/>
          <w:szCs w:val="32"/>
          <w14:textFill>
            <w14:solidFill>
              <w14:schemeClr w14:val="tx1"/>
            </w14:solidFill>
          </w14:textFill>
        </w:rPr>
        <w:t>年</w:t>
      </w:r>
      <w:bookmarkEnd w:id="2"/>
      <w:r>
        <w:rPr>
          <w:rFonts w:hint="eastAsia" w:ascii="仿宋_GB2312" w:hAnsi="宋体" w:eastAsia="仿宋_GB2312"/>
          <w:color w:val="000000" w:themeColor="text1"/>
          <w:sz w:val="32"/>
          <w:szCs w:val="32"/>
          <w:lang w:val="en-US" w:eastAsia="zh-CN"/>
          <w14:textFill>
            <w14:solidFill>
              <w14:schemeClr w14:val="tx1"/>
            </w14:solidFill>
          </w14:textFill>
        </w:rPr>
        <w:t>3</w:t>
      </w:r>
      <w:r>
        <w:rPr>
          <w:rFonts w:hint="eastAsia" w:ascii="仿宋_GB2312" w:hAnsi="宋体" w:eastAsia="仿宋_GB2312"/>
          <w:color w:val="000000" w:themeColor="text1"/>
          <w:sz w:val="32"/>
          <w:szCs w:val="32"/>
          <w14:textFill>
            <w14:solidFill>
              <w14:schemeClr w14:val="tx1"/>
            </w14:solidFill>
          </w14:textFill>
        </w:rPr>
        <w:t>月，在前期工作的基础之上，通过理清逻辑脉络，整合已有参考资料中有关</w:t>
      </w:r>
      <w:r>
        <w:rPr>
          <w:rFonts w:hint="eastAsia" w:ascii="仿宋_GB2312" w:hAnsi="宋体" w:eastAsia="仿宋_GB2312"/>
          <w:sz w:val="32"/>
          <w:szCs w:val="32"/>
          <w:lang w:val="en-US" w:eastAsia="zh-CN"/>
        </w:rPr>
        <w:t>铁路运行</w:t>
      </w:r>
      <w:r>
        <w:rPr>
          <w:rFonts w:hint="eastAsia" w:ascii="仿宋_GB2312" w:hAnsi="宋体" w:eastAsia="仿宋_GB2312"/>
          <w:sz w:val="32"/>
          <w:szCs w:val="32"/>
        </w:rPr>
        <w:t>气象服务的</w:t>
      </w:r>
      <w:r>
        <w:rPr>
          <w:rFonts w:ascii="仿宋_GB2312" w:hAnsi="宋体" w:eastAsia="仿宋_GB2312"/>
          <w:sz w:val="32"/>
          <w:szCs w:val="32"/>
        </w:rPr>
        <w:t>内容</w:t>
      </w:r>
      <w:r>
        <w:rPr>
          <w:rFonts w:hint="eastAsia" w:ascii="仿宋_GB2312" w:hAnsi="宋体" w:eastAsia="仿宋_GB2312"/>
          <w:color w:val="000000" w:themeColor="text1"/>
          <w:sz w:val="32"/>
          <w:szCs w:val="32"/>
          <w14:textFill>
            <w14:solidFill>
              <w14:schemeClr w14:val="tx1"/>
            </w14:solidFill>
          </w14:textFill>
        </w:rPr>
        <w:t>，并结合</w:t>
      </w:r>
      <w:r>
        <w:rPr>
          <w:rFonts w:hint="eastAsia" w:ascii="仿宋_GB2312" w:hAnsi="宋体" w:eastAsia="仿宋_GB2312"/>
          <w:sz w:val="32"/>
          <w:szCs w:val="32"/>
          <w:lang w:val="en-US" w:eastAsia="zh-CN"/>
        </w:rPr>
        <w:t>铁路运行</w:t>
      </w:r>
      <w:r>
        <w:rPr>
          <w:rFonts w:hint="eastAsia" w:ascii="仿宋_GB2312" w:hAnsi="宋体" w:eastAsia="仿宋_GB2312"/>
          <w:color w:val="000000" w:themeColor="text1"/>
          <w:sz w:val="32"/>
          <w:szCs w:val="32"/>
          <w14:textFill>
            <w14:solidFill>
              <w14:schemeClr w14:val="tx1"/>
            </w14:solidFill>
          </w14:textFill>
        </w:rPr>
        <w:t>气象服务实际要求的基础上，按照简化、统一等原则编制完成团体标准《</w:t>
      </w:r>
      <w:r>
        <w:rPr>
          <w:rFonts w:hint="eastAsia" w:ascii="仿宋_GB2312" w:hAnsi="宋体" w:eastAsia="仿宋_GB2312"/>
          <w:color w:val="000000" w:themeColor="text1"/>
          <w:sz w:val="32"/>
          <w:szCs w:val="32"/>
          <w:lang w:eastAsia="zh-CN"/>
          <w14:textFill>
            <w14:solidFill>
              <w14:schemeClr w14:val="tx1"/>
            </w14:solidFill>
          </w14:textFill>
        </w:rPr>
        <w:t>铁路运行气象服务规范</w:t>
      </w:r>
      <w:r>
        <w:rPr>
          <w:rFonts w:hint="eastAsia" w:ascii="仿宋_GB2312" w:hAnsi="宋体" w:eastAsia="仿宋_GB2312"/>
          <w:color w:val="000000" w:themeColor="text1"/>
          <w:sz w:val="32"/>
          <w:szCs w:val="32"/>
          <w14:textFill>
            <w14:solidFill>
              <w14:schemeClr w14:val="tx1"/>
            </w14:solidFill>
          </w14:textFill>
        </w:rPr>
        <w:t>》（讨论稿）。</w:t>
      </w:r>
    </w:p>
    <w:p>
      <w:pPr>
        <w:spacing w:line="560" w:lineRule="exact"/>
        <w:ind w:firstLine="640" w:firstLineChars="200"/>
        <w:rPr>
          <w:rFonts w:hint="eastAsia" w:ascii="仿宋_GB2312" w:hAnsi="仿宋" w:eastAsia="仿宋_GB2312"/>
          <w:color w:val="000000" w:themeColor="text1"/>
          <w:sz w:val="32"/>
          <w:szCs w:val="32"/>
          <w14:textFill>
            <w14:solidFill>
              <w14:schemeClr w14:val="tx1"/>
            </w14:solidFill>
          </w14:textFill>
        </w:rPr>
      </w:pPr>
      <w:r>
        <w:rPr>
          <w:rFonts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4月</w:t>
      </w:r>
      <w:r>
        <w:rPr>
          <w:rFonts w:hint="eastAsia" w:ascii="仿宋_GB2312" w:hAnsi="宋体" w:eastAsia="仿宋_GB2312"/>
          <w:color w:val="000000" w:themeColor="text1"/>
          <w:sz w:val="32"/>
          <w:szCs w:val="32"/>
          <w14:textFill>
            <w14:solidFill>
              <w14:schemeClr w14:val="tx1"/>
            </w14:solidFill>
          </w14:textFill>
        </w:rPr>
        <w:t>，标准起草工作组</w:t>
      </w:r>
      <w:r>
        <w:rPr>
          <w:rFonts w:hint="eastAsia" w:ascii="仿宋_GB2312" w:hAnsi="仿宋" w:eastAsia="仿宋_GB2312"/>
          <w:color w:val="000000" w:themeColor="text1"/>
          <w:sz w:val="32"/>
          <w:szCs w:val="32"/>
          <w14:textFill>
            <w14:solidFill>
              <w14:schemeClr w14:val="tx1"/>
            </w14:solidFill>
          </w14:textFill>
        </w:rPr>
        <w:t>组织相关单位、企业多次召开标准研讨会，收集反馈了大量意见，掌握</w:t>
      </w:r>
      <w:r>
        <w:rPr>
          <w:rFonts w:hint="eastAsia" w:ascii="仿宋_GB2312" w:hAnsi="宋体" w:eastAsia="仿宋_GB2312"/>
          <w:sz w:val="32"/>
          <w:szCs w:val="32"/>
          <w:lang w:val="en-US" w:eastAsia="zh-CN"/>
        </w:rPr>
        <w:t>铁路运行</w:t>
      </w:r>
      <w:r>
        <w:rPr>
          <w:rFonts w:hint="eastAsia" w:ascii="仿宋_GB2312" w:hAnsi="仿宋" w:eastAsia="仿宋_GB2312"/>
          <w:color w:val="000000" w:themeColor="text1"/>
          <w:sz w:val="32"/>
          <w:szCs w:val="32"/>
          <w14:textFill>
            <w14:solidFill>
              <w14:schemeClr w14:val="tx1"/>
            </w14:solidFill>
          </w14:textFill>
        </w:rPr>
        <w:t>气象服务的基本要求。标准编制组对标准草案进行了反复修改和研究讨论。最终形成了团体标准《</w:t>
      </w:r>
      <w:r>
        <w:rPr>
          <w:rFonts w:hint="eastAsia" w:ascii="仿宋_GB2312" w:hAnsi="仿宋" w:eastAsia="仿宋_GB2312"/>
          <w:color w:val="000000" w:themeColor="text1"/>
          <w:sz w:val="32"/>
          <w:szCs w:val="32"/>
          <w:lang w:eastAsia="zh-CN"/>
          <w14:textFill>
            <w14:solidFill>
              <w14:schemeClr w14:val="tx1"/>
            </w14:solidFill>
          </w14:textFill>
        </w:rPr>
        <w:t>铁路运行气象服务规范</w:t>
      </w:r>
      <w:r>
        <w:rPr>
          <w:rFonts w:hint="eastAsia" w:ascii="仿宋_GB2312" w:hAnsi="仿宋" w:eastAsia="仿宋_GB2312"/>
          <w:color w:val="000000" w:themeColor="text1"/>
          <w:sz w:val="32"/>
          <w:szCs w:val="32"/>
          <w14:textFill>
            <w14:solidFill>
              <w14:schemeClr w14:val="tx1"/>
            </w14:solidFill>
          </w14:textFill>
        </w:rPr>
        <w:t>》（征求意见稿）及其编制说明。</w:t>
      </w:r>
      <w:bookmarkStart w:id="3" w:name="_Hlk137230187"/>
    </w:p>
    <w:bookmarkEnd w:id="3"/>
    <w:p>
      <w:pPr>
        <w:autoSpaceDE w:val="0"/>
        <w:autoSpaceDN w:val="0"/>
        <w:adjustRightInd w:val="0"/>
        <w:spacing w:line="560" w:lineRule="exact"/>
        <w:ind w:firstLine="640" w:firstLineChars="200"/>
        <w:jc w:val="left"/>
        <w:outlineLvl w:val="0"/>
        <w:rPr>
          <w:rFonts w:hint="eastAsia" w:ascii="黑体" w:hAnsi="黑体" w:eastAsia="黑体" w:cs="仿宋_GB2312"/>
          <w:sz w:val="32"/>
          <w:szCs w:val="32"/>
        </w:rPr>
      </w:pPr>
      <w:r>
        <w:rPr>
          <w:rFonts w:hint="eastAsia" w:ascii="黑体" w:hAnsi="黑体" w:eastAsia="黑体" w:cs="仿宋_GB2312"/>
          <w:sz w:val="32"/>
          <w:szCs w:val="32"/>
        </w:rPr>
        <w:t>四、制定标准的原则和依据，与现行法律、法规的关系，与有关国家标准、行业标准的协调情况</w:t>
      </w:r>
    </w:p>
    <w:p>
      <w:pPr>
        <w:spacing w:before="156" w:beforeLines="50" w:after="156" w:afterLines="50" w:line="560" w:lineRule="exact"/>
        <w:ind w:firstLine="643" w:firstLineChars="200"/>
        <w:outlineLvl w:val="1"/>
        <w:rPr>
          <w:rFonts w:hint="eastAsia" w:ascii="楷体" w:hAnsi="楷体" w:eastAsia="楷体" w:cs="仿宋_GB2312"/>
          <w:b/>
          <w:sz w:val="32"/>
          <w:szCs w:val="32"/>
        </w:rPr>
      </w:pPr>
      <w:r>
        <w:rPr>
          <w:rFonts w:hint="eastAsia" w:ascii="楷体" w:hAnsi="楷体" w:eastAsia="楷体" w:cs="仿宋_GB2312"/>
          <w:b/>
          <w:sz w:val="32"/>
          <w:szCs w:val="32"/>
        </w:rPr>
        <w:t>（一）编制原则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2"/>
        <w:rPr>
          <w:rFonts w:ascii="仿宋_GB2312" w:hAnsi="宋体" w:eastAsia="仿宋_GB2312"/>
          <w:sz w:val="32"/>
          <w:szCs w:val="32"/>
        </w:rPr>
      </w:pPr>
      <w:r>
        <w:rPr>
          <w:rFonts w:hint="eastAsia" w:ascii="仿宋_GB2312" w:hAnsi="宋体" w:eastAsia="仿宋_GB2312"/>
          <w:sz w:val="32"/>
          <w:szCs w:val="32"/>
        </w:rPr>
        <w:t>1.实用性原则</w:t>
      </w:r>
    </w:p>
    <w:p>
      <w:pPr>
        <w:spacing w:line="560" w:lineRule="exact"/>
        <w:ind w:firstLine="640" w:firstLineChars="200"/>
      </w:pPr>
      <w:r>
        <w:rPr>
          <w:rFonts w:hint="eastAsia" w:ascii="仿宋_GB2312" w:hAnsi="宋体" w:eastAsia="仿宋_GB2312"/>
          <w:sz w:val="32"/>
          <w:szCs w:val="32"/>
        </w:rPr>
        <w:t>本文件是在充分收集相关资料，分析当前现状、调研的实际情况，在现有文献中参考与</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气象服务相关内容的基础上，结合多年经验而总结起草的。符合当前</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气象服务的需要，有利于行业的长远发展，具有较强的实用性和可操作性。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2"/>
        <w:rPr>
          <w:rFonts w:hint="eastAsia" w:ascii="仿宋_GB2312" w:hAnsi="宋体" w:eastAsia="仿宋_GB2312"/>
          <w:sz w:val="32"/>
          <w:szCs w:val="32"/>
        </w:rPr>
      </w:pPr>
      <w:r>
        <w:rPr>
          <w:rFonts w:hint="eastAsia" w:ascii="仿宋_GB2312" w:hAnsi="宋体" w:eastAsia="仿宋_GB2312"/>
          <w:sz w:val="32"/>
          <w:szCs w:val="32"/>
        </w:rPr>
        <w:t>2.协调性原则</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本文件编写过程中注意了与</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气象服务相关法律法规的协调问题，在内容上与现行法律法规、标准协调一致。</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2"/>
        <w:rPr>
          <w:rFonts w:hint="eastAsia" w:ascii="仿宋_GB2312" w:hAnsi="宋体" w:eastAsia="仿宋_GB2312"/>
          <w:sz w:val="32"/>
          <w:szCs w:val="32"/>
        </w:rPr>
      </w:pPr>
      <w:r>
        <w:rPr>
          <w:rFonts w:hint="eastAsia" w:ascii="仿宋_GB2312" w:hAnsi="宋体" w:eastAsia="仿宋_GB2312"/>
          <w:sz w:val="32"/>
          <w:szCs w:val="32"/>
        </w:rPr>
        <w:t>3.规范性原则</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本文件严格按照GB/T 1.1—2020《标准化工作导则 </w:t>
      </w:r>
      <w:r>
        <w:rPr>
          <w:rFonts w:ascii="仿宋_GB2312" w:hAnsi="宋体" w:eastAsia="仿宋_GB2312"/>
          <w:sz w:val="32"/>
          <w:szCs w:val="32"/>
        </w:rPr>
        <w:t xml:space="preserve"> </w:t>
      </w:r>
      <w:r>
        <w:rPr>
          <w:rFonts w:hint="eastAsia" w:ascii="仿宋_GB2312" w:hAnsi="宋体" w:eastAsia="仿宋_GB2312"/>
          <w:sz w:val="32"/>
          <w:szCs w:val="32"/>
        </w:rPr>
        <w:t>第1部分：标准化文件的结构和起草规则》的要求和规定编写本标准的内容，保证标准的编写质量。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2"/>
        <w:rPr>
          <w:rFonts w:hint="eastAsia" w:ascii="仿宋_GB2312" w:hAnsi="宋体" w:eastAsia="仿宋_GB2312"/>
          <w:sz w:val="32"/>
          <w:szCs w:val="32"/>
        </w:rPr>
      </w:pPr>
      <w:r>
        <w:rPr>
          <w:rFonts w:hint="eastAsia" w:ascii="仿宋_GB2312" w:hAnsi="宋体" w:eastAsia="仿宋_GB2312"/>
          <w:sz w:val="32"/>
          <w:szCs w:val="32"/>
        </w:rPr>
        <w:t>4.前瞻性原则</w:t>
      </w:r>
    </w:p>
    <w:p>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本文件在兼顾当前</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气象服务现实情况的同时，还考虑到了</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气象服务快速发展的趋势和需要，在标准中体现了个别特色性、前瞻性和先进性条款，作为对开展</w:t>
      </w:r>
      <w:r>
        <w:rPr>
          <w:rFonts w:hint="eastAsia" w:ascii="仿宋_GB2312" w:hAnsi="宋体" w:eastAsia="仿宋_GB2312"/>
          <w:sz w:val="32"/>
          <w:szCs w:val="32"/>
          <w:lang w:eastAsia="zh-CN"/>
        </w:rPr>
        <w:t>铁路运行</w:t>
      </w:r>
      <w:r>
        <w:rPr>
          <w:rFonts w:hint="eastAsia" w:ascii="仿宋_GB2312" w:hAnsi="宋体" w:eastAsia="仿宋_GB2312"/>
          <w:sz w:val="32"/>
          <w:szCs w:val="32"/>
        </w:rPr>
        <w:t>气象服务的指导。</w:t>
      </w:r>
    </w:p>
    <w:p>
      <w:pPr>
        <w:spacing w:before="156" w:beforeLines="50" w:after="156" w:afterLines="50" w:line="560" w:lineRule="exact"/>
        <w:ind w:firstLine="643" w:firstLineChars="200"/>
        <w:outlineLvl w:val="1"/>
        <w:rPr>
          <w:rFonts w:hint="eastAsia" w:ascii="楷体" w:hAnsi="楷体" w:eastAsia="楷体" w:cs="仿宋_GB2312"/>
          <w:b/>
          <w:sz w:val="32"/>
          <w:szCs w:val="32"/>
        </w:rPr>
      </w:pPr>
      <w:r>
        <w:rPr>
          <w:rFonts w:hint="eastAsia" w:ascii="楷体" w:hAnsi="楷体" w:eastAsia="楷体" w:cs="仿宋_GB2312"/>
          <w:b/>
          <w:sz w:val="32"/>
          <w:szCs w:val="32"/>
        </w:rPr>
        <w:t>（二）编制依据</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本标准严格按照GB/T 1.1—2020《标准化工作规范  第1部分：标准化文件的结构和起草规则》的规则起草，标准主要内容</w:t>
      </w:r>
      <w:r>
        <w:rPr>
          <w:rFonts w:hint="eastAsia" w:ascii="仿宋_GB2312" w:hAnsi="宋体" w:eastAsia="仿宋_GB2312"/>
          <w:sz w:val="32"/>
          <w:szCs w:val="28"/>
          <w:lang w:val="en-US" w:eastAsia="zh-CN"/>
        </w:rPr>
        <w:t>在</w:t>
      </w:r>
      <w:r>
        <w:rPr>
          <w:rFonts w:hint="eastAsia" w:ascii="仿宋_GB2312" w:hAnsi="宋体" w:eastAsia="仿宋_GB2312"/>
          <w:sz w:val="32"/>
          <w:szCs w:val="28"/>
          <w:lang w:val="zh-CN"/>
        </w:rPr>
        <w:t>参考《气象信息服务管理办法（修订）》等相关规定主要内容</w:t>
      </w:r>
      <w:r>
        <w:rPr>
          <w:rFonts w:hint="eastAsia" w:ascii="仿宋_GB2312" w:hAnsi="宋体" w:eastAsia="仿宋_GB2312"/>
          <w:sz w:val="32"/>
          <w:szCs w:val="28"/>
          <w:lang w:val="en-US" w:eastAsia="zh-CN"/>
        </w:rPr>
        <w:t>的要求基础上，依据起草单位在铁路运行气象服务过程中的实践经验确定</w:t>
      </w:r>
      <w:r>
        <w:rPr>
          <w:rFonts w:hint="eastAsia" w:ascii="仿宋_GB2312" w:hAnsi="宋体" w:eastAsia="仿宋_GB2312"/>
          <w:sz w:val="32"/>
          <w:szCs w:val="28"/>
          <w:lang w:val="zh-CN"/>
        </w:rPr>
        <w:t>，对铁路运行气象服务做出了总体要求。</w:t>
      </w:r>
    </w:p>
    <w:p>
      <w:pPr>
        <w:spacing w:before="156" w:beforeLines="50" w:after="156" w:afterLines="50" w:line="560" w:lineRule="exact"/>
        <w:ind w:firstLine="643" w:firstLineChars="200"/>
        <w:outlineLvl w:val="1"/>
        <w:rPr>
          <w:rFonts w:hint="eastAsia" w:ascii="楷体" w:hAnsi="楷体" w:eastAsia="楷体" w:cs="仿宋_GB2312"/>
          <w:b/>
          <w:sz w:val="32"/>
          <w:szCs w:val="32"/>
        </w:rPr>
      </w:pPr>
      <w:r>
        <w:rPr>
          <w:rFonts w:hint="eastAsia" w:ascii="楷体" w:hAnsi="楷体" w:eastAsia="楷体" w:cs="仿宋_GB2312"/>
          <w:b/>
          <w:sz w:val="32"/>
          <w:szCs w:val="32"/>
        </w:rPr>
        <w:t>（三）与现行法律、法规的关系，与有关国家标准、行业标准的协调情况</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该标准的内容符合国家相关法律法规，技术要求不低于强制性国家标准的相关技术要求，与相关的国家、行业标准协调一致，标准的编写符合GB/T 1.1-2020的要求。</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eastAsia="zh-CN"/>
        </w:rPr>
        <w:t>经过查阅，截至目前，与铁路运行气象服务有关的国家、行业、地方及团体标准有：</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1.</w:t>
      </w:r>
      <w:r>
        <w:rPr>
          <w:rFonts w:hint="eastAsia" w:ascii="仿宋_GB2312" w:hAnsi="宋体" w:eastAsia="仿宋_GB2312"/>
          <w:sz w:val="32"/>
          <w:szCs w:val="32"/>
          <w:lang w:eastAsia="zh-CN"/>
        </w:rPr>
        <w:t>中国气象局发布实施的气象行业标准《QX/T 334-2016 高速铁路运行高影响天气条件等级》，标准规定了高速铁路运行高影响天气条件等级划分的一般规则,影响高速铁路运行的雷电、大风、降雨、降雪(积雪)、低能见度、最低气温、冻雨、冰雹等高影响天气条件等级及应用规则。</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2.</w:t>
      </w:r>
      <w:r>
        <w:rPr>
          <w:rFonts w:hint="eastAsia" w:ascii="仿宋_GB2312" w:hAnsi="宋体" w:eastAsia="仿宋_GB2312"/>
          <w:sz w:val="32"/>
          <w:szCs w:val="32"/>
          <w:lang w:eastAsia="zh-CN"/>
        </w:rPr>
        <w:t>河南省市场监督管理局发布实施的地方标准《DB41/T 2069-2020 铁路运行降雨气象服务条件等级》规定了降雨对铁路运行影响等级和铁路运行降雨气象服务条件等级，适用于客货共线干线铁路运行降雨气象服务条件等级划分。</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3.</w:t>
      </w:r>
      <w:r>
        <w:rPr>
          <w:rFonts w:hint="eastAsia" w:ascii="仿宋_GB2312" w:hAnsi="宋体" w:eastAsia="仿宋_GB2312"/>
          <w:sz w:val="32"/>
          <w:szCs w:val="32"/>
          <w:lang w:eastAsia="zh-CN"/>
        </w:rPr>
        <w:t>河南省市场监督管理局发布实施的地方标准《DB41/T 2301-2022 高速铁路运行气象服务产品规范》，标准规定了高速铁路运行气象服务产品类型及内容、服务产品形式，适用于高速铁路运行的气象服务产品制作。</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4.</w:t>
      </w:r>
      <w:r>
        <w:rPr>
          <w:rFonts w:hint="eastAsia" w:ascii="仿宋_GB2312" w:hAnsi="宋体" w:eastAsia="仿宋_GB2312"/>
          <w:sz w:val="32"/>
          <w:szCs w:val="32"/>
          <w:lang w:eastAsia="zh-CN"/>
        </w:rPr>
        <w:t>辽宁省市场监督管理局发布实施的地方标准《DB21/T 2613-2025 铁路交通安全运营气象指标》，标准规定了影响铁路交通安全运营的天气类型、等级和防御指标，适用于铁路交通的安全运营管理、气象服务和媒体信息发布。</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5.</w:t>
      </w:r>
      <w:r>
        <w:rPr>
          <w:rFonts w:hint="eastAsia" w:ascii="仿宋_GB2312" w:hAnsi="宋体" w:eastAsia="仿宋_GB2312"/>
          <w:sz w:val="32"/>
          <w:szCs w:val="32"/>
          <w:lang w:eastAsia="zh-CN"/>
        </w:rPr>
        <w:t>吉林省市场监督管理局发布实施的地方标准《DB22/T 2577-2016 高速铁路冰雪天气监测预警等级》，标准规定了高速铁路降雪量监测预警等级划分、积雪监测预警等级划分、轨道结冰监测预警等级划分、接触网结冰监测预警等级划分、隧道结冰监测预警等级划分和路基冻胀监测预警等级划分，适用于高速铁路冰雪天气监测预警的分级。</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6.</w:t>
      </w:r>
      <w:r>
        <w:rPr>
          <w:rFonts w:hint="eastAsia" w:ascii="仿宋_GB2312" w:hAnsi="宋体" w:eastAsia="仿宋_GB2312"/>
          <w:sz w:val="32"/>
          <w:szCs w:val="32"/>
          <w:lang w:eastAsia="zh-CN"/>
        </w:rPr>
        <w:t>吉林省市场监督管理局发布实施的地方标准《DB22/T 3103-2020 铁路防洪雨量预警等级》，标准规定了铁路防洪雨量的预警指标和确定预警等级，适用于铁路防洪路段雨量的预警。</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7.</w:t>
      </w:r>
      <w:r>
        <w:rPr>
          <w:rFonts w:hint="eastAsia" w:ascii="仿宋_GB2312" w:hAnsi="宋体" w:eastAsia="仿宋_GB2312"/>
          <w:sz w:val="32"/>
          <w:szCs w:val="32"/>
          <w:lang w:eastAsia="zh-CN"/>
        </w:rPr>
        <w:t>山西省市场监督管理局发布实施的地方标准《DB14/T 3480-2025 铁路防洪雨量预警等级划分》，标准规定了铁路防洪雨量的预警指标及等级划分，适用于铁路防洪路段雨量的预警等级划分。</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8.</w:t>
      </w:r>
      <w:r>
        <w:rPr>
          <w:rFonts w:hint="eastAsia" w:ascii="仿宋_GB2312" w:hAnsi="宋体" w:eastAsia="仿宋_GB2312"/>
          <w:sz w:val="32"/>
          <w:szCs w:val="32"/>
          <w:lang w:eastAsia="zh-CN"/>
        </w:rPr>
        <w:t>青海省质量技术监督局发布实施的地方标准《DB63/T 1570-2017 青藏铁路运行气象服务条件等级》，标准规定了青藏铁路运行气象服务条件等级，适用于青藏铁路沿线安全和运营调度管理部门开展应急处置工作。</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9.</w:t>
      </w:r>
      <w:r>
        <w:rPr>
          <w:rFonts w:hint="eastAsia" w:ascii="仿宋_GB2312" w:hAnsi="宋体" w:eastAsia="仿宋_GB2312"/>
          <w:sz w:val="32"/>
          <w:szCs w:val="32"/>
          <w:lang w:eastAsia="zh-CN"/>
        </w:rPr>
        <w:t>中国气象服务协会发布实施的团体标准《T/CMSA 0006-2018 铁路交通气象服务指标建立方法指南》，标准制定了铁路交通气象服务指标建立方法指南,包括指标建立的依据及其命名规则、分级规则,指标的内容、建立方法和变更方法，适用于我国铁路交通气象服务中的气象服务指标建立工作。</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eastAsia="zh-CN"/>
        </w:rPr>
        <w:t>本标准《铁路运行气象服务规范》主要规定铁路运行气象服务的基本要求、服务准备、服务内容和服务评价与改进，适用于铁路运行气象服务。旨在通过标准化的气象服务保障铁路运行安全，满足铁路对气象信息的实时性、针对性、全面性需求。拟制定的标准与所列现有标准相比，主要不同在于定位不同，“全流程通用标准”与“专项细分标准”的区别。拟制定标准定位为铁路气象服务全流程通用规范，核心目标是建立“从服务准备到服务评价”的完整标准化体系，解决“铁路气象服务该怎么做、达到什么要求”的系统性问题，属于“综合性、流程性标准”。而所列现有标准均为专项细分标准，核心目标是解决某一具体环节、具体场景的技术问题，例如：仅明确“降雨/防洪雨量/冰雪天气”的预警等级（如DB41/T 2069-2020、DB22/T 3103-2020），仅规范“高速铁路”的服务产品或天气等级（如DB41/T 2301-2022、QX/T 334-2016），仅提供“指标建立方法”（如T/CMSA 0006-2018）或 “特定线路（青藏铁路）”的服务条件（如DB63/T 1570-2017），属于“单点性、技术性标准”。</w:t>
      </w:r>
    </w:p>
    <w:p>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eastAsia="zh-CN"/>
        </w:rPr>
        <w:t>在协调性上，经全面比对，本标准的结构框架（范围、规范性引用文件、术语和定义、基本要求、服务准备、服务内容、服务评价与改进、参考文献等）符合团体标准的通用编写规则，核心技术指标（如预报时段划分、服务频次、数据获取要求等）均基于铁路气象服务的实际需求制定，未与任何现有有效标准产生技术冲突或重复交叉，所有与现有标准相关的内容均保持协调一致，部分专项要求属于针对性创新补充，具备明确的制定必要性和合理性。</w:t>
      </w:r>
    </w:p>
    <w:p>
      <w:pPr>
        <w:autoSpaceDE w:val="0"/>
        <w:autoSpaceDN w:val="0"/>
        <w:adjustRightInd w:val="0"/>
        <w:spacing w:line="560" w:lineRule="exact"/>
        <w:ind w:firstLine="640" w:firstLineChars="200"/>
        <w:jc w:val="left"/>
        <w:outlineLvl w:val="0"/>
        <w:rPr>
          <w:rFonts w:hint="eastAsia" w:ascii="黑体" w:hAnsi="黑体" w:eastAsia="黑体" w:cs="仿宋_GB2312"/>
          <w:sz w:val="32"/>
          <w:szCs w:val="32"/>
        </w:rPr>
      </w:pPr>
      <w:r>
        <w:rPr>
          <w:rFonts w:hint="eastAsia" w:ascii="黑体" w:hAnsi="黑体" w:eastAsia="黑体" w:cs="仿宋_GB2312"/>
          <w:sz w:val="32"/>
          <w:szCs w:val="32"/>
        </w:rPr>
        <w:t>五、标准主要内容及依据来源</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本标准主要章节内容包括</w:t>
      </w:r>
      <w:r>
        <w:rPr>
          <w:rFonts w:ascii="仿宋_GB2312" w:hAnsi="宋体" w:eastAsia="仿宋_GB2312"/>
          <w:sz w:val="32"/>
          <w:szCs w:val="32"/>
        </w:rPr>
        <w:t>术语和定义</w:t>
      </w:r>
      <w:r>
        <w:rPr>
          <w:rFonts w:hint="eastAsia" w:ascii="仿宋_GB2312" w:hAnsi="宋体" w:eastAsia="仿宋_GB2312"/>
          <w:sz w:val="32"/>
          <w:szCs w:val="32"/>
        </w:rPr>
        <w:t>、</w:t>
      </w:r>
      <w:r>
        <w:rPr>
          <w:rFonts w:hint="eastAsia" w:ascii="仿宋_GB2312" w:hAnsi="宋体" w:eastAsia="仿宋_GB2312"/>
          <w:sz w:val="32"/>
          <w:szCs w:val="32"/>
          <w:lang w:val="en-US" w:eastAsia="zh-CN"/>
        </w:rPr>
        <w:t>基本要求、</w:t>
      </w:r>
      <w:r>
        <w:rPr>
          <w:rFonts w:ascii="仿宋_GB2312" w:hAnsi="宋体" w:eastAsia="仿宋_GB2312"/>
          <w:sz w:val="32"/>
          <w:szCs w:val="32"/>
        </w:rPr>
        <w:t>服务</w:t>
      </w:r>
      <w:r>
        <w:rPr>
          <w:rFonts w:hint="eastAsia" w:ascii="仿宋_GB2312" w:hAnsi="宋体" w:eastAsia="仿宋_GB2312"/>
          <w:sz w:val="32"/>
          <w:szCs w:val="32"/>
        </w:rPr>
        <w:t>准备</w:t>
      </w:r>
      <w:r>
        <w:rPr>
          <w:rFonts w:ascii="仿宋_GB2312" w:hAnsi="宋体" w:eastAsia="仿宋_GB2312"/>
          <w:sz w:val="32"/>
          <w:szCs w:val="32"/>
        </w:rPr>
        <w:t>、服务内容</w:t>
      </w:r>
      <w:r>
        <w:rPr>
          <w:rFonts w:hint="eastAsia" w:ascii="仿宋_GB2312" w:hAnsi="宋体" w:eastAsia="仿宋_GB2312"/>
          <w:sz w:val="32"/>
          <w:szCs w:val="32"/>
        </w:rPr>
        <w:t>、</w:t>
      </w:r>
      <w:r>
        <w:rPr>
          <w:rFonts w:ascii="仿宋_GB2312" w:hAnsi="宋体" w:eastAsia="仿宋_GB2312"/>
          <w:sz w:val="32"/>
          <w:szCs w:val="32"/>
        </w:rPr>
        <w:t>服务评价与改进</w:t>
      </w:r>
      <w:r>
        <w:rPr>
          <w:rFonts w:hint="eastAsia" w:ascii="仿宋_GB2312" w:hAnsi="宋体" w:eastAsia="仿宋_GB2312"/>
          <w:sz w:val="32"/>
          <w:szCs w:val="32"/>
        </w:rPr>
        <w:t>。</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具体依据来源说明如下：</w:t>
      </w:r>
    </w:p>
    <w:p>
      <w:pPr>
        <w:spacing w:line="560" w:lineRule="exact"/>
        <w:ind w:firstLine="601" w:firstLineChars="187"/>
        <w:outlineLvl w:val="1"/>
        <w:rPr>
          <w:rFonts w:ascii="楷体" w:hAnsi="楷体" w:eastAsia="楷体" w:cs="仿宋_GB2312"/>
          <w:b/>
          <w:sz w:val="32"/>
          <w:szCs w:val="32"/>
        </w:rPr>
      </w:pPr>
      <w:r>
        <w:rPr>
          <w:rFonts w:hint="eastAsia" w:ascii="楷体" w:hAnsi="楷体" w:eastAsia="楷体" w:cs="仿宋_GB2312"/>
          <w:b/>
          <w:sz w:val="32"/>
          <w:szCs w:val="32"/>
        </w:rPr>
        <w:t>（一）</w:t>
      </w:r>
      <w:r>
        <w:rPr>
          <w:rFonts w:ascii="楷体" w:hAnsi="楷体" w:eastAsia="楷体" w:cs="仿宋_GB2312"/>
          <w:b/>
          <w:sz w:val="32"/>
          <w:szCs w:val="32"/>
        </w:rPr>
        <w:t>术语和定义</w:t>
      </w:r>
    </w:p>
    <w:p>
      <w:pPr>
        <w:pStyle w:val="2"/>
        <w:spacing w:line="560" w:lineRule="exact"/>
        <w:ind w:firstLine="640" w:firstLineChars="200"/>
        <w:rPr>
          <w:rFonts w:ascii="仿宋_GB2312" w:hAnsi="仿宋_GB2312" w:eastAsia="仿宋_GB2312" w:cs="仿宋_GB2312"/>
        </w:rPr>
      </w:pPr>
      <w:r>
        <w:rPr>
          <w:rFonts w:hint="eastAsia" w:ascii="仿宋_GB2312" w:hAnsi="仿宋_GB2312" w:eastAsia="仿宋_GB2312" w:cs="仿宋_GB2312"/>
          <w:lang w:val="en-US" w:eastAsia="zh-CN"/>
        </w:rPr>
        <w:t>降雨量、降雪量、风向、风速、气温、能见度</w:t>
      </w:r>
      <w:r>
        <w:rPr>
          <w:rFonts w:hint="eastAsia" w:ascii="仿宋_GB2312" w:hAnsi="仿宋_GB2312" w:eastAsia="仿宋_GB2312" w:cs="仿宋_GB2312"/>
          <w:lang w:eastAsia="zh-CN"/>
        </w:rPr>
        <w:t>术语主要引用</w:t>
      </w:r>
      <w:r>
        <w:rPr>
          <w:rFonts w:hint="eastAsia" w:ascii="仿宋_GB2312" w:hAnsi="仿宋_GB2312" w:eastAsia="仿宋_GB2312" w:cs="仿宋_GB2312"/>
          <w:color w:val="000000" w:themeColor="text1"/>
          <w14:textFill>
            <w14:solidFill>
              <w14:schemeClr w14:val="tx1"/>
            </w14:solidFill>
          </w14:textFill>
        </w:rPr>
        <w:t>《QX/T 334—2016 高速铁路运行高影响天气条件等级》</w:t>
      </w:r>
      <w:r>
        <w:rPr>
          <w:rFonts w:hint="eastAsia" w:ascii="仿宋_GB2312" w:hAnsi="仿宋_GB2312" w:eastAsia="仿宋_GB2312" w:cs="仿宋_GB2312"/>
          <w:color w:val="000000" w:themeColor="text1"/>
          <w:lang w:eastAsia="zh-CN"/>
          <w14:textFill>
            <w14:solidFill>
              <w14:schemeClr w14:val="tx1"/>
            </w14:solidFill>
          </w14:textFill>
        </w:rPr>
        <w:t>《GB/T 40239—2021 城市雪灾气象等级》《GB/T 21984—2017 短期天气预报》的相关内容。</w:t>
      </w:r>
    </w:p>
    <w:p>
      <w:pPr>
        <w:pStyle w:val="2"/>
        <w:spacing w:after="0" w:line="240" w:lineRule="auto"/>
        <w:jc w:val="center"/>
        <w:rPr>
          <w:rFonts w:ascii="仿宋_GB2312" w:hAnsi="仿宋_GB2312" w:eastAsia="仿宋_GB2312" w:cs="仿宋_GB2312"/>
        </w:rPr>
      </w:pPr>
      <w:r>
        <w:drawing>
          <wp:inline distT="0" distB="0" distL="114300" distR="114300">
            <wp:extent cx="5268595" cy="2617470"/>
            <wp:effectExtent l="0" t="0" r="8255" b="1143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5"/>
                    <a:stretch>
                      <a:fillRect/>
                    </a:stretch>
                  </pic:blipFill>
                  <pic:spPr>
                    <a:xfrm>
                      <a:off x="0" y="0"/>
                      <a:ext cx="5268595" cy="2617470"/>
                    </a:xfrm>
                    <a:prstGeom prst="rect">
                      <a:avLst/>
                    </a:prstGeom>
                    <a:noFill/>
                    <a:ln>
                      <a:noFill/>
                    </a:ln>
                  </pic:spPr>
                </pic:pic>
              </a:graphicData>
            </a:graphic>
          </wp:inline>
        </w:drawing>
      </w:r>
    </w:p>
    <w:p>
      <w:pPr>
        <w:pStyle w:val="2"/>
        <w:spacing w:after="0" w:line="240" w:lineRule="auto"/>
        <w:ind w:firstLine="420" w:firstLineChars="200"/>
        <w:jc w:val="center"/>
        <w:rPr>
          <w:rFonts w:hint="eastAsia" w:ascii="黑体" w:hAnsi="黑体" w:eastAsia="黑体" w:cs="仿宋_GB2312"/>
          <w:sz w:val="21"/>
          <w:szCs w:val="21"/>
        </w:rPr>
      </w:pPr>
      <w:r>
        <w:rPr>
          <w:rFonts w:hint="eastAsia" w:ascii="黑体" w:hAnsi="黑体" w:eastAsia="黑体" w:cs="仿宋_GB2312"/>
          <w:sz w:val="21"/>
          <w:szCs w:val="21"/>
        </w:rPr>
        <w:t>来源：《QX/T 334—2016 高速铁路运行高影响天气条件等级》</w:t>
      </w:r>
    </w:p>
    <w:p>
      <w:pPr>
        <w:pStyle w:val="2"/>
        <w:spacing w:after="0" w:line="240" w:lineRule="auto"/>
        <w:jc w:val="both"/>
        <w:rPr>
          <w:rFonts w:hint="eastAsia" w:ascii="黑体" w:hAnsi="黑体" w:eastAsia="黑体" w:cs="仿宋_GB2312"/>
          <w:sz w:val="21"/>
          <w:szCs w:val="21"/>
        </w:rPr>
      </w:pPr>
      <w:r>
        <w:drawing>
          <wp:inline distT="0" distB="0" distL="114300" distR="114300">
            <wp:extent cx="5274310" cy="825500"/>
            <wp:effectExtent l="0" t="0" r="2540" b="1270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6"/>
                    <a:stretch>
                      <a:fillRect/>
                    </a:stretch>
                  </pic:blipFill>
                  <pic:spPr>
                    <a:xfrm>
                      <a:off x="0" y="0"/>
                      <a:ext cx="5274310" cy="825500"/>
                    </a:xfrm>
                    <a:prstGeom prst="rect">
                      <a:avLst/>
                    </a:prstGeom>
                    <a:noFill/>
                    <a:ln>
                      <a:noFill/>
                    </a:ln>
                  </pic:spPr>
                </pic:pic>
              </a:graphicData>
            </a:graphic>
          </wp:inline>
        </w:drawing>
      </w:r>
    </w:p>
    <w:p>
      <w:pPr>
        <w:pStyle w:val="2"/>
        <w:spacing w:after="0" w:line="240" w:lineRule="auto"/>
        <w:ind w:firstLine="420" w:firstLineChars="200"/>
        <w:jc w:val="center"/>
        <w:rPr>
          <w:rFonts w:hint="eastAsia" w:ascii="黑体" w:hAnsi="黑体" w:eastAsia="黑体" w:cs="仿宋_GB2312"/>
          <w:sz w:val="21"/>
          <w:szCs w:val="21"/>
        </w:rPr>
      </w:pPr>
      <w:r>
        <w:rPr>
          <w:rFonts w:hint="eastAsia" w:ascii="黑体" w:hAnsi="黑体" w:eastAsia="黑体" w:cs="仿宋_GB2312"/>
          <w:sz w:val="21"/>
          <w:szCs w:val="21"/>
        </w:rPr>
        <w:t>来源：《GB/T 40239—2021 城市雪灾气象等级》</w:t>
      </w:r>
    </w:p>
    <w:p>
      <w:pPr>
        <w:pStyle w:val="2"/>
        <w:spacing w:after="0" w:line="240" w:lineRule="auto"/>
        <w:jc w:val="both"/>
      </w:pPr>
      <w:r>
        <w:drawing>
          <wp:inline distT="0" distB="0" distL="114300" distR="114300">
            <wp:extent cx="5271770" cy="1275080"/>
            <wp:effectExtent l="0" t="0" r="508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7"/>
                    <a:stretch>
                      <a:fillRect/>
                    </a:stretch>
                  </pic:blipFill>
                  <pic:spPr>
                    <a:xfrm>
                      <a:off x="0" y="0"/>
                      <a:ext cx="5271770" cy="1275080"/>
                    </a:xfrm>
                    <a:prstGeom prst="rect">
                      <a:avLst/>
                    </a:prstGeom>
                    <a:noFill/>
                    <a:ln>
                      <a:noFill/>
                    </a:ln>
                  </pic:spPr>
                </pic:pic>
              </a:graphicData>
            </a:graphic>
          </wp:inline>
        </w:drawing>
      </w:r>
    </w:p>
    <w:p>
      <w:pPr>
        <w:pStyle w:val="2"/>
        <w:spacing w:after="0" w:line="240" w:lineRule="auto"/>
        <w:jc w:val="both"/>
      </w:pPr>
      <w:r>
        <w:drawing>
          <wp:inline distT="0" distB="0" distL="114300" distR="114300">
            <wp:extent cx="5273040" cy="896620"/>
            <wp:effectExtent l="0" t="0" r="3810" b="177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8"/>
                    <a:stretch>
                      <a:fillRect/>
                    </a:stretch>
                  </pic:blipFill>
                  <pic:spPr>
                    <a:xfrm>
                      <a:off x="0" y="0"/>
                      <a:ext cx="5273040" cy="896620"/>
                    </a:xfrm>
                    <a:prstGeom prst="rect">
                      <a:avLst/>
                    </a:prstGeom>
                    <a:noFill/>
                    <a:ln>
                      <a:noFill/>
                    </a:ln>
                  </pic:spPr>
                </pic:pic>
              </a:graphicData>
            </a:graphic>
          </wp:inline>
        </w:drawing>
      </w:r>
    </w:p>
    <w:p>
      <w:pPr>
        <w:pStyle w:val="2"/>
        <w:spacing w:after="0" w:line="240" w:lineRule="auto"/>
        <w:jc w:val="both"/>
        <w:rPr>
          <w:rFonts w:hint="eastAsia"/>
        </w:rPr>
      </w:pPr>
      <w:r>
        <w:drawing>
          <wp:inline distT="0" distB="0" distL="114300" distR="114300">
            <wp:extent cx="5268595" cy="891540"/>
            <wp:effectExtent l="0" t="0" r="8255" b="381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9"/>
                    <a:stretch>
                      <a:fillRect/>
                    </a:stretch>
                  </pic:blipFill>
                  <pic:spPr>
                    <a:xfrm>
                      <a:off x="0" y="0"/>
                      <a:ext cx="5268595" cy="891540"/>
                    </a:xfrm>
                    <a:prstGeom prst="rect">
                      <a:avLst/>
                    </a:prstGeom>
                    <a:noFill/>
                    <a:ln>
                      <a:noFill/>
                    </a:ln>
                  </pic:spPr>
                </pic:pic>
              </a:graphicData>
            </a:graphic>
          </wp:inline>
        </w:drawing>
      </w:r>
    </w:p>
    <w:p>
      <w:pPr>
        <w:pStyle w:val="2"/>
        <w:spacing w:after="0" w:line="240" w:lineRule="auto"/>
        <w:ind w:firstLine="420" w:firstLineChars="200"/>
        <w:jc w:val="center"/>
        <w:rPr>
          <w:rFonts w:hint="eastAsia" w:ascii="黑体" w:hAnsi="黑体" w:eastAsia="黑体" w:cs="仿宋_GB2312"/>
          <w:sz w:val="21"/>
          <w:szCs w:val="21"/>
        </w:rPr>
      </w:pPr>
      <w:r>
        <w:rPr>
          <w:rFonts w:hint="eastAsia" w:ascii="黑体" w:hAnsi="黑体" w:eastAsia="黑体" w:cs="仿宋_GB2312"/>
          <w:sz w:val="21"/>
          <w:szCs w:val="21"/>
        </w:rPr>
        <w:t>来源：《GB/T 21984—2017 短期天气预报》</w:t>
      </w:r>
    </w:p>
    <w:p>
      <w:pPr>
        <w:pStyle w:val="2"/>
        <w:spacing w:after="0" w:line="240" w:lineRule="auto"/>
        <w:ind w:firstLine="420" w:firstLineChars="200"/>
        <w:jc w:val="center"/>
        <w:rPr>
          <w:rFonts w:hint="eastAsia" w:ascii="黑体" w:hAnsi="黑体" w:eastAsia="黑体" w:cs="仿宋_GB2312"/>
          <w:sz w:val="21"/>
          <w:szCs w:val="21"/>
        </w:rPr>
      </w:pPr>
    </w:p>
    <w:p>
      <w:pPr>
        <w:spacing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（二）基本要求</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基本要求章节对服务能力和服务产品进行规定，主要依据相关法律法规及规范性文件要求，并结合铁路运行气象服务的实际需求与行业标准制定。</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default" w:ascii="仿宋_GB2312" w:hAnsi="仿宋_GB2312" w:eastAsia="仿宋_GB2312" w:cs="仿宋_GB2312"/>
          <w:color w:val="000000" w:themeColor="text1"/>
          <w:lang w:val="en-US" w:eastAsia="zh-CN"/>
          <w14:textFill>
            <w14:solidFill>
              <w14:schemeClr w14:val="tx1"/>
            </w14:solidFill>
          </w14:textFill>
        </w:rPr>
        <w:t>《气象信息服务管理办法》（中国气象局令第27号，2020年修订）第九条规定，从事气象信息服务的单位应当“使用合法渠道获得的气象资料和气象预报产品”“建立业务规范和管理制度”“遵守气象有关技术标准、规范和规程”。上述规定是气象信息服务单位开展气象信息服务的基本要求，也是本条款中对服务单位基本服务能力进行规范的主要法规依据。铁路运行气象服务作为面向铁路用户的专业气象信息服务活动，其服务单位同样应当具备上述条件。</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服务单位应具备能实时获取铁路沿线及周边区域气温、降雨量或降雪量、风向、风速、能见度、雷电等气象资料的能力，这是基于铁路运行对气象信息的实时性和准确性要求极高，参考了《GB/T 35221—2017 地面气象观测规范 总则》中关于气象观测数据实时性和准确性的要求，确保服务单位能够提供及时、可靠的气象监测数据，以支持铁路运行的安全和效率。</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单位应具备能获取、分析地面及高空气象观测、卫星云图、数值天气预报等各类气象资料的能力，这是为了全面掌握天气系统的演变和可能对铁路运行产生的影响，此要求参考了国内外先进的气象预报技术和方法，确保服务单位能够利用多种气象资料进行综合分析，提高预报的准确性和预见性。</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单位应具备能实时获取有效覆盖铁路沿线的雷达探测基础数据、产品和雷达拼图，并能及时分析处理的能力，这是针对强对流天气等突发气象事件的快速响应需求，雷达探测数据具有高时空分辨率的特点，对于监测和预警暴雨、冰雹等灾害性天气具有重要作用，此要求参考了气象雷达探测技术和数据处理方法的相关标准和实践经验。</w:t>
      </w:r>
    </w:p>
    <w:p>
      <w:pPr>
        <w:pStyle w:val="2"/>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baseline"/>
        <w:rPr>
          <w:rFonts w:hint="eastAsia" w:ascii="仿宋_GB2312" w:eastAsia="仿宋_GB2312"/>
          <w:color w:val="000000" w:themeColor="text1"/>
          <w:sz w:val="28"/>
          <w:szCs w:val="28"/>
          <w:lang w:eastAsia="zh-CN"/>
          <w14:textFill>
            <w14:solidFill>
              <w14:schemeClr w14:val="tx1"/>
            </w14:solidFill>
          </w14:textFill>
        </w:rPr>
      </w:pPr>
      <w:r>
        <w:rPr>
          <w:sz w:val="32"/>
        </w:rPr>
        <mc:AlternateContent>
          <mc:Choice Requires="wps">
            <w:drawing>
              <wp:anchor distT="0" distB="0" distL="114300" distR="114300" simplePos="0" relativeHeight="251658240" behindDoc="0" locked="0" layoutInCell="1" allowOverlap="1">
                <wp:simplePos x="0" y="0"/>
                <wp:positionH relativeFrom="column">
                  <wp:posOffset>832485</wp:posOffset>
                </wp:positionH>
                <wp:positionV relativeFrom="paragraph">
                  <wp:posOffset>169545</wp:posOffset>
                </wp:positionV>
                <wp:extent cx="1818640" cy="311150"/>
                <wp:effectExtent l="13970" t="13970" r="15240" b="17780"/>
                <wp:wrapNone/>
                <wp:docPr id="4" name="文本框 4"/>
                <wp:cNvGraphicFramePr/>
                <a:graphic xmlns:a="http://schemas.openxmlformats.org/drawingml/2006/main">
                  <a:graphicData uri="http://schemas.microsoft.com/office/word/2010/wordprocessingShape">
                    <wps:wsp>
                      <wps:cNvSpPr txBox="1"/>
                      <wps:spPr>
                        <a:xfrm>
                          <a:off x="1975485" y="5147945"/>
                          <a:ext cx="1818640" cy="311150"/>
                        </a:xfrm>
                        <a:prstGeom prst="rect">
                          <a:avLst/>
                        </a:prstGeom>
                        <a:noFill/>
                        <a:ln w="28575" cmpd="sng">
                          <a:solidFill>
                            <a:srgbClr val="FF0000"/>
                          </a:solidFill>
                          <a:prstDash val="solid"/>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55pt;margin-top:13.35pt;height:24.5pt;width:143.2pt;z-index:251658240;mso-width-relative:page;mso-height-relative:page;" filled="f" stroked="t" coordsize="21600,21600" o:gfxdata="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vR5K9kAAAAJ&#10;AQAADwAAAAAAAAABACAAAAAiAAAAZHJzL2Rvd25yZXYueG1sUEsBAhQAFAAAAAgAh07iQM5bSkpU&#10;AgAAcgQAAA4AAAAAAAAAAQAgAAAAKAEAAGRycy9lMm9Eb2MueG1sUEsFBgAAAAAGAAYAWQEAAO4F&#10;AAAAAA==&#10;">
                <v:fill on="f" focussize="0,0"/>
                <v:stroke weight="2.25pt" color="#FF0000 [3204]" joinstyle="round"/>
                <v:imagedata o:title=""/>
                <o:lock v:ext="edit" aspectratio="f"/>
                <v:textbox>
                  <w:txbxContent>
                    <w:p/>
                  </w:txbxContent>
                </v:textbox>
              </v:shape>
            </w:pict>
          </mc:Fallback>
        </mc:AlternateContent>
      </w:r>
      <w:r>
        <w:rPr>
          <w:rFonts w:hint="eastAsia" w:ascii="仿宋_GB2312" w:hAnsi="仿宋_GB2312" w:eastAsia="仿宋_GB2312" w:cs="仿宋_GB2312"/>
          <w:color w:val="000000" w:themeColor="text1"/>
          <w:lang w:val="en-US" w:eastAsia="zh-CN"/>
          <w14:textFill>
            <w14:solidFill>
              <w14:schemeClr w14:val="tx1"/>
            </w14:solidFill>
          </w14:textFill>
        </w:rPr>
        <w:drawing>
          <wp:inline distT="0" distB="0" distL="114300" distR="114300">
            <wp:extent cx="5266690" cy="2715895"/>
            <wp:effectExtent l="0" t="0" r="10160" b="8255"/>
            <wp:docPr id="1" name="图片 1" descr="4365c79f-1656-4b3d-88e2-f9c7d5c6cc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365c79f-1656-4b3d-88e2-f9c7d5c6cc82"/>
                    <pic:cNvPicPr>
                      <a:picLocks noChangeAspect="1"/>
                    </pic:cNvPicPr>
                  </pic:nvPicPr>
                  <pic:blipFill>
                    <a:blip r:embed="rId10"/>
                    <a:stretch>
                      <a:fillRect/>
                    </a:stretch>
                  </pic:blipFill>
                  <pic:spPr>
                    <a:xfrm>
                      <a:off x="0" y="0"/>
                      <a:ext cx="5266690" cy="2715895"/>
                    </a:xfrm>
                    <a:prstGeom prst="rect">
                      <a:avLst/>
                    </a:prstGeom>
                  </pic:spPr>
                </pic:pic>
              </a:graphicData>
            </a:graphic>
          </wp:inline>
        </w:drawing>
      </w: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1 </w:t>
      </w:r>
      <w:r>
        <w:rPr>
          <w:rFonts w:hint="eastAsia" w:ascii="仿宋_GB2312" w:eastAsia="仿宋_GB2312"/>
          <w:color w:val="000000" w:themeColor="text1"/>
          <w:sz w:val="28"/>
          <w:szCs w:val="28"/>
          <w:lang w:eastAsia="zh-CN"/>
          <w14:textFill>
            <w14:solidFill>
              <w14:schemeClr w14:val="tx1"/>
            </w14:solidFill>
          </w14:textFill>
        </w:rPr>
        <w:t>广西铁路气象服务平台融合多源数据</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单位应具备能在汛期24h值班，全天候提供气象服务，其他时段在预报有降水时24h值班，并全天候提供气象服务，同时，当铁路沿线及周边区域可能出现灾害性天气时，能及时发布相关预警的能力。此要求参考了气象灾害预警发布的相关规定和铁路运行安全管理的实际需求，确保在恶劣天气条件下能够迅速响应并采取有效措施保障铁路运行安全。</w:t>
      </w:r>
    </w:p>
    <w:p>
      <w:pPr>
        <w:pStyle w:val="2"/>
        <w:keepNext w:val="0"/>
        <w:keepLines w:val="0"/>
        <w:pageBreakBefore w:val="0"/>
        <w:widowControl w:val="0"/>
        <w:kinsoku/>
        <w:wordWrap/>
        <w:overflowPunct/>
        <w:topLinePunct w:val="0"/>
        <w:autoSpaceDE/>
        <w:autoSpaceDN/>
        <w:bidi w:val="0"/>
        <w:adjustRightInd/>
        <w:snapToGrid/>
        <w:spacing w:line="240" w:lineRule="auto"/>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drawing>
          <wp:inline distT="0" distB="0" distL="114300" distR="114300">
            <wp:extent cx="5253990" cy="3940175"/>
            <wp:effectExtent l="0" t="0" r="3810" b="3175"/>
            <wp:docPr id="2" name="图片 2" descr="5662c32731d87f987dacc4c92312f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662c32731d87f987dacc4c92312ffa5"/>
                    <pic:cNvPicPr>
                      <a:picLocks noChangeAspect="1"/>
                    </pic:cNvPicPr>
                  </pic:nvPicPr>
                  <pic:blipFill>
                    <a:blip r:embed="rId11"/>
                    <a:stretch>
                      <a:fillRect/>
                    </a:stretch>
                  </pic:blipFill>
                  <pic:spPr>
                    <a:xfrm>
                      <a:off x="0" y="0"/>
                      <a:ext cx="5253990" cy="394017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2 </w:t>
      </w:r>
      <w:r>
        <w:rPr>
          <w:rFonts w:hint="eastAsia" w:ascii="仿宋_GB2312" w:eastAsia="仿宋_GB2312"/>
          <w:color w:val="000000" w:themeColor="text1"/>
          <w:sz w:val="28"/>
          <w:szCs w:val="28"/>
          <w:lang w:eastAsia="zh-CN"/>
          <w14:textFill>
            <w14:solidFill>
              <w14:schemeClr w14:val="tx1"/>
            </w14:solidFill>
          </w14:textFill>
        </w:rPr>
        <w:t>中国铁路南宁局集团有限公司工务部防洪防灾业务平台</w:t>
      </w:r>
    </w:p>
    <w:p>
      <w:pPr>
        <w:pStyle w:val="2"/>
        <w:keepNext w:val="0"/>
        <w:keepLines w:val="0"/>
        <w:pageBreakBefore w:val="0"/>
        <w:widowControl w:val="0"/>
        <w:kinsoku/>
        <w:wordWrap/>
        <w:overflowPunct/>
        <w:topLinePunct w:val="0"/>
        <w:autoSpaceDE/>
        <w:autoSpaceDN/>
        <w:bidi w:val="0"/>
        <w:adjustRightInd/>
        <w:snapToGrid/>
        <w:spacing w:line="240" w:lineRule="auto"/>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drawing>
          <wp:inline distT="0" distB="0" distL="114300" distR="114300">
            <wp:extent cx="5253990" cy="3940175"/>
            <wp:effectExtent l="0" t="0" r="3810" b="3175"/>
            <wp:docPr id="3" name="图片 3" descr="ccef5035971f7fa5e601417085b94a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cef5035971f7fa5e601417085b94a26"/>
                    <pic:cNvPicPr>
                      <a:picLocks noChangeAspect="1"/>
                    </pic:cNvPicPr>
                  </pic:nvPicPr>
                  <pic:blipFill>
                    <a:blip r:embed="rId12"/>
                    <a:stretch>
                      <a:fillRect/>
                    </a:stretch>
                  </pic:blipFill>
                  <pic:spPr>
                    <a:xfrm>
                      <a:off x="0" y="0"/>
                      <a:ext cx="5253990" cy="394017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3 </w:t>
      </w:r>
      <w:r>
        <w:rPr>
          <w:rFonts w:hint="eastAsia" w:ascii="仿宋_GB2312" w:eastAsia="仿宋_GB2312"/>
          <w:color w:val="000000" w:themeColor="text1"/>
          <w:sz w:val="28"/>
          <w:szCs w:val="28"/>
          <w:lang w:eastAsia="zh-CN"/>
          <w14:textFill>
            <w14:solidFill>
              <w14:schemeClr w14:val="tx1"/>
            </w14:solidFill>
          </w14:textFill>
        </w:rPr>
        <w:t>中国铁路南宁局集团有限公司工务部防洪防灾业务平台实况</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单位应具备能根据客户需求提供气象信息服务产品的能力，这体现了气象服务的个性化和差异化特点。不同铁路线路和运行时段对气象信息的需求可能存在差异，因此服务单位须具备根据客户需求定制服务产品的能力。此要求是基于与中国铁路南宁局集团有限公司的长期合作经验。铁路调度、工务、供电等部门对气象要素的需求不同（如调度关注大风限速，工务关注降雨量），因此必须具备灵活的定制服务能力。</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产品应根据用户需求量身定制，并明确产品内容、产品格式、服务方式等。产品内容应包含产品名称、服务内容、发布时间、制作单位等关键信息，以便用户快速了解产品的主要信息和使用价值。产品格式应通过文字、表格、图形、数据或组合形式来表达，以方便用户更好地理解信息。此要求参考了气象服务产品设计和开发的相关标准和实践经验，确保服务产品既满足用户需求又具有良好的可用性和可读性。</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服务方式应通过传真、网站、电话、自媒体、短信等多种形式实时发布，以确保用户及时获取气象服务信息。不同用户可能偏好不同的信息获取方式，因此服务单位需提供多种发布渠道以满足不同用户的需求。此要求参考了气象服务信息传播和接收的相关技术和方法，以及用户行为分析的相关研究成果，确保气象服务信息能够迅速、准确地传达给目标用户。</w:t>
      </w:r>
    </w:p>
    <w:p>
      <w:pPr>
        <w:pStyle w:val="2"/>
        <w:keepNext w:val="0"/>
        <w:keepLines w:val="0"/>
        <w:pageBreakBefore w:val="0"/>
        <w:widowControl w:val="0"/>
        <w:kinsoku/>
        <w:wordWrap/>
        <w:overflowPunct/>
        <w:topLinePunct w:val="0"/>
        <w:autoSpaceDE/>
        <w:autoSpaceDN/>
        <w:bidi w:val="0"/>
        <w:adjustRightInd/>
        <w:snapToGrid/>
        <w:spacing w:line="240" w:lineRule="auto"/>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drawing>
          <wp:inline distT="0" distB="0" distL="114300" distR="114300">
            <wp:extent cx="5266690" cy="2715895"/>
            <wp:effectExtent l="0" t="0" r="10160" b="8255"/>
            <wp:docPr id="5" name="图片 5" descr="服务产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服务产品"/>
                    <pic:cNvPicPr>
                      <a:picLocks noChangeAspect="1"/>
                    </pic:cNvPicPr>
                  </pic:nvPicPr>
                  <pic:blipFill>
                    <a:blip r:embed="rId13"/>
                    <a:stretch>
                      <a:fillRect/>
                    </a:stretch>
                  </pic:blipFill>
                  <pic:spPr>
                    <a:xfrm>
                      <a:off x="0" y="0"/>
                      <a:ext cx="5266690" cy="271589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4 </w:t>
      </w:r>
      <w:r>
        <w:rPr>
          <w:rFonts w:hint="eastAsia" w:ascii="仿宋_GB2312" w:eastAsia="仿宋_GB2312"/>
          <w:color w:val="000000" w:themeColor="text1"/>
          <w:sz w:val="28"/>
          <w:szCs w:val="28"/>
          <w:lang w:eastAsia="zh-CN"/>
          <w14:textFill>
            <w14:solidFill>
              <w14:schemeClr w14:val="tx1"/>
            </w14:solidFill>
          </w14:textFill>
        </w:rPr>
        <w:t>广西铁路气象服务平台服务产品</w:t>
      </w:r>
    </w:p>
    <w:p>
      <w:pPr>
        <w:spacing w:line="560" w:lineRule="exact"/>
        <w:ind w:firstLine="643" w:firstLineChars="200"/>
        <w:outlineLvl w:val="1"/>
        <w:rPr>
          <w:rFonts w:hint="eastAsia" w:ascii="楷体" w:hAnsi="楷体" w:eastAsia="楷体" w:cs="仿宋_GB2312"/>
          <w:b/>
          <w:bCs/>
          <w:color w:val="000000" w:themeColor="text1"/>
          <w:sz w:val="32"/>
          <w:szCs w:val="32"/>
          <w:lang w:eastAsia="zh-CN"/>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（三）</w:t>
      </w:r>
      <w:r>
        <w:rPr>
          <w:rFonts w:ascii="楷体" w:hAnsi="楷体" w:eastAsia="楷体" w:cs="仿宋_GB2312"/>
          <w:b/>
          <w:bCs/>
          <w:color w:val="000000" w:themeColor="text1"/>
          <w:sz w:val="32"/>
          <w:szCs w:val="32"/>
          <w14:textFill>
            <w14:solidFill>
              <w14:schemeClr w14:val="tx1"/>
            </w14:solidFill>
          </w14:textFill>
        </w:rPr>
        <w:t>服务</w:t>
      </w:r>
      <w:r>
        <w:rPr>
          <w:rFonts w:hint="eastAsia" w:ascii="楷体" w:hAnsi="楷体" w:eastAsia="楷体" w:cs="仿宋_GB2312"/>
          <w:b/>
          <w:bCs/>
          <w:color w:val="000000" w:themeColor="text1"/>
          <w:sz w:val="32"/>
          <w:szCs w:val="32"/>
          <w:lang w:val="en-US" w:eastAsia="zh-CN"/>
          <w14:textFill>
            <w14:solidFill>
              <w14:schemeClr w14:val="tx1"/>
            </w14:solidFill>
          </w14:textFill>
        </w:rPr>
        <w:t>准备</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本章主要规定了开展铁路运行气象服务前必须进行的现场调查及气象观测站建设要求，旨在确保气象服务数据的精准性和针对性。</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铁路运行具有高度的时间敏感性和空间特定性，不同线路、不同时段的运行对气象条件的需求各异。例如，山区铁路可能更关注降雨引发的泥石流风险，而高原铁路则可能更关注大风对列车运行的影响。因此，进行现场调查是了解铁路运行线路、运行时间、铁路沿线气候特征及气象要素变化规律的基础工作，有助于精准识别铁路运行对气象服务的需求。通过现场调查，可以收集铁路沿线的历史气象灾害数据，评估不同气象条件对铁路运行安全的潜在威胁。这有助于制定针对性的气象服务策略，提前采取防范措施，减少气象灾害对铁路运行的影响。通过与铁路运营部门、调度中心等相关用户进行深入沟通，了解他们对气象服务的具体需求和期望。这有助于确保气象服务产品能够满足用户的实际需求，提高服务的针对性和实用性。因此，现场调查规定：应对服务区域内铁路运行线路、运行时间、铁路沿线气候特征及气象要素变化规律、铁路对气象服务的需求等进行现场调查。</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铁路沿线全程建设自动观测站可以显著提高气象观测的密度和精度，确保能够实时、准确地获取铁路沿线的气象信息。这对于监测突发气象事件（如强对流天气）和评估其对铁路运行的影响至关重要。高密度的气象观测数据为数值天气预报模型提供了更精确的初始场，有助于提高预报的准确性和精细化水平。</w:t>
      </w:r>
      <w:r>
        <w:rPr>
          <w:rFonts w:hint="default" w:ascii="仿宋_GB2312" w:hAnsi="仿宋_GB2312" w:eastAsia="仿宋_GB2312" w:cs="仿宋_GB2312"/>
          <w:color w:val="000000" w:themeColor="text1"/>
          <w:lang w:val="en-US" w:eastAsia="zh-CN"/>
          <w14:textFill>
            <w14:solidFill>
              <w14:schemeClr w14:val="tx1"/>
            </w14:solidFill>
          </w14:textFill>
        </w:rPr>
        <w:t>同时，这些数据也是开展铁路运行气象服务（如实况监测、天气预报、灾害性天气预警等）的基础。</w:t>
      </w:r>
      <w:r>
        <w:rPr>
          <w:rFonts w:hint="eastAsia" w:ascii="仿宋_GB2312" w:hAnsi="仿宋_GB2312" w:eastAsia="仿宋_GB2312" w:cs="仿宋_GB2312"/>
          <w:color w:val="000000" w:themeColor="text1"/>
          <w:lang w:val="en-US" w:eastAsia="zh-CN"/>
          <w14:textFill>
            <w14:solidFill>
              <w14:schemeClr w14:val="tx1"/>
            </w14:solidFill>
          </w14:textFill>
        </w:rPr>
        <w:t>因此，建议铁路沿线全程站点宜建设自动观测站。</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default" w:ascii="仿宋_GB2312" w:hAnsi="仿宋_GB2312" w:eastAsia="仿宋_GB2312" w:cs="仿宋_GB2312"/>
          <w:color w:val="000000" w:themeColor="text1"/>
          <w:lang w:val="en-US" w:eastAsia="zh-CN"/>
          <w14:textFill>
            <w14:solidFill>
              <w14:schemeClr w14:val="tx1"/>
            </w14:solidFill>
          </w14:textFill>
        </w:rPr>
        <w:t>气象观测仪器应符合国务院气象主管机构规定的技术要求，并经国务院气象主管机构审查合格且在检定合格有效期内</w:t>
      </w:r>
      <w:r>
        <w:rPr>
          <w:rFonts w:hint="eastAsia" w:ascii="仿宋_GB2312" w:hAnsi="仿宋_GB2312" w:eastAsia="仿宋_GB2312" w:cs="仿宋_GB2312"/>
          <w:color w:val="000000" w:themeColor="text1"/>
          <w:lang w:val="en-US" w:eastAsia="zh-CN"/>
          <w14:textFill>
            <w14:solidFill>
              <w14:schemeClr w14:val="tx1"/>
            </w14:solidFill>
          </w14:textFill>
        </w:rPr>
        <w:t>。气象观测仪器的技术性能和准确性直接影响到观测数据的质量。符合国务院气象主管机构规定的技术要求，并经过审查合格且在检定合格有效期内的仪器，能够确保观测数据的准确性、可靠性和可比性。使用符合规定的气象观测仪器是遵守国家相关法规和标准的要求。这有助于维护气象观测的规范性和统一性，促进气象数据的共享和应用。</w:t>
      </w:r>
    </w:p>
    <w:p>
      <w:pPr>
        <w:pStyle w:val="2"/>
        <w:spacing w:line="560" w:lineRule="exact"/>
        <w:ind w:firstLine="640" w:firstLineChars="200"/>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《GB/T 35221—2017 地面气象观测规范 总则》及相关标准详细规定了气象观测仪器的安装、使用和维护要求。遵循这些规范可以确保观测操作的规范性和一致性，减少人为误差对观测数据的影响。同时，正确的安装、使用和维护是保障气象观测仪器正常运行和延长使用寿命的关键。遵循相关标准可以确保仪器处于良好的工作状态，提高观测数据的连续性和稳定性。</w:t>
      </w:r>
    </w:p>
    <w:p>
      <w:pPr>
        <w:spacing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（四）服务内容</w:t>
      </w:r>
    </w:p>
    <w:p>
      <w:pPr>
        <w:pStyle w:val="2"/>
        <w:ind w:firstLine="640"/>
        <w:rPr>
          <w:rFonts w:hint="eastAsia" w:ascii="仿宋_GB2312" w:eastAsia="仿宋_GB2312"/>
          <w:lang w:val="en-US" w:eastAsia="zh-CN"/>
        </w:rPr>
      </w:pPr>
      <w:r>
        <w:rPr>
          <w:rFonts w:hint="eastAsia" w:ascii="仿宋_GB2312" w:eastAsia="仿宋_GB2312"/>
        </w:rPr>
        <w:t>本章依据铁路运输安全生产对气象服务的时效性、准确性和针对性要求，结合气象预报业务的客观能力，将服务内容划分为实况监测、天气预报及其他专项服务，并规定了具体的产品名称、服务内容及频次。</w:t>
      </w:r>
    </w:p>
    <w:p>
      <w:pPr>
        <w:pStyle w:val="44"/>
        <w:spacing w:before="120" w:after="120"/>
        <w:rPr>
          <w:rFonts w:hint="eastAsia"/>
        </w:rPr>
      </w:pPr>
      <w:r>
        <w:rPr>
          <w:rFonts w:hint="eastAsia"/>
        </w:rPr>
        <w:t>气象服务产品名称、服务内容和服务频次</w:t>
      </w:r>
    </w:p>
    <w:tbl>
      <w:tblPr>
        <w:tblStyle w:val="13"/>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656"/>
        <w:gridCol w:w="869"/>
        <w:gridCol w:w="1382"/>
        <w:gridCol w:w="2750"/>
        <w:gridCol w:w="166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75" w:type="dxa"/>
            <w:tcBorders>
              <w:top w:val="single" w:color="auto" w:sz="8" w:space="0"/>
              <w:bottom w:val="single" w:color="auto" w:sz="8" w:space="0"/>
            </w:tcBorders>
            <w:shd w:val="clear" w:color="auto" w:fill="auto"/>
            <w:vAlign w:val="center"/>
          </w:tcPr>
          <w:p>
            <w:pPr>
              <w:pStyle w:val="45"/>
              <w:rPr>
                <w:rFonts w:hint="eastAsia"/>
              </w:rPr>
            </w:pPr>
            <w:r>
              <w:rPr>
                <w:rFonts w:hint="eastAsia"/>
              </w:rPr>
              <w:t>序号</w:t>
            </w:r>
          </w:p>
        </w:tc>
        <w:tc>
          <w:tcPr>
            <w:tcW w:w="2530" w:type="dxa"/>
            <w:gridSpan w:val="2"/>
            <w:tcBorders>
              <w:top w:val="single" w:color="auto" w:sz="8" w:space="0"/>
              <w:bottom w:val="single" w:color="auto" w:sz="8" w:space="0"/>
            </w:tcBorders>
            <w:shd w:val="clear" w:color="auto" w:fill="auto"/>
            <w:vAlign w:val="center"/>
          </w:tcPr>
          <w:p>
            <w:pPr>
              <w:pStyle w:val="45"/>
              <w:rPr>
                <w:rFonts w:hint="eastAsia"/>
              </w:rPr>
            </w:pPr>
            <w:r>
              <w:rPr>
                <w:rFonts w:hint="eastAsia"/>
              </w:rPr>
              <w:t>产品名称</w:t>
            </w:r>
          </w:p>
        </w:tc>
        <w:tc>
          <w:tcPr>
            <w:tcW w:w="3093" w:type="dxa"/>
            <w:tcBorders>
              <w:top w:val="single" w:color="auto" w:sz="8" w:space="0"/>
              <w:bottom w:val="single" w:color="auto" w:sz="8" w:space="0"/>
            </w:tcBorders>
            <w:shd w:val="clear" w:color="auto" w:fill="auto"/>
            <w:vAlign w:val="center"/>
          </w:tcPr>
          <w:p>
            <w:pPr>
              <w:pStyle w:val="45"/>
              <w:rPr>
                <w:rFonts w:hint="eastAsia"/>
              </w:rPr>
            </w:pPr>
            <w:r>
              <w:rPr>
                <w:rFonts w:hint="eastAsia"/>
              </w:rPr>
              <w:t>服务内容</w:t>
            </w:r>
          </w:p>
        </w:tc>
        <w:tc>
          <w:tcPr>
            <w:tcW w:w="1876" w:type="dxa"/>
            <w:tcBorders>
              <w:top w:val="single" w:color="auto" w:sz="8" w:space="0"/>
              <w:bottom w:val="single" w:color="auto" w:sz="8" w:space="0"/>
            </w:tcBorders>
            <w:shd w:val="clear" w:color="auto" w:fill="auto"/>
            <w:vAlign w:val="center"/>
          </w:tcPr>
          <w:p>
            <w:pPr>
              <w:pStyle w:val="45"/>
              <w:rPr>
                <w:rFonts w:hint="eastAsia"/>
              </w:rPr>
            </w:pPr>
            <w:r>
              <w:rPr>
                <w:rFonts w:hint="eastAsia"/>
              </w:rPr>
              <w:t>服务频次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tcBorders>
              <w:top w:val="single" w:color="auto" w:sz="8" w:space="0"/>
            </w:tcBorders>
            <w:shd w:val="clear" w:color="auto" w:fill="auto"/>
            <w:vAlign w:val="center"/>
          </w:tcPr>
          <w:p>
            <w:pPr>
              <w:pStyle w:val="45"/>
              <w:rPr>
                <w:rFonts w:hint="eastAsia"/>
              </w:rPr>
            </w:pPr>
            <w:r>
              <w:rPr>
                <w:rFonts w:hint="eastAsia"/>
              </w:rPr>
              <w:t>1</w:t>
            </w:r>
          </w:p>
        </w:tc>
        <w:tc>
          <w:tcPr>
            <w:tcW w:w="2530" w:type="dxa"/>
            <w:gridSpan w:val="2"/>
            <w:tcBorders>
              <w:top w:val="single" w:color="auto" w:sz="8" w:space="0"/>
            </w:tcBorders>
            <w:shd w:val="clear" w:color="auto" w:fill="auto"/>
            <w:vAlign w:val="center"/>
          </w:tcPr>
          <w:p>
            <w:pPr>
              <w:pStyle w:val="45"/>
              <w:rPr>
                <w:rFonts w:hint="eastAsia"/>
              </w:rPr>
            </w:pPr>
            <w:r>
              <w:rPr>
                <w:rFonts w:hint="eastAsia"/>
              </w:rPr>
              <w:t>实况监测服务</w:t>
            </w:r>
          </w:p>
        </w:tc>
        <w:tc>
          <w:tcPr>
            <w:tcW w:w="3093" w:type="dxa"/>
            <w:tcBorders>
              <w:top w:val="single" w:color="auto" w:sz="8" w:space="0"/>
            </w:tcBorders>
            <w:shd w:val="clear" w:color="auto" w:fill="auto"/>
            <w:vAlign w:val="center"/>
          </w:tcPr>
          <w:p>
            <w:pPr>
              <w:pStyle w:val="45"/>
              <w:rPr>
                <w:rFonts w:hint="eastAsia"/>
              </w:rPr>
            </w:pPr>
            <w:r>
              <w:rPr>
                <w:rFonts w:hint="eastAsia"/>
              </w:rPr>
              <w:t>实时</w:t>
            </w:r>
            <w:r>
              <w:rPr>
                <w:rFonts w:hAnsi="宋体"/>
              </w:rPr>
              <w:t>气温、降雨量或降雪量、风向、风速、能见度等气象监测数据</w:t>
            </w:r>
          </w:p>
        </w:tc>
        <w:tc>
          <w:tcPr>
            <w:tcW w:w="1876" w:type="dxa"/>
            <w:tcBorders>
              <w:top w:val="single" w:color="auto" w:sz="8" w:space="0"/>
            </w:tcBorders>
            <w:shd w:val="clear" w:color="auto" w:fill="auto"/>
            <w:vAlign w:val="center"/>
          </w:tcPr>
          <w:p>
            <w:pPr>
              <w:pStyle w:val="45"/>
              <w:rPr>
                <w:rFonts w:hint="eastAsia"/>
              </w:rPr>
            </w:pPr>
            <w:r>
              <w:rPr>
                <w:rFonts w:hint="eastAsia"/>
              </w:rPr>
              <w:t>实时提供</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shd w:val="clear" w:color="auto" w:fill="auto"/>
            <w:vAlign w:val="center"/>
          </w:tcPr>
          <w:p>
            <w:pPr>
              <w:pStyle w:val="45"/>
              <w:rPr>
                <w:rFonts w:hint="eastAsia"/>
              </w:rPr>
            </w:pPr>
            <w:r>
              <w:rPr>
                <w:rFonts w:hint="eastAsia"/>
              </w:rPr>
              <w:t>2</w:t>
            </w:r>
          </w:p>
        </w:tc>
        <w:tc>
          <w:tcPr>
            <w:tcW w:w="970" w:type="dxa"/>
            <w:vMerge w:val="restart"/>
            <w:shd w:val="clear" w:color="auto" w:fill="auto"/>
            <w:vAlign w:val="center"/>
          </w:tcPr>
          <w:p>
            <w:pPr>
              <w:pStyle w:val="45"/>
              <w:rPr>
                <w:rFonts w:hint="eastAsia"/>
              </w:rPr>
            </w:pPr>
            <w:r>
              <w:rPr>
                <w:rFonts w:hint="eastAsia"/>
              </w:rPr>
              <w:t>天气预报</w:t>
            </w:r>
          </w:p>
          <w:p>
            <w:pPr>
              <w:pStyle w:val="45"/>
              <w:rPr>
                <w:rFonts w:hint="eastAsia"/>
              </w:rPr>
            </w:pPr>
            <w:r>
              <w:rPr>
                <w:rFonts w:hint="eastAsia"/>
              </w:rPr>
              <w:t>服务</w:t>
            </w:r>
          </w:p>
        </w:tc>
        <w:tc>
          <w:tcPr>
            <w:tcW w:w="1560" w:type="dxa"/>
            <w:shd w:val="clear" w:color="auto" w:fill="auto"/>
            <w:vAlign w:val="center"/>
          </w:tcPr>
          <w:p>
            <w:pPr>
              <w:pStyle w:val="45"/>
              <w:rPr>
                <w:rFonts w:hint="eastAsia"/>
              </w:rPr>
            </w:pPr>
            <w:r>
              <w:rPr>
                <w:rFonts w:hint="eastAsia"/>
              </w:rPr>
              <w:t>临近</w:t>
            </w:r>
            <w:r>
              <w:rPr>
                <w:rFonts w:hint="eastAsia" w:hAnsi="宋体"/>
              </w:rPr>
              <w:t>天气预报</w:t>
            </w:r>
          </w:p>
        </w:tc>
        <w:tc>
          <w:tcPr>
            <w:tcW w:w="3093" w:type="dxa"/>
            <w:shd w:val="clear" w:color="auto" w:fill="auto"/>
            <w:vAlign w:val="center"/>
          </w:tcPr>
          <w:p>
            <w:pPr>
              <w:pStyle w:val="45"/>
              <w:rPr>
                <w:rFonts w:hint="eastAsia"/>
              </w:rPr>
            </w:pPr>
            <w:r>
              <w:rPr>
                <w:rFonts w:hint="eastAsia"/>
              </w:rPr>
              <w:t>未来0h</w:t>
            </w:r>
            <w:bookmarkStart w:id="4" w:name="OLE_LINK7"/>
            <w:bookmarkStart w:id="5" w:name="OLE_LINK6"/>
            <w:r>
              <w:rPr>
                <w:rFonts w:hint="eastAsia"/>
              </w:rPr>
              <w:t>～</w:t>
            </w:r>
            <w:bookmarkEnd w:id="4"/>
            <w:bookmarkEnd w:id="5"/>
            <w:r>
              <w:rPr>
                <w:rFonts w:hint="eastAsia"/>
              </w:rPr>
              <w:t>2h气温、降雨量或降雪量、风向、风速、能见度</w:t>
            </w:r>
          </w:p>
        </w:tc>
        <w:tc>
          <w:tcPr>
            <w:tcW w:w="1876" w:type="dxa"/>
            <w:shd w:val="clear" w:color="auto" w:fill="auto"/>
            <w:vAlign w:val="center"/>
          </w:tcPr>
          <w:p>
            <w:pPr>
              <w:pStyle w:val="45"/>
            </w:pPr>
            <w:r>
              <w:rPr>
                <w:rFonts w:hint="eastAsia"/>
              </w:rPr>
              <w:t>1h/次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shd w:val="clear" w:color="auto" w:fill="auto"/>
            <w:vAlign w:val="center"/>
          </w:tcPr>
          <w:p>
            <w:pPr>
              <w:pStyle w:val="45"/>
              <w:rPr>
                <w:rFonts w:hint="eastAsia"/>
              </w:rPr>
            </w:pPr>
            <w:r>
              <w:rPr>
                <w:rFonts w:hint="eastAsia"/>
              </w:rPr>
              <w:t>3</w:t>
            </w:r>
          </w:p>
        </w:tc>
        <w:tc>
          <w:tcPr>
            <w:tcW w:w="970" w:type="dxa"/>
            <w:vMerge w:val="continue"/>
            <w:shd w:val="clear" w:color="auto" w:fill="auto"/>
            <w:vAlign w:val="center"/>
          </w:tcPr>
          <w:p>
            <w:pPr>
              <w:pStyle w:val="45"/>
              <w:rPr>
                <w:rFonts w:hint="eastAsia"/>
              </w:rPr>
            </w:pPr>
          </w:p>
        </w:tc>
        <w:tc>
          <w:tcPr>
            <w:tcW w:w="1560" w:type="dxa"/>
            <w:shd w:val="clear" w:color="auto" w:fill="auto"/>
            <w:vAlign w:val="center"/>
          </w:tcPr>
          <w:p>
            <w:pPr>
              <w:pStyle w:val="45"/>
              <w:rPr>
                <w:rFonts w:hint="eastAsia"/>
              </w:rPr>
            </w:pPr>
            <w:r>
              <w:rPr>
                <w:rFonts w:hint="eastAsia"/>
              </w:rPr>
              <w:t>短时</w:t>
            </w:r>
            <w:r>
              <w:rPr>
                <w:rFonts w:hint="eastAsia" w:hAnsi="宋体"/>
              </w:rPr>
              <w:t>天气预报</w:t>
            </w:r>
          </w:p>
        </w:tc>
        <w:tc>
          <w:tcPr>
            <w:tcW w:w="3093" w:type="dxa"/>
            <w:shd w:val="clear" w:color="auto" w:fill="auto"/>
            <w:vAlign w:val="center"/>
          </w:tcPr>
          <w:p>
            <w:pPr>
              <w:pStyle w:val="45"/>
              <w:rPr>
                <w:rFonts w:hint="eastAsia"/>
              </w:rPr>
            </w:pPr>
            <w:r>
              <w:rPr>
                <w:rFonts w:hint="eastAsia"/>
              </w:rPr>
              <w:t>未来0h～12h气温、降雨量或降雪量、风向、风速、能见度</w:t>
            </w:r>
          </w:p>
        </w:tc>
        <w:tc>
          <w:tcPr>
            <w:tcW w:w="1876" w:type="dxa"/>
            <w:shd w:val="clear" w:color="auto" w:fill="auto"/>
            <w:vAlign w:val="center"/>
          </w:tcPr>
          <w:p>
            <w:pPr>
              <w:pStyle w:val="45"/>
            </w:pPr>
            <w:r>
              <w:rPr>
                <w:rFonts w:hint="eastAsia"/>
              </w:rPr>
              <w:t>3h/次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shd w:val="clear" w:color="auto" w:fill="auto"/>
            <w:vAlign w:val="center"/>
          </w:tcPr>
          <w:p>
            <w:pPr>
              <w:pStyle w:val="45"/>
              <w:rPr>
                <w:rFonts w:hint="eastAsia"/>
              </w:rPr>
            </w:pPr>
            <w:r>
              <w:rPr>
                <w:rFonts w:hint="eastAsia"/>
              </w:rPr>
              <w:t>4</w:t>
            </w:r>
          </w:p>
        </w:tc>
        <w:tc>
          <w:tcPr>
            <w:tcW w:w="970" w:type="dxa"/>
            <w:vMerge w:val="continue"/>
            <w:shd w:val="clear" w:color="auto" w:fill="auto"/>
            <w:vAlign w:val="center"/>
          </w:tcPr>
          <w:p>
            <w:pPr>
              <w:pStyle w:val="45"/>
              <w:rPr>
                <w:rFonts w:hint="eastAsia"/>
              </w:rPr>
            </w:pPr>
          </w:p>
        </w:tc>
        <w:tc>
          <w:tcPr>
            <w:tcW w:w="1560" w:type="dxa"/>
            <w:shd w:val="clear" w:color="auto" w:fill="auto"/>
            <w:vAlign w:val="center"/>
          </w:tcPr>
          <w:p>
            <w:pPr>
              <w:pStyle w:val="45"/>
              <w:rPr>
                <w:rFonts w:hint="eastAsia"/>
              </w:rPr>
            </w:pPr>
            <w:r>
              <w:rPr>
                <w:rFonts w:hint="eastAsia"/>
              </w:rPr>
              <w:t>短期</w:t>
            </w:r>
            <w:r>
              <w:rPr>
                <w:rFonts w:hint="eastAsia" w:hAnsi="宋体"/>
              </w:rPr>
              <w:t>天气预报</w:t>
            </w:r>
          </w:p>
        </w:tc>
        <w:tc>
          <w:tcPr>
            <w:tcW w:w="3093" w:type="dxa"/>
            <w:shd w:val="clear" w:color="auto" w:fill="auto"/>
            <w:vAlign w:val="center"/>
          </w:tcPr>
          <w:p>
            <w:pPr>
              <w:pStyle w:val="45"/>
              <w:rPr>
                <w:rFonts w:hint="eastAsia"/>
              </w:rPr>
            </w:pPr>
            <w:r>
              <w:rPr>
                <w:rFonts w:hint="eastAsia"/>
              </w:rPr>
              <w:t>未来72h气温、降雨量或降雪量、风向、风速、能见度</w:t>
            </w:r>
          </w:p>
        </w:tc>
        <w:tc>
          <w:tcPr>
            <w:tcW w:w="1876" w:type="dxa"/>
            <w:shd w:val="clear" w:color="auto" w:fill="auto"/>
            <w:vAlign w:val="center"/>
          </w:tcPr>
          <w:p>
            <w:pPr>
              <w:pStyle w:val="45"/>
            </w:pPr>
            <w:r>
              <w:rPr>
                <w:rFonts w:hint="eastAsia"/>
              </w:rPr>
              <w:t>每天/次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shd w:val="clear" w:color="auto" w:fill="auto"/>
            <w:vAlign w:val="center"/>
          </w:tcPr>
          <w:p>
            <w:pPr>
              <w:pStyle w:val="45"/>
              <w:rPr>
                <w:rFonts w:hint="eastAsia"/>
              </w:rPr>
            </w:pPr>
            <w:r>
              <w:rPr>
                <w:rFonts w:hint="eastAsia"/>
              </w:rPr>
              <w:t>5</w:t>
            </w:r>
          </w:p>
        </w:tc>
        <w:tc>
          <w:tcPr>
            <w:tcW w:w="970" w:type="dxa"/>
            <w:vMerge w:val="continue"/>
            <w:shd w:val="clear" w:color="auto" w:fill="auto"/>
            <w:vAlign w:val="center"/>
          </w:tcPr>
          <w:p>
            <w:pPr>
              <w:pStyle w:val="45"/>
              <w:rPr>
                <w:rFonts w:hint="eastAsia"/>
              </w:rPr>
            </w:pPr>
          </w:p>
        </w:tc>
        <w:tc>
          <w:tcPr>
            <w:tcW w:w="1560" w:type="dxa"/>
            <w:shd w:val="clear" w:color="auto" w:fill="auto"/>
            <w:vAlign w:val="center"/>
          </w:tcPr>
          <w:p>
            <w:pPr>
              <w:pStyle w:val="45"/>
              <w:rPr>
                <w:rFonts w:hint="eastAsia"/>
              </w:rPr>
            </w:pPr>
            <w:r>
              <w:rPr>
                <w:rFonts w:hint="eastAsia"/>
              </w:rPr>
              <w:t>中期</w:t>
            </w:r>
            <w:r>
              <w:rPr>
                <w:rFonts w:hint="eastAsia" w:hAnsi="宋体"/>
              </w:rPr>
              <w:t>天气预报</w:t>
            </w:r>
          </w:p>
        </w:tc>
        <w:tc>
          <w:tcPr>
            <w:tcW w:w="3093" w:type="dxa"/>
            <w:shd w:val="clear" w:color="auto" w:fill="auto"/>
            <w:vAlign w:val="center"/>
          </w:tcPr>
          <w:p>
            <w:pPr>
              <w:pStyle w:val="45"/>
              <w:rPr>
                <w:rFonts w:hint="eastAsia"/>
              </w:rPr>
            </w:pPr>
            <w:r>
              <w:rPr>
                <w:rFonts w:hint="eastAsia"/>
              </w:rPr>
              <w:t>未来72h～240h气温、降雨量或降雪量、风向、风速、能见度</w:t>
            </w:r>
          </w:p>
        </w:tc>
        <w:tc>
          <w:tcPr>
            <w:tcW w:w="1876" w:type="dxa"/>
            <w:shd w:val="clear" w:color="auto" w:fill="auto"/>
            <w:vAlign w:val="center"/>
          </w:tcPr>
          <w:p>
            <w:pPr>
              <w:pStyle w:val="45"/>
            </w:pPr>
            <w:r>
              <w:rPr>
                <w:rFonts w:hint="eastAsia"/>
              </w:rPr>
              <w:t>每天/次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75" w:type="dxa"/>
            <w:shd w:val="clear" w:color="auto" w:fill="auto"/>
            <w:vAlign w:val="center"/>
          </w:tcPr>
          <w:p>
            <w:pPr>
              <w:pStyle w:val="45"/>
              <w:rPr>
                <w:rFonts w:hint="eastAsia"/>
              </w:rPr>
            </w:pPr>
            <w:r>
              <w:rPr>
                <w:rFonts w:hint="eastAsia"/>
              </w:rPr>
              <w:t>6</w:t>
            </w:r>
          </w:p>
        </w:tc>
        <w:tc>
          <w:tcPr>
            <w:tcW w:w="970" w:type="dxa"/>
            <w:vMerge w:val="continue"/>
            <w:shd w:val="clear" w:color="auto" w:fill="auto"/>
            <w:vAlign w:val="center"/>
          </w:tcPr>
          <w:p>
            <w:pPr>
              <w:pStyle w:val="45"/>
              <w:rPr>
                <w:rFonts w:hint="eastAsia"/>
              </w:rPr>
            </w:pPr>
          </w:p>
        </w:tc>
        <w:tc>
          <w:tcPr>
            <w:tcW w:w="1560" w:type="dxa"/>
            <w:shd w:val="clear" w:color="auto" w:fill="auto"/>
            <w:vAlign w:val="center"/>
          </w:tcPr>
          <w:p>
            <w:pPr>
              <w:pStyle w:val="45"/>
              <w:rPr>
                <w:rFonts w:hint="eastAsia"/>
              </w:rPr>
            </w:pPr>
            <w:r>
              <w:rPr>
                <w:rFonts w:hint="eastAsia"/>
              </w:rPr>
              <w:t>灾害性</w:t>
            </w:r>
            <w:r>
              <w:rPr>
                <w:rFonts w:hint="eastAsia" w:hAnsi="宋体"/>
              </w:rPr>
              <w:t>天气预报和气象灾害预警信号</w:t>
            </w:r>
          </w:p>
        </w:tc>
        <w:tc>
          <w:tcPr>
            <w:tcW w:w="3093" w:type="dxa"/>
            <w:shd w:val="clear" w:color="auto" w:fill="auto"/>
            <w:vAlign w:val="center"/>
          </w:tcPr>
          <w:p>
            <w:pPr>
              <w:pStyle w:val="45"/>
              <w:rPr>
                <w:rFonts w:hint="eastAsia"/>
              </w:rPr>
            </w:pPr>
            <w:r>
              <w:rPr>
                <w:rFonts w:hint="eastAsia"/>
              </w:rPr>
              <w:t>暴雨、暴雪、大风、台风等灾害性天气预报和预警</w:t>
            </w:r>
          </w:p>
        </w:tc>
        <w:tc>
          <w:tcPr>
            <w:tcW w:w="1876" w:type="dxa"/>
            <w:shd w:val="clear" w:color="auto" w:fill="auto"/>
            <w:vAlign w:val="center"/>
          </w:tcPr>
          <w:p>
            <w:pPr>
              <w:pStyle w:val="45"/>
            </w:pPr>
            <w:r>
              <w:rPr>
                <w:rFonts w:hint="eastAsia"/>
              </w:rPr>
              <w:t>随时提供</w:t>
            </w:r>
          </w:p>
        </w:tc>
      </w:tr>
    </w:tbl>
    <w:p>
      <w:pPr>
        <w:pStyle w:val="2"/>
        <w:ind w:firstLine="640"/>
        <w:rPr>
          <w:rFonts w:hint="default" w:ascii="仿宋_GB2312" w:eastAsia="仿宋_GB2312"/>
        </w:rPr>
      </w:pPr>
      <w:r>
        <w:rPr>
          <w:rFonts w:hint="eastAsia" w:ascii="仿宋_GB2312" w:eastAsia="仿宋_GB2312"/>
        </w:rPr>
        <w:t>表1将铁路运行气象服务内容设定为“实况监测服务”“天气预报服务”和“其他服务”，形成“监测—预报—应急”三位一体的服务框架。该框架与国家层面关于气象服务体系的总体设计相吻合。《气象信息服务管理办法》第三条将气象信息服务界定为利用气象资料和气象预报产品开展面向用户需求的信息服务活动</w:t>
      </w:r>
      <w:r>
        <w:rPr>
          <w:rFonts w:hint="default" w:ascii="仿宋_GB2312" w:eastAsia="仿宋_GB2312"/>
        </w:rPr>
        <w:t>。各有关部门联合印发的《</w:t>
      </w:r>
      <w:r>
        <w:rPr>
          <w:rFonts w:hint="eastAsia" w:ascii="仿宋_GB2312" w:eastAsia="仿宋_GB2312"/>
          <w:lang w:eastAsia="zh-CN"/>
        </w:rPr>
        <w:t>“</w:t>
      </w:r>
      <w:r>
        <w:rPr>
          <w:rFonts w:hint="default" w:ascii="仿宋_GB2312" w:eastAsia="仿宋_GB2312"/>
        </w:rPr>
        <w:t>十四五</w:t>
      </w:r>
      <w:r>
        <w:rPr>
          <w:rFonts w:hint="eastAsia" w:ascii="仿宋_GB2312" w:eastAsia="仿宋_GB2312"/>
          <w:lang w:eastAsia="zh-CN"/>
        </w:rPr>
        <w:t>”</w:t>
      </w:r>
      <w:r>
        <w:rPr>
          <w:rFonts w:hint="default" w:ascii="仿宋_GB2312" w:eastAsia="仿宋_GB2312"/>
        </w:rPr>
        <w:t>交通气象保障规划》明确要</w:t>
      </w:r>
      <w:r>
        <w:rPr>
          <w:rFonts w:hint="eastAsia" w:ascii="仿宋_GB2312" w:eastAsia="仿宋_GB2312"/>
          <w:lang w:eastAsia="zh-CN"/>
        </w:rPr>
        <w:t>“</w:t>
      </w:r>
      <w:r>
        <w:rPr>
          <w:rFonts w:hint="default" w:ascii="仿宋_GB2312" w:eastAsia="仿宋_GB2312"/>
        </w:rPr>
        <w:t>完善交通气象标准规范”“开展交通气象监测、预报、预警、评估等服务产品的质量评价体系，开展交通气象服务质量效益评估</w:t>
      </w:r>
      <w:r>
        <w:rPr>
          <w:rFonts w:hint="eastAsia" w:ascii="仿宋_GB2312" w:eastAsia="仿宋_GB2312"/>
          <w:lang w:eastAsia="zh-CN"/>
        </w:rPr>
        <w:t>”</w:t>
      </w:r>
      <w:r>
        <w:rPr>
          <w:rFonts w:hint="default" w:ascii="仿宋_GB2312" w:eastAsia="仿宋_GB2312"/>
        </w:rPr>
        <w:t>，进一步印证了交通气象服务应当覆盖气象监测和预报预警等基本环节。《关于加强铁路自然灾害监测预警工作的指导意见》要求</w:t>
      </w:r>
      <w:r>
        <w:rPr>
          <w:rFonts w:hint="eastAsia" w:ascii="仿宋_GB2312" w:eastAsia="仿宋_GB2312"/>
          <w:lang w:eastAsia="zh-CN"/>
        </w:rPr>
        <w:t>“</w:t>
      </w:r>
      <w:r>
        <w:rPr>
          <w:rFonts w:hint="default" w:ascii="仿宋_GB2312" w:eastAsia="仿宋_GB2312"/>
        </w:rPr>
        <w:t>铁路运输企业要密切关注预警信息，结合铁路沿线实际进行研判，提前采取防范措施，主动避险</w:t>
      </w:r>
      <w:r>
        <w:rPr>
          <w:rFonts w:hint="eastAsia" w:ascii="仿宋_GB2312" w:eastAsia="仿宋_GB2312"/>
          <w:lang w:eastAsia="zh-CN"/>
        </w:rPr>
        <w:t>”</w:t>
      </w:r>
      <w:r>
        <w:rPr>
          <w:rFonts w:hint="default" w:ascii="仿宋_GB2312" w:eastAsia="仿宋_GB2312"/>
        </w:rPr>
        <w:t>。该意见还要求相关单位依法建立气象灾害预警信息互联互通机制，及时进行预报预警，将气象监测和预报预警列为铁路自然灾害防治的核心内容。</w:t>
      </w:r>
    </w:p>
    <w:p>
      <w:pPr>
        <w:pStyle w:val="2"/>
        <w:rPr>
          <w:rFonts w:hint="eastAsia" w:ascii="仿宋_GB2312" w:eastAsia="仿宋_GB2312"/>
          <w:lang w:eastAsia="zh-CN"/>
        </w:rPr>
      </w:pPr>
      <w:r>
        <w:rPr>
          <w:rFonts w:hint="eastAsia" w:ascii="仿宋_GB2312" w:eastAsia="仿宋_GB2312"/>
          <w:lang w:eastAsia="zh-CN"/>
        </w:rPr>
        <w:drawing>
          <wp:inline distT="0" distB="0" distL="114300" distR="114300">
            <wp:extent cx="5266690" cy="2715895"/>
            <wp:effectExtent l="0" t="0" r="10160" b="8255"/>
            <wp:docPr id="6" name="图片 6" descr="实况监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实况监测"/>
                    <pic:cNvPicPr>
                      <a:picLocks noChangeAspect="1"/>
                    </pic:cNvPicPr>
                  </pic:nvPicPr>
                  <pic:blipFill>
                    <a:blip r:embed="rId14"/>
                    <a:stretch>
                      <a:fillRect/>
                    </a:stretch>
                  </pic:blipFill>
                  <pic:spPr>
                    <a:xfrm>
                      <a:off x="0" y="0"/>
                      <a:ext cx="5266690" cy="271589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5 </w:t>
      </w:r>
      <w:r>
        <w:rPr>
          <w:rFonts w:hint="eastAsia" w:ascii="仿宋_GB2312" w:eastAsia="仿宋_GB2312"/>
          <w:color w:val="000000" w:themeColor="text1"/>
          <w:sz w:val="28"/>
          <w:szCs w:val="28"/>
          <w:lang w:eastAsia="zh-CN"/>
          <w14:textFill>
            <w14:solidFill>
              <w14:schemeClr w14:val="tx1"/>
            </w14:solidFill>
          </w14:textFill>
        </w:rPr>
        <w:t>广西铁路气象服务平台实况监测服务</w:t>
      </w:r>
    </w:p>
    <w:p>
      <w:pPr>
        <w:pStyle w:val="2"/>
        <w:ind w:firstLine="640"/>
        <w:rPr>
          <w:rFonts w:hint="eastAsia" w:ascii="仿宋_GB2312" w:eastAsia="仿宋_GB2312"/>
        </w:rPr>
      </w:pPr>
      <w:r>
        <w:rPr>
          <w:rFonts w:hint="eastAsia" w:ascii="仿宋_GB2312" w:eastAsia="仿宋_GB2312"/>
        </w:rPr>
        <w:t>铁路运行气象服务依托专业的天气预报业务支撑</w:t>
      </w:r>
      <w:r>
        <w:rPr>
          <w:rFonts w:hint="eastAsia" w:ascii="仿宋_GB2312" w:eastAsia="仿宋_GB2312"/>
          <w:lang w:eastAsia="zh-CN"/>
        </w:rPr>
        <w:t>。</w:t>
      </w:r>
      <w:r>
        <w:rPr>
          <w:rFonts w:hint="eastAsia" w:ascii="仿宋_GB2312" w:eastAsia="仿宋_GB2312"/>
        </w:rPr>
        <w:t>《GB/T 28594—2021</w:t>
      </w:r>
      <w:r>
        <w:rPr>
          <w:rFonts w:hint="eastAsia" w:ascii="仿宋_GB2312" w:eastAsia="仿宋_GB2312"/>
          <w:lang w:val="en-US" w:eastAsia="zh-CN"/>
        </w:rPr>
        <w:t xml:space="preserve"> </w:t>
      </w:r>
      <w:r>
        <w:rPr>
          <w:rFonts w:hint="eastAsia" w:ascii="仿宋_GB2312" w:eastAsia="仿宋_GB2312"/>
        </w:rPr>
        <w:t>临近天气预报》规定了临近天气预报的定义、预报内容和预报制作流程等，适用于临近天气预报的制作、发布和使用。该标准将临近天气预报界定为“某一区域未来0h～2h天气现象和气象要素状态及其变化的描述和预告”。因此，表1中所列“临近天气预报”的预报时效设为“未来0h～2h”，与国家标准的定义完全一致。在预报频次方面，临近天气预报业务的特点决定其必须高频滚动更新，以捕捉数小时内的天气变化趋势</w:t>
      </w:r>
      <w:r>
        <w:rPr>
          <w:rFonts w:hint="eastAsia" w:ascii="仿宋_GB2312" w:eastAsia="仿宋_GB2312"/>
          <w:lang w:eastAsia="zh-CN"/>
        </w:rPr>
        <w:t>，</w:t>
      </w:r>
      <w:r>
        <w:rPr>
          <w:rFonts w:hint="eastAsia" w:ascii="仿宋_GB2312" w:eastAsia="仿宋_GB2312"/>
        </w:rPr>
        <w:t>通过高频率滚动提供，才能满足高影响的短时强降水、雷电、大风等强对流天气的监测和预警需求。</w:t>
      </w:r>
    </w:p>
    <w:p>
      <w:pPr>
        <w:pStyle w:val="2"/>
        <w:rPr>
          <w:rFonts w:hint="eastAsia" w:ascii="仿宋_GB2312" w:eastAsia="仿宋_GB2312"/>
          <w:lang w:eastAsia="zh-CN"/>
        </w:rPr>
      </w:pPr>
      <w:r>
        <w:rPr>
          <w:rFonts w:hint="eastAsia" w:ascii="仿宋_GB2312" w:eastAsia="仿宋_GB2312"/>
          <w:lang w:eastAsia="zh-CN"/>
        </w:rPr>
        <w:drawing>
          <wp:inline distT="0" distB="0" distL="114300" distR="114300">
            <wp:extent cx="5266690" cy="2715895"/>
            <wp:effectExtent l="0" t="0" r="10160" b="8255"/>
            <wp:docPr id="7" name="图片 7" descr="雨量预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雨量预报"/>
                    <pic:cNvPicPr>
                      <a:picLocks noChangeAspect="1"/>
                    </pic:cNvPicPr>
                  </pic:nvPicPr>
                  <pic:blipFill>
                    <a:blip r:embed="rId15"/>
                    <a:stretch>
                      <a:fillRect/>
                    </a:stretch>
                  </pic:blipFill>
                  <pic:spPr>
                    <a:xfrm>
                      <a:off x="0" y="0"/>
                      <a:ext cx="5266690" cy="271589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6 </w:t>
      </w:r>
      <w:r>
        <w:rPr>
          <w:rFonts w:hint="eastAsia" w:ascii="仿宋_GB2312" w:eastAsia="仿宋_GB2312"/>
          <w:color w:val="000000" w:themeColor="text1"/>
          <w:sz w:val="28"/>
          <w:szCs w:val="28"/>
          <w:lang w:eastAsia="zh-CN"/>
          <w14:textFill>
            <w14:solidFill>
              <w14:schemeClr w14:val="tx1"/>
            </w14:solidFill>
          </w14:textFill>
        </w:rPr>
        <w:t>广西铁路气象服务平台降雨落区及铁路沿线雨量预报</w:t>
      </w:r>
    </w:p>
    <w:p>
      <w:pPr>
        <w:pStyle w:val="2"/>
        <w:ind w:firstLine="640"/>
        <w:rPr>
          <w:rFonts w:hint="eastAsia" w:ascii="仿宋_GB2312" w:eastAsia="仿宋_GB2312"/>
        </w:rPr>
      </w:pPr>
      <w:r>
        <w:rPr>
          <w:rFonts w:hint="eastAsia" w:ascii="仿宋_GB2312" w:eastAsia="仿宋_GB2312"/>
        </w:rPr>
        <w:t>《GB/T 21984—2017</w:t>
      </w:r>
      <w:r>
        <w:rPr>
          <w:rFonts w:hint="eastAsia" w:ascii="仿宋_GB2312" w:eastAsia="仿宋_GB2312"/>
          <w:lang w:val="en-US" w:eastAsia="zh-CN"/>
        </w:rPr>
        <w:t xml:space="preserve"> </w:t>
      </w:r>
      <w:r>
        <w:rPr>
          <w:rFonts w:hint="eastAsia" w:ascii="仿宋_GB2312" w:eastAsia="仿宋_GB2312"/>
        </w:rPr>
        <w:t>短期天气预报》规定了短期天气预报的定义，适用于短期天气预报的制作和使用。该标准明确了短期天气预报的预报时效为“未来72h内”，国家已经将预报时效的内容作为该标准的核心规范。关于短时天气预报，2017年12月中国气象局正式实施的新修订《短时临近预报业务规定》规定“短时临近预报是指对未来0～12小时天气过程和气象要素变化状态的预报”。该规定同时要求各级气象台建立灾害性天气监测、分析和预报机制，提升短时预报的精细化水平。在上述国家标准和业务规定中，短期天气预报的时效为72h，短时天气预报的时效为0～12h。按照同类标准体系惯例，2h至12h之间的预报通常归类为短时预报，这与GB/T 28594—2021关于2h以内和以上预报的分段方式相协调。因此，表1中“短时天气预报”的预报时效设为“未来0h～12h</w:t>
      </w:r>
      <w:r>
        <w:rPr>
          <w:rFonts w:hint="eastAsia" w:ascii="仿宋_GB2312" w:eastAsia="仿宋_GB2312"/>
          <w:lang w:eastAsia="zh-CN"/>
        </w:rPr>
        <w:t>”“</w:t>
      </w:r>
      <w:r>
        <w:rPr>
          <w:rFonts w:hint="eastAsia" w:ascii="仿宋_GB2312" w:eastAsia="仿宋_GB2312"/>
        </w:rPr>
        <w:t>短期天气预报”的时效设为“未来72h”，预报频次各有不同，与当前天气预报业务的国家标准和技术规范保持一致。依据 《GB/T 27956—2011</w:t>
      </w:r>
      <w:r>
        <w:rPr>
          <w:rFonts w:hint="eastAsia" w:ascii="仿宋_GB2312" w:eastAsia="仿宋_GB2312"/>
          <w:lang w:val="en-US" w:eastAsia="zh-CN"/>
        </w:rPr>
        <w:t xml:space="preserve"> </w:t>
      </w:r>
      <w:r>
        <w:rPr>
          <w:rFonts w:hint="eastAsia" w:ascii="仿宋_GB2312" w:eastAsia="仿宋_GB2312"/>
        </w:rPr>
        <w:t>中期天气预报》</w:t>
      </w:r>
      <w:r>
        <w:rPr>
          <w:rFonts w:hint="eastAsia" w:ascii="仿宋_GB2312" w:eastAsia="仿宋_GB2312"/>
          <w:lang w:eastAsia="zh-CN"/>
        </w:rPr>
        <w:t>，</w:t>
      </w:r>
      <w:r>
        <w:rPr>
          <w:rFonts w:hint="eastAsia" w:ascii="仿宋_GB2312" w:eastAsia="仿宋_GB2312"/>
        </w:rPr>
        <w:t>中期天气预报</w:t>
      </w:r>
      <w:r>
        <w:rPr>
          <w:rFonts w:hint="eastAsia" w:ascii="仿宋_GB2312" w:eastAsia="仿宋_GB2312"/>
          <w:lang w:val="en-US" w:eastAsia="zh-CN"/>
        </w:rPr>
        <w:t>为</w:t>
      </w:r>
      <w:r>
        <w:rPr>
          <w:rFonts w:hint="eastAsia" w:ascii="仿宋_GB2312" w:eastAsia="仿宋_GB2312"/>
        </w:rPr>
        <w:t>未来72h～240h</w:t>
      </w:r>
      <w:r>
        <w:rPr>
          <w:rFonts w:hint="eastAsia" w:ascii="仿宋_GB2312" w:eastAsia="仿宋_GB2312"/>
          <w:lang w:eastAsia="zh-CN"/>
        </w:rPr>
        <w:t>，</w:t>
      </w:r>
      <w:r>
        <w:rPr>
          <w:rFonts w:hint="eastAsia" w:ascii="仿宋_GB2312" w:eastAsia="仿宋_GB2312"/>
        </w:rPr>
        <w:t>用于研判大尺度环流形势（如台风生成、冷空气南下），为铁路部门提前部署防洪、防寒物资和人员提供超前决策依据。</w:t>
      </w:r>
    </w:p>
    <w:p>
      <w:pPr>
        <w:pStyle w:val="2"/>
        <w:rPr>
          <w:rFonts w:hint="eastAsia" w:ascii="仿宋_GB2312" w:eastAsia="仿宋_GB2312"/>
          <w:lang w:eastAsia="zh-CN"/>
        </w:rPr>
      </w:pPr>
      <w:r>
        <w:rPr>
          <w:rFonts w:hint="eastAsia" w:ascii="仿宋_GB2312" w:eastAsia="仿宋_GB2312"/>
          <w:lang w:eastAsia="zh-CN"/>
        </w:rPr>
        <w:drawing>
          <wp:inline distT="0" distB="0" distL="114300" distR="114300">
            <wp:extent cx="5266690" cy="2715895"/>
            <wp:effectExtent l="0" t="0" r="10160" b="8255"/>
            <wp:docPr id="8" name="图片 8" descr="预警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预警信息"/>
                    <pic:cNvPicPr>
                      <a:picLocks noChangeAspect="1"/>
                    </pic:cNvPicPr>
                  </pic:nvPicPr>
                  <pic:blipFill>
                    <a:blip r:embed="rId16"/>
                    <a:stretch>
                      <a:fillRect/>
                    </a:stretch>
                  </pic:blipFill>
                  <pic:spPr>
                    <a:xfrm>
                      <a:off x="0" y="0"/>
                      <a:ext cx="5266690" cy="271589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jc w:val="center"/>
        <w:textAlignment w:val="baseline"/>
        <w:rPr>
          <w:rFonts w:hint="eastAsia" w:ascii="仿宋_GB2312" w:hAnsi="仿宋_GB2312" w:eastAsia="仿宋_GB2312" w:cs="仿宋_GB2312"/>
          <w:color w:val="000000" w:themeColor="text1"/>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7 </w:t>
      </w:r>
      <w:r>
        <w:rPr>
          <w:rFonts w:hint="eastAsia" w:ascii="仿宋_GB2312" w:eastAsia="仿宋_GB2312"/>
          <w:color w:val="000000" w:themeColor="text1"/>
          <w:sz w:val="28"/>
          <w:szCs w:val="28"/>
          <w:lang w:eastAsia="zh-CN"/>
          <w14:textFill>
            <w14:solidFill>
              <w14:schemeClr w14:val="tx1"/>
            </w14:solidFill>
          </w14:textFill>
        </w:rPr>
        <w:t>广西铁路气象服务平台铁路沿线预警信</w:t>
      </w:r>
      <w:bookmarkStart w:id="6" w:name="_GoBack"/>
      <w:bookmarkEnd w:id="6"/>
      <w:r>
        <w:rPr>
          <w:rFonts w:hint="eastAsia" w:ascii="仿宋_GB2312" w:eastAsia="仿宋_GB2312"/>
          <w:color w:val="000000" w:themeColor="text1"/>
          <w:sz w:val="28"/>
          <w:szCs w:val="28"/>
          <w:lang w:eastAsia="zh-CN"/>
          <w14:textFill>
            <w14:solidFill>
              <w14:schemeClr w14:val="tx1"/>
            </w14:solidFill>
          </w14:textFill>
        </w:rPr>
        <w:t>息发布</w:t>
      </w:r>
    </w:p>
    <w:p>
      <w:pPr>
        <w:pStyle w:val="2"/>
        <w:ind w:firstLine="640"/>
        <w:rPr>
          <w:rFonts w:hint="eastAsia" w:ascii="仿宋_GB2312" w:eastAsia="仿宋_GB2312"/>
        </w:rPr>
      </w:pPr>
      <w:r>
        <w:rPr>
          <w:rFonts w:hint="eastAsia" w:ascii="仿宋_GB2312" w:eastAsia="仿宋_GB2312"/>
        </w:rPr>
        <w:t>国家气象主管部门通过递进式气象服务的方法提高专业服务的针对性和预见性。“131631”递进式预报预警服务工作机制是指“提前1周发布天气预报，提前3天开展灾害性过程提醒，提前1天发布气象灾害预警，提前6小时启动应急响应，每3小时发布滚动预报和实况信息，每1小时加密发布实况信息”。表1中设定的服务内容和频次，从“实时监测数据”到“临近预报1h/次”“短时预报3h/次”“短期预报每天/次”，完全遵循上述递进式气象服务在精度、频率上层层递进的设计理念，使服务内容从低分辨率（72h等）向高分辨率（0～2h）和无缝隙实况服务有序过渡。</w:t>
      </w:r>
    </w:p>
    <w:p>
      <w:pPr>
        <w:pStyle w:val="2"/>
        <w:ind w:firstLine="640"/>
        <w:rPr>
          <w:rFonts w:hint="eastAsia" w:ascii="仿宋_GB2312" w:eastAsia="仿宋_GB2312"/>
        </w:rPr>
      </w:pPr>
      <w:r>
        <w:rPr>
          <w:rFonts w:hint="eastAsia" w:ascii="仿宋_GB2312" w:eastAsia="仿宋_GB2312"/>
        </w:rPr>
        <w:t>综上所述，第6章的内容设置旨在构建一套“无缝隙、递进式”的气象服务产品体系，既符合气象科学的客观规律，又完全贴合铁路运行在汛期及全年生产调度的实际需求。</w:t>
      </w:r>
    </w:p>
    <w:p>
      <w:pPr>
        <w:spacing w:before="156" w:beforeLines="50" w:after="156" w:afterLines="50"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w:t>
      </w:r>
      <w:r>
        <w:rPr>
          <w:rFonts w:hint="eastAsia" w:ascii="楷体" w:hAnsi="楷体" w:eastAsia="楷体" w:cs="仿宋_GB2312"/>
          <w:b/>
          <w:bCs/>
          <w:color w:val="000000" w:themeColor="text1"/>
          <w:sz w:val="32"/>
          <w:szCs w:val="32"/>
          <w:lang w:val="en-US" w:eastAsia="zh-CN"/>
          <w14:textFill>
            <w14:solidFill>
              <w14:schemeClr w14:val="tx1"/>
            </w14:solidFill>
          </w14:textFill>
        </w:rPr>
        <w:t>五</w:t>
      </w:r>
      <w:r>
        <w:rPr>
          <w:rFonts w:hint="eastAsia" w:ascii="楷体" w:hAnsi="楷体" w:eastAsia="楷体" w:cs="仿宋_GB2312"/>
          <w:b/>
          <w:bCs/>
          <w:color w:val="000000" w:themeColor="text1"/>
          <w:sz w:val="32"/>
          <w:szCs w:val="32"/>
          <w14:textFill>
            <w14:solidFill>
              <w14:schemeClr w14:val="tx1"/>
            </w14:solidFill>
          </w14:textFill>
        </w:rPr>
        <w:t>）</w:t>
      </w:r>
      <w:r>
        <w:rPr>
          <w:rFonts w:ascii="楷体" w:hAnsi="楷体" w:eastAsia="楷体" w:cs="仿宋_GB2312"/>
          <w:b/>
          <w:bCs/>
          <w:color w:val="000000" w:themeColor="text1"/>
          <w:sz w:val="32"/>
          <w:szCs w:val="32"/>
          <w14:textFill>
            <w14:solidFill>
              <w14:schemeClr w14:val="tx1"/>
            </w14:solidFill>
          </w14:textFill>
        </w:rPr>
        <w:t>服务</w:t>
      </w:r>
      <w:r>
        <w:rPr>
          <w:rFonts w:hint="eastAsia" w:ascii="楷体" w:hAnsi="楷体" w:eastAsia="楷体" w:cs="仿宋_GB2312"/>
          <w:b/>
          <w:sz w:val="32"/>
          <w:szCs w:val="32"/>
        </w:rPr>
        <w:t>评价</w:t>
      </w:r>
      <w:r>
        <w:rPr>
          <w:rFonts w:ascii="楷体" w:hAnsi="楷体" w:eastAsia="楷体" w:cs="仿宋_GB2312"/>
          <w:b/>
          <w:bCs/>
          <w:color w:val="000000" w:themeColor="text1"/>
          <w:sz w:val="32"/>
          <w:szCs w:val="32"/>
          <w14:textFill>
            <w14:solidFill>
              <w14:schemeClr w14:val="tx1"/>
            </w14:solidFill>
          </w14:textFill>
        </w:rPr>
        <w:t>与改进</w:t>
      </w:r>
    </w:p>
    <w:p>
      <w:pPr>
        <w:pStyle w:val="2"/>
        <w:ind w:firstLine="640"/>
        <w:rPr>
          <w:rFonts w:hint="eastAsia" w:ascii="仿宋_GB2312" w:eastAsia="仿宋_GB2312"/>
        </w:rPr>
      </w:pPr>
      <w:r>
        <w:rPr>
          <w:rFonts w:hint="eastAsia" w:ascii="仿宋_GB2312" w:eastAsia="仿宋_GB2312"/>
        </w:rPr>
        <w:t>本章建立了服务效果的反馈与优化机制，旨在确保气象服务能够持续满足铁路运行日益增长的安全需求。</w:t>
      </w:r>
    </w:p>
    <w:p>
      <w:pPr>
        <w:pStyle w:val="2"/>
        <w:ind w:firstLine="640"/>
        <w:rPr>
          <w:rFonts w:hint="eastAsia" w:ascii="仿宋_GB2312" w:eastAsia="仿宋_GB2312"/>
        </w:rPr>
      </w:pPr>
      <w:r>
        <w:rPr>
          <w:rFonts w:hint="eastAsia" w:ascii="仿宋_GB2312" w:eastAsia="仿宋_GB2312"/>
        </w:rPr>
        <w:t>服务效果回访与效益评估是衡量气象服务质量、验证服务效果的重要手段。通过及时回访用户，收集用户对服务效果的反馈意见，可以全面了解气象服务在铁路运行中的实际应用效果，包括服务的准确性、及时性、实用性等方面。同时，通过效益评估可以量化分析气象服务对铁路运行安全、效率、成本等方面的积极影响，为后续服务的优化和改进提供科学依据。此要求参考了服务质量管理、效果评估等相关领域的理论和实践经验。</w:t>
      </w:r>
    </w:p>
    <w:p>
      <w:pPr>
        <w:pStyle w:val="2"/>
        <w:ind w:firstLine="640"/>
        <w:rPr>
          <w:rFonts w:hint="eastAsia" w:ascii="仿宋_GB2312" w:eastAsia="仿宋_GB2312"/>
        </w:rPr>
      </w:pPr>
      <w:r>
        <w:rPr>
          <w:rFonts w:hint="eastAsia" w:ascii="仿宋_GB2312" w:eastAsia="仿宋_GB2312"/>
        </w:rPr>
        <w:t>建立用户反馈与持续改进机制是提升气象服务质量、满足用户需求的关键环节。通过设立多渠道的用户反馈途径，鼓励用户积极提出对气象服务的意见和建议，可以及时发现服务中存在的问题和不足。同时，根据用户反馈进行针对性的服务改进，形成持续改进的闭环管理，可以不断提升气象服务的针对性和实用性，更好地满足铁路运行对气象服务的需求。此要求参考了用户满意度管理、持续改进等相关领域的理论和方法。</w:t>
      </w:r>
    </w:p>
    <w:p>
      <w:pPr>
        <w:pStyle w:val="2"/>
        <w:ind w:firstLine="640"/>
        <w:rPr>
          <w:rFonts w:hint="eastAsia" w:ascii="仿宋_GB2312" w:eastAsia="仿宋_GB2312"/>
        </w:rPr>
      </w:pPr>
      <w:r>
        <w:rPr>
          <w:rFonts w:hint="eastAsia" w:ascii="仿宋_GB2312" w:eastAsia="仿宋_GB2312"/>
        </w:rPr>
        <w:t>服务资料的整理、总结与归档是气象服务规范化管理的重要组成部分。通过对每次服务过程中形成的资料进行系统整理和总结，可以形成宝贵的知识库和经验库，为后续服务的提供和改进提供有力支持。同时，将服务资料进行归档保存，可以方便后续的查询和追溯，为气象服务的持续改进和优化提供历史数据支持。此要求参考了档案管理、知识管理等相关领域的理论和实践经验。</w:t>
      </w:r>
    </w:p>
    <w:p>
      <w:pPr>
        <w:autoSpaceDE w:val="0"/>
        <w:autoSpaceDN w:val="0"/>
        <w:adjustRightInd w:val="0"/>
        <w:spacing w:before="156" w:beforeLines="50" w:after="156" w:afterLines="50" w:line="560" w:lineRule="exact"/>
        <w:ind w:firstLine="640" w:firstLineChars="200"/>
        <w:outlineLvl w:val="0"/>
        <w:rPr>
          <w:rFonts w:eastAsia="黑体"/>
          <w:sz w:val="32"/>
          <w:szCs w:val="32"/>
        </w:rPr>
      </w:pPr>
      <w:r>
        <w:rPr>
          <w:rFonts w:hint="eastAsia" w:eastAsia="黑体"/>
          <w:sz w:val="32"/>
          <w:szCs w:val="32"/>
        </w:rPr>
        <w:t>六、重大意见分歧的处理依据和结果</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本标准研制过程中无重大分歧意见。</w:t>
      </w:r>
    </w:p>
    <w:p>
      <w:pPr>
        <w:autoSpaceDE w:val="0"/>
        <w:autoSpaceDN w:val="0"/>
        <w:adjustRightInd w:val="0"/>
        <w:spacing w:before="156" w:beforeLines="50" w:after="156" w:afterLines="50" w:line="560" w:lineRule="exact"/>
        <w:ind w:firstLine="640" w:firstLineChars="200"/>
        <w:outlineLvl w:val="0"/>
        <w:rPr>
          <w:rFonts w:eastAsia="黑体"/>
          <w:sz w:val="32"/>
          <w:szCs w:val="32"/>
        </w:rPr>
      </w:pPr>
      <w:r>
        <w:rPr>
          <w:rFonts w:hint="eastAsia" w:eastAsia="黑体"/>
          <w:sz w:val="32"/>
          <w:szCs w:val="32"/>
        </w:rPr>
        <w:t>七、实施标准的措施</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（一）标准报批发布后，成立标准宣贯工作组</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（二）组织开展标准宣贯培训</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发布实施后，标准宣贯工作小组制作标准解读宣贯培训PPT课件和标准核心技术明白书，并按标准宣贯培训计划深入广西各个城市组织技术人员开展标准宣贯培训，对标准进行逐条解读，让技术人员掌握标准核心技术内容，助力标准实施落地，推动气象服务产业高质量发展。</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（三）开展标准实施交流会，收集标准实施反馈信息</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标准起草小组深入广西各个单位组织技术人员召开标准实施交流会，听取标准实施过程中存在的问题并做好记录和解答，对存在的问题组织专家团队进行研讨，为标准的复审修订做准备。</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（四）开展标准实施效果评估</w:t>
      </w:r>
    </w:p>
    <w:p>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标准实施满2年，每年标准宣贯工作组采取网络调查、问卷调查、实地调研、召开座谈会或论证会、专家咨询等方式开展标准实施效果评估，并形成标准实施效果评估报告，为标准的复审修订做准备。</w:t>
      </w:r>
    </w:p>
    <w:p>
      <w:pPr>
        <w:autoSpaceDE w:val="0"/>
        <w:autoSpaceDN w:val="0"/>
        <w:adjustRightInd w:val="0"/>
        <w:spacing w:before="156" w:beforeLines="50" w:after="156" w:afterLines="50"/>
        <w:ind w:firstLine="640"/>
        <w:outlineLvl w:val="0"/>
        <w:rPr>
          <w:rFonts w:eastAsia="黑体"/>
          <w:sz w:val="32"/>
          <w:szCs w:val="32"/>
        </w:rPr>
      </w:pPr>
      <w:r>
        <w:rPr>
          <w:rFonts w:hint="eastAsia" w:eastAsia="黑体"/>
          <w:sz w:val="32"/>
          <w:szCs w:val="32"/>
        </w:rPr>
        <w:t>八、其他应当说明的事项</w:t>
      </w:r>
    </w:p>
    <w:p>
      <w:pPr>
        <w:spacing w:line="520" w:lineRule="exact"/>
        <w:ind w:firstLine="640" w:firstLineChars="200"/>
        <w:rPr>
          <w:rFonts w:ascii="仿宋_GB2312" w:hAnsi="宋体" w:eastAsia="仿宋_GB2312"/>
          <w:sz w:val="32"/>
          <w:szCs w:val="32"/>
        </w:rPr>
      </w:pPr>
      <w:r>
        <w:rPr>
          <w:rFonts w:hint="eastAsia" w:ascii="仿宋_GB2312" w:hAnsi="宋体" w:eastAsia="仿宋_GB2312"/>
          <w:sz w:val="32"/>
          <w:szCs w:val="28"/>
          <w:lang w:val="zh-CN"/>
        </w:rPr>
        <w:t>无。</w:t>
      </w:r>
    </w:p>
    <w:p>
      <w:pPr>
        <w:pStyle w:val="2"/>
      </w:pPr>
    </w:p>
    <w:p>
      <w:pPr>
        <w:spacing w:line="560" w:lineRule="exact"/>
        <w:ind w:firstLine="3520" w:firstLineChars="1100"/>
        <w:jc w:val="right"/>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铁路运行气象服务规范</w:t>
      </w:r>
      <w:r>
        <w:rPr>
          <w:rFonts w:hint="eastAsia" w:ascii="仿宋_GB2312" w:hAnsi="宋体" w:eastAsia="仿宋_GB2312"/>
          <w:sz w:val="32"/>
          <w:szCs w:val="32"/>
        </w:rPr>
        <w:t xml:space="preserve">》 </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 xml:space="preserve">                 </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lang w:val="en-US" w:eastAsia="zh-CN"/>
        </w:rPr>
        <w:t xml:space="preserve">  </w:t>
      </w:r>
      <w:r>
        <w:rPr>
          <w:rFonts w:ascii="仿宋_GB2312" w:hAnsi="宋体" w:eastAsia="仿宋_GB2312"/>
          <w:sz w:val="32"/>
          <w:szCs w:val="32"/>
        </w:rPr>
        <w:t xml:space="preserve"> </w:t>
      </w:r>
      <w:r>
        <w:rPr>
          <w:rFonts w:hint="eastAsia" w:ascii="仿宋_GB2312" w:hAnsi="宋体" w:eastAsia="仿宋_GB2312"/>
          <w:sz w:val="32"/>
          <w:szCs w:val="32"/>
        </w:rPr>
        <w:t>标准编制组</w:t>
      </w:r>
    </w:p>
    <w:p>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 xml:space="preserve"> </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202</w:t>
      </w:r>
      <w:r>
        <w:rPr>
          <w:rFonts w:hint="eastAsia" w:ascii="仿宋_GB2312" w:hAnsi="宋体" w:eastAsia="仿宋_GB2312"/>
          <w:sz w:val="32"/>
          <w:szCs w:val="32"/>
          <w:lang w:val="en-US" w:eastAsia="zh-CN"/>
        </w:rPr>
        <w:t>6</w:t>
      </w:r>
      <w:r>
        <w:rPr>
          <w:rFonts w:hint="eastAsia" w:ascii="仿宋_GB2312" w:hAnsi="宋体" w:eastAsia="仿宋_GB2312"/>
          <w:sz w:val="32"/>
          <w:szCs w:val="32"/>
        </w:rPr>
        <w:t>年</w:t>
      </w:r>
      <w:r>
        <w:rPr>
          <w:rFonts w:hint="eastAsia" w:ascii="仿宋_GB2312" w:hAnsi="宋体" w:eastAsia="仿宋_GB2312"/>
          <w:sz w:val="32"/>
          <w:szCs w:val="32"/>
          <w:lang w:val="en-US" w:eastAsia="zh-CN"/>
        </w:rPr>
        <w:t>5</w:t>
      </w:r>
      <w:r>
        <w:rPr>
          <w:rFonts w:hint="eastAsia" w:ascii="仿宋_GB2312" w:hAnsi="宋体" w:eastAsia="仿宋_GB2312"/>
          <w:sz w:val="32"/>
          <w:szCs w:val="32"/>
        </w:rPr>
        <w:t>月</w:t>
      </w:r>
      <w:r>
        <w:rPr>
          <w:rFonts w:hint="eastAsia" w:ascii="仿宋_GB2312" w:hAnsi="宋体" w:eastAsia="仿宋_GB2312"/>
          <w:sz w:val="32"/>
          <w:szCs w:val="32"/>
          <w:lang w:val="en-US" w:eastAsia="zh-CN"/>
        </w:rPr>
        <w:t>4</w:t>
      </w:r>
      <w:r>
        <w:rPr>
          <w:rFonts w:hint="eastAsia" w:ascii="仿宋_GB2312" w:hAnsi="宋体" w:eastAsia="仿宋_GB2312"/>
          <w:sz w:val="32"/>
          <w:szCs w:val="32"/>
        </w:rPr>
        <w:t>日</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pPr>
          <w:pStyle w:val="8"/>
          <w:jc w:val="center"/>
        </w:pPr>
        <w:r>
          <w:fldChar w:fldCharType="begin"/>
        </w:r>
        <w:r>
          <w:instrText xml:space="preserve">PAGE   \* MERGEFORMAT</w:instrText>
        </w:r>
        <w:r>
          <w:fldChar w:fldCharType="separate"/>
        </w:r>
        <w:r>
          <w:rPr>
            <w:lang w:val="zh-CN"/>
          </w:rPr>
          <w:t>16</w:t>
        </w:r>
        <w:r>
          <w:fldChar w:fldCharType="end"/>
        </w:r>
      </w:p>
    </w:sdtContent>
  </w:sdt>
  <w:p>
    <w:pPr>
      <w:pStyle w:val="8"/>
      <w:tabs>
        <w:tab w:val="clear" w:pos="8306"/>
      </w:tabs>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2AB0A94"/>
    <w:multiLevelType w:val="singleLevel"/>
    <w:tmpl w:val="D2AB0A94"/>
    <w:lvl w:ilvl="0" w:tentative="0">
      <w:start w:val="4"/>
      <w:numFmt w:val="chineseCounting"/>
      <w:suff w:val="nothing"/>
      <w:lvlText w:val="（%1）"/>
      <w:lvlJc w:val="left"/>
      <w:rPr>
        <w:rFonts w:hint="eastAsia"/>
        <w:b/>
        <w:bCs/>
      </w:rPr>
    </w:lvl>
  </w:abstractNum>
  <w:abstractNum w:abstractNumId="1">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35"/>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3"/>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2C5917C3"/>
    <w:multiLevelType w:val="multilevel"/>
    <w:tmpl w:val="2C5917C3"/>
    <w:lvl w:ilvl="0" w:tentative="0">
      <w:start w:val="1"/>
      <w:numFmt w:val="none"/>
      <w:pStyle w:val="42"/>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4">
    <w:nsid w:val="2DE76386"/>
    <w:multiLevelType w:val="singleLevel"/>
    <w:tmpl w:val="2DE76386"/>
    <w:lvl w:ilvl="0" w:tentative="0">
      <w:start w:val="2"/>
      <w:numFmt w:val="chineseCounting"/>
      <w:suff w:val="nothing"/>
      <w:lvlText w:val="（%1）"/>
      <w:lvlJc w:val="left"/>
      <w:rPr>
        <w:rFonts w:hint="eastAsia"/>
      </w:rPr>
    </w:lvl>
  </w:abstractNum>
  <w:abstractNum w:abstractNumId="5">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34"/>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6">
    <w:nsid w:val="32534DA6"/>
    <w:multiLevelType w:val="multilevel"/>
    <w:tmpl w:val="32534DA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646260FA"/>
    <w:multiLevelType w:val="multilevel"/>
    <w:tmpl w:val="646260FA"/>
    <w:lvl w:ilvl="0" w:tentative="0">
      <w:start w:val="1"/>
      <w:numFmt w:val="decimal"/>
      <w:pStyle w:val="4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8">
    <w:nsid w:val="6CEA2025"/>
    <w:multiLevelType w:val="multilevel"/>
    <w:tmpl w:val="6CEA2025"/>
    <w:lvl w:ilvl="0" w:tentative="0">
      <w:start w:val="1"/>
      <w:numFmt w:val="none"/>
      <w:pStyle w:val="33"/>
      <w:suff w:val="nothing"/>
      <w:lvlText w:val="%1"/>
      <w:lvlJc w:val="left"/>
      <w:pPr>
        <w:ind w:left="0" w:firstLine="0"/>
      </w:pPr>
      <w:rPr>
        <w:rFonts w:hint="eastAsia"/>
      </w:rPr>
    </w:lvl>
    <w:lvl w:ilvl="1" w:tentative="0">
      <w:start w:val="1"/>
      <w:numFmt w:val="decimal"/>
      <w:pStyle w:val="31"/>
      <w:suff w:val="nothing"/>
      <w:lvlText w:val="%1%2　"/>
      <w:lvlJc w:val="left"/>
      <w:pPr>
        <w:ind w:left="0" w:firstLine="0"/>
      </w:pPr>
      <w:rPr>
        <w:rFonts w:hint="eastAsia" w:ascii="黑体" w:eastAsia="黑体"/>
        <w:b w:val="0"/>
        <w:i w:val="0"/>
        <w:sz w:val="21"/>
      </w:rPr>
    </w:lvl>
    <w:lvl w:ilvl="2" w:tentative="0">
      <w:start w:val="1"/>
      <w:numFmt w:val="decimal"/>
      <w:pStyle w:val="32"/>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7"/>
      <w:suff w:val="nothing"/>
      <w:lvlText w:val="%1%2.%3.%4　"/>
      <w:lvlJc w:val="left"/>
      <w:pPr>
        <w:ind w:left="142" w:firstLine="0"/>
      </w:pPr>
      <w:rPr>
        <w:rFonts w:hint="eastAsia" w:ascii="黑体" w:eastAsia="黑体"/>
        <w:b w:val="0"/>
        <w:i w:val="0"/>
        <w:sz w:val="21"/>
      </w:rPr>
    </w:lvl>
    <w:lvl w:ilvl="4" w:tentative="0">
      <w:start w:val="1"/>
      <w:numFmt w:val="decimal"/>
      <w:pStyle w:val="28"/>
      <w:suff w:val="nothing"/>
      <w:lvlText w:val="%1%2.%3.%4.%5　"/>
      <w:lvlJc w:val="left"/>
      <w:pPr>
        <w:ind w:left="0" w:firstLine="0"/>
      </w:pPr>
      <w:rPr>
        <w:rFonts w:hint="eastAsia" w:ascii="黑体" w:eastAsia="黑体"/>
        <w:b w:val="0"/>
        <w:i w:val="0"/>
        <w:sz w:val="21"/>
      </w:rPr>
    </w:lvl>
    <w:lvl w:ilvl="5" w:tentative="0">
      <w:start w:val="1"/>
      <w:numFmt w:val="decimal"/>
      <w:pStyle w:val="29"/>
      <w:suff w:val="nothing"/>
      <w:lvlText w:val="%1%2.%3.%4.%5.%6　"/>
      <w:lvlJc w:val="left"/>
      <w:pPr>
        <w:ind w:left="0" w:firstLine="0"/>
      </w:pPr>
      <w:rPr>
        <w:rFonts w:hint="eastAsia" w:ascii="黑体" w:eastAsia="黑体"/>
        <w:b w:val="0"/>
        <w:i w:val="0"/>
        <w:sz w:val="21"/>
      </w:rPr>
    </w:lvl>
    <w:lvl w:ilvl="6" w:tentative="0">
      <w:start w:val="1"/>
      <w:numFmt w:val="decimal"/>
      <w:pStyle w:val="30"/>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DBF04F4"/>
    <w:multiLevelType w:val="multilevel"/>
    <w:tmpl w:val="6DBF04F4"/>
    <w:lvl w:ilvl="0" w:tentative="0">
      <w:start w:val="1"/>
      <w:numFmt w:val="none"/>
      <w:pStyle w:val="4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2"/>
  </w:num>
  <w:num w:numId="2">
    <w:abstractNumId w:val="8"/>
  </w:num>
  <w:num w:numId="3">
    <w:abstractNumId w:val="5"/>
  </w:num>
  <w:num w:numId="4">
    <w:abstractNumId w:val="1"/>
  </w:num>
  <w:num w:numId="5">
    <w:abstractNumId w:val="3"/>
  </w:num>
  <w:num w:numId="6">
    <w:abstractNumId w:val="9"/>
  </w:num>
  <w:num w:numId="7">
    <w:abstractNumId w:val="7"/>
  </w:num>
  <w:num w:numId="8">
    <w:abstractNumId w:val="6"/>
  </w:num>
  <w:num w:numId="9">
    <w:abstractNumId w:val="4"/>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mNjgzNmYzZTcxNjc3Y2ZkMzZmZDg5NDljYWUzZmEifQ=="/>
  </w:docVars>
  <w:rsids>
    <w:rsidRoot w:val="0037490B"/>
    <w:rsid w:val="000005CA"/>
    <w:rsid w:val="00000707"/>
    <w:rsid w:val="00000AD9"/>
    <w:rsid w:val="00000E4A"/>
    <w:rsid w:val="00001814"/>
    <w:rsid w:val="00001CE0"/>
    <w:rsid w:val="00003DB3"/>
    <w:rsid w:val="00004ACE"/>
    <w:rsid w:val="00012082"/>
    <w:rsid w:val="000126E8"/>
    <w:rsid w:val="0001766E"/>
    <w:rsid w:val="000216C2"/>
    <w:rsid w:val="000255FF"/>
    <w:rsid w:val="000258DE"/>
    <w:rsid w:val="000276DC"/>
    <w:rsid w:val="00030EE3"/>
    <w:rsid w:val="00031483"/>
    <w:rsid w:val="00031C1A"/>
    <w:rsid w:val="00036510"/>
    <w:rsid w:val="000370FC"/>
    <w:rsid w:val="00043580"/>
    <w:rsid w:val="000438DF"/>
    <w:rsid w:val="00044D55"/>
    <w:rsid w:val="00046883"/>
    <w:rsid w:val="000504E1"/>
    <w:rsid w:val="0005176B"/>
    <w:rsid w:val="00051CD3"/>
    <w:rsid w:val="00051FAC"/>
    <w:rsid w:val="00052633"/>
    <w:rsid w:val="00053989"/>
    <w:rsid w:val="00061ED9"/>
    <w:rsid w:val="00064EA0"/>
    <w:rsid w:val="000653F2"/>
    <w:rsid w:val="00065DD5"/>
    <w:rsid w:val="0006607C"/>
    <w:rsid w:val="000661B2"/>
    <w:rsid w:val="00067952"/>
    <w:rsid w:val="000702AE"/>
    <w:rsid w:val="000702F1"/>
    <w:rsid w:val="0007171F"/>
    <w:rsid w:val="000718F2"/>
    <w:rsid w:val="00071923"/>
    <w:rsid w:val="0007388E"/>
    <w:rsid w:val="00074198"/>
    <w:rsid w:val="00074776"/>
    <w:rsid w:val="00077D12"/>
    <w:rsid w:val="00080929"/>
    <w:rsid w:val="00082CE2"/>
    <w:rsid w:val="00084721"/>
    <w:rsid w:val="00085453"/>
    <w:rsid w:val="00085B2A"/>
    <w:rsid w:val="00087B41"/>
    <w:rsid w:val="000907FE"/>
    <w:rsid w:val="00094DC8"/>
    <w:rsid w:val="000A119D"/>
    <w:rsid w:val="000A3426"/>
    <w:rsid w:val="000A6807"/>
    <w:rsid w:val="000A720C"/>
    <w:rsid w:val="000A7270"/>
    <w:rsid w:val="000B3F01"/>
    <w:rsid w:val="000B544F"/>
    <w:rsid w:val="000B6EA3"/>
    <w:rsid w:val="000C1499"/>
    <w:rsid w:val="000C1656"/>
    <w:rsid w:val="000C23E0"/>
    <w:rsid w:val="000C5759"/>
    <w:rsid w:val="000D344F"/>
    <w:rsid w:val="000D3740"/>
    <w:rsid w:val="000D604B"/>
    <w:rsid w:val="000E0C1D"/>
    <w:rsid w:val="000E3BE1"/>
    <w:rsid w:val="000E4416"/>
    <w:rsid w:val="000E4E87"/>
    <w:rsid w:val="000E57B1"/>
    <w:rsid w:val="000F2752"/>
    <w:rsid w:val="000F3B3B"/>
    <w:rsid w:val="000F3F92"/>
    <w:rsid w:val="001037D6"/>
    <w:rsid w:val="00103F5F"/>
    <w:rsid w:val="0010718F"/>
    <w:rsid w:val="0010732A"/>
    <w:rsid w:val="00112E2C"/>
    <w:rsid w:val="00115C18"/>
    <w:rsid w:val="00120F4F"/>
    <w:rsid w:val="00120F6B"/>
    <w:rsid w:val="00121C31"/>
    <w:rsid w:val="001226E6"/>
    <w:rsid w:val="00122F61"/>
    <w:rsid w:val="0012516A"/>
    <w:rsid w:val="00126AFC"/>
    <w:rsid w:val="00126CE4"/>
    <w:rsid w:val="0012731A"/>
    <w:rsid w:val="00131174"/>
    <w:rsid w:val="0013257F"/>
    <w:rsid w:val="001341F3"/>
    <w:rsid w:val="001344C5"/>
    <w:rsid w:val="0013535E"/>
    <w:rsid w:val="0014119F"/>
    <w:rsid w:val="001420D9"/>
    <w:rsid w:val="00142A85"/>
    <w:rsid w:val="00143457"/>
    <w:rsid w:val="001443AC"/>
    <w:rsid w:val="001446D9"/>
    <w:rsid w:val="00145356"/>
    <w:rsid w:val="00147A26"/>
    <w:rsid w:val="00147A7A"/>
    <w:rsid w:val="001502FB"/>
    <w:rsid w:val="00153AB7"/>
    <w:rsid w:val="00154E77"/>
    <w:rsid w:val="00160FAE"/>
    <w:rsid w:val="00162358"/>
    <w:rsid w:val="001631D2"/>
    <w:rsid w:val="00170088"/>
    <w:rsid w:val="0017019C"/>
    <w:rsid w:val="0017068B"/>
    <w:rsid w:val="00170F62"/>
    <w:rsid w:val="001719D7"/>
    <w:rsid w:val="001729C6"/>
    <w:rsid w:val="001761D2"/>
    <w:rsid w:val="00176412"/>
    <w:rsid w:val="00176892"/>
    <w:rsid w:val="00180583"/>
    <w:rsid w:val="00184502"/>
    <w:rsid w:val="00185CA3"/>
    <w:rsid w:val="00191A83"/>
    <w:rsid w:val="001922F7"/>
    <w:rsid w:val="00192792"/>
    <w:rsid w:val="0019480E"/>
    <w:rsid w:val="00194F7E"/>
    <w:rsid w:val="001A00A9"/>
    <w:rsid w:val="001A03FA"/>
    <w:rsid w:val="001A1876"/>
    <w:rsid w:val="001A2348"/>
    <w:rsid w:val="001A3181"/>
    <w:rsid w:val="001A585A"/>
    <w:rsid w:val="001A68FB"/>
    <w:rsid w:val="001B1F8E"/>
    <w:rsid w:val="001B2C57"/>
    <w:rsid w:val="001B37F2"/>
    <w:rsid w:val="001B4721"/>
    <w:rsid w:val="001B6DB3"/>
    <w:rsid w:val="001C0E52"/>
    <w:rsid w:val="001C2328"/>
    <w:rsid w:val="001C3FE3"/>
    <w:rsid w:val="001C67C7"/>
    <w:rsid w:val="001C6AE6"/>
    <w:rsid w:val="001C712F"/>
    <w:rsid w:val="001D0EEF"/>
    <w:rsid w:val="001D2157"/>
    <w:rsid w:val="001D694F"/>
    <w:rsid w:val="001E072C"/>
    <w:rsid w:val="001E1747"/>
    <w:rsid w:val="001E21D6"/>
    <w:rsid w:val="001E386B"/>
    <w:rsid w:val="001E6F36"/>
    <w:rsid w:val="001E7634"/>
    <w:rsid w:val="001E7EB0"/>
    <w:rsid w:val="001F03CB"/>
    <w:rsid w:val="001F1F80"/>
    <w:rsid w:val="001F319B"/>
    <w:rsid w:val="001F4A7D"/>
    <w:rsid w:val="001F5F4D"/>
    <w:rsid w:val="001F67DD"/>
    <w:rsid w:val="001F7CCC"/>
    <w:rsid w:val="002017AF"/>
    <w:rsid w:val="00205F41"/>
    <w:rsid w:val="002064AD"/>
    <w:rsid w:val="002127FC"/>
    <w:rsid w:val="002148D2"/>
    <w:rsid w:val="00215122"/>
    <w:rsid w:val="00216631"/>
    <w:rsid w:val="00217829"/>
    <w:rsid w:val="00220171"/>
    <w:rsid w:val="0022020B"/>
    <w:rsid w:val="00220B99"/>
    <w:rsid w:val="002219B5"/>
    <w:rsid w:val="0022384B"/>
    <w:rsid w:val="002306BF"/>
    <w:rsid w:val="00230FE3"/>
    <w:rsid w:val="002311B6"/>
    <w:rsid w:val="002331BB"/>
    <w:rsid w:val="002338C3"/>
    <w:rsid w:val="00234398"/>
    <w:rsid w:val="0023444B"/>
    <w:rsid w:val="00234EC1"/>
    <w:rsid w:val="002357C8"/>
    <w:rsid w:val="0023595B"/>
    <w:rsid w:val="00240EFB"/>
    <w:rsid w:val="00245211"/>
    <w:rsid w:val="00246705"/>
    <w:rsid w:val="00252C67"/>
    <w:rsid w:val="002531B2"/>
    <w:rsid w:val="0025439B"/>
    <w:rsid w:val="00255076"/>
    <w:rsid w:val="00256BC8"/>
    <w:rsid w:val="002609DF"/>
    <w:rsid w:val="00262B50"/>
    <w:rsid w:val="0026386B"/>
    <w:rsid w:val="00266674"/>
    <w:rsid w:val="00266E5F"/>
    <w:rsid w:val="0027055E"/>
    <w:rsid w:val="00271153"/>
    <w:rsid w:val="002718CB"/>
    <w:rsid w:val="00272ECD"/>
    <w:rsid w:val="00275A63"/>
    <w:rsid w:val="00282082"/>
    <w:rsid w:val="00282225"/>
    <w:rsid w:val="00283DDB"/>
    <w:rsid w:val="00284186"/>
    <w:rsid w:val="00287D8F"/>
    <w:rsid w:val="002908DF"/>
    <w:rsid w:val="00290CF8"/>
    <w:rsid w:val="00292CEA"/>
    <w:rsid w:val="00292DE5"/>
    <w:rsid w:val="00293DF7"/>
    <w:rsid w:val="002946D7"/>
    <w:rsid w:val="00296164"/>
    <w:rsid w:val="002A1DE2"/>
    <w:rsid w:val="002A34D4"/>
    <w:rsid w:val="002B100F"/>
    <w:rsid w:val="002B176E"/>
    <w:rsid w:val="002B6683"/>
    <w:rsid w:val="002B6E5E"/>
    <w:rsid w:val="002C02A8"/>
    <w:rsid w:val="002C19B5"/>
    <w:rsid w:val="002C22BF"/>
    <w:rsid w:val="002C3262"/>
    <w:rsid w:val="002C3400"/>
    <w:rsid w:val="002C36FA"/>
    <w:rsid w:val="002C3D9D"/>
    <w:rsid w:val="002C418E"/>
    <w:rsid w:val="002C5695"/>
    <w:rsid w:val="002C765C"/>
    <w:rsid w:val="002D0EC0"/>
    <w:rsid w:val="002D4FC0"/>
    <w:rsid w:val="002D6356"/>
    <w:rsid w:val="002E1BFD"/>
    <w:rsid w:val="002E33C3"/>
    <w:rsid w:val="002E4BF9"/>
    <w:rsid w:val="002F25D8"/>
    <w:rsid w:val="002F639C"/>
    <w:rsid w:val="002F683C"/>
    <w:rsid w:val="00300A5E"/>
    <w:rsid w:val="00306E58"/>
    <w:rsid w:val="0030718D"/>
    <w:rsid w:val="00307DD9"/>
    <w:rsid w:val="00311598"/>
    <w:rsid w:val="00311ABF"/>
    <w:rsid w:val="0031537E"/>
    <w:rsid w:val="00316CF4"/>
    <w:rsid w:val="003176CC"/>
    <w:rsid w:val="0032058E"/>
    <w:rsid w:val="00324901"/>
    <w:rsid w:val="00330D99"/>
    <w:rsid w:val="0033133C"/>
    <w:rsid w:val="003322F5"/>
    <w:rsid w:val="00332487"/>
    <w:rsid w:val="00332F81"/>
    <w:rsid w:val="003355C8"/>
    <w:rsid w:val="00335B12"/>
    <w:rsid w:val="00336DA4"/>
    <w:rsid w:val="00342DC7"/>
    <w:rsid w:val="00342F19"/>
    <w:rsid w:val="00345537"/>
    <w:rsid w:val="00346D55"/>
    <w:rsid w:val="0035074E"/>
    <w:rsid w:val="00350CD9"/>
    <w:rsid w:val="003518F5"/>
    <w:rsid w:val="00354B2E"/>
    <w:rsid w:val="003571AD"/>
    <w:rsid w:val="003578EA"/>
    <w:rsid w:val="003579E3"/>
    <w:rsid w:val="00360157"/>
    <w:rsid w:val="003617F8"/>
    <w:rsid w:val="0036366F"/>
    <w:rsid w:val="00364C43"/>
    <w:rsid w:val="00366F06"/>
    <w:rsid w:val="00367CD0"/>
    <w:rsid w:val="00367DDC"/>
    <w:rsid w:val="00371857"/>
    <w:rsid w:val="0037336B"/>
    <w:rsid w:val="00374750"/>
    <w:rsid w:val="0037490B"/>
    <w:rsid w:val="00375600"/>
    <w:rsid w:val="00376BA3"/>
    <w:rsid w:val="003819D5"/>
    <w:rsid w:val="00384F27"/>
    <w:rsid w:val="003860CF"/>
    <w:rsid w:val="00387FD0"/>
    <w:rsid w:val="00390362"/>
    <w:rsid w:val="003905EF"/>
    <w:rsid w:val="00390758"/>
    <w:rsid w:val="00391BF2"/>
    <w:rsid w:val="003928AE"/>
    <w:rsid w:val="00393139"/>
    <w:rsid w:val="003951A4"/>
    <w:rsid w:val="003A049C"/>
    <w:rsid w:val="003A0BEB"/>
    <w:rsid w:val="003A3E22"/>
    <w:rsid w:val="003A5B7E"/>
    <w:rsid w:val="003A5F7E"/>
    <w:rsid w:val="003B1803"/>
    <w:rsid w:val="003B5F4C"/>
    <w:rsid w:val="003B79AC"/>
    <w:rsid w:val="003C0AB3"/>
    <w:rsid w:val="003C1122"/>
    <w:rsid w:val="003C1230"/>
    <w:rsid w:val="003C489B"/>
    <w:rsid w:val="003C5994"/>
    <w:rsid w:val="003C7FFD"/>
    <w:rsid w:val="003D11F8"/>
    <w:rsid w:val="003D226C"/>
    <w:rsid w:val="003D43E5"/>
    <w:rsid w:val="003D4B79"/>
    <w:rsid w:val="003E11BD"/>
    <w:rsid w:val="003E17D3"/>
    <w:rsid w:val="003E30BD"/>
    <w:rsid w:val="003E641C"/>
    <w:rsid w:val="003F222F"/>
    <w:rsid w:val="003F3337"/>
    <w:rsid w:val="003F4547"/>
    <w:rsid w:val="003F4C52"/>
    <w:rsid w:val="003F54C9"/>
    <w:rsid w:val="003F6173"/>
    <w:rsid w:val="003F654A"/>
    <w:rsid w:val="003F7403"/>
    <w:rsid w:val="00401CDE"/>
    <w:rsid w:val="00402E14"/>
    <w:rsid w:val="00402FC9"/>
    <w:rsid w:val="00404DFA"/>
    <w:rsid w:val="00404F01"/>
    <w:rsid w:val="004129E9"/>
    <w:rsid w:val="00413A94"/>
    <w:rsid w:val="00415EA5"/>
    <w:rsid w:val="00417E13"/>
    <w:rsid w:val="004211A8"/>
    <w:rsid w:val="00421BEA"/>
    <w:rsid w:val="00430FCB"/>
    <w:rsid w:val="00435C24"/>
    <w:rsid w:val="00446146"/>
    <w:rsid w:val="0044688A"/>
    <w:rsid w:val="00450356"/>
    <w:rsid w:val="00450C89"/>
    <w:rsid w:val="00451664"/>
    <w:rsid w:val="0045218D"/>
    <w:rsid w:val="00454515"/>
    <w:rsid w:val="00456F07"/>
    <w:rsid w:val="00461779"/>
    <w:rsid w:val="004661AA"/>
    <w:rsid w:val="00466F35"/>
    <w:rsid w:val="004671EF"/>
    <w:rsid w:val="00467E08"/>
    <w:rsid w:val="004703C2"/>
    <w:rsid w:val="00471DC2"/>
    <w:rsid w:val="004749A8"/>
    <w:rsid w:val="00475485"/>
    <w:rsid w:val="00475657"/>
    <w:rsid w:val="004770AD"/>
    <w:rsid w:val="004779CA"/>
    <w:rsid w:val="00482858"/>
    <w:rsid w:val="004831E3"/>
    <w:rsid w:val="00484289"/>
    <w:rsid w:val="004846D3"/>
    <w:rsid w:val="004859DB"/>
    <w:rsid w:val="004861A8"/>
    <w:rsid w:val="00487025"/>
    <w:rsid w:val="00493251"/>
    <w:rsid w:val="0049496B"/>
    <w:rsid w:val="0049586B"/>
    <w:rsid w:val="004A059E"/>
    <w:rsid w:val="004A07AC"/>
    <w:rsid w:val="004A1FBA"/>
    <w:rsid w:val="004A2CDA"/>
    <w:rsid w:val="004A44EF"/>
    <w:rsid w:val="004B0BD5"/>
    <w:rsid w:val="004B0E0F"/>
    <w:rsid w:val="004B2556"/>
    <w:rsid w:val="004B2C31"/>
    <w:rsid w:val="004B40E7"/>
    <w:rsid w:val="004B4A2A"/>
    <w:rsid w:val="004C1812"/>
    <w:rsid w:val="004C5F8A"/>
    <w:rsid w:val="004C73A0"/>
    <w:rsid w:val="004D100F"/>
    <w:rsid w:val="004D18D4"/>
    <w:rsid w:val="004D217A"/>
    <w:rsid w:val="004D23BA"/>
    <w:rsid w:val="004D243D"/>
    <w:rsid w:val="004D55DD"/>
    <w:rsid w:val="004D6690"/>
    <w:rsid w:val="004D768D"/>
    <w:rsid w:val="004E0D15"/>
    <w:rsid w:val="004E2471"/>
    <w:rsid w:val="004E3F4F"/>
    <w:rsid w:val="004E702B"/>
    <w:rsid w:val="004F0893"/>
    <w:rsid w:val="004F2448"/>
    <w:rsid w:val="004F4BDF"/>
    <w:rsid w:val="004F6D58"/>
    <w:rsid w:val="0050150E"/>
    <w:rsid w:val="00504915"/>
    <w:rsid w:val="00504E2E"/>
    <w:rsid w:val="0051458C"/>
    <w:rsid w:val="00514EAE"/>
    <w:rsid w:val="00517B5F"/>
    <w:rsid w:val="00521AF8"/>
    <w:rsid w:val="00524B13"/>
    <w:rsid w:val="00526408"/>
    <w:rsid w:val="00527045"/>
    <w:rsid w:val="005276F2"/>
    <w:rsid w:val="00527D6B"/>
    <w:rsid w:val="0053065D"/>
    <w:rsid w:val="00530FD2"/>
    <w:rsid w:val="00531D25"/>
    <w:rsid w:val="00531FB1"/>
    <w:rsid w:val="0053200A"/>
    <w:rsid w:val="005325D1"/>
    <w:rsid w:val="005334D7"/>
    <w:rsid w:val="005415F3"/>
    <w:rsid w:val="00541753"/>
    <w:rsid w:val="00541882"/>
    <w:rsid w:val="005447AD"/>
    <w:rsid w:val="00544BDE"/>
    <w:rsid w:val="00545F1E"/>
    <w:rsid w:val="00551089"/>
    <w:rsid w:val="00551C6C"/>
    <w:rsid w:val="0055209C"/>
    <w:rsid w:val="0055220C"/>
    <w:rsid w:val="0055328C"/>
    <w:rsid w:val="005548A7"/>
    <w:rsid w:val="00554B38"/>
    <w:rsid w:val="00555B22"/>
    <w:rsid w:val="0056065D"/>
    <w:rsid w:val="00567988"/>
    <w:rsid w:val="005712CA"/>
    <w:rsid w:val="0057177A"/>
    <w:rsid w:val="005727AE"/>
    <w:rsid w:val="0057334E"/>
    <w:rsid w:val="005745DF"/>
    <w:rsid w:val="00581081"/>
    <w:rsid w:val="0058257B"/>
    <w:rsid w:val="00582BEF"/>
    <w:rsid w:val="005868CD"/>
    <w:rsid w:val="00592BD2"/>
    <w:rsid w:val="00594BAA"/>
    <w:rsid w:val="00595A3B"/>
    <w:rsid w:val="00597046"/>
    <w:rsid w:val="005970B9"/>
    <w:rsid w:val="00597E11"/>
    <w:rsid w:val="005A12B4"/>
    <w:rsid w:val="005A1EE8"/>
    <w:rsid w:val="005A3679"/>
    <w:rsid w:val="005A4739"/>
    <w:rsid w:val="005B0132"/>
    <w:rsid w:val="005B0DA2"/>
    <w:rsid w:val="005B2026"/>
    <w:rsid w:val="005B214F"/>
    <w:rsid w:val="005B27AC"/>
    <w:rsid w:val="005B3727"/>
    <w:rsid w:val="005B63E1"/>
    <w:rsid w:val="005B733E"/>
    <w:rsid w:val="005C1586"/>
    <w:rsid w:val="005C17B1"/>
    <w:rsid w:val="005C3575"/>
    <w:rsid w:val="005C527C"/>
    <w:rsid w:val="005C6EAF"/>
    <w:rsid w:val="005C760D"/>
    <w:rsid w:val="005D00F5"/>
    <w:rsid w:val="005D0FFC"/>
    <w:rsid w:val="005D2D1B"/>
    <w:rsid w:val="005D4CCF"/>
    <w:rsid w:val="005D564B"/>
    <w:rsid w:val="005D603D"/>
    <w:rsid w:val="005D61C6"/>
    <w:rsid w:val="005D7DA9"/>
    <w:rsid w:val="005E02C6"/>
    <w:rsid w:val="005E1E2D"/>
    <w:rsid w:val="005E2964"/>
    <w:rsid w:val="005E31F1"/>
    <w:rsid w:val="005E3295"/>
    <w:rsid w:val="005E42A0"/>
    <w:rsid w:val="005E4EC0"/>
    <w:rsid w:val="005E6568"/>
    <w:rsid w:val="005F220F"/>
    <w:rsid w:val="005F358A"/>
    <w:rsid w:val="005F43EF"/>
    <w:rsid w:val="005F7D38"/>
    <w:rsid w:val="00601734"/>
    <w:rsid w:val="00605394"/>
    <w:rsid w:val="00607703"/>
    <w:rsid w:val="00607B51"/>
    <w:rsid w:val="0061180E"/>
    <w:rsid w:val="006124D5"/>
    <w:rsid w:val="00615634"/>
    <w:rsid w:val="00615F98"/>
    <w:rsid w:val="00623EE1"/>
    <w:rsid w:val="006248EC"/>
    <w:rsid w:val="006248F9"/>
    <w:rsid w:val="0062533E"/>
    <w:rsid w:val="0063038C"/>
    <w:rsid w:val="00630A5B"/>
    <w:rsid w:val="00631B7C"/>
    <w:rsid w:val="00632234"/>
    <w:rsid w:val="006330CE"/>
    <w:rsid w:val="00641737"/>
    <w:rsid w:val="0064289F"/>
    <w:rsid w:val="00643B0D"/>
    <w:rsid w:val="00643C44"/>
    <w:rsid w:val="00644A19"/>
    <w:rsid w:val="0064622E"/>
    <w:rsid w:val="00647E24"/>
    <w:rsid w:val="006512FA"/>
    <w:rsid w:val="006535F0"/>
    <w:rsid w:val="006546E6"/>
    <w:rsid w:val="00656DBD"/>
    <w:rsid w:val="00657F61"/>
    <w:rsid w:val="00661ACD"/>
    <w:rsid w:val="0066228E"/>
    <w:rsid w:val="00663351"/>
    <w:rsid w:val="00664C21"/>
    <w:rsid w:val="00665F2C"/>
    <w:rsid w:val="00666B4C"/>
    <w:rsid w:val="00666E46"/>
    <w:rsid w:val="006747D2"/>
    <w:rsid w:val="00676772"/>
    <w:rsid w:val="00676FD7"/>
    <w:rsid w:val="006800B4"/>
    <w:rsid w:val="00681B74"/>
    <w:rsid w:val="00681DB0"/>
    <w:rsid w:val="006834DF"/>
    <w:rsid w:val="00683CD7"/>
    <w:rsid w:val="00690488"/>
    <w:rsid w:val="00691471"/>
    <w:rsid w:val="00692728"/>
    <w:rsid w:val="00692A7C"/>
    <w:rsid w:val="00692C1F"/>
    <w:rsid w:val="00692D38"/>
    <w:rsid w:val="00693406"/>
    <w:rsid w:val="0069400B"/>
    <w:rsid w:val="00694DC2"/>
    <w:rsid w:val="00696C86"/>
    <w:rsid w:val="006A412A"/>
    <w:rsid w:val="006A49FC"/>
    <w:rsid w:val="006A59C1"/>
    <w:rsid w:val="006A5FA1"/>
    <w:rsid w:val="006A6825"/>
    <w:rsid w:val="006B394D"/>
    <w:rsid w:val="006B3F4F"/>
    <w:rsid w:val="006B5ED6"/>
    <w:rsid w:val="006B6C36"/>
    <w:rsid w:val="006C1CFA"/>
    <w:rsid w:val="006C316B"/>
    <w:rsid w:val="006C6500"/>
    <w:rsid w:val="006C7CB3"/>
    <w:rsid w:val="006D02A5"/>
    <w:rsid w:val="006D23B4"/>
    <w:rsid w:val="006D2415"/>
    <w:rsid w:val="006D2CE8"/>
    <w:rsid w:val="006D2D30"/>
    <w:rsid w:val="006D5BF6"/>
    <w:rsid w:val="006E4B45"/>
    <w:rsid w:val="006E566F"/>
    <w:rsid w:val="006F375B"/>
    <w:rsid w:val="006F3DDA"/>
    <w:rsid w:val="006F5B43"/>
    <w:rsid w:val="006F61D8"/>
    <w:rsid w:val="006F7C11"/>
    <w:rsid w:val="00700614"/>
    <w:rsid w:val="00700892"/>
    <w:rsid w:val="0070278C"/>
    <w:rsid w:val="00702956"/>
    <w:rsid w:val="00703D01"/>
    <w:rsid w:val="00703F7C"/>
    <w:rsid w:val="0071226C"/>
    <w:rsid w:val="00712270"/>
    <w:rsid w:val="00714AE8"/>
    <w:rsid w:val="00714E85"/>
    <w:rsid w:val="00715F20"/>
    <w:rsid w:val="00716543"/>
    <w:rsid w:val="0071696C"/>
    <w:rsid w:val="00720EB6"/>
    <w:rsid w:val="00722609"/>
    <w:rsid w:val="00722967"/>
    <w:rsid w:val="007250B5"/>
    <w:rsid w:val="00725B25"/>
    <w:rsid w:val="00725EED"/>
    <w:rsid w:val="00727648"/>
    <w:rsid w:val="007305A1"/>
    <w:rsid w:val="00735168"/>
    <w:rsid w:val="00736F85"/>
    <w:rsid w:val="00744676"/>
    <w:rsid w:val="007450C3"/>
    <w:rsid w:val="007515AB"/>
    <w:rsid w:val="00752646"/>
    <w:rsid w:val="00752E35"/>
    <w:rsid w:val="00753C32"/>
    <w:rsid w:val="007553F2"/>
    <w:rsid w:val="00755DE2"/>
    <w:rsid w:val="00756DC8"/>
    <w:rsid w:val="007708E8"/>
    <w:rsid w:val="0077246D"/>
    <w:rsid w:val="007743DC"/>
    <w:rsid w:val="00775793"/>
    <w:rsid w:val="00782781"/>
    <w:rsid w:val="007848C2"/>
    <w:rsid w:val="00787110"/>
    <w:rsid w:val="0079263F"/>
    <w:rsid w:val="007932A6"/>
    <w:rsid w:val="00793FB2"/>
    <w:rsid w:val="00794143"/>
    <w:rsid w:val="00795047"/>
    <w:rsid w:val="0079601F"/>
    <w:rsid w:val="007A0202"/>
    <w:rsid w:val="007A3953"/>
    <w:rsid w:val="007B0360"/>
    <w:rsid w:val="007B0A02"/>
    <w:rsid w:val="007B0DCD"/>
    <w:rsid w:val="007B2E04"/>
    <w:rsid w:val="007B6E45"/>
    <w:rsid w:val="007C19E8"/>
    <w:rsid w:val="007D1364"/>
    <w:rsid w:val="007D1B47"/>
    <w:rsid w:val="007D2CB6"/>
    <w:rsid w:val="007D2ECF"/>
    <w:rsid w:val="007E0CA5"/>
    <w:rsid w:val="007E1FC3"/>
    <w:rsid w:val="007E2D4C"/>
    <w:rsid w:val="007E36BC"/>
    <w:rsid w:val="007E3BD3"/>
    <w:rsid w:val="007E403A"/>
    <w:rsid w:val="007E4502"/>
    <w:rsid w:val="007E4C32"/>
    <w:rsid w:val="007E5A0E"/>
    <w:rsid w:val="007E7A36"/>
    <w:rsid w:val="007F0B80"/>
    <w:rsid w:val="007F5D50"/>
    <w:rsid w:val="007F7E92"/>
    <w:rsid w:val="008003A1"/>
    <w:rsid w:val="00800D4A"/>
    <w:rsid w:val="00802A13"/>
    <w:rsid w:val="00810FB0"/>
    <w:rsid w:val="008117B3"/>
    <w:rsid w:val="008142D6"/>
    <w:rsid w:val="008168A7"/>
    <w:rsid w:val="00817353"/>
    <w:rsid w:val="0082113C"/>
    <w:rsid w:val="008237FB"/>
    <w:rsid w:val="008251EB"/>
    <w:rsid w:val="00826D12"/>
    <w:rsid w:val="00830DAA"/>
    <w:rsid w:val="00835439"/>
    <w:rsid w:val="00836127"/>
    <w:rsid w:val="0083640A"/>
    <w:rsid w:val="008366FC"/>
    <w:rsid w:val="008378A9"/>
    <w:rsid w:val="00837CE2"/>
    <w:rsid w:val="00837F7F"/>
    <w:rsid w:val="008411FD"/>
    <w:rsid w:val="00841D0D"/>
    <w:rsid w:val="00841E69"/>
    <w:rsid w:val="00845F7F"/>
    <w:rsid w:val="00850E3D"/>
    <w:rsid w:val="008545EB"/>
    <w:rsid w:val="00856809"/>
    <w:rsid w:val="008601E8"/>
    <w:rsid w:val="008702D3"/>
    <w:rsid w:val="008702F8"/>
    <w:rsid w:val="00870F5A"/>
    <w:rsid w:val="00871EA3"/>
    <w:rsid w:val="008723EC"/>
    <w:rsid w:val="00872B61"/>
    <w:rsid w:val="0087397F"/>
    <w:rsid w:val="008743BE"/>
    <w:rsid w:val="00875020"/>
    <w:rsid w:val="00875CF8"/>
    <w:rsid w:val="008760E0"/>
    <w:rsid w:val="0087663F"/>
    <w:rsid w:val="008771BB"/>
    <w:rsid w:val="00882892"/>
    <w:rsid w:val="00885125"/>
    <w:rsid w:val="0088623D"/>
    <w:rsid w:val="00886314"/>
    <w:rsid w:val="00887CFC"/>
    <w:rsid w:val="00890EEC"/>
    <w:rsid w:val="00895D07"/>
    <w:rsid w:val="008966FB"/>
    <w:rsid w:val="008A02CD"/>
    <w:rsid w:val="008A0C99"/>
    <w:rsid w:val="008A0E43"/>
    <w:rsid w:val="008A1992"/>
    <w:rsid w:val="008A2AB5"/>
    <w:rsid w:val="008A3E7B"/>
    <w:rsid w:val="008A70F4"/>
    <w:rsid w:val="008B14DA"/>
    <w:rsid w:val="008B1BAF"/>
    <w:rsid w:val="008B2864"/>
    <w:rsid w:val="008B383E"/>
    <w:rsid w:val="008B3C13"/>
    <w:rsid w:val="008B52B5"/>
    <w:rsid w:val="008B6675"/>
    <w:rsid w:val="008C2238"/>
    <w:rsid w:val="008C2BFA"/>
    <w:rsid w:val="008C7069"/>
    <w:rsid w:val="008D007A"/>
    <w:rsid w:val="008D00F4"/>
    <w:rsid w:val="008D0205"/>
    <w:rsid w:val="008D0750"/>
    <w:rsid w:val="008D17BC"/>
    <w:rsid w:val="008D1CEE"/>
    <w:rsid w:val="008D27EA"/>
    <w:rsid w:val="008D4CD0"/>
    <w:rsid w:val="008E1A8E"/>
    <w:rsid w:val="008E6A17"/>
    <w:rsid w:val="008E6CA6"/>
    <w:rsid w:val="008E7761"/>
    <w:rsid w:val="008F03D4"/>
    <w:rsid w:val="008F1A36"/>
    <w:rsid w:val="008F26F8"/>
    <w:rsid w:val="008F406F"/>
    <w:rsid w:val="008F67B4"/>
    <w:rsid w:val="008F7646"/>
    <w:rsid w:val="00900025"/>
    <w:rsid w:val="00900FFB"/>
    <w:rsid w:val="0090182F"/>
    <w:rsid w:val="009060E8"/>
    <w:rsid w:val="00910FED"/>
    <w:rsid w:val="009111E3"/>
    <w:rsid w:val="00911E45"/>
    <w:rsid w:val="0091242F"/>
    <w:rsid w:val="009150B1"/>
    <w:rsid w:val="0091618E"/>
    <w:rsid w:val="0091640D"/>
    <w:rsid w:val="0091702A"/>
    <w:rsid w:val="00923828"/>
    <w:rsid w:val="00926848"/>
    <w:rsid w:val="00926D10"/>
    <w:rsid w:val="009304AE"/>
    <w:rsid w:val="009329A8"/>
    <w:rsid w:val="00932C51"/>
    <w:rsid w:val="009348A2"/>
    <w:rsid w:val="009358BF"/>
    <w:rsid w:val="00935937"/>
    <w:rsid w:val="00936BDC"/>
    <w:rsid w:val="00942680"/>
    <w:rsid w:val="00942A04"/>
    <w:rsid w:val="0094379D"/>
    <w:rsid w:val="009442F5"/>
    <w:rsid w:val="00954996"/>
    <w:rsid w:val="00956D3B"/>
    <w:rsid w:val="00961B89"/>
    <w:rsid w:val="00962D90"/>
    <w:rsid w:val="00964155"/>
    <w:rsid w:val="00966787"/>
    <w:rsid w:val="00970225"/>
    <w:rsid w:val="00970246"/>
    <w:rsid w:val="00970482"/>
    <w:rsid w:val="009711E6"/>
    <w:rsid w:val="0097184F"/>
    <w:rsid w:val="009719BB"/>
    <w:rsid w:val="00980DF4"/>
    <w:rsid w:val="00981669"/>
    <w:rsid w:val="009824FB"/>
    <w:rsid w:val="00984CC6"/>
    <w:rsid w:val="00992414"/>
    <w:rsid w:val="009949CD"/>
    <w:rsid w:val="00995626"/>
    <w:rsid w:val="009A10F4"/>
    <w:rsid w:val="009A1999"/>
    <w:rsid w:val="009A27DB"/>
    <w:rsid w:val="009A38DD"/>
    <w:rsid w:val="009A607E"/>
    <w:rsid w:val="009A63A7"/>
    <w:rsid w:val="009A6CCC"/>
    <w:rsid w:val="009A6F4F"/>
    <w:rsid w:val="009B2FAD"/>
    <w:rsid w:val="009B39A8"/>
    <w:rsid w:val="009B3AE7"/>
    <w:rsid w:val="009B4C75"/>
    <w:rsid w:val="009B587F"/>
    <w:rsid w:val="009C36BA"/>
    <w:rsid w:val="009C38E2"/>
    <w:rsid w:val="009C5D70"/>
    <w:rsid w:val="009D1257"/>
    <w:rsid w:val="009D12AE"/>
    <w:rsid w:val="009D294C"/>
    <w:rsid w:val="009D3643"/>
    <w:rsid w:val="009D6B8B"/>
    <w:rsid w:val="009E09EA"/>
    <w:rsid w:val="009E41C3"/>
    <w:rsid w:val="009E462D"/>
    <w:rsid w:val="009E5910"/>
    <w:rsid w:val="009E60C4"/>
    <w:rsid w:val="009F1313"/>
    <w:rsid w:val="009F2C66"/>
    <w:rsid w:val="009F2CD1"/>
    <w:rsid w:val="009F318F"/>
    <w:rsid w:val="009F45B4"/>
    <w:rsid w:val="00A01560"/>
    <w:rsid w:val="00A01F5C"/>
    <w:rsid w:val="00A076BD"/>
    <w:rsid w:val="00A101F9"/>
    <w:rsid w:val="00A12A1B"/>
    <w:rsid w:val="00A13D36"/>
    <w:rsid w:val="00A168DB"/>
    <w:rsid w:val="00A22078"/>
    <w:rsid w:val="00A22096"/>
    <w:rsid w:val="00A22129"/>
    <w:rsid w:val="00A27211"/>
    <w:rsid w:val="00A325E8"/>
    <w:rsid w:val="00A33141"/>
    <w:rsid w:val="00A335AE"/>
    <w:rsid w:val="00A36077"/>
    <w:rsid w:val="00A37331"/>
    <w:rsid w:val="00A40B3C"/>
    <w:rsid w:val="00A40BB0"/>
    <w:rsid w:val="00A424D4"/>
    <w:rsid w:val="00A43CBD"/>
    <w:rsid w:val="00A43E33"/>
    <w:rsid w:val="00A4427D"/>
    <w:rsid w:val="00A52F62"/>
    <w:rsid w:val="00A55285"/>
    <w:rsid w:val="00A56948"/>
    <w:rsid w:val="00A578B0"/>
    <w:rsid w:val="00A57BB6"/>
    <w:rsid w:val="00A60A76"/>
    <w:rsid w:val="00A62EA4"/>
    <w:rsid w:val="00A62F68"/>
    <w:rsid w:val="00A666DE"/>
    <w:rsid w:val="00A67C12"/>
    <w:rsid w:val="00A709DA"/>
    <w:rsid w:val="00A731D8"/>
    <w:rsid w:val="00A73D1D"/>
    <w:rsid w:val="00A74CFD"/>
    <w:rsid w:val="00A75EE5"/>
    <w:rsid w:val="00A75F6C"/>
    <w:rsid w:val="00A81A71"/>
    <w:rsid w:val="00A83087"/>
    <w:rsid w:val="00A8384F"/>
    <w:rsid w:val="00A8389B"/>
    <w:rsid w:val="00A8433A"/>
    <w:rsid w:val="00A84FBA"/>
    <w:rsid w:val="00A85AC5"/>
    <w:rsid w:val="00A860B5"/>
    <w:rsid w:val="00A865AB"/>
    <w:rsid w:val="00A90019"/>
    <w:rsid w:val="00A9010D"/>
    <w:rsid w:val="00A9072B"/>
    <w:rsid w:val="00A92981"/>
    <w:rsid w:val="00A9696F"/>
    <w:rsid w:val="00AA034D"/>
    <w:rsid w:val="00AA1F4C"/>
    <w:rsid w:val="00AA275F"/>
    <w:rsid w:val="00AA35BD"/>
    <w:rsid w:val="00AA42EB"/>
    <w:rsid w:val="00AA46B0"/>
    <w:rsid w:val="00AA4A9C"/>
    <w:rsid w:val="00AA65CB"/>
    <w:rsid w:val="00AA6978"/>
    <w:rsid w:val="00AB1C38"/>
    <w:rsid w:val="00AB33AE"/>
    <w:rsid w:val="00AB47E7"/>
    <w:rsid w:val="00AB4FC9"/>
    <w:rsid w:val="00AB6779"/>
    <w:rsid w:val="00AB78CE"/>
    <w:rsid w:val="00AC2870"/>
    <w:rsid w:val="00AC36C1"/>
    <w:rsid w:val="00AC4380"/>
    <w:rsid w:val="00AC4B56"/>
    <w:rsid w:val="00AC4F50"/>
    <w:rsid w:val="00AC5111"/>
    <w:rsid w:val="00AC72A6"/>
    <w:rsid w:val="00AD0FC1"/>
    <w:rsid w:val="00AD1F08"/>
    <w:rsid w:val="00AD30BC"/>
    <w:rsid w:val="00AD7858"/>
    <w:rsid w:val="00AE18AC"/>
    <w:rsid w:val="00AE27E5"/>
    <w:rsid w:val="00AE5A98"/>
    <w:rsid w:val="00AE793B"/>
    <w:rsid w:val="00AF159D"/>
    <w:rsid w:val="00AF2B38"/>
    <w:rsid w:val="00AF4F8C"/>
    <w:rsid w:val="00AF6187"/>
    <w:rsid w:val="00B02513"/>
    <w:rsid w:val="00B02B41"/>
    <w:rsid w:val="00B02DB7"/>
    <w:rsid w:val="00B031EA"/>
    <w:rsid w:val="00B05CEE"/>
    <w:rsid w:val="00B06285"/>
    <w:rsid w:val="00B17002"/>
    <w:rsid w:val="00B20ED6"/>
    <w:rsid w:val="00B220CD"/>
    <w:rsid w:val="00B22DD0"/>
    <w:rsid w:val="00B23E02"/>
    <w:rsid w:val="00B26AF5"/>
    <w:rsid w:val="00B33075"/>
    <w:rsid w:val="00B33842"/>
    <w:rsid w:val="00B357BB"/>
    <w:rsid w:val="00B37538"/>
    <w:rsid w:val="00B4227A"/>
    <w:rsid w:val="00B425E0"/>
    <w:rsid w:val="00B4300D"/>
    <w:rsid w:val="00B45252"/>
    <w:rsid w:val="00B456B8"/>
    <w:rsid w:val="00B53422"/>
    <w:rsid w:val="00B5342D"/>
    <w:rsid w:val="00B5655E"/>
    <w:rsid w:val="00B63108"/>
    <w:rsid w:val="00B646B1"/>
    <w:rsid w:val="00B64EEC"/>
    <w:rsid w:val="00B660EE"/>
    <w:rsid w:val="00B67E1A"/>
    <w:rsid w:val="00B702EE"/>
    <w:rsid w:val="00B72598"/>
    <w:rsid w:val="00B76C6B"/>
    <w:rsid w:val="00B76D50"/>
    <w:rsid w:val="00B81783"/>
    <w:rsid w:val="00B83EBB"/>
    <w:rsid w:val="00B86927"/>
    <w:rsid w:val="00B86EFD"/>
    <w:rsid w:val="00B878A8"/>
    <w:rsid w:val="00B919C9"/>
    <w:rsid w:val="00B92057"/>
    <w:rsid w:val="00B9246E"/>
    <w:rsid w:val="00B92ADC"/>
    <w:rsid w:val="00B9332E"/>
    <w:rsid w:val="00B94241"/>
    <w:rsid w:val="00B9454A"/>
    <w:rsid w:val="00B94FB6"/>
    <w:rsid w:val="00B97EC1"/>
    <w:rsid w:val="00BA361F"/>
    <w:rsid w:val="00BA37AA"/>
    <w:rsid w:val="00BA476E"/>
    <w:rsid w:val="00BB2B12"/>
    <w:rsid w:val="00BB2B81"/>
    <w:rsid w:val="00BB35EB"/>
    <w:rsid w:val="00BB557D"/>
    <w:rsid w:val="00BB795A"/>
    <w:rsid w:val="00BC07AC"/>
    <w:rsid w:val="00BC13E1"/>
    <w:rsid w:val="00BC1733"/>
    <w:rsid w:val="00BC1CD3"/>
    <w:rsid w:val="00BC3BE2"/>
    <w:rsid w:val="00BC4743"/>
    <w:rsid w:val="00BC67F6"/>
    <w:rsid w:val="00BC6FB4"/>
    <w:rsid w:val="00BD166C"/>
    <w:rsid w:val="00BD5364"/>
    <w:rsid w:val="00BE0A61"/>
    <w:rsid w:val="00BE0E67"/>
    <w:rsid w:val="00BE308F"/>
    <w:rsid w:val="00BE693C"/>
    <w:rsid w:val="00BE6E94"/>
    <w:rsid w:val="00BF1578"/>
    <w:rsid w:val="00BF2C63"/>
    <w:rsid w:val="00BF406B"/>
    <w:rsid w:val="00BF4EFA"/>
    <w:rsid w:val="00BF59C0"/>
    <w:rsid w:val="00BF6550"/>
    <w:rsid w:val="00BF7AFD"/>
    <w:rsid w:val="00C00151"/>
    <w:rsid w:val="00C06FBF"/>
    <w:rsid w:val="00C07C20"/>
    <w:rsid w:val="00C07E9D"/>
    <w:rsid w:val="00C109F6"/>
    <w:rsid w:val="00C12442"/>
    <w:rsid w:val="00C16AA4"/>
    <w:rsid w:val="00C218BD"/>
    <w:rsid w:val="00C22400"/>
    <w:rsid w:val="00C2442E"/>
    <w:rsid w:val="00C27273"/>
    <w:rsid w:val="00C31691"/>
    <w:rsid w:val="00C320F0"/>
    <w:rsid w:val="00C32B6A"/>
    <w:rsid w:val="00C34141"/>
    <w:rsid w:val="00C34B53"/>
    <w:rsid w:val="00C37192"/>
    <w:rsid w:val="00C377CA"/>
    <w:rsid w:val="00C37BB2"/>
    <w:rsid w:val="00C404E5"/>
    <w:rsid w:val="00C41EE9"/>
    <w:rsid w:val="00C43888"/>
    <w:rsid w:val="00C46800"/>
    <w:rsid w:val="00C47018"/>
    <w:rsid w:val="00C47DDD"/>
    <w:rsid w:val="00C51B2C"/>
    <w:rsid w:val="00C5219E"/>
    <w:rsid w:val="00C52809"/>
    <w:rsid w:val="00C52E1E"/>
    <w:rsid w:val="00C533C3"/>
    <w:rsid w:val="00C542FA"/>
    <w:rsid w:val="00C57985"/>
    <w:rsid w:val="00C61B65"/>
    <w:rsid w:val="00C625CB"/>
    <w:rsid w:val="00C63989"/>
    <w:rsid w:val="00C63A0A"/>
    <w:rsid w:val="00C64680"/>
    <w:rsid w:val="00C650CF"/>
    <w:rsid w:val="00C6783E"/>
    <w:rsid w:val="00C716A7"/>
    <w:rsid w:val="00C727F9"/>
    <w:rsid w:val="00C765A1"/>
    <w:rsid w:val="00C8117F"/>
    <w:rsid w:val="00C85075"/>
    <w:rsid w:val="00C87C61"/>
    <w:rsid w:val="00C87EB0"/>
    <w:rsid w:val="00C903D3"/>
    <w:rsid w:val="00C91831"/>
    <w:rsid w:val="00C9225C"/>
    <w:rsid w:val="00CA0091"/>
    <w:rsid w:val="00CA0C88"/>
    <w:rsid w:val="00CA0CAF"/>
    <w:rsid w:val="00CB015F"/>
    <w:rsid w:val="00CB0DE0"/>
    <w:rsid w:val="00CB358A"/>
    <w:rsid w:val="00CB56C3"/>
    <w:rsid w:val="00CB597D"/>
    <w:rsid w:val="00CC0B64"/>
    <w:rsid w:val="00CC2C19"/>
    <w:rsid w:val="00CC2D9C"/>
    <w:rsid w:val="00CC371C"/>
    <w:rsid w:val="00CC382E"/>
    <w:rsid w:val="00CC5CD0"/>
    <w:rsid w:val="00CC5F72"/>
    <w:rsid w:val="00CC7C54"/>
    <w:rsid w:val="00CD2C53"/>
    <w:rsid w:val="00CD5574"/>
    <w:rsid w:val="00CD55BF"/>
    <w:rsid w:val="00CD6235"/>
    <w:rsid w:val="00CD683B"/>
    <w:rsid w:val="00CD6B20"/>
    <w:rsid w:val="00CD77AA"/>
    <w:rsid w:val="00CE1044"/>
    <w:rsid w:val="00CE599F"/>
    <w:rsid w:val="00CE68BA"/>
    <w:rsid w:val="00CF00C7"/>
    <w:rsid w:val="00CF04F7"/>
    <w:rsid w:val="00D06DD9"/>
    <w:rsid w:val="00D0708F"/>
    <w:rsid w:val="00D07556"/>
    <w:rsid w:val="00D11292"/>
    <w:rsid w:val="00D12130"/>
    <w:rsid w:val="00D15437"/>
    <w:rsid w:val="00D15601"/>
    <w:rsid w:val="00D15A89"/>
    <w:rsid w:val="00D17E02"/>
    <w:rsid w:val="00D22403"/>
    <w:rsid w:val="00D25835"/>
    <w:rsid w:val="00D2583B"/>
    <w:rsid w:val="00D26375"/>
    <w:rsid w:val="00D36D5E"/>
    <w:rsid w:val="00D4017A"/>
    <w:rsid w:val="00D40310"/>
    <w:rsid w:val="00D4469C"/>
    <w:rsid w:val="00D4581F"/>
    <w:rsid w:val="00D45956"/>
    <w:rsid w:val="00D469CC"/>
    <w:rsid w:val="00D479AE"/>
    <w:rsid w:val="00D52672"/>
    <w:rsid w:val="00D528C1"/>
    <w:rsid w:val="00D53D0E"/>
    <w:rsid w:val="00D60843"/>
    <w:rsid w:val="00D61FA1"/>
    <w:rsid w:val="00D62ABA"/>
    <w:rsid w:val="00D645EF"/>
    <w:rsid w:val="00D65154"/>
    <w:rsid w:val="00D66818"/>
    <w:rsid w:val="00D675CF"/>
    <w:rsid w:val="00D675D1"/>
    <w:rsid w:val="00D67F84"/>
    <w:rsid w:val="00D75C57"/>
    <w:rsid w:val="00D8072E"/>
    <w:rsid w:val="00D8194D"/>
    <w:rsid w:val="00D87ED0"/>
    <w:rsid w:val="00D91C1A"/>
    <w:rsid w:val="00D933B2"/>
    <w:rsid w:val="00D93DF7"/>
    <w:rsid w:val="00D946AE"/>
    <w:rsid w:val="00D962C9"/>
    <w:rsid w:val="00D968DE"/>
    <w:rsid w:val="00D97B2F"/>
    <w:rsid w:val="00DA1B76"/>
    <w:rsid w:val="00DA274B"/>
    <w:rsid w:val="00DA474B"/>
    <w:rsid w:val="00DA642C"/>
    <w:rsid w:val="00DB07E1"/>
    <w:rsid w:val="00DB1372"/>
    <w:rsid w:val="00DB23B4"/>
    <w:rsid w:val="00DB274C"/>
    <w:rsid w:val="00DB2D3A"/>
    <w:rsid w:val="00DB2FDD"/>
    <w:rsid w:val="00DB55D8"/>
    <w:rsid w:val="00DC3611"/>
    <w:rsid w:val="00DC4FC7"/>
    <w:rsid w:val="00DC5AAE"/>
    <w:rsid w:val="00DD028F"/>
    <w:rsid w:val="00DD14B1"/>
    <w:rsid w:val="00DE2BBD"/>
    <w:rsid w:val="00DE5FE4"/>
    <w:rsid w:val="00DF23C5"/>
    <w:rsid w:val="00DF260A"/>
    <w:rsid w:val="00DF3D6A"/>
    <w:rsid w:val="00DF5A44"/>
    <w:rsid w:val="00DF6F56"/>
    <w:rsid w:val="00DF6FBE"/>
    <w:rsid w:val="00DF78EA"/>
    <w:rsid w:val="00DF7DDA"/>
    <w:rsid w:val="00E008A6"/>
    <w:rsid w:val="00E010F8"/>
    <w:rsid w:val="00E02AE7"/>
    <w:rsid w:val="00E031F2"/>
    <w:rsid w:val="00E14671"/>
    <w:rsid w:val="00E14DDF"/>
    <w:rsid w:val="00E165DD"/>
    <w:rsid w:val="00E1768A"/>
    <w:rsid w:val="00E2238B"/>
    <w:rsid w:val="00E22415"/>
    <w:rsid w:val="00E25AC8"/>
    <w:rsid w:val="00E25B5F"/>
    <w:rsid w:val="00E30715"/>
    <w:rsid w:val="00E309D2"/>
    <w:rsid w:val="00E32149"/>
    <w:rsid w:val="00E32685"/>
    <w:rsid w:val="00E32933"/>
    <w:rsid w:val="00E330B4"/>
    <w:rsid w:val="00E330E1"/>
    <w:rsid w:val="00E33107"/>
    <w:rsid w:val="00E331FC"/>
    <w:rsid w:val="00E33E13"/>
    <w:rsid w:val="00E3543E"/>
    <w:rsid w:val="00E362F0"/>
    <w:rsid w:val="00E36F7F"/>
    <w:rsid w:val="00E40275"/>
    <w:rsid w:val="00E40396"/>
    <w:rsid w:val="00E409D2"/>
    <w:rsid w:val="00E411C0"/>
    <w:rsid w:val="00E41A04"/>
    <w:rsid w:val="00E440E8"/>
    <w:rsid w:val="00E46520"/>
    <w:rsid w:val="00E47CC3"/>
    <w:rsid w:val="00E50FC5"/>
    <w:rsid w:val="00E52CEF"/>
    <w:rsid w:val="00E53B5B"/>
    <w:rsid w:val="00E53F4A"/>
    <w:rsid w:val="00E55EBE"/>
    <w:rsid w:val="00E66714"/>
    <w:rsid w:val="00E66B5E"/>
    <w:rsid w:val="00E710A0"/>
    <w:rsid w:val="00E73DFB"/>
    <w:rsid w:val="00E745F1"/>
    <w:rsid w:val="00E756CB"/>
    <w:rsid w:val="00E774C0"/>
    <w:rsid w:val="00E8149E"/>
    <w:rsid w:val="00E824A5"/>
    <w:rsid w:val="00E8311F"/>
    <w:rsid w:val="00E8396E"/>
    <w:rsid w:val="00E84F3A"/>
    <w:rsid w:val="00E900BF"/>
    <w:rsid w:val="00E9146D"/>
    <w:rsid w:val="00E91514"/>
    <w:rsid w:val="00E91789"/>
    <w:rsid w:val="00E925CE"/>
    <w:rsid w:val="00E92F71"/>
    <w:rsid w:val="00E932CD"/>
    <w:rsid w:val="00E94C16"/>
    <w:rsid w:val="00E95306"/>
    <w:rsid w:val="00EA10B0"/>
    <w:rsid w:val="00EA19B5"/>
    <w:rsid w:val="00EA381E"/>
    <w:rsid w:val="00EA3D94"/>
    <w:rsid w:val="00EA5AA0"/>
    <w:rsid w:val="00EB156A"/>
    <w:rsid w:val="00EB2796"/>
    <w:rsid w:val="00EB3985"/>
    <w:rsid w:val="00EB4D6E"/>
    <w:rsid w:val="00EB5264"/>
    <w:rsid w:val="00EB533C"/>
    <w:rsid w:val="00EB56E1"/>
    <w:rsid w:val="00EB68EF"/>
    <w:rsid w:val="00EB6CA7"/>
    <w:rsid w:val="00EB7F64"/>
    <w:rsid w:val="00EC221D"/>
    <w:rsid w:val="00EC2928"/>
    <w:rsid w:val="00EC3BDB"/>
    <w:rsid w:val="00EC6708"/>
    <w:rsid w:val="00ED031E"/>
    <w:rsid w:val="00ED6308"/>
    <w:rsid w:val="00ED67C7"/>
    <w:rsid w:val="00EE27A5"/>
    <w:rsid w:val="00EE2ACE"/>
    <w:rsid w:val="00EE336C"/>
    <w:rsid w:val="00EE4143"/>
    <w:rsid w:val="00EE63FC"/>
    <w:rsid w:val="00EE6AD6"/>
    <w:rsid w:val="00EE768A"/>
    <w:rsid w:val="00EF11BE"/>
    <w:rsid w:val="00EF1F86"/>
    <w:rsid w:val="00EF39BD"/>
    <w:rsid w:val="00EF44FA"/>
    <w:rsid w:val="00EF4D4D"/>
    <w:rsid w:val="00EF72F7"/>
    <w:rsid w:val="00F010A6"/>
    <w:rsid w:val="00F017E9"/>
    <w:rsid w:val="00F01FCE"/>
    <w:rsid w:val="00F04AFE"/>
    <w:rsid w:val="00F10358"/>
    <w:rsid w:val="00F107E3"/>
    <w:rsid w:val="00F120C8"/>
    <w:rsid w:val="00F12CCB"/>
    <w:rsid w:val="00F135FB"/>
    <w:rsid w:val="00F13DE2"/>
    <w:rsid w:val="00F16FAC"/>
    <w:rsid w:val="00F2008F"/>
    <w:rsid w:val="00F2219C"/>
    <w:rsid w:val="00F2281C"/>
    <w:rsid w:val="00F25F94"/>
    <w:rsid w:val="00F3010D"/>
    <w:rsid w:val="00F358A9"/>
    <w:rsid w:val="00F35A42"/>
    <w:rsid w:val="00F37C5F"/>
    <w:rsid w:val="00F40258"/>
    <w:rsid w:val="00F40332"/>
    <w:rsid w:val="00F41E6A"/>
    <w:rsid w:val="00F434A5"/>
    <w:rsid w:val="00F434E9"/>
    <w:rsid w:val="00F44B19"/>
    <w:rsid w:val="00F479F4"/>
    <w:rsid w:val="00F529B0"/>
    <w:rsid w:val="00F529D2"/>
    <w:rsid w:val="00F53FA7"/>
    <w:rsid w:val="00F57579"/>
    <w:rsid w:val="00F61599"/>
    <w:rsid w:val="00F622CB"/>
    <w:rsid w:val="00F62744"/>
    <w:rsid w:val="00F62C92"/>
    <w:rsid w:val="00F631A6"/>
    <w:rsid w:val="00F65B2A"/>
    <w:rsid w:val="00F673E8"/>
    <w:rsid w:val="00F67AA4"/>
    <w:rsid w:val="00F72A3D"/>
    <w:rsid w:val="00F809C7"/>
    <w:rsid w:val="00F80F35"/>
    <w:rsid w:val="00F849B6"/>
    <w:rsid w:val="00F8519F"/>
    <w:rsid w:val="00F85607"/>
    <w:rsid w:val="00F91B54"/>
    <w:rsid w:val="00F934D9"/>
    <w:rsid w:val="00F95B5A"/>
    <w:rsid w:val="00FA5AE3"/>
    <w:rsid w:val="00FA79ED"/>
    <w:rsid w:val="00FA7D03"/>
    <w:rsid w:val="00FB56F5"/>
    <w:rsid w:val="00FB7431"/>
    <w:rsid w:val="00FC526D"/>
    <w:rsid w:val="00FC5614"/>
    <w:rsid w:val="00FC5622"/>
    <w:rsid w:val="00FD253C"/>
    <w:rsid w:val="00FD427B"/>
    <w:rsid w:val="00FD6B0E"/>
    <w:rsid w:val="00FD6B99"/>
    <w:rsid w:val="00FE1CDE"/>
    <w:rsid w:val="00FE2832"/>
    <w:rsid w:val="00FE2B1D"/>
    <w:rsid w:val="00FE3CFD"/>
    <w:rsid w:val="00FE48A2"/>
    <w:rsid w:val="00FF4B99"/>
    <w:rsid w:val="00FF7CD7"/>
    <w:rsid w:val="01EE3F2C"/>
    <w:rsid w:val="03C26BD1"/>
    <w:rsid w:val="03D4208C"/>
    <w:rsid w:val="03E8260C"/>
    <w:rsid w:val="05017C52"/>
    <w:rsid w:val="06757C48"/>
    <w:rsid w:val="07AD2313"/>
    <w:rsid w:val="07DF2906"/>
    <w:rsid w:val="08356D52"/>
    <w:rsid w:val="08DB7F70"/>
    <w:rsid w:val="09EA05ED"/>
    <w:rsid w:val="0A162D20"/>
    <w:rsid w:val="0A1D1456"/>
    <w:rsid w:val="0A8F6E15"/>
    <w:rsid w:val="0B854DAD"/>
    <w:rsid w:val="0CE03002"/>
    <w:rsid w:val="0CE1517F"/>
    <w:rsid w:val="0D4C3DE4"/>
    <w:rsid w:val="0E0D7070"/>
    <w:rsid w:val="0E2872D6"/>
    <w:rsid w:val="0E582E2F"/>
    <w:rsid w:val="0EBA50FE"/>
    <w:rsid w:val="102E5725"/>
    <w:rsid w:val="112C3C37"/>
    <w:rsid w:val="12E52961"/>
    <w:rsid w:val="13FE5CC2"/>
    <w:rsid w:val="141B1ED9"/>
    <w:rsid w:val="1442479D"/>
    <w:rsid w:val="15252FF1"/>
    <w:rsid w:val="15375E62"/>
    <w:rsid w:val="16D42CDF"/>
    <w:rsid w:val="17905196"/>
    <w:rsid w:val="17B648CC"/>
    <w:rsid w:val="17D95673"/>
    <w:rsid w:val="187327BD"/>
    <w:rsid w:val="18AA2444"/>
    <w:rsid w:val="19160669"/>
    <w:rsid w:val="19AF639F"/>
    <w:rsid w:val="1B331D07"/>
    <w:rsid w:val="1BDB2B53"/>
    <w:rsid w:val="1D6C1F47"/>
    <w:rsid w:val="1D8368AB"/>
    <w:rsid w:val="1E1B5073"/>
    <w:rsid w:val="1E9E0A82"/>
    <w:rsid w:val="20866141"/>
    <w:rsid w:val="20FF14F2"/>
    <w:rsid w:val="213D6D09"/>
    <w:rsid w:val="21550065"/>
    <w:rsid w:val="24110D31"/>
    <w:rsid w:val="245B38D1"/>
    <w:rsid w:val="24F07C84"/>
    <w:rsid w:val="251E1D03"/>
    <w:rsid w:val="29732512"/>
    <w:rsid w:val="29DF5830"/>
    <w:rsid w:val="2B1C386E"/>
    <w:rsid w:val="2B1E480B"/>
    <w:rsid w:val="2B303B21"/>
    <w:rsid w:val="2B700882"/>
    <w:rsid w:val="2CC118F2"/>
    <w:rsid w:val="2E2D7C9E"/>
    <w:rsid w:val="2E66470A"/>
    <w:rsid w:val="31991EC2"/>
    <w:rsid w:val="34483C32"/>
    <w:rsid w:val="36DF7145"/>
    <w:rsid w:val="3A6A32CA"/>
    <w:rsid w:val="3BCD6E7C"/>
    <w:rsid w:val="3C0D06AF"/>
    <w:rsid w:val="3C6A0C14"/>
    <w:rsid w:val="3C6F3165"/>
    <w:rsid w:val="3DBD55AE"/>
    <w:rsid w:val="3EEF6792"/>
    <w:rsid w:val="3FBC05FB"/>
    <w:rsid w:val="40E65423"/>
    <w:rsid w:val="41C773E2"/>
    <w:rsid w:val="428710CC"/>
    <w:rsid w:val="43886F2E"/>
    <w:rsid w:val="47884B7D"/>
    <w:rsid w:val="4B9A1834"/>
    <w:rsid w:val="4BD642F8"/>
    <w:rsid w:val="4CB82227"/>
    <w:rsid w:val="4CED89BA"/>
    <w:rsid w:val="4D4C3002"/>
    <w:rsid w:val="4F966801"/>
    <w:rsid w:val="50286A64"/>
    <w:rsid w:val="51DF61F2"/>
    <w:rsid w:val="55A14C92"/>
    <w:rsid w:val="56781FB5"/>
    <w:rsid w:val="575C3274"/>
    <w:rsid w:val="588418A2"/>
    <w:rsid w:val="5A1B5BC3"/>
    <w:rsid w:val="5BA069F2"/>
    <w:rsid w:val="5BB444F4"/>
    <w:rsid w:val="5D3619E4"/>
    <w:rsid w:val="5E48344D"/>
    <w:rsid w:val="5F9B7AE0"/>
    <w:rsid w:val="5FB74124"/>
    <w:rsid w:val="5FF4247C"/>
    <w:rsid w:val="622B403D"/>
    <w:rsid w:val="64095E7F"/>
    <w:rsid w:val="64414325"/>
    <w:rsid w:val="649050FB"/>
    <w:rsid w:val="65117F09"/>
    <w:rsid w:val="658C7FE7"/>
    <w:rsid w:val="66411775"/>
    <w:rsid w:val="68B57855"/>
    <w:rsid w:val="6A053438"/>
    <w:rsid w:val="6A523D98"/>
    <w:rsid w:val="6B0008F1"/>
    <w:rsid w:val="6BC308DC"/>
    <w:rsid w:val="6BC960D2"/>
    <w:rsid w:val="6BD46E9D"/>
    <w:rsid w:val="6DEE7A91"/>
    <w:rsid w:val="6E6931FA"/>
    <w:rsid w:val="6F5A4CB2"/>
    <w:rsid w:val="70DE3358"/>
    <w:rsid w:val="72A936C4"/>
    <w:rsid w:val="743E4BA3"/>
    <w:rsid w:val="74471885"/>
    <w:rsid w:val="75E7254A"/>
    <w:rsid w:val="75EA54BF"/>
    <w:rsid w:val="76A10158"/>
    <w:rsid w:val="7851049C"/>
    <w:rsid w:val="791D122B"/>
    <w:rsid w:val="79435EF6"/>
    <w:rsid w:val="79662507"/>
    <w:rsid w:val="79D47BB1"/>
    <w:rsid w:val="7AE96FDE"/>
    <w:rsid w:val="7B195C43"/>
    <w:rsid w:val="7BE31D8F"/>
    <w:rsid w:val="7C02295A"/>
    <w:rsid w:val="7C0E57AD"/>
    <w:rsid w:val="7C995B9F"/>
    <w:rsid w:val="7D08589A"/>
    <w:rsid w:val="7D996D0B"/>
    <w:rsid w:val="7E2E40D3"/>
    <w:rsid w:val="7F6F6188"/>
    <w:rsid w:val="7FBF3D65"/>
    <w:rsid w:val="BFCE770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qFormat="1" w:uiPriority="39" w:semiHidden="0"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link w:val="40"/>
    <w:semiHidden/>
    <w:unhideWhenUsed/>
    <w:qFormat/>
    <w:uiPriority w:val="9"/>
    <w:pPr>
      <w:keepNext/>
      <w:keepLines/>
      <w:spacing w:before="260" w:after="260" w:line="416" w:lineRule="auto"/>
      <w:outlineLvl w:val="2"/>
    </w:pPr>
    <w:rPr>
      <w:b/>
      <w:bCs/>
      <w:sz w:val="32"/>
      <w:szCs w:val="32"/>
    </w:rPr>
  </w:style>
  <w:style w:type="paragraph" w:styleId="4">
    <w:name w:val="heading 6"/>
    <w:basedOn w:val="1"/>
    <w:next w:val="1"/>
    <w:link w:val="24"/>
    <w:qFormat/>
    <w:uiPriority w:val="0"/>
    <w:pPr>
      <w:keepNext/>
      <w:keepLines/>
      <w:spacing w:before="240" w:after="64" w:line="320" w:lineRule="auto"/>
      <w:outlineLvl w:val="5"/>
    </w:pPr>
    <w:rPr>
      <w:rFonts w:ascii="Arial" w:hAnsi="Arial" w:eastAsia="黑体"/>
      <w:b/>
      <w:bCs/>
      <w:sz w:val="24"/>
    </w:rPr>
  </w:style>
  <w:style w:type="character" w:default="1" w:styleId="14">
    <w:name w:val="Default Paragraph Font"/>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customStyle="1" w:styleId="2">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paragraph" w:styleId="5">
    <w:name w:val="toc 7"/>
    <w:basedOn w:val="1"/>
    <w:next w:val="1"/>
    <w:unhideWhenUsed/>
    <w:qFormat/>
    <w:uiPriority w:val="39"/>
    <w:pPr>
      <w:tabs>
        <w:tab w:val="right" w:leader="dot" w:pos="9344"/>
      </w:tabs>
      <w:adjustRightInd w:val="0"/>
      <w:spacing w:line="300" w:lineRule="exact"/>
      <w:ind w:left="1259"/>
    </w:pPr>
    <w:rPr>
      <w:rFonts w:ascii="宋体" w:hAnsi="Calibri"/>
      <w:szCs w:val="21"/>
    </w:rPr>
  </w:style>
  <w:style w:type="paragraph" w:styleId="6">
    <w:name w:val="annotation text"/>
    <w:basedOn w:val="1"/>
    <w:link w:val="37"/>
    <w:semiHidden/>
    <w:unhideWhenUsed/>
    <w:qFormat/>
    <w:uiPriority w:val="99"/>
    <w:pPr>
      <w:jc w:val="left"/>
    </w:pPr>
  </w:style>
  <w:style w:type="paragraph" w:styleId="7">
    <w:name w:val="Balloon Text"/>
    <w:basedOn w:val="1"/>
    <w:link w:val="36"/>
    <w:semiHidden/>
    <w:unhideWhenUsed/>
    <w:qFormat/>
    <w:uiPriority w:val="99"/>
    <w:rPr>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1">
    <w:name w:val="annotation subject"/>
    <w:basedOn w:val="6"/>
    <w:next w:val="6"/>
    <w:link w:val="38"/>
    <w:semiHidden/>
    <w:unhideWhenUsed/>
    <w:qFormat/>
    <w:uiPriority w:val="99"/>
    <w:rPr>
      <w:b/>
      <w:bCs/>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character" w:styleId="16">
    <w:name w:val="Hyperlink"/>
    <w:basedOn w:val="14"/>
    <w:qFormat/>
    <w:uiPriority w:val="0"/>
    <w:rPr>
      <w:color w:val="2440B3"/>
      <w:u w:val="single"/>
    </w:rPr>
  </w:style>
  <w:style w:type="character" w:styleId="17">
    <w:name w:val="annotation reference"/>
    <w:basedOn w:val="14"/>
    <w:semiHidden/>
    <w:unhideWhenUsed/>
    <w:qFormat/>
    <w:uiPriority w:val="99"/>
    <w:rPr>
      <w:sz w:val="21"/>
      <w:szCs w:val="21"/>
    </w:rPr>
  </w:style>
  <w:style w:type="character" w:customStyle="1" w:styleId="18">
    <w:name w:val="页眉 字符"/>
    <w:basedOn w:val="14"/>
    <w:link w:val="9"/>
    <w:qFormat/>
    <w:uiPriority w:val="99"/>
    <w:rPr>
      <w:sz w:val="18"/>
      <w:szCs w:val="18"/>
    </w:rPr>
  </w:style>
  <w:style w:type="character" w:customStyle="1" w:styleId="19">
    <w:name w:val="页脚 字符"/>
    <w:basedOn w:val="14"/>
    <w:link w:val="8"/>
    <w:qFormat/>
    <w:uiPriority w:val="99"/>
    <w:rPr>
      <w:sz w:val="18"/>
      <w:szCs w:val="18"/>
    </w:rPr>
  </w:style>
  <w:style w:type="character" w:customStyle="1" w:styleId="20">
    <w:name w:val="段 Char"/>
    <w:link w:val="21"/>
    <w:qFormat/>
    <w:uiPriority w:val="0"/>
    <w:rPr>
      <w:rFonts w:ascii="宋体"/>
    </w:rPr>
  </w:style>
  <w:style w:type="paragraph" w:customStyle="1" w:styleId="21">
    <w:name w:val="段"/>
    <w:link w:val="20"/>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2">
    <w:name w:val="章标题"/>
    <w:next w:val="21"/>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3">
    <w:name w:val="二级无"/>
    <w:basedOn w:val="1"/>
    <w:qFormat/>
    <w:uiPriority w:val="0"/>
    <w:pPr>
      <w:widowControl/>
      <w:numPr>
        <w:ilvl w:val="2"/>
        <w:numId w:val="1"/>
      </w:numPr>
      <w:jc w:val="left"/>
      <w:outlineLvl w:val="3"/>
    </w:pPr>
    <w:rPr>
      <w:rFonts w:ascii="宋体"/>
      <w:kern w:val="0"/>
      <w:szCs w:val="21"/>
    </w:rPr>
  </w:style>
  <w:style w:type="character" w:customStyle="1" w:styleId="24">
    <w:name w:val="标题 6 字符"/>
    <w:basedOn w:val="14"/>
    <w:link w:val="4"/>
    <w:qFormat/>
    <w:uiPriority w:val="0"/>
    <w:rPr>
      <w:rFonts w:ascii="Arial" w:hAnsi="Arial" w:eastAsia="黑体" w:cs="Times New Roman"/>
      <w:b/>
      <w:bCs/>
      <w:sz w:val="24"/>
      <w:szCs w:val="24"/>
    </w:rPr>
  </w:style>
  <w:style w:type="paragraph" w:customStyle="1" w:styleId="25">
    <w:name w:val="标准文件_段"/>
    <w:link w:val="2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6">
    <w:name w:val="标准文件_段 Char"/>
    <w:link w:val="25"/>
    <w:qFormat/>
    <w:uiPriority w:val="0"/>
    <w:rPr>
      <w:rFonts w:ascii="宋体" w:hAnsi="Times New Roman" w:eastAsia="宋体" w:cs="Times New Roman"/>
      <w:kern w:val="0"/>
      <w:szCs w:val="20"/>
    </w:rPr>
  </w:style>
  <w:style w:type="paragraph" w:customStyle="1" w:styleId="27">
    <w:name w:val="标准文件_二级条标题"/>
    <w:next w:val="25"/>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28">
    <w:name w:val="标准文件_三级条标题"/>
    <w:basedOn w:val="27"/>
    <w:next w:val="25"/>
    <w:qFormat/>
    <w:uiPriority w:val="0"/>
    <w:pPr>
      <w:widowControl/>
      <w:numPr>
        <w:ilvl w:val="4"/>
      </w:numPr>
      <w:outlineLvl w:val="3"/>
    </w:pPr>
  </w:style>
  <w:style w:type="paragraph" w:customStyle="1" w:styleId="29">
    <w:name w:val="标准文件_四级条标题"/>
    <w:next w:val="25"/>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30">
    <w:name w:val="标准文件_五级条标题"/>
    <w:next w:val="25"/>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31">
    <w:name w:val="标准文件_章标题"/>
    <w:next w:val="25"/>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2">
    <w:name w:val="标准文件_一级条标题"/>
    <w:basedOn w:val="31"/>
    <w:next w:val="25"/>
    <w:qFormat/>
    <w:uiPriority w:val="0"/>
    <w:pPr>
      <w:numPr>
        <w:ilvl w:val="2"/>
      </w:numPr>
      <w:spacing w:beforeLines="50" w:afterLines="50"/>
      <w:outlineLvl w:val="1"/>
    </w:pPr>
  </w:style>
  <w:style w:type="paragraph" w:customStyle="1" w:styleId="3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4">
    <w:name w:val="标准文件_四级无标题"/>
    <w:basedOn w:val="29"/>
    <w:qFormat/>
    <w:uiPriority w:val="0"/>
    <w:pPr>
      <w:numPr>
        <w:numId w:val="3"/>
      </w:numPr>
      <w:spacing w:beforeLines="0"/>
      <w:outlineLvl w:val="9"/>
    </w:pPr>
    <w:rPr>
      <w:rFonts w:hint="eastAsia" w:ascii="宋体" w:hAnsi="宋体" w:eastAsia="宋体"/>
      <w:szCs w:val="52"/>
    </w:rPr>
  </w:style>
  <w:style w:type="paragraph" w:customStyle="1" w:styleId="35">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character" w:customStyle="1" w:styleId="36">
    <w:name w:val="批注框文本 字符"/>
    <w:basedOn w:val="14"/>
    <w:link w:val="7"/>
    <w:semiHidden/>
    <w:qFormat/>
    <w:uiPriority w:val="99"/>
    <w:rPr>
      <w:kern w:val="2"/>
      <w:sz w:val="18"/>
      <w:szCs w:val="18"/>
    </w:rPr>
  </w:style>
  <w:style w:type="character" w:customStyle="1" w:styleId="37">
    <w:name w:val="批注文字 字符"/>
    <w:basedOn w:val="14"/>
    <w:link w:val="6"/>
    <w:semiHidden/>
    <w:qFormat/>
    <w:uiPriority w:val="99"/>
    <w:rPr>
      <w:kern w:val="2"/>
      <w:sz w:val="21"/>
      <w:szCs w:val="24"/>
    </w:rPr>
  </w:style>
  <w:style w:type="character" w:customStyle="1" w:styleId="38">
    <w:name w:val="批注主题 字符"/>
    <w:basedOn w:val="37"/>
    <w:link w:val="11"/>
    <w:semiHidden/>
    <w:qFormat/>
    <w:uiPriority w:val="99"/>
    <w:rPr>
      <w:b/>
      <w:bCs/>
      <w:kern w:val="2"/>
      <w:sz w:val="21"/>
      <w:szCs w:val="24"/>
    </w:rPr>
  </w:style>
  <w:style w:type="character" w:customStyle="1" w:styleId="39">
    <w:name w:val="Unresolved Mention"/>
    <w:basedOn w:val="14"/>
    <w:semiHidden/>
    <w:unhideWhenUsed/>
    <w:qFormat/>
    <w:uiPriority w:val="99"/>
    <w:rPr>
      <w:color w:val="605E5C"/>
      <w:shd w:val="clear" w:color="auto" w:fill="E1DFDD"/>
    </w:rPr>
  </w:style>
  <w:style w:type="character" w:customStyle="1" w:styleId="40">
    <w:name w:val="标题 3 字符"/>
    <w:basedOn w:val="14"/>
    <w:link w:val="3"/>
    <w:semiHidden/>
    <w:qFormat/>
    <w:uiPriority w:val="9"/>
    <w:rPr>
      <w:b/>
      <w:bCs/>
      <w:kern w:val="2"/>
      <w:sz w:val="32"/>
      <w:szCs w:val="32"/>
    </w:rPr>
  </w:style>
  <w:style w:type="paragraph" w:styleId="41">
    <w:name w:val="List Paragraph"/>
    <w:basedOn w:val="1"/>
    <w:qFormat/>
    <w:uiPriority w:val="99"/>
    <w:pPr>
      <w:ind w:firstLine="420" w:firstLineChars="200"/>
    </w:pPr>
  </w:style>
  <w:style w:type="paragraph" w:customStyle="1" w:styleId="42">
    <w:name w:val="标准文件_一级项"/>
    <w:qFormat/>
    <w:uiPriority w:val="0"/>
    <w:pPr>
      <w:numPr>
        <w:ilvl w:val="0"/>
        <w:numId w:val="5"/>
      </w:numPr>
    </w:pPr>
    <w:rPr>
      <w:rFonts w:ascii="宋体" w:hAnsi="Times New Roman" w:eastAsia="宋体" w:cs="Times New Roman"/>
      <w:sz w:val="21"/>
      <w:lang w:val="en-US" w:eastAsia="zh-CN" w:bidi="ar-SA"/>
    </w:rPr>
  </w:style>
  <w:style w:type="paragraph" w:customStyle="1" w:styleId="43">
    <w:name w:val="标准文件_注："/>
    <w:next w:val="25"/>
    <w:qFormat/>
    <w:uiPriority w:val="0"/>
    <w:pPr>
      <w:widowControl w:val="0"/>
      <w:numPr>
        <w:ilvl w:val="0"/>
        <w:numId w:val="6"/>
      </w:numPr>
      <w:autoSpaceDE w:val="0"/>
      <w:autoSpaceDN w:val="0"/>
      <w:jc w:val="both"/>
    </w:pPr>
    <w:rPr>
      <w:rFonts w:ascii="宋体" w:hAnsi="Times New Roman" w:eastAsia="宋体" w:cs="Times New Roman"/>
      <w:sz w:val="18"/>
      <w:szCs w:val="18"/>
      <w:lang w:val="en-US" w:eastAsia="zh-CN" w:bidi="ar-SA"/>
    </w:rPr>
  </w:style>
  <w:style w:type="paragraph" w:customStyle="1" w:styleId="44">
    <w:name w:val="标准文件_正文表标题"/>
    <w:next w:val="25"/>
    <w:qFormat/>
    <w:uiPriority w:val="0"/>
    <w:pPr>
      <w:numPr>
        <w:ilvl w:val="0"/>
        <w:numId w:val="7"/>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5">
    <w:name w:val="标准文件_表格"/>
    <w:basedOn w:val="25"/>
    <w:qFormat/>
    <w:uiPriority w:val="0"/>
    <w:pPr>
      <w:ind w:firstLine="0" w:firstLineChars="0"/>
      <w:jc w:val="center"/>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3.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ntractReview xmlns="http://schemas.wps.cn/vas-ai-hub/contract-review">
  <reviewItems>
    <reviewItem>
      <errorID>c2e1218d-8d2a-4f79-82ae-cd556de04424</errorID>
      <errorWord>和标准编制说明,送审稿及</errorWord>
      <group>L1_Grammar</group>
      <groupName>语法问题</groupName>
      <ability>L2_Grammar</ability>
      <abilityName>语法错误</abilityName>
      <candidateList>
        <item>、送审稿，以及</item>
      </candidateList>
      <explain/>
      <paraID>44B9E907</paraID>
      <start>14</start>
      <end>21</end>
      <status>modified</status>
      <modifiedWord>、送审稿，以及</modifiedWord>
      <trackRevisions>false</trackRevisions>
    </reviewItem>
    <reviewItem>
      <errorID>2db786ca-058a-4d96-8050-ef011ab0d755</errorID>
      <errorWord>编写</errorWord>
      <group>L1_Word</group>
      <groupName>字词问题</groupName>
      <ability>L2_Typo</ability>
      <abilityName>字词错误</abilityName>
      <candidateList>
        <item>的编写</item>
      </candidateList>
      <explain/>
      <paraID>44B9E907</paraID>
      <start>25</start>
      <end>28</end>
      <status>modified</status>
      <modifiedWord>的编写</modifiedWord>
      <trackRevisions>false</trackRevisions>
    </reviewItem>
    <reviewItem>
      <errorID>55c787f8-b75d-45dd-95df-2135d161222e</errorID>
      <errorWord>，</errorWord>
      <group>L1_Punc</group>
      <groupName>标点问题</groupName>
      <ability>L2_Punc</ability>
      <abilityName>标点符号检查</abilityName>
      <candidateList>
        <item>、</item>
      </candidateList>
      <explain/>
      <paraID>22A3222D</paraID>
      <start>8</start>
      <end>9</end>
      <status>modified</status>
      <modifiedWord>、</modifiedWord>
      <trackRevisions>false</trackRevisions>
    </reviewItem>
    <reviewItem>
      <errorID>fd79f179-3356-42f3-89f8-122cc4cef845</errorID>
      <errorWord>征求意见</errorWord>
      <group>L1_Punc</group>
      <groupName>标点问题</groupName>
      <ability>L2_Punc</ability>
      <abilityName>标点符号检查</abilityName>
      <candidateList>
        <item>、征求意见</item>
      </candidateList>
      <explain/>
      <paraID>47ED87A4</paraID>
      <start>8</start>
      <end>13</end>
      <status>modified</status>
      <modifiedWord>、征求意见</modifiedWord>
      <trackRevisions>false</trackRevisions>
    </reviewItem>
    <reviewItem>
      <errorID>526d8bd3-6a4f-4a1d-adaf-290b5f537c51</errorID>
      <errorWord>,</errorWord>
      <group>L1_Format</group>
      <groupName>格式问题</groupName>
      <ability>L2_HalfPunc</ability>
      <abilityName>全半角检查</abilityName>
      <candidateList>
        <item>，</item>
      </candidateList>
      <explain>文本全半角错误。</explain>
      <paraID>47ED87A4</paraID>
      <start>21</start>
      <end>22</end>
      <status>modified</status>
      <modifiedWord>，</modifiedWord>
      <trackRevisions>false</trackRevisions>
    </reviewItem>
    <reviewItem>
      <errorID>8fd79feb-ce0b-4b81-b021-fe9f70b90005</errorID>
      <errorWord>,</errorWord>
      <group>L1_Format</group>
      <groupName>格式问题</groupName>
      <ability>L2_HalfPunc</ability>
      <abilityName>全半角检查</abilityName>
      <candidateList>
        <item>，</item>
      </candidateList>
      <explain>文本全半角错误。</explain>
      <paraID>2E8CC514</paraID>
      <start>21</start>
      <end>22</end>
      <status>modified</status>
      <modifiedWord>，</modifiedWord>
      <trackRevisions>false</trackRevisions>
    </reviewItem>
    <reviewItem>
      <errorID>a9ea27ef-d042-4882-90dd-04680c4ef3c7</errorID>
      <errorWord>,</errorWord>
      <group>L1_Format</group>
      <groupName>格式问题</groupName>
      <ability>L2_HalfPunc</ability>
      <abilityName>全半角检查</abilityName>
      <candidateList>
        <item>，</item>
      </candidateList>
      <explain>文本全半角错误。</explain>
      <paraID>355C3203</paraID>
      <start>21</start>
      <end>22</end>
      <status>modified</status>
      <modifiedWord>，</modifiedWord>
      <trackRevisions>false</trackRevisions>
    </reviewItem>
    <reviewItem>
      <errorID>8e37f6f6-25d5-41d6-9df4-0762c92ebf4f</errorID>
      <errorWord>,</errorWord>
      <group>L1_Format</group>
      <groupName>格式问题</groupName>
      <ability>L2_HalfPunc</ability>
      <abilityName>全半角检查</abilityName>
      <candidateList>
        <item>，</item>
      </candidateList>
      <explain>文本全半角错误。</explain>
      <paraID>42CDB2A8</paraID>
      <start>21</start>
      <end>22</end>
      <status>modified</status>
      <modifiedWord>，</modifiedWord>
      <trackRevisions>false</trackRevisions>
    </reviewItem>
    <reviewItem>
      <errorID>400e967c-8759-4644-b1fd-815af7d84c25</errorID>
      <errorWord>,</errorWord>
      <group>L1_Format</group>
      <groupName>格式问题</groupName>
      <ability>L2_HalfPunc</ability>
      <abilityName>全半角检查</abilityName>
      <candidateList>
        <item>，</item>
      </candidateList>
      <explain>文本全半角错误。</explain>
      <paraID>11469B78</paraID>
      <start>21</start>
      <end>22</end>
      <status>modified</status>
      <modifiedWord>，</modifiedWord>
      <trackRevisions>false</trackRevisions>
    </reviewItem>
    <reviewItem>
      <errorID>7be8ac33-1ca7-4429-9bca-ce7c6c259e73</errorID>
      <errorWord>和</errorWord>
      <group>L1_Word</group>
      <groupName>字词问题</groupName>
      <ability>L2_Typo</ability>
      <abilityName>字词错误</abilityName>
      <candidateList>
        <item>、</item>
      </candidateList>
      <explain/>
      <paraID>7663B92E</paraID>
      <start>14</start>
      <end>15</end>
      <status>modified</status>
      <modifiedWord>、</modifiedWord>
      <trackRevisions>false</trackRevisions>
    </reviewItem>
    <reviewItem>
      <errorID>718286e0-b671-4a28-9f65-bedc9c2828f8</errorID>
      <errorWord>,</errorWord>
      <group>L1_Format</group>
      <groupName>格式问题</groupName>
      <ability>L2_HalfPunc</ability>
      <abilityName>全半角检查</abilityName>
      <candidateList>
        <item>，</item>
      </candidateList>
      <explain>文本全半角错误。</explain>
      <paraID>7663B92E</paraID>
      <start>21</start>
      <end>22</end>
      <status>modified</status>
      <modifiedWord>，</modifiedWord>
      <trackRevisions>false</trackRevisions>
    </reviewItem>
    <reviewItem>
      <errorID>5cb6204e-13ae-4600-a60a-bb8e0e4fd182</errorID>
      <errorWord>和</errorWord>
      <group>L1_Word</group>
      <groupName>字词问题</groupName>
      <ability>L2_Typo</ability>
      <abilityName>字词错误</abilityName>
      <candidateList>
        <item>、</item>
      </candidateList>
      <explain/>
      <paraID>3A4DC049</paraID>
      <start>14</start>
      <end>15</end>
      <status>modified</status>
      <modifiedWord>、</modifiedWord>
      <trackRevisions>false</trackRevisions>
    </reviewItem>
    <reviewItem>
      <errorID>5e48b3ef-f19c-4122-b975-f877f5951eff</errorID>
      <errorWord>,</errorWord>
      <group>L1_Punc</group>
      <groupName>标点问题</groupName>
      <ability>L2_Punc</ability>
      <abilityName>标点符号检查</abilityName>
      <candidateList>
        <item>、</item>
      </candidateList>
      <explain/>
      <paraID>3A4DC049</paraID>
      <start>21</start>
      <end>22</end>
      <status>modified</status>
      <modifiedWord>、</modifiedWord>
      <trackRevisions>false</trackRevisions>
    </reviewItem>
    <reviewItem>
      <errorID>c1adb797-2e01-4e2a-ad2d-3e6219a27393</errorID>
      <errorWord>和</errorWord>
      <group>L1_Word</group>
      <groupName>字词问题</groupName>
      <ability>L2_Typo</ability>
      <abilityName>字词错误</abilityName>
      <candidateList>
        <item>、</item>
      </candidateList>
      <explain/>
      <paraID>253C0461</paraID>
      <start>14</start>
      <end>15</end>
      <status>modified</status>
      <modifiedWord>、</modifiedWord>
      <trackRevisions>false</trackRevisions>
    </reviewItem>
    <reviewItem>
      <errorID>f87e6a43-a1d3-4bc0-b0fe-7561c149669d</errorID>
      <errorWord>,</errorWord>
      <group>L1_Punc</group>
      <groupName>标点问题</groupName>
      <ability>L2_Punc</ability>
      <abilityName>标点符号检查</abilityName>
      <candidateList>
        <item>、</item>
      </candidateList>
      <explain/>
      <paraID>253C0461</paraID>
      <start>21</start>
      <end>22</end>
      <status>modified</status>
      <modifiedWord>、</modifiedWord>
      <trackRevisions>false</trackRevisions>
    </reviewItem>
    <reviewItem>
      <errorID>8ba211c2-ff3a-4fad-8cc5-0b7ba11fd98f</errorID>
      <errorWord>,</errorWord>
      <group>L1_Format</group>
      <groupName>格式问题</groupName>
      <ability>L2_HalfPunc</ability>
      <abilityName>全半角检查</abilityName>
      <candidateList>
        <item>，</item>
      </candidateList>
      <explain>文本全半角错误。</explain>
      <paraID> F8BC355</paraID>
      <start>21</start>
      <end>22</end>
      <status>modified</status>
      <modifiedWord>，</modifiedWord>
      <trackRevisions>false</trackRevisions>
    </reviewItem>
    <reviewItem>
      <errorID>bc3dd863-d1d8-4a0e-abb9-8267df6abd09</errorID>
      <errorWord>,</errorWord>
      <group>L1_Format</group>
      <groupName>格式问题</groupName>
      <ability>L2_HalfPunc</ability>
      <abilityName>全半角检查</abilityName>
      <candidateList>
        <item>，</item>
      </candidateList>
      <explain>文本全半角错误。</explain>
      <paraID>3C6820EE</paraID>
      <start>21</start>
      <end>22</end>
      <status>modified</status>
      <modifiedWord>，</modifiedWord>
      <trackRevisions>false</trackRevisions>
    </reviewItem>
    <reviewItem>
      <errorID>d685c12f-91c2-49ec-8639-da43ae86feeb</errorID>
      <errorWord>和</errorWord>
      <group>L1_Word</group>
      <groupName>字词问题</groupName>
      <ability>L2_Typo</ability>
      <abilityName>字词错误</abilityName>
      <candidateList>
        <item>、</item>
      </candidateList>
      <explain/>
      <paraID>6393F2D1</paraID>
      <start>14</start>
      <end>15</end>
      <status>modified</status>
      <modifiedWord>、</modifiedWord>
      <trackRevisions>false</trackRevisions>
    </reviewItem>
    <reviewItem>
      <errorID>6df08a00-7e2e-417f-a458-dca929caf6d8</errorID>
      <errorWord>,</errorWord>
      <group>L1_Punc</group>
      <groupName>标点问题</groupName>
      <ability>L2_Punc</ability>
      <abilityName>标点符号检查</abilityName>
      <candidateList>
        <item>、</item>
      </candidateList>
      <explain/>
      <paraID>6393F2D1</paraID>
      <start>21</start>
      <end>22</end>
      <status>modified</status>
      <modifiedWord>、</modifiedWord>
      <trackRevisions>false</trackRevisions>
    </reviewItem>
    <reviewItem>
      <errorID>17e8792a-6d35-4036-b325-ece995eafabf</errorID>
      <errorWord>和</errorWord>
      <group>L1_Word</group>
      <groupName>字词问题</groupName>
      <ability>L2_Typo</ability>
      <abilityName>字词错误</abilityName>
      <candidateList>
        <item>、</item>
      </candidateList>
      <explain/>
      <paraID> FBEF323</paraID>
      <start>14</start>
      <end>15</end>
      <status>modified</status>
      <modifiedWord>、</modifiedWord>
      <trackRevisions>false</trackRevisions>
    </reviewItem>
    <reviewItem>
      <errorID>0c52b4e2-d489-4e25-b697-50f5df0a90e8</errorID>
      <errorWord>,</errorWord>
      <group>L1_Punc</group>
      <groupName>标点问题</groupName>
      <ability>L2_Punc</ability>
      <abilityName>标点符号检查</abilityName>
      <candidateList>
        <item>、</item>
      </candidateList>
      <explain/>
      <paraID> FBEF323</paraID>
      <start>21</start>
      <end>22</end>
      <status>modified</status>
      <modifiedWord>、</modifiedWord>
      <trackRevisions>false</trackRevisions>
    </reviewItem>
    <reviewItem>
      <errorID>4edcd724-7bde-4b1a-9615-4090be151274</errorID>
      <errorWord>化</errorWord>
      <group>L1_Word</group>
      <groupName>字词问题</groupName>
      <ability>L2_Typo</ability>
      <abilityName>字词错误</abilityName>
      <candidateList>
        <item>化等</item>
      </candidateList>
      <explain/>
      <paraID>285F8876</paraID>
      <start>99</start>
      <end>100</end>
      <status>unmodified</status>
      <modifiedWord/>
      <trackRevisions>false</trackRevisions>
    </reviewItem>
    <reviewItem>
      <errorID>db9da2a7-9ac1-4ddb-b5ff-8b52c3aed15f</errorID>
      <errorWord>，标准编制组</errorWord>
      <group>L1_Grammar</group>
      <groupName>语法问题</groupName>
      <ability>L2_Grammar</ability>
      <abilityName>语法错误</abilityName>
      <candidateList>
        <item>，</item>
      </candidateList>
      <explain/>
      <paraID> A68DB1F</paraID>
      <start>20</start>
      <end>21</end>
      <status>modified</status>
      <modifiedWord>，</modifiedWord>
      <trackRevisions>false</trackRevisions>
    </reviewItem>
    <reviewItem>
      <errorID>d4083d1c-3d62-4f28-83f3-3719450d11ef</errorID>
      <errorWord>深入到</errorWord>
      <group>L1_Word</group>
      <groupName>字词问题</groupName>
      <ability>L2_Typo</ability>
      <abilityName>字词错误</abilityName>
      <candidateList>
        <item>深入</item>
      </candidateList>
      <explain>❶〈动〉透过外部，达到事物内部或中心：孤军～｜～实际｜～人心。❷〈形〉深刻；透彻：～地分析｜这个问题需要作～的调查研究。</explain>
      <paraID>51E7B1BD</paraID>
      <start>13</start>
      <end>15</end>
      <status>modified</status>
      <modifiedWord>深入</modifiedWord>
      <trackRevisions>false</trackRevisions>
    </reviewItem>
    <reviewItem>
      <errorID>841ec36a-9a28-4dbc-95d9-2d6f20abe821</errorID>
      <errorWord>《铁路运行气象服务规范》（征求意见稿）</errorWord>
      <group>L1_Knowledge</group>
      <groupName>知识性问题</groupName>
      <ability>L2_Knowledge</ability>
      <abilityName>其他知识</abilityName>
      <candidateList>
        <item>《铁路运行气象服务规范（征求意见稿）》</item>
      </candidateList>
      <explain>疑似政策文件、法律法规名称等书写不规范，请注意检查。</explain>
      <paraID>2221411D</paraID>
      <start>92</start>
      <end>111</end>
      <status>ignored</status>
      <modifiedWord/>
      <trackRevisions>false</trackRevisions>
    </reviewItem>
    <reviewItem>
      <errorID>11c936cf-2b9a-43b4-8336-ecb7384a7ad8</errorID>
      <errorWord>法律、法规</errorWord>
      <group>L1_Word</group>
      <groupName>字词问题</groupName>
      <ability>L2_Typo</ability>
      <abilityName>字词错误</abilityName>
      <candidateList>
        <item>法律法规</item>
      </candidateList>
      <explain/>
      <paraID>4E7D5337</paraID>
      <start>16</start>
      <end>21</end>
      <status>ignored</status>
      <modifiedWord/>
      <trackRevisions>false</trackRevisions>
    </reviewItem>
    <reviewItem>
      <errorID>0ee91d2b-51b4-4092-a2f4-1aa5b1e57641</errorID>
      <errorWord>，</errorWord>
      <group>L1_Punc</group>
      <groupName>标点问题</groupName>
      <ability>L2_Punc</ability>
      <abilityName>标点符号检查</abilityName>
      <candidateList>
        <item>、</item>
      </candidateList>
      <explain/>
      <paraID>591DA743</paraID>
      <start>13</start>
      <end>14</end>
      <status>ignored</status>
      <modifiedWord/>
      <trackRevisions>false</trackRevisions>
    </reviewItem>
    <reviewItem>
      <errorID>fdbab512-d086-4cb7-b64a-1774a862ca8b</errorID>
      <errorWord>、</errorWord>
      <group>L1_Word</group>
      <groupName>字词问题</groupName>
      <ability>L2_Typo</ability>
      <abilityName>字词错误</abilityName>
      <candidateList>
        <item>和</item>
      </candidateList>
      <explain/>
      <paraID>591DA743</paraID>
      <start>20</start>
      <end>21</end>
      <status>ignored</status>
      <modifiedWord/>
      <trackRevisions>false</trackRevisions>
    </reviewItem>
    <reviewItem>
      <errorID>ef226da8-772e-4e8e-a26d-43ff12103150</errorID>
      <errorWord>在</errorWord>
      <group>L1_Word</group>
      <groupName>字词问题</groupName>
      <ability>L2_Typo</ability>
      <abilityName>字词错误</abilityName>
      <candidateList>
        <item>参考</item>
      </candidateList>
      <explain/>
      <paraID>591DA743</paraID>
      <start>29</start>
      <end>30</end>
      <status>ignored</status>
      <modifiedWord/>
      <trackRevisions>false</trackRevisions>
    </reviewItem>
    <reviewItem>
      <errorID>fb6cfc35-cf49-4967-9fac-96a873827659</errorID>
      <errorWord>中参考</errorWord>
      <group>L1_Grammar</group>
      <groupName>语法问题</groupName>
      <ability>L2_Grammar</ability>
      <abilityName>语法错误</abilityName>
      <candidateList>
        <item>中</item>
      </candidateList>
      <explain/>
      <paraID>591DA743</paraID>
      <start>34</start>
      <end>37</end>
      <status>ignored</status>
      <modifiedWord/>
      <trackRevisions>false</trackRevisions>
    </reviewItem>
    <reviewItem>
      <errorID>a9e71a12-b061-4b7d-b306-0ed38dc87258</errorID>
      <errorWord>内容的基础上</errorWord>
      <group>L1_Grammar</group>
      <groupName>语法问题</groupName>
      <ability>L2_Grammar</ability>
      <abilityName>语法错误</abilityName>
      <candidateList>
        <item>内容</item>
      </candidateList>
      <explain/>
      <paraID>591DA743</paraID>
      <start>48</start>
      <end>54</end>
      <status>ignored</status>
      <modifiedWord/>
      <trackRevisions>false</trackRevisions>
    </reviewItem>
    <reviewItem>
      <errorID>c5bdc366-f10f-457c-b131-6af67a039631</errorID>
      <errorWord>《标准化工作规范  第1部分：标准化文件的结构和起草规则》</errorWord>
      <group>L1_Other</group>
      <groupName>其他问题</groupName>
      <ability>L2_Consistency</ability>
      <abilityName>一致性检查</abilityName>
      <candidateList>
        <item>《标准化工作导则  第1部分：标准化文件的结构和起草规则》</item>
      </candidateList>
      <explain>术语一致性问题，在文档中前面提到标准编写应依据GB/T 1.1—2020《标准化工作导则  第1部分：标准化文件的结构和起草规则》，此处出现不一致表述，应统一为“导则”</explain>
      <paraID>76FC53BC</paraID>
      <start>20</start>
      <end>49</end>
      <status>ignored</status>
      <modifiedWord/>
      <trackRevisions>false</trackRevisions>
    </reviewItem>
    <reviewItem>
      <errorID>3b270161-a2e6-4bdc-84f1-b2ed50c94e76</errorID>
      <errorWord>法律、法规</errorWord>
      <group>L1_Word</group>
      <groupName>字词问题</groupName>
      <ability>L2_Typo</ability>
      <abilityName>字词错误</abilityName>
      <candidateList>
        <item>法律法规</item>
      </candidateList>
      <explain/>
      <paraID>1E19A9F9</paraID>
      <start>6</start>
      <end>11</end>
      <status>ignored</status>
      <modifiedWord/>
      <trackRevisions>false</trackRevisions>
    </reviewItem>
    <reviewItem>
      <errorID>8cb3d0c8-a494-413f-84e0-60d2dcc2e4a3</errorID>
      <errorWord>。</errorWord>
      <group>L1_Grammar</group>
      <groupName>语法问题</groupName>
      <ability>L2_Grammar</ability>
      <abilityName>语法错误</abilityName>
      <candidateList>
        <item>的相关内容。</item>
      </candidateList>
      <explain/>
      <paraID>2360C093</paraID>
      <start>107</start>
      <end>113</end>
      <status>modified</status>
      <modifiedWord>的相关内容。</modifiedWord>
      <trackRevisions>false</trackRevisions>
    </reviewItem>
    <reviewItem>
      <errorID>0b0057ff-19ce-4acd-9685-6908b0089811</errorID>
      <errorWord>具备能</errorWord>
      <group>L1_Word</group>
      <groupName>字词问题</groupName>
      <ability>L2_Typo</ability>
      <abilityName>字词错误</abilityName>
      <candidateList>
        <item>具备</item>
      </candidateList>
      <explain/>
      <paraID>6A3DF713</paraID>
      <start>5</start>
      <end>8</end>
      <status>ignored</status>
      <modifiedWord/>
      <trackRevisions>false</trackRevisions>
    </reviewItem>
    <reviewItem>
      <errorID>e0c0ded4-1a1c-4749-8fee-3de926755fbf</errorID>
      <errorWord>汛期能</errorWord>
      <group>L1_Word</group>
      <groupName>字词问题</groupName>
      <ability>L2_Typo</ability>
      <abilityName>字词错误</abilityName>
      <candidateList>
        <item>汛期</item>
      </candidateList>
      <explain/>
      <paraID>6A3DF713</paraID>
      <start>9</start>
      <end>11</end>
      <status>modified</status>
      <modifiedWord>汛期</modifiedWord>
      <trackRevisions>false</trackRevisions>
    </reviewItem>
    <reviewItem>
      <errorID>2ac563c6-b112-4064-8642-878c4eea2a22</errorID>
      <errorWord>，</errorWord>
      <group>L1_Punc</group>
      <groupName>标点问题</groupName>
      <ability>L2_Punc</ability>
      <abilityName>标点符号检查</abilityName>
      <candidateList>
        <item>；</item>
      </candidateList>
      <explain/>
      <paraID>6A3DF713</paraID>
      <start>26</start>
      <end>27</end>
      <status>ignored</status>
      <modifiedWord/>
      <trackRevisions>false</trackRevisions>
    </reviewItem>
    <reviewItem>
      <errorID>e0609dfa-33a2-4f22-9b17-9b77e052e48d</errorID>
      <errorWord>时能</errorWord>
      <group>L1_Word</group>
      <groupName>字词问题</groupName>
      <ability>L2_Typo</ability>
      <abilityName>字词错误</abilityName>
      <candidateList>
        <item>时</item>
      </candidateList>
      <explain/>
      <paraID>6A3DF713</paraID>
      <start>37</start>
      <end>38</end>
      <status>modified</status>
      <modifiedWord>时</modifiedWord>
      <trackRevisions>false</trackRevisions>
    </reviewItem>
    <reviewItem>
      <errorID>699f4463-80c8-4329-a177-2af6614da18b</errorID>
      <errorWord>，</errorWord>
      <group>L1_Punc</group>
      <groupName>标点问题</groupName>
      <ability>L2_Punc</ability>
      <abilityName>标点符号检查</abilityName>
      <candidateList>
        <item>。</item>
      </candidateList>
      <explain/>
      <paraID>6A3DF713</paraID>
      <start>54</start>
      <end>55</end>
      <status>ignored</status>
      <modifiedWord/>
      <trackRevisions>false</trackRevisions>
    </reviewItem>
    <reviewItem>
      <errorID>f9e9c523-cd9e-4b18-b19d-481e5f5d0caa</errorID>
      <errorWord>需具备</errorWord>
      <group>L1_Word</group>
      <groupName>字词问题</groupName>
      <ability>L2_Typo</ability>
      <abilityName>字词错误</abilityName>
      <candidateList>
        <item>须具备</item>
      </candidateList>
      <explain/>
      <paraID>6FCD808C</paraID>
      <start>79</start>
      <end>82</end>
      <status>modified</status>
      <modifiedWord>须具备</modifiedWord>
      <trackRevisions>false</trackRevisions>
    </reviewItem>
    <reviewItem>
      <errorID>47ae4d37-eb30-4e0f-a288-42806757f229</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70C85A6D</paraID>
      <start>369</start>
      <end>371</end>
      <status>modified</status>
      <modifiedWord>”“</modifiedWord>
      <trackRevisions>false</trackRevisions>
    </reviewItem>
    <reviewItem>
      <errorID>b7d0fa98-c816-476b-8b85-ae8a134788dd</errorID>
      <errorWord>提前1周发布天气预报</errorWord>
      <group>L1_Grammar</group>
      <groupName>语法问题</groupName>
      <ability>L2_Grammar</ability>
      <abilityName>语法错误</abilityName>
      <candidateList>
        <item>提前1周发布天气</item>
      </candidateList>
      <explain/>
      <paraID>798F65E7</paraID>
      <start>59</start>
      <end>69</end>
      <status>ignored</status>
      <modifiedWord/>
      <trackRevisions>false</trackRevisions>
    </reviewItem>
  </reviewItems>
  <config/>
</contractReview>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c8a374-7c13-4e94-92be-75625a7a7cb2}">
  <ds:schemaRefs/>
</ds:datastoreItem>
</file>

<file path=customXml/itemProps3.xml><?xml version="1.0" encoding="utf-8"?>
<ds:datastoreItem xmlns:ds="http://schemas.openxmlformats.org/officeDocument/2006/customXml" ds:itemID="{6CA8964D-3104-4E9C-9911-69C19A5C82C5}">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19</Pages>
  <Words>7613</Words>
  <Characters>7836</Characters>
  <Lines>62</Lines>
  <Paragraphs>17</Paragraphs>
  <TotalTime>1</TotalTime>
  <ScaleCrop>false</ScaleCrop>
  <LinksUpToDate>false</LinksUpToDate>
  <CharactersWithSpaces>7953</CharactersWithSpaces>
  <Application>WPS Office_11.1.0.10000_F1E327BC-269C-435d-A152-05C5408002CA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2023-04-15T11:33:00Z</dcterms:created>
  <dc:creator>xiaojie man</dc:creator>
  <cp:lastModifiedBy>Administrator</cp:lastModifiedBy>
  <cp:lastPrinted>2025-11-13T07:16:00Z</cp:lastPrinted>
  <dcterms:modified xsi:type="dcterms:W3CDTF">2026-05-14T11:04:57Z</dcterms:modified>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2052-11.1.0.10000</vt:lpwstr>
  </property>
  <property fmtid="{D5CDD505-2E9C-101B-9397-08002B2CF9AE}" pid="3" name="ICV">
    <vt:lpwstr>907E8AC290EE44FE99EC62E2F348B0DA_13</vt:lpwstr>
  </property>
  <property fmtid="{D5CDD505-2E9C-101B-9397-08002B2CF9AE}" pid="4" name="KSOTemplateDocerSaveRecord">
    <vt:lpwstr>eyJoZGlkIjoiZTFmYTIzNjkxZTg4MzY4YmE5NmJjNDNhMjE2ZDM5YzEiLCJ1c2VySWQiOiI2MzEzMzQ1ODcifQ==</vt:lpwstr>
  </property>
</Properties>
</file>