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3420C5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A3D3E8B">
            <w:pPr>
              <w:pStyle w:val="19"/>
              <w:framePr w:wrap="notBeside" w:vAnchor="page" w:hAnchor="page" w:x="1372" w:y="568"/>
              <w:tabs>
                <w:tab w:val="clear" w:pos="4153"/>
                <w:tab w:val="clear" w:pos="8306"/>
              </w:tabs>
              <w:spacing w:line="240" w:lineRule="auto"/>
              <w:jc w:val="left"/>
              <w:rPr>
                <w:rFonts w:ascii="黑体" w:hAnsi="黑体" w:eastAsia="黑体"/>
                <w:color w:val="000000" w:themeColor="text1"/>
                <w:sz w:val="21"/>
                <w:szCs w:val="21"/>
                <w14:textFill>
                  <w14:solidFill>
                    <w14:schemeClr w14:val="tx1"/>
                  </w14:solidFill>
                </w14:textFill>
              </w:rPr>
            </w:pPr>
            <w:r>
              <w:rPr>
                <w:rFonts w:ascii="Times New Roman" w:hAnsi="Times New Roman" w:eastAsia="黑体"/>
                <w:color w:val="000000" w:themeColor="text1"/>
                <w:sz w:val="21"/>
                <w:szCs w:val="21"/>
                <w14:textFill>
                  <w14:solidFill>
                    <w14:schemeClr w14:val="tx1"/>
                  </w14:solidFill>
                </w14:textFill>
              </w:rPr>
              <w:t>ICS</w:t>
            </w:r>
            <w:r>
              <w:rPr>
                <w:rFonts w:ascii="黑体" w:hAnsi="黑体" w:eastAsia="黑体"/>
                <w:color w:val="000000" w:themeColor="text1"/>
                <w:sz w:val="21"/>
                <w:szCs w:val="21"/>
                <w14:textFill>
                  <w14:solidFill>
                    <w14:schemeClr w14:val="tx1"/>
                  </w14:solidFill>
                </w14:textFill>
              </w:rPr>
              <w:t xml:space="preserve">  </w:t>
            </w:r>
          </w:p>
        </w:tc>
        <w:tc>
          <w:tcPr>
            <w:tcW w:w="8855" w:type="dxa"/>
          </w:tcPr>
          <w:p w14:paraId="31917A3D">
            <w:pPr>
              <w:pStyle w:val="19"/>
              <w:framePr w:wrap="notBeside" w:vAnchor="page" w:hAnchor="page" w:x="1372" w:y="568"/>
              <w:tabs>
                <w:tab w:val="clear" w:pos="4153"/>
                <w:tab w:val="clear" w:pos="8306"/>
              </w:tabs>
              <w:spacing w:line="240" w:lineRule="auto"/>
              <w:jc w:val="both"/>
              <w:rPr>
                <w:rFonts w:ascii="黑体" w:hAnsi="黑体" w:eastAsia="黑体"/>
                <w:color w:val="000000" w:themeColor="text1"/>
                <w:sz w:val="21"/>
                <w:szCs w:val="21"/>
                <w14:textFill>
                  <w14:solidFill>
                    <w14:schemeClr w14:val="tx1"/>
                  </w14:solidFill>
                </w14:textFill>
              </w:rPr>
            </w:pPr>
            <w:r>
              <w:rPr>
                <w:rFonts w:ascii="黑体" w:hAnsi="黑体" w:eastAsia="黑体"/>
                <w:color w:val="000000" w:themeColor="text1"/>
                <w:sz w:val="21"/>
                <w:szCs w:val="21"/>
                <w14:textFill>
                  <w14:solidFill>
                    <w14:schemeClr w14:val="tx1"/>
                  </w14:solidFill>
                </w14:textFill>
              </w:rPr>
              <w:fldChar w:fldCharType="begin">
                <w:ffData>
                  <w:name w:val="ICS"/>
                  <w:enabled/>
                  <w:calcOnExit w:val="0"/>
                  <w:textInput>
                    <w:default w:val="11.020"/>
                  </w:textInput>
                </w:ffData>
              </w:fldChar>
            </w:r>
            <w:bookmarkStart w:id="0" w:name="ICS"/>
            <w:r>
              <w:rPr>
                <w:rFonts w:ascii="黑体" w:hAnsi="黑体" w:eastAsia="黑体"/>
                <w:color w:val="000000" w:themeColor="text1"/>
                <w:sz w:val="21"/>
                <w:szCs w:val="21"/>
                <w14:textFill>
                  <w14:solidFill>
                    <w14:schemeClr w14:val="tx1"/>
                  </w14:solidFill>
                </w14:textFill>
              </w:rPr>
              <w:instrText xml:space="preserve"> FORMTEXT </w:instrText>
            </w:r>
            <w:r>
              <w:rPr>
                <w:rFonts w:ascii="黑体" w:hAnsi="黑体" w:eastAsia="黑体"/>
                <w:color w:val="000000" w:themeColor="text1"/>
                <w:sz w:val="21"/>
                <w:szCs w:val="21"/>
                <w14:textFill>
                  <w14:solidFill>
                    <w14:schemeClr w14:val="tx1"/>
                  </w14:solidFill>
                </w14:textFill>
              </w:rPr>
              <w:fldChar w:fldCharType="separate"/>
            </w:r>
            <w:r>
              <w:rPr>
                <w:rFonts w:ascii="黑体" w:hAnsi="黑体" w:eastAsia="黑体"/>
                <w:color w:val="000000" w:themeColor="text1"/>
                <w:sz w:val="21"/>
                <w:szCs w:val="21"/>
                <w14:textFill>
                  <w14:solidFill>
                    <w14:schemeClr w14:val="tx1"/>
                  </w14:solidFill>
                </w14:textFill>
              </w:rPr>
              <w:t>11.020</w:t>
            </w:r>
            <w:r>
              <w:rPr>
                <w:rFonts w:ascii="黑体" w:hAnsi="黑体" w:eastAsia="黑体"/>
                <w:color w:val="000000" w:themeColor="text1"/>
                <w:sz w:val="21"/>
                <w:szCs w:val="21"/>
                <w14:textFill>
                  <w14:solidFill>
                    <w14:schemeClr w14:val="tx1"/>
                  </w14:solidFill>
                </w14:textFill>
              </w:rPr>
              <w:fldChar w:fldCharType="end"/>
            </w:r>
            <w:bookmarkEnd w:id="0"/>
          </w:p>
        </w:tc>
      </w:tr>
      <w:tr w14:paraId="6F79D4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415578B">
            <w:pPr>
              <w:pStyle w:val="19"/>
              <w:framePr w:wrap="notBeside" w:vAnchor="page" w:hAnchor="page" w:x="1372" w:y="568"/>
              <w:tabs>
                <w:tab w:val="clear" w:pos="4153"/>
                <w:tab w:val="clear" w:pos="8306"/>
              </w:tabs>
              <w:spacing w:before="40" w:line="240" w:lineRule="auto"/>
              <w:jc w:val="left"/>
              <w:rPr>
                <w:rFonts w:ascii="黑体" w:hAnsi="黑体" w:eastAsia="黑体"/>
                <w:color w:val="000000" w:themeColor="text1"/>
                <w:sz w:val="21"/>
                <w:szCs w:val="21"/>
                <w14:textFill>
                  <w14:solidFill>
                    <w14:schemeClr w14:val="tx1"/>
                  </w14:solidFill>
                </w14:textFill>
              </w:rPr>
            </w:pPr>
            <w:r>
              <w:rPr>
                <w:rFonts w:ascii="Times New Roman" w:hAnsi="Times New Roman" w:eastAsia="黑体"/>
                <w:color w:val="000000" w:themeColor="text1"/>
                <w:sz w:val="21"/>
                <w:szCs w:val="21"/>
                <w14:textFill>
                  <w14:solidFill>
                    <w14:schemeClr w14:val="tx1"/>
                  </w14:solidFill>
                </w14:textFill>
              </w:rPr>
              <w:t xml:space="preserve">CCS </w:t>
            </w:r>
            <w:r>
              <w:rPr>
                <w:rFonts w:ascii="黑体" w:hAnsi="黑体" w:eastAsia="黑体"/>
                <w:color w:val="000000" w:themeColor="text1"/>
                <w:sz w:val="21"/>
                <w:szCs w:val="21"/>
                <w14:textFill>
                  <w14:solidFill>
                    <w14:schemeClr w14:val="tx1"/>
                  </w14:solidFill>
                </w14:textFill>
              </w:rPr>
              <w:t xml:space="preserve"> </w:t>
            </w:r>
          </w:p>
        </w:tc>
        <w:tc>
          <w:tcPr>
            <w:tcW w:w="8855" w:type="dxa"/>
          </w:tcPr>
          <w:tbl>
            <w:tblPr>
              <w:tblStyle w:val="29"/>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0F262404">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50FF446D">
                  <w:pPr>
                    <w:pStyle w:val="52"/>
                    <w:framePr w:wrap="notBeside" w:vAnchor="page" w:hAnchor="page" w:x="1372" w:y="568"/>
                    <w:ind w:left="420" w:right="624"/>
                    <w:rPr>
                      <w:rFonts w:ascii="宋体" w:hAnsi="宋体"/>
                      <w:color w:val="000000" w:themeColor="text1"/>
                      <w:sz w:val="28"/>
                      <w:szCs w:val="28"/>
                      <w14:textFill>
                        <w14:solidFill>
                          <w14:schemeClr w14:val="tx1"/>
                        </w14:solidFill>
                      </w14:textFill>
                    </w:rPr>
                  </w:pPr>
                  <w:r>
                    <w:rPr>
                      <w:color w:val="000000" w:themeColor="text1"/>
                      <w14:textFill>
                        <w14:solidFill>
                          <w14:schemeClr w14:val="tx1"/>
                        </w14:solidFill>
                      </w14:textFill>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color w:val="000000" w:themeColor="text1"/>
                      <w14:textFill>
                        <w14:solidFill>
                          <w14:schemeClr w14:val="tx1"/>
                        </w14:solidFill>
                      </w14:textFill>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color w:val="000000" w:themeColor="text1"/>
                      <w:sz w:val="21"/>
                      <w:szCs w:val="21"/>
                      <w14:textFill>
                        <w14:solidFill>
                          <w14:schemeClr w14:val="tx1"/>
                        </w14:solidFill>
                      </w14:textFill>
                    </w:rPr>
                    <w:t xml:space="preserve"> </w:t>
                  </w:r>
                  <w:bookmarkStart w:id="1" w:name="c1"/>
                  <w:r>
                    <w:rPr>
                      <w:color w:val="000000" w:themeColor="text1"/>
                      <w14:textFill>
                        <w14:solidFill>
                          <w14:schemeClr w14:val="tx1"/>
                        </w14:solidFill>
                      </w14:textFill>
                    </w:rPr>
                    <w:fldChar w:fldCharType="begin">
                      <w:ffData>
                        <w:name w:val="c1"/>
                        <w:enabled/>
                        <w:calcOnExit w:val="0"/>
                        <w:textInput>
                          <w:default w:val="GXAS"/>
                          <w:maxLength w:val="7"/>
                        </w:textInput>
                      </w:ffData>
                    </w:fldChar>
                  </w:r>
                  <w:r>
                    <w:rPr>
                      <w:color w:val="000000" w:themeColor="text1"/>
                      <w14:textFill>
                        <w14:solidFill>
                          <w14:schemeClr w14:val="tx1"/>
                        </w14:solidFill>
                      </w14:textFill>
                    </w:rPr>
                    <w:instrText xml:space="preserve"> FORMTEXT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GXAS</w:t>
                  </w:r>
                  <w:r>
                    <w:rPr>
                      <w:color w:val="000000" w:themeColor="text1"/>
                      <w14:textFill>
                        <w14:solidFill>
                          <w14:schemeClr w14:val="tx1"/>
                        </w14:solidFill>
                      </w14:textFill>
                    </w:rPr>
                    <w:fldChar w:fldCharType="end"/>
                  </w:r>
                  <w:bookmarkEnd w:id="1"/>
                </w:p>
              </w:tc>
            </w:tr>
          </w:tbl>
          <w:p w14:paraId="01BE4F1C">
            <w:pPr>
              <w:pStyle w:val="19"/>
              <w:framePr w:wrap="notBeside" w:vAnchor="page" w:hAnchor="page" w:x="1372" w:y="568"/>
              <w:tabs>
                <w:tab w:val="clear" w:pos="4153"/>
                <w:tab w:val="clear" w:pos="8306"/>
              </w:tabs>
              <w:spacing w:before="40" w:line="240" w:lineRule="auto"/>
              <w:jc w:val="left"/>
              <w:rPr>
                <w:rFonts w:ascii="黑体" w:hAnsi="黑体" w:eastAsia="黑体"/>
                <w:color w:val="000000" w:themeColor="text1"/>
                <w:sz w:val="21"/>
                <w:szCs w:val="21"/>
                <w14:textFill>
                  <w14:solidFill>
                    <w14:schemeClr w14:val="tx1"/>
                  </w14:solidFill>
                </w14:textFill>
              </w:rPr>
            </w:pPr>
            <w:r>
              <w:rPr>
                <w:rFonts w:ascii="黑体" w:hAnsi="黑体" w:eastAsia="黑体"/>
                <w:color w:val="000000" w:themeColor="text1"/>
                <w:sz w:val="21"/>
                <w:szCs w:val="21"/>
                <w14:textFill>
                  <w14:solidFill>
                    <w14:schemeClr w14:val="tx1"/>
                  </w14:solidFill>
                </w14:textFill>
              </w:rPr>
              <w:fldChar w:fldCharType="begin">
                <w:ffData>
                  <w:name w:val="CSDN"/>
                  <w:enabled/>
                  <w:calcOnExit w:val="0"/>
                  <w:textInput>
                    <w:default w:val="C 05"/>
                  </w:textInput>
                </w:ffData>
              </w:fldChar>
            </w:r>
            <w:bookmarkStart w:id="2" w:name="CSDN"/>
            <w:r>
              <w:rPr>
                <w:rFonts w:ascii="黑体" w:hAnsi="黑体" w:eastAsia="黑体"/>
                <w:color w:val="000000" w:themeColor="text1"/>
                <w:sz w:val="21"/>
                <w:szCs w:val="21"/>
                <w14:textFill>
                  <w14:solidFill>
                    <w14:schemeClr w14:val="tx1"/>
                  </w14:solidFill>
                </w14:textFill>
              </w:rPr>
              <w:instrText xml:space="preserve"> FORMTEXT </w:instrText>
            </w:r>
            <w:r>
              <w:rPr>
                <w:rFonts w:ascii="黑体" w:hAnsi="黑体" w:eastAsia="黑体"/>
                <w:color w:val="000000" w:themeColor="text1"/>
                <w:sz w:val="21"/>
                <w:szCs w:val="21"/>
                <w14:textFill>
                  <w14:solidFill>
                    <w14:schemeClr w14:val="tx1"/>
                  </w14:solidFill>
                </w14:textFill>
              </w:rPr>
              <w:fldChar w:fldCharType="separate"/>
            </w:r>
            <w:r>
              <w:rPr>
                <w:rFonts w:ascii="黑体" w:hAnsi="黑体" w:eastAsia="黑体"/>
                <w:color w:val="000000" w:themeColor="text1"/>
                <w:sz w:val="21"/>
                <w:szCs w:val="21"/>
                <w14:textFill>
                  <w14:solidFill>
                    <w14:schemeClr w14:val="tx1"/>
                  </w14:solidFill>
                </w14:textFill>
              </w:rPr>
              <w:t>C 05</w:t>
            </w:r>
            <w:r>
              <w:rPr>
                <w:rFonts w:ascii="黑体" w:hAnsi="黑体" w:eastAsia="黑体"/>
                <w:color w:val="000000" w:themeColor="text1"/>
                <w:sz w:val="21"/>
                <w:szCs w:val="21"/>
                <w14:textFill>
                  <w14:solidFill>
                    <w14:schemeClr w14:val="tx1"/>
                  </w14:solidFill>
                </w14:textFill>
              </w:rPr>
              <w:fldChar w:fldCharType="end"/>
            </w:r>
            <w:bookmarkEnd w:id="2"/>
          </w:p>
        </w:tc>
      </w:tr>
    </w:tbl>
    <w:p w14:paraId="48D231C0">
      <w:pPr>
        <w:pStyle w:val="53"/>
        <w:framePr w:w="9639" w:h="624" w:hRule="exact" w:hSpace="181" w:vSpace="181" w:wrap="around" w:hAnchor="page" w:x="1305" w:y="2269"/>
        <w:rPr>
          <w:rFonts w:ascii="黑体" w:hAnsi="黑体" w:eastAsia="黑体"/>
          <w:b w:val="0"/>
          <w:bCs w:val="0"/>
          <w:color w:val="000000" w:themeColor="text1"/>
          <w:w w:val="100"/>
          <w:sz w:val="48"/>
          <w:szCs w:val="48"/>
          <w14:textFill>
            <w14:solidFill>
              <w14:schemeClr w14:val="tx1"/>
            </w14:solidFill>
          </w14:textFill>
        </w:rPr>
      </w:pPr>
      <w:bookmarkStart w:id="3" w:name="_Hlk26473981"/>
      <w:r>
        <w:rPr>
          <w:rFonts w:hint="eastAsia" w:ascii="黑体" w:eastAsia="黑体"/>
          <w:b w:val="0"/>
          <w:color w:val="000000" w:themeColor="text1"/>
          <w:w w:val="100"/>
          <w:sz w:val="48"/>
          <w14:textFill>
            <w14:solidFill>
              <w14:schemeClr w14:val="tx1"/>
            </w14:solidFill>
          </w14:textFill>
        </w:rPr>
        <w:t>团体</w:t>
      </w:r>
      <w:r>
        <w:rPr>
          <w:rFonts w:hint="eastAsia" w:ascii="黑体" w:hAnsi="黑体" w:eastAsia="黑体"/>
          <w:b w:val="0"/>
          <w:bCs w:val="0"/>
          <w:color w:val="000000" w:themeColor="text1"/>
          <w:w w:val="100"/>
          <w:sz w:val="48"/>
          <w:szCs w:val="48"/>
          <w14:textFill>
            <w14:solidFill>
              <w14:schemeClr w14:val="tx1"/>
            </w14:solidFill>
          </w14:textFill>
        </w:rPr>
        <w:t>标准</w:t>
      </w:r>
    </w:p>
    <w:bookmarkEnd w:id="3"/>
    <w:p w14:paraId="3A0396B7">
      <w:pPr>
        <w:pStyle w:val="198"/>
        <w:framePr/>
      </w:pPr>
      <w:r>
        <w:t>T/</w:t>
      </w:r>
      <w:r>
        <w:fldChar w:fldCharType="begin">
          <w:ffData>
            <w:name w:val="文字1"/>
            <w:enabled/>
            <w:calcOnExit w:val="0"/>
            <w:textInput>
              <w:default w:val="GXAS"/>
            </w:textInput>
          </w:ffData>
        </w:fldChar>
      </w:r>
      <w:bookmarkStart w:id="4" w:name="文字1"/>
      <w:r>
        <w:instrText xml:space="preserve"> FORMTEXT </w:instrText>
      </w:r>
      <w:r>
        <w:fldChar w:fldCharType="separate"/>
      </w:r>
      <w: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14:paraId="4CEA04EE">
      <w:pPr>
        <w:pStyle w:val="199"/>
        <w:framePr/>
      </w:pPr>
      <w:r>
        <w:fldChar w:fldCharType="begin">
          <w:ffData>
            <w:name w:val="OSTD_CODE"/>
            <w:enabled/>
            <w:calcOnExit w:val="0"/>
            <w:textInput/>
          </w:ffData>
        </w:fldChar>
      </w:r>
      <w:bookmarkStart w:id="7" w:name="OSTD_CODE"/>
      <w:r>
        <w:instrText xml:space="preserve"> FORMTEXT </w:instrText>
      </w:r>
      <w:r>
        <w:fldChar w:fldCharType="separate"/>
      </w:r>
      <w:r>
        <w:t>     </w:t>
      </w:r>
      <w:r>
        <w:fldChar w:fldCharType="end"/>
      </w:r>
      <w:bookmarkEnd w:id="7"/>
    </w:p>
    <w:p w14:paraId="4CF713D7">
      <w:pPr>
        <w:spacing w:line="240" w:lineRule="auto"/>
        <w:rPr>
          <w:rFonts w:ascii="黑体" w:hAnsi="黑体" w:eastAsia="黑体"/>
          <w:color w:val="000000" w:themeColor="text1"/>
          <w:kern w:val="0"/>
          <w:sz w:val="10"/>
          <w:szCs w:val="10"/>
          <w14:textFill>
            <w14:solidFill>
              <w14:schemeClr w14:val="tx1"/>
            </w14:solidFill>
          </w14:textFill>
        </w:rPr>
      </w:pPr>
      <w:r>
        <w:rPr>
          <w:rFonts w:ascii="黑体" w:hAnsi="黑体" w:eastAsia="黑体"/>
          <w:color w:val="000000" w:themeColor="text1"/>
          <w:kern w:val="0"/>
          <w:sz w:val="10"/>
          <w:szCs w:val="10"/>
          <w14:textFill>
            <w14:solidFill>
              <w14:schemeClr w14:val="tx1"/>
            </w14:solidFill>
          </w14:textFill>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1CE00159">
      <w:pPr>
        <w:pStyle w:val="196"/>
        <w:framePr w:wrap="around" w:y="14176"/>
        <w:rPr>
          <w:color w:val="000000" w:themeColor="text1"/>
          <w14:textFill>
            <w14:solidFill>
              <w14:schemeClr w14:val="tx1"/>
            </w14:solidFill>
          </w14:textFill>
        </w:rPr>
      </w:pPr>
      <w:r>
        <w:rPr>
          <w:rFonts w:ascii="黑体"/>
          <w:color w:val="000000" w:themeColor="text1"/>
          <w14:textFill>
            <w14:solidFill>
              <w14:schemeClr w14:val="tx1"/>
            </w14:solidFill>
          </w14:textFill>
        </w:rPr>
        <w:fldChar w:fldCharType="begin">
          <w:ffData>
            <w:name w:val="PLSH_DATE_Y"/>
            <w:enabled/>
            <w:calcOnExit w:val="0"/>
            <w:textInput>
              <w:default w:val="XXXX"/>
              <w:maxLength w:val="4"/>
            </w:textInput>
          </w:ffData>
        </w:fldChar>
      </w:r>
      <w:bookmarkStart w:id="8" w:name="PLSH_DATE_Y"/>
      <w:r>
        <w:rPr>
          <w:rFonts w:ascii="黑体"/>
          <w:color w:val="000000" w:themeColor="text1"/>
          <w14:textFill>
            <w14:solidFill>
              <w14:schemeClr w14:val="tx1"/>
            </w14:solidFill>
          </w14:textFill>
        </w:rPr>
        <w:instrText xml:space="preserve"> FORMTEXT </w:instrText>
      </w:r>
      <w:r>
        <w:rPr>
          <w:rFonts w:ascii="黑体"/>
          <w:color w:val="000000" w:themeColor="text1"/>
          <w14:textFill>
            <w14:solidFill>
              <w14:schemeClr w14:val="tx1"/>
            </w14:solidFill>
          </w14:textFill>
        </w:rPr>
        <w:fldChar w:fldCharType="separate"/>
      </w:r>
      <w:r>
        <w:rPr>
          <w:rFonts w:ascii="黑体"/>
          <w:color w:val="000000" w:themeColor="text1"/>
          <w14:textFill>
            <w14:solidFill>
              <w14:schemeClr w14:val="tx1"/>
            </w14:solidFill>
          </w14:textFill>
        </w:rPr>
        <w:t>XXXX</w:t>
      </w:r>
      <w:r>
        <w:rPr>
          <w:rFonts w:ascii="黑体"/>
          <w:color w:val="000000" w:themeColor="text1"/>
          <w14:textFill>
            <w14:solidFill>
              <w14:schemeClr w14:val="tx1"/>
            </w14:solidFill>
          </w14:textFill>
        </w:rPr>
        <w:fldChar w:fldCharType="end"/>
      </w:r>
      <w:bookmarkEnd w:id="8"/>
      <w:r>
        <w:rPr>
          <w:color w:val="000000" w:themeColor="text1"/>
          <w14:textFill>
            <w14:solidFill>
              <w14:schemeClr w14:val="tx1"/>
            </w14:solidFill>
          </w14:textFill>
        </w:rPr>
        <w:t xml:space="preserve"> </w:t>
      </w:r>
      <w:r>
        <w:rPr>
          <w:rFonts w:ascii="黑体"/>
          <w:color w:val="000000" w:themeColor="text1"/>
          <w14:textFill>
            <w14:solidFill>
              <w14:schemeClr w14:val="tx1"/>
            </w14:solidFill>
          </w14:textFill>
        </w:rPr>
        <w:t>-</w:t>
      </w:r>
      <w:r>
        <w:rPr>
          <w:color w:val="000000" w:themeColor="text1"/>
          <w14:textFill>
            <w14:solidFill>
              <w14:schemeClr w14:val="tx1"/>
            </w14:solidFill>
          </w14:textFill>
        </w:rPr>
        <w:t xml:space="preserve"> </w:t>
      </w:r>
      <w:r>
        <w:rPr>
          <w:rFonts w:ascii="黑体"/>
          <w:color w:val="000000" w:themeColor="text1"/>
          <w14:textFill>
            <w14:solidFill>
              <w14:schemeClr w14:val="tx1"/>
            </w14:solidFill>
          </w14:textFill>
        </w:rPr>
        <w:fldChar w:fldCharType="begin">
          <w:ffData>
            <w:name w:val="PLSH_DATE_M"/>
            <w:enabled/>
            <w:calcOnExit w:val="0"/>
            <w:textInput>
              <w:default w:val="XX"/>
              <w:maxLength w:val="2"/>
            </w:textInput>
          </w:ffData>
        </w:fldChar>
      </w:r>
      <w:bookmarkStart w:id="9" w:name="PLSH_DATE_M"/>
      <w:r>
        <w:rPr>
          <w:rFonts w:ascii="黑体"/>
          <w:color w:val="000000" w:themeColor="text1"/>
          <w14:textFill>
            <w14:solidFill>
              <w14:schemeClr w14:val="tx1"/>
            </w14:solidFill>
          </w14:textFill>
        </w:rPr>
        <w:instrText xml:space="preserve"> FORMTEXT </w:instrText>
      </w:r>
      <w:r>
        <w:rPr>
          <w:rFonts w:ascii="黑体"/>
          <w:color w:val="000000" w:themeColor="text1"/>
          <w14:textFill>
            <w14:solidFill>
              <w14:schemeClr w14:val="tx1"/>
            </w14:solidFill>
          </w14:textFill>
        </w:rPr>
        <w:fldChar w:fldCharType="separate"/>
      </w:r>
      <w:r>
        <w:rPr>
          <w:rFonts w:ascii="黑体"/>
          <w:color w:val="000000" w:themeColor="text1"/>
          <w14:textFill>
            <w14:solidFill>
              <w14:schemeClr w14:val="tx1"/>
            </w14:solidFill>
          </w14:textFill>
        </w:rPr>
        <w:t>XX</w:t>
      </w:r>
      <w:r>
        <w:rPr>
          <w:rFonts w:ascii="黑体"/>
          <w:color w:val="000000" w:themeColor="text1"/>
          <w14:textFill>
            <w14:solidFill>
              <w14:schemeClr w14:val="tx1"/>
            </w14:solidFill>
          </w14:textFill>
        </w:rPr>
        <w:fldChar w:fldCharType="end"/>
      </w:r>
      <w:bookmarkEnd w:id="9"/>
      <w:r>
        <w:rPr>
          <w:color w:val="000000" w:themeColor="text1"/>
          <w14:textFill>
            <w14:solidFill>
              <w14:schemeClr w14:val="tx1"/>
            </w14:solidFill>
          </w14:textFill>
        </w:rPr>
        <w:t xml:space="preserve"> </w:t>
      </w:r>
      <w:r>
        <w:rPr>
          <w:rFonts w:ascii="黑体"/>
          <w:color w:val="000000" w:themeColor="text1"/>
          <w14:textFill>
            <w14:solidFill>
              <w14:schemeClr w14:val="tx1"/>
            </w14:solidFill>
          </w14:textFill>
        </w:rPr>
        <w:t>-</w:t>
      </w:r>
      <w:r>
        <w:rPr>
          <w:color w:val="000000" w:themeColor="text1"/>
          <w14:textFill>
            <w14:solidFill>
              <w14:schemeClr w14:val="tx1"/>
            </w14:solidFill>
          </w14:textFill>
        </w:rPr>
        <w:t xml:space="preserve"> </w:t>
      </w:r>
      <w:r>
        <w:rPr>
          <w:rFonts w:ascii="黑体"/>
          <w:color w:val="000000" w:themeColor="text1"/>
          <w14:textFill>
            <w14:solidFill>
              <w14:schemeClr w14:val="tx1"/>
            </w14:solidFill>
          </w14:textFill>
        </w:rPr>
        <w:fldChar w:fldCharType="begin">
          <w:ffData>
            <w:name w:val="PLSH_DATE_D"/>
            <w:enabled/>
            <w:calcOnExit w:val="0"/>
            <w:textInput>
              <w:default w:val="XX"/>
              <w:maxLength w:val="2"/>
            </w:textInput>
          </w:ffData>
        </w:fldChar>
      </w:r>
      <w:bookmarkStart w:id="10" w:name="PLSH_DATE_D"/>
      <w:r>
        <w:rPr>
          <w:rFonts w:ascii="黑体"/>
          <w:color w:val="000000" w:themeColor="text1"/>
          <w14:textFill>
            <w14:solidFill>
              <w14:schemeClr w14:val="tx1"/>
            </w14:solidFill>
          </w14:textFill>
        </w:rPr>
        <w:instrText xml:space="preserve"> FORMTEXT </w:instrText>
      </w:r>
      <w:r>
        <w:rPr>
          <w:rFonts w:ascii="黑体"/>
          <w:color w:val="000000" w:themeColor="text1"/>
          <w14:textFill>
            <w14:solidFill>
              <w14:schemeClr w14:val="tx1"/>
            </w14:solidFill>
          </w14:textFill>
        </w:rPr>
        <w:fldChar w:fldCharType="separate"/>
      </w:r>
      <w:r>
        <w:rPr>
          <w:rFonts w:ascii="黑体"/>
          <w:color w:val="000000" w:themeColor="text1"/>
          <w14:textFill>
            <w14:solidFill>
              <w14:schemeClr w14:val="tx1"/>
            </w14:solidFill>
          </w14:textFill>
        </w:rPr>
        <w:t>XX</w:t>
      </w:r>
      <w:r>
        <w:rPr>
          <w:rFonts w:ascii="黑体"/>
          <w:color w:val="000000" w:themeColor="text1"/>
          <w14:textFill>
            <w14:solidFill>
              <w14:schemeClr w14:val="tx1"/>
            </w14:solidFill>
          </w14:textFill>
        </w:rPr>
        <w:fldChar w:fldCharType="end"/>
      </w:r>
      <w:bookmarkEnd w:id="10"/>
      <w:r>
        <w:rPr>
          <w:rFonts w:hint="eastAsia"/>
          <w:color w:val="000000" w:themeColor="text1"/>
          <w14:textFill>
            <w14:solidFill>
              <w14:schemeClr w14:val="tx1"/>
            </w14:solidFill>
          </w14:textFill>
        </w:rPr>
        <w:t>发布</w:t>
      </w:r>
    </w:p>
    <w:p w14:paraId="0A790C19">
      <w:pPr>
        <w:pStyle w:val="197"/>
        <w:framePr w:wrap="around" w:y="14176"/>
        <w:rPr>
          <w:color w:val="000000" w:themeColor="text1"/>
          <w14:textFill>
            <w14:solidFill>
              <w14:schemeClr w14:val="tx1"/>
            </w14:solidFill>
          </w14:textFill>
        </w:rPr>
      </w:pPr>
      <w:r>
        <w:rPr>
          <w:rFonts w:ascii="黑体"/>
          <w:color w:val="000000" w:themeColor="text1"/>
          <w14:textFill>
            <w14:solidFill>
              <w14:schemeClr w14:val="tx1"/>
            </w14:solidFill>
          </w14:textFill>
        </w:rPr>
        <w:fldChar w:fldCharType="begin">
          <w:ffData>
            <w:name w:val="CROT_DATE_Y"/>
            <w:enabled/>
            <w:calcOnExit w:val="0"/>
            <w:textInput>
              <w:default w:val="XXXX"/>
              <w:maxLength w:val="4"/>
            </w:textInput>
          </w:ffData>
        </w:fldChar>
      </w:r>
      <w:bookmarkStart w:id="11" w:name="CROT_DATE_Y"/>
      <w:r>
        <w:rPr>
          <w:rFonts w:ascii="黑体"/>
          <w:color w:val="000000" w:themeColor="text1"/>
          <w14:textFill>
            <w14:solidFill>
              <w14:schemeClr w14:val="tx1"/>
            </w14:solidFill>
          </w14:textFill>
        </w:rPr>
        <w:instrText xml:space="preserve"> FORMTEXT </w:instrText>
      </w:r>
      <w:r>
        <w:rPr>
          <w:rFonts w:ascii="黑体"/>
          <w:color w:val="000000" w:themeColor="text1"/>
          <w14:textFill>
            <w14:solidFill>
              <w14:schemeClr w14:val="tx1"/>
            </w14:solidFill>
          </w14:textFill>
        </w:rPr>
        <w:fldChar w:fldCharType="separate"/>
      </w:r>
      <w:r>
        <w:rPr>
          <w:rFonts w:ascii="黑体"/>
          <w:color w:val="000000" w:themeColor="text1"/>
          <w14:textFill>
            <w14:solidFill>
              <w14:schemeClr w14:val="tx1"/>
            </w14:solidFill>
          </w14:textFill>
        </w:rPr>
        <w:t>XXXX</w:t>
      </w:r>
      <w:r>
        <w:rPr>
          <w:rFonts w:ascii="黑体"/>
          <w:color w:val="000000" w:themeColor="text1"/>
          <w14:textFill>
            <w14:solidFill>
              <w14:schemeClr w14:val="tx1"/>
            </w14:solidFill>
          </w14:textFill>
        </w:rPr>
        <w:fldChar w:fldCharType="end"/>
      </w:r>
      <w:bookmarkEnd w:id="11"/>
      <w:r>
        <w:rPr>
          <w:color w:val="000000" w:themeColor="text1"/>
          <w14:textFill>
            <w14:solidFill>
              <w14:schemeClr w14:val="tx1"/>
            </w14:solidFill>
          </w14:textFill>
        </w:rPr>
        <w:t xml:space="preserve"> </w:t>
      </w:r>
      <w:r>
        <w:rPr>
          <w:rFonts w:ascii="黑体"/>
          <w:color w:val="000000" w:themeColor="text1"/>
          <w14:textFill>
            <w14:solidFill>
              <w14:schemeClr w14:val="tx1"/>
            </w14:solidFill>
          </w14:textFill>
        </w:rPr>
        <w:t>-</w:t>
      </w:r>
      <w:r>
        <w:rPr>
          <w:color w:val="000000" w:themeColor="text1"/>
          <w14:textFill>
            <w14:solidFill>
              <w14:schemeClr w14:val="tx1"/>
            </w14:solidFill>
          </w14:textFill>
        </w:rPr>
        <w:t xml:space="preserve"> </w:t>
      </w:r>
      <w:r>
        <w:rPr>
          <w:rFonts w:ascii="黑体"/>
          <w:color w:val="000000" w:themeColor="text1"/>
          <w14:textFill>
            <w14:solidFill>
              <w14:schemeClr w14:val="tx1"/>
            </w14:solidFill>
          </w14:textFill>
        </w:rPr>
        <w:fldChar w:fldCharType="begin">
          <w:ffData>
            <w:name w:val="CROT_DATE_M"/>
            <w:enabled/>
            <w:calcOnExit w:val="0"/>
            <w:textInput>
              <w:default w:val="XX"/>
              <w:maxLength w:val="2"/>
            </w:textInput>
          </w:ffData>
        </w:fldChar>
      </w:r>
      <w:bookmarkStart w:id="12" w:name="CROT_DATE_M"/>
      <w:r>
        <w:rPr>
          <w:rFonts w:ascii="黑体"/>
          <w:color w:val="000000" w:themeColor="text1"/>
          <w14:textFill>
            <w14:solidFill>
              <w14:schemeClr w14:val="tx1"/>
            </w14:solidFill>
          </w14:textFill>
        </w:rPr>
        <w:instrText xml:space="preserve"> FORMTEXT </w:instrText>
      </w:r>
      <w:r>
        <w:rPr>
          <w:rFonts w:ascii="黑体"/>
          <w:color w:val="000000" w:themeColor="text1"/>
          <w14:textFill>
            <w14:solidFill>
              <w14:schemeClr w14:val="tx1"/>
            </w14:solidFill>
          </w14:textFill>
        </w:rPr>
        <w:fldChar w:fldCharType="separate"/>
      </w:r>
      <w:r>
        <w:rPr>
          <w:rFonts w:ascii="黑体"/>
          <w:color w:val="000000" w:themeColor="text1"/>
          <w14:textFill>
            <w14:solidFill>
              <w14:schemeClr w14:val="tx1"/>
            </w14:solidFill>
          </w14:textFill>
        </w:rPr>
        <w:t>XX</w:t>
      </w:r>
      <w:r>
        <w:rPr>
          <w:rFonts w:ascii="黑体"/>
          <w:color w:val="000000" w:themeColor="text1"/>
          <w14:textFill>
            <w14:solidFill>
              <w14:schemeClr w14:val="tx1"/>
            </w14:solidFill>
          </w14:textFill>
        </w:rPr>
        <w:fldChar w:fldCharType="end"/>
      </w:r>
      <w:bookmarkEnd w:id="12"/>
      <w:r>
        <w:rPr>
          <w:color w:val="000000" w:themeColor="text1"/>
          <w14:textFill>
            <w14:solidFill>
              <w14:schemeClr w14:val="tx1"/>
            </w14:solidFill>
          </w14:textFill>
        </w:rPr>
        <w:t xml:space="preserve"> </w:t>
      </w:r>
      <w:r>
        <w:rPr>
          <w:rFonts w:ascii="黑体"/>
          <w:color w:val="000000" w:themeColor="text1"/>
          <w14:textFill>
            <w14:solidFill>
              <w14:schemeClr w14:val="tx1"/>
            </w14:solidFill>
          </w14:textFill>
        </w:rPr>
        <w:t>-</w:t>
      </w:r>
      <w:r>
        <w:rPr>
          <w:color w:val="000000" w:themeColor="text1"/>
          <w14:textFill>
            <w14:solidFill>
              <w14:schemeClr w14:val="tx1"/>
            </w14:solidFill>
          </w14:textFill>
        </w:rPr>
        <w:t xml:space="preserve"> </w:t>
      </w:r>
      <w:r>
        <w:rPr>
          <w:rFonts w:ascii="黑体"/>
          <w:color w:val="000000" w:themeColor="text1"/>
          <w14:textFill>
            <w14:solidFill>
              <w14:schemeClr w14:val="tx1"/>
            </w14:solidFill>
          </w14:textFill>
        </w:rPr>
        <w:fldChar w:fldCharType="begin">
          <w:ffData>
            <w:name w:val="CROT_DATE_D"/>
            <w:enabled/>
            <w:calcOnExit w:val="0"/>
            <w:textInput>
              <w:default w:val="XX"/>
              <w:maxLength w:val="2"/>
            </w:textInput>
          </w:ffData>
        </w:fldChar>
      </w:r>
      <w:bookmarkStart w:id="13" w:name="CROT_DATE_D"/>
      <w:r>
        <w:rPr>
          <w:rFonts w:ascii="黑体"/>
          <w:color w:val="000000" w:themeColor="text1"/>
          <w14:textFill>
            <w14:solidFill>
              <w14:schemeClr w14:val="tx1"/>
            </w14:solidFill>
          </w14:textFill>
        </w:rPr>
        <w:instrText xml:space="preserve"> FORMTEXT </w:instrText>
      </w:r>
      <w:r>
        <w:rPr>
          <w:rFonts w:ascii="黑体"/>
          <w:color w:val="000000" w:themeColor="text1"/>
          <w14:textFill>
            <w14:solidFill>
              <w14:schemeClr w14:val="tx1"/>
            </w14:solidFill>
          </w14:textFill>
        </w:rPr>
        <w:fldChar w:fldCharType="separate"/>
      </w:r>
      <w:r>
        <w:rPr>
          <w:rFonts w:ascii="黑体"/>
          <w:color w:val="000000" w:themeColor="text1"/>
          <w14:textFill>
            <w14:solidFill>
              <w14:schemeClr w14:val="tx1"/>
            </w14:solidFill>
          </w14:textFill>
        </w:rPr>
        <w:t>XX</w:t>
      </w:r>
      <w:r>
        <w:rPr>
          <w:rFonts w:ascii="黑体"/>
          <w:color w:val="000000" w:themeColor="text1"/>
          <w14:textFill>
            <w14:solidFill>
              <w14:schemeClr w14:val="tx1"/>
            </w14:solidFill>
          </w14:textFill>
        </w:rPr>
        <w:fldChar w:fldCharType="end"/>
      </w:r>
      <w:bookmarkEnd w:id="13"/>
      <w:r>
        <w:rPr>
          <w:rFonts w:hint="eastAsia"/>
          <w:color w:val="000000" w:themeColor="text1"/>
          <w14:textFill>
            <w14:solidFill>
              <w14:schemeClr w14:val="tx1"/>
            </w14:solidFill>
          </w14:textFill>
        </w:rPr>
        <w:t>实施</w:t>
      </w:r>
    </w:p>
    <w:p w14:paraId="186544E9">
      <w:pPr>
        <w:pStyle w:val="154"/>
        <w:framePr w:h="584" w:hRule="exact" w:hSpace="181" w:vSpace="181" w:wrap="around" w:y="14800"/>
        <w:rPr>
          <w:rFonts w:hAnsi="黑体"/>
          <w:color w:val="000000" w:themeColor="text1"/>
          <w14:textFill>
            <w14:solidFill>
              <w14:schemeClr w14:val="tx1"/>
            </w14:solidFill>
          </w14:textFill>
        </w:rPr>
      </w:pPr>
      <w:r>
        <w:rPr>
          <w:rFonts w:hAnsi="黑体"/>
          <w:color w:val="000000" w:themeColor="text1"/>
          <w:w w:val="100"/>
          <w:sz w:val="28"/>
          <w14:textFill>
            <w14:solidFill>
              <w14:schemeClr w14:val="tx1"/>
            </w14:solidFill>
          </w14:textFill>
        </w:rPr>
        <w:fldChar w:fldCharType="begin">
          <w:ffData>
            <w:name w:val="fm"/>
            <w:enabled/>
            <w:calcOnExit w:val="0"/>
            <w:textInput/>
          </w:ffData>
        </w:fldChar>
      </w:r>
      <w:bookmarkStart w:id="14" w:name="fm"/>
      <w:r>
        <w:rPr>
          <w:rFonts w:hAnsi="黑体"/>
          <w:color w:val="000000" w:themeColor="text1"/>
          <w:w w:val="100"/>
          <w:sz w:val="28"/>
          <w14:textFill>
            <w14:solidFill>
              <w14:schemeClr w14:val="tx1"/>
            </w14:solidFill>
          </w14:textFill>
        </w:rPr>
        <w:instrText xml:space="preserve"> FORMTEXT </w:instrText>
      </w:r>
      <w:r>
        <w:rPr>
          <w:rFonts w:hAnsi="黑体"/>
          <w:color w:val="000000" w:themeColor="text1"/>
          <w:w w:val="100"/>
          <w:sz w:val="28"/>
          <w14:textFill>
            <w14:solidFill>
              <w14:schemeClr w14:val="tx1"/>
            </w14:solidFill>
          </w14:textFill>
        </w:rPr>
        <w:fldChar w:fldCharType="separate"/>
      </w:r>
      <w:r>
        <w:rPr>
          <w:rFonts w:hint="eastAsia" w:hAnsi="黑体"/>
          <w:color w:val="000000" w:themeColor="text1"/>
          <w:w w:val="100"/>
          <w:sz w:val="28"/>
          <w14:textFill>
            <w14:solidFill>
              <w14:schemeClr w14:val="tx1"/>
            </w14:solidFill>
          </w14:textFill>
        </w:rPr>
        <w:t>广西标准化协会</w:t>
      </w:r>
      <w:r>
        <w:rPr>
          <w:rFonts w:hAnsi="黑体"/>
          <w:color w:val="000000" w:themeColor="text1"/>
          <w:w w:val="100"/>
          <w:sz w:val="28"/>
          <w14:textFill>
            <w14:solidFill>
              <w14:schemeClr w14:val="tx1"/>
            </w14:solidFill>
          </w14:textFill>
        </w:rPr>
        <w:fldChar w:fldCharType="end"/>
      </w:r>
      <w:bookmarkEnd w:id="14"/>
      <w:r>
        <w:rPr>
          <w:rFonts w:ascii="Times New Roman"/>
          <w:color w:val="000000" w:themeColor="text1"/>
          <w:w w:val="100"/>
          <w:sz w:val="28"/>
          <w14:textFill>
            <w14:solidFill>
              <w14:schemeClr w14:val="tx1"/>
            </w14:solidFill>
          </w14:textFill>
        </w:rPr>
        <w:t>  </w:t>
      </w:r>
      <w:r>
        <w:rPr>
          <w:rStyle w:val="232"/>
          <w:rFonts w:hint="eastAsia" w:hAnsi="黑体"/>
          <w:color w:val="000000" w:themeColor="text1"/>
          <w:position w:val="0"/>
          <w14:textFill>
            <w14:solidFill>
              <w14:schemeClr w14:val="tx1"/>
            </w14:solidFill>
          </w14:textFill>
        </w:rPr>
        <w:t>发</w:t>
      </w:r>
      <w:r>
        <w:rPr>
          <w:rStyle w:val="232"/>
          <w:rFonts w:hint="eastAsia" w:hAnsi="黑体"/>
          <w:color w:val="000000" w:themeColor="text1"/>
          <w:spacing w:val="0"/>
          <w:position w:val="0"/>
          <w14:textFill>
            <w14:solidFill>
              <w14:schemeClr w14:val="tx1"/>
            </w14:solidFill>
          </w14:textFill>
        </w:rPr>
        <w:t>布</w:t>
      </w:r>
    </w:p>
    <w:p w14:paraId="250C190D">
      <w:pPr>
        <w:framePr w:w="9639" w:h="6974" w:hRule="exact" w:wrap="around" w:vAnchor="page" w:hAnchor="page" w:x="1419" w:y="6408" w:anchorLock="1"/>
        <w:widowControl/>
        <w:adjustRightInd/>
        <w:spacing w:line="700" w:lineRule="exact"/>
        <w:jc w:val="center"/>
        <w:rPr>
          <w:rFonts w:ascii="黑体" w:hAnsi="黑体" w:eastAsia="黑体"/>
          <w:bCs/>
          <w:color w:val="000000" w:themeColor="text1"/>
          <w:kern w:val="0"/>
          <w:sz w:val="52"/>
          <w:szCs w:val="20"/>
          <w14:textFill>
            <w14:solidFill>
              <w14:schemeClr w14:val="tx1"/>
            </w14:solidFill>
          </w14:textFill>
        </w:rPr>
      </w:pPr>
      <w:r>
        <w:rPr>
          <w:rFonts w:ascii="黑体" w:hAnsi="黑体" w:eastAsia="黑体"/>
          <w:bCs/>
          <w:color w:val="000000" w:themeColor="text1"/>
          <w:kern w:val="0"/>
          <w:sz w:val="52"/>
          <w:szCs w:val="20"/>
          <w14:textFill>
            <w14:solidFill>
              <w14:schemeClr w14:val="tx1"/>
            </w14:solidFill>
          </w14:textFill>
        </w:rPr>
        <w:fldChar w:fldCharType="begin">
          <w:ffData>
            <w:name w:val="CSTD_NAME"/>
            <w:enabled/>
            <w:calcOnExit w:val="0"/>
            <w:textInput>
              <w:default w:val="儿科中医非药物疗法操作规范  小儿咳嗽敷背散贴敷疗法"/>
            </w:textInput>
          </w:ffData>
        </w:fldChar>
      </w:r>
      <w:bookmarkStart w:id="15" w:name="CSTD_NAME"/>
      <w:r>
        <w:rPr>
          <w:rFonts w:ascii="黑体" w:hAnsi="黑体" w:eastAsia="黑体"/>
          <w:bCs/>
          <w:color w:val="000000" w:themeColor="text1"/>
          <w:kern w:val="0"/>
          <w:sz w:val="52"/>
          <w:szCs w:val="20"/>
          <w14:textFill>
            <w14:solidFill>
              <w14:schemeClr w14:val="tx1"/>
            </w14:solidFill>
          </w14:textFill>
        </w:rPr>
        <w:instrText xml:space="preserve"> FORMTEXT </w:instrText>
      </w:r>
      <w:r>
        <w:rPr>
          <w:rFonts w:ascii="黑体" w:hAnsi="黑体" w:eastAsia="黑体"/>
          <w:bCs/>
          <w:color w:val="000000" w:themeColor="text1"/>
          <w:kern w:val="0"/>
          <w:sz w:val="52"/>
          <w:szCs w:val="20"/>
          <w14:textFill>
            <w14:solidFill>
              <w14:schemeClr w14:val="tx1"/>
            </w14:solidFill>
          </w14:textFill>
        </w:rPr>
        <w:fldChar w:fldCharType="separate"/>
      </w:r>
      <w:r>
        <w:rPr>
          <w:rFonts w:ascii="黑体" w:hAnsi="黑体" w:eastAsia="黑体"/>
          <w:bCs/>
          <w:color w:val="000000" w:themeColor="text1"/>
          <w:kern w:val="0"/>
          <w:sz w:val="52"/>
          <w:szCs w:val="20"/>
          <w14:textFill>
            <w14:solidFill>
              <w14:schemeClr w14:val="tx1"/>
            </w14:solidFill>
          </w14:textFill>
        </w:rPr>
        <w:t>中药通腑贴治疗充血性心力衰竭合并便秘患者技术操作规范</w:t>
      </w:r>
      <w:r>
        <w:rPr>
          <w:rFonts w:ascii="黑体" w:hAnsi="黑体" w:eastAsia="黑体"/>
          <w:bCs/>
          <w:color w:val="000000" w:themeColor="text1"/>
          <w:kern w:val="0"/>
          <w:sz w:val="52"/>
          <w:szCs w:val="20"/>
          <w14:textFill>
            <w14:solidFill>
              <w14:schemeClr w14:val="tx1"/>
            </w14:solidFill>
          </w14:textFill>
        </w:rPr>
        <w:fldChar w:fldCharType="end"/>
      </w:r>
      <w:bookmarkEnd w:id="15"/>
    </w:p>
    <w:p w14:paraId="7FFB2812">
      <w:pPr>
        <w:framePr w:w="9639" w:h="6974" w:hRule="exact" w:wrap="around" w:vAnchor="page" w:hAnchor="page" w:x="1419" w:y="6408" w:anchorLock="1"/>
        <w:ind w:left="-1418"/>
        <w:rPr>
          <w:color w:val="000000" w:themeColor="text1"/>
          <w14:textFill>
            <w14:solidFill>
              <w14:schemeClr w14:val="tx1"/>
            </w14:solidFill>
          </w14:textFill>
        </w:rPr>
      </w:pPr>
    </w:p>
    <w:p w14:paraId="771E041B">
      <w:pPr>
        <w:framePr w:w="9639" w:h="6974" w:hRule="exact" w:wrap="around" w:vAnchor="page" w:hAnchor="page" w:x="1419" w:y="6408" w:anchorLock="1"/>
        <w:adjustRightInd/>
        <w:spacing w:before="120" w:after="120" w:line="360" w:lineRule="exact"/>
        <w:jc w:val="center"/>
        <w:textAlignment w:val="bottom"/>
        <w:rPr>
          <w:rFonts w:ascii="黑体" w:hAnsi="黑体" w:eastAsia="黑体"/>
          <w:color w:val="000000" w:themeColor="text1"/>
          <w:kern w:val="0"/>
          <w:sz w:val="28"/>
          <w:szCs w:val="28"/>
          <w14:textFill>
            <w14:solidFill>
              <w14:schemeClr w14:val="tx1"/>
            </w14:solidFill>
          </w14:textFill>
        </w:rPr>
      </w:pPr>
      <w:r>
        <w:rPr>
          <w:rFonts w:ascii="黑体" w:hAnsi="黑体" w:eastAsia="黑体"/>
          <w:color w:val="000000" w:themeColor="text1"/>
          <w:kern w:val="0"/>
          <w:sz w:val="28"/>
          <w:szCs w:val="28"/>
          <w14:textFill>
            <w14:solidFill>
              <w14:schemeClr w14:val="tx1"/>
            </w14:solidFill>
          </w14:textFill>
        </w:rPr>
        <w:fldChar w:fldCharType="begin">
          <w:ffData>
            <w:name w:val="ESTD_NAME"/>
            <w:enabled/>
            <w:calcOnExit w:val="0"/>
            <w:textInput>
              <w:default w:val="Operation specification for pediatric traditional Chinese medicine non-drug therapy pediatric cough fubei powder sticking therapy"/>
            </w:textInput>
          </w:ffData>
        </w:fldChar>
      </w:r>
      <w:bookmarkStart w:id="16" w:name="ESTD_NAME"/>
      <w:r>
        <w:rPr>
          <w:rFonts w:ascii="黑体" w:hAnsi="黑体" w:eastAsia="黑体"/>
          <w:color w:val="000000" w:themeColor="text1"/>
          <w:kern w:val="0"/>
          <w:sz w:val="28"/>
          <w:szCs w:val="28"/>
          <w14:textFill>
            <w14:solidFill>
              <w14:schemeClr w14:val="tx1"/>
            </w14:solidFill>
          </w14:textFill>
        </w:rPr>
        <w:instrText xml:space="preserve"> FORMTEXT </w:instrText>
      </w:r>
      <w:r>
        <w:rPr>
          <w:rFonts w:ascii="黑体" w:hAnsi="黑体" w:eastAsia="黑体"/>
          <w:color w:val="000000" w:themeColor="text1"/>
          <w:kern w:val="0"/>
          <w:sz w:val="28"/>
          <w:szCs w:val="28"/>
          <w14:textFill>
            <w14:solidFill>
              <w14:schemeClr w14:val="tx1"/>
            </w14:solidFill>
          </w14:textFill>
        </w:rPr>
        <w:fldChar w:fldCharType="separate"/>
      </w:r>
      <w:r>
        <w:rPr>
          <w:rFonts w:ascii="黑体" w:hAnsi="黑体" w:eastAsia="黑体"/>
          <w:color w:val="000000" w:themeColor="text1"/>
          <w:kern w:val="0"/>
          <w:sz w:val="28"/>
          <w:szCs w:val="28"/>
          <w14:textFill>
            <w14:solidFill>
              <w14:schemeClr w14:val="tx1"/>
            </w14:solidFill>
          </w14:textFill>
        </w:rPr>
        <w:t xml:space="preserve">Technical specification for treatment of </w:t>
      </w:r>
      <w:r>
        <w:rPr>
          <w:rFonts w:hint="eastAsia" w:ascii="黑体" w:hAnsi="黑体" w:eastAsia="黑体"/>
          <w:color w:val="000000" w:themeColor="text1"/>
          <w:kern w:val="0"/>
          <w:sz w:val="28"/>
          <w:szCs w:val="28"/>
          <w14:textFill>
            <w14:solidFill>
              <w14:schemeClr w14:val="tx1"/>
            </w14:solidFill>
          </w14:textFill>
        </w:rPr>
        <w:t>c</w:t>
      </w:r>
      <w:r>
        <w:rPr>
          <w:rFonts w:ascii="黑体" w:hAnsi="黑体" w:eastAsia="黑体"/>
          <w:color w:val="000000" w:themeColor="text1"/>
          <w:kern w:val="0"/>
          <w:sz w:val="28"/>
          <w:szCs w:val="28"/>
          <w14:textFill>
            <w14:solidFill>
              <w14:schemeClr w14:val="tx1"/>
            </w14:solidFill>
          </w14:textFill>
        </w:rPr>
        <w:t xml:space="preserve">onstipation in </w:t>
      </w:r>
      <w:r>
        <w:rPr>
          <w:rFonts w:hint="eastAsia" w:ascii="黑体" w:hAnsi="黑体" w:eastAsia="黑体"/>
          <w:color w:val="000000" w:themeColor="text1"/>
          <w:kern w:val="0"/>
          <w:sz w:val="28"/>
          <w:szCs w:val="28"/>
          <w14:textFill>
            <w14:solidFill>
              <w14:schemeClr w14:val="tx1"/>
            </w14:solidFill>
          </w14:textFill>
        </w:rPr>
        <w:t>p</w:t>
      </w:r>
      <w:r>
        <w:rPr>
          <w:rFonts w:ascii="黑体" w:hAnsi="黑体" w:eastAsia="黑体"/>
          <w:color w:val="000000" w:themeColor="text1"/>
          <w:kern w:val="0"/>
          <w:sz w:val="28"/>
          <w:szCs w:val="28"/>
          <w14:textFill>
            <w14:solidFill>
              <w14:schemeClr w14:val="tx1"/>
            </w14:solidFill>
          </w14:textFill>
        </w:rPr>
        <w:t xml:space="preserve">atients with </w:t>
      </w:r>
      <w:r>
        <w:rPr>
          <w:rFonts w:hint="eastAsia" w:ascii="黑体" w:hAnsi="黑体" w:eastAsia="黑体"/>
          <w:color w:val="000000" w:themeColor="text1"/>
          <w:kern w:val="0"/>
          <w:sz w:val="28"/>
          <w:szCs w:val="28"/>
          <w14:textFill>
            <w14:solidFill>
              <w14:schemeClr w14:val="tx1"/>
            </w14:solidFill>
          </w14:textFill>
        </w:rPr>
        <w:t>c</w:t>
      </w:r>
      <w:r>
        <w:rPr>
          <w:rFonts w:ascii="黑体" w:hAnsi="黑体" w:eastAsia="黑体"/>
          <w:color w:val="000000" w:themeColor="text1"/>
          <w:kern w:val="0"/>
          <w:sz w:val="28"/>
          <w:szCs w:val="28"/>
          <w14:textFill>
            <w14:solidFill>
              <w14:schemeClr w14:val="tx1"/>
            </w14:solidFill>
          </w14:textFill>
        </w:rPr>
        <w:t xml:space="preserve">ongestive </w:t>
      </w:r>
      <w:r>
        <w:rPr>
          <w:rFonts w:hint="eastAsia" w:ascii="黑体" w:hAnsi="黑体" w:eastAsia="黑体"/>
          <w:color w:val="000000" w:themeColor="text1"/>
          <w:kern w:val="0"/>
          <w:sz w:val="28"/>
          <w:szCs w:val="28"/>
          <w14:textFill>
            <w14:solidFill>
              <w14:schemeClr w14:val="tx1"/>
            </w14:solidFill>
          </w14:textFill>
        </w:rPr>
        <w:t>h</w:t>
      </w:r>
      <w:r>
        <w:rPr>
          <w:rFonts w:ascii="黑体" w:hAnsi="黑体" w:eastAsia="黑体"/>
          <w:color w:val="000000" w:themeColor="text1"/>
          <w:kern w:val="0"/>
          <w:sz w:val="28"/>
          <w:szCs w:val="28"/>
          <w14:textFill>
            <w14:solidFill>
              <w14:schemeClr w14:val="tx1"/>
            </w14:solidFill>
          </w14:textFill>
        </w:rPr>
        <w:t xml:space="preserve">eart </w:t>
      </w:r>
      <w:r>
        <w:rPr>
          <w:rFonts w:hint="eastAsia" w:ascii="黑体" w:hAnsi="黑体" w:eastAsia="黑体"/>
          <w:color w:val="000000" w:themeColor="text1"/>
          <w:kern w:val="0"/>
          <w:sz w:val="28"/>
          <w:szCs w:val="28"/>
          <w14:textFill>
            <w14:solidFill>
              <w14:schemeClr w14:val="tx1"/>
            </w14:solidFill>
          </w14:textFill>
        </w:rPr>
        <w:t>f</w:t>
      </w:r>
      <w:r>
        <w:rPr>
          <w:rFonts w:ascii="黑体" w:hAnsi="黑体" w:eastAsia="黑体"/>
          <w:color w:val="000000" w:themeColor="text1"/>
          <w:kern w:val="0"/>
          <w:sz w:val="28"/>
          <w:szCs w:val="28"/>
          <w14:textFill>
            <w14:solidFill>
              <w14:schemeClr w14:val="tx1"/>
            </w14:solidFill>
          </w14:textFill>
        </w:rPr>
        <w:t xml:space="preserve">ailure </w:t>
      </w:r>
      <w:r>
        <w:rPr>
          <w:rFonts w:hint="eastAsia" w:ascii="黑体" w:hAnsi="黑体" w:eastAsia="黑体"/>
          <w:color w:val="000000" w:themeColor="text1"/>
          <w:kern w:val="0"/>
          <w:sz w:val="28"/>
          <w:szCs w:val="28"/>
          <w14:textFill>
            <w14:solidFill>
              <w14:schemeClr w14:val="tx1"/>
            </w14:solidFill>
          </w14:textFill>
        </w:rPr>
        <w:t>u</w:t>
      </w:r>
      <w:r>
        <w:rPr>
          <w:rFonts w:ascii="黑体" w:hAnsi="黑体" w:eastAsia="黑体"/>
          <w:color w:val="000000" w:themeColor="text1"/>
          <w:kern w:val="0"/>
          <w:sz w:val="28"/>
          <w:szCs w:val="28"/>
          <w14:textFill>
            <w14:solidFill>
              <w14:schemeClr w14:val="tx1"/>
            </w14:solidFill>
          </w14:textFill>
        </w:rPr>
        <w:t xml:space="preserve">sing </w:t>
      </w:r>
      <w:r>
        <w:rPr>
          <w:rFonts w:hint="eastAsia" w:ascii="黑体" w:hAnsi="黑体" w:eastAsia="黑体"/>
          <w:color w:val="000000" w:themeColor="text1"/>
          <w:kern w:val="0"/>
          <w:sz w:val="28"/>
          <w:szCs w:val="28"/>
          <w14:textFill>
            <w14:solidFill>
              <w14:schemeClr w14:val="tx1"/>
            </w14:solidFill>
          </w14:textFill>
        </w:rPr>
        <w:t>t</w:t>
      </w:r>
      <w:r>
        <w:rPr>
          <w:rFonts w:ascii="黑体" w:hAnsi="黑体" w:eastAsia="黑体"/>
          <w:color w:val="000000" w:themeColor="text1"/>
          <w:kern w:val="0"/>
          <w:sz w:val="28"/>
          <w:szCs w:val="28"/>
          <w14:textFill>
            <w14:solidFill>
              <w14:schemeClr w14:val="tx1"/>
            </w14:solidFill>
          </w14:textFill>
        </w:rPr>
        <w:t xml:space="preserve">raditional Chinese Medicine Tongfu </w:t>
      </w:r>
      <w:r>
        <w:rPr>
          <w:rFonts w:hint="eastAsia" w:ascii="黑体" w:hAnsi="黑体" w:eastAsia="黑体"/>
          <w:color w:val="000000" w:themeColor="text1"/>
          <w:kern w:val="0"/>
          <w:sz w:val="28"/>
          <w:szCs w:val="28"/>
          <w14:textFill>
            <w14:solidFill>
              <w14:schemeClr w14:val="tx1"/>
            </w14:solidFill>
          </w14:textFill>
        </w:rPr>
        <w:t>p</w:t>
      </w:r>
      <w:r>
        <w:rPr>
          <w:rFonts w:ascii="黑体" w:hAnsi="黑体" w:eastAsia="黑体"/>
          <w:color w:val="000000" w:themeColor="text1"/>
          <w:kern w:val="0"/>
          <w:sz w:val="28"/>
          <w:szCs w:val="28"/>
          <w14:textFill>
            <w14:solidFill>
              <w14:schemeClr w14:val="tx1"/>
            </w14:solidFill>
          </w14:textFill>
        </w:rPr>
        <w:t>laster</w:t>
      </w:r>
      <w:r>
        <w:rPr>
          <w:rFonts w:ascii="黑体" w:hAnsi="黑体" w:eastAsia="黑体"/>
          <w:color w:val="000000" w:themeColor="text1"/>
          <w:kern w:val="0"/>
          <w:sz w:val="28"/>
          <w:szCs w:val="28"/>
          <w14:textFill>
            <w14:solidFill>
              <w14:schemeClr w14:val="tx1"/>
            </w14:solidFill>
          </w14:textFill>
        </w:rPr>
        <w:fldChar w:fldCharType="end"/>
      </w:r>
      <w:bookmarkEnd w:id="16"/>
    </w:p>
    <w:p w14:paraId="641B3063">
      <w:pPr>
        <w:framePr w:w="9639" w:h="6974" w:hRule="exact" w:wrap="around" w:vAnchor="page" w:hAnchor="page" w:x="1419" w:y="6408" w:anchorLock="1"/>
        <w:spacing w:line="760" w:lineRule="exact"/>
        <w:ind w:left="-1418"/>
        <w:rPr>
          <w:color w:val="000000" w:themeColor="text1"/>
          <w14:textFill>
            <w14:solidFill>
              <w14:schemeClr w14:val="tx1"/>
            </w14:solidFill>
          </w14:textFill>
        </w:rPr>
      </w:pPr>
    </w:p>
    <w:p w14:paraId="5138D608">
      <w:pPr>
        <w:framePr w:w="9639" w:h="6974" w:hRule="exact" w:wrap="around" w:vAnchor="page" w:hAnchor="page" w:x="1419" w:y="6408" w:anchorLock="1"/>
        <w:adjustRightInd/>
        <w:spacing w:before="120" w:after="120" w:line="360" w:lineRule="exact"/>
        <w:jc w:val="center"/>
        <w:textAlignment w:val="bottom"/>
        <w:rPr>
          <w:rFonts w:ascii="Times New Roman" w:hAnsi="Times New Roman"/>
          <w:color w:val="000000" w:themeColor="text1"/>
          <w:kern w:val="0"/>
          <w:sz w:val="24"/>
          <w:szCs w:val="28"/>
          <w14:textFill>
            <w14:solidFill>
              <w14:schemeClr w14:val="tx1"/>
            </w14:solidFill>
          </w14:textFill>
        </w:rPr>
      </w:pPr>
      <w:r>
        <w:rPr>
          <w:rFonts w:ascii="Times New Roman" w:hAnsi="Times New Roman"/>
          <w:color w:val="000000" w:themeColor="text1"/>
          <w:kern w:val="0"/>
          <w:sz w:val="24"/>
          <w:szCs w:val="28"/>
          <w14:textFill>
            <w14:solidFill>
              <w14:schemeClr w14:val="tx1"/>
            </w14:solidFill>
          </w14:textFill>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7" w:name="下拉1"/>
      <w:r>
        <w:rPr>
          <w:rFonts w:ascii="Times New Roman" w:hAnsi="Times New Roman"/>
          <w:color w:val="000000" w:themeColor="text1"/>
          <w:kern w:val="0"/>
          <w:sz w:val="24"/>
          <w:szCs w:val="28"/>
          <w14:textFill>
            <w14:solidFill>
              <w14:schemeClr w14:val="tx1"/>
            </w14:solidFill>
          </w14:textFill>
        </w:rPr>
        <w:instrText xml:space="preserve"> FORMDROPDOWN </w:instrText>
      </w:r>
      <w:r>
        <w:rPr>
          <w:rFonts w:ascii="Times New Roman" w:hAnsi="Times New Roman"/>
          <w:color w:val="000000" w:themeColor="text1"/>
          <w:kern w:val="0"/>
          <w:sz w:val="24"/>
          <w:szCs w:val="28"/>
          <w14:textFill>
            <w14:solidFill>
              <w14:schemeClr w14:val="tx1"/>
            </w14:solidFill>
          </w14:textFill>
        </w:rPr>
        <w:fldChar w:fldCharType="separate"/>
      </w:r>
      <w:r>
        <w:rPr>
          <w:rFonts w:ascii="Times New Roman" w:hAnsi="Times New Roman"/>
          <w:color w:val="000000" w:themeColor="text1"/>
          <w:kern w:val="0"/>
          <w:sz w:val="24"/>
          <w:szCs w:val="28"/>
          <w14:textFill>
            <w14:solidFill>
              <w14:schemeClr w14:val="tx1"/>
            </w14:solidFill>
          </w14:textFill>
        </w:rPr>
        <w:fldChar w:fldCharType="end"/>
      </w:r>
      <w:bookmarkEnd w:id="17"/>
    </w:p>
    <w:p w14:paraId="6D2AE78A">
      <w:pPr>
        <w:framePr w:w="9639" w:h="6974" w:hRule="exact" w:wrap="around" w:vAnchor="page" w:hAnchor="page" w:x="1419" w:y="6408" w:anchorLock="1"/>
        <w:adjustRightInd/>
        <w:spacing w:before="120" w:after="120" w:line="240" w:lineRule="atLeast"/>
        <w:jc w:val="center"/>
        <w:textAlignment w:val="bottom"/>
        <w:rPr>
          <w:rFonts w:ascii="Times New Roman" w:hAnsi="Times New Roman"/>
          <w:color w:val="000000" w:themeColor="text1"/>
          <w:kern w:val="0"/>
          <w:szCs w:val="28"/>
          <w14:textFill>
            <w14:solidFill>
              <w14:schemeClr w14:val="tx1"/>
            </w14:solidFill>
          </w14:textFill>
        </w:rPr>
      </w:pPr>
      <w:r>
        <w:rPr>
          <w:rFonts w:ascii="Times New Roman" w:hAnsi="Times New Roman"/>
          <w:color w:val="000000" w:themeColor="text1"/>
          <w:kern w:val="0"/>
          <w:szCs w:val="28"/>
          <w14:textFill>
            <w14:solidFill>
              <w14:schemeClr w14:val="tx1"/>
            </w14:solidFill>
          </w14:textFill>
        </w:rPr>
        <w:fldChar w:fldCharType="begin">
          <w:ffData>
            <w:name w:val="CMPLSH_DATE"/>
            <w:enabled/>
            <w:calcOnExit w:val="0"/>
            <w:textInput/>
          </w:ffData>
        </w:fldChar>
      </w:r>
      <w:bookmarkStart w:id="18" w:name="CMPLSH_DATE"/>
      <w:r>
        <w:rPr>
          <w:rFonts w:ascii="Times New Roman" w:hAnsi="Times New Roman"/>
          <w:color w:val="000000" w:themeColor="text1"/>
          <w:kern w:val="0"/>
          <w:szCs w:val="28"/>
          <w14:textFill>
            <w14:solidFill>
              <w14:schemeClr w14:val="tx1"/>
            </w14:solidFill>
          </w14:textFill>
        </w:rPr>
        <w:instrText xml:space="preserve"> FORMTEXT </w:instrText>
      </w:r>
      <w:r>
        <w:rPr>
          <w:rFonts w:ascii="Times New Roman" w:hAnsi="Times New Roman"/>
          <w:color w:val="000000" w:themeColor="text1"/>
          <w:kern w:val="0"/>
          <w:szCs w:val="28"/>
          <w14:textFill>
            <w14:solidFill>
              <w14:schemeClr w14:val="tx1"/>
            </w14:solidFill>
          </w14:textFill>
        </w:rPr>
        <w:fldChar w:fldCharType="separate"/>
      </w:r>
      <w:r>
        <w:rPr>
          <w:rFonts w:ascii="Times New Roman" w:hAnsi="Times New Roman"/>
          <w:color w:val="000000" w:themeColor="text1"/>
          <w:kern w:val="0"/>
          <w:szCs w:val="28"/>
          <w14:textFill>
            <w14:solidFill>
              <w14:schemeClr w14:val="tx1"/>
            </w14:solidFill>
          </w14:textFill>
        </w:rPr>
        <w:t>     </w:t>
      </w:r>
      <w:r>
        <w:rPr>
          <w:rFonts w:ascii="Times New Roman" w:hAnsi="Times New Roman"/>
          <w:color w:val="000000" w:themeColor="text1"/>
          <w:kern w:val="0"/>
          <w:szCs w:val="28"/>
          <w14:textFill>
            <w14:solidFill>
              <w14:schemeClr w14:val="tx1"/>
            </w14:solidFill>
          </w14:textFill>
        </w:rPr>
        <w:fldChar w:fldCharType="end"/>
      </w:r>
      <w:bookmarkEnd w:id="18"/>
    </w:p>
    <w:p w14:paraId="35440F3C">
      <w:pPr>
        <w:framePr w:w="9639" w:h="6974" w:hRule="exact" w:wrap="around" w:vAnchor="page" w:hAnchor="page" w:x="1419" w:y="6408" w:anchorLock="1"/>
        <w:adjustRightInd/>
        <w:spacing w:before="720" w:beforeLines="300" w:after="72" w:afterLines="30" w:line="240" w:lineRule="auto"/>
        <w:jc w:val="center"/>
        <w:textAlignment w:val="bottom"/>
        <w:rPr>
          <w:rFonts w:ascii="Times New Roman" w:hAnsi="Times New Roman"/>
          <w:color w:val="000000" w:themeColor="text1"/>
          <w:kern w:val="0"/>
          <w:szCs w:val="28"/>
          <w14:textFill>
            <w14:solidFill>
              <w14:schemeClr w14:val="tx1"/>
            </w14:solidFill>
          </w14:textFill>
        </w:rPr>
      </w:pPr>
      <w:r>
        <w:rPr>
          <w:rFonts w:ascii="Times New Roman" w:hAnsi="Times New Roman"/>
          <w:b/>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9" w:name="下拉2"/>
      <w:r>
        <w:rPr>
          <w:rFonts w:ascii="Times New Roman" w:hAnsi="Times New Roman"/>
          <w:b/>
          <w:szCs w:val="28"/>
        </w:rPr>
        <w:instrText xml:space="preserve"> FORMDROPDOWN </w:instrText>
      </w:r>
      <w:r>
        <w:rPr>
          <w:rFonts w:ascii="Times New Roman" w:hAnsi="Times New Roman"/>
          <w:b/>
          <w:szCs w:val="28"/>
        </w:rPr>
        <w:fldChar w:fldCharType="separate"/>
      </w:r>
      <w:r>
        <w:rPr>
          <w:rFonts w:ascii="Times New Roman" w:hAnsi="Times New Roman"/>
          <w:sz w:val="28"/>
          <w:szCs w:val="20"/>
        </w:rPr>
        <w:fldChar w:fldCharType="end"/>
      </w:r>
      <w:bookmarkEnd w:id="19"/>
    </w:p>
    <w:p w14:paraId="4520016A">
      <w:pPr>
        <w:rPr>
          <w:rFonts w:ascii="宋体" w:hAnsi="宋体"/>
          <w:color w:val="000000" w:themeColor="text1"/>
          <w:sz w:val="28"/>
          <w:szCs w:val="28"/>
          <w14:textFill>
            <w14:solidFill>
              <w14:schemeClr w14:val="tx1"/>
            </w14:solidFill>
          </w14:textFill>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color w:val="000000" w:themeColor="text1"/>
          <w:sz w:val="28"/>
          <w:szCs w:val="28"/>
          <w14:textFill>
            <w14:solidFill>
              <w14:schemeClr w14:val="tx1"/>
            </w14:solidFill>
          </w14:textFill>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1883A1B">
      <w:pPr>
        <w:pStyle w:val="94"/>
        <w:spacing w:after="360"/>
      </w:pPr>
      <w:bookmarkStart w:id="20" w:name="BookMark1"/>
      <w:bookmarkStart w:id="21" w:name="_Toc178275123"/>
      <w:bookmarkStart w:id="22" w:name="_Toc187075873"/>
      <w:bookmarkStart w:id="23" w:name="_Toc178275172"/>
      <w:bookmarkStart w:id="24" w:name="_Toc229412607"/>
      <w:bookmarkStart w:id="25" w:name="_Toc178150732"/>
      <w:bookmarkStart w:id="26" w:name="_Toc230623183"/>
      <w:r>
        <w:rPr>
          <w:rFonts w:hint="eastAsia"/>
          <w:spacing w:val="320"/>
        </w:rPr>
        <w:t>目</w:t>
      </w:r>
      <w:r>
        <w:rPr>
          <w:rFonts w:hint="eastAsia"/>
        </w:rPr>
        <w:t>次</w:t>
      </w:r>
    </w:p>
    <w:p w14:paraId="55637DDE">
      <w:pPr>
        <w:pStyle w:val="20"/>
        <w:tabs>
          <w:tab w:val="right" w:leader="dot" w:pos="9344"/>
        </w:tabs>
        <w:rPr>
          <w:rFonts w:asciiTheme="minorHAnsi" w:hAnsiTheme="minorHAnsi" w:eastAsiaTheme="minorEastAsia" w:cstheme="minorBidi"/>
          <w:szCs w:val="22"/>
        </w:rPr>
      </w:pPr>
      <w:r>
        <w:fldChar w:fldCharType="begin"/>
      </w:r>
      <w:r>
        <w:instrText xml:space="preserve"> TOC \o "1-1" \h </w:instrText>
      </w:r>
      <w:r>
        <w:fldChar w:fldCharType="separate"/>
      </w:r>
      <w:r>
        <w:fldChar w:fldCharType="begin"/>
      </w:r>
      <w:r>
        <w:instrText xml:space="preserve"> HYPERLINK \l "_Toc230938223" </w:instrText>
      </w:r>
      <w:r>
        <w:fldChar w:fldCharType="separate"/>
      </w:r>
      <w:r>
        <w:rPr>
          <w:rStyle w:val="34"/>
          <w:rFonts w:hint="eastAsia"/>
        </w:rPr>
        <w:t>前言</w:t>
      </w:r>
      <w:r>
        <w:tab/>
      </w:r>
      <w:r>
        <w:fldChar w:fldCharType="begin"/>
      </w:r>
      <w:r>
        <w:instrText xml:space="preserve"> PAGEREF _Toc230938223 \h </w:instrText>
      </w:r>
      <w:r>
        <w:fldChar w:fldCharType="separate"/>
      </w:r>
      <w:r>
        <w:t>II</w:t>
      </w:r>
      <w:r>
        <w:fldChar w:fldCharType="end"/>
      </w:r>
      <w:r>
        <w:fldChar w:fldCharType="end"/>
      </w:r>
    </w:p>
    <w:p w14:paraId="54C6B1B6">
      <w:pPr>
        <w:pStyle w:val="20"/>
        <w:tabs>
          <w:tab w:val="right" w:leader="dot" w:pos="9344"/>
        </w:tabs>
        <w:rPr>
          <w:rFonts w:asciiTheme="minorHAnsi" w:hAnsiTheme="minorHAnsi" w:eastAsiaTheme="minorEastAsia" w:cstheme="minorBidi"/>
          <w:szCs w:val="22"/>
        </w:rPr>
      </w:pPr>
      <w:r>
        <w:fldChar w:fldCharType="begin"/>
      </w:r>
      <w:r>
        <w:instrText xml:space="preserve"> HYPERLINK \l "_Toc230938224" </w:instrText>
      </w:r>
      <w:r>
        <w:fldChar w:fldCharType="separate"/>
      </w:r>
      <w:r>
        <w:rPr>
          <w:rStyle w:val="34"/>
        </w:rPr>
        <w:t xml:space="preserve">1 </w:t>
      </w:r>
      <w:r>
        <w:rPr>
          <w:rStyle w:val="34"/>
          <w:rFonts w:hint="eastAsia"/>
        </w:rPr>
        <w:t xml:space="preserve"> 范围</w:t>
      </w:r>
      <w:r>
        <w:tab/>
      </w:r>
      <w:r>
        <w:fldChar w:fldCharType="begin"/>
      </w:r>
      <w:r>
        <w:instrText xml:space="preserve"> PAGEREF _Toc230938224 \h </w:instrText>
      </w:r>
      <w:r>
        <w:fldChar w:fldCharType="separate"/>
      </w:r>
      <w:r>
        <w:t>1</w:t>
      </w:r>
      <w:r>
        <w:fldChar w:fldCharType="end"/>
      </w:r>
      <w:r>
        <w:fldChar w:fldCharType="end"/>
      </w:r>
    </w:p>
    <w:p w14:paraId="008F68C4">
      <w:pPr>
        <w:pStyle w:val="20"/>
        <w:tabs>
          <w:tab w:val="right" w:leader="dot" w:pos="9344"/>
        </w:tabs>
        <w:rPr>
          <w:rFonts w:asciiTheme="minorHAnsi" w:hAnsiTheme="minorHAnsi" w:eastAsiaTheme="minorEastAsia" w:cstheme="minorBidi"/>
          <w:szCs w:val="22"/>
        </w:rPr>
      </w:pPr>
      <w:r>
        <w:fldChar w:fldCharType="begin"/>
      </w:r>
      <w:r>
        <w:instrText xml:space="preserve"> HYPERLINK \l "_Toc230938225" </w:instrText>
      </w:r>
      <w:r>
        <w:fldChar w:fldCharType="separate"/>
      </w:r>
      <w:r>
        <w:rPr>
          <w:rStyle w:val="34"/>
        </w:rPr>
        <w:t xml:space="preserve">2 </w:t>
      </w:r>
      <w:r>
        <w:rPr>
          <w:rStyle w:val="34"/>
          <w:rFonts w:hint="eastAsia"/>
        </w:rPr>
        <w:t xml:space="preserve"> 规范性引用文件</w:t>
      </w:r>
      <w:r>
        <w:tab/>
      </w:r>
      <w:r>
        <w:fldChar w:fldCharType="begin"/>
      </w:r>
      <w:r>
        <w:instrText xml:space="preserve"> PAGEREF _Toc230938225 \h </w:instrText>
      </w:r>
      <w:r>
        <w:fldChar w:fldCharType="separate"/>
      </w:r>
      <w:r>
        <w:t>1</w:t>
      </w:r>
      <w:r>
        <w:fldChar w:fldCharType="end"/>
      </w:r>
      <w:r>
        <w:fldChar w:fldCharType="end"/>
      </w:r>
    </w:p>
    <w:p w14:paraId="600E4AD6">
      <w:pPr>
        <w:pStyle w:val="20"/>
        <w:tabs>
          <w:tab w:val="right" w:leader="dot" w:pos="9344"/>
        </w:tabs>
        <w:rPr>
          <w:rFonts w:asciiTheme="minorHAnsi" w:hAnsiTheme="minorHAnsi" w:eastAsiaTheme="minorEastAsia" w:cstheme="minorBidi"/>
          <w:szCs w:val="22"/>
        </w:rPr>
      </w:pPr>
      <w:r>
        <w:fldChar w:fldCharType="begin"/>
      </w:r>
      <w:r>
        <w:instrText xml:space="preserve"> HYPERLINK \l "_Toc230938226" </w:instrText>
      </w:r>
      <w:r>
        <w:fldChar w:fldCharType="separate"/>
      </w:r>
      <w:r>
        <w:rPr>
          <w:rStyle w:val="34"/>
        </w:rPr>
        <w:t xml:space="preserve">3 </w:t>
      </w:r>
      <w:r>
        <w:rPr>
          <w:rStyle w:val="34"/>
          <w:rFonts w:hint="eastAsia"/>
        </w:rPr>
        <w:t xml:space="preserve"> 术语和定义</w:t>
      </w:r>
      <w:r>
        <w:tab/>
      </w:r>
      <w:r>
        <w:fldChar w:fldCharType="begin"/>
      </w:r>
      <w:r>
        <w:instrText xml:space="preserve"> PAGEREF _Toc230938226 \h </w:instrText>
      </w:r>
      <w:r>
        <w:fldChar w:fldCharType="separate"/>
      </w:r>
      <w:r>
        <w:t>1</w:t>
      </w:r>
      <w:r>
        <w:fldChar w:fldCharType="end"/>
      </w:r>
      <w:r>
        <w:fldChar w:fldCharType="end"/>
      </w:r>
    </w:p>
    <w:p w14:paraId="2466E063">
      <w:pPr>
        <w:pStyle w:val="20"/>
        <w:tabs>
          <w:tab w:val="right" w:leader="dot" w:pos="9344"/>
        </w:tabs>
        <w:rPr>
          <w:rFonts w:asciiTheme="minorHAnsi" w:hAnsiTheme="minorHAnsi" w:eastAsiaTheme="minorEastAsia" w:cstheme="minorBidi"/>
          <w:szCs w:val="22"/>
        </w:rPr>
      </w:pPr>
      <w:r>
        <w:fldChar w:fldCharType="begin"/>
      </w:r>
      <w:r>
        <w:instrText xml:space="preserve"> HYPERLINK \l "_Toc230938227" </w:instrText>
      </w:r>
      <w:r>
        <w:fldChar w:fldCharType="separate"/>
      </w:r>
      <w:r>
        <w:rPr>
          <w:rStyle w:val="34"/>
        </w:rPr>
        <w:t xml:space="preserve">4 </w:t>
      </w:r>
      <w:r>
        <w:rPr>
          <w:rStyle w:val="34"/>
          <w:rFonts w:hint="eastAsia"/>
        </w:rPr>
        <w:t xml:space="preserve"> 禁忌</w:t>
      </w:r>
      <w:r>
        <w:tab/>
      </w:r>
      <w:r>
        <w:fldChar w:fldCharType="begin"/>
      </w:r>
      <w:r>
        <w:instrText xml:space="preserve"> PAGEREF _Toc230938227 \h </w:instrText>
      </w:r>
      <w:r>
        <w:fldChar w:fldCharType="separate"/>
      </w:r>
      <w:r>
        <w:t>1</w:t>
      </w:r>
      <w:r>
        <w:fldChar w:fldCharType="end"/>
      </w:r>
      <w:r>
        <w:fldChar w:fldCharType="end"/>
      </w:r>
    </w:p>
    <w:p w14:paraId="20D3B81C">
      <w:pPr>
        <w:pStyle w:val="20"/>
        <w:tabs>
          <w:tab w:val="right" w:leader="dot" w:pos="9344"/>
        </w:tabs>
        <w:rPr>
          <w:rFonts w:asciiTheme="minorHAnsi" w:hAnsiTheme="minorHAnsi" w:eastAsiaTheme="minorEastAsia" w:cstheme="minorBidi"/>
          <w:szCs w:val="22"/>
        </w:rPr>
      </w:pPr>
      <w:r>
        <w:fldChar w:fldCharType="begin"/>
      </w:r>
      <w:r>
        <w:instrText xml:space="preserve"> HYPERLINK \l "_Toc230938228" </w:instrText>
      </w:r>
      <w:r>
        <w:fldChar w:fldCharType="separate"/>
      </w:r>
      <w:r>
        <w:rPr>
          <w:rStyle w:val="34"/>
        </w:rPr>
        <w:t xml:space="preserve">5 </w:t>
      </w:r>
      <w:r>
        <w:rPr>
          <w:rStyle w:val="34"/>
          <w:rFonts w:hint="eastAsia"/>
        </w:rPr>
        <w:t xml:space="preserve"> 评估</w:t>
      </w:r>
      <w:r>
        <w:tab/>
      </w:r>
      <w:r>
        <w:fldChar w:fldCharType="begin"/>
      </w:r>
      <w:r>
        <w:instrText xml:space="preserve"> PAGEREF _Toc230938228 \h </w:instrText>
      </w:r>
      <w:r>
        <w:fldChar w:fldCharType="separate"/>
      </w:r>
      <w:r>
        <w:t>1</w:t>
      </w:r>
      <w:r>
        <w:fldChar w:fldCharType="end"/>
      </w:r>
      <w:r>
        <w:fldChar w:fldCharType="end"/>
      </w:r>
    </w:p>
    <w:p w14:paraId="2D414F2F">
      <w:pPr>
        <w:pStyle w:val="20"/>
        <w:tabs>
          <w:tab w:val="right" w:leader="dot" w:pos="9344"/>
        </w:tabs>
        <w:rPr>
          <w:rFonts w:asciiTheme="minorHAnsi" w:hAnsiTheme="minorHAnsi" w:eastAsiaTheme="minorEastAsia" w:cstheme="minorBidi"/>
          <w:szCs w:val="22"/>
        </w:rPr>
      </w:pPr>
      <w:r>
        <w:fldChar w:fldCharType="begin"/>
      </w:r>
      <w:r>
        <w:instrText xml:space="preserve"> HYPERLINK \l "_Toc230938229" </w:instrText>
      </w:r>
      <w:r>
        <w:fldChar w:fldCharType="separate"/>
      </w:r>
      <w:r>
        <w:rPr>
          <w:rStyle w:val="34"/>
        </w:rPr>
        <w:t xml:space="preserve">6 </w:t>
      </w:r>
      <w:r>
        <w:rPr>
          <w:rStyle w:val="34"/>
          <w:rFonts w:hint="eastAsia"/>
        </w:rPr>
        <w:t xml:space="preserve"> 施术前准备</w:t>
      </w:r>
      <w:r>
        <w:tab/>
      </w:r>
      <w:r>
        <w:fldChar w:fldCharType="begin"/>
      </w:r>
      <w:r>
        <w:instrText xml:space="preserve"> PAGEREF _Toc230938229 \h </w:instrText>
      </w:r>
      <w:r>
        <w:fldChar w:fldCharType="separate"/>
      </w:r>
      <w:r>
        <w:t>2</w:t>
      </w:r>
      <w:r>
        <w:fldChar w:fldCharType="end"/>
      </w:r>
      <w:r>
        <w:fldChar w:fldCharType="end"/>
      </w:r>
    </w:p>
    <w:p w14:paraId="1BE1C235">
      <w:pPr>
        <w:pStyle w:val="20"/>
        <w:tabs>
          <w:tab w:val="right" w:leader="dot" w:pos="9344"/>
        </w:tabs>
        <w:rPr>
          <w:rFonts w:asciiTheme="minorHAnsi" w:hAnsiTheme="minorHAnsi" w:eastAsiaTheme="minorEastAsia" w:cstheme="minorBidi"/>
          <w:szCs w:val="22"/>
        </w:rPr>
      </w:pPr>
      <w:r>
        <w:fldChar w:fldCharType="begin"/>
      </w:r>
      <w:r>
        <w:instrText xml:space="preserve"> HYPERLINK \l "_Toc230938230" </w:instrText>
      </w:r>
      <w:r>
        <w:fldChar w:fldCharType="separate"/>
      </w:r>
      <w:r>
        <w:rPr>
          <w:rStyle w:val="34"/>
        </w:rPr>
        <w:t xml:space="preserve">7 </w:t>
      </w:r>
      <w:r>
        <w:rPr>
          <w:rStyle w:val="34"/>
          <w:rFonts w:hint="eastAsia"/>
        </w:rPr>
        <w:t xml:space="preserve"> 施术方法</w:t>
      </w:r>
      <w:r>
        <w:tab/>
      </w:r>
      <w:r>
        <w:fldChar w:fldCharType="begin"/>
      </w:r>
      <w:r>
        <w:instrText xml:space="preserve"> PAGEREF _Toc230938230 \h </w:instrText>
      </w:r>
      <w:r>
        <w:fldChar w:fldCharType="separate"/>
      </w:r>
      <w:r>
        <w:t>2</w:t>
      </w:r>
      <w:r>
        <w:fldChar w:fldCharType="end"/>
      </w:r>
      <w:r>
        <w:fldChar w:fldCharType="end"/>
      </w:r>
    </w:p>
    <w:p w14:paraId="108C17B5">
      <w:pPr>
        <w:pStyle w:val="20"/>
        <w:tabs>
          <w:tab w:val="right" w:leader="dot" w:pos="9344"/>
        </w:tabs>
        <w:rPr>
          <w:rFonts w:asciiTheme="minorHAnsi" w:hAnsiTheme="minorHAnsi" w:eastAsiaTheme="minorEastAsia" w:cstheme="minorBidi"/>
          <w:szCs w:val="22"/>
        </w:rPr>
      </w:pPr>
      <w:r>
        <w:fldChar w:fldCharType="begin"/>
      </w:r>
      <w:r>
        <w:instrText xml:space="preserve"> HYPERLINK \l "_Toc230938231" </w:instrText>
      </w:r>
      <w:r>
        <w:fldChar w:fldCharType="separate"/>
      </w:r>
      <w:r>
        <w:rPr>
          <w:rStyle w:val="34"/>
        </w:rPr>
        <w:t xml:space="preserve">8 </w:t>
      </w:r>
      <w:r>
        <w:rPr>
          <w:rStyle w:val="34"/>
          <w:rFonts w:hint="eastAsia"/>
        </w:rPr>
        <w:t xml:space="preserve"> 疗程</w:t>
      </w:r>
      <w:r>
        <w:tab/>
      </w:r>
      <w:r>
        <w:fldChar w:fldCharType="begin"/>
      </w:r>
      <w:r>
        <w:instrText xml:space="preserve"> PAGEREF _Toc230938231 \h </w:instrText>
      </w:r>
      <w:r>
        <w:fldChar w:fldCharType="separate"/>
      </w:r>
      <w:r>
        <w:t>3</w:t>
      </w:r>
      <w:r>
        <w:fldChar w:fldCharType="end"/>
      </w:r>
      <w:r>
        <w:fldChar w:fldCharType="end"/>
      </w:r>
    </w:p>
    <w:p w14:paraId="55287990">
      <w:pPr>
        <w:pStyle w:val="20"/>
        <w:tabs>
          <w:tab w:val="right" w:leader="dot" w:pos="9344"/>
        </w:tabs>
        <w:rPr>
          <w:rFonts w:asciiTheme="minorHAnsi" w:hAnsiTheme="minorHAnsi" w:eastAsiaTheme="minorEastAsia" w:cstheme="minorBidi"/>
          <w:szCs w:val="22"/>
        </w:rPr>
      </w:pPr>
      <w:r>
        <w:fldChar w:fldCharType="begin"/>
      </w:r>
      <w:r>
        <w:instrText xml:space="preserve"> HYPERLINK \l "_Toc230938232" </w:instrText>
      </w:r>
      <w:r>
        <w:fldChar w:fldCharType="separate"/>
      </w:r>
      <w:r>
        <w:rPr>
          <w:rStyle w:val="34"/>
        </w:rPr>
        <w:t xml:space="preserve">9 </w:t>
      </w:r>
      <w:r>
        <w:rPr>
          <w:rStyle w:val="34"/>
          <w:rFonts w:hint="eastAsia"/>
        </w:rPr>
        <w:t xml:space="preserve"> 不良反应处理</w:t>
      </w:r>
      <w:r>
        <w:tab/>
      </w:r>
      <w:r>
        <w:fldChar w:fldCharType="begin"/>
      </w:r>
      <w:r>
        <w:instrText xml:space="preserve"> PAGEREF _Toc230938232 \h </w:instrText>
      </w:r>
      <w:r>
        <w:fldChar w:fldCharType="separate"/>
      </w:r>
      <w:r>
        <w:t>3</w:t>
      </w:r>
      <w:r>
        <w:fldChar w:fldCharType="end"/>
      </w:r>
      <w:r>
        <w:fldChar w:fldCharType="end"/>
      </w:r>
    </w:p>
    <w:p w14:paraId="4AD9E0B8">
      <w:pPr>
        <w:pStyle w:val="20"/>
        <w:tabs>
          <w:tab w:val="right" w:leader="dot" w:pos="9344"/>
        </w:tabs>
        <w:rPr>
          <w:rFonts w:asciiTheme="minorHAnsi" w:hAnsiTheme="minorHAnsi" w:eastAsiaTheme="minorEastAsia" w:cstheme="minorBidi"/>
          <w:szCs w:val="22"/>
        </w:rPr>
      </w:pPr>
      <w:r>
        <w:fldChar w:fldCharType="begin"/>
      </w:r>
      <w:r>
        <w:instrText xml:space="preserve"> HYPERLINK \l "_Toc230938233" </w:instrText>
      </w:r>
      <w:r>
        <w:fldChar w:fldCharType="separate"/>
      </w:r>
      <w:r>
        <w:rPr>
          <w:rStyle w:val="34"/>
          <w:rFonts w:hint="eastAsia"/>
        </w:rPr>
        <w:t>附录A（资料性）</w:t>
      </w:r>
      <w:r>
        <w:rPr>
          <w:rStyle w:val="34"/>
        </w:rPr>
        <w:t xml:space="preserve">  </w:t>
      </w:r>
      <w:r>
        <w:rPr>
          <w:rStyle w:val="34"/>
          <w:rFonts w:hint="eastAsia"/>
        </w:rPr>
        <w:t>中药通腑贴制作方法</w:t>
      </w:r>
      <w:r>
        <w:tab/>
      </w:r>
      <w:r>
        <w:fldChar w:fldCharType="begin"/>
      </w:r>
      <w:r>
        <w:instrText xml:space="preserve"> PAGEREF _Toc230938233 \h </w:instrText>
      </w:r>
      <w:r>
        <w:fldChar w:fldCharType="separate"/>
      </w:r>
      <w:r>
        <w:t>1</w:t>
      </w:r>
      <w:r>
        <w:fldChar w:fldCharType="end"/>
      </w:r>
      <w:r>
        <w:fldChar w:fldCharType="end"/>
      </w:r>
    </w:p>
    <w:p w14:paraId="3FE7AA10">
      <w:pPr>
        <w:pStyle w:val="20"/>
        <w:tabs>
          <w:tab w:val="right" w:leader="dot" w:pos="9344"/>
        </w:tabs>
        <w:rPr>
          <w:rFonts w:asciiTheme="minorHAnsi" w:hAnsiTheme="minorHAnsi" w:eastAsiaTheme="minorEastAsia" w:cstheme="minorBidi"/>
          <w:szCs w:val="22"/>
        </w:rPr>
      </w:pPr>
      <w:r>
        <w:fldChar w:fldCharType="begin"/>
      </w:r>
      <w:r>
        <w:instrText xml:space="preserve"> HYPERLINK \l "_Toc230938234" </w:instrText>
      </w:r>
      <w:r>
        <w:fldChar w:fldCharType="separate"/>
      </w:r>
      <w:r>
        <w:rPr>
          <w:rStyle w:val="34"/>
          <w:rFonts w:hint="eastAsia"/>
        </w:rPr>
        <w:t>参考文献</w:t>
      </w:r>
      <w:r>
        <w:tab/>
      </w:r>
      <w:r>
        <w:fldChar w:fldCharType="begin"/>
      </w:r>
      <w:r>
        <w:instrText xml:space="preserve"> PAGEREF _Toc230938234 \h </w:instrText>
      </w:r>
      <w:r>
        <w:fldChar w:fldCharType="separate"/>
      </w:r>
      <w:r>
        <w:t>2</w:t>
      </w:r>
      <w:r>
        <w:fldChar w:fldCharType="end"/>
      </w:r>
      <w:r>
        <w:fldChar w:fldCharType="end"/>
      </w:r>
    </w:p>
    <w:p w14:paraId="79C95A51">
      <w:pPr>
        <w:pStyle w:val="94"/>
        <w:spacing w:after="36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20"/>
    <w:p w14:paraId="17FB46B6">
      <w:pPr>
        <w:pStyle w:val="92"/>
        <w:spacing w:before="900" w:after="360"/>
        <w:rPr>
          <w:color w:val="000000" w:themeColor="text1"/>
          <w14:textFill>
            <w14:solidFill>
              <w14:schemeClr w14:val="tx1"/>
            </w14:solidFill>
          </w14:textFill>
        </w:rPr>
      </w:pPr>
      <w:bookmarkStart w:id="27" w:name="_Toc230938223"/>
      <w:bookmarkStart w:id="28" w:name="BookMark2"/>
      <w:r>
        <w:rPr>
          <w:color w:val="000000" w:themeColor="text1"/>
          <w:spacing w:val="320"/>
          <w14:textFill>
            <w14:solidFill>
              <w14:schemeClr w14:val="tx1"/>
            </w14:solidFill>
          </w14:textFill>
        </w:rPr>
        <w:t>前</w:t>
      </w:r>
      <w:r>
        <w:rPr>
          <w:color w:val="000000" w:themeColor="text1"/>
          <w14:textFill>
            <w14:solidFill>
              <w14:schemeClr w14:val="tx1"/>
            </w14:solidFill>
          </w14:textFill>
        </w:rPr>
        <w:t>言</w:t>
      </w:r>
      <w:bookmarkEnd w:id="21"/>
      <w:bookmarkEnd w:id="22"/>
      <w:bookmarkEnd w:id="23"/>
      <w:bookmarkEnd w:id="24"/>
      <w:bookmarkEnd w:id="25"/>
      <w:bookmarkEnd w:id="26"/>
      <w:bookmarkEnd w:id="27"/>
    </w:p>
    <w:p w14:paraId="7126F196">
      <w:pPr>
        <w:pStyle w:val="59"/>
      </w:pPr>
      <w:r>
        <w:rPr>
          <w:rFonts w:hint="eastAsia"/>
        </w:rPr>
        <w:t>本文件参照GB/T 1.1—2020《标准化工作导则  第1部分：标准化文件的结构和起草规则》的规定起草。</w:t>
      </w:r>
    </w:p>
    <w:p w14:paraId="161A376F">
      <w:pPr>
        <w:pStyle w:val="59"/>
      </w:pPr>
      <w:r>
        <w:rPr>
          <w:rFonts w:hint="eastAsia"/>
        </w:rPr>
        <w:t>请注意本文件的某些内容可能涉及专利。本文件的发布机构不承担识别专利的责任。</w:t>
      </w:r>
    </w:p>
    <w:p w14:paraId="45EC1E32">
      <w:pPr>
        <w:pStyle w:val="59"/>
      </w:pPr>
      <w:r>
        <w:rPr>
          <w:rFonts w:hint="eastAsia"/>
        </w:rPr>
        <w:t>本文件由玉林市中医医院提出和宣贯。</w:t>
      </w:r>
    </w:p>
    <w:p w14:paraId="3C66A56E">
      <w:pPr>
        <w:pStyle w:val="59"/>
      </w:pPr>
      <w:r>
        <w:rPr>
          <w:rFonts w:hint="eastAsia"/>
        </w:rPr>
        <w:t>本文件由广西标准化协会归口。</w:t>
      </w:r>
    </w:p>
    <w:p w14:paraId="56710C26">
      <w:pPr>
        <w:pStyle w:val="59"/>
      </w:pPr>
      <w:r>
        <w:rPr>
          <w:rFonts w:hint="eastAsia"/>
        </w:rPr>
        <w:t>本文件起草单位：</w:t>
      </w:r>
      <w:bookmarkStart w:id="29" w:name="OLE_LINK5"/>
      <w:bookmarkStart w:id="30" w:name="OLE_LINK4"/>
      <w:r>
        <w:t>玉林市中医医院</w:t>
      </w:r>
      <w:bookmarkEnd w:id="29"/>
      <w:bookmarkEnd w:id="30"/>
      <w:r>
        <w:t>、广东省中医院、广西中医药大学第一附属医院、玉林市中西医结合骨科医院、玉林市第一人民医院、玉林市第二人民医院、容县中西医结合骨科医院、容县中医医院</w:t>
      </w:r>
      <w:r>
        <w:rPr>
          <w:rFonts w:hint="eastAsia"/>
        </w:rPr>
        <w:t>。</w:t>
      </w:r>
    </w:p>
    <w:p w14:paraId="360230BC">
      <w:pPr>
        <w:pStyle w:val="59"/>
      </w:pPr>
      <w:r>
        <w:rPr>
          <w:rFonts w:hint="eastAsia"/>
        </w:rPr>
        <w:t>本文件主要起草人：庞春英、莫铘、李小英、甘楚、高纪秋、林小丽、王涛艳、彭献金、黄彩众、陈美、朱丽萍、黄云霞、陈静、黄春利、朱春玉、覃楚云、文基莲、庞晴、赖杏、林梅玲、李玉燕。</w:t>
      </w:r>
    </w:p>
    <w:p w14:paraId="5F25546A">
      <w:pPr>
        <w:pStyle w:val="59"/>
      </w:pPr>
    </w:p>
    <w:p w14:paraId="133C3153"/>
    <w:p w14:paraId="44A7C05A"/>
    <w:p w14:paraId="5E465B23"/>
    <w:p w14:paraId="29E63416"/>
    <w:p w14:paraId="544DE9C1">
      <w:pPr>
        <w:jc w:val="center"/>
      </w:pPr>
    </w:p>
    <w:p w14:paraId="36472B66"/>
    <w:p w14:paraId="12907648">
      <w:pPr>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cols w:space="425" w:num="1"/>
          <w:formProt w:val="0"/>
          <w:docGrid w:linePitch="312" w:charSpace="0"/>
        </w:sectPr>
      </w:pPr>
    </w:p>
    <w:bookmarkEnd w:id="28"/>
    <w:p w14:paraId="031A69A5">
      <w:pPr>
        <w:spacing w:line="20" w:lineRule="exact"/>
        <w:jc w:val="center"/>
        <w:rPr>
          <w:rFonts w:ascii="黑体" w:hAnsi="黑体" w:eastAsia="黑体"/>
          <w:color w:val="000000" w:themeColor="text1"/>
          <w:sz w:val="32"/>
          <w:szCs w:val="32"/>
          <w14:textFill>
            <w14:solidFill>
              <w14:schemeClr w14:val="tx1"/>
            </w14:solidFill>
          </w14:textFill>
        </w:rPr>
      </w:pPr>
      <w:bookmarkStart w:id="31" w:name="BookMark4"/>
    </w:p>
    <w:p w14:paraId="238869A9">
      <w:pPr>
        <w:spacing w:line="20" w:lineRule="exact"/>
        <w:jc w:val="center"/>
        <w:rPr>
          <w:rFonts w:ascii="黑体" w:hAnsi="黑体" w:eastAsia="黑体"/>
          <w:color w:val="000000" w:themeColor="text1"/>
          <w:sz w:val="32"/>
          <w:szCs w:val="32"/>
          <w14:textFill>
            <w14:solidFill>
              <w14:schemeClr w14:val="tx1"/>
            </w14:solidFill>
          </w14:textFill>
        </w:rPr>
      </w:pPr>
    </w:p>
    <w:sdt>
      <w:sdtPr>
        <w:tag w:val="NEW_STAND_NAME"/>
        <w:id w:val="595910757"/>
        <w:lock w:val="sdtLocked"/>
        <w:placeholder>
          <w:docPart w:val="1DE3474773164A09A34AB9550C9113E4"/>
        </w:placeholder>
      </w:sdtPr>
      <w:sdtContent>
        <w:p w14:paraId="28C9ECEA">
          <w:pPr>
            <w:pStyle w:val="180"/>
            <w:spacing w:before="240" w:beforeLines="100" w:after="528" w:afterLines="220"/>
          </w:pPr>
          <w:bookmarkStart w:id="32" w:name="NEW_STAND_NAME"/>
          <w:r>
            <w:rPr>
              <w:rFonts w:hint="eastAsia"/>
            </w:rPr>
            <w:t>中药通腑贴治疗充血性心力衰竭合并便秘患者技术操作规范</w:t>
          </w:r>
        </w:p>
      </w:sdtContent>
    </w:sdt>
    <w:bookmarkEnd w:id="32"/>
    <w:p w14:paraId="38BBB532">
      <w:pPr>
        <w:pStyle w:val="107"/>
        <w:rPr>
          <w:color w:val="000000" w:themeColor="text1"/>
          <w14:textFill>
            <w14:solidFill>
              <w14:schemeClr w14:val="tx1"/>
            </w14:solidFill>
          </w14:textFill>
        </w:rPr>
      </w:pPr>
      <w:bookmarkStart w:id="33" w:name="_Toc24884218"/>
      <w:bookmarkStart w:id="34" w:name="_Toc24884211"/>
      <w:bookmarkStart w:id="35" w:name="_Toc229412608"/>
      <w:bookmarkStart w:id="36" w:name="_Toc178150733"/>
      <w:bookmarkStart w:id="37" w:name="_Toc26648465"/>
      <w:bookmarkStart w:id="38" w:name="_Toc17233325"/>
      <w:bookmarkStart w:id="39" w:name="_Toc26986771"/>
      <w:bookmarkStart w:id="40" w:name="_Toc97192964"/>
      <w:bookmarkStart w:id="41" w:name="_Toc26986530"/>
      <w:bookmarkStart w:id="42" w:name="_Toc17233333"/>
      <w:bookmarkStart w:id="43" w:name="_Toc187075874"/>
      <w:bookmarkStart w:id="44" w:name="_Toc178275173"/>
      <w:bookmarkStart w:id="45" w:name="_Toc230623184"/>
      <w:bookmarkStart w:id="46" w:name="_Toc230938224"/>
      <w:bookmarkStart w:id="47" w:name="_Toc178275124"/>
      <w:bookmarkStart w:id="48" w:name="_Toc26718930"/>
      <w:r>
        <w:rPr>
          <w:rFonts w:hint="eastAsia"/>
          <w:color w:val="000000" w:themeColor="text1"/>
          <w14:textFill>
            <w14:solidFill>
              <w14:schemeClr w14:val="tx1"/>
            </w14:solidFill>
          </w14:textFill>
        </w:rPr>
        <w:t>范围</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89DB666">
      <w:pPr>
        <w:pStyle w:val="59"/>
      </w:pPr>
      <w:bookmarkStart w:id="49" w:name="_Toc24884219"/>
      <w:bookmarkStart w:id="50" w:name="_Toc17233326"/>
      <w:bookmarkStart w:id="51" w:name="_Toc24884212"/>
      <w:bookmarkStart w:id="52" w:name="_Toc17233334"/>
      <w:bookmarkStart w:id="53" w:name="_Toc26648466"/>
      <w:r>
        <w:rPr>
          <w:rFonts w:hint="eastAsia"/>
        </w:rPr>
        <w:t>本文件界定了</w:t>
      </w:r>
      <w:bookmarkStart w:id="54" w:name="OLE_LINK11"/>
      <w:bookmarkStart w:id="55" w:name="OLE_LINK12"/>
      <w:bookmarkStart w:id="56" w:name="OLE_LINK10"/>
      <w:bookmarkStart w:id="57" w:name="OLE_LINK9"/>
      <w:r>
        <w:rPr>
          <w:rFonts w:hint="eastAsia"/>
        </w:rPr>
        <w:t>中药通腑</w:t>
      </w:r>
      <w:bookmarkEnd w:id="54"/>
      <w:bookmarkEnd w:id="55"/>
      <w:r>
        <w:rPr>
          <w:rFonts w:hint="eastAsia"/>
        </w:rPr>
        <w:t>贴</w:t>
      </w:r>
      <w:bookmarkEnd w:id="56"/>
      <w:bookmarkEnd w:id="57"/>
      <w:r>
        <w:rPr>
          <w:rFonts w:hint="eastAsia"/>
        </w:rPr>
        <w:t>的术语和定义，规定了</w:t>
      </w:r>
      <w:bookmarkStart w:id="58" w:name="OLE_LINK6"/>
      <w:bookmarkStart w:id="59" w:name="OLE_LINK7"/>
      <w:r>
        <w:rPr>
          <w:rFonts w:hint="eastAsia"/>
        </w:rPr>
        <w:t>中药通腑贴</w:t>
      </w:r>
      <w:bookmarkEnd w:id="58"/>
      <w:bookmarkEnd w:id="59"/>
      <w:r>
        <w:rPr>
          <w:rFonts w:hint="eastAsia"/>
        </w:rPr>
        <w:t>治疗</w:t>
      </w:r>
      <w:bookmarkStart w:id="60" w:name="OLE_LINK8"/>
      <w:r>
        <w:rPr>
          <w:rFonts w:hint="eastAsia"/>
        </w:rPr>
        <w:t>充血性心力衰竭合并便秘</w:t>
      </w:r>
      <w:bookmarkEnd w:id="60"/>
      <w:r>
        <w:rPr>
          <w:rFonts w:hint="eastAsia"/>
        </w:rPr>
        <w:t>的禁忌</w:t>
      </w:r>
      <w:bookmarkStart w:id="142" w:name="_GoBack"/>
      <w:bookmarkEnd w:id="142"/>
      <w:r>
        <w:rPr>
          <w:rFonts w:hint="eastAsia"/>
        </w:rPr>
        <w:t>、评估</w:t>
      </w:r>
      <w:r>
        <w:t>、</w:t>
      </w:r>
      <w:r>
        <w:rPr>
          <w:rFonts w:hint="eastAsia"/>
        </w:rPr>
        <w:t>施术前准备、施术方法、疗程、不良反应处理的要求。</w:t>
      </w:r>
    </w:p>
    <w:p w14:paraId="49C96BC7">
      <w:pPr>
        <w:pStyle w:val="59"/>
      </w:pPr>
      <w:r>
        <w:rPr>
          <w:rFonts w:hint="eastAsia"/>
        </w:rPr>
        <w:t>本文件适用于各级医疗机构充血性心力衰竭合并便秘患者的中药通腑贴治疗技术操作。</w:t>
      </w:r>
    </w:p>
    <w:p w14:paraId="3F0F30D8">
      <w:pPr>
        <w:pStyle w:val="107"/>
      </w:pPr>
      <w:bookmarkStart w:id="61" w:name="_Toc187075875"/>
      <w:bookmarkStart w:id="62" w:name="_Toc26718931"/>
      <w:bookmarkStart w:id="63" w:name="_Toc229412609"/>
      <w:bookmarkStart w:id="64" w:name="_Toc178150734"/>
      <w:bookmarkStart w:id="65" w:name="_Toc178275174"/>
      <w:bookmarkStart w:id="66" w:name="_Toc97192965"/>
      <w:bookmarkStart w:id="67" w:name="_Toc178275125"/>
      <w:bookmarkStart w:id="68" w:name="_Toc26986772"/>
      <w:bookmarkStart w:id="69" w:name="_Toc230623185"/>
      <w:bookmarkStart w:id="70" w:name="_Toc230938225"/>
      <w:bookmarkStart w:id="71" w:name="_Toc26986531"/>
      <w:r>
        <w:rPr>
          <w:rFonts w:hint="eastAsia"/>
        </w:rPr>
        <w:t>规范性引用文件</w:t>
      </w:r>
      <w:bookmarkEnd w:id="49"/>
      <w:bookmarkEnd w:id="50"/>
      <w:bookmarkEnd w:id="51"/>
      <w:bookmarkEnd w:id="52"/>
      <w:bookmarkEnd w:id="53"/>
      <w:bookmarkEnd w:id="61"/>
      <w:bookmarkEnd w:id="62"/>
      <w:bookmarkEnd w:id="63"/>
      <w:bookmarkEnd w:id="64"/>
      <w:bookmarkEnd w:id="65"/>
      <w:bookmarkEnd w:id="66"/>
      <w:bookmarkEnd w:id="67"/>
      <w:bookmarkEnd w:id="68"/>
      <w:bookmarkEnd w:id="69"/>
      <w:bookmarkEnd w:id="70"/>
      <w:bookmarkEnd w:id="71"/>
    </w:p>
    <w:sdt>
      <w:sdtPr>
        <w:rPr>
          <w:rFonts w:hint="eastAsia"/>
        </w:rPr>
        <w:id w:val="715848253"/>
        <w:placeholder>
          <w:docPart w:val="83057005BE93424F9DD9F20D30CA763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41FA3BBC">
          <w:pPr>
            <w:pStyle w:val="59"/>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6030BB7">
      <w:pPr>
        <w:pStyle w:val="59"/>
      </w:pPr>
      <w:r>
        <w:rPr>
          <w:rFonts w:hint="eastAsia"/>
        </w:rPr>
        <w:t>GB</w:t>
      </w:r>
      <w:r>
        <w:t>/</w:t>
      </w:r>
      <w:r>
        <w:rPr>
          <w:rFonts w:hint="eastAsia"/>
        </w:rPr>
        <w:t>T 12346</w:t>
      </w:r>
      <w:r>
        <w:t xml:space="preserve">  </w:t>
      </w:r>
      <w:r>
        <w:rPr>
          <w:rFonts w:hint="eastAsia"/>
        </w:rPr>
        <w:t>经穴名称与定位</w:t>
      </w:r>
    </w:p>
    <w:p w14:paraId="7380BBF5">
      <w:pPr>
        <w:pStyle w:val="59"/>
      </w:pPr>
      <w:bookmarkStart w:id="72" w:name="OLE_LINK3"/>
      <w:bookmarkStart w:id="73" w:name="OLE_LINK17"/>
      <w:r>
        <w:rPr>
          <w:rFonts w:hint="eastAsia"/>
        </w:rPr>
        <w:t>GB</w:t>
      </w:r>
      <w:r>
        <w:t>/</w:t>
      </w:r>
      <w:r>
        <w:rPr>
          <w:rFonts w:hint="eastAsia"/>
        </w:rPr>
        <w:t>T 21709</w:t>
      </w:r>
      <w:r>
        <w:t>.</w:t>
      </w:r>
      <w:r>
        <w:rPr>
          <w:rFonts w:hint="eastAsia"/>
        </w:rPr>
        <w:t>9</w:t>
      </w:r>
      <w:bookmarkEnd w:id="72"/>
      <w:bookmarkEnd w:id="73"/>
      <w:r>
        <w:t xml:space="preserve">  </w:t>
      </w:r>
      <w:r>
        <w:rPr>
          <w:rFonts w:hint="eastAsia"/>
        </w:rPr>
        <w:t>针灸技术操作规范  第9部分：穴位贴敷</w:t>
      </w:r>
    </w:p>
    <w:p w14:paraId="3B0569DB">
      <w:pPr>
        <w:pStyle w:val="59"/>
      </w:pPr>
      <w:r>
        <w:t xml:space="preserve">GB/T 33414  </w:t>
      </w:r>
      <w:r>
        <w:rPr>
          <w:rFonts w:hint="eastAsia"/>
        </w:rPr>
        <w:t>穴位贴敷用药规范</w:t>
      </w:r>
    </w:p>
    <w:p w14:paraId="3E2F3B22">
      <w:pPr>
        <w:pStyle w:val="59"/>
      </w:pPr>
      <w:r>
        <w:rPr>
          <w:rFonts w:hint="eastAsia"/>
        </w:rPr>
        <w:t xml:space="preserve">WS/T 313 </w:t>
      </w:r>
      <w:r>
        <w:t xml:space="preserve"> </w:t>
      </w:r>
      <w:r>
        <w:rPr>
          <w:rFonts w:hint="eastAsia"/>
        </w:rPr>
        <w:t>医务人员手卫生规范</w:t>
      </w:r>
    </w:p>
    <w:p w14:paraId="22DC8F5D">
      <w:pPr>
        <w:pStyle w:val="107"/>
      </w:pPr>
      <w:bookmarkStart w:id="74" w:name="_Toc178150735"/>
      <w:bookmarkStart w:id="75" w:name="_Toc230938226"/>
      <w:bookmarkStart w:id="76" w:name="_Toc97192966"/>
      <w:bookmarkStart w:id="77" w:name="_Toc178275175"/>
      <w:bookmarkStart w:id="78" w:name="_Toc178275126"/>
      <w:bookmarkStart w:id="79" w:name="_Toc230623186"/>
      <w:bookmarkStart w:id="80" w:name="_Toc229412610"/>
      <w:bookmarkStart w:id="81" w:name="_Toc187075876"/>
      <w:r>
        <w:rPr>
          <w:rFonts w:hint="eastAsia"/>
        </w:rPr>
        <w:t>术语和定义</w:t>
      </w:r>
      <w:bookmarkEnd w:id="74"/>
      <w:bookmarkEnd w:id="75"/>
      <w:bookmarkEnd w:id="76"/>
      <w:bookmarkEnd w:id="77"/>
      <w:bookmarkEnd w:id="78"/>
      <w:bookmarkEnd w:id="79"/>
      <w:bookmarkEnd w:id="80"/>
      <w:bookmarkEnd w:id="81"/>
    </w:p>
    <w:sdt>
      <w:sdtPr>
        <w:id w:val="-1909835108"/>
        <w:placeholder>
          <w:docPart w:val="B10333FFDC4441139FA20A3E23432AE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6CD723C">
          <w:pPr>
            <w:pStyle w:val="59"/>
          </w:pPr>
          <w:bookmarkStart w:id="82" w:name="_Toc26986532"/>
          <w:bookmarkEnd w:id="82"/>
          <w:r>
            <w:t>下列术语和定义适用于本文件。</w:t>
          </w:r>
        </w:p>
      </w:sdtContent>
    </w:sdt>
    <w:p w14:paraId="774DCD47">
      <w:pPr>
        <w:pStyle w:val="226"/>
        <w:ind w:left="420" w:hanging="420" w:hangingChars="200"/>
        <w:rPr>
          <w:rFonts w:ascii="黑体" w:hAnsi="黑体" w:eastAsia="黑体"/>
        </w:rPr>
      </w:pPr>
      <w:r>
        <w:rPr>
          <w:rFonts w:ascii="黑体" w:hAnsi="黑体" w:eastAsia="黑体"/>
        </w:rPr>
        <w:br w:type="textWrapping"/>
      </w:r>
      <w:r>
        <w:rPr>
          <w:rFonts w:hint="eastAsia" w:ascii="黑体" w:hAnsi="黑体" w:eastAsia="黑体"/>
        </w:rPr>
        <w:t>中药通腑贴</w:t>
      </w:r>
      <w:r>
        <w:rPr>
          <w:rFonts w:ascii="黑体" w:hAnsi="黑体" w:eastAsia="黑体"/>
        </w:rPr>
        <w:t xml:space="preserve">  </w:t>
      </w:r>
      <w:r>
        <w:rPr>
          <w:rFonts w:hint="eastAsia" w:ascii="黑体" w:hAnsi="黑体" w:eastAsia="黑体"/>
        </w:rPr>
        <w:t>t</w:t>
      </w:r>
      <w:r>
        <w:rPr>
          <w:rFonts w:ascii="黑体" w:hAnsi="黑体" w:eastAsia="黑体"/>
        </w:rPr>
        <w:t xml:space="preserve">raditional Chinese Medicine Tongfu </w:t>
      </w:r>
      <w:r>
        <w:rPr>
          <w:rFonts w:hint="eastAsia" w:ascii="黑体" w:hAnsi="黑体" w:eastAsia="黑体"/>
        </w:rPr>
        <w:t>p</w:t>
      </w:r>
      <w:r>
        <w:rPr>
          <w:rFonts w:ascii="黑体" w:hAnsi="黑体" w:eastAsia="黑体"/>
        </w:rPr>
        <w:t>laster</w:t>
      </w:r>
    </w:p>
    <w:p w14:paraId="670F3866">
      <w:pPr>
        <w:pStyle w:val="59"/>
      </w:pPr>
      <w:r>
        <w:t>以大黄、砂仁、沉香、干姜、</w:t>
      </w:r>
      <w:r>
        <w:rPr>
          <w:rFonts w:hint="eastAsia"/>
        </w:rPr>
        <w:t>吴</w:t>
      </w:r>
      <w:r>
        <w:t>茱萸、枳实为核心药材，经粉碎、调糊制成，通过穴位贴敷发挥通腑泻热、润肠通便、益气健脾作用，用于改善充血性心力衰竭合并便秘的外用贴剂</w:t>
      </w:r>
      <w:r>
        <w:rPr>
          <w:rFonts w:hint="eastAsia"/>
        </w:rPr>
        <w:t>。</w:t>
      </w:r>
    </w:p>
    <w:p w14:paraId="4AB5AB31">
      <w:pPr>
        <w:pStyle w:val="107"/>
      </w:pPr>
      <w:bookmarkStart w:id="83" w:name="_Toc230623187"/>
      <w:bookmarkStart w:id="84" w:name="_Toc230938227"/>
      <w:r>
        <w:rPr>
          <w:rFonts w:hint="eastAsia"/>
        </w:rPr>
        <w:t>禁忌</w:t>
      </w:r>
      <w:bookmarkEnd w:id="83"/>
      <w:bookmarkEnd w:id="84"/>
    </w:p>
    <w:p w14:paraId="611C9B89">
      <w:pPr>
        <w:pStyle w:val="165"/>
      </w:pPr>
      <w:r>
        <w:rPr>
          <w:rFonts w:hint="eastAsia"/>
        </w:rPr>
        <w:t>过敏体质，或对中药通腑贴的组方药材、胶布、敷料、调配辅料过敏者。</w:t>
      </w:r>
    </w:p>
    <w:p w14:paraId="197279B9">
      <w:pPr>
        <w:pStyle w:val="165"/>
      </w:pPr>
      <w:r>
        <w:rPr>
          <w:rFonts w:hint="eastAsia"/>
        </w:rPr>
        <w:t>取穴及贴敷部位皮肤存在感染、破溃、湿疹、疮疡、瘢痕及大面积皮损者。</w:t>
      </w:r>
    </w:p>
    <w:p w14:paraId="42DDB9AB">
      <w:pPr>
        <w:pStyle w:val="165"/>
      </w:pPr>
      <w:r>
        <w:rPr>
          <w:rFonts w:hint="eastAsia"/>
        </w:rPr>
        <w:t>合并严重呼吸衰竭、难治性恶性心律失常、需机械通气等危重状态，无法配合操作者。</w:t>
      </w:r>
    </w:p>
    <w:p w14:paraId="5EC68B81">
      <w:pPr>
        <w:pStyle w:val="165"/>
      </w:pPr>
      <w:r>
        <w:rPr>
          <w:rFonts w:hint="eastAsia"/>
        </w:rPr>
        <w:t>重度腹水、腹壁高度水肿，穴位定位不清、贴敷难以固定者。</w:t>
      </w:r>
    </w:p>
    <w:p w14:paraId="1106661A">
      <w:pPr>
        <w:pStyle w:val="107"/>
      </w:pPr>
      <w:bookmarkStart w:id="85" w:name="_Toc178150736"/>
      <w:bookmarkStart w:id="86" w:name="_Toc229412611"/>
      <w:bookmarkStart w:id="87" w:name="_Toc230623188"/>
      <w:bookmarkStart w:id="88" w:name="_Toc187075877"/>
      <w:bookmarkStart w:id="89" w:name="_Toc178275176"/>
      <w:bookmarkStart w:id="90" w:name="_Toc178275127"/>
      <w:bookmarkStart w:id="91" w:name="_Toc230938228"/>
      <w:r>
        <w:rPr>
          <w:rFonts w:hint="eastAsia"/>
        </w:rPr>
        <w:t>评估</w:t>
      </w:r>
      <w:bookmarkEnd w:id="85"/>
      <w:bookmarkEnd w:id="86"/>
      <w:bookmarkEnd w:id="87"/>
      <w:bookmarkEnd w:id="88"/>
      <w:bookmarkEnd w:id="89"/>
      <w:bookmarkEnd w:id="90"/>
      <w:bookmarkEnd w:id="91"/>
    </w:p>
    <w:p w14:paraId="64328CF0">
      <w:pPr>
        <w:pStyle w:val="108"/>
        <w:spacing w:before="120" w:after="120"/>
      </w:pPr>
      <w:r>
        <w:rPr>
          <w:rFonts w:hint="eastAsia"/>
        </w:rPr>
        <w:t>病情评估</w:t>
      </w:r>
    </w:p>
    <w:p w14:paraId="560C29A4">
      <w:pPr>
        <w:pStyle w:val="68"/>
        <w:rPr>
          <w:color w:val="auto"/>
        </w:rPr>
      </w:pPr>
      <w:r>
        <w:rPr>
          <w:rFonts w:hint="eastAsia"/>
          <w:color w:val="auto"/>
        </w:rPr>
        <w:t>心功能</w:t>
      </w:r>
    </w:p>
    <w:p w14:paraId="0771381B">
      <w:pPr>
        <w:pStyle w:val="59"/>
        <w:rPr>
          <w:rFonts w:hint="eastAsia"/>
        </w:rPr>
      </w:pPr>
      <w:r>
        <w:rPr>
          <w:rFonts w:hint="eastAsia"/>
        </w:rPr>
        <w:t>参照</w:t>
      </w:r>
      <w:bookmarkStart w:id="92" w:name="OLE_LINK18"/>
      <w:bookmarkStart w:id="93" w:name="OLE_LINK19"/>
      <w:r>
        <w:rPr>
          <w:rFonts w:hint="eastAsia"/>
        </w:rPr>
        <w:t>《中国心力衰竭诊断和治疗指南（2024年）》</w:t>
      </w:r>
      <w:bookmarkEnd w:id="92"/>
      <w:bookmarkEnd w:id="93"/>
      <w:r>
        <w:rPr>
          <w:rFonts w:hint="eastAsia"/>
        </w:rPr>
        <w:t>及NYHA分级，评估患者心率、血压、呼吸、血氧及有无端坐呼吸、阵发性夜间呼吸困难、肺部啰音、下肢水肿等急性心力衰竭体征。</w:t>
      </w:r>
    </w:p>
    <w:p w14:paraId="09779143">
      <w:pPr>
        <w:pStyle w:val="182"/>
      </w:pPr>
      <w:r>
        <w:rPr>
          <w:rFonts w:hint="eastAsia"/>
        </w:rPr>
        <w:t>NYHA分级即纽约心脏病学会对心功能的分级方法。</w:t>
      </w:r>
    </w:p>
    <w:p w14:paraId="7C97E9F0">
      <w:pPr>
        <w:pStyle w:val="68"/>
        <w:rPr>
          <w:color w:val="auto"/>
        </w:rPr>
      </w:pPr>
      <w:r>
        <w:rPr>
          <w:rFonts w:hint="eastAsia"/>
          <w:color w:val="auto"/>
        </w:rPr>
        <w:t>排便情况</w:t>
      </w:r>
    </w:p>
    <w:p w14:paraId="64E99E3C">
      <w:pPr>
        <w:pStyle w:val="59"/>
        <w:rPr>
          <w:rFonts w:hint="eastAsia"/>
        </w:rPr>
      </w:pPr>
      <w:r>
        <w:rPr>
          <w:rFonts w:hint="eastAsia"/>
        </w:rPr>
        <w:t>参照</w:t>
      </w:r>
      <w:bookmarkStart w:id="94" w:name="OLE_LINK21"/>
      <w:bookmarkStart w:id="95" w:name="OLE_LINK20"/>
      <w:r>
        <w:rPr>
          <w:rFonts w:hint="eastAsia"/>
        </w:rPr>
        <w:t>《功能性便秘中西医结合诊疗专家共识（2025年）》</w:t>
      </w:r>
      <w:bookmarkEnd w:id="94"/>
      <w:bookmarkEnd w:id="95"/>
      <w:r>
        <w:rPr>
          <w:rFonts w:hint="eastAsia"/>
        </w:rPr>
        <w:t>，评估患者便秘病程、每周排便频次、粪便性状、排便费力程度、排便不尽感，同时评估近1周通便药物使用、灌肠及物理通便干预情况。</w:t>
      </w:r>
    </w:p>
    <w:p w14:paraId="1D989C05">
      <w:pPr>
        <w:pStyle w:val="59"/>
        <w:rPr>
          <w:rFonts w:hint="eastAsia"/>
        </w:rPr>
      </w:pPr>
    </w:p>
    <w:p w14:paraId="4FDD8B3E">
      <w:pPr>
        <w:pStyle w:val="59"/>
        <w:rPr>
          <w:rFonts w:hint="eastAsia"/>
        </w:rPr>
      </w:pPr>
    </w:p>
    <w:p w14:paraId="62783669">
      <w:pPr>
        <w:pStyle w:val="59"/>
      </w:pPr>
    </w:p>
    <w:p w14:paraId="682B633D">
      <w:pPr>
        <w:pStyle w:val="108"/>
        <w:spacing w:before="120" w:after="120"/>
      </w:pPr>
      <w:r>
        <w:rPr>
          <w:rFonts w:hint="eastAsia"/>
        </w:rPr>
        <w:t>辨证分型</w:t>
      </w:r>
    </w:p>
    <w:p w14:paraId="03466A7C">
      <w:pPr>
        <w:pStyle w:val="68"/>
        <w:rPr>
          <w:color w:val="auto"/>
        </w:rPr>
      </w:pPr>
      <w:r>
        <w:rPr>
          <w:rFonts w:hint="eastAsia"/>
          <w:color w:val="auto"/>
        </w:rPr>
        <w:t>气阴亏虚证</w:t>
      </w:r>
    </w:p>
    <w:p w14:paraId="71EB14EC">
      <w:pPr>
        <w:pStyle w:val="59"/>
      </w:pPr>
      <w:r>
        <w:rPr>
          <w:rFonts w:hint="eastAsia"/>
        </w:rPr>
        <w:t>胸闷气喘，心悸，动则加重，乏力自汗，两颧泛红，口干，五心烦热，失眠多梦，舌红少苔，脉沉细、虚数或结代。</w:t>
      </w:r>
    </w:p>
    <w:p w14:paraId="0A1AEEFE">
      <w:pPr>
        <w:pStyle w:val="68"/>
        <w:rPr>
          <w:color w:val="auto"/>
        </w:rPr>
      </w:pPr>
      <w:r>
        <w:rPr>
          <w:rFonts w:hint="eastAsia"/>
          <w:color w:val="auto"/>
        </w:rPr>
        <w:t>心阳亏虚证</w:t>
      </w:r>
    </w:p>
    <w:p w14:paraId="08569B2A">
      <w:pPr>
        <w:pStyle w:val="59"/>
      </w:pPr>
      <w:r>
        <w:rPr>
          <w:rFonts w:hint="eastAsia"/>
        </w:rPr>
        <w:t>胸闷气喘，心悸，咳嗽，咯稀白痰，肢冷，畏寒，尿少浮肿，自汗，汗出湿冷，舌质暗淡、苔白，脉沉细或涩、结代。</w:t>
      </w:r>
    </w:p>
    <w:p w14:paraId="44A2CF72">
      <w:pPr>
        <w:pStyle w:val="68"/>
        <w:rPr>
          <w:color w:val="auto"/>
        </w:rPr>
      </w:pPr>
      <w:r>
        <w:rPr>
          <w:rFonts w:hint="eastAsia"/>
          <w:color w:val="auto"/>
        </w:rPr>
        <w:t>心脾两虚证</w:t>
      </w:r>
    </w:p>
    <w:p w14:paraId="1A266EC9">
      <w:pPr>
        <w:pStyle w:val="59"/>
      </w:pPr>
      <w:r>
        <w:rPr>
          <w:rFonts w:hint="eastAsia"/>
        </w:rPr>
        <w:t>喘咳气逆，倚息难以平卧，咯痰稀白，心悸，面目肢体浮肿，面色萎黄或苍白，唇甲无华，食少身倦懒言，舌质淡，苔薄白，脉细弱。</w:t>
      </w:r>
    </w:p>
    <w:p w14:paraId="76DA649E">
      <w:pPr>
        <w:pStyle w:val="68"/>
        <w:rPr>
          <w:color w:val="auto"/>
        </w:rPr>
      </w:pPr>
      <w:r>
        <w:rPr>
          <w:rFonts w:hint="eastAsia"/>
          <w:color w:val="auto"/>
        </w:rPr>
        <w:t>水凌心肺证</w:t>
      </w:r>
    </w:p>
    <w:p w14:paraId="7AE0202F">
      <w:pPr>
        <w:pStyle w:val="59"/>
      </w:pPr>
      <w:r>
        <w:rPr>
          <w:rFonts w:hint="eastAsia"/>
        </w:rPr>
        <w:t>喘咳气逆，倚息难以平卧，咳痰稀白，心悸，面目肢体浮肿，小便量少，怯寒肢冷，或面色晦暗，唇甲青紫，舌淡胖或有瘀斑，舌下青筋显露，苔白滑，脉沉细或带涩。</w:t>
      </w:r>
    </w:p>
    <w:p w14:paraId="071F926A">
      <w:pPr>
        <w:pStyle w:val="107"/>
      </w:pPr>
      <w:bookmarkStart w:id="96" w:name="_Toc178150737"/>
      <w:bookmarkStart w:id="97" w:name="_Toc187075878"/>
      <w:bookmarkStart w:id="98" w:name="_Toc178275128"/>
      <w:bookmarkStart w:id="99" w:name="_Toc178275177"/>
      <w:bookmarkStart w:id="100" w:name="_Toc230623189"/>
      <w:bookmarkStart w:id="101" w:name="_Toc230938229"/>
      <w:bookmarkStart w:id="102" w:name="_Toc229412612"/>
      <w:r>
        <w:rPr>
          <w:rFonts w:hint="eastAsia"/>
        </w:rPr>
        <w:t>施术</w:t>
      </w:r>
      <w:r>
        <w:t>前准备</w:t>
      </w:r>
      <w:bookmarkEnd w:id="96"/>
      <w:bookmarkEnd w:id="97"/>
      <w:bookmarkEnd w:id="98"/>
      <w:bookmarkEnd w:id="99"/>
      <w:bookmarkEnd w:id="100"/>
      <w:bookmarkEnd w:id="101"/>
      <w:bookmarkEnd w:id="102"/>
    </w:p>
    <w:p w14:paraId="7B2B1712">
      <w:pPr>
        <w:pStyle w:val="108"/>
        <w:spacing w:before="120" w:after="120"/>
      </w:pPr>
      <w:r>
        <w:rPr>
          <w:rFonts w:hint="eastAsia"/>
        </w:rPr>
        <w:t>用物准备</w:t>
      </w:r>
    </w:p>
    <w:p w14:paraId="1C3837D4">
      <w:pPr>
        <w:pStyle w:val="59"/>
      </w:pPr>
      <w:r>
        <w:rPr>
          <w:rFonts w:hint="eastAsia"/>
        </w:rPr>
        <w:t>医用托盘、胶布、垫巾、纸巾（毛巾）、速干手消毒液、无菌口罩、帽子、计时器、屏风（必要时）、</w:t>
      </w:r>
      <w:bookmarkStart w:id="103" w:name="OLE_LINK13"/>
      <w:bookmarkStart w:id="104" w:name="OLE_LINK14"/>
      <w:r>
        <w:rPr>
          <w:bCs/>
        </w:rPr>
        <w:t>红外线治疗灯（立地式或台式）</w:t>
      </w:r>
      <w:r>
        <w:rPr>
          <w:rFonts w:hint="eastAsia"/>
          <w:bCs/>
        </w:rPr>
        <w:t>、</w:t>
      </w:r>
      <w:r>
        <w:rPr>
          <w:rFonts w:hint="eastAsia"/>
        </w:rPr>
        <w:t>中药通腑贴</w:t>
      </w:r>
      <w:bookmarkEnd w:id="103"/>
      <w:bookmarkEnd w:id="104"/>
      <w:r>
        <w:rPr>
          <w:rFonts w:hint="eastAsia"/>
        </w:rPr>
        <w:t>。</w:t>
      </w:r>
    </w:p>
    <w:p w14:paraId="5EECD237">
      <w:pPr>
        <w:pStyle w:val="182"/>
      </w:pPr>
      <w:r>
        <w:rPr>
          <w:rFonts w:hint="eastAsia"/>
        </w:rPr>
        <w:t>中药通腑贴应符合</w:t>
      </w:r>
      <w:r>
        <w:t>GB/T 33414的规定</w:t>
      </w:r>
      <w:r>
        <w:rPr>
          <w:rFonts w:hint="eastAsia"/>
        </w:rPr>
        <w:t>，制作方法见附录A。</w:t>
      </w:r>
    </w:p>
    <w:p w14:paraId="5EB94F9D">
      <w:pPr>
        <w:pStyle w:val="108"/>
        <w:spacing w:before="120" w:after="120"/>
        <w:rPr>
          <w:color w:val="000000" w:themeColor="text1"/>
          <w14:textFill>
            <w14:solidFill>
              <w14:schemeClr w14:val="tx1"/>
            </w14:solidFill>
          </w14:textFill>
        </w:rPr>
      </w:pPr>
      <w:r>
        <w:rPr>
          <w:rFonts w:hint="eastAsia"/>
          <w:color w:val="000000" w:themeColor="text1"/>
          <w14:textFill>
            <w14:solidFill>
              <w14:schemeClr w14:val="tx1"/>
            </w14:solidFill>
          </w14:textFill>
        </w:rPr>
        <w:t>环境要求</w:t>
      </w:r>
    </w:p>
    <w:p w14:paraId="75C25098">
      <w:pPr>
        <w:spacing w:before="62" w:line="240" w:lineRule="auto"/>
        <w:ind w:right="75" w:firstLine="420" w:firstLineChars="200"/>
        <w:rPr>
          <w:rFonts w:ascii="宋体" w:hAnsi="Times New Roman"/>
          <w:color w:val="000000" w:themeColor="text1"/>
          <w:kern w:val="0"/>
          <w:szCs w:val="20"/>
          <w14:textFill>
            <w14:solidFill>
              <w14:schemeClr w14:val="tx1"/>
            </w14:solidFill>
          </w14:textFill>
        </w:rPr>
      </w:pPr>
      <w:r>
        <w:rPr>
          <w:rFonts w:hint="eastAsia" w:ascii="宋体" w:hAnsi="Times New Roman"/>
          <w:color w:val="000000" w:themeColor="text1"/>
          <w:kern w:val="0"/>
          <w:szCs w:val="20"/>
          <w14:textFill>
            <w14:solidFill>
              <w14:schemeClr w14:val="tx1"/>
            </w14:solidFill>
          </w14:textFill>
        </w:rPr>
        <w:t>操作环境整洁、温湿度适宜、</w:t>
      </w:r>
      <w:r>
        <w:rPr>
          <w:rFonts w:ascii="宋体" w:hAnsi="Times New Roman"/>
          <w:color w:val="000000" w:themeColor="text1"/>
          <w:kern w:val="0"/>
          <w:szCs w:val="20"/>
          <w14:textFill>
            <w14:solidFill>
              <w14:schemeClr w14:val="tx1"/>
            </w14:solidFill>
          </w14:textFill>
        </w:rPr>
        <w:t>光线明亮</w:t>
      </w:r>
      <w:r>
        <w:rPr>
          <w:rFonts w:hint="eastAsia" w:ascii="宋体" w:hAnsi="Times New Roman"/>
          <w:color w:val="000000" w:themeColor="text1"/>
          <w:kern w:val="0"/>
          <w:szCs w:val="20"/>
          <w14:textFill>
            <w14:solidFill>
              <w14:schemeClr w14:val="tx1"/>
            </w14:solidFill>
          </w14:textFill>
        </w:rPr>
        <w:t>，符合隐私保护。</w:t>
      </w:r>
    </w:p>
    <w:p w14:paraId="3C2FC350">
      <w:pPr>
        <w:pStyle w:val="108"/>
        <w:spacing w:before="120" w:after="120"/>
        <w:rPr>
          <w:color w:val="000000" w:themeColor="text1"/>
          <w14:textFill>
            <w14:solidFill>
              <w14:schemeClr w14:val="tx1"/>
            </w14:solidFill>
          </w14:textFill>
        </w:rPr>
      </w:pPr>
      <w:r>
        <w:rPr>
          <w:rFonts w:hint="eastAsia"/>
          <w:color w:val="000000" w:themeColor="text1"/>
          <w14:textFill>
            <w14:solidFill>
              <w14:schemeClr w14:val="tx1"/>
            </w14:solidFill>
          </w14:textFill>
        </w:rPr>
        <w:t>患者</w:t>
      </w:r>
      <w:r>
        <w:rPr>
          <w:color w:val="000000" w:themeColor="text1"/>
          <w14:textFill>
            <w14:solidFill>
              <w14:schemeClr w14:val="tx1"/>
            </w14:solidFill>
          </w14:textFill>
        </w:rPr>
        <w:t>准备</w:t>
      </w:r>
    </w:p>
    <w:p w14:paraId="091431E4">
      <w:pPr>
        <w:widowControl/>
        <w:autoSpaceDE w:val="0"/>
        <w:autoSpaceDN w:val="0"/>
        <w:adjustRightInd/>
        <w:spacing w:line="240" w:lineRule="auto"/>
        <w:ind w:firstLine="420" w:firstLineChars="200"/>
        <w:rPr>
          <w:rFonts w:ascii="宋体" w:hAnsi="Times New Roman"/>
          <w:color w:val="000000" w:themeColor="text1"/>
          <w:kern w:val="0"/>
          <w:szCs w:val="20"/>
          <w14:textFill>
            <w14:solidFill>
              <w14:schemeClr w14:val="tx1"/>
            </w14:solidFill>
          </w14:textFill>
        </w:rPr>
      </w:pPr>
      <w:r>
        <w:rPr>
          <w:rFonts w:hint="eastAsia" w:ascii="宋体" w:hAnsi="Times New Roman"/>
          <w:color w:val="000000" w:themeColor="text1"/>
          <w:kern w:val="0"/>
          <w:szCs w:val="20"/>
          <w14:textFill>
            <w14:solidFill>
              <w14:schemeClr w14:val="tx1"/>
            </w14:solidFill>
          </w14:textFill>
        </w:rPr>
        <w:t>操作者向患者解释操作的目的、作用及方法，取得患者配合。取</w:t>
      </w:r>
      <w:r>
        <w:rPr>
          <w:rFonts w:ascii="宋体" w:hAnsi="Times New Roman"/>
          <w:color w:val="000000" w:themeColor="text1"/>
          <w:kern w:val="0"/>
          <w:szCs w:val="20"/>
          <w14:textFill>
            <w14:solidFill>
              <w14:schemeClr w14:val="tx1"/>
            </w14:solidFill>
          </w14:textFill>
        </w:rPr>
        <w:t>平卧位</w:t>
      </w:r>
      <w:r>
        <w:rPr>
          <w:rFonts w:hint="eastAsia" w:ascii="宋体" w:hAnsi="Times New Roman"/>
          <w:color w:val="000000" w:themeColor="text1"/>
          <w:kern w:val="0"/>
          <w:szCs w:val="20"/>
          <w14:textFill>
            <w14:solidFill>
              <w14:schemeClr w14:val="tx1"/>
            </w14:solidFill>
          </w14:textFill>
        </w:rPr>
        <w:t>，暴露施术部位，注意保暖。</w:t>
      </w:r>
    </w:p>
    <w:p w14:paraId="51363969">
      <w:pPr>
        <w:pStyle w:val="108"/>
        <w:spacing w:before="120" w:after="120"/>
        <w:rPr>
          <w:color w:val="000000" w:themeColor="text1"/>
          <w14:textFill>
            <w14:solidFill>
              <w14:schemeClr w14:val="tx1"/>
            </w14:solidFill>
          </w14:textFill>
        </w:rPr>
      </w:pPr>
      <w:r>
        <w:rPr>
          <w:rFonts w:hint="eastAsia"/>
          <w:color w:val="000000" w:themeColor="text1"/>
          <w14:textFill>
            <w14:solidFill>
              <w14:schemeClr w14:val="tx1"/>
            </w14:solidFill>
          </w14:textFill>
        </w:rPr>
        <w:t>操作者</w:t>
      </w:r>
      <w:r>
        <w:rPr>
          <w:color w:val="000000" w:themeColor="text1"/>
          <w14:textFill>
            <w14:solidFill>
              <w14:schemeClr w14:val="tx1"/>
            </w14:solidFill>
          </w14:textFill>
        </w:rPr>
        <w:t>准备</w:t>
      </w:r>
    </w:p>
    <w:p w14:paraId="03B58D90">
      <w:pPr>
        <w:pStyle w:val="168"/>
        <w:rPr>
          <w:color w:val="000000" w:themeColor="text1"/>
          <w14:textFill>
            <w14:solidFill>
              <w14:schemeClr w14:val="tx1"/>
            </w14:solidFill>
          </w14:textFill>
        </w:rPr>
      </w:pPr>
      <w:r>
        <w:rPr>
          <w:rFonts w:hint="eastAsia"/>
          <w:color w:val="000000" w:themeColor="text1"/>
          <w14:textFill>
            <w14:solidFill>
              <w14:schemeClr w14:val="tx1"/>
            </w14:solidFill>
          </w14:textFill>
        </w:rPr>
        <w:t>配戴无菌口罩、帽子，立于患者身侧。手卫生应符合WS/T</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313的规定。</w:t>
      </w:r>
    </w:p>
    <w:p w14:paraId="788EEBAC">
      <w:pPr>
        <w:pStyle w:val="168"/>
        <w:rPr>
          <w:color w:val="000000" w:themeColor="text1"/>
          <w14:textFill>
            <w14:solidFill>
              <w14:schemeClr w14:val="tx1"/>
            </w14:solidFill>
          </w14:textFill>
        </w:rPr>
      </w:pPr>
      <w:r>
        <w:rPr>
          <w:rFonts w:hint="eastAsia"/>
          <w:color w:val="000000" w:themeColor="text1"/>
          <w14:textFill>
            <w14:solidFill>
              <w14:schemeClr w14:val="tx1"/>
            </w14:solidFill>
          </w14:textFill>
        </w:rPr>
        <w:t>核对患者姓名</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年龄</w:t>
      </w:r>
      <w:r>
        <w:rPr>
          <w:color w:val="000000" w:themeColor="text1"/>
          <w14:textFill>
            <w14:solidFill>
              <w14:schemeClr w14:val="tx1"/>
            </w14:solidFill>
          </w14:textFill>
        </w:rPr>
        <w:t>、性别</w:t>
      </w:r>
      <w:r>
        <w:rPr>
          <w:rFonts w:hint="eastAsia"/>
          <w:color w:val="000000" w:themeColor="text1"/>
          <w14:textFill>
            <w14:solidFill>
              <w14:schemeClr w14:val="tx1"/>
            </w14:solidFill>
          </w14:textFill>
        </w:rPr>
        <w:t>、诊断</w:t>
      </w:r>
      <w:r>
        <w:rPr>
          <w:color w:val="000000" w:themeColor="text1"/>
          <w14:textFill>
            <w14:solidFill>
              <w14:schemeClr w14:val="tx1"/>
            </w14:solidFill>
          </w14:textFill>
        </w:rPr>
        <w:t>等</w:t>
      </w:r>
      <w:r>
        <w:rPr>
          <w:rFonts w:hint="eastAsia"/>
          <w:color w:val="000000" w:themeColor="text1"/>
          <w14:textFill>
            <w14:solidFill>
              <w14:schemeClr w14:val="tx1"/>
            </w14:solidFill>
          </w14:textFill>
        </w:rPr>
        <w:t xml:space="preserve">。 </w:t>
      </w:r>
    </w:p>
    <w:p w14:paraId="42A56552">
      <w:pPr>
        <w:pStyle w:val="107"/>
        <w:rPr>
          <w:color w:val="000000" w:themeColor="text1"/>
          <w14:textFill>
            <w14:solidFill>
              <w14:schemeClr w14:val="tx1"/>
            </w14:solidFill>
          </w14:textFill>
        </w:rPr>
      </w:pPr>
      <w:bookmarkStart w:id="105" w:name="_Toc187075879"/>
      <w:bookmarkStart w:id="106" w:name="_Toc178275129"/>
      <w:bookmarkStart w:id="107" w:name="_Toc229412613"/>
      <w:bookmarkStart w:id="108" w:name="_Toc178150738"/>
      <w:bookmarkStart w:id="109" w:name="_Toc230623190"/>
      <w:bookmarkStart w:id="110" w:name="_Toc178275178"/>
      <w:bookmarkStart w:id="111" w:name="_Toc230938230"/>
      <w:r>
        <w:rPr>
          <w:rFonts w:hint="eastAsia"/>
          <w:color w:val="000000" w:themeColor="text1"/>
          <w14:textFill>
            <w14:solidFill>
              <w14:schemeClr w14:val="tx1"/>
            </w14:solidFill>
          </w14:textFill>
        </w:rPr>
        <w:t>施术方法</w:t>
      </w:r>
      <w:bookmarkEnd w:id="105"/>
      <w:bookmarkEnd w:id="106"/>
      <w:bookmarkEnd w:id="107"/>
      <w:bookmarkEnd w:id="108"/>
      <w:bookmarkEnd w:id="109"/>
      <w:bookmarkEnd w:id="110"/>
      <w:bookmarkEnd w:id="111"/>
    </w:p>
    <w:p w14:paraId="4073AFA3">
      <w:pPr>
        <w:pStyle w:val="108"/>
        <w:spacing w:before="120" w:after="120"/>
      </w:pPr>
      <w:r>
        <w:rPr>
          <w:rFonts w:hint="eastAsia"/>
        </w:rPr>
        <w:t>穴位选择与定位</w:t>
      </w:r>
    </w:p>
    <w:p w14:paraId="6D3E16EF">
      <w:pPr>
        <w:pStyle w:val="168"/>
        <w:rPr>
          <w:color w:val="auto"/>
        </w:rPr>
      </w:pPr>
      <w:r>
        <w:rPr>
          <w:rFonts w:hint="eastAsia"/>
          <w:color w:val="auto"/>
        </w:rPr>
        <w:t>主穴取神阙，辨证配穴：</w:t>
      </w:r>
    </w:p>
    <w:p w14:paraId="1424DD8F">
      <w:pPr>
        <w:pStyle w:val="135"/>
      </w:pPr>
      <w:r>
        <w:rPr>
          <w:rFonts w:hint="eastAsia"/>
        </w:rPr>
        <w:t>气阴亏虚证：配气海、足三里、三阴交；</w:t>
      </w:r>
    </w:p>
    <w:p w14:paraId="39DAE706">
      <w:pPr>
        <w:pStyle w:val="135"/>
      </w:pPr>
      <w:r>
        <w:rPr>
          <w:rFonts w:hint="eastAsia"/>
        </w:rPr>
        <w:t>心阳亏虚证：配关元、气海；</w:t>
      </w:r>
    </w:p>
    <w:p w14:paraId="2964B69D">
      <w:pPr>
        <w:pStyle w:val="135"/>
      </w:pPr>
      <w:r>
        <w:rPr>
          <w:rFonts w:hint="eastAsia"/>
        </w:rPr>
        <w:t>心脾两虚证：配巨阙、足三里；</w:t>
      </w:r>
    </w:p>
    <w:p w14:paraId="045CAC57">
      <w:pPr>
        <w:pStyle w:val="135"/>
      </w:pPr>
      <w:r>
        <w:rPr>
          <w:rFonts w:hint="eastAsia"/>
        </w:rPr>
        <w:t>水凌心肺证：配中极、阴陵泉。</w:t>
      </w:r>
    </w:p>
    <w:p w14:paraId="5E26C726">
      <w:pPr>
        <w:pStyle w:val="168"/>
        <w:rPr>
          <w:color w:val="auto"/>
        </w:rPr>
      </w:pPr>
      <w:r>
        <w:rPr>
          <w:rFonts w:hint="eastAsia"/>
          <w:color w:val="auto"/>
        </w:rPr>
        <w:t>穴位</w:t>
      </w:r>
      <w:r>
        <w:rPr>
          <w:color w:val="auto"/>
        </w:rPr>
        <w:t>定位</w:t>
      </w:r>
      <w:r>
        <w:rPr>
          <w:rFonts w:hint="eastAsia"/>
          <w:color w:val="auto"/>
        </w:rPr>
        <w:t>符合GB</w:t>
      </w:r>
      <w:r>
        <w:rPr>
          <w:color w:val="auto"/>
        </w:rPr>
        <w:t>/</w:t>
      </w:r>
      <w:r>
        <w:rPr>
          <w:rFonts w:hint="eastAsia"/>
          <w:color w:val="auto"/>
        </w:rPr>
        <w:t>T 12346的规定。</w:t>
      </w:r>
    </w:p>
    <w:p w14:paraId="677F89C6">
      <w:pPr>
        <w:pStyle w:val="108"/>
        <w:spacing w:before="120" w:after="120"/>
      </w:pPr>
      <w:r>
        <w:rPr>
          <w:rFonts w:hint="eastAsia"/>
        </w:rPr>
        <w:t>贴敷操作</w:t>
      </w:r>
    </w:p>
    <w:p w14:paraId="70DCEBF2">
      <w:pPr>
        <w:pStyle w:val="168"/>
        <w:rPr>
          <w:color w:val="auto"/>
        </w:rPr>
      </w:pPr>
      <w:r>
        <w:rPr>
          <w:rFonts w:hint="eastAsia"/>
          <w:color w:val="auto"/>
        </w:rPr>
        <w:t>再次核对患者信息与所选穴位。</w:t>
      </w:r>
    </w:p>
    <w:p w14:paraId="0A38CCC4">
      <w:pPr>
        <w:pStyle w:val="168"/>
        <w:rPr>
          <w:color w:val="auto"/>
        </w:rPr>
      </w:pPr>
      <w:r>
        <w:rPr>
          <w:rFonts w:hint="eastAsia"/>
          <w:color w:val="auto"/>
        </w:rPr>
        <w:t>将制备好的中药通腑贴对准神阙穴贴合。开启红外线治疗灯，灯头距离神阙穴30</w:t>
      </w:r>
      <w:r>
        <w:rPr>
          <w:rFonts w:hint="eastAsia"/>
          <w:color w:val="auto"/>
          <w:vertAlign w:val="superscript"/>
        </w:rPr>
        <w:t xml:space="preserve"> </w:t>
      </w:r>
      <w:r>
        <w:rPr>
          <w:rFonts w:hint="eastAsia"/>
          <w:color w:val="auto"/>
        </w:rPr>
        <w:t>cm～50</w:t>
      </w:r>
      <w:r>
        <w:rPr>
          <w:rFonts w:hint="eastAsia"/>
          <w:color w:val="auto"/>
          <w:vertAlign w:val="superscript"/>
        </w:rPr>
        <w:t xml:space="preserve"> </w:t>
      </w:r>
      <w:r>
        <w:rPr>
          <w:rFonts w:hint="eastAsia"/>
          <w:color w:val="auto"/>
        </w:rPr>
        <w:t>cm，以患者感觉局部皮肤温热舒适为宜（皮温40</w:t>
      </w:r>
      <w:r>
        <w:rPr>
          <w:rFonts w:hint="eastAsia"/>
          <w:color w:val="auto"/>
          <w:vertAlign w:val="superscript"/>
        </w:rPr>
        <w:t xml:space="preserve"> </w:t>
      </w:r>
      <w:r>
        <w:rPr>
          <w:rFonts w:hint="eastAsia"/>
          <w:color w:val="auto"/>
        </w:rPr>
        <w:t>℃～45</w:t>
      </w:r>
      <w:r>
        <w:rPr>
          <w:rFonts w:hint="eastAsia"/>
          <w:color w:val="auto"/>
          <w:vertAlign w:val="superscript"/>
        </w:rPr>
        <w:t xml:space="preserve"> </w:t>
      </w:r>
      <w:r>
        <w:rPr>
          <w:rFonts w:hint="eastAsia"/>
          <w:color w:val="auto"/>
        </w:rPr>
        <w:t>℃），照射时长（20</w:t>
      </w:r>
      <w:r>
        <w:rPr>
          <w:rFonts w:hint="eastAsia"/>
          <w:color w:val="auto"/>
          <w:vertAlign w:val="superscript"/>
        </w:rPr>
        <w:t xml:space="preserve"> </w:t>
      </w:r>
      <w:r>
        <w:rPr>
          <w:rFonts w:hint="eastAsia"/>
          <w:color w:val="auto"/>
        </w:rPr>
        <w:t>min～30</w:t>
      </w:r>
      <w:r>
        <w:rPr>
          <w:rFonts w:hint="eastAsia"/>
          <w:color w:val="auto"/>
          <w:vertAlign w:val="superscript"/>
        </w:rPr>
        <w:t xml:space="preserve"> </w:t>
      </w:r>
      <w:r>
        <w:rPr>
          <w:rFonts w:hint="eastAsia"/>
          <w:color w:val="auto"/>
        </w:rPr>
        <w:t>min）。操作过程中注意观察局部皮肤反应，不宜烫伤。</w:t>
      </w:r>
    </w:p>
    <w:p w14:paraId="2DEEE2A1">
      <w:pPr>
        <w:pStyle w:val="168"/>
        <w:rPr>
          <w:color w:val="auto"/>
        </w:rPr>
      </w:pPr>
      <w:r>
        <w:rPr>
          <w:color w:val="auto"/>
        </w:rPr>
        <w:t>其余配穴（如气海、足三里、中脘等）按照常规贴敷法进行，将药膏直接贴合于穴位，无需红外线照射。</w:t>
      </w:r>
    </w:p>
    <w:p w14:paraId="176AEC2D">
      <w:pPr>
        <w:pStyle w:val="168"/>
        <w:rPr>
          <w:color w:val="auto"/>
        </w:rPr>
      </w:pPr>
      <w:r>
        <w:rPr>
          <w:rFonts w:hint="eastAsia"/>
          <w:color w:val="auto"/>
        </w:rPr>
        <w:t>照射过程中嘱患者勿直视光源。</w:t>
      </w:r>
    </w:p>
    <w:p w14:paraId="4B455331">
      <w:pPr>
        <w:pStyle w:val="168"/>
        <w:rPr>
          <w:color w:val="auto"/>
        </w:rPr>
      </w:pPr>
      <w:r>
        <w:rPr>
          <w:rFonts w:hint="eastAsia"/>
          <w:color w:val="auto"/>
        </w:rPr>
        <w:t>操作动作应轻柔、准确，不应用力按压导致患者不适。</w:t>
      </w:r>
    </w:p>
    <w:p w14:paraId="5DC34DDF">
      <w:pPr>
        <w:pStyle w:val="168"/>
        <w:rPr>
          <w:color w:val="auto"/>
        </w:rPr>
      </w:pPr>
      <w:r>
        <w:rPr>
          <w:rFonts w:hint="eastAsia"/>
          <w:color w:val="auto"/>
        </w:rPr>
        <w:t>每次贴敷时间为4</w:t>
      </w:r>
      <w:r>
        <w:rPr>
          <w:rFonts w:hint="eastAsia"/>
          <w:color w:val="auto"/>
          <w:vertAlign w:val="superscript"/>
        </w:rPr>
        <w:t xml:space="preserve"> </w:t>
      </w:r>
      <w:r>
        <w:rPr>
          <w:rFonts w:hint="eastAsia"/>
          <w:color w:val="auto"/>
        </w:rPr>
        <w:t>h～6</w:t>
      </w:r>
      <w:r>
        <w:rPr>
          <w:rFonts w:hint="eastAsia"/>
          <w:color w:val="auto"/>
          <w:vertAlign w:val="superscript"/>
        </w:rPr>
        <w:t xml:space="preserve"> </w:t>
      </w:r>
      <w:r>
        <w:rPr>
          <w:rFonts w:hint="eastAsia"/>
          <w:color w:val="auto"/>
        </w:rPr>
        <w:t>h。具体时长可根据患者年龄、体质及皮肤耐受度适当调整。</w:t>
      </w:r>
    </w:p>
    <w:p w14:paraId="2D896B78">
      <w:pPr>
        <w:pStyle w:val="168"/>
        <w:rPr>
          <w:color w:val="auto"/>
        </w:rPr>
      </w:pPr>
      <w:r>
        <w:rPr>
          <w:color w:val="auto"/>
        </w:rPr>
        <w:t>贴敷时限到达后轻柔取下药膏，清洁局部皮肤，观察皮肤色泽、有无发红、瘙痒、皮疹等反应并记录</w:t>
      </w:r>
      <w:r>
        <w:rPr>
          <w:rFonts w:hint="eastAsia"/>
          <w:color w:val="auto"/>
        </w:rPr>
        <w:t>。</w:t>
      </w:r>
    </w:p>
    <w:p w14:paraId="3E8F5F1F">
      <w:pPr>
        <w:pStyle w:val="168"/>
        <w:rPr>
          <w:color w:val="auto"/>
        </w:rPr>
      </w:pPr>
      <w:r>
        <w:rPr>
          <w:rFonts w:hint="eastAsia"/>
          <w:color w:val="auto"/>
        </w:rPr>
        <w:t>贴敷期间，患者应注意腹部保暖，空调或风扇不宜直吹。</w:t>
      </w:r>
    </w:p>
    <w:p w14:paraId="103BA732">
      <w:pPr>
        <w:pStyle w:val="168"/>
        <w:rPr>
          <w:color w:val="auto"/>
        </w:rPr>
      </w:pPr>
      <w:r>
        <w:rPr>
          <w:rFonts w:hint="eastAsia"/>
          <w:color w:val="auto"/>
        </w:rPr>
        <w:t>贴敷期间，医护人员或家属应观察患者贴敷部位的皮肤反应。若出现轻微的局部皮肤发红、发热、瘙痒，属正常药物透皮反应；若患者出现难以忍受的灼痛感，应立即移除贴敷物。</w:t>
      </w:r>
    </w:p>
    <w:p w14:paraId="2ADF15A1">
      <w:pPr>
        <w:pStyle w:val="168"/>
        <w:rPr>
          <w:color w:val="auto"/>
        </w:rPr>
      </w:pPr>
      <w:r>
        <w:rPr>
          <w:color w:val="auto"/>
        </w:rPr>
        <w:t>使用红外线照射神阙穴时，操作者</w:t>
      </w:r>
      <w:r>
        <w:rPr>
          <w:rFonts w:hint="eastAsia"/>
          <w:color w:val="auto"/>
        </w:rPr>
        <w:t>应</w:t>
      </w:r>
      <w:r>
        <w:rPr>
          <w:color w:val="auto"/>
        </w:rPr>
        <w:t>定期巡视，观察灯头距离及患者皮肤温热感受，防止因患者入睡或局部感觉迟钝导致的低温烫伤。治疗结束后先关闭红外线灯，再移除贴敷药物</w:t>
      </w:r>
      <w:r>
        <w:rPr>
          <w:rFonts w:hint="eastAsia"/>
          <w:color w:val="auto"/>
        </w:rPr>
        <w:t>。</w:t>
      </w:r>
    </w:p>
    <w:p w14:paraId="2B97327F">
      <w:pPr>
        <w:pStyle w:val="168"/>
        <w:rPr>
          <w:color w:val="auto"/>
        </w:rPr>
      </w:pPr>
      <w:r>
        <w:rPr>
          <w:rFonts w:hint="eastAsia"/>
          <w:color w:val="auto"/>
        </w:rPr>
        <w:t>鼓励患者多饮水，进食富含膳食纤维的食物（如蔬菜、水果），忌食生冷、辛辣、油腻食物。</w:t>
      </w:r>
    </w:p>
    <w:p w14:paraId="2F4D625C">
      <w:pPr>
        <w:pStyle w:val="168"/>
        <w:rPr>
          <w:color w:val="auto"/>
        </w:rPr>
      </w:pPr>
      <w:r>
        <w:rPr>
          <w:rFonts w:hint="eastAsia"/>
          <w:color w:val="auto"/>
        </w:rPr>
        <w:t>鼓励患者在心功能允许的范围内适当活动，养成定时排便的习惯。</w:t>
      </w:r>
    </w:p>
    <w:p w14:paraId="7786050C">
      <w:pPr>
        <w:pStyle w:val="168"/>
        <w:rPr>
          <w:color w:val="auto"/>
        </w:rPr>
      </w:pPr>
      <w:r>
        <w:rPr>
          <w:rFonts w:hint="eastAsia"/>
          <w:color w:val="auto"/>
        </w:rPr>
        <w:t>贴敷过程中不宜剧烈活动。</w:t>
      </w:r>
    </w:p>
    <w:p w14:paraId="1788EAE7">
      <w:pPr>
        <w:pStyle w:val="168"/>
        <w:rPr>
          <w:color w:val="auto"/>
        </w:rPr>
      </w:pPr>
      <w:r>
        <w:rPr>
          <w:rFonts w:hint="eastAsia"/>
          <w:color w:val="auto"/>
        </w:rPr>
        <w:t>贴敷结束后2</w:t>
      </w:r>
      <w:r>
        <w:rPr>
          <w:color w:val="auto"/>
          <w:vertAlign w:val="superscript"/>
        </w:rPr>
        <w:t xml:space="preserve"> </w:t>
      </w:r>
      <w:r>
        <w:rPr>
          <w:rFonts w:hint="eastAsia"/>
          <w:color w:val="auto"/>
        </w:rPr>
        <w:t>h内不宜洗澡。</w:t>
      </w:r>
    </w:p>
    <w:p w14:paraId="6009AC38">
      <w:pPr>
        <w:pStyle w:val="107"/>
      </w:pPr>
      <w:bookmarkStart w:id="112" w:name="_Toc230938231"/>
      <w:bookmarkStart w:id="113" w:name="_Toc178275130"/>
      <w:bookmarkStart w:id="114" w:name="_Toc230623191"/>
      <w:bookmarkStart w:id="115" w:name="_Toc229412614"/>
      <w:bookmarkStart w:id="116" w:name="_Toc178275179"/>
      <w:bookmarkStart w:id="117" w:name="_Toc187075880"/>
      <w:bookmarkStart w:id="118" w:name="_Toc178150739"/>
      <w:r>
        <w:rPr>
          <w:rFonts w:hint="eastAsia"/>
        </w:rPr>
        <w:t>疗程</w:t>
      </w:r>
      <w:bookmarkEnd w:id="112"/>
      <w:bookmarkEnd w:id="113"/>
      <w:bookmarkEnd w:id="114"/>
      <w:bookmarkEnd w:id="115"/>
      <w:bookmarkEnd w:id="116"/>
      <w:bookmarkEnd w:id="117"/>
      <w:bookmarkEnd w:id="118"/>
    </w:p>
    <w:p w14:paraId="5F57C4C4">
      <w:pPr>
        <w:pStyle w:val="59"/>
      </w:pPr>
      <w:r>
        <w:rPr>
          <w:rFonts w:hint="eastAsia"/>
        </w:rPr>
        <w:t>每天1次，</w:t>
      </w:r>
      <w:r>
        <w:t>5</w:t>
      </w:r>
      <w:r>
        <w:rPr>
          <w:vertAlign w:val="superscript"/>
        </w:rPr>
        <w:t xml:space="preserve"> </w:t>
      </w:r>
      <w:r>
        <w:rPr>
          <w:rFonts w:hint="eastAsia"/>
        </w:rPr>
        <w:t>d～</w:t>
      </w:r>
      <w:r>
        <w:t>7</w:t>
      </w:r>
      <w:r>
        <w:rPr>
          <w:vertAlign w:val="superscript"/>
        </w:rPr>
        <w:t xml:space="preserve"> </w:t>
      </w:r>
      <w:r>
        <w:rPr>
          <w:rFonts w:hint="eastAsia"/>
        </w:rPr>
        <w:t>d为1个疗程，</w:t>
      </w:r>
      <w:r>
        <w:t>视</w:t>
      </w:r>
      <w:r>
        <w:rPr>
          <w:rFonts w:hint="eastAsia"/>
        </w:rPr>
        <w:t>病情</w:t>
      </w:r>
      <w:r>
        <w:t>治疗</w:t>
      </w:r>
      <w:r>
        <w:rPr>
          <w:rFonts w:hint="eastAsia"/>
        </w:rPr>
        <w:t>1～</w:t>
      </w:r>
      <w:r>
        <w:t>2</w:t>
      </w:r>
      <w:r>
        <w:rPr>
          <w:rFonts w:hint="eastAsia"/>
        </w:rPr>
        <w:t>疗程。</w:t>
      </w:r>
    </w:p>
    <w:p w14:paraId="0C06BEC2">
      <w:pPr>
        <w:pStyle w:val="107"/>
      </w:pPr>
      <w:bookmarkStart w:id="119" w:name="_Toc178275181"/>
      <w:bookmarkStart w:id="120" w:name="_Toc230623193"/>
      <w:bookmarkStart w:id="121" w:name="_Toc230938232"/>
      <w:bookmarkStart w:id="122" w:name="_Toc187075882"/>
      <w:bookmarkStart w:id="123" w:name="_Toc229412616"/>
      <w:r>
        <w:rPr>
          <w:rFonts w:hint="eastAsia"/>
        </w:rPr>
        <w:t>不良反应处理</w:t>
      </w:r>
      <w:bookmarkEnd w:id="119"/>
      <w:bookmarkEnd w:id="120"/>
      <w:bookmarkEnd w:id="121"/>
      <w:bookmarkEnd w:id="122"/>
      <w:bookmarkEnd w:id="123"/>
    </w:p>
    <w:p w14:paraId="06624814">
      <w:pPr>
        <w:pStyle w:val="59"/>
      </w:pPr>
      <w:r>
        <w:rPr>
          <w:rFonts w:hint="eastAsia"/>
        </w:rPr>
        <w:t>使用敷药后，如出现红疹、瘙痒、水泡等过敏现象，应暂停使用，报告医师，配合处理。其他不良反应处理应符合</w:t>
      </w:r>
      <w:r>
        <w:t>GB/T 21709.9的规定</w:t>
      </w:r>
      <w:r>
        <w:rPr>
          <w:rFonts w:hint="eastAsia"/>
        </w:rPr>
        <w:t>。</w:t>
      </w:r>
    </w:p>
    <w:p w14:paraId="611C4425">
      <w:pPr>
        <w:pStyle w:val="59"/>
      </w:pPr>
    </w:p>
    <w:p w14:paraId="3DC71086">
      <w:pPr>
        <w:pStyle w:val="59"/>
      </w:pPr>
    </w:p>
    <w:p w14:paraId="26E70C63">
      <w:pPr>
        <w:pStyle w:val="59"/>
        <w:sectPr>
          <w:headerReference r:id="rId19" w:type="default"/>
          <w:footerReference r:id="rId21" w:type="default"/>
          <w:headerReference r:id="rId20" w:type="even"/>
          <w:footerReference r:id="rId22" w:type="even"/>
          <w:pgSz w:w="11906" w:h="16838"/>
          <w:pgMar w:top="1928" w:right="1134" w:bottom="1134" w:left="1134" w:header="1418" w:footer="1134" w:gutter="284"/>
          <w:pgNumType w:start="1"/>
          <w:cols w:space="425" w:num="1"/>
          <w:formProt w:val="0"/>
          <w:docGrid w:linePitch="312" w:charSpace="0"/>
        </w:sectPr>
      </w:pPr>
    </w:p>
    <w:bookmarkEnd w:id="31"/>
    <w:p w14:paraId="072265CB">
      <w:pPr>
        <w:pStyle w:val="201"/>
      </w:pPr>
      <w:bookmarkStart w:id="124" w:name="BookMark5"/>
    </w:p>
    <w:p w14:paraId="6D1968AF">
      <w:pPr>
        <w:pStyle w:val="202"/>
      </w:pPr>
    </w:p>
    <w:p w14:paraId="58A9D086">
      <w:pPr>
        <w:pStyle w:val="79"/>
        <w:spacing w:after="120"/>
        <w:rPr>
          <w:color w:val="000000" w:themeColor="text1"/>
          <w14:textFill>
            <w14:solidFill>
              <w14:schemeClr w14:val="tx1"/>
            </w14:solidFill>
          </w14:textFill>
        </w:rPr>
      </w:pPr>
      <w:r>
        <w:rPr>
          <w:color w:val="000000" w:themeColor="text1"/>
          <w14:textFill>
            <w14:solidFill>
              <w14:schemeClr w14:val="tx1"/>
            </w14:solidFill>
          </w14:textFill>
        </w:rPr>
        <w:br w:type="textWrapping"/>
      </w:r>
      <w:bookmarkStart w:id="125" w:name="_Toc229412618"/>
      <w:bookmarkStart w:id="126" w:name="_Toc230623194"/>
      <w:bookmarkStart w:id="127" w:name="_Toc187075884"/>
      <w:bookmarkStart w:id="128" w:name="_Toc230938233"/>
      <w:r>
        <w:rPr>
          <w:rFonts w:hint="eastAsia"/>
          <w:color w:val="000000" w:themeColor="text1"/>
          <w14:textFill>
            <w14:solidFill>
              <w14:schemeClr w14:val="tx1"/>
            </w14:solidFill>
          </w14:textFill>
        </w:rPr>
        <w:t>（资料性）</w:t>
      </w:r>
      <w:r>
        <w:rPr>
          <w:color w:val="000000" w:themeColor="text1"/>
          <w14:textFill>
            <w14:solidFill>
              <w14:schemeClr w14:val="tx1"/>
            </w14:solidFill>
          </w14:textFill>
        </w:rPr>
        <w:br w:type="textWrapping"/>
      </w:r>
      <w:r>
        <w:rPr>
          <w:rFonts w:hint="eastAsia"/>
          <w:color w:val="000000" w:themeColor="text1"/>
          <w14:textFill>
            <w14:solidFill>
              <w14:schemeClr w14:val="tx1"/>
            </w14:solidFill>
          </w14:textFill>
        </w:rPr>
        <w:t>中药通腑贴制作</w:t>
      </w:r>
      <w:bookmarkEnd w:id="125"/>
      <w:bookmarkEnd w:id="126"/>
      <w:bookmarkEnd w:id="127"/>
      <w:r>
        <w:rPr>
          <w:rFonts w:hint="eastAsia"/>
          <w:color w:val="000000" w:themeColor="text1"/>
          <w14:textFill>
            <w14:solidFill>
              <w14:schemeClr w14:val="tx1"/>
            </w14:solidFill>
          </w14:textFill>
        </w:rPr>
        <w:t>方法</w:t>
      </w:r>
      <w:bookmarkEnd w:id="128"/>
    </w:p>
    <w:p w14:paraId="70323ED0">
      <w:pPr>
        <w:pStyle w:val="81"/>
        <w:spacing w:before="120" w:after="120"/>
      </w:pPr>
      <w:r>
        <w:rPr>
          <w:rFonts w:hint="eastAsia"/>
        </w:rPr>
        <w:t>药物组成</w:t>
      </w:r>
    </w:p>
    <w:p w14:paraId="7889824A">
      <w:pPr>
        <w:pStyle w:val="59"/>
      </w:pPr>
      <w:bookmarkStart w:id="129" w:name="OLE_LINK16"/>
      <w:bookmarkStart w:id="130" w:name="OLE_LINK15"/>
      <w:r>
        <w:rPr>
          <w:rFonts w:hint="eastAsia"/>
        </w:rPr>
        <w:t>大黄、砂仁、沉香、干姜、吴茱萸、</w:t>
      </w:r>
      <w:bookmarkStart w:id="131" w:name="OLE_LINK2"/>
      <w:bookmarkStart w:id="132" w:name="OLE_LINK1"/>
      <w:r>
        <w:rPr>
          <w:rFonts w:hint="eastAsia"/>
        </w:rPr>
        <w:t>枳实</w:t>
      </w:r>
      <w:bookmarkEnd w:id="129"/>
      <w:bookmarkEnd w:id="130"/>
      <w:bookmarkEnd w:id="131"/>
      <w:bookmarkEnd w:id="132"/>
      <w:r>
        <w:rPr>
          <w:rFonts w:hint="eastAsia"/>
        </w:rPr>
        <w:t>等。</w:t>
      </w:r>
    </w:p>
    <w:p w14:paraId="1AE6750D">
      <w:pPr>
        <w:pStyle w:val="81"/>
        <w:spacing w:before="120" w:after="120"/>
      </w:pPr>
      <w:r>
        <w:rPr>
          <w:rFonts w:hint="eastAsia"/>
        </w:rPr>
        <w:t>制作步骤</w:t>
      </w:r>
    </w:p>
    <w:p w14:paraId="5F761825">
      <w:pPr>
        <w:pStyle w:val="215"/>
      </w:pPr>
      <w:r>
        <w:rPr>
          <w:rFonts w:hint="eastAsia"/>
        </w:rPr>
        <w:t>大黄100</w:t>
      </w:r>
      <w:r>
        <w:rPr>
          <w:rFonts w:hint="eastAsia"/>
          <w:vertAlign w:val="superscript"/>
        </w:rPr>
        <w:t xml:space="preserve"> </w:t>
      </w:r>
      <w:r>
        <w:rPr>
          <w:rFonts w:hint="eastAsia"/>
        </w:rPr>
        <w:t>g、砂仁100</w:t>
      </w:r>
      <w:r>
        <w:rPr>
          <w:rFonts w:hint="eastAsia"/>
          <w:vertAlign w:val="superscript"/>
        </w:rPr>
        <w:t xml:space="preserve"> </w:t>
      </w:r>
      <w:r>
        <w:rPr>
          <w:rFonts w:hint="eastAsia"/>
        </w:rPr>
        <w:t>g、沉香100</w:t>
      </w:r>
      <w:r>
        <w:rPr>
          <w:rFonts w:hint="eastAsia"/>
          <w:vertAlign w:val="superscript"/>
        </w:rPr>
        <w:t xml:space="preserve"> </w:t>
      </w:r>
      <w:r>
        <w:rPr>
          <w:rFonts w:hint="eastAsia"/>
        </w:rPr>
        <w:t>g、干姜150</w:t>
      </w:r>
      <w:r>
        <w:rPr>
          <w:rFonts w:hint="eastAsia"/>
          <w:vertAlign w:val="superscript"/>
        </w:rPr>
        <w:t xml:space="preserve"> </w:t>
      </w:r>
      <w:r>
        <w:rPr>
          <w:rFonts w:hint="eastAsia"/>
        </w:rPr>
        <w:t>g、吴茱萸100</w:t>
      </w:r>
      <w:r>
        <w:rPr>
          <w:rFonts w:hint="eastAsia"/>
          <w:vertAlign w:val="superscript"/>
        </w:rPr>
        <w:t xml:space="preserve"> </w:t>
      </w:r>
      <w:r>
        <w:rPr>
          <w:rFonts w:hint="eastAsia"/>
        </w:rPr>
        <w:t>g、枳实100</w:t>
      </w:r>
      <w:r>
        <w:rPr>
          <w:rFonts w:hint="eastAsia"/>
          <w:vertAlign w:val="superscript"/>
        </w:rPr>
        <w:t xml:space="preserve"> </w:t>
      </w:r>
      <w:r>
        <w:rPr>
          <w:rFonts w:hint="eastAsia"/>
        </w:rPr>
        <w:t>g按比例配伍，研成细末，用孔径</w:t>
      </w:r>
      <w:r>
        <w:rPr>
          <w:rFonts w:hint="eastAsia" w:cs="Calibri"/>
        </w:rPr>
        <w:t>180</w:t>
      </w:r>
      <w:r>
        <w:rPr>
          <w:rFonts w:hint="eastAsia"/>
          <w:vertAlign w:val="superscript"/>
        </w:rPr>
        <w:t xml:space="preserve"> </w:t>
      </w:r>
      <w:r>
        <w:rPr>
          <w:rFonts w:hint="eastAsia" w:hAnsi="宋体"/>
        </w:rPr>
        <w:t>μ</w:t>
      </w:r>
      <w:r>
        <w:rPr>
          <w:rFonts w:hint="eastAsia" w:cs="Calibri"/>
        </w:rPr>
        <w:t>m</w:t>
      </w:r>
      <w:r>
        <w:rPr>
          <w:rFonts w:hint="eastAsia" w:hAnsi="宋体"/>
        </w:rPr>
        <w:t>～</w:t>
      </w:r>
      <w:r>
        <w:rPr>
          <w:rFonts w:hint="eastAsia" w:cs="Calibri"/>
        </w:rPr>
        <w:t>250</w:t>
      </w:r>
      <w:r>
        <w:rPr>
          <w:rFonts w:hint="eastAsia"/>
          <w:vertAlign w:val="superscript"/>
        </w:rPr>
        <w:t xml:space="preserve"> </w:t>
      </w:r>
      <w:r>
        <w:rPr>
          <w:rFonts w:hint="eastAsia" w:hAnsi="宋体"/>
        </w:rPr>
        <w:t>μ</w:t>
      </w:r>
      <w:r>
        <w:rPr>
          <w:rFonts w:hint="eastAsia" w:cs="Calibri"/>
        </w:rPr>
        <w:t>m</w:t>
      </w:r>
      <w:r>
        <w:rPr>
          <w:rFonts w:hint="eastAsia"/>
        </w:rPr>
        <w:t>的网筛过筛后备用。</w:t>
      </w:r>
    </w:p>
    <w:p w14:paraId="5EF84387">
      <w:pPr>
        <w:pStyle w:val="215"/>
        <w:sectPr>
          <w:headerReference r:id="rId23" w:type="default"/>
          <w:footerReference r:id="rId25" w:type="default"/>
          <w:headerReference r:id="rId24" w:type="even"/>
          <w:footerReference r:id="rId26" w:type="even"/>
          <w:pgSz w:w="11906" w:h="16838"/>
          <w:pgMar w:top="1928" w:right="1134" w:bottom="1134" w:left="1134" w:header="1418" w:footer="1134" w:gutter="284"/>
          <w:pgNumType w:start="1"/>
          <w:cols w:space="425" w:num="1"/>
          <w:formProt w:val="0"/>
          <w:docGrid w:linePitch="312" w:charSpace="0"/>
        </w:sectPr>
      </w:pPr>
      <w:r>
        <w:rPr>
          <w:rFonts w:hint="eastAsia"/>
        </w:rPr>
        <w:t>加入适量米酒（25％voL～30％voL）调匀</w:t>
      </w:r>
      <w:r>
        <w:t>，</w:t>
      </w:r>
      <w:r>
        <w:rPr>
          <w:rFonts w:hint="eastAsia"/>
        </w:rPr>
        <w:t>对米酒过敏者改用无菌温开水调和，</w:t>
      </w:r>
      <w:r>
        <w:t>均匀置于无菌敷料中央，厚度2</w:t>
      </w:r>
      <w:r>
        <w:rPr>
          <w:rFonts w:hint="eastAsia"/>
          <w:vertAlign w:val="superscript"/>
        </w:rPr>
        <w:t xml:space="preserve"> </w:t>
      </w:r>
      <w:r>
        <w:t>mm～3</w:t>
      </w:r>
      <w:r>
        <w:rPr>
          <w:rFonts w:hint="eastAsia"/>
          <w:vertAlign w:val="superscript"/>
        </w:rPr>
        <w:t xml:space="preserve"> </w:t>
      </w:r>
      <w:r>
        <w:t>mm，直径2</w:t>
      </w:r>
      <w:r>
        <w:rPr>
          <w:rFonts w:hint="eastAsia"/>
          <w:vertAlign w:val="superscript"/>
        </w:rPr>
        <w:t xml:space="preserve"> </w:t>
      </w:r>
      <w:r>
        <w:rPr>
          <w:rFonts w:hint="eastAsia"/>
        </w:rPr>
        <w:t>cm</w:t>
      </w:r>
      <w:r>
        <w:t>～3</w:t>
      </w:r>
      <w:r>
        <w:rPr>
          <w:rFonts w:hint="eastAsia"/>
          <w:vertAlign w:val="superscript"/>
        </w:rPr>
        <w:t xml:space="preserve"> </w:t>
      </w:r>
      <w:r>
        <w:t>cm，现配现用</w:t>
      </w:r>
      <w:r>
        <w:rPr>
          <w:rFonts w:hint="eastAsia"/>
        </w:rPr>
        <w:t>。</w:t>
      </w:r>
      <w:bookmarkEnd w:id="124"/>
      <w:bookmarkStart w:id="133" w:name="BookMark6"/>
    </w:p>
    <w:p w14:paraId="3DF650F2">
      <w:pPr>
        <w:pStyle w:val="66"/>
        <w:spacing w:after="120"/>
        <w:rPr>
          <w:color w:val="000000" w:themeColor="text1"/>
          <w14:textFill>
            <w14:solidFill>
              <w14:schemeClr w14:val="tx1"/>
            </w14:solidFill>
          </w14:textFill>
        </w:rPr>
      </w:pPr>
      <w:bookmarkStart w:id="134" w:name="_Toc178150741"/>
      <w:bookmarkStart w:id="135" w:name="_Toc178275184"/>
      <w:bookmarkStart w:id="136" w:name="_Toc229412620"/>
      <w:bookmarkStart w:id="137" w:name="_Toc187075886"/>
      <w:bookmarkStart w:id="138" w:name="_Toc230938234"/>
      <w:bookmarkStart w:id="139" w:name="_Toc178275132"/>
      <w:bookmarkStart w:id="140" w:name="_Toc230623196"/>
      <w:r>
        <w:rPr>
          <w:rFonts w:hint="eastAsia"/>
          <w:color w:val="000000" w:themeColor="text1"/>
          <w:spacing w:val="105"/>
          <w14:textFill>
            <w14:solidFill>
              <w14:schemeClr w14:val="tx1"/>
            </w14:solidFill>
          </w14:textFill>
        </w:rPr>
        <w:t>参考文</w:t>
      </w:r>
      <w:r>
        <w:rPr>
          <w:rFonts w:hint="eastAsia"/>
          <w:color w:val="000000" w:themeColor="text1"/>
          <w14:textFill>
            <w14:solidFill>
              <w14:schemeClr w14:val="tx1"/>
            </w14:solidFill>
          </w14:textFill>
        </w:rPr>
        <w:t>献</w:t>
      </w:r>
      <w:bookmarkEnd w:id="134"/>
      <w:bookmarkEnd w:id="135"/>
      <w:bookmarkEnd w:id="136"/>
      <w:bookmarkEnd w:id="137"/>
      <w:bookmarkEnd w:id="138"/>
      <w:bookmarkEnd w:id="139"/>
      <w:bookmarkEnd w:id="140"/>
    </w:p>
    <w:p w14:paraId="3EA7FD52">
      <w:pPr>
        <w:widowControl/>
        <w:autoSpaceDE w:val="0"/>
        <w:autoSpaceDN w:val="0"/>
        <w:adjustRightInd/>
        <w:spacing w:line="240" w:lineRule="auto"/>
        <w:ind w:firstLine="420" w:firstLineChars="200"/>
        <w:jc w:val="left"/>
        <w:rPr>
          <w:rFonts w:ascii="宋体" w:hAnsi="Times New Roman"/>
          <w:color w:val="000000" w:themeColor="text1"/>
          <w:kern w:val="0"/>
          <w:szCs w:val="20"/>
          <w14:textFill>
            <w14:solidFill>
              <w14:schemeClr w14:val="tx1"/>
            </w14:solidFill>
          </w14:textFill>
        </w:rPr>
      </w:pPr>
      <w:r>
        <w:rPr>
          <w:rFonts w:hint="eastAsia" w:ascii="宋体" w:hAnsi="Times New Roman"/>
          <w:color w:val="000000" w:themeColor="text1"/>
          <w:kern w:val="0"/>
          <w:szCs w:val="20"/>
          <w14:textFill>
            <w14:solidFill>
              <w14:schemeClr w14:val="tx1"/>
            </w14:solidFill>
          </w14:textFill>
        </w:rPr>
        <w:t xml:space="preserve">[1]  </w:t>
      </w:r>
      <w:r>
        <w:rPr>
          <w:rFonts w:ascii="宋体" w:hAnsi="宋体"/>
          <w:color w:val="000000" w:themeColor="text1"/>
          <w14:textFill>
            <w14:solidFill>
              <w14:schemeClr w14:val="tx1"/>
            </w14:solidFill>
          </w14:textFill>
        </w:rPr>
        <w:t>T/CACM 1355</w:t>
      </w:r>
      <w:r>
        <w:rPr>
          <w:rFonts w:hint="eastAsia" w:ascii="宋体" w:hAnsi="宋体"/>
          <w:color w:val="000000" w:themeColor="text1"/>
          <w14:textFill>
            <w14:solidFill>
              <w14:schemeClr w14:val="tx1"/>
            </w14:solidFill>
          </w14:textFill>
        </w:rPr>
        <w:t>—</w:t>
      </w:r>
      <w:r>
        <w:rPr>
          <w:rFonts w:ascii="宋体" w:hAnsi="宋体"/>
          <w:color w:val="000000" w:themeColor="text1"/>
          <w14:textFill>
            <w14:solidFill>
              <w14:schemeClr w14:val="tx1"/>
            </w14:solidFill>
          </w14:textFill>
        </w:rPr>
        <w:t xml:space="preserve">2021 </w:t>
      </w:r>
      <w:r>
        <w:rPr>
          <w:rFonts w:hint="eastAsia" w:ascii="宋体" w:hAnsi="宋体"/>
          <w:color w:val="000000" w:themeColor="text1"/>
          <w14:textFill>
            <w14:solidFill>
              <w14:schemeClr w14:val="tx1"/>
            </w14:solidFill>
          </w14:textFill>
        </w:rPr>
        <w:t xml:space="preserve"> </w:t>
      </w:r>
      <w:r>
        <w:rPr>
          <w:rFonts w:ascii="宋体" w:hAnsi="宋体"/>
          <w:color w:val="000000" w:themeColor="text1"/>
          <w14:textFill>
            <w14:solidFill>
              <w14:schemeClr w14:val="tx1"/>
            </w14:solidFill>
          </w14:textFill>
        </w:rPr>
        <w:t>中医穴</w:t>
      </w:r>
      <w:r>
        <w:rPr>
          <w:color w:val="000000" w:themeColor="text1"/>
          <w14:textFill>
            <w14:solidFill>
              <w14:schemeClr w14:val="tx1"/>
            </w14:solidFill>
          </w14:textFill>
        </w:rPr>
        <w:t>位贴敷基层临床应用技术操作规范</w:t>
      </w:r>
    </w:p>
    <w:p w14:paraId="5C4B524C">
      <w:pPr>
        <w:pStyle w:val="59"/>
      </w:pPr>
      <w:r>
        <w:rPr>
          <w:rFonts w:hint="eastAsia"/>
        </w:rPr>
        <w:t>[</w:t>
      </w:r>
      <w:r>
        <w:t>2</w:t>
      </w:r>
      <w:r>
        <w:rPr>
          <w:rFonts w:hint="eastAsia"/>
        </w:rPr>
        <w:t>]</w:t>
      </w:r>
      <w:r>
        <w:t xml:space="preserve">  DB31/T 1386</w:t>
      </w:r>
      <w:r>
        <w:rPr>
          <w:rFonts w:hint="eastAsia"/>
        </w:rPr>
        <w:t>—</w:t>
      </w:r>
      <w:r>
        <w:t xml:space="preserve">2022 </w:t>
      </w:r>
      <w:r>
        <w:rPr>
          <w:rFonts w:hint="eastAsia"/>
        </w:rPr>
        <w:t xml:space="preserve"> </w:t>
      </w:r>
      <w:r>
        <w:t>穴位贴敷服务规范</w:t>
      </w:r>
    </w:p>
    <w:p w14:paraId="4781C728">
      <w:pPr>
        <w:widowControl/>
        <w:autoSpaceDE w:val="0"/>
        <w:autoSpaceDN w:val="0"/>
        <w:adjustRightInd/>
        <w:spacing w:line="240" w:lineRule="auto"/>
        <w:ind w:firstLine="420" w:firstLineChars="200"/>
        <w:jc w:val="left"/>
        <w:rPr>
          <w:rFonts w:ascii="宋体" w:hAnsi="Times New Roman"/>
          <w:color w:val="000000" w:themeColor="text1"/>
          <w:kern w:val="0"/>
          <w:szCs w:val="20"/>
          <w14:textFill>
            <w14:solidFill>
              <w14:schemeClr w14:val="tx1"/>
            </w14:solidFill>
          </w14:textFill>
        </w:rPr>
      </w:pPr>
      <w:r>
        <w:rPr>
          <w:rFonts w:hint="eastAsia" w:ascii="宋体" w:hAnsi="Times New Roman"/>
          <w:color w:val="000000" w:themeColor="text1"/>
          <w:kern w:val="0"/>
          <w:szCs w:val="20"/>
          <w14:textFill>
            <w14:solidFill>
              <w14:schemeClr w14:val="tx1"/>
            </w14:solidFill>
          </w14:textFill>
        </w:rPr>
        <w:t>[</w:t>
      </w:r>
      <w:r>
        <w:rPr>
          <w:rFonts w:ascii="宋体" w:hAnsi="Times New Roman"/>
          <w:color w:val="000000" w:themeColor="text1"/>
          <w:kern w:val="0"/>
          <w:szCs w:val="20"/>
          <w14:textFill>
            <w14:solidFill>
              <w14:schemeClr w14:val="tx1"/>
            </w14:solidFill>
          </w14:textFill>
        </w:rPr>
        <w:t>3</w:t>
      </w:r>
      <w:r>
        <w:rPr>
          <w:rFonts w:hint="eastAsia" w:ascii="宋体" w:hAnsi="Times New Roman"/>
          <w:color w:val="000000" w:themeColor="text1"/>
          <w:kern w:val="0"/>
          <w:szCs w:val="20"/>
          <w14:textFill>
            <w14:solidFill>
              <w14:schemeClr w14:val="tx1"/>
            </w14:solidFill>
          </w14:textFill>
        </w:rPr>
        <w:t>]  T/CAIM 010—2024  功能性便秘中西医结合诊疗专家共识</w:t>
      </w:r>
    </w:p>
    <w:p w14:paraId="224032C5">
      <w:pPr>
        <w:widowControl/>
        <w:autoSpaceDE w:val="0"/>
        <w:autoSpaceDN w:val="0"/>
        <w:adjustRightInd/>
        <w:spacing w:line="240" w:lineRule="auto"/>
        <w:ind w:firstLine="420" w:firstLineChars="200"/>
        <w:jc w:val="left"/>
        <w:rPr>
          <w:rFonts w:ascii="宋体" w:hAnsi="Times New Roman"/>
          <w:color w:val="000000" w:themeColor="text1"/>
          <w:kern w:val="0"/>
          <w:szCs w:val="20"/>
          <w14:textFill>
            <w14:solidFill>
              <w14:schemeClr w14:val="tx1"/>
            </w14:solidFill>
          </w14:textFill>
        </w:rPr>
      </w:pPr>
      <w:r>
        <w:rPr>
          <w:rFonts w:hint="eastAsia" w:ascii="宋体" w:hAnsi="Times New Roman"/>
          <w:color w:val="000000" w:themeColor="text1"/>
          <w:kern w:val="0"/>
          <w:szCs w:val="20"/>
          <w14:textFill>
            <w14:solidFill>
              <w14:schemeClr w14:val="tx1"/>
            </w14:solidFill>
          </w14:textFill>
        </w:rPr>
        <w:t>[</w:t>
      </w:r>
      <w:r>
        <w:rPr>
          <w:rFonts w:ascii="宋体" w:hAnsi="Times New Roman"/>
          <w:color w:val="000000" w:themeColor="text1"/>
          <w:kern w:val="0"/>
          <w:szCs w:val="20"/>
          <w14:textFill>
            <w14:solidFill>
              <w14:schemeClr w14:val="tx1"/>
            </w14:solidFill>
          </w14:textFill>
        </w:rPr>
        <w:t>4</w:t>
      </w:r>
      <w:r>
        <w:rPr>
          <w:rFonts w:hint="eastAsia" w:ascii="宋体" w:hAnsi="Times New Roman"/>
          <w:color w:val="000000" w:themeColor="text1"/>
          <w:kern w:val="0"/>
          <w:szCs w:val="20"/>
          <w14:textFill>
            <w14:solidFill>
              <w14:schemeClr w14:val="tx1"/>
            </w14:solidFill>
          </w14:textFill>
        </w:rPr>
        <w:t>]  自治区中医药局办公室关于印发中医非药物疗法第一批操作规范（试行）的通知（桂中医药办发〔2020〕47号</w:t>
      </w:r>
    </w:p>
    <w:p w14:paraId="21FEDDB7">
      <w:pPr>
        <w:widowControl/>
        <w:autoSpaceDE w:val="0"/>
        <w:autoSpaceDN w:val="0"/>
        <w:adjustRightInd/>
        <w:spacing w:line="240" w:lineRule="auto"/>
        <w:ind w:firstLine="420" w:firstLineChars="200"/>
        <w:jc w:val="left"/>
        <w:rPr>
          <w:rFonts w:ascii="宋体" w:hAnsi="Times New Roman"/>
          <w:color w:val="000000" w:themeColor="text1"/>
          <w:kern w:val="0"/>
          <w:szCs w:val="20"/>
          <w14:textFill>
            <w14:solidFill>
              <w14:schemeClr w14:val="tx1"/>
            </w14:solidFill>
          </w14:textFill>
        </w:rPr>
      </w:pPr>
      <w:r>
        <w:rPr>
          <w:rFonts w:hint="eastAsia" w:ascii="宋体" w:hAnsi="Times New Roman"/>
          <w:color w:val="000000" w:themeColor="text1"/>
          <w:kern w:val="0"/>
          <w:szCs w:val="20"/>
          <w14:textFill>
            <w14:solidFill>
              <w14:schemeClr w14:val="tx1"/>
            </w14:solidFill>
          </w14:textFill>
        </w:rPr>
        <w:t>[5] 中华医学会心血管病学分会，中华心血管病杂志编辑委员会。中国心力衰竭诊断和治疗指南（2024 年）[J]. 中华心血管病杂志，2024.</w:t>
      </w:r>
    </w:p>
    <w:p w14:paraId="6103DB25">
      <w:pPr>
        <w:widowControl/>
        <w:autoSpaceDE w:val="0"/>
        <w:autoSpaceDN w:val="0"/>
        <w:adjustRightInd/>
        <w:spacing w:line="240" w:lineRule="auto"/>
        <w:ind w:firstLine="420" w:firstLineChars="200"/>
        <w:jc w:val="left"/>
        <w:rPr>
          <w:rFonts w:ascii="宋体" w:hAnsi="Times New Roman"/>
          <w:color w:val="000000" w:themeColor="text1"/>
          <w:kern w:val="0"/>
          <w:szCs w:val="20"/>
          <w14:textFill>
            <w14:solidFill>
              <w14:schemeClr w14:val="tx1"/>
            </w14:solidFill>
          </w14:textFill>
        </w:rPr>
      </w:pPr>
      <w:r>
        <w:rPr>
          <w:rFonts w:hint="eastAsia" w:ascii="宋体" w:hAnsi="Times New Roman"/>
          <w:color w:val="000000" w:themeColor="text1"/>
          <w:kern w:val="0"/>
          <w:szCs w:val="20"/>
          <w14:textFill>
            <w14:solidFill>
              <w14:schemeClr w14:val="tx1"/>
            </w14:solidFill>
          </w14:textFill>
        </w:rPr>
        <w:t>[6] 中国中西医结合学会消化病专业委员会。功能性便秘中西医结合诊疗专家共识（2025 年）[J]. 中国中西医结合消化杂志，2025.</w:t>
      </w:r>
    </w:p>
    <w:bookmarkEnd w:id="133"/>
    <w:p w14:paraId="6B364CF7">
      <w:pPr>
        <w:pStyle w:val="185"/>
        <w:ind w:firstLine="360"/>
        <w:jc w:val="center"/>
      </w:pPr>
      <w:bookmarkStart w:id="141" w:name="BookMark8"/>
      <w:r>
        <w:drawing>
          <wp:inline distT="0" distB="0" distL="0" distR="0">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3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41"/>
    </w:p>
    <w:sectPr>
      <w:headerReference r:id="rId27" w:type="default"/>
      <w:footerReference r:id="rId29" w:type="default"/>
      <w:headerReference r:id="rId28" w:type="even"/>
      <w:footerReference r:id="rId30" w:type="even"/>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FE8200">
    <w:pPr>
      <w:pStyle w:val="18"/>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24D67D">
    <w:pPr>
      <w:pStyle w:val="55"/>
    </w:pPr>
    <w:r>
      <w:fldChar w:fldCharType="begin"/>
    </w:r>
    <w:r>
      <w:instrText xml:space="preserve">PAGE   \* MERGEFORMAT</w:instrText>
    </w:r>
    <w:r>
      <w:fldChar w:fldCharType="separate"/>
    </w:r>
    <w:r>
      <w:rPr>
        <w:lang w:val="zh-CN"/>
      </w:rPr>
      <w:t>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C6A72C">
    <w:pPr>
      <w:pStyle w:val="54"/>
    </w:pPr>
    <w:r>
      <w:fldChar w:fldCharType="begin"/>
    </w:r>
    <w:r>
      <w:instrText xml:space="preserve"> PAGE   \* MERGEFORMAT \* MERGEFORMAT </w:instrText>
    </w:r>
    <w:r>
      <w:fldChar w:fldCharType="separate"/>
    </w:r>
    <w:r>
      <w:t>1</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030260">
    <w:pPr>
      <w:pStyle w:val="55"/>
    </w:pPr>
    <w:r>
      <w:fldChar w:fldCharType="begin"/>
    </w:r>
    <w:r>
      <w:instrText xml:space="preserve">PAGE   \* MERGEFORMAT</w:instrText>
    </w:r>
    <w:r>
      <w:fldChar w:fldCharType="separate"/>
    </w:r>
    <w:r>
      <w:rPr>
        <w:lang w:val="zh-CN"/>
      </w:rPr>
      <w:t>1</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023CFF">
    <w:pPr>
      <w:pStyle w:val="54"/>
    </w:pPr>
    <w:r>
      <w:fldChar w:fldCharType="begin"/>
    </w:r>
    <w:r>
      <w:instrText xml:space="preserve"> PAGE   \* MERGEFORMAT \* MERGEFORMAT </w:instrText>
    </w:r>
    <w:r>
      <w:fldChar w:fldCharType="separate"/>
    </w:r>
    <w: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860F10">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6A0134">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7A3DAD">
    <w:pPr>
      <w:pStyle w:val="55"/>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CE21E8">
    <w:pPr>
      <w:pStyle w:val="54"/>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FF4773">
    <w:pPr>
      <w:pStyle w:val="55"/>
    </w:pPr>
    <w:r>
      <w:fldChar w:fldCharType="begin"/>
    </w:r>
    <w:r>
      <w:instrText xml:space="preserve">PAGE   \* MERGEFORMAT</w:instrText>
    </w:r>
    <w:r>
      <w:fldChar w:fldCharType="separate"/>
    </w:r>
    <w:r>
      <w:rPr>
        <w:lang w:val="zh-CN"/>
      </w:rPr>
      <w:t>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DDAA2E">
    <w:pPr>
      <w:pStyle w:val="54"/>
    </w:pPr>
    <w:r>
      <w:fldChar w:fldCharType="begin"/>
    </w:r>
    <w:r>
      <w:instrText xml:space="preserve"> PAGE   \* MERGEFORMAT \* MERGEFORMAT </w:instrText>
    </w:r>
    <w:r>
      <w:fldChar w:fldCharType="separate"/>
    </w:r>
    <w:r>
      <w:t>II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328BD2">
    <w:pPr>
      <w:pStyle w:val="55"/>
    </w:pPr>
    <w:r>
      <w:fldChar w:fldCharType="begin"/>
    </w:r>
    <w:r>
      <w:instrText xml:space="preserve">PAGE   \* MERGEFORMAT</w:instrText>
    </w:r>
    <w:r>
      <w:fldChar w:fldCharType="separate"/>
    </w:r>
    <w:r>
      <w:rPr>
        <w:lang w:val="zh-CN"/>
      </w:rPr>
      <w:t>3</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6E9073">
    <w:pPr>
      <w:pStyle w:val="54"/>
    </w:pPr>
    <w:r>
      <w:fldChar w:fldCharType="begin"/>
    </w:r>
    <w:r>
      <w:instrText xml:space="preserve"> PAGE   \* MERGEFORMAT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45B367">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B90513">
    <w:pPr>
      <w:pStyle w:val="64"/>
    </w:pPr>
    <w:r>
      <w:fldChar w:fldCharType="begin"/>
    </w:r>
    <w:r>
      <w:instrText xml:space="preserve"> STYLEREF  标准文件_文件编号  \* MERGEFORMAT </w:instrText>
    </w:r>
    <w:r>
      <w:fldChar w:fldCharType="separate"/>
    </w:r>
    <w:r>
      <w:t>T/GXAS XXXX—XXXX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0BADB9">
    <w:pPr>
      <w:pStyle w:val="65"/>
    </w:pPr>
    <w:r>
      <w:fldChar w:fldCharType="begin"/>
    </w:r>
    <w:r>
      <w:instrText xml:space="preserve"> STYLEREF  标准文件_文件编号 \* MERGEFORMAT </w:instrText>
    </w:r>
    <w:r>
      <w:fldChar w:fldCharType="separate"/>
    </w:r>
    <w:r>
      <w:t>T/GXAS XXXX—XXXX</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1DA6B8">
    <w:pPr>
      <w:pStyle w:val="64"/>
    </w:pPr>
    <w:r>
      <w:fldChar w:fldCharType="begin"/>
    </w:r>
    <w:r>
      <w:instrText xml:space="preserve"> STYLEREF  标准文件_文件编号  \* MERGEFORMAT </w:instrText>
    </w:r>
    <w:r>
      <w:fldChar w:fldCharType="separate"/>
    </w:r>
    <w:r>
      <w:t>T/GXAS XXXX—XXXX</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35E717">
    <w:pPr>
      <w:pStyle w:val="65"/>
    </w:pPr>
    <w:r>
      <w:fldChar w:fldCharType="begin"/>
    </w:r>
    <w:r>
      <w:instrText xml:space="preserve"> STYLEREF  标准文件_文件编号 \* MERGEFORMAT </w:instrText>
    </w:r>
    <w:r>
      <w:fldChar w:fldCharType="separate"/>
    </w:r>
    <w:r>
      <w:t>T/GXAS XXXX—XXXX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830888">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6DB6C">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32929C">
    <w:pPr>
      <w:pStyle w:val="64"/>
    </w:pPr>
    <w:r>
      <w:fldChar w:fldCharType="begin"/>
    </w:r>
    <w:r>
      <w:instrText xml:space="preserve"> STYLEREF  标准文件_文件编号  \* MERGEFORMAT </w:instrText>
    </w:r>
    <w:r>
      <w:fldChar w:fldCharType="separate"/>
    </w:r>
    <w:r>
      <w:t>T/GXAS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29D1DD">
    <w:pPr>
      <w:pStyle w:val="65"/>
    </w:pPr>
    <w:r>
      <w:fldChar w:fldCharType="begin"/>
    </w:r>
    <w:r>
      <w:instrText xml:space="preserve"> STYLEREF  标准文件_文件编号 \* MERGEFORMAT </w:instrText>
    </w:r>
    <w:r>
      <w:fldChar w:fldCharType="separate"/>
    </w:r>
    <w:r>
      <w:t>T/GXAS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C3FEE1">
    <w:pPr>
      <w:pStyle w:val="64"/>
    </w:pPr>
    <w:r>
      <w:fldChar w:fldCharType="begin"/>
    </w:r>
    <w:r>
      <w:instrText xml:space="preserve"> STYLEREF  标准文件_文件编号  \* MERGEFORMAT </w:instrText>
    </w:r>
    <w:r>
      <w:fldChar w:fldCharType="separate"/>
    </w:r>
    <w:r>
      <w:t>T/GXAS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D2939E">
    <w:pPr>
      <w:pStyle w:val="65"/>
    </w:pPr>
    <w:r>
      <w:fldChar w:fldCharType="begin"/>
    </w:r>
    <w:r>
      <w:instrText xml:space="preserve"> STYLEREF  标准文件_文件编号 \* MERGEFORMAT </w:instrText>
    </w:r>
    <w:r>
      <w:fldChar w:fldCharType="separate"/>
    </w:r>
    <w:r>
      <w:t>T/GXAS 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AE63C1">
    <w:pPr>
      <w:pStyle w:val="64"/>
    </w:pPr>
    <w:r>
      <w:fldChar w:fldCharType="begin"/>
    </w:r>
    <w:r>
      <w:instrText xml:space="preserve"> STYLEREF  标准文件_文件编号  \* MERGEFORMAT </w:instrText>
    </w:r>
    <w:r>
      <w:fldChar w:fldCharType="separate"/>
    </w:r>
    <w:r>
      <w:t>T/GXAS 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8E3D0D">
    <w:pPr>
      <w:pStyle w:val="65"/>
    </w:pPr>
    <w:r>
      <w:fldChar w:fldCharType="begin"/>
    </w:r>
    <w:r>
      <w:instrText xml:space="preserve"> STYLEREF  标准文件_文件编号 \* MERGEFORMAT </w:instrText>
    </w:r>
    <w:r>
      <w:fldChar w:fldCharType="separate"/>
    </w:r>
    <w:r>
      <w:t>T/GXAS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0" w:firstLine="0"/>
      </w:pPr>
      <w:rPr>
        <w:rFonts w:hint="eastAsia" w:ascii="黑体" w:eastAsia="黑体"/>
        <w:b w:val="0"/>
        <w:i w:val="0"/>
        <w:sz w:val="21"/>
      </w:rPr>
    </w:lvl>
    <w:lvl w:ilvl="2" w:tentative="0">
      <w:start w:val="1"/>
      <w:numFmt w:val="decimal"/>
      <w:pStyle w:val="10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8"/>
      <w:suff w:val="nothing"/>
      <w:lvlText w:val="%1%2.%3.%4　"/>
      <w:lvlJc w:val="left"/>
      <w:pPr>
        <w:ind w:left="283" w:firstLine="0"/>
      </w:pPr>
      <w:rPr>
        <w:rFonts w:hint="eastAsia" w:ascii="黑体" w:eastAsia="黑体"/>
        <w:b w:val="0"/>
        <w:i w:val="0"/>
        <w:sz w:val="21"/>
      </w:rPr>
    </w:lvl>
    <w:lvl w:ilvl="4" w:tentative="0">
      <w:start w:val="1"/>
      <w:numFmt w:val="decimal"/>
      <w:pStyle w:val="97"/>
      <w:suff w:val="nothing"/>
      <w:lvlText w:val="%1%2.%3.%4.%5　"/>
      <w:lvlJc w:val="left"/>
      <w:pPr>
        <w:ind w:left="0"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JjOTQxYzhjODMyMDAzZmE0MDJkMWFkNmJlNDkwYTUifQ=="/>
  </w:docVars>
  <w:rsids>
    <w:rsidRoot w:val="00796D1D"/>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1455"/>
    <w:rsid w:val="0003316C"/>
    <w:rsid w:val="000331D3"/>
    <w:rsid w:val="000346A5"/>
    <w:rsid w:val="00034B74"/>
    <w:rsid w:val="000359C3"/>
    <w:rsid w:val="00035A7D"/>
    <w:rsid w:val="000365ED"/>
    <w:rsid w:val="0004249A"/>
    <w:rsid w:val="00043282"/>
    <w:rsid w:val="00044286"/>
    <w:rsid w:val="000447C2"/>
    <w:rsid w:val="00046700"/>
    <w:rsid w:val="00046FD2"/>
    <w:rsid w:val="00047F28"/>
    <w:rsid w:val="000503AA"/>
    <w:rsid w:val="000506A1"/>
    <w:rsid w:val="000515DD"/>
    <w:rsid w:val="0005265A"/>
    <w:rsid w:val="000539DD"/>
    <w:rsid w:val="00053BD3"/>
    <w:rsid w:val="000556ED"/>
    <w:rsid w:val="00055FE2"/>
    <w:rsid w:val="0005616F"/>
    <w:rsid w:val="00056903"/>
    <w:rsid w:val="00060C2E"/>
    <w:rsid w:val="00061033"/>
    <w:rsid w:val="000619E9"/>
    <w:rsid w:val="000622D4"/>
    <w:rsid w:val="0006357D"/>
    <w:rsid w:val="000638DD"/>
    <w:rsid w:val="00067F1E"/>
    <w:rsid w:val="00071CC0"/>
    <w:rsid w:val="00071CFC"/>
    <w:rsid w:val="00073C8C"/>
    <w:rsid w:val="00074CDF"/>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1CC2"/>
    <w:rsid w:val="000A296B"/>
    <w:rsid w:val="000A7311"/>
    <w:rsid w:val="000A7CD4"/>
    <w:rsid w:val="000B060F"/>
    <w:rsid w:val="000B1592"/>
    <w:rsid w:val="000B1FF2"/>
    <w:rsid w:val="000B22FC"/>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4ECE"/>
    <w:rsid w:val="000D753B"/>
    <w:rsid w:val="000E4C9E"/>
    <w:rsid w:val="000E6FD7"/>
    <w:rsid w:val="000E7144"/>
    <w:rsid w:val="000F06E1"/>
    <w:rsid w:val="000F0E3C"/>
    <w:rsid w:val="000F19D5"/>
    <w:rsid w:val="000F2221"/>
    <w:rsid w:val="000F4050"/>
    <w:rsid w:val="000F4AEA"/>
    <w:rsid w:val="000F67E9"/>
    <w:rsid w:val="00104926"/>
    <w:rsid w:val="00113050"/>
    <w:rsid w:val="00113AF6"/>
    <w:rsid w:val="00113B1E"/>
    <w:rsid w:val="001153B3"/>
    <w:rsid w:val="0011711C"/>
    <w:rsid w:val="00121933"/>
    <w:rsid w:val="00122256"/>
    <w:rsid w:val="00124E4F"/>
    <w:rsid w:val="001260B7"/>
    <w:rsid w:val="001265CB"/>
    <w:rsid w:val="001273A5"/>
    <w:rsid w:val="001321C6"/>
    <w:rsid w:val="001325C4"/>
    <w:rsid w:val="00133010"/>
    <w:rsid w:val="001338EE"/>
    <w:rsid w:val="00133AAE"/>
    <w:rsid w:val="00135323"/>
    <w:rsid w:val="001356C4"/>
    <w:rsid w:val="00137565"/>
    <w:rsid w:val="00141114"/>
    <w:rsid w:val="00142969"/>
    <w:rsid w:val="00142F4E"/>
    <w:rsid w:val="001446C2"/>
    <w:rsid w:val="001457E7"/>
    <w:rsid w:val="00145D9D"/>
    <w:rsid w:val="00146388"/>
    <w:rsid w:val="001529E5"/>
    <w:rsid w:val="00152A14"/>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777EE"/>
    <w:rsid w:val="001852C9"/>
    <w:rsid w:val="00187A0B"/>
    <w:rsid w:val="00187D75"/>
    <w:rsid w:val="00190087"/>
    <w:rsid w:val="001913C4"/>
    <w:rsid w:val="0019348F"/>
    <w:rsid w:val="00193A07"/>
    <w:rsid w:val="00194C95"/>
    <w:rsid w:val="00195C34"/>
    <w:rsid w:val="00196EF5"/>
    <w:rsid w:val="001A1A53"/>
    <w:rsid w:val="001A234A"/>
    <w:rsid w:val="001A30A3"/>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6C4D"/>
    <w:rsid w:val="001E0153"/>
    <w:rsid w:val="001E1B33"/>
    <w:rsid w:val="001E1B6A"/>
    <w:rsid w:val="001E2484"/>
    <w:rsid w:val="001E3CC4"/>
    <w:rsid w:val="001E4882"/>
    <w:rsid w:val="001E73AB"/>
    <w:rsid w:val="001F092D"/>
    <w:rsid w:val="001F10CE"/>
    <w:rsid w:val="001F143A"/>
    <w:rsid w:val="001F1605"/>
    <w:rsid w:val="001F2508"/>
    <w:rsid w:val="001F4816"/>
    <w:rsid w:val="001F69B4"/>
    <w:rsid w:val="001F77C7"/>
    <w:rsid w:val="00200183"/>
    <w:rsid w:val="00200333"/>
    <w:rsid w:val="0020107D"/>
    <w:rsid w:val="00202AA4"/>
    <w:rsid w:val="002031F7"/>
    <w:rsid w:val="002040E6"/>
    <w:rsid w:val="0020527B"/>
    <w:rsid w:val="00205DF1"/>
    <w:rsid w:val="00205F2C"/>
    <w:rsid w:val="00210B15"/>
    <w:rsid w:val="00212AEB"/>
    <w:rsid w:val="002142EA"/>
    <w:rsid w:val="002150B5"/>
    <w:rsid w:val="00215ADD"/>
    <w:rsid w:val="002204BB"/>
    <w:rsid w:val="00221B79"/>
    <w:rsid w:val="00221C6B"/>
    <w:rsid w:val="00222A8E"/>
    <w:rsid w:val="00224717"/>
    <w:rsid w:val="002253A1"/>
    <w:rsid w:val="00225CF8"/>
    <w:rsid w:val="0022794E"/>
    <w:rsid w:val="00231013"/>
    <w:rsid w:val="00232579"/>
    <w:rsid w:val="00233D64"/>
    <w:rsid w:val="0023482A"/>
    <w:rsid w:val="0023501A"/>
    <w:rsid w:val="002359CB"/>
    <w:rsid w:val="00237725"/>
    <w:rsid w:val="002424DA"/>
    <w:rsid w:val="00243540"/>
    <w:rsid w:val="0024497B"/>
    <w:rsid w:val="00244D5F"/>
    <w:rsid w:val="0024515B"/>
    <w:rsid w:val="00246021"/>
    <w:rsid w:val="0024666E"/>
    <w:rsid w:val="00246FA2"/>
    <w:rsid w:val="00247F52"/>
    <w:rsid w:val="00250B25"/>
    <w:rsid w:val="00250BBE"/>
    <w:rsid w:val="002515C2"/>
    <w:rsid w:val="0025194F"/>
    <w:rsid w:val="002560B3"/>
    <w:rsid w:val="0026148A"/>
    <w:rsid w:val="00262696"/>
    <w:rsid w:val="00263D25"/>
    <w:rsid w:val="00263D8E"/>
    <w:rsid w:val="002643C3"/>
    <w:rsid w:val="00264A0C"/>
    <w:rsid w:val="00266EEB"/>
    <w:rsid w:val="00267EF4"/>
    <w:rsid w:val="00270BFB"/>
    <w:rsid w:val="00270CB8"/>
    <w:rsid w:val="0027145F"/>
    <w:rsid w:val="00272B08"/>
    <w:rsid w:val="002742D2"/>
    <w:rsid w:val="00277DBA"/>
    <w:rsid w:val="00281BB8"/>
    <w:rsid w:val="00281E9E"/>
    <w:rsid w:val="00282405"/>
    <w:rsid w:val="00285170"/>
    <w:rsid w:val="00285361"/>
    <w:rsid w:val="00291CFC"/>
    <w:rsid w:val="00292D60"/>
    <w:rsid w:val="00293B30"/>
    <w:rsid w:val="00294D34"/>
    <w:rsid w:val="00294E3B"/>
    <w:rsid w:val="00295520"/>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C63"/>
    <w:rsid w:val="002A7F44"/>
    <w:rsid w:val="002B0C40"/>
    <w:rsid w:val="002B1966"/>
    <w:rsid w:val="002B4508"/>
    <w:rsid w:val="002B5779"/>
    <w:rsid w:val="002B7332"/>
    <w:rsid w:val="002B7F51"/>
    <w:rsid w:val="002C09E7"/>
    <w:rsid w:val="002C1E06"/>
    <w:rsid w:val="002C3F07"/>
    <w:rsid w:val="002C5278"/>
    <w:rsid w:val="002C7EBB"/>
    <w:rsid w:val="002D06C1"/>
    <w:rsid w:val="002D07F1"/>
    <w:rsid w:val="002D262F"/>
    <w:rsid w:val="002D42B5"/>
    <w:rsid w:val="002D4BF4"/>
    <w:rsid w:val="002D4F1A"/>
    <w:rsid w:val="002D6EC6"/>
    <w:rsid w:val="002D79AC"/>
    <w:rsid w:val="002E039D"/>
    <w:rsid w:val="002E450C"/>
    <w:rsid w:val="002E4A73"/>
    <w:rsid w:val="002E4D5A"/>
    <w:rsid w:val="002E6326"/>
    <w:rsid w:val="002F30E0"/>
    <w:rsid w:val="002F35E4"/>
    <w:rsid w:val="002F3730"/>
    <w:rsid w:val="002F38E1"/>
    <w:rsid w:val="002F6E48"/>
    <w:rsid w:val="002F7AF6"/>
    <w:rsid w:val="00300E63"/>
    <w:rsid w:val="00302F5F"/>
    <w:rsid w:val="0030441D"/>
    <w:rsid w:val="00306063"/>
    <w:rsid w:val="00313B85"/>
    <w:rsid w:val="003151CB"/>
    <w:rsid w:val="00317988"/>
    <w:rsid w:val="003221B4"/>
    <w:rsid w:val="0032258D"/>
    <w:rsid w:val="00322E62"/>
    <w:rsid w:val="00324D13"/>
    <w:rsid w:val="00324DAE"/>
    <w:rsid w:val="00324EDD"/>
    <w:rsid w:val="003331E4"/>
    <w:rsid w:val="00336C64"/>
    <w:rsid w:val="00337162"/>
    <w:rsid w:val="0034194F"/>
    <w:rsid w:val="00344605"/>
    <w:rsid w:val="003474AA"/>
    <w:rsid w:val="00350D1D"/>
    <w:rsid w:val="00350E7D"/>
    <w:rsid w:val="00352C83"/>
    <w:rsid w:val="00352F1A"/>
    <w:rsid w:val="0035554E"/>
    <w:rsid w:val="00360976"/>
    <w:rsid w:val="0036107C"/>
    <w:rsid w:val="003615D2"/>
    <w:rsid w:val="00361B5A"/>
    <w:rsid w:val="0036429C"/>
    <w:rsid w:val="00364A53"/>
    <w:rsid w:val="003654CB"/>
    <w:rsid w:val="00365AA9"/>
    <w:rsid w:val="00365F86"/>
    <w:rsid w:val="00365F87"/>
    <w:rsid w:val="00366097"/>
    <w:rsid w:val="00366E89"/>
    <w:rsid w:val="003705F4"/>
    <w:rsid w:val="00370D58"/>
    <w:rsid w:val="00371316"/>
    <w:rsid w:val="0037331C"/>
    <w:rsid w:val="003733D2"/>
    <w:rsid w:val="00376713"/>
    <w:rsid w:val="00381815"/>
    <w:rsid w:val="003819AF"/>
    <w:rsid w:val="003820E9"/>
    <w:rsid w:val="00382DE7"/>
    <w:rsid w:val="00384FFC"/>
    <w:rsid w:val="003872FC"/>
    <w:rsid w:val="00387ADC"/>
    <w:rsid w:val="00390020"/>
    <w:rsid w:val="003903D6"/>
    <w:rsid w:val="00390411"/>
    <w:rsid w:val="003906F2"/>
    <w:rsid w:val="00390EE6"/>
    <w:rsid w:val="0039118F"/>
    <w:rsid w:val="00392AD7"/>
    <w:rsid w:val="003934A5"/>
    <w:rsid w:val="003938D9"/>
    <w:rsid w:val="00394376"/>
    <w:rsid w:val="003943FF"/>
    <w:rsid w:val="003974EB"/>
    <w:rsid w:val="00397CC5"/>
    <w:rsid w:val="003A11D1"/>
    <w:rsid w:val="003A1582"/>
    <w:rsid w:val="003A3D9C"/>
    <w:rsid w:val="003A3F2E"/>
    <w:rsid w:val="003A4077"/>
    <w:rsid w:val="003A426B"/>
    <w:rsid w:val="003A44E6"/>
    <w:rsid w:val="003A4AA7"/>
    <w:rsid w:val="003A5025"/>
    <w:rsid w:val="003B09AD"/>
    <w:rsid w:val="003B1153"/>
    <w:rsid w:val="003B1F18"/>
    <w:rsid w:val="003B5BF0"/>
    <w:rsid w:val="003B60BF"/>
    <w:rsid w:val="003B6BE3"/>
    <w:rsid w:val="003C010C"/>
    <w:rsid w:val="003C0A6C"/>
    <w:rsid w:val="003C14F8"/>
    <w:rsid w:val="003C4B90"/>
    <w:rsid w:val="003C5A43"/>
    <w:rsid w:val="003C77DA"/>
    <w:rsid w:val="003D0519"/>
    <w:rsid w:val="003D0FF6"/>
    <w:rsid w:val="003D262C"/>
    <w:rsid w:val="003D3743"/>
    <w:rsid w:val="003D6D61"/>
    <w:rsid w:val="003E019F"/>
    <w:rsid w:val="003E091D"/>
    <w:rsid w:val="003E1C53"/>
    <w:rsid w:val="003E2A69"/>
    <w:rsid w:val="003E2D49"/>
    <w:rsid w:val="003E2FD4"/>
    <w:rsid w:val="003E3438"/>
    <w:rsid w:val="003E49F6"/>
    <w:rsid w:val="003E660F"/>
    <w:rsid w:val="003F0841"/>
    <w:rsid w:val="003F203D"/>
    <w:rsid w:val="003F23D3"/>
    <w:rsid w:val="003F3F08"/>
    <w:rsid w:val="003F49F1"/>
    <w:rsid w:val="003F6272"/>
    <w:rsid w:val="00400E72"/>
    <w:rsid w:val="00401400"/>
    <w:rsid w:val="0040342C"/>
    <w:rsid w:val="00404869"/>
    <w:rsid w:val="00405884"/>
    <w:rsid w:val="00407D39"/>
    <w:rsid w:val="00414271"/>
    <w:rsid w:val="00414428"/>
    <w:rsid w:val="0041477A"/>
    <w:rsid w:val="004154EB"/>
    <w:rsid w:val="004167A3"/>
    <w:rsid w:val="00430DCE"/>
    <w:rsid w:val="00432DAA"/>
    <w:rsid w:val="00434305"/>
    <w:rsid w:val="00435DF7"/>
    <w:rsid w:val="0043741A"/>
    <w:rsid w:val="0044083F"/>
    <w:rsid w:val="00441AE7"/>
    <w:rsid w:val="00445574"/>
    <w:rsid w:val="004467FB"/>
    <w:rsid w:val="00447FA7"/>
    <w:rsid w:val="00452D6B"/>
    <w:rsid w:val="00453940"/>
    <w:rsid w:val="00454484"/>
    <w:rsid w:val="0045517B"/>
    <w:rsid w:val="00456213"/>
    <w:rsid w:val="00463B77"/>
    <w:rsid w:val="00463C7B"/>
    <w:rsid w:val="004644A6"/>
    <w:rsid w:val="004659BD"/>
    <w:rsid w:val="00470775"/>
    <w:rsid w:val="00473D02"/>
    <w:rsid w:val="0047426B"/>
    <w:rsid w:val="004746B1"/>
    <w:rsid w:val="0047583F"/>
    <w:rsid w:val="00475DE8"/>
    <w:rsid w:val="00480CE8"/>
    <w:rsid w:val="00481C44"/>
    <w:rsid w:val="00484936"/>
    <w:rsid w:val="00485C89"/>
    <w:rsid w:val="00486BE3"/>
    <w:rsid w:val="004905E4"/>
    <w:rsid w:val="00490A89"/>
    <w:rsid w:val="00490AB4"/>
    <w:rsid w:val="004927AC"/>
    <w:rsid w:val="00492F02"/>
    <w:rsid w:val="004939AE"/>
    <w:rsid w:val="004A12DF"/>
    <w:rsid w:val="004A1BA8"/>
    <w:rsid w:val="004A4B57"/>
    <w:rsid w:val="004A63FA"/>
    <w:rsid w:val="004A6A3D"/>
    <w:rsid w:val="004B0272"/>
    <w:rsid w:val="004B2701"/>
    <w:rsid w:val="004B2E1B"/>
    <w:rsid w:val="004B3AA8"/>
    <w:rsid w:val="004B3E93"/>
    <w:rsid w:val="004C0797"/>
    <w:rsid w:val="004C132E"/>
    <w:rsid w:val="004C1FBC"/>
    <w:rsid w:val="004C25A2"/>
    <w:rsid w:val="004C2EFD"/>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3AA"/>
    <w:rsid w:val="004E24EA"/>
    <w:rsid w:val="004E30C5"/>
    <w:rsid w:val="004E4AA5"/>
    <w:rsid w:val="004E4AEE"/>
    <w:rsid w:val="004E59E3"/>
    <w:rsid w:val="004E67C0"/>
    <w:rsid w:val="004F391A"/>
    <w:rsid w:val="004F3CFB"/>
    <w:rsid w:val="004F6456"/>
    <w:rsid w:val="004F696E"/>
    <w:rsid w:val="004F6C71"/>
    <w:rsid w:val="005000CD"/>
    <w:rsid w:val="005008C2"/>
    <w:rsid w:val="00501139"/>
    <w:rsid w:val="005011FA"/>
    <w:rsid w:val="0050363E"/>
    <w:rsid w:val="005039BC"/>
    <w:rsid w:val="005043BB"/>
    <w:rsid w:val="00504A3D"/>
    <w:rsid w:val="00505767"/>
    <w:rsid w:val="005073F0"/>
    <w:rsid w:val="00510A7B"/>
    <w:rsid w:val="00512F6E"/>
    <w:rsid w:val="00513038"/>
    <w:rsid w:val="00514174"/>
    <w:rsid w:val="00516088"/>
    <w:rsid w:val="00516B0B"/>
    <w:rsid w:val="00521EC2"/>
    <w:rsid w:val="005220EC"/>
    <w:rsid w:val="00523F95"/>
    <w:rsid w:val="00524D65"/>
    <w:rsid w:val="00525B16"/>
    <w:rsid w:val="005260C7"/>
    <w:rsid w:val="00533D04"/>
    <w:rsid w:val="00534804"/>
    <w:rsid w:val="00534BDF"/>
    <w:rsid w:val="005354EA"/>
    <w:rsid w:val="0053585F"/>
    <w:rsid w:val="00535EC4"/>
    <w:rsid w:val="00535ED9"/>
    <w:rsid w:val="0053692B"/>
    <w:rsid w:val="00541853"/>
    <w:rsid w:val="00543A24"/>
    <w:rsid w:val="00543BDA"/>
    <w:rsid w:val="00544140"/>
    <w:rsid w:val="005441CC"/>
    <w:rsid w:val="005468C9"/>
    <w:rsid w:val="00547676"/>
    <w:rsid w:val="005479DA"/>
    <w:rsid w:val="00547BCC"/>
    <w:rsid w:val="0055013B"/>
    <w:rsid w:val="00551F6F"/>
    <w:rsid w:val="00555044"/>
    <w:rsid w:val="005558C9"/>
    <w:rsid w:val="00561475"/>
    <w:rsid w:val="00562308"/>
    <w:rsid w:val="005629F3"/>
    <w:rsid w:val="0056487B"/>
    <w:rsid w:val="00564FB9"/>
    <w:rsid w:val="00573D9E"/>
    <w:rsid w:val="005800E0"/>
    <w:rsid w:val="005801E3"/>
    <w:rsid w:val="00581802"/>
    <w:rsid w:val="005836A8"/>
    <w:rsid w:val="0058409C"/>
    <w:rsid w:val="00584262"/>
    <w:rsid w:val="0058658B"/>
    <w:rsid w:val="00586630"/>
    <w:rsid w:val="00587ADD"/>
    <w:rsid w:val="00593A49"/>
    <w:rsid w:val="00596160"/>
    <w:rsid w:val="005966E2"/>
    <w:rsid w:val="00597007"/>
    <w:rsid w:val="005973DD"/>
    <w:rsid w:val="005A0966"/>
    <w:rsid w:val="005A11B7"/>
    <w:rsid w:val="005A260B"/>
    <w:rsid w:val="005A4A1B"/>
    <w:rsid w:val="005A6B86"/>
    <w:rsid w:val="005A6EFC"/>
    <w:rsid w:val="005A7830"/>
    <w:rsid w:val="005A7FCE"/>
    <w:rsid w:val="005B0F3F"/>
    <w:rsid w:val="005B191C"/>
    <w:rsid w:val="005B4903"/>
    <w:rsid w:val="005B51CE"/>
    <w:rsid w:val="005B5885"/>
    <w:rsid w:val="005B5CD7"/>
    <w:rsid w:val="005B6CF6"/>
    <w:rsid w:val="005B7422"/>
    <w:rsid w:val="005B7EB5"/>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8D0"/>
    <w:rsid w:val="00652AB2"/>
    <w:rsid w:val="00653FED"/>
    <w:rsid w:val="00654EC0"/>
    <w:rsid w:val="0065525B"/>
    <w:rsid w:val="0065557C"/>
    <w:rsid w:val="00655D4F"/>
    <w:rsid w:val="00656D29"/>
    <w:rsid w:val="00660CAE"/>
    <w:rsid w:val="00661F05"/>
    <w:rsid w:val="006640E5"/>
    <w:rsid w:val="006646F1"/>
    <w:rsid w:val="00664929"/>
    <w:rsid w:val="00664F62"/>
    <w:rsid w:val="006655E1"/>
    <w:rsid w:val="00672060"/>
    <w:rsid w:val="00672BFD"/>
    <w:rsid w:val="006770F4"/>
    <w:rsid w:val="00677A84"/>
    <w:rsid w:val="0068026D"/>
    <w:rsid w:val="006802DF"/>
    <w:rsid w:val="00680A27"/>
    <w:rsid w:val="006816A4"/>
    <w:rsid w:val="006819B8"/>
    <w:rsid w:val="006840A6"/>
    <w:rsid w:val="006850CD"/>
    <w:rsid w:val="00685AAB"/>
    <w:rsid w:val="006869FB"/>
    <w:rsid w:val="0068744D"/>
    <w:rsid w:val="00693962"/>
    <w:rsid w:val="006A07AA"/>
    <w:rsid w:val="006A1D22"/>
    <w:rsid w:val="006A25E5"/>
    <w:rsid w:val="006A2B46"/>
    <w:rsid w:val="006A336D"/>
    <w:rsid w:val="006A37B9"/>
    <w:rsid w:val="006A3C07"/>
    <w:rsid w:val="006A629A"/>
    <w:rsid w:val="006B2672"/>
    <w:rsid w:val="006B2865"/>
    <w:rsid w:val="006B4AAA"/>
    <w:rsid w:val="006B53EC"/>
    <w:rsid w:val="006B54BF"/>
    <w:rsid w:val="006B5F44"/>
    <w:rsid w:val="006B5F90"/>
    <w:rsid w:val="006B62E4"/>
    <w:rsid w:val="006B7213"/>
    <w:rsid w:val="006C1BBA"/>
    <w:rsid w:val="006C2079"/>
    <w:rsid w:val="006C5A62"/>
    <w:rsid w:val="006C5D68"/>
    <w:rsid w:val="006C6976"/>
    <w:rsid w:val="006C6DD0"/>
    <w:rsid w:val="006C7406"/>
    <w:rsid w:val="006D04EA"/>
    <w:rsid w:val="006D16C4"/>
    <w:rsid w:val="006D3E96"/>
    <w:rsid w:val="006D4515"/>
    <w:rsid w:val="006D4BB1"/>
    <w:rsid w:val="006D5AF5"/>
    <w:rsid w:val="006D6593"/>
    <w:rsid w:val="006E1707"/>
    <w:rsid w:val="006E1E7D"/>
    <w:rsid w:val="006F03A8"/>
    <w:rsid w:val="006F2ACA"/>
    <w:rsid w:val="006F2ADC"/>
    <w:rsid w:val="006F2BFE"/>
    <w:rsid w:val="006F31E9"/>
    <w:rsid w:val="006F6284"/>
    <w:rsid w:val="007002C5"/>
    <w:rsid w:val="00704387"/>
    <w:rsid w:val="00707669"/>
    <w:rsid w:val="00707DD2"/>
    <w:rsid w:val="00711CBA"/>
    <w:rsid w:val="00711FB5"/>
    <w:rsid w:val="00712A01"/>
    <w:rsid w:val="00714F58"/>
    <w:rsid w:val="00722FBF"/>
    <w:rsid w:val="00722FC2"/>
    <w:rsid w:val="00724E1B"/>
    <w:rsid w:val="00725949"/>
    <w:rsid w:val="0072789D"/>
    <w:rsid w:val="00727FA2"/>
    <w:rsid w:val="007322D9"/>
    <w:rsid w:val="00732BC0"/>
    <w:rsid w:val="00734055"/>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1EE6"/>
    <w:rsid w:val="00752B4D"/>
    <w:rsid w:val="00755402"/>
    <w:rsid w:val="00755F2F"/>
    <w:rsid w:val="00756B26"/>
    <w:rsid w:val="00756EDF"/>
    <w:rsid w:val="007600E3"/>
    <w:rsid w:val="00765C43"/>
    <w:rsid w:val="00765EFB"/>
    <w:rsid w:val="007671CA"/>
    <w:rsid w:val="00767C61"/>
    <w:rsid w:val="0077008A"/>
    <w:rsid w:val="00773C1F"/>
    <w:rsid w:val="00774DA4"/>
    <w:rsid w:val="00776599"/>
    <w:rsid w:val="00780B0E"/>
    <w:rsid w:val="0078114B"/>
    <w:rsid w:val="00781DD2"/>
    <w:rsid w:val="0078378F"/>
    <w:rsid w:val="007837D7"/>
    <w:rsid w:val="00783ECF"/>
    <w:rsid w:val="0078413A"/>
    <w:rsid w:val="007959E8"/>
    <w:rsid w:val="00795E9C"/>
    <w:rsid w:val="00796D1D"/>
    <w:rsid w:val="007A0521"/>
    <w:rsid w:val="007A2E12"/>
    <w:rsid w:val="007A3475"/>
    <w:rsid w:val="007A41C8"/>
    <w:rsid w:val="007A54CE"/>
    <w:rsid w:val="007A5D3A"/>
    <w:rsid w:val="007A6FD9"/>
    <w:rsid w:val="007A7FFA"/>
    <w:rsid w:val="007B0210"/>
    <w:rsid w:val="007B04EB"/>
    <w:rsid w:val="007B0D4F"/>
    <w:rsid w:val="007B1886"/>
    <w:rsid w:val="007B5A3D"/>
    <w:rsid w:val="007B5B95"/>
    <w:rsid w:val="007B6032"/>
    <w:rsid w:val="007B68EA"/>
    <w:rsid w:val="007B7453"/>
    <w:rsid w:val="007C076B"/>
    <w:rsid w:val="007C2D89"/>
    <w:rsid w:val="007C4593"/>
    <w:rsid w:val="007C5309"/>
    <w:rsid w:val="007C6069"/>
    <w:rsid w:val="007D06C4"/>
    <w:rsid w:val="007D1352"/>
    <w:rsid w:val="007D2508"/>
    <w:rsid w:val="007D346A"/>
    <w:rsid w:val="007D6518"/>
    <w:rsid w:val="007D76BD"/>
    <w:rsid w:val="007E0BF1"/>
    <w:rsid w:val="007E1DC6"/>
    <w:rsid w:val="007E3943"/>
    <w:rsid w:val="007F0ED8"/>
    <w:rsid w:val="007F0F63"/>
    <w:rsid w:val="007F3DAB"/>
    <w:rsid w:val="007F4390"/>
    <w:rsid w:val="007F69AC"/>
    <w:rsid w:val="007F75CE"/>
    <w:rsid w:val="008013A4"/>
    <w:rsid w:val="008027CE"/>
    <w:rsid w:val="00802F42"/>
    <w:rsid w:val="00804383"/>
    <w:rsid w:val="00804BB7"/>
    <w:rsid w:val="00804D41"/>
    <w:rsid w:val="00806373"/>
    <w:rsid w:val="00806BC9"/>
    <w:rsid w:val="00810257"/>
    <w:rsid w:val="008104F5"/>
    <w:rsid w:val="00811072"/>
    <w:rsid w:val="00811369"/>
    <w:rsid w:val="008125D7"/>
    <w:rsid w:val="00813FEA"/>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5C94"/>
    <w:rsid w:val="008373D3"/>
    <w:rsid w:val="00837FB0"/>
    <w:rsid w:val="00840617"/>
    <w:rsid w:val="00840F84"/>
    <w:rsid w:val="00842928"/>
    <w:rsid w:val="00842A47"/>
    <w:rsid w:val="008439A8"/>
    <w:rsid w:val="00843C13"/>
    <w:rsid w:val="00843DEF"/>
    <w:rsid w:val="0084477B"/>
    <w:rsid w:val="00844E3E"/>
    <w:rsid w:val="008454F8"/>
    <w:rsid w:val="00847FE7"/>
    <w:rsid w:val="0085173A"/>
    <w:rsid w:val="008603CE"/>
    <w:rsid w:val="008620FC"/>
    <w:rsid w:val="008627A5"/>
    <w:rsid w:val="00863E05"/>
    <w:rsid w:val="00865ACA"/>
    <w:rsid w:val="00865D28"/>
    <w:rsid w:val="00865F85"/>
    <w:rsid w:val="00867C10"/>
    <w:rsid w:val="00870439"/>
    <w:rsid w:val="00870DA1"/>
    <w:rsid w:val="00874B00"/>
    <w:rsid w:val="00876B91"/>
    <w:rsid w:val="00880F7A"/>
    <w:rsid w:val="00883F93"/>
    <w:rsid w:val="00884DB3"/>
    <w:rsid w:val="00885A9D"/>
    <w:rsid w:val="008864F6"/>
    <w:rsid w:val="0089049D"/>
    <w:rsid w:val="008904D4"/>
    <w:rsid w:val="008928C9"/>
    <w:rsid w:val="008930CB"/>
    <w:rsid w:val="008932E8"/>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2F90"/>
    <w:rsid w:val="008B3615"/>
    <w:rsid w:val="008B4AC4"/>
    <w:rsid w:val="008B50C8"/>
    <w:rsid w:val="008B5281"/>
    <w:rsid w:val="008B6C30"/>
    <w:rsid w:val="008B79AF"/>
    <w:rsid w:val="008B7E05"/>
    <w:rsid w:val="008C1797"/>
    <w:rsid w:val="008C219C"/>
    <w:rsid w:val="008C475E"/>
    <w:rsid w:val="008C5126"/>
    <w:rsid w:val="008C5731"/>
    <w:rsid w:val="008C619A"/>
    <w:rsid w:val="008D0CE8"/>
    <w:rsid w:val="008D2D1D"/>
    <w:rsid w:val="008D453D"/>
    <w:rsid w:val="008D53AD"/>
    <w:rsid w:val="008D562B"/>
    <w:rsid w:val="008D5733"/>
    <w:rsid w:val="008D622B"/>
    <w:rsid w:val="008D666C"/>
    <w:rsid w:val="008D6C19"/>
    <w:rsid w:val="008D7B54"/>
    <w:rsid w:val="008E0C9D"/>
    <w:rsid w:val="008E0F00"/>
    <w:rsid w:val="008E1648"/>
    <w:rsid w:val="008E1B3E"/>
    <w:rsid w:val="008E2319"/>
    <w:rsid w:val="008E3DF5"/>
    <w:rsid w:val="008E4BB6"/>
    <w:rsid w:val="008E5518"/>
    <w:rsid w:val="008E6A84"/>
    <w:rsid w:val="008F0CDC"/>
    <w:rsid w:val="008F17A3"/>
    <w:rsid w:val="008F1ED3"/>
    <w:rsid w:val="008F4C29"/>
    <w:rsid w:val="008F57BE"/>
    <w:rsid w:val="008F70BD"/>
    <w:rsid w:val="008F788F"/>
    <w:rsid w:val="008F7EA2"/>
    <w:rsid w:val="00902722"/>
    <w:rsid w:val="009027BC"/>
    <w:rsid w:val="009029EB"/>
    <w:rsid w:val="009062E6"/>
    <w:rsid w:val="00910ACA"/>
    <w:rsid w:val="00911BE5"/>
    <w:rsid w:val="00913CA9"/>
    <w:rsid w:val="009145AE"/>
    <w:rsid w:val="009146CE"/>
    <w:rsid w:val="00914CA7"/>
    <w:rsid w:val="00915C3E"/>
    <w:rsid w:val="009161A8"/>
    <w:rsid w:val="00922976"/>
    <w:rsid w:val="009245AE"/>
    <w:rsid w:val="009245F5"/>
    <w:rsid w:val="009249EC"/>
    <w:rsid w:val="009273B3"/>
    <w:rsid w:val="009305B5"/>
    <w:rsid w:val="009378DD"/>
    <w:rsid w:val="009429D5"/>
    <w:rsid w:val="00942BF1"/>
    <w:rsid w:val="00945180"/>
    <w:rsid w:val="00945428"/>
    <w:rsid w:val="0094607B"/>
    <w:rsid w:val="009509EC"/>
    <w:rsid w:val="00953604"/>
    <w:rsid w:val="0095441F"/>
    <w:rsid w:val="0095496B"/>
    <w:rsid w:val="00960F1E"/>
    <w:rsid w:val="009610DC"/>
    <w:rsid w:val="00961490"/>
    <w:rsid w:val="0096381A"/>
    <w:rsid w:val="00964F9A"/>
    <w:rsid w:val="00965E04"/>
    <w:rsid w:val="009674AD"/>
    <w:rsid w:val="00970CDC"/>
    <w:rsid w:val="00975727"/>
    <w:rsid w:val="00977010"/>
    <w:rsid w:val="00977D02"/>
    <w:rsid w:val="00977FF9"/>
    <w:rsid w:val="009809BB"/>
    <w:rsid w:val="00982913"/>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146B"/>
    <w:rsid w:val="009B6029"/>
    <w:rsid w:val="009B6971"/>
    <w:rsid w:val="009C27F1"/>
    <w:rsid w:val="009C3152"/>
    <w:rsid w:val="009C3257"/>
    <w:rsid w:val="009C4CFA"/>
    <w:rsid w:val="009C5070"/>
    <w:rsid w:val="009D112C"/>
    <w:rsid w:val="009D1385"/>
    <w:rsid w:val="009D47FA"/>
    <w:rsid w:val="009D4C5B"/>
    <w:rsid w:val="009D50D2"/>
    <w:rsid w:val="009D6BCA"/>
    <w:rsid w:val="009D780E"/>
    <w:rsid w:val="009D7B74"/>
    <w:rsid w:val="009E0F62"/>
    <w:rsid w:val="009E20DE"/>
    <w:rsid w:val="009E4A58"/>
    <w:rsid w:val="009E5A2D"/>
    <w:rsid w:val="009E5AB2"/>
    <w:rsid w:val="009E6219"/>
    <w:rsid w:val="009F03B3"/>
    <w:rsid w:val="009F4A06"/>
    <w:rsid w:val="00A0096C"/>
    <w:rsid w:val="00A01757"/>
    <w:rsid w:val="00A028C0"/>
    <w:rsid w:val="00A02BAE"/>
    <w:rsid w:val="00A02C0B"/>
    <w:rsid w:val="00A04097"/>
    <w:rsid w:val="00A06A6B"/>
    <w:rsid w:val="00A07E47"/>
    <w:rsid w:val="00A129D0"/>
    <w:rsid w:val="00A12C33"/>
    <w:rsid w:val="00A138BA"/>
    <w:rsid w:val="00A14C8E"/>
    <w:rsid w:val="00A153D9"/>
    <w:rsid w:val="00A15F09"/>
    <w:rsid w:val="00A169B6"/>
    <w:rsid w:val="00A2271D"/>
    <w:rsid w:val="00A237D5"/>
    <w:rsid w:val="00A2399B"/>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47E7B"/>
    <w:rsid w:val="00A51C42"/>
    <w:rsid w:val="00A55B4A"/>
    <w:rsid w:val="00A55BD6"/>
    <w:rsid w:val="00A55D50"/>
    <w:rsid w:val="00A57142"/>
    <w:rsid w:val="00A63D19"/>
    <w:rsid w:val="00A648CD"/>
    <w:rsid w:val="00A6537A"/>
    <w:rsid w:val="00A65A8E"/>
    <w:rsid w:val="00A67866"/>
    <w:rsid w:val="00A70B07"/>
    <w:rsid w:val="00A723F8"/>
    <w:rsid w:val="00A7785A"/>
    <w:rsid w:val="00A77CCB"/>
    <w:rsid w:val="00A8095F"/>
    <w:rsid w:val="00A83D8D"/>
    <w:rsid w:val="00A8446B"/>
    <w:rsid w:val="00A8473F"/>
    <w:rsid w:val="00A862D6"/>
    <w:rsid w:val="00A8715E"/>
    <w:rsid w:val="00A9295B"/>
    <w:rsid w:val="00A93B09"/>
    <w:rsid w:val="00A952D7"/>
    <w:rsid w:val="00A963F7"/>
    <w:rsid w:val="00A96AD8"/>
    <w:rsid w:val="00AA052C"/>
    <w:rsid w:val="00AA1B9F"/>
    <w:rsid w:val="00AA1E45"/>
    <w:rsid w:val="00AA4286"/>
    <w:rsid w:val="00AA456B"/>
    <w:rsid w:val="00AA54DC"/>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3F6"/>
    <w:rsid w:val="00AD44FA"/>
    <w:rsid w:val="00AD67D3"/>
    <w:rsid w:val="00AE070A"/>
    <w:rsid w:val="00AE0E68"/>
    <w:rsid w:val="00AE101C"/>
    <w:rsid w:val="00AE2A69"/>
    <w:rsid w:val="00AE37E5"/>
    <w:rsid w:val="00AE5EB4"/>
    <w:rsid w:val="00AF0C18"/>
    <w:rsid w:val="00AF2433"/>
    <w:rsid w:val="00AF4653"/>
    <w:rsid w:val="00AF47C5"/>
    <w:rsid w:val="00AF5398"/>
    <w:rsid w:val="00B020F9"/>
    <w:rsid w:val="00B049AF"/>
    <w:rsid w:val="00B07242"/>
    <w:rsid w:val="00B10534"/>
    <w:rsid w:val="00B113DB"/>
    <w:rsid w:val="00B11D8A"/>
    <w:rsid w:val="00B1288D"/>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94D"/>
    <w:rsid w:val="00B50E50"/>
    <w:rsid w:val="00B52120"/>
    <w:rsid w:val="00B54ABC"/>
    <w:rsid w:val="00B56FBE"/>
    <w:rsid w:val="00B60ACF"/>
    <w:rsid w:val="00B62B58"/>
    <w:rsid w:val="00B65149"/>
    <w:rsid w:val="00B65CB0"/>
    <w:rsid w:val="00B66567"/>
    <w:rsid w:val="00B66F52"/>
    <w:rsid w:val="00B66FE5"/>
    <w:rsid w:val="00B72880"/>
    <w:rsid w:val="00B758BF"/>
    <w:rsid w:val="00B77EC8"/>
    <w:rsid w:val="00B827A6"/>
    <w:rsid w:val="00B831CE"/>
    <w:rsid w:val="00B86677"/>
    <w:rsid w:val="00B87131"/>
    <w:rsid w:val="00B90C99"/>
    <w:rsid w:val="00B939B1"/>
    <w:rsid w:val="00B96D40"/>
    <w:rsid w:val="00B97386"/>
    <w:rsid w:val="00BA00D5"/>
    <w:rsid w:val="00BA263B"/>
    <w:rsid w:val="00BA42B2"/>
    <w:rsid w:val="00BA58D4"/>
    <w:rsid w:val="00BA5B9E"/>
    <w:rsid w:val="00BA7C9A"/>
    <w:rsid w:val="00BB5F8F"/>
    <w:rsid w:val="00BB657A"/>
    <w:rsid w:val="00BB671A"/>
    <w:rsid w:val="00BC1A4E"/>
    <w:rsid w:val="00BC5DC7"/>
    <w:rsid w:val="00BC6B8B"/>
    <w:rsid w:val="00BC73D8"/>
    <w:rsid w:val="00BD34D8"/>
    <w:rsid w:val="00BD52D7"/>
    <w:rsid w:val="00BD5AD2"/>
    <w:rsid w:val="00BE22F3"/>
    <w:rsid w:val="00BE4FCE"/>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6125"/>
    <w:rsid w:val="00C21540"/>
    <w:rsid w:val="00C21906"/>
    <w:rsid w:val="00C21BFA"/>
    <w:rsid w:val="00C24C8D"/>
    <w:rsid w:val="00C25FE2"/>
    <w:rsid w:val="00C26B53"/>
    <w:rsid w:val="00C279B2"/>
    <w:rsid w:val="00C326A8"/>
    <w:rsid w:val="00C32B04"/>
    <w:rsid w:val="00C33E50"/>
    <w:rsid w:val="00C34C20"/>
    <w:rsid w:val="00C35A3E"/>
    <w:rsid w:val="00C42130"/>
    <w:rsid w:val="00C423A4"/>
    <w:rsid w:val="00C423E3"/>
    <w:rsid w:val="00C42700"/>
    <w:rsid w:val="00C44BF5"/>
    <w:rsid w:val="00C521D6"/>
    <w:rsid w:val="00C55232"/>
    <w:rsid w:val="00C553A4"/>
    <w:rsid w:val="00C55A06"/>
    <w:rsid w:val="00C55D03"/>
    <w:rsid w:val="00C601BC"/>
    <w:rsid w:val="00C61583"/>
    <w:rsid w:val="00C6329F"/>
    <w:rsid w:val="00C63340"/>
    <w:rsid w:val="00C643F9"/>
    <w:rsid w:val="00C64E95"/>
    <w:rsid w:val="00C67E6B"/>
    <w:rsid w:val="00C71372"/>
    <w:rsid w:val="00C72410"/>
    <w:rsid w:val="00C724F5"/>
    <w:rsid w:val="00C7287F"/>
    <w:rsid w:val="00C80CB8"/>
    <w:rsid w:val="00C819F8"/>
    <w:rsid w:val="00C8248C"/>
    <w:rsid w:val="00C84E33"/>
    <w:rsid w:val="00C86D6F"/>
    <w:rsid w:val="00C905FC"/>
    <w:rsid w:val="00C92D03"/>
    <w:rsid w:val="00C9319C"/>
    <w:rsid w:val="00C9435D"/>
    <w:rsid w:val="00C94DF2"/>
    <w:rsid w:val="00C96741"/>
    <w:rsid w:val="00C97957"/>
    <w:rsid w:val="00CA2D1B"/>
    <w:rsid w:val="00CA325C"/>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9A7"/>
    <w:rsid w:val="00CD4A20"/>
    <w:rsid w:val="00CD50A1"/>
    <w:rsid w:val="00CD519E"/>
    <w:rsid w:val="00CD7C03"/>
    <w:rsid w:val="00CE0C4F"/>
    <w:rsid w:val="00CE30EA"/>
    <w:rsid w:val="00CF048A"/>
    <w:rsid w:val="00CF155A"/>
    <w:rsid w:val="00CF2947"/>
    <w:rsid w:val="00CF686F"/>
    <w:rsid w:val="00CF6E60"/>
    <w:rsid w:val="00CF7955"/>
    <w:rsid w:val="00CF7BCA"/>
    <w:rsid w:val="00D008FD"/>
    <w:rsid w:val="00D010CD"/>
    <w:rsid w:val="00D0321C"/>
    <w:rsid w:val="00D035EC"/>
    <w:rsid w:val="00D06AB1"/>
    <w:rsid w:val="00D06FC1"/>
    <w:rsid w:val="00D072ED"/>
    <w:rsid w:val="00D07A16"/>
    <w:rsid w:val="00D1067E"/>
    <w:rsid w:val="00D10F50"/>
    <w:rsid w:val="00D11272"/>
    <w:rsid w:val="00D126F5"/>
    <w:rsid w:val="00D136FE"/>
    <w:rsid w:val="00D1489E"/>
    <w:rsid w:val="00D14A16"/>
    <w:rsid w:val="00D20737"/>
    <w:rsid w:val="00D21E81"/>
    <w:rsid w:val="00D223DE"/>
    <w:rsid w:val="00D25E37"/>
    <w:rsid w:val="00D2661A"/>
    <w:rsid w:val="00D27582"/>
    <w:rsid w:val="00D27EC4"/>
    <w:rsid w:val="00D3146A"/>
    <w:rsid w:val="00D32719"/>
    <w:rsid w:val="00D33333"/>
    <w:rsid w:val="00D352A2"/>
    <w:rsid w:val="00D4162B"/>
    <w:rsid w:val="00D43D8A"/>
    <w:rsid w:val="00D4514F"/>
    <w:rsid w:val="00D451E2"/>
    <w:rsid w:val="00D45E89"/>
    <w:rsid w:val="00D45E8D"/>
    <w:rsid w:val="00D466AE"/>
    <w:rsid w:val="00D4734F"/>
    <w:rsid w:val="00D51BF3"/>
    <w:rsid w:val="00D65422"/>
    <w:rsid w:val="00D66846"/>
    <w:rsid w:val="00D675FB"/>
    <w:rsid w:val="00D71F25"/>
    <w:rsid w:val="00D72A9C"/>
    <w:rsid w:val="00D77031"/>
    <w:rsid w:val="00D7798B"/>
    <w:rsid w:val="00D81E57"/>
    <w:rsid w:val="00D82DD6"/>
    <w:rsid w:val="00D84941"/>
    <w:rsid w:val="00D84FA1"/>
    <w:rsid w:val="00D851F0"/>
    <w:rsid w:val="00D86DB7"/>
    <w:rsid w:val="00D87BF5"/>
    <w:rsid w:val="00D87D42"/>
    <w:rsid w:val="00D90721"/>
    <w:rsid w:val="00D926D0"/>
    <w:rsid w:val="00D93030"/>
    <w:rsid w:val="00D95022"/>
    <w:rsid w:val="00D950E1"/>
    <w:rsid w:val="00D952A6"/>
    <w:rsid w:val="00D97F99"/>
    <w:rsid w:val="00DA1E08"/>
    <w:rsid w:val="00DA24F8"/>
    <w:rsid w:val="00DA28E8"/>
    <w:rsid w:val="00DA38D3"/>
    <w:rsid w:val="00DA3932"/>
    <w:rsid w:val="00DA3AFC"/>
    <w:rsid w:val="00DA5CA5"/>
    <w:rsid w:val="00DA64F8"/>
    <w:rsid w:val="00DA6A99"/>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1D0A"/>
    <w:rsid w:val="00DF44DE"/>
    <w:rsid w:val="00E01138"/>
    <w:rsid w:val="00E02DFB"/>
    <w:rsid w:val="00E030F9"/>
    <w:rsid w:val="00E0311A"/>
    <w:rsid w:val="00E03138"/>
    <w:rsid w:val="00E06404"/>
    <w:rsid w:val="00E11A85"/>
    <w:rsid w:val="00E12495"/>
    <w:rsid w:val="00E13F4B"/>
    <w:rsid w:val="00E15CCD"/>
    <w:rsid w:val="00E17607"/>
    <w:rsid w:val="00E202EF"/>
    <w:rsid w:val="00E210B5"/>
    <w:rsid w:val="00E250CC"/>
    <w:rsid w:val="00E2552F"/>
    <w:rsid w:val="00E26F6A"/>
    <w:rsid w:val="00E3137A"/>
    <w:rsid w:val="00E329CD"/>
    <w:rsid w:val="00E32CCF"/>
    <w:rsid w:val="00E34A98"/>
    <w:rsid w:val="00E35D1E"/>
    <w:rsid w:val="00E364F9"/>
    <w:rsid w:val="00E365FA"/>
    <w:rsid w:val="00E36789"/>
    <w:rsid w:val="00E44016"/>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67C1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22D8"/>
    <w:rsid w:val="00E9311F"/>
    <w:rsid w:val="00E934D1"/>
    <w:rsid w:val="00E93A12"/>
    <w:rsid w:val="00E94AF0"/>
    <w:rsid w:val="00E95D13"/>
    <w:rsid w:val="00E95DD3"/>
    <w:rsid w:val="00E96807"/>
    <w:rsid w:val="00E969D5"/>
    <w:rsid w:val="00E97C74"/>
    <w:rsid w:val="00EA58D1"/>
    <w:rsid w:val="00EA61BC"/>
    <w:rsid w:val="00EA638F"/>
    <w:rsid w:val="00EA681A"/>
    <w:rsid w:val="00EA7344"/>
    <w:rsid w:val="00EA735B"/>
    <w:rsid w:val="00EB1E69"/>
    <w:rsid w:val="00EB2086"/>
    <w:rsid w:val="00EB31ED"/>
    <w:rsid w:val="00EB338E"/>
    <w:rsid w:val="00EB5EDF"/>
    <w:rsid w:val="00EB60FE"/>
    <w:rsid w:val="00EB74DB"/>
    <w:rsid w:val="00EC5359"/>
    <w:rsid w:val="00EC562A"/>
    <w:rsid w:val="00EC6E41"/>
    <w:rsid w:val="00ED067A"/>
    <w:rsid w:val="00ED2B50"/>
    <w:rsid w:val="00EE0350"/>
    <w:rsid w:val="00EE0719"/>
    <w:rsid w:val="00EE0E80"/>
    <w:rsid w:val="00EE3E8D"/>
    <w:rsid w:val="00EE613F"/>
    <w:rsid w:val="00EE7295"/>
    <w:rsid w:val="00EE7869"/>
    <w:rsid w:val="00EF054A"/>
    <w:rsid w:val="00EF281A"/>
    <w:rsid w:val="00EF3235"/>
    <w:rsid w:val="00EF5EB1"/>
    <w:rsid w:val="00EF7AC9"/>
    <w:rsid w:val="00EF7E72"/>
    <w:rsid w:val="00F06D37"/>
    <w:rsid w:val="00F07B9D"/>
    <w:rsid w:val="00F112AD"/>
    <w:rsid w:val="00F11586"/>
    <w:rsid w:val="00F1183B"/>
    <w:rsid w:val="00F11C9F"/>
    <w:rsid w:val="00F12263"/>
    <w:rsid w:val="00F1409D"/>
    <w:rsid w:val="00F14214"/>
    <w:rsid w:val="00F157A9"/>
    <w:rsid w:val="00F16F00"/>
    <w:rsid w:val="00F25BB6"/>
    <w:rsid w:val="00F26B7E"/>
    <w:rsid w:val="00F27A3B"/>
    <w:rsid w:val="00F32780"/>
    <w:rsid w:val="00F33817"/>
    <w:rsid w:val="00F37581"/>
    <w:rsid w:val="00F376BD"/>
    <w:rsid w:val="00F4137D"/>
    <w:rsid w:val="00F420D5"/>
    <w:rsid w:val="00F42B63"/>
    <w:rsid w:val="00F451EA"/>
    <w:rsid w:val="00F45447"/>
    <w:rsid w:val="00F456C6"/>
    <w:rsid w:val="00F4577B"/>
    <w:rsid w:val="00F46496"/>
    <w:rsid w:val="00F474D0"/>
    <w:rsid w:val="00F50179"/>
    <w:rsid w:val="00F515EE"/>
    <w:rsid w:val="00F554CB"/>
    <w:rsid w:val="00F56511"/>
    <w:rsid w:val="00F6194E"/>
    <w:rsid w:val="00F61D1C"/>
    <w:rsid w:val="00F623AC"/>
    <w:rsid w:val="00F63DEC"/>
    <w:rsid w:val="00F6412A"/>
    <w:rsid w:val="00F65893"/>
    <w:rsid w:val="00F66A4A"/>
    <w:rsid w:val="00F71E22"/>
    <w:rsid w:val="00F72142"/>
    <w:rsid w:val="00F72AE7"/>
    <w:rsid w:val="00F82589"/>
    <w:rsid w:val="00F833BA"/>
    <w:rsid w:val="00F8452B"/>
    <w:rsid w:val="00F84FD0"/>
    <w:rsid w:val="00F859A8"/>
    <w:rsid w:val="00F86D87"/>
    <w:rsid w:val="00F9108B"/>
    <w:rsid w:val="00F91349"/>
    <w:rsid w:val="00F93A8A"/>
    <w:rsid w:val="00F95248"/>
    <w:rsid w:val="00F956A9"/>
    <w:rsid w:val="00F963ED"/>
    <w:rsid w:val="00F966CF"/>
    <w:rsid w:val="00F96CAE"/>
    <w:rsid w:val="00F9728C"/>
    <w:rsid w:val="00F97317"/>
    <w:rsid w:val="00F97C99"/>
    <w:rsid w:val="00FA1D22"/>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7D6"/>
    <w:rsid w:val="00FE3901"/>
    <w:rsid w:val="00FE39D3"/>
    <w:rsid w:val="00FE4BCE"/>
    <w:rsid w:val="00FE54AE"/>
    <w:rsid w:val="00FE576A"/>
    <w:rsid w:val="00FE7E79"/>
    <w:rsid w:val="00FF3E7D"/>
    <w:rsid w:val="00FF5B99"/>
    <w:rsid w:val="00FF730C"/>
    <w:rsid w:val="00FF73F4"/>
    <w:rsid w:val="00FF7CE4"/>
    <w:rsid w:val="00FF7E39"/>
    <w:rsid w:val="0D0C28C9"/>
    <w:rsid w:val="0D6E6B91"/>
    <w:rsid w:val="0DBB0011"/>
    <w:rsid w:val="180B10BC"/>
    <w:rsid w:val="1D4E4D14"/>
    <w:rsid w:val="22F618C5"/>
    <w:rsid w:val="24D40A88"/>
    <w:rsid w:val="25E228C2"/>
    <w:rsid w:val="2E047BD1"/>
    <w:rsid w:val="3B97401A"/>
    <w:rsid w:val="50764612"/>
    <w:rsid w:val="53417129"/>
    <w:rsid w:val="537E210B"/>
    <w:rsid w:val="543B6462"/>
    <w:rsid w:val="560B6703"/>
    <w:rsid w:val="565679E5"/>
    <w:rsid w:val="61496013"/>
    <w:rsid w:val="6A3611B3"/>
    <w:rsid w:val="6B272266"/>
    <w:rsid w:val="6FEB3A6E"/>
    <w:rsid w:val="7080359C"/>
    <w:rsid w:val="795E6164"/>
    <w:rsid w:val="7A8038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40"/>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uiPriority w:val="1"/>
  </w:style>
  <w:style w:type="table" w:default="1" w:styleId="28">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annotation text"/>
    <w:basedOn w:val="1"/>
    <w:link w:val="233"/>
    <w:semiHidden/>
    <w:unhideWhenUsed/>
    <w:qFormat/>
    <w:uiPriority w:val="99"/>
    <w:pPr>
      <w:jc w:val="left"/>
    </w:pPr>
  </w:style>
  <w:style w:type="paragraph" w:styleId="14">
    <w:name w:val="Body Text"/>
    <w:basedOn w:val="1"/>
    <w:link w:val="89"/>
    <w:autoRedefine/>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8"/>
    <w:autoRedefine/>
    <w:semiHidden/>
    <w:unhideWhenUsed/>
    <w:qFormat/>
    <w:uiPriority w:val="99"/>
    <w:rPr>
      <w:sz w:val="18"/>
      <w:szCs w:val="18"/>
    </w:rPr>
  </w:style>
  <w:style w:type="paragraph" w:styleId="18">
    <w:name w:val="footer"/>
    <w:basedOn w:val="1"/>
    <w:link w:val="47"/>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6"/>
    <w:autoRedefine/>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2"/>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autoRedefine/>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Title"/>
    <w:basedOn w:val="1"/>
    <w:link w:val="51"/>
    <w:autoRedefine/>
    <w:qFormat/>
    <w:uiPriority w:val="0"/>
    <w:pPr>
      <w:spacing w:before="240" w:after="60"/>
      <w:jc w:val="center"/>
      <w:outlineLvl w:val="0"/>
    </w:pPr>
    <w:rPr>
      <w:rFonts w:ascii="Arial" w:hAnsi="Arial" w:cs="Arial"/>
      <w:b/>
      <w:bCs/>
      <w:sz w:val="32"/>
      <w:szCs w:val="32"/>
    </w:rPr>
  </w:style>
  <w:style w:type="paragraph" w:styleId="27">
    <w:name w:val="annotation subject"/>
    <w:basedOn w:val="13"/>
    <w:next w:val="13"/>
    <w:link w:val="234"/>
    <w:semiHidden/>
    <w:unhideWhenUsed/>
    <w:qFormat/>
    <w:uiPriority w:val="99"/>
    <w:rPr>
      <w:b/>
      <w:bCs/>
    </w:rPr>
  </w:style>
  <w:style w:type="table" w:styleId="29">
    <w:name w:val="Table Grid"/>
    <w:basedOn w:val="28"/>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autoRedefine/>
    <w:qFormat/>
    <w:uiPriority w:val="22"/>
    <w:rPr>
      <w:b/>
      <w:bCs/>
    </w:rPr>
  </w:style>
  <w:style w:type="character" w:styleId="32">
    <w:name w:val="page number"/>
    <w:autoRedefine/>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annotation reference"/>
    <w:basedOn w:val="30"/>
    <w:semiHidden/>
    <w:unhideWhenUsed/>
    <w:qFormat/>
    <w:uiPriority w:val="99"/>
    <w:rPr>
      <w:sz w:val="21"/>
      <w:szCs w:val="21"/>
    </w:rPr>
  </w:style>
  <w:style w:type="character" w:styleId="36">
    <w:name w:val="footnote reference"/>
    <w:autoRedefine/>
    <w:semiHidden/>
    <w:qFormat/>
    <w:uiPriority w:val="0"/>
    <w:rPr>
      <w:rFonts w:ascii="宋体" w:hAnsi="宋体" w:eastAsia="宋体" w:cs="Times New Roman"/>
      <w:spacing w:val="0"/>
      <w:sz w:val="18"/>
      <w:vertAlign w:val="superscript"/>
    </w:rPr>
  </w:style>
  <w:style w:type="character" w:customStyle="1" w:styleId="37">
    <w:name w:val="标题 1 Char"/>
    <w:link w:val="2"/>
    <w:autoRedefine/>
    <w:qFormat/>
    <w:uiPriority w:val="0"/>
    <w:rPr>
      <w:b/>
      <w:bCs/>
      <w:kern w:val="44"/>
      <w:sz w:val="44"/>
      <w:szCs w:val="44"/>
    </w:rPr>
  </w:style>
  <w:style w:type="character" w:customStyle="1" w:styleId="38">
    <w:name w:val="标题 2 Char"/>
    <w:link w:val="3"/>
    <w:autoRedefine/>
    <w:qFormat/>
    <w:uiPriority w:val="0"/>
    <w:rPr>
      <w:rFonts w:ascii="Arial" w:hAnsi="Arial" w:eastAsia="黑体"/>
      <w:b/>
      <w:bCs/>
      <w:kern w:val="2"/>
      <w:sz w:val="32"/>
      <w:szCs w:val="32"/>
    </w:rPr>
  </w:style>
  <w:style w:type="character" w:customStyle="1" w:styleId="39">
    <w:name w:val="标题 3 Char"/>
    <w:link w:val="4"/>
    <w:autoRedefine/>
    <w:qFormat/>
    <w:uiPriority w:val="0"/>
    <w:rPr>
      <w:b/>
      <w:bCs/>
      <w:kern w:val="2"/>
      <w:sz w:val="32"/>
      <w:szCs w:val="32"/>
    </w:rPr>
  </w:style>
  <w:style w:type="character" w:customStyle="1" w:styleId="40">
    <w:name w:val="标题 4 Char"/>
    <w:link w:val="5"/>
    <w:autoRedefine/>
    <w:qFormat/>
    <w:uiPriority w:val="0"/>
    <w:rPr>
      <w:rFonts w:ascii="Arial" w:hAnsi="Arial" w:eastAsia="黑体"/>
      <w:b/>
      <w:bCs/>
      <w:kern w:val="2"/>
      <w:sz w:val="28"/>
      <w:szCs w:val="28"/>
    </w:rPr>
  </w:style>
  <w:style w:type="character" w:customStyle="1" w:styleId="41">
    <w:name w:val="标题 5 Char"/>
    <w:link w:val="6"/>
    <w:autoRedefine/>
    <w:qFormat/>
    <w:uiPriority w:val="0"/>
    <w:rPr>
      <w:b/>
      <w:bCs/>
      <w:kern w:val="2"/>
      <w:sz w:val="28"/>
      <w:szCs w:val="28"/>
    </w:rPr>
  </w:style>
  <w:style w:type="character" w:customStyle="1" w:styleId="42">
    <w:name w:val="标题 6 Char"/>
    <w:link w:val="7"/>
    <w:autoRedefine/>
    <w:qFormat/>
    <w:uiPriority w:val="0"/>
    <w:rPr>
      <w:rFonts w:ascii="Arial" w:hAnsi="Arial" w:eastAsia="黑体"/>
      <w:b/>
      <w:bCs/>
      <w:kern w:val="2"/>
      <w:sz w:val="24"/>
      <w:szCs w:val="24"/>
    </w:rPr>
  </w:style>
  <w:style w:type="character" w:customStyle="1" w:styleId="43">
    <w:name w:val="标题 7 Char"/>
    <w:link w:val="8"/>
    <w:autoRedefine/>
    <w:qFormat/>
    <w:uiPriority w:val="0"/>
    <w:rPr>
      <w:b/>
      <w:bCs/>
      <w:kern w:val="2"/>
      <w:sz w:val="24"/>
      <w:szCs w:val="24"/>
    </w:rPr>
  </w:style>
  <w:style w:type="character" w:customStyle="1" w:styleId="44">
    <w:name w:val="标题 8 Char"/>
    <w:link w:val="9"/>
    <w:autoRedefine/>
    <w:qFormat/>
    <w:uiPriority w:val="0"/>
    <w:rPr>
      <w:rFonts w:ascii="Arial" w:hAnsi="Arial" w:eastAsia="黑体"/>
      <w:kern w:val="2"/>
      <w:sz w:val="24"/>
      <w:szCs w:val="24"/>
    </w:rPr>
  </w:style>
  <w:style w:type="character" w:customStyle="1" w:styleId="45">
    <w:name w:val="标题 9 Char"/>
    <w:link w:val="10"/>
    <w:autoRedefine/>
    <w:qFormat/>
    <w:uiPriority w:val="0"/>
    <w:rPr>
      <w:rFonts w:ascii="Arial" w:hAnsi="Arial" w:eastAsia="黑体"/>
      <w:kern w:val="2"/>
      <w:sz w:val="21"/>
      <w:szCs w:val="21"/>
    </w:rPr>
  </w:style>
  <w:style w:type="character" w:customStyle="1" w:styleId="46">
    <w:name w:val="页眉 Char"/>
    <w:link w:val="19"/>
    <w:autoRedefine/>
    <w:qFormat/>
    <w:uiPriority w:val="99"/>
    <w:rPr>
      <w:kern w:val="2"/>
      <w:sz w:val="18"/>
      <w:szCs w:val="18"/>
    </w:rPr>
  </w:style>
  <w:style w:type="character" w:customStyle="1" w:styleId="47">
    <w:name w:val="页脚 Char"/>
    <w:link w:val="18"/>
    <w:autoRedefine/>
    <w:qFormat/>
    <w:uiPriority w:val="99"/>
    <w:rPr>
      <w:rFonts w:ascii="宋体"/>
      <w:kern w:val="2"/>
      <w:sz w:val="18"/>
      <w:szCs w:val="18"/>
    </w:rPr>
  </w:style>
  <w:style w:type="character" w:customStyle="1" w:styleId="48">
    <w:name w:val="批注框文本 Char"/>
    <w:link w:val="17"/>
    <w:autoRedefine/>
    <w:semiHidden/>
    <w:qFormat/>
    <w:uiPriority w:val="99"/>
    <w:rPr>
      <w:kern w:val="2"/>
      <w:sz w:val="18"/>
      <w:szCs w:val="18"/>
    </w:rPr>
  </w:style>
  <w:style w:type="paragraph" w:styleId="49">
    <w:name w:val="Quote"/>
    <w:basedOn w:val="1"/>
    <w:next w:val="1"/>
    <w:link w:val="50"/>
    <w:autoRedefine/>
    <w:qFormat/>
    <w:uiPriority w:val="29"/>
    <w:rPr>
      <w:i/>
      <w:iCs/>
      <w:color w:val="000000"/>
    </w:rPr>
  </w:style>
  <w:style w:type="character" w:customStyle="1" w:styleId="50">
    <w:name w:val="引用 Char"/>
    <w:link w:val="49"/>
    <w:autoRedefine/>
    <w:qFormat/>
    <w:uiPriority w:val="29"/>
    <w:rPr>
      <w:i/>
      <w:iCs/>
      <w:color w:val="000000"/>
      <w:kern w:val="2"/>
      <w:sz w:val="21"/>
      <w:szCs w:val="21"/>
    </w:rPr>
  </w:style>
  <w:style w:type="character" w:customStyle="1" w:styleId="51">
    <w:name w:val="标题 Char"/>
    <w:link w:val="26"/>
    <w:autoRedefine/>
    <w:qFormat/>
    <w:uiPriority w:val="0"/>
    <w:rPr>
      <w:rFonts w:ascii="Arial" w:hAnsi="Arial" w:cs="Arial"/>
      <w:b/>
      <w:bCs/>
      <w:kern w:val="2"/>
      <w:sz w:val="32"/>
      <w:szCs w:val="32"/>
    </w:rPr>
  </w:style>
  <w:style w:type="paragraph" w:customStyle="1" w:styleId="52">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autoRedefine/>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autoRedefine/>
    <w:qFormat/>
    <w:uiPriority w:val="0"/>
    <w:pPr>
      <w:spacing w:line="0" w:lineRule="atLeast"/>
    </w:pPr>
    <w:rPr>
      <w:rFonts w:ascii="黑体" w:hAnsi="宋体" w:eastAsia="黑体"/>
    </w:rPr>
  </w:style>
  <w:style w:type="paragraph" w:customStyle="1" w:styleId="58">
    <w:name w:val="标准文件_标准正文"/>
    <w:basedOn w:val="1"/>
    <w:next w:val="59"/>
    <w:autoRedefine/>
    <w:qFormat/>
    <w:uiPriority w:val="0"/>
    <w:pPr>
      <w:snapToGrid w:val="0"/>
      <w:ind w:firstLine="200" w:firstLineChars="200"/>
    </w:pPr>
    <w:rPr>
      <w:kern w:val="0"/>
    </w:rPr>
  </w:style>
  <w:style w:type="paragraph" w:customStyle="1" w:styleId="59">
    <w:name w:val="标准文件_段"/>
    <w:link w:val="187"/>
    <w:autoRedefine/>
    <w:qFormat/>
    <w:uiPriority w:val="0"/>
    <w:pPr>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60">
    <w:name w:val="标准文件_版本"/>
    <w:basedOn w:val="58"/>
    <w:autoRedefine/>
    <w:qFormat/>
    <w:uiPriority w:val="0"/>
    <w:pPr>
      <w:adjustRightInd/>
      <w:snapToGrid/>
      <w:ind w:firstLine="0" w:firstLineChars="0"/>
    </w:pPr>
    <w:rPr>
      <w:rFonts w:ascii="宋体" w:hAnsi="宋体"/>
      <w:kern w:val="2"/>
    </w:rPr>
  </w:style>
  <w:style w:type="paragraph" w:customStyle="1" w:styleId="61">
    <w:name w:val="标准文件_标准部门"/>
    <w:basedOn w:val="1"/>
    <w:autoRedefine/>
    <w:qFormat/>
    <w:uiPriority w:val="0"/>
    <w:pPr>
      <w:jc w:val="center"/>
    </w:pPr>
    <w:rPr>
      <w:rFonts w:ascii="黑体" w:eastAsia="黑体"/>
      <w:kern w:val="0"/>
      <w:sz w:val="44"/>
    </w:rPr>
  </w:style>
  <w:style w:type="paragraph" w:customStyle="1" w:styleId="62">
    <w:name w:val="标准文件_标准代替"/>
    <w:basedOn w:val="1"/>
    <w:next w:val="1"/>
    <w:autoRedefine/>
    <w:qFormat/>
    <w:uiPriority w:val="0"/>
    <w:pPr>
      <w:spacing w:line="310" w:lineRule="exact"/>
      <w:jc w:val="right"/>
    </w:pPr>
    <w:rPr>
      <w:rFonts w:ascii="宋体" w:hAnsi="宋体"/>
      <w:kern w:val="0"/>
    </w:rPr>
  </w:style>
  <w:style w:type="paragraph" w:customStyle="1" w:styleId="63">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autoRedefine/>
    <w:qFormat/>
    <w:uiPriority w:val="0"/>
    <w:pPr>
      <w:jc w:val="left"/>
    </w:pPr>
  </w:style>
  <w:style w:type="paragraph" w:customStyle="1" w:styleId="66">
    <w:name w:val="标准文件_参考文献标题"/>
    <w:basedOn w:val="1"/>
    <w:next w:val="1"/>
    <w:autoRedefine/>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7">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autoRedefine/>
    <w:qFormat/>
    <w:uiPriority w:val="0"/>
    <w:pPr>
      <w:widowControl w:val="0"/>
      <w:numPr>
        <w:ilvl w:val="3"/>
        <w:numId w:val="2"/>
      </w:numPr>
      <w:spacing w:before="120" w:beforeLines="50" w:after="120" w:afterLines="50"/>
      <w:ind w:left="0"/>
      <w:jc w:val="both"/>
      <w:outlineLvl w:val="2"/>
    </w:pPr>
    <w:rPr>
      <w:rFonts w:ascii="黑体" w:hAnsi="Times New Roman" w:eastAsia="黑体" w:cs="Times New Roman"/>
      <w:color w:val="FF0000"/>
      <w:sz w:val="21"/>
      <w:lang w:val="en-US" w:eastAsia="zh-CN" w:bidi="ar-SA"/>
    </w:rPr>
  </w:style>
  <w:style w:type="character" w:customStyle="1" w:styleId="69">
    <w:name w:val="标准文件_发布"/>
    <w:qFormat/>
    <w:uiPriority w:val="0"/>
    <w:rPr>
      <w:rFonts w:ascii="黑体" w:eastAsia="黑体"/>
      <w:spacing w:val="0"/>
      <w:w w:val="100"/>
      <w:position w:val="3"/>
      <w:sz w:val="28"/>
    </w:rPr>
  </w:style>
  <w:style w:type="paragraph" w:customStyle="1" w:styleId="70">
    <w:name w:val="标准文件_方框数字列项"/>
    <w:basedOn w:val="59"/>
    <w:autoRedefine/>
    <w:qFormat/>
    <w:uiPriority w:val="0"/>
    <w:pPr>
      <w:numPr>
        <w:ilvl w:val="0"/>
        <w:numId w:val="3"/>
      </w:numPr>
      <w:ind w:firstLine="0" w:firstLineChars="0"/>
    </w:pPr>
  </w:style>
  <w:style w:type="paragraph" w:customStyle="1" w:styleId="71">
    <w:name w:val="标准文件_封面标准编号"/>
    <w:basedOn w:val="1"/>
    <w:next w:val="62"/>
    <w:autoRedefine/>
    <w:qFormat/>
    <w:uiPriority w:val="0"/>
    <w:pPr>
      <w:spacing w:line="310" w:lineRule="exact"/>
      <w:jc w:val="right"/>
    </w:pPr>
    <w:rPr>
      <w:rFonts w:ascii="黑体" w:eastAsia="黑体"/>
      <w:kern w:val="0"/>
      <w:sz w:val="28"/>
    </w:rPr>
  </w:style>
  <w:style w:type="paragraph" w:customStyle="1" w:styleId="72">
    <w:name w:val="标准文件_封面标准分类号"/>
    <w:basedOn w:val="1"/>
    <w:autoRedefine/>
    <w:qFormat/>
    <w:uiPriority w:val="0"/>
    <w:rPr>
      <w:rFonts w:ascii="黑体" w:eastAsia="黑体"/>
      <w:b/>
      <w:kern w:val="0"/>
      <w:sz w:val="28"/>
    </w:rPr>
  </w:style>
  <w:style w:type="paragraph" w:customStyle="1" w:styleId="73">
    <w:name w:val="标准文件_封面标准名称"/>
    <w:basedOn w:val="1"/>
    <w:autoRedefine/>
    <w:qFormat/>
    <w:uiPriority w:val="0"/>
    <w:pPr>
      <w:spacing w:line="240" w:lineRule="auto"/>
      <w:jc w:val="center"/>
    </w:pPr>
    <w:rPr>
      <w:rFonts w:ascii="黑体" w:eastAsia="黑体"/>
      <w:kern w:val="0"/>
      <w:sz w:val="52"/>
    </w:rPr>
  </w:style>
  <w:style w:type="paragraph" w:customStyle="1" w:styleId="74">
    <w:name w:val="标准文件_封面标准英文名称"/>
    <w:basedOn w:val="1"/>
    <w:autoRedefine/>
    <w:qFormat/>
    <w:uiPriority w:val="0"/>
    <w:pPr>
      <w:spacing w:line="240" w:lineRule="auto"/>
      <w:jc w:val="center"/>
    </w:pPr>
    <w:rPr>
      <w:rFonts w:ascii="黑体" w:eastAsia="黑体"/>
      <w:b/>
      <w:sz w:val="28"/>
    </w:rPr>
  </w:style>
  <w:style w:type="paragraph" w:customStyle="1" w:styleId="75">
    <w:name w:val="标准文件_封面发布日期"/>
    <w:basedOn w:val="1"/>
    <w:autoRedefine/>
    <w:qFormat/>
    <w:uiPriority w:val="0"/>
    <w:pPr>
      <w:spacing w:line="310" w:lineRule="exact"/>
    </w:pPr>
    <w:rPr>
      <w:rFonts w:ascii="黑体" w:eastAsia="黑体"/>
      <w:kern w:val="0"/>
      <w:sz w:val="28"/>
    </w:rPr>
  </w:style>
  <w:style w:type="paragraph" w:customStyle="1" w:styleId="76">
    <w:name w:val="标准文件_封面密级"/>
    <w:basedOn w:val="1"/>
    <w:autoRedefine/>
    <w:qFormat/>
    <w:uiPriority w:val="0"/>
    <w:rPr>
      <w:rFonts w:eastAsia="黑体"/>
      <w:sz w:val="32"/>
    </w:rPr>
  </w:style>
  <w:style w:type="paragraph" w:customStyle="1" w:styleId="77">
    <w:name w:val="标准文件_封面实施日期"/>
    <w:basedOn w:val="1"/>
    <w:autoRedefine/>
    <w:qFormat/>
    <w:uiPriority w:val="0"/>
    <w:pPr>
      <w:spacing w:line="310" w:lineRule="exact"/>
      <w:jc w:val="right"/>
    </w:pPr>
    <w:rPr>
      <w:rFonts w:ascii="黑体" w:eastAsia="黑体"/>
      <w:sz w:val="28"/>
    </w:rPr>
  </w:style>
  <w:style w:type="paragraph" w:customStyle="1" w:styleId="78">
    <w:name w:val="标准文件_封面抬头"/>
    <w:basedOn w:val="59"/>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autoRedefine/>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autoRedefine/>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autoRedefine/>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autoRedefine/>
    <w:qFormat/>
    <w:uiPriority w:val="0"/>
    <w:pPr>
      <w:numPr>
        <w:ilvl w:val="1"/>
        <w:numId w:val="6"/>
      </w:numPr>
      <w:adjustRightInd w:val="0"/>
      <w:snapToGrid w:val="0"/>
      <w:spacing w:before="120" w:beforeLines="50" w:after="120" w:afterLines="50"/>
      <w:jc w:val="center"/>
    </w:pPr>
    <w:rPr>
      <w:rFonts w:ascii="黑体" w:hAnsi="Times New Roman" w:eastAsia="黑体" w:cs="Times New Roman"/>
      <w:color w:val="FF0000"/>
      <w:sz w:val="21"/>
      <w:lang w:val="en-US" w:eastAsia="zh-CN" w:bidi="ar-SA"/>
    </w:rPr>
  </w:style>
  <w:style w:type="paragraph" w:customStyle="1" w:styleId="87">
    <w:name w:val="标准文件_附录五级条标题"/>
    <w:next w:val="59"/>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Char"/>
    <w:link w:val="14"/>
    <w:autoRedefine/>
    <w:qFormat/>
    <w:uiPriority w:val="0"/>
    <w:rPr>
      <w:kern w:val="2"/>
      <w:sz w:val="21"/>
      <w:szCs w:val="21"/>
    </w:rPr>
  </w:style>
  <w:style w:type="paragraph" w:customStyle="1" w:styleId="90">
    <w:name w:val="标准文件_附录章标题"/>
    <w:next w:val="59"/>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autoRedefine/>
    <w:qFormat/>
    <w:uiPriority w:val="0"/>
    <w:pPr>
      <w:ind w:left="488" w:leftChars="200" w:hanging="289" w:hangingChars="290"/>
    </w:pPr>
  </w:style>
  <w:style w:type="paragraph" w:customStyle="1" w:styleId="92">
    <w:name w:val="标准文件_前言、引言标题"/>
    <w:next w:val="1"/>
    <w:autoRedefine/>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autoRedefine/>
    <w:qFormat/>
    <w:uiPriority w:val="0"/>
    <w:pPr>
      <w:spacing w:line="460" w:lineRule="exact"/>
      <w:ind w:left="0" w:firstLine="0"/>
    </w:pPr>
  </w:style>
  <w:style w:type="paragraph" w:customStyle="1" w:styleId="94">
    <w:name w:val="标准文件_目录标题"/>
    <w:basedOn w:val="1"/>
    <w:autoRedefine/>
    <w:qFormat/>
    <w:uiPriority w:val="0"/>
    <w:pPr>
      <w:spacing w:before="480" w:after="150" w:afterLines="150" w:line="240" w:lineRule="auto"/>
      <w:jc w:val="center"/>
    </w:pPr>
    <w:rPr>
      <w:rFonts w:ascii="黑体" w:eastAsia="黑体"/>
      <w:sz w:val="32"/>
    </w:rPr>
  </w:style>
  <w:style w:type="paragraph" w:customStyle="1" w:styleId="95">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autoRedefine/>
    <w:qFormat/>
    <w:uiPriority w:val="0"/>
    <w:pPr>
      <w:numPr>
        <w:numId w:val="10"/>
      </w:numPr>
    </w:pPr>
  </w:style>
  <w:style w:type="paragraph" w:customStyle="1" w:styleId="97">
    <w:name w:val="标准文件_三级条标题"/>
    <w:basedOn w:val="68"/>
    <w:next w:val="59"/>
    <w:autoRedefine/>
    <w:qFormat/>
    <w:uiPriority w:val="0"/>
    <w:pPr>
      <w:widowControl/>
      <w:numPr>
        <w:ilvl w:val="4"/>
      </w:numPr>
      <w:outlineLvl w:val="3"/>
    </w:pPr>
  </w:style>
  <w:style w:type="character" w:customStyle="1" w:styleId="98">
    <w:name w:val="不明显参考1"/>
    <w:autoRedefine/>
    <w:qFormat/>
    <w:uiPriority w:val="31"/>
    <w:rPr>
      <w:smallCaps/>
      <w:color w:val="C0504D"/>
      <w:u w:val="single"/>
    </w:rPr>
  </w:style>
  <w:style w:type="paragraph" w:customStyle="1" w:styleId="99">
    <w:name w:val="标准文件_示例后续"/>
    <w:basedOn w:val="1"/>
    <w:autoRedefine/>
    <w:qFormat/>
    <w:uiPriority w:val="0"/>
    <w:pPr>
      <w:adjustRightInd/>
      <w:spacing w:line="240" w:lineRule="auto"/>
      <w:ind w:firstLine="200" w:firstLineChars="200"/>
    </w:pPr>
    <w:rPr>
      <w:sz w:val="18"/>
      <w:szCs w:val="24"/>
    </w:rPr>
  </w:style>
  <w:style w:type="paragraph" w:customStyle="1" w:styleId="100">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2">
    <w:name w:val="脚注文本 Char"/>
    <w:link w:val="22"/>
    <w:autoRedefine/>
    <w:semiHidden/>
    <w:qFormat/>
    <w:uiPriority w:val="0"/>
    <w:rPr>
      <w:rFonts w:ascii="宋体"/>
      <w:kern w:val="2"/>
      <w:sz w:val="18"/>
      <w:szCs w:val="18"/>
    </w:rPr>
  </w:style>
  <w:style w:type="paragraph" w:customStyle="1" w:styleId="103">
    <w:name w:val="标准文件_条文脚注"/>
    <w:basedOn w:val="22"/>
    <w:autoRedefine/>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autoRedefine/>
    <w:qFormat/>
    <w:uiPriority w:val="0"/>
    <w:pPr>
      <w:numPr>
        <w:ilvl w:val="0"/>
        <w:numId w:val="12"/>
      </w:numPr>
      <w:spacing w:line="240" w:lineRule="auto"/>
      <w:jc w:val="left"/>
    </w:pPr>
    <w:rPr>
      <w:rFonts w:ascii="宋体" w:hAnsi="宋体"/>
      <w:sz w:val="18"/>
    </w:rPr>
  </w:style>
  <w:style w:type="character" w:customStyle="1" w:styleId="105">
    <w:name w:val="标准文件_图表脚注内容"/>
    <w:qFormat/>
    <w:uiPriority w:val="0"/>
    <w:rPr>
      <w:rFonts w:ascii="宋体" w:hAnsi="宋体" w:eastAsia="宋体" w:cs="Times New Roman"/>
      <w:spacing w:val="0"/>
      <w:sz w:val="18"/>
      <w:vertAlign w:val="superscript"/>
    </w:rPr>
  </w:style>
  <w:style w:type="paragraph" w:customStyle="1" w:styleId="106">
    <w:name w:val="标准文件_五级条标题"/>
    <w:next w:val="59"/>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autoRedefine/>
    <w:qFormat/>
    <w:uiPriority w:val="0"/>
    <w:pPr>
      <w:numPr>
        <w:ilvl w:val="1"/>
        <w:numId w:val="2"/>
      </w:numPr>
      <w:tabs>
        <w:tab w:val="left" w:pos="8931"/>
      </w:tabs>
      <w:spacing w:before="240" w:beforeLines="100" w:after="24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autoRedefine/>
    <w:qFormat/>
    <w:uiPriority w:val="0"/>
    <w:pPr>
      <w:numPr>
        <w:ilvl w:val="2"/>
      </w:numPr>
      <w:spacing w:before="50" w:beforeLines="50" w:after="50" w:afterLines="50"/>
      <w:outlineLvl w:val="1"/>
    </w:pPr>
  </w:style>
  <w:style w:type="paragraph" w:customStyle="1" w:styleId="109">
    <w:name w:val="标准文件_一致程度"/>
    <w:basedOn w:val="1"/>
    <w:autoRedefine/>
    <w:qFormat/>
    <w:uiPriority w:val="0"/>
    <w:pPr>
      <w:spacing w:line="440" w:lineRule="exact"/>
      <w:jc w:val="center"/>
    </w:pPr>
    <w:rPr>
      <w:sz w:val="28"/>
    </w:rPr>
  </w:style>
  <w:style w:type="paragraph" w:customStyle="1" w:styleId="110">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autoRedefine/>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autoRedefine/>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3">
    <w:name w:val="标准文件_英文注："/>
    <w:basedOn w:val="1"/>
    <w:next w:val="59"/>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autoRedefine/>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autoRedefine/>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21">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22">
    <w:name w:val="发布部门"/>
    <w:next w:val="5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qFormat/>
    <w:uiPriority w:val="0"/>
    <w:pPr>
      <w:outlineLvl w:val="4"/>
    </w:pPr>
  </w:style>
  <w:style w:type="paragraph" w:customStyle="1" w:styleId="133">
    <w:name w:val="附录四级无标题条"/>
    <w:basedOn w:val="132"/>
    <w:next w:val="59"/>
    <w:autoRedefine/>
    <w:qFormat/>
    <w:uiPriority w:val="0"/>
    <w:pPr>
      <w:outlineLvl w:val="5"/>
    </w:pPr>
  </w:style>
  <w:style w:type="paragraph" w:customStyle="1" w:styleId="134">
    <w:name w:val="附录图"/>
    <w:next w:val="59"/>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autoRedefine/>
    <w:qFormat/>
    <w:uiPriority w:val="0"/>
    <w:pPr>
      <w:outlineLvl w:val="6"/>
    </w:pPr>
  </w:style>
  <w:style w:type="paragraph" w:customStyle="1" w:styleId="137">
    <w:name w:val="附录性质"/>
    <w:basedOn w:val="1"/>
    <w:qFormat/>
    <w:uiPriority w:val="0"/>
    <w:pPr>
      <w:widowControl/>
      <w:adjustRightInd/>
      <w:jc w:val="center"/>
    </w:pPr>
    <w:rPr>
      <w:rFonts w:ascii="黑体" w:eastAsia="黑体"/>
    </w:rPr>
  </w:style>
  <w:style w:type="paragraph" w:customStyle="1" w:styleId="138">
    <w:name w:val="附录一级无标题条"/>
    <w:basedOn w:val="90"/>
    <w:next w:val="59"/>
    <w:autoRedefine/>
    <w:qFormat/>
    <w:uiPriority w:val="0"/>
    <w:pPr>
      <w:autoSpaceDN w:val="0"/>
      <w:outlineLvl w:val="2"/>
    </w:pPr>
    <w:rPr>
      <w:rFonts w:ascii="宋体" w:hAnsi="宋体" w:eastAsia="宋体"/>
    </w:rPr>
  </w:style>
  <w:style w:type="character" w:customStyle="1" w:styleId="139">
    <w:name w:val="个人答复风格"/>
    <w:qFormat/>
    <w:uiPriority w:val="0"/>
    <w:rPr>
      <w:rFonts w:ascii="Arial" w:hAnsi="Arial" w:eastAsia="宋体" w:cs="Arial"/>
      <w:color w:val="auto"/>
      <w:spacing w:val="0"/>
      <w:sz w:val="20"/>
    </w:rPr>
  </w:style>
  <w:style w:type="character" w:customStyle="1" w:styleId="140">
    <w:name w:val="个人撰写风格"/>
    <w:qFormat/>
    <w:uiPriority w:val="0"/>
    <w:rPr>
      <w:rFonts w:ascii="Arial" w:hAnsi="Arial" w:eastAsia="宋体" w:cs="Arial"/>
      <w:color w:val="auto"/>
      <w:spacing w:val="0"/>
      <w:sz w:val="20"/>
    </w:rPr>
  </w:style>
  <w:style w:type="paragraph" w:customStyle="1" w:styleId="141">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autoRedefine/>
    <w:qFormat/>
    <w:uiPriority w:val="0"/>
    <w:pPr>
      <w:tabs>
        <w:tab w:val="left" w:pos="840"/>
      </w:tabs>
    </w:pPr>
  </w:style>
  <w:style w:type="paragraph" w:customStyle="1" w:styleId="144">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autoRedefine/>
    <w:semiHidden/>
    <w:qFormat/>
    <w:uiPriority w:val="0"/>
    <w:pPr>
      <w:adjustRightInd/>
      <w:spacing w:line="240" w:lineRule="auto"/>
      <w:jc w:val="left"/>
    </w:pPr>
    <w:rPr>
      <w:bCs/>
      <w:iCs/>
    </w:rPr>
  </w:style>
  <w:style w:type="paragraph" w:customStyle="1" w:styleId="146">
    <w:name w:val="目录 31"/>
    <w:basedOn w:val="1"/>
    <w:next w:val="1"/>
    <w:autoRedefine/>
    <w:semiHidden/>
    <w:qFormat/>
    <w:uiPriority w:val="0"/>
    <w:pPr>
      <w:spacing w:line="240" w:lineRule="auto"/>
    </w:pPr>
    <w:rPr>
      <w:rFonts w:ascii="宋体" w:hAnsi="宋体"/>
      <w:iCs/>
    </w:rPr>
  </w:style>
  <w:style w:type="paragraph" w:customStyle="1" w:styleId="147">
    <w:name w:val="目录 41"/>
    <w:basedOn w:val="1"/>
    <w:next w:val="1"/>
    <w:autoRedefine/>
    <w:semiHidden/>
    <w:qFormat/>
    <w:uiPriority w:val="0"/>
    <w:pPr>
      <w:adjustRightInd/>
      <w:spacing w:line="240" w:lineRule="auto"/>
      <w:jc w:val="left"/>
    </w:pPr>
  </w:style>
  <w:style w:type="paragraph" w:customStyle="1" w:styleId="148">
    <w:name w:val="目录 51"/>
    <w:basedOn w:val="1"/>
    <w:next w:val="1"/>
    <w:autoRedefine/>
    <w:semiHidden/>
    <w:qFormat/>
    <w:uiPriority w:val="0"/>
    <w:pPr>
      <w:spacing w:line="240" w:lineRule="auto"/>
    </w:pPr>
    <w:rPr>
      <w:rFonts w:ascii="宋体" w:hAnsi="宋体"/>
    </w:rPr>
  </w:style>
  <w:style w:type="paragraph" w:customStyle="1" w:styleId="149">
    <w:name w:val="目录 61"/>
    <w:basedOn w:val="1"/>
    <w:next w:val="1"/>
    <w:autoRedefine/>
    <w:semiHidden/>
    <w:qFormat/>
    <w:uiPriority w:val="0"/>
    <w:pPr>
      <w:adjustRightInd/>
      <w:spacing w:line="240" w:lineRule="auto"/>
      <w:jc w:val="left"/>
    </w:pPr>
  </w:style>
  <w:style w:type="paragraph" w:customStyle="1" w:styleId="150">
    <w:name w:val="目录 71"/>
    <w:basedOn w:val="149"/>
    <w:autoRedefine/>
    <w:semiHidden/>
    <w:qFormat/>
    <w:uiPriority w:val="0"/>
    <w:pPr>
      <w:ind w:left="1260"/>
    </w:pPr>
  </w:style>
  <w:style w:type="paragraph" w:customStyle="1" w:styleId="151">
    <w:name w:val="目录 81"/>
    <w:basedOn w:val="150"/>
    <w:autoRedefine/>
    <w:semiHidden/>
    <w:qFormat/>
    <w:uiPriority w:val="0"/>
    <w:pPr>
      <w:ind w:left="1470"/>
    </w:pPr>
  </w:style>
  <w:style w:type="paragraph" w:customStyle="1" w:styleId="152">
    <w:name w:val="目录 91"/>
    <w:basedOn w:val="151"/>
    <w:autoRedefine/>
    <w:semiHidden/>
    <w:qFormat/>
    <w:uiPriority w:val="0"/>
    <w:pPr>
      <w:ind w:left="1680"/>
    </w:pPr>
  </w:style>
  <w:style w:type="paragraph" w:customStyle="1" w:styleId="153">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autoRedefine/>
    <w:qFormat/>
    <w:uiPriority w:val="0"/>
    <w:pPr>
      <w:framePr w:wrap="around"/>
      <w:spacing w:line="0" w:lineRule="atLeast"/>
    </w:pPr>
    <w:rPr>
      <w:rFonts w:ascii="黑体" w:eastAsia="黑体"/>
      <w:b w:val="0"/>
    </w:rPr>
  </w:style>
  <w:style w:type="paragraph" w:customStyle="1" w:styleId="155">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7">
    <w:name w:val="实施日期"/>
    <w:basedOn w:val="123"/>
    <w:autoRedefine/>
    <w:qFormat/>
    <w:uiPriority w:val="0"/>
    <w:pPr>
      <w:framePr w:hSpace="0" w:wrap="around" w:xAlign="right"/>
      <w:jc w:val="right"/>
    </w:pPr>
  </w:style>
  <w:style w:type="paragraph" w:customStyle="1" w:styleId="158">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9">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qFormat/>
    <w:uiPriority w:val="0"/>
    <w:pPr>
      <w:numPr>
        <w:ilvl w:val="6"/>
        <w:numId w:val="20"/>
      </w:numPr>
      <w:adjustRightInd/>
    </w:pPr>
    <w:rPr>
      <w:szCs w:val="24"/>
    </w:rPr>
  </w:style>
  <w:style w:type="paragraph" w:customStyle="1" w:styleId="162">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3">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autoRedefine/>
    <w:qFormat/>
    <w:uiPriority w:val="0"/>
    <w:pPr>
      <w:ind w:left="1406" w:leftChars="0" w:hanging="499" w:firstLineChars="0"/>
    </w:pPr>
  </w:style>
  <w:style w:type="paragraph" w:customStyle="1" w:styleId="165">
    <w:name w:val="标准文件_一级无标题"/>
    <w:basedOn w:val="108"/>
    <w:qFormat/>
    <w:uiPriority w:val="0"/>
    <w:pPr>
      <w:spacing w:before="0" w:beforeLines="0" w:after="0" w:afterLines="0"/>
      <w:outlineLvl w:val="9"/>
    </w:pPr>
    <w:rPr>
      <w:rFonts w:ascii="宋体" w:eastAsia="宋体"/>
    </w:rPr>
  </w:style>
  <w:style w:type="paragraph" w:customStyle="1" w:styleId="166">
    <w:name w:val="标准文件_五级无标题"/>
    <w:basedOn w:val="106"/>
    <w:qFormat/>
    <w:uiPriority w:val="0"/>
    <w:pPr>
      <w:spacing w:before="0" w:beforeLines="0" w:after="0" w:afterLines="0"/>
      <w:outlineLvl w:val="9"/>
    </w:pPr>
    <w:rPr>
      <w:rFonts w:ascii="宋体" w:eastAsia="宋体"/>
    </w:rPr>
  </w:style>
  <w:style w:type="paragraph" w:customStyle="1" w:styleId="167">
    <w:name w:val="标准文件_三级无标题"/>
    <w:basedOn w:val="97"/>
    <w:autoRedefine/>
    <w:qFormat/>
    <w:uiPriority w:val="0"/>
    <w:pPr>
      <w:spacing w:before="0" w:beforeLines="0" w:after="0" w:afterLines="0"/>
      <w:outlineLvl w:val="9"/>
    </w:pPr>
    <w:rPr>
      <w:rFonts w:ascii="宋体" w:eastAsia="宋体"/>
    </w:rPr>
  </w:style>
  <w:style w:type="paragraph" w:customStyle="1" w:styleId="168">
    <w:name w:val="标准文件_二级无标题"/>
    <w:basedOn w:val="68"/>
    <w:autoRedefine/>
    <w:qFormat/>
    <w:uiPriority w:val="0"/>
    <w:pPr>
      <w:spacing w:before="0" w:beforeLines="0" w:after="0" w:afterLines="0"/>
      <w:outlineLvl w:val="9"/>
    </w:pPr>
    <w:rPr>
      <w:rFonts w:ascii="宋体" w:eastAsia="宋体"/>
    </w:rPr>
  </w:style>
  <w:style w:type="paragraph" w:customStyle="1" w:styleId="169">
    <w:name w:val="标准_四级无标题"/>
    <w:basedOn w:val="101"/>
    <w:next w:val="59"/>
    <w:qFormat/>
    <w:uiPriority w:val="0"/>
    <w:rPr>
      <w:rFonts w:eastAsia="宋体"/>
    </w:rPr>
  </w:style>
  <w:style w:type="paragraph" w:customStyle="1" w:styleId="170">
    <w:name w:val="标准文件_四级无标题"/>
    <w:basedOn w:val="101"/>
    <w:autoRedefine/>
    <w:qFormat/>
    <w:uiPriority w:val="0"/>
    <w:pPr>
      <w:spacing w:before="0" w:beforeLines="0" w:after="0" w:afterLines="0"/>
      <w:outlineLvl w:val="9"/>
    </w:pPr>
    <w:rPr>
      <w:rFonts w:ascii="宋体" w:hAnsi="黑体" w:eastAsia="宋体"/>
      <w:szCs w:val="52"/>
    </w:rPr>
  </w:style>
  <w:style w:type="paragraph" w:customStyle="1" w:styleId="171">
    <w:name w:val="标准文件_大写罗马数字编号列项"/>
    <w:basedOn w:val="59"/>
    <w:autoRedefine/>
    <w:qFormat/>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autoRedefine/>
    <w:qFormat/>
    <w:uiPriority w:val="0"/>
    <w:pPr>
      <w:numPr>
        <w:ilvl w:val="0"/>
        <w:numId w:val="24"/>
      </w:numPr>
      <w:ind w:firstLine="0" w:firstLineChars="0"/>
    </w:pPr>
    <w:rPr>
      <w:rFonts w:cs="Arial"/>
      <w:szCs w:val="28"/>
    </w:rPr>
  </w:style>
  <w:style w:type="paragraph" w:customStyle="1" w:styleId="173">
    <w:name w:val="标准文件_附录标题"/>
    <w:basedOn w:val="79"/>
    <w:qFormat/>
    <w:uiPriority w:val="0"/>
    <w:pPr>
      <w:numPr>
        <w:numId w:val="0"/>
      </w:numPr>
      <w:spacing w:after="280"/>
      <w:outlineLvl w:val="9"/>
    </w:pPr>
  </w:style>
  <w:style w:type="paragraph" w:customStyle="1" w:styleId="174">
    <w:name w:val="标准文件_二级项"/>
    <w:autoRedefine/>
    <w:qFormat/>
    <w:uiPriority w:val="0"/>
    <w:rPr>
      <w:rFonts w:ascii="宋体" w:hAnsi="Times New Roman" w:eastAsia="宋体" w:cs="Times New Roman"/>
      <w:sz w:val="21"/>
      <w:lang w:val="en-US" w:eastAsia="zh-CN" w:bidi="ar-SA"/>
    </w:rPr>
  </w:style>
  <w:style w:type="paragraph" w:customStyle="1" w:styleId="175">
    <w:name w:val="标准文件_三级项"/>
    <w:basedOn w:val="1"/>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autoRedefine/>
    <w:qFormat/>
    <w:uiPriority w:val="0"/>
    <w:pPr>
      <w:numPr>
        <w:ilvl w:val="0"/>
        <w:numId w:val="25"/>
      </w:numPr>
      <w:adjustRightInd/>
      <w:spacing w:line="240" w:lineRule="auto"/>
    </w:pPr>
    <w:rPr>
      <w:rFonts w:ascii="宋体" w:hAnsi="Times New Roman"/>
      <w:sz w:val="18"/>
      <w:szCs w:val="18"/>
    </w:rPr>
  </w:style>
  <w:style w:type="paragraph" w:customStyle="1" w:styleId="177">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autoRedefine/>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autoRedefine/>
    <w:qFormat/>
    <w:uiPriority w:val="0"/>
    <w:pPr>
      <w:ind w:firstLine="0" w:firstLineChars="0"/>
      <w:jc w:val="center"/>
    </w:pPr>
    <w:rPr>
      <w:sz w:val="18"/>
    </w:rPr>
  </w:style>
  <w:style w:type="paragraph" w:customStyle="1" w:styleId="182">
    <w:name w:val="标准文件_注："/>
    <w:next w:val="59"/>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qFormat/>
    <w:uiPriority w:val="0"/>
    <w:rPr>
      <w:sz w:val="18"/>
    </w:rPr>
  </w:style>
  <w:style w:type="paragraph" w:customStyle="1" w:styleId="186">
    <w:name w:val="标准文件_示例×："/>
    <w:basedOn w:val="1"/>
    <w:next w:val="185"/>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qFormat/>
    <w:uiPriority w:val="0"/>
    <w:rPr>
      <w:rFonts w:ascii="宋体" w:hAnsi="Times New Roman"/>
      <w:sz w:val="21"/>
    </w:rPr>
  </w:style>
  <w:style w:type="paragraph" w:customStyle="1" w:styleId="188">
    <w:name w:val="标准文件_表格续"/>
    <w:basedOn w:val="59"/>
    <w:next w:val="59"/>
    <w:autoRedefine/>
    <w:qFormat/>
    <w:uiPriority w:val="0"/>
    <w:pPr>
      <w:jc w:val="center"/>
    </w:pPr>
    <w:rPr>
      <w:rFonts w:ascii="黑体" w:hAnsi="黑体" w:eastAsia="黑体"/>
    </w:rPr>
  </w:style>
  <w:style w:type="character" w:styleId="189">
    <w:name w:val="Placeholder Text"/>
    <w:basedOn w:val="30"/>
    <w:semiHidden/>
    <w:qFormat/>
    <w:uiPriority w:val="99"/>
    <w:rPr>
      <w:color w:val="808080"/>
    </w:rPr>
  </w:style>
  <w:style w:type="paragraph" w:customStyle="1" w:styleId="190">
    <w:name w:val="标准文件_二级项2"/>
    <w:basedOn w:val="59"/>
    <w:qFormat/>
    <w:uiPriority w:val="0"/>
    <w:pPr>
      <w:numPr>
        <w:ilvl w:val="1"/>
        <w:numId w:val="21"/>
      </w:numPr>
      <w:ind w:firstLine="0" w:firstLineChars="0"/>
    </w:pPr>
  </w:style>
  <w:style w:type="paragraph" w:customStyle="1" w:styleId="191">
    <w:name w:val="标准文件_三级项2"/>
    <w:basedOn w:val="59"/>
    <w:qFormat/>
    <w:uiPriority w:val="0"/>
    <w:pPr>
      <w:numPr>
        <w:ilvl w:val="0"/>
        <w:numId w:val="30"/>
      </w:numPr>
      <w:spacing w:line="300" w:lineRule="exact"/>
      <w:ind w:firstLineChars="0"/>
    </w:pPr>
    <w:rPr>
      <w:rFonts w:ascii="Times New Roman"/>
    </w:rPr>
  </w:style>
  <w:style w:type="paragraph" w:customStyle="1" w:styleId="192">
    <w:name w:val="标准文件_一级项2"/>
    <w:basedOn w:val="59"/>
    <w:qFormat/>
    <w:uiPriority w:val="0"/>
    <w:pPr>
      <w:numPr>
        <w:ilvl w:val="0"/>
        <w:numId w:val="31"/>
      </w:numPr>
      <w:spacing w:line="300" w:lineRule="exact"/>
      <w:ind w:firstLineChars="0"/>
    </w:pPr>
    <w:rPr>
      <w:rFonts w:ascii="Times New Roman"/>
    </w:rPr>
  </w:style>
  <w:style w:type="paragraph" w:customStyle="1" w:styleId="193">
    <w:name w:val="标准文件_提示"/>
    <w:basedOn w:val="59"/>
    <w:next w:val="59"/>
    <w:qFormat/>
    <w:uiPriority w:val="0"/>
    <w:rPr>
      <w:rFonts w:ascii="黑体" w:eastAsia="黑体"/>
    </w:rPr>
  </w:style>
  <w:style w:type="character" w:customStyle="1" w:styleId="194">
    <w:name w:val="标准文件_来源"/>
    <w:basedOn w:val="30"/>
    <w:autoRedefine/>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autoRedefine/>
    <w:qFormat/>
    <w:uiPriority w:val="0"/>
    <w:pPr>
      <w:framePr w:w="3997" w:h="471" w:hRule="exact" w:hSpace="0" w:vSpace="181" w:wrap="around" w:vAnchor="page" w:hAnchor="page" w:x="1419" w:y="14097"/>
    </w:pPr>
  </w:style>
  <w:style w:type="paragraph" w:customStyle="1" w:styleId="197">
    <w:name w:val="其他实施日期"/>
    <w:basedOn w:val="157"/>
    <w:autoRedefine/>
    <w:qFormat/>
    <w:uiPriority w:val="0"/>
    <w:pPr>
      <w:framePr w:w="3997" w:h="471" w:hRule="exact" w:vSpace="181" w:wrap="around" w:vAnchor="page" w:hAnchor="page" w:x="7089" w:y="14097"/>
    </w:pPr>
  </w:style>
  <w:style w:type="paragraph" w:customStyle="1" w:styleId="198">
    <w:name w:val="标准文件_文件编号"/>
    <w:basedOn w:val="59"/>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framePr/>
      <w:spacing w:before="57"/>
    </w:pPr>
    <w:rPr>
      <w:sz w:val="21"/>
    </w:rPr>
  </w:style>
  <w:style w:type="paragraph" w:customStyle="1" w:styleId="200">
    <w:name w:val="标准文件_文件名称"/>
    <w:basedOn w:val="59"/>
    <w:next w:val="59"/>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qFormat/>
    <w:uiPriority w:val="0"/>
    <w:pPr>
      <w:numPr>
        <w:ilvl w:val="1"/>
        <w:numId w:val="8"/>
      </w:numPr>
      <w:spacing w:before="50" w:beforeLines="50" w:after="50" w:afterLines="50"/>
      <w:ind w:firstLineChars="0"/>
    </w:pPr>
    <w:rPr>
      <w:rFonts w:ascii="黑体" w:eastAsia="黑体"/>
    </w:rPr>
  </w:style>
  <w:style w:type="paragraph" w:customStyle="1" w:styleId="204">
    <w:name w:val="标准文件_引言二级条标题"/>
    <w:basedOn w:val="59"/>
    <w:next w:val="59"/>
    <w:autoRedefine/>
    <w:qFormat/>
    <w:uiPriority w:val="0"/>
    <w:pPr>
      <w:numPr>
        <w:ilvl w:val="2"/>
        <w:numId w:val="8"/>
      </w:numPr>
      <w:spacing w:before="50" w:beforeLines="50" w:after="50" w:afterLines="50"/>
      <w:ind w:firstLineChars="0"/>
    </w:pPr>
    <w:rPr>
      <w:rFonts w:ascii="黑体" w:eastAsia="黑体"/>
    </w:rPr>
  </w:style>
  <w:style w:type="paragraph" w:customStyle="1" w:styleId="205">
    <w:name w:val="标准文件_引言三级条标题"/>
    <w:basedOn w:val="59"/>
    <w:next w:val="59"/>
    <w:autoRedefine/>
    <w:qFormat/>
    <w:uiPriority w:val="0"/>
    <w:pPr>
      <w:numPr>
        <w:ilvl w:val="3"/>
        <w:numId w:val="8"/>
      </w:numPr>
      <w:spacing w:before="50" w:beforeLines="50" w:after="50" w:afterLines="50"/>
      <w:ind w:firstLineChars="0"/>
    </w:pPr>
    <w:rPr>
      <w:rFonts w:ascii="黑体" w:eastAsia="黑体"/>
    </w:rPr>
  </w:style>
  <w:style w:type="paragraph" w:customStyle="1" w:styleId="206">
    <w:name w:val="标准文件_引言四级条标题"/>
    <w:basedOn w:val="59"/>
    <w:next w:val="59"/>
    <w:autoRedefine/>
    <w:qFormat/>
    <w:uiPriority w:val="0"/>
    <w:pPr>
      <w:numPr>
        <w:ilvl w:val="4"/>
        <w:numId w:val="8"/>
      </w:numPr>
      <w:spacing w:before="50" w:beforeLines="50" w:after="50" w:afterLines="50"/>
      <w:ind w:firstLineChars="0"/>
    </w:pPr>
    <w:rPr>
      <w:rFonts w:ascii="黑体" w:eastAsia="黑体"/>
    </w:rPr>
  </w:style>
  <w:style w:type="paragraph" w:customStyle="1" w:styleId="207">
    <w:name w:val="标准文件_引言五级条标题"/>
    <w:basedOn w:val="59"/>
    <w:next w:val="59"/>
    <w:qFormat/>
    <w:uiPriority w:val="0"/>
    <w:pPr>
      <w:numPr>
        <w:ilvl w:val="5"/>
        <w:numId w:val="8"/>
      </w:numPr>
      <w:spacing w:before="50" w:beforeLines="50" w:after="50" w:afterLines="50"/>
      <w:ind w:firstLineChars="0"/>
    </w:pPr>
    <w:rPr>
      <w:rFonts w:ascii="黑体" w:eastAsia="黑体"/>
    </w:rPr>
  </w:style>
  <w:style w:type="paragraph" w:customStyle="1" w:styleId="208">
    <w:name w:val="标准文件_注后"/>
    <w:basedOn w:val="59"/>
    <w:autoRedefine/>
    <w:qFormat/>
    <w:uiPriority w:val="0"/>
    <w:pPr>
      <w:ind w:left="811" w:firstLine="0" w:firstLineChars="0"/>
    </w:pPr>
    <w:rPr>
      <w:sz w:val="18"/>
    </w:rPr>
  </w:style>
  <w:style w:type="paragraph" w:customStyle="1" w:styleId="209">
    <w:name w:val="标准文件_注X后"/>
    <w:basedOn w:val="59"/>
    <w:qFormat/>
    <w:uiPriority w:val="0"/>
    <w:pPr>
      <w:ind w:left="811" w:firstLine="0" w:firstLineChars="0"/>
    </w:pPr>
    <w:rPr>
      <w:sz w:val="18"/>
    </w:rPr>
  </w:style>
  <w:style w:type="paragraph" w:customStyle="1" w:styleId="210">
    <w:name w:val="标准文件_示例后"/>
    <w:basedOn w:val="59"/>
    <w:autoRedefine/>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qFormat/>
    <w:uiPriority w:val="0"/>
    <w:rPr>
      <w:rFonts w:ascii="宋体" w:hAnsi="Times New Roman"/>
      <w:color w:val="FF0000"/>
      <w:sz w:val="18"/>
    </w:rPr>
  </w:style>
  <w:style w:type="paragraph" w:customStyle="1" w:styleId="213">
    <w:name w:val="标准文件_索引项"/>
    <w:basedOn w:val="59"/>
    <w:next w:val="59"/>
    <w:autoRedefine/>
    <w:qFormat/>
    <w:uiPriority w:val="0"/>
    <w:pPr>
      <w:tabs>
        <w:tab w:val="right" w:leader="dot" w:pos="9356"/>
      </w:tabs>
      <w:ind w:left="210" w:hanging="210" w:firstLineChars="0"/>
      <w:jc w:val="left"/>
    </w:pPr>
  </w:style>
  <w:style w:type="paragraph" w:customStyle="1" w:styleId="214">
    <w:name w:val="标准文件_附录一级无标题"/>
    <w:basedOn w:val="81"/>
    <w:autoRedefine/>
    <w:qFormat/>
    <w:uiPriority w:val="0"/>
    <w:pPr>
      <w:spacing w:before="0" w:beforeLines="0" w:after="0" w:afterLines="0" w:line="276" w:lineRule="auto"/>
      <w:outlineLvl w:val="9"/>
    </w:pPr>
    <w:rPr>
      <w:rFonts w:ascii="宋体" w:eastAsia="宋体"/>
    </w:rPr>
  </w:style>
  <w:style w:type="paragraph" w:customStyle="1" w:styleId="215">
    <w:name w:val="标准文件_附录二级无标题"/>
    <w:basedOn w:val="82"/>
    <w:autoRedefine/>
    <w:qFormat/>
    <w:uiPriority w:val="0"/>
    <w:pPr>
      <w:spacing w:before="0" w:beforeLines="0" w:after="0" w:afterLines="0" w:line="276" w:lineRule="auto"/>
      <w:outlineLvl w:val="9"/>
    </w:pPr>
    <w:rPr>
      <w:rFonts w:ascii="宋体" w:eastAsia="宋体"/>
    </w:rPr>
  </w:style>
  <w:style w:type="paragraph" w:customStyle="1" w:styleId="216">
    <w:name w:val="标准文件_附录三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四级无标题"/>
    <w:basedOn w:val="85"/>
    <w:autoRedefine/>
    <w:qFormat/>
    <w:uiPriority w:val="0"/>
    <w:pPr>
      <w:spacing w:before="0" w:beforeLines="0" w:after="0" w:afterLines="0" w:line="276" w:lineRule="auto"/>
      <w:outlineLvl w:val="9"/>
    </w:pPr>
    <w:rPr>
      <w:rFonts w:ascii="宋体" w:eastAsia="宋体"/>
    </w:rPr>
  </w:style>
  <w:style w:type="paragraph" w:customStyle="1" w:styleId="218">
    <w:name w:val="标准文件_附录五级无标题"/>
    <w:basedOn w:val="87"/>
    <w:qFormat/>
    <w:uiPriority w:val="0"/>
    <w:pPr>
      <w:spacing w:before="0" w:beforeLines="0" w:after="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0" w:beforeLines="0" w:after="0" w:afterLines="0" w:line="276" w:lineRule="auto"/>
    </w:pPr>
    <w:rPr>
      <w:rFonts w:ascii="宋体" w:eastAsia="宋体"/>
    </w:rPr>
  </w:style>
  <w:style w:type="paragraph" w:customStyle="1" w:styleId="220">
    <w:name w:val="标准文件_引言二级无标题"/>
    <w:basedOn w:val="204"/>
    <w:next w:val="59"/>
    <w:qFormat/>
    <w:uiPriority w:val="0"/>
    <w:pPr>
      <w:spacing w:before="0" w:beforeLines="0" w:after="0" w:afterLines="0" w:line="276" w:lineRule="auto"/>
    </w:pPr>
    <w:rPr>
      <w:rFonts w:ascii="宋体" w:eastAsia="宋体"/>
    </w:rPr>
  </w:style>
  <w:style w:type="paragraph" w:customStyle="1" w:styleId="221">
    <w:name w:val="标准文件_引言三级无标题"/>
    <w:basedOn w:val="205"/>
    <w:qFormat/>
    <w:uiPriority w:val="0"/>
    <w:pPr>
      <w:spacing w:before="0" w:beforeLines="0" w:after="0" w:afterLines="0" w:line="276" w:lineRule="auto"/>
    </w:pPr>
    <w:rPr>
      <w:rFonts w:ascii="宋体" w:eastAsia="宋体"/>
    </w:rPr>
  </w:style>
  <w:style w:type="paragraph" w:customStyle="1" w:styleId="222">
    <w:name w:val="标准文件_引言四级无标题"/>
    <w:basedOn w:val="206"/>
    <w:next w:val="59"/>
    <w:autoRedefine/>
    <w:qFormat/>
    <w:uiPriority w:val="0"/>
    <w:pPr>
      <w:spacing w:before="0" w:beforeLines="0" w:after="0" w:afterLines="0" w:line="276" w:lineRule="auto"/>
    </w:pPr>
    <w:rPr>
      <w:rFonts w:ascii="宋体" w:eastAsia="宋体"/>
    </w:rPr>
  </w:style>
  <w:style w:type="paragraph" w:customStyle="1" w:styleId="223">
    <w:name w:val="标准文件_引言五级无标题"/>
    <w:basedOn w:val="207"/>
    <w:next w:val="59"/>
    <w:qFormat/>
    <w:uiPriority w:val="0"/>
    <w:pPr>
      <w:spacing w:before="0" w:beforeLines="0" w:after="0" w:afterLines="0" w:line="276" w:lineRule="auto"/>
    </w:pPr>
    <w:rPr>
      <w:rFonts w:ascii="宋体" w:eastAsia="宋体"/>
    </w:rPr>
  </w:style>
  <w:style w:type="paragraph" w:customStyle="1" w:styleId="224">
    <w:name w:val="标准文件_索引标题"/>
    <w:basedOn w:val="66"/>
    <w:next w:val="59"/>
    <w:qFormat/>
    <w:uiPriority w:val="0"/>
    <w:rPr>
      <w:rFonts w:hAnsi="黑体"/>
    </w:rPr>
  </w:style>
  <w:style w:type="paragraph" w:customStyle="1" w:styleId="225">
    <w:name w:val="标准文件_脚注内容"/>
    <w:basedOn w:val="59"/>
    <w:qFormat/>
    <w:uiPriority w:val="0"/>
    <w:pPr>
      <w:ind w:left="400" w:leftChars="200" w:hanging="200" w:hangingChars="200"/>
    </w:pPr>
    <w:rPr>
      <w:sz w:val="15"/>
    </w:rPr>
  </w:style>
  <w:style w:type="paragraph" w:customStyle="1" w:styleId="226">
    <w:name w:val="标准文件_术语条一"/>
    <w:basedOn w:val="165"/>
    <w:next w:val="59"/>
    <w:qFormat/>
    <w:uiPriority w:val="0"/>
  </w:style>
  <w:style w:type="paragraph" w:customStyle="1" w:styleId="227">
    <w:name w:val="标准文件_术语条二"/>
    <w:basedOn w:val="168"/>
    <w:next w:val="59"/>
    <w:autoRedefine/>
    <w:qFormat/>
    <w:uiPriority w:val="0"/>
  </w:style>
  <w:style w:type="paragraph" w:customStyle="1" w:styleId="228">
    <w:name w:val="标准文件_术语条三"/>
    <w:basedOn w:val="167"/>
    <w:next w:val="59"/>
    <w:qFormat/>
    <w:uiPriority w:val="0"/>
  </w:style>
  <w:style w:type="paragraph" w:customStyle="1" w:styleId="229">
    <w:name w:val="标准文件_术语条四"/>
    <w:basedOn w:val="170"/>
    <w:next w:val="59"/>
    <w:autoRedefine/>
    <w:qFormat/>
    <w:uiPriority w:val="0"/>
  </w:style>
  <w:style w:type="paragraph" w:customStyle="1" w:styleId="230">
    <w:name w:val="标准文件_术语条五"/>
    <w:basedOn w:val="166"/>
    <w:next w:val="59"/>
    <w:autoRedefine/>
    <w:qFormat/>
    <w:uiPriority w:val="0"/>
  </w:style>
  <w:style w:type="paragraph" w:customStyle="1" w:styleId="2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0"/>
    <w:qFormat/>
    <w:uiPriority w:val="0"/>
    <w:rPr>
      <w:rFonts w:ascii="黑体" w:eastAsia="黑体"/>
      <w:spacing w:val="85"/>
      <w:w w:val="100"/>
      <w:position w:val="3"/>
      <w:sz w:val="28"/>
      <w:szCs w:val="28"/>
    </w:rPr>
  </w:style>
  <w:style w:type="character" w:customStyle="1" w:styleId="233">
    <w:name w:val="批注文字 Char"/>
    <w:basedOn w:val="30"/>
    <w:link w:val="13"/>
    <w:semiHidden/>
    <w:qFormat/>
    <w:uiPriority w:val="99"/>
    <w:rPr>
      <w:kern w:val="2"/>
      <w:sz w:val="21"/>
      <w:szCs w:val="21"/>
    </w:rPr>
  </w:style>
  <w:style w:type="character" w:customStyle="1" w:styleId="234">
    <w:name w:val="批注主题 Char"/>
    <w:basedOn w:val="233"/>
    <w:link w:val="27"/>
    <w:semiHidden/>
    <w:qFormat/>
    <w:uiPriority w:val="99"/>
    <w:rPr>
      <w:b/>
      <w:bCs/>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9" Type="http://schemas.openxmlformats.org/officeDocument/2006/relationships/glossaryDocument" Target="glossary/document.xml"/><Relationship Id="rId38" Type="http://schemas.openxmlformats.org/officeDocument/2006/relationships/fontTable" Target="fontTable.xml"/><Relationship Id="rId37" Type="http://schemas.openxmlformats.org/officeDocument/2006/relationships/customXml" Target="../customXml/item2.xml"/><Relationship Id="rId36" Type="http://schemas.openxmlformats.org/officeDocument/2006/relationships/numbering" Target="numbering.xml"/><Relationship Id="rId35" Type="http://schemas.openxmlformats.org/officeDocument/2006/relationships/customXml" Target="../customXml/item1.xml"/><Relationship Id="rId34" Type="http://schemas.openxmlformats.org/officeDocument/2006/relationships/image" Target="media/image3.jpeg"/><Relationship Id="rId33" Type="http://schemas.openxmlformats.org/officeDocument/2006/relationships/image" Target="media/image2.png"/><Relationship Id="rId32" Type="http://schemas.openxmlformats.org/officeDocument/2006/relationships/image" Target="media/image1.png"/><Relationship Id="rId31" Type="http://schemas.openxmlformats.org/officeDocument/2006/relationships/theme" Target="theme/theme1.xml"/><Relationship Id="rId30" Type="http://schemas.openxmlformats.org/officeDocument/2006/relationships/footer" Target="footer13.xml"/><Relationship Id="rId3" Type="http://schemas.openxmlformats.org/officeDocument/2006/relationships/footnotes" Target="footnotes.xml"/><Relationship Id="rId29" Type="http://schemas.openxmlformats.org/officeDocument/2006/relationships/footer" Target="footer12.xml"/><Relationship Id="rId28" Type="http://schemas.openxmlformats.org/officeDocument/2006/relationships/header" Target="header13.xml"/><Relationship Id="rId27" Type="http://schemas.openxmlformats.org/officeDocument/2006/relationships/header" Target="header12.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DE3474773164A09A34AB9550C9113E4"/>
        <w:style w:val=""/>
        <w:category>
          <w:name w:val="常规"/>
          <w:gallery w:val="placeholder"/>
        </w:category>
        <w:types>
          <w:type w:val="bbPlcHdr"/>
        </w:types>
        <w:behaviors>
          <w:behavior w:val="content"/>
        </w:behaviors>
        <w:description w:val=""/>
        <w:guid w:val="{3E0DF459-ECB2-4483-A628-18FA718046B3}"/>
      </w:docPartPr>
      <w:docPartBody>
        <w:p w14:paraId="256726C6">
          <w:pPr>
            <w:pStyle w:val="5"/>
          </w:pPr>
          <w:r>
            <w:rPr>
              <w:rStyle w:val="4"/>
              <w:rFonts w:hint="eastAsia"/>
            </w:rPr>
            <w:t>单击或点击此处输入文字。</w:t>
          </w:r>
        </w:p>
      </w:docPartBody>
    </w:docPart>
    <w:docPart>
      <w:docPartPr>
        <w:name w:val="83057005BE93424F9DD9F20D30CA763C"/>
        <w:style w:val=""/>
        <w:category>
          <w:name w:val="常规"/>
          <w:gallery w:val="placeholder"/>
        </w:category>
        <w:types>
          <w:type w:val="bbPlcHdr"/>
        </w:types>
        <w:behaviors>
          <w:behavior w:val="content"/>
        </w:behaviors>
        <w:description w:val=""/>
        <w:guid w:val="{65C1519B-ECAF-409F-BB56-0ED4C230D788}"/>
      </w:docPartPr>
      <w:docPartBody>
        <w:p w14:paraId="58FDA2F3">
          <w:pPr>
            <w:pStyle w:val="6"/>
          </w:pPr>
          <w:r>
            <w:rPr>
              <w:rStyle w:val="4"/>
              <w:rFonts w:hint="eastAsia"/>
            </w:rPr>
            <w:t>选择一项。</w:t>
          </w:r>
        </w:p>
      </w:docPartBody>
    </w:docPart>
    <w:docPart>
      <w:docPartPr>
        <w:name w:val="B10333FFDC4441139FA20A3E23432AE3"/>
        <w:style w:val=""/>
        <w:category>
          <w:name w:val="常规"/>
          <w:gallery w:val="placeholder"/>
        </w:category>
        <w:types>
          <w:type w:val="bbPlcHdr"/>
        </w:types>
        <w:behaviors>
          <w:behavior w:val="content"/>
        </w:behaviors>
        <w:description w:val=""/>
        <w:guid w:val="{6A4D823F-594E-4A7E-9D18-00ECA3AF86F2}"/>
      </w:docPartPr>
      <w:docPartBody>
        <w:p w14:paraId="08614A0A">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32CA"/>
    <w:rsid w:val="000E646E"/>
    <w:rsid w:val="001366F5"/>
    <w:rsid w:val="00214600"/>
    <w:rsid w:val="00270F22"/>
    <w:rsid w:val="00337153"/>
    <w:rsid w:val="00382C8F"/>
    <w:rsid w:val="003E26AC"/>
    <w:rsid w:val="004003FC"/>
    <w:rsid w:val="00400E40"/>
    <w:rsid w:val="00465B29"/>
    <w:rsid w:val="004B4D0F"/>
    <w:rsid w:val="005653C9"/>
    <w:rsid w:val="00587BC3"/>
    <w:rsid w:val="005C574B"/>
    <w:rsid w:val="005E7462"/>
    <w:rsid w:val="00650300"/>
    <w:rsid w:val="006D11C7"/>
    <w:rsid w:val="006E56FF"/>
    <w:rsid w:val="0077367D"/>
    <w:rsid w:val="007B0210"/>
    <w:rsid w:val="0083749A"/>
    <w:rsid w:val="008633BA"/>
    <w:rsid w:val="00962D1D"/>
    <w:rsid w:val="00AF1C14"/>
    <w:rsid w:val="00B32A6F"/>
    <w:rsid w:val="00B8216D"/>
    <w:rsid w:val="00B87595"/>
    <w:rsid w:val="00BA02B6"/>
    <w:rsid w:val="00C2285F"/>
    <w:rsid w:val="00C64004"/>
    <w:rsid w:val="00CA7ECE"/>
    <w:rsid w:val="00D300D3"/>
    <w:rsid w:val="00D36C7C"/>
    <w:rsid w:val="00D932CA"/>
    <w:rsid w:val="00DB245B"/>
    <w:rsid w:val="00EC377B"/>
    <w:rsid w:val="00EE3E8D"/>
    <w:rsid w:val="00F64552"/>
    <w:rsid w:val="00FC613C"/>
    <w:rsid w:val="00FF7E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1DE3474773164A09A34AB9550C9113E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83057005BE93424F9DD9F20D30CA763C"/>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B10333FFDC4441139FA20A3E23432AE3"/>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A3837F-3771-4EAE-BF8D-C0569762584E}">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10</Pages>
  <Words>2801</Words>
  <Characters>3173</Characters>
  <Lines>32</Lines>
  <Paragraphs>9</Paragraphs>
  <TotalTime>392</TotalTime>
  <ScaleCrop>false</ScaleCrop>
  <LinksUpToDate>false</LinksUpToDate>
  <CharactersWithSpaces>3311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2025-01-02T08:52:00Z</dcterms:created>
  <dc:creator>Administrator</dc:creator>
  <dc:description>&lt;config cover="true" show_menu="true" version="1.0.0" doctype="SDKXY"&gt;_x000d_
&lt;/config&gt;</dc:description>
  <cp:lastModifiedBy>冯流莹</cp:lastModifiedBy>
  <cp:lastPrinted>2021-02-02T08:22:00Z</cp:lastPrinted>
  <dcterms:modified xsi:type="dcterms:W3CDTF">2026-05-29T01:24:11Z</dcterms:modified>
  <dc:title>团体标准</dc:title>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2052-12.1.0.23542</vt:lpwstr>
  </property>
  <property fmtid="{D5CDD505-2E9C-101B-9397-08002B2CF9AE}" pid="15" name="ICV">
    <vt:lpwstr>3FC20BA226334E5D938B88002FC28B44_13</vt:lpwstr>
  </property>
  <property fmtid="{D5CDD505-2E9C-101B-9397-08002B2CF9AE}" pid="16" name="DoublePage">
    <vt:lpwstr>true</vt:lpwstr>
  </property>
  <property fmtid="{D5CDD505-2E9C-101B-9397-08002B2CF9AE}" pid="17" name="KSOTemplateDocerSaveRecord">
    <vt:lpwstr>eyJoZGlkIjoiOGFkZjVhNDJiMGExNWUxMjVmMmMwZDU4OWJmZWEzNzAiLCJ1c2VySWQiOiIyNDQ0MTQwMzQifQ==</vt:lpwstr>
  </property>
</Properties>
</file>