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51CC9" w:rsidRDefault="003276A1">
      <w:pPr>
        <w:spacing w:line="600" w:lineRule="exact"/>
        <w:ind w:firstLineChars="200" w:firstLine="880"/>
        <w:jc w:val="center"/>
        <w:outlineLvl w:val="0"/>
        <w:rPr>
          <w:rFonts w:ascii="方正小标宋简体" w:eastAsia="方正小标宋简体" w:hAnsi="黑体" w:cs="黑体"/>
          <w:color w:val="000000"/>
          <w:sz w:val="44"/>
          <w:szCs w:val="44"/>
        </w:rPr>
      </w:pPr>
      <w:r>
        <w:rPr>
          <w:rFonts w:ascii="方正小标宋简体" w:eastAsia="方正小标宋简体" w:hAnsi="黑体" w:cs="黑体" w:hint="eastAsia"/>
          <w:color w:val="000000"/>
          <w:sz w:val="44"/>
          <w:szCs w:val="44"/>
        </w:rPr>
        <w:t>团体标准《</w:t>
      </w:r>
      <w:bookmarkStart w:id="0" w:name="OLE_LINK1"/>
      <w:bookmarkStart w:id="1" w:name="OLE_LINK2"/>
      <w:r>
        <w:rPr>
          <w:rFonts w:ascii="方正小标宋简体" w:eastAsia="方正小标宋简体" w:hAnsi="黑体" w:cs="黑体" w:hint="eastAsia"/>
          <w:color w:val="000000"/>
          <w:sz w:val="44"/>
          <w:szCs w:val="44"/>
        </w:rPr>
        <w:t>心衰病</w:t>
      </w:r>
      <w:bookmarkEnd w:id="0"/>
      <w:bookmarkEnd w:id="1"/>
      <w:r>
        <w:rPr>
          <w:rFonts w:ascii="方正小标宋简体" w:eastAsia="方正小标宋简体" w:hAnsi="黑体" w:cs="黑体" w:hint="eastAsia"/>
          <w:color w:val="000000"/>
          <w:sz w:val="44"/>
          <w:szCs w:val="44"/>
        </w:rPr>
        <w:t>（心力衰竭）壮医防治规范》（征求意见稿）编制说明</w:t>
      </w:r>
    </w:p>
    <w:p w:rsidR="00E51CC9" w:rsidRDefault="003276A1">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一、项目来源</w:t>
      </w:r>
    </w:p>
    <w:p w:rsidR="00E51CC9" w:rsidRDefault="003276A1">
      <w:pPr>
        <w:spacing w:line="560" w:lineRule="exact"/>
        <w:ind w:firstLineChars="200" w:firstLine="640"/>
        <w:rPr>
          <w:rFonts w:ascii="仿宋_GB2312" w:eastAsia="仿宋_GB2312" w:hAnsi="仿宋"/>
          <w:sz w:val="32"/>
          <w:szCs w:val="32"/>
        </w:rPr>
      </w:pPr>
      <w:r>
        <w:rPr>
          <w:rFonts w:ascii="仿宋_GB2312" w:eastAsia="仿宋_GB2312" w:hAnsi="仿宋" w:hint="eastAsia"/>
          <w:sz w:val="32"/>
          <w:szCs w:val="32"/>
        </w:rPr>
        <w:t>根据《广西标准化协会关于下达2025年第二十四批团体标准制修订项目计划的通知》（桂标协〔2025〕</w:t>
      </w:r>
      <w:r>
        <w:rPr>
          <w:rFonts w:ascii="仿宋_GB2312" w:eastAsia="仿宋_GB2312" w:hAnsi="仿宋"/>
          <w:sz w:val="32"/>
          <w:szCs w:val="32"/>
        </w:rPr>
        <w:t>209</w:t>
      </w:r>
      <w:r>
        <w:rPr>
          <w:rFonts w:ascii="仿宋_GB2312" w:eastAsia="仿宋_GB2312" w:hAnsi="仿宋" w:hint="eastAsia"/>
          <w:sz w:val="32"/>
          <w:szCs w:val="32"/>
        </w:rPr>
        <w:t>号）文件精神，</w:t>
      </w:r>
      <w:bookmarkStart w:id="2" w:name="_Hlk154153138"/>
      <w:r>
        <w:rPr>
          <w:rFonts w:ascii="仿宋_GB2312" w:eastAsia="仿宋_GB2312" w:hAnsi="仿宋" w:hint="eastAsia"/>
          <w:sz w:val="32"/>
          <w:szCs w:val="32"/>
        </w:rPr>
        <w:t>由广西中医药大学第一附属医院提出，广西中医药大学第一附属医院、广西国际壮医医院、玉林市中医医院等单位共同起草的团体标准《心衰病（心力衰竭）壮医防治规范》</w:t>
      </w:r>
      <w:bookmarkEnd w:id="2"/>
      <w:r>
        <w:rPr>
          <w:rFonts w:ascii="仿宋_GB2312" w:eastAsia="仿宋_GB2312" w:hAnsi="仿宋" w:hint="eastAsia"/>
          <w:sz w:val="32"/>
          <w:szCs w:val="32"/>
        </w:rPr>
        <w:t>（项目编号2025-</w:t>
      </w:r>
      <w:r>
        <w:rPr>
          <w:rFonts w:ascii="仿宋_GB2312" w:eastAsia="仿宋_GB2312" w:hAnsi="仿宋"/>
          <w:sz w:val="32"/>
          <w:szCs w:val="32"/>
        </w:rPr>
        <w:t>2404</w:t>
      </w:r>
      <w:r>
        <w:rPr>
          <w:rFonts w:ascii="仿宋_GB2312" w:eastAsia="仿宋_GB2312" w:hAnsi="仿宋" w:hint="eastAsia"/>
          <w:sz w:val="32"/>
          <w:szCs w:val="32"/>
        </w:rPr>
        <w:t>）已获立项。</w:t>
      </w:r>
      <w:r>
        <w:rPr>
          <w:rFonts w:ascii="仿宋_GB2312" w:eastAsia="仿宋_GB2312" w:hAnsi="宋体" w:hint="eastAsia"/>
          <w:sz w:val="32"/>
          <w:szCs w:val="32"/>
        </w:rPr>
        <w:t>主要起草人姓名及分工情况如下：</w:t>
      </w:r>
    </w:p>
    <w:tbl>
      <w:tblPr>
        <w:tblW w:w="5390" w:type="pct"/>
        <w:jc w:val="center"/>
        <w:tblLook w:val="04A0" w:firstRow="1" w:lastRow="0" w:firstColumn="1" w:lastColumn="0" w:noHBand="0" w:noVBand="1"/>
      </w:tblPr>
      <w:tblGrid>
        <w:gridCol w:w="909"/>
        <w:gridCol w:w="1134"/>
        <w:gridCol w:w="2004"/>
        <w:gridCol w:w="1935"/>
        <w:gridCol w:w="3664"/>
      </w:tblGrid>
      <w:tr w:rsidR="00E51CC9" w:rsidRPr="00617FC3" w:rsidTr="00617FC3">
        <w:trPr>
          <w:cantSplit/>
          <w:trHeight w:val="576"/>
          <w:jc w:val="center"/>
        </w:trPr>
        <w:tc>
          <w:tcPr>
            <w:tcW w:w="471" w:type="pct"/>
            <w:tcBorders>
              <w:top w:val="single" w:sz="4" w:space="0" w:color="auto"/>
              <w:left w:val="single" w:sz="4" w:space="0" w:color="auto"/>
              <w:bottom w:val="single" w:sz="4" w:space="0" w:color="auto"/>
              <w:right w:val="single" w:sz="4" w:space="0" w:color="auto"/>
            </w:tcBorders>
            <w:vAlign w:val="center"/>
          </w:tcPr>
          <w:p w:rsidR="00E51CC9" w:rsidRPr="00617FC3" w:rsidRDefault="003276A1" w:rsidP="00617FC3">
            <w:pPr>
              <w:spacing w:line="240" w:lineRule="atLeast"/>
              <w:jc w:val="center"/>
              <w:rPr>
                <w:rFonts w:ascii="宋体" w:hAnsi="宋体"/>
                <w:bCs/>
                <w:szCs w:val="21"/>
              </w:rPr>
            </w:pPr>
            <w:r w:rsidRPr="00617FC3">
              <w:rPr>
                <w:rFonts w:ascii="宋体" w:hAnsi="宋体" w:cs="宋体" w:hint="eastAsia"/>
                <w:b/>
                <w:bCs/>
                <w:szCs w:val="21"/>
              </w:rPr>
              <w:t>序号</w:t>
            </w:r>
          </w:p>
        </w:tc>
        <w:tc>
          <w:tcPr>
            <w:tcW w:w="588" w:type="pct"/>
            <w:tcBorders>
              <w:top w:val="single" w:sz="4" w:space="0" w:color="auto"/>
              <w:left w:val="single" w:sz="4" w:space="0" w:color="auto"/>
              <w:bottom w:val="single" w:sz="4" w:space="0" w:color="auto"/>
              <w:right w:val="single" w:sz="4" w:space="0" w:color="auto"/>
            </w:tcBorders>
            <w:vAlign w:val="center"/>
          </w:tcPr>
          <w:p w:rsidR="00E51CC9" w:rsidRPr="00617FC3" w:rsidRDefault="003276A1" w:rsidP="00617FC3">
            <w:pPr>
              <w:spacing w:line="240" w:lineRule="atLeast"/>
              <w:jc w:val="center"/>
              <w:rPr>
                <w:rFonts w:ascii="宋体" w:hAnsi="宋体"/>
                <w:bCs/>
                <w:szCs w:val="21"/>
              </w:rPr>
            </w:pPr>
            <w:r w:rsidRPr="00617FC3">
              <w:rPr>
                <w:rFonts w:ascii="宋体" w:hAnsi="宋体" w:cs="宋体" w:hint="eastAsia"/>
                <w:b/>
                <w:bCs/>
                <w:szCs w:val="21"/>
              </w:rPr>
              <w:t>姓  名</w:t>
            </w:r>
          </w:p>
        </w:tc>
        <w:tc>
          <w:tcPr>
            <w:tcW w:w="1039" w:type="pct"/>
            <w:tcBorders>
              <w:top w:val="single" w:sz="4" w:space="0" w:color="auto"/>
              <w:left w:val="single" w:sz="4" w:space="0" w:color="auto"/>
              <w:bottom w:val="single" w:sz="4" w:space="0" w:color="auto"/>
              <w:right w:val="single" w:sz="4" w:space="0" w:color="auto"/>
            </w:tcBorders>
            <w:vAlign w:val="center"/>
          </w:tcPr>
          <w:p w:rsidR="00E51CC9" w:rsidRPr="00617FC3" w:rsidRDefault="003276A1" w:rsidP="00617FC3">
            <w:pPr>
              <w:spacing w:line="240" w:lineRule="atLeast"/>
              <w:jc w:val="center"/>
              <w:rPr>
                <w:rFonts w:ascii="宋体" w:hAnsi="宋体"/>
                <w:b/>
                <w:szCs w:val="21"/>
              </w:rPr>
            </w:pPr>
            <w:r w:rsidRPr="00617FC3">
              <w:rPr>
                <w:rFonts w:ascii="宋体" w:hAnsi="宋体" w:cs="宋体" w:hint="eastAsia"/>
                <w:b/>
                <w:szCs w:val="21"/>
              </w:rPr>
              <w:t>单位</w:t>
            </w:r>
          </w:p>
        </w:tc>
        <w:tc>
          <w:tcPr>
            <w:tcW w:w="1003" w:type="pct"/>
            <w:tcBorders>
              <w:top w:val="single" w:sz="4" w:space="0" w:color="auto"/>
              <w:left w:val="single" w:sz="4" w:space="0" w:color="auto"/>
              <w:bottom w:val="single" w:sz="4" w:space="0" w:color="auto"/>
              <w:right w:val="single" w:sz="4" w:space="0" w:color="auto"/>
            </w:tcBorders>
            <w:vAlign w:val="center"/>
          </w:tcPr>
          <w:p w:rsidR="00E51CC9" w:rsidRPr="00617FC3" w:rsidRDefault="003276A1" w:rsidP="00617FC3">
            <w:pPr>
              <w:spacing w:line="240" w:lineRule="atLeast"/>
              <w:jc w:val="center"/>
              <w:rPr>
                <w:rFonts w:ascii="宋体" w:hAnsi="宋体"/>
                <w:b/>
                <w:bCs/>
                <w:szCs w:val="21"/>
              </w:rPr>
            </w:pPr>
            <w:r w:rsidRPr="00617FC3">
              <w:rPr>
                <w:rFonts w:ascii="宋体" w:hAnsi="宋体" w:cs="宋体" w:hint="eastAsia"/>
                <w:b/>
                <w:bCs/>
                <w:szCs w:val="21"/>
              </w:rPr>
              <w:t>职务/职称</w:t>
            </w:r>
          </w:p>
        </w:tc>
        <w:tc>
          <w:tcPr>
            <w:tcW w:w="1899" w:type="pct"/>
            <w:tcBorders>
              <w:top w:val="single" w:sz="4" w:space="0" w:color="auto"/>
              <w:left w:val="single" w:sz="4" w:space="0" w:color="auto"/>
              <w:bottom w:val="single" w:sz="4" w:space="0" w:color="auto"/>
              <w:right w:val="single" w:sz="4" w:space="0" w:color="auto"/>
            </w:tcBorders>
            <w:vAlign w:val="center"/>
          </w:tcPr>
          <w:p w:rsidR="00E51CC9" w:rsidRPr="00617FC3" w:rsidRDefault="003276A1" w:rsidP="00617FC3">
            <w:pPr>
              <w:spacing w:line="240" w:lineRule="atLeast"/>
              <w:jc w:val="center"/>
              <w:rPr>
                <w:rFonts w:ascii="宋体" w:hAnsi="宋体"/>
                <w:bCs/>
                <w:szCs w:val="21"/>
              </w:rPr>
            </w:pPr>
            <w:r w:rsidRPr="00617FC3">
              <w:rPr>
                <w:rFonts w:ascii="宋体" w:hAnsi="宋体" w:cs="宋体" w:hint="eastAsia"/>
                <w:b/>
                <w:bCs/>
                <w:szCs w:val="21"/>
              </w:rPr>
              <w:t>参与编制标准分工情况</w:t>
            </w:r>
          </w:p>
        </w:tc>
      </w:tr>
      <w:tr w:rsidR="00617FC3" w:rsidRPr="00617FC3" w:rsidTr="00617FC3">
        <w:trPr>
          <w:cantSplit/>
          <w:trHeight w:val="516"/>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1</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jc w:val="center"/>
              <w:rPr>
                <w:rFonts w:ascii="宋体" w:hAnsi="宋体"/>
                <w:spacing w:val="-5"/>
                <w:szCs w:val="21"/>
              </w:rPr>
            </w:pPr>
            <w:r w:rsidRPr="00617FC3">
              <w:rPr>
                <w:rFonts w:ascii="宋体" w:hAnsi="宋体" w:hint="eastAsia"/>
                <w:spacing w:val="-5"/>
                <w:szCs w:val="21"/>
              </w:rPr>
              <w:t>张清伟</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jc w:val="center"/>
              <w:rPr>
                <w:rFonts w:ascii="宋体" w:hAnsi="宋体"/>
                <w:spacing w:val="-5"/>
                <w:szCs w:val="21"/>
              </w:rPr>
            </w:pPr>
            <w:r w:rsidRPr="00617FC3">
              <w:rPr>
                <w:rFonts w:ascii="宋体" w:hAnsi="宋体" w:hint="eastAsia"/>
                <w:spacing w:val="-5"/>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jc w:val="center"/>
              <w:rPr>
                <w:rFonts w:ascii="宋体" w:hAnsi="宋体"/>
                <w:spacing w:val="-5"/>
                <w:szCs w:val="21"/>
              </w:rPr>
            </w:pPr>
            <w:r w:rsidRPr="00617FC3">
              <w:rPr>
                <w:rFonts w:ascii="宋体" w:hAnsi="宋体" w:hint="eastAsia"/>
                <w:spacing w:val="-5"/>
                <w:szCs w:val="21"/>
              </w:rPr>
              <w:t>科主任/主任医师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pStyle w:val="TableText"/>
              <w:spacing w:before="61"/>
              <w:jc w:val="center"/>
              <w:rPr>
                <w:rFonts w:cs="Times New Roman"/>
                <w:snapToGrid/>
                <w:color w:val="auto"/>
                <w:spacing w:val="-5"/>
                <w:kern w:val="2"/>
                <w:sz w:val="21"/>
                <w:szCs w:val="21"/>
                <w:lang w:eastAsia="zh-CN"/>
              </w:rPr>
            </w:pPr>
            <w:r w:rsidRPr="00617FC3">
              <w:rPr>
                <w:rFonts w:cs="Times New Roman" w:hint="eastAsia"/>
                <w:snapToGrid/>
                <w:color w:val="auto"/>
                <w:spacing w:val="-5"/>
                <w:kern w:val="2"/>
                <w:sz w:val="21"/>
                <w:szCs w:val="21"/>
                <w:lang w:eastAsia="zh-CN"/>
              </w:rPr>
              <w:t>统筹规范编制工作，组织人员进行规范发布后的宣贯培训</w:t>
            </w:r>
          </w:p>
        </w:tc>
      </w:tr>
      <w:tr w:rsidR="00617FC3" w:rsidRPr="00617FC3" w:rsidTr="00617FC3">
        <w:trPr>
          <w:cantSplit/>
          <w:trHeight w:val="515"/>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2</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jc w:val="center"/>
              <w:rPr>
                <w:rFonts w:ascii="宋体" w:hAnsi="宋体"/>
                <w:spacing w:val="-5"/>
                <w:szCs w:val="21"/>
              </w:rPr>
            </w:pPr>
            <w:r w:rsidRPr="00617FC3">
              <w:rPr>
                <w:rFonts w:ascii="宋体" w:hAnsi="宋体" w:hint="eastAsia"/>
                <w:spacing w:val="-5"/>
                <w:szCs w:val="21"/>
              </w:rPr>
              <w:t>周晓玲</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jc w:val="center"/>
              <w:rPr>
                <w:rFonts w:ascii="宋体" w:hAnsi="宋体"/>
                <w:spacing w:val="-5"/>
                <w:szCs w:val="21"/>
              </w:rPr>
            </w:pPr>
            <w:r w:rsidRPr="00617FC3">
              <w:rPr>
                <w:rFonts w:ascii="宋体" w:hAnsi="宋体" w:hint="eastAsia"/>
                <w:spacing w:val="-5"/>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jc w:val="center"/>
              <w:rPr>
                <w:rFonts w:ascii="宋体" w:hAnsi="宋体"/>
                <w:spacing w:val="-5"/>
                <w:szCs w:val="21"/>
              </w:rPr>
            </w:pPr>
            <w:r w:rsidRPr="00617FC3">
              <w:rPr>
                <w:rFonts w:ascii="宋体" w:hAnsi="宋体" w:hint="eastAsia"/>
                <w:spacing w:val="-5"/>
                <w:szCs w:val="21"/>
              </w:rPr>
              <w:t>院长/主任医师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pStyle w:val="TableText"/>
              <w:spacing w:before="61"/>
              <w:jc w:val="center"/>
              <w:rPr>
                <w:rFonts w:cs="Times New Roman"/>
                <w:snapToGrid/>
                <w:color w:val="auto"/>
                <w:spacing w:val="-5"/>
                <w:kern w:val="2"/>
                <w:sz w:val="21"/>
                <w:szCs w:val="21"/>
                <w:lang w:eastAsia="zh-CN"/>
              </w:rPr>
            </w:pPr>
            <w:r w:rsidRPr="00617FC3">
              <w:rPr>
                <w:rFonts w:cs="Times New Roman" w:hint="eastAsia"/>
                <w:snapToGrid/>
                <w:color w:val="auto"/>
                <w:spacing w:val="-5"/>
                <w:kern w:val="2"/>
                <w:sz w:val="21"/>
                <w:szCs w:val="21"/>
                <w:lang w:eastAsia="zh-CN"/>
              </w:rPr>
              <w:t>指导规范文本及编制说明编写，质量控制</w:t>
            </w:r>
          </w:p>
        </w:tc>
      </w:tr>
      <w:tr w:rsidR="00617FC3" w:rsidRPr="00617FC3" w:rsidTr="00617FC3">
        <w:trPr>
          <w:cantSplit/>
          <w:trHeight w:val="462"/>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3</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jc w:val="center"/>
              <w:rPr>
                <w:rFonts w:ascii="宋体" w:hAnsi="宋体"/>
                <w:spacing w:val="-5"/>
                <w:szCs w:val="21"/>
              </w:rPr>
            </w:pPr>
            <w:r w:rsidRPr="00617FC3">
              <w:rPr>
                <w:rFonts w:ascii="宋体" w:hAnsi="宋体" w:hint="eastAsia"/>
                <w:spacing w:val="-5"/>
                <w:szCs w:val="21"/>
              </w:rPr>
              <w:t>何贵新</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jc w:val="center"/>
              <w:rPr>
                <w:rFonts w:ascii="宋体" w:hAnsi="宋体"/>
                <w:spacing w:val="-5"/>
                <w:szCs w:val="21"/>
              </w:rPr>
            </w:pPr>
            <w:r w:rsidRPr="00617FC3">
              <w:rPr>
                <w:rFonts w:ascii="宋体" w:hAnsi="宋体" w:hint="eastAsia"/>
                <w:spacing w:val="-5"/>
                <w:szCs w:val="21"/>
              </w:rPr>
              <w:t>广西国际壮医医院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jc w:val="center"/>
              <w:rPr>
                <w:rFonts w:ascii="宋体" w:hAnsi="宋体"/>
                <w:spacing w:val="-5"/>
                <w:szCs w:val="21"/>
              </w:rPr>
            </w:pPr>
            <w:r w:rsidRPr="00617FC3">
              <w:rPr>
                <w:rFonts w:ascii="宋体" w:hAnsi="宋体" w:hint="eastAsia"/>
                <w:spacing w:val="-5"/>
                <w:szCs w:val="21"/>
              </w:rPr>
              <w:t>副院长/主任医师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pStyle w:val="TableText"/>
              <w:spacing w:before="45"/>
              <w:jc w:val="center"/>
              <w:rPr>
                <w:rFonts w:cs="Times New Roman"/>
                <w:snapToGrid/>
                <w:color w:val="auto"/>
                <w:spacing w:val="-5"/>
                <w:kern w:val="2"/>
                <w:sz w:val="21"/>
                <w:szCs w:val="21"/>
                <w:lang w:eastAsia="zh-CN"/>
              </w:rPr>
            </w:pPr>
            <w:r w:rsidRPr="00617FC3">
              <w:rPr>
                <w:rFonts w:cs="Times New Roman" w:hint="eastAsia"/>
                <w:snapToGrid/>
                <w:color w:val="auto"/>
                <w:spacing w:val="-5"/>
                <w:kern w:val="2"/>
                <w:sz w:val="21"/>
                <w:szCs w:val="21"/>
                <w:lang w:eastAsia="zh-CN"/>
              </w:rPr>
              <w:t>对规范实施情况进行总结分析，不断对规范提出修正意见</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4</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jc w:val="center"/>
              <w:rPr>
                <w:rFonts w:ascii="宋体" w:hAnsi="宋体"/>
                <w:spacing w:val="-5"/>
                <w:szCs w:val="21"/>
              </w:rPr>
            </w:pPr>
            <w:r w:rsidRPr="00617FC3">
              <w:rPr>
                <w:rFonts w:ascii="宋体" w:hAnsi="宋体" w:hint="eastAsia"/>
                <w:spacing w:val="-5"/>
                <w:szCs w:val="21"/>
              </w:rPr>
              <w:t>莫霄云</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jc w:val="center"/>
              <w:rPr>
                <w:rFonts w:ascii="宋体" w:hAnsi="宋体"/>
                <w:spacing w:val="-5"/>
                <w:szCs w:val="21"/>
              </w:rPr>
            </w:pPr>
            <w:r w:rsidRPr="00617FC3">
              <w:rPr>
                <w:rFonts w:ascii="宋体" w:hAnsi="宋体" w:hint="eastAsia"/>
                <w:spacing w:val="-5"/>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jc w:val="center"/>
              <w:rPr>
                <w:rFonts w:ascii="宋体" w:hAnsi="宋体"/>
                <w:spacing w:val="-5"/>
                <w:szCs w:val="21"/>
              </w:rPr>
            </w:pPr>
            <w:r w:rsidRPr="00617FC3">
              <w:rPr>
                <w:rFonts w:ascii="宋体" w:hAnsi="宋体" w:hint="eastAsia"/>
                <w:spacing w:val="-5"/>
                <w:szCs w:val="21"/>
              </w:rPr>
              <w:t>无/主任医师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widowControl/>
              <w:snapToGrid w:val="0"/>
              <w:spacing w:before="81"/>
              <w:jc w:val="center"/>
              <w:rPr>
                <w:rFonts w:ascii="宋体" w:hAnsi="宋体"/>
                <w:spacing w:val="-5"/>
                <w:szCs w:val="21"/>
              </w:rPr>
            </w:pPr>
            <w:r w:rsidRPr="00617FC3">
              <w:rPr>
                <w:rFonts w:ascii="宋体" w:hAnsi="宋体" w:hint="eastAsia"/>
                <w:spacing w:val="-5"/>
                <w:szCs w:val="21"/>
              </w:rPr>
              <w:t>负责起草规范草案，征求意见稿和规范编制说明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5</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jc w:val="center"/>
              <w:rPr>
                <w:rFonts w:ascii="宋体" w:hAnsi="宋体"/>
                <w:spacing w:val="-5"/>
                <w:szCs w:val="21"/>
              </w:rPr>
            </w:pPr>
            <w:r w:rsidRPr="00617FC3">
              <w:rPr>
                <w:rFonts w:ascii="宋体" w:hAnsi="宋体" w:hint="eastAsia"/>
                <w:spacing w:val="-5"/>
                <w:szCs w:val="21"/>
              </w:rPr>
              <w:t>谭炜</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jc w:val="center"/>
              <w:rPr>
                <w:rFonts w:ascii="宋体" w:hAnsi="宋体"/>
                <w:spacing w:val="-5"/>
                <w:szCs w:val="21"/>
              </w:rPr>
            </w:pPr>
            <w:r w:rsidRPr="00617FC3">
              <w:rPr>
                <w:rFonts w:ascii="宋体" w:hAnsi="宋体" w:hint="eastAsia"/>
                <w:spacing w:val="-5"/>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jc w:val="center"/>
              <w:rPr>
                <w:rFonts w:ascii="宋体" w:hAnsi="宋体"/>
                <w:spacing w:val="-5"/>
                <w:szCs w:val="21"/>
              </w:rPr>
            </w:pPr>
            <w:r w:rsidRPr="00617FC3">
              <w:rPr>
                <w:rFonts w:ascii="宋体" w:hAnsi="宋体" w:hint="eastAsia"/>
                <w:spacing w:val="-5"/>
                <w:szCs w:val="21"/>
              </w:rPr>
              <w:t>科副主任/主任医师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widowControl/>
              <w:snapToGrid w:val="0"/>
              <w:spacing w:before="38"/>
              <w:jc w:val="center"/>
              <w:rPr>
                <w:rFonts w:ascii="宋体" w:hAnsi="宋体"/>
                <w:spacing w:val="-5"/>
                <w:szCs w:val="21"/>
              </w:rPr>
            </w:pPr>
            <w:r w:rsidRPr="00617FC3">
              <w:rPr>
                <w:rFonts w:ascii="宋体" w:hAnsi="宋体" w:hint="eastAsia"/>
                <w:spacing w:val="-5"/>
                <w:szCs w:val="21"/>
              </w:rPr>
              <w:t>负责起草规范草案，征求意见稿和规范编制说明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jc w:val="center"/>
              <w:rPr>
                <w:rFonts w:ascii="宋体" w:hAnsi="宋体"/>
                <w:spacing w:val="-5"/>
                <w:szCs w:val="21"/>
              </w:rPr>
            </w:pPr>
            <w:r w:rsidRPr="00617FC3">
              <w:rPr>
                <w:rFonts w:ascii="宋体" w:hAnsi="宋体" w:hint="eastAsia"/>
                <w:spacing w:val="-5"/>
                <w:szCs w:val="21"/>
              </w:rPr>
              <w:t>林琳</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jc w:val="center"/>
              <w:rPr>
                <w:rFonts w:ascii="宋体" w:hAnsi="宋体"/>
                <w:spacing w:val="-5"/>
                <w:szCs w:val="21"/>
              </w:rPr>
            </w:pPr>
            <w:r w:rsidRPr="00617FC3">
              <w:rPr>
                <w:rFonts w:ascii="宋体" w:hAnsi="宋体" w:hint="eastAsia"/>
                <w:spacing w:val="-5"/>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jc w:val="center"/>
              <w:rPr>
                <w:rFonts w:ascii="宋体" w:hAnsi="宋体"/>
                <w:spacing w:val="-5"/>
                <w:szCs w:val="21"/>
              </w:rPr>
            </w:pPr>
            <w:r w:rsidRPr="00617FC3">
              <w:rPr>
                <w:rFonts w:ascii="宋体" w:hAnsi="宋体" w:hint="eastAsia"/>
                <w:spacing w:val="-5"/>
                <w:szCs w:val="21"/>
              </w:rPr>
              <w:t>科副主任/副主任医师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snapToGrid w:val="0"/>
              <w:spacing w:before="34"/>
              <w:jc w:val="center"/>
              <w:rPr>
                <w:rFonts w:ascii="宋体" w:hAnsi="宋体"/>
                <w:spacing w:val="-5"/>
                <w:szCs w:val="21"/>
              </w:rPr>
            </w:pPr>
            <w:r w:rsidRPr="00617FC3">
              <w:rPr>
                <w:rFonts w:ascii="宋体" w:hAnsi="宋体" w:hint="eastAsia"/>
                <w:spacing w:val="-5"/>
                <w:szCs w:val="21"/>
              </w:rPr>
              <w:t>负责起草规范草案，征求意见稿和规范编制说明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7</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李凤球</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护士长/副主任护师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8</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杨朔</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无/主治医师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9</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王明远</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无/主治医师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10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李健</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广西国际壮医医院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科主任/主任医师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11</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莫铘</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玉林市中医医院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科主任/主任医师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12</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阮威君</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桂林市中医医院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科主任/主任医师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lastRenderedPageBreak/>
              <w:t>13</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朱仕现</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柳州市中医医院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科主任/主任医师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14</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韦嘉旺</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防城港市中医医院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科主任/副主任医师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15</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秦伟彬</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无/主治医师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16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邓学秋</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无/主治医师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17</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玉黎燕</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无/住院医师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378"/>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18</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陈佳永</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无/住院医师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19</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王雪娟</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护士长/主任护师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20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谢集花</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副护士长/副主任护师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21</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叶海燕</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广西中医药大学第一附属医院东葛社区卫生服务中心</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副主任/副主任医师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22</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林燕燕</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广西中医药大学第一附属医院东葛社区卫生服务中心</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副主任/副主任医师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23</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李小娟</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无/主管护师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24</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黄丽珍</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无/主管护师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25</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徐发飞</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玉林市中医医院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无/主治医师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26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王涛艳</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护士长/副主任护师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27</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潘艳艳</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无/主管护师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28</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潘海燕</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无/主管护师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29</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韦月梅</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无/主管护师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30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李小莲</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无/主管护师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31</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杨斐斐</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无/住院医师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r w:rsidR="00617FC3" w:rsidRPr="00617FC3" w:rsidTr="00617FC3">
        <w:trPr>
          <w:cantSplit/>
          <w:trHeight w:val="470"/>
          <w:jc w:val="center"/>
        </w:trPr>
        <w:tc>
          <w:tcPr>
            <w:tcW w:w="471"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tabs>
                <w:tab w:val="left" w:pos="420"/>
              </w:tabs>
              <w:suppressAutoHyphens/>
              <w:spacing w:line="240" w:lineRule="atLeast"/>
              <w:jc w:val="center"/>
              <w:rPr>
                <w:rFonts w:ascii="宋体" w:hAnsi="宋体"/>
                <w:bCs/>
                <w:szCs w:val="21"/>
              </w:rPr>
            </w:pPr>
            <w:r w:rsidRPr="00617FC3">
              <w:rPr>
                <w:rFonts w:ascii="宋体" w:hAnsi="宋体" w:hint="eastAsia"/>
                <w:bCs/>
                <w:szCs w:val="21"/>
              </w:rPr>
              <w:t>32</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唐伟智</w:t>
            </w:r>
          </w:p>
        </w:tc>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广西中医药大学第一附属医院</w:t>
            </w:r>
          </w:p>
        </w:tc>
        <w:tc>
          <w:tcPr>
            <w:tcW w:w="1003" w:type="pct"/>
            <w:tcBorders>
              <w:top w:val="single" w:sz="4" w:space="0" w:color="auto"/>
              <w:left w:val="single" w:sz="4" w:space="0" w:color="auto"/>
              <w:bottom w:val="single" w:sz="4" w:space="0" w:color="auto"/>
              <w:right w:val="single" w:sz="4" w:space="0" w:color="auto"/>
            </w:tcBorders>
            <w:shd w:val="clear" w:color="auto" w:fill="auto"/>
            <w:vAlign w:val="center"/>
          </w:tcPr>
          <w:p w:rsidR="00617FC3" w:rsidRPr="00617FC3" w:rsidRDefault="00617FC3" w:rsidP="00617FC3">
            <w:pPr>
              <w:spacing w:line="240" w:lineRule="atLeast"/>
              <w:jc w:val="center"/>
              <w:rPr>
                <w:rFonts w:ascii="宋体" w:hAnsi="宋体"/>
                <w:bCs/>
                <w:szCs w:val="21"/>
              </w:rPr>
            </w:pPr>
            <w:r w:rsidRPr="00617FC3">
              <w:rPr>
                <w:rFonts w:ascii="宋体" w:hAnsi="宋体" w:hint="eastAsia"/>
                <w:bCs/>
                <w:szCs w:val="21"/>
              </w:rPr>
              <w:t>无/主治医师</w:t>
            </w:r>
          </w:p>
        </w:tc>
        <w:tc>
          <w:tcPr>
            <w:tcW w:w="1899" w:type="pct"/>
            <w:tcBorders>
              <w:top w:val="single" w:sz="4" w:space="0" w:color="auto"/>
              <w:left w:val="single" w:sz="4" w:space="0" w:color="auto"/>
              <w:bottom w:val="single" w:sz="4" w:space="0" w:color="auto"/>
              <w:right w:val="single" w:sz="4" w:space="0" w:color="auto"/>
            </w:tcBorders>
            <w:vAlign w:val="center"/>
          </w:tcPr>
          <w:p w:rsidR="00617FC3" w:rsidRPr="00617FC3" w:rsidRDefault="00617FC3" w:rsidP="00617FC3">
            <w:pPr>
              <w:jc w:val="center"/>
              <w:rPr>
                <w:rFonts w:ascii="宋体" w:hAnsi="宋体"/>
                <w:szCs w:val="21"/>
              </w:rPr>
            </w:pPr>
            <w:r w:rsidRPr="00617FC3">
              <w:rPr>
                <w:rFonts w:ascii="宋体" w:hAnsi="宋体" w:hint="eastAsia"/>
                <w:spacing w:val="-5"/>
                <w:szCs w:val="21"/>
              </w:rPr>
              <w:t>负责起草规范草案，</w:t>
            </w:r>
            <w:r w:rsidRPr="00617FC3">
              <w:rPr>
                <w:rFonts w:ascii="宋体" w:hAnsi="宋体" w:hint="eastAsia"/>
                <w:spacing w:val="1"/>
                <w:szCs w:val="21"/>
              </w:rPr>
              <w:t>征求意见稿和规范</w:t>
            </w:r>
            <w:r w:rsidRPr="00617FC3">
              <w:rPr>
                <w:rFonts w:ascii="宋体" w:hAnsi="宋体" w:hint="eastAsia"/>
                <w:spacing w:val="6"/>
                <w:szCs w:val="21"/>
              </w:rPr>
              <w:t>编制说明</w:t>
            </w:r>
          </w:p>
        </w:tc>
      </w:tr>
    </w:tbl>
    <w:p w:rsidR="00E51CC9" w:rsidRDefault="003276A1">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color w:val="FF0000"/>
          <w:sz w:val="32"/>
          <w:szCs w:val="32"/>
        </w:rPr>
      </w:pPr>
      <w:r>
        <w:rPr>
          <w:rFonts w:ascii="黑体" w:eastAsia="黑体" w:hAnsi="黑体" w:cs="仿宋_GB2312" w:hint="eastAsia"/>
          <w:sz w:val="32"/>
          <w:szCs w:val="32"/>
        </w:rPr>
        <w:lastRenderedPageBreak/>
        <w:t>二、项目背景及目的意义</w:t>
      </w:r>
    </w:p>
    <w:p w:rsidR="00E51CC9" w:rsidRDefault="003276A1">
      <w:pPr>
        <w:suppressAutoHyphens/>
        <w:spacing w:line="560" w:lineRule="exact"/>
        <w:ind w:firstLineChars="200" w:firstLine="640"/>
        <w:rPr>
          <w:rFonts w:ascii="仿宋_GB2312" w:eastAsia="仿宋_GB2312" w:hAnsi="仿宋_GB2312" w:cs="仿宋_GB2312"/>
          <w:color w:val="000000" w:themeColor="text1"/>
          <w:sz w:val="32"/>
          <w:szCs w:val="32"/>
        </w:rPr>
      </w:pPr>
      <w:r>
        <w:rPr>
          <w:rFonts w:ascii="仿宋_GB2312" w:eastAsia="仿宋_GB2312" w:hAnsi="仿宋_GB2312" w:cs="仿宋_GB2312" w:hint="eastAsia"/>
          <w:color w:val="000000" w:themeColor="text1"/>
          <w:sz w:val="32"/>
          <w:szCs w:val="32"/>
        </w:rPr>
        <w:t>近年来，随着经济日益发展、生活方式和生活环境变化、人口老龄化程度加重,心血管疾病已经位列我国居民死因之首，《中国心血管健康与疾病报告》指出包括心力衰竭在内的心血管急危重症是造成目前我国居民死亡和疾病经济负担的首要因素。心力衰竭是由于任何心脏构造或功能特别导致心室充盈或射血能力受损所致的一组复杂临床综合征，其主要临床表现为呼吸困难和乏力(活动耐量受限)，以及潴留（肺淤血和外周水肿）。心衰为各种心脏病的严峻和终末阶段，发病率高，已成为21世纪最重要的心血管病症之一。据统计，目前全球心力衰竭患者约有2200万人，其中中国心衰患者约1300万人，每年新增的患者大概有300万左右。70岁以上的老人中，每十人就有一名心衰患者，重症患者超过70万人，目前心衰的五年死亡率在50%到60%，与常见恶性肿瘤的五年病死率相当，重度心衰患者1年死亡率可达50%，给患者及其家庭造成了沉重的负担。心衰很难根治，但可预防，及早干预。由此可见，我国心衰的防治迫在眉睫。既往心力衰竭的临床治疗多按照各级别指南制定对症治疗的临床方案，但目前尚缺乏能进一步有效降低病死率、再住院率的规范化治疗方案。寻求作用确切、安全性佳、可推广性强慢性心力衰竭临床治疗方案成为心血管领域研究亟待解决的课题。</w:t>
      </w:r>
    </w:p>
    <w:p w:rsidR="00E51CC9" w:rsidRDefault="003276A1">
      <w:pPr>
        <w:suppressAutoHyphens/>
        <w:spacing w:line="560" w:lineRule="exact"/>
        <w:ind w:firstLineChars="200" w:firstLine="640"/>
        <w:rPr>
          <w:rFonts w:ascii="仿宋_GB2312" w:eastAsia="仿宋_GB2312" w:hAnsi="仿宋_GB2312" w:cs="仿宋_GB2312"/>
          <w:color w:val="000000" w:themeColor="text1"/>
          <w:sz w:val="32"/>
          <w:szCs w:val="32"/>
        </w:rPr>
      </w:pPr>
      <w:r>
        <w:rPr>
          <w:rFonts w:ascii="仿宋_GB2312" w:eastAsia="仿宋_GB2312" w:hAnsi="仿宋_GB2312" w:cs="仿宋_GB2312" w:hint="eastAsia"/>
          <w:color w:val="000000" w:themeColor="text1"/>
          <w:sz w:val="32"/>
          <w:szCs w:val="32"/>
        </w:rPr>
        <w:t>随着对心力衰竭机制研究的不断深人,治疗心力衰竭的方法也从短期改善心肌缺血缺氧转变为长期地调控神经体液乃至尝试纠正心肌异常,其治疗方法包括药物治疗(如利尿剂、血管扩张剂、正性肌力药物等)、心脏再同步化治疗(CRT)、紧急心导管术</w:t>
      </w:r>
      <w:r>
        <w:rPr>
          <w:rFonts w:ascii="仿宋_GB2312" w:eastAsia="仿宋_GB2312" w:hAnsi="仿宋_GB2312" w:cs="仿宋_GB2312" w:hint="eastAsia"/>
          <w:color w:val="000000" w:themeColor="text1"/>
          <w:sz w:val="32"/>
          <w:szCs w:val="32"/>
        </w:rPr>
        <w:lastRenderedPageBreak/>
        <w:t>治疗、超溶治疗、机械通气治疗、干细胞治疗和基因治疗、心脏移植治疗等。虽然,现代医学治疗心力衰竭已取得较大的进展,但依旧存在许多问题。如使用血管紧张素转化酶抑制剂(ACEI)、血管紧张素受体拮抗剂(ARB)可出现咳嗽、血压下降,受体阻断剂可出现心率减慢,利尿剂可出现电解质紊乱等问题;同时还存在较多用药禁区,如伴有肾功能不全、肾动脉狭窄或低血压时,ACEI、ARB受到用药限制;伴有心率慢时B受体阻断剂不宜选用。而壮医药治疗从整体思维、平衡脏腑阴阳的角度对心力衰竭患者辨证论治,因人制宜,以改善症状、提高生活质量及预防复发。同时, 壮医药早期介人治疗,在防治心力衰竭并发症方面也具有较大优势。</w:t>
      </w:r>
    </w:p>
    <w:p w:rsidR="00E51CC9" w:rsidRDefault="003276A1">
      <w:pPr>
        <w:suppressAutoHyphens/>
        <w:spacing w:line="560" w:lineRule="exact"/>
        <w:ind w:firstLineChars="200" w:firstLine="640"/>
        <w:rPr>
          <w:rFonts w:ascii="仿宋_GB2312" w:eastAsia="仿宋_GB2312" w:hAnsi="仿宋_GB2312" w:cs="仿宋_GB2312"/>
          <w:color w:val="000000" w:themeColor="text1"/>
          <w:sz w:val="32"/>
          <w:szCs w:val="32"/>
        </w:rPr>
      </w:pPr>
      <w:r>
        <w:rPr>
          <w:rFonts w:ascii="仿宋_GB2312" w:eastAsia="仿宋_GB2312" w:hAnsi="仿宋_GB2312" w:cs="仿宋_GB2312" w:hint="eastAsia"/>
          <w:color w:val="000000" w:themeColor="text1"/>
          <w:sz w:val="32"/>
          <w:szCs w:val="32"/>
        </w:rPr>
        <w:t>壮医药是广西特色民族医学，由全国名中医黄瑾明教授作为主要代表的现代壮医药学派创新了壮医药的平衡气血理论学说，并形成了相对完善的壮医三大核心技术、四大治则、五大学说理论体系。黄瑾明教授对壮医药理论进行了一次现代化总结与升华。以人体的水道、气道、谷道、龙路和火路等通路的运行变化规律为主要研究内容的“三道两路”学说，是现代壮医理论体系核心部分。“三道两路”理论的核心为“通”法理论提出人体疾病发生发展的病理大多由于道路阻滞或阻断所致,壮医“通”法理论认为“三道两路”可以防治多种常见病、多发病甚至疑难重症。慢性心力衰竭作为一个心血管疾病治疗难点，国内外近年在临床治疗领域鲜有新进展,壮医药具有多靶点作用、无明显不良反应，能有效改善心脏功能、生存质量和预后,使得从多角度深入探讨壮医药防控诊治心力衰竭这一研究内容具有现实意义。</w:t>
      </w:r>
    </w:p>
    <w:p w:rsidR="00E51CC9" w:rsidRDefault="003276A1">
      <w:pPr>
        <w:suppressAutoHyphens/>
        <w:spacing w:line="560" w:lineRule="exact"/>
        <w:ind w:firstLineChars="200" w:firstLine="640"/>
        <w:rPr>
          <w:rFonts w:ascii="仿宋_GB2312" w:eastAsia="仿宋_GB2312" w:hAnsi="仿宋_GB2312" w:cs="仿宋_GB2312"/>
          <w:color w:val="000000" w:themeColor="text1"/>
          <w:sz w:val="32"/>
          <w:szCs w:val="32"/>
        </w:rPr>
      </w:pPr>
      <w:r>
        <w:rPr>
          <w:rFonts w:ascii="仿宋_GB2312" w:eastAsia="仿宋_GB2312" w:hAnsi="仿宋_GB2312" w:cs="仿宋_GB2312" w:hint="eastAsia"/>
          <w:color w:val="000000" w:themeColor="text1"/>
          <w:sz w:val="32"/>
          <w:szCs w:val="32"/>
        </w:rPr>
        <w:t>《2022 AHA/ACC/HESA 心力衰竭管理指南》强调“心衰重在</w:t>
      </w:r>
      <w:r>
        <w:rPr>
          <w:rFonts w:ascii="仿宋_GB2312" w:eastAsia="仿宋_GB2312" w:hAnsi="仿宋_GB2312" w:cs="仿宋_GB2312" w:hint="eastAsia"/>
          <w:color w:val="000000" w:themeColor="text1"/>
          <w:sz w:val="32"/>
          <w:szCs w:val="32"/>
        </w:rPr>
        <w:lastRenderedPageBreak/>
        <w:t>规范化治疗”，如果能够做到早期规范化诊断和治疗,可以显著降低再住院率和病死率,明显改善心衰患者的近远期预后。慢性心力衰竭可表现为多样的临床症状因医者采用的辨证方法不同可诊断为多种中医证候类型目前心力衰竭的辨证类型呈现多元化，临床对该病的证候分析常规联合使用多种诊断标准，而该诊疗模式难以准确、全面反映病机变化规律，未能准确把握心力衰竭的发病病因病机，导致医者采用的方药存在片面性,耽误预后、增加并发症的发生率及病死率，我们需要准确掌握慢性心力衰竭各阶段的证候要素特征、证候类型、病机演变及预后转归规律，辨证施治。但是目前壮医药对于心力衰竭的各发病期辨证缺乏统一、规范的标准指南,壮医药临床推广难度大，且未能发挥壮医药在心力衰竭防治方面独特的诊疗优势。</w:t>
      </w:r>
    </w:p>
    <w:p w:rsidR="00E51CC9" w:rsidRDefault="003276A1">
      <w:pPr>
        <w:suppressAutoHyphens/>
        <w:spacing w:line="560" w:lineRule="exact"/>
        <w:ind w:firstLineChars="200" w:firstLine="640"/>
        <w:rPr>
          <w:rFonts w:ascii="仿宋_GB2312" w:eastAsia="仿宋_GB2312" w:hAnsi="仿宋_GB2312" w:cs="仿宋_GB2312"/>
          <w:color w:val="000000" w:themeColor="text1"/>
          <w:sz w:val="32"/>
          <w:szCs w:val="32"/>
        </w:rPr>
      </w:pPr>
      <w:r>
        <w:rPr>
          <w:rFonts w:ascii="仿宋_GB2312" w:eastAsia="仿宋_GB2312" w:hAnsi="仿宋_GB2312" w:cs="仿宋_GB2312" w:hint="eastAsia"/>
          <w:color w:val="000000" w:themeColor="text1"/>
          <w:sz w:val="32"/>
          <w:szCs w:val="32"/>
        </w:rPr>
        <w:t>因此，通过制定团体标准《心衰病（心力衰竭）壮医防治规范》，规范心衰病（心力衰竭）的壮医防治操作要求，充分发挥壮医药在心力衰竭防治方面独特的诊疗优势，提高心衰病（心力衰竭）预防水平，为全区壮医防治心衰病（心力衰竭）提供标准指南。</w:t>
      </w:r>
    </w:p>
    <w:p w:rsidR="00E51CC9" w:rsidRDefault="003276A1">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三、项目编制过程</w:t>
      </w:r>
    </w:p>
    <w:p w:rsidR="00E51CC9" w:rsidRDefault="003276A1">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（一）成立标准编制工作组</w:t>
      </w:r>
    </w:p>
    <w:p w:rsidR="00E51CC9" w:rsidRDefault="003276A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团体标准《</w:t>
      </w:r>
      <w:r>
        <w:rPr>
          <w:rFonts w:ascii="仿宋_GB2312" w:eastAsia="仿宋_GB2312" w:hAnsi="仿宋_GB2312" w:cs="仿宋_GB2312" w:hint="eastAsia"/>
          <w:color w:val="000000" w:themeColor="text1"/>
          <w:sz w:val="32"/>
          <w:szCs w:val="32"/>
        </w:rPr>
        <w:t>心衰病（心力衰竭）壮医防治规范</w:t>
      </w:r>
      <w:r>
        <w:rPr>
          <w:rFonts w:ascii="仿宋_GB2312" w:eastAsia="仿宋_GB2312" w:hAnsi="宋体" w:hint="eastAsia"/>
          <w:sz w:val="32"/>
          <w:szCs w:val="32"/>
        </w:rPr>
        <w:t>》项目任务下达后，由</w:t>
      </w:r>
      <w:r>
        <w:rPr>
          <w:rFonts w:ascii="仿宋_GB2312" w:eastAsia="仿宋_GB2312" w:hAnsi="仿宋" w:hint="eastAsia"/>
          <w:sz w:val="32"/>
          <w:szCs w:val="32"/>
        </w:rPr>
        <w:t>广西中药大学第一附属医院</w:t>
      </w:r>
      <w:r>
        <w:rPr>
          <w:rFonts w:ascii="仿宋_GB2312" w:eastAsia="仿宋_GB2312" w:hAnsi="宋体" w:hint="eastAsia"/>
          <w:sz w:val="32"/>
          <w:szCs w:val="32"/>
        </w:rPr>
        <w:t>牵头组织成立了标准编制工作组，制定了标准编写方案，明确任务职责，确定工作技术路线，开展标准研制工作。具体编制工作由</w:t>
      </w:r>
      <w:r>
        <w:rPr>
          <w:rFonts w:ascii="仿宋_GB2312" w:eastAsia="仿宋_GB2312" w:hAnsi="仿宋" w:hint="eastAsia"/>
          <w:sz w:val="32"/>
          <w:szCs w:val="32"/>
        </w:rPr>
        <w:t>广西中药大学第一附属医院</w:t>
      </w:r>
      <w:r>
        <w:rPr>
          <w:rFonts w:ascii="仿宋_GB2312" w:eastAsia="仿宋_GB2312" w:hAnsi="宋体" w:hint="eastAsia"/>
          <w:sz w:val="32"/>
          <w:szCs w:val="32"/>
        </w:rPr>
        <w:lastRenderedPageBreak/>
        <w:t>组成的标准编制工作组负责。编制工作组下设三个小组，分别是资料收集组、草案编写组、标准实施组。</w:t>
      </w:r>
    </w:p>
    <w:p w:rsidR="00E51CC9" w:rsidRDefault="003276A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资料收集组：负责国内关于</w:t>
      </w:r>
      <w:r>
        <w:rPr>
          <w:rFonts w:ascii="仿宋_GB2312" w:eastAsia="仿宋_GB2312" w:hAnsi="仿宋_GB2312" w:cs="仿宋_GB2312" w:hint="eastAsia"/>
          <w:color w:val="000000" w:themeColor="text1"/>
          <w:sz w:val="32"/>
          <w:szCs w:val="32"/>
        </w:rPr>
        <w:t>心衰病（心力衰竭）壮医防治</w:t>
      </w:r>
      <w:r>
        <w:rPr>
          <w:rFonts w:ascii="仿宋_GB2312" w:eastAsia="仿宋_GB2312" w:hAnsi="宋体" w:hint="eastAsia"/>
          <w:sz w:val="32"/>
          <w:szCs w:val="32"/>
        </w:rPr>
        <w:t>文献资料的查询、收集和整理工作，查阅现存关于</w:t>
      </w:r>
      <w:r>
        <w:rPr>
          <w:rFonts w:ascii="仿宋_GB2312" w:eastAsia="仿宋_GB2312" w:hAnsi="仿宋_GB2312" w:cs="仿宋_GB2312" w:hint="eastAsia"/>
          <w:color w:val="000000" w:themeColor="text1"/>
          <w:sz w:val="32"/>
          <w:szCs w:val="32"/>
        </w:rPr>
        <w:t>心衰病（心力衰竭）壮医防治</w:t>
      </w:r>
      <w:r>
        <w:rPr>
          <w:rFonts w:ascii="仿宋_GB2312" w:eastAsia="仿宋_GB2312" w:hAnsi="宋体" w:hint="eastAsia"/>
          <w:sz w:val="32"/>
          <w:szCs w:val="32"/>
        </w:rPr>
        <w:t>的研究以及国内相关标准的制定。</w:t>
      </w:r>
    </w:p>
    <w:p w:rsidR="00E51CC9" w:rsidRDefault="003276A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草案编写组：负责标准立项、征求意见、审定、报批等阶段的标准文本及编制说明的起草工作，包括标准制定过程各阶段标准文本及相关材料的修改和完善。</w:t>
      </w:r>
    </w:p>
    <w:p w:rsidR="00E51CC9" w:rsidRDefault="003276A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标准实施组：负责团体标准《</w:t>
      </w:r>
      <w:r>
        <w:rPr>
          <w:rFonts w:ascii="仿宋_GB2312" w:eastAsia="仿宋_GB2312" w:hAnsi="仿宋_GB2312" w:cs="仿宋_GB2312" w:hint="eastAsia"/>
          <w:color w:val="000000" w:themeColor="text1"/>
          <w:sz w:val="32"/>
          <w:szCs w:val="32"/>
        </w:rPr>
        <w:t>心衰病（心力衰竭）壮医防治规范</w:t>
      </w:r>
      <w:r>
        <w:rPr>
          <w:rFonts w:ascii="仿宋_GB2312" w:eastAsia="仿宋_GB2312" w:hAnsi="宋体" w:hint="eastAsia"/>
          <w:sz w:val="32"/>
          <w:szCs w:val="32"/>
        </w:rPr>
        <w:t>》标准发布后，组织相关部门、医疗机构等，开展标准宣贯培训会，对标准进行研讨和详细解读，使相关人员了解标准，熟悉标准，并能熟练运用标准；为确保标准的实施效果和综合运用率，对标准实施情况进行总结分析，对标准提出持续改进意见。</w:t>
      </w:r>
    </w:p>
    <w:p w:rsidR="00E51CC9" w:rsidRDefault="003276A1">
      <w:pPr>
        <w:numPr>
          <w:ilvl w:val="0"/>
          <w:numId w:val="1"/>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收集整理文献资料</w:t>
      </w:r>
    </w:p>
    <w:p w:rsidR="00E51CC9" w:rsidRDefault="003276A1">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通过资料收集组对文献资料的收集和整理，草案编写组主要参考了以下国内相关的期刊书籍。</w:t>
      </w:r>
    </w:p>
    <w:p w:rsidR="00E51CC9" w:rsidRDefault="003276A1">
      <w:pPr>
        <w:autoSpaceDE w:val="0"/>
        <w:autoSpaceDN w:val="0"/>
        <w:adjustRightInd w:val="0"/>
        <w:spacing w:line="560" w:lineRule="exact"/>
        <w:ind w:firstLineChars="200" w:firstLine="640"/>
        <w:rPr>
          <w:rFonts w:ascii="仿宋_GB2312" w:eastAsia="仿宋_GB2312" w:hAnsi="宋体"/>
          <w:color w:val="000000"/>
          <w:sz w:val="32"/>
          <w:szCs w:val="32"/>
        </w:rPr>
      </w:pPr>
      <w:r>
        <w:rPr>
          <w:rFonts w:ascii="仿宋_GB2312" w:eastAsia="仿宋_GB2312" w:hAnsi="宋体" w:hint="eastAsia"/>
          <w:color w:val="000000"/>
          <w:sz w:val="32"/>
          <w:szCs w:val="32"/>
        </w:rPr>
        <w:t>1</w:t>
      </w:r>
      <w:r>
        <w:rPr>
          <w:rFonts w:ascii="仿宋_GB2312" w:eastAsia="仿宋_GB2312" w:hAnsi="宋体"/>
          <w:color w:val="000000"/>
          <w:sz w:val="32"/>
          <w:szCs w:val="32"/>
        </w:rPr>
        <w:t>.</w:t>
      </w:r>
      <w:r>
        <w:rPr>
          <w:rFonts w:ascii="仿宋_GB2312" w:eastAsia="仿宋_GB2312" w:hAnsi="宋体" w:hint="eastAsia"/>
          <w:color w:val="000000"/>
          <w:sz w:val="32"/>
          <w:szCs w:val="32"/>
        </w:rPr>
        <w:t>秦伟彬,何贵新,莫霄云等.壮医药改善慢性心力衰竭的初步伦理探讨[J].中国民族医药杂志,2023,29(09):61-64.</w:t>
      </w:r>
    </w:p>
    <w:p w:rsidR="00E51CC9" w:rsidRDefault="003276A1">
      <w:pPr>
        <w:autoSpaceDE w:val="0"/>
        <w:autoSpaceDN w:val="0"/>
        <w:adjustRightInd w:val="0"/>
        <w:spacing w:line="560" w:lineRule="exact"/>
        <w:ind w:firstLineChars="200" w:firstLine="640"/>
        <w:rPr>
          <w:rFonts w:ascii="仿宋_GB2312" w:eastAsia="仿宋_GB2312" w:hAnsi="宋体"/>
          <w:color w:val="000000"/>
          <w:sz w:val="32"/>
          <w:szCs w:val="32"/>
        </w:rPr>
      </w:pPr>
      <w:r>
        <w:rPr>
          <w:rFonts w:ascii="仿宋_GB2312" w:eastAsia="仿宋_GB2312" w:hAnsi="宋体" w:hint="eastAsia"/>
          <w:color w:val="000000"/>
          <w:sz w:val="32"/>
          <w:szCs w:val="32"/>
        </w:rPr>
        <w:t>2</w:t>
      </w:r>
      <w:r>
        <w:rPr>
          <w:rFonts w:ascii="仿宋_GB2312" w:eastAsia="仿宋_GB2312" w:hAnsi="宋体"/>
          <w:color w:val="000000"/>
          <w:sz w:val="32"/>
          <w:szCs w:val="32"/>
        </w:rPr>
        <w:t>.</w:t>
      </w:r>
      <w:r>
        <w:rPr>
          <w:rFonts w:ascii="仿宋_GB2312" w:eastAsia="仿宋_GB2312" w:hAnsi="宋体" w:hint="eastAsia"/>
          <w:color w:val="000000"/>
          <w:sz w:val="32"/>
          <w:szCs w:val="32"/>
        </w:rPr>
        <w:t>林琳,莫秋兰,何贵新等.扶阳强心方对慢性心力衰竭大鼠心肌纤维化及转化生长因子-β1/Smad信号通路表达的影响[J].广西医学,2022,44(03):284-288+295.</w:t>
      </w:r>
    </w:p>
    <w:p w:rsidR="00E51CC9" w:rsidRDefault="003276A1">
      <w:pPr>
        <w:autoSpaceDE w:val="0"/>
        <w:autoSpaceDN w:val="0"/>
        <w:adjustRightInd w:val="0"/>
        <w:spacing w:line="560" w:lineRule="exact"/>
        <w:ind w:firstLineChars="200" w:firstLine="640"/>
        <w:rPr>
          <w:rFonts w:ascii="仿宋_GB2312" w:eastAsia="仿宋_GB2312" w:hAnsi="宋体"/>
          <w:color w:val="000000"/>
          <w:sz w:val="32"/>
          <w:szCs w:val="32"/>
        </w:rPr>
      </w:pPr>
      <w:r>
        <w:rPr>
          <w:rFonts w:ascii="仿宋_GB2312" w:eastAsia="仿宋_GB2312" w:hAnsi="宋体" w:hint="eastAsia"/>
          <w:color w:val="000000"/>
          <w:sz w:val="32"/>
          <w:szCs w:val="32"/>
        </w:rPr>
        <w:t>3</w:t>
      </w:r>
      <w:r>
        <w:rPr>
          <w:rFonts w:ascii="仿宋_GB2312" w:eastAsia="仿宋_GB2312" w:hAnsi="宋体"/>
          <w:color w:val="000000"/>
          <w:sz w:val="32"/>
          <w:szCs w:val="32"/>
        </w:rPr>
        <w:t>.</w:t>
      </w:r>
      <w:r>
        <w:rPr>
          <w:rFonts w:ascii="仿宋_GB2312" w:eastAsia="仿宋_GB2312" w:hAnsi="宋体" w:hint="eastAsia"/>
          <w:color w:val="000000"/>
          <w:sz w:val="32"/>
          <w:szCs w:val="32"/>
        </w:rPr>
        <w:t>莫霄云,杨朔,黄琛等.基于网络药理学探究三七-扶芳藤药对治疗心力衰竭的作用机制[J].中西医结合心脑血管病杂志,2021,19(11):1802-1809.</w:t>
      </w:r>
    </w:p>
    <w:p w:rsidR="00E51CC9" w:rsidRDefault="003276A1">
      <w:pPr>
        <w:autoSpaceDE w:val="0"/>
        <w:autoSpaceDN w:val="0"/>
        <w:adjustRightInd w:val="0"/>
        <w:spacing w:line="560" w:lineRule="exact"/>
        <w:ind w:firstLineChars="200" w:firstLine="640"/>
        <w:rPr>
          <w:rFonts w:ascii="仿宋_GB2312" w:eastAsia="仿宋_GB2312" w:hAnsi="宋体"/>
          <w:color w:val="000000"/>
          <w:sz w:val="32"/>
          <w:szCs w:val="32"/>
        </w:rPr>
      </w:pPr>
      <w:r>
        <w:rPr>
          <w:rFonts w:ascii="仿宋_GB2312" w:eastAsia="仿宋_GB2312" w:hAnsi="宋体"/>
          <w:color w:val="000000"/>
          <w:sz w:val="32"/>
          <w:szCs w:val="32"/>
        </w:rPr>
        <w:lastRenderedPageBreak/>
        <w:t>4.</w:t>
      </w:r>
      <w:r>
        <w:rPr>
          <w:rFonts w:ascii="仿宋_GB2312" w:eastAsia="仿宋_GB2312" w:hAnsi="宋体" w:hint="eastAsia"/>
          <w:color w:val="000000"/>
          <w:sz w:val="32"/>
          <w:szCs w:val="32"/>
        </w:rPr>
        <w:t>何贵新,肖婷,申永艳等.基于中医“气”理论辨谈心病[J].辽宁中医杂志,2021,48(05):64-67.</w:t>
      </w:r>
    </w:p>
    <w:p w:rsidR="00E51CC9" w:rsidRDefault="003276A1">
      <w:pPr>
        <w:autoSpaceDE w:val="0"/>
        <w:autoSpaceDN w:val="0"/>
        <w:adjustRightInd w:val="0"/>
        <w:spacing w:line="560" w:lineRule="exact"/>
        <w:ind w:firstLineChars="200" w:firstLine="640"/>
        <w:rPr>
          <w:rFonts w:ascii="仿宋_GB2312" w:eastAsia="仿宋_GB2312" w:hAnsi="宋体"/>
          <w:color w:val="000000"/>
          <w:sz w:val="32"/>
          <w:szCs w:val="32"/>
        </w:rPr>
      </w:pPr>
      <w:r>
        <w:rPr>
          <w:rFonts w:ascii="仿宋_GB2312" w:eastAsia="仿宋_GB2312" w:hAnsi="宋体" w:hint="eastAsia"/>
          <w:color w:val="000000"/>
          <w:sz w:val="32"/>
          <w:szCs w:val="32"/>
        </w:rPr>
        <w:t>5</w:t>
      </w:r>
      <w:r>
        <w:rPr>
          <w:rFonts w:ascii="仿宋_GB2312" w:eastAsia="仿宋_GB2312" w:hAnsi="宋体"/>
          <w:color w:val="000000"/>
          <w:sz w:val="32"/>
          <w:szCs w:val="32"/>
        </w:rPr>
        <w:t>.</w:t>
      </w:r>
      <w:r>
        <w:rPr>
          <w:rFonts w:ascii="仿宋_GB2312" w:eastAsia="仿宋_GB2312" w:hAnsi="宋体" w:hint="eastAsia"/>
          <w:color w:val="000000"/>
          <w:sz w:val="32"/>
          <w:szCs w:val="32"/>
        </w:rPr>
        <w:t>何贵新,肖婷,秦伟彬等.芪参益气滴丸联合骨髓间充质干细胞移植对心肌梗死小鼠血管新生及心功能的影响研究[J].海南医学院学报,2021,27(05):321-326+332.</w:t>
      </w:r>
    </w:p>
    <w:p w:rsidR="00E51CC9" w:rsidRDefault="003276A1">
      <w:pPr>
        <w:autoSpaceDE w:val="0"/>
        <w:autoSpaceDN w:val="0"/>
        <w:adjustRightInd w:val="0"/>
        <w:spacing w:line="560" w:lineRule="exact"/>
        <w:ind w:firstLineChars="200" w:firstLine="640"/>
        <w:rPr>
          <w:rFonts w:ascii="仿宋_GB2312" w:eastAsia="仿宋_GB2312" w:hAnsi="宋体"/>
          <w:color w:val="000000"/>
          <w:sz w:val="32"/>
          <w:szCs w:val="32"/>
        </w:rPr>
      </w:pPr>
      <w:r>
        <w:rPr>
          <w:rFonts w:ascii="仿宋_GB2312" w:eastAsia="仿宋_GB2312" w:hAnsi="宋体" w:hint="eastAsia"/>
          <w:color w:val="000000"/>
          <w:sz w:val="32"/>
          <w:szCs w:val="32"/>
        </w:rPr>
        <w:t>6</w:t>
      </w:r>
      <w:r>
        <w:rPr>
          <w:rFonts w:ascii="仿宋_GB2312" w:eastAsia="仿宋_GB2312" w:hAnsi="宋体"/>
          <w:color w:val="000000"/>
          <w:sz w:val="32"/>
          <w:szCs w:val="32"/>
        </w:rPr>
        <w:t>.</w:t>
      </w:r>
      <w:r>
        <w:rPr>
          <w:rFonts w:ascii="仿宋_GB2312" w:eastAsia="仿宋_GB2312" w:hAnsi="宋体" w:hint="eastAsia"/>
          <w:color w:val="000000"/>
          <w:sz w:val="32"/>
          <w:szCs w:val="32"/>
        </w:rPr>
        <w:t>何贵新,玉黎燕,秦伟彬等.益气活血方对冠心病介入术后患者生命质量及心功能影响的临床研究[J].微创医学,2019,14(05):553-556+595.</w:t>
      </w:r>
    </w:p>
    <w:p w:rsidR="00E51CC9" w:rsidRDefault="003276A1">
      <w:pPr>
        <w:autoSpaceDE w:val="0"/>
        <w:autoSpaceDN w:val="0"/>
        <w:adjustRightInd w:val="0"/>
        <w:spacing w:line="560" w:lineRule="exact"/>
        <w:ind w:firstLineChars="200" w:firstLine="640"/>
        <w:rPr>
          <w:rFonts w:ascii="仿宋_GB2312" w:eastAsia="仿宋_GB2312" w:hAnsi="宋体"/>
          <w:color w:val="000000"/>
          <w:sz w:val="32"/>
          <w:szCs w:val="32"/>
        </w:rPr>
      </w:pPr>
      <w:r>
        <w:rPr>
          <w:rFonts w:ascii="仿宋_GB2312" w:eastAsia="仿宋_GB2312" w:hAnsi="宋体" w:hint="eastAsia"/>
          <w:color w:val="000000"/>
          <w:sz w:val="32"/>
          <w:szCs w:val="32"/>
        </w:rPr>
        <w:t>7</w:t>
      </w:r>
      <w:r>
        <w:rPr>
          <w:rFonts w:ascii="仿宋_GB2312" w:eastAsia="仿宋_GB2312" w:hAnsi="宋体"/>
          <w:color w:val="000000"/>
          <w:sz w:val="32"/>
          <w:szCs w:val="32"/>
        </w:rPr>
        <w:t>.</w:t>
      </w:r>
      <w:r>
        <w:rPr>
          <w:rFonts w:ascii="仿宋_GB2312" w:eastAsia="仿宋_GB2312" w:hAnsi="宋体" w:hint="eastAsia"/>
          <w:color w:val="000000"/>
          <w:sz w:val="32"/>
          <w:szCs w:val="32"/>
        </w:rPr>
        <w:t>何贵新,玉黎燕,秦伟彬等.益气活血方改善冠心病介入术后患者心脏功能与超敏C反应蛋白相关性的研究[J].大众科技,2019,21(10):49-52.</w:t>
      </w:r>
    </w:p>
    <w:p w:rsidR="00E51CC9" w:rsidRDefault="003276A1">
      <w:pPr>
        <w:autoSpaceDE w:val="0"/>
        <w:autoSpaceDN w:val="0"/>
        <w:adjustRightInd w:val="0"/>
        <w:spacing w:line="560" w:lineRule="exact"/>
        <w:ind w:firstLineChars="200" w:firstLine="640"/>
        <w:rPr>
          <w:rFonts w:ascii="仿宋_GB2312" w:eastAsia="仿宋_GB2312" w:hAnsi="宋体"/>
          <w:color w:val="000000"/>
          <w:sz w:val="32"/>
          <w:szCs w:val="32"/>
        </w:rPr>
      </w:pPr>
      <w:r>
        <w:rPr>
          <w:rFonts w:ascii="仿宋_GB2312" w:eastAsia="仿宋_GB2312" w:hAnsi="宋体" w:hint="eastAsia"/>
          <w:color w:val="000000"/>
          <w:sz w:val="32"/>
          <w:szCs w:val="32"/>
        </w:rPr>
        <w:t>8</w:t>
      </w:r>
      <w:r>
        <w:rPr>
          <w:rFonts w:ascii="仿宋_GB2312" w:eastAsia="仿宋_GB2312" w:hAnsi="宋体"/>
          <w:color w:val="000000"/>
          <w:sz w:val="32"/>
          <w:szCs w:val="32"/>
        </w:rPr>
        <w:t>.</w:t>
      </w:r>
      <w:r>
        <w:rPr>
          <w:rFonts w:ascii="仿宋_GB2312" w:eastAsia="仿宋_GB2312" w:hAnsi="宋体" w:hint="eastAsia"/>
          <w:color w:val="000000"/>
          <w:sz w:val="32"/>
          <w:szCs w:val="32"/>
        </w:rPr>
        <w:t>林琳,唐农,刘布谷等.高龄冠心病患者行PCI术后并发急性左心衰发生的危险因素研究[J].中医临床研究,2017,9(15):25-26.</w:t>
      </w:r>
    </w:p>
    <w:p w:rsidR="00E51CC9" w:rsidRDefault="003276A1">
      <w:pPr>
        <w:autoSpaceDE w:val="0"/>
        <w:autoSpaceDN w:val="0"/>
        <w:adjustRightInd w:val="0"/>
        <w:spacing w:line="560" w:lineRule="exact"/>
        <w:ind w:firstLineChars="200" w:firstLine="640"/>
        <w:rPr>
          <w:rFonts w:ascii="仿宋_GB2312" w:eastAsia="仿宋_GB2312" w:hAnsi="宋体"/>
          <w:color w:val="000000"/>
          <w:sz w:val="32"/>
          <w:szCs w:val="32"/>
        </w:rPr>
      </w:pPr>
      <w:r>
        <w:rPr>
          <w:rFonts w:ascii="仿宋_GB2312" w:eastAsia="仿宋_GB2312" w:hAnsi="宋体" w:hint="eastAsia"/>
          <w:color w:val="000000"/>
          <w:sz w:val="32"/>
          <w:szCs w:val="32"/>
        </w:rPr>
        <w:t>9</w:t>
      </w:r>
      <w:r>
        <w:rPr>
          <w:rFonts w:ascii="仿宋_GB2312" w:eastAsia="仿宋_GB2312" w:hAnsi="宋体"/>
          <w:color w:val="000000"/>
          <w:sz w:val="32"/>
          <w:szCs w:val="32"/>
        </w:rPr>
        <w:t>.</w:t>
      </w:r>
      <w:r>
        <w:rPr>
          <w:rFonts w:ascii="仿宋_GB2312" w:eastAsia="仿宋_GB2312" w:hAnsi="宋体" w:hint="eastAsia"/>
          <w:color w:val="000000"/>
          <w:sz w:val="32"/>
          <w:szCs w:val="32"/>
        </w:rPr>
        <w:t>贾世隆,何贵新,严俊.机械通气在急性左心衰抢救中的临床应用[J].广西医科大学学报,2009,26(05):769-770.DOI:</w:t>
      </w:r>
    </w:p>
    <w:p w:rsidR="00E51CC9" w:rsidRDefault="003276A1">
      <w:pPr>
        <w:autoSpaceDE w:val="0"/>
        <w:autoSpaceDN w:val="0"/>
        <w:adjustRightInd w:val="0"/>
        <w:spacing w:line="560" w:lineRule="exact"/>
        <w:ind w:firstLineChars="200" w:firstLine="640"/>
        <w:rPr>
          <w:rFonts w:ascii="仿宋_GB2312" w:eastAsia="仿宋_GB2312" w:hAnsi="宋体"/>
          <w:color w:val="000000"/>
          <w:sz w:val="32"/>
          <w:szCs w:val="32"/>
        </w:rPr>
      </w:pPr>
      <w:r>
        <w:rPr>
          <w:rFonts w:ascii="仿宋_GB2312" w:eastAsia="仿宋_GB2312" w:hAnsi="宋体" w:hint="eastAsia"/>
          <w:color w:val="000000"/>
          <w:sz w:val="32"/>
          <w:szCs w:val="32"/>
        </w:rPr>
        <w:t>1</w:t>
      </w:r>
      <w:r>
        <w:rPr>
          <w:rFonts w:ascii="仿宋_GB2312" w:eastAsia="仿宋_GB2312" w:hAnsi="宋体"/>
          <w:color w:val="000000"/>
          <w:sz w:val="32"/>
          <w:szCs w:val="32"/>
        </w:rPr>
        <w:t>0.</w:t>
      </w:r>
      <w:r>
        <w:rPr>
          <w:rFonts w:ascii="仿宋_GB2312" w:eastAsia="仿宋_GB2312" w:hAnsi="宋体" w:hint="eastAsia"/>
          <w:color w:val="000000"/>
          <w:sz w:val="32"/>
          <w:szCs w:val="32"/>
        </w:rPr>
        <w:t>韦庆锋,何贵新,阮海林.有创机械通气治疗急性左心衰肺水肿36例的体会[J].广西医学,2009,31(04):518-520.</w:t>
      </w:r>
    </w:p>
    <w:p w:rsidR="00E51CC9" w:rsidRDefault="003276A1">
      <w:pPr>
        <w:autoSpaceDE w:val="0"/>
        <w:autoSpaceDN w:val="0"/>
        <w:adjustRightInd w:val="0"/>
        <w:spacing w:line="560" w:lineRule="exact"/>
        <w:ind w:firstLineChars="200" w:firstLine="640"/>
        <w:rPr>
          <w:rFonts w:ascii="仿宋_GB2312" w:eastAsia="仿宋_GB2312" w:hAnsi="宋体"/>
          <w:color w:val="000000"/>
          <w:sz w:val="32"/>
          <w:szCs w:val="32"/>
        </w:rPr>
      </w:pPr>
      <w:r>
        <w:rPr>
          <w:rFonts w:ascii="仿宋_GB2312" w:eastAsia="仿宋_GB2312" w:hAnsi="宋体" w:hint="eastAsia"/>
          <w:color w:val="000000"/>
          <w:sz w:val="32"/>
          <w:szCs w:val="32"/>
        </w:rPr>
        <w:t>1</w:t>
      </w:r>
      <w:r>
        <w:rPr>
          <w:rFonts w:ascii="仿宋_GB2312" w:eastAsia="仿宋_GB2312" w:hAnsi="宋体"/>
          <w:color w:val="000000"/>
          <w:sz w:val="32"/>
          <w:szCs w:val="32"/>
        </w:rPr>
        <w:t>1.</w:t>
      </w:r>
      <w:r>
        <w:rPr>
          <w:rFonts w:ascii="仿宋_GB2312" w:eastAsia="仿宋_GB2312" w:hAnsi="宋体" w:hint="eastAsia"/>
          <w:color w:val="000000"/>
          <w:sz w:val="32"/>
          <w:szCs w:val="32"/>
        </w:rPr>
        <w:t>黄绍湘,卫智权,何贵新等.坎地沙坦及培哚普利对慢性心力衰竭心功能及左室重塑的影响[J].内科,2007,(03):322-324.</w:t>
      </w:r>
    </w:p>
    <w:p w:rsidR="00E51CC9" w:rsidRDefault="003276A1">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（三）研讨确定标准特色、创新点和主体内容</w:t>
      </w:r>
    </w:p>
    <w:p w:rsidR="00E51CC9" w:rsidRDefault="003276A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标准编制工作组在对收集的资料进行整理研究之后，2025年7月，标准编制工作组召开了标准编制会议，对标准的整体框架</w:t>
      </w:r>
      <w:r>
        <w:rPr>
          <w:rFonts w:ascii="仿宋_GB2312" w:eastAsia="仿宋_GB2312" w:hAnsi="宋体" w:hint="eastAsia"/>
          <w:sz w:val="32"/>
          <w:szCs w:val="32"/>
        </w:rPr>
        <w:lastRenderedPageBreak/>
        <w:t>结构进行了研究，并对标准的关键性内容进行了初步探讨。经过研究，标准的主体内容确定为术语和定义、治疗、注意事项、调摄与养护。</w:t>
      </w:r>
    </w:p>
    <w:p w:rsidR="00E51CC9" w:rsidRDefault="003276A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总结了壮医药防治心力衰竭主要的理论观点：一是从“虚”理论论治心力衰竭。使用动物药血肉有情之品进行滋补则为“动物补虚”而针对阳虚等症状，在壮医“药物补虚”中多运用针对阳虚阴盛具有温补之功、提高机体免疫力的公药。二是从“瘀血”理论论治心力衰竭。现代壮医医者总结出以下病机：①诸病瘀滞,皆属于气；②诸病肿瘤,皆属于瘀；③诸病瘫痪，皆属于瘀；④诸病瘙痒,皆属于瘀；⑤诸病疼痛,皆属于瘀；⑥诸病疮疖,皆属于瘀；⑦诸病痿痹，皆属于瘀。三是从“利水”理论论治心力衰竭。三道是维持机体生命活动所需营养物质贮藏化生、运行、输布的主要通道，而两路是维持机体生理功能和反映疾病发生发展的两条密闭通道。三道两路必须保持绝对的畅通,达到“以通为用、以通为要、以通为和、以通为顺”的机体状态。</w:t>
      </w:r>
    </w:p>
    <w:p w:rsidR="00E51CC9" w:rsidRDefault="003276A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目前广西区内运用壮医防治心衰病的医院数量为20余家，每年运用壮医防治心衰病人数约5000余例，治愈率达70%-80%。广西中药大学第一附属医院近三年开展心衰病（心力衰竭）壮医防治的病例数达1500余例，治愈率达94.86%，证实了壮医药在心衰病的防治上具有显著的临床疗效，有效提高患者的左心射血分数</w:t>
      </w:r>
    </w:p>
    <w:p w:rsidR="00E51CC9" w:rsidRDefault="003276A1">
      <w:pPr>
        <w:numPr>
          <w:ilvl w:val="0"/>
          <w:numId w:val="2"/>
        </w:numPr>
        <w:spacing w:beforeLines="50" w:before="156" w:afterLines="50" w:after="156" w:line="52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调研，形成草案、征求意见稿</w:t>
      </w:r>
    </w:p>
    <w:p w:rsidR="00E51CC9" w:rsidRDefault="003276A1">
      <w:pPr>
        <w:spacing w:line="560" w:lineRule="exact"/>
        <w:ind w:firstLineChars="200" w:firstLine="640"/>
        <w:rPr>
          <w:rFonts w:ascii="仿宋_GB2312" w:eastAsia="仿宋_GB2312" w:hAnsi="宋体"/>
          <w:color w:val="000000" w:themeColor="text1"/>
          <w:sz w:val="32"/>
          <w:szCs w:val="32"/>
        </w:rPr>
      </w:pPr>
      <w:r>
        <w:rPr>
          <w:rFonts w:ascii="仿宋_GB2312" w:eastAsia="仿宋_GB2312" w:hAnsi="宋体" w:hint="eastAsia"/>
          <w:color w:val="000000" w:themeColor="text1"/>
          <w:sz w:val="32"/>
          <w:szCs w:val="32"/>
        </w:rPr>
        <w:t>202</w:t>
      </w:r>
      <w:r>
        <w:rPr>
          <w:rFonts w:ascii="仿宋_GB2312" w:eastAsia="仿宋_GB2312" w:hAnsi="宋体"/>
          <w:color w:val="000000" w:themeColor="text1"/>
          <w:sz w:val="32"/>
          <w:szCs w:val="32"/>
        </w:rPr>
        <w:t>5</w:t>
      </w:r>
      <w:r>
        <w:rPr>
          <w:rFonts w:ascii="仿宋_GB2312" w:eastAsia="仿宋_GB2312" w:hAnsi="宋体" w:hint="eastAsia"/>
          <w:color w:val="000000" w:themeColor="text1"/>
          <w:sz w:val="32"/>
          <w:szCs w:val="32"/>
        </w:rPr>
        <w:t>年</w:t>
      </w:r>
      <w:r>
        <w:rPr>
          <w:rFonts w:ascii="仿宋_GB2312" w:eastAsia="仿宋_GB2312" w:hAnsi="宋体"/>
          <w:color w:val="000000" w:themeColor="text1"/>
          <w:sz w:val="32"/>
          <w:szCs w:val="32"/>
        </w:rPr>
        <w:t>3</w:t>
      </w:r>
      <w:r>
        <w:rPr>
          <w:rFonts w:ascii="仿宋_GB2312" w:eastAsia="仿宋_GB2312" w:hAnsi="仿宋_GB2312" w:cs="仿宋_GB2312" w:hint="eastAsia"/>
          <w:color w:val="000000" w:themeColor="text1"/>
          <w:sz w:val="32"/>
          <w:szCs w:val="32"/>
        </w:rPr>
        <w:t>月</w:t>
      </w:r>
      <w:r w:rsidR="004B6986">
        <w:rPr>
          <w:rFonts w:ascii="仿宋_GB2312" w:eastAsia="仿宋_GB2312" w:hAnsi="仿宋_GB2312" w:cs="仿宋_GB2312" w:hint="eastAsia"/>
          <w:color w:val="000000" w:themeColor="text1"/>
          <w:sz w:val="32"/>
          <w:szCs w:val="32"/>
        </w:rPr>
        <w:t>-</w:t>
      </w:r>
      <w:r w:rsidR="004B6986">
        <w:rPr>
          <w:rFonts w:ascii="仿宋_GB2312" w:eastAsia="仿宋_GB2312" w:hAnsi="仿宋_GB2312" w:cs="仿宋_GB2312"/>
          <w:color w:val="000000" w:themeColor="text1"/>
          <w:sz w:val="32"/>
          <w:szCs w:val="32"/>
        </w:rPr>
        <w:t>9</w:t>
      </w:r>
      <w:r w:rsidR="004B6986">
        <w:rPr>
          <w:rFonts w:ascii="仿宋_GB2312" w:eastAsia="仿宋_GB2312" w:hAnsi="仿宋_GB2312" w:cs="仿宋_GB2312" w:hint="eastAsia"/>
          <w:color w:val="000000" w:themeColor="text1"/>
          <w:sz w:val="32"/>
          <w:szCs w:val="32"/>
        </w:rPr>
        <w:t>月</w:t>
      </w:r>
      <w:r>
        <w:rPr>
          <w:rFonts w:ascii="仿宋_GB2312" w:eastAsia="仿宋_GB2312" w:hAnsi="宋体"/>
          <w:color w:val="000000" w:themeColor="text1"/>
          <w:sz w:val="32"/>
          <w:szCs w:val="32"/>
        </w:rPr>
        <w:t>，</w:t>
      </w:r>
      <w:r>
        <w:rPr>
          <w:rFonts w:ascii="仿宋_GB2312" w:eastAsia="仿宋_GB2312" w:hAnsi="宋体" w:hint="eastAsia"/>
          <w:color w:val="000000" w:themeColor="text1"/>
          <w:sz w:val="32"/>
          <w:szCs w:val="32"/>
        </w:rPr>
        <w:t>标准编制工作组深入</w:t>
      </w:r>
      <w:r>
        <w:rPr>
          <w:rFonts w:ascii="仿宋_GB2312" w:eastAsia="仿宋_GB2312" w:hAnsi="宋体" w:hint="eastAsia"/>
          <w:sz w:val="32"/>
          <w:szCs w:val="32"/>
        </w:rPr>
        <w:t>到</w:t>
      </w:r>
      <w:r>
        <w:rPr>
          <w:rFonts w:ascii="仿宋_GB2312" w:eastAsia="仿宋_GB2312" w:hAnsi="仿宋" w:hint="eastAsia"/>
          <w:sz w:val="32"/>
          <w:szCs w:val="32"/>
        </w:rPr>
        <w:t>广西中医药大学第一附属医院、广西国际壮医医院、玉林市中医医院</w:t>
      </w:r>
      <w:r>
        <w:rPr>
          <w:rFonts w:ascii="仿宋_GB2312" w:eastAsia="仿宋_GB2312" w:hAnsi="宋体" w:hint="eastAsia"/>
          <w:sz w:val="32"/>
          <w:szCs w:val="32"/>
        </w:rPr>
        <w:t>等进行实地</w:t>
      </w:r>
      <w:r>
        <w:rPr>
          <w:rFonts w:ascii="仿宋_GB2312" w:eastAsia="仿宋_GB2312" w:hAnsi="宋体" w:hint="eastAsia"/>
          <w:sz w:val="32"/>
          <w:szCs w:val="32"/>
        </w:rPr>
        <w:lastRenderedPageBreak/>
        <w:t>调研工作，查阅了大量的国内文献资料，对</w:t>
      </w:r>
      <w:r>
        <w:rPr>
          <w:rFonts w:ascii="仿宋_GB2312" w:eastAsia="仿宋_GB2312" w:hAnsi="仿宋_GB2312" w:cs="仿宋_GB2312" w:hint="eastAsia"/>
          <w:color w:val="000000" w:themeColor="text1"/>
          <w:sz w:val="32"/>
          <w:szCs w:val="32"/>
        </w:rPr>
        <w:t>心衰病（心力衰竭）壮医防治</w:t>
      </w:r>
      <w:r>
        <w:rPr>
          <w:rFonts w:ascii="仿宋_GB2312" w:eastAsia="仿宋_GB2312" w:hAnsi="宋体" w:hint="eastAsia"/>
          <w:sz w:val="32"/>
          <w:szCs w:val="32"/>
        </w:rPr>
        <w:t>的相关文件进行系统总</w:t>
      </w:r>
      <w:r>
        <w:rPr>
          <w:rFonts w:ascii="仿宋_GB2312" w:eastAsia="仿宋_GB2312" w:hAnsi="宋体" w:hint="eastAsia"/>
          <w:color w:val="000000" w:themeColor="text1"/>
          <w:sz w:val="32"/>
          <w:szCs w:val="32"/>
        </w:rPr>
        <w:t>结。形成了标准的基本构架，对主要内容进行了讨论并对项目的工作进行了部署和安排。</w:t>
      </w:r>
    </w:p>
    <w:p w:rsidR="00E51CC9" w:rsidRDefault="003276A1">
      <w:pPr>
        <w:spacing w:line="560" w:lineRule="exact"/>
        <w:ind w:firstLineChars="200" w:firstLine="640"/>
        <w:rPr>
          <w:rFonts w:ascii="仿宋_GB2312" w:eastAsia="仿宋_GB2312" w:hAnsi="宋体"/>
          <w:color w:val="000000" w:themeColor="text1"/>
          <w:sz w:val="32"/>
          <w:szCs w:val="32"/>
        </w:rPr>
      </w:pPr>
      <w:r>
        <w:rPr>
          <w:rFonts w:ascii="仿宋_GB2312" w:eastAsia="仿宋_GB2312" w:hAnsi="宋体" w:hint="eastAsia"/>
          <w:color w:val="000000" w:themeColor="text1"/>
          <w:sz w:val="32"/>
          <w:szCs w:val="32"/>
        </w:rPr>
        <w:t>202</w:t>
      </w:r>
      <w:r>
        <w:rPr>
          <w:rFonts w:ascii="仿宋_GB2312" w:eastAsia="仿宋_GB2312" w:hAnsi="宋体"/>
          <w:color w:val="000000" w:themeColor="text1"/>
          <w:sz w:val="32"/>
          <w:szCs w:val="32"/>
        </w:rPr>
        <w:t>5</w:t>
      </w:r>
      <w:r>
        <w:rPr>
          <w:rFonts w:ascii="仿宋_GB2312" w:eastAsia="仿宋_GB2312" w:hAnsi="宋体" w:hint="eastAsia"/>
          <w:color w:val="000000" w:themeColor="text1"/>
          <w:sz w:val="32"/>
          <w:szCs w:val="32"/>
        </w:rPr>
        <w:t>年</w:t>
      </w:r>
      <w:r>
        <w:rPr>
          <w:rFonts w:ascii="仿宋_GB2312" w:eastAsia="仿宋_GB2312" w:hAnsi="宋体"/>
          <w:color w:val="000000" w:themeColor="text1"/>
          <w:sz w:val="32"/>
          <w:szCs w:val="32"/>
        </w:rPr>
        <w:t>10</w:t>
      </w:r>
      <w:r>
        <w:rPr>
          <w:rFonts w:ascii="仿宋_GB2312" w:eastAsia="仿宋_GB2312" w:hAnsi="仿宋_GB2312" w:cs="仿宋_GB2312" w:hint="eastAsia"/>
          <w:sz w:val="32"/>
          <w:szCs w:val="32"/>
        </w:rPr>
        <w:t>月</w:t>
      </w:r>
      <w:r w:rsidR="004B6986">
        <w:rPr>
          <w:rFonts w:ascii="仿宋_GB2312" w:eastAsia="仿宋_GB2312" w:hAnsi="仿宋_GB2312" w:cs="仿宋_GB2312" w:hint="eastAsia"/>
          <w:sz w:val="32"/>
          <w:szCs w:val="32"/>
        </w:rPr>
        <w:t>-</w:t>
      </w:r>
      <w:r w:rsidR="004B6986">
        <w:rPr>
          <w:rFonts w:ascii="仿宋_GB2312" w:eastAsia="仿宋_GB2312" w:hAnsi="仿宋_GB2312" w:cs="仿宋_GB2312"/>
          <w:sz w:val="32"/>
          <w:szCs w:val="32"/>
        </w:rPr>
        <w:t>2026</w:t>
      </w:r>
      <w:r w:rsidR="004B6986">
        <w:rPr>
          <w:rFonts w:ascii="仿宋_GB2312" w:eastAsia="仿宋_GB2312" w:hAnsi="仿宋_GB2312" w:cs="仿宋_GB2312" w:hint="eastAsia"/>
          <w:sz w:val="32"/>
          <w:szCs w:val="32"/>
        </w:rPr>
        <w:t>年2月</w:t>
      </w:r>
      <w:r>
        <w:rPr>
          <w:rFonts w:ascii="仿宋_GB2312" w:eastAsia="仿宋_GB2312" w:hAnsi="宋体" w:hint="eastAsia"/>
          <w:color w:val="000000" w:themeColor="text1"/>
          <w:sz w:val="32"/>
          <w:szCs w:val="32"/>
        </w:rPr>
        <w:t>，在前期工作的基础之上，通过理清逻辑脉络，整合已有参考资料中有关</w:t>
      </w:r>
      <w:r>
        <w:rPr>
          <w:rFonts w:ascii="仿宋_GB2312" w:eastAsia="仿宋_GB2312" w:hAnsi="仿宋_GB2312" w:cs="仿宋_GB2312" w:hint="eastAsia"/>
          <w:color w:val="000000" w:themeColor="text1"/>
          <w:sz w:val="32"/>
          <w:szCs w:val="32"/>
        </w:rPr>
        <w:t>心衰病（心力衰竭）壮医防治的资料</w:t>
      </w:r>
      <w:r>
        <w:rPr>
          <w:rFonts w:ascii="仿宋_GB2312" w:eastAsia="仿宋_GB2312" w:hAnsi="宋体" w:hint="eastAsia"/>
          <w:color w:val="000000" w:themeColor="text1"/>
          <w:sz w:val="32"/>
          <w:szCs w:val="32"/>
        </w:rPr>
        <w:t>，并结合</w:t>
      </w:r>
      <w:r>
        <w:rPr>
          <w:rFonts w:ascii="仿宋_GB2312" w:eastAsia="仿宋_GB2312" w:hAnsi="仿宋_GB2312" w:cs="仿宋_GB2312" w:hint="eastAsia"/>
          <w:color w:val="000000" w:themeColor="text1"/>
          <w:sz w:val="32"/>
          <w:szCs w:val="32"/>
        </w:rPr>
        <w:t>心衰病（心力衰竭）壮医防治</w:t>
      </w:r>
      <w:r>
        <w:rPr>
          <w:rFonts w:ascii="仿宋_GB2312" w:eastAsia="仿宋_GB2312" w:hAnsi="宋体" w:hint="eastAsia"/>
          <w:color w:val="000000" w:themeColor="text1"/>
          <w:sz w:val="32"/>
          <w:szCs w:val="32"/>
        </w:rPr>
        <w:t>实际操作的基础上，按照简化、统一等原则编制完成团体标准《</w:t>
      </w:r>
      <w:r>
        <w:rPr>
          <w:rFonts w:ascii="仿宋_GB2312" w:eastAsia="仿宋_GB2312" w:hAnsi="仿宋_GB2312" w:cs="仿宋_GB2312" w:hint="eastAsia"/>
          <w:color w:val="000000" w:themeColor="text1"/>
          <w:sz w:val="32"/>
          <w:szCs w:val="32"/>
        </w:rPr>
        <w:t>心衰病（心力衰竭）壮医防治规范</w:t>
      </w:r>
      <w:r>
        <w:rPr>
          <w:rFonts w:ascii="仿宋_GB2312" w:eastAsia="仿宋_GB2312" w:hAnsi="宋体" w:hint="eastAsia"/>
          <w:color w:val="000000" w:themeColor="text1"/>
          <w:sz w:val="32"/>
          <w:szCs w:val="32"/>
        </w:rPr>
        <w:t>》（草案）。</w:t>
      </w:r>
    </w:p>
    <w:p w:rsidR="00E51CC9" w:rsidRDefault="003276A1">
      <w:pPr>
        <w:spacing w:line="560" w:lineRule="exact"/>
        <w:ind w:firstLineChars="200" w:firstLine="640"/>
        <w:rPr>
          <w:rFonts w:ascii="仿宋_GB2312" w:eastAsia="仿宋_GB2312" w:hAnsi="宋体"/>
          <w:sz w:val="32"/>
          <w:szCs w:val="32"/>
        </w:rPr>
      </w:pPr>
      <w:r>
        <w:rPr>
          <w:rFonts w:ascii="仿宋_GB2312" w:eastAsia="仿宋_GB2312" w:hAnsi="宋体" w:hint="eastAsia"/>
          <w:color w:val="000000" w:themeColor="text1"/>
          <w:sz w:val="32"/>
          <w:szCs w:val="32"/>
        </w:rPr>
        <w:t>2</w:t>
      </w:r>
      <w:r>
        <w:rPr>
          <w:rFonts w:ascii="仿宋_GB2312" w:eastAsia="仿宋_GB2312" w:hAnsi="宋体"/>
          <w:color w:val="000000" w:themeColor="text1"/>
          <w:sz w:val="32"/>
          <w:szCs w:val="32"/>
        </w:rPr>
        <w:t>026</w:t>
      </w:r>
      <w:r>
        <w:rPr>
          <w:rFonts w:ascii="仿宋_GB2312" w:eastAsia="仿宋_GB2312" w:hAnsi="宋体" w:hint="eastAsia"/>
          <w:color w:val="000000" w:themeColor="text1"/>
          <w:sz w:val="32"/>
          <w:szCs w:val="32"/>
        </w:rPr>
        <w:t>年</w:t>
      </w:r>
      <w:r>
        <w:rPr>
          <w:rFonts w:ascii="仿宋_GB2312" w:eastAsia="仿宋_GB2312" w:hAnsi="宋体"/>
          <w:color w:val="000000" w:themeColor="text1"/>
          <w:sz w:val="32"/>
          <w:szCs w:val="32"/>
        </w:rPr>
        <w:t>3</w:t>
      </w:r>
      <w:r>
        <w:rPr>
          <w:rFonts w:ascii="仿宋_GB2312" w:eastAsia="仿宋_GB2312" w:hAnsi="宋体" w:hint="eastAsia"/>
          <w:color w:val="000000" w:themeColor="text1"/>
          <w:sz w:val="32"/>
          <w:szCs w:val="32"/>
        </w:rPr>
        <w:t>月</w:t>
      </w:r>
      <w:r w:rsidR="004B6986">
        <w:rPr>
          <w:rFonts w:ascii="仿宋_GB2312" w:eastAsia="仿宋_GB2312" w:hAnsi="宋体" w:hint="eastAsia"/>
          <w:color w:val="000000" w:themeColor="text1"/>
          <w:sz w:val="32"/>
          <w:szCs w:val="32"/>
        </w:rPr>
        <w:t>-</w:t>
      </w:r>
      <w:r w:rsidR="004B6986">
        <w:rPr>
          <w:rFonts w:ascii="仿宋_GB2312" w:eastAsia="仿宋_GB2312" w:hAnsi="宋体"/>
          <w:color w:val="000000" w:themeColor="text1"/>
          <w:sz w:val="32"/>
          <w:szCs w:val="32"/>
        </w:rPr>
        <w:t>5</w:t>
      </w:r>
      <w:r w:rsidR="004B6986">
        <w:rPr>
          <w:rFonts w:ascii="仿宋_GB2312" w:eastAsia="仿宋_GB2312" w:hAnsi="宋体" w:hint="eastAsia"/>
          <w:color w:val="000000" w:themeColor="text1"/>
          <w:sz w:val="32"/>
          <w:szCs w:val="32"/>
        </w:rPr>
        <w:t>月</w:t>
      </w:r>
      <w:r>
        <w:rPr>
          <w:rFonts w:ascii="仿宋_GB2312" w:eastAsia="仿宋_GB2312" w:hAnsi="宋体" w:hint="eastAsia"/>
          <w:color w:val="000000" w:themeColor="text1"/>
          <w:sz w:val="32"/>
          <w:szCs w:val="32"/>
        </w:rPr>
        <w:t>，</w:t>
      </w:r>
      <w:r>
        <w:rPr>
          <w:rFonts w:ascii="仿宋_GB2312" w:eastAsia="仿宋_GB2312" w:hAnsi="宋体" w:hint="eastAsia"/>
          <w:sz w:val="32"/>
          <w:szCs w:val="32"/>
        </w:rPr>
        <w:t>标准编制工作组多次组织广西中医药大学第一附属医院、广西国际壮医医院、玉林市中医医院等单位召开座谈会，就标准文本主要技术内容进行讨论，收集标准修改意见，会后根据座谈讨论情况对标准草案进行反复修改完善，最终形成团体标准《</w:t>
      </w:r>
      <w:r>
        <w:rPr>
          <w:rFonts w:ascii="仿宋_GB2312" w:eastAsia="仿宋_GB2312" w:hAnsi="仿宋_GB2312" w:cs="仿宋_GB2312" w:hint="eastAsia"/>
          <w:color w:val="000000" w:themeColor="text1"/>
          <w:sz w:val="32"/>
          <w:szCs w:val="32"/>
        </w:rPr>
        <w:t>心衰病（心力衰竭）壮医防治</w:t>
      </w:r>
      <w:r>
        <w:rPr>
          <w:rFonts w:ascii="仿宋_GB2312" w:eastAsia="仿宋_GB2312" w:hAnsi="宋体" w:hint="eastAsia"/>
          <w:sz w:val="32"/>
          <w:szCs w:val="32"/>
        </w:rPr>
        <w:t>》（征求意见稿）及其编制说明。</w:t>
      </w:r>
    </w:p>
    <w:p w:rsidR="00617FC3" w:rsidRDefault="00617FC3" w:rsidP="00617FC3">
      <w:pPr>
        <w:pStyle w:val="BodyText2"/>
        <w:jc w:val="center"/>
      </w:pPr>
      <w:r w:rsidRPr="00617FC3">
        <w:rPr>
          <w:noProof/>
        </w:rPr>
        <w:drawing>
          <wp:inline distT="0" distB="0" distL="0" distR="0" wp14:anchorId="234F58DF" wp14:editId="788507FC">
            <wp:extent cx="4428282" cy="3319976"/>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430954" cy="3321979"/>
                    </a:xfrm>
                    <a:prstGeom prst="rect">
                      <a:avLst/>
                    </a:prstGeom>
                  </pic:spPr>
                </pic:pic>
              </a:graphicData>
            </a:graphic>
          </wp:inline>
        </w:drawing>
      </w:r>
    </w:p>
    <w:p w:rsidR="00617FC3" w:rsidRDefault="00617FC3" w:rsidP="00617FC3">
      <w:pPr>
        <w:pStyle w:val="BodyText2"/>
        <w:jc w:val="center"/>
      </w:pPr>
      <w:r>
        <w:rPr>
          <w:rFonts w:hint="eastAsia"/>
        </w:rPr>
        <w:t>研讨会照片</w:t>
      </w:r>
    </w:p>
    <w:p w:rsidR="005F4332" w:rsidRDefault="005F4332" w:rsidP="00617FC3">
      <w:pPr>
        <w:pStyle w:val="BodyText2"/>
        <w:jc w:val="center"/>
      </w:pPr>
      <w:r>
        <w:rPr>
          <w:noProof/>
        </w:rPr>
        <w:lastRenderedPageBreak/>
        <w:drawing>
          <wp:inline distT="0" distB="0" distL="0" distR="0" wp14:anchorId="0F217F4F" wp14:editId="11F16F42">
            <wp:extent cx="3293059" cy="2194560"/>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14093" cy="2208577"/>
                    </a:xfrm>
                    <a:prstGeom prst="rect">
                      <a:avLst/>
                    </a:prstGeom>
                    <a:noFill/>
                    <a:ln>
                      <a:noFill/>
                    </a:ln>
                  </pic:spPr>
                </pic:pic>
              </a:graphicData>
            </a:graphic>
          </wp:inline>
        </w:drawing>
      </w:r>
    </w:p>
    <w:p w:rsidR="005F4332" w:rsidRDefault="005F4332" w:rsidP="00617FC3">
      <w:pPr>
        <w:pStyle w:val="BodyText2"/>
        <w:jc w:val="center"/>
      </w:pPr>
      <w:r w:rsidRPr="005F4332">
        <w:rPr>
          <w:rFonts w:hint="eastAsia"/>
        </w:rPr>
        <w:t>查看患者检查报告</w:t>
      </w:r>
    </w:p>
    <w:p w:rsidR="005F4332" w:rsidRDefault="005F4332" w:rsidP="00617FC3">
      <w:pPr>
        <w:pStyle w:val="BodyText2"/>
        <w:jc w:val="center"/>
      </w:pPr>
      <w:r>
        <w:rPr>
          <w:noProof/>
        </w:rPr>
        <w:drawing>
          <wp:inline distT="0" distB="0" distL="0" distR="0" wp14:anchorId="4F61B637">
            <wp:extent cx="3211399" cy="2405575"/>
            <wp:effectExtent l="0" t="0" r="825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24810" cy="2415621"/>
                    </a:xfrm>
                    <a:prstGeom prst="rect">
                      <a:avLst/>
                    </a:prstGeom>
                    <a:noFill/>
                  </pic:spPr>
                </pic:pic>
              </a:graphicData>
            </a:graphic>
          </wp:inline>
        </w:drawing>
      </w:r>
    </w:p>
    <w:p w:rsidR="005F4332" w:rsidRDefault="005F4332" w:rsidP="00617FC3">
      <w:pPr>
        <w:pStyle w:val="BodyText2"/>
        <w:jc w:val="center"/>
      </w:pPr>
      <w:r w:rsidRPr="005F4332">
        <w:rPr>
          <w:rFonts w:hint="eastAsia"/>
        </w:rPr>
        <w:t>专家团队深入病房</w:t>
      </w:r>
    </w:p>
    <w:p w:rsidR="005F4332" w:rsidRDefault="005F4332" w:rsidP="00617FC3">
      <w:pPr>
        <w:pStyle w:val="BodyText2"/>
        <w:jc w:val="center"/>
      </w:pPr>
      <w:r>
        <w:rPr>
          <w:noProof/>
        </w:rPr>
        <w:drawing>
          <wp:inline distT="0" distB="0" distL="0" distR="0" wp14:anchorId="509CFB27">
            <wp:extent cx="2908153" cy="2178421"/>
            <wp:effectExtent l="0" t="0" r="698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34274" cy="2197987"/>
                    </a:xfrm>
                    <a:prstGeom prst="rect">
                      <a:avLst/>
                    </a:prstGeom>
                    <a:noFill/>
                  </pic:spPr>
                </pic:pic>
              </a:graphicData>
            </a:graphic>
          </wp:inline>
        </w:drawing>
      </w:r>
    </w:p>
    <w:p w:rsidR="005F4332" w:rsidRPr="00617FC3" w:rsidRDefault="005F4332" w:rsidP="00617FC3">
      <w:pPr>
        <w:pStyle w:val="BodyText2"/>
        <w:jc w:val="center"/>
      </w:pPr>
      <w:r w:rsidRPr="005F4332">
        <w:rPr>
          <w:rFonts w:hint="eastAsia"/>
        </w:rPr>
        <w:t>心血管疾病协同诊疗</w:t>
      </w:r>
    </w:p>
    <w:p w:rsidR="00E51CC9" w:rsidRDefault="003276A1">
      <w:pPr>
        <w:spacing w:beforeLines="50" w:before="156" w:afterLines="50" w:after="156" w:line="560" w:lineRule="exact"/>
        <w:ind w:firstLineChars="200" w:firstLine="640"/>
        <w:outlineLvl w:val="0"/>
        <w:rPr>
          <w:rFonts w:ascii="黑体" w:eastAsia="黑体" w:hAnsi="黑体" w:cs="仿宋_GB2312"/>
          <w:sz w:val="32"/>
          <w:szCs w:val="32"/>
        </w:rPr>
      </w:pPr>
      <w:bookmarkStart w:id="3" w:name="_Toc526940083"/>
      <w:r>
        <w:rPr>
          <w:rFonts w:ascii="黑体" w:eastAsia="黑体" w:hAnsi="黑体" w:cs="仿宋_GB2312" w:hint="eastAsia"/>
          <w:sz w:val="32"/>
          <w:szCs w:val="32"/>
        </w:rPr>
        <w:lastRenderedPageBreak/>
        <w:t>四、标准制定原则</w:t>
      </w:r>
      <w:bookmarkEnd w:id="3"/>
    </w:p>
    <w:p w:rsidR="00E51CC9" w:rsidRDefault="003276A1">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（一）实用性原则</w:t>
      </w:r>
    </w:p>
    <w:p w:rsidR="00E51CC9" w:rsidRDefault="003276A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本文件是在充分收集相关资料，分析当前现状、调研的实际情况，在现有文献中参考与</w:t>
      </w:r>
      <w:r>
        <w:rPr>
          <w:rFonts w:ascii="仿宋_GB2312" w:eastAsia="仿宋_GB2312" w:hAnsi="仿宋_GB2312" w:cs="仿宋_GB2312" w:hint="eastAsia"/>
          <w:color w:val="000000" w:themeColor="text1"/>
          <w:sz w:val="32"/>
          <w:szCs w:val="32"/>
        </w:rPr>
        <w:t>心衰病（心力衰竭）壮医防治</w:t>
      </w:r>
      <w:r>
        <w:rPr>
          <w:rFonts w:ascii="仿宋_GB2312" w:eastAsia="仿宋_GB2312" w:hAnsi="宋体" w:hint="eastAsia"/>
          <w:sz w:val="32"/>
          <w:szCs w:val="32"/>
        </w:rPr>
        <w:t>相关内容的基础上，结合多年经验而总结起草的。符合当前</w:t>
      </w:r>
      <w:r>
        <w:rPr>
          <w:rFonts w:ascii="仿宋_GB2312" w:eastAsia="仿宋_GB2312" w:hAnsi="仿宋_GB2312" w:cs="仿宋_GB2312" w:hint="eastAsia"/>
          <w:color w:val="000000" w:themeColor="text1"/>
          <w:sz w:val="32"/>
          <w:szCs w:val="32"/>
        </w:rPr>
        <w:t>心衰病（心力衰竭）壮医防治</w:t>
      </w:r>
      <w:r>
        <w:rPr>
          <w:rFonts w:ascii="仿宋_GB2312" w:eastAsia="仿宋_GB2312" w:hAnsi="宋体" w:hint="eastAsia"/>
          <w:sz w:val="32"/>
          <w:szCs w:val="32"/>
        </w:rPr>
        <w:t>的需要，有利于行业的长远发展，具有较强的实用性和可操作性。</w:t>
      </w:r>
    </w:p>
    <w:p w:rsidR="00E51CC9" w:rsidRDefault="003276A1">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（二）协调性原则</w:t>
      </w:r>
    </w:p>
    <w:p w:rsidR="00E51CC9" w:rsidRDefault="003276A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本文件编写过程中注意了与</w:t>
      </w:r>
      <w:r>
        <w:rPr>
          <w:rFonts w:ascii="仿宋_GB2312" w:eastAsia="仿宋_GB2312" w:hAnsi="仿宋_GB2312" w:cs="仿宋_GB2312" w:hint="eastAsia"/>
          <w:color w:val="000000" w:themeColor="text1"/>
          <w:sz w:val="32"/>
          <w:szCs w:val="32"/>
        </w:rPr>
        <w:t>心衰病（心力衰竭）壮医防治</w:t>
      </w:r>
      <w:r>
        <w:rPr>
          <w:rFonts w:ascii="仿宋_GB2312" w:eastAsia="仿宋_GB2312" w:hAnsi="宋体" w:hint="eastAsia"/>
          <w:sz w:val="32"/>
          <w:szCs w:val="32"/>
        </w:rPr>
        <w:t>相关法律法规的协调问题，在内容上与现行法律法规、标准协调一致。</w:t>
      </w:r>
    </w:p>
    <w:p w:rsidR="00E51CC9" w:rsidRDefault="003276A1">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（三）规范性原则</w:t>
      </w:r>
    </w:p>
    <w:p w:rsidR="00E51CC9" w:rsidRDefault="003276A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本文件严格按照</w:t>
      </w:r>
      <w:r>
        <w:rPr>
          <w:rFonts w:eastAsia="仿宋_GB2312"/>
          <w:sz w:val="32"/>
          <w:szCs w:val="32"/>
        </w:rPr>
        <w:t>GB/T 1.1—2020</w:t>
      </w:r>
      <w:r>
        <w:rPr>
          <w:rFonts w:ascii="仿宋_GB2312" w:eastAsia="仿宋_GB2312" w:hAnsi="宋体" w:hint="eastAsia"/>
          <w:sz w:val="32"/>
          <w:szCs w:val="32"/>
        </w:rPr>
        <w:t>《标准化工作导则 第1部分：标准化文件的结构和起草规则》的要求和规定编写本标准的内容，保证标准的编写质量。</w:t>
      </w:r>
    </w:p>
    <w:p w:rsidR="00E51CC9" w:rsidRDefault="003276A1">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（四）前瞻性原则</w:t>
      </w:r>
    </w:p>
    <w:p w:rsidR="00E51CC9" w:rsidRDefault="003276A1">
      <w:pPr>
        <w:spacing w:line="560" w:lineRule="exact"/>
        <w:ind w:firstLineChars="200" w:firstLine="640"/>
      </w:pPr>
      <w:r>
        <w:rPr>
          <w:rFonts w:ascii="仿宋_GB2312" w:eastAsia="仿宋_GB2312" w:hAnsi="宋体" w:hint="eastAsia"/>
          <w:sz w:val="32"/>
          <w:szCs w:val="32"/>
        </w:rPr>
        <w:t>本文件在兼顾当前区内</w:t>
      </w:r>
      <w:r>
        <w:rPr>
          <w:rFonts w:ascii="仿宋_GB2312" w:eastAsia="仿宋_GB2312" w:hAnsi="仿宋_GB2312" w:cs="仿宋_GB2312" w:hint="eastAsia"/>
          <w:color w:val="000000" w:themeColor="text1"/>
          <w:sz w:val="32"/>
          <w:szCs w:val="32"/>
        </w:rPr>
        <w:t>心衰病（心力衰竭）壮医防治</w:t>
      </w:r>
      <w:r>
        <w:rPr>
          <w:rFonts w:ascii="仿宋_GB2312" w:eastAsia="仿宋_GB2312" w:hAnsi="宋体" w:hint="eastAsia"/>
          <w:sz w:val="32"/>
          <w:szCs w:val="32"/>
        </w:rPr>
        <w:t>现实情况的同时，还考虑到了</w:t>
      </w:r>
      <w:r>
        <w:rPr>
          <w:rFonts w:ascii="仿宋_GB2312" w:eastAsia="仿宋_GB2312" w:hAnsi="仿宋_GB2312" w:cs="仿宋_GB2312" w:hint="eastAsia"/>
          <w:color w:val="000000" w:themeColor="text1"/>
          <w:sz w:val="32"/>
          <w:szCs w:val="32"/>
        </w:rPr>
        <w:t>心衰病（心力衰竭）壮医防治</w:t>
      </w:r>
      <w:r>
        <w:rPr>
          <w:rFonts w:ascii="仿宋_GB2312" w:eastAsia="仿宋_GB2312" w:hAnsi="宋体" w:hint="eastAsia"/>
          <w:sz w:val="32"/>
          <w:szCs w:val="32"/>
        </w:rPr>
        <w:t>快速发展的趋势和需要，在标准中体现了个别特色性、前瞻性和先进性条款，作为医疗机构</w:t>
      </w:r>
      <w:r>
        <w:rPr>
          <w:rFonts w:ascii="仿宋_GB2312" w:eastAsia="仿宋_GB2312" w:hAnsi="宋体"/>
          <w:sz w:val="32"/>
          <w:szCs w:val="32"/>
        </w:rPr>
        <w:t>以</w:t>
      </w:r>
      <w:r>
        <w:rPr>
          <w:rFonts w:ascii="仿宋_GB2312" w:eastAsia="仿宋_GB2312" w:hAnsi="宋体" w:hint="eastAsia"/>
          <w:sz w:val="32"/>
          <w:szCs w:val="32"/>
        </w:rPr>
        <w:t>开展</w:t>
      </w:r>
      <w:r>
        <w:rPr>
          <w:rFonts w:ascii="仿宋_GB2312" w:eastAsia="仿宋_GB2312" w:hAnsi="仿宋_GB2312" w:cs="仿宋_GB2312" w:hint="eastAsia"/>
          <w:color w:val="000000" w:themeColor="text1"/>
          <w:sz w:val="32"/>
          <w:szCs w:val="32"/>
        </w:rPr>
        <w:t>心衰病（心力衰竭）壮医防治</w:t>
      </w:r>
      <w:r>
        <w:rPr>
          <w:rFonts w:ascii="仿宋_GB2312" w:eastAsia="仿宋_GB2312" w:hAnsi="宋体" w:hint="eastAsia"/>
          <w:sz w:val="32"/>
          <w:szCs w:val="32"/>
        </w:rPr>
        <w:t>的指导。</w:t>
      </w:r>
    </w:p>
    <w:p w:rsidR="00E51CC9" w:rsidRDefault="003276A1">
      <w:pPr>
        <w:numPr>
          <w:ilvl w:val="0"/>
          <w:numId w:val="3"/>
        </w:numPr>
        <w:autoSpaceDE w:val="0"/>
        <w:autoSpaceDN w:val="0"/>
        <w:adjustRightInd w:val="0"/>
        <w:spacing w:beforeLines="50" w:before="156" w:afterLines="50" w:after="156" w:line="560" w:lineRule="atLeas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标准的主要指标及依据来源</w:t>
      </w:r>
    </w:p>
    <w:p w:rsidR="00E51CC9" w:rsidRDefault="003276A1">
      <w:pPr>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本标准主要指标包括：术语和定义、</w:t>
      </w:r>
      <w:r>
        <w:rPr>
          <w:rFonts w:ascii="仿宋_GB2312" w:eastAsia="仿宋_GB2312" w:hAnsi="宋体" w:hint="eastAsia"/>
          <w:sz w:val="32"/>
          <w:szCs w:val="32"/>
        </w:rPr>
        <w:t>治疗、预防</w:t>
      </w:r>
      <w:r>
        <w:rPr>
          <w:rFonts w:ascii="仿宋_GB2312" w:eastAsia="仿宋_GB2312" w:hAnsi="仿宋_GB2312" w:cs="仿宋_GB2312" w:hint="eastAsia"/>
          <w:sz w:val="32"/>
          <w:szCs w:val="32"/>
        </w:rPr>
        <w:t>。标准主要指标及依据来源说明如下：</w:t>
      </w:r>
    </w:p>
    <w:p w:rsidR="00E51CC9" w:rsidRDefault="003276A1">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（一）术语和定义</w:t>
      </w:r>
    </w:p>
    <w:p w:rsidR="00E51CC9" w:rsidRDefault="003276A1">
      <w:pPr>
        <w:ind w:firstLineChars="200" w:firstLine="640"/>
        <w:rPr>
          <w:rFonts w:ascii="仿宋_GB2312" w:eastAsia="仿宋_GB2312"/>
          <w:sz w:val="32"/>
          <w:szCs w:val="32"/>
        </w:rPr>
      </w:pPr>
      <w:r>
        <w:rPr>
          <w:rFonts w:ascii="仿宋_GB2312" w:eastAsia="仿宋_GB2312" w:hint="eastAsia"/>
          <w:sz w:val="32"/>
          <w:szCs w:val="32"/>
        </w:rPr>
        <w:t>1、心衰/心力衰竭</w:t>
      </w:r>
    </w:p>
    <w:p w:rsidR="00E51CC9" w:rsidRDefault="003276A1">
      <w:pPr>
        <w:ind w:firstLineChars="200" w:firstLine="640"/>
        <w:rPr>
          <w:rFonts w:ascii="仿宋_GB2312" w:eastAsia="仿宋_GB2312"/>
          <w:sz w:val="32"/>
          <w:szCs w:val="32"/>
        </w:rPr>
      </w:pPr>
      <w:r>
        <w:rPr>
          <w:rFonts w:ascii="仿宋_GB2312" w:eastAsia="仿宋_GB2312" w:hint="eastAsia"/>
          <w:sz w:val="32"/>
          <w:szCs w:val="32"/>
        </w:rPr>
        <w:t>参考</w:t>
      </w:r>
      <w:r>
        <w:rPr>
          <w:rFonts w:ascii="仿宋_GB2312" w:eastAsia="仿宋_GB2312"/>
          <w:sz w:val="32"/>
          <w:szCs w:val="32"/>
        </w:rPr>
        <w:t>GB/T 42467.1-2023</w:t>
      </w:r>
      <w:r>
        <w:rPr>
          <w:rFonts w:ascii="仿宋_GB2312" w:eastAsia="仿宋_GB2312" w:hint="eastAsia"/>
          <w:sz w:val="32"/>
          <w:szCs w:val="32"/>
        </w:rPr>
        <w:t>《中医临床名词术语 第1部分：内科学》中已对“心衰”有所定义，并结合壮医药对心衰病（心力衰竭）补充了</w:t>
      </w:r>
      <w:r>
        <w:rPr>
          <w:rFonts w:ascii="仿宋_GB2312" w:eastAsia="仿宋_GB2312"/>
          <w:sz w:val="32"/>
          <w:szCs w:val="32"/>
        </w:rPr>
        <w:t>“</w:t>
      </w:r>
      <w:r>
        <w:rPr>
          <w:rFonts w:ascii="仿宋_GB2312" w:eastAsia="仿宋_GB2312" w:hint="eastAsia"/>
          <w:sz w:val="32"/>
          <w:szCs w:val="32"/>
        </w:rPr>
        <w:t>将其归属于壮医的 “邦印”（心悸）、“埃”（气喘）、“幽扭”（水肿）、“巧尹”（胸痛） 等范畴</w:t>
      </w:r>
      <w:r>
        <w:rPr>
          <w:rFonts w:ascii="仿宋_GB2312" w:eastAsia="仿宋_GB2312"/>
          <w:sz w:val="32"/>
          <w:szCs w:val="32"/>
        </w:rPr>
        <w:t>”</w:t>
      </w:r>
      <w:r>
        <w:rPr>
          <w:rFonts w:ascii="仿宋_GB2312" w:eastAsia="仿宋_GB2312" w:hint="eastAsia"/>
          <w:sz w:val="32"/>
          <w:szCs w:val="32"/>
        </w:rPr>
        <w:t>。</w:t>
      </w:r>
      <w:bookmarkStart w:id="4" w:name="_GoBack"/>
      <w:bookmarkEnd w:id="4"/>
      <w:r w:rsidR="0037669C" w:rsidRPr="0037669C">
        <w:rPr>
          <w:rFonts w:ascii="仿宋_GB2312" w:eastAsia="仿宋_GB2312" w:hint="eastAsia"/>
          <w:sz w:val="32"/>
          <w:szCs w:val="32"/>
        </w:rPr>
        <w:t>本病在壮医理论中，可归属于“邦印”（心悸）、“埃”（气喘）、“幽扭”（水肿）、“巧尹”（胸痛）等病证范畴，其病机特点与壮医龙路虚衰证高度契合。壮医认为，龙路为全身血脉运行通路，心脏是龙路运转的核心枢纽；若人体嘘气亏虚、心气衰败，则龙路推动气血运行之力减弱，水湿浊毒运化失常、停滞体内。其中“奔唉” 指代喘促气急，“笨浮” 指代周身水肿，二者合称为 “喘水病”，为气道、水道、龙路三大通路同时受损的危急重症。民间亦将此类病症称作 “心胀水”“龙路积水”，核心病机为水湿浊毒凌心犯肺，进而引发心悸心慌、喘息难平、周身浮肿、小便短少甚至闭塞不通等危重表现。以上相关病名释义、病机阐释与病症记载，均见于《中国壮医学》《壮医内儿科学》《壮族医学史》等壮医权威典籍。</w:t>
      </w:r>
    </w:p>
    <w:p w:rsidR="00E51CC9" w:rsidRDefault="003276A1">
      <w:pPr>
        <w:jc w:val="center"/>
        <w:rPr>
          <w:rFonts w:ascii="仿宋_GB2312" w:eastAsia="仿宋_GB2312"/>
          <w:sz w:val="32"/>
          <w:szCs w:val="32"/>
        </w:rPr>
      </w:pPr>
      <w:r>
        <w:rPr>
          <w:noProof/>
        </w:rPr>
        <w:drawing>
          <wp:inline distT="0" distB="0" distL="0" distR="0">
            <wp:extent cx="5688330" cy="1030605"/>
            <wp:effectExtent l="19050" t="19050" r="26670" b="17145"/>
            <wp:docPr id="18486336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633600" name="图片 1"/>
                    <pic:cNvPicPr>
                      <a:picLocks noChangeAspect="1"/>
                    </pic:cNvPicPr>
                  </pic:nvPicPr>
                  <pic:blipFill>
                    <a:blip r:embed="rId11"/>
                    <a:stretch>
                      <a:fillRect/>
                    </a:stretch>
                  </pic:blipFill>
                  <pic:spPr>
                    <a:xfrm>
                      <a:off x="0" y="0"/>
                      <a:ext cx="5688330" cy="1030605"/>
                    </a:xfrm>
                    <a:prstGeom prst="rect">
                      <a:avLst/>
                    </a:prstGeom>
                    <a:ln>
                      <a:solidFill>
                        <a:schemeClr val="tx1"/>
                      </a:solidFill>
                    </a:ln>
                  </pic:spPr>
                </pic:pic>
              </a:graphicData>
            </a:graphic>
          </wp:inline>
        </w:drawing>
      </w:r>
    </w:p>
    <w:p w:rsidR="00E51CC9" w:rsidRDefault="003276A1">
      <w:pPr>
        <w:jc w:val="center"/>
        <w:rPr>
          <w:rFonts w:ascii="楷体_GB2312" w:eastAsia="楷体_GB2312"/>
          <w:sz w:val="28"/>
          <w:szCs w:val="28"/>
        </w:rPr>
      </w:pPr>
      <w:r>
        <w:rPr>
          <w:rFonts w:ascii="楷体_GB2312" w:eastAsia="楷体_GB2312" w:hint="eastAsia"/>
          <w:sz w:val="28"/>
          <w:szCs w:val="28"/>
        </w:rPr>
        <w:lastRenderedPageBreak/>
        <w:t>来源：GB/T 42467.1-2023《中医临床名词术语 第1部分：内科学》</w:t>
      </w:r>
    </w:p>
    <w:p w:rsidR="00E51CC9" w:rsidRDefault="003276A1">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（二）治疗</w:t>
      </w:r>
    </w:p>
    <w:p w:rsidR="004B6986" w:rsidRPr="004B6986" w:rsidRDefault="004B6986" w:rsidP="004B6986">
      <w:pPr>
        <w:ind w:firstLineChars="200" w:firstLine="643"/>
        <w:rPr>
          <w:rFonts w:ascii="仿宋_GB2312" w:eastAsia="仿宋_GB2312"/>
          <w:b/>
          <w:bCs/>
          <w:sz w:val="32"/>
          <w:szCs w:val="32"/>
        </w:rPr>
      </w:pPr>
      <w:r>
        <w:rPr>
          <w:rFonts w:ascii="仿宋_GB2312" w:eastAsia="仿宋_GB2312"/>
          <w:b/>
          <w:bCs/>
          <w:sz w:val="32"/>
          <w:szCs w:val="32"/>
        </w:rPr>
        <w:t>1.</w:t>
      </w:r>
      <w:r w:rsidRPr="004B6986">
        <w:rPr>
          <w:rFonts w:ascii="仿宋_GB2312" w:eastAsia="仿宋_GB2312" w:hint="eastAsia"/>
          <w:b/>
          <w:bCs/>
          <w:sz w:val="32"/>
          <w:szCs w:val="32"/>
        </w:rPr>
        <w:t>内服法</w:t>
      </w:r>
    </w:p>
    <w:p w:rsidR="004B6986" w:rsidRPr="004B6986" w:rsidRDefault="004B6986" w:rsidP="004B6986">
      <w:pPr>
        <w:ind w:firstLineChars="200" w:firstLine="643"/>
        <w:rPr>
          <w:rFonts w:ascii="仿宋_GB2312" w:eastAsia="仿宋_GB2312"/>
          <w:b/>
          <w:bCs/>
          <w:sz w:val="32"/>
          <w:szCs w:val="32"/>
        </w:rPr>
      </w:pPr>
      <w:r>
        <w:rPr>
          <w:rFonts w:ascii="仿宋_GB2312" w:eastAsia="仿宋_GB2312" w:hint="eastAsia"/>
          <w:b/>
          <w:bCs/>
          <w:sz w:val="32"/>
          <w:szCs w:val="32"/>
        </w:rPr>
        <w:t>（1）</w:t>
      </w:r>
      <w:r w:rsidRPr="004B6986">
        <w:rPr>
          <w:rFonts w:ascii="仿宋_GB2312" w:eastAsia="仿宋_GB2312" w:hint="eastAsia"/>
          <w:b/>
          <w:bCs/>
          <w:sz w:val="32"/>
          <w:szCs w:val="32"/>
        </w:rPr>
        <w:t>治疗原则</w:t>
      </w:r>
    </w:p>
    <w:p w:rsidR="004B6986" w:rsidRDefault="004B6986" w:rsidP="004B6986">
      <w:pPr>
        <w:ind w:firstLineChars="200" w:firstLine="640"/>
        <w:rPr>
          <w:rFonts w:ascii="仿宋_GB2312" w:eastAsia="仿宋_GB2312"/>
          <w:sz w:val="32"/>
          <w:szCs w:val="32"/>
        </w:rPr>
      </w:pPr>
      <w:r w:rsidRPr="004B6986">
        <w:rPr>
          <w:rFonts w:ascii="仿宋_GB2312" w:eastAsia="仿宋_GB2312" w:hint="eastAsia"/>
          <w:sz w:val="32"/>
          <w:szCs w:val="32"/>
        </w:rPr>
        <w:t>参考&lt;</w:t>
      </w:r>
      <w:bookmarkStart w:id="5" w:name="OLE_LINK4"/>
      <w:bookmarkStart w:id="6" w:name="OLE_LINK5"/>
      <w:r w:rsidRPr="004B6986">
        <w:rPr>
          <w:rFonts w:ascii="仿宋_GB2312" w:eastAsia="仿宋_GB2312" w:hint="eastAsia"/>
          <w:sz w:val="32"/>
          <w:szCs w:val="32"/>
        </w:rPr>
        <w:t>唐汉庆,黄岑汉,赵玉峰,等.壮医“三道两路”理论的辨析及应 用[J].中华中医药杂志,2015,30(12):4236-4239.</w:t>
      </w:r>
      <w:bookmarkEnd w:id="5"/>
      <w:bookmarkEnd w:id="6"/>
      <w:r w:rsidRPr="004B6986">
        <w:rPr>
          <w:rFonts w:ascii="仿宋_GB2312" w:eastAsia="仿宋_GB2312"/>
          <w:sz w:val="32"/>
          <w:szCs w:val="32"/>
        </w:rPr>
        <w:t>&gt;</w:t>
      </w:r>
    </w:p>
    <w:p w:rsidR="004B6986" w:rsidRDefault="004B6986" w:rsidP="004B6986">
      <w:pPr>
        <w:pStyle w:val="BodyText2"/>
        <w:jc w:val="center"/>
      </w:pPr>
      <w:r>
        <w:rPr>
          <w:noProof/>
        </w:rPr>
        <w:drawing>
          <wp:inline distT="0" distB="0" distL="0" distR="0" wp14:anchorId="40583533" wp14:editId="12FDC297">
            <wp:extent cx="5688330" cy="1224280"/>
            <wp:effectExtent l="19050" t="19050" r="26670" b="139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88330" cy="1224280"/>
                    </a:xfrm>
                    <a:prstGeom prst="rect">
                      <a:avLst/>
                    </a:prstGeom>
                    <a:ln>
                      <a:solidFill>
                        <a:sysClr val="windowText" lastClr="000000"/>
                      </a:solidFill>
                    </a:ln>
                  </pic:spPr>
                </pic:pic>
              </a:graphicData>
            </a:graphic>
          </wp:inline>
        </w:drawing>
      </w:r>
    </w:p>
    <w:p w:rsidR="004B6986" w:rsidRPr="004B6986" w:rsidRDefault="004B6986" w:rsidP="004B6986">
      <w:pPr>
        <w:jc w:val="center"/>
        <w:outlineLvl w:val="1"/>
        <w:rPr>
          <w:rFonts w:ascii="楷体_GB2312" w:eastAsia="楷体_GB2312" w:hAnsi="宋体"/>
          <w:sz w:val="24"/>
        </w:rPr>
      </w:pPr>
      <w:r w:rsidRPr="004B6986">
        <w:rPr>
          <w:rFonts w:ascii="楷体_GB2312" w:eastAsia="楷体_GB2312" w:hAnsi="宋体" w:hint="eastAsia"/>
          <w:sz w:val="24"/>
        </w:rPr>
        <w:t>来源：唐汉庆,黄岑汉,赵玉峰,等.壮医“三道两路”理论的辨析及应 用[J].中华中医药杂志,2015,30(12):4236-4239.</w:t>
      </w:r>
    </w:p>
    <w:p w:rsidR="004B6986" w:rsidRDefault="004B6986" w:rsidP="004B6986">
      <w:pPr>
        <w:spacing w:beforeLines="50" w:before="156" w:afterLines="50" w:after="156" w:line="560" w:lineRule="exact"/>
        <w:ind w:firstLineChars="200" w:firstLine="640"/>
        <w:outlineLvl w:val="1"/>
        <w:rPr>
          <w:rFonts w:ascii="仿宋_GB2312" w:eastAsia="仿宋_GB2312"/>
          <w:sz w:val="32"/>
          <w:szCs w:val="32"/>
        </w:rPr>
      </w:pPr>
      <w:r>
        <w:rPr>
          <w:rFonts w:ascii="仿宋_GB2312" w:eastAsia="仿宋_GB2312" w:hint="eastAsia"/>
          <w:sz w:val="32"/>
          <w:szCs w:val="32"/>
        </w:rPr>
        <w:t>主要是依据《秦伟彬,何贵新,莫霄云等.壮医药改善慢性心力衰竭的初步伦理探讨[J].中国民族医药杂志》中对心衰的论治理论来确定，壮医理论中，龙路保证血液运行的通畅，道路的阻滞可能造成血运不畅，形成瘀阻。龙路阻滞不畅或失调可导致内脏组织器官缺血失养,或气血运行不循常道而出现孔窍出血等，心衰病又称心水病，水饮是心衰病多种临床症状如水肿、心悸、短气的原因，在治理心衰方法中、“利水”占据重要地位，壮医理念中“水道”掌管水液的进出其正常运行则是维持机体水液运行的重要条件。</w:t>
      </w:r>
    </w:p>
    <w:p w:rsidR="004B6986" w:rsidRDefault="004B6986" w:rsidP="004B6986">
      <w:pPr>
        <w:spacing w:beforeLines="50" w:before="156" w:afterLines="50" w:after="156"/>
        <w:jc w:val="center"/>
        <w:outlineLvl w:val="1"/>
        <w:rPr>
          <w:rFonts w:ascii="楷体_GB2312" w:eastAsia="楷体_GB2312" w:hAnsi="宋体"/>
          <w:b/>
          <w:bCs/>
          <w:sz w:val="32"/>
          <w:szCs w:val="32"/>
        </w:rPr>
      </w:pPr>
      <w:r>
        <w:rPr>
          <w:noProof/>
        </w:rPr>
        <w:lastRenderedPageBreak/>
        <w:drawing>
          <wp:inline distT="0" distB="0" distL="0" distR="0" wp14:anchorId="1DA627B8" wp14:editId="0A4E76DE">
            <wp:extent cx="3239770" cy="3658870"/>
            <wp:effectExtent l="19050" t="19050" r="17780" b="17780"/>
            <wp:docPr id="20257596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759638" name="图片 1"/>
                    <pic:cNvPicPr>
                      <a:picLocks noChangeAspect="1"/>
                    </pic:cNvPicPr>
                  </pic:nvPicPr>
                  <pic:blipFill>
                    <a:blip r:embed="rId13"/>
                    <a:stretch>
                      <a:fillRect/>
                    </a:stretch>
                  </pic:blipFill>
                  <pic:spPr>
                    <a:xfrm>
                      <a:off x="0" y="0"/>
                      <a:ext cx="3254996" cy="3675770"/>
                    </a:xfrm>
                    <a:prstGeom prst="rect">
                      <a:avLst/>
                    </a:prstGeom>
                    <a:ln>
                      <a:solidFill>
                        <a:sysClr val="windowText" lastClr="000000"/>
                      </a:solidFill>
                    </a:ln>
                  </pic:spPr>
                </pic:pic>
              </a:graphicData>
            </a:graphic>
          </wp:inline>
        </w:drawing>
      </w:r>
    </w:p>
    <w:p w:rsidR="004B6986" w:rsidRDefault="004B6986" w:rsidP="004B6986">
      <w:pPr>
        <w:jc w:val="center"/>
        <w:outlineLvl w:val="1"/>
        <w:rPr>
          <w:rFonts w:ascii="楷体_GB2312" w:eastAsia="楷体_GB2312" w:hAnsi="宋体"/>
          <w:sz w:val="24"/>
        </w:rPr>
      </w:pPr>
      <w:r w:rsidRPr="004B6986">
        <w:rPr>
          <w:rFonts w:ascii="楷体_GB2312" w:eastAsia="楷体_GB2312" w:hAnsi="宋体" w:hint="eastAsia"/>
          <w:sz w:val="24"/>
        </w:rPr>
        <w:t>来源：秦伟彬,何贵新,莫霄云等.壮医药改善慢性心力衰竭的初步伦理探讨[J].中国民族医药杂志</w:t>
      </w:r>
    </w:p>
    <w:p w:rsidR="004B6986" w:rsidRDefault="004B6986" w:rsidP="004B6986">
      <w:pPr>
        <w:ind w:firstLineChars="200" w:firstLine="640"/>
        <w:rPr>
          <w:rFonts w:ascii="仿宋_GB2312" w:eastAsia="仿宋_GB2312"/>
          <w:sz w:val="32"/>
          <w:szCs w:val="32"/>
        </w:rPr>
      </w:pPr>
      <w:r w:rsidRPr="004B6986">
        <w:rPr>
          <w:rFonts w:ascii="仿宋_GB2312" w:eastAsia="仿宋_GB2312" w:hint="eastAsia"/>
          <w:sz w:val="32"/>
          <w:szCs w:val="32"/>
        </w:rPr>
        <w:t>结合工作经验明确了治疗原则为“通调龙路，行气利水。虚、瘀、水阻滞三道两路，</w:t>
      </w:r>
      <w:bookmarkStart w:id="7" w:name="OLE_LINK3"/>
      <w:r w:rsidRPr="004B6986">
        <w:rPr>
          <w:rFonts w:ascii="仿宋_GB2312" w:eastAsia="仿宋_GB2312" w:hint="eastAsia"/>
          <w:sz w:val="32"/>
          <w:szCs w:val="32"/>
        </w:rPr>
        <w:t>三气</w:t>
      </w:r>
      <w:bookmarkEnd w:id="7"/>
      <w:r w:rsidRPr="004B6986">
        <w:rPr>
          <w:rFonts w:ascii="仿宋_GB2312" w:eastAsia="仿宋_GB2312" w:hint="eastAsia"/>
          <w:sz w:val="32"/>
          <w:szCs w:val="32"/>
        </w:rPr>
        <w:t>不同步，病位在龙路（心），为本虚标实之阴证”</w:t>
      </w:r>
      <w:r>
        <w:rPr>
          <w:rFonts w:ascii="仿宋_GB2312" w:eastAsia="仿宋_GB2312" w:hint="eastAsia"/>
          <w:sz w:val="32"/>
          <w:szCs w:val="32"/>
        </w:rPr>
        <w:t>。</w:t>
      </w:r>
    </w:p>
    <w:p w:rsidR="004B6986" w:rsidRDefault="004B6986" w:rsidP="004B6986">
      <w:pPr>
        <w:ind w:firstLineChars="200" w:firstLine="643"/>
        <w:rPr>
          <w:rFonts w:ascii="仿宋_GB2312" w:eastAsia="仿宋_GB2312"/>
          <w:b/>
          <w:bCs/>
          <w:sz w:val="32"/>
          <w:szCs w:val="32"/>
        </w:rPr>
      </w:pPr>
      <w:r w:rsidRPr="004B6986">
        <w:rPr>
          <w:rFonts w:ascii="仿宋_GB2312" w:eastAsia="仿宋_GB2312" w:hint="eastAsia"/>
          <w:b/>
          <w:bCs/>
          <w:sz w:val="32"/>
          <w:szCs w:val="32"/>
        </w:rPr>
        <w:t>（2）治疗方法</w:t>
      </w:r>
    </w:p>
    <w:p w:rsidR="004B6986" w:rsidRPr="004B6986" w:rsidRDefault="004B6986" w:rsidP="004B6986">
      <w:pPr>
        <w:ind w:firstLineChars="200" w:firstLine="643"/>
        <w:rPr>
          <w:rFonts w:ascii="仿宋_GB2312" w:eastAsia="仿宋_GB2312"/>
          <w:b/>
          <w:bCs/>
          <w:sz w:val="32"/>
          <w:szCs w:val="32"/>
        </w:rPr>
      </w:pPr>
      <w:r w:rsidRPr="004B6986">
        <w:rPr>
          <w:rFonts w:ascii="仿宋_GB2312" w:eastAsia="仿宋_GB2312"/>
          <w:b/>
          <w:bCs/>
          <w:sz w:val="32"/>
          <w:szCs w:val="32"/>
        </w:rPr>
        <w:t>1.</w:t>
      </w:r>
      <w:r w:rsidRPr="004B6986">
        <w:rPr>
          <w:rFonts w:ascii="仿宋_GB2312" w:eastAsia="仿宋_GB2312" w:hint="eastAsia"/>
          <w:b/>
          <w:bCs/>
          <w:sz w:val="32"/>
          <w:szCs w:val="32"/>
        </w:rPr>
        <w:t>内服法</w:t>
      </w:r>
    </w:p>
    <w:p w:rsidR="004B6986" w:rsidRDefault="004B6986" w:rsidP="004B6986">
      <w:pPr>
        <w:spacing w:beforeLines="50" w:before="156" w:afterLines="50" w:after="156" w:line="560" w:lineRule="exact"/>
        <w:ind w:firstLineChars="200" w:firstLine="640"/>
        <w:outlineLvl w:val="1"/>
        <w:rPr>
          <w:rFonts w:eastAsia="仿宋_GB2312"/>
          <w:kern w:val="0"/>
          <w:sz w:val="32"/>
          <w:szCs w:val="32"/>
        </w:rPr>
      </w:pPr>
      <w:bookmarkStart w:id="8" w:name="_Hlk225152944"/>
      <w:r>
        <w:rPr>
          <w:rFonts w:ascii="仿宋_GB2312" w:eastAsia="仿宋_GB2312" w:hint="eastAsia"/>
          <w:sz w:val="32"/>
          <w:szCs w:val="32"/>
        </w:rPr>
        <w:t>主要是参考《中国壮医学》（黄汉儒主编）、《中国壮医内科学》（庞声航，王柏灿编著）以及起草单位的实际工作经验来确定。壮医内治法是通过口服给药从而达到治疗目的的一种方法。壮医认为，药物自口直接进入谷道，经谷道“咪隆”“咪胴”“咪曼”化生，通过龙路火路网络的输布到达病所，从而起到治疗作用。</w:t>
      </w:r>
      <w:r>
        <w:rPr>
          <w:rFonts w:eastAsia="仿宋_GB2312"/>
          <w:kern w:val="0"/>
          <w:sz w:val="32"/>
          <w:szCs w:val="32"/>
        </w:rPr>
        <w:t>民间壮医绝大多数用鲜壮药水煎或榨汁内服，少数制成膏、丹、</w:t>
      </w:r>
      <w:r>
        <w:rPr>
          <w:rFonts w:eastAsia="仿宋_GB2312"/>
          <w:kern w:val="0"/>
          <w:sz w:val="32"/>
          <w:szCs w:val="32"/>
        </w:rPr>
        <w:lastRenderedPageBreak/>
        <w:t>丸、散或泡酒服之。在选药上多根据一定的经验选药，</w:t>
      </w:r>
      <w:bookmarkStart w:id="9" w:name="OLE_LINK6"/>
      <w:bookmarkStart w:id="10" w:name="OLE_LINK7"/>
      <w:r>
        <w:rPr>
          <w:rFonts w:eastAsia="仿宋_GB2312" w:hint="eastAsia"/>
          <w:kern w:val="0"/>
          <w:sz w:val="32"/>
          <w:szCs w:val="32"/>
        </w:rPr>
        <w:t>起草单位结合多年的实际治疗经验</w:t>
      </w:r>
      <w:bookmarkEnd w:id="9"/>
      <w:bookmarkEnd w:id="10"/>
      <w:r>
        <w:rPr>
          <w:rFonts w:eastAsia="仿宋_GB2312" w:hint="eastAsia"/>
          <w:kern w:val="0"/>
          <w:sz w:val="32"/>
          <w:szCs w:val="32"/>
        </w:rPr>
        <w:t>（见表</w:t>
      </w:r>
      <w:r>
        <w:rPr>
          <w:rFonts w:eastAsia="仿宋_GB2312" w:hint="eastAsia"/>
          <w:kern w:val="0"/>
          <w:sz w:val="32"/>
          <w:szCs w:val="32"/>
        </w:rPr>
        <w:t>1</w:t>
      </w:r>
      <w:r>
        <w:rPr>
          <w:rFonts w:eastAsia="仿宋_GB2312" w:hint="eastAsia"/>
          <w:kern w:val="0"/>
          <w:sz w:val="32"/>
          <w:szCs w:val="32"/>
        </w:rPr>
        <w:t>）给出了心衰病（心力衰竭）的壮医内治法的要求。</w:t>
      </w:r>
    </w:p>
    <w:bookmarkEnd w:id="8"/>
    <w:p w:rsidR="004B6986" w:rsidRPr="004B6986" w:rsidRDefault="004B6986" w:rsidP="004B6986">
      <w:pPr>
        <w:pStyle w:val="BodyText2"/>
        <w:spacing w:after="0"/>
        <w:jc w:val="center"/>
        <w:rPr>
          <w:sz w:val="28"/>
          <w:szCs w:val="28"/>
        </w:rPr>
      </w:pPr>
      <w:r w:rsidRPr="004B6986">
        <w:rPr>
          <w:rFonts w:hint="eastAsia"/>
          <w:sz w:val="28"/>
          <w:szCs w:val="28"/>
        </w:rPr>
        <w:t>表</w:t>
      </w:r>
      <w:r w:rsidRPr="004B6986">
        <w:rPr>
          <w:rFonts w:hint="eastAsia"/>
          <w:sz w:val="28"/>
          <w:szCs w:val="28"/>
        </w:rPr>
        <w:t>1</w:t>
      </w:r>
      <w:r w:rsidRPr="004B6986">
        <w:rPr>
          <w:rFonts w:hint="eastAsia"/>
          <w:sz w:val="28"/>
          <w:szCs w:val="28"/>
        </w:rPr>
        <w:t>起草单位实际治疗经验</w:t>
      </w:r>
    </w:p>
    <w:tbl>
      <w:tblPr>
        <w:tblStyle w:val="af"/>
        <w:tblW w:w="5000" w:type="pct"/>
        <w:jc w:val="center"/>
        <w:tblLook w:val="04A0" w:firstRow="1" w:lastRow="0" w:firstColumn="1" w:lastColumn="0" w:noHBand="0" w:noVBand="1"/>
      </w:tblPr>
      <w:tblGrid>
        <w:gridCol w:w="2972"/>
        <w:gridCol w:w="1135"/>
        <w:gridCol w:w="1074"/>
        <w:gridCol w:w="1884"/>
        <w:gridCol w:w="1883"/>
      </w:tblGrid>
      <w:tr w:rsidR="004B6986" w:rsidRPr="004B6986" w:rsidTr="00BE4C79">
        <w:trPr>
          <w:trHeight w:val="50"/>
          <w:jc w:val="center"/>
        </w:trPr>
        <w:tc>
          <w:tcPr>
            <w:tcW w:w="1661"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
                <w:bCs/>
                <w:sz w:val="21"/>
                <w:szCs w:val="21"/>
              </w:rPr>
            </w:pPr>
            <w:r w:rsidRPr="004B6986">
              <w:rPr>
                <w:rFonts w:ascii="宋体" w:hAnsi="宋体" w:hint="eastAsia"/>
                <w:b/>
                <w:bCs/>
                <w:sz w:val="21"/>
                <w:szCs w:val="21"/>
              </w:rPr>
              <w:t>单位名称</w:t>
            </w:r>
          </w:p>
        </w:tc>
        <w:tc>
          <w:tcPr>
            <w:tcW w:w="634"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
                <w:bCs/>
                <w:sz w:val="21"/>
                <w:szCs w:val="21"/>
              </w:rPr>
            </w:pPr>
            <w:r w:rsidRPr="004B6986">
              <w:rPr>
                <w:rFonts w:ascii="宋体" w:hAnsi="宋体" w:hint="eastAsia"/>
                <w:b/>
                <w:bCs/>
                <w:sz w:val="21"/>
                <w:szCs w:val="21"/>
              </w:rPr>
              <w:t>年份</w:t>
            </w:r>
          </w:p>
        </w:tc>
        <w:tc>
          <w:tcPr>
            <w:tcW w:w="600"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
                <w:bCs/>
                <w:sz w:val="21"/>
                <w:szCs w:val="21"/>
              </w:rPr>
            </w:pPr>
            <w:r w:rsidRPr="004B6986">
              <w:rPr>
                <w:rFonts w:ascii="宋体" w:hAnsi="宋体" w:hint="eastAsia"/>
                <w:b/>
                <w:bCs/>
                <w:sz w:val="21"/>
                <w:szCs w:val="21"/>
              </w:rPr>
              <w:t>治疗人数</w:t>
            </w:r>
          </w:p>
        </w:tc>
        <w:tc>
          <w:tcPr>
            <w:tcW w:w="1053"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
                <w:bCs/>
                <w:sz w:val="21"/>
                <w:szCs w:val="21"/>
              </w:rPr>
            </w:pPr>
            <w:r w:rsidRPr="004B6986">
              <w:rPr>
                <w:rFonts w:ascii="宋体" w:hAnsi="宋体" w:hint="eastAsia"/>
                <w:b/>
                <w:bCs/>
                <w:sz w:val="21"/>
                <w:szCs w:val="21"/>
              </w:rPr>
              <w:t>壮医预防有效率</w:t>
            </w:r>
          </w:p>
        </w:tc>
        <w:tc>
          <w:tcPr>
            <w:tcW w:w="1052"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
                <w:bCs/>
                <w:sz w:val="21"/>
                <w:szCs w:val="21"/>
              </w:rPr>
            </w:pPr>
            <w:r w:rsidRPr="004B6986">
              <w:rPr>
                <w:rFonts w:ascii="宋体" w:hAnsi="宋体" w:hint="eastAsia"/>
                <w:b/>
                <w:bCs/>
                <w:sz w:val="21"/>
                <w:szCs w:val="21"/>
              </w:rPr>
              <w:t>壮医治疗有效率</w:t>
            </w:r>
          </w:p>
        </w:tc>
      </w:tr>
      <w:tr w:rsidR="004B6986" w:rsidRPr="004B6986" w:rsidTr="00BE4C79">
        <w:trPr>
          <w:trHeight w:val="567"/>
          <w:jc w:val="center"/>
        </w:trPr>
        <w:tc>
          <w:tcPr>
            <w:tcW w:w="1661" w:type="pct"/>
            <w:vMerge w:val="restart"/>
            <w:tcBorders>
              <w:top w:val="nil"/>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广西中医药大学第一附属医院</w:t>
            </w:r>
          </w:p>
        </w:tc>
        <w:tc>
          <w:tcPr>
            <w:tcW w:w="634"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2023</w:t>
            </w:r>
          </w:p>
        </w:tc>
        <w:tc>
          <w:tcPr>
            <w:tcW w:w="600"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231</w:t>
            </w:r>
          </w:p>
        </w:tc>
        <w:tc>
          <w:tcPr>
            <w:tcW w:w="1053"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97.7%</w:t>
            </w:r>
          </w:p>
        </w:tc>
        <w:tc>
          <w:tcPr>
            <w:tcW w:w="1052"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98.9%</w:t>
            </w:r>
          </w:p>
        </w:tc>
      </w:tr>
      <w:tr w:rsidR="004B6986" w:rsidRPr="004B6986" w:rsidTr="00BE4C79">
        <w:trPr>
          <w:trHeight w:val="567"/>
          <w:jc w:val="center"/>
        </w:trPr>
        <w:tc>
          <w:tcPr>
            <w:tcW w:w="1661" w:type="pct"/>
            <w:vMerge/>
            <w:tcBorders>
              <w:top w:val="nil"/>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p>
        </w:tc>
        <w:tc>
          <w:tcPr>
            <w:tcW w:w="634"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2024</w:t>
            </w:r>
          </w:p>
        </w:tc>
        <w:tc>
          <w:tcPr>
            <w:tcW w:w="600"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248</w:t>
            </w:r>
          </w:p>
        </w:tc>
        <w:tc>
          <w:tcPr>
            <w:tcW w:w="1053"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98%</w:t>
            </w:r>
          </w:p>
        </w:tc>
        <w:tc>
          <w:tcPr>
            <w:tcW w:w="1052"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97.8%</w:t>
            </w:r>
          </w:p>
        </w:tc>
      </w:tr>
      <w:tr w:rsidR="004B6986" w:rsidRPr="004B6986" w:rsidTr="00BE4C79">
        <w:trPr>
          <w:trHeight w:val="567"/>
          <w:jc w:val="center"/>
        </w:trPr>
        <w:tc>
          <w:tcPr>
            <w:tcW w:w="1661" w:type="pct"/>
            <w:vMerge/>
            <w:tcBorders>
              <w:top w:val="nil"/>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p>
        </w:tc>
        <w:tc>
          <w:tcPr>
            <w:tcW w:w="634"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2025</w:t>
            </w:r>
          </w:p>
        </w:tc>
        <w:tc>
          <w:tcPr>
            <w:tcW w:w="600"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252</w:t>
            </w:r>
          </w:p>
        </w:tc>
        <w:tc>
          <w:tcPr>
            <w:tcW w:w="1053"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98.1%</w:t>
            </w:r>
          </w:p>
        </w:tc>
        <w:tc>
          <w:tcPr>
            <w:tcW w:w="1052"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98.8%</w:t>
            </w:r>
          </w:p>
        </w:tc>
      </w:tr>
      <w:tr w:rsidR="004B6986" w:rsidRPr="004B6986" w:rsidTr="00BE4C79">
        <w:trPr>
          <w:trHeight w:val="567"/>
          <w:jc w:val="center"/>
        </w:trPr>
        <w:tc>
          <w:tcPr>
            <w:tcW w:w="1661" w:type="pct"/>
            <w:vMerge w:val="restart"/>
            <w:tcBorders>
              <w:top w:val="nil"/>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广西国际壮医医院</w:t>
            </w:r>
          </w:p>
        </w:tc>
        <w:tc>
          <w:tcPr>
            <w:tcW w:w="634"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2023</w:t>
            </w:r>
          </w:p>
        </w:tc>
        <w:tc>
          <w:tcPr>
            <w:tcW w:w="600"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113</w:t>
            </w:r>
          </w:p>
        </w:tc>
        <w:tc>
          <w:tcPr>
            <w:tcW w:w="1053"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98.5%</w:t>
            </w:r>
          </w:p>
        </w:tc>
        <w:tc>
          <w:tcPr>
            <w:tcW w:w="1052"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97.8%</w:t>
            </w:r>
          </w:p>
        </w:tc>
      </w:tr>
      <w:tr w:rsidR="004B6986" w:rsidRPr="004B6986" w:rsidTr="00BE4C79">
        <w:trPr>
          <w:trHeight w:val="567"/>
          <w:jc w:val="center"/>
        </w:trPr>
        <w:tc>
          <w:tcPr>
            <w:tcW w:w="1661" w:type="pct"/>
            <w:vMerge/>
            <w:tcBorders>
              <w:top w:val="nil"/>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p>
        </w:tc>
        <w:tc>
          <w:tcPr>
            <w:tcW w:w="634"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2024</w:t>
            </w:r>
          </w:p>
        </w:tc>
        <w:tc>
          <w:tcPr>
            <w:tcW w:w="600"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139</w:t>
            </w:r>
          </w:p>
        </w:tc>
        <w:tc>
          <w:tcPr>
            <w:tcW w:w="1053"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97.2%</w:t>
            </w:r>
          </w:p>
        </w:tc>
        <w:tc>
          <w:tcPr>
            <w:tcW w:w="1052"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98.5%</w:t>
            </w:r>
          </w:p>
        </w:tc>
      </w:tr>
      <w:tr w:rsidR="004B6986" w:rsidRPr="004B6986" w:rsidTr="00BE4C79">
        <w:trPr>
          <w:trHeight w:val="567"/>
          <w:jc w:val="center"/>
        </w:trPr>
        <w:tc>
          <w:tcPr>
            <w:tcW w:w="1661" w:type="pct"/>
            <w:vMerge/>
            <w:tcBorders>
              <w:top w:val="nil"/>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p>
        </w:tc>
        <w:tc>
          <w:tcPr>
            <w:tcW w:w="634"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2025</w:t>
            </w:r>
          </w:p>
        </w:tc>
        <w:tc>
          <w:tcPr>
            <w:tcW w:w="600"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167</w:t>
            </w:r>
          </w:p>
        </w:tc>
        <w:tc>
          <w:tcPr>
            <w:tcW w:w="1053"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98.6%</w:t>
            </w:r>
          </w:p>
        </w:tc>
        <w:tc>
          <w:tcPr>
            <w:tcW w:w="1052"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98.9%</w:t>
            </w:r>
          </w:p>
        </w:tc>
      </w:tr>
      <w:tr w:rsidR="004B6986" w:rsidRPr="004B6986" w:rsidTr="00BE4C79">
        <w:trPr>
          <w:trHeight w:val="567"/>
          <w:jc w:val="center"/>
        </w:trPr>
        <w:tc>
          <w:tcPr>
            <w:tcW w:w="1661" w:type="pct"/>
            <w:vMerge w:val="restart"/>
            <w:tcBorders>
              <w:top w:val="nil"/>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玉林市中医院</w:t>
            </w:r>
          </w:p>
        </w:tc>
        <w:tc>
          <w:tcPr>
            <w:tcW w:w="634"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2023</w:t>
            </w:r>
          </w:p>
        </w:tc>
        <w:tc>
          <w:tcPr>
            <w:tcW w:w="600"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54</w:t>
            </w:r>
          </w:p>
        </w:tc>
        <w:tc>
          <w:tcPr>
            <w:tcW w:w="1053"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96.8%</w:t>
            </w:r>
          </w:p>
        </w:tc>
        <w:tc>
          <w:tcPr>
            <w:tcW w:w="1052"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95.7%</w:t>
            </w:r>
          </w:p>
        </w:tc>
      </w:tr>
      <w:tr w:rsidR="004B6986" w:rsidRPr="004B6986" w:rsidTr="00BE4C79">
        <w:trPr>
          <w:trHeight w:val="567"/>
          <w:jc w:val="center"/>
        </w:trPr>
        <w:tc>
          <w:tcPr>
            <w:tcW w:w="1661" w:type="pct"/>
            <w:vMerge/>
            <w:tcBorders>
              <w:top w:val="nil"/>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p>
        </w:tc>
        <w:tc>
          <w:tcPr>
            <w:tcW w:w="634"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2024</w:t>
            </w:r>
          </w:p>
        </w:tc>
        <w:tc>
          <w:tcPr>
            <w:tcW w:w="600"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67</w:t>
            </w:r>
          </w:p>
        </w:tc>
        <w:tc>
          <w:tcPr>
            <w:tcW w:w="1053"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97.4%</w:t>
            </w:r>
          </w:p>
        </w:tc>
        <w:tc>
          <w:tcPr>
            <w:tcW w:w="1052"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96.6%</w:t>
            </w:r>
          </w:p>
        </w:tc>
      </w:tr>
      <w:tr w:rsidR="004B6986" w:rsidRPr="004B6986" w:rsidTr="00BE4C79">
        <w:trPr>
          <w:trHeight w:val="567"/>
          <w:jc w:val="center"/>
        </w:trPr>
        <w:tc>
          <w:tcPr>
            <w:tcW w:w="1661" w:type="pct"/>
            <w:vMerge/>
            <w:tcBorders>
              <w:top w:val="nil"/>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p>
        </w:tc>
        <w:tc>
          <w:tcPr>
            <w:tcW w:w="634"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2025</w:t>
            </w:r>
          </w:p>
        </w:tc>
        <w:tc>
          <w:tcPr>
            <w:tcW w:w="600"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71</w:t>
            </w:r>
          </w:p>
        </w:tc>
        <w:tc>
          <w:tcPr>
            <w:tcW w:w="1053"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95.5%</w:t>
            </w:r>
          </w:p>
        </w:tc>
        <w:tc>
          <w:tcPr>
            <w:tcW w:w="1052" w:type="pct"/>
            <w:tcBorders>
              <w:top w:val="single" w:sz="4" w:space="0" w:color="auto"/>
              <w:left w:val="single" w:sz="4" w:space="0" w:color="auto"/>
              <w:bottom w:val="single" w:sz="4" w:space="0" w:color="auto"/>
              <w:right w:val="single" w:sz="4" w:space="0" w:color="auto"/>
            </w:tcBorders>
            <w:vAlign w:val="center"/>
            <w:hideMark/>
          </w:tcPr>
          <w:p w:rsidR="004B6986" w:rsidRPr="004B6986" w:rsidRDefault="004B6986" w:rsidP="004B6986">
            <w:pPr>
              <w:pStyle w:val="BodyText2"/>
              <w:spacing w:after="0" w:line="240" w:lineRule="auto"/>
              <w:jc w:val="center"/>
              <w:rPr>
                <w:rFonts w:ascii="宋体" w:hAnsi="宋体"/>
                <w:bCs/>
                <w:sz w:val="21"/>
                <w:szCs w:val="21"/>
              </w:rPr>
            </w:pPr>
            <w:r w:rsidRPr="004B6986">
              <w:rPr>
                <w:rFonts w:ascii="宋体" w:hAnsi="宋体" w:hint="eastAsia"/>
                <w:bCs/>
                <w:sz w:val="21"/>
                <w:szCs w:val="21"/>
              </w:rPr>
              <w:t>96.3%</w:t>
            </w:r>
          </w:p>
        </w:tc>
      </w:tr>
    </w:tbl>
    <w:p w:rsidR="00BE4C79" w:rsidRPr="00BE4C79" w:rsidRDefault="00BE4C79" w:rsidP="00BE4C79">
      <w:pPr>
        <w:ind w:firstLineChars="200" w:firstLine="640"/>
        <w:outlineLvl w:val="1"/>
        <w:rPr>
          <w:rFonts w:ascii="仿宋_GB2312" w:eastAsia="仿宋_GB2312" w:hAnsi="宋体"/>
          <w:sz w:val="32"/>
          <w:szCs w:val="32"/>
        </w:rPr>
      </w:pPr>
      <w:r w:rsidRPr="00BE4C79">
        <w:rPr>
          <w:rFonts w:ascii="仿宋_GB2312" w:eastAsia="仿宋_GB2312" w:hAnsi="宋体" w:hint="eastAsia"/>
          <w:sz w:val="32"/>
          <w:szCs w:val="32"/>
        </w:rPr>
        <w:t>本条文所列5个治疗方案，来源于广西等地区民间用药经验及壮医药验方。</w:t>
      </w:r>
    </w:p>
    <w:p w:rsidR="00BE4C79" w:rsidRDefault="00BE4C79" w:rsidP="00BE4C79">
      <w:pPr>
        <w:ind w:firstLineChars="200" w:firstLine="640"/>
        <w:outlineLvl w:val="1"/>
        <w:rPr>
          <w:rFonts w:ascii="仿宋_GB2312" w:eastAsia="仿宋_GB2312" w:hAnsi="宋体"/>
          <w:sz w:val="32"/>
          <w:szCs w:val="32"/>
        </w:rPr>
      </w:pPr>
      <w:r w:rsidRPr="00BE4C79">
        <w:rPr>
          <w:rFonts w:ascii="仿宋_GB2312" w:eastAsia="仿宋_GB2312" w:hAnsi="宋体" w:hint="eastAsia"/>
          <w:sz w:val="32"/>
          <w:szCs w:val="32"/>
        </w:rPr>
        <w:t>取美噎、榕树寄生各30g，水煎服，每日1剂。美噎、榕树寄生</w:t>
      </w:r>
      <w:bookmarkStart w:id="11" w:name="OLE_LINK26"/>
      <w:bookmarkStart w:id="12" w:name="OLE_LINK27"/>
      <w:r w:rsidRPr="00BE4C79">
        <w:rPr>
          <w:rFonts w:ascii="仿宋_GB2312" w:eastAsia="仿宋_GB2312" w:hAnsi="宋体" w:hint="eastAsia"/>
          <w:sz w:val="32"/>
          <w:szCs w:val="32"/>
        </w:rPr>
        <w:t>属于壮药之一</w:t>
      </w:r>
      <w:r>
        <w:rPr>
          <w:rFonts w:ascii="仿宋_GB2312" w:eastAsia="仿宋_GB2312" w:hAnsi="宋体" w:hint="eastAsia"/>
          <w:sz w:val="32"/>
          <w:szCs w:val="32"/>
        </w:rPr>
        <w:t>，</w:t>
      </w:r>
      <w:bookmarkEnd w:id="11"/>
      <w:bookmarkEnd w:id="12"/>
      <w:r w:rsidRPr="00BE4C79">
        <w:rPr>
          <w:rFonts w:ascii="仿宋_GB2312" w:eastAsia="仿宋_GB2312" w:hAnsi="宋体"/>
          <w:sz w:val="32"/>
          <w:szCs w:val="32"/>
        </w:rPr>
        <w:t>美噎（壮语，即埋在地下的陈木，色黑味香者）</w:t>
      </w:r>
      <w:r>
        <w:rPr>
          <w:rFonts w:ascii="仿宋_GB2312" w:eastAsia="仿宋_GB2312" w:hAnsi="宋体" w:hint="eastAsia"/>
          <w:sz w:val="32"/>
          <w:szCs w:val="32"/>
        </w:rPr>
        <w:t>，可</w:t>
      </w:r>
      <w:r w:rsidRPr="00BE4C79">
        <w:rPr>
          <w:rFonts w:ascii="仿宋_GB2312" w:eastAsia="仿宋_GB2312" w:hAnsi="宋体"/>
          <w:sz w:val="32"/>
          <w:szCs w:val="32"/>
        </w:rPr>
        <w:t>祛逐外邪，通利水道，或补虚理气，以利水道</w:t>
      </w:r>
      <w:r>
        <w:rPr>
          <w:rFonts w:ascii="仿宋_GB2312" w:eastAsia="仿宋_GB2312" w:hAnsi="宋体" w:hint="eastAsia"/>
          <w:sz w:val="32"/>
          <w:szCs w:val="32"/>
        </w:rPr>
        <w:t>。</w:t>
      </w:r>
    </w:p>
    <w:p w:rsidR="00BE4C79" w:rsidRPr="00BE4C79" w:rsidRDefault="00BE4C79" w:rsidP="00BE4C79">
      <w:pPr>
        <w:ind w:firstLineChars="200" w:firstLine="640"/>
        <w:outlineLvl w:val="1"/>
        <w:rPr>
          <w:rFonts w:ascii="仿宋_GB2312" w:eastAsia="仿宋_GB2312" w:hAnsi="宋体"/>
          <w:sz w:val="32"/>
          <w:szCs w:val="32"/>
        </w:rPr>
      </w:pPr>
      <w:r w:rsidRPr="00BE4C79">
        <w:rPr>
          <w:rFonts w:ascii="仿宋_GB2312" w:eastAsia="仿宋_GB2312" w:hAnsi="宋体"/>
          <w:sz w:val="32"/>
          <w:szCs w:val="32"/>
        </w:rPr>
        <w:t>取</w:t>
      </w:r>
      <w:r w:rsidR="005000D9" w:rsidRPr="005000D9">
        <w:rPr>
          <w:rFonts w:ascii="仿宋_GB2312" w:eastAsia="仿宋_GB2312" w:hAnsi="宋体" w:hint="eastAsia"/>
          <w:sz w:val="32"/>
          <w:szCs w:val="32"/>
        </w:rPr>
        <w:t>荷莲豆</w:t>
      </w:r>
      <w:r w:rsidRPr="00BE4C79">
        <w:rPr>
          <w:rFonts w:ascii="仿宋_GB2312" w:eastAsia="仿宋_GB2312" w:hAnsi="宋体"/>
          <w:sz w:val="32"/>
          <w:szCs w:val="32"/>
        </w:rPr>
        <w:t>、枫叶、双钩藤、牛肉等，水煎服，每日1剂，服2剂后取黄豆壳、玉米须、粗糖等，水煎代茶饮，每日1剂</w:t>
      </w:r>
      <w:r w:rsidRPr="00BE4C79">
        <w:rPr>
          <w:rFonts w:ascii="仿宋_GB2312" w:eastAsia="仿宋_GB2312" w:hAnsi="宋体" w:hint="eastAsia"/>
          <w:sz w:val="32"/>
          <w:szCs w:val="32"/>
        </w:rPr>
        <w:t>。</w:t>
      </w:r>
      <w:r w:rsidRPr="00BE4C79">
        <w:rPr>
          <w:rFonts w:ascii="仿宋_GB2312" w:eastAsia="仿宋_GB2312" w:hAnsi="宋体"/>
          <w:sz w:val="32"/>
          <w:szCs w:val="32"/>
        </w:rPr>
        <w:t>何连豆</w:t>
      </w:r>
      <w:r w:rsidRPr="00BE4C79">
        <w:rPr>
          <w:rFonts w:ascii="仿宋_GB2312" w:eastAsia="仿宋_GB2312" w:hAnsi="宋体" w:hint="eastAsia"/>
          <w:sz w:val="32"/>
          <w:szCs w:val="32"/>
        </w:rPr>
        <w:t>属于壮药之一，</w:t>
      </w:r>
      <w:r w:rsidRPr="00BE4C79">
        <w:rPr>
          <w:rFonts w:ascii="仿宋_GB2312" w:eastAsia="仿宋_GB2312" w:hAnsi="宋体"/>
          <w:sz w:val="32"/>
          <w:szCs w:val="32"/>
        </w:rPr>
        <w:t>壮医：苦，凉。清热毒，除湿毒，消食积。用于痈疮，黄疸，水肿，疳积。</w:t>
      </w:r>
      <w:r w:rsidRPr="00BE4C79">
        <w:rPr>
          <w:rFonts w:ascii="仿宋_GB2312" w:eastAsia="仿宋_GB2312" w:hAnsi="宋体"/>
          <w:sz w:val="32"/>
          <w:szCs w:val="32"/>
        </w:rPr>
        <w:t>“</w:t>
      </w:r>
      <w:r w:rsidRPr="00BE4C79">
        <w:rPr>
          <w:rFonts w:ascii="仿宋_GB2312" w:eastAsia="仿宋_GB2312" w:hAnsi="宋体"/>
          <w:sz w:val="32"/>
          <w:szCs w:val="32"/>
        </w:rPr>
        <w:t>枫叶</w:t>
      </w:r>
      <w:r w:rsidRPr="00BE4C79">
        <w:rPr>
          <w:rFonts w:ascii="仿宋_GB2312" w:eastAsia="仿宋_GB2312" w:hAnsi="宋体"/>
          <w:sz w:val="32"/>
          <w:szCs w:val="32"/>
        </w:rPr>
        <w:t>”</w:t>
      </w:r>
      <w:r w:rsidRPr="00BE4C79">
        <w:rPr>
          <w:rFonts w:ascii="仿宋_GB2312" w:eastAsia="仿宋_GB2312" w:hAnsi="宋体"/>
          <w:sz w:val="32"/>
          <w:szCs w:val="32"/>
        </w:rPr>
        <w:t>为金缕梅科植物枫香树</w:t>
      </w:r>
      <w:r w:rsidRPr="00BE4C79">
        <w:rPr>
          <w:rFonts w:ascii="仿宋_GB2312" w:eastAsia="仿宋_GB2312" w:hAnsi="宋体"/>
          <w:sz w:val="32"/>
          <w:szCs w:val="32"/>
        </w:rPr>
        <w:lastRenderedPageBreak/>
        <w:t>（Liquidambar formosana</w:t>
      </w:r>
      <w:r w:rsidRPr="00BE4C79">
        <w:rPr>
          <w:rFonts w:ascii="仿宋_GB2312" w:eastAsia="仿宋_GB2312" w:hAnsi="宋体"/>
          <w:sz w:val="32"/>
          <w:szCs w:val="32"/>
        </w:rPr>
        <w:t> </w:t>
      </w:r>
      <w:r w:rsidRPr="00BE4C79">
        <w:rPr>
          <w:rFonts w:ascii="仿宋_GB2312" w:eastAsia="仿宋_GB2312" w:hAnsi="宋体"/>
          <w:sz w:val="32"/>
          <w:szCs w:val="32"/>
        </w:rPr>
        <w:t>Hance）的叶，具祛风除湿、行气止痛之效；</w:t>
      </w:r>
      <w:r w:rsidRPr="00BE4C79">
        <w:rPr>
          <w:rFonts w:ascii="仿宋_GB2312" w:eastAsia="仿宋_GB2312" w:hAnsi="宋体"/>
          <w:sz w:val="32"/>
          <w:szCs w:val="32"/>
        </w:rPr>
        <w:t>“</w:t>
      </w:r>
      <w:r w:rsidRPr="00BE4C79">
        <w:rPr>
          <w:rFonts w:ascii="仿宋_GB2312" w:eastAsia="仿宋_GB2312" w:hAnsi="宋体"/>
          <w:sz w:val="32"/>
          <w:szCs w:val="32"/>
        </w:rPr>
        <w:t>双钩藤</w:t>
      </w:r>
      <w:r w:rsidRPr="00BE4C79">
        <w:rPr>
          <w:rFonts w:ascii="仿宋_GB2312" w:eastAsia="仿宋_GB2312" w:hAnsi="宋体"/>
          <w:sz w:val="32"/>
          <w:szCs w:val="32"/>
        </w:rPr>
        <w:t>”</w:t>
      </w:r>
      <w:r w:rsidRPr="00BE4C79">
        <w:rPr>
          <w:rFonts w:ascii="仿宋_GB2312" w:eastAsia="仿宋_GB2312" w:hAnsi="宋体"/>
          <w:sz w:val="32"/>
          <w:szCs w:val="32"/>
        </w:rPr>
        <w:t>为茜草科钩藤属（Uncaria）植物的带钩茎枝，具清热平肝、息风定惊之效；</w:t>
      </w:r>
      <w:r w:rsidRPr="00BE4C79">
        <w:rPr>
          <w:rFonts w:ascii="仿宋_GB2312" w:eastAsia="仿宋_GB2312" w:hAnsi="宋体"/>
          <w:sz w:val="32"/>
          <w:szCs w:val="32"/>
        </w:rPr>
        <w:t>“</w:t>
      </w:r>
      <w:r w:rsidRPr="00BE4C79">
        <w:rPr>
          <w:rFonts w:ascii="仿宋_GB2312" w:eastAsia="仿宋_GB2312" w:hAnsi="宋体"/>
          <w:sz w:val="32"/>
          <w:szCs w:val="32"/>
        </w:rPr>
        <w:t>牛肉</w:t>
      </w:r>
      <w:r w:rsidRPr="00BE4C79">
        <w:rPr>
          <w:rFonts w:ascii="仿宋_GB2312" w:eastAsia="仿宋_GB2312" w:hAnsi="宋体"/>
          <w:sz w:val="32"/>
          <w:szCs w:val="32"/>
        </w:rPr>
        <w:t>”</w:t>
      </w:r>
      <w:r w:rsidRPr="00BE4C79">
        <w:rPr>
          <w:rFonts w:ascii="仿宋_GB2312" w:eastAsia="仿宋_GB2312" w:hAnsi="宋体"/>
          <w:sz w:val="32"/>
          <w:szCs w:val="32"/>
        </w:rPr>
        <w:t>为食药两用成分，在民族医药中有补虚强壮之用。后续代茶饮方中</w:t>
      </w:r>
      <w:r w:rsidRPr="00BE4C79">
        <w:rPr>
          <w:rFonts w:ascii="仿宋_GB2312" w:eastAsia="仿宋_GB2312" w:hAnsi="宋体"/>
          <w:sz w:val="32"/>
          <w:szCs w:val="32"/>
        </w:rPr>
        <w:t>“</w:t>
      </w:r>
      <w:r w:rsidRPr="00BE4C79">
        <w:rPr>
          <w:rFonts w:ascii="仿宋_GB2312" w:eastAsia="仿宋_GB2312" w:hAnsi="宋体"/>
          <w:sz w:val="32"/>
          <w:szCs w:val="32"/>
        </w:rPr>
        <w:t>黄豆壳</w:t>
      </w:r>
      <w:r w:rsidRPr="00BE4C79">
        <w:rPr>
          <w:rFonts w:ascii="仿宋_GB2312" w:eastAsia="仿宋_GB2312" w:hAnsi="宋体"/>
          <w:sz w:val="32"/>
          <w:szCs w:val="32"/>
        </w:rPr>
        <w:t>”“</w:t>
      </w:r>
      <w:r w:rsidRPr="00BE4C79">
        <w:rPr>
          <w:rFonts w:ascii="仿宋_GB2312" w:eastAsia="仿宋_GB2312" w:hAnsi="宋体"/>
          <w:sz w:val="32"/>
          <w:szCs w:val="32"/>
        </w:rPr>
        <w:t>玉米须</w:t>
      </w:r>
      <w:r w:rsidRPr="00BE4C79">
        <w:rPr>
          <w:rFonts w:ascii="仿宋_GB2312" w:eastAsia="仿宋_GB2312" w:hAnsi="宋体"/>
          <w:sz w:val="32"/>
          <w:szCs w:val="32"/>
        </w:rPr>
        <w:t>”“</w:t>
      </w:r>
      <w:r w:rsidRPr="00BE4C79">
        <w:rPr>
          <w:rFonts w:ascii="仿宋_GB2312" w:eastAsia="仿宋_GB2312" w:hAnsi="宋体"/>
          <w:sz w:val="32"/>
          <w:szCs w:val="32"/>
        </w:rPr>
        <w:t>粗糖</w:t>
      </w:r>
      <w:r w:rsidRPr="00BE4C79">
        <w:rPr>
          <w:rFonts w:ascii="仿宋_GB2312" w:eastAsia="仿宋_GB2312" w:hAnsi="宋体"/>
          <w:sz w:val="32"/>
          <w:szCs w:val="32"/>
        </w:rPr>
        <w:t>”</w:t>
      </w:r>
      <w:r w:rsidRPr="00BE4C79">
        <w:rPr>
          <w:rFonts w:ascii="仿宋_GB2312" w:eastAsia="仿宋_GB2312" w:hAnsi="宋体"/>
          <w:sz w:val="32"/>
          <w:szCs w:val="32"/>
        </w:rPr>
        <w:t>均为药食同源或食材类成分，玉米须具利尿消肿之效。</w:t>
      </w:r>
    </w:p>
    <w:p w:rsidR="00BE4C79" w:rsidRPr="00BE4C79" w:rsidRDefault="00BE4C79" w:rsidP="00BE4C79">
      <w:pPr>
        <w:ind w:firstLineChars="200" w:firstLine="640"/>
        <w:outlineLvl w:val="1"/>
        <w:rPr>
          <w:rFonts w:ascii="仿宋_GB2312" w:eastAsia="仿宋_GB2312" w:hAnsi="宋体"/>
          <w:sz w:val="32"/>
          <w:szCs w:val="32"/>
        </w:rPr>
      </w:pPr>
      <w:r w:rsidRPr="00BE4C79">
        <w:rPr>
          <w:rFonts w:ascii="仿宋_GB2312" w:eastAsia="仿宋_GB2312" w:hAnsi="宋体" w:hint="eastAsia"/>
          <w:sz w:val="32"/>
          <w:szCs w:val="32"/>
        </w:rPr>
        <w:t>取倒刺草全草60g，水煎服，每日1剂。壮医功效：清热毒、通利水道。</w:t>
      </w:r>
    </w:p>
    <w:p w:rsidR="00BE4C79" w:rsidRDefault="00BE4C79" w:rsidP="00BE4C79">
      <w:pPr>
        <w:ind w:firstLineChars="200" w:firstLine="640"/>
        <w:outlineLvl w:val="1"/>
        <w:rPr>
          <w:rFonts w:ascii="仿宋_GB2312" w:eastAsia="仿宋_GB2312" w:hAnsi="仿宋_GB2312" w:cs="仿宋_GB2312"/>
          <w:sz w:val="32"/>
          <w:szCs w:val="32"/>
        </w:rPr>
      </w:pPr>
      <w:r w:rsidRPr="00BE4C79">
        <w:rPr>
          <w:rFonts w:ascii="仿宋_GB2312" w:eastAsia="仿宋_GB2312" w:hAnsi="宋体" w:hint="eastAsia"/>
          <w:sz w:val="32"/>
          <w:szCs w:val="32"/>
        </w:rPr>
        <w:t>取萝芙木全株30g，水煎服，每日1剂</w:t>
      </w:r>
      <w:r>
        <w:rPr>
          <w:rFonts w:ascii="仿宋_GB2312" w:eastAsia="仿宋_GB2312" w:hAnsi="宋体" w:hint="eastAsia"/>
          <w:sz w:val="32"/>
          <w:szCs w:val="32"/>
        </w:rPr>
        <w:t>。</w:t>
      </w:r>
      <w:r w:rsidRPr="00BE4C79">
        <w:rPr>
          <w:rFonts w:ascii="仿宋_GB2312" w:eastAsia="仿宋_GB2312" w:hAnsi="宋体" w:hint="eastAsia"/>
          <w:sz w:val="32"/>
          <w:szCs w:val="32"/>
        </w:rPr>
        <w:t>降压常用</w:t>
      </w:r>
      <w:r>
        <w:rPr>
          <w:rFonts w:ascii="仿宋_GB2312" w:eastAsia="仿宋_GB2312" w:hAnsi="宋体" w:hint="eastAsia"/>
          <w:sz w:val="32"/>
          <w:szCs w:val="32"/>
        </w:rPr>
        <w:t>。</w:t>
      </w:r>
      <w:r w:rsidRPr="00BE4C79">
        <w:rPr>
          <w:rFonts w:ascii="仿宋_GB2312" w:eastAsia="仿宋_GB2312" w:hAnsi="宋体" w:hint="eastAsia"/>
          <w:sz w:val="32"/>
          <w:szCs w:val="32"/>
        </w:rPr>
        <w:t>壮医功效</w:t>
      </w:r>
      <w:r>
        <w:rPr>
          <w:rFonts w:ascii="仿宋_GB2312" w:eastAsia="仿宋_GB2312" w:hAnsi="宋体" w:hint="eastAsia"/>
          <w:sz w:val="32"/>
          <w:szCs w:val="32"/>
        </w:rPr>
        <w:t>：</w:t>
      </w:r>
      <w:r w:rsidRPr="00BE4C79">
        <w:rPr>
          <w:rFonts w:ascii="仿宋_GB2312" w:eastAsia="仿宋_GB2312" w:hAnsi="宋体" w:hint="eastAsia"/>
          <w:sz w:val="32"/>
          <w:szCs w:val="32"/>
        </w:rPr>
        <w:t>调巧坞，通龙路火路，清热毒，解瘴毒，凉血止血。壮医主治</w:t>
      </w:r>
      <w:r>
        <w:rPr>
          <w:rFonts w:ascii="仿宋_GB2312" w:eastAsia="仿宋_GB2312" w:hAnsi="宋体" w:hint="eastAsia"/>
          <w:sz w:val="32"/>
          <w:szCs w:val="32"/>
        </w:rPr>
        <w:t>：</w:t>
      </w:r>
      <w:r w:rsidRPr="00BE4C79">
        <w:rPr>
          <w:rFonts w:ascii="仿宋_GB2312" w:eastAsia="仿宋_GB2312" w:hAnsi="宋体" w:hint="eastAsia"/>
          <w:sz w:val="32"/>
          <w:szCs w:val="32"/>
        </w:rPr>
        <w:t>兰</w:t>
      </w:r>
      <w:r w:rsidRPr="00BE4C79">
        <w:rPr>
          <w:rFonts w:ascii="微软雅黑" w:eastAsia="微软雅黑" w:hAnsi="微软雅黑" w:cs="微软雅黑" w:hint="eastAsia"/>
          <w:sz w:val="32"/>
          <w:szCs w:val="32"/>
        </w:rPr>
        <w:t>喯</w:t>
      </w:r>
      <w:r w:rsidRPr="00BE4C79">
        <w:rPr>
          <w:rFonts w:ascii="仿宋_GB2312" w:eastAsia="仿宋_GB2312" w:hAnsi="仿宋_GB2312" w:cs="仿宋_GB2312" w:hint="eastAsia"/>
          <w:sz w:val="32"/>
          <w:szCs w:val="32"/>
        </w:rPr>
        <w:t>（眩晕），血压嗓（高血压病），贫痧（感冒），货烟妈（咽痛），呗农（痈疮），呗叮（疗疮），瘴毒（疟疾），陆裂（咳血），肉裂（尿血），林得叮相（跌打损伤），笨浮（水肿）</w:t>
      </w:r>
      <w:r w:rsidR="005000D9">
        <w:rPr>
          <w:rFonts w:ascii="仿宋_GB2312" w:eastAsia="仿宋_GB2312" w:hAnsi="仿宋_GB2312" w:cs="仿宋_GB2312" w:hint="eastAsia"/>
          <w:sz w:val="32"/>
          <w:szCs w:val="32"/>
        </w:rPr>
        <w:t>。</w:t>
      </w:r>
    </w:p>
    <w:p w:rsidR="005000D9" w:rsidRPr="005000D9" w:rsidRDefault="005000D9" w:rsidP="005000D9">
      <w:pPr>
        <w:ind w:firstLineChars="200" w:firstLine="640"/>
        <w:outlineLvl w:val="1"/>
        <w:rPr>
          <w:rFonts w:ascii="仿宋_GB2312" w:eastAsia="仿宋_GB2312" w:hAnsi="宋体"/>
          <w:sz w:val="32"/>
          <w:szCs w:val="32"/>
        </w:rPr>
      </w:pPr>
      <w:r w:rsidRPr="005000D9">
        <w:rPr>
          <w:rFonts w:ascii="仿宋_GB2312" w:eastAsia="仿宋_GB2312" w:hAnsi="宋体" w:hint="eastAsia"/>
          <w:sz w:val="32"/>
          <w:szCs w:val="32"/>
        </w:rPr>
        <w:t>荷莲豆30g，益母草30g，水煎服。荷莲豆具清热利湿、消肿利水之效，益母草为常用活血利水药，二药配伍清热利湿、活血利尿，主治方向明确</w:t>
      </w:r>
    </w:p>
    <w:p w:rsidR="004B6986" w:rsidRDefault="004B6986" w:rsidP="004B6986">
      <w:pPr>
        <w:spacing w:beforeLines="50" w:before="156" w:afterLines="50" w:after="156" w:line="560" w:lineRule="exact"/>
        <w:ind w:firstLineChars="200" w:firstLine="643"/>
        <w:outlineLvl w:val="1"/>
        <w:rPr>
          <w:rFonts w:ascii="仿宋_GB2312" w:eastAsia="仿宋_GB2312"/>
          <w:b/>
          <w:bCs/>
          <w:sz w:val="32"/>
          <w:szCs w:val="32"/>
        </w:rPr>
      </w:pPr>
      <w:r>
        <w:rPr>
          <w:rFonts w:ascii="仿宋_GB2312" w:eastAsia="仿宋_GB2312"/>
          <w:b/>
          <w:bCs/>
          <w:sz w:val="32"/>
          <w:szCs w:val="32"/>
        </w:rPr>
        <w:t>2.</w:t>
      </w:r>
      <w:r>
        <w:rPr>
          <w:rFonts w:ascii="仿宋_GB2312" w:eastAsia="仿宋_GB2312" w:hint="eastAsia"/>
          <w:b/>
          <w:bCs/>
          <w:sz w:val="32"/>
          <w:szCs w:val="32"/>
        </w:rPr>
        <w:t>外治法</w:t>
      </w:r>
    </w:p>
    <w:p w:rsidR="004B6986" w:rsidRDefault="004B6986" w:rsidP="004B6986">
      <w:pPr>
        <w:ind w:firstLineChars="200" w:firstLine="640"/>
        <w:outlineLvl w:val="1"/>
        <w:rPr>
          <w:rFonts w:ascii="仿宋_GB2312" w:eastAsia="仿宋_GB2312" w:hAnsi="宋体"/>
          <w:sz w:val="32"/>
          <w:szCs w:val="32"/>
        </w:rPr>
      </w:pPr>
      <w:r>
        <w:rPr>
          <w:rFonts w:ascii="仿宋_GB2312" w:eastAsia="仿宋_GB2312" w:hAnsi="宋体" w:hint="eastAsia"/>
          <w:sz w:val="32"/>
          <w:szCs w:val="32"/>
        </w:rPr>
        <w:t>主要是参考</w:t>
      </w:r>
      <w:r>
        <w:rPr>
          <w:rFonts w:ascii="仿宋_GB2312" w:eastAsia="仿宋_GB2312" w:hint="eastAsia"/>
          <w:sz w:val="32"/>
          <w:szCs w:val="32"/>
        </w:rPr>
        <w:t>《中国壮医学》（黄汉儒主编）、《中国外治学》（林辰，吕琳主编）、《壮医药线点灸学》（林辰主编）、《中国壮医针灸学》（黄瑾明，宋宁，黄凯主编）以及起草单位的实际工作经验来确定。</w:t>
      </w:r>
      <w:r>
        <w:rPr>
          <w:rFonts w:ascii="仿宋_GB2312" w:eastAsia="仿宋_GB2312" w:hAnsi="宋体" w:hint="eastAsia"/>
          <w:sz w:val="32"/>
          <w:szCs w:val="32"/>
        </w:rPr>
        <w:t>壮医外治法是在壮医理论指导下，应用药物或非药物方法从体外进行治疗，直接作用于人体龙路、火路在体表形成的网结，</w:t>
      </w:r>
      <w:r>
        <w:rPr>
          <w:rFonts w:ascii="仿宋_GB2312" w:eastAsia="仿宋_GB2312" w:hAnsi="宋体" w:hint="eastAsia"/>
          <w:sz w:val="32"/>
          <w:szCs w:val="32"/>
        </w:rPr>
        <w:lastRenderedPageBreak/>
        <w:t>鼓舞人体正气，疏通龙路、火路之瘀滞，驱毒外出，调整气血平衡，恢复天、地、人三气同步运行，从而达到防治疾病目的的一类治疗方法，壮医外治法种类丰富，如壮医针法、灸法、刮法、敷贴法、熏洗法等，广泛应用于临床各科。</w:t>
      </w:r>
      <w:r>
        <w:rPr>
          <w:rFonts w:eastAsia="仿宋_GB2312" w:hint="eastAsia"/>
          <w:kern w:val="0"/>
          <w:sz w:val="32"/>
          <w:szCs w:val="32"/>
        </w:rPr>
        <w:t>根据壮医基础理论，人体内存在着两条极为重要的内封闭道路，即龙路和火路。龙路火路构成网络，在人体体表密布网结，这些网结即为穴位。人体“嘘”、“勒”、精、津等营养物质在气道、谷道内化生，通过龙路火路的输布滋养脏腑骨肉。同时，龙路火路也是邪毒内侵的主要途径。壮医外治法通过药物或非药物的刺激，直接作用于龙路火路在体表的网结，疏通龙路火路之瘀滞，一方面直接祛毒外出。另一方面，调整“嘘”、“勒”、脏腑功能，恢复天地人三气的同步运行，从而达到治病目的。</w:t>
      </w:r>
      <w:r>
        <w:rPr>
          <w:rFonts w:ascii="仿宋_GB2312" w:eastAsia="仿宋_GB2312" w:hAnsi="宋体" w:hint="eastAsia"/>
          <w:sz w:val="32"/>
          <w:szCs w:val="32"/>
        </w:rPr>
        <w:t>起草单位遵循“辨病论治、辩证论治、严格掌握壮医外治疗法的适宜病证、重视运用综合疗法”的原则，结合起草单位多年经验，给出了包含壮医方药法、壮医针刺疗法、壮医药线点灸法在内的心衰病壮医外治法。</w:t>
      </w:r>
    </w:p>
    <w:p w:rsidR="004B6986" w:rsidRDefault="005000D9" w:rsidP="004B6986">
      <w:pPr>
        <w:ind w:firstLineChars="200" w:firstLine="643"/>
        <w:outlineLvl w:val="1"/>
        <w:rPr>
          <w:rFonts w:ascii="仿宋_GB2312" w:eastAsia="仿宋_GB2312" w:hAnsi="宋体"/>
          <w:sz w:val="32"/>
          <w:szCs w:val="32"/>
        </w:rPr>
      </w:pPr>
      <w:r>
        <w:rPr>
          <w:rFonts w:ascii="仿宋_GB2312" w:eastAsia="仿宋_GB2312" w:hAnsi="宋体" w:hint="eastAsia"/>
          <w:b/>
          <w:bCs/>
          <w:sz w:val="32"/>
          <w:szCs w:val="32"/>
        </w:rPr>
        <w:t>壮药</w:t>
      </w:r>
      <w:r w:rsidR="004B6986">
        <w:rPr>
          <w:rFonts w:ascii="仿宋_GB2312" w:eastAsia="仿宋_GB2312" w:hAnsi="宋体" w:hint="eastAsia"/>
          <w:b/>
          <w:bCs/>
          <w:sz w:val="32"/>
          <w:szCs w:val="32"/>
        </w:rPr>
        <w:t>竹罐疗法</w:t>
      </w:r>
      <w:r w:rsidR="004B6986">
        <w:rPr>
          <w:rFonts w:ascii="仿宋_GB2312" w:eastAsia="仿宋_GB2312" w:hAnsi="宋体" w:hint="eastAsia"/>
          <w:sz w:val="32"/>
          <w:szCs w:val="32"/>
        </w:rPr>
        <w:t>是壮医特色外治法之一，其核心在于“拔毒祛瘀、通调气道”。本方选用红杜仲、当归藤、海风藤、宽筋藤、鸡血藤、伸筋草、肿节风、两面针等壮药，具有祛风除湿、活血通络、强筋壮骨之效。通过加热煮沸使药性充分析出，竹罐在药液中浸泡后吸附于体表，借助负压与药力双重作用，可疏通“龙路”“火路”之瘀滞，促进气血运行，对于心衰患者常见的肢体浮肿、关节疼痛、气血瘀阻等症状具有良好改善作用。操作要点与注意</w:t>
      </w:r>
      <w:r w:rsidR="004B6986">
        <w:rPr>
          <w:rFonts w:ascii="仿宋_GB2312" w:eastAsia="仿宋_GB2312" w:hAnsi="宋体" w:hint="eastAsia"/>
          <w:sz w:val="32"/>
          <w:szCs w:val="32"/>
        </w:rPr>
        <w:lastRenderedPageBreak/>
        <w:t>事项按DB45/T 2790执行，以确保操作规范性与安全性。</w:t>
      </w:r>
    </w:p>
    <w:p w:rsidR="004B6986" w:rsidRDefault="004B6986" w:rsidP="004B6986">
      <w:pPr>
        <w:ind w:firstLineChars="200" w:firstLine="643"/>
        <w:outlineLvl w:val="1"/>
        <w:rPr>
          <w:rFonts w:ascii="仿宋_GB2312" w:eastAsia="仿宋_GB2312" w:hAnsi="宋体"/>
          <w:sz w:val="32"/>
          <w:szCs w:val="32"/>
        </w:rPr>
      </w:pPr>
      <w:r>
        <w:rPr>
          <w:rFonts w:ascii="仿宋_GB2312" w:eastAsia="仿宋_GB2312" w:hAnsi="宋体" w:hint="eastAsia"/>
          <w:b/>
          <w:bCs/>
          <w:sz w:val="32"/>
          <w:szCs w:val="32"/>
        </w:rPr>
        <w:t>壮医经筋疗法</w:t>
      </w:r>
      <w:r>
        <w:rPr>
          <w:rFonts w:ascii="仿宋_GB2312" w:eastAsia="仿宋_GB2312" w:hAnsi="宋体" w:hint="eastAsia"/>
          <w:sz w:val="32"/>
          <w:szCs w:val="32"/>
        </w:rPr>
        <w:t>以“以痛为腧”为取穴原则，通过“顺藤摸瓜”“顺筋摸结”的方法查找筋结病灶，直接作用于病变的筋结点。心衰病在壮医中多与“火路”瘀阻、气血运行不畅相关，筋结形成常提示局部气血瘀滞。通过手法松解筋结，可疏通经络、调和气血，缓解心衰患者因气血瘀阻所致的胸闷、气促、肢体沉重等症状。每日1次、10次为1个疗程的设置，符合慢性病调治的规律，既能保证疗效，又便于临床实施。</w:t>
      </w:r>
    </w:p>
    <w:p w:rsidR="004B6986" w:rsidRDefault="004B6986" w:rsidP="004B6986">
      <w:pPr>
        <w:ind w:firstLineChars="200" w:firstLine="643"/>
        <w:outlineLvl w:val="1"/>
        <w:rPr>
          <w:rFonts w:ascii="仿宋_GB2312" w:eastAsia="仿宋_GB2312" w:hAnsi="宋体"/>
          <w:sz w:val="32"/>
          <w:szCs w:val="32"/>
        </w:rPr>
      </w:pPr>
      <w:r>
        <w:rPr>
          <w:rFonts w:ascii="仿宋_GB2312" w:eastAsia="仿宋_GB2312" w:hAnsi="宋体" w:hint="eastAsia"/>
          <w:b/>
          <w:bCs/>
          <w:sz w:val="32"/>
          <w:szCs w:val="32"/>
        </w:rPr>
        <w:t>药浴疗法</w:t>
      </w:r>
      <w:r>
        <w:rPr>
          <w:rFonts w:ascii="仿宋_GB2312" w:eastAsia="仿宋_GB2312" w:hAnsi="宋体" w:hint="eastAsia"/>
          <w:sz w:val="32"/>
          <w:szCs w:val="32"/>
        </w:rPr>
        <w:t>是壮医“外治内病”的重要方法，利用药物的透皮吸收与温热效应，达到“开腠理、通三道”的目的。核桃树皮、桃树皮、臭菜（鱼腥草）等具有清热解毒、利水消肿、祛风除湿之效，适用于心衰水肿明显、皮肤湿冷者；排钱树具有祛风活血、利水消肿之功，适用于气血瘀滞、水肿反复者；木贼、芭蕉、竹梢、田中泡沫等组合，具有清热利湿、消肿止痛之效，适用于心衰伴下肢浮肿、小便不利者。药浴通过全身或局部作用，可辅助改善水液代谢，缓解水肿与循环障碍。</w:t>
      </w:r>
    </w:p>
    <w:p w:rsidR="004B6986" w:rsidRDefault="005000D9" w:rsidP="004B6986">
      <w:pPr>
        <w:ind w:firstLineChars="200" w:firstLine="643"/>
        <w:outlineLvl w:val="1"/>
        <w:rPr>
          <w:rFonts w:ascii="仿宋_GB2312" w:eastAsia="仿宋_GB2312" w:hAnsi="宋体"/>
          <w:sz w:val="32"/>
          <w:szCs w:val="32"/>
        </w:rPr>
      </w:pPr>
      <w:r>
        <w:rPr>
          <w:rFonts w:ascii="仿宋_GB2312" w:eastAsia="仿宋_GB2312" w:hAnsi="宋体" w:hint="eastAsia"/>
          <w:b/>
          <w:bCs/>
          <w:sz w:val="32"/>
          <w:szCs w:val="32"/>
        </w:rPr>
        <w:t>壮药</w:t>
      </w:r>
      <w:r w:rsidR="004B6986">
        <w:rPr>
          <w:rFonts w:ascii="仿宋_GB2312" w:eastAsia="仿宋_GB2312" w:hAnsi="宋体" w:hint="eastAsia"/>
          <w:b/>
          <w:bCs/>
          <w:sz w:val="32"/>
          <w:szCs w:val="32"/>
        </w:rPr>
        <w:t>贴敷疗法</w:t>
      </w:r>
      <w:r w:rsidR="004B6986">
        <w:rPr>
          <w:rFonts w:ascii="仿宋_GB2312" w:eastAsia="仿宋_GB2312" w:hAnsi="宋体" w:hint="eastAsia"/>
          <w:sz w:val="32"/>
          <w:szCs w:val="32"/>
        </w:rPr>
        <w:t>通过药物经皮吸收，直接作用于穴位或患处，发挥“内病外治”的作用。广角、马蹄金具有清热解毒、利水消肿之效，捣烂敷肚脐（神阙穴），通过“谷道”吸收，适用于心衰稳定期水肿、腹满者；田螺、车前子、大蒜熬膏贴脐，具有清热利水、通阳化气之功，针对急性心衰水湿内盛、小便不利者，可快速缓解水肿；蓖麻子、石蒜、冰片敷涌泉穴，具有引火归元、</w:t>
      </w:r>
      <w:r w:rsidR="004B6986">
        <w:rPr>
          <w:rFonts w:ascii="仿宋_GB2312" w:eastAsia="仿宋_GB2312" w:hAnsi="宋体" w:hint="eastAsia"/>
          <w:sz w:val="32"/>
          <w:szCs w:val="32"/>
        </w:rPr>
        <w:lastRenderedPageBreak/>
        <w:t>利水消肿之效，适用于心衰慢性浮肿、下肢沉重者。各方的配伍与用法均源自壮医经验，针对不同阶段的心衰水肿特点进行分型施治。</w:t>
      </w:r>
    </w:p>
    <w:p w:rsidR="004B6986" w:rsidRDefault="005000D9" w:rsidP="004B6986">
      <w:pPr>
        <w:ind w:firstLineChars="200" w:firstLine="643"/>
        <w:outlineLvl w:val="1"/>
        <w:rPr>
          <w:rFonts w:ascii="仿宋_GB2312" w:eastAsia="仿宋_GB2312" w:hAnsi="宋体"/>
          <w:sz w:val="32"/>
          <w:szCs w:val="32"/>
        </w:rPr>
      </w:pPr>
      <w:r>
        <w:rPr>
          <w:rFonts w:ascii="仿宋_GB2312" w:eastAsia="仿宋_GB2312" w:hAnsi="宋体" w:hint="eastAsia"/>
          <w:b/>
          <w:bCs/>
          <w:sz w:val="32"/>
          <w:szCs w:val="32"/>
        </w:rPr>
        <w:t>壮药</w:t>
      </w:r>
      <w:r w:rsidR="004B6986">
        <w:rPr>
          <w:rFonts w:ascii="仿宋_GB2312" w:eastAsia="仿宋_GB2312" w:hAnsi="宋体" w:hint="eastAsia"/>
          <w:b/>
          <w:bCs/>
          <w:sz w:val="32"/>
          <w:szCs w:val="32"/>
        </w:rPr>
        <w:t>药刮疗法</w:t>
      </w:r>
      <w:r w:rsidR="004B6986">
        <w:rPr>
          <w:rFonts w:ascii="仿宋_GB2312" w:eastAsia="仿宋_GB2312" w:hAnsi="宋体"/>
          <w:sz w:val="32"/>
          <w:szCs w:val="32"/>
        </w:rPr>
        <w:t>融合了壮药外洗与刮痧技术，具有</w:t>
      </w:r>
      <w:r w:rsidR="004B6986">
        <w:rPr>
          <w:rFonts w:ascii="仿宋_GB2312" w:eastAsia="仿宋_GB2312" w:hAnsi="宋体"/>
          <w:sz w:val="32"/>
          <w:szCs w:val="32"/>
        </w:rPr>
        <w:t>“</w:t>
      </w:r>
      <w:r w:rsidR="004B6986">
        <w:rPr>
          <w:rFonts w:ascii="仿宋_GB2312" w:eastAsia="仿宋_GB2312" w:hAnsi="宋体"/>
          <w:sz w:val="32"/>
          <w:szCs w:val="32"/>
        </w:rPr>
        <w:t>通络祛瘀、行气活血</w:t>
      </w:r>
      <w:r w:rsidR="004B6986">
        <w:rPr>
          <w:rFonts w:ascii="仿宋_GB2312" w:eastAsia="仿宋_GB2312" w:hAnsi="宋体"/>
          <w:sz w:val="32"/>
          <w:szCs w:val="32"/>
        </w:rPr>
        <w:t>”</w:t>
      </w:r>
      <w:r w:rsidR="004B6986">
        <w:rPr>
          <w:rFonts w:ascii="仿宋_GB2312" w:eastAsia="仿宋_GB2312" w:hAnsi="宋体"/>
          <w:sz w:val="32"/>
          <w:szCs w:val="32"/>
        </w:rPr>
        <w:t>之效。见风消、石菖蒲、生姜、四季葱等药物，具有芳香开窍、温通经络、祛风散寒之效。先胸后背、从上而下的刮拭顺序，顺应气血运行方向，可有效疏通</w:t>
      </w:r>
      <w:r w:rsidR="004B6986">
        <w:rPr>
          <w:rFonts w:ascii="仿宋_GB2312" w:eastAsia="仿宋_GB2312" w:hAnsi="宋体"/>
          <w:sz w:val="32"/>
          <w:szCs w:val="32"/>
        </w:rPr>
        <w:t>“</w:t>
      </w:r>
      <w:r w:rsidR="004B6986">
        <w:rPr>
          <w:rFonts w:ascii="仿宋_GB2312" w:eastAsia="仿宋_GB2312" w:hAnsi="宋体"/>
          <w:sz w:val="32"/>
          <w:szCs w:val="32"/>
        </w:rPr>
        <w:t>龙路</w:t>
      </w:r>
      <w:r w:rsidR="004B6986">
        <w:rPr>
          <w:rFonts w:ascii="仿宋_GB2312" w:eastAsia="仿宋_GB2312" w:hAnsi="宋体"/>
          <w:sz w:val="32"/>
          <w:szCs w:val="32"/>
        </w:rPr>
        <w:t>”“</w:t>
      </w:r>
      <w:r w:rsidR="004B6986">
        <w:rPr>
          <w:rFonts w:ascii="仿宋_GB2312" w:eastAsia="仿宋_GB2312" w:hAnsi="宋体"/>
          <w:sz w:val="32"/>
          <w:szCs w:val="32"/>
        </w:rPr>
        <w:t>火路</w:t>
      </w:r>
      <w:r w:rsidR="004B6986">
        <w:rPr>
          <w:rFonts w:ascii="仿宋_GB2312" w:eastAsia="仿宋_GB2312" w:hAnsi="宋体"/>
          <w:sz w:val="32"/>
          <w:szCs w:val="32"/>
        </w:rPr>
        <w:t>”</w:t>
      </w:r>
      <w:r w:rsidR="004B6986">
        <w:rPr>
          <w:rFonts w:ascii="仿宋_GB2312" w:eastAsia="仿宋_GB2312" w:hAnsi="宋体"/>
          <w:sz w:val="32"/>
          <w:szCs w:val="32"/>
        </w:rPr>
        <w:t>瘀阻，缓解心衰患者胸闷、气促、肢体沉重等症状。虚甚者内服人参以扶助正气，半卧位休息有助于减轻心脏负荷，体现了</w:t>
      </w:r>
      <w:r w:rsidR="004B6986">
        <w:rPr>
          <w:rFonts w:ascii="仿宋_GB2312" w:eastAsia="仿宋_GB2312" w:hAnsi="宋体"/>
          <w:sz w:val="32"/>
          <w:szCs w:val="32"/>
        </w:rPr>
        <w:t>“</w:t>
      </w:r>
      <w:r w:rsidR="004B6986">
        <w:rPr>
          <w:rFonts w:ascii="仿宋_GB2312" w:eastAsia="仿宋_GB2312" w:hAnsi="宋体"/>
          <w:sz w:val="32"/>
          <w:szCs w:val="32"/>
        </w:rPr>
        <w:t>攻补兼施</w:t>
      </w:r>
      <w:r w:rsidR="004B6986">
        <w:rPr>
          <w:rFonts w:ascii="仿宋_GB2312" w:eastAsia="仿宋_GB2312" w:hAnsi="宋体"/>
          <w:sz w:val="32"/>
          <w:szCs w:val="32"/>
        </w:rPr>
        <w:t>”</w:t>
      </w:r>
      <w:r w:rsidR="004B6986">
        <w:rPr>
          <w:rFonts w:ascii="仿宋_GB2312" w:eastAsia="仿宋_GB2312" w:hAnsi="宋体"/>
          <w:sz w:val="32"/>
          <w:szCs w:val="32"/>
        </w:rPr>
        <w:t>的治疗思路。对皮肤破溃及出血倾向者的禁忌设置，确保了疗法的安全性。</w:t>
      </w:r>
    </w:p>
    <w:p w:rsidR="004B6986" w:rsidRDefault="004B6986" w:rsidP="004B6986">
      <w:pPr>
        <w:ind w:firstLineChars="200" w:firstLine="643"/>
        <w:outlineLvl w:val="1"/>
        <w:rPr>
          <w:rFonts w:ascii="仿宋_GB2312" w:eastAsia="仿宋_GB2312" w:hAnsi="宋体"/>
          <w:sz w:val="32"/>
          <w:szCs w:val="32"/>
        </w:rPr>
      </w:pPr>
      <w:r>
        <w:rPr>
          <w:rFonts w:ascii="仿宋_GB2312" w:eastAsia="仿宋_GB2312" w:hAnsi="宋体" w:hint="eastAsia"/>
          <w:b/>
          <w:bCs/>
          <w:sz w:val="32"/>
          <w:szCs w:val="32"/>
        </w:rPr>
        <w:t>壮医针刺疗法</w:t>
      </w:r>
      <w:r>
        <w:rPr>
          <w:rFonts w:ascii="仿宋_GB2312" w:eastAsia="仿宋_GB2312" w:hAnsi="宋体"/>
          <w:sz w:val="32"/>
          <w:szCs w:val="32"/>
        </w:rPr>
        <w:t>以</w:t>
      </w:r>
      <w:r>
        <w:rPr>
          <w:rFonts w:ascii="仿宋_GB2312" w:eastAsia="仿宋_GB2312" w:hAnsi="宋体"/>
          <w:sz w:val="32"/>
          <w:szCs w:val="32"/>
        </w:rPr>
        <w:t>“</w:t>
      </w:r>
      <w:r>
        <w:rPr>
          <w:rFonts w:ascii="仿宋_GB2312" w:eastAsia="仿宋_GB2312" w:hAnsi="宋体"/>
          <w:sz w:val="32"/>
          <w:szCs w:val="32"/>
        </w:rPr>
        <w:t>三道两路</w:t>
      </w:r>
      <w:r>
        <w:rPr>
          <w:rFonts w:ascii="仿宋_GB2312" w:eastAsia="仿宋_GB2312" w:hAnsi="宋体"/>
          <w:sz w:val="32"/>
          <w:szCs w:val="32"/>
        </w:rPr>
        <w:t>”</w:t>
      </w:r>
      <w:r>
        <w:rPr>
          <w:rFonts w:ascii="仿宋_GB2312" w:eastAsia="仿宋_GB2312" w:hAnsi="宋体"/>
          <w:sz w:val="32"/>
          <w:szCs w:val="32"/>
        </w:rPr>
        <w:t>理论为指导，所选穴位天宫穴、足背中穴、足背一环8穴、足背二环7穴，均位于</w:t>
      </w:r>
      <w:r>
        <w:rPr>
          <w:rFonts w:ascii="仿宋_GB2312" w:eastAsia="仿宋_GB2312" w:hAnsi="宋体"/>
          <w:sz w:val="32"/>
          <w:szCs w:val="32"/>
        </w:rPr>
        <w:t>“</w:t>
      </w:r>
      <w:r>
        <w:rPr>
          <w:rFonts w:ascii="仿宋_GB2312" w:eastAsia="仿宋_GB2312" w:hAnsi="宋体"/>
          <w:sz w:val="32"/>
          <w:szCs w:val="32"/>
        </w:rPr>
        <w:t>火路</w:t>
      </w:r>
      <w:r>
        <w:rPr>
          <w:rFonts w:ascii="仿宋_GB2312" w:eastAsia="仿宋_GB2312" w:hAnsi="宋体"/>
          <w:sz w:val="32"/>
          <w:szCs w:val="32"/>
        </w:rPr>
        <w:t>”</w:t>
      </w:r>
      <w:r>
        <w:rPr>
          <w:rFonts w:ascii="仿宋_GB2312" w:eastAsia="仿宋_GB2312" w:hAnsi="宋体"/>
          <w:sz w:val="32"/>
          <w:szCs w:val="32"/>
        </w:rPr>
        <w:t>循行路径上，具有调气活血、通络利水之效。</w:t>
      </w:r>
      <w:r>
        <w:rPr>
          <w:rFonts w:ascii="仿宋_GB2312" w:eastAsia="仿宋_GB2312" w:hAnsi="宋体"/>
          <w:sz w:val="32"/>
          <w:szCs w:val="32"/>
        </w:rPr>
        <w:t>“</w:t>
      </w:r>
      <w:r>
        <w:rPr>
          <w:rFonts w:ascii="仿宋_GB2312" w:eastAsia="仿宋_GB2312" w:hAnsi="宋体"/>
          <w:sz w:val="32"/>
          <w:szCs w:val="32"/>
        </w:rPr>
        <w:t>8</w:t>
      </w:r>
      <w:r>
        <w:rPr>
          <w:rFonts w:ascii="仿宋_GB2312" w:eastAsia="仿宋_GB2312" w:hAnsi="宋体"/>
          <w:sz w:val="32"/>
          <w:szCs w:val="32"/>
        </w:rPr>
        <w:t>”</w:t>
      </w:r>
      <w:r>
        <w:rPr>
          <w:rFonts w:ascii="仿宋_GB2312" w:eastAsia="仿宋_GB2312" w:hAnsi="宋体"/>
          <w:sz w:val="32"/>
          <w:szCs w:val="32"/>
        </w:rPr>
        <w:t>字环针法为壮医特色针刺手法，通过特定顺序行针，可激发经气、调节气血运行。留针30分钟保证了刺激的持续性。每周2～3次、4周为1个疗程的治疗方案，既符合心衰慢性病的调治规律，又避免了过度刺激，体现了</w:t>
      </w:r>
      <w:r>
        <w:rPr>
          <w:rFonts w:ascii="仿宋_GB2312" w:eastAsia="仿宋_GB2312" w:hAnsi="宋体"/>
          <w:sz w:val="32"/>
          <w:szCs w:val="32"/>
        </w:rPr>
        <w:t>“</w:t>
      </w:r>
      <w:r>
        <w:rPr>
          <w:rFonts w:ascii="仿宋_GB2312" w:eastAsia="仿宋_GB2312" w:hAnsi="宋体"/>
          <w:sz w:val="32"/>
          <w:szCs w:val="32"/>
        </w:rPr>
        <w:t>缓则治本</w:t>
      </w:r>
      <w:r>
        <w:rPr>
          <w:rFonts w:ascii="仿宋_GB2312" w:eastAsia="仿宋_GB2312" w:hAnsi="宋体"/>
          <w:sz w:val="32"/>
          <w:szCs w:val="32"/>
        </w:rPr>
        <w:t>”</w:t>
      </w:r>
      <w:r>
        <w:rPr>
          <w:rFonts w:ascii="仿宋_GB2312" w:eastAsia="仿宋_GB2312" w:hAnsi="宋体"/>
          <w:sz w:val="32"/>
          <w:szCs w:val="32"/>
        </w:rPr>
        <w:t>的原则。</w:t>
      </w:r>
    </w:p>
    <w:p w:rsidR="004B6986" w:rsidRDefault="004B6986" w:rsidP="004B6986">
      <w:pPr>
        <w:ind w:firstLineChars="200" w:firstLine="643"/>
        <w:outlineLvl w:val="1"/>
        <w:rPr>
          <w:rFonts w:ascii="仿宋_GB2312" w:eastAsia="仿宋_GB2312" w:hAnsi="宋体"/>
          <w:sz w:val="32"/>
          <w:szCs w:val="32"/>
        </w:rPr>
      </w:pPr>
      <w:r>
        <w:rPr>
          <w:rFonts w:ascii="仿宋_GB2312" w:eastAsia="仿宋_GB2312" w:hAnsi="宋体" w:hint="eastAsia"/>
          <w:b/>
          <w:bCs/>
          <w:sz w:val="32"/>
          <w:szCs w:val="32"/>
        </w:rPr>
        <w:t>壮医药线点灸法</w:t>
      </w:r>
      <w:r>
        <w:rPr>
          <w:rFonts w:ascii="仿宋_GB2312" w:eastAsia="仿宋_GB2312" w:hAnsi="宋体"/>
          <w:sz w:val="32"/>
          <w:szCs w:val="32"/>
        </w:rPr>
        <w:t>是壮医独特的灸疗方法，通过药线燃烧的热力与药效刺激穴位，达到温通经络、调和气血、扶正祛邪之效。所选肾腧、膀胱腧、三阴交、气海、关元、阳陵泉等穴位，具有温补肾阳、化气行水、调理气血的作用，适用于心衰患者阳气不</w:t>
      </w:r>
      <w:r>
        <w:rPr>
          <w:rFonts w:ascii="仿宋_GB2312" w:eastAsia="仿宋_GB2312" w:hAnsi="宋体"/>
          <w:sz w:val="32"/>
          <w:szCs w:val="32"/>
        </w:rPr>
        <w:lastRenderedPageBreak/>
        <w:t>足、水湿内停、气血瘀阻者。每周2～3次、4周为1个疗程的治疗方案，操作简便，患者易于接受，与针刺疗法可协同使用，增强疗效</w:t>
      </w:r>
      <w:r>
        <w:rPr>
          <w:rFonts w:ascii="仿宋_GB2312" w:eastAsia="仿宋_GB2312" w:hAnsi="宋体" w:hint="eastAsia"/>
          <w:sz w:val="32"/>
          <w:szCs w:val="32"/>
        </w:rPr>
        <w:t>。</w:t>
      </w:r>
    </w:p>
    <w:p w:rsidR="004B6986" w:rsidRDefault="004B6986" w:rsidP="004B6986">
      <w:pPr>
        <w:ind w:firstLineChars="200" w:firstLine="643"/>
        <w:outlineLvl w:val="1"/>
        <w:rPr>
          <w:rFonts w:ascii="仿宋_GB2312" w:eastAsia="仿宋_GB2312" w:hAnsi="宋体"/>
          <w:b/>
          <w:bCs/>
          <w:sz w:val="32"/>
          <w:szCs w:val="32"/>
        </w:rPr>
      </w:pPr>
      <w:r>
        <w:rPr>
          <w:rFonts w:ascii="仿宋_GB2312" w:eastAsia="仿宋_GB2312" w:hAnsi="宋体" w:hint="eastAsia"/>
          <w:b/>
          <w:bCs/>
          <w:sz w:val="32"/>
          <w:szCs w:val="32"/>
        </w:rPr>
        <w:t>本标准</w:t>
      </w:r>
      <w:r>
        <w:rPr>
          <w:rFonts w:ascii="仿宋_GB2312" w:eastAsia="仿宋_GB2312" w:hAnsi="宋体"/>
          <w:b/>
          <w:bCs/>
          <w:sz w:val="32"/>
          <w:szCs w:val="32"/>
        </w:rPr>
        <w:t>系统整合了壮医竹罐、经筋、药浴、贴敷、药刮、针刺、药线点灸等七大特色疗法，针对心衰病的不同阶段、不同证候特点，形成了</w:t>
      </w:r>
      <w:r>
        <w:rPr>
          <w:rFonts w:ascii="仿宋_GB2312" w:eastAsia="仿宋_GB2312" w:hAnsi="宋体"/>
          <w:b/>
          <w:bCs/>
          <w:sz w:val="32"/>
          <w:szCs w:val="32"/>
        </w:rPr>
        <w:t>“</w:t>
      </w:r>
      <w:r>
        <w:rPr>
          <w:rFonts w:ascii="仿宋_GB2312" w:eastAsia="仿宋_GB2312" w:hAnsi="宋体"/>
          <w:b/>
          <w:bCs/>
          <w:sz w:val="32"/>
          <w:szCs w:val="32"/>
        </w:rPr>
        <w:t>外治为主、内外兼顾</w:t>
      </w:r>
      <w:r>
        <w:rPr>
          <w:rFonts w:ascii="仿宋_GB2312" w:eastAsia="仿宋_GB2312" w:hAnsi="宋体"/>
          <w:b/>
          <w:bCs/>
          <w:sz w:val="32"/>
          <w:szCs w:val="32"/>
        </w:rPr>
        <w:t>”</w:t>
      </w:r>
      <w:r>
        <w:rPr>
          <w:rFonts w:ascii="仿宋_GB2312" w:eastAsia="仿宋_GB2312" w:hAnsi="宋体"/>
          <w:b/>
          <w:bCs/>
          <w:sz w:val="32"/>
          <w:szCs w:val="32"/>
        </w:rPr>
        <w:t>的综合治疗方案。</w:t>
      </w:r>
    </w:p>
    <w:p w:rsidR="00E51CC9" w:rsidRDefault="004B6986">
      <w:pPr>
        <w:spacing w:beforeLines="50" w:before="156" w:afterLines="50" w:after="156" w:line="560" w:lineRule="exact"/>
        <w:ind w:firstLineChars="200" w:firstLine="643"/>
        <w:outlineLvl w:val="1"/>
        <w:rPr>
          <w:rFonts w:ascii="仿宋_GB2312" w:eastAsia="仿宋_GB2312"/>
          <w:b/>
          <w:bCs/>
          <w:sz w:val="32"/>
          <w:szCs w:val="32"/>
        </w:rPr>
      </w:pPr>
      <w:r>
        <w:rPr>
          <w:rFonts w:ascii="仿宋_GB2312" w:eastAsia="仿宋_GB2312" w:hint="eastAsia"/>
          <w:b/>
          <w:bCs/>
          <w:sz w:val="32"/>
          <w:szCs w:val="32"/>
        </w:rPr>
        <w:t>（三）</w:t>
      </w:r>
      <w:r w:rsidR="003276A1">
        <w:rPr>
          <w:rFonts w:ascii="仿宋_GB2312" w:eastAsia="仿宋_GB2312" w:hint="eastAsia"/>
          <w:b/>
          <w:bCs/>
          <w:sz w:val="32"/>
          <w:szCs w:val="32"/>
        </w:rPr>
        <w:t>预防</w:t>
      </w:r>
    </w:p>
    <w:p w:rsidR="00E51CC9" w:rsidRDefault="003276A1">
      <w:pPr>
        <w:ind w:firstLineChars="200" w:firstLine="640"/>
        <w:outlineLvl w:val="1"/>
        <w:rPr>
          <w:rFonts w:eastAsia="仿宋_GB2312"/>
          <w:kern w:val="0"/>
          <w:sz w:val="32"/>
          <w:szCs w:val="32"/>
        </w:rPr>
      </w:pPr>
      <w:r>
        <w:rPr>
          <w:rFonts w:ascii="仿宋_GB2312" w:eastAsia="仿宋_GB2312" w:hint="eastAsia"/>
          <w:sz w:val="32"/>
          <w:szCs w:val="32"/>
        </w:rPr>
        <w:t>本部分内容从生活调摄、饮食管理、情志调节、运动康复、特色食疗五个维度，构建了心衰病壮医防治的综合方案。其编制严格遵循了壮医基础理论，充分吸收了民族医药传统经验，并注重与现代医学关于心衰管理的原则（如限盐、避免诱因、动静结合）相衔接，体现了民族医药在慢性病综合管理中的实用性与独特性</w:t>
      </w:r>
      <w:r>
        <w:rPr>
          <w:rFonts w:eastAsia="仿宋_GB2312" w:hint="eastAsia"/>
          <w:kern w:val="0"/>
          <w:sz w:val="32"/>
          <w:szCs w:val="32"/>
        </w:rPr>
        <w:t>。</w:t>
      </w:r>
    </w:p>
    <w:p w:rsidR="00E51CC9" w:rsidRDefault="003276A1">
      <w:pPr>
        <w:ind w:firstLineChars="200" w:firstLine="640"/>
        <w:outlineLvl w:val="1"/>
        <w:rPr>
          <w:rFonts w:eastAsia="仿宋_GB2312"/>
          <w:kern w:val="0"/>
          <w:sz w:val="32"/>
          <w:szCs w:val="32"/>
        </w:rPr>
      </w:pPr>
      <w:r>
        <w:rPr>
          <w:rFonts w:eastAsia="仿宋_GB2312" w:hint="eastAsia"/>
          <w:kern w:val="0"/>
          <w:sz w:val="32"/>
          <w:szCs w:val="32"/>
        </w:rPr>
        <w:t>心衰病在壮医中多归为“心病”“水肿”范畴，病机为“气道”不畅、“火路”失调，导致“气”虚“血”瘀、“水”湿内停。感冒（外感毒邪）易诱发或加重“气道”壅塞，进一步阻碍“气”的运行；过度疲劳则耗伤“正气”（气血），使“火路”推动无力，直接诱发心衰急性发作。现代医学亦证实，感染与劳累是心衰失代偿的两大最常见诱因。所以</w:t>
      </w:r>
      <w:r>
        <w:rPr>
          <w:rFonts w:eastAsia="仿宋_GB2312"/>
          <w:kern w:val="0"/>
          <w:sz w:val="32"/>
          <w:szCs w:val="32"/>
        </w:rPr>
        <w:t>平时宜增强体质，预防感冒，不宜过度疲劳</w:t>
      </w:r>
      <w:r>
        <w:rPr>
          <w:rFonts w:eastAsia="仿宋_GB2312" w:hint="eastAsia"/>
          <w:kern w:val="0"/>
          <w:sz w:val="32"/>
          <w:szCs w:val="32"/>
        </w:rPr>
        <w:t>。</w:t>
      </w:r>
      <w:r>
        <w:rPr>
          <w:rFonts w:eastAsia="仿宋_GB2312"/>
          <w:kern w:val="0"/>
          <w:sz w:val="32"/>
          <w:szCs w:val="32"/>
        </w:rPr>
        <w:t>饮食宜低盐，肿势甚时应无盐，进食营养丰富而易消化的食物，忌食辛辣、烟酒等刺激之品</w:t>
      </w:r>
      <w:r>
        <w:rPr>
          <w:rFonts w:eastAsia="仿宋_GB2312" w:hint="eastAsia"/>
          <w:kern w:val="0"/>
          <w:sz w:val="32"/>
          <w:szCs w:val="32"/>
        </w:rPr>
        <w:t>。</w:t>
      </w:r>
    </w:p>
    <w:p w:rsidR="00E51CC9" w:rsidRDefault="003276A1">
      <w:pPr>
        <w:ind w:firstLineChars="200" w:firstLine="640"/>
        <w:outlineLvl w:val="1"/>
        <w:rPr>
          <w:rFonts w:eastAsia="仿宋_GB2312"/>
          <w:kern w:val="0"/>
          <w:sz w:val="32"/>
          <w:szCs w:val="32"/>
        </w:rPr>
      </w:pPr>
      <w:r>
        <w:rPr>
          <w:rFonts w:eastAsia="仿宋_GB2312" w:hint="eastAsia"/>
          <w:kern w:val="0"/>
          <w:sz w:val="32"/>
          <w:szCs w:val="32"/>
        </w:rPr>
        <w:t>壮医强调“药食同源”，食疗在慢性病管理中具有重要地位。</w:t>
      </w:r>
      <w:r>
        <w:rPr>
          <w:rFonts w:eastAsia="仿宋_GB2312" w:hint="eastAsia"/>
          <w:kern w:val="0"/>
          <w:sz w:val="32"/>
          <w:szCs w:val="32"/>
        </w:rPr>
        <w:lastRenderedPageBreak/>
        <w:t>所选方剂均源于民族医药经验，兼顾祛邪与扶正：</w:t>
      </w:r>
    </w:p>
    <w:p w:rsidR="00E51CC9" w:rsidRDefault="003276A1">
      <w:pPr>
        <w:pStyle w:val="af2"/>
        <w:numPr>
          <w:ilvl w:val="0"/>
          <w:numId w:val="4"/>
        </w:numPr>
        <w:ind w:firstLineChars="0"/>
        <w:outlineLvl w:val="1"/>
        <w:rPr>
          <w:rFonts w:eastAsia="仿宋_GB2312"/>
          <w:kern w:val="0"/>
          <w:sz w:val="32"/>
          <w:szCs w:val="32"/>
        </w:rPr>
      </w:pPr>
      <w:r>
        <w:rPr>
          <w:rFonts w:eastAsia="仿宋_GB2312" w:hint="eastAsia"/>
          <w:kern w:val="0"/>
          <w:sz w:val="32"/>
          <w:szCs w:val="32"/>
        </w:rPr>
        <w:t>大冬瓜、大蒜头方：冬瓜性凉，利水消肿；大蒜辛温，通阳化气。两者配伍，一利一化，针对心衰“水湿内停”之标，且取材方便，适合长期调理。</w:t>
      </w:r>
    </w:p>
    <w:p w:rsidR="00E51CC9" w:rsidRDefault="003276A1">
      <w:pPr>
        <w:pStyle w:val="af2"/>
        <w:numPr>
          <w:ilvl w:val="0"/>
          <w:numId w:val="4"/>
        </w:numPr>
        <w:ind w:firstLineChars="0"/>
        <w:outlineLvl w:val="1"/>
        <w:rPr>
          <w:rFonts w:eastAsia="仿宋_GB2312"/>
          <w:kern w:val="0"/>
          <w:sz w:val="32"/>
          <w:szCs w:val="32"/>
        </w:rPr>
      </w:pPr>
      <w:r>
        <w:rPr>
          <w:rFonts w:eastAsia="仿宋_GB2312" w:hint="eastAsia"/>
          <w:kern w:val="0"/>
          <w:sz w:val="32"/>
          <w:szCs w:val="32"/>
        </w:rPr>
        <w:t>猪胆、黄豆、矮陀陀方：</w:t>
      </w:r>
      <w:r>
        <w:rPr>
          <w:rFonts w:eastAsia="仿宋_GB2312" w:hint="eastAsia"/>
          <w:kern w:val="0"/>
          <w:sz w:val="32"/>
          <w:szCs w:val="32"/>
        </w:rPr>
        <w:t xml:space="preserve"> </w:t>
      </w:r>
      <w:r>
        <w:rPr>
          <w:rFonts w:eastAsia="仿宋_GB2312" w:hint="eastAsia"/>
          <w:kern w:val="0"/>
          <w:sz w:val="32"/>
          <w:szCs w:val="32"/>
        </w:rPr>
        <w:t>猪胆苦寒，清热解毒、利胆；黄豆健脾宽中，扶助正气；矮陀陀（民族习用草药）具有祛风除湿、活血通络之效。该方体现了壮医“以脏补脏”及“解毒祛瘀”的思路，适用于心衰伴有瘀血、湿浊内蕴者。关于黄豆“适量”未标克数，系因猪胆大小不一，以“纳满为度”是民间经验传承的灵活用法，强调实际操作的可及性，而非精确量化。</w:t>
      </w:r>
    </w:p>
    <w:p w:rsidR="00E51CC9" w:rsidRDefault="003276A1">
      <w:pPr>
        <w:pStyle w:val="af2"/>
        <w:numPr>
          <w:ilvl w:val="0"/>
          <w:numId w:val="4"/>
        </w:numPr>
        <w:ind w:firstLineChars="0"/>
        <w:outlineLvl w:val="1"/>
        <w:rPr>
          <w:rFonts w:eastAsia="仿宋_GB2312"/>
          <w:kern w:val="0"/>
          <w:sz w:val="32"/>
          <w:szCs w:val="32"/>
        </w:rPr>
      </w:pPr>
      <w:r>
        <w:rPr>
          <w:rFonts w:eastAsia="仿宋_GB2312" w:hint="eastAsia"/>
          <w:kern w:val="0"/>
          <w:sz w:val="32"/>
          <w:szCs w:val="32"/>
        </w:rPr>
        <w:t>铁海棠汁、鸡蛋方：</w:t>
      </w:r>
      <w:r>
        <w:rPr>
          <w:rFonts w:eastAsia="仿宋_GB2312" w:hint="eastAsia"/>
          <w:kern w:val="0"/>
          <w:sz w:val="32"/>
          <w:szCs w:val="32"/>
        </w:rPr>
        <w:t xml:space="preserve"> </w:t>
      </w:r>
      <w:r>
        <w:rPr>
          <w:rFonts w:eastAsia="仿宋_GB2312" w:hint="eastAsia"/>
          <w:kern w:val="0"/>
          <w:sz w:val="32"/>
          <w:szCs w:val="32"/>
        </w:rPr>
        <w:t>铁海棠（又名金刚纂，民族习用草药）具有逐水消肿、散结通络之效，但有一定毒性。采用“汁滴入蛋中煨熟”的炮制与服用方法，既取其逐水、活血之功，又通过鸡蛋的滋养缓和其峻烈之性，且经过火煨减毒。此方针对顽固性水肿、血瘀重症，体现了壮医“急则治标”“攻邪不伤正”的用药智慧</w:t>
      </w:r>
    </w:p>
    <w:p w:rsidR="00E51CC9" w:rsidRDefault="003276A1">
      <w:pPr>
        <w:spacing w:beforeLines="20" w:before="62" w:afterLines="20" w:after="62" w:line="560" w:lineRule="exact"/>
        <w:ind w:firstLineChars="200" w:firstLine="640"/>
        <w:outlineLvl w:val="0"/>
        <w:rPr>
          <w:rFonts w:ascii="黑体" w:eastAsia="黑体" w:hAnsi="黑体" w:cs="仿宋_GB2312"/>
          <w:sz w:val="32"/>
          <w:szCs w:val="32"/>
        </w:rPr>
      </w:pPr>
      <w:r>
        <w:rPr>
          <w:rFonts w:ascii="黑体" w:eastAsia="黑体" w:hAnsi="黑体" w:cs="仿宋_GB2312" w:hint="eastAsia"/>
          <w:sz w:val="32"/>
          <w:szCs w:val="32"/>
        </w:rPr>
        <w:t>六、国内外同类标准制修订情况及与法律法规、强制性标准关系</w:t>
      </w:r>
    </w:p>
    <w:p w:rsidR="00E51CC9" w:rsidRDefault="003276A1">
      <w:pPr>
        <w:autoSpaceDE w:val="0"/>
        <w:autoSpaceDN w:val="0"/>
        <w:adjustRightInd w:val="0"/>
        <w:spacing w:line="560" w:lineRule="exact"/>
        <w:ind w:firstLineChars="200" w:firstLine="640"/>
        <w:rPr>
          <w:rFonts w:ascii="仿宋_GB2312" w:eastAsia="仿宋_GB2312" w:hAnsi="宋体"/>
          <w:color w:val="000000"/>
          <w:sz w:val="32"/>
          <w:szCs w:val="32"/>
        </w:rPr>
      </w:pPr>
      <w:r>
        <w:rPr>
          <w:rFonts w:ascii="仿宋_GB2312" w:eastAsia="仿宋_GB2312" w:hAnsi="宋体" w:hint="eastAsia"/>
          <w:sz w:val="32"/>
          <w:szCs w:val="32"/>
        </w:rPr>
        <w:t>经查新，目前</w:t>
      </w:r>
      <w:r>
        <w:rPr>
          <w:rFonts w:eastAsia="仿宋_GB2312"/>
          <w:kern w:val="0"/>
          <w:sz w:val="32"/>
          <w:szCs w:val="32"/>
        </w:rPr>
        <w:t>已批准发布实施的</w:t>
      </w:r>
      <w:r>
        <w:rPr>
          <w:rFonts w:eastAsia="仿宋_GB2312" w:hint="eastAsia"/>
          <w:kern w:val="0"/>
          <w:sz w:val="32"/>
          <w:szCs w:val="32"/>
        </w:rPr>
        <w:t>标准中</w:t>
      </w:r>
      <w:r>
        <w:rPr>
          <w:rFonts w:eastAsia="仿宋_GB2312"/>
          <w:kern w:val="0"/>
          <w:sz w:val="32"/>
          <w:szCs w:val="32"/>
        </w:rPr>
        <w:t>暂无与</w:t>
      </w:r>
      <w:r>
        <w:rPr>
          <w:rFonts w:eastAsia="仿宋_GB2312" w:hint="eastAsia"/>
          <w:kern w:val="0"/>
          <w:sz w:val="32"/>
          <w:szCs w:val="32"/>
        </w:rPr>
        <w:t>““心衰病</w:t>
      </w:r>
      <w:r>
        <w:rPr>
          <w:rFonts w:eastAsia="仿宋_GB2312"/>
          <w:kern w:val="0"/>
          <w:sz w:val="32"/>
          <w:szCs w:val="32"/>
        </w:rPr>
        <w:t xml:space="preserve"> </w:t>
      </w:r>
      <w:r>
        <w:rPr>
          <w:rFonts w:eastAsia="仿宋_GB2312"/>
          <w:kern w:val="0"/>
          <w:sz w:val="32"/>
          <w:szCs w:val="32"/>
        </w:rPr>
        <w:t>防治</w:t>
      </w:r>
      <w:r>
        <w:rPr>
          <w:rFonts w:eastAsia="仿宋_GB2312"/>
          <w:kern w:val="0"/>
          <w:sz w:val="32"/>
          <w:szCs w:val="32"/>
        </w:rPr>
        <w:t>”</w:t>
      </w:r>
      <w:r>
        <w:rPr>
          <w:rFonts w:eastAsia="仿宋_GB2312"/>
          <w:kern w:val="0"/>
          <w:sz w:val="32"/>
          <w:szCs w:val="32"/>
        </w:rPr>
        <w:t>、</w:t>
      </w:r>
      <w:r>
        <w:rPr>
          <w:rFonts w:eastAsia="仿宋_GB2312"/>
          <w:kern w:val="0"/>
          <w:sz w:val="32"/>
          <w:szCs w:val="32"/>
        </w:rPr>
        <w:t>“</w:t>
      </w:r>
      <w:r>
        <w:rPr>
          <w:rFonts w:eastAsia="仿宋_GB2312"/>
          <w:kern w:val="0"/>
          <w:sz w:val="32"/>
          <w:szCs w:val="32"/>
        </w:rPr>
        <w:t>心力衰竭</w:t>
      </w:r>
      <w:r>
        <w:rPr>
          <w:rFonts w:eastAsia="仿宋_GB2312"/>
          <w:kern w:val="0"/>
          <w:sz w:val="32"/>
          <w:szCs w:val="32"/>
        </w:rPr>
        <w:t xml:space="preserve"> </w:t>
      </w:r>
      <w:r>
        <w:rPr>
          <w:rFonts w:eastAsia="仿宋_GB2312"/>
          <w:kern w:val="0"/>
          <w:sz w:val="32"/>
          <w:szCs w:val="32"/>
        </w:rPr>
        <w:t>防治</w:t>
      </w:r>
      <w:r>
        <w:rPr>
          <w:rFonts w:eastAsia="仿宋_GB2312"/>
          <w:kern w:val="0"/>
          <w:sz w:val="32"/>
          <w:szCs w:val="32"/>
        </w:rPr>
        <w:t>”</w:t>
      </w:r>
      <w:r>
        <w:rPr>
          <w:rFonts w:eastAsia="仿宋_GB2312"/>
          <w:kern w:val="0"/>
          <w:sz w:val="32"/>
          <w:szCs w:val="32"/>
        </w:rPr>
        <w:t>、</w:t>
      </w:r>
      <w:r>
        <w:rPr>
          <w:rFonts w:eastAsia="仿宋_GB2312"/>
          <w:kern w:val="0"/>
          <w:sz w:val="32"/>
          <w:szCs w:val="32"/>
        </w:rPr>
        <w:t>“</w:t>
      </w:r>
      <w:r>
        <w:rPr>
          <w:rFonts w:eastAsia="仿宋_GB2312"/>
          <w:kern w:val="0"/>
          <w:sz w:val="32"/>
          <w:szCs w:val="32"/>
        </w:rPr>
        <w:t>心衰病</w:t>
      </w:r>
      <w:r>
        <w:rPr>
          <w:rFonts w:eastAsia="仿宋_GB2312"/>
          <w:kern w:val="0"/>
          <w:sz w:val="32"/>
          <w:szCs w:val="32"/>
        </w:rPr>
        <w:t xml:space="preserve"> </w:t>
      </w:r>
      <w:r>
        <w:rPr>
          <w:rFonts w:eastAsia="仿宋_GB2312"/>
          <w:kern w:val="0"/>
          <w:sz w:val="32"/>
          <w:szCs w:val="32"/>
        </w:rPr>
        <w:t>预防</w:t>
      </w:r>
      <w:r>
        <w:rPr>
          <w:rFonts w:eastAsia="仿宋_GB2312"/>
          <w:kern w:val="0"/>
          <w:sz w:val="32"/>
          <w:szCs w:val="32"/>
        </w:rPr>
        <w:t>”</w:t>
      </w:r>
      <w:r>
        <w:rPr>
          <w:rFonts w:eastAsia="仿宋_GB2312"/>
          <w:kern w:val="0"/>
          <w:sz w:val="32"/>
          <w:szCs w:val="32"/>
        </w:rPr>
        <w:t>、</w:t>
      </w:r>
      <w:r>
        <w:rPr>
          <w:rFonts w:eastAsia="仿宋_GB2312"/>
          <w:kern w:val="0"/>
          <w:sz w:val="32"/>
          <w:szCs w:val="32"/>
        </w:rPr>
        <w:t>“</w:t>
      </w:r>
      <w:r>
        <w:rPr>
          <w:rFonts w:eastAsia="仿宋_GB2312"/>
          <w:kern w:val="0"/>
          <w:sz w:val="32"/>
          <w:szCs w:val="32"/>
        </w:rPr>
        <w:t>心力衰竭</w:t>
      </w:r>
      <w:r>
        <w:rPr>
          <w:rFonts w:eastAsia="仿宋_GB2312"/>
          <w:kern w:val="0"/>
          <w:sz w:val="32"/>
          <w:szCs w:val="32"/>
        </w:rPr>
        <w:t xml:space="preserve"> </w:t>
      </w:r>
      <w:r>
        <w:rPr>
          <w:rFonts w:eastAsia="仿宋_GB2312"/>
          <w:kern w:val="0"/>
          <w:sz w:val="32"/>
          <w:szCs w:val="32"/>
        </w:rPr>
        <w:t>预防</w:t>
      </w:r>
      <w:r>
        <w:rPr>
          <w:rFonts w:eastAsia="仿宋_GB2312"/>
          <w:kern w:val="0"/>
          <w:sz w:val="32"/>
          <w:szCs w:val="32"/>
        </w:rPr>
        <w:t>”</w:t>
      </w:r>
      <w:r>
        <w:rPr>
          <w:rFonts w:eastAsia="仿宋_GB2312"/>
          <w:kern w:val="0"/>
          <w:sz w:val="32"/>
          <w:szCs w:val="32"/>
        </w:rPr>
        <w:t>、</w:t>
      </w:r>
      <w:r>
        <w:rPr>
          <w:rFonts w:eastAsia="仿宋_GB2312"/>
          <w:kern w:val="0"/>
          <w:sz w:val="32"/>
          <w:szCs w:val="32"/>
        </w:rPr>
        <w:t>“</w:t>
      </w:r>
      <w:r>
        <w:rPr>
          <w:rFonts w:eastAsia="仿宋_GB2312"/>
          <w:kern w:val="0"/>
          <w:sz w:val="32"/>
          <w:szCs w:val="32"/>
        </w:rPr>
        <w:t>心衰病</w:t>
      </w:r>
      <w:r>
        <w:rPr>
          <w:rFonts w:eastAsia="仿宋_GB2312"/>
          <w:kern w:val="0"/>
          <w:sz w:val="32"/>
          <w:szCs w:val="32"/>
        </w:rPr>
        <w:t xml:space="preserve"> </w:t>
      </w:r>
      <w:r>
        <w:rPr>
          <w:rFonts w:eastAsia="仿宋_GB2312"/>
          <w:kern w:val="0"/>
          <w:sz w:val="32"/>
          <w:szCs w:val="32"/>
        </w:rPr>
        <w:t>壮医</w:t>
      </w:r>
      <w:r>
        <w:rPr>
          <w:rFonts w:eastAsia="仿宋_GB2312"/>
          <w:kern w:val="0"/>
          <w:sz w:val="32"/>
          <w:szCs w:val="32"/>
        </w:rPr>
        <w:t>”</w:t>
      </w:r>
      <w:r>
        <w:rPr>
          <w:rFonts w:eastAsia="仿宋_GB2312"/>
          <w:kern w:val="0"/>
          <w:sz w:val="32"/>
          <w:szCs w:val="32"/>
        </w:rPr>
        <w:t>、</w:t>
      </w:r>
      <w:r>
        <w:rPr>
          <w:rFonts w:eastAsia="仿宋_GB2312"/>
          <w:kern w:val="0"/>
          <w:sz w:val="32"/>
          <w:szCs w:val="32"/>
        </w:rPr>
        <w:t>“</w:t>
      </w:r>
      <w:r>
        <w:rPr>
          <w:rFonts w:eastAsia="仿宋_GB2312"/>
          <w:kern w:val="0"/>
          <w:sz w:val="32"/>
          <w:szCs w:val="32"/>
        </w:rPr>
        <w:t>心力衰竭</w:t>
      </w:r>
      <w:r>
        <w:rPr>
          <w:rFonts w:eastAsia="仿宋_GB2312"/>
          <w:kern w:val="0"/>
          <w:sz w:val="32"/>
          <w:szCs w:val="32"/>
        </w:rPr>
        <w:t xml:space="preserve"> </w:t>
      </w:r>
      <w:r>
        <w:rPr>
          <w:rFonts w:eastAsia="仿宋_GB2312"/>
          <w:kern w:val="0"/>
          <w:sz w:val="32"/>
          <w:szCs w:val="32"/>
        </w:rPr>
        <w:t>壮医</w:t>
      </w:r>
      <w:r>
        <w:rPr>
          <w:rFonts w:eastAsia="仿宋_GB2312"/>
          <w:kern w:val="0"/>
          <w:sz w:val="32"/>
          <w:szCs w:val="32"/>
        </w:rPr>
        <w:t>”</w:t>
      </w:r>
      <w:r>
        <w:rPr>
          <w:rFonts w:eastAsia="仿宋_GB2312"/>
          <w:kern w:val="0"/>
          <w:sz w:val="32"/>
          <w:szCs w:val="32"/>
        </w:rPr>
        <w:t>、</w:t>
      </w:r>
      <w:r>
        <w:rPr>
          <w:rFonts w:eastAsia="仿宋_GB2312"/>
          <w:kern w:val="0"/>
          <w:sz w:val="32"/>
          <w:szCs w:val="32"/>
        </w:rPr>
        <w:t>“</w:t>
      </w:r>
      <w:r>
        <w:rPr>
          <w:rFonts w:eastAsia="仿宋_GB2312"/>
          <w:kern w:val="0"/>
          <w:sz w:val="32"/>
          <w:szCs w:val="32"/>
        </w:rPr>
        <w:t>心衰病</w:t>
      </w:r>
      <w:r>
        <w:rPr>
          <w:rFonts w:eastAsia="仿宋_GB2312"/>
          <w:kern w:val="0"/>
          <w:sz w:val="32"/>
          <w:szCs w:val="32"/>
        </w:rPr>
        <w:t xml:space="preserve"> </w:t>
      </w:r>
      <w:r>
        <w:rPr>
          <w:rFonts w:eastAsia="仿宋_GB2312"/>
          <w:kern w:val="0"/>
          <w:sz w:val="32"/>
          <w:szCs w:val="32"/>
        </w:rPr>
        <w:t>中医</w:t>
      </w:r>
      <w:r>
        <w:rPr>
          <w:rFonts w:eastAsia="仿宋_GB2312"/>
          <w:kern w:val="0"/>
          <w:sz w:val="32"/>
          <w:szCs w:val="32"/>
        </w:rPr>
        <w:t>”</w:t>
      </w:r>
      <w:r>
        <w:rPr>
          <w:rFonts w:eastAsia="仿宋_GB2312"/>
          <w:kern w:val="0"/>
          <w:sz w:val="32"/>
          <w:szCs w:val="32"/>
        </w:rPr>
        <w:t>、</w:t>
      </w:r>
      <w:r>
        <w:rPr>
          <w:rFonts w:eastAsia="仿宋_GB2312"/>
          <w:kern w:val="0"/>
          <w:sz w:val="32"/>
          <w:szCs w:val="32"/>
        </w:rPr>
        <w:t>“</w:t>
      </w:r>
      <w:r>
        <w:rPr>
          <w:rFonts w:eastAsia="仿宋_GB2312"/>
          <w:kern w:val="0"/>
          <w:sz w:val="32"/>
          <w:szCs w:val="32"/>
        </w:rPr>
        <w:t>心力衰竭</w:t>
      </w:r>
      <w:r>
        <w:rPr>
          <w:rFonts w:eastAsia="仿宋_GB2312"/>
          <w:kern w:val="0"/>
          <w:sz w:val="32"/>
          <w:szCs w:val="32"/>
        </w:rPr>
        <w:t xml:space="preserve"> </w:t>
      </w:r>
      <w:r>
        <w:rPr>
          <w:rFonts w:eastAsia="仿宋_GB2312"/>
          <w:kern w:val="0"/>
          <w:sz w:val="32"/>
          <w:szCs w:val="32"/>
        </w:rPr>
        <w:t>中医</w:t>
      </w:r>
      <w:r>
        <w:rPr>
          <w:rFonts w:eastAsia="仿宋_GB2312"/>
          <w:kern w:val="0"/>
          <w:sz w:val="32"/>
          <w:szCs w:val="32"/>
        </w:rPr>
        <w:t>”</w:t>
      </w:r>
      <w:r>
        <w:rPr>
          <w:rFonts w:eastAsia="仿宋_GB2312"/>
          <w:kern w:val="0"/>
          <w:sz w:val="32"/>
          <w:szCs w:val="32"/>
        </w:rPr>
        <w:lastRenderedPageBreak/>
        <w:t>相关</w:t>
      </w:r>
      <w:r>
        <w:rPr>
          <w:rFonts w:eastAsia="仿宋_GB2312" w:hint="eastAsia"/>
          <w:kern w:val="0"/>
          <w:sz w:val="32"/>
          <w:szCs w:val="32"/>
        </w:rPr>
        <w:t>或相似</w:t>
      </w:r>
      <w:r>
        <w:rPr>
          <w:rFonts w:eastAsia="仿宋_GB2312"/>
          <w:kern w:val="0"/>
          <w:sz w:val="32"/>
          <w:szCs w:val="32"/>
        </w:rPr>
        <w:t>的国家、行业、地方标准</w:t>
      </w:r>
      <w:r>
        <w:rPr>
          <w:rFonts w:eastAsia="仿宋_GB2312" w:hint="eastAsia"/>
          <w:kern w:val="0"/>
          <w:sz w:val="32"/>
          <w:szCs w:val="32"/>
        </w:rPr>
        <w:t>。</w:t>
      </w:r>
    </w:p>
    <w:p w:rsidR="00E51CC9" w:rsidRDefault="003276A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本标准的内容与现行的法律、法规及强制性标准无冲突，标准的编写符合</w:t>
      </w:r>
      <w:r>
        <w:rPr>
          <w:rFonts w:eastAsia="仿宋_GB2312"/>
          <w:sz w:val="32"/>
          <w:szCs w:val="32"/>
        </w:rPr>
        <w:t>GB/T 1.1—2020</w:t>
      </w:r>
      <w:r>
        <w:rPr>
          <w:rFonts w:ascii="仿宋_GB2312" w:eastAsia="仿宋_GB2312" w:hAnsi="宋体" w:hint="eastAsia"/>
          <w:sz w:val="32"/>
          <w:szCs w:val="32"/>
        </w:rPr>
        <w:t>的要求。</w:t>
      </w:r>
    </w:p>
    <w:p w:rsidR="00E51CC9" w:rsidRDefault="003276A1">
      <w:pPr>
        <w:autoSpaceDE w:val="0"/>
        <w:autoSpaceDN w:val="0"/>
        <w:adjustRightInd w:val="0"/>
        <w:spacing w:beforeLines="20" w:before="62" w:afterLines="20" w:after="62"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七、重大分歧意见的处理经过和依据</w:t>
      </w:r>
    </w:p>
    <w:p w:rsidR="00E51CC9" w:rsidRDefault="003276A1">
      <w:pPr>
        <w:spacing w:beforeLines="20" w:before="62" w:afterLines="20" w:after="62"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本标准研制过程中无重大分歧意见。</w:t>
      </w:r>
    </w:p>
    <w:p w:rsidR="00E51CC9" w:rsidRDefault="003276A1">
      <w:pPr>
        <w:spacing w:beforeLines="20" w:before="62" w:afterLines="20" w:after="62" w:line="560" w:lineRule="exact"/>
        <w:ind w:firstLineChars="200" w:firstLine="640"/>
        <w:outlineLvl w:val="0"/>
        <w:rPr>
          <w:rFonts w:ascii="黑体" w:eastAsia="黑体" w:hAnsi="黑体" w:cs="仿宋_GB2312"/>
          <w:sz w:val="32"/>
          <w:szCs w:val="32"/>
        </w:rPr>
      </w:pPr>
      <w:r>
        <w:rPr>
          <w:rFonts w:ascii="黑体" w:eastAsia="黑体" w:hAnsi="黑体" w:cs="仿宋_GB2312" w:hint="eastAsia"/>
          <w:sz w:val="32"/>
          <w:szCs w:val="32"/>
        </w:rPr>
        <w:t>八、自我承诺</w:t>
      </w:r>
    </w:p>
    <w:p w:rsidR="00E51CC9" w:rsidRDefault="003276A1">
      <w:pPr>
        <w:spacing w:beforeLines="20" w:before="62" w:afterLines="20" w:after="62"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本标准内容与各项指标不低于强制性标准要求。</w:t>
      </w:r>
    </w:p>
    <w:p w:rsidR="00E51CC9" w:rsidRDefault="003276A1">
      <w:pPr>
        <w:spacing w:line="520" w:lineRule="exact"/>
        <w:ind w:firstLineChars="700" w:firstLine="2240"/>
        <w:rPr>
          <w:rFonts w:ascii="仿宋_GB2312" w:eastAsia="仿宋_GB2312" w:hAnsi="宋体"/>
          <w:sz w:val="32"/>
          <w:szCs w:val="32"/>
        </w:rPr>
      </w:pPr>
      <w:r>
        <w:rPr>
          <w:rFonts w:ascii="仿宋_GB2312" w:eastAsia="仿宋_GB2312" w:hAnsi="宋体" w:hint="eastAsia"/>
          <w:sz w:val="32"/>
          <w:szCs w:val="32"/>
        </w:rPr>
        <w:t>团体标准《</w:t>
      </w:r>
      <w:r>
        <w:rPr>
          <w:rFonts w:ascii="仿宋_GB2312" w:eastAsia="仿宋_GB2312" w:hAnsi="仿宋_GB2312" w:cs="仿宋_GB2312" w:hint="eastAsia"/>
          <w:color w:val="000000" w:themeColor="text1"/>
          <w:sz w:val="32"/>
          <w:szCs w:val="32"/>
        </w:rPr>
        <w:t>心衰病（心力衰竭）壮医防治</w:t>
      </w:r>
      <w:r>
        <w:rPr>
          <w:rFonts w:ascii="仿宋_GB2312" w:eastAsia="仿宋_GB2312" w:hAnsi="宋体" w:hint="eastAsia"/>
          <w:sz w:val="32"/>
          <w:szCs w:val="32"/>
        </w:rPr>
        <w:t>》</w:t>
      </w:r>
    </w:p>
    <w:p w:rsidR="00E51CC9" w:rsidRDefault="003276A1">
      <w:pPr>
        <w:spacing w:line="520" w:lineRule="exact"/>
        <w:ind w:firstLineChars="1200" w:firstLine="3840"/>
        <w:rPr>
          <w:rFonts w:ascii="仿宋_GB2312" w:eastAsia="仿宋_GB2312" w:hAnsi="宋体"/>
          <w:sz w:val="32"/>
          <w:szCs w:val="32"/>
        </w:rPr>
      </w:pPr>
      <w:r>
        <w:rPr>
          <w:rFonts w:ascii="仿宋_GB2312" w:eastAsia="仿宋_GB2312" w:hAnsi="宋体" w:hint="eastAsia"/>
          <w:sz w:val="32"/>
          <w:szCs w:val="32"/>
        </w:rPr>
        <w:t>标准编制工作组</w:t>
      </w:r>
    </w:p>
    <w:p w:rsidR="00E51CC9" w:rsidRDefault="003276A1">
      <w:pPr>
        <w:spacing w:line="520" w:lineRule="exact"/>
        <w:ind w:firstLineChars="200" w:firstLine="640"/>
        <w:rPr>
          <w:rFonts w:ascii="仿宋_GB2312" w:eastAsia="仿宋_GB2312" w:hAnsi="宋体"/>
          <w:sz w:val="32"/>
          <w:szCs w:val="32"/>
        </w:rPr>
      </w:pPr>
      <w:r>
        <w:rPr>
          <w:rFonts w:ascii="仿宋_GB2312" w:eastAsia="仿宋_GB2312" w:hAnsi="宋体" w:hint="eastAsia"/>
          <w:sz w:val="32"/>
          <w:szCs w:val="32"/>
        </w:rPr>
        <w:t xml:space="preserve">             </w:t>
      </w:r>
      <w:r>
        <w:rPr>
          <w:rFonts w:ascii="仿宋_GB2312" w:eastAsia="仿宋_GB2312" w:hAnsi="宋体"/>
          <w:sz w:val="32"/>
          <w:szCs w:val="32"/>
        </w:rPr>
        <w:t xml:space="preserve">      </w:t>
      </w:r>
      <w:r>
        <w:rPr>
          <w:rFonts w:ascii="仿宋_GB2312" w:eastAsia="仿宋_GB2312" w:hAnsi="宋体" w:hint="eastAsia"/>
          <w:sz w:val="32"/>
          <w:szCs w:val="32"/>
        </w:rPr>
        <w:t xml:space="preserve"> 202</w:t>
      </w:r>
      <w:r>
        <w:rPr>
          <w:rFonts w:ascii="仿宋_GB2312" w:eastAsia="仿宋_GB2312" w:hAnsi="宋体"/>
          <w:sz w:val="32"/>
          <w:szCs w:val="32"/>
        </w:rPr>
        <w:t>6</w:t>
      </w:r>
      <w:r>
        <w:rPr>
          <w:rFonts w:ascii="仿宋_GB2312" w:eastAsia="仿宋_GB2312" w:hAnsi="宋体" w:hint="eastAsia"/>
          <w:sz w:val="32"/>
          <w:szCs w:val="32"/>
        </w:rPr>
        <w:t>年</w:t>
      </w:r>
      <w:r w:rsidR="00617FC3">
        <w:rPr>
          <w:rFonts w:ascii="仿宋_GB2312" w:eastAsia="仿宋_GB2312" w:hAnsi="宋体"/>
          <w:sz w:val="32"/>
          <w:szCs w:val="32"/>
        </w:rPr>
        <w:t>5</w:t>
      </w:r>
      <w:r>
        <w:rPr>
          <w:rFonts w:ascii="仿宋_GB2312" w:eastAsia="仿宋_GB2312" w:hAnsi="宋体" w:hint="eastAsia"/>
          <w:sz w:val="32"/>
          <w:szCs w:val="32"/>
        </w:rPr>
        <w:t>月</w:t>
      </w:r>
      <w:r>
        <w:rPr>
          <w:rFonts w:ascii="仿宋_GB2312" w:eastAsia="仿宋_GB2312" w:hAnsi="宋体"/>
          <w:sz w:val="32"/>
          <w:szCs w:val="32"/>
        </w:rPr>
        <w:t>21</w:t>
      </w:r>
      <w:r>
        <w:rPr>
          <w:rFonts w:ascii="仿宋_GB2312" w:eastAsia="仿宋_GB2312" w:hAnsi="宋体" w:hint="eastAsia"/>
          <w:sz w:val="32"/>
          <w:szCs w:val="32"/>
        </w:rPr>
        <w:t>日</w:t>
      </w:r>
    </w:p>
    <w:sectPr w:rsidR="00E51CC9">
      <w:pgSz w:w="11906" w:h="16838"/>
      <w:pgMar w:top="1474" w:right="1474" w:bottom="1474" w:left="147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54F02" w:rsidRDefault="00A54F02" w:rsidP="004B6986">
      <w:r>
        <w:separator/>
      </w:r>
    </w:p>
  </w:endnote>
  <w:endnote w:type="continuationSeparator" w:id="0">
    <w:p w:rsidR="00A54F02" w:rsidRDefault="00A54F02" w:rsidP="004B69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方正小标宋简体">
    <w:altName w:val="Arial Unicode MS"/>
    <w:panose1 w:val="03000509000000000000"/>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楷体_GB2312">
    <w:altName w:val="楷体"/>
    <w:panose1 w:val="0201060903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54F02" w:rsidRDefault="00A54F02" w:rsidP="004B6986">
      <w:r>
        <w:separator/>
      </w:r>
    </w:p>
  </w:footnote>
  <w:footnote w:type="continuationSeparator" w:id="0">
    <w:p w:rsidR="00A54F02" w:rsidRDefault="00A54F02" w:rsidP="004B698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2AB0A94"/>
    <w:multiLevelType w:val="singleLevel"/>
    <w:tmpl w:val="D2AB0A94"/>
    <w:lvl w:ilvl="0">
      <w:start w:val="4"/>
      <w:numFmt w:val="chineseCounting"/>
      <w:suff w:val="nothing"/>
      <w:lvlText w:val="（%1）"/>
      <w:lvlJc w:val="left"/>
      <w:rPr>
        <w:rFonts w:hint="eastAsia"/>
      </w:rPr>
    </w:lvl>
  </w:abstractNum>
  <w:abstractNum w:abstractNumId="1"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2" w15:restartNumberingAfterBreak="0">
    <w:nsid w:val="3F45711E"/>
    <w:multiLevelType w:val="multilevel"/>
    <w:tmpl w:val="3F45711E"/>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 w15:restartNumberingAfterBreak="0">
    <w:nsid w:val="4D0BB53B"/>
    <w:multiLevelType w:val="singleLevel"/>
    <w:tmpl w:val="4D0BB53B"/>
    <w:lvl w:ilvl="0">
      <w:start w:val="5"/>
      <w:numFmt w:val="chineseCounting"/>
      <w:suff w:val="nothing"/>
      <w:lvlText w:val="%1、"/>
      <w:lvlJc w:val="left"/>
      <w:rPr>
        <w:rFonts w:hint="eastAsia"/>
      </w:r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jcwMzBhNDA5MWZkNjNjNjFjNmFkMDk0MGQ5YjMxZTYifQ=="/>
  </w:docVars>
  <w:rsids>
    <w:rsidRoot w:val="00347036"/>
    <w:rsid w:val="00000DCF"/>
    <w:rsid w:val="000012CB"/>
    <w:rsid w:val="000060AB"/>
    <w:rsid w:val="0001019A"/>
    <w:rsid w:val="00023C07"/>
    <w:rsid w:val="000515EE"/>
    <w:rsid w:val="00055E63"/>
    <w:rsid w:val="00056F6C"/>
    <w:rsid w:val="00083CC7"/>
    <w:rsid w:val="00084255"/>
    <w:rsid w:val="000A722E"/>
    <w:rsid w:val="000B5FBD"/>
    <w:rsid w:val="000C277B"/>
    <w:rsid w:val="000C5959"/>
    <w:rsid w:val="000F7C5D"/>
    <w:rsid w:val="00106A69"/>
    <w:rsid w:val="00107795"/>
    <w:rsid w:val="0011241F"/>
    <w:rsid w:val="001173FB"/>
    <w:rsid w:val="00117467"/>
    <w:rsid w:val="00121806"/>
    <w:rsid w:val="00121874"/>
    <w:rsid w:val="00121FB0"/>
    <w:rsid w:val="001246F5"/>
    <w:rsid w:val="00126287"/>
    <w:rsid w:val="0013410E"/>
    <w:rsid w:val="001376EF"/>
    <w:rsid w:val="00141C7E"/>
    <w:rsid w:val="00143953"/>
    <w:rsid w:val="00145245"/>
    <w:rsid w:val="001657BB"/>
    <w:rsid w:val="001662A6"/>
    <w:rsid w:val="001728CB"/>
    <w:rsid w:val="00174EB0"/>
    <w:rsid w:val="00190C54"/>
    <w:rsid w:val="00197095"/>
    <w:rsid w:val="00197E57"/>
    <w:rsid w:val="001A26C4"/>
    <w:rsid w:val="001C266C"/>
    <w:rsid w:val="00207AEF"/>
    <w:rsid w:val="002108D0"/>
    <w:rsid w:val="00227F1B"/>
    <w:rsid w:val="0023089C"/>
    <w:rsid w:val="00234C37"/>
    <w:rsid w:val="002563EA"/>
    <w:rsid w:val="00263E34"/>
    <w:rsid w:val="00273B40"/>
    <w:rsid w:val="002814F2"/>
    <w:rsid w:val="00296165"/>
    <w:rsid w:val="002A29D1"/>
    <w:rsid w:val="002B500C"/>
    <w:rsid w:val="002C0C17"/>
    <w:rsid w:val="002C1483"/>
    <w:rsid w:val="002C6FDF"/>
    <w:rsid w:val="002D1157"/>
    <w:rsid w:val="002F74C2"/>
    <w:rsid w:val="003034B4"/>
    <w:rsid w:val="00305AE4"/>
    <w:rsid w:val="0031104F"/>
    <w:rsid w:val="00312545"/>
    <w:rsid w:val="00320193"/>
    <w:rsid w:val="003276A1"/>
    <w:rsid w:val="003351AD"/>
    <w:rsid w:val="00336606"/>
    <w:rsid w:val="00347036"/>
    <w:rsid w:val="003614D4"/>
    <w:rsid w:val="00370B1C"/>
    <w:rsid w:val="00375C4B"/>
    <w:rsid w:val="0037669C"/>
    <w:rsid w:val="00385788"/>
    <w:rsid w:val="003A04C1"/>
    <w:rsid w:val="003A2265"/>
    <w:rsid w:val="003A5329"/>
    <w:rsid w:val="003A79A5"/>
    <w:rsid w:val="003C27A6"/>
    <w:rsid w:val="003E2C55"/>
    <w:rsid w:val="003E5E99"/>
    <w:rsid w:val="003F2884"/>
    <w:rsid w:val="003F6A05"/>
    <w:rsid w:val="003F7580"/>
    <w:rsid w:val="00406082"/>
    <w:rsid w:val="00410743"/>
    <w:rsid w:val="00411A4A"/>
    <w:rsid w:val="00426F8B"/>
    <w:rsid w:val="00427E70"/>
    <w:rsid w:val="00430F26"/>
    <w:rsid w:val="00434646"/>
    <w:rsid w:val="00473D94"/>
    <w:rsid w:val="004846AA"/>
    <w:rsid w:val="004A0477"/>
    <w:rsid w:val="004B6986"/>
    <w:rsid w:val="004C43A0"/>
    <w:rsid w:val="004F4B23"/>
    <w:rsid w:val="004F596E"/>
    <w:rsid w:val="005000D9"/>
    <w:rsid w:val="005036F4"/>
    <w:rsid w:val="00523CA7"/>
    <w:rsid w:val="0053028D"/>
    <w:rsid w:val="00531D67"/>
    <w:rsid w:val="00537385"/>
    <w:rsid w:val="005460E8"/>
    <w:rsid w:val="00550CBF"/>
    <w:rsid w:val="005527D3"/>
    <w:rsid w:val="00555B46"/>
    <w:rsid w:val="00560A50"/>
    <w:rsid w:val="005931B4"/>
    <w:rsid w:val="00593873"/>
    <w:rsid w:val="0059484E"/>
    <w:rsid w:val="005D1F34"/>
    <w:rsid w:val="005D33CA"/>
    <w:rsid w:val="005F1691"/>
    <w:rsid w:val="005F4332"/>
    <w:rsid w:val="006059A7"/>
    <w:rsid w:val="00606F2A"/>
    <w:rsid w:val="00614920"/>
    <w:rsid w:val="006176F5"/>
    <w:rsid w:val="00617812"/>
    <w:rsid w:val="00617FC3"/>
    <w:rsid w:val="00624716"/>
    <w:rsid w:val="0062496F"/>
    <w:rsid w:val="006534A8"/>
    <w:rsid w:val="00674852"/>
    <w:rsid w:val="00681257"/>
    <w:rsid w:val="00684EA0"/>
    <w:rsid w:val="006A371D"/>
    <w:rsid w:val="006B7BBE"/>
    <w:rsid w:val="006C5F47"/>
    <w:rsid w:val="006D0501"/>
    <w:rsid w:val="006D41C2"/>
    <w:rsid w:val="006E4B2D"/>
    <w:rsid w:val="006E6A78"/>
    <w:rsid w:val="006E7D14"/>
    <w:rsid w:val="006F4C60"/>
    <w:rsid w:val="00701C46"/>
    <w:rsid w:val="007029E3"/>
    <w:rsid w:val="00715F78"/>
    <w:rsid w:val="007227A8"/>
    <w:rsid w:val="00723004"/>
    <w:rsid w:val="00725BA8"/>
    <w:rsid w:val="00747A4D"/>
    <w:rsid w:val="00762425"/>
    <w:rsid w:val="00766839"/>
    <w:rsid w:val="00770B30"/>
    <w:rsid w:val="00772C40"/>
    <w:rsid w:val="00774809"/>
    <w:rsid w:val="0078074E"/>
    <w:rsid w:val="00782CDA"/>
    <w:rsid w:val="00795FA6"/>
    <w:rsid w:val="007B2C7F"/>
    <w:rsid w:val="007B578B"/>
    <w:rsid w:val="007D50DC"/>
    <w:rsid w:val="007D69EF"/>
    <w:rsid w:val="007D720F"/>
    <w:rsid w:val="007E703F"/>
    <w:rsid w:val="007F4B3A"/>
    <w:rsid w:val="007F58D2"/>
    <w:rsid w:val="007F724C"/>
    <w:rsid w:val="00802433"/>
    <w:rsid w:val="00816DE4"/>
    <w:rsid w:val="008175F5"/>
    <w:rsid w:val="00824292"/>
    <w:rsid w:val="008254F3"/>
    <w:rsid w:val="00833A3A"/>
    <w:rsid w:val="0084783E"/>
    <w:rsid w:val="00854F93"/>
    <w:rsid w:val="00876A9E"/>
    <w:rsid w:val="00877458"/>
    <w:rsid w:val="00895A3E"/>
    <w:rsid w:val="008A4CAA"/>
    <w:rsid w:val="008B5931"/>
    <w:rsid w:val="008D6405"/>
    <w:rsid w:val="008F12AF"/>
    <w:rsid w:val="00900ACC"/>
    <w:rsid w:val="009418D6"/>
    <w:rsid w:val="00957730"/>
    <w:rsid w:val="0096125E"/>
    <w:rsid w:val="00971DEF"/>
    <w:rsid w:val="00993989"/>
    <w:rsid w:val="009A3D6F"/>
    <w:rsid w:val="009A5BE5"/>
    <w:rsid w:val="009B6036"/>
    <w:rsid w:val="009C5116"/>
    <w:rsid w:val="009C71AD"/>
    <w:rsid w:val="009C746D"/>
    <w:rsid w:val="009D7D9B"/>
    <w:rsid w:val="009E392E"/>
    <w:rsid w:val="009F23BA"/>
    <w:rsid w:val="009F6DDC"/>
    <w:rsid w:val="00A02849"/>
    <w:rsid w:val="00A036A8"/>
    <w:rsid w:val="00A03C65"/>
    <w:rsid w:val="00A0683E"/>
    <w:rsid w:val="00A1115F"/>
    <w:rsid w:val="00A1476A"/>
    <w:rsid w:val="00A27F27"/>
    <w:rsid w:val="00A30253"/>
    <w:rsid w:val="00A31445"/>
    <w:rsid w:val="00A429FD"/>
    <w:rsid w:val="00A44A0F"/>
    <w:rsid w:val="00A44F63"/>
    <w:rsid w:val="00A53EB5"/>
    <w:rsid w:val="00A54F02"/>
    <w:rsid w:val="00A62B1E"/>
    <w:rsid w:val="00A77D2A"/>
    <w:rsid w:val="00A817FF"/>
    <w:rsid w:val="00A8475F"/>
    <w:rsid w:val="00A9332D"/>
    <w:rsid w:val="00A93C25"/>
    <w:rsid w:val="00A96C7A"/>
    <w:rsid w:val="00AA170A"/>
    <w:rsid w:val="00AA1EF8"/>
    <w:rsid w:val="00AB2151"/>
    <w:rsid w:val="00AB287E"/>
    <w:rsid w:val="00AB3029"/>
    <w:rsid w:val="00AB6035"/>
    <w:rsid w:val="00AD0B40"/>
    <w:rsid w:val="00AD675D"/>
    <w:rsid w:val="00AE72D0"/>
    <w:rsid w:val="00AF3E57"/>
    <w:rsid w:val="00B145CB"/>
    <w:rsid w:val="00B14A53"/>
    <w:rsid w:val="00B26825"/>
    <w:rsid w:val="00B37EE1"/>
    <w:rsid w:val="00B4464D"/>
    <w:rsid w:val="00B52A2D"/>
    <w:rsid w:val="00B667D7"/>
    <w:rsid w:val="00B67428"/>
    <w:rsid w:val="00B763BA"/>
    <w:rsid w:val="00B83F37"/>
    <w:rsid w:val="00B86CA4"/>
    <w:rsid w:val="00BA6FB1"/>
    <w:rsid w:val="00BC18D2"/>
    <w:rsid w:val="00BC5BFF"/>
    <w:rsid w:val="00BD457A"/>
    <w:rsid w:val="00BD4937"/>
    <w:rsid w:val="00BD66F4"/>
    <w:rsid w:val="00BE4C79"/>
    <w:rsid w:val="00BF5ADF"/>
    <w:rsid w:val="00C0696C"/>
    <w:rsid w:val="00C07A64"/>
    <w:rsid w:val="00C07B94"/>
    <w:rsid w:val="00C1003B"/>
    <w:rsid w:val="00C14495"/>
    <w:rsid w:val="00C24A27"/>
    <w:rsid w:val="00C24D5F"/>
    <w:rsid w:val="00C51AF1"/>
    <w:rsid w:val="00C5311D"/>
    <w:rsid w:val="00C8604B"/>
    <w:rsid w:val="00CC0E18"/>
    <w:rsid w:val="00CD1BD1"/>
    <w:rsid w:val="00CD43A6"/>
    <w:rsid w:val="00D15561"/>
    <w:rsid w:val="00D16010"/>
    <w:rsid w:val="00D17BC6"/>
    <w:rsid w:val="00D361B7"/>
    <w:rsid w:val="00D62A63"/>
    <w:rsid w:val="00D63042"/>
    <w:rsid w:val="00D64702"/>
    <w:rsid w:val="00D672D4"/>
    <w:rsid w:val="00D779BF"/>
    <w:rsid w:val="00D83CCB"/>
    <w:rsid w:val="00D851DD"/>
    <w:rsid w:val="00D87ACC"/>
    <w:rsid w:val="00DA107C"/>
    <w:rsid w:val="00DA5E17"/>
    <w:rsid w:val="00DB7B7B"/>
    <w:rsid w:val="00DE5589"/>
    <w:rsid w:val="00DE61F1"/>
    <w:rsid w:val="00DF1378"/>
    <w:rsid w:val="00E14A79"/>
    <w:rsid w:val="00E20964"/>
    <w:rsid w:val="00E431D0"/>
    <w:rsid w:val="00E46053"/>
    <w:rsid w:val="00E51CC9"/>
    <w:rsid w:val="00E53886"/>
    <w:rsid w:val="00E67B86"/>
    <w:rsid w:val="00E76A28"/>
    <w:rsid w:val="00E86360"/>
    <w:rsid w:val="00E868FE"/>
    <w:rsid w:val="00E91B20"/>
    <w:rsid w:val="00EA61CD"/>
    <w:rsid w:val="00EA6654"/>
    <w:rsid w:val="00EB0C09"/>
    <w:rsid w:val="00EB0DEF"/>
    <w:rsid w:val="00EB481E"/>
    <w:rsid w:val="00EC1F73"/>
    <w:rsid w:val="00EC36D7"/>
    <w:rsid w:val="00EC49EC"/>
    <w:rsid w:val="00EC74FF"/>
    <w:rsid w:val="00EC7D74"/>
    <w:rsid w:val="00EE6F29"/>
    <w:rsid w:val="00EF4F57"/>
    <w:rsid w:val="00EF7973"/>
    <w:rsid w:val="00F045C6"/>
    <w:rsid w:val="00F07CEA"/>
    <w:rsid w:val="00F1349F"/>
    <w:rsid w:val="00F23FBD"/>
    <w:rsid w:val="00F321C6"/>
    <w:rsid w:val="00F4686C"/>
    <w:rsid w:val="00F602C4"/>
    <w:rsid w:val="00F70DFA"/>
    <w:rsid w:val="00FB0960"/>
    <w:rsid w:val="00FC240D"/>
    <w:rsid w:val="00FC5E97"/>
    <w:rsid w:val="00FD04A6"/>
    <w:rsid w:val="00FD0FB7"/>
    <w:rsid w:val="00FD7023"/>
    <w:rsid w:val="00FE3180"/>
    <w:rsid w:val="00FE3EAA"/>
    <w:rsid w:val="00FE4B98"/>
    <w:rsid w:val="00FE779C"/>
    <w:rsid w:val="00FF2496"/>
    <w:rsid w:val="0D295052"/>
    <w:rsid w:val="0EC1062A"/>
    <w:rsid w:val="30231666"/>
    <w:rsid w:val="5F596448"/>
    <w:rsid w:val="78636F1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536716"/>
  <w15:docId w15:val="{72534AD9-8524-43D5-905A-D72A88D24C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BodyText2"/>
    <w:qFormat/>
    <w:pPr>
      <w:widowControl w:val="0"/>
      <w:jc w:val="both"/>
    </w:pPr>
    <w:rPr>
      <w:rFonts w:ascii="Times New Roman" w:eastAsia="宋体" w:hAnsi="Times New Roman" w:cs="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odyText2">
    <w:name w:val="BodyText2"/>
    <w:qFormat/>
    <w:pPr>
      <w:widowControl w:val="0"/>
      <w:spacing w:after="120" w:line="480" w:lineRule="auto"/>
      <w:jc w:val="both"/>
      <w:textAlignment w:val="baseline"/>
    </w:pPr>
    <w:rPr>
      <w:rFonts w:ascii="Calibri" w:eastAsia="宋体" w:hAnsi="Calibri" w:cs="Times New Roman"/>
      <w:kern w:val="2"/>
      <w:sz w:val="32"/>
      <w:szCs w:val="32"/>
    </w:rPr>
  </w:style>
  <w:style w:type="paragraph" w:styleId="a3">
    <w:name w:val="annotation text"/>
    <w:basedOn w:val="a"/>
    <w:link w:val="a4"/>
    <w:uiPriority w:val="99"/>
    <w:semiHidden/>
    <w:unhideWhenUsed/>
    <w:qFormat/>
    <w:pPr>
      <w:jc w:val="left"/>
    </w:pPr>
  </w:style>
  <w:style w:type="paragraph" w:styleId="a5">
    <w:name w:val="Balloon Text"/>
    <w:basedOn w:val="a"/>
    <w:link w:val="a6"/>
    <w:uiPriority w:val="99"/>
    <w:semiHidden/>
    <w:unhideWhenUsed/>
    <w:qFormat/>
    <w:rPr>
      <w:sz w:val="18"/>
      <w:szCs w:val="18"/>
    </w:rPr>
  </w:style>
  <w:style w:type="paragraph" w:styleId="a7">
    <w:name w:val="footer"/>
    <w:basedOn w:val="a"/>
    <w:link w:val="a8"/>
    <w:uiPriority w:val="99"/>
    <w:unhideWhenUsed/>
    <w:qFormat/>
    <w:pPr>
      <w:tabs>
        <w:tab w:val="center" w:pos="4153"/>
        <w:tab w:val="right" w:pos="8306"/>
      </w:tabs>
      <w:snapToGrid w:val="0"/>
      <w:jc w:val="left"/>
    </w:pPr>
    <w:rPr>
      <w:sz w:val="18"/>
      <w:szCs w:val="18"/>
    </w:rPr>
  </w:style>
  <w:style w:type="paragraph" w:styleId="a9">
    <w:name w:val="header"/>
    <w:basedOn w:val="a"/>
    <w:link w:val="aa"/>
    <w:uiPriority w:val="99"/>
    <w:unhideWhenUsed/>
    <w:qFormat/>
    <w:pPr>
      <w:pBdr>
        <w:bottom w:val="single" w:sz="6" w:space="1" w:color="auto"/>
      </w:pBdr>
      <w:tabs>
        <w:tab w:val="center" w:pos="4153"/>
        <w:tab w:val="right" w:pos="8306"/>
      </w:tabs>
      <w:snapToGrid w:val="0"/>
      <w:jc w:val="center"/>
    </w:pPr>
    <w:rPr>
      <w:sz w:val="18"/>
      <w:szCs w:val="18"/>
    </w:rPr>
  </w:style>
  <w:style w:type="paragraph" w:styleId="ab">
    <w:name w:val="footnote text"/>
    <w:basedOn w:val="a"/>
    <w:link w:val="ac"/>
    <w:uiPriority w:val="99"/>
    <w:semiHidden/>
    <w:unhideWhenUsed/>
    <w:qFormat/>
    <w:pPr>
      <w:snapToGrid w:val="0"/>
      <w:jc w:val="left"/>
    </w:pPr>
    <w:rPr>
      <w:sz w:val="18"/>
      <w:szCs w:val="18"/>
    </w:rPr>
  </w:style>
  <w:style w:type="paragraph" w:styleId="ad">
    <w:name w:val="annotation subject"/>
    <w:basedOn w:val="a3"/>
    <w:next w:val="a3"/>
    <w:link w:val="ae"/>
    <w:uiPriority w:val="99"/>
    <w:semiHidden/>
    <w:unhideWhenUsed/>
    <w:qFormat/>
    <w:rPr>
      <w:b/>
      <w:bCs/>
    </w:rPr>
  </w:style>
  <w:style w:type="table" w:styleId="af">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annotation reference"/>
    <w:basedOn w:val="a0"/>
    <w:uiPriority w:val="99"/>
    <w:semiHidden/>
    <w:unhideWhenUsed/>
    <w:qFormat/>
    <w:rPr>
      <w:sz w:val="21"/>
      <w:szCs w:val="21"/>
    </w:rPr>
  </w:style>
  <w:style w:type="character" w:styleId="af1">
    <w:name w:val="footnote reference"/>
    <w:basedOn w:val="a0"/>
    <w:uiPriority w:val="99"/>
    <w:semiHidden/>
    <w:unhideWhenUsed/>
    <w:qFormat/>
    <w:rPr>
      <w:vertAlign w:val="superscript"/>
    </w:rPr>
  </w:style>
  <w:style w:type="character" w:customStyle="1" w:styleId="aa">
    <w:name w:val="页眉 字符"/>
    <w:basedOn w:val="a0"/>
    <w:link w:val="a9"/>
    <w:uiPriority w:val="99"/>
    <w:qFormat/>
    <w:rPr>
      <w:sz w:val="18"/>
      <w:szCs w:val="18"/>
    </w:rPr>
  </w:style>
  <w:style w:type="character" w:customStyle="1" w:styleId="a8">
    <w:name w:val="页脚 字符"/>
    <w:basedOn w:val="a0"/>
    <w:link w:val="a7"/>
    <w:uiPriority w:val="99"/>
    <w:qFormat/>
    <w:rPr>
      <w:sz w:val="18"/>
      <w:szCs w:val="18"/>
    </w:rPr>
  </w:style>
  <w:style w:type="paragraph" w:styleId="af2">
    <w:name w:val="List Paragraph"/>
    <w:basedOn w:val="a"/>
    <w:uiPriority w:val="34"/>
    <w:qFormat/>
    <w:pPr>
      <w:ind w:firstLineChars="200" w:firstLine="420"/>
    </w:pPr>
  </w:style>
  <w:style w:type="character" w:customStyle="1" w:styleId="a6">
    <w:name w:val="批注框文本 字符"/>
    <w:basedOn w:val="a0"/>
    <w:link w:val="a5"/>
    <w:uiPriority w:val="99"/>
    <w:semiHidden/>
    <w:qFormat/>
    <w:rPr>
      <w:rFonts w:ascii="Times New Roman" w:eastAsia="宋体" w:hAnsi="Times New Roman" w:cs="Times New Roman"/>
      <w:sz w:val="18"/>
      <w:szCs w:val="18"/>
    </w:rPr>
  </w:style>
  <w:style w:type="character" w:customStyle="1" w:styleId="a4">
    <w:name w:val="批注文字 字符"/>
    <w:basedOn w:val="a0"/>
    <w:link w:val="a3"/>
    <w:uiPriority w:val="99"/>
    <w:semiHidden/>
    <w:qFormat/>
    <w:rPr>
      <w:rFonts w:ascii="Times New Roman" w:eastAsia="宋体" w:hAnsi="Times New Roman" w:cs="Times New Roman"/>
      <w:szCs w:val="24"/>
    </w:rPr>
  </w:style>
  <w:style w:type="character" w:customStyle="1" w:styleId="ae">
    <w:name w:val="批注主题 字符"/>
    <w:basedOn w:val="a4"/>
    <w:link w:val="ad"/>
    <w:uiPriority w:val="99"/>
    <w:semiHidden/>
    <w:qFormat/>
    <w:rPr>
      <w:rFonts w:ascii="Times New Roman" w:eastAsia="宋体" w:hAnsi="Times New Roman" w:cs="Times New Roman"/>
      <w:b/>
      <w:bCs/>
      <w:szCs w:val="24"/>
    </w:rPr>
  </w:style>
  <w:style w:type="character" w:customStyle="1" w:styleId="ac">
    <w:name w:val="脚注文本 字符"/>
    <w:basedOn w:val="a0"/>
    <w:link w:val="ab"/>
    <w:uiPriority w:val="99"/>
    <w:semiHidden/>
    <w:qFormat/>
    <w:rPr>
      <w:rFonts w:ascii="Times New Roman" w:eastAsia="宋体" w:hAnsi="Times New Roman" w:cs="Times New Roman"/>
      <w:kern w:val="2"/>
      <w:sz w:val="18"/>
      <w:szCs w:val="18"/>
    </w:rPr>
  </w:style>
  <w:style w:type="paragraph" w:customStyle="1" w:styleId="TableText">
    <w:name w:val="Table Text"/>
    <w:semiHidden/>
    <w:qFormat/>
    <w:pPr>
      <w:kinsoku w:val="0"/>
      <w:autoSpaceDE w:val="0"/>
      <w:autoSpaceDN w:val="0"/>
      <w:adjustRightInd w:val="0"/>
      <w:snapToGrid w:val="0"/>
      <w:textAlignment w:val="baseline"/>
    </w:pPr>
    <w:rPr>
      <w:rFonts w:ascii="宋体" w:eastAsia="宋体" w:hAnsi="宋体" w:cs="宋体"/>
      <w:snapToGrid w:val="0"/>
      <w:color w:val="000000"/>
      <w:sz w:val="25"/>
      <w:szCs w:val="25"/>
      <w:lang w:eastAsia="en-US"/>
    </w:rPr>
  </w:style>
  <w:style w:type="table" w:customStyle="1" w:styleId="TableNormal">
    <w:name w:val="Table Normal"/>
    <w:unhideWhenUsed/>
    <w:qFormat/>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1533007">
      <w:bodyDiv w:val="1"/>
      <w:marLeft w:val="0"/>
      <w:marRight w:val="0"/>
      <w:marTop w:val="0"/>
      <w:marBottom w:val="0"/>
      <w:divBdr>
        <w:top w:val="none" w:sz="0" w:space="0" w:color="auto"/>
        <w:left w:val="none" w:sz="0" w:space="0" w:color="auto"/>
        <w:bottom w:val="none" w:sz="0" w:space="0" w:color="auto"/>
        <w:right w:val="none" w:sz="0" w:space="0" w:color="auto"/>
      </w:divBdr>
      <w:divsChild>
        <w:div w:id="1601527574">
          <w:marLeft w:val="0"/>
          <w:marRight w:val="0"/>
          <w:marTop w:val="0"/>
          <w:marBottom w:val="0"/>
          <w:divBdr>
            <w:top w:val="none" w:sz="0" w:space="0" w:color="auto"/>
            <w:left w:val="none" w:sz="0" w:space="0" w:color="auto"/>
            <w:bottom w:val="none" w:sz="0" w:space="0" w:color="auto"/>
            <w:right w:val="none" w:sz="0" w:space="0" w:color="auto"/>
          </w:divBdr>
        </w:div>
      </w:divsChild>
    </w:div>
    <w:div w:id="242682666">
      <w:bodyDiv w:val="1"/>
      <w:marLeft w:val="0"/>
      <w:marRight w:val="0"/>
      <w:marTop w:val="0"/>
      <w:marBottom w:val="0"/>
      <w:divBdr>
        <w:top w:val="none" w:sz="0" w:space="0" w:color="auto"/>
        <w:left w:val="none" w:sz="0" w:space="0" w:color="auto"/>
        <w:bottom w:val="none" w:sz="0" w:space="0" w:color="auto"/>
        <w:right w:val="none" w:sz="0" w:space="0" w:color="auto"/>
      </w:divBdr>
    </w:div>
    <w:div w:id="407531964">
      <w:bodyDiv w:val="1"/>
      <w:marLeft w:val="0"/>
      <w:marRight w:val="0"/>
      <w:marTop w:val="0"/>
      <w:marBottom w:val="0"/>
      <w:divBdr>
        <w:top w:val="none" w:sz="0" w:space="0" w:color="auto"/>
        <w:left w:val="none" w:sz="0" w:space="0" w:color="auto"/>
        <w:bottom w:val="none" w:sz="0" w:space="0" w:color="auto"/>
        <w:right w:val="none" w:sz="0" w:space="0" w:color="auto"/>
      </w:divBdr>
    </w:div>
    <w:div w:id="1213350290">
      <w:bodyDiv w:val="1"/>
      <w:marLeft w:val="0"/>
      <w:marRight w:val="0"/>
      <w:marTop w:val="0"/>
      <w:marBottom w:val="0"/>
      <w:divBdr>
        <w:top w:val="none" w:sz="0" w:space="0" w:color="auto"/>
        <w:left w:val="none" w:sz="0" w:space="0" w:color="auto"/>
        <w:bottom w:val="none" w:sz="0" w:space="0" w:color="auto"/>
        <w:right w:val="none" w:sz="0" w:space="0" w:color="auto"/>
      </w:divBdr>
    </w:div>
    <w:div w:id="1329989568">
      <w:bodyDiv w:val="1"/>
      <w:marLeft w:val="0"/>
      <w:marRight w:val="0"/>
      <w:marTop w:val="0"/>
      <w:marBottom w:val="0"/>
      <w:divBdr>
        <w:top w:val="none" w:sz="0" w:space="0" w:color="auto"/>
        <w:left w:val="none" w:sz="0" w:space="0" w:color="auto"/>
        <w:bottom w:val="none" w:sz="0" w:space="0" w:color="auto"/>
        <w:right w:val="none" w:sz="0" w:space="0" w:color="auto"/>
      </w:divBdr>
    </w:div>
    <w:div w:id="1733456515">
      <w:bodyDiv w:val="1"/>
      <w:marLeft w:val="0"/>
      <w:marRight w:val="0"/>
      <w:marTop w:val="0"/>
      <w:marBottom w:val="0"/>
      <w:divBdr>
        <w:top w:val="none" w:sz="0" w:space="0" w:color="auto"/>
        <w:left w:val="none" w:sz="0" w:space="0" w:color="auto"/>
        <w:bottom w:val="none" w:sz="0" w:space="0" w:color="auto"/>
        <w:right w:val="none" w:sz="0" w:space="0" w:color="auto"/>
      </w:divBdr>
    </w:div>
    <w:div w:id="1909269439">
      <w:bodyDiv w:val="1"/>
      <w:marLeft w:val="0"/>
      <w:marRight w:val="0"/>
      <w:marTop w:val="0"/>
      <w:marBottom w:val="0"/>
      <w:divBdr>
        <w:top w:val="none" w:sz="0" w:space="0" w:color="auto"/>
        <w:left w:val="none" w:sz="0" w:space="0" w:color="auto"/>
        <w:bottom w:val="none" w:sz="0" w:space="0" w:color="auto"/>
        <w:right w:val="none" w:sz="0" w:space="0" w:color="auto"/>
      </w:divBdr>
    </w:div>
    <w:div w:id="1989748732">
      <w:bodyDiv w:val="1"/>
      <w:marLeft w:val="0"/>
      <w:marRight w:val="0"/>
      <w:marTop w:val="0"/>
      <w:marBottom w:val="0"/>
      <w:divBdr>
        <w:top w:val="none" w:sz="0" w:space="0" w:color="auto"/>
        <w:left w:val="none" w:sz="0" w:space="0" w:color="auto"/>
        <w:bottom w:val="none" w:sz="0" w:space="0" w:color="auto"/>
        <w:right w:val="none" w:sz="0" w:space="0" w:color="auto"/>
      </w:divBdr>
    </w:div>
    <w:div w:id="2104908583">
      <w:bodyDiv w:val="1"/>
      <w:marLeft w:val="0"/>
      <w:marRight w:val="0"/>
      <w:marTop w:val="0"/>
      <w:marBottom w:val="0"/>
      <w:divBdr>
        <w:top w:val="none" w:sz="0" w:space="0" w:color="auto"/>
        <w:left w:val="none" w:sz="0" w:space="0" w:color="auto"/>
        <w:bottom w:val="none" w:sz="0" w:space="0" w:color="auto"/>
        <w:right w:val="none" w:sz="0" w:space="0" w:color="auto"/>
      </w:divBdr>
      <w:divsChild>
        <w:div w:id="48237919">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TotalTime>
  <Pages>22</Pages>
  <Words>1775</Words>
  <Characters>10120</Characters>
  <Application>Microsoft Office Word</Application>
  <DocSecurity>0</DocSecurity>
  <Lines>84</Lines>
  <Paragraphs>23</Paragraphs>
  <ScaleCrop>false</ScaleCrop>
  <Company/>
  <LinksUpToDate>false</LinksUpToDate>
  <CharactersWithSpaces>11872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韦 立先</dc:creator>
  <cp:lastModifiedBy>Administrator</cp:lastModifiedBy>
  <cp:revision>15</cp:revision>
  <dcterms:created xsi:type="dcterms:W3CDTF">2024-02-21T07:35:00Z</dcterms:created>
  <dcterms:modified xsi:type="dcterms:W3CDTF">2026-05-29T10:02:00Z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D7CE398B857E4ABF99C7951F82FED2D5_13</vt:lpwstr>
  </property>
  <property fmtid="{D5CDD505-2E9C-101B-9397-08002B2CF9AE}" pid="4" name="KSOTemplateDocerSaveRecord">
    <vt:lpwstr>eyJoZGlkIjoiOTgxNmU0ZTVkMWM5ZTk5NzE0MzFmZmIxMjdiMGM5MTYiLCJ1c2VySWQiOiI1NDQ3NTU5MjQifQ==</vt:lpwstr>
  </property>
</Properties>
</file>