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37BFA5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2457798">
            <w:pPr>
              <w:pStyle w:val="19"/>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5E09C461">
            <w:pPr>
              <w:pStyle w:val="19"/>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65.020.01</w:t>
            </w:r>
            <w:r>
              <w:rPr>
                <w:rFonts w:ascii="黑体" w:hAnsi="黑体" w:eastAsia="黑体"/>
                <w:sz w:val="21"/>
                <w:szCs w:val="21"/>
              </w:rPr>
              <w:fldChar w:fldCharType="end"/>
            </w:r>
            <w:bookmarkEnd w:id="0"/>
          </w:p>
        </w:tc>
      </w:tr>
      <w:tr w14:paraId="37C384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E4FB233">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9"/>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20C12758">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62743FD1">
                  <w:pPr>
                    <w:pStyle w:val="52"/>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14:paraId="2D0F1C75">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 05</w:t>
            </w:r>
            <w:r>
              <w:rPr>
                <w:rFonts w:ascii="黑体" w:hAnsi="黑体" w:eastAsia="黑体"/>
                <w:sz w:val="21"/>
                <w:szCs w:val="21"/>
              </w:rPr>
              <w:fldChar w:fldCharType="end"/>
            </w:r>
            <w:bookmarkEnd w:id="2"/>
          </w:p>
        </w:tc>
      </w:tr>
    </w:tbl>
    <w:p w14:paraId="62CE67EF">
      <w:pPr>
        <w:pStyle w:val="53"/>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237629BF">
      <w:pPr>
        <w:pStyle w:val="198"/>
        <w:framePr/>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rPr>
          <w:rFonts w:hint="eastAsia"/>
        </w:rPr>
        <w:t>XXXX</w:t>
      </w:r>
      <w:r>
        <w:fldChar w:fldCharType="end"/>
      </w:r>
      <w:bookmarkEnd w:id="7"/>
    </w:p>
    <w:p w14:paraId="072C49C6">
      <w:pPr>
        <w:pStyle w:val="199"/>
        <w:framePr/>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4916EC0C">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0F6A6E44">
      <w:pPr>
        <w:pStyle w:val="53"/>
        <w:framePr w:w="9639" w:h="6976" w:hRule="exact" w:hSpace="0" w:vSpace="0" w:wrap="around" w:hAnchor="page" w:y="6408"/>
        <w:jc w:val="center"/>
        <w:rPr>
          <w:rFonts w:hint="eastAsia" w:ascii="黑体" w:hAnsi="黑体" w:eastAsia="黑体"/>
          <w:b w:val="0"/>
          <w:bCs w:val="0"/>
          <w:w w:val="100"/>
        </w:rPr>
      </w:pPr>
    </w:p>
    <w:p w14:paraId="0114DB62">
      <w:pPr>
        <w:pStyle w:val="200"/>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次生代谢物</w:t>
      </w:r>
      <w:bookmarkStart w:id="10" w:name="OLE_LINK1"/>
      <w:bookmarkStart w:id="11" w:name="OLE_LINK2"/>
      <w:r>
        <w:t>茶园生态应用</w:t>
      </w:r>
      <w:bookmarkEnd w:id="10"/>
      <w:bookmarkEnd w:id="11"/>
      <w:r>
        <w:t>技术规程</w:t>
      </w:r>
      <w:r>
        <w:fldChar w:fldCharType="end"/>
      </w:r>
      <w:bookmarkEnd w:id="9"/>
    </w:p>
    <w:p w14:paraId="1830E651">
      <w:pPr>
        <w:framePr w:w="9639" w:h="6974" w:hRule="exact" w:wrap="around" w:vAnchor="page" w:hAnchor="page" w:x="1419" w:y="6408" w:anchorLock="1"/>
        <w:ind w:left="-1418"/>
      </w:pPr>
    </w:p>
    <w:p w14:paraId="27006F3F">
      <w:pPr>
        <w:pStyle w:val="128"/>
        <w:framePr w:w="9639" w:h="6974" w:hRule="exact" w:wrap="around" w:vAnchor="page" w:hAnchor="page" w:x="1419" w:y="6408" w:anchorLock="1"/>
        <w:textAlignment w:val="bottom"/>
        <w:rPr>
          <w:rFonts w:hint="eastAsia"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2"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 xml:space="preserve">Technical </w:t>
      </w:r>
      <w:r>
        <w:rPr>
          <w:rFonts w:hint="eastAsia" w:ascii="黑体" w:hAnsi="黑体" w:eastAsia="黑体"/>
          <w:szCs w:val="28"/>
        </w:rPr>
        <w:t>code of practice</w:t>
      </w:r>
      <w:r>
        <w:rPr>
          <w:rFonts w:ascii="黑体" w:hAnsi="黑体" w:eastAsia="黑体"/>
          <w:szCs w:val="28"/>
        </w:rPr>
        <w:t xml:space="preserve"> for </w:t>
      </w:r>
      <w:r>
        <w:rPr>
          <w:rFonts w:hint="eastAsia" w:ascii="黑体" w:hAnsi="黑体" w:eastAsia="黑体"/>
          <w:szCs w:val="28"/>
        </w:rPr>
        <w:t>e</w:t>
      </w:r>
      <w:r>
        <w:rPr>
          <w:rFonts w:ascii="黑体" w:hAnsi="黑体" w:eastAsia="黑体"/>
          <w:szCs w:val="28"/>
        </w:rPr>
        <w:t xml:space="preserve">cological </w:t>
      </w:r>
      <w:r>
        <w:rPr>
          <w:rFonts w:hint="eastAsia" w:ascii="黑体" w:hAnsi="黑体" w:eastAsia="黑体"/>
          <w:szCs w:val="28"/>
        </w:rPr>
        <w:t>a</w:t>
      </w:r>
      <w:r>
        <w:rPr>
          <w:rFonts w:ascii="黑体" w:hAnsi="黑体" w:eastAsia="黑体"/>
          <w:szCs w:val="28"/>
        </w:rPr>
        <w:t xml:space="preserve">pplication of </w:t>
      </w:r>
      <w:r>
        <w:rPr>
          <w:rFonts w:hint="eastAsia" w:ascii="黑体" w:hAnsi="黑体" w:eastAsia="黑体"/>
          <w:szCs w:val="28"/>
        </w:rPr>
        <w:t>s</w:t>
      </w:r>
      <w:r>
        <w:rPr>
          <w:rFonts w:ascii="黑体" w:hAnsi="黑体" w:eastAsia="黑体"/>
          <w:szCs w:val="28"/>
        </w:rPr>
        <w:t xml:space="preserve">econdary </w:t>
      </w:r>
      <w:r>
        <w:rPr>
          <w:rFonts w:hint="eastAsia" w:ascii="黑体" w:hAnsi="黑体" w:eastAsia="黑体"/>
          <w:szCs w:val="28"/>
        </w:rPr>
        <w:t>m</w:t>
      </w:r>
      <w:r>
        <w:rPr>
          <w:rFonts w:ascii="黑体" w:hAnsi="黑体" w:eastAsia="黑体"/>
          <w:szCs w:val="28"/>
        </w:rPr>
        <w:t xml:space="preserve">etabolites in </w:t>
      </w:r>
      <w:r>
        <w:rPr>
          <w:rFonts w:hint="eastAsia" w:ascii="黑体" w:hAnsi="黑体" w:eastAsia="黑体"/>
          <w:szCs w:val="28"/>
        </w:rPr>
        <w:t>t</w:t>
      </w:r>
      <w:r>
        <w:rPr>
          <w:rFonts w:ascii="黑体" w:hAnsi="黑体" w:eastAsia="黑体"/>
          <w:szCs w:val="28"/>
        </w:rPr>
        <w:t xml:space="preserve">ea </w:t>
      </w:r>
      <w:r>
        <w:rPr>
          <w:rFonts w:hint="eastAsia" w:ascii="黑体" w:hAnsi="黑体" w:eastAsia="黑体"/>
          <w:szCs w:val="28"/>
        </w:rPr>
        <w:t>g</w:t>
      </w:r>
      <w:r>
        <w:rPr>
          <w:rFonts w:ascii="黑体" w:hAnsi="黑体" w:eastAsia="黑体"/>
          <w:szCs w:val="28"/>
        </w:rPr>
        <w:t>ardens</w:t>
      </w:r>
      <w:r>
        <w:rPr>
          <w:rFonts w:ascii="黑体" w:hAnsi="黑体" w:eastAsia="黑体"/>
          <w:szCs w:val="28"/>
        </w:rPr>
        <w:fldChar w:fldCharType="end"/>
      </w:r>
      <w:bookmarkEnd w:id="12"/>
    </w:p>
    <w:p w14:paraId="56B87D3E">
      <w:pPr>
        <w:framePr w:w="9639" w:h="6974" w:hRule="exact" w:wrap="around" w:vAnchor="page" w:hAnchor="page" w:x="1419" w:y="6408" w:anchorLock="1"/>
        <w:spacing w:line="760" w:lineRule="exact"/>
        <w:ind w:left="-1418"/>
      </w:pPr>
    </w:p>
    <w:p w14:paraId="7EA9A24D">
      <w:pPr>
        <w:pStyle w:val="128"/>
        <w:framePr w:w="9639" w:h="6974" w:hRule="exact" w:wrap="around" w:vAnchor="page" w:hAnchor="page" w:x="1419" w:y="6408" w:anchorLock="1"/>
        <w:textAlignment w:val="bottom"/>
        <w:rPr>
          <w:rFonts w:eastAsia="黑体"/>
          <w:szCs w:val="28"/>
        </w:rPr>
      </w:pPr>
    </w:p>
    <w:p w14:paraId="4CC46659">
      <w:pPr>
        <w:pStyle w:val="12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3" w:name="下拉1"/>
      <w:r>
        <w:rPr>
          <w:sz w:val="24"/>
          <w:szCs w:val="28"/>
        </w:rPr>
        <w:instrText xml:space="preserve"> FORMDROPDOWN </w:instrText>
      </w:r>
      <w:r>
        <w:rPr>
          <w:sz w:val="24"/>
          <w:szCs w:val="28"/>
        </w:rPr>
        <w:fldChar w:fldCharType="separate"/>
      </w:r>
      <w:r>
        <w:rPr>
          <w:sz w:val="24"/>
          <w:szCs w:val="28"/>
        </w:rPr>
        <w:fldChar w:fldCharType="end"/>
      </w:r>
      <w:bookmarkEnd w:id="13"/>
    </w:p>
    <w:p w14:paraId="25974045">
      <w:pPr>
        <w:pStyle w:val="12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4"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4"/>
    </w:p>
    <w:p w14:paraId="36896C09">
      <w:pPr>
        <w:pStyle w:val="128"/>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5" w:name="下拉2"/>
      <w:r>
        <w:rPr>
          <w:b/>
          <w:sz w:val="21"/>
          <w:szCs w:val="28"/>
        </w:rPr>
        <w:instrText xml:space="preserve"> FORMDROPDOWN </w:instrText>
      </w:r>
      <w:r>
        <w:rPr>
          <w:b/>
          <w:sz w:val="21"/>
          <w:szCs w:val="28"/>
        </w:rPr>
        <w:fldChar w:fldCharType="separate"/>
      </w:r>
      <w:r>
        <w:rPr>
          <w:b/>
          <w:sz w:val="21"/>
          <w:szCs w:val="28"/>
        </w:rPr>
        <w:fldChar w:fldCharType="end"/>
      </w:r>
      <w:bookmarkEnd w:id="15"/>
    </w:p>
    <w:p w14:paraId="51026E5C">
      <w:pPr>
        <w:pStyle w:val="196"/>
        <w:framePr w:wrap="around" w:y="14176"/>
      </w:pPr>
      <w:r>
        <w:rPr>
          <w:rFonts w:ascii="黑体"/>
        </w:rPr>
        <w:fldChar w:fldCharType="begin">
          <w:ffData>
            <w:name w:val="PLSH_DATE_Y"/>
            <w:enabled/>
            <w:calcOnExit w:val="0"/>
            <w:textInput>
              <w:default w:val="XXXX"/>
              <w:maxLength w:val="4"/>
            </w:textInput>
          </w:ffData>
        </w:fldChar>
      </w:r>
      <w:bookmarkStart w:id="16"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7"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8"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发布</w:t>
      </w:r>
    </w:p>
    <w:p w14:paraId="65509823">
      <w:pPr>
        <w:pStyle w:val="197"/>
        <w:framePr w:wrap="around" w:y="14176"/>
      </w:pPr>
      <w:r>
        <w:rPr>
          <w:rFonts w:ascii="黑体"/>
        </w:rPr>
        <w:fldChar w:fldCharType="begin">
          <w:ffData>
            <w:name w:val="CROT_DATE_Y"/>
            <w:enabled/>
            <w:calcOnExit w:val="0"/>
            <w:textInput>
              <w:default w:val="XXXX"/>
              <w:maxLength w:val="4"/>
            </w:textInput>
          </w:ffData>
        </w:fldChar>
      </w:r>
      <w:bookmarkStart w:id="19"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9"/>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20"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20"/>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1"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21"/>
      <w:r>
        <w:rPr>
          <w:rFonts w:hint="eastAsia"/>
        </w:rPr>
        <w:t>实施</w:t>
      </w:r>
    </w:p>
    <w:p w14:paraId="5FE952F3">
      <w:pPr>
        <w:pStyle w:val="154"/>
        <w:framePr w:h="584" w:hRule="exact" w:hSpace="181" w:vSpace="181" w:wrap="around" w:y="14800"/>
        <w:rPr>
          <w:rFonts w:hint="eastAsia" w:hAnsi="黑体"/>
        </w:rPr>
      </w:pPr>
      <w:r>
        <w:rPr>
          <w:rFonts w:hAnsi="黑体"/>
          <w:w w:val="100"/>
          <w:sz w:val="28"/>
        </w:rPr>
        <w:fldChar w:fldCharType="begin">
          <w:ffData>
            <w:name w:val="fm"/>
            <w:enabled/>
            <w:calcOnExit w:val="0"/>
            <w:textInput/>
          </w:ffData>
        </w:fldChar>
      </w:r>
      <w:bookmarkStart w:id="22"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广西标准化协会</w:t>
      </w:r>
      <w:r>
        <w:rPr>
          <w:rFonts w:hAnsi="黑体"/>
          <w:w w:val="100"/>
          <w:sz w:val="28"/>
        </w:rPr>
        <w:fldChar w:fldCharType="end"/>
      </w:r>
      <w:bookmarkEnd w:id="22"/>
      <w:r>
        <w:rPr>
          <w:rFonts w:ascii="Times New Roman"/>
          <w:w w:val="100"/>
          <w:sz w:val="28"/>
        </w:rPr>
        <w:t>  </w:t>
      </w:r>
      <w:r>
        <w:rPr>
          <w:rStyle w:val="232"/>
          <w:rFonts w:hint="eastAsia" w:hAnsi="黑体"/>
          <w:position w:val="0"/>
        </w:rPr>
        <w:t>发</w:t>
      </w:r>
      <w:r>
        <w:rPr>
          <w:rStyle w:val="232"/>
          <w:rFonts w:hint="eastAsia" w:hAnsi="黑体"/>
          <w:spacing w:val="0"/>
          <w:position w:val="0"/>
        </w:rPr>
        <w:t>布</w:t>
      </w:r>
    </w:p>
    <w:p w14:paraId="1520251F">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0D3CDEDF">
      <w:pPr>
        <w:pStyle w:val="92"/>
        <w:spacing w:after="360"/>
      </w:pPr>
      <w:bookmarkStart w:id="23" w:name="_Toc214532528"/>
      <w:bookmarkStart w:id="24" w:name="BookMark2"/>
      <w:r>
        <w:rPr>
          <w:spacing w:val="320"/>
        </w:rPr>
        <w:t>前</w:t>
      </w:r>
      <w:r>
        <w:t>言</w:t>
      </w:r>
      <w:bookmarkEnd w:id="23"/>
    </w:p>
    <w:p w14:paraId="733EC4DC">
      <w:pPr>
        <w:pStyle w:val="59"/>
        <w:ind w:firstLine="420"/>
      </w:pPr>
      <w:r>
        <w:rPr>
          <w:rFonts w:hint="eastAsia"/>
        </w:rPr>
        <w:t>本文件参照GB/T 1.1—2020《标准化工作导则  第1部分：标准化文件的结构和起草规则》的规定起草。</w:t>
      </w:r>
    </w:p>
    <w:p w14:paraId="4A13206F">
      <w:pPr>
        <w:pStyle w:val="233"/>
        <w:rPr>
          <w:color w:val="000000"/>
        </w:rPr>
      </w:pPr>
      <w:r>
        <w:rPr>
          <w:rFonts w:hint="eastAsia"/>
          <w:color w:val="000000"/>
        </w:rPr>
        <w:t>请注意本文件的某些内容可能涉及专利。本文件的发布机构不承担识别专利的责任。</w:t>
      </w:r>
    </w:p>
    <w:p w14:paraId="5AD02D8C">
      <w:pPr>
        <w:pStyle w:val="233"/>
        <w:rPr>
          <w:color w:val="000000"/>
        </w:rPr>
      </w:pPr>
      <w:r>
        <w:rPr>
          <w:rFonts w:hint="eastAsia"/>
          <w:color w:val="000000"/>
        </w:rPr>
        <w:t>本文件</w:t>
      </w:r>
      <w:r>
        <w:rPr>
          <w:color w:val="000000"/>
        </w:rPr>
        <w:t>由</w:t>
      </w:r>
      <w:r>
        <w:rPr>
          <w:rFonts w:hint="eastAsia"/>
          <w:color w:val="000000"/>
        </w:rPr>
        <w:t>广西壮族自治区农业科学院</w:t>
      </w:r>
      <w:r>
        <w:rPr>
          <w:color w:val="000000"/>
        </w:rPr>
        <w:t>提出</w:t>
      </w:r>
      <w:r>
        <w:rPr>
          <w:rFonts w:hint="eastAsia"/>
          <w:color w:val="000000"/>
        </w:rPr>
        <w:t>并宣贯</w:t>
      </w:r>
      <w:r>
        <w:rPr>
          <w:color w:val="000000"/>
        </w:rPr>
        <w:t>。</w:t>
      </w:r>
    </w:p>
    <w:p w14:paraId="7F702AEC">
      <w:pPr>
        <w:pStyle w:val="233"/>
        <w:rPr>
          <w:color w:val="000000"/>
        </w:rPr>
      </w:pPr>
      <w:r>
        <w:rPr>
          <w:rFonts w:hint="eastAsia"/>
          <w:color w:val="000000"/>
        </w:rPr>
        <w:t>本文件由广西标准化协会归口。</w:t>
      </w:r>
    </w:p>
    <w:p w14:paraId="0D2BA27D">
      <w:pPr>
        <w:pStyle w:val="233"/>
        <w:rPr>
          <w:color w:val="000000"/>
        </w:rPr>
      </w:pPr>
      <w:r>
        <w:rPr>
          <w:rFonts w:hint="eastAsia"/>
          <w:color w:val="000000"/>
        </w:rPr>
        <w:t>本标准起草单位：广西壮族自治区农业科学院、安徽农业大学茶业学院、中国农业科学院茶叶研究所、昭平县健诚茶叶种植专业合作社、广西岑溪天晟茶业股份有限公司、河池市六龙茶业有限责任公司。</w:t>
      </w:r>
    </w:p>
    <w:p w14:paraId="5E054789">
      <w:pPr>
        <w:pStyle w:val="233"/>
        <w:rPr>
          <w:color w:val="000000"/>
        </w:rPr>
      </w:pPr>
      <w:r>
        <w:rPr>
          <w:rFonts w:hint="eastAsia"/>
          <w:color w:val="000000"/>
        </w:rPr>
        <w:t>本标准主要起草人：胡钧铭、宋传奎、郑富海、黄山、石元值、周凤珏、张云帆、张俊辉、韦翔华、姜浩、李婷婷、荆婷婷、李宇翔、岑贞陆、蒙炎成、韦持章、陆秀红、刘妹坤、谭骞骞、吴乾韬、吴泽华、陆泓宇、左先平、左洪丰、陆国东、莫华平、胡红梅。</w:t>
      </w:r>
    </w:p>
    <w:p w14:paraId="0B964078">
      <w:pPr>
        <w:pStyle w:val="233"/>
        <w:rPr>
          <w:color w:val="000000"/>
        </w:rPr>
      </w:pPr>
    </w:p>
    <w:p w14:paraId="1E33EC13">
      <w:pPr>
        <w:pStyle w:val="59"/>
        <w:ind w:firstLine="420"/>
      </w:pPr>
    </w:p>
    <w:p w14:paraId="48F45C62">
      <w:pPr>
        <w:pStyle w:val="59"/>
        <w:ind w:firstLine="42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linePitch="312" w:charSpace="0"/>
        </w:sectPr>
      </w:pPr>
    </w:p>
    <w:bookmarkEnd w:id="24"/>
    <w:p w14:paraId="61890061">
      <w:pPr>
        <w:spacing w:line="20" w:lineRule="exact"/>
        <w:jc w:val="center"/>
        <w:rPr>
          <w:rFonts w:hint="eastAsia" w:ascii="黑体" w:hAnsi="黑体" w:eastAsia="黑体"/>
          <w:sz w:val="32"/>
          <w:szCs w:val="32"/>
        </w:rPr>
      </w:pPr>
      <w:bookmarkStart w:id="25" w:name="BookMark4"/>
    </w:p>
    <w:p w14:paraId="5FE06ED7">
      <w:pPr>
        <w:spacing w:line="20" w:lineRule="exact"/>
        <w:jc w:val="center"/>
        <w:rPr>
          <w:rFonts w:hint="eastAsia" w:ascii="黑体" w:hAnsi="黑体" w:eastAsia="黑体"/>
          <w:sz w:val="32"/>
          <w:szCs w:val="32"/>
        </w:rPr>
      </w:pPr>
    </w:p>
    <w:sdt>
      <w:sdtPr>
        <w:tag w:val="NEW_STAND_NAME"/>
        <w:id w:val="595910757"/>
        <w:lock w:val="sdtLocked"/>
        <w:placeholder>
          <w:docPart w:val="18F7822E560F414C8AAD8224E8344FC7"/>
        </w:placeholder>
      </w:sdtPr>
      <w:sdtContent>
        <w:p w14:paraId="400913A2">
          <w:pPr>
            <w:pStyle w:val="180"/>
            <w:spacing w:before="240" w:beforeLines="100" w:after="528" w:afterLines="220"/>
            <w:rPr>
              <w:rFonts w:hint="eastAsia"/>
            </w:rPr>
          </w:pPr>
          <w:bookmarkStart w:id="26" w:name="OLE_LINK3"/>
          <w:bookmarkStart w:id="27" w:name="OLE_LINK6"/>
          <w:bookmarkStart w:id="28" w:name="NEW_STAND_NAME"/>
          <w:bookmarkStart w:id="29" w:name="OLE_LINK8"/>
          <w:bookmarkStart w:id="30" w:name="OLE_LINK7"/>
          <w:r>
            <w:rPr>
              <w:rFonts w:hint="eastAsia"/>
            </w:rPr>
            <w:t>次生代谢物</w:t>
          </w:r>
          <w:bookmarkEnd w:id="26"/>
          <w:r>
            <w:rPr>
              <w:rFonts w:hint="eastAsia"/>
            </w:rPr>
            <w:t>茶园生态应用技术规程</w:t>
          </w:r>
        </w:p>
      </w:sdtContent>
    </w:sdt>
    <w:bookmarkEnd w:id="27"/>
    <w:bookmarkEnd w:id="28"/>
    <w:bookmarkEnd w:id="29"/>
    <w:bookmarkEnd w:id="30"/>
    <w:p w14:paraId="37430C69">
      <w:pPr>
        <w:pStyle w:val="107"/>
        <w:spacing w:before="240" w:after="240"/>
      </w:pPr>
      <w:bookmarkStart w:id="31" w:name="_Toc26648465"/>
      <w:bookmarkStart w:id="32" w:name="_Toc26986771"/>
      <w:bookmarkStart w:id="33" w:name="_Toc26718930"/>
      <w:bookmarkStart w:id="34" w:name="_Toc24884211"/>
      <w:bookmarkStart w:id="35" w:name="_Toc97192964"/>
      <w:bookmarkStart w:id="36" w:name="_Toc26986530"/>
      <w:bookmarkStart w:id="37" w:name="_Toc17233333"/>
      <w:bookmarkStart w:id="38" w:name="_Toc17233325"/>
      <w:bookmarkStart w:id="39" w:name="_Toc214532529"/>
      <w:bookmarkStart w:id="40" w:name="_Toc24884218"/>
      <w:r>
        <w:rPr>
          <w:rFonts w:hint="eastAsia"/>
        </w:rPr>
        <w:t>范围</w:t>
      </w:r>
      <w:bookmarkEnd w:id="31"/>
      <w:bookmarkEnd w:id="32"/>
      <w:bookmarkEnd w:id="33"/>
      <w:bookmarkEnd w:id="34"/>
      <w:bookmarkEnd w:id="35"/>
      <w:bookmarkEnd w:id="36"/>
      <w:bookmarkEnd w:id="37"/>
      <w:bookmarkEnd w:id="38"/>
      <w:bookmarkEnd w:id="39"/>
      <w:bookmarkEnd w:id="40"/>
    </w:p>
    <w:p w14:paraId="223FFAD4">
      <w:pPr>
        <w:pStyle w:val="59"/>
        <w:ind w:firstLine="420"/>
        <w:rPr>
          <w:rFonts w:ascii="Times New Roman"/>
        </w:rPr>
      </w:pPr>
      <w:bookmarkStart w:id="41" w:name="_Toc26648466"/>
      <w:bookmarkStart w:id="42" w:name="_Toc24884212"/>
      <w:bookmarkStart w:id="43" w:name="_Toc17233326"/>
      <w:bookmarkStart w:id="44" w:name="_Toc24884219"/>
      <w:bookmarkStart w:id="45" w:name="_Toc17233334"/>
      <w:r>
        <w:rPr>
          <w:rFonts w:ascii="Times New Roman"/>
        </w:rPr>
        <w:t>本文件</w:t>
      </w:r>
      <w:r>
        <w:rPr>
          <w:rFonts w:hint="eastAsia" w:ascii="Times New Roman"/>
        </w:rPr>
        <w:t>界定了</w:t>
      </w:r>
      <w:r>
        <w:rPr>
          <w:rFonts w:hint="eastAsia"/>
        </w:rPr>
        <w:t>次生代谢物茶园生态应用</w:t>
      </w:r>
      <w:r>
        <w:rPr>
          <w:rFonts w:hint="eastAsia" w:ascii="Times New Roman"/>
        </w:rPr>
        <w:t>涉及</w:t>
      </w:r>
      <w:r>
        <w:rPr>
          <w:rFonts w:ascii="Times New Roman"/>
        </w:rPr>
        <w:t>的术语</w:t>
      </w:r>
      <w:r>
        <w:rPr>
          <w:rFonts w:hint="eastAsia" w:ascii="Times New Roman"/>
        </w:rPr>
        <w:t>和</w:t>
      </w:r>
      <w:r>
        <w:rPr>
          <w:rFonts w:ascii="Times New Roman"/>
        </w:rPr>
        <w:t>定义</w:t>
      </w:r>
      <w:r>
        <w:rPr>
          <w:rFonts w:hint="eastAsia" w:ascii="Times New Roman"/>
        </w:rPr>
        <w:t>，规定了茶园生态应用场景、生态应用、效果评价的操作指示，描述了生态应用过程信息的追溯方法</w:t>
      </w:r>
      <w:r>
        <w:rPr>
          <w:rFonts w:ascii="Times New Roman"/>
        </w:rPr>
        <w:t>。</w:t>
      </w:r>
    </w:p>
    <w:p w14:paraId="0B8652F6">
      <w:pPr>
        <w:pStyle w:val="59"/>
        <w:ind w:firstLine="420"/>
        <w:rPr>
          <w:rFonts w:ascii="Times New Roman"/>
        </w:rPr>
      </w:pPr>
      <w:r>
        <w:rPr>
          <w:rFonts w:ascii="Times New Roman"/>
        </w:rPr>
        <w:t>本文件适用于茶园生态管理、茶叶品质提升及次生代谢物</w:t>
      </w:r>
      <w:r>
        <w:rPr>
          <w:rFonts w:hint="eastAsia" w:ascii="Times New Roman"/>
        </w:rPr>
        <w:t>茶园生态应用</w:t>
      </w:r>
      <w:r>
        <w:rPr>
          <w:rFonts w:ascii="Times New Roman"/>
        </w:rPr>
        <w:t>的相关生产活动。</w:t>
      </w:r>
    </w:p>
    <w:p w14:paraId="3B2966D5">
      <w:pPr>
        <w:pStyle w:val="107"/>
        <w:spacing w:before="240" w:after="240"/>
        <w:rPr>
          <w:rFonts w:ascii="Times New Roman"/>
        </w:rPr>
      </w:pPr>
      <w:bookmarkStart w:id="46" w:name="_Toc26718931"/>
      <w:bookmarkStart w:id="47" w:name="_Toc26986531"/>
      <w:bookmarkStart w:id="48" w:name="_Toc214532530"/>
      <w:bookmarkStart w:id="49" w:name="_Toc97192965"/>
      <w:bookmarkStart w:id="50" w:name="_Toc26986772"/>
      <w:r>
        <w:rPr>
          <w:rFonts w:ascii="Times New Roman"/>
        </w:rPr>
        <w:t>规范性引用文件</w:t>
      </w:r>
      <w:bookmarkEnd w:id="41"/>
      <w:bookmarkEnd w:id="42"/>
      <w:bookmarkEnd w:id="43"/>
      <w:bookmarkEnd w:id="44"/>
      <w:bookmarkEnd w:id="45"/>
      <w:bookmarkEnd w:id="46"/>
      <w:bookmarkEnd w:id="47"/>
      <w:bookmarkEnd w:id="48"/>
      <w:bookmarkEnd w:id="49"/>
      <w:bookmarkEnd w:id="50"/>
    </w:p>
    <w:sdt>
      <w:sdtPr>
        <w:rPr>
          <w:rFonts w:ascii="Times New Roman"/>
        </w:rPr>
        <w:id w:val="715848253"/>
        <w:placeholder>
          <w:docPart w:val="5DBA74BC84994F79AD059C84FF2EB68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ascii="Times New Roman"/>
        </w:rPr>
      </w:sdtEndPr>
      <w:sdtContent>
        <w:p w14:paraId="3E5ACD73">
          <w:pPr>
            <w:pStyle w:val="59"/>
            <w:ind w:firstLine="420"/>
            <w:rPr>
              <w:rFonts w:ascii="Times New Roman"/>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368A4E0">
      <w:pPr>
        <w:pStyle w:val="59"/>
        <w:ind w:firstLine="420"/>
        <w:rPr>
          <w:rFonts w:hint="eastAsia" w:hAnsi="宋体"/>
        </w:rPr>
      </w:pPr>
      <w:r>
        <w:rPr>
          <w:rFonts w:hAnsi="宋体"/>
        </w:rPr>
        <w:t>GB/T 8302</w:t>
      </w:r>
      <w:r>
        <w:rPr>
          <w:rFonts w:hint="eastAsia" w:hAnsi="宋体"/>
        </w:rPr>
        <w:t xml:space="preserve">  茶  取样</w:t>
      </w:r>
    </w:p>
    <w:p w14:paraId="3C8886F9">
      <w:pPr>
        <w:pStyle w:val="59"/>
        <w:ind w:firstLine="420"/>
        <w:rPr>
          <w:rFonts w:ascii="Times New Roman"/>
        </w:rPr>
      </w:pPr>
      <w:r>
        <w:rPr>
          <w:rFonts w:hAnsi="宋体"/>
        </w:rPr>
        <w:t xml:space="preserve">HJ/T 332 </w:t>
      </w:r>
      <w:r>
        <w:rPr>
          <w:rFonts w:hint="eastAsia" w:hAnsi="宋体"/>
        </w:rPr>
        <w:t xml:space="preserve"> </w:t>
      </w:r>
      <w:r>
        <w:rPr>
          <w:rFonts w:ascii="Times New Roman"/>
        </w:rPr>
        <w:t>食用农产品产地环境质量评价标准</w:t>
      </w:r>
    </w:p>
    <w:p w14:paraId="5CAEE243">
      <w:pPr>
        <w:pStyle w:val="59"/>
        <w:ind w:firstLine="420"/>
        <w:rPr>
          <w:rFonts w:hint="eastAsia" w:hAnsi="宋体"/>
        </w:rPr>
      </w:pPr>
      <w:r>
        <w:rPr>
          <w:rFonts w:hAnsi="宋体"/>
        </w:rPr>
        <w:t xml:space="preserve">NY/T 393 </w:t>
      </w:r>
      <w:r>
        <w:rPr>
          <w:rFonts w:hint="eastAsia" w:hAnsi="宋体"/>
        </w:rPr>
        <w:t xml:space="preserve"> </w:t>
      </w:r>
      <w:r>
        <w:rPr>
          <w:rFonts w:hAnsi="宋体"/>
        </w:rPr>
        <w:t xml:space="preserve">绿色食品 </w:t>
      </w:r>
      <w:r>
        <w:rPr>
          <w:rFonts w:hint="eastAsia" w:hAnsi="宋体"/>
        </w:rPr>
        <w:t xml:space="preserve"> </w:t>
      </w:r>
      <w:r>
        <w:rPr>
          <w:rFonts w:hAnsi="宋体"/>
        </w:rPr>
        <w:t>农药使用准则</w:t>
      </w:r>
    </w:p>
    <w:p w14:paraId="3C2AFC15">
      <w:pPr>
        <w:pStyle w:val="59"/>
        <w:ind w:firstLine="420"/>
        <w:rPr>
          <w:rFonts w:hint="eastAsia" w:hAnsi="宋体"/>
        </w:rPr>
      </w:pPr>
      <w:r>
        <w:rPr>
          <w:rFonts w:hAnsi="宋体"/>
        </w:rPr>
        <w:t xml:space="preserve">NY/T 394 </w:t>
      </w:r>
      <w:r>
        <w:rPr>
          <w:rFonts w:hint="eastAsia" w:hAnsi="宋体"/>
        </w:rPr>
        <w:t xml:space="preserve"> </w:t>
      </w:r>
      <w:r>
        <w:rPr>
          <w:rFonts w:hAnsi="宋体"/>
        </w:rPr>
        <w:t xml:space="preserve">绿色食品 </w:t>
      </w:r>
      <w:r>
        <w:rPr>
          <w:rFonts w:hint="eastAsia" w:hAnsi="宋体"/>
        </w:rPr>
        <w:t xml:space="preserve"> </w:t>
      </w:r>
      <w:r>
        <w:rPr>
          <w:rFonts w:hAnsi="宋体"/>
        </w:rPr>
        <w:t>肥料使用准则</w:t>
      </w:r>
    </w:p>
    <w:p w14:paraId="7D31FE20">
      <w:pPr>
        <w:pStyle w:val="59"/>
        <w:ind w:firstLine="420"/>
        <w:rPr>
          <w:rFonts w:hint="eastAsia" w:hAnsi="宋体"/>
        </w:rPr>
      </w:pPr>
      <w:r>
        <w:rPr>
          <w:rFonts w:hint="eastAsia" w:hAnsi="宋体"/>
        </w:rPr>
        <w:t>NY/T 4259  植保无人飞机安全施药技术规程</w:t>
      </w:r>
    </w:p>
    <w:p w14:paraId="58158001">
      <w:pPr>
        <w:pStyle w:val="107"/>
        <w:spacing w:before="240" w:after="240"/>
        <w:rPr>
          <w:rFonts w:ascii="Times New Roman"/>
        </w:rPr>
      </w:pPr>
      <w:bookmarkStart w:id="51" w:name="_Toc97192966"/>
      <w:bookmarkStart w:id="52" w:name="_Toc214532531"/>
      <w:r>
        <w:rPr>
          <w:rFonts w:ascii="Times New Roman"/>
          <w:szCs w:val="21"/>
        </w:rPr>
        <w:t>术语和定义</w:t>
      </w:r>
      <w:bookmarkEnd w:id="51"/>
      <w:bookmarkEnd w:id="52"/>
    </w:p>
    <w:sdt>
      <w:sdtPr>
        <w:rPr>
          <w:rFonts w:ascii="Times New Roman"/>
        </w:rPr>
        <w:id w:val="-1909835108"/>
        <w:placeholder>
          <w:docPart w:val="AA59314BC1C54E02B31290FEDF11F8A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ascii="Times New Roman"/>
        </w:rPr>
      </w:sdtEndPr>
      <w:sdtContent>
        <w:p w14:paraId="4BDC800D">
          <w:pPr>
            <w:pStyle w:val="59"/>
            <w:ind w:firstLine="420"/>
            <w:rPr>
              <w:rFonts w:ascii="Times New Roman"/>
            </w:rPr>
          </w:pPr>
          <w:bookmarkStart w:id="53" w:name="_Toc26986532"/>
          <w:bookmarkEnd w:id="53"/>
          <w:r>
            <w:rPr>
              <w:rFonts w:ascii="Times New Roman"/>
            </w:rPr>
            <w:t>下列术语和定义适用于本文件。</w:t>
          </w:r>
        </w:p>
      </w:sdtContent>
    </w:sdt>
    <w:p w14:paraId="65295CD2">
      <w:pPr>
        <w:pStyle w:val="226"/>
        <w:ind w:left="420" w:hanging="420" w:hangingChars="200"/>
        <w:rPr>
          <w:rFonts w:ascii="黑体" w:hAnsi="黑体" w:eastAsia="黑体"/>
        </w:rPr>
      </w:pPr>
      <w:r>
        <w:rPr>
          <w:rFonts w:ascii="黑体" w:hAnsi="黑体" w:eastAsia="黑体"/>
        </w:rPr>
        <w:br w:type="textWrapping"/>
      </w:r>
      <w:r>
        <w:rPr>
          <w:rFonts w:ascii="黑体" w:hAnsi="黑体" w:eastAsia="黑体"/>
        </w:rPr>
        <w:t xml:space="preserve">次生代谢物 </w:t>
      </w:r>
      <w:r>
        <w:rPr>
          <w:rFonts w:hint="eastAsia" w:ascii="黑体" w:hAnsi="黑体" w:eastAsia="黑体"/>
        </w:rPr>
        <w:t xml:space="preserve"> </w:t>
      </w:r>
      <w:bookmarkStart w:id="54" w:name="OLE_LINK5"/>
      <w:r>
        <w:rPr>
          <w:rFonts w:ascii="黑体" w:hAnsi="黑体" w:eastAsia="黑体"/>
        </w:rPr>
        <w:t>secondary metabolites</w:t>
      </w:r>
      <w:bookmarkEnd w:id="54"/>
      <w:r>
        <w:rPr>
          <w:rFonts w:hint="eastAsia" w:ascii="黑体" w:hAnsi="黑体" w:eastAsia="黑体"/>
        </w:rPr>
        <w:t xml:space="preserve"> </w:t>
      </w:r>
    </w:p>
    <w:p w14:paraId="6DFF1D4F">
      <w:pPr>
        <w:pStyle w:val="59"/>
        <w:ind w:firstLine="420"/>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生物</w:t>
      </w:r>
      <w:r>
        <w:rPr>
          <w:rFonts w:ascii="Times New Roman"/>
          <w:color w:val="000000" w:themeColor="text1"/>
          <w14:textFill>
            <w14:solidFill>
              <w14:schemeClr w14:val="tx1"/>
            </w14:solidFill>
          </w14:textFill>
        </w:rPr>
        <w:t>在</w:t>
      </w:r>
      <w:r>
        <w:rPr>
          <w:rFonts w:hint="eastAsia" w:ascii="Times New Roman"/>
          <w:color w:val="000000" w:themeColor="text1"/>
          <w14:textFill>
            <w14:solidFill>
              <w14:schemeClr w14:val="tx1"/>
            </w14:solidFill>
          </w14:textFill>
        </w:rPr>
        <w:t>适应逆境</w:t>
      </w:r>
      <w:r>
        <w:rPr>
          <w:rFonts w:ascii="Times New Roman"/>
          <w:color w:val="000000" w:themeColor="text1"/>
          <w14:textFill>
            <w14:solidFill>
              <w14:schemeClr w14:val="tx1"/>
            </w14:solidFill>
          </w14:textFill>
        </w:rPr>
        <w:t>过程中产生的</w:t>
      </w:r>
      <w:r>
        <w:rPr>
          <w:rFonts w:hint="eastAsia" w:ascii="Times New Roman"/>
          <w:color w:val="000000" w:themeColor="text1"/>
          <w14:textFill>
            <w14:solidFill>
              <w14:schemeClr w14:val="tx1"/>
            </w14:solidFill>
          </w14:textFill>
        </w:rPr>
        <w:t>含氮有机物、萜类化合物和酚类化合物</w:t>
      </w:r>
      <w:r>
        <w:rPr>
          <w:rFonts w:ascii="Times New Roman"/>
          <w:color w:val="000000" w:themeColor="text1"/>
          <w14:textFill>
            <w14:solidFill>
              <w14:schemeClr w14:val="tx1"/>
            </w14:solidFill>
          </w14:textFill>
        </w:rPr>
        <w:t>等具有生物活性的物质</w:t>
      </w:r>
      <w:r>
        <w:rPr>
          <w:rFonts w:hint="eastAsia" w:ascii="Times New Roman"/>
          <w:color w:val="000000" w:themeColor="text1"/>
          <w14:textFill>
            <w14:solidFill>
              <w14:schemeClr w14:val="tx1"/>
            </w14:solidFill>
          </w14:textFill>
        </w:rPr>
        <w:t>。</w:t>
      </w:r>
    </w:p>
    <w:p w14:paraId="150DED29">
      <w:pPr>
        <w:pStyle w:val="182"/>
      </w:pPr>
      <w:r>
        <w:t>以次生代谢物为</w:t>
      </w:r>
      <w:r>
        <w:rPr>
          <w:rFonts w:hint="eastAsia"/>
        </w:rPr>
        <w:t>主要材料制成的生物制剂，替代传统化学制剂，具有高效、低毒、特异性等典型生态特征</w:t>
      </w:r>
      <w:r>
        <w:t>。</w:t>
      </w:r>
    </w:p>
    <w:p w14:paraId="038BF0AC">
      <w:pPr>
        <w:pStyle w:val="107"/>
        <w:spacing w:before="240" w:after="240"/>
      </w:pPr>
      <w:bookmarkStart w:id="55" w:name="_Toc214532532"/>
      <w:r>
        <w:t>生态</w:t>
      </w:r>
      <w:r>
        <w:rPr>
          <w:rFonts w:hint="eastAsia"/>
        </w:rPr>
        <w:t>应用</w:t>
      </w:r>
      <w:bookmarkEnd w:id="55"/>
    </w:p>
    <w:p w14:paraId="2A9CBB45">
      <w:pPr>
        <w:pStyle w:val="108"/>
        <w:spacing w:before="120" w:after="120"/>
        <w:rPr>
          <w:rFonts w:ascii="Times New Roman"/>
        </w:rPr>
      </w:pPr>
      <w:bookmarkStart w:id="56" w:name="_Toc214532534"/>
      <w:r>
        <w:rPr>
          <w:rFonts w:hint="eastAsia" w:ascii="Times New Roman"/>
        </w:rPr>
        <w:t>次生代谢物</w:t>
      </w:r>
      <w:bookmarkEnd w:id="56"/>
      <w:r>
        <w:rPr>
          <w:rFonts w:hint="eastAsia" w:ascii="Times New Roman"/>
        </w:rPr>
        <w:t>类型</w:t>
      </w:r>
    </w:p>
    <w:p w14:paraId="59C9162A">
      <w:pPr>
        <w:pStyle w:val="68"/>
        <w:spacing w:before="120" w:after="120"/>
      </w:pPr>
      <w:r>
        <w:t>叶面型</w:t>
      </w:r>
    </w:p>
    <w:p w14:paraId="126429C5">
      <w:pPr>
        <w:pStyle w:val="59"/>
        <w:ind w:firstLine="420"/>
        <w:rPr>
          <w:rFonts w:ascii="Times New Roman"/>
        </w:rPr>
      </w:pPr>
      <w:r>
        <w:rPr>
          <w:rFonts w:hint="eastAsia" w:ascii="Times New Roman"/>
        </w:rPr>
        <w:t>以茶树地上部营养器官（新梢、叶片）为主要作用部位，侧重于快速响应、代谢调控与抗逆诱导。主要分</w:t>
      </w:r>
      <w:r>
        <w:rPr>
          <w:rFonts w:ascii="Times New Roman"/>
        </w:rPr>
        <w:t>为小分子、易吸收的液态或可溶粉剂</w:t>
      </w:r>
      <w:r>
        <w:rPr>
          <w:rFonts w:hint="eastAsia" w:ascii="Times New Roman"/>
        </w:rPr>
        <w:t>等，主要种类见附录</w:t>
      </w:r>
      <w:r>
        <w:rPr>
          <w:rFonts w:hint="eastAsia" w:hAnsi="宋体"/>
        </w:rPr>
        <w:t>A的表A.1</w:t>
      </w:r>
      <w:r>
        <w:rPr>
          <w:rFonts w:hint="eastAsia" w:ascii="Times New Roman"/>
        </w:rPr>
        <w:t>。</w:t>
      </w:r>
    </w:p>
    <w:p w14:paraId="27A31C3F">
      <w:pPr>
        <w:pStyle w:val="68"/>
        <w:spacing w:before="120" w:after="120"/>
      </w:pPr>
      <w:r>
        <w:t>根施型</w:t>
      </w:r>
    </w:p>
    <w:p w14:paraId="377F60C6">
      <w:pPr>
        <w:pStyle w:val="59"/>
        <w:ind w:firstLine="420"/>
        <w:rPr>
          <w:rFonts w:ascii="Times New Roman"/>
        </w:rPr>
      </w:pPr>
      <w:r>
        <w:rPr>
          <w:rFonts w:hint="eastAsia" w:ascii="Times New Roman"/>
        </w:rPr>
        <w:t>以根系及根际土壤为主要作用部位，侧重于长效供养、土壤改良与根系发育。主要分</w:t>
      </w:r>
      <w:r>
        <w:rPr>
          <w:rFonts w:ascii="Times New Roman"/>
        </w:rPr>
        <w:t>为液态或</w:t>
      </w:r>
      <w:r>
        <w:rPr>
          <w:rFonts w:hint="eastAsia" w:ascii="Times New Roman"/>
        </w:rPr>
        <w:t>粉状</w:t>
      </w:r>
      <w:r>
        <w:rPr>
          <w:rFonts w:ascii="Times New Roman"/>
        </w:rPr>
        <w:t>制剂</w:t>
      </w:r>
      <w:r>
        <w:rPr>
          <w:rFonts w:hint="eastAsia" w:ascii="Times New Roman"/>
        </w:rPr>
        <w:t>等</w:t>
      </w:r>
      <w:r>
        <w:rPr>
          <w:rFonts w:ascii="Times New Roman"/>
        </w:rPr>
        <w:t>，</w:t>
      </w:r>
      <w:r>
        <w:rPr>
          <w:rFonts w:hint="eastAsia" w:ascii="Times New Roman"/>
        </w:rPr>
        <w:t>主要种类见附录</w:t>
      </w:r>
      <w:r>
        <w:rPr>
          <w:rFonts w:hint="eastAsia" w:hAnsi="宋体"/>
        </w:rPr>
        <w:t>A的表A.2</w:t>
      </w:r>
      <w:r>
        <w:rPr>
          <w:rFonts w:ascii="Times New Roman"/>
        </w:rPr>
        <w:t>。</w:t>
      </w:r>
    </w:p>
    <w:p w14:paraId="2CB05523">
      <w:pPr>
        <w:pStyle w:val="108"/>
        <w:spacing w:before="120" w:after="120"/>
        <w:rPr>
          <w:rFonts w:ascii="Times New Roman"/>
        </w:rPr>
      </w:pPr>
      <w:bookmarkStart w:id="57" w:name="_Toc214532535"/>
      <w:r>
        <w:rPr>
          <w:rFonts w:ascii="Times New Roman"/>
        </w:rPr>
        <w:t>叶面</w:t>
      </w:r>
      <w:bookmarkEnd w:id="57"/>
      <w:r>
        <w:rPr>
          <w:rFonts w:hint="eastAsia" w:ascii="Times New Roman"/>
        </w:rPr>
        <w:t>施用</w:t>
      </w:r>
    </w:p>
    <w:p w14:paraId="03BEE4F4">
      <w:pPr>
        <w:pStyle w:val="68"/>
        <w:spacing w:before="120" w:after="120"/>
        <w:rPr>
          <w:rFonts w:ascii="Times New Roman"/>
        </w:rPr>
      </w:pPr>
      <w:bookmarkStart w:id="58" w:name="_Toc214532536"/>
      <w:r>
        <w:rPr>
          <w:rFonts w:ascii="Times New Roman"/>
        </w:rPr>
        <w:t>施用时期</w:t>
      </w:r>
      <w:bookmarkEnd w:id="58"/>
    </w:p>
    <w:p w14:paraId="4D6211D2">
      <w:pPr>
        <w:pStyle w:val="59"/>
        <w:ind w:firstLine="420"/>
        <w:rPr>
          <w:rFonts w:ascii="Times New Roman"/>
        </w:rPr>
      </w:pPr>
      <w:r>
        <w:rPr>
          <w:rFonts w:hint="eastAsia" w:ascii="Times New Roman"/>
        </w:rPr>
        <w:t>施用时期如下：</w:t>
      </w:r>
    </w:p>
    <w:p w14:paraId="4652936F">
      <w:pPr>
        <w:pStyle w:val="135"/>
      </w:pPr>
      <w:r>
        <w:t>营养临界期：春茶萌动前（催芽），各轮新梢一芽一叶展叶期；</w:t>
      </w:r>
    </w:p>
    <w:p w14:paraId="68EEE39C">
      <w:pPr>
        <w:pStyle w:val="135"/>
      </w:pPr>
      <w:r>
        <w:t>营养最大效率期：新梢快速生长期；</w:t>
      </w:r>
    </w:p>
    <w:p w14:paraId="2F9ED328">
      <w:pPr>
        <w:pStyle w:val="135"/>
      </w:pPr>
      <w:r>
        <w:t>逆境缓解期：遭遇干旱、低温后，恢复树势</w:t>
      </w:r>
      <w:r>
        <w:rPr>
          <w:rFonts w:hint="eastAsia"/>
        </w:rPr>
        <w:t>时期</w:t>
      </w:r>
      <w:r>
        <w:t>。</w:t>
      </w:r>
    </w:p>
    <w:p w14:paraId="7B176631">
      <w:pPr>
        <w:pStyle w:val="68"/>
        <w:spacing w:before="120" w:after="120"/>
        <w:rPr>
          <w:rFonts w:ascii="Times New Roman"/>
        </w:rPr>
      </w:pPr>
      <w:bookmarkStart w:id="59" w:name="_Toc214532537"/>
      <w:r>
        <w:rPr>
          <w:rFonts w:ascii="Times New Roman"/>
        </w:rPr>
        <w:t>施用方式</w:t>
      </w:r>
      <w:bookmarkEnd w:id="59"/>
    </w:p>
    <w:p w14:paraId="4BB85CA3">
      <w:pPr>
        <w:pStyle w:val="167"/>
      </w:pPr>
      <w:r>
        <w:rPr>
          <w:rFonts w:ascii="Times New Roman"/>
        </w:rPr>
        <w:t>选用雾化</w:t>
      </w:r>
      <w:r>
        <w:t>效果好的喷雾器或无人机，</w:t>
      </w:r>
      <w:r>
        <w:rPr>
          <w:rFonts w:hint="eastAsia"/>
        </w:rPr>
        <w:t>无人机施药按</w:t>
      </w:r>
      <w:r>
        <w:rPr>
          <w:rFonts w:hint="eastAsia" w:hAnsi="宋体"/>
        </w:rPr>
        <w:t>NY/T 4259的规定执行，</w:t>
      </w:r>
      <w:r>
        <w:t>在无风或微风的晴天，上午10时前或下午4时后喷施</w:t>
      </w:r>
      <w:r>
        <w:rPr>
          <w:rFonts w:hint="eastAsia"/>
        </w:rPr>
        <w:t>次生代谢物</w:t>
      </w:r>
      <w:r>
        <w:t>，重点喷施新梢及幼嫩叶片背面。</w:t>
      </w:r>
    </w:p>
    <w:p w14:paraId="344E6C12">
      <w:pPr>
        <w:pStyle w:val="167"/>
      </w:pPr>
      <w:r>
        <w:rPr>
          <w:rFonts w:hint="eastAsia" w:ascii="Times New Roman"/>
        </w:rPr>
        <w:t>叶面型次生代谢物的使用按</w:t>
      </w:r>
      <w:r>
        <w:rPr>
          <w:rFonts w:hAnsi="宋体"/>
        </w:rPr>
        <w:t>NY/T 393</w:t>
      </w:r>
      <w:r>
        <w:rPr>
          <w:rFonts w:hint="eastAsia" w:hAnsi="宋体"/>
        </w:rPr>
        <w:t>和</w:t>
      </w:r>
      <w:r>
        <w:rPr>
          <w:rFonts w:hAnsi="宋体"/>
        </w:rPr>
        <w:t>NY/T 394</w:t>
      </w:r>
      <w:r>
        <w:rPr>
          <w:rFonts w:hint="eastAsia" w:hAnsi="宋体"/>
        </w:rPr>
        <w:t>的规定执行</w:t>
      </w:r>
      <w:r>
        <w:rPr>
          <w:rFonts w:hint="eastAsia" w:ascii="Times New Roman"/>
        </w:rPr>
        <w:t>，</w:t>
      </w:r>
      <w:r>
        <w:t>稀释倍数</w:t>
      </w:r>
      <w:r>
        <w:rPr>
          <w:rFonts w:hint="eastAsia"/>
        </w:rPr>
        <w:t>宜</w:t>
      </w:r>
      <w:r>
        <w:t>为300</w:t>
      </w:r>
      <w:r>
        <w:rPr>
          <w:rFonts w:hint="eastAsia"/>
        </w:rPr>
        <w:t>～</w:t>
      </w:r>
      <w:r>
        <w:t>500倍</w:t>
      </w:r>
      <w:r>
        <w:rPr>
          <w:rFonts w:hint="eastAsia"/>
        </w:rPr>
        <w:t>，</w:t>
      </w:r>
      <w:r>
        <w:t>喷施量以叶片正反面均匀湿润但不形成水滴流淌为度，用量</w:t>
      </w:r>
      <w:r>
        <w:rPr>
          <w:rFonts w:hint="eastAsia"/>
        </w:rPr>
        <w:t>宜</w:t>
      </w:r>
      <w:r>
        <w:t>为150</w:t>
      </w:r>
      <w:r>
        <w:rPr>
          <w:vertAlign w:val="subscript"/>
        </w:rPr>
        <w:t xml:space="preserve"> </w:t>
      </w:r>
      <w:r>
        <w:t>L/ha</w:t>
      </w:r>
      <w:r>
        <w:rPr>
          <w:rFonts w:hint="eastAsia"/>
        </w:rPr>
        <w:t>～</w:t>
      </w:r>
      <w:r>
        <w:t>225</w:t>
      </w:r>
      <w:r>
        <w:rPr>
          <w:vertAlign w:val="subscript"/>
        </w:rPr>
        <w:t xml:space="preserve"> </w:t>
      </w:r>
      <w:r>
        <w:t>L/ha。</w:t>
      </w:r>
    </w:p>
    <w:p w14:paraId="3F94AC35">
      <w:pPr>
        <w:pStyle w:val="108"/>
        <w:spacing w:before="120" w:after="120"/>
        <w:rPr>
          <w:rFonts w:ascii="Times New Roman"/>
        </w:rPr>
      </w:pPr>
      <w:bookmarkStart w:id="60" w:name="_Toc214532538"/>
      <w:r>
        <w:rPr>
          <w:rFonts w:ascii="Times New Roman"/>
        </w:rPr>
        <w:t>根部施</w:t>
      </w:r>
      <w:bookmarkEnd w:id="60"/>
      <w:r>
        <w:rPr>
          <w:rFonts w:hint="eastAsia" w:ascii="Times New Roman"/>
        </w:rPr>
        <w:t>用</w:t>
      </w:r>
    </w:p>
    <w:p w14:paraId="459F3389">
      <w:pPr>
        <w:pStyle w:val="68"/>
        <w:spacing w:before="120" w:after="120"/>
        <w:rPr>
          <w:rFonts w:ascii="Times New Roman"/>
        </w:rPr>
      </w:pPr>
      <w:bookmarkStart w:id="61" w:name="_Toc214532539"/>
      <w:r>
        <w:rPr>
          <w:rFonts w:ascii="Times New Roman"/>
        </w:rPr>
        <w:t>施用时期</w:t>
      </w:r>
      <w:bookmarkEnd w:id="61"/>
    </w:p>
    <w:p w14:paraId="0788F726">
      <w:pPr>
        <w:pStyle w:val="59"/>
        <w:ind w:firstLine="420"/>
        <w:rPr>
          <w:rFonts w:hint="eastAsia" w:hAnsi="宋体"/>
        </w:rPr>
      </w:pPr>
      <w:r>
        <w:rPr>
          <w:rFonts w:hint="eastAsia" w:hAnsi="宋体"/>
        </w:rPr>
        <w:t>宜在</w:t>
      </w:r>
      <w:r>
        <w:rPr>
          <w:rFonts w:hAnsi="宋体"/>
        </w:rPr>
        <w:t>秋季茶树休眠期（10</w:t>
      </w:r>
      <w:r>
        <w:rPr>
          <w:rFonts w:hint="eastAsia" w:hAnsi="宋体"/>
        </w:rPr>
        <w:t>～</w:t>
      </w:r>
      <w:r>
        <w:rPr>
          <w:rFonts w:hAnsi="宋体"/>
        </w:rPr>
        <w:t>11月）</w:t>
      </w:r>
      <w:r>
        <w:rPr>
          <w:rFonts w:hint="eastAsia" w:hAnsi="宋体"/>
        </w:rPr>
        <w:t>施用基肥</w:t>
      </w:r>
      <w:r>
        <w:rPr>
          <w:rFonts w:hAnsi="宋体"/>
        </w:rPr>
        <w:t>；春茶采摘后（5</w:t>
      </w:r>
      <w:r>
        <w:rPr>
          <w:rFonts w:hint="eastAsia" w:hAnsi="宋体"/>
        </w:rPr>
        <w:t>～</w:t>
      </w:r>
      <w:r>
        <w:rPr>
          <w:rFonts w:hAnsi="宋体"/>
        </w:rPr>
        <w:t>6月），夏茶采摘后（7</w:t>
      </w:r>
      <w:r>
        <w:rPr>
          <w:rFonts w:hint="eastAsia" w:hAnsi="宋体"/>
        </w:rPr>
        <w:t>～</w:t>
      </w:r>
      <w:r>
        <w:rPr>
          <w:rFonts w:hAnsi="宋体"/>
        </w:rPr>
        <w:t>8月）</w:t>
      </w:r>
      <w:r>
        <w:rPr>
          <w:rFonts w:hint="eastAsia" w:hAnsi="宋体"/>
        </w:rPr>
        <w:t>进行追肥</w:t>
      </w:r>
      <w:r>
        <w:rPr>
          <w:rFonts w:ascii="Times New Roman"/>
        </w:rPr>
        <w:t>。</w:t>
      </w:r>
    </w:p>
    <w:p w14:paraId="2C7E2142">
      <w:pPr>
        <w:pStyle w:val="68"/>
        <w:spacing w:before="120" w:after="120"/>
        <w:rPr>
          <w:rFonts w:ascii="Times New Roman"/>
        </w:rPr>
      </w:pPr>
      <w:bookmarkStart w:id="62" w:name="_Toc214532540"/>
      <w:r>
        <w:rPr>
          <w:rFonts w:ascii="Times New Roman"/>
        </w:rPr>
        <w:t>施用方式</w:t>
      </w:r>
      <w:bookmarkEnd w:id="62"/>
    </w:p>
    <w:p w14:paraId="7DCE9A25">
      <w:pPr>
        <w:pStyle w:val="167"/>
      </w:pPr>
      <w:r>
        <w:t>在茶树树冠垂直投影的边缘线内侧约10</w:t>
      </w:r>
      <w:r>
        <w:rPr>
          <w:rFonts w:hint="eastAsia"/>
        </w:rPr>
        <w:t>～</w:t>
      </w:r>
      <w:r>
        <w:t>15</w:t>
      </w:r>
      <w:r>
        <w:rPr>
          <w:vertAlign w:val="subscript"/>
        </w:rPr>
        <w:t xml:space="preserve"> </w:t>
      </w:r>
      <w:r>
        <w:t>cm处，使用施肥器或工具在预定位置开出达到规定深度的穴或沟，将</w:t>
      </w:r>
      <w:r>
        <w:rPr>
          <w:rFonts w:hint="eastAsia"/>
        </w:rPr>
        <w:t>次生代谢物</w:t>
      </w:r>
      <w:r>
        <w:t>投入穴底，立即覆土并轻微压实。</w:t>
      </w:r>
    </w:p>
    <w:p w14:paraId="79FC6DFB">
      <w:pPr>
        <w:pStyle w:val="167"/>
      </w:pPr>
      <w:r>
        <w:t>布点方式：沿茶行两侧，每丛茶树对称布设2</w:t>
      </w:r>
      <w:r>
        <w:rPr>
          <w:rFonts w:hint="eastAsia"/>
        </w:rPr>
        <w:t>～</w:t>
      </w:r>
      <w:r>
        <w:t>4个施肥点</w:t>
      </w:r>
      <w:r>
        <w:rPr>
          <w:rFonts w:hint="eastAsia"/>
        </w:rPr>
        <w:t>。</w:t>
      </w:r>
    </w:p>
    <w:p w14:paraId="64142FCA">
      <w:pPr>
        <w:pStyle w:val="167"/>
      </w:pPr>
      <w:r>
        <w:t>施用深度：成年茶园15</w:t>
      </w:r>
      <w:r>
        <w:rPr>
          <w:vertAlign w:val="subscript"/>
        </w:rPr>
        <w:t xml:space="preserve"> </w:t>
      </w:r>
      <w:r>
        <w:t>cm</w:t>
      </w:r>
      <w:r>
        <w:rPr>
          <w:rFonts w:hint="eastAsia"/>
        </w:rPr>
        <w:t>～</w:t>
      </w:r>
      <w:r>
        <w:t>25</w:t>
      </w:r>
      <w:r>
        <w:rPr>
          <w:vertAlign w:val="subscript"/>
        </w:rPr>
        <w:t xml:space="preserve"> </w:t>
      </w:r>
      <w:r>
        <w:t>cm，幼龄茶园10</w:t>
      </w:r>
      <w:r>
        <w:rPr>
          <w:vertAlign w:val="subscript"/>
        </w:rPr>
        <w:t xml:space="preserve"> </w:t>
      </w:r>
      <w:r>
        <w:t>cm</w:t>
      </w:r>
      <w:r>
        <w:rPr>
          <w:rFonts w:hint="eastAsia"/>
        </w:rPr>
        <w:t>～</w:t>
      </w:r>
      <w:r>
        <w:t>15</w:t>
      </w:r>
      <w:r>
        <w:rPr>
          <w:vertAlign w:val="subscript"/>
        </w:rPr>
        <w:t xml:space="preserve"> </w:t>
      </w:r>
      <w:r>
        <w:t>cm，</w:t>
      </w:r>
      <w:r>
        <w:rPr>
          <w:rFonts w:hint="eastAsia"/>
        </w:rPr>
        <w:t>不应</w:t>
      </w:r>
      <w:r>
        <w:t>伤及未完全扩展的根系</w:t>
      </w:r>
      <w:r>
        <w:rPr>
          <w:rFonts w:hint="eastAsia"/>
        </w:rPr>
        <w:t>。</w:t>
      </w:r>
    </w:p>
    <w:p w14:paraId="757A5117">
      <w:pPr>
        <w:pStyle w:val="167"/>
      </w:pPr>
      <w:r>
        <w:t>施用量：成年丰产茶园，投放</w:t>
      </w:r>
      <w:r>
        <w:rPr>
          <w:rFonts w:hint="eastAsia"/>
        </w:rPr>
        <w:t>次生代谢物</w:t>
      </w:r>
      <w:r>
        <w:t>100</w:t>
      </w:r>
      <w:r>
        <w:rPr>
          <w:vertAlign w:val="subscript"/>
        </w:rPr>
        <w:t xml:space="preserve"> </w:t>
      </w:r>
      <w:r>
        <w:t>kg/ha</w:t>
      </w:r>
      <w:r>
        <w:rPr>
          <w:rFonts w:hint="eastAsia"/>
        </w:rPr>
        <w:t>～</w:t>
      </w:r>
      <w:r>
        <w:t>150</w:t>
      </w:r>
      <w:r>
        <w:rPr>
          <w:vertAlign w:val="subscript"/>
        </w:rPr>
        <w:t xml:space="preserve"> </w:t>
      </w:r>
      <w:r>
        <w:t>kg/ha；幼龄或长势偏弱茶园投放</w:t>
      </w:r>
      <w:r>
        <w:rPr>
          <w:rFonts w:hint="eastAsia"/>
        </w:rPr>
        <w:t>次生代谢物</w:t>
      </w:r>
      <w:r>
        <w:t>50</w:t>
      </w:r>
      <w:r>
        <w:rPr>
          <w:vertAlign w:val="subscript"/>
        </w:rPr>
        <w:t xml:space="preserve"> </w:t>
      </w:r>
      <w:r>
        <w:t>kg/ha</w:t>
      </w:r>
      <w:r>
        <w:rPr>
          <w:rFonts w:hint="eastAsia"/>
        </w:rPr>
        <w:t>～</w:t>
      </w:r>
      <w:r>
        <w:t>100</w:t>
      </w:r>
      <w:r>
        <w:rPr>
          <w:vertAlign w:val="subscript"/>
        </w:rPr>
        <w:t xml:space="preserve"> </w:t>
      </w:r>
      <w:r>
        <w:t>kg/ha。</w:t>
      </w:r>
    </w:p>
    <w:p w14:paraId="7085D118">
      <w:pPr>
        <w:pStyle w:val="107"/>
        <w:spacing w:before="240" w:after="240"/>
      </w:pPr>
      <w:bookmarkStart w:id="63" w:name="_Toc214532541"/>
      <w:r>
        <w:t>效果评价</w:t>
      </w:r>
      <w:bookmarkEnd w:id="63"/>
    </w:p>
    <w:p w14:paraId="58B37BBB">
      <w:pPr>
        <w:pStyle w:val="108"/>
        <w:spacing w:before="120" w:after="120"/>
      </w:pPr>
      <w:r>
        <w:rPr>
          <w:rFonts w:hint="eastAsia"/>
        </w:rPr>
        <w:t>叶面施用</w:t>
      </w:r>
      <w:r>
        <w:rPr>
          <w:rFonts w:hint="eastAsia"/>
          <w:lang w:val="en-US" w:eastAsia="zh-CN"/>
        </w:rPr>
        <w:t>评价</w:t>
      </w:r>
    </w:p>
    <w:p w14:paraId="789E9211">
      <w:pPr>
        <w:pStyle w:val="59"/>
        <w:ind w:firstLine="420"/>
        <w:rPr>
          <w:rFonts w:hint="eastAsia" w:hAnsi="宋体"/>
        </w:rPr>
      </w:pPr>
      <w:bookmarkStart w:id="64" w:name="OLE_LINK4"/>
      <w:r>
        <w:t>喷施后7</w:t>
      </w:r>
      <w:r>
        <w:rPr>
          <w:rFonts w:hint="eastAsia"/>
          <w:vertAlign w:val="subscript"/>
        </w:rPr>
        <w:t xml:space="preserve"> </w:t>
      </w:r>
      <w:r>
        <w:rPr>
          <w:rFonts w:hint="eastAsia"/>
        </w:rPr>
        <w:t>d～</w:t>
      </w:r>
      <w:r>
        <w:t>15</w:t>
      </w:r>
      <w:r>
        <w:rPr>
          <w:rFonts w:hint="eastAsia"/>
          <w:vertAlign w:val="subscript"/>
        </w:rPr>
        <w:t xml:space="preserve"> </w:t>
      </w:r>
      <w:r>
        <w:rPr>
          <w:rFonts w:hint="eastAsia"/>
        </w:rPr>
        <w:t>d，</w:t>
      </w:r>
      <w:r>
        <w:rPr>
          <w:rFonts w:hAnsi="宋体"/>
        </w:rPr>
        <w:t>观察新梢生长速度、叶色转绿情况、叶片厚度与光泽度</w:t>
      </w:r>
      <w:r>
        <w:rPr>
          <w:rFonts w:hint="eastAsia" w:hAnsi="宋体"/>
        </w:rPr>
        <w:t>、病虫害发生情况，相对叶绿素含量（SPAD值）</w:t>
      </w:r>
      <w:r>
        <w:rPr>
          <w:rFonts w:hAnsi="宋体"/>
        </w:rPr>
        <w:t>35</w:t>
      </w:r>
      <w:r>
        <w:rPr>
          <w:rFonts w:hint="eastAsia" w:hAnsi="宋体"/>
        </w:rPr>
        <w:t>～</w:t>
      </w:r>
      <w:r>
        <w:rPr>
          <w:rFonts w:hAnsi="宋体"/>
        </w:rPr>
        <w:t>50</w:t>
      </w:r>
      <w:r>
        <w:rPr>
          <w:rFonts w:hint="eastAsia" w:hAnsi="宋体"/>
        </w:rPr>
        <w:t>，</w:t>
      </w:r>
      <w:r>
        <w:rPr>
          <w:rFonts w:hAnsi="宋体"/>
        </w:rPr>
        <w:t>百芽重增长率8％</w:t>
      </w:r>
      <w:r>
        <w:rPr>
          <w:rFonts w:hint="eastAsia" w:hAnsi="宋体"/>
        </w:rPr>
        <w:t>～</w:t>
      </w:r>
      <w:r>
        <w:rPr>
          <w:rFonts w:hAnsi="宋体"/>
        </w:rPr>
        <w:t>20％</w:t>
      </w:r>
      <w:r>
        <w:rPr>
          <w:rFonts w:hint="eastAsia" w:hAnsi="宋体"/>
        </w:rPr>
        <w:t>，病虫害发生率降低百分比</w:t>
      </w:r>
      <w:r>
        <w:rPr>
          <w:rFonts w:hAnsi="宋体"/>
        </w:rPr>
        <w:t>3</w:t>
      </w:r>
      <w:r>
        <w:rPr>
          <w:rFonts w:hint="eastAsia" w:hAnsi="宋体"/>
        </w:rPr>
        <w:t>0</w:t>
      </w:r>
      <w:r>
        <w:rPr>
          <w:rFonts w:hAnsi="宋体"/>
        </w:rPr>
        <w:t>％～50</w:t>
      </w:r>
      <w:r>
        <w:rPr>
          <w:rFonts w:hint="eastAsia" w:hAnsi="宋体"/>
        </w:rPr>
        <w:t>％。</w:t>
      </w:r>
    </w:p>
    <w:bookmarkEnd w:id="64"/>
    <w:p w14:paraId="76568DE9">
      <w:pPr>
        <w:pStyle w:val="108"/>
        <w:spacing w:before="120" w:after="120"/>
      </w:pPr>
      <w:r>
        <w:rPr>
          <w:rFonts w:hint="eastAsia"/>
        </w:rPr>
        <w:t>根施施用</w:t>
      </w:r>
      <w:r>
        <w:rPr>
          <w:rFonts w:hint="eastAsia"/>
          <w:lang w:val="en-US" w:eastAsia="zh-CN"/>
        </w:rPr>
        <w:t>评价</w:t>
      </w:r>
    </w:p>
    <w:p w14:paraId="718F07AC">
      <w:pPr>
        <w:pStyle w:val="59"/>
        <w:ind w:firstLine="420"/>
        <w:rPr>
          <w:rFonts w:hint="eastAsia" w:hAnsi="宋体"/>
        </w:rPr>
      </w:pPr>
      <w:r>
        <w:t>根施后1</w:t>
      </w:r>
      <w:r>
        <w:rPr>
          <w:rFonts w:hint="eastAsia"/>
        </w:rPr>
        <w:t>～</w:t>
      </w:r>
      <w:r>
        <w:t>2个月</w:t>
      </w:r>
      <w:r>
        <w:rPr>
          <w:rFonts w:hint="eastAsia"/>
        </w:rPr>
        <w:t>，</w:t>
      </w:r>
      <w:r>
        <w:rPr>
          <w:rFonts w:hAnsi="宋体"/>
        </w:rPr>
        <w:t>评估茶树整体长势、抗逆性（如抗旱、抗寒）及土壤</w:t>
      </w:r>
      <w:r>
        <w:rPr>
          <w:rFonts w:hint="eastAsia" w:hAnsi="宋体"/>
        </w:rPr>
        <w:t>质量，土壤质量评估按</w:t>
      </w:r>
      <w:r>
        <w:rPr>
          <w:rFonts w:hAnsi="宋体"/>
        </w:rPr>
        <w:t>HJ/T 332</w:t>
      </w:r>
      <w:r>
        <w:rPr>
          <w:rFonts w:hint="eastAsia" w:ascii="Times New Roman"/>
        </w:rPr>
        <w:t>的规定执行</w:t>
      </w:r>
      <w:r>
        <w:rPr>
          <w:rFonts w:hint="eastAsia" w:hAnsi="宋体"/>
        </w:rPr>
        <w:t>，病虫害发生情况，相对叶绿素含量（SPAD值）</w:t>
      </w:r>
      <w:r>
        <w:rPr>
          <w:rFonts w:hAnsi="宋体"/>
        </w:rPr>
        <w:t>35～50</w:t>
      </w:r>
      <w:r>
        <w:rPr>
          <w:rFonts w:hint="eastAsia" w:hAnsi="宋体"/>
        </w:rPr>
        <w:t>，</w:t>
      </w:r>
      <w:r>
        <w:rPr>
          <w:rFonts w:hAnsi="宋体"/>
        </w:rPr>
        <w:t>百芽重增长率8％～20％</w:t>
      </w:r>
      <w:r>
        <w:rPr>
          <w:rFonts w:hint="eastAsia" w:hAnsi="宋体"/>
        </w:rPr>
        <w:t>，病虫害发生率降低百分比</w:t>
      </w:r>
      <w:r>
        <w:rPr>
          <w:rFonts w:hAnsi="宋体"/>
        </w:rPr>
        <w:t>3</w:t>
      </w:r>
      <w:r>
        <w:rPr>
          <w:rFonts w:hint="eastAsia" w:hAnsi="宋体"/>
        </w:rPr>
        <w:t>0</w:t>
      </w:r>
      <w:r>
        <w:rPr>
          <w:rFonts w:hAnsi="宋体"/>
        </w:rPr>
        <w:t>％～50</w:t>
      </w:r>
      <w:r>
        <w:rPr>
          <w:rFonts w:hint="eastAsia" w:hAnsi="宋体"/>
        </w:rPr>
        <w:t>％。</w:t>
      </w:r>
    </w:p>
    <w:p w14:paraId="3008F45C">
      <w:pPr>
        <w:pStyle w:val="107"/>
        <w:spacing w:before="240" w:after="240"/>
      </w:pPr>
      <w:r>
        <w:rPr>
          <w:rFonts w:hint="eastAsia"/>
        </w:rPr>
        <w:t>档案</w:t>
      </w:r>
      <w:r>
        <w:t>记录</w:t>
      </w:r>
    </w:p>
    <w:p w14:paraId="62934935">
      <w:pPr>
        <w:pStyle w:val="59"/>
        <w:ind w:firstLine="420"/>
      </w:pPr>
      <w:r>
        <w:rPr>
          <w:rFonts w:hint="eastAsia"/>
        </w:rPr>
        <w:t>应</w:t>
      </w:r>
      <w:r>
        <w:t>详细记录每次施用的时间、方式、用量、天气及后续效果，</w:t>
      </w:r>
      <w:r>
        <w:rPr>
          <w:rFonts w:hint="eastAsia"/>
        </w:rPr>
        <w:t>并</w:t>
      </w:r>
      <w:r>
        <w:t>建立茶园</w:t>
      </w:r>
      <w:r>
        <w:rPr>
          <w:rFonts w:hint="eastAsia"/>
        </w:rPr>
        <w:t>2年</w:t>
      </w:r>
      <w:r>
        <w:t>管理档案</w:t>
      </w:r>
      <w:r>
        <w:rPr>
          <w:rFonts w:hint="eastAsia"/>
        </w:rPr>
        <w:t>，档案记录表格示例见附录B</w:t>
      </w:r>
      <w:r>
        <w:t>。</w:t>
      </w:r>
    </w:p>
    <w:p w14:paraId="28A95DCB">
      <w:pPr>
        <w:pStyle w:val="59"/>
        <w:ind w:firstLine="420"/>
        <w:rPr>
          <w:color w:val="000000" w:themeColor="text1"/>
          <w14:textFill>
            <w14:solidFill>
              <w14:schemeClr w14:val="tx1"/>
            </w14:solidFill>
          </w14:textFill>
        </w:rPr>
        <w:sectPr>
          <w:pgSz w:w="11906" w:h="16838"/>
          <w:pgMar w:top="1928" w:right="1134" w:bottom="1134" w:left="1134" w:header="1418" w:footer="1134" w:gutter="284"/>
          <w:pgNumType w:start="1"/>
          <w:cols w:space="425" w:num="1"/>
          <w:formProt w:val="0"/>
          <w:docGrid w:linePitch="312" w:charSpace="0"/>
        </w:sectPr>
      </w:pPr>
    </w:p>
    <w:bookmarkEnd w:id="25"/>
    <w:p w14:paraId="3CBB364C">
      <w:pPr>
        <w:pStyle w:val="201"/>
        <w:rPr>
          <w:rFonts w:hint="eastAsia"/>
        </w:rPr>
      </w:pPr>
      <w:bookmarkStart w:id="65" w:name="BookMark5"/>
    </w:p>
    <w:p w14:paraId="70B4E9AC">
      <w:pPr>
        <w:pStyle w:val="202"/>
      </w:pPr>
    </w:p>
    <w:p w14:paraId="1C528BE6">
      <w:pPr>
        <w:pStyle w:val="79"/>
        <w:spacing w:after="120"/>
      </w:pPr>
      <w:r>
        <w:br w:type="textWrapping"/>
      </w:r>
      <w:r>
        <w:rPr>
          <w:rFonts w:hint="eastAsia"/>
        </w:rPr>
        <w:t>（资料性）</w:t>
      </w:r>
      <w:r>
        <w:br w:type="textWrapping"/>
      </w:r>
      <w:r>
        <w:rPr>
          <w:rFonts w:hint="eastAsia"/>
        </w:rPr>
        <w:t>次生代谢物生物制剂</w:t>
      </w:r>
    </w:p>
    <w:p w14:paraId="3CE1CC12">
      <w:pPr>
        <w:pStyle w:val="59"/>
        <w:ind w:firstLine="420"/>
      </w:pPr>
      <w:r>
        <w:rPr>
          <w:rFonts w:hint="eastAsia"/>
        </w:rPr>
        <w:t>叶面典型次生代谢物种类见表A.1，根施典型次生代谢物种类见表A.2。</w:t>
      </w:r>
    </w:p>
    <w:p w14:paraId="517ED00E">
      <w:pPr>
        <w:pStyle w:val="80"/>
        <w:spacing w:before="120" w:after="120"/>
      </w:pPr>
      <w:r>
        <w:rPr>
          <w:rFonts w:hint="eastAsia"/>
        </w:rPr>
        <w:t>典型叶面次生代谢物</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128"/>
        <w:gridCol w:w="3528"/>
        <w:gridCol w:w="3678"/>
      </w:tblGrid>
      <w:tr w14:paraId="48DB25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128" w:type="dxa"/>
            <w:tcBorders>
              <w:top w:val="single" w:color="auto" w:sz="8" w:space="0"/>
              <w:bottom w:val="single" w:color="auto" w:sz="8" w:space="0"/>
            </w:tcBorders>
            <w:vAlign w:val="center"/>
          </w:tcPr>
          <w:p w14:paraId="5124F0E0">
            <w:pPr>
              <w:pStyle w:val="181"/>
            </w:pPr>
            <w:r>
              <w:rPr>
                <w:rFonts w:hint="eastAsia"/>
              </w:rPr>
              <w:t>名称</w:t>
            </w:r>
          </w:p>
        </w:tc>
        <w:tc>
          <w:tcPr>
            <w:tcW w:w="3528" w:type="dxa"/>
            <w:tcBorders>
              <w:top w:val="single" w:color="auto" w:sz="8" w:space="0"/>
              <w:bottom w:val="single" w:color="auto" w:sz="8" w:space="0"/>
            </w:tcBorders>
            <w:vAlign w:val="center"/>
          </w:tcPr>
          <w:p w14:paraId="11399200">
            <w:pPr>
              <w:pStyle w:val="181"/>
            </w:pPr>
            <w:r>
              <w:rPr>
                <w:rFonts w:hint="eastAsia"/>
              </w:rPr>
              <w:t>主要成分及比例</w:t>
            </w:r>
          </w:p>
        </w:tc>
        <w:tc>
          <w:tcPr>
            <w:tcW w:w="3678" w:type="dxa"/>
            <w:tcBorders>
              <w:top w:val="single" w:color="auto" w:sz="8" w:space="0"/>
              <w:bottom w:val="single" w:color="auto" w:sz="8" w:space="0"/>
            </w:tcBorders>
            <w:vAlign w:val="center"/>
          </w:tcPr>
          <w:p w14:paraId="68A2CE8F">
            <w:pPr>
              <w:pStyle w:val="181"/>
            </w:pPr>
            <w:r>
              <w:rPr>
                <w:rFonts w:hint="eastAsia"/>
              </w:rPr>
              <w:t>用法</w:t>
            </w:r>
          </w:p>
        </w:tc>
      </w:tr>
      <w:tr w14:paraId="7D2A8D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28" w:type="dxa"/>
            <w:tcBorders>
              <w:top w:val="single" w:color="auto" w:sz="8" w:space="0"/>
            </w:tcBorders>
            <w:vAlign w:val="center"/>
          </w:tcPr>
          <w:p w14:paraId="1A3AB2BD">
            <w:pPr>
              <w:pStyle w:val="181"/>
            </w:pPr>
            <w:r>
              <w:t>茉莉酸甲酯微囊悬浮剂</w:t>
            </w:r>
          </w:p>
        </w:tc>
        <w:tc>
          <w:tcPr>
            <w:tcW w:w="3528" w:type="dxa"/>
            <w:tcBorders>
              <w:top w:val="single" w:color="auto" w:sz="8" w:space="0"/>
            </w:tcBorders>
            <w:vAlign w:val="center"/>
          </w:tcPr>
          <w:p w14:paraId="24ED51DE">
            <w:pPr>
              <w:pStyle w:val="181"/>
            </w:pPr>
            <w:r>
              <w:rPr>
                <w:rFonts w:hint="eastAsia"/>
              </w:rPr>
              <w:t>茉莉酸甲酯0.5%；</w:t>
            </w:r>
          </w:p>
          <w:p w14:paraId="3F6A86EB">
            <w:pPr>
              <w:pStyle w:val="181"/>
            </w:pPr>
            <w:r>
              <w:rPr>
                <w:rFonts w:hint="eastAsia"/>
              </w:rPr>
              <w:t>壳聚糖-海藻酸钠聚电解质膜2%；</w:t>
            </w:r>
          </w:p>
          <w:p w14:paraId="58E7AD36">
            <w:pPr>
              <w:pStyle w:val="181"/>
            </w:pPr>
            <w:r>
              <w:rPr>
                <w:rFonts w:hint="eastAsia"/>
              </w:rPr>
              <w:t>乳化剂5%，水92.5%</w:t>
            </w:r>
          </w:p>
        </w:tc>
        <w:tc>
          <w:tcPr>
            <w:tcW w:w="3678" w:type="dxa"/>
            <w:tcBorders>
              <w:top w:val="single" w:color="auto" w:sz="8" w:space="0"/>
            </w:tcBorders>
            <w:vAlign w:val="center"/>
          </w:tcPr>
          <w:p w14:paraId="4AECE56E">
            <w:pPr>
              <w:pStyle w:val="181"/>
            </w:pPr>
            <w:r>
              <w:t>稀释300～500倍，于新梢一芽一叶期喷施叶片正反面，间隔7～10 d喷1次，连续2～3次。</w:t>
            </w:r>
          </w:p>
        </w:tc>
      </w:tr>
      <w:tr w14:paraId="2DDBCF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28" w:type="dxa"/>
            <w:vAlign w:val="center"/>
          </w:tcPr>
          <w:p w14:paraId="6487CC60">
            <w:pPr>
              <w:pStyle w:val="181"/>
            </w:pPr>
            <w:r>
              <w:t>水杨酸壳聚糖纳米悬浮剂</w:t>
            </w:r>
          </w:p>
        </w:tc>
        <w:tc>
          <w:tcPr>
            <w:tcW w:w="3528" w:type="dxa"/>
            <w:vAlign w:val="center"/>
          </w:tcPr>
          <w:p w14:paraId="584B6EB4">
            <w:pPr>
              <w:pStyle w:val="181"/>
            </w:pPr>
            <w:r>
              <w:rPr>
                <w:rFonts w:hint="eastAsia"/>
              </w:rPr>
              <w:t>水杨酸1%；</w:t>
            </w:r>
          </w:p>
          <w:p w14:paraId="60E2CE40">
            <w:pPr>
              <w:pStyle w:val="181"/>
            </w:pPr>
            <w:r>
              <w:rPr>
                <w:rFonts w:hint="eastAsia"/>
              </w:rPr>
              <w:t>羧甲基壳聚糖1.5%；</w:t>
            </w:r>
          </w:p>
          <w:p w14:paraId="48B860F5">
            <w:pPr>
              <w:pStyle w:val="181"/>
            </w:pPr>
            <w:r>
              <w:rPr>
                <w:rFonts w:hint="eastAsia"/>
              </w:rPr>
              <w:t>表面活性剂3%，水94.5%</w:t>
            </w:r>
          </w:p>
        </w:tc>
        <w:tc>
          <w:tcPr>
            <w:tcW w:w="3678" w:type="dxa"/>
            <w:vAlign w:val="center"/>
          </w:tcPr>
          <w:p w14:paraId="646C67ED">
            <w:pPr>
              <w:pStyle w:val="181"/>
            </w:pPr>
            <w:r>
              <w:t>稀释400～600倍，于干旱、低温等逆境前后喷施，重点喷施嫩梢叶片背面。</w:t>
            </w:r>
          </w:p>
        </w:tc>
      </w:tr>
      <w:tr w14:paraId="5BE5F3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28" w:type="dxa"/>
            <w:vAlign w:val="center"/>
          </w:tcPr>
          <w:p w14:paraId="64B5657A">
            <w:pPr>
              <w:pStyle w:val="181"/>
            </w:pPr>
            <w:r>
              <w:t>芸苔素内酯·黄酮复合微乳剂</w:t>
            </w:r>
          </w:p>
        </w:tc>
        <w:tc>
          <w:tcPr>
            <w:tcW w:w="3528" w:type="dxa"/>
            <w:vAlign w:val="center"/>
          </w:tcPr>
          <w:p w14:paraId="73F33D23">
            <w:pPr>
              <w:pStyle w:val="181"/>
            </w:pPr>
            <w:r>
              <w:rPr>
                <w:rFonts w:hint="eastAsia"/>
              </w:rPr>
              <w:t>芸苔素内酯0.01%，黄酮类化合物（茶多酚提取物）0.5%；</w:t>
            </w:r>
          </w:p>
          <w:p w14:paraId="557D5808">
            <w:pPr>
              <w:pStyle w:val="181"/>
            </w:pPr>
            <w:r>
              <w:rPr>
                <w:rFonts w:hint="eastAsia"/>
              </w:rPr>
              <w:t>改性淀粉1%；</w:t>
            </w:r>
          </w:p>
          <w:p w14:paraId="1E02E7B1">
            <w:pPr>
              <w:pStyle w:val="181"/>
            </w:pPr>
            <w:r>
              <w:rPr>
                <w:rFonts w:hint="eastAsia"/>
              </w:rPr>
              <w:t>氨基酸0.2%，水98.8%</w:t>
            </w:r>
          </w:p>
        </w:tc>
        <w:tc>
          <w:tcPr>
            <w:tcW w:w="3678" w:type="dxa"/>
            <w:vAlign w:val="center"/>
          </w:tcPr>
          <w:p w14:paraId="707F3A21">
            <w:pPr>
              <w:pStyle w:val="181"/>
            </w:pPr>
            <w:r>
              <w:t>稀释500倍，于春茶萌动前和各轮新梢展叶期喷施，用量150 L/ha～225 L/ha。</w:t>
            </w:r>
          </w:p>
        </w:tc>
      </w:tr>
    </w:tbl>
    <w:p w14:paraId="107756C6">
      <w:pPr>
        <w:pStyle w:val="80"/>
        <w:spacing w:before="120" w:after="120"/>
      </w:pPr>
      <w:r>
        <w:rPr>
          <w:rFonts w:hint="eastAsia"/>
        </w:rPr>
        <w:t>典型根施次生代谢物</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128"/>
        <w:gridCol w:w="3528"/>
        <w:gridCol w:w="3678"/>
      </w:tblGrid>
      <w:tr w14:paraId="53F0BCB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128" w:type="dxa"/>
            <w:tcBorders>
              <w:top w:val="single" w:color="auto" w:sz="8" w:space="0"/>
              <w:bottom w:val="single" w:color="auto" w:sz="8" w:space="0"/>
            </w:tcBorders>
            <w:vAlign w:val="center"/>
          </w:tcPr>
          <w:p w14:paraId="5D1EE16D">
            <w:pPr>
              <w:pStyle w:val="181"/>
            </w:pPr>
            <w:r>
              <w:rPr>
                <w:rFonts w:hint="eastAsia"/>
              </w:rPr>
              <w:t>名称</w:t>
            </w:r>
          </w:p>
        </w:tc>
        <w:tc>
          <w:tcPr>
            <w:tcW w:w="3528" w:type="dxa"/>
            <w:tcBorders>
              <w:top w:val="single" w:color="auto" w:sz="8" w:space="0"/>
              <w:bottom w:val="single" w:color="auto" w:sz="8" w:space="0"/>
            </w:tcBorders>
            <w:vAlign w:val="center"/>
          </w:tcPr>
          <w:p w14:paraId="04BAEDDD">
            <w:pPr>
              <w:pStyle w:val="181"/>
            </w:pPr>
            <w:r>
              <w:rPr>
                <w:rFonts w:hint="eastAsia"/>
              </w:rPr>
              <w:t>主要成分及比例</w:t>
            </w:r>
          </w:p>
        </w:tc>
        <w:tc>
          <w:tcPr>
            <w:tcW w:w="3678" w:type="dxa"/>
            <w:tcBorders>
              <w:top w:val="single" w:color="auto" w:sz="8" w:space="0"/>
              <w:bottom w:val="single" w:color="auto" w:sz="8" w:space="0"/>
            </w:tcBorders>
            <w:vAlign w:val="center"/>
          </w:tcPr>
          <w:p w14:paraId="1243F3E8">
            <w:pPr>
              <w:pStyle w:val="181"/>
            </w:pPr>
            <w:r>
              <w:rPr>
                <w:rFonts w:hint="eastAsia"/>
              </w:rPr>
              <w:t>用法</w:t>
            </w:r>
          </w:p>
        </w:tc>
      </w:tr>
      <w:tr w14:paraId="3AE962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28" w:type="dxa"/>
            <w:tcBorders>
              <w:top w:val="single" w:color="auto" w:sz="8" w:space="0"/>
            </w:tcBorders>
            <w:vAlign w:val="center"/>
          </w:tcPr>
          <w:p w14:paraId="55854DA4">
            <w:pPr>
              <w:pStyle w:val="181"/>
            </w:pPr>
            <w:r>
              <w:t>茶多酚·黄酮缓释颗粒</w:t>
            </w:r>
          </w:p>
        </w:tc>
        <w:tc>
          <w:tcPr>
            <w:tcW w:w="3528" w:type="dxa"/>
            <w:tcBorders>
              <w:top w:val="single" w:color="auto" w:sz="8" w:space="0"/>
            </w:tcBorders>
            <w:vAlign w:val="center"/>
          </w:tcPr>
          <w:p w14:paraId="047E3C50">
            <w:pPr>
              <w:pStyle w:val="181"/>
            </w:pPr>
            <w:r>
              <w:rPr>
                <w:rFonts w:hint="eastAsia"/>
              </w:rPr>
              <w:t>茶多酚8%，黄酮类化合物2%；</w:t>
            </w:r>
          </w:p>
          <w:p w14:paraId="76006225">
            <w:pPr>
              <w:pStyle w:val="181"/>
            </w:pPr>
            <w:r>
              <w:rPr>
                <w:rFonts w:hint="eastAsia"/>
              </w:rPr>
              <w:t>木质素磺酸钠10%，膨润土80%</w:t>
            </w:r>
          </w:p>
        </w:tc>
        <w:tc>
          <w:tcPr>
            <w:tcW w:w="3678" w:type="dxa"/>
            <w:tcBorders>
              <w:top w:val="single" w:color="auto" w:sz="8" w:space="0"/>
            </w:tcBorders>
            <w:vAlign w:val="center"/>
          </w:tcPr>
          <w:p w14:paraId="07C20FEB">
            <w:pPr>
              <w:pStyle w:val="181"/>
            </w:pPr>
            <w:r>
              <w:t>秋季茶树休眠期施基肥，成年茶园100 kg/ha～150 kg/ha，开沟15～25 cm深，覆土。</w:t>
            </w:r>
          </w:p>
        </w:tc>
      </w:tr>
      <w:tr w14:paraId="1DAD07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28" w:type="dxa"/>
            <w:vAlign w:val="center"/>
          </w:tcPr>
          <w:p w14:paraId="2668D801">
            <w:pPr>
              <w:pStyle w:val="181"/>
            </w:pPr>
            <w:r>
              <w:t>萜类根际诱导颗粒</w:t>
            </w:r>
          </w:p>
        </w:tc>
        <w:tc>
          <w:tcPr>
            <w:tcW w:w="3528" w:type="dxa"/>
            <w:vAlign w:val="center"/>
          </w:tcPr>
          <w:p w14:paraId="074014F4">
            <w:pPr>
              <w:pStyle w:val="181"/>
            </w:pPr>
            <w:r>
              <w:rPr>
                <w:rFonts w:hint="eastAsia"/>
              </w:rPr>
              <w:t>茶树根系分泌物类似物（β-石竹烯、柠檬烯等）1%；</w:t>
            </w:r>
          </w:p>
          <w:p w14:paraId="1F336EEA">
            <w:pPr>
              <w:pStyle w:val="181"/>
            </w:pPr>
            <w:r>
              <w:rPr>
                <w:rFonts w:hint="eastAsia"/>
              </w:rPr>
              <w:t>壳聚糖-海藻酸聚电解质膜3%，淀粉载体96%</w:t>
            </w:r>
          </w:p>
        </w:tc>
        <w:tc>
          <w:tcPr>
            <w:tcW w:w="3678" w:type="dxa"/>
            <w:vAlign w:val="center"/>
          </w:tcPr>
          <w:p w14:paraId="1332C49A">
            <w:pPr>
              <w:pStyle w:val="181"/>
            </w:pPr>
            <w:r>
              <w:t>春茶或夏茶采摘后追肥，用量50 kg/ha～100 kg/ha，深度10～20 cm，每丛2～4个点。</w:t>
            </w:r>
          </w:p>
        </w:tc>
      </w:tr>
      <w:tr w14:paraId="4E7AF22C">
        <w:tblPrEx>
          <w:tblCellMar>
            <w:top w:w="0" w:type="dxa"/>
            <w:left w:w="0" w:type="dxa"/>
            <w:bottom w:w="0" w:type="dxa"/>
            <w:right w:w="0" w:type="dxa"/>
          </w:tblCellMar>
        </w:tblPrEx>
        <w:trPr>
          <w:jc w:val="center"/>
        </w:trPr>
        <w:tc>
          <w:tcPr>
            <w:tcW w:w="2128" w:type="dxa"/>
            <w:vAlign w:val="center"/>
          </w:tcPr>
          <w:p w14:paraId="11FC5B7A">
            <w:pPr>
              <w:pStyle w:val="181"/>
            </w:pPr>
            <w:r>
              <w:t>木质素-茶氨酸复合颗粒（含氮有机物）</w:t>
            </w:r>
          </w:p>
        </w:tc>
        <w:tc>
          <w:tcPr>
            <w:tcW w:w="3528" w:type="dxa"/>
            <w:vAlign w:val="center"/>
          </w:tcPr>
          <w:p w14:paraId="4FBB7C76">
            <w:pPr>
              <w:pStyle w:val="181"/>
            </w:pPr>
            <w:r>
              <w:rPr>
                <w:rFonts w:hint="eastAsia"/>
              </w:rPr>
              <w:t>L-茶氨酸5%，茶叶碱0.5%；</w:t>
            </w:r>
          </w:p>
          <w:p w14:paraId="194E0B66">
            <w:pPr>
              <w:pStyle w:val="181"/>
            </w:pPr>
            <w:r>
              <w:rPr>
                <w:rFonts w:hint="eastAsia"/>
              </w:rPr>
              <w:t>碱木质素15%，黏土79.5%</w:t>
            </w:r>
          </w:p>
        </w:tc>
        <w:tc>
          <w:tcPr>
            <w:tcW w:w="3678" w:type="dxa"/>
            <w:vAlign w:val="center"/>
          </w:tcPr>
          <w:p w14:paraId="621804BF">
            <w:pPr>
              <w:pStyle w:val="181"/>
            </w:pPr>
            <w:r>
              <w:t>成年丰产茶园120 kg/ha，幼龄茶园60 kg/ha，开沟施用后覆土并轻微压实。</w:t>
            </w:r>
          </w:p>
        </w:tc>
      </w:tr>
    </w:tbl>
    <w:p w14:paraId="35E5AE72">
      <w:pPr>
        <w:pStyle w:val="59"/>
        <w:ind w:firstLine="420"/>
      </w:pPr>
    </w:p>
    <w:p w14:paraId="70CDC12B">
      <w:pPr>
        <w:pStyle w:val="59"/>
        <w:ind w:firstLine="420"/>
      </w:pPr>
    </w:p>
    <w:p w14:paraId="3D2CFFA7">
      <w:pPr>
        <w:pStyle w:val="59"/>
        <w:ind w:firstLine="420"/>
      </w:pPr>
    </w:p>
    <w:p w14:paraId="11FFF8A3">
      <w:pPr>
        <w:pStyle w:val="59"/>
        <w:ind w:firstLine="420"/>
        <w:sectPr>
          <w:pgSz w:w="11906" w:h="16838"/>
          <w:pgMar w:top="1928" w:right="1134" w:bottom="1134" w:left="1134" w:header="1418" w:footer="1134" w:gutter="284"/>
          <w:cols w:space="425" w:num="1"/>
          <w:formProt w:val="0"/>
          <w:docGrid w:linePitch="312" w:charSpace="0"/>
        </w:sectPr>
      </w:pPr>
    </w:p>
    <w:p w14:paraId="651BD3A1">
      <w:pPr>
        <w:pStyle w:val="201"/>
        <w:rPr>
          <w:rFonts w:hint="eastAsia"/>
        </w:rPr>
      </w:pPr>
    </w:p>
    <w:p w14:paraId="1E5051A8">
      <w:pPr>
        <w:pStyle w:val="202"/>
      </w:pPr>
    </w:p>
    <w:p w14:paraId="21358C6C">
      <w:pPr>
        <w:pStyle w:val="79"/>
        <w:spacing w:after="120"/>
      </w:pPr>
      <w:r>
        <w:br w:type="textWrapping"/>
      </w:r>
      <w:r>
        <w:rPr>
          <w:rFonts w:hint="eastAsia"/>
        </w:rPr>
        <w:t>（资料性）</w:t>
      </w:r>
      <w:r>
        <w:br w:type="textWrapping"/>
      </w:r>
      <w:r>
        <w:rPr>
          <w:rFonts w:hint="eastAsia"/>
        </w:rPr>
        <w:t>次生代谢物茶园生态应用记录表格示例</w:t>
      </w:r>
    </w:p>
    <w:p w14:paraId="41F8B6CF">
      <w:pPr>
        <w:pStyle w:val="59"/>
        <w:ind w:firstLine="420"/>
      </w:pPr>
      <w:r>
        <w:rPr>
          <w:rFonts w:hint="eastAsia"/>
        </w:rPr>
        <w:t>次生代谢物茶园生态应用记录表格示例见表B.1。</w:t>
      </w:r>
    </w:p>
    <w:p w14:paraId="313060A5">
      <w:pPr>
        <w:pStyle w:val="80"/>
        <w:spacing w:before="120" w:after="120"/>
      </w:pPr>
      <w:r>
        <w:rPr>
          <w:rFonts w:hint="eastAsia"/>
        </w:rPr>
        <w:t>次生代谢物茶园生态应用记录表</w:t>
      </w:r>
    </w:p>
    <w:tbl>
      <w:tblPr>
        <w:tblStyle w:val="28"/>
        <w:tblW w:w="478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2"/>
        <w:gridCol w:w="687"/>
        <w:gridCol w:w="690"/>
        <w:gridCol w:w="974"/>
        <w:gridCol w:w="694"/>
        <w:gridCol w:w="969"/>
        <w:gridCol w:w="413"/>
        <w:gridCol w:w="418"/>
        <w:gridCol w:w="1386"/>
        <w:gridCol w:w="831"/>
        <w:gridCol w:w="830"/>
        <w:gridCol w:w="526"/>
      </w:tblGrid>
      <w:tr w14:paraId="2AF64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062" w:type="pct"/>
            <w:gridSpan w:val="3"/>
            <w:noWrap/>
            <w:vAlign w:val="center"/>
          </w:tcPr>
          <w:p w14:paraId="744974E7">
            <w:pPr>
              <w:widowControl/>
              <w:adjustRightInd/>
              <w:spacing w:line="240" w:lineRule="auto"/>
              <w:jc w:val="center"/>
              <w:rPr>
                <w:rFonts w:hint="eastAsia" w:ascii="宋体" w:hAnsi="宋体" w:cs="宋体"/>
                <w:kern w:val="0"/>
                <w:sz w:val="18"/>
                <w:szCs w:val="18"/>
              </w:rPr>
            </w:pPr>
            <w:r>
              <w:rPr>
                <w:rFonts w:hint="eastAsia" w:ascii="宋体" w:hAnsi="宋体" w:cs="宋体"/>
                <w:kern w:val="0"/>
                <w:sz w:val="18"/>
                <w:szCs w:val="18"/>
              </w:rPr>
              <w:t>茶园名称/地块</w:t>
            </w:r>
          </w:p>
        </w:tc>
        <w:tc>
          <w:tcPr>
            <w:tcW w:w="1706" w:type="pct"/>
            <w:gridSpan w:val="4"/>
            <w:vAlign w:val="center"/>
          </w:tcPr>
          <w:p w14:paraId="196A54F6">
            <w:pPr>
              <w:widowControl/>
              <w:adjustRightInd/>
              <w:spacing w:line="240" w:lineRule="auto"/>
              <w:jc w:val="left"/>
              <w:rPr>
                <w:rFonts w:hint="eastAsia" w:ascii="宋体" w:hAnsi="宋体" w:cs="宋体"/>
                <w:kern w:val="0"/>
                <w:sz w:val="18"/>
                <w:szCs w:val="18"/>
              </w:rPr>
            </w:pPr>
          </w:p>
        </w:tc>
        <w:tc>
          <w:tcPr>
            <w:tcW w:w="1009" w:type="pct"/>
            <w:gridSpan w:val="2"/>
            <w:noWrap/>
            <w:vAlign w:val="center"/>
          </w:tcPr>
          <w:p w14:paraId="1F4A1166">
            <w:pPr>
              <w:widowControl/>
              <w:adjustRightInd/>
              <w:spacing w:line="240" w:lineRule="auto"/>
              <w:jc w:val="center"/>
              <w:rPr>
                <w:rFonts w:hint="eastAsia" w:ascii="宋体" w:hAnsi="宋体" w:cs="宋体"/>
                <w:kern w:val="0"/>
                <w:sz w:val="18"/>
                <w:szCs w:val="18"/>
              </w:rPr>
            </w:pPr>
            <w:r>
              <w:rPr>
                <w:rFonts w:hint="eastAsia" w:ascii="宋体" w:hAnsi="宋体" w:cs="宋体"/>
                <w:kern w:val="0"/>
                <w:sz w:val="18"/>
                <w:szCs w:val="18"/>
              </w:rPr>
              <w:t>茶树树龄</w:t>
            </w:r>
          </w:p>
        </w:tc>
        <w:tc>
          <w:tcPr>
            <w:tcW w:w="1223" w:type="pct"/>
            <w:gridSpan w:val="3"/>
            <w:noWrap/>
            <w:vAlign w:val="center"/>
          </w:tcPr>
          <w:p w14:paraId="792404B3">
            <w:pPr>
              <w:widowControl/>
              <w:adjustRightInd/>
              <w:spacing w:line="240" w:lineRule="auto"/>
              <w:jc w:val="left"/>
              <w:rPr>
                <w:rFonts w:hint="eastAsia" w:ascii="宋体" w:hAnsi="宋体" w:cs="宋体"/>
                <w:kern w:val="0"/>
                <w:sz w:val="18"/>
                <w:szCs w:val="18"/>
              </w:rPr>
            </w:pPr>
          </w:p>
        </w:tc>
      </w:tr>
      <w:tr w14:paraId="48745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5000" w:type="pct"/>
            <w:gridSpan w:val="12"/>
            <w:noWrap/>
            <w:vAlign w:val="center"/>
          </w:tcPr>
          <w:p w14:paraId="2E35290B">
            <w:pPr>
              <w:widowControl/>
              <w:adjustRightInd/>
              <w:spacing w:line="240" w:lineRule="auto"/>
              <w:jc w:val="center"/>
              <w:rPr>
                <w:rFonts w:hint="eastAsia" w:ascii="宋体" w:hAnsi="宋体" w:cs="宋体"/>
                <w:kern w:val="0"/>
                <w:sz w:val="18"/>
                <w:szCs w:val="18"/>
              </w:rPr>
            </w:pPr>
            <w:r>
              <w:rPr>
                <w:rFonts w:hint="eastAsia" w:ascii="宋体" w:hAnsi="宋体" w:cs="宋体"/>
                <w:kern w:val="0"/>
                <w:sz w:val="18"/>
                <w:szCs w:val="18"/>
              </w:rPr>
              <w:t>情况记录</w:t>
            </w:r>
          </w:p>
        </w:tc>
      </w:tr>
      <w:tr w14:paraId="4396C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292" w:type="pct"/>
            <w:noWrap/>
            <w:vAlign w:val="center"/>
          </w:tcPr>
          <w:p w14:paraId="1384940C">
            <w:pPr>
              <w:widowControl/>
              <w:adjustRightInd/>
              <w:spacing w:line="240" w:lineRule="auto"/>
              <w:jc w:val="center"/>
              <w:rPr>
                <w:rFonts w:hint="eastAsia" w:ascii="宋体" w:hAnsi="宋体" w:cs="宋体"/>
                <w:kern w:val="0"/>
                <w:sz w:val="18"/>
                <w:szCs w:val="18"/>
              </w:rPr>
            </w:pPr>
            <w:r>
              <w:rPr>
                <w:rFonts w:hint="eastAsia" w:ascii="宋体" w:hAnsi="宋体" w:cs="宋体"/>
                <w:kern w:val="0"/>
                <w:sz w:val="18"/>
                <w:szCs w:val="18"/>
              </w:rPr>
              <w:t>序号</w:t>
            </w:r>
          </w:p>
        </w:tc>
        <w:tc>
          <w:tcPr>
            <w:tcW w:w="384" w:type="pct"/>
            <w:noWrap/>
            <w:vAlign w:val="center"/>
          </w:tcPr>
          <w:p w14:paraId="6DE37083">
            <w:pPr>
              <w:widowControl/>
              <w:adjustRightInd/>
              <w:spacing w:line="240" w:lineRule="auto"/>
              <w:jc w:val="center"/>
              <w:rPr>
                <w:rFonts w:hint="eastAsia" w:ascii="宋体" w:hAnsi="宋体" w:cs="宋体"/>
                <w:kern w:val="0"/>
                <w:sz w:val="18"/>
                <w:szCs w:val="18"/>
              </w:rPr>
            </w:pPr>
            <w:r>
              <w:rPr>
                <w:rFonts w:hint="eastAsia" w:ascii="宋体" w:hAnsi="宋体" w:cs="宋体"/>
                <w:kern w:val="0"/>
                <w:sz w:val="18"/>
                <w:szCs w:val="18"/>
              </w:rPr>
              <w:t>施用日期</w:t>
            </w:r>
          </w:p>
        </w:tc>
        <w:tc>
          <w:tcPr>
            <w:tcW w:w="386" w:type="pct"/>
            <w:noWrap/>
            <w:vAlign w:val="center"/>
          </w:tcPr>
          <w:p w14:paraId="4960522B">
            <w:pPr>
              <w:widowControl/>
              <w:adjustRightInd/>
              <w:spacing w:line="240" w:lineRule="auto"/>
              <w:jc w:val="center"/>
              <w:rPr>
                <w:rFonts w:hint="eastAsia" w:ascii="宋体" w:hAnsi="宋体" w:cs="宋体"/>
                <w:kern w:val="0"/>
                <w:sz w:val="18"/>
                <w:szCs w:val="18"/>
              </w:rPr>
            </w:pPr>
            <w:r>
              <w:rPr>
                <w:rFonts w:hint="eastAsia" w:ascii="宋体" w:hAnsi="宋体" w:cs="宋体"/>
                <w:kern w:val="0"/>
                <w:sz w:val="18"/>
                <w:szCs w:val="18"/>
              </w:rPr>
              <w:t>施用类型</w:t>
            </w:r>
          </w:p>
        </w:tc>
        <w:tc>
          <w:tcPr>
            <w:tcW w:w="545" w:type="pct"/>
            <w:noWrap/>
            <w:vAlign w:val="center"/>
          </w:tcPr>
          <w:p w14:paraId="33ACB5B7">
            <w:pPr>
              <w:widowControl/>
              <w:adjustRightInd/>
              <w:spacing w:line="240" w:lineRule="auto"/>
              <w:jc w:val="center"/>
              <w:rPr>
                <w:rFonts w:hint="eastAsia" w:ascii="宋体" w:hAnsi="宋体" w:cs="宋体"/>
                <w:kern w:val="0"/>
                <w:sz w:val="18"/>
                <w:szCs w:val="18"/>
              </w:rPr>
            </w:pPr>
            <w:r>
              <w:rPr>
                <w:rFonts w:hint="eastAsia" w:ascii="宋体" w:hAnsi="宋体" w:cs="宋体"/>
                <w:kern w:val="0"/>
                <w:sz w:val="18"/>
                <w:szCs w:val="18"/>
              </w:rPr>
              <w:t>施用时期</w:t>
            </w:r>
          </w:p>
        </w:tc>
        <w:tc>
          <w:tcPr>
            <w:tcW w:w="388" w:type="pct"/>
            <w:noWrap/>
            <w:vAlign w:val="center"/>
          </w:tcPr>
          <w:p w14:paraId="03C3FD95">
            <w:pPr>
              <w:widowControl/>
              <w:adjustRightInd/>
              <w:spacing w:line="240" w:lineRule="auto"/>
              <w:jc w:val="center"/>
              <w:rPr>
                <w:rFonts w:hint="eastAsia" w:ascii="宋体" w:hAnsi="宋体" w:cs="宋体"/>
                <w:kern w:val="0"/>
                <w:sz w:val="18"/>
                <w:szCs w:val="18"/>
              </w:rPr>
            </w:pPr>
            <w:r>
              <w:rPr>
                <w:rFonts w:hint="eastAsia" w:ascii="宋体" w:hAnsi="宋体" w:cs="宋体"/>
                <w:kern w:val="0"/>
                <w:sz w:val="18"/>
                <w:szCs w:val="18"/>
              </w:rPr>
              <w:t>天气情况</w:t>
            </w:r>
          </w:p>
        </w:tc>
        <w:tc>
          <w:tcPr>
            <w:tcW w:w="542" w:type="pct"/>
            <w:noWrap/>
            <w:vAlign w:val="center"/>
          </w:tcPr>
          <w:p w14:paraId="10E3F747">
            <w:pPr>
              <w:widowControl/>
              <w:adjustRightInd/>
              <w:spacing w:line="240" w:lineRule="auto"/>
              <w:jc w:val="center"/>
              <w:rPr>
                <w:rFonts w:hint="eastAsia" w:ascii="宋体" w:hAnsi="宋体" w:cs="宋体"/>
                <w:kern w:val="0"/>
                <w:sz w:val="18"/>
                <w:szCs w:val="18"/>
              </w:rPr>
            </w:pPr>
            <w:r>
              <w:rPr>
                <w:rFonts w:hint="eastAsia" w:ascii="宋体" w:hAnsi="宋体" w:cs="宋体"/>
                <w:kern w:val="0"/>
                <w:sz w:val="18"/>
                <w:szCs w:val="18"/>
              </w:rPr>
              <w:t>稀释倍数</w:t>
            </w:r>
          </w:p>
        </w:tc>
        <w:tc>
          <w:tcPr>
            <w:tcW w:w="465" w:type="pct"/>
            <w:gridSpan w:val="2"/>
            <w:noWrap/>
            <w:vAlign w:val="center"/>
          </w:tcPr>
          <w:p w14:paraId="14921079">
            <w:pPr>
              <w:widowControl/>
              <w:adjustRightInd/>
              <w:spacing w:line="240" w:lineRule="auto"/>
              <w:jc w:val="center"/>
              <w:rPr>
                <w:rFonts w:hint="eastAsia" w:ascii="宋体" w:hAnsi="宋体" w:cs="宋体"/>
                <w:kern w:val="0"/>
                <w:sz w:val="18"/>
                <w:szCs w:val="18"/>
              </w:rPr>
            </w:pPr>
            <w:r>
              <w:rPr>
                <w:rFonts w:hint="eastAsia" w:ascii="宋体" w:hAnsi="宋体" w:cs="宋体"/>
                <w:kern w:val="0"/>
                <w:sz w:val="18"/>
                <w:szCs w:val="18"/>
              </w:rPr>
              <w:t>施用用量</w:t>
            </w:r>
          </w:p>
        </w:tc>
        <w:tc>
          <w:tcPr>
            <w:tcW w:w="775" w:type="pct"/>
            <w:noWrap/>
            <w:vAlign w:val="center"/>
          </w:tcPr>
          <w:p w14:paraId="428EB5D8">
            <w:pPr>
              <w:widowControl/>
              <w:adjustRightInd/>
              <w:spacing w:line="240" w:lineRule="auto"/>
              <w:jc w:val="center"/>
              <w:rPr>
                <w:rFonts w:hint="eastAsia" w:ascii="宋体" w:hAnsi="宋体" w:cs="宋体"/>
                <w:kern w:val="0"/>
                <w:sz w:val="18"/>
                <w:szCs w:val="18"/>
              </w:rPr>
            </w:pPr>
            <w:r>
              <w:rPr>
                <w:rFonts w:hint="eastAsia" w:ascii="宋体" w:hAnsi="宋体" w:cs="宋体"/>
                <w:kern w:val="0"/>
                <w:sz w:val="18"/>
                <w:szCs w:val="18"/>
              </w:rPr>
              <w:t>施用参数（深度/布点数量）</w:t>
            </w:r>
          </w:p>
        </w:tc>
        <w:tc>
          <w:tcPr>
            <w:tcW w:w="465" w:type="pct"/>
            <w:noWrap/>
            <w:vAlign w:val="center"/>
          </w:tcPr>
          <w:p w14:paraId="3890F16E">
            <w:pPr>
              <w:widowControl/>
              <w:adjustRightInd/>
              <w:spacing w:line="240" w:lineRule="auto"/>
              <w:jc w:val="center"/>
              <w:rPr>
                <w:rFonts w:hint="eastAsia" w:ascii="宋体" w:hAnsi="宋体" w:eastAsia="宋体" w:cs="宋体"/>
                <w:kern w:val="0"/>
                <w:sz w:val="18"/>
                <w:szCs w:val="18"/>
                <w:lang w:eastAsia="zh-CN"/>
              </w:rPr>
            </w:pPr>
            <w:r>
              <w:rPr>
                <w:rFonts w:hint="eastAsia" w:ascii="宋体" w:hAnsi="宋体" w:cs="宋体"/>
                <w:kern w:val="0"/>
                <w:sz w:val="18"/>
                <w:szCs w:val="18"/>
              </w:rPr>
              <w:t>效果</w:t>
            </w:r>
            <w:r>
              <w:rPr>
                <w:rFonts w:hint="eastAsia" w:ascii="宋体" w:hAnsi="宋体" w:cs="宋体"/>
                <w:kern w:val="0"/>
                <w:sz w:val="18"/>
                <w:szCs w:val="18"/>
                <w:lang w:val="en-US" w:eastAsia="zh-CN"/>
              </w:rPr>
              <w:t>评价</w:t>
            </w:r>
            <w:bookmarkStart w:id="68" w:name="_GoBack"/>
            <w:bookmarkEnd w:id="68"/>
          </w:p>
        </w:tc>
        <w:tc>
          <w:tcPr>
            <w:tcW w:w="464" w:type="pct"/>
            <w:vAlign w:val="center"/>
          </w:tcPr>
          <w:p w14:paraId="5704FA15">
            <w:pPr>
              <w:widowControl/>
              <w:adjustRightInd/>
              <w:spacing w:line="240" w:lineRule="auto"/>
              <w:jc w:val="center"/>
              <w:rPr>
                <w:rFonts w:hint="eastAsia" w:ascii="宋体" w:hAnsi="宋体" w:cs="宋体"/>
                <w:kern w:val="0"/>
                <w:sz w:val="18"/>
                <w:szCs w:val="18"/>
              </w:rPr>
            </w:pPr>
            <w:r>
              <w:rPr>
                <w:rFonts w:hint="eastAsia" w:ascii="宋体" w:hAnsi="宋体" w:cs="宋体"/>
                <w:kern w:val="0"/>
                <w:sz w:val="18"/>
                <w:szCs w:val="18"/>
              </w:rPr>
              <w:t>记录人</w:t>
            </w:r>
          </w:p>
        </w:tc>
        <w:tc>
          <w:tcPr>
            <w:tcW w:w="294" w:type="pct"/>
            <w:noWrap/>
            <w:vAlign w:val="center"/>
          </w:tcPr>
          <w:p w14:paraId="54514521">
            <w:pPr>
              <w:widowControl/>
              <w:adjustRightInd/>
              <w:spacing w:line="240" w:lineRule="auto"/>
              <w:jc w:val="center"/>
              <w:rPr>
                <w:rFonts w:hint="eastAsia" w:ascii="宋体" w:hAnsi="宋体" w:cs="宋体"/>
                <w:kern w:val="0"/>
                <w:sz w:val="18"/>
                <w:szCs w:val="18"/>
              </w:rPr>
            </w:pPr>
            <w:r>
              <w:rPr>
                <w:rFonts w:hint="eastAsia" w:ascii="宋体" w:hAnsi="宋体" w:cs="宋体"/>
                <w:kern w:val="0"/>
                <w:sz w:val="18"/>
                <w:szCs w:val="18"/>
              </w:rPr>
              <w:t>备注</w:t>
            </w:r>
          </w:p>
        </w:tc>
      </w:tr>
      <w:tr w14:paraId="54F0A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292" w:type="pct"/>
            <w:noWrap/>
            <w:vAlign w:val="center"/>
          </w:tcPr>
          <w:p w14:paraId="44C85A70">
            <w:pPr>
              <w:widowControl/>
              <w:adjustRightInd/>
              <w:spacing w:line="240" w:lineRule="auto"/>
              <w:jc w:val="center"/>
              <w:rPr>
                <w:rFonts w:hint="eastAsia" w:ascii="宋体" w:hAnsi="宋体" w:cs="宋体"/>
                <w:kern w:val="0"/>
                <w:sz w:val="18"/>
                <w:szCs w:val="18"/>
              </w:rPr>
            </w:pPr>
            <w:r>
              <w:rPr>
                <w:rFonts w:hint="eastAsia" w:ascii="宋体" w:hAnsi="宋体" w:cs="宋体"/>
                <w:kern w:val="0"/>
                <w:sz w:val="18"/>
                <w:szCs w:val="18"/>
              </w:rPr>
              <w:t>1</w:t>
            </w:r>
          </w:p>
        </w:tc>
        <w:tc>
          <w:tcPr>
            <w:tcW w:w="384" w:type="pct"/>
            <w:noWrap/>
            <w:vAlign w:val="center"/>
          </w:tcPr>
          <w:p w14:paraId="1A88C46F">
            <w:pPr>
              <w:widowControl/>
              <w:adjustRightInd/>
              <w:spacing w:line="240" w:lineRule="auto"/>
              <w:jc w:val="left"/>
              <w:rPr>
                <w:rFonts w:hint="eastAsia" w:ascii="宋体" w:hAnsi="宋体" w:cs="宋体"/>
                <w:kern w:val="0"/>
                <w:sz w:val="18"/>
                <w:szCs w:val="18"/>
              </w:rPr>
            </w:pPr>
          </w:p>
        </w:tc>
        <w:tc>
          <w:tcPr>
            <w:tcW w:w="386" w:type="pct"/>
            <w:noWrap/>
            <w:vAlign w:val="center"/>
          </w:tcPr>
          <w:p w14:paraId="0BE48E26">
            <w:pPr>
              <w:widowControl/>
              <w:adjustRightInd/>
              <w:spacing w:line="240" w:lineRule="auto"/>
              <w:jc w:val="left"/>
              <w:rPr>
                <w:rFonts w:hint="eastAsia" w:ascii="宋体" w:hAnsi="宋体" w:cs="宋体"/>
                <w:kern w:val="0"/>
                <w:sz w:val="18"/>
                <w:szCs w:val="18"/>
              </w:rPr>
            </w:pPr>
          </w:p>
        </w:tc>
        <w:tc>
          <w:tcPr>
            <w:tcW w:w="545" w:type="pct"/>
            <w:noWrap/>
            <w:vAlign w:val="center"/>
          </w:tcPr>
          <w:p w14:paraId="32E8157E">
            <w:pPr>
              <w:widowControl/>
              <w:adjustRightInd/>
              <w:spacing w:line="240" w:lineRule="auto"/>
              <w:jc w:val="left"/>
              <w:rPr>
                <w:rFonts w:hint="eastAsia" w:ascii="宋体" w:hAnsi="宋体" w:cs="宋体"/>
                <w:kern w:val="0"/>
                <w:sz w:val="18"/>
                <w:szCs w:val="18"/>
              </w:rPr>
            </w:pPr>
          </w:p>
        </w:tc>
        <w:tc>
          <w:tcPr>
            <w:tcW w:w="388" w:type="pct"/>
            <w:noWrap/>
            <w:vAlign w:val="center"/>
          </w:tcPr>
          <w:p w14:paraId="0C8D405E">
            <w:pPr>
              <w:widowControl/>
              <w:adjustRightInd/>
              <w:spacing w:line="240" w:lineRule="auto"/>
              <w:jc w:val="left"/>
              <w:rPr>
                <w:rFonts w:hint="eastAsia" w:ascii="宋体" w:hAnsi="宋体" w:cs="宋体"/>
                <w:kern w:val="0"/>
                <w:sz w:val="18"/>
                <w:szCs w:val="18"/>
              </w:rPr>
            </w:pPr>
          </w:p>
        </w:tc>
        <w:tc>
          <w:tcPr>
            <w:tcW w:w="542" w:type="pct"/>
            <w:noWrap/>
            <w:vAlign w:val="center"/>
          </w:tcPr>
          <w:p w14:paraId="21EB1577">
            <w:pPr>
              <w:widowControl/>
              <w:adjustRightInd/>
              <w:spacing w:line="240" w:lineRule="auto"/>
              <w:jc w:val="left"/>
              <w:rPr>
                <w:rFonts w:hint="eastAsia" w:ascii="宋体" w:hAnsi="宋体" w:cs="宋体"/>
                <w:kern w:val="0"/>
                <w:sz w:val="18"/>
                <w:szCs w:val="18"/>
              </w:rPr>
            </w:pPr>
          </w:p>
        </w:tc>
        <w:tc>
          <w:tcPr>
            <w:tcW w:w="465" w:type="pct"/>
            <w:gridSpan w:val="2"/>
            <w:noWrap/>
            <w:vAlign w:val="center"/>
          </w:tcPr>
          <w:p w14:paraId="52A33C5D">
            <w:pPr>
              <w:widowControl/>
              <w:adjustRightInd/>
              <w:spacing w:line="240" w:lineRule="auto"/>
              <w:jc w:val="left"/>
              <w:rPr>
                <w:rFonts w:hint="eastAsia" w:ascii="宋体" w:hAnsi="宋体" w:cs="宋体"/>
                <w:kern w:val="0"/>
                <w:sz w:val="18"/>
                <w:szCs w:val="18"/>
              </w:rPr>
            </w:pPr>
          </w:p>
        </w:tc>
        <w:tc>
          <w:tcPr>
            <w:tcW w:w="775" w:type="pct"/>
            <w:noWrap/>
            <w:vAlign w:val="center"/>
          </w:tcPr>
          <w:p w14:paraId="5B4F9639">
            <w:pPr>
              <w:widowControl/>
              <w:adjustRightInd/>
              <w:spacing w:line="240" w:lineRule="auto"/>
              <w:jc w:val="left"/>
              <w:rPr>
                <w:rFonts w:hint="eastAsia" w:ascii="宋体" w:hAnsi="宋体" w:cs="宋体"/>
                <w:kern w:val="0"/>
                <w:sz w:val="18"/>
                <w:szCs w:val="18"/>
              </w:rPr>
            </w:pPr>
          </w:p>
        </w:tc>
        <w:tc>
          <w:tcPr>
            <w:tcW w:w="465" w:type="pct"/>
            <w:noWrap/>
            <w:vAlign w:val="center"/>
          </w:tcPr>
          <w:p w14:paraId="1742EBC4">
            <w:pPr>
              <w:widowControl/>
              <w:adjustRightInd/>
              <w:spacing w:line="240" w:lineRule="auto"/>
              <w:jc w:val="left"/>
              <w:rPr>
                <w:rFonts w:hint="eastAsia" w:ascii="宋体" w:hAnsi="宋体" w:cs="宋体"/>
                <w:kern w:val="0"/>
                <w:sz w:val="18"/>
                <w:szCs w:val="18"/>
              </w:rPr>
            </w:pPr>
          </w:p>
        </w:tc>
        <w:tc>
          <w:tcPr>
            <w:tcW w:w="464" w:type="pct"/>
            <w:noWrap/>
            <w:vAlign w:val="center"/>
          </w:tcPr>
          <w:p w14:paraId="7D5B769F">
            <w:pPr>
              <w:widowControl/>
              <w:adjustRightInd/>
              <w:spacing w:line="240" w:lineRule="auto"/>
              <w:jc w:val="left"/>
              <w:rPr>
                <w:rFonts w:hint="eastAsia" w:ascii="宋体" w:hAnsi="宋体" w:cs="宋体"/>
                <w:kern w:val="0"/>
                <w:sz w:val="18"/>
                <w:szCs w:val="18"/>
              </w:rPr>
            </w:pPr>
          </w:p>
        </w:tc>
        <w:tc>
          <w:tcPr>
            <w:tcW w:w="294" w:type="pct"/>
            <w:noWrap/>
            <w:vAlign w:val="center"/>
          </w:tcPr>
          <w:p w14:paraId="6A879146">
            <w:pPr>
              <w:widowControl/>
              <w:adjustRightInd/>
              <w:spacing w:line="240" w:lineRule="auto"/>
              <w:jc w:val="left"/>
              <w:rPr>
                <w:rFonts w:hint="eastAsia" w:ascii="宋体" w:hAnsi="宋体" w:cs="宋体"/>
                <w:kern w:val="0"/>
                <w:sz w:val="18"/>
                <w:szCs w:val="18"/>
              </w:rPr>
            </w:pPr>
          </w:p>
        </w:tc>
      </w:tr>
      <w:tr w14:paraId="02D47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292" w:type="pct"/>
            <w:noWrap/>
            <w:vAlign w:val="center"/>
          </w:tcPr>
          <w:p w14:paraId="2F213AFE">
            <w:pPr>
              <w:widowControl/>
              <w:adjustRightInd/>
              <w:spacing w:line="240" w:lineRule="auto"/>
              <w:jc w:val="center"/>
              <w:rPr>
                <w:rFonts w:hint="eastAsia" w:ascii="宋体" w:hAnsi="宋体" w:cs="宋体"/>
                <w:kern w:val="0"/>
                <w:sz w:val="18"/>
                <w:szCs w:val="18"/>
              </w:rPr>
            </w:pPr>
            <w:r>
              <w:rPr>
                <w:rFonts w:hint="eastAsia" w:ascii="宋体" w:hAnsi="宋体" w:cs="宋体"/>
                <w:kern w:val="0"/>
                <w:sz w:val="18"/>
                <w:szCs w:val="18"/>
              </w:rPr>
              <w:t>2</w:t>
            </w:r>
          </w:p>
        </w:tc>
        <w:tc>
          <w:tcPr>
            <w:tcW w:w="384" w:type="pct"/>
            <w:noWrap/>
            <w:vAlign w:val="center"/>
          </w:tcPr>
          <w:p w14:paraId="4F35A1B6">
            <w:pPr>
              <w:widowControl/>
              <w:adjustRightInd/>
              <w:spacing w:line="240" w:lineRule="auto"/>
              <w:jc w:val="left"/>
              <w:rPr>
                <w:rFonts w:hint="eastAsia" w:ascii="宋体" w:hAnsi="宋体" w:cs="宋体"/>
                <w:kern w:val="0"/>
                <w:sz w:val="18"/>
                <w:szCs w:val="18"/>
              </w:rPr>
            </w:pPr>
          </w:p>
        </w:tc>
        <w:tc>
          <w:tcPr>
            <w:tcW w:w="386" w:type="pct"/>
            <w:noWrap/>
            <w:vAlign w:val="center"/>
          </w:tcPr>
          <w:p w14:paraId="5789B562">
            <w:pPr>
              <w:widowControl/>
              <w:adjustRightInd/>
              <w:spacing w:line="240" w:lineRule="auto"/>
              <w:jc w:val="left"/>
              <w:rPr>
                <w:rFonts w:hint="eastAsia" w:ascii="宋体" w:hAnsi="宋体" w:cs="宋体"/>
                <w:kern w:val="0"/>
                <w:sz w:val="18"/>
                <w:szCs w:val="18"/>
              </w:rPr>
            </w:pPr>
          </w:p>
        </w:tc>
        <w:tc>
          <w:tcPr>
            <w:tcW w:w="545" w:type="pct"/>
            <w:noWrap/>
            <w:vAlign w:val="center"/>
          </w:tcPr>
          <w:p w14:paraId="7B378297">
            <w:pPr>
              <w:widowControl/>
              <w:adjustRightInd/>
              <w:spacing w:line="240" w:lineRule="auto"/>
              <w:jc w:val="left"/>
              <w:rPr>
                <w:rFonts w:hint="eastAsia" w:ascii="宋体" w:hAnsi="宋体" w:cs="宋体"/>
                <w:kern w:val="0"/>
                <w:sz w:val="18"/>
                <w:szCs w:val="18"/>
              </w:rPr>
            </w:pPr>
          </w:p>
        </w:tc>
        <w:tc>
          <w:tcPr>
            <w:tcW w:w="388" w:type="pct"/>
            <w:noWrap/>
            <w:vAlign w:val="center"/>
          </w:tcPr>
          <w:p w14:paraId="1B99D67D">
            <w:pPr>
              <w:widowControl/>
              <w:adjustRightInd/>
              <w:spacing w:line="240" w:lineRule="auto"/>
              <w:jc w:val="left"/>
              <w:rPr>
                <w:rFonts w:hint="eastAsia" w:ascii="宋体" w:hAnsi="宋体" w:cs="宋体"/>
                <w:kern w:val="0"/>
                <w:sz w:val="18"/>
                <w:szCs w:val="18"/>
              </w:rPr>
            </w:pPr>
          </w:p>
        </w:tc>
        <w:tc>
          <w:tcPr>
            <w:tcW w:w="542" w:type="pct"/>
            <w:noWrap/>
            <w:vAlign w:val="center"/>
          </w:tcPr>
          <w:p w14:paraId="77C64802">
            <w:pPr>
              <w:widowControl/>
              <w:adjustRightInd/>
              <w:spacing w:line="240" w:lineRule="auto"/>
              <w:jc w:val="left"/>
              <w:rPr>
                <w:rFonts w:hint="eastAsia" w:ascii="宋体" w:hAnsi="宋体" w:cs="宋体"/>
                <w:kern w:val="0"/>
                <w:sz w:val="18"/>
                <w:szCs w:val="18"/>
              </w:rPr>
            </w:pPr>
          </w:p>
        </w:tc>
        <w:tc>
          <w:tcPr>
            <w:tcW w:w="465" w:type="pct"/>
            <w:gridSpan w:val="2"/>
            <w:noWrap/>
            <w:vAlign w:val="center"/>
          </w:tcPr>
          <w:p w14:paraId="0CC56353">
            <w:pPr>
              <w:widowControl/>
              <w:adjustRightInd/>
              <w:spacing w:line="240" w:lineRule="auto"/>
              <w:jc w:val="left"/>
              <w:rPr>
                <w:rFonts w:hint="eastAsia" w:ascii="宋体" w:hAnsi="宋体" w:cs="宋体"/>
                <w:kern w:val="0"/>
                <w:sz w:val="18"/>
                <w:szCs w:val="18"/>
              </w:rPr>
            </w:pPr>
          </w:p>
        </w:tc>
        <w:tc>
          <w:tcPr>
            <w:tcW w:w="775" w:type="pct"/>
            <w:noWrap/>
            <w:vAlign w:val="center"/>
          </w:tcPr>
          <w:p w14:paraId="0B801E87">
            <w:pPr>
              <w:widowControl/>
              <w:adjustRightInd/>
              <w:spacing w:line="240" w:lineRule="auto"/>
              <w:jc w:val="left"/>
              <w:rPr>
                <w:rFonts w:hint="eastAsia" w:ascii="宋体" w:hAnsi="宋体" w:cs="宋体"/>
                <w:kern w:val="0"/>
                <w:sz w:val="18"/>
                <w:szCs w:val="18"/>
              </w:rPr>
            </w:pPr>
          </w:p>
        </w:tc>
        <w:tc>
          <w:tcPr>
            <w:tcW w:w="465" w:type="pct"/>
            <w:noWrap/>
            <w:vAlign w:val="center"/>
          </w:tcPr>
          <w:p w14:paraId="4D1FDD6F">
            <w:pPr>
              <w:widowControl/>
              <w:adjustRightInd/>
              <w:spacing w:line="240" w:lineRule="auto"/>
              <w:jc w:val="left"/>
              <w:rPr>
                <w:rFonts w:hint="eastAsia" w:ascii="宋体" w:hAnsi="宋体" w:cs="宋体"/>
                <w:kern w:val="0"/>
                <w:sz w:val="18"/>
                <w:szCs w:val="18"/>
              </w:rPr>
            </w:pPr>
          </w:p>
        </w:tc>
        <w:tc>
          <w:tcPr>
            <w:tcW w:w="464" w:type="pct"/>
            <w:noWrap/>
            <w:vAlign w:val="center"/>
          </w:tcPr>
          <w:p w14:paraId="5A7ED499">
            <w:pPr>
              <w:widowControl/>
              <w:adjustRightInd/>
              <w:spacing w:line="240" w:lineRule="auto"/>
              <w:jc w:val="left"/>
              <w:rPr>
                <w:rFonts w:hint="eastAsia" w:ascii="宋体" w:hAnsi="宋体" w:cs="宋体"/>
                <w:kern w:val="0"/>
                <w:sz w:val="18"/>
                <w:szCs w:val="18"/>
              </w:rPr>
            </w:pPr>
          </w:p>
        </w:tc>
        <w:tc>
          <w:tcPr>
            <w:tcW w:w="294" w:type="pct"/>
            <w:noWrap/>
            <w:vAlign w:val="center"/>
          </w:tcPr>
          <w:p w14:paraId="23EC9254">
            <w:pPr>
              <w:widowControl/>
              <w:adjustRightInd/>
              <w:spacing w:line="240" w:lineRule="auto"/>
              <w:jc w:val="left"/>
              <w:rPr>
                <w:rFonts w:hint="eastAsia" w:ascii="宋体" w:hAnsi="宋体" w:cs="宋体"/>
                <w:kern w:val="0"/>
                <w:sz w:val="18"/>
                <w:szCs w:val="18"/>
              </w:rPr>
            </w:pPr>
          </w:p>
        </w:tc>
      </w:tr>
      <w:tr w14:paraId="4575F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292" w:type="pct"/>
            <w:noWrap/>
            <w:vAlign w:val="center"/>
          </w:tcPr>
          <w:p w14:paraId="2C592B9E">
            <w:pPr>
              <w:widowControl/>
              <w:adjustRightInd/>
              <w:spacing w:line="240" w:lineRule="auto"/>
              <w:jc w:val="center"/>
              <w:rPr>
                <w:rFonts w:hint="eastAsia" w:ascii="宋体" w:hAnsi="宋体" w:cs="宋体"/>
                <w:kern w:val="0"/>
                <w:sz w:val="18"/>
                <w:szCs w:val="18"/>
              </w:rPr>
            </w:pPr>
            <w:r>
              <w:rPr>
                <w:rFonts w:hint="eastAsia" w:ascii="宋体" w:hAnsi="宋体" w:cs="宋体"/>
                <w:kern w:val="0"/>
                <w:sz w:val="18"/>
                <w:szCs w:val="18"/>
              </w:rPr>
              <w:t>3</w:t>
            </w:r>
          </w:p>
        </w:tc>
        <w:tc>
          <w:tcPr>
            <w:tcW w:w="384" w:type="pct"/>
            <w:noWrap/>
            <w:vAlign w:val="center"/>
          </w:tcPr>
          <w:p w14:paraId="0DED9691">
            <w:pPr>
              <w:widowControl/>
              <w:adjustRightInd/>
              <w:spacing w:line="240" w:lineRule="auto"/>
              <w:jc w:val="left"/>
              <w:rPr>
                <w:rFonts w:hint="eastAsia" w:ascii="宋体" w:hAnsi="宋体" w:cs="宋体"/>
                <w:kern w:val="0"/>
                <w:sz w:val="18"/>
                <w:szCs w:val="18"/>
              </w:rPr>
            </w:pPr>
          </w:p>
        </w:tc>
        <w:tc>
          <w:tcPr>
            <w:tcW w:w="386" w:type="pct"/>
            <w:noWrap/>
            <w:vAlign w:val="center"/>
          </w:tcPr>
          <w:p w14:paraId="6EB5F06B">
            <w:pPr>
              <w:widowControl/>
              <w:adjustRightInd/>
              <w:spacing w:line="240" w:lineRule="auto"/>
              <w:jc w:val="left"/>
              <w:rPr>
                <w:rFonts w:hint="eastAsia" w:ascii="宋体" w:hAnsi="宋体" w:cs="宋体"/>
                <w:kern w:val="0"/>
                <w:sz w:val="18"/>
                <w:szCs w:val="18"/>
              </w:rPr>
            </w:pPr>
          </w:p>
        </w:tc>
        <w:tc>
          <w:tcPr>
            <w:tcW w:w="545" w:type="pct"/>
            <w:noWrap/>
            <w:vAlign w:val="center"/>
          </w:tcPr>
          <w:p w14:paraId="13CA5657">
            <w:pPr>
              <w:widowControl/>
              <w:adjustRightInd/>
              <w:spacing w:line="240" w:lineRule="auto"/>
              <w:jc w:val="left"/>
              <w:rPr>
                <w:rFonts w:hint="eastAsia" w:ascii="宋体" w:hAnsi="宋体" w:cs="宋体"/>
                <w:kern w:val="0"/>
                <w:sz w:val="18"/>
                <w:szCs w:val="18"/>
              </w:rPr>
            </w:pPr>
          </w:p>
        </w:tc>
        <w:tc>
          <w:tcPr>
            <w:tcW w:w="388" w:type="pct"/>
            <w:noWrap/>
            <w:vAlign w:val="center"/>
          </w:tcPr>
          <w:p w14:paraId="545F0BCA">
            <w:pPr>
              <w:widowControl/>
              <w:adjustRightInd/>
              <w:spacing w:line="240" w:lineRule="auto"/>
              <w:jc w:val="left"/>
              <w:rPr>
                <w:rFonts w:hint="eastAsia" w:ascii="宋体" w:hAnsi="宋体" w:cs="宋体"/>
                <w:kern w:val="0"/>
                <w:sz w:val="18"/>
                <w:szCs w:val="18"/>
              </w:rPr>
            </w:pPr>
          </w:p>
        </w:tc>
        <w:tc>
          <w:tcPr>
            <w:tcW w:w="542" w:type="pct"/>
            <w:noWrap/>
            <w:vAlign w:val="center"/>
          </w:tcPr>
          <w:p w14:paraId="5D542976">
            <w:pPr>
              <w:widowControl/>
              <w:adjustRightInd/>
              <w:spacing w:line="240" w:lineRule="auto"/>
              <w:jc w:val="left"/>
              <w:rPr>
                <w:rFonts w:hint="eastAsia" w:ascii="宋体" w:hAnsi="宋体" w:cs="宋体"/>
                <w:kern w:val="0"/>
                <w:sz w:val="18"/>
                <w:szCs w:val="18"/>
              </w:rPr>
            </w:pPr>
          </w:p>
        </w:tc>
        <w:tc>
          <w:tcPr>
            <w:tcW w:w="465" w:type="pct"/>
            <w:gridSpan w:val="2"/>
            <w:noWrap/>
            <w:vAlign w:val="center"/>
          </w:tcPr>
          <w:p w14:paraId="00C76EFC">
            <w:pPr>
              <w:widowControl/>
              <w:adjustRightInd/>
              <w:spacing w:line="240" w:lineRule="auto"/>
              <w:jc w:val="left"/>
              <w:rPr>
                <w:rFonts w:hint="eastAsia" w:ascii="宋体" w:hAnsi="宋体" w:cs="宋体"/>
                <w:kern w:val="0"/>
                <w:sz w:val="18"/>
                <w:szCs w:val="18"/>
              </w:rPr>
            </w:pPr>
          </w:p>
        </w:tc>
        <w:tc>
          <w:tcPr>
            <w:tcW w:w="775" w:type="pct"/>
            <w:noWrap/>
            <w:vAlign w:val="center"/>
          </w:tcPr>
          <w:p w14:paraId="7DF96839">
            <w:pPr>
              <w:widowControl/>
              <w:adjustRightInd/>
              <w:spacing w:line="240" w:lineRule="auto"/>
              <w:jc w:val="left"/>
              <w:rPr>
                <w:rFonts w:hint="eastAsia" w:ascii="宋体" w:hAnsi="宋体" w:cs="宋体"/>
                <w:kern w:val="0"/>
                <w:sz w:val="18"/>
                <w:szCs w:val="18"/>
              </w:rPr>
            </w:pPr>
          </w:p>
        </w:tc>
        <w:tc>
          <w:tcPr>
            <w:tcW w:w="465" w:type="pct"/>
            <w:noWrap/>
            <w:vAlign w:val="center"/>
          </w:tcPr>
          <w:p w14:paraId="64205921">
            <w:pPr>
              <w:widowControl/>
              <w:adjustRightInd/>
              <w:spacing w:line="240" w:lineRule="auto"/>
              <w:jc w:val="left"/>
              <w:rPr>
                <w:rFonts w:hint="eastAsia" w:ascii="宋体" w:hAnsi="宋体" w:cs="宋体"/>
                <w:kern w:val="0"/>
                <w:sz w:val="18"/>
                <w:szCs w:val="18"/>
              </w:rPr>
            </w:pPr>
          </w:p>
        </w:tc>
        <w:tc>
          <w:tcPr>
            <w:tcW w:w="464" w:type="pct"/>
            <w:noWrap/>
            <w:vAlign w:val="center"/>
          </w:tcPr>
          <w:p w14:paraId="4808271F">
            <w:pPr>
              <w:widowControl/>
              <w:adjustRightInd/>
              <w:spacing w:line="240" w:lineRule="auto"/>
              <w:jc w:val="left"/>
              <w:rPr>
                <w:rFonts w:hint="eastAsia" w:ascii="宋体" w:hAnsi="宋体" w:cs="宋体"/>
                <w:kern w:val="0"/>
                <w:sz w:val="18"/>
                <w:szCs w:val="18"/>
              </w:rPr>
            </w:pPr>
          </w:p>
        </w:tc>
        <w:tc>
          <w:tcPr>
            <w:tcW w:w="294" w:type="pct"/>
            <w:noWrap/>
            <w:vAlign w:val="center"/>
          </w:tcPr>
          <w:p w14:paraId="35B99625">
            <w:pPr>
              <w:widowControl/>
              <w:adjustRightInd/>
              <w:spacing w:line="240" w:lineRule="auto"/>
              <w:jc w:val="left"/>
              <w:rPr>
                <w:rFonts w:hint="eastAsia" w:ascii="宋体" w:hAnsi="宋体" w:cs="宋体"/>
                <w:kern w:val="0"/>
                <w:sz w:val="18"/>
                <w:szCs w:val="18"/>
              </w:rPr>
            </w:pPr>
          </w:p>
        </w:tc>
      </w:tr>
      <w:tr w14:paraId="1F899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292" w:type="pct"/>
            <w:noWrap/>
            <w:vAlign w:val="center"/>
          </w:tcPr>
          <w:p w14:paraId="658ED5E5">
            <w:pPr>
              <w:widowControl/>
              <w:adjustRightInd/>
              <w:spacing w:line="240" w:lineRule="auto"/>
              <w:jc w:val="center"/>
              <w:rPr>
                <w:rFonts w:hint="eastAsia" w:ascii="宋体" w:hAnsi="宋体" w:cs="宋体"/>
                <w:kern w:val="0"/>
                <w:sz w:val="18"/>
                <w:szCs w:val="18"/>
              </w:rPr>
            </w:pPr>
            <w:r>
              <w:rPr>
                <w:rFonts w:hint="eastAsia" w:ascii="宋体" w:hAnsi="宋体" w:cs="宋体"/>
                <w:kern w:val="0"/>
                <w:sz w:val="18"/>
                <w:szCs w:val="18"/>
              </w:rPr>
              <w:t>4</w:t>
            </w:r>
          </w:p>
        </w:tc>
        <w:tc>
          <w:tcPr>
            <w:tcW w:w="384" w:type="pct"/>
            <w:noWrap/>
            <w:vAlign w:val="center"/>
          </w:tcPr>
          <w:p w14:paraId="33B0B16C">
            <w:pPr>
              <w:widowControl/>
              <w:adjustRightInd/>
              <w:spacing w:line="240" w:lineRule="auto"/>
              <w:jc w:val="left"/>
              <w:rPr>
                <w:rFonts w:hint="eastAsia" w:ascii="宋体" w:hAnsi="宋体" w:cs="宋体"/>
                <w:kern w:val="0"/>
                <w:sz w:val="18"/>
                <w:szCs w:val="18"/>
              </w:rPr>
            </w:pPr>
          </w:p>
        </w:tc>
        <w:tc>
          <w:tcPr>
            <w:tcW w:w="386" w:type="pct"/>
            <w:noWrap/>
            <w:vAlign w:val="center"/>
          </w:tcPr>
          <w:p w14:paraId="1C93400C">
            <w:pPr>
              <w:widowControl/>
              <w:adjustRightInd/>
              <w:spacing w:line="240" w:lineRule="auto"/>
              <w:jc w:val="left"/>
              <w:rPr>
                <w:rFonts w:hint="eastAsia" w:ascii="宋体" w:hAnsi="宋体" w:cs="宋体"/>
                <w:kern w:val="0"/>
                <w:sz w:val="18"/>
                <w:szCs w:val="18"/>
              </w:rPr>
            </w:pPr>
          </w:p>
        </w:tc>
        <w:tc>
          <w:tcPr>
            <w:tcW w:w="545" w:type="pct"/>
            <w:noWrap/>
            <w:vAlign w:val="center"/>
          </w:tcPr>
          <w:p w14:paraId="7E5E8CEF">
            <w:pPr>
              <w:widowControl/>
              <w:adjustRightInd/>
              <w:spacing w:line="240" w:lineRule="auto"/>
              <w:jc w:val="left"/>
              <w:rPr>
                <w:rFonts w:hint="eastAsia" w:ascii="宋体" w:hAnsi="宋体" w:cs="宋体"/>
                <w:kern w:val="0"/>
                <w:sz w:val="18"/>
                <w:szCs w:val="18"/>
              </w:rPr>
            </w:pPr>
          </w:p>
        </w:tc>
        <w:tc>
          <w:tcPr>
            <w:tcW w:w="388" w:type="pct"/>
            <w:noWrap/>
            <w:vAlign w:val="center"/>
          </w:tcPr>
          <w:p w14:paraId="0C51A65D">
            <w:pPr>
              <w:widowControl/>
              <w:adjustRightInd/>
              <w:spacing w:line="240" w:lineRule="auto"/>
              <w:jc w:val="left"/>
              <w:rPr>
                <w:rFonts w:hint="eastAsia" w:ascii="宋体" w:hAnsi="宋体" w:cs="宋体"/>
                <w:kern w:val="0"/>
                <w:sz w:val="18"/>
                <w:szCs w:val="18"/>
              </w:rPr>
            </w:pPr>
          </w:p>
        </w:tc>
        <w:tc>
          <w:tcPr>
            <w:tcW w:w="542" w:type="pct"/>
            <w:noWrap/>
            <w:vAlign w:val="center"/>
          </w:tcPr>
          <w:p w14:paraId="3367E2BA">
            <w:pPr>
              <w:widowControl/>
              <w:adjustRightInd/>
              <w:spacing w:line="240" w:lineRule="auto"/>
              <w:jc w:val="left"/>
              <w:rPr>
                <w:rFonts w:hint="eastAsia" w:ascii="宋体" w:hAnsi="宋体" w:cs="宋体"/>
                <w:kern w:val="0"/>
                <w:sz w:val="18"/>
                <w:szCs w:val="18"/>
              </w:rPr>
            </w:pPr>
          </w:p>
        </w:tc>
        <w:tc>
          <w:tcPr>
            <w:tcW w:w="465" w:type="pct"/>
            <w:gridSpan w:val="2"/>
            <w:noWrap/>
            <w:vAlign w:val="center"/>
          </w:tcPr>
          <w:p w14:paraId="3371C21A">
            <w:pPr>
              <w:widowControl/>
              <w:adjustRightInd/>
              <w:spacing w:line="240" w:lineRule="auto"/>
              <w:jc w:val="left"/>
              <w:rPr>
                <w:rFonts w:hint="eastAsia" w:ascii="宋体" w:hAnsi="宋体" w:cs="宋体"/>
                <w:kern w:val="0"/>
                <w:sz w:val="18"/>
                <w:szCs w:val="18"/>
              </w:rPr>
            </w:pPr>
          </w:p>
        </w:tc>
        <w:tc>
          <w:tcPr>
            <w:tcW w:w="775" w:type="pct"/>
            <w:noWrap/>
            <w:vAlign w:val="center"/>
          </w:tcPr>
          <w:p w14:paraId="2E3032B1">
            <w:pPr>
              <w:widowControl/>
              <w:adjustRightInd/>
              <w:spacing w:line="240" w:lineRule="auto"/>
              <w:jc w:val="left"/>
              <w:rPr>
                <w:rFonts w:hint="eastAsia" w:ascii="宋体" w:hAnsi="宋体" w:cs="宋体"/>
                <w:kern w:val="0"/>
                <w:sz w:val="18"/>
                <w:szCs w:val="18"/>
              </w:rPr>
            </w:pPr>
          </w:p>
        </w:tc>
        <w:tc>
          <w:tcPr>
            <w:tcW w:w="465" w:type="pct"/>
            <w:noWrap/>
            <w:vAlign w:val="center"/>
          </w:tcPr>
          <w:p w14:paraId="0A158293">
            <w:pPr>
              <w:widowControl/>
              <w:adjustRightInd/>
              <w:spacing w:line="240" w:lineRule="auto"/>
              <w:jc w:val="left"/>
              <w:rPr>
                <w:rFonts w:hint="eastAsia" w:ascii="宋体" w:hAnsi="宋体" w:cs="宋体"/>
                <w:kern w:val="0"/>
                <w:sz w:val="18"/>
                <w:szCs w:val="18"/>
              </w:rPr>
            </w:pPr>
          </w:p>
        </w:tc>
        <w:tc>
          <w:tcPr>
            <w:tcW w:w="464" w:type="pct"/>
            <w:noWrap/>
            <w:vAlign w:val="center"/>
          </w:tcPr>
          <w:p w14:paraId="763F05CF">
            <w:pPr>
              <w:widowControl/>
              <w:adjustRightInd/>
              <w:spacing w:line="240" w:lineRule="auto"/>
              <w:jc w:val="left"/>
              <w:rPr>
                <w:rFonts w:hint="eastAsia" w:ascii="宋体" w:hAnsi="宋体" w:cs="宋体"/>
                <w:kern w:val="0"/>
                <w:sz w:val="18"/>
                <w:szCs w:val="18"/>
              </w:rPr>
            </w:pPr>
          </w:p>
        </w:tc>
        <w:tc>
          <w:tcPr>
            <w:tcW w:w="294" w:type="pct"/>
            <w:noWrap/>
            <w:vAlign w:val="center"/>
          </w:tcPr>
          <w:p w14:paraId="6ACED02E">
            <w:pPr>
              <w:widowControl/>
              <w:adjustRightInd/>
              <w:spacing w:line="240" w:lineRule="auto"/>
              <w:jc w:val="left"/>
              <w:rPr>
                <w:rFonts w:hint="eastAsia" w:ascii="宋体" w:hAnsi="宋体" w:cs="宋体"/>
                <w:kern w:val="0"/>
                <w:sz w:val="18"/>
                <w:szCs w:val="18"/>
              </w:rPr>
            </w:pPr>
          </w:p>
        </w:tc>
      </w:tr>
      <w:tr w14:paraId="20C01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292" w:type="pct"/>
            <w:noWrap/>
            <w:vAlign w:val="center"/>
          </w:tcPr>
          <w:p w14:paraId="122BE3C4">
            <w:pPr>
              <w:widowControl/>
              <w:adjustRightInd/>
              <w:spacing w:line="240" w:lineRule="auto"/>
              <w:jc w:val="center"/>
              <w:rPr>
                <w:rFonts w:hint="eastAsia" w:ascii="宋体" w:hAnsi="宋体" w:cs="宋体"/>
                <w:kern w:val="0"/>
                <w:sz w:val="18"/>
                <w:szCs w:val="18"/>
              </w:rPr>
            </w:pPr>
            <w:r>
              <w:rPr>
                <w:rFonts w:hint="eastAsia" w:ascii="宋体" w:hAnsi="宋体" w:cs="宋体"/>
                <w:kern w:val="0"/>
                <w:sz w:val="18"/>
                <w:szCs w:val="18"/>
              </w:rPr>
              <w:t>5</w:t>
            </w:r>
          </w:p>
        </w:tc>
        <w:tc>
          <w:tcPr>
            <w:tcW w:w="384" w:type="pct"/>
            <w:noWrap/>
            <w:vAlign w:val="center"/>
          </w:tcPr>
          <w:p w14:paraId="38CDA195">
            <w:pPr>
              <w:widowControl/>
              <w:adjustRightInd/>
              <w:spacing w:line="240" w:lineRule="auto"/>
              <w:jc w:val="left"/>
              <w:rPr>
                <w:rFonts w:hint="eastAsia" w:ascii="宋体" w:hAnsi="宋体" w:cs="宋体"/>
                <w:kern w:val="0"/>
                <w:sz w:val="18"/>
                <w:szCs w:val="18"/>
              </w:rPr>
            </w:pPr>
          </w:p>
        </w:tc>
        <w:tc>
          <w:tcPr>
            <w:tcW w:w="386" w:type="pct"/>
            <w:noWrap/>
            <w:vAlign w:val="center"/>
          </w:tcPr>
          <w:p w14:paraId="43BCA0A1">
            <w:pPr>
              <w:widowControl/>
              <w:adjustRightInd/>
              <w:spacing w:line="240" w:lineRule="auto"/>
              <w:jc w:val="left"/>
              <w:rPr>
                <w:rFonts w:hint="eastAsia" w:ascii="宋体" w:hAnsi="宋体" w:cs="宋体"/>
                <w:kern w:val="0"/>
                <w:sz w:val="18"/>
                <w:szCs w:val="18"/>
              </w:rPr>
            </w:pPr>
          </w:p>
        </w:tc>
        <w:tc>
          <w:tcPr>
            <w:tcW w:w="545" w:type="pct"/>
            <w:noWrap/>
            <w:vAlign w:val="center"/>
          </w:tcPr>
          <w:p w14:paraId="4442CCAE">
            <w:pPr>
              <w:widowControl/>
              <w:adjustRightInd/>
              <w:spacing w:line="240" w:lineRule="auto"/>
              <w:jc w:val="left"/>
              <w:rPr>
                <w:rFonts w:hint="eastAsia" w:ascii="宋体" w:hAnsi="宋体" w:cs="宋体"/>
                <w:kern w:val="0"/>
                <w:sz w:val="18"/>
                <w:szCs w:val="18"/>
              </w:rPr>
            </w:pPr>
          </w:p>
        </w:tc>
        <w:tc>
          <w:tcPr>
            <w:tcW w:w="388" w:type="pct"/>
            <w:noWrap/>
            <w:vAlign w:val="center"/>
          </w:tcPr>
          <w:p w14:paraId="51B31676">
            <w:pPr>
              <w:widowControl/>
              <w:adjustRightInd/>
              <w:spacing w:line="240" w:lineRule="auto"/>
              <w:jc w:val="left"/>
              <w:rPr>
                <w:rFonts w:hint="eastAsia" w:ascii="宋体" w:hAnsi="宋体" w:cs="宋体"/>
                <w:kern w:val="0"/>
                <w:sz w:val="18"/>
                <w:szCs w:val="18"/>
              </w:rPr>
            </w:pPr>
          </w:p>
        </w:tc>
        <w:tc>
          <w:tcPr>
            <w:tcW w:w="542" w:type="pct"/>
            <w:noWrap/>
            <w:vAlign w:val="center"/>
          </w:tcPr>
          <w:p w14:paraId="5E71923E">
            <w:pPr>
              <w:widowControl/>
              <w:adjustRightInd/>
              <w:spacing w:line="240" w:lineRule="auto"/>
              <w:jc w:val="left"/>
              <w:rPr>
                <w:rFonts w:hint="eastAsia" w:ascii="宋体" w:hAnsi="宋体" w:cs="宋体"/>
                <w:kern w:val="0"/>
                <w:sz w:val="18"/>
                <w:szCs w:val="18"/>
              </w:rPr>
            </w:pPr>
          </w:p>
        </w:tc>
        <w:tc>
          <w:tcPr>
            <w:tcW w:w="465" w:type="pct"/>
            <w:gridSpan w:val="2"/>
            <w:noWrap/>
            <w:vAlign w:val="center"/>
          </w:tcPr>
          <w:p w14:paraId="46044B82">
            <w:pPr>
              <w:widowControl/>
              <w:adjustRightInd/>
              <w:spacing w:line="240" w:lineRule="auto"/>
              <w:jc w:val="left"/>
              <w:rPr>
                <w:rFonts w:hint="eastAsia" w:ascii="宋体" w:hAnsi="宋体" w:cs="宋体"/>
                <w:kern w:val="0"/>
                <w:sz w:val="18"/>
                <w:szCs w:val="18"/>
              </w:rPr>
            </w:pPr>
          </w:p>
        </w:tc>
        <w:tc>
          <w:tcPr>
            <w:tcW w:w="775" w:type="pct"/>
            <w:noWrap/>
            <w:vAlign w:val="center"/>
          </w:tcPr>
          <w:p w14:paraId="2DD1A527">
            <w:pPr>
              <w:widowControl/>
              <w:adjustRightInd/>
              <w:spacing w:line="240" w:lineRule="auto"/>
              <w:jc w:val="left"/>
              <w:rPr>
                <w:rFonts w:hint="eastAsia" w:ascii="宋体" w:hAnsi="宋体" w:cs="宋体"/>
                <w:kern w:val="0"/>
                <w:sz w:val="18"/>
                <w:szCs w:val="18"/>
              </w:rPr>
            </w:pPr>
          </w:p>
        </w:tc>
        <w:tc>
          <w:tcPr>
            <w:tcW w:w="465" w:type="pct"/>
            <w:noWrap/>
            <w:vAlign w:val="center"/>
          </w:tcPr>
          <w:p w14:paraId="5EB9845C">
            <w:pPr>
              <w:widowControl/>
              <w:adjustRightInd/>
              <w:spacing w:line="240" w:lineRule="auto"/>
              <w:jc w:val="left"/>
              <w:rPr>
                <w:rFonts w:hint="eastAsia" w:ascii="宋体" w:hAnsi="宋体" w:cs="宋体"/>
                <w:kern w:val="0"/>
                <w:sz w:val="18"/>
                <w:szCs w:val="18"/>
              </w:rPr>
            </w:pPr>
          </w:p>
        </w:tc>
        <w:tc>
          <w:tcPr>
            <w:tcW w:w="464" w:type="pct"/>
            <w:noWrap/>
            <w:vAlign w:val="center"/>
          </w:tcPr>
          <w:p w14:paraId="0E17AA4C">
            <w:pPr>
              <w:widowControl/>
              <w:adjustRightInd/>
              <w:spacing w:line="240" w:lineRule="auto"/>
              <w:jc w:val="left"/>
              <w:rPr>
                <w:rFonts w:hint="eastAsia" w:ascii="宋体" w:hAnsi="宋体" w:cs="宋体"/>
                <w:kern w:val="0"/>
                <w:sz w:val="18"/>
                <w:szCs w:val="18"/>
              </w:rPr>
            </w:pPr>
          </w:p>
        </w:tc>
        <w:tc>
          <w:tcPr>
            <w:tcW w:w="294" w:type="pct"/>
            <w:noWrap/>
            <w:vAlign w:val="center"/>
          </w:tcPr>
          <w:p w14:paraId="3CECD62A">
            <w:pPr>
              <w:widowControl/>
              <w:adjustRightInd/>
              <w:spacing w:line="240" w:lineRule="auto"/>
              <w:jc w:val="left"/>
              <w:rPr>
                <w:rFonts w:hint="eastAsia" w:ascii="宋体" w:hAnsi="宋体" w:cs="宋体"/>
                <w:kern w:val="0"/>
                <w:sz w:val="18"/>
                <w:szCs w:val="18"/>
              </w:rPr>
            </w:pPr>
          </w:p>
        </w:tc>
      </w:tr>
      <w:tr w14:paraId="50F64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292" w:type="pct"/>
            <w:noWrap/>
            <w:vAlign w:val="center"/>
          </w:tcPr>
          <w:p w14:paraId="517852BB">
            <w:pPr>
              <w:widowControl/>
              <w:adjustRightInd/>
              <w:spacing w:line="240" w:lineRule="auto"/>
              <w:jc w:val="center"/>
              <w:rPr>
                <w:rFonts w:hint="eastAsia" w:ascii="宋体" w:hAnsi="宋体" w:cs="宋体"/>
                <w:kern w:val="0"/>
                <w:sz w:val="18"/>
                <w:szCs w:val="18"/>
              </w:rPr>
            </w:pPr>
            <w:r>
              <w:rPr>
                <w:rFonts w:hint="eastAsia" w:ascii="宋体" w:hAnsi="宋体" w:cs="宋体"/>
                <w:kern w:val="0"/>
                <w:sz w:val="18"/>
                <w:szCs w:val="18"/>
              </w:rPr>
              <w:t>6</w:t>
            </w:r>
          </w:p>
        </w:tc>
        <w:tc>
          <w:tcPr>
            <w:tcW w:w="384" w:type="pct"/>
            <w:noWrap/>
            <w:vAlign w:val="center"/>
          </w:tcPr>
          <w:p w14:paraId="100AB40B">
            <w:pPr>
              <w:widowControl/>
              <w:adjustRightInd/>
              <w:spacing w:line="240" w:lineRule="auto"/>
              <w:jc w:val="left"/>
              <w:rPr>
                <w:rFonts w:hint="eastAsia" w:ascii="宋体" w:hAnsi="宋体" w:cs="宋体"/>
                <w:kern w:val="0"/>
                <w:sz w:val="18"/>
                <w:szCs w:val="18"/>
              </w:rPr>
            </w:pPr>
          </w:p>
        </w:tc>
        <w:tc>
          <w:tcPr>
            <w:tcW w:w="386" w:type="pct"/>
            <w:noWrap/>
            <w:vAlign w:val="center"/>
          </w:tcPr>
          <w:p w14:paraId="05A9B0E3">
            <w:pPr>
              <w:widowControl/>
              <w:adjustRightInd/>
              <w:spacing w:line="240" w:lineRule="auto"/>
              <w:jc w:val="left"/>
              <w:rPr>
                <w:rFonts w:hint="eastAsia" w:ascii="宋体" w:hAnsi="宋体" w:cs="宋体"/>
                <w:kern w:val="0"/>
                <w:sz w:val="18"/>
                <w:szCs w:val="18"/>
              </w:rPr>
            </w:pPr>
          </w:p>
        </w:tc>
        <w:tc>
          <w:tcPr>
            <w:tcW w:w="545" w:type="pct"/>
            <w:noWrap/>
            <w:vAlign w:val="center"/>
          </w:tcPr>
          <w:p w14:paraId="750E283E">
            <w:pPr>
              <w:widowControl/>
              <w:adjustRightInd/>
              <w:spacing w:line="240" w:lineRule="auto"/>
              <w:jc w:val="left"/>
              <w:rPr>
                <w:rFonts w:hint="eastAsia" w:ascii="宋体" w:hAnsi="宋体" w:cs="宋体"/>
                <w:kern w:val="0"/>
                <w:sz w:val="18"/>
                <w:szCs w:val="18"/>
              </w:rPr>
            </w:pPr>
          </w:p>
        </w:tc>
        <w:tc>
          <w:tcPr>
            <w:tcW w:w="388" w:type="pct"/>
            <w:noWrap/>
            <w:vAlign w:val="center"/>
          </w:tcPr>
          <w:p w14:paraId="3B2AD4E6">
            <w:pPr>
              <w:widowControl/>
              <w:adjustRightInd/>
              <w:spacing w:line="240" w:lineRule="auto"/>
              <w:jc w:val="left"/>
              <w:rPr>
                <w:rFonts w:hint="eastAsia" w:ascii="宋体" w:hAnsi="宋体" w:cs="宋体"/>
                <w:kern w:val="0"/>
                <w:sz w:val="18"/>
                <w:szCs w:val="18"/>
              </w:rPr>
            </w:pPr>
          </w:p>
        </w:tc>
        <w:tc>
          <w:tcPr>
            <w:tcW w:w="542" w:type="pct"/>
            <w:noWrap/>
            <w:vAlign w:val="center"/>
          </w:tcPr>
          <w:p w14:paraId="7536577D">
            <w:pPr>
              <w:widowControl/>
              <w:adjustRightInd/>
              <w:spacing w:line="240" w:lineRule="auto"/>
              <w:jc w:val="left"/>
              <w:rPr>
                <w:rFonts w:hint="eastAsia" w:ascii="宋体" w:hAnsi="宋体" w:cs="宋体"/>
                <w:kern w:val="0"/>
                <w:sz w:val="18"/>
                <w:szCs w:val="18"/>
              </w:rPr>
            </w:pPr>
          </w:p>
        </w:tc>
        <w:tc>
          <w:tcPr>
            <w:tcW w:w="465" w:type="pct"/>
            <w:gridSpan w:val="2"/>
            <w:noWrap/>
            <w:vAlign w:val="center"/>
          </w:tcPr>
          <w:p w14:paraId="40C751BE">
            <w:pPr>
              <w:widowControl/>
              <w:adjustRightInd/>
              <w:spacing w:line="240" w:lineRule="auto"/>
              <w:jc w:val="left"/>
              <w:rPr>
                <w:rFonts w:hint="eastAsia" w:ascii="宋体" w:hAnsi="宋体" w:cs="宋体"/>
                <w:kern w:val="0"/>
                <w:sz w:val="18"/>
                <w:szCs w:val="18"/>
              </w:rPr>
            </w:pPr>
          </w:p>
        </w:tc>
        <w:tc>
          <w:tcPr>
            <w:tcW w:w="775" w:type="pct"/>
            <w:noWrap/>
            <w:vAlign w:val="center"/>
          </w:tcPr>
          <w:p w14:paraId="3997BF1D">
            <w:pPr>
              <w:widowControl/>
              <w:adjustRightInd/>
              <w:spacing w:line="240" w:lineRule="auto"/>
              <w:jc w:val="left"/>
              <w:rPr>
                <w:rFonts w:hint="eastAsia" w:ascii="宋体" w:hAnsi="宋体" w:cs="宋体"/>
                <w:kern w:val="0"/>
                <w:sz w:val="18"/>
                <w:szCs w:val="18"/>
              </w:rPr>
            </w:pPr>
          </w:p>
        </w:tc>
        <w:tc>
          <w:tcPr>
            <w:tcW w:w="465" w:type="pct"/>
            <w:noWrap/>
            <w:vAlign w:val="center"/>
          </w:tcPr>
          <w:p w14:paraId="0D8B9441">
            <w:pPr>
              <w:widowControl/>
              <w:adjustRightInd/>
              <w:spacing w:line="240" w:lineRule="auto"/>
              <w:jc w:val="left"/>
              <w:rPr>
                <w:rFonts w:hint="eastAsia" w:ascii="宋体" w:hAnsi="宋体" w:cs="宋体"/>
                <w:kern w:val="0"/>
                <w:sz w:val="18"/>
                <w:szCs w:val="18"/>
              </w:rPr>
            </w:pPr>
          </w:p>
        </w:tc>
        <w:tc>
          <w:tcPr>
            <w:tcW w:w="464" w:type="pct"/>
            <w:noWrap/>
            <w:vAlign w:val="center"/>
          </w:tcPr>
          <w:p w14:paraId="3EC3377D">
            <w:pPr>
              <w:widowControl/>
              <w:adjustRightInd/>
              <w:spacing w:line="240" w:lineRule="auto"/>
              <w:jc w:val="left"/>
              <w:rPr>
                <w:rFonts w:hint="eastAsia" w:ascii="宋体" w:hAnsi="宋体" w:cs="宋体"/>
                <w:kern w:val="0"/>
                <w:sz w:val="18"/>
                <w:szCs w:val="18"/>
              </w:rPr>
            </w:pPr>
          </w:p>
        </w:tc>
        <w:tc>
          <w:tcPr>
            <w:tcW w:w="294" w:type="pct"/>
            <w:noWrap/>
            <w:vAlign w:val="center"/>
          </w:tcPr>
          <w:p w14:paraId="623480E3">
            <w:pPr>
              <w:widowControl/>
              <w:adjustRightInd/>
              <w:spacing w:line="240" w:lineRule="auto"/>
              <w:jc w:val="left"/>
              <w:rPr>
                <w:rFonts w:hint="eastAsia" w:ascii="宋体" w:hAnsi="宋体" w:cs="宋体"/>
                <w:kern w:val="0"/>
                <w:sz w:val="18"/>
                <w:szCs w:val="18"/>
              </w:rPr>
            </w:pPr>
          </w:p>
        </w:tc>
      </w:tr>
      <w:tr w14:paraId="5B2A2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292" w:type="pct"/>
            <w:noWrap/>
            <w:vAlign w:val="center"/>
          </w:tcPr>
          <w:p w14:paraId="15504036">
            <w:pPr>
              <w:widowControl/>
              <w:adjustRightInd/>
              <w:spacing w:line="240" w:lineRule="auto"/>
              <w:jc w:val="center"/>
              <w:rPr>
                <w:rFonts w:hint="eastAsia" w:ascii="宋体" w:hAnsi="宋体" w:cs="宋体"/>
                <w:kern w:val="0"/>
                <w:sz w:val="18"/>
                <w:szCs w:val="18"/>
              </w:rPr>
            </w:pPr>
            <w:r>
              <w:rPr>
                <w:rFonts w:hint="eastAsia" w:ascii="宋体" w:hAnsi="宋体" w:cs="宋体"/>
                <w:kern w:val="0"/>
                <w:sz w:val="18"/>
                <w:szCs w:val="18"/>
              </w:rPr>
              <w:t>7</w:t>
            </w:r>
          </w:p>
        </w:tc>
        <w:tc>
          <w:tcPr>
            <w:tcW w:w="384" w:type="pct"/>
            <w:noWrap/>
            <w:vAlign w:val="center"/>
          </w:tcPr>
          <w:p w14:paraId="42BC14E9">
            <w:pPr>
              <w:widowControl/>
              <w:adjustRightInd/>
              <w:spacing w:line="240" w:lineRule="auto"/>
              <w:jc w:val="left"/>
              <w:rPr>
                <w:rFonts w:hint="eastAsia" w:ascii="宋体" w:hAnsi="宋体" w:cs="宋体"/>
                <w:kern w:val="0"/>
                <w:sz w:val="18"/>
                <w:szCs w:val="18"/>
              </w:rPr>
            </w:pPr>
          </w:p>
        </w:tc>
        <w:tc>
          <w:tcPr>
            <w:tcW w:w="386" w:type="pct"/>
            <w:noWrap/>
            <w:vAlign w:val="center"/>
          </w:tcPr>
          <w:p w14:paraId="447AF873">
            <w:pPr>
              <w:widowControl/>
              <w:adjustRightInd/>
              <w:spacing w:line="240" w:lineRule="auto"/>
              <w:jc w:val="left"/>
              <w:rPr>
                <w:rFonts w:hint="eastAsia" w:ascii="宋体" w:hAnsi="宋体" w:cs="宋体"/>
                <w:kern w:val="0"/>
                <w:sz w:val="18"/>
                <w:szCs w:val="18"/>
              </w:rPr>
            </w:pPr>
          </w:p>
        </w:tc>
        <w:tc>
          <w:tcPr>
            <w:tcW w:w="545" w:type="pct"/>
            <w:noWrap/>
            <w:vAlign w:val="center"/>
          </w:tcPr>
          <w:p w14:paraId="01593DA3">
            <w:pPr>
              <w:widowControl/>
              <w:adjustRightInd/>
              <w:spacing w:line="240" w:lineRule="auto"/>
              <w:jc w:val="left"/>
              <w:rPr>
                <w:rFonts w:hint="eastAsia" w:ascii="宋体" w:hAnsi="宋体" w:cs="宋体"/>
                <w:kern w:val="0"/>
                <w:sz w:val="18"/>
                <w:szCs w:val="18"/>
              </w:rPr>
            </w:pPr>
          </w:p>
        </w:tc>
        <w:tc>
          <w:tcPr>
            <w:tcW w:w="388" w:type="pct"/>
            <w:noWrap/>
            <w:vAlign w:val="center"/>
          </w:tcPr>
          <w:p w14:paraId="579E3AA1">
            <w:pPr>
              <w:widowControl/>
              <w:adjustRightInd/>
              <w:spacing w:line="240" w:lineRule="auto"/>
              <w:jc w:val="left"/>
              <w:rPr>
                <w:rFonts w:hint="eastAsia" w:ascii="宋体" w:hAnsi="宋体" w:cs="宋体"/>
                <w:kern w:val="0"/>
                <w:sz w:val="18"/>
                <w:szCs w:val="18"/>
              </w:rPr>
            </w:pPr>
          </w:p>
        </w:tc>
        <w:tc>
          <w:tcPr>
            <w:tcW w:w="542" w:type="pct"/>
            <w:noWrap/>
            <w:vAlign w:val="center"/>
          </w:tcPr>
          <w:p w14:paraId="6C3C16F7">
            <w:pPr>
              <w:widowControl/>
              <w:adjustRightInd/>
              <w:spacing w:line="240" w:lineRule="auto"/>
              <w:jc w:val="left"/>
              <w:rPr>
                <w:rFonts w:hint="eastAsia" w:ascii="宋体" w:hAnsi="宋体" w:cs="宋体"/>
                <w:kern w:val="0"/>
                <w:sz w:val="18"/>
                <w:szCs w:val="18"/>
              </w:rPr>
            </w:pPr>
          </w:p>
        </w:tc>
        <w:tc>
          <w:tcPr>
            <w:tcW w:w="465" w:type="pct"/>
            <w:gridSpan w:val="2"/>
            <w:noWrap/>
            <w:vAlign w:val="center"/>
          </w:tcPr>
          <w:p w14:paraId="5849FD49">
            <w:pPr>
              <w:widowControl/>
              <w:adjustRightInd/>
              <w:spacing w:line="240" w:lineRule="auto"/>
              <w:jc w:val="left"/>
              <w:rPr>
                <w:rFonts w:hint="eastAsia" w:ascii="宋体" w:hAnsi="宋体" w:cs="宋体"/>
                <w:kern w:val="0"/>
                <w:sz w:val="18"/>
                <w:szCs w:val="18"/>
              </w:rPr>
            </w:pPr>
          </w:p>
        </w:tc>
        <w:tc>
          <w:tcPr>
            <w:tcW w:w="775" w:type="pct"/>
            <w:noWrap/>
            <w:vAlign w:val="center"/>
          </w:tcPr>
          <w:p w14:paraId="2986C797">
            <w:pPr>
              <w:widowControl/>
              <w:adjustRightInd/>
              <w:spacing w:line="240" w:lineRule="auto"/>
              <w:jc w:val="left"/>
              <w:rPr>
                <w:rFonts w:hint="eastAsia" w:ascii="宋体" w:hAnsi="宋体" w:cs="宋体"/>
                <w:kern w:val="0"/>
                <w:sz w:val="18"/>
                <w:szCs w:val="18"/>
              </w:rPr>
            </w:pPr>
          </w:p>
        </w:tc>
        <w:tc>
          <w:tcPr>
            <w:tcW w:w="465" w:type="pct"/>
            <w:noWrap/>
            <w:vAlign w:val="center"/>
          </w:tcPr>
          <w:p w14:paraId="32A3BF2D">
            <w:pPr>
              <w:widowControl/>
              <w:adjustRightInd/>
              <w:spacing w:line="240" w:lineRule="auto"/>
              <w:jc w:val="left"/>
              <w:rPr>
                <w:rFonts w:hint="eastAsia" w:ascii="宋体" w:hAnsi="宋体" w:cs="宋体"/>
                <w:kern w:val="0"/>
                <w:sz w:val="18"/>
                <w:szCs w:val="18"/>
              </w:rPr>
            </w:pPr>
          </w:p>
        </w:tc>
        <w:tc>
          <w:tcPr>
            <w:tcW w:w="464" w:type="pct"/>
            <w:noWrap/>
            <w:vAlign w:val="center"/>
          </w:tcPr>
          <w:p w14:paraId="4EE9FA96">
            <w:pPr>
              <w:widowControl/>
              <w:adjustRightInd/>
              <w:spacing w:line="240" w:lineRule="auto"/>
              <w:jc w:val="left"/>
              <w:rPr>
                <w:rFonts w:hint="eastAsia" w:ascii="宋体" w:hAnsi="宋体" w:cs="宋体"/>
                <w:kern w:val="0"/>
                <w:sz w:val="18"/>
                <w:szCs w:val="18"/>
              </w:rPr>
            </w:pPr>
          </w:p>
        </w:tc>
        <w:tc>
          <w:tcPr>
            <w:tcW w:w="294" w:type="pct"/>
            <w:noWrap/>
            <w:vAlign w:val="center"/>
          </w:tcPr>
          <w:p w14:paraId="013F3326">
            <w:pPr>
              <w:widowControl/>
              <w:adjustRightInd/>
              <w:spacing w:line="240" w:lineRule="auto"/>
              <w:jc w:val="left"/>
              <w:rPr>
                <w:rFonts w:hint="eastAsia" w:ascii="宋体" w:hAnsi="宋体" w:cs="宋体"/>
                <w:kern w:val="0"/>
                <w:sz w:val="18"/>
                <w:szCs w:val="18"/>
              </w:rPr>
            </w:pPr>
          </w:p>
        </w:tc>
      </w:tr>
      <w:tr w14:paraId="35514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292" w:type="pct"/>
            <w:noWrap/>
            <w:vAlign w:val="center"/>
          </w:tcPr>
          <w:p w14:paraId="194516BA">
            <w:pPr>
              <w:widowControl/>
              <w:adjustRightInd/>
              <w:spacing w:line="240" w:lineRule="auto"/>
              <w:jc w:val="center"/>
              <w:rPr>
                <w:rFonts w:hint="eastAsia" w:ascii="宋体" w:hAnsi="宋体" w:cs="宋体"/>
                <w:kern w:val="0"/>
                <w:sz w:val="18"/>
                <w:szCs w:val="18"/>
              </w:rPr>
            </w:pPr>
            <w:r>
              <w:rPr>
                <w:rFonts w:hint="eastAsia" w:ascii="宋体" w:hAnsi="宋体" w:cs="宋体"/>
                <w:kern w:val="0"/>
                <w:sz w:val="18"/>
                <w:szCs w:val="18"/>
              </w:rPr>
              <w:t>8</w:t>
            </w:r>
          </w:p>
        </w:tc>
        <w:tc>
          <w:tcPr>
            <w:tcW w:w="384" w:type="pct"/>
            <w:noWrap/>
            <w:vAlign w:val="center"/>
          </w:tcPr>
          <w:p w14:paraId="0A85ACFF">
            <w:pPr>
              <w:widowControl/>
              <w:adjustRightInd/>
              <w:spacing w:line="240" w:lineRule="auto"/>
              <w:jc w:val="left"/>
              <w:rPr>
                <w:rFonts w:hint="eastAsia" w:ascii="宋体" w:hAnsi="宋体" w:cs="宋体"/>
                <w:kern w:val="0"/>
                <w:sz w:val="18"/>
                <w:szCs w:val="18"/>
              </w:rPr>
            </w:pPr>
          </w:p>
        </w:tc>
        <w:tc>
          <w:tcPr>
            <w:tcW w:w="386" w:type="pct"/>
            <w:noWrap/>
            <w:vAlign w:val="center"/>
          </w:tcPr>
          <w:p w14:paraId="454A7ACB">
            <w:pPr>
              <w:widowControl/>
              <w:adjustRightInd/>
              <w:spacing w:line="240" w:lineRule="auto"/>
              <w:jc w:val="left"/>
              <w:rPr>
                <w:rFonts w:hint="eastAsia" w:ascii="宋体" w:hAnsi="宋体" w:cs="宋体"/>
                <w:kern w:val="0"/>
                <w:sz w:val="18"/>
                <w:szCs w:val="18"/>
              </w:rPr>
            </w:pPr>
          </w:p>
        </w:tc>
        <w:tc>
          <w:tcPr>
            <w:tcW w:w="545" w:type="pct"/>
            <w:noWrap/>
            <w:vAlign w:val="center"/>
          </w:tcPr>
          <w:p w14:paraId="55559483">
            <w:pPr>
              <w:widowControl/>
              <w:adjustRightInd/>
              <w:spacing w:line="240" w:lineRule="auto"/>
              <w:jc w:val="left"/>
              <w:rPr>
                <w:rFonts w:hint="eastAsia" w:ascii="宋体" w:hAnsi="宋体" w:cs="宋体"/>
                <w:kern w:val="0"/>
                <w:sz w:val="18"/>
                <w:szCs w:val="18"/>
              </w:rPr>
            </w:pPr>
          </w:p>
        </w:tc>
        <w:tc>
          <w:tcPr>
            <w:tcW w:w="388" w:type="pct"/>
            <w:noWrap/>
            <w:vAlign w:val="center"/>
          </w:tcPr>
          <w:p w14:paraId="4F2F4C77">
            <w:pPr>
              <w:widowControl/>
              <w:adjustRightInd/>
              <w:spacing w:line="240" w:lineRule="auto"/>
              <w:jc w:val="left"/>
              <w:rPr>
                <w:rFonts w:hint="eastAsia" w:ascii="宋体" w:hAnsi="宋体" w:cs="宋体"/>
                <w:kern w:val="0"/>
                <w:sz w:val="18"/>
                <w:szCs w:val="18"/>
              </w:rPr>
            </w:pPr>
          </w:p>
        </w:tc>
        <w:tc>
          <w:tcPr>
            <w:tcW w:w="542" w:type="pct"/>
            <w:noWrap/>
            <w:vAlign w:val="center"/>
          </w:tcPr>
          <w:p w14:paraId="64955A21">
            <w:pPr>
              <w:widowControl/>
              <w:adjustRightInd/>
              <w:spacing w:line="240" w:lineRule="auto"/>
              <w:jc w:val="left"/>
              <w:rPr>
                <w:rFonts w:hint="eastAsia" w:ascii="宋体" w:hAnsi="宋体" w:cs="宋体"/>
                <w:kern w:val="0"/>
                <w:sz w:val="18"/>
                <w:szCs w:val="18"/>
              </w:rPr>
            </w:pPr>
          </w:p>
        </w:tc>
        <w:tc>
          <w:tcPr>
            <w:tcW w:w="465" w:type="pct"/>
            <w:gridSpan w:val="2"/>
            <w:noWrap/>
            <w:vAlign w:val="center"/>
          </w:tcPr>
          <w:p w14:paraId="50AF8937">
            <w:pPr>
              <w:widowControl/>
              <w:adjustRightInd/>
              <w:spacing w:line="240" w:lineRule="auto"/>
              <w:jc w:val="left"/>
              <w:rPr>
                <w:rFonts w:hint="eastAsia" w:ascii="宋体" w:hAnsi="宋体" w:cs="宋体"/>
                <w:kern w:val="0"/>
                <w:sz w:val="18"/>
                <w:szCs w:val="18"/>
              </w:rPr>
            </w:pPr>
          </w:p>
        </w:tc>
        <w:tc>
          <w:tcPr>
            <w:tcW w:w="775" w:type="pct"/>
            <w:noWrap/>
            <w:vAlign w:val="center"/>
          </w:tcPr>
          <w:p w14:paraId="792FEC07">
            <w:pPr>
              <w:widowControl/>
              <w:adjustRightInd/>
              <w:spacing w:line="240" w:lineRule="auto"/>
              <w:jc w:val="left"/>
              <w:rPr>
                <w:rFonts w:hint="eastAsia" w:ascii="宋体" w:hAnsi="宋体" w:cs="宋体"/>
                <w:kern w:val="0"/>
                <w:sz w:val="18"/>
                <w:szCs w:val="18"/>
              </w:rPr>
            </w:pPr>
          </w:p>
        </w:tc>
        <w:tc>
          <w:tcPr>
            <w:tcW w:w="465" w:type="pct"/>
            <w:noWrap/>
            <w:vAlign w:val="center"/>
          </w:tcPr>
          <w:p w14:paraId="3E7EBBB5">
            <w:pPr>
              <w:widowControl/>
              <w:adjustRightInd/>
              <w:spacing w:line="240" w:lineRule="auto"/>
              <w:jc w:val="left"/>
              <w:rPr>
                <w:rFonts w:hint="eastAsia" w:ascii="宋体" w:hAnsi="宋体" w:cs="宋体"/>
                <w:kern w:val="0"/>
                <w:sz w:val="18"/>
                <w:szCs w:val="18"/>
              </w:rPr>
            </w:pPr>
          </w:p>
        </w:tc>
        <w:tc>
          <w:tcPr>
            <w:tcW w:w="464" w:type="pct"/>
            <w:noWrap/>
            <w:vAlign w:val="center"/>
          </w:tcPr>
          <w:p w14:paraId="1EF3EFA3">
            <w:pPr>
              <w:widowControl/>
              <w:adjustRightInd/>
              <w:spacing w:line="240" w:lineRule="auto"/>
              <w:jc w:val="left"/>
              <w:rPr>
                <w:rFonts w:hint="eastAsia" w:ascii="宋体" w:hAnsi="宋体" w:cs="宋体"/>
                <w:kern w:val="0"/>
                <w:sz w:val="18"/>
                <w:szCs w:val="18"/>
              </w:rPr>
            </w:pPr>
          </w:p>
        </w:tc>
        <w:tc>
          <w:tcPr>
            <w:tcW w:w="294" w:type="pct"/>
            <w:noWrap/>
            <w:vAlign w:val="center"/>
          </w:tcPr>
          <w:p w14:paraId="0F3D14BD">
            <w:pPr>
              <w:widowControl/>
              <w:adjustRightInd/>
              <w:spacing w:line="240" w:lineRule="auto"/>
              <w:jc w:val="left"/>
              <w:rPr>
                <w:rFonts w:hint="eastAsia" w:ascii="宋体" w:hAnsi="宋体" w:cs="宋体"/>
                <w:kern w:val="0"/>
                <w:sz w:val="18"/>
                <w:szCs w:val="18"/>
              </w:rPr>
            </w:pPr>
          </w:p>
        </w:tc>
      </w:tr>
      <w:tr w14:paraId="0EDDA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292" w:type="pct"/>
            <w:noWrap/>
            <w:vAlign w:val="center"/>
          </w:tcPr>
          <w:p w14:paraId="2A6C3221">
            <w:pPr>
              <w:widowControl/>
              <w:adjustRightInd/>
              <w:spacing w:line="240" w:lineRule="auto"/>
              <w:jc w:val="center"/>
              <w:rPr>
                <w:rFonts w:hint="eastAsia" w:ascii="宋体" w:hAnsi="宋体" w:cs="宋体"/>
                <w:kern w:val="0"/>
                <w:sz w:val="18"/>
                <w:szCs w:val="18"/>
              </w:rPr>
            </w:pPr>
            <w:r>
              <w:rPr>
                <w:rFonts w:hint="eastAsia" w:ascii="宋体" w:hAnsi="宋体" w:cs="宋体"/>
                <w:kern w:val="0"/>
                <w:sz w:val="18"/>
                <w:szCs w:val="18"/>
              </w:rPr>
              <w:t>9</w:t>
            </w:r>
          </w:p>
        </w:tc>
        <w:tc>
          <w:tcPr>
            <w:tcW w:w="384" w:type="pct"/>
            <w:noWrap/>
            <w:vAlign w:val="center"/>
          </w:tcPr>
          <w:p w14:paraId="13CBEC04">
            <w:pPr>
              <w:widowControl/>
              <w:adjustRightInd/>
              <w:spacing w:line="240" w:lineRule="auto"/>
              <w:jc w:val="left"/>
              <w:rPr>
                <w:rFonts w:hint="eastAsia" w:ascii="宋体" w:hAnsi="宋体" w:cs="宋体"/>
                <w:kern w:val="0"/>
                <w:sz w:val="18"/>
                <w:szCs w:val="18"/>
              </w:rPr>
            </w:pPr>
          </w:p>
        </w:tc>
        <w:tc>
          <w:tcPr>
            <w:tcW w:w="386" w:type="pct"/>
            <w:noWrap/>
            <w:vAlign w:val="center"/>
          </w:tcPr>
          <w:p w14:paraId="112A08A2">
            <w:pPr>
              <w:widowControl/>
              <w:adjustRightInd/>
              <w:spacing w:line="240" w:lineRule="auto"/>
              <w:jc w:val="left"/>
              <w:rPr>
                <w:rFonts w:hint="eastAsia" w:ascii="宋体" w:hAnsi="宋体" w:cs="宋体"/>
                <w:kern w:val="0"/>
                <w:sz w:val="18"/>
                <w:szCs w:val="18"/>
              </w:rPr>
            </w:pPr>
          </w:p>
        </w:tc>
        <w:tc>
          <w:tcPr>
            <w:tcW w:w="545" w:type="pct"/>
            <w:noWrap/>
            <w:vAlign w:val="center"/>
          </w:tcPr>
          <w:p w14:paraId="1499E4A7">
            <w:pPr>
              <w:widowControl/>
              <w:adjustRightInd/>
              <w:spacing w:line="240" w:lineRule="auto"/>
              <w:jc w:val="left"/>
              <w:rPr>
                <w:rFonts w:hint="eastAsia" w:ascii="宋体" w:hAnsi="宋体" w:cs="宋体"/>
                <w:kern w:val="0"/>
                <w:sz w:val="18"/>
                <w:szCs w:val="18"/>
              </w:rPr>
            </w:pPr>
          </w:p>
        </w:tc>
        <w:tc>
          <w:tcPr>
            <w:tcW w:w="388" w:type="pct"/>
            <w:noWrap/>
            <w:vAlign w:val="center"/>
          </w:tcPr>
          <w:p w14:paraId="6EE59E2D">
            <w:pPr>
              <w:widowControl/>
              <w:adjustRightInd/>
              <w:spacing w:line="240" w:lineRule="auto"/>
              <w:jc w:val="left"/>
              <w:rPr>
                <w:rFonts w:hint="eastAsia" w:ascii="宋体" w:hAnsi="宋体" w:cs="宋体"/>
                <w:kern w:val="0"/>
                <w:sz w:val="18"/>
                <w:szCs w:val="18"/>
              </w:rPr>
            </w:pPr>
          </w:p>
        </w:tc>
        <w:tc>
          <w:tcPr>
            <w:tcW w:w="542" w:type="pct"/>
            <w:noWrap/>
            <w:vAlign w:val="center"/>
          </w:tcPr>
          <w:p w14:paraId="79F2176F">
            <w:pPr>
              <w:widowControl/>
              <w:adjustRightInd/>
              <w:spacing w:line="240" w:lineRule="auto"/>
              <w:jc w:val="left"/>
              <w:rPr>
                <w:rFonts w:hint="eastAsia" w:ascii="宋体" w:hAnsi="宋体" w:cs="宋体"/>
                <w:kern w:val="0"/>
                <w:sz w:val="18"/>
                <w:szCs w:val="18"/>
              </w:rPr>
            </w:pPr>
          </w:p>
        </w:tc>
        <w:tc>
          <w:tcPr>
            <w:tcW w:w="465" w:type="pct"/>
            <w:gridSpan w:val="2"/>
            <w:noWrap/>
            <w:vAlign w:val="center"/>
          </w:tcPr>
          <w:p w14:paraId="5779FD87">
            <w:pPr>
              <w:widowControl/>
              <w:adjustRightInd/>
              <w:spacing w:line="240" w:lineRule="auto"/>
              <w:jc w:val="left"/>
              <w:rPr>
                <w:rFonts w:hint="eastAsia" w:ascii="宋体" w:hAnsi="宋体" w:cs="宋体"/>
                <w:kern w:val="0"/>
                <w:sz w:val="18"/>
                <w:szCs w:val="18"/>
              </w:rPr>
            </w:pPr>
          </w:p>
        </w:tc>
        <w:tc>
          <w:tcPr>
            <w:tcW w:w="775" w:type="pct"/>
            <w:noWrap/>
            <w:vAlign w:val="center"/>
          </w:tcPr>
          <w:p w14:paraId="7DFFF5C9">
            <w:pPr>
              <w:widowControl/>
              <w:adjustRightInd/>
              <w:spacing w:line="240" w:lineRule="auto"/>
              <w:jc w:val="left"/>
              <w:rPr>
                <w:rFonts w:hint="eastAsia" w:ascii="宋体" w:hAnsi="宋体" w:cs="宋体"/>
                <w:kern w:val="0"/>
                <w:sz w:val="18"/>
                <w:szCs w:val="18"/>
              </w:rPr>
            </w:pPr>
          </w:p>
        </w:tc>
        <w:tc>
          <w:tcPr>
            <w:tcW w:w="465" w:type="pct"/>
            <w:noWrap/>
            <w:vAlign w:val="center"/>
          </w:tcPr>
          <w:p w14:paraId="5F8526BD">
            <w:pPr>
              <w:widowControl/>
              <w:adjustRightInd/>
              <w:spacing w:line="240" w:lineRule="auto"/>
              <w:jc w:val="left"/>
              <w:rPr>
                <w:rFonts w:hint="eastAsia" w:ascii="宋体" w:hAnsi="宋体" w:cs="宋体"/>
                <w:kern w:val="0"/>
                <w:sz w:val="18"/>
                <w:szCs w:val="18"/>
              </w:rPr>
            </w:pPr>
          </w:p>
        </w:tc>
        <w:tc>
          <w:tcPr>
            <w:tcW w:w="464" w:type="pct"/>
            <w:noWrap/>
            <w:vAlign w:val="center"/>
          </w:tcPr>
          <w:p w14:paraId="122C1121">
            <w:pPr>
              <w:widowControl/>
              <w:adjustRightInd/>
              <w:spacing w:line="240" w:lineRule="auto"/>
              <w:jc w:val="left"/>
              <w:rPr>
                <w:rFonts w:hint="eastAsia" w:ascii="宋体" w:hAnsi="宋体" w:cs="宋体"/>
                <w:kern w:val="0"/>
                <w:sz w:val="18"/>
                <w:szCs w:val="18"/>
              </w:rPr>
            </w:pPr>
          </w:p>
        </w:tc>
        <w:tc>
          <w:tcPr>
            <w:tcW w:w="294" w:type="pct"/>
            <w:noWrap/>
            <w:vAlign w:val="center"/>
          </w:tcPr>
          <w:p w14:paraId="3F99EB1E">
            <w:pPr>
              <w:widowControl/>
              <w:adjustRightInd/>
              <w:spacing w:line="240" w:lineRule="auto"/>
              <w:jc w:val="left"/>
              <w:rPr>
                <w:rFonts w:hint="eastAsia" w:ascii="宋体" w:hAnsi="宋体" w:cs="宋体"/>
                <w:kern w:val="0"/>
                <w:sz w:val="18"/>
                <w:szCs w:val="18"/>
              </w:rPr>
            </w:pPr>
          </w:p>
        </w:tc>
      </w:tr>
      <w:tr w14:paraId="7AB86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292" w:type="pct"/>
            <w:noWrap/>
            <w:vAlign w:val="center"/>
          </w:tcPr>
          <w:p w14:paraId="25A2D0F1">
            <w:pPr>
              <w:widowControl/>
              <w:adjustRightInd/>
              <w:spacing w:line="240" w:lineRule="auto"/>
              <w:jc w:val="center"/>
              <w:rPr>
                <w:rFonts w:hint="eastAsia" w:ascii="宋体" w:hAnsi="宋体" w:cs="宋体"/>
                <w:kern w:val="0"/>
                <w:sz w:val="18"/>
                <w:szCs w:val="18"/>
              </w:rPr>
            </w:pPr>
            <w:r>
              <w:rPr>
                <w:rFonts w:hint="eastAsia" w:ascii="宋体" w:hAnsi="宋体" w:cs="宋体"/>
                <w:kern w:val="0"/>
                <w:sz w:val="18"/>
                <w:szCs w:val="18"/>
              </w:rPr>
              <w:t>10</w:t>
            </w:r>
          </w:p>
        </w:tc>
        <w:tc>
          <w:tcPr>
            <w:tcW w:w="384" w:type="pct"/>
            <w:noWrap/>
            <w:vAlign w:val="center"/>
          </w:tcPr>
          <w:p w14:paraId="723676D4">
            <w:pPr>
              <w:widowControl/>
              <w:adjustRightInd/>
              <w:spacing w:line="240" w:lineRule="auto"/>
              <w:jc w:val="left"/>
              <w:rPr>
                <w:rFonts w:hint="eastAsia" w:ascii="宋体" w:hAnsi="宋体" w:cs="宋体"/>
                <w:kern w:val="0"/>
                <w:sz w:val="18"/>
                <w:szCs w:val="18"/>
              </w:rPr>
            </w:pPr>
          </w:p>
        </w:tc>
        <w:tc>
          <w:tcPr>
            <w:tcW w:w="386" w:type="pct"/>
            <w:noWrap/>
            <w:vAlign w:val="center"/>
          </w:tcPr>
          <w:p w14:paraId="2E799595">
            <w:pPr>
              <w:widowControl/>
              <w:adjustRightInd/>
              <w:spacing w:line="240" w:lineRule="auto"/>
              <w:jc w:val="left"/>
              <w:rPr>
                <w:rFonts w:hint="eastAsia" w:ascii="宋体" w:hAnsi="宋体" w:cs="宋体"/>
                <w:kern w:val="0"/>
                <w:sz w:val="18"/>
                <w:szCs w:val="18"/>
              </w:rPr>
            </w:pPr>
          </w:p>
        </w:tc>
        <w:tc>
          <w:tcPr>
            <w:tcW w:w="545" w:type="pct"/>
            <w:noWrap/>
            <w:vAlign w:val="center"/>
          </w:tcPr>
          <w:p w14:paraId="096C44A2">
            <w:pPr>
              <w:widowControl/>
              <w:adjustRightInd/>
              <w:spacing w:line="240" w:lineRule="auto"/>
              <w:jc w:val="left"/>
              <w:rPr>
                <w:rFonts w:hint="eastAsia" w:ascii="宋体" w:hAnsi="宋体" w:cs="宋体"/>
                <w:kern w:val="0"/>
                <w:sz w:val="18"/>
                <w:szCs w:val="18"/>
              </w:rPr>
            </w:pPr>
          </w:p>
        </w:tc>
        <w:tc>
          <w:tcPr>
            <w:tcW w:w="388" w:type="pct"/>
            <w:noWrap/>
            <w:vAlign w:val="center"/>
          </w:tcPr>
          <w:p w14:paraId="1991A39D">
            <w:pPr>
              <w:widowControl/>
              <w:adjustRightInd/>
              <w:spacing w:line="240" w:lineRule="auto"/>
              <w:jc w:val="left"/>
              <w:rPr>
                <w:rFonts w:hint="eastAsia" w:ascii="宋体" w:hAnsi="宋体" w:cs="宋体"/>
                <w:kern w:val="0"/>
                <w:sz w:val="18"/>
                <w:szCs w:val="18"/>
              </w:rPr>
            </w:pPr>
          </w:p>
        </w:tc>
        <w:tc>
          <w:tcPr>
            <w:tcW w:w="542" w:type="pct"/>
            <w:noWrap/>
            <w:vAlign w:val="center"/>
          </w:tcPr>
          <w:p w14:paraId="033E90AF">
            <w:pPr>
              <w:widowControl/>
              <w:adjustRightInd/>
              <w:spacing w:line="240" w:lineRule="auto"/>
              <w:jc w:val="left"/>
              <w:rPr>
                <w:rFonts w:hint="eastAsia" w:ascii="宋体" w:hAnsi="宋体" w:cs="宋体"/>
                <w:kern w:val="0"/>
                <w:sz w:val="18"/>
                <w:szCs w:val="18"/>
              </w:rPr>
            </w:pPr>
          </w:p>
        </w:tc>
        <w:tc>
          <w:tcPr>
            <w:tcW w:w="465" w:type="pct"/>
            <w:gridSpan w:val="2"/>
            <w:noWrap/>
            <w:vAlign w:val="center"/>
          </w:tcPr>
          <w:p w14:paraId="12414A77">
            <w:pPr>
              <w:widowControl/>
              <w:adjustRightInd/>
              <w:spacing w:line="240" w:lineRule="auto"/>
              <w:jc w:val="left"/>
              <w:rPr>
                <w:rFonts w:hint="eastAsia" w:ascii="宋体" w:hAnsi="宋体" w:cs="宋体"/>
                <w:kern w:val="0"/>
                <w:sz w:val="18"/>
                <w:szCs w:val="18"/>
              </w:rPr>
            </w:pPr>
          </w:p>
        </w:tc>
        <w:tc>
          <w:tcPr>
            <w:tcW w:w="775" w:type="pct"/>
            <w:noWrap/>
            <w:vAlign w:val="center"/>
          </w:tcPr>
          <w:p w14:paraId="6DD2763F">
            <w:pPr>
              <w:widowControl/>
              <w:adjustRightInd/>
              <w:spacing w:line="240" w:lineRule="auto"/>
              <w:jc w:val="left"/>
              <w:rPr>
                <w:rFonts w:hint="eastAsia" w:ascii="宋体" w:hAnsi="宋体" w:cs="宋体"/>
                <w:kern w:val="0"/>
                <w:sz w:val="18"/>
                <w:szCs w:val="18"/>
              </w:rPr>
            </w:pPr>
          </w:p>
        </w:tc>
        <w:tc>
          <w:tcPr>
            <w:tcW w:w="465" w:type="pct"/>
            <w:noWrap/>
            <w:vAlign w:val="center"/>
          </w:tcPr>
          <w:p w14:paraId="3E0F3683">
            <w:pPr>
              <w:widowControl/>
              <w:adjustRightInd/>
              <w:spacing w:line="240" w:lineRule="auto"/>
              <w:jc w:val="left"/>
              <w:rPr>
                <w:rFonts w:hint="eastAsia" w:ascii="宋体" w:hAnsi="宋体" w:cs="宋体"/>
                <w:kern w:val="0"/>
                <w:sz w:val="18"/>
                <w:szCs w:val="18"/>
              </w:rPr>
            </w:pPr>
          </w:p>
        </w:tc>
        <w:tc>
          <w:tcPr>
            <w:tcW w:w="464" w:type="pct"/>
            <w:noWrap/>
            <w:vAlign w:val="center"/>
          </w:tcPr>
          <w:p w14:paraId="68AB2185">
            <w:pPr>
              <w:widowControl/>
              <w:adjustRightInd/>
              <w:spacing w:line="240" w:lineRule="auto"/>
              <w:jc w:val="left"/>
              <w:rPr>
                <w:rFonts w:hint="eastAsia" w:ascii="宋体" w:hAnsi="宋体" w:cs="宋体"/>
                <w:kern w:val="0"/>
                <w:sz w:val="18"/>
                <w:szCs w:val="18"/>
              </w:rPr>
            </w:pPr>
          </w:p>
        </w:tc>
        <w:tc>
          <w:tcPr>
            <w:tcW w:w="294" w:type="pct"/>
            <w:noWrap/>
            <w:vAlign w:val="center"/>
          </w:tcPr>
          <w:p w14:paraId="0831D4AB">
            <w:pPr>
              <w:widowControl/>
              <w:adjustRightInd/>
              <w:spacing w:line="240" w:lineRule="auto"/>
              <w:jc w:val="left"/>
              <w:rPr>
                <w:rFonts w:hint="eastAsia" w:ascii="宋体" w:hAnsi="宋体" w:cs="宋体"/>
                <w:kern w:val="0"/>
                <w:sz w:val="18"/>
                <w:szCs w:val="18"/>
              </w:rPr>
            </w:pPr>
          </w:p>
        </w:tc>
      </w:tr>
    </w:tbl>
    <w:p w14:paraId="7D3482BA">
      <w:pPr>
        <w:pStyle w:val="59"/>
        <w:ind w:firstLine="420"/>
      </w:pPr>
    </w:p>
    <w:p w14:paraId="52590715">
      <w:pPr>
        <w:pStyle w:val="59"/>
        <w:ind w:firstLine="420"/>
      </w:pPr>
    </w:p>
    <w:p w14:paraId="1D6C7B56">
      <w:pPr>
        <w:pStyle w:val="59"/>
        <w:ind w:firstLine="420"/>
      </w:pPr>
    </w:p>
    <w:bookmarkEnd w:id="65"/>
    <w:p w14:paraId="5A5DD6BA">
      <w:pPr>
        <w:pStyle w:val="59"/>
        <w:ind w:firstLine="420"/>
        <w:rPr>
          <w:color w:val="000000" w:themeColor="text1"/>
          <w14:textFill>
            <w14:solidFill>
              <w14:schemeClr w14:val="tx1"/>
            </w14:solidFill>
          </w14:textFill>
        </w:rPr>
        <w:sectPr>
          <w:pgSz w:w="11906" w:h="16838"/>
          <w:pgMar w:top="1928" w:right="1134" w:bottom="1134" w:left="1134" w:header="1418" w:footer="1134" w:gutter="284"/>
          <w:cols w:space="425" w:num="1"/>
          <w:formProt w:val="0"/>
          <w:docGrid w:linePitch="312" w:charSpace="0"/>
        </w:sectPr>
      </w:pPr>
      <w:bookmarkStart w:id="66" w:name="BookMark6"/>
    </w:p>
    <w:p w14:paraId="0DE21D76">
      <w:pPr>
        <w:pStyle w:val="66"/>
        <w:spacing w:after="120"/>
      </w:pPr>
      <w:r>
        <w:rPr>
          <w:rFonts w:hint="eastAsia"/>
          <w:spacing w:val="105"/>
        </w:rPr>
        <w:t>参考文</w:t>
      </w:r>
      <w:r>
        <w:rPr>
          <w:rFonts w:hint="eastAsia"/>
        </w:rPr>
        <w:t>献</w:t>
      </w:r>
    </w:p>
    <w:p w14:paraId="42607E30">
      <w:pPr>
        <w:pStyle w:val="59"/>
        <w:ind w:firstLine="420"/>
      </w:pPr>
      <w:r>
        <w:rPr>
          <w:rFonts w:hint="eastAsia"/>
        </w:rPr>
        <w:t>[1]  张云帆,周凤珏,胡钧铭,等.等离子活化乳酸钠增强幼龄茶树次生代谢及生理抗性[J].茶叶科学,2026,46(01):61-72.</w:t>
      </w:r>
    </w:p>
    <w:p w14:paraId="23293FBE">
      <w:pPr>
        <w:pStyle w:val="59"/>
        <w:ind w:firstLine="420"/>
      </w:pPr>
      <w:r>
        <w:rPr>
          <w:rFonts w:hint="eastAsia"/>
        </w:rPr>
        <w:t>[2]  陆泓宇,郑富海,胡钧铭,等.生物制剂在茶园绿色防控中的应用与潜力[J].浙江农业科学,2025,66(08):1924-1932.</w:t>
      </w:r>
    </w:p>
    <w:bookmarkEnd w:id="66"/>
    <w:p w14:paraId="476C63A6">
      <w:pPr>
        <w:pStyle w:val="59"/>
        <w:ind w:firstLine="0" w:firstLineChars="0"/>
        <w:jc w:val="center"/>
        <w:rPr>
          <w:color w:val="000000" w:themeColor="text1"/>
          <w14:textFill>
            <w14:solidFill>
              <w14:schemeClr w14:val="tx1"/>
            </w14:solidFill>
          </w14:textFill>
        </w:rPr>
      </w:pPr>
      <w:bookmarkStart w:id="67" w:name="BookMark8"/>
      <w:r>
        <w:rPr>
          <w:rFonts w:ascii="Times New Roman"/>
          <w:color w:val="000000" w:themeColor="text1"/>
          <w14:textFill>
            <w14:solidFill>
              <w14:schemeClr w14:val="tx1"/>
            </w14:solidFill>
          </w14:textFill>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7"/>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DD31F">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72CE1B">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58839C">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AFA3CC">
    <w:pPr>
      <w:pStyle w:val="55"/>
    </w:pPr>
    <w:r>
      <w:fldChar w:fldCharType="begin"/>
    </w:r>
    <w:r>
      <w:instrText xml:space="preserve">PAGE   \* MERGEFORMAT</w:instrText>
    </w:r>
    <w:r>
      <w:fldChar w:fldCharType="separate"/>
    </w:r>
    <w:r>
      <w:rPr>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33122E">
    <w:pPr>
      <w:pStyle w:val="19"/>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4A391">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B536E2">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E1ABD6">
    <w:pPr>
      <w:pStyle w:val="64"/>
      <w:rPr>
        <w:rFonts w:hint="eastAsia"/>
      </w:rPr>
    </w:pPr>
    <w:r>
      <w:fldChar w:fldCharType="begin"/>
    </w:r>
    <w:r>
      <w:instrText xml:space="preserve"> STYLEREF  标准文件_文件编号  \* MERGEFORMAT </w:instrText>
    </w:r>
    <w:r>
      <w:fldChar w:fldCharType="separate"/>
    </w:r>
    <w: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F14743">
    <w:pPr>
      <w:pStyle w:val="19"/>
      <w:jc w:val="right"/>
    </w:pPr>
    <w:r>
      <w:fldChar w:fldCharType="begin"/>
    </w:r>
    <w:r>
      <w:instrText xml:space="preserve"> STYLEREF  标准文件_文件编号  \* MERGEFORMAT </w:instrText>
    </w:r>
    <w:r>
      <w:fldChar w:fldCharType="separate"/>
    </w:r>
    <w:r>
      <w:t>T/GXAS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7"/>
      <w:lvlText w:val="[%1]"/>
      <w:lvlJc w:val="left"/>
      <w:pPr>
        <w:tabs>
          <w:tab w:val="left" w:pos="13272"/>
        </w:tabs>
        <w:ind w:left="13272" w:hanging="648"/>
      </w:pPr>
    </w:lvl>
    <w:lvl w:ilvl="1" w:tentative="0">
      <w:start w:val="1"/>
      <w:numFmt w:val="lowerLetter"/>
      <w:lvlText w:val="%2)"/>
      <w:lvlJc w:val="left"/>
      <w:pPr>
        <w:tabs>
          <w:tab w:val="left" w:pos="13464"/>
        </w:tabs>
        <w:ind w:left="13464" w:hanging="420"/>
      </w:pPr>
    </w:lvl>
    <w:lvl w:ilvl="2" w:tentative="0">
      <w:start w:val="1"/>
      <w:numFmt w:val="lowerRoman"/>
      <w:lvlText w:val="%3."/>
      <w:lvlJc w:val="right"/>
      <w:pPr>
        <w:tabs>
          <w:tab w:val="left" w:pos="13884"/>
        </w:tabs>
        <w:ind w:left="13884" w:hanging="420"/>
      </w:pPr>
    </w:lvl>
    <w:lvl w:ilvl="3" w:tentative="0">
      <w:start w:val="1"/>
      <w:numFmt w:val="decimal"/>
      <w:lvlText w:val="%4."/>
      <w:lvlJc w:val="left"/>
      <w:pPr>
        <w:tabs>
          <w:tab w:val="left" w:pos="14304"/>
        </w:tabs>
        <w:ind w:left="14304" w:hanging="420"/>
      </w:pPr>
    </w:lvl>
    <w:lvl w:ilvl="4" w:tentative="0">
      <w:start w:val="1"/>
      <w:numFmt w:val="lowerLetter"/>
      <w:lvlText w:val="%5)"/>
      <w:lvlJc w:val="left"/>
      <w:pPr>
        <w:tabs>
          <w:tab w:val="left" w:pos="14724"/>
        </w:tabs>
        <w:ind w:left="14724" w:hanging="420"/>
      </w:pPr>
    </w:lvl>
    <w:lvl w:ilvl="5" w:tentative="0">
      <w:start w:val="1"/>
      <w:numFmt w:val="lowerRoman"/>
      <w:lvlText w:val="%6."/>
      <w:lvlJc w:val="right"/>
      <w:pPr>
        <w:tabs>
          <w:tab w:val="left" w:pos="15144"/>
        </w:tabs>
        <w:ind w:left="15144" w:hanging="420"/>
      </w:pPr>
    </w:lvl>
    <w:lvl w:ilvl="6" w:tentative="0">
      <w:start w:val="1"/>
      <w:numFmt w:val="decimal"/>
      <w:lvlText w:val="%7."/>
      <w:lvlJc w:val="left"/>
      <w:pPr>
        <w:tabs>
          <w:tab w:val="left" w:pos="15564"/>
        </w:tabs>
        <w:ind w:left="15564" w:hanging="420"/>
      </w:pPr>
    </w:lvl>
    <w:lvl w:ilvl="7" w:tentative="0">
      <w:start w:val="1"/>
      <w:numFmt w:val="lowerLetter"/>
      <w:lvlText w:val="%8)"/>
      <w:lvlJc w:val="left"/>
      <w:pPr>
        <w:tabs>
          <w:tab w:val="left" w:pos="15984"/>
        </w:tabs>
        <w:ind w:left="15984" w:hanging="420"/>
      </w:pPr>
    </w:lvl>
    <w:lvl w:ilvl="8" w:tentative="0">
      <w:start w:val="1"/>
      <w:numFmt w:val="lowerRoman"/>
      <w:lvlText w:val="%9."/>
      <w:lvlJc w:val="right"/>
      <w:pPr>
        <w:tabs>
          <w:tab w:val="left" w:pos="16404"/>
        </w:tabs>
        <w:ind w:left="16404"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3402"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8"/>
      <w:suff w:val="nothing"/>
      <w:lvlText w:val="%1%2.%3.%4　"/>
      <w:lvlJc w:val="left"/>
      <w:pPr>
        <w:ind w:left="0" w:firstLine="0"/>
      </w:pPr>
      <w:rPr>
        <w:rFonts w:hint="eastAsia" w:ascii="黑体" w:eastAsia="黑体"/>
        <w:b w:val="0"/>
        <w:i w:val="0"/>
        <w:sz w:val="21"/>
      </w:rPr>
    </w:lvl>
    <w:lvl w:ilvl="4" w:tentative="0">
      <w:start w:val="1"/>
      <w:numFmt w:val="decimal"/>
      <w:pStyle w:val="97"/>
      <w:suff w:val="nothing"/>
      <w:lvlText w:val="%1%2.%3.%4.%5　"/>
      <w:lvlJc w:val="left"/>
      <w:pPr>
        <w:ind w:left="3261"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doNotDisplayPageBoundaries w:val="1"/>
  <w:bordersDoNotSurroundHeader w:val="1"/>
  <w:bordersDoNotSurroundFooter w:val="1"/>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1EB4"/>
    <w:rsid w:val="0000040A"/>
    <w:rsid w:val="00000A94"/>
    <w:rsid w:val="00001972"/>
    <w:rsid w:val="00001D9A"/>
    <w:rsid w:val="0000378E"/>
    <w:rsid w:val="00007B3A"/>
    <w:rsid w:val="000107E0"/>
    <w:rsid w:val="00011FDE"/>
    <w:rsid w:val="00012FFD"/>
    <w:rsid w:val="00014162"/>
    <w:rsid w:val="00014340"/>
    <w:rsid w:val="00015122"/>
    <w:rsid w:val="00016A9C"/>
    <w:rsid w:val="00022184"/>
    <w:rsid w:val="00022762"/>
    <w:rsid w:val="000238E0"/>
    <w:rsid w:val="000249DB"/>
    <w:rsid w:val="0002595E"/>
    <w:rsid w:val="000303C3"/>
    <w:rsid w:val="00032146"/>
    <w:rsid w:val="000331D3"/>
    <w:rsid w:val="000346A5"/>
    <w:rsid w:val="000359C3"/>
    <w:rsid w:val="00035A7D"/>
    <w:rsid w:val="000365ED"/>
    <w:rsid w:val="0004249A"/>
    <w:rsid w:val="00043282"/>
    <w:rsid w:val="000440D1"/>
    <w:rsid w:val="00044286"/>
    <w:rsid w:val="00047F28"/>
    <w:rsid w:val="000503AA"/>
    <w:rsid w:val="000506A1"/>
    <w:rsid w:val="000515DD"/>
    <w:rsid w:val="0005265A"/>
    <w:rsid w:val="000533F2"/>
    <w:rsid w:val="000539DD"/>
    <w:rsid w:val="00053BD3"/>
    <w:rsid w:val="000556ED"/>
    <w:rsid w:val="00055FE2"/>
    <w:rsid w:val="0005616F"/>
    <w:rsid w:val="00057998"/>
    <w:rsid w:val="000579FE"/>
    <w:rsid w:val="00060C2E"/>
    <w:rsid w:val="00061033"/>
    <w:rsid w:val="000619E9"/>
    <w:rsid w:val="000622D4"/>
    <w:rsid w:val="0006357D"/>
    <w:rsid w:val="00067F1E"/>
    <w:rsid w:val="00071CC0"/>
    <w:rsid w:val="00071CFC"/>
    <w:rsid w:val="00073C8C"/>
    <w:rsid w:val="00077B64"/>
    <w:rsid w:val="00080A1C"/>
    <w:rsid w:val="00082317"/>
    <w:rsid w:val="00083CDB"/>
    <w:rsid w:val="00083D2C"/>
    <w:rsid w:val="00086AA1"/>
    <w:rsid w:val="00087A77"/>
    <w:rsid w:val="000906BC"/>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4073"/>
    <w:rsid w:val="000B6A0B"/>
    <w:rsid w:val="000C0B65"/>
    <w:rsid w:val="000C0F6C"/>
    <w:rsid w:val="000C11DB"/>
    <w:rsid w:val="000C1492"/>
    <w:rsid w:val="000C2FBD"/>
    <w:rsid w:val="000C4B41"/>
    <w:rsid w:val="000C57D6"/>
    <w:rsid w:val="000C6362"/>
    <w:rsid w:val="000C7666"/>
    <w:rsid w:val="000D0A9C"/>
    <w:rsid w:val="000D1795"/>
    <w:rsid w:val="000D329A"/>
    <w:rsid w:val="000D4B9C"/>
    <w:rsid w:val="000D4EB6"/>
    <w:rsid w:val="000D62AA"/>
    <w:rsid w:val="000D753B"/>
    <w:rsid w:val="000E3568"/>
    <w:rsid w:val="000E48A2"/>
    <w:rsid w:val="000E4C9E"/>
    <w:rsid w:val="000E4E57"/>
    <w:rsid w:val="000E6FD7"/>
    <w:rsid w:val="000E7144"/>
    <w:rsid w:val="000F06E1"/>
    <w:rsid w:val="000F0E3C"/>
    <w:rsid w:val="000F19D5"/>
    <w:rsid w:val="000F29CE"/>
    <w:rsid w:val="000F4050"/>
    <w:rsid w:val="000F4AEA"/>
    <w:rsid w:val="000F67E9"/>
    <w:rsid w:val="00104926"/>
    <w:rsid w:val="001059E7"/>
    <w:rsid w:val="00113B1E"/>
    <w:rsid w:val="0011711C"/>
    <w:rsid w:val="00120823"/>
    <w:rsid w:val="00124E4F"/>
    <w:rsid w:val="001260B7"/>
    <w:rsid w:val="001265CB"/>
    <w:rsid w:val="001321C6"/>
    <w:rsid w:val="001325C4"/>
    <w:rsid w:val="00133010"/>
    <w:rsid w:val="001338EE"/>
    <w:rsid w:val="00133AAE"/>
    <w:rsid w:val="00134F4C"/>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333"/>
    <w:rsid w:val="00166B88"/>
    <w:rsid w:val="0016770A"/>
    <w:rsid w:val="00170804"/>
    <w:rsid w:val="001708E9"/>
    <w:rsid w:val="0017340B"/>
    <w:rsid w:val="00173FB1"/>
    <w:rsid w:val="00175F23"/>
    <w:rsid w:val="00176DFD"/>
    <w:rsid w:val="001852C9"/>
    <w:rsid w:val="00187A0B"/>
    <w:rsid w:val="00190087"/>
    <w:rsid w:val="001913C4"/>
    <w:rsid w:val="0019348F"/>
    <w:rsid w:val="00193A07"/>
    <w:rsid w:val="00194C95"/>
    <w:rsid w:val="00195C34"/>
    <w:rsid w:val="00196EF5"/>
    <w:rsid w:val="001A1A53"/>
    <w:rsid w:val="001A234A"/>
    <w:rsid w:val="001A3384"/>
    <w:rsid w:val="001A4CF3"/>
    <w:rsid w:val="001A6696"/>
    <w:rsid w:val="001A76A1"/>
    <w:rsid w:val="001B06E8"/>
    <w:rsid w:val="001B71D0"/>
    <w:rsid w:val="001B71EE"/>
    <w:rsid w:val="001C04A8"/>
    <w:rsid w:val="001C2C03"/>
    <w:rsid w:val="001C3987"/>
    <w:rsid w:val="001C42F7"/>
    <w:rsid w:val="001C49E5"/>
    <w:rsid w:val="001C680C"/>
    <w:rsid w:val="001C7FEA"/>
    <w:rsid w:val="001D0499"/>
    <w:rsid w:val="001D0BBE"/>
    <w:rsid w:val="001D0ED4"/>
    <w:rsid w:val="001D212F"/>
    <w:rsid w:val="001D29D7"/>
    <w:rsid w:val="001D2DE7"/>
    <w:rsid w:val="001D3A14"/>
    <w:rsid w:val="001D3E6C"/>
    <w:rsid w:val="001D411C"/>
    <w:rsid w:val="001E1B6A"/>
    <w:rsid w:val="001E2484"/>
    <w:rsid w:val="001E3CC4"/>
    <w:rsid w:val="001E4882"/>
    <w:rsid w:val="001E73AB"/>
    <w:rsid w:val="001F092D"/>
    <w:rsid w:val="001F143A"/>
    <w:rsid w:val="001F1605"/>
    <w:rsid w:val="001F22CE"/>
    <w:rsid w:val="001F2508"/>
    <w:rsid w:val="001F4816"/>
    <w:rsid w:val="001F4C78"/>
    <w:rsid w:val="001F69B4"/>
    <w:rsid w:val="001F77C7"/>
    <w:rsid w:val="00200183"/>
    <w:rsid w:val="00200333"/>
    <w:rsid w:val="0020107D"/>
    <w:rsid w:val="00202AA4"/>
    <w:rsid w:val="002031F7"/>
    <w:rsid w:val="002040E6"/>
    <w:rsid w:val="0020527B"/>
    <w:rsid w:val="00205418"/>
    <w:rsid w:val="00205F2C"/>
    <w:rsid w:val="00210B15"/>
    <w:rsid w:val="002142EA"/>
    <w:rsid w:val="00215ADD"/>
    <w:rsid w:val="002204BB"/>
    <w:rsid w:val="00221B79"/>
    <w:rsid w:val="00221C6B"/>
    <w:rsid w:val="00223004"/>
    <w:rsid w:val="002253A1"/>
    <w:rsid w:val="00225CF8"/>
    <w:rsid w:val="0022794E"/>
    <w:rsid w:val="00230CBB"/>
    <w:rsid w:val="00233D64"/>
    <w:rsid w:val="0023482A"/>
    <w:rsid w:val="002359CB"/>
    <w:rsid w:val="00243540"/>
    <w:rsid w:val="0024497B"/>
    <w:rsid w:val="0024515B"/>
    <w:rsid w:val="00246021"/>
    <w:rsid w:val="0024666E"/>
    <w:rsid w:val="00247F52"/>
    <w:rsid w:val="00250B25"/>
    <w:rsid w:val="00250BBE"/>
    <w:rsid w:val="002515C2"/>
    <w:rsid w:val="0025194F"/>
    <w:rsid w:val="00252CCD"/>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13DD"/>
    <w:rsid w:val="0029171F"/>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799"/>
    <w:rsid w:val="002B1966"/>
    <w:rsid w:val="002B339F"/>
    <w:rsid w:val="002B400A"/>
    <w:rsid w:val="002B4508"/>
    <w:rsid w:val="002B5779"/>
    <w:rsid w:val="002B7332"/>
    <w:rsid w:val="002B7F51"/>
    <w:rsid w:val="002C09E7"/>
    <w:rsid w:val="002C1E06"/>
    <w:rsid w:val="002C3F07"/>
    <w:rsid w:val="002C5278"/>
    <w:rsid w:val="002C7EBB"/>
    <w:rsid w:val="002D06C1"/>
    <w:rsid w:val="002D42B5"/>
    <w:rsid w:val="002D4F1A"/>
    <w:rsid w:val="002D52C9"/>
    <w:rsid w:val="002D6EC6"/>
    <w:rsid w:val="002D79AC"/>
    <w:rsid w:val="002E039D"/>
    <w:rsid w:val="002E4D5A"/>
    <w:rsid w:val="002E6326"/>
    <w:rsid w:val="002F30E0"/>
    <w:rsid w:val="002F35E4"/>
    <w:rsid w:val="002F3730"/>
    <w:rsid w:val="002F38E1"/>
    <w:rsid w:val="002F77FD"/>
    <w:rsid w:val="002F7AF6"/>
    <w:rsid w:val="00300E63"/>
    <w:rsid w:val="00302F5F"/>
    <w:rsid w:val="0030441D"/>
    <w:rsid w:val="00306063"/>
    <w:rsid w:val="00313B85"/>
    <w:rsid w:val="00315BEE"/>
    <w:rsid w:val="00317988"/>
    <w:rsid w:val="003221B4"/>
    <w:rsid w:val="0032258D"/>
    <w:rsid w:val="00322E62"/>
    <w:rsid w:val="00324D13"/>
    <w:rsid w:val="00324EDD"/>
    <w:rsid w:val="00325E6D"/>
    <w:rsid w:val="003331E4"/>
    <w:rsid w:val="00336C64"/>
    <w:rsid w:val="00336F8A"/>
    <w:rsid w:val="00337162"/>
    <w:rsid w:val="0034194F"/>
    <w:rsid w:val="00344605"/>
    <w:rsid w:val="003474AA"/>
    <w:rsid w:val="0034769B"/>
    <w:rsid w:val="00347DCE"/>
    <w:rsid w:val="00350D1D"/>
    <w:rsid w:val="00352C83"/>
    <w:rsid w:val="00352F1A"/>
    <w:rsid w:val="00354A42"/>
    <w:rsid w:val="0036107C"/>
    <w:rsid w:val="003615D2"/>
    <w:rsid w:val="0036429C"/>
    <w:rsid w:val="00364A53"/>
    <w:rsid w:val="00364E14"/>
    <w:rsid w:val="003654CB"/>
    <w:rsid w:val="00365AA9"/>
    <w:rsid w:val="00365F86"/>
    <w:rsid w:val="00365F87"/>
    <w:rsid w:val="00366E89"/>
    <w:rsid w:val="003705F4"/>
    <w:rsid w:val="00370D58"/>
    <w:rsid w:val="00371316"/>
    <w:rsid w:val="00376713"/>
    <w:rsid w:val="00381815"/>
    <w:rsid w:val="003819AF"/>
    <w:rsid w:val="003820E9"/>
    <w:rsid w:val="00382DE7"/>
    <w:rsid w:val="00383E93"/>
    <w:rsid w:val="00384FFC"/>
    <w:rsid w:val="003872FC"/>
    <w:rsid w:val="00387ADC"/>
    <w:rsid w:val="00390020"/>
    <w:rsid w:val="003903D6"/>
    <w:rsid w:val="00390C16"/>
    <w:rsid w:val="00390EE6"/>
    <w:rsid w:val="0039118F"/>
    <w:rsid w:val="00392AD7"/>
    <w:rsid w:val="003938D9"/>
    <w:rsid w:val="00394376"/>
    <w:rsid w:val="003943FF"/>
    <w:rsid w:val="003974EB"/>
    <w:rsid w:val="00397CC5"/>
    <w:rsid w:val="003A11D1"/>
    <w:rsid w:val="003A1582"/>
    <w:rsid w:val="003A3D9C"/>
    <w:rsid w:val="003A4077"/>
    <w:rsid w:val="003A4157"/>
    <w:rsid w:val="003A4AA7"/>
    <w:rsid w:val="003B09AD"/>
    <w:rsid w:val="003B1F18"/>
    <w:rsid w:val="003B5BF0"/>
    <w:rsid w:val="003B60BF"/>
    <w:rsid w:val="003B6BE3"/>
    <w:rsid w:val="003C010C"/>
    <w:rsid w:val="003C0A6C"/>
    <w:rsid w:val="003C14F8"/>
    <w:rsid w:val="003C3DC7"/>
    <w:rsid w:val="003C5A43"/>
    <w:rsid w:val="003D0519"/>
    <w:rsid w:val="003D0FF6"/>
    <w:rsid w:val="003D262C"/>
    <w:rsid w:val="003D6403"/>
    <w:rsid w:val="003D6D61"/>
    <w:rsid w:val="003E019F"/>
    <w:rsid w:val="003E091D"/>
    <w:rsid w:val="003E1C53"/>
    <w:rsid w:val="003E2A69"/>
    <w:rsid w:val="003E2D49"/>
    <w:rsid w:val="003E2FD4"/>
    <w:rsid w:val="003E49F6"/>
    <w:rsid w:val="003E660F"/>
    <w:rsid w:val="003F0841"/>
    <w:rsid w:val="003F23D3"/>
    <w:rsid w:val="003F3F08"/>
    <w:rsid w:val="003F49F1"/>
    <w:rsid w:val="003F6272"/>
    <w:rsid w:val="003F6792"/>
    <w:rsid w:val="00400E72"/>
    <w:rsid w:val="00401400"/>
    <w:rsid w:val="00404869"/>
    <w:rsid w:val="00405884"/>
    <w:rsid w:val="0040647B"/>
    <w:rsid w:val="00407D39"/>
    <w:rsid w:val="0041477A"/>
    <w:rsid w:val="004167A3"/>
    <w:rsid w:val="0041795D"/>
    <w:rsid w:val="00425D29"/>
    <w:rsid w:val="00432DAA"/>
    <w:rsid w:val="00434305"/>
    <w:rsid w:val="00435DF7"/>
    <w:rsid w:val="0044083F"/>
    <w:rsid w:val="00441AE7"/>
    <w:rsid w:val="00445574"/>
    <w:rsid w:val="004467FB"/>
    <w:rsid w:val="00447E05"/>
    <w:rsid w:val="00452D6B"/>
    <w:rsid w:val="00454484"/>
    <w:rsid w:val="0045517B"/>
    <w:rsid w:val="00463B77"/>
    <w:rsid w:val="00463C7B"/>
    <w:rsid w:val="004644A6"/>
    <w:rsid w:val="004659BD"/>
    <w:rsid w:val="00466E8A"/>
    <w:rsid w:val="00470775"/>
    <w:rsid w:val="00470F4A"/>
    <w:rsid w:val="004746B1"/>
    <w:rsid w:val="0047583F"/>
    <w:rsid w:val="00475DE8"/>
    <w:rsid w:val="004808ED"/>
    <w:rsid w:val="00481C44"/>
    <w:rsid w:val="00484936"/>
    <w:rsid w:val="00485C89"/>
    <w:rsid w:val="00486BE3"/>
    <w:rsid w:val="004905E4"/>
    <w:rsid w:val="00490A89"/>
    <w:rsid w:val="00490AB4"/>
    <w:rsid w:val="00492F02"/>
    <w:rsid w:val="004939AE"/>
    <w:rsid w:val="004A12DF"/>
    <w:rsid w:val="004A1BA8"/>
    <w:rsid w:val="004A2966"/>
    <w:rsid w:val="004A4B57"/>
    <w:rsid w:val="004A63FA"/>
    <w:rsid w:val="004A6A3D"/>
    <w:rsid w:val="004B0272"/>
    <w:rsid w:val="004B2701"/>
    <w:rsid w:val="004B2E1B"/>
    <w:rsid w:val="004B3AA8"/>
    <w:rsid w:val="004B3E93"/>
    <w:rsid w:val="004B4FAB"/>
    <w:rsid w:val="004B6AE8"/>
    <w:rsid w:val="004C01A4"/>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9A"/>
    <w:rsid w:val="005B5CD7"/>
    <w:rsid w:val="005B6CF6"/>
    <w:rsid w:val="005B7422"/>
    <w:rsid w:val="005C29B8"/>
    <w:rsid w:val="005C3DE3"/>
    <w:rsid w:val="005C5F21"/>
    <w:rsid w:val="005C7156"/>
    <w:rsid w:val="005D0C75"/>
    <w:rsid w:val="005D4171"/>
    <w:rsid w:val="005D6A95"/>
    <w:rsid w:val="005D6B2C"/>
    <w:rsid w:val="005D6D9C"/>
    <w:rsid w:val="005E2335"/>
    <w:rsid w:val="005E34CA"/>
    <w:rsid w:val="005E3C18"/>
    <w:rsid w:val="005E4250"/>
    <w:rsid w:val="005E6812"/>
    <w:rsid w:val="005E6F52"/>
    <w:rsid w:val="005E7881"/>
    <w:rsid w:val="005E78E0"/>
    <w:rsid w:val="005F0D9C"/>
    <w:rsid w:val="005F284E"/>
    <w:rsid w:val="005F3097"/>
    <w:rsid w:val="006015CE"/>
    <w:rsid w:val="00604784"/>
    <w:rsid w:val="00606419"/>
    <w:rsid w:val="00607988"/>
    <w:rsid w:val="00607D29"/>
    <w:rsid w:val="00612952"/>
    <w:rsid w:val="00614CC1"/>
    <w:rsid w:val="00615A9D"/>
    <w:rsid w:val="00617387"/>
    <w:rsid w:val="006205D6"/>
    <w:rsid w:val="006252D8"/>
    <w:rsid w:val="006259BC"/>
    <w:rsid w:val="0062636B"/>
    <w:rsid w:val="00632182"/>
    <w:rsid w:val="00632AE0"/>
    <w:rsid w:val="00633C17"/>
    <w:rsid w:val="00634D9E"/>
    <w:rsid w:val="00635BF0"/>
    <w:rsid w:val="00636E3E"/>
    <w:rsid w:val="006379F7"/>
    <w:rsid w:val="00637E4D"/>
    <w:rsid w:val="00640620"/>
    <w:rsid w:val="00641A1F"/>
    <w:rsid w:val="00645904"/>
    <w:rsid w:val="006503A1"/>
    <w:rsid w:val="00651ACB"/>
    <w:rsid w:val="00651C47"/>
    <w:rsid w:val="00652AB2"/>
    <w:rsid w:val="00653FED"/>
    <w:rsid w:val="00654EC0"/>
    <w:rsid w:val="0065525B"/>
    <w:rsid w:val="00655507"/>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4501"/>
    <w:rsid w:val="006850CD"/>
    <w:rsid w:val="00685AAB"/>
    <w:rsid w:val="006A07AA"/>
    <w:rsid w:val="006A25E5"/>
    <w:rsid w:val="006A2B46"/>
    <w:rsid w:val="006A336D"/>
    <w:rsid w:val="006A37B9"/>
    <w:rsid w:val="006B2672"/>
    <w:rsid w:val="006B54BF"/>
    <w:rsid w:val="006B5F44"/>
    <w:rsid w:val="006B5F90"/>
    <w:rsid w:val="006B62E4"/>
    <w:rsid w:val="006B7088"/>
    <w:rsid w:val="006C1BBA"/>
    <w:rsid w:val="006C2079"/>
    <w:rsid w:val="006C5A62"/>
    <w:rsid w:val="006C5D68"/>
    <w:rsid w:val="006C6976"/>
    <w:rsid w:val="006C6DD0"/>
    <w:rsid w:val="006D04EA"/>
    <w:rsid w:val="006D16C4"/>
    <w:rsid w:val="006D3E96"/>
    <w:rsid w:val="006D4515"/>
    <w:rsid w:val="006D4BB1"/>
    <w:rsid w:val="006D6593"/>
    <w:rsid w:val="006F03A8"/>
    <w:rsid w:val="006F0DDF"/>
    <w:rsid w:val="006F2ACA"/>
    <w:rsid w:val="006F2ADC"/>
    <w:rsid w:val="006F2BFE"/>
    <w:rsid w:val="006F31E9"/>
    <w:rsid w:val="006F6284"/>
    <w:rsid w:val="007002C5"/>
    <w:rsid w:val="00704387"/>
    <w:rsid w:val="007070EA"/>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103B"/>
    <w:rsid w:val="00765C43"/>
    <w:rsid w:val="00765EFB"/>
    <w:rsid w:val="007671CA"/>
    <w:rsid w:val="00767C61"/>
    <w:rsid w:val="0077008A"/>
    <w:rsid w:val="007731F8"/>
    <w:rsid w:val="00773C1F"/>
    <w:rsid w:val="00774DA4"/>
    <w:rsid w:val="00775868"/>
    <w:rsid w:val="00776599"/>
    <w:rsid w:val="0078114B"/>
    <w:rsid w:val="00781DD2"/>
    <w:rsid w:val="00783ECF"/>
    <w:rsid w:val="0078413A"/>
    <w:rsid w:val="007959E8"/>
    <w:rsid w:val="00795E9C"/>
    <w:rsid w:val="007A0521"/>
    <w:rsid w:val="007A2E12"/>
    <w:rsid w:val="007A3475"/>
    <w:rsid w:val="007A41C8"/>
    <w:rsid w:val="007A4AC1"/>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59E9"/>
    <w:rsid w:val="007C6069"/>
    <w:rsid w:val="007D06C4"/>
    <w:rsid w:val="007D1352"/>
    <w:rsid w:val="007D2508"/>
    <w:rsid w:val="007D346A"/>
    <w:rsid w:val="007D6518"/>
    <w:rsid w:val="007D76BD"/>
    <w:rsid w:val="007E0BF1"/>
    <w:rsid w:val="007F054C"/>
    <w:rsid w:val="007F0ED8"/>
    <w:rsid w:val="007F0F63"/>
    <w:rsid w:val="007F557D"/>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5833"/>
    <w:rsid w:val="00836D3F"/>
    <w:rsid w:val="008373D3"/>
    <w:rsid w:val="00840617"/>
    <w:rsid w:val="00840F84"/>
    <w:rsid w:val="00842A47"/>
    <w:rsid w:val="00843780"/>
    <w:rsid w:val="00843C13"/>
    <w:rsid w:val="00843DEF"/>
    <w:rsid w:val="008454F8"/>
    <w:rsid w:val="0085173A"/>
    <w:rsid w:val="008546E4"/>
    <w:rsid w:val="008603CE"/>
    <w:rsid w:val="008620FC"/>
    <w:rsid w:val="008627A5"/>
    <w:rsid w:val="00863E05"/>
    <w:rsid w:val="00865A14"/>
    <w:rsid w:val="00865ACA"/>
    <w:rsid w:val="00865D28"/>
    <w:rsid w:val="00865F85"/>
    <w:rsid w:val="00867C10"/>
    <w:rsid w:val="00870439"/>
    <w:rsid w:val="00870DA1"/>
    <w:rsid w:val="00883F93"/>
    <w:rsid w:val="00884D0F"/>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354"/>
    <w:rsid w:val="008A769A"/>
    <w:rsid w:val="008B0C9C"/>
    <w:rsid w:val="008B166D"/>
    <w:rsid w:val="008B17F4"/>
    <w:rsid w:val="008B3615"/>
    <w:rsid w:val="008B4963"/>
    <w:rsid w:val="008B4AC4"/>
    <w:rsid w:val="008B50C8"/>
    <w:rsid w:val="008B5281"/>
    <w:rsid w:val="008B5F5E"/>
    <w:rsid w:val="008B7E05"/>
    <w:rsid w:val="008C1797"/>
    <w:rsid w:val="008C219C"/>
    <w:rsid w:val="008C475E"/>
    <w:rsid w:val="008C619A"/>
    <w:rsid w:val="008D0CE8"/>
    <w:rsid w:val="008D2954"/>
    <w:rsid w:val="008D2D1D"/>
    <w:rsid w:val="008D453D"/>
    <w:rsid w:val="008D50E7"/>
    <w:rsid w:val="008D53AD"/>
    <w:rsid w:val="008D562B"/>
    <w:rsid w:val="008D564A"/>
    <w:rsid w:val="008D5733"/>
    <w:rsid w:val="008D622B"/>
    <w:rsid w:val="008D666C"/>
    <w:rsid w:val="008D7B54"/>
    <w:rsid w:val="008E0C9D"/>
    <w:rsid w:val="008E1648"/>
    <w:rsid w:val="008E1B3E"/>
    <w:rsid w:val="008E2319"/>
    <w:rsid w:val="008E4446"/>
    <w:rsid w:val="008E4BB6"/>
    <w:rsid w:val="008E5518"/>
    <w:rsid w:val="008E6A84"/>
    <w:rsid w:val="008F0CDC"/>
    <w:rsid w:val="008F17A3"/>
    <w:rsid w:val="008F1ED3"/>
    <w:rsid w:val="008F4288"/>
    <w:rsid w:val="008F4C29"/>
    <w:rsid w:val="008F70BD"/>
    <w:rsid w:val="008F788F"/>
    <w:rsid w:val="008F7EA2"/>
    <w:rsid w:val="00902722"/>
    <w:rsid w:val="009027BC"/>
    <w:rsid w:val="009062E6"/>
    <w:rsid w:val="00911BE5"/>
    <w:rsid w:val="00913CA9"/>
    <w:rsid w:val="009145AE"/>
    <w:rsid w:val="009146CE"/>
    <w:rsid w:val="00914CA7"/>
    <w:rsid w:val="00915117"/>
    <w:rsid w:val="00915C3E"/>
    <w:rsid w:val="009161A8"/>
    <w:rsid w:val="00916B34"/>
    <w:rsid w:val="009245AE"/>
    <w:rsid w:val="009245F5"/>
    <w:rsid w:val="009249EC"/>
    <w:rsid w:val="00924D4B"/>
    <w:rsid w:val="009273B3"/>
    <w:rsid w:val="009305B5"/>
    <w:rsid w:val="009378DD"/>
    <w:rsid w:val="00940726"/>
    <w:rsid w:val="009429D5"/>
    <w:rsid w:val="00942BF1"/>
    <w:rsid w:val="00945180"/>
    <w:rsid w:val="00945428"/>
    <w:rsid w:val="0094607B"/>
    <w:rsid w:val="00953604"/>
    <w:rsid w:val="0095496B"/>
    <w:rsid w:val="00960F1E"/>
    <w:rsid w:val="00961010"/>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960"/>
    <w:rsid w:val="00997BF1"/>
    <w:rsid w:val="009A089C"/>
    <w:rsid w:val="009A118E"/>
    <w:rsid w:val="009A194F"/>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18D9"/>
    <w:rsid w:val="009D47FA"/>
    <w:rsid w:val="009D4C5B"/>
    <w:rsid w:val="009D50D2"/>
    <w:rsid w:val="009D6BCA"/>
    <w:rsid w:val="009E0F62"/>
    <w:rsid w:val="009E1888"/>
    <w:rsid w:val="009E4A58"/>
    <w:rsid w:val="009E5A2D"/>
    <w:rsid w:val="009E5AB2"/>
    <w:rsid w:val="009E6219"/>
    <w:rsid w:val="009F03B3"/>
    <w:rsid w:val="009F6EA9"/>
    <w:rsid w:val="009F7F60"/>
    <w:rsid w:val="00A0096C"/>
    <w:rsid w:val="00A01757"/>
    <w:rsid w:val="00A028C0"/>
    <w:rsid w:val="00A02BAE"/>
    <w:rsid w:val="00A06A6B"/>
    <w:rsid w:val="00A07E47"/>
    <w:rsid w:val="00A129D0"/>
    <w:rsid w:val="00A12C33"/>
    <w:rsid w:val="00A138BA"/>
    <w:rsid w:val="00A13EF3"/>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2F2"/>
    <w:rsid w:val="00A40306"/>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53C"/>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11AE"/>
    <w:rsid w:val="00AB6309"/>
    <w:rsid w:val="00AB6C5F"/>
    <w:rsid w:val="00AB7129"/>
    <w:rsid w:val="00AB7CF6"/>
    <w:rsid w:val="00AC27A6"/>
    <w:rsid w:val="00AC30F7"/>
    <w:rsid w:val="00AC3A5A"/>
    <w:rsid w:val="00AC4D95"/>
    <w:rsid w:val="00AC59A0"/>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AF5DD1"/>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1EB4"/>
    <w:rsid w:val="00B4346D"/>
    <w:rsid w:val="00B440F4"/>
    <w:rsid w:val="00B447A5"/>
    <w:rsid w:val="00B4654C"/>
    <w:rsid w:val="00B47293"/>
    <w:rsid w:val="00B50E50"/>
    <w:rsid w:val="00B52120"/>
    <w:rsid w:val="00B54ABC"/>
    <w:rsid w:val="00B56FBE"/>
    <w:rsid w:val="00B60ACF"/>
    <w:rsid w:val="00B60B3C"/>
    <w:rsid w:val="00B62B58"/>
    <w:rsid w:val="00B65149"/>
    <w:rsid w:val="00B664EE"/>
    <w:rsid w:val="00B66567"/>
    <w:rsid w:val="00B66F52"/>
    <w:rsid w:val="00B66FE5"/>
    <w:rsid w:val="00B7248B"/>
    <w:rsid w:val="00B72880"/>
    <w:rsid w:val="00B758BF"/>
    <w:rsid w:val="00B77EC8"/>
    <w:rsid w:val="00B827A6"/>
    <w:rsid w:val="00B831CE"/>
    <w:rsid w:val="00B86677"/>
    <w:rsid w:val="00B87131"/>
    <w:rsid w:val="00B918CF"/>
    <w:rsid w:val="00B9243C"/>
    <w:rsid w:val="00B939B1"/>
    <w:rsid w:val="00B96D40"/>
    <w:rsid w:val="00B97386"/>
    <w:rsid w:val="00BA123B"/>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4208"/>
    <w:rsid w:val="00BF51E5"/>
    <w:rsid w:val="00BF74A6"/>
    <w:rsid w:val="00C013AD"/>
    <w:rsid w:val="00C04904"/>
    <w:rsid w:val="00C056B3"/>
    <w:rsid w:val="00C103E5"/>
    <w:rsid w:val="00C13319"/>
    <w:rsid w:val="00C13EE9"/>
    <w:rsid w:val="00C15799"/>
    <w:rsid w:val="00C21540"/>
    <w:rsid w:val="00C21906"/>
    <w:rsid w:val="00C21BFA"/>
    <w:rsid w:val="00C24C8D"/>
    <w:rsid w:val="00C25FE2"/>
    <w:rsid w:val="00C26B53"/>
    <w:rsid w:val="00C279B2"/>
    <w:rsid w:val="00C33E50"/>
    <w:rsid w:val="00C34C20"/>
    <w:rsid w:val="00C35A3E"/>
    <w:rsid w:val="00C36BB0"/>
    <w:rsid w:val="00C42130"/>
    <w:rsid w:val="00C423A4"/>
    <w:rsid w:val="00C423E3"/>
    <w:rsid w:val="00C44BF5"/>
    <w:rsid w:val="00C46B92"/>
    <w:rsid w:val="00C521D6"/>
    <w:rsid w:val="00C55232"/>
    <w:rsid w:val="00C553A4"/>
    <w:rsid w:val="00C55A06"/>
    <w:rsid w:val="00C55D03"/>
    <w:rsid w:val="00C5688D"/>
    <w:rsid w:val="00C601BC"/>
    <w:rsid w:val="00C6329F"/>
    <w:rsid w:val="00C63340"/>
    <w:rsid w:val="00C643F9"/>
    <w:rsid w:val="00C64E95"/>
    <w:rsid w:val="00C71372"/>
    <w:rsid w:val="00C72410"/>
    <w:rsid w:val="00C7287F"/>
    <w:rsid w:val="00C80A9F"/>
    <w:rsid w:val="00C80CB8"/>
    <w:rsid w:val="00C819F8"/>
    <w:rsid w:val="00C8248C"/>
    <w:rsid w:val="00C84E33"/>
    <w:rsid w:val="00C86D6F"/>
    <w:rsid w:val="00C905FC"/>
    <w:rsid w:val="00C92D03"/>
    <w:rsid w:val="00C9319C"/>
    <w:rsid w:val="00C9435D"/>
    <w:rsid w:val="00C94DF2"/>
    <w:rsid w:val="00C96741"/>
    <w:rsid w:val="00C972AF"/>
    <w:rsid w:val="00CA2D1B"/>
    <w:rsid w:val="00CA375D"/>
    <w:rsid w:val="00CA3DD6"/>
    <w:rsid w:val="00CA60B4"/>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55C"/>
    <w:rsid w:val="00CC5DE6"/>
    <w:rsid w:val="00CC6E4E"/>
    <w:rsid w:val="00CC6FE8"/>
    <w:rsid w:val="00CC7202"/>
    <w:rsid w:val="00CD2808"/>
    <w:rsid w:val="00CD28BF"/>
    <w:rsid w:val="00CD4092"/>
    <w:rsid w:val="00CD4A20"/>
    <w:rsid w:val="00CD4F88"/>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1E3F"/>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20C"/>
    <w:rsid w:val="00D45E89"/>
    <w:rsid w:val="00D45E8D"/>
    <w:rsid w:val="00D466AE"/>
    <w:rsid w:val="00D4734F"/>
    <w:rsid w:val="00D51BF3"/>
    <w:rsid w:val="00D63665"/>
    <w:rsid w:val="00D66846"/>
    <w:rsid w:val="00D675FB"/>
    <w:rsid w:val="00D71F18"/>
    <w:rsid w:val="00D71F25"/>
    <w:rsid w:val="00D72A9C"/>
    <w:rsid w:val="00D77031"/>
    <w:rsid w:val="00D84941"/>
    <w:rsid w:val="00D84FA1"/>
    <w:rsid w:val="00D851F0"/>
    <w:rsid w:val="00D86DB7"/>
    <w:rsid w:val="00D87BF5"/>
    <w:rsid w:val="00D90721"/>
    <w:rsid w:val="00D926D0"/>
    <w:rsid w:val="00D93030"/>
    <w:rsid w:val="00D9429B"/>
    <w:rsid w:val="00D950E1"/>
    <w:rsid w:val="00D952A6"/>
    <w:rsid w:val="00D95CB7"/>
    <w:rsid w:val="00D97F99"/>
    <w:rsid w:val="00DA1E08"/>
    <w:rsid w:val="00DA24F8"/>
    <w:rsid w:val="00DA28E8"/>
    <w:rsid w:val="00DA38D3"/>
    <w:rsid w:val="00DA3932"/>
    <w:rsid w:val="00DA3AFC"/>
    <w:rsid w:val="00DA64F8"/>
    <w:rsid w:val="00DA6C15"/>
    <w:rsid w:val="00DA78CC"/>
    <w:rsid w:val="00DB0258"/>
    <w:rsid w:val="00DB33C3"/>
    <w:rsid w:val="00DB38EE"/>
    <w:rsid w:val="00DB498B"/>
    <w:rsid w:val="00DB5DBC"/>
    <w:rsid w:val="00DB66CA"/>
    <w:rsid w:val="00DB67A0"/>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5EAC"/>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4355"/>
    <w:rsid w:val="00E2552F"/>
    <w:rsid w:val="00E2638F"/>
    <w:rsid w:val="00E3137A"/>
    <w:rsid w:val="00E32CCF"/>
    <w:rsid w:val="00E32D0F"/>
    <w:rsid w:val="00E34A98"/>
    <w:rsid w:val="00E35D1E"/>
    <w:rsid w:val="00E364F9"/>
    <w:rsid w:val="00E365FA"/>
    <w:rsid w:val="00E36789"/>
    <w:rsid w:val="00E44A83"/>
    <w:rsid w:val="00E502C1"/>
    <w:rsid w:val="00E502DD"/>
    <w:rsid w:val="00E50D3A"/>
    <w:rsid w:val="00E51387"/>
    <w:rsid w:val="00E51E68"/>
    <w:rsid w:val="00E52EFD"/>
    <w:rsid w:val="00E5408A"/>
    <w:rsid w:val="00E55339"/>
    <w:rsid w:val="00E56524"/>
    <w:rsid w:val="00E56800"/>
    <w:rsid w:val="00E60C63"/>
    <w:rsid w:val="00E62FF9"/>
    <w:rsid w:val="00E635D6"/>
    <w:rsid w:val="00E639BC"/>
    <w:rsid w:val="00E65BF4"/>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8649F"/>
    <w:rsid w:val="00E90391"/>
    <w:rsid w:val="00E906C2"/>
    <w:rsid w:val="00E9311F"/>
    <w:rsid w:val="00E934D1"/>
    <w:rsid w:val="00E94AF0"/>
    <w:rsid w:val="00E95D13"/>
    <w:rsid w:val="00E95DD3"/>
    <w:rsid w:val="00E96255"/>
    <w:rsid w:val="00E969D5"/>
    <w:rsid w:val="00EA41C0"/>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4C16"/>
    <w:rsid w:val="00EF7E72"/>
    <w:rsid w:val="00F044D0"/>
    <w:rsid w:val="00F06D37"/>
    <w:rsid w:val="00F07B9D"/>
    <w:rsid w:val="00F11586"/>
    <w:rsid w:val="00F1183B"/>
    <w:rsid w:val="00F11C9F"/>
    <w:rsid w:val="00F12263"/>
    <w:rsid w:val="00F1409D"/>
    <w:rsid w:val="00F14214"/>
    <w:rsid w:val="00F157A9"/>
    <w:rsid w:val="00F16F00"/>
    <w:rsid w:val="00F2089B"/>
    <w:rsid w:val="00F21678"/>
    <w:rsid w:val="00F23D15"/>
    <w:rsid w:val="00F23D5B"/>
    <w:rsid w:val="00F25BB6"/>
    <w:rsid w:val="00F26B7E"/>
    <w:rsid w:val="00F27A3B"/>
    <w:rsid w:val="00F32780"/>
    <w:rsid w:val="00F33817"/>
    <w:rsid w:val="00F420D5"/>
    <w:rsid w:val="00F451EA"/>
    <w:rsid w:val="00F45447"/>
    <w:rsid w:val="00F456C6"/>
    <w:rsid w:val="00F4577B"/>
    <w:rsid w:val="00F46496"/>
    <w:rsid w:val="00F474D0"/>
    <w:rsid w:val="00F47C61"/>
    <w:rsid w:val="00F50179"/>
    <w:rsid w:val="00F515EE"/>
    <w:rsid w:val="00F56511"/>
    <w:rsid w:val="00F6194E"/>
    <w:rsid w:val="00F623AC"/>
    <w:rsid w:val="00F6412A"/>
    <w:rsid w:val="00F65893"/>
    <w:rsid w:val="00F66A4A"/>
    <w:rsid w:val="00F7069A"/>
    <w:rsid w:val="00F71E22"/>
    <w:rsid w:val="00F72142"/>
    <w:rsid w:val="00F72AE7"/>
    <w:rsid w:val="00F833BA"/>
    <w:rsid w:val="00F84FD0"/>
    <w:rsid w:val="00F859A8"/>
    <w:rsid w:val="00F86D87"/>
    <w:rsid w:val="00F87BF7"/>
    <w:rsid w:val="00F9108B"/>
    <w:rsid w:val="00F91349"/>
    <w:rsid w:val="00F93A8A"/>
    <w:rsid w:val="00F95248"/>
    <w:rsid w:val="00F956A9"/>
    <w:rsid w:val="00F963ED"/>
    <w:rsid w:val="00F966CF"/>
    <w:rsid w:val="00F96CAE"/>
    <w:rsid w:val="00F97015"/>
    <w:rsid w:val="00F97C99"/>
    <w:rsid w:val="00FA662D"/>
    <w:rsid w:val="00FA73B1"/>
    <w:rsid w:val="00FB0CB9"/>
    <w:rsid w:val="00FB231D"/>
    <w:rsid w:val="00FB2801"/>
    <w:rsid w:val="00FB45F1"/>
    <w:rsid w:val="00FB4A72"/>
    <w:rsid w:val="00FB54E8"/>
    <w:rsid w:val="00FB7054"/>
    <w:rsid w:val="00FC17B7"/>
    <w:rsid w:val="00FC2CB7"/>
    <w:rsid w:val="00FC4090"/>
    <w:rsid w:val="00FC55B4"/>
    <w:rsid w:val="00FD00E6"/>
    <w:rsid w:val="00FD09A1"/>
    <w:rsid w:val="00FD27B0"/>
    <w:rsid w:val="00FD2A7C"/>
    <w:rsid w:val="00FD59EB"/>
    <w:rsid w:val="00FD7299"/>
    <w:rsid w:val="00FE0547"/>
    <w:rsid w:val="00FE1FBE"/>
    <w:rsid w:val="00FE3901"/>
    <w:rsid w:val="00FE39D3"/>
    <w:rsid w:val="00FE4BCE"/>
    <w:rsid w:val="00FE54AE"/>
    <w:rsid w:val="00FE576A"/>
    <w:rsid w:val="00FE764A"/>
    <w:rsid w:val="00FE7E79"/>
    <w:rsid w:val="00FF3E7D"/>
    <w:rsid w:val="00FF5B99"/>
    <w:rsid w:val="00FF730C"/>
    <w:rsid w:val="00FF73F4"/>
    <w:rsid w:val="00FF7CE4"/>
    <w:rsid w:val="00FF7E39"/>
    <w:rsid w:val="190B51C9"/>
    <w:rsid w:val="1C737DC1"/>
    <w:rsid w:val="2E6A549C"/>
    <w:rsid w:val="2F9D62F0"/>
    <w:rsid w:val="3CE558AB"/>
    <w:rsid w:val="466F28A4"/>
    <w:rsid w:val="4DC80D24"/>
    <w:rsid w:val="56AF2A68"/>
    <w:rsid w:val="70543B60"/>
    <w:rsid w:val="734A5B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semiHidden="0" w:name="annotation text"/>
    <w:lsdException w:qFormat="1" w:unhideWhenUsed="0" w:uiPriority="99" w:semiHidden="0" w:name="header"/>
    <w:lsdException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35"/>
    <w:unhideWhenUsed/>
    <w:uiPriority w:val="99"/>
    <w:pPr>
      <w:jc w:val="left"/>
    </w:pPr>
  </w:style>
  <w:style w:type="paragraph" w:styleId="14">
    <w:name w:val="Body Text"/>
    <w:basedOn w:val="1"/>
    <w:link w:val="89"/>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8"/>
    <w:semiHidden/>
    <w:unhideWhenUsed/>
    <w:qFormat/>
    <w:uiPriority w:val="99"/>
    <w:rPr>
      <w:sz w:val="18"/>
      <w:szCs w:val="18"/>
    </w:rPr>
  </w:style>
  <w:style w:type="paragraph" w:styleId="18">
    <w:name w:val="footer"/>
    <w:basedOn w:val="1"/>
    <w:link w:val="47"/>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6"/>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Title"/>
    <w:basedOn w:val="1"/>
    <w:link w:val="51"/>
    <w:qFormat/>
    <w:uiPriority w:val="0"/>
    <w:pPr>
      <w:spacing w:before="240" w:after="60"/>
      <w:jc w:val="center"/>
      <w:outlineLvl w:val="0"/>
    </w:pPr>
    <w:rPr>
      <w:rFonts w:ascii="Arial" w:hAnsi="Arial" w:cs="Arial"/>
      <w:b/>
      <w:bCs/>
      <w:sz w:val="32"/>
      <w:szCs w:val="32"/>
    </w:rPr>
  </w:style>
  <w:style w:type="paragraph" w:styleId="27">
    <w:name w:val="annotation subject"/>
    <w:basedOn w:val="13"/>
    <w:next w:val="13"/>
    <w:link w:val="236"/>
    <w:semiHidden/>
    <w:unhideWhenUsed/>
    <w:uiPriority w:val="99"/>
    <w:rPr>
      <w:b/>
      <w:bCs/>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semiHidden/>
    <w:unhideWhenUsed/>
    <w:uiPriority w:val="99"/>
    <w:rPr>
      <w:sz w:val="21"/>
      <w:szCs w:val="21"/>
    </w:rPr>
  </w:style>
  <w:style w:type="character" w:styleId="36">
    <w:name w:val="footnote reference"/>
    <w:semiHidden/>
    <w:qFormat/>
    <w:uiPriority w:val="0"/>
    <w:rPr>
      <w:rFonts w:ascii="宋体" w:hAnsi="宋体" w:eastAsia="宋体" w:cs="Times New Roman"/>
      <w:spacing w:val="0"/>
      <w:sz w:val="18"/>
      <w:vertAlign w:val="superscript"/>
    </w:rPr>
  </w:style>
  <w:style w:type="character" w:customStyle="1" w:styleId="37">
    <w:name w:val="标题 1 字符"/>
    <w:link w:val="2"/>
    <w:uiPriority w:val="0"/>
    <w:rPr>
      <w:b/>
      <w:bCs/>
      <w:kern w:val="44"/>
      <w:sz w:val="44"/>
      <w:szCs w:val="44"/>
    </w:rPr>
  </w:style>
  <w:style w:type="character" w:customStyle="1" w:styleId="38">
    <w:name w:val="标题 2 字符"/>
    <w:link w:val="3"/>
    <w:qFormat/>
    <w:uiPriority w:val="0"/>
    <w:rPr>
      <w:rFonts w:ascii="Arial" w:hAnsi="Arial" w:eastAsia="黑体"/>
      <w:b/>
      <w:bCs/>
      <w:kern w:val="2"/>
      <w:sz w:val="32"/>
      <w:szCs w:val="32"/>
    </w:rPr>
  </w:style>
  <w:style w:type="character" w:customStyle="1" w:styleId="39">
    <w:name w:val="标题 3 字符"/>
    <w:link w:val="4"/>
    <w:qFormat/>
    <w:uiPriority w:val="0"/>
    <w:rPr>
      <w:b/>
      <w:bCs/>
      <w:kern w:val="2"/>
      <w:sz w:val="32"/>
      <w:szCs w:val="32"/>
    </w:rPr>
  </w:style>
  <w:style w:type="character" w:customStyle="1" w:styleId="40">
    <w:name w:val="标题 4 字符"/>
    <w:link w:val="5"/>
    <w:qFormat/>
    <w:uiPriority w:val="0"/>
    <w:rPr>
      <w:rFonts w:ascii="Arial" w:hAnsi="Arial" w:eastAsia="黑体"/>
      <w:b/>
      <w:bCs/>
      <w:kern w:val="2"/>
      <w:sz w:val="28"/>
      <w:szCs w:val="28"/>
    </w:rPr>
  </w:style>
  <w:style w:type="character" w:customStyle="1" w:styleId="41">
    <w:name w:val="标题 5 字符"/>
    <w:link w:val="6"/>
    <w:qFormat/>
    <w:uiPriority w:val="0"/>
    <w:rPr>
      <w:b/>
      <w:bCs/>
      <w:kern w:val="2"/>
      <w:sz w:val="28"/>
      <w:szCs w:val="28"/>
    </w:rPr>
  </w:style>
  <w:style w:type="character" w:customStyle="1" w:styleId="42">
    <w:name w:val="标题 6 字符"/>
    <w:link w:val="7"/>
    <w:uiPriority w:val="0"/>
    <w:rPr>
      <w:rFonts w:ascii="Arial" w:hAnsi="Arial" w:eastAsia="黑体"/>
      <w:b/>
      <w:bCs/>
      <w:kern w:val="2"/>
      <w:sz w:val="24"/>
      <w:szCs w:val="24"/>
    </w:rPr>
  </w:style>
  <w:style w:type="character" w:customStyle="1" w:styleId="43">
    <w:name w:val="标题 7 字符"/>
    <w:link w:val="8"/>
    <w:qFormat/>
    <w:uiPriority w:val="0"/>
    <w:rPr>
      <w:b/>
      <w:bCs/>
      <w:kern w:val="2"/>
      <w:sz w:val="24"/>
      <w:szCs w:val="24"/>
    </w:rPr>
  </w:style>
  <w:style w:type="character" w:customStyle="1" w:styleId="44">
    <w:name w:val="标题 8 字符"/>
    <w:link w:val="9"/>
    <w:qFormat/>
    <w:uiPriority w:val="0"/>
    <w:rPr>
      <w:rFonts w:ascii="Arial" w:hAnsi="Arial" w:eastAsia="黑体"/>
      <w:kern w:val="2"/>
      <w:sz w:val="24"/>
      <w:szCs w:val="24"/>
    </w:rPr>
  </w:style>
  <w:style w:type="character" w:customStyle="1" w:styleId="45">
    <w:name w:val="标题 9 字符"/>
    <w:link w:val="10"/>
    <w:qFormat/>
    <w:uiPriority w:val="0"/>
    <w:rPr>
      <w:rFonts w:ascii="Arial" w:hAnsi="Arial" w:eastAsia="黑体"/>
      <w:kern w:val="2"/>
      <w:sz w:val="21"/>
      <w:szCs w:val="21"/>
    </w:rPr>
  </w:style>
  <w:style w:type="character" w:customStyle="1" w:styleId="46">
    <w:name w:val="页眉 字符"/>
    <w:link w:val="19"/>
    <w:qFormat/>
    <w:uiPriority w:val="99"/>
    <w:rPr>
      <w:kern w:val="2"/>
      <w:sz w:val="18"/>
      <w:szCs w:val="18"/>
    </w:rPr>
  </w:style>
  <w:style w:type="character" w:customStyle="1" w:styleId="47">
    <w:name w:val="页脚 字符"/>
    <w:link w:val="18"/>
    <w:qFormat/>
    <w:uiPriority w:val="99"/>
    <w:rPr>
      <w:rFonts w:ascii="宋体"/>
      <w:kern w:val="2"/>
      <w:sz w:val="18"/>
      <w:szCs w:val="18"/>
    </w:rPr>
  </w:style>
  <w:style w:type="character" w:customStyle="1" w:styleId="48">
    <w:name w:val="批注框文本 字符"/>
    <w:link w:val="17"/>
    <w:semiHidden/>
    <w:qFormat/>
    <w:uiPriority w:val="99"/>
    <w:rPr>
      <w:kern w:val="2"/>
      <w:sz w:val="18"/>
      <w:szCs w:val="18"/>
    </w:rPr>
  </w:style>
  <w:style w:type="paragraph" w:styleId="49">
    <w:name w:val="Quote"/>
    <w:basedOn w:val="1"/>
    <w:next w:val="1"/>
    <w:link w:val="50"/>
    <w:qFormat/>
    <w:uiPriority w:val="29"/>
    <w:rPr>
      <w:i/>
      <w:iCs/>
      <w:color w:val="000000"/>
    </w:rPr>
  </w:style>
  <w:style w:type="character" w:customStyle="1" w:styleId="50">
    <w:name w:val="引用 字符"/>
    <w:link w:val="49"/>
    <w:uiPriority w:val="29"/>
    <w:rPr>
      <w:i/>
      <w:iCs/>
      <w:color w:val="000000"/>
      <w:kern w:val="2"/>
      <w:sz w:val="21"/>
      <w:szCs w:val="21"/>
    </w:rPr>
  </w:style>
  <w:style w:type="character" w:customStyle="1" w:styleId="51">
    <w:name w:val="标题 字符"/>
    <w:link w:val="26"/>
    <w:qFormat/>
    <w:uiPriority w:val="0"/>
    <w:rPr>
      <w:rFonts w:ascii="Arial" w:hAnsi="Arial" w:cs="Arial"/>
      <w:b/>
      <w:bCs/>
      <w:kern w:val="2"/>
      <w:sz w:val="32"/>
      <w:szCs w:val="32"/>
    </w:rPr>
  </w:style>
  <w:style w:type="paragraph" w:customStyle="1" w:styleId="52">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uiPriority w:val="0"/>
    <w:pPr>
      <w:spacing w:line="0" w:lineRule="atLeast"/>
    </w:pPr>
    <w:rPr>
      <w:rFonts w:ascii="黑体" w:hAnsi="宋体" w:eastAsia="黑体"/>
    </w:rPr>
  </w:style>
  <w:style w:type="paragraph" w:customStyle="1" w:styleId="58">
    <w:name w:val="标准文件_标准正文"/>
    <w:basedOn w:val="1"/>
    <w:next w:val="59"/>
    <w:qFormat/>
    <w:uiPriority w:val="0"/>
    <w:pPr>
      <w:snapToGrid w:val="0"/>
      <w:ind w:firstLine="200" w:firstLineChars="200"/>
    </w:pPr>
    <w:rPr>
      <w:kern w:val="0"/>
    </w:rPr>
  </w:style>
  <w:style w:type="paragraph" w:customStyle="1" w:styleId="59">
    <w:name w:val="标准文件_段"/>
    <w:link w:val="187"/>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qFormat/>
    <w:uiPriority w:val="0"/>
    <w:pPr>
      <w:adjustRightInd/>
      <w:snapToGrid/>
      <w:ind w:firstLine="0" w:firstLineChars="0"/>
    </w:pPr>
    <w:rPr>
      <w:rFonts w:ascii="宋体" w:hAnsi="宋体"/>
      <w:kern w:val="2"/>
    </w:rPr>
  </w:style>
  <w:style w:type="paragraph" w:customStyle="1" w:styleId="61">
    <w:name w:val="标准文件_标准部门"/>
    <w:basedOn w:val="1"/>
    <w:qFormat/>
    <w:uiPriority w:val="0"/>
    <w:pPr>
      <w:jc w:val="center"/>
    </w:pPr>
    <w:rPr>
      <w:rFonts w:ascii="黑体" w:eastAsia="黑体"/>
      <w:kern w:val="0"/>
      <w:sz w:val="44"/>
    </w:rPr>
  </w:style>
  <w:style w:type="paragraph" w:customStyle="1" w:styleId="62">
    <w:name w:val="标准文件_标准代替"/>
    <w:basedOn w:val="1"/>
    <w:next w:val="1"/>
    <w:qFormat/>
    <w:uiPriority w:val="0"/>
    <w:pPr>
      <w:spacing w:line="310" w:lineRule="exact"/>
      <w:jc w:val="right"/>
    </w:pPr>
    <w:rPr>
      <w:rFonts w:ascii="宋体" w:hAnsi="宋体"/>
      <w:kern w:val="0"/>
    </w:rPr>
  </w:style>
  <w:style w:type="paragraph" w:customStyle="1" w:styleId="63">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uiPriority w:val="0"/>
    <w:pPr>
      <w:jc w:val="left"/>
    </w:pPr>
  </w:style>
  <w:style w:type="paragraph" w:customStyle="1" w:styleId="66">
    <w:name w:val="标准文件_参考文献标题"/>
    <w:basedOn w:val="1"/>
    <w:next w:val="1"/>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9">
    <w:name w:val="标准文件_发布"/>
    <w:qFormat/>
    <w:uiPriority w:val="0"/>
    <w:rPr>
      <w:rFonts w:ascii="黑体" w:eastAsia="黑体"/>
      <w:spacing w:val="0"/>
      <w:w w:val="100"/>
      <w:position w:val="3"/>
      <w:sz w:val="28"/>
    </w:rPr>
  </w:style>
  <w:style w:type="paragraph" w:customStyle="1" w:styleId="70">
    <w:name w:val="标准文件_方框数字列项"/>
    <w:basedOn w:val="59"/>
    <w:uiPriority w:val="0"/>
    <w:pPr>
      <w:numPr>
        <w:ilvl w:val="0"/>
        <w:numId w:val="3"/>
      </w:numPr>
      <w:ind w:firstLine="0" w:firstLineChars="0"/>
    </w:pPr>
  </w:style>
  <w:style w:type="paragraph" w:customStyle="1" w:styleId="71">
    <w:name w:val="标准文件_封面标准编号"/>
    <w:basedOn w:val="1"/>
    <w:next w:val="62"/>
    <w:uiPriority w:val="0"/>
    <w:pPr>
      <w:spacing w:line="310" w:lineRule="exact"/>
      <w:jc w:val="right"/>
    </w:pPr>
    <w:rPr>
      <w:rFonts w:ascii="黑体" w:eastAsia="黑体"/>
      <w:kern w:val="0"/>
      <w:sz w:val="28"/>
    </w:rPr>
  </w:style>
  <w:style w:type="paragraph" w:customStyle="1" w:styleId="72">
    <w:name w:val="标准文件_封面标准分类号"/>
    <w:basedOn w:val="1"/>
    <w:qFormat/>
    <w:uiPriority w:val="0"/>
    <w:rPr>
      <w:rFonts w:ascii="黑体" w:eastAsia="黑体"/>
      <w:b/>
      <w:kern w:val="0"/>
      <w:sz w:val="28"/>
    </w:rPr>
  </w:style>
  <w:style w:type="paragraph" w:customStyle="1" w:styleId="73">
    <w:name w:val="标准文件_封面标准名称"/>
    <w:basedOn w:val="1"/>
    <w:qFormat/>
    <w:uiPriority w:val="0"/>
    <w:pPr>
      <w:spacing w:line="240" w:lineRule="auto"/>
      <w:jc w:val="center"/>
    </w:pPr>
    <w:rPr>
      <w:rFonts w:ascii="黑体" w:eastAsia="黑体"/>
      <w:kern w:val="0"/>
      <w:sz w:val="52"/>
    </w:rPr>
  </w:style>
  <w:style w:type="paragraph" w:customStyle="1" w:styleId="74">
    <w:name w:val="标准文件_封面标准英文名称"/>
    <w:basedOn w:val="1"/>
    <w:qFormat/>
    <w:uiPriority w:val="0"/>
    <w:pPr>
      <w:spacing w:line="240" w:lineRule="auto"/>
      <w:jc w:val="center"/>
    </w:pPr>
    <w:rPr>
      <w:rFonts w:ascii="黑体" w:eastAsia="黑体"/>
      <w:b/>
      <w:sz w:val="28"/>
    </w:rPr>
  </w:style>
  <w:style w:type="paragraph" w:customStyle="1" w:styleId="75">
    <w:name w:val="标准文件_封面发布日期"/>
    <w:basedOn w:val="1"/>
    <w:uiPriority w:val="0"/>
    <w:pPr>
      <w:spacing w:line="310" w:lineRule="exact"/>
    </w:pPr>
    <w:rPr>
      <w:rFonts w:ascii="黑体" w:eastAsia="黑体"/>
      <w:kern w:val="0"/>
      <w:sz w:val="28"/>
    </w:rPr>
  </w:style>
  <w:style w:type="paragraph" w:customStyle="1" w:styleId="76">
    <w:name w:val="标准文件_封面密级"/>
    <w:basedOn w:val="1"/>
    <w:qFormat/>
    <w:uiPriority w:val="0"/>
    <w:rPr>
      <w:rFonts w:eastAsia="黑体"/>
      <w:sz w:val="32"/>
    </w:rPr>
  </w:style>
  <w:style w:type="paragraph" w:customStyle="1" w:styleId="77">
    <w:name w:val="标准文件_封面实施日期"/>
    <w:basedOn w:val="1"/>
    <w:qFormat/>
    <w:uiPriority w:val="0"/>
    <w:pPr>
      <w:spacing w:line="310" w:lineRule="exact"/>
      <w:jc w:val="right"/>
    </w:pPr>
    <w:rPr>
      <w:rFonts w:ascii="黑体" w:eastAsia="黑体"/>
      <w:sz w:val="28"/>
    </w:rPr>
  </w:style>
  <w:style w:type="paragraph" w:customStyle="1" w:styleId="78">
    <w:name w:val="标准文件_封面抬头"/>
    <w:basedOn w:val="59"/>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uiPriority w:val="0"/>
    <w:pPr>
      <w:numPr>
        <w:ilvl w:val="1"/>
        <w:numId w:val="5"/>
      </w:numPr>
      <w:adjustRightInd w:val="0"/>
      <w:snapToGrid w:val="0"/>
      <w:spacing w:before="50" w:beforeLines="50" w:after="50" w:afterLines="50"/>
      <w:ind w:left="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7">
    <w:name w:val="标准文件_附录五级条标题"/>
    <w:next w:val="59"/>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字符"/>
    <w:link w:val="14"/>
    <w:qFormat/>
    <w:uiPriority w:val="0"/>
    <w:rPr>
      <w:kern w:val="2"/>
      <w:sz w:val="21"/>
      <w:szCs w:val="21"/>
    </w:rPr>
  </w:style>
  <w:style w:type="paragraph" w:customStyle="1" w:styleId="90">
    <w:name w:val="标准文件_附录章标题"/>
    <w:next w:val="5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qFormat/>
    <w:uiPriority w:val="0"/>
    <w:pPr>
      <w:ind w:left="488" w:leftChars="200" w:hanging="289" w:hangingChars="290"/>
    </w:pPr>
  </w:style>
  <w:style w:type="paragraph" w:customStyle="1" w:styleId="92">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qFormat/>
    <w:uiPriority w:val="0"/>
    <w:pPr>
      <w:spacing w:line="460" w:lineRule="exact"/>
      <w:ind w:left="0" w:firstLine="0"/>
    </w:pPr>
  </w:style>
  <w:style w:type="paragraph" w:customStyle="1" w:styleId="94">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5">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qFormat/>
    <w:uiPriority w:val="0"/>
    <w:pPr>
      <w:numPr>
        <w:numId w:val="10"/>
      </w:numPr>
    </w:pPr>
  </w:style>
  <w:style w:type="paragraph" w:customStyle="1" w:styleId="97">
    <w:name w:val="标准文件_三级条标题"/>
    <w:basedOn w:val="68"/>
    <w:next w:val="59"/>
    <w:qFormat/>
    <w:uiPriority w:val="0"/>
    <w:pPr>
      <w:widowControl/>
      <w:numPr>
        <w:ilvl w:val="4"/>
      </w:numPr>
      <w:ind w:left="0"/>
      <w:outlineLvl w:val="3"/>
    </w:pPr>
  </w:style>
  <w:style w:type="character" w:customStyle="1" w:styleId="98">
    <w:name w:val="不明显参考1"/>
    <w:qFormat/>
    <w:uiPriority w:val="31"/>
    <w:rPr>
      <w:smallCaps/>
      <w:color w:val="C0504D"/>
      <w:u w:val="single"/>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2">
    <w:name w:val="脚注文本 字符"/>
    <w:link w:val="22"/>
    <w:semiHidden/>
    <w:qFormat/>
    <w:uiPriority w:val="0"/>
    <w:rPr>
      <w:rFonts w:ascii="宋体"/>
      <w:kern w:val="2"/>
      <w:sz w:val="18"/>
      <w:szCs w:val="18"/>
    </w:rPr>
  </w:style>
  <w:style w:type="paragraph" w:customStyle="1" w:styleId="103">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qFormat/>
    <w:uiPriority w:val="0"/>
    <w:pPr>
      <w:numPr>
        <w:ilvl w:val="0"/>
        <w:numId w:val="12"/>
      </w:numPr>
      <w:spacing w:line="240" w:lineRule="auto"/>
      <w:jc w:val="left"/>
    </w:pPr>
    <w:rPr>
      <w:rFonts w:ascii="宋体" w:hAnsi="宋体"/>
      <w:sz w:val="18"/>
    </w:rPr>
  </w:style>
  <w:style w:type="character" w:customStyle="1" w:styleId="105">
    <w:name w:val="标准文件_图表脚注内容"/>
    <w:qFormat/>
    <w:uiPriority w:val="0"/>
    <w:rPr>
      <w:rFonts w:ascii="宋体" w:hAnsi="宋体" w:eastAsia="宋体" w:cs="Times New Roman"/>
      <w:spacing w:val="0"/>
      <w:sz w:val="18"/>
      <w:vertAlign w:val="superscript"/>
    </w:rPr>
  </w:style>
  <w:style w:type="paragraph" w:customStyle="1" w:styleId="106">
    <w:name w:val="标准文件_五级条标题"/>
    <w:next w:val="59"/>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qFormat/>
    <w:uiPriority w:val="0"/>
    <w:pPr>
      <w:numPr>
        <w:ilvl w:val="2"/>
      </w:numPr>
      <w:spacing w:before="50" w:beforeLines="50" w:after="50" w:afterLines="50"/>
      <w:outlineLvl w:val="1"/>
    </w:pPr>
  </w:style>
  <w:style w:type="paragraph" w:customStyle="1" w:styleId="109">
    <w:name w:val="标准文件_一致程度"/>
    <w:basedOn w:val="1"/>
    <w:qFormat/>
    <w:uiPriority w:val="0"/>
    <w:pPr>
      <w:spacing w:line="440" w:lineRule="exact"/>
      <w:jc w:val="center"/>
    </w:pPr>
    <w:rPr>
      <w:sz w:val="28"/>
    </w:rPr>
  </w:style>
  <w:style w:type="paragraph" w:customStyle="1" w:styleId="110">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3">
    <w:name w:val="标准文件_英文注："/>
    <w:basedOn w:val="1"/>
    <w:next w:val="59"/>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1">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2">
    <w:name w:val="发布部门"/>
    <w:next w:val="5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qFormat/>
    <w:uiPriority w:val="0"/>
    <w:pPr>
      <w:outlineLvl w:val="4"/>
    </w:pPr>
  </w:style>
  <w:style w:type="paragraph" w:customStyle="1" w:styleId="133">
    <w:name w:val="附录四级无标题条"/>
    <w:basedOn w:val="132"/>
    <w:next w:val="59"/>
    <w:qFormat/>
    <w:uiPriority w:val="0"/>
    <w:pPr>
      <w:outlineLvl w:val="5"/>
    </w:pPr>
  </w:style>
  <w:style w:type="paragraph" w:customStyle="1" w:styleId="134">
    <w:name w:val="附录图"/>
    <w:next w:val="59"/>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qFormat/>
    <w:uiPriority w:val="0"/>
    <w:pPr>
      <w:outlineLvl w:val="6"/>
    </w:pPr>
  </w:style>
  <w:style w:type="paragraph" w:customStyle="1" w:styleId="137">
    <w:name w:val="附录性质"/>
    <w:basedOn w:val="1"/>
    <w:qFormat/>
    <w:uiPriority w:val="0"/>
    <w:pPr>
      <w:widowControl/>
      <w:adjustRightInd/>
      <w:jc w:val="center"/>
    </w:pPr>
    <w:rPr>
      <w:rFonts w:ascii="黑体" w:eastAsia="黑体"/>
    </w:rPr>
  </w:style>
  <w:style w:type="paragraph" w:customStyle="1" w:styleId="138">
    <w:name w:val="附录一级无标题条"/>
    <w:basedOn w:val="90"/>
    <w:next w:val="59"/>
    <w:qFormat/>
    <w:uiPriority w:val="0"/>
    <w:pPr>
      <w:autoSpaceDN w:val="0"/>
      <w:outlineLvl w:val="2"/>
    </w:pPr>
    <w:rPr>
      <w:rFonts w:ascii="宋体" w:hAnsi="宋体" w:eastAsia="宋体"/>
    </w:rPr>
  </w:style>
  <w:style w:type="character" w:customStyle="1" w:styleId="139">
    <w:name w:val="个人答复风格"/>
    <w:qFormat/>
    <w:uiPriority w:val="0"/>
    <w:rPr>
      <w:rFonts w:ascii="Arial" w:hAnsi="Arial" w:eastAsia="宋体" w:cs="Arial"/>
      <w:color w:val="auto"/>
      <w:spacing w:val="0"/>
      <w:sz w:val="20"/>
    </w:rPr>
  </w:style>
  <w:style w:type="character" w:customStyle="1" w:styleId="140">
    <w:name w:val="个人撰写风格"/>
    <w:qFormat/>
    <w:uiPriority w:val="0"/>
    <w:rPr>
      <w:rFonts w:ascii="Arial" w:hAnsi="Arial" w:eastAsia="宋体" w:cs="Arial"/>
      <w:color w:val="auto"/>
      <w:spacing w:val="0"/>
      <w:sz w:val="20"/>
    </w:rPr>
  </w:style>
  <w:style w:type="paragraph" w:customStyle="1" w:styleId="141">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qFormat/>
    <w:uiPriority w:val="0"/>
    <w:pPr>
      <w:tabs>
        <w:tab w:val="left" w:pos="840"/>
      </w:tabs>
    </w:pPr>
  </w:style>
  <w:style w:type="paragraph" w:customStyle="1" w:styleId="14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autoRedefine/>
    <w:semiHidden/>
    <w:qFormat/>
    <w:uiPriority w:val="0"/>
    <w:pPr>
      <w:adjustRightInd/>
      <w:spacing w:line="240" w:lineRule="auto"/>
      <w:jc w:val="left"/>
    </w:pPr>
    <w:rPr>
      <w:bCs/>
      <w:iCs/>
    </w:rPr>
  </w:style>
  <w:style w:type="paragraph" w:customStyle="1" w:styleId="146">
    <w:name w:val="目录 31"/>
    <w:basedOn w:val="1"/>
    <w:next w:val="1"/>
    <w:autoRedefine/>
    <w:semiHidden/>
    <w:qFormat/>
    <w:uiPriority w:val="0"/>
    <w:pPr>
      <w:spacing w:line="240" w:lineRule="auto"/>
    </w:pPr>
    <w:rPr>
      <w:rFonts w:ascii="宋体" w:hAnsi="宋体"/>
      <w:iCs/>
    </w:rPr>
  </w:style>
  <w:style w:type="paragraph" w:customStyle="1" w:styleId="147">
    <w:name w:val="目录 41"/>
    <w:basedOn w:val="1"/>
    <w:next w:val="1"/>
    <w:autoRedefine/>
    <w:semiHidden/>
    <w:qFormat/>
    <w:uiPriority w:val="0"/>
    <w:pPr>
      <w:adjustRightInd/>
      <w:spacing w:line="240" w:lineRule="auto"/>
      <w:jc w:val="left"/>
    </w:pPr>
  </w:style>
  <w:style w:type="paragraph" w:customStyle="1" w:styleId="148">
    <w:name w:val="目录 51"/>
    <w:basedOn w:val="1"/>
    <w:next w:val="1"/>
    <w:autoRedefine/>
    <w:semiHidden/>
    <w:qFormat/>
    <w:uiPriority w:val="0"/>
    <w:pPr>
      <w:spacing w:line="240" w:lineRule="auto"/>
    </w:pPr>
    <w:rPr>
      <w:rFonts w:ascii="宋体" w:hAnsi="宋体"/>
    </w:rPr>
  </w:style>
  <w:style w:type="paragraph" w:customStyle="1" w:styleId="149">
    <w:name w:val="目录 61"/>
    <w:basedOn w:val="1"/>
    <w:next w:val="1"/>
    <w:autoRedefine/>
    <w:semiHidden/>
    <w:qFormat/>
    <w:uiPriority w:val="0"/>
    <w:pPr>
      <w:adjustRightInd/>
      <w:spacing w:line="240" w:lineRule="auto"/>
      <w:jc w:val="left"/>
    </w:pPr>
  </w:style>
  <w:style w:type="paragraph" w:customStyle="1" w:styleId="150">
    <w:name w:val="目录 71"/>
    <w:basedOn w:val="149"/>
    <w:autoRedefine/>
    <w:semiHidden/>
    <w:qFormat/>
    <w:uiPriority w:val="0"/>
    <w:pPr>
      <w:ind w:left="1260"/>
    </w:pPr>
  </w:style>
  <w:style w:type="paragraph" w:customStyle="1" w:styleId="151">
    <w:name w:val="目录 81"/>
    <w:basedOn w:val="150"/>
    <w:autoRedefine/>
    <w:semiHidden/>
    <w:qFormat/>
    <w:uiPriority w:val="0"/>
    <w:pPr>
      <w:ind w:left="1470"/>
    </w:pPr>
  </w:style>
  <w:style w:type="paragraph" w:customStyle="1" w:styleId="152">
    <w:name w:val="目录 91"/>
    <w:basedOn w:val="151"/>
    <w:autoRedefine/>
    <w:semiHidden/>
    <w:qFormat/>
    <w:uiPriority w:val="0"/>
    <w:pPr>
      <w:ind w:left="1680"/>
    </w:pPr>
  </w:style>
  <w:style w:type="paragraph" w:customStyle="1" w:styleId="15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qFormat/>
    <w:uiPriority w:val="0"/>
    <w:pPr>
      <w:framePr w:wrap="around"/>
      <w:spacing w:line="0" w:lineRule="atLeast"/>
    </w:pPr>
    <w:rPr>
      <w:rFonts w:ascii="黑体" w:eastAsia="黑体"/>
      <w:b w:val="0"/>
    </w:rPr>
  </w:style>
  <w:style w:type="paragraph" w:customStyle="1" w:styleId="155">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7">
    <w:name w:val="实施日期"/>
    <w:basedOn w:val="123"/>
    <w:qFormat/>
    <w:uiPriority w:val="0"/>
    <w:pPr>
      <w:framePr w:hSpace="0" w:wrap="around" w:xAlign="right"/>
      <w:jc w:val="right"/>
    </w:pPr>
  </w:style>
  <w:style w:type="paragraph" w:customStyle="1" w:styleId="158">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qFormat/>
    <w:uiPriority w:val="0"/>
    <w:pPr>
      <w:numPr>
        <w:ilvl w:val="6"/>
        <w:numId w:val="20"/>
      </w:numPr>
      <w:adjustRightInd/>
    </w:pPr>
    <w:rPr>
      <w:szCs w:val="24"/>
    </w:rPr>
  </w:style>
  <w:style w:type="paragraph" w:customStyle="1" w:styleId="162">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3">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qFormat/>
    <w:uiPriority w:val="0"/>
    <w:pPr>
      <w:ind w:left="1406" w:leftChars="0" w:hanging="499" w:firstLineChars="0"/>
    </w:pPr>
  </w:style>
  <w:style w:type="paragraph" w:customStyle="1" w:styleId="165">
    <w:name w:val="标准文件_一级无标题"/>
    <w:basedOn w:val="108"/>
    <w:qFormat/>
    <w:uiPriority w:val="0"/>
    <w:pPr>
      <w:spacing w:before="0" w:beforeLines="0" w:after="0" w:afterLines="0"/>
      <w:outlineLvl w:val="9"/>
    </w:pPr>
    <w:rPr>
      <w:rFonts w:ascii="宋体" w:eastAsia="宋体"/>
    </w:rPr>
  </w:style>
  <w:style w:type="paragraph" w:customStyle="1" w:styleId="166">
    <w:name w:val="标准文件_五级无标题"/>
    <w:basedOn w:val="106"/>
    <w:qFormat/>
    <w:uiPriority w:val="0"/>
    <w:pPr>
      <w:spacing w:before="0" w:beforeLines="0" w:after="0" w:afterLines="0"/>
      <w:outlineLvl w:val="9"/>
    </w:pPr>
    <w:rPr>
      <w:rFonts w:ascii="宋体" w:eastAsia="宋体"/>
    </w:rPr>
  </w:style>
  <w:style w:type="paragraph" w:customStyle="1" w:styleId="167">
    <w:name w:val="标准文件_三级无标题"/>
    <w:basedOn w:val="97"/>
    <w:qFormat/>
    <w:uiPriority w:val="0"/>
    <w:pPr>
      <w:spacing w:before="0" w:beforeLines="0" w:after="0" w:afterLines="0"/>
      <w:outlineLvl w:val="9"/>
    </w:pPr>
    <w:rPr>
      <w:rFonts w:ascii="宋体" w:eastAsia="宋体"/>
    </w:rPr>
  </w:style>
  <w:style w:type="paragraph" w:customStyle="1" w:styleId="168">
    <w:name w:val="标准文件_二级无标题"/>
    <w:basedOn w:val="68"/>
    <w:qFormat/>
    <w:uiPriority w:val="0"/>
    <w:pPr>
      <w:spacing w:before="0" w:beforeLines="0" w:after="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qFormat/>
    <w:uiPriority w:val="0"/>
    <w:pPr>
      <w:spacing w:before="0" w:beforeLines="0" w:after="0" w:afterLines="0"/>
      <w:outlineLvl w:val="9"/>
    </w:pPr>
    <w:rPr>
      <w:rFonts w:ascii="宋体" w:hAnsi="黑体" w:eastAsia="宋体"/>
      <w:szCs w:val="52"/>
    </w:rPr>
  </w:style>
  <w:style w:type="paragraph" w:customStyle="1" w:styleId="171">
    <w:name w:val="标准文件_大写罗马数字编号列项"/>
    <w:basedOn w:val="59"/>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qFormat/>
    <w:uiPriority w:val="0"/>
    <w:pPr>
      <w:numPr>
        <w:ilvl w:val="0"/>
        <w:numId w:val="24"/>
      </w:numPr>
      <w:ind w:firstLine="0" w:firstLineChars="0"/>
    </w:pPr>
    <w:rPr>
      <w:rFonts w:cs="Arial"/>
      <w:szCs w:val="28"/>
    </w:rPr>
  </w:style>
  <w:style w:type="paragraph" w:customStyle="1" w:styleId="173">
    <w:name w:val="标准文件_附录标题"/>
    <w:basedOn w:val="79"/>
    <w:qFormat/>
    <w:uiPriority w:val="0"/>
    <w:pPr>
      <w:numPr>
        <w:numId w:val="0"/>
      </w:numPr>
      <w:spacing w:after="280"/>
      <w:outlineLvl w:val="9"/>
    </w:pPr>
  </w:style>
  <w:style w:type="paragraph" w:customStyle="1" w:styleId="174">
    <w:name w:val="标准文件_二级项"/>
    <w:qFormat/>
    <w:uiPriority w:val="0"/>
    <w:rPr>
      <w:rFonts w:ascii="宋体" w:hAnsi="Times New Roman" w:eastAsia="宋体" w:cs="Times New Roman"/>
      <w:sz w:val="21"/>
      <w:lang w:val="en-US" w:eastAsia="zh-CN" w:bidi="ar-SA"/>
    </w:rPr>
  </w:style>
  <w:style w:type="paragraph" w:customStyle="1" w:styleId="175">
    <w:name w:val="标准文件_三级项"/>
    <w:basedOn w:val="1"/>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qFormat/>
    <w:uiPriority w:val="0"/>
    <w:pPr>
      <w:numPr>
        <w:ilvl w:val="0"/>
        <w:numId w:val="25"/>
      </w:numPr>
      <w:adjustRightInd/>
      <w:spacing w:line="240" w:lineRule="auto"/>
    </w:pPr>
    <w:rPr>
      <w:rFonts w:ascii="宋体" w:hAnsi="Times New Roman"/>
      <w:sz w:val="18"/>
      <w:szCs w:val="18"/>
    </w:rPr>
  </w:style>
  <w:style w:type="paragraph" w:customStyle="1" w:styleId="177">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pPr>
      <w:ind w:firstLine="420"/>
    </w:pPr>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qFormat/>
    <w:uiPriority w:val="0"/>
    <w:rPr>
      <w:rFonts w:ascii="宋体" w:hAnsi="Times New Roman"/>
      <w:sz w:val="21"/>
    </w:rPr>
  </w:style>
  <w:style w:type="paragraph" w:customStyle="1" w:styleId="188">
    <w:name w:val="标准文件_表格续"/>
    <w:basedOn w:val="59"/>
    <w:next w:val="59"/>
    <w:qFormat/>
    <w:uiPriority w:val="0"/>
    <w:pPr>
      <w:jc w:val="center"/>
    </w:pPr>
    <w:rPr>
      <w:rFonts w:ascii="黑体" w:hAnsi="黑体" w:eastAsia="黑体"/>
    </w:rPr>
  </w:style>
  <w:style w:type="character" w:styleId="189">
    <w:name w:val="Placeholder Text"/>
    <w:basedOn w:val="30"/>
    <w:semiHidden/>
    <w:qFormat/>
    <w:uiPriority w:val="99"/>
    <w:rPr>
      <w:color w:val="808080"/>
    </w:rPr>
  </w:style>
  <w:style w:type="paragraph" w:customStyle="1" w:styleId="190">
    <w:name w:val="标准文件_二级项2"/>
    <w:basedOn w:val="59"/>
    <w:qFormat/>
    <w:uiPriority w:val="0"/>
    <w:pPr>
      <w:numPr>
        <w:ilvl w:val="1"/>
        <w:numId w:val="21"/>
      </w:numPr>
      <w:ind w:firstLine="0" w:firstLineChars="0"/>
    </w:pPr>
  </w:style>
  <w:style w:type="paragraph" w:customStyle="1" w:styleId="191">
    <w:name w:val="标准文件_三级项2"/>
    <w:basedOn w:val="59"/>
    <w:qFormat/>
    <w:uiPriority w:val="0"/>
    <w:pPr>
      <w:numPr>
        <w:ilvl w:val="0"/>
        <w:numId w:val="30"/>
      </w:numPr>
      <w:spacing w:line="300" w:lineRule="exact"/>
      <w:ind w:firstLineChars="0"/>
    </w:pPr>
    <w:rPr>
      <w:rFonts w:ascii="Times New Roman"/>
    </w:rPr>
  </w:style>
  <w:style w:type="paragraph" w:customStyle="1" w:styleId="192">
    <w:name w:val="标准文件_一级项2"/>
    <w:basedOn w:val="59"/>
    <w:qFormat/>
    <w:uiPriority w:val="0"/>
    <w:pPr>
      <w:numPr>
        <w:ilvl w:val="0"/>
        <w:numId w:val="31"/>
      </w:numPr>
      <w:spacing w:line="300" w:lineRule="exact"/>
      <w:ind w:firstLineChars="0"/>
    </w:pPr>
    <w:rPr>
      <w:rFonts w:ascii="Times New Roman"/>
    </w:rPr>
  </w:style>
  <w:style w:type="paragraph" w:customStyle="1" w:styleId="193">
    <w:name w:val="标准文件_提示"/>
    <w:basedOn w:val="59"/>
    <w:next w:val="59"/>
    <w:qFormat/>
    <w:uiPriority w:val="0"/>
    <w:pPr>
      <w:ind w:firstLine="420"/>
    </w:pPr>
    <w:rPr>
      <w:rFonts w:ascii="黑体" w:eastAsia="黑体"/>
    </w:rPr>
  </w:style>
  <w:style w:type="character" w:customStyle="1" w:styleId="194">
    <w:name w:val="标准文件_来源"/>
    <w:basedOn w:val="30"/>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qFormat/>
    <w:uiPriority w:val="0"/>
    <w:pPr>
      <w:framePr w:w="3997" w:h="471" w:hRule="exact" w:hSpace="0" w:vSpace="181" w:wrap="around" w:vAnchor="page" w:hAnchor="page" w:x="1419" w:y="14097"/>
    </w:pPr>
  </w:style>
  <w:style w:type="paragraph" w:customStyle="1" w:styleId="197">
    <w:name w:val="其他实施日期"/>
    <w:basedOn w:val="157"/>
    <w:qFormat/>
    <w:uiPriority w:val="0"/>
    <w:pPr>
      <w:framePr w:w="3997" w:h="471" w:hRule="exact" w:vSpace="181" w:wrap="around" w:vAnchor="page" w:hAnchor="page" w:x="7089" w:y="14097"/>
    </w:pPr>
  </w:style>
  <w:style w:type="paragraph" w:customStyle="1" w:styleId="198">
    <w:name w:val="标准文件_文件编号"/>
    <w:basedOn w:val="59"/>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framePr/>
      <w:spacing w:before="57"/>
    </w:pPr>
    <w:rPr>
      <w:sz w:val="21"/>
    </w:rPr>
  </w:style>
  <w:style w:type="paragraph" w:customStyle="1" w:styleId="200">
    <w:name w:val="标准文件_文件名称"/>
    <w:basedOn w:val="59"/>
    <w:next w:val="59"/>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50" w:beforeLines="50" w:after="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50" w:beforeLines="50" w:after="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8"/>
      </w:numPr>
      <w:spacing w:before="50" w:beforeLines="50" w:after="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50" w:beforeLines="50" w:after="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50" w:beforeLines="50" w:after="50" w:afterLines="50"/>
      <w:ind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qFormat/>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2"/>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59"/>
    <w:qFormat/>
    <w:uiPriority w:val="0"/>
    <w:pPr>
      <w:spacing w:before="0" w:beforeLines="0" w:after="0" w:afterLines="0" w:line="276" w:lineRule="auto"/>
    </w:pPr>
    <w:rPr>
      <w:rFonts w:ascii="宋体" w:eastAsia="宋体"/>
    </w:rPr>
  </w:style>
  <w:style w:type="paragraph" w:customStyle="1" w:styleId="221">
    <w:name w:val="标准文件_引言三级无标题"/>
    <w:basedOn w:val="205"/>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59"/>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59"/>
    <w:qFormat/>
    <w:uiPriority w:val="0"/>
    <w:pPr>
      <w:spacing w:before="0" w:beforeLines="0" w:after="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qFormat/>
    <w:uiPriority w:val="0"/>
    <w:rPr>
      <w:rFonts w:ascii="黑体" w:eastAsia="黑体"/>
      <w:spacing w:val="85"/>
      <w:w w:val="100"/>
      <w:position w:val="3"/>
      <w:sz w:val="28"/>
      <w:szCs w:val="28"/>
    </w:rPr>
  </w:style>
  <w:style w:type="paragraph" w:customStyle="1" w:styleId="233">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4">
    <w:name w:val="Revision"/>
    <w:hidden/>
    <w:unhideWhenUsed/>
    <w:uiPriority w:val="99"/>
    <w:rPr>
      <w:rFonts w:ascii="Calibri" w:hAnsi="Calibri" w:eastAsia="宋体" w:cs="Times New Roman"/>
      <w:kern w:val="2"/>
      <w:sz w:val="21"/>
      <w:szCs w:val="21"/>
      <w:lang w:val="en-US" w:eastAsia="zh-CN" w:bidi="ar-SA"/>
    </w:rPr>
  </w:style>
  <w:style w:type="character" w:customStyle="1" w:styleId="235">
    <w:name w:val="批注文字 字符"/>
    <w:basedOn w:val="30"/>
    <w:link w:val="13"/>
    <w:uiPriority w:val="99"/>
    <w:rPr>
      <w:kern w:val="2"/>
      <w:sz w:val="21"/>
      <w:szCs w:val="21"/>
    </w:rPr>
  </w:style>
  <w:style w:type="character" w:customStyle="1" w:styleId="236">
    <w:name w:val="批注主题 字符"/>
    <w:basedOn w:val="235"/>
    <w:link w:val="27"/>
    <w:semiHidden/>
    <w:uiPriority w:val="99"/>
    <w:rPr>
      <w:b/>
      <w:bCs/>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glossaryDocument" Target="glossary/document.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3.jpeg"/><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8F7822E560F414C8AAD8224E8344FC7"/>
        <w:style w:val=""/>
        <w:category>
          <w:name w:val="常规"/>
          <w:gallery w:val="placeholder"/>
        </w:category>
        <w:types>
          <w:type w:val="bbPlcHdr"/>
        </w:types>
        <w:behaviors>
          <w:behavior w:val="content"/>
        </w:behaviors>
        <w:description w:val=""/>
        <w:guid w:val="{D485AC79-E650-4189-A175-A1B7CA6B6565}"/>
      </w:docPartPr>
      <w:docPartBody>
        <w:p w14:paraId="24C2E46A">
          <w:pPr>
            <w:pStyle w:val="5"/>
            <w:rPr>
              <w:rFonts w:hint="eastAsia"/>
            </w:rPr>
          </w:pPr>
          <w:r>
            <w:rPr>
              <w:rStyle w:val="4"/>
              <w:rFonts w:hint="eastAsia"/>
            </w:rPr>
            <w:t>单击或点击此处输入文字。</w:t>
          </w:r>
        </w:p>
      </w:docPartBody>
    </w:docPart>
    <w:docPart>
      <w:docPartPr>
        <w:name w:val="5DBA74BC84994F79AD059C84FF2EB688"/>
        <w:style w:val=""/>
        <w:category>
          <w:name w:val="常规"/>
          <w:gallery w:val="placeholder"/>
        </w:category>
        <w:types>
          <w:type w:val="bbPlcHdr"/>
        </w:types>
        <w:behaviors>
          <w:behavior w:val="content"/>
        </w:behaviors>
        <w:description w:val=""/>
        <w:guid w:val="{08A248CE-7D21-4571-94C2-CDABD43F574E}"/>
      </w:docPartPr>
      <w:docPartBody>
        <w:p w14:paraId="2CF089C2">
          <w:pPr>
            <w:pStyle w:val="6"/>
            <w:rPr>
              <w:rFonts w:hint="eastAsia"/>
            </w:rPr>
          </w:pPr>
          <w:r>
            <w:rPr>
              <w:rStyle w:val="4"/>
              <w:rFonts w:hint="eastAsia"/>
            </w:rPr>
            <w:t>选择一项。</w:t>
          </w:r>
        </w:p>
      </w:docPartBody>
    </w:docPart>
    <w:docPart>
      <w:docPartPr>
        <w:name w:val="AA59314BC1C54E02B31290FEDF11F8A5"/>
        <w:style w:val=""/>
        <w:category>
          <w:name w:val="常规"/>
          <w:gallery w:val="placeholder"/>
        </w:category>
        <w:types>
          <w:type w:val="bbPlcHdr"/>
        </w:types>
        <w:behaviors>
          <w:behavior w:val="content"/>
        </w:behaviors>
        <w:description w:val=""/>
        <w:guid w:val="{D2052138-88E8-4CF3-B980-4DEEE0884A7B}"/>
      </w:docPartPr>
      <w:docPartBody>
        <w:p w14:paraId="63556D80">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oNotDisplayPageBoundaries w:val="1"/>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46C0"/>
    <w:rsid w:val="000259F6"/>
    <w:rsid w:val="000836F1"/>
    <w:rsid w:val="000D46F9"/>
    <w:rsid w:val="00137D66"/>
    <w:rsid w:val="001C667D"/>
    <w:rsid w:val="001D34AB"/>
    <w:rsid w:val="001D3A14"/>
    <w:rsid w:val="00223004"/>
    <w:rsid w:val="00373148"/>
    <w:rsid w:val="003A5090"/>
    <w:rsid w:val="003E193A"/>
    <w:rsid w:val="003F7857"/>
    <w:rsid w:val="00494B26"/>
    <w:rsid w:val="004A6B4B"/>
    <w:rsid w:val="004C01A4"/>
    <w:rsid w:val="00510797"/>
    <w:rsid w:val="005441CE"/>
    <w:rsid w:val="00582FC2"/>
    <w:rsid w:val="00644E3F"/>
    <w:rsid w:val="006654B8"/>
    <w:rsid w:val="00684501"/>
    <w:rsid w:val="007666DA"/>
    <w:rsid w:val="007A4AC1"/>
    <w:rsid w:val="007D157B"/>
    <w:rsid w:val="00892E98"/>
    <w:rsid w:val="0089458E"/>
    <w:rsid w:val="008A7354"/>
    <w:rsid w:val="008D50E7"/>
    <w:rsid w:val="0097271B"/>
    <w:rsid w:val="00A14BDB"/>
    <w:rsid w:val="00A75ADD"/>
    <w:rsid w:val="00AD09B1"/>
    <w:rsid w:val="00AE1AD0"/>
    <w:rsid w:val="00B43738"/>
    <w:rsid w:val="00BA2538"/>
    <w:rsid w:val="00C15799"/>
    <w:rsid w:val="00C41A95"/>
    <w:rsid w:val="00C94150"/>
    <w:rsid w:val="00CB55E0"/>
    <w:rsid w:val="00D53440"/>
    <w:rsid w:val="00DE46C0"/>
    <w:rsid w:val="00E032D3"/>
    <w:rsid w:val="00E44F06"/>
    <w:rsid w:val="00E512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18F7822E560F414C8AAD8224E8344FC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5DBA74BC84994F79AD059C84FF2EB68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AA59314BC1C54E02B31290FEDF11F8A5"/>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F11188-EB08-4190-8768-B82B42280D73}">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7</Pages>
  <Words>1811</Words>
  <Characters>2089</Characters>
  <Lines>24</Lines>
  <Paragraphs>7</Paragraphs>
  <TotalTime>30</TotalTime>
  <ScaleCrop>false</ScaleCrop>
  <LinksUpToDate>false</LinksUpToDate>
  <CharactersWithSpaces>2161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2026-05-29T08:19:00Z</dcterms:created>
  <dc:creator>郑富海</dc:creator>
  <dc:description>&lt;config cover="true" show_menu="true" version="1.0.0" doctype="SDKXY"&gt;_x000d_
&lt;/config&gt;</dc:description>
  <cp:lastModifiedBy>XIEX</cp:lastModifiedBy>
  <cp:lastPrinted>2026-05-17T05:22:00Z</cp:lastPrinted>
  <dcterms:modified xsi:type="dcterms:W3CDTF">2026-05-30T01:03:42Z</dcterms:modified>
  <dc:title>团体标准</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eyJoZGlkIjoiZjUwYjRjNDYxNGIzZTYyN2FjOGViYTVlYzI3MTBmMzMiLCJ1c2VySWQiOiI2ODM5ODUzMDMifQ==</vt:lpwstr>
  </property>
  <property fmtid="{D5CDD505-2E9C-101B-9397-08002B2CF9AE}" pid="15" name="KSOProductBuildVer">
    <vt:lpwstr>2052-12.1.0.25865</vt:lpwstr>
  </property>
  <property fmtid="{D5CDD505-2E9C-101B-9397-08002B2CF9AE}" pid="16" name="ICV">
    <vt:lpwstr>DDA416A884F845BD9A234B697A0781ED_12</vt:lpwstr>
  </property>
</Properties>
</file>