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A9E3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E4D54D">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6D7A9EA">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0</w:t>
            </w:r>
            <w:r>
              <w:rPr>
                <w:rFonts w:hint="eastAsia" w:ascii="黑体" w:hAnsi="黑体" w:eastAsia="黑体"/>
                <w:sz w:val="21"/>
                <w:szCs w:val="21"/>
                <w:lang w:val="en-US" w:eastAsia="zh-CN"/>
              </w:rPr>
              <w:t>1.110</w:t>
            </w:r>
            <w:r>
              <w:rPr>
                <w:rFonts w:ascii="黑体" w:hAnsi="黑体" w:eastAsia="黑体"/>
                <w:sz w:val="21"/>
                <w:szCs w:val="21"/>
              </w:rPr>
              <w:fldChar w:fldCharType="end"/>
            </w:r>
            <w:bookmarkEnd w:id="0"/>
          </w:p>
        </w:tc>
      </w:tr>
      <w:tr w14:paraId="2CC4D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3FD257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D1DA70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1921AE0">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lang w:eastAsia="zh-CN"/>
                    </w:rPr>
                    <w:t>G</w:t>
                  </w:r>
                  <w:r>
                    <w:rPr>
                      <w:rFonts w:hint="eastAsia"/>
                      <w:lang w:val="en-US" w:eastAsia="zh-CN"/>
                    </w:rPr>
                    <w:t>XAS</w:t>
                  </w:r>
                  <w:r>
                    <w:fldChar w:fldCharType="end"/>
                  </w:r>
                  <w:bookmarkEnd w:id="1"/>
                </w:p>
              </w:tc>
            </w:tr>
          </w:tbl>
          <w:p w14:paraId="559E162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F</w:t>
            </w:r>
            <w:r>
              <w:rPr>
                <w:rFonts w:hint="eastAsia" w:ascii="黑体" w:hAnsi="黑体" w:eastAsia="黑体"/>
                <w:sz w:val="21"/>
                <w:szCs w:val="21"/>
                <w:lang w:val="en-US" w:eastAsia="zh-CN"/>
              </w:rPr>
              <w:t>04</w:t>
            </w:r>
            <w:r>
              <w:rPr>
                <w:rFonts w:ascii="黑体" w:hAnsi="黑体" w:eastAsia="黑体"/>
                <w:sz w:val="21"/>
                <w:szCs w:val="21"/>
              </w:rPr>
              <w:fldChar w:fldCharType="end"/>
            </w:r>
            <w:bookmarkEnd w:id="2"/>
          </w:p>
        </w:tc>
      </w:tr>
    </w:tbl>
    <w:p w14:paraId="161BCF4A">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lang w:eastAsia="zh-CN"/>
        </w:rPr>
        <w:t>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43EC1316">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lang w:eastAsia="zh-CN"/>
        </w:rPr>
        <w:t>G</w:t>
      </w:r>
      <w:r>
        <w:rPr>
          <w:rFonts w:hint="eastAsia"/>
          <w:lang w:val="en-US" w:eastAsia="zh-CN"/>
        </w:rPr>
        <w:t>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lang w:eastAsia="zh-CN"/>
        </w:rPr>
        <w:t>2</w:t>
      </w:r>
      <w:r>
        <w:rPr>
          <w:rFonts w:hint="eastAsia"/>
          <w:lang w:val="en-US" w:eastAsia="zh-CN"/>
        </w:rPr>
        <w:t>026</w:t>
      </w:r>
      <w:r>
        <w:fldChar w:fldCharType="end"/>
      </w:r>
      <w:bookmarkEnd w:id="7"/>
    </w:p>
    <w:p w14:paraId="52A51E97">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3935A6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6FFE932">
      <w:pPr>
        <w:pStyle w:val="50"/>
        <w:framePr w:w="9639" w:h="6976" w:hRule="exact" w:hSpace="0" w:vSpace="0" w:wrap="around" w:hAnchor="page" w:y="6408"/>
        <w:jc w:val="center"/>
        <w:rPr>
          <w:rFonts w:hint="eastAsia" w:ascii="黑体" w:hAnsi="黑体" w:eastAsia="黑体"/>
          <w:b w:val="0"/>
          <w:bCs w:val="0"/>
          <w:w w:val="100"/>
        </w:rPr>
      </w:pPr>
    </w:p>
    <w:p w14:paraId="02A223D2">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工业节能技术改造项目节能量计算规范</w:t>
      </w:r>
      <w:r>
        <w:fldChar w:fldCharType="end"/>
      </w:r>
      <w:bookmarkEnd w:id="9"/>
    </w:p>
    <w:p w14:paraId="2144DE0C">
      <w:pPr>
        <w:framePr w:w="9639" w:h="6974" w:hRule="exact" w:wrap="around" w:vAnchor="page" w:hAnchor="page" w:x="1419" w:y="6408" w:anchorLock="1"/>
        <w:ind w:left="-1418"/>
      </w:pPr>
    </w:p>
    <w:p w14:paraId="263B05AB">
      <w:pPr>
        <w:pStyle w:val="125"/>
        <w:framePr w:w="9639" w:h="6974" w:hRule="exact" w:wrap="around" w:vAnchor="page" w:hAnchor="page" w:x="1419" w:y="6408" w:anchorLock="1"/>
        <w:pBdr>
          <w:top w:val="none" w:color="auto" w:sz="0" w:space="0"/>
          <w:left w:val="none" w:color="auto" w:sz="0" w:space="0"/>
          <w:bottom w:val="none" w:color="auto" w:sz="0" w:space="0"/>
          <w:right w:val="none" w:color="auto" w:sz="0" w:space="0"/>
        </w:pBdr>
        <w:textAlignment w:val="bottom"/>
        <w:rPr>
          <w:rFonts w:hint="eastAsia"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Specification for Calculation of Energy Savings in Industrial</w:t>
      </w:r>
    </w:p>
    <w:p w14:paraId="6A073306">
      <w:pPr>
        <w:pStyle w:val="125"/>
        <w:framePr w:w="9639" w:h="6974" w:hRule="exact" w:wrap="around" w:vAnchor="page" w:hAnchor="page" w:x="1419" w:y="6408" w:anchorLock="1"/>
        <w:textAlignment w:val="bottom"/>
        <w:rPr>
          <w:rFonts w:eastAsia="黑体"/>
          <w:szCs w:val="28"/>
        </w:rPr>
      </w:pPr>
      <w:r>
        <w:rPr>
          <w:rFonts w:hint="eastAsia" w:eastAsia="黑体"/>
          <w:szCs w:val="28"/>
        </w:rPr>
        <w:t>Energy-saving Technical Retrofit Projects </w:t>
      </w:r>
      <w:r>
        <w:rPr>
          <w:rFonts w:eastAsia="黑体"/>
          <w:szCs w:val="28"/>
        </w:rPr>
        <w:fldChar w:fldCharType="end"/>
      </w:r>
      <w:bookmarkEnd w:id="10"/>
    </w:p>
    <w:p w14:paraId="313D54A8">
      <w:pPr>
        <w:framePr w:w="9639" w:h="6974" w:hRule="exact" w:wrap="around" w:vAnchor="page" w:hAnchor="page" w:x="1419" w:y="6408" w:anchorLock="1"/>
        <w:spacing w:line="760" w:lineRule="exact"/>
        <w:ind w:left="-1418"/>
      </w:pPr>
    </w:p>
    <w:p w14:paraId="18E584F4">
      <w:pPr>
        <w:pStyle w:val="125"/>
        <w:framePr w:w="9639" w:h="6974" w:hRule="exact" w:wrap="around" w:vAnchor="page" w:hAnchor="page" w:x="1419" w:y="6408" w:anchorLock="1"/>
        <w:textAlignment w:val="bottom"/>
        <w:rPr>
          <w:rFonts w:eastAsia="黑体"/>
          <w:szCs w:val="28"/>
        </w:rPr>
      </w:pPr>
    </w:p>
    <w:p w14:paraId="382A48E7">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93B8B9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（本草案完成时间：</w:t>
      </w:r>
      <w:r>
        <w:rPr>
          <w:rFonts w:hint="eastAsia"/>
          <w:sz w:val="21"/>
          <w:szCs w:val="28"/>
          <w:lang w:val="en-US" w:eastAsia="zh-CN"/>
        </w:rPr>
        <w:t>3月</w:t>
      </w:r>
      <w:r>
        <w:rPr>
          <w:sz w:val="21"/>
          <w:szCs w:val="28"/>
        </w:rPr>
        <w:t>）</w:t>
      </w:r>
      <w:r>
        <w:rPr>
          <w:sz w:val="21"/>
          <w:szCs w:val="28"/>
        </w:rPr>
        <w:fldChar w:fldCharType="end"/>
      </w:r>
      <w:bookmarkEnd w:id="12"/>
    </w:p>
    <w:p w14:paraId="0C6769F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657F19A">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6DCA3D9">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9867BE4">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74BE5A5">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5B5C2AE">
      <w:pPr>
        <w:pStyle w:val="89"/>
        <w:bidi w:val="0"/>
        <w:spacing w:before="560"/>
        <w:rPr>
          <w:rFonts w:hint="eastAsia"/>
          <w:color w:val="auto"/>
          <w:lang w:eastAsia="zh-CN"/>
        </w:rPr>
      </w:pPr>
      <w:bookmarkStart w:id="21" w:name="BookMark2"/>
      <w:r>
        <w:rPr>
          <w:rFonts w:hint="eastAsia"/>
          <w:color w:val="auto"/>
          <w:spacing w:val="320"/>
          <w:lang w:eastAsia="zh-CN"/>
        </w:rPr>
        <w:t>前</w:t>
      </w:r>
      <w:r>
        <w:rPr>
          <w:rFonts w:hint="eastAsia"/>
          <w:color w:val="auto"/>
          <w:lang w:eastAsia="zh-CN"/>
        </w:rPr>
        <w:t>言</w:t>
      </w:r>
    </w:p>
    <w:p w14:paraId="103BCFB7">
      <w:pPr>
        <w:pStyle w:val="56"/>
        <w:bidi w:val="0"/>
        <w:rPr>
          <w:rFonts w:hint="eastAsia"/>
          <w:color w:val="auto"/>
          <w:lang w:eastAsia="zh-CN"/>
        </w:rPr>
      </w:pPr>
      <w:r>
        <w:rPr>
          <w:rFonts w:hint="eastAsia"/>
          <w:color w:val="auto"/>
          <w:lang w:eastAsia="zh-CN"/>
        </w:rPr>
        <w:t>本文件按照GB/T 1.1—2020《标准化工作导则  第1部分：标准化文件的结构和起草规则》的规定起草。</w:t>
      </w:r>
    </w:p>
    <w:p w14:paraId="169BADA3">
      <w:pPr>
        <w:pStyle w:val="56"/>
        <w:bidi w:val="0"/>
        <w:rPr>
          <w:rFonts w:hint="eastAsia"/>
          <w:color w:val="auto"/>
          <w:lang w:eastAsia="zh-CN"/>
        </w:rPr>
      </w:pPr>
    </w:p>
    <w:p w14:paraId="1FF9FFEE">
      <w:pPr>
        <w:pStyle w:val="56"/>
        <w:bidi w:val="0"/>
        <w:rPr>
          <w:rFonts w:hint="eastAsia"/>
          <w:color w:val="auto"/>
          <w:lang w:eastAsia="zh-CN"/>
        </w:rPr>
      </w:pPr>
      <w:r>
        <w:rPr>
          <w:rFonts w:hint="eastAsia"/>
          <w:color w:val="auto"/>
          <w:lang w:eastAsia="zh-CN"/>
        </w:rPr>
        <w:t>请注意本文件的某些内容可能涉及专利。本文件的发布机构不承担识别专利的责任。</w:t>
      </w:r>
    </w:p>
    <w:p w14:paraId="5B6B8BE4">
      <w:pPr>
        <w:pStyle w:val="56"/>
        <w:bidi w:val="0"/>
        <w:rPr>
          <w:rFonts w:hint="eastAsia"/>
          <w:color w:val="auto"/>
          <w:lang w:eastAsia="zh-CN"/>
        </w:rPr>
      </w:pPr>
      <w:r>
        <w:rPr>
          <w:rFonts w:hint="eastAsia"/>
          <w:color w:val="auto"/>
          <w:lang w:val="en-US" w:eastAsia="zh-CN"/>
        </w:rPr>
        <w:t>本文件由广西壮族自治区工业促进和中小企业服务中心提出</w:t>
      </w:r>
      <w:r>
        <w:rPr>
          <w:rFonts w:hint="eastAsia"/>
          <w:color w:val="auto"/>
          <w:lang w:eastAsia="zh-CN"/>
        </w:rPr>
        <w:t>。</w:t>
      </w:r>
    </w:p>
    <w:p w14:paraId="6131D0B3">
      <w:pPr>
        <w:pStyle w:val="56"/>
        <w:bidi w:val="0"/>
        <w:rPr>
          <w:rFonts w:hint="eastAsia"/>
          <w:color w:val="auto"/>
          <w:lang w:eastAsia="zh-CN"/>
        </w:rPr>
      </w:pPr>
      <w:r>
        <w:rPr>
          <w:rFonts w:hint="eastAsia"/>
          <w:color w:val="auto"/>
          <w:lang w:eastAsia="zh-CN"/>
        </w:rPr>
        <w:t>本文件由广西标准化协会归口。</w:t>
      </w:r>
    </w:p>
    <w:p w14:paraId="63A595BE">
      <w:pPr>
        <w:pStyle w:val="56"/>
        <w:bidi w:val="0"/>
        <w:rPr>
          <w:rFonts w:hint="eastAsia"/>
          <w:color w:val="auto"/>
          <w:lang w:eastAsia="zh-CN"/>
        </w:rPr>
      </w:pPr>
      <w:r>
        <w:rPr>
          <w:rFonts w:hint="eastAsia"/>
          <w:color w:val="auto"/>
          <w:lang w:eastAsia="zh-CN"/>
        </w:rPr>
        <w:t>本文件起草单位：</w:t>
      </w:r>
      <w:r>
        <w:rPr>
          <w:rFonts w:hint="eastAsia"/>
          <w:color w:val="auto"/>
          <w:lang w:val="en-US" w:eastAsia="zh-CN"/>
        </w:rPr>
        <w:t>广西壮族自治区工业促进和中小企业服务中心、来宾市园区发展和中小企业服务中心、崇左市节能中心、玉林市节能中心、梧州市园区发展和中小企业服务中心、河池市节能中心、百色市工业节能中心、广西节能降碳协会、广西致协节能技术服务有限公司、南宁市超达节能环保科技有限公司、广西晨晏节能信息科技有限公司、广西科技大学</w:t>
      </w:r>
    </w:p>
    <w:p w14:paraId="62AD8669">
      <w:pPr>
        <w:pStyle w:val="56"/>
        <w:bidi w:val="0"/>
        <w:rPr>
          <w:rFonts w:hint="eastAsia"/>
          <w:color w:val="auto"/>
          <w:lang w:eastAsia="zh-CN"/>
        </w:rPr>
      </w:pPr>
      <w:r>
        <w:rPr>
          <w:rFonts w:hint="eastAsia"/>
          <w:color w:val="auto"/>
          <w:lang w:eastAsia="zh-CN"/>
        </w:rPr>
        <w:t xml:space="preserve">本文件主要起草人：王占花、张显君、夏倩梅、曾  飞、吕宗玲、姜  江、杨成军、陆锡恩、蒋  鑫、黄东亮、欧阳朋、蒋  舒、雷金月、黎一毅、赖李晔、胡卫东、隆  俊、戚汝国、刘敬东、张晓栋、程思超、韦良义、章帆、范华玲、冯 </w:t>
      </w:r>
      <w:r>
        <w:rPr>
          <w:rFonts w:hint="eastAsia"/>
          <w:color w:val="auto"/>
          <w:lang w:val="en-US" w:eastAsia="zh-CN"/>
        </w:rPr>
        <w:t xml:space="preserve"> </w:t>
      </w:r>
      <w:r>
        <w:rPr>
          <w:rFonts w:hint="eastAsia"/>
          <w:color w:val="auto"/>
          <w:lang w:eastAsia="zh-CN"/>
        </w:rPr>
        <w:t xml:space="preserve">晨、黄金凤、陈俊妃、陈 </w:t>
      </w:r>
      <w:r>
        <w:rPr>
          <w:rFonts w:hint="eastAsia"/>
          <w:color w:val="auto"/>
          <w:lang w:val="en-US" w:eastAsia="zh-CN"/>
        </w:rPr>
        <w:t xml:space="preserve"> </w:t>
      </w:r>
      <w:r>
        <w:rPr>
          <w:rFonts w:hint="eastAsia"/>
          <w:color w:val="auto"/>
          <w:lang w:eastAsia="zh-CN"/>
        </w:rPr>
        <w:t>宇、吴瑜瑜、张  慧、黄翠莲、叶  蕾、覃  合、谢永艳、李巍苑</w:t>
      </w:r>
    </w:p>
    <w:p w14:paraId="0BE8BB76">
      <w:pPr>
        <w:pStyle w:val="56"/>
        <w:bidi w:val="0"/>
        <w:rPr>
          <w:rFonts w:hint="eastAsia"/>
          <w:lang w:eastAsia="zh-CN"/>
        </w:rPr>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p>
    <w:bookmarkEnd w:id="21"/>
    <w:p w14:paraId="7476AFDC">
      <w:pPr>
        <w:spacing w:line="20" w:lineRule="exact"/>
        <w:jc w:val="center"/>
        <w:rPr>
          <w:rFonts w:hint="eastAsia" w:ascii="黑体" w:hAnsi="黑体" w:eastAsia="黑体"/>
          <w:sz w:val="32"/>
          <w:szCs w:val="32"/>
        </w:rPr>
      </w:pPr>
      <w:bookmarkStart w:id="22" w:name="BookMark4"/>
    </w:p>
    <w:p w14:paraId="58FA81F3">
      <w:pPr>
        <w:spacing w:line="20" w:lineRule="exact"/>
        <w:jc w:val="center"/>
        <w:rPr>
          <w:rFonts w:hint="eastAsia" w:ascii="黑体" w:hAnsi="黑体" w:eastAsia="黑体"/>
          <w:sz w:val="32"/>
          <w:szCs w:val="32"/>
        </w:rPr>
      </w:pPr>
    </w:p>
    <w:sdt>
      <w:sdtPr>
        <w:tag w:val="NEW_STAND_NAME"/>
        <w:id w:val="595910757"/>
        <w:lock w:val="sdtLocked"/>
        <w:placeholder>
          <w:docPart w:val="9B3BEDB4F2724F9D81F4444A5CCE266D"/>
        </w:placeholder>
      </w:sdtPr>
      <w:sdtContent>
        <w:sdt>
          <w:sdtPr>
            <w:tag w:val="NEW_STAND_NAME"/>
            <w:id w:val="147474225"/>
            <w:lock w:val="sdtLocked"/>
            <w:placeholder>
              <w:docPart w:val="{26fa2485-6f56-4cf1-b52e-3819542468f8}"/>
            </w:placeholder>
          </w:sdtPr>
          <w:sdtContent>
            <w:p w14:paraId="1D58211E">
              <w:pPr>
                <w:pStyle w:val="177"/>
                <w:spacing w:before="4" w:beforeLines="1" w:after="687" w:afterLines="220"/>
                <w:rPr>
                  <w:rFonts w:hint="eastAsia"/>
                </w:rPr>
              </w:pPr>
              <w:bookmarkStart w:id="23" w:name="NEW_STAND_NAME"/>
              <w:r>
                <w:rPr>
                  <w:rFonts w:hint="eastAsia"/>
                  <w:lang w:eastAsia="zh-CN"/>
                </w:rPr>
                <w:t>工业节能技术改造项目节能量计算规范</w:t>
              </w:r>
            </w:p>
          </w:sdtContent>
        </w:sdt>
      </w:sdtContent>
    </w:sdt>
    <w:bookmarkEnd w:id="23"/>
    <w:p w14:paraId="2CE9C1D5">
      <w:pPr>
        <w:pStyle w:val="104"/>
        <w:spacing w:before="240" w:after="240"/>
      </w:pPr>
      <w:bookmarkStart w:id="24" w:name="_Toc22791"/>
      <w:bookmarkStart w:id="25" w:name="_Toc24884211"/>
      <w:bookmarkStart w:id="26" w:name="_Toc17233325"/>
      <w:bookmarkStart w:id="27" w:name="_Toc24884218"/>
      <w:bookmarkStart w:id="28" w:name="_Toc97192964"/>
      <w:bookmarkStart w:id="29" w:name="_Toc17233333"/>
      <w:bookmarkStart w:id="30" w:name="_Toc26718930"/>
      <w:bookmarkStart w:id="31" w:name="_Toc26986530"/>
      <w:bookmarkStart w:id="32" w:name="_Toc26986771"/>
      <w:bookmarkStart w:id="33" w:name="_Toc26648465"/>
      <w:bookmarkStart w:id="34" w:name="_Toc14088"/>
      <w:r>
        <w:rPr>
          <w:rFonts w:hint="eastAsia"/>
        </w:rPr>
        <w:t>范围</w:t>
      </w:r>
      <w:bookmarkEnd w:id="24"/>
      <w:bookmarkEnd w:id="25"/>
      <w:bookmarkEnd w:id="26"/>
      <w:bookmarkEnd w:id="27"/>
      <w:bookmarkEnd w:id="28"/>
      <w:bookmarkEnd w:id="29"/>
      <w:bookmarkEnd w:id="30"/>
      <w:bookmarkEnd w:id="31"/>
      <w:bookmarkEnd w:id="32"/>
      <w:bookmarkEnd w:id="33"/>
      <w:bookmarkEnd w:id="34"/>
    </w:p>
    <w:p w14:paraId="7351D1A8">
      <w:pPr>
        <w:keepNext w:val="0"/>
        <w:keepLines w:val="0"/>
        <w:pageBreakBefore w:val="0"/>
        <w:widowControl w:val="0"/>
        <w:kinsoku/>
        <w:wordWrap/>
        <w:overflowPunct/>
        <w:topLinePunct w:val="0"/>
        <w:autoSpaceDE/>
        <w:autoSpaceDN/>
        <w:bidi w:val="0"/>
        <w:adjustRightInd/>
        <w:snapToGrid/>
        <w:spacing w:line="240" w:lineRule="auto"/>
        <w:ind w:left="0" w:right="0" w:firstLine="419"/>
        <w:textAlignment w:val="auto"/>
        <w:rPr>
          <w:rFonts w:ascii="宋体" w:hAnsi="宋体" w:eastAsia="宋体" w:cs="宋体"/>
          <w:sz w:val="21"/>
          <w:szCs w:val="21"/>
        </w:rPr>
      </w:pPr>
      <w:bookmarkStart w:id="35" w:name="_Toc24884219"/>
      <w:bookmarkStart w:id="36" w:name="_Toc17233334"/>
      <w:bookmarkStart w:id="37" w:name="_Toc17233326"/>
      <w:bookmarkStart w:id="38" w:name="_Toc24884212"/>
      <w:bookmarkStart w:id="39" w:name="_Toc26648466"/>
      <w:r>
        <w:rPr>
          <w:rFonts w:ascii="宋体" w:hAnsi="宋体" w:eastAsia="宋体" w:cs="宋体"/>
          <w:spacing w:val="-2"/>
          <w:sz w:val="21"/>
          <w:szCs w:val="21"/>
        </w:rPr>
        <w:t>本文件界定了工业节能技术改造项目节能量计算规范涉及的术</w:t>
      </w:r>
      <w:r>
        <w:rPr>
          <w:rFonts w:ascii="宋体" w:hAnsi="宋体" w:eastAsia="宋体" w:cs="宋体"/>
          <w:spacing w:val="-3"/>
          <w:sz w:val="21"/>
          <w:szCs w:val="21"/>
        </w:rPr>
        <w:t>语和定义，确定原则、</w:t>
      </w:r>
      <w:r>
        <w:rPr>
          <w:rFonts w:hint="eastAsia" w:ascii="宋体" w:hAnsi="宋体" w:cs="宋体"/>
          <w:spacing w:val="-3"/>
          <w:sz w:val="21"/>
          <w:szCs w:val="21"/>
          <w:lang w:eastAsia="zh-CN"/>
        </w:rPr>
        <w:t>计算方法、数据来源及数据缺失处理要求。</w:t>
      </w:r>
    </w:p>
    <w:p w14:paraId="795F41A2">
      <w:pPr>
        <w:keepNext w:val="0"/>
        <w:keepLines w:val="0"/>
        <w:pageBreakBefore w:val="0"/>
        <w:widowControl w:val="0"/>
        <w:kinsoku/>
        <w:wordWrap/>
        <w:overflowPunct/>
        <w:topLinePunct w:val="0"/>
        <w:autoSpaceDE/>
        <w:autoSpaceDN/>
        <w:bidi w:val="0"/>
        <w:adjustRightInd/>
        <w:snapToGrid/>
        <w:spacing w:line="240" w:lineRule="auto"/>
        <w:ind w:left="0" w:right="0" w:firstLine="416" w:firstLineChars="200"/>
        <w:textAlignment w:val="auto"/>
        <w:rPr>
          <w:rFonts w:hint="eastAsia"/>
          <w:lang w:eastAsia="zh-CN"/>
        </w:rPr>
      </w:pPr>
      <w:r>
        <w:rPr>
          <w:rFonts w:ascii="宋体" w:hAnsi="宋体" w:eastAsia="宋体" w:cs="宋体"/>
          <w:spacing w:val="-1"/>
          <w:sz w:val="21"/>
          <w:szCs w:val="21"/>
        </w:rPr>
        <w:t>本文件适用于工业节能技术改造项目节能量的计算。</w:t>
      </w:r>
    </w:p>
    <w:p w14:paraId="3B7708A9">
      <w:pPr>
        <w:pStyle w:val="104"/>
        <w:spacing w:before="240" w:after="240"/>
      </w:pPr>
      <w:bookmarkStart w:id="40" w:name="_Toc31157"/>
      <w:bookmarkStart w:id="41" w:name="_Toc26986531"/>
      <w:bookmarkStart w:id="42" w:name="_Toc26718931"/>
      <w:bookmarkStart w:id="43" w:name="_Toc97192965"/>
      <w:bookmarkStart w:id="44" w:name="_Toc26986772"/>
      <w:bookmarkStart w:id="45" w:name="_Toc3422"/>
      <w:r>
        <w:rPr>
          <w:rFonts w:hint="eastAsia"/>
        </w:rPr>
        <w:t>规范性引用文件</w:t>
      </w:r>
      <w:bookmarkEnd w:id="35"/>
      <w:bookmarkEnd w:id="36"/>
      <w:bookmarkEnd w:id="37"/>
      <w:bookmarkEnd w:id="38"/>
      <w:bookmarkEnd w:id="39"/>
      <w:bookmarkEnd w:id="40"/>
      <w:bookmarkEnd w:id="41"/>
      <w:bookmarkEnd w:id="42"/>
      <w:bookmarkEnd w:id="43"/>
      <w:bookmarkEnd w:id="44"/>
      <w:bookmarkEnd w:id="45"/>
    </w:p>
    <w:p w14:paraId="46A0E91C">
      <w:pPr>
        <w:keepNext w:val="0"/>
        <w:keepLines w:val="0"/>
        <w:pageBreakBefore w:val="0"/>
        <w:widowControl w:val="0"/>
        <w:kinsoku/>
        <w:wordWrap/>
        <w:overflowPunct/>
        <w:topLinePunct w:val="0"/>
        <w:autoSpaceDE/>
        <w:autoSpaceDN/>
        <w:bidi w:val="0"/>
        <w:adjustRightInd/>
        <w:snapToGrid/>
        <w:spacing w:line="240" w:lineRule="auto"/>
        <w:ind w:left="0" w:firstLine="428"/>
        <w:jc w:val="both"/>
        <w:textAlignment w:val="auto"/>
        <w:rPr>
          <w:rFonts w:ascii="宋体" w:hAnsi="宋体" w:eastAsia="宋体" w:cs="宋体"/>
          <w:sz w:val="21"/>
          <w:szCs w:val="21"/>
        </w:rPr>
      </w:pPr>
      <w:r>
        <w:rPr>
          <w:rFonts w:ascii="宋体" w:hAnsi="宋体" w:eastAsia="宋体" w:cs="宋体"/>
          <w:spacing w:val="-6"/>
          <w:sz w:val="21"/>
          <w:szCs w:val="21"/>
        </w:rPr>
        <w:t>下列文件中的内容通过文中的规范性引用而构成本文件必不可少的条款。其中，注日期的引用文件，</w:t>
      </w:r>
      <w:r>
        <w:rPr>
          <w:rFonts w:ascii="宋体" w:hAnsi="宋体" w:eastAsia="宋体" w:cs="宋体"/>
          <w:spacing w:val="-2"/>
          <w:sz w:val="21"/>
          <w:szCs w:val="21"/>
        </w:rPr>
        <w:t>仅该日期对应的版本适用于本文件；不注日期的引用文件，其最新版本（包括</w:t>
      </w:r>
      <w:r>
        <w:rPr>
          <w:rFonts w:ascii="宋体" w:hAnsi="宋体" w:eastAsia="宋体" w:cs="宋体"/>
          <w:spacing w:val="-3"/>
          <w:sz w:val="21"/>
          <w:szCs w:val="21"/>
        </w:rPr>
        <w:t>所有的修改单）适用于本</w:t>
      </w:r>
      <w:r>
        <w:rPr>
          <w:rFonts w:ascii="宋体" w:hAnsi="宋体" w:eastAsia="宋体" w:cs="宋体"/>
          <w:spacing w:val="-8"/>
          <w:sz w:val="21"/>
          <w:szCs w:val="21"/>
        </w:rPr>
        <w:t>文件。</w:t>
      </w:r>
    </w:p>
    <w:p w14:paraId="65B9112A">
      <w:pPr>
        <w:keepNext w:val="0"/>
        <w:keepLines w:val="0"/>
        <w:pageBreakBefore w:val="0"/>
        <w:widowControl w:val="0"/>
        <w:kinsoku/>
        <w:wordWrap/>
        <w:overflowPunct/>
        <w:topLinePunct w:val="0"/>
        <w:autoSpaceDE/>
        <w:autoSpaceDN/>
        <w:bidi w:val="0"/>
        <w:adjustRightInd/>
        <w:snapToGrid/>
        <w:spacing w:line="240" w:lineRule="auto"/>
        <w:ind w:left="0" w:firstLine="416" w:firstLineChars="200"/>
        <w:textAlignment w:val="auto"/>
        <w:rPr>
          <w:rFonts w:ascii="宋体" w:hAnsi="宋体" w:eastAsia="宋体" w:cs="宋体"/>
          <w:sz w:val="21"/>
          <w:szCs w:val="21"/>
        </w:rPr>
      </w:pPr>
      <w:r>
        <w:rPr>
          <w:rFonts w:ascii="宋体" w:hAnsi="宋体" w:eastAsia="宋体" w:cs="宋体"/>
          <w:spacing w:val="-1"/>
          <w:sz w:val="21"/>
          <w:szCs w:val="21"/>
        </w:rPr>
        <w:t>GB/T 2589  综合能耗计算通则</w:t>
      </w:r>
    </w:p>
    <w:p w14:paraId="2530859B">
      <w:pPr>
        <w:keepNext w:val="0"/>
        <w:keepLines w:val="0"/>
        <w:pageBreakBefore w:val="0"/>
        <w:widowControl w:val="0"/>
        <w:kinsoku/>
        <w:wordWrap/>
        <w:overflowPunct/>
        <w:topLinePunct w:val="0"/>
        <w:autoSpaceDE/>
        <w:autoSpaceDN/>
        <w:bidi w:val="0"/>
        <w:adjustRightInd/>
        <w:snapToGrid/>
        <w:spacing w:line="240" w:lineRule="auto"/>
        <w:ind w:left="0" w:firstLine="416" w:firstLineChars="200"/>
        <w:textAlignment w:val="auto"/>
        <w:rPr>
          <w:rFonts w:hint="default" w:ascii="宋体" w:hAnsi="宋体" w:eastAsia="宋体" w:cs="宋体"/>
          <w:spacing w:val="-1"/>
          <w:sz w:val="21"/>
          <w:szCs w:val="21"/>
          <w:lang w:val="en-US" w:eastAsia="zh-CN"/>
        </w:rPr>
      </w:pPr>
      <w:r>
        <w:rPr>
          <w:rFonts w:ascii="宋体" w:hAnsi="宋体" w:eastAsia="宋体" w:cs="宋体"/>
          <w:spacing w:val="-1"/>
          <w:sz w:val="21"/>
          <w:szCs w:val="21"/>
        </w:rPr>
        <w:t xml:space="preserve">GB/T </w:t>
      </w:r>
      <w:r>
        <w:rPr>
          <w:rFonts w:hint="eastAsia" w:ascii="宋体" w:hAnsi="宋体" w:cs="宋体"/>
          <w:spacing w:val="-1"/>
          <w:sz w:val="21"/>
          <w:szCs w:val="21"/>
          <w:lang w:val="en-US" w:eastAsia="zh-CN"/>
        </w:rPr>
        <w:t>28750  节能量测量和验证技术通则</w:t>
      </w:r>
    </w:p>
    <w:p w14:paraId="2FA3F9F5">
      <w:pPr>
        <w:pStyle w:val="104"/>
        <w:spacing w:before="240" w:after="240"/>
      </w:pPr>
      <w:bookmarkStart w:id="46" w:name="_Toc15898"/>
      <w:bookmarkStart w:id="47" w:name="_Toc97192966"/>
      <w:bookmarkStart w:id="48" w:name="_Toc6106"/>
      <w:r>
        <w:rPr>
          <w:rFonts w:hint="eastAsia"/>
          <w:szCs w:val="21"/>
        </w:rPr>
        <w:t>术语和定义</w:t>
      </w:r>
      <w:bookmarkEnd w:id="46"/>
      <w:bookmarkEnd w:id="47"/>
      <w:bookmarkEnd w:id="48"/>
    </w:p>
    <w:p w14:paraId="7AAD3C84">
      <w:pPr>
        <w:pStyle w:val="56"/>
        <w:bidi w:val="0"/>
        <w:rPr>
          <w:rFonts w:hint="eastAsia"/>
          <w:lang w:val="en-US" w:eastAsia="zh-CN"/>
        </w:rPr>
      </w:pPr>
      <w:bookmarkStart w:id="49" w:name="_Toc26986532"/>
      <w:bookmarkEnd w:id="49"/>
      <w:r>
        <w:rPr>
          <w:rFonts w:ascii="宋体" w:hAnsi="宋体" w:eastAsia="宋体" w:cs="宋体"/>
          <w:spacing w:val="-1"/>
          <w:sz w:val="21"/>
          <w:szCs w:val="21"/>
        </w:rPr>
        <w:t>GB/T 2589</w:t>
      </w:r>
      <w:r>
        <w:t>和</w:t>
      </w:r>
      <w:r>
        <w:rPr>
          <w:rFonts w:ascii="宋体" w:hAnsi="宋体" w:eastAsia="宋体" w:cs="宋体"/>
          <w:spacing w:val="-1"/>
          <w:sz w:val="21"/>
          <w:szCs w:val="21"/>
        </w:rPr>
        <w:t xml:space="preserve">GB/T </w:t>
      </w:r>
      <w:r>
        <w:rPr>
          <w:rFonts w:hint="eastAsia" w:ascii="宋体" w:hAnsi="宋体" w:cs="宋体"/>
          <w:spacing w:val="-1"/>
          <w:sz w:val="21"/>
          <w:szCs w:val="21"/>
          <w:lang w:val="en-US" w:eastAsia="zh-CN"/>
        </w:rPr>
        <w:t>28750</w:t>
      </w:r>
      <w:r>
        <w:t>界定的以及下列术语和定义适用于本文件。</w:t>
      </w:r>
    </w:p>
    <w:p w14:paraId="2F1F5023">
      <w:pPr>
        <w:pStyle w:val="105"/>
        <w:bidi w:val="0"/>
      </w:pPr>
      <w:bookmarkStart w:id="77" w:name="_GoBack"/>
      <w:bookmarkEnd w:id="77"/>
      <w:bookmarkStart w:id="50" w:name="_Toc15757"/>
      <w:bookmarkEnd w:id="50"/>
      <w:bookmarkStart w:id="51" w:name="_Toc6366"/>
    </w:p>
    <w:p w14:paraId="762B361B">
      <w:pPr>
        <w:pStyle w:val="105"/>
        <w:numPr>
          <w:ilvl w:val="2"/>
          <w:numId w:val="0"/>
        </w:numPr>
        <w:bidi w:val="0"/>
        <w:ind w:leftChars="0" w:firstLine="420" w:firstLineChars="200"/>
        <w:rPr>
          <w:rFonts w:hint="default"/>
          <w:lang w:val="en-US" w:eastAsia="zh-CN"/>
        </w:rPr>
      </w:pPr>
      <w:r>
        <w:rPr>
          <w:rFonts w:hint="eastAsia"/>
          <w:lang w:val="en-US" w:eastAsia="zh-CN"/>
        </w:rPr>
        <w:t>工业</w:t>
      </w:r>
      <w:r>
        <w:rPr>
          <w:rFonts w:hint="eastAsia"/>
          <w:color w:val="0000FF"/>
          <w:lang w:val="en-US" w:eastAsia="zh-CN"/>
        </w:rPr>
        <w:t>节能</w:t>
      </w:r>
      <w:r>
        <w:rPr>
          <w:rFonts w:hint="eastAsia"/>
          <w:lang w:val="en-US" w:eastAsia="zh-CN"/>
        </w:rPr>
        <w:t>技术改造项目  industrial technological transformation project</w:t>
      </w:r>
    </w:p>
    <w:p w14:paraId="5D5784FC">
      <w:pPr>
        <w:pStyle w:val="56"/>
        <w:bidi w:val="0"/>
        <w:ind w:left="0" w:leftChars="0" w:firstLine="420" w:firstLineChars="200"/>
        <w:rPr>
          <w:rFonts w:hint="default"/>
          <w:lang w:val="en-US" w:eastAsia="zh-CN"/>
        </w:rPr>
      </w:pPr>
      <w:r>
        <w:rPr>
          <w:rFonts w:hint="eastAsia"/>
          <w:color w:val="0000FF"/>
          <w:lang w:val="en-US" w:eastAsia="zh-CN"/>
        </w:rPr>
        <w:t>工业企业</w:t>
      </w:r>
      <w:r>
        <w:rPr>
          <w:rFonts w:hint="eastAsia"/>
          <w:lang w:val="en-US" w:eastAsia="zh-CN"/>
        </w:rPr>
        <w:t xml:space="preserve">通过改进既有生产工艺、设备及系统实现能源节约的技术改造项目。  </w:t>
      </w:r>
    </w:p>
    <w:bookmarkEnd w:id="51"/>
    <w:p w14:paraId="62795F4A">
      <w:pPr>
        <w:pStyle w:val="105"/>
        <w:bidi w:val="0"/>
      </w:pPr>
      <w:bookmarkStart w:id="52" w:name="_Toc22911"/>
      <w:bookmarkEnd w:id="52"/>
      <w:bookmarkStart w:id="53" w:name="_Toc6555"/>
    </w:p>
    <w:bookmarkEnd w:id="53"/>
    <w:p w14:paraId="3B2BF743">
      <w:pPr>
        <w:pStyle w:val="105"/>
        <w:numPr>
          <w:ilvl w:val="2"/>
          <w:numId w:val="0"/>
        </w:numPr>
        <w:bidi w:val="0"/>
        <w:ind w:leftChars="0" w:firstLine="420" w:firstLineChars="200"/>
      </w:pPr>
      <w:bookmarkStart w:id="54" w:name="_Toc30270"/>
      <w:bookmarkStart w:id="55" w:name="_Toc7289"/>
      <w:r>
        <w:rPr>
          <w:rFonts w:hint="eastAsia"/>
          <w:lang w:val="en-US" w:eastAsia="zh-CN"/>
        </w:rPr>
        <w:t>节能量  energy saving</w:t>
      </w:r>
      <w:bookmarkEnd w:id="54"/>
    </w:p>
    <w:p w14:paraId="3DB7CAC4">
      <w:pPr>
        <w:pStyle w:val="56"/>
        <w:bidi w:val="0"/>
      </w:pPr>
      <w:r>
        <w:t>节能量是指</w:t>
      </w:r>
      <w:r>
        <w:rPr>
          <w:rFonts w:hint="eastAsia"/>
          <w:lang w:val="en-US" w:eastAsia="zh-CN"/>
        </w:rPr>
        <w:t>项目节能措施实施并正常稳定运行后，项目边界内的用能单位或用能设备、系统能源消耗减少的数量</w:t>
      </w:r>
      <w:r>
        <w:t>。</w:t>
      </w:r>
    </w:p>
    <w:p w14:paraId="2F906C99">
      <w:pPr>
        <w:pStyle w:val="105"/>
        <w:bidi w:val="0"/>
        <w:rPr>
          <w:rFonts w:hint="eastAsia"/>
          <w:lang w:eastAsia="zh-CN"/>
        </w:rPr>
      </w:pPr>
      <w:bookmarkStart w:id="56" w:name="_Toc20467"/>
      <w:bookmarkEnd w:id="56"/>
    </w:p>
    <w:p w14:paraId="1FD99184">
      <w:pPr>
        <w:pStyle w:val="105"/>
        <w:numPr>
          <w:ilvl w:val="2"/>
          <w:numId w:val="0"/>
        </w:numPr>
        <w:bidi w:val="0"/>
        <w:ind w:leftChars="0" w:firstLine="420" w:firstLineChars="200"/>
        <w:rPr>
          <w:rFonts w:hint="eastAsia"/>
          <w:lang w:eastAsia="zh-CN"/>
        </w:rPr>
      </w:pPr>
      <w:bookmarkStart w:id="57" w:name="_Toc28142"/>
      <w:r>
        <w:rPr>
          <w:rFonts w:hint="eastAsia"/>
          <w:lang w:val="en-US" w:eastAsia="zh-CN"/>
        </w:rPr>
        <w:t>基期  baseline period</w:t>
      </w:r>
      <w:bookmarkEnd w:id="55"/>
      <w:bookmarkEnd w:id="57"/>
    </w:p>
    <w:p w14:paraId="3EB23207">
      <w:pPr>
        <w:pStyle w:val="56"/>
        <w:bidi w:val="0"/>
      </w:pPr>
      <w:r>
        <w:t>用以比较和确定项目节能量的，</w:t>
      </w:r>
      <w:r>
        <w:rPr>
          <w:rFonts w:hint="eastAsia"/>
          <w:lang w:val="en-US" w:eastAsia="zh-CN"/>
        </w:rPr>
        <w:t>项目</w:t>
      </w:r>
      <w:r>
        <w:t>实施前的时间段。</w:t>
      </w:r>
    </w:p>
    <w:p w14:paraId="4AC86CDE">
      <w:pPr>
        <w:pStyle w:val="179"/>
        <w:bidi w:val="0"/>
        <w:rPr>
          <w:color w:val="auto"/>
        </w:rPr>
      </w:pPr>
      <w:r>
        <w:rPr>
          <w:rFonts w:hint="eastAsia"/>
          <w:color w:val="auto"/>
          <w:lang w:eastAsia="zh-CN"/>
        </w:rPr>
        <w:t>原则上为项目实施前连续12个月。</w:t>
      </w:r>
    </w:p>
    <w:p w14:paraId="4D8F4565">
      <w:pPr>
        <w:pStyle w:val="105"/>
        <w:bidi w:val="0"/>
        <w:rPr>
          <w:rFonts w:hint="eastAsia"/>
          <w:lang w:eastAsia="zh-CN"/>
        </w:rPr>
      </w:pPr>
      <w:bookmarkStart w:id="58" w:name="_Toc8671"/>
      <w:bookmarkEnd w:id="58"/>
      <w:bookmarkStart w:id="59" w:name="_Toc4946"/>
    </w:p>
    <w:p w14:paraId="070C503B">
      <w:pPr>
        <w:pStyle w:val="105"/>
        <w:numPr>
          <w:ilvl w:val="2"/>
          <w:numId w:val="0"/>
        </w:numPr>
        <w:bidi w:val="0"/>
        <w:ind w:leftChars="0" w:firstLine="420" w:firstLineChars="200"/>
        <w:rPr>
          <w:rFonts w:hint="eastAsia"/>
          <w:lang w:eastAsia="zh-CN"/>
        </w:rPr>
      </w:pPr>
      <w:bookmarkStart w:id="60" w:name="_Toc28374"/>
      <w:r>
        <w:rPr>
          <w:rFonts w:hint="eastAsia"/>
          <w:lang w:val="en-US" w:eastAsia="zh-CN"/>
        </w:rPr>
        <w:t xml:space="preserve">统计报告期  </w:t>
      </w:r>
      <w:r>
        <w:rPr>
          <w:rFonts w:hint="eastAsia"/>
          <w:color w:val="auto"/>
          <w:lang w:val="en-US" w:eastAsia="zh-CN"/>
        </w:rPr>
        <w:t>statistical</w:t>
      </w:r>
      <w:r>
        <w:rPr>
          <w:rFonts w:hint="eastAsia"/>
          <w:lang w:val="en-US" w:eastAsia="zh-CN"/>
        </w:rPr>
        <w:t xml:space="preserve"> report period</w:t>
      </w:r>
      <w:bookmarkEnd w:id="59"/>
      <w:bookmarkEnd w:id="60"/>
    </w:p>
    <w:p w14:paraId="2BCD391B">
      <w:pPr>
        <w:pStyle w:val="56"/>
        <w:bidi w:val="0"/>
      </w:pPr>
      <w:r>
        <w:t>用以比较和确定项目节能量的，</w:t>
      </w:r>
      <w:r>
        <w:rPr>
          <w:rFonts w:hint="eastAsia"/>
          <w:lang w:val="en-US" w:eastAsia="zh-CN"/>
        </w:rPr>
        <w:t>项目</w:t>
      </w:r>
      <w:r>
        <w:t>实施后的时间段。</w:t>
      </w:r>
    </w:p>
    <w:p w14:paraId="328B30D6">
      <w:pPr>
        <w:pStyle w:val="179"/>
        <w:bidi w:val="0"/>
        <w:rPr>
          <w:rFonts w:hint="eastAsia"/>
          <w:lang w:eastAsia="zh-CN"/>
        </w:rPr>
      </w:pPr>
      <w:r>
        <w:rPr>
          <w:rFonts w:hint="eastAsia"/>
          <w:lang w:eastAsia="zh-CN"/>
        </w:rPr>
        <w:t>原则上为项目实施后连续</w:t>
      </w:r>
      <w:r>
        <w:rPr>
          <w:rFonts w:hint="eastAsia"/>
          <w:lang w:val="en-US" w:eastAsia="zh-CN"/>
        </w:rPr>
        <w:t>3</w:t>
      </w:r>
      <w:r>
        <w:rPr>
          <w:rFonts w:hint="eastAsia"/>
          <w:lang w:eastAsia="zh-CN"/>
        </w:rPr>
        <w:t>个月</w:t>
      </w:r>
      <w:r>
        <w:rPr>
          <w:rFonts w:hint="eastAsia"/>
          <w:lang w:val="en-US" w:eastAsia="zh-CN"/>
        </w:rPr>
        <w:t>以上</w:t>
      </w:r>
      <w:r>
        <w:rPr>
          <w:rFonts w:hint="eastAsia"/>
          <w:lang w:eastAsia="zh-CN"/>
        </w:rPr>
        <w:t>。</w:t>
      </w:r>
    </w:p>
    <w:p w14:paraId="2FA4498F">
      <w:pPr>
        <w:pStyle w:val="104"/>
        <w:bidi w:val="0"/>
        <w:rPr>
          <w:rFonts w:hint="eastAsia"/>
          <w:lang w:eastAsia="zh-CN"/>
        </w:rPr>
      </w:pPr>
      <w:bookmarkStart w:id="61" w:name="_Toc17499"/>
      <w:bookmarkStart w:id="62" w:name="_Toc22080"/>
      <w:r>
        <w:rPr>
          <w:rFonts w:hint="eastAsia"/>
          <w:lang w:val="en-US" w:eastAsia="zh-CN"/>
        </w:rPr>
        <w:t>节能量确定原则</w:t>
      </w:r>
      <w:bookmarkEnd w:id="61"/>
      <w:bookmarkEnd w:id="62"/>
    </w:p>
    <w:p w14:paraId="1F4F23F6">
      <w:pPr>
        <w:pStyle w:val="162"/>
        <w:bidi w:val="0"/>
        <w:rPr>
          <w:rFonts w:hint="eastAsia"/>
          <w:lang w:eastAsia="zh-CN"/>
        </w:rPr>
      </w:pPr>
      <w:r>
        <w:rPr>
          <w:rFonts w:hint="eastAsia"/>
          <w:lang w:eastAsia="zh-CN"/>
        </w:rPr>
        <w:t>应排除扩大生产能力、调整产品结构等途径产生的节能效果；</w:t>
      </w:r>
    </w:p>
    <w:p w14:paraId="4F0089E9">
      <w:pPr>
        <w:pStyle w:val="162"/>
        <w:bidi w:val="0"/>
        <w:rPr>
          <w:rFonts w:hint="eastAsia"/>
          <w:lang w:eastAsia="zh-CN"/>
        </w:rPr>
      </w:pPr>
      <w:r>
        <w:rPr>
          <w:rFonts w:hint="eastAsia"/>
          <w:lang w:eastAsia="zh-CN"/>
        </w:rPr>
        <w:t>根据项目改造主体的典型工况和项目边界内数据计量统计情况选择节能量计算方法，对于缺乏有效数据来源的项目不予计算节能量；</w:t>
      </w:r>
    </w:p>
    <w:p w14:paraId="362B8A36">
      <w:pPr>
        <w:pStyle w:val="162"/>
        <w:bidi w:val="0"/>
        <w:rPr>
          <w:rFonts w:hint="eastAsia"/>
          <w:lang w:eastAsia="zh-CN"/>
        </w:rPr>
      </w:pPr>
      <w:r>
        <w:rPr>
          <w:rFonts w:hint="eastAsia"/>
          <w:lang w:eastAsia="zh-CN"/>
        </w:rPr>
        <w:t>如果存在多种确定节能量的方法，应进行交叉检查，并与</w:t>
      </w:r>
      <w:r>
        <w:rPr>
          <w:rFonts w:hint="eastAsia"/>
          <w:lang w:val="en-US" w:eastAsia="zh-CN"/>
        </w:rPr>
        <w:t>项目实施</w:t>
      </w:r>
      <w:r>
        <w:rPr>
          <w:rFonts w:hint="eastAsia"/>
          <w:lang w:eastAsia="zh-CN"/>
        </w:rPr>
        <w:t>单位统计台账、收付款凭证、购销合同等核对验证，一般情况下遵循保守性原则，即选择节能量数值较小的计算方法。</w:t>
      </w:r>
    </w:p>
    <w:p w14:paraId="0B665449">
      <w:pPr>
        <w:pStyle w:val="104"/>
        <w:bidi w:val="0"/>
        <w:rPr>
          <w:rFonts w:hint="eastAsia"/>
          <w:lang w:eastAsia="zh-CN"/>
        </w:rPr>
      </w:pPr>
      <w:bookmarkStart w:id="63" w:name="_Toc29878"/>
      <w:bookmarkStart w:id="64" w:name="_Toc23295"/>
      <w:r>
        <w:rPr>
          <w:rFonts w:hint="eastAsia"/>
          <w:lang w:val="en-US" w:eastAsia="zh-CN"/>
        </w:rPr>
        <w:t>节能量计算方法</w:t>
      </w:r>
      <w:bookmarkEnd w:id="63"/>
      <w:bookmarkEnd w:id="64"/>
    </w:p>
    <w:p w14:paraId="37CD36A8">
      <w:pPr>
        <w:pStyle w:val="105"/>
        <w:bidi w:val="0"/>
        <w:rPr>
          <w:rFonts w:hint="eastAsia"/>
          <w:lang w:eastAsia="zh-CN"/>
        </w:rPr>
      </w:pPr>
      <w:bookmarkStart w:id="65" w:name="_Toc19633"/>
      <w:bookmarkStart w:id="66" w:name="_Toc27128"/>
      <w:r>
        <w:rPr>
          <w:rFonts w:hint="eastAsia"/>
          <w:lang w:val="en-US" w:eastAsia="zh-CN"/>
        </w:rPr>
        <w:t>产品</w:t>
      </w:r>
      <w:r>
        <w:t>（处置）</w:t>
      </w:r>
      <w:r>
        <w:rPr>
          <w:rFonts w:hint="eastAsia"/>
          <w:lang w:val="en-US" w:eastAsia="zh-CN"/>
        </w:rPr>
        <w:t>单耗法</w:t>
      </w:r>
      <w:bookmarkEnd w:id="65"/>
      <w:bookmarkEnd w:id="66"/>
    </w:p>
    <w:p w14:paraId="64F15EEE">
      <w:pPr>
        <w:pStyle w:val="56"/>
        <w:keepNext w:val="0"/>
        <w:keepLines w:val="0"/>
        <w:pageBreakBefore w:val="0"/>
        <w:kinsoku/>
        <w:wordWrap/>
        <w:overflowPunct/>
        <w:topLinePunct w:val="0"/>
        <w:bidi w:val="0"/>
        <w:adjustRightInd/>
        <w:snapToGrid/>
        <w:spacing w:line="240" w:lineRule="auto"/>
        <w:ind w:firstLine="420"/>
        <w:textAlignment w:val="auto"/>
      </w:pPr>
      <w:r>
        <w:t>适用于产品</w:t>
      </w:r>
      <w:r>
        <w:rPr>
          <w:rFonts w:hint="eastAsia"/>
          <w:lang w:val="en-US" w:eastAsia="zh-CN"/>
        </w:rPr>
        <w:t>结构或</w:t>
      </w:r>
      <w:r>
        <w:t>处置</w:t>
      </w:r>
      <w:r>
        <w:rPr>
          <w:rFonts w:hint="eastAsia"/>
          <w:lang w:val="en-US" w:eastAsia="zh-CN"/>
        </w:rPr>
        <w:t>方法</w:t>
      </w:r>
      <w:r>
        <w:t>单一，且无明显产能扩大的项目。利用单位产品（处置）能耗计算节能量，按公式（</w:t>
      </w:r>
      <w:r>
        <w:rPr>
          <w:rFonts w:hint="eastAsia"/>
          <w:lang w:val="en-US" w:eastAsia="zh-CN"/>
        </w:rPr>
        <w:t>1</w:t>
      </w:r>
      <w:r>
        <w:t>）计算：</w:t>
      </w:r>
    </w:p>
    <w:p w14:paraId="6EA3C393">
      <w:pPr>
        <w:pStyle w:val="113"/>
        <w:keepNext w:val="0"/>
        <w:keepLines w:val="0"/>
        <w:pageBreakBefore w:val="0"/>
        <w:kinsoku/>
        <w:wordWrap/>
        <w:overflowPunct/>
        <w:topLinePunct w:val="0"/>
        <w:bidi w:val="0"/>
        <w:adjustRightInd/>
        <w:snapToGrid/>
        <w:spacing w:line="240" w:lineRule="auto"/>
        <w:textAlignment w:val="auto"/>
        <w:rPr>
          <w:rFonts w:hint="eastAsia"/>
          <w:lang w:eastAsia="zh-CN"/>
        </w:rPr>
      </w:pPr>
      <w:r>
        <w:rPr>
          <w:rFonts w:hint="eastAsia"/>
          <w:lang w:eastAsia="zh-CN"/>
        </w:rPr>
        <w:tab/>
      </w:r>
      <m:oMath>
        <m:r>
          <m:rPr>
            <m:sty m:val="p"/>
          </m:rPr>
          <w:rPr>
            <w:rFonts w:ascii="Cambria Math" w:hAnsi="Cambria Math"/>
          </w:rPr>
          <m:t>△</m:t>
        </m:r>
        <m:r>
          <m:rPr>
            <m:sty m:val="p"/>
          </m:rPr>
          <w:rPr>
            <w:rFonts w:hint="default" w:ascii="Cambria Math" w:hAnsi="Cambria Math"/>
            <w:lang w:val="en-US" w:eastAsia="zh-CN"/>
          </w:rPr>
          <m:t>E</m:t>
        </m:r>
        <m:r>
          <m:rPr>
            <m:sty m:val="p"/>
          </m:rPr>
          <w:rPr>
            <w:rFonts w:hint="default" w:ascii="Cambria Math" w:hAnsi="Cambria Math" w:cs="Cambria Math"/>
            <w:lang w:val="en-US" w:eastAsia="zh-CN"/>
          </w:rPr>
          <m:t>=</m:t>
        </m:r>
        <m:d>
          <m:dPr>
            <m:ctrlPr>
              <w:rPr>
                <w:rFonts w:hint="default" w:ascii="Cambria Math" w:hAnsi="Cambria Math" w:cs="Cambria Math"/>
                <w:lang w:val="en-US" w:eastAsia="zh-CN"/>
              </w:rPr>
            </m:ctrlPr>
          </m:dPr>
          <m:e>
            <m:f>
              <m:fPr>
                <m:ctrlPr>
                  <w:rPr>
                    <w:rFonts w:hint="default" w:ascii="Cambria Math" w:hAnsi="Cambria Math" w:cs="Cambria Math"/>
                    <w:i w:val="0"/>
                    <w:lang w:val="en-US" w:eastAsia="zh-CN"/>
                  </w:rPr>
                </m:ctrlPr>
              </m:fPr>
              <m:num>
                <m:sSub>
                  <m:sSubPr>
                    <m:ctrlPr>
                      <w:rPr>
                        <w:rFonts w:hint="default" w:ascii="Cambria Math" w:hAnsi="Cambria Math" w:cs="Cambria Math"/>
                        <w:lang w:val="en-US" w:eastAsia="zh-CN"/>
                      </w:rPr>
                    </m:ctrlPr>
                  </m:sSubPr>
                  <m:e>
                    <m:r>
                      <m:rPr>
                        <m:sty m:val="p"/>
                      </m:rPr>
                      <w:rPr>
                        <w:rFonts w:hint="default" w:ascii="Cambria Math" w:hAnsi="Cambria Math" w:cs="Cambria Math"/>
                        <w:lang w:val="en-US" w:eastAsia="zh-CN"/>
                      </w:rPr>
                      <m:t>E</m:t>
                    </m:r>
                    <m:ctrlPr>
                      <w:rPr>
                        <w:rFonts w:hint="default" w:ascii="Cambria Math" w:hAnsi="Cambria Math" w:cs="Cambria Math"/>
                        <w:lang w:val="en-US" w:eastAsia="zh-CN"/>
                      </w:rPr>
                    </m:ctrlPr>
                  </m:e>
                  <m:sub>
                    <m:r>
                      <m:rPr>
                        <m:sty m:val="p"/>
                      </m:rPr>
                      <w:rPr>
                        <w:rFonts w:hint="default" w:ascii="Cambria Math" w:hAnsi="Cambria Math" w:cs="Cambria Math"/>
                        <w:lang w:val="en-US" w:eastAsia="zh-CN"/>
                      </w:rPr>
                      <m:t>0</m:t>
                    </m:r>
                    <m:ctrlPr>
                      <w:rPr>
                        <w:rFonts w:hint="default" w:ascii="Cambria Math" w:hAnsi="Cambria Math" w:cs="Cambria Math"/>
                        <w:lang w:val="en-US" w:eastAsia="zh-CN"/>
                      </w:rPr>
                    </m:ctrlPr>
                  </m:sub>
                </m:sSub>
                <m:ctrlPr>
                  <w:rPr>
                    <w:rFonts w:hint="default" w:ascii="Cambria Math" w:hAnsi="Cambria Math" w:cs="Cambria Math"/>
                    <w:i w:val="0"/>
                    <w:lang w:val="en-US" w:eastAsia="zh-CN"/>
                  </w:rPr>
                </m:ctrlPr>
              </m:num>
              <m:den>
                <m:sSub>
                  <m:sSubPr>
                    <m:ctrlPr>
                      <w:rPr>
                        <w:rFonts w:ascii="Cambria Math" w:hAnsi="Cambria Math" w:cs="Cambria Math"/>
                        <w:lang w:val="en-US"/>
                      </w:rPr>
                    </m:ctrlPr>
                  </m:sSubPr>
                  <m:e>
                    <m:r>
                      <m:rPr>
                        <m:sty m:val="p"/>
                      </m:rPr>
                      <w:rPr>
                        <w:rFonts w:hint="default" w:ascii="Cambria Math" w:hAnsi="Cambria Math" w:cs="Cambria Math"/>
                        <w:lang w:val="en-US" w:eastAsia="zh-CN"/>
                      </w:rPr>
                      <m:t>G</m:t>
                    </m:r>
                    <m:ctrlPr>
                      <w:rPr>
                        <w:rFonts w:ascii="Cambria Math" w:hAnsi="Cambria Math" w:cs="Cambria Math"/>
                        <w:lang w:val="en-US"/>
                      </w:rPr>
                    </m:ctrlPr>
                  </m:e>
                  <m:sub>
                    <m:r>
                      <m:rPr>
                        <m:sty m:val="p"/>
                      </m:rPr>
                      <w:rPr>
                        <w:rFonts w:hint="default" w:ascii="Cambria Math" w:hAnsi="Cambria Math" w:cs="Cambria Math"/>
                        <w:lang w:val="en-US" w:eastAsia="zh-CN"/>
                      </w:rPr>
                      <m:t>0</m:t>
                    </m:r>
                    <m:ctrlPr>
                      <w:rPr>
                        <w:rFonts w:ascii="Cambria Math" w:hAnsi="Cambria Math" w:cs="Cambria Math"/>
                        <w:lang w:val="en-US"/>
                      </w:rPr>
                    </m:ctrlPr>
                  </m:sub>
                </m:sSub>
                <m:ctrlPr>
                  <w:rPr>
                    <w:rFonts w:hint="default" w:ascii="Cambria Math" w:hAnsi="Cambria Math" w:cs="Cambria Math"/>
                    <w:i w:val="0"/>
                    <w:lang w:val="en-US" w:eastAsia="zh-CN"/>
                  </w:rPr>
                </m:ctrlPr>
              </m:den>
            </m:f>
            <m:r>
              <m:rPr>
                <m:sty m:val="p"/>
              </m:rPr>
              <w:rPr>
                <w:rFonts w:ascii="Cambria Math" w:hAnsi="Cambria Math" w:cs="Cambria Math"/>
                <w:lang w:val="en-US"/>
              </w:rPr>
              <m:t>−</m:t>
            </m:r>
            <m:f>
              <m:fPr>
                <m:ctrlPr>
                  <w:rPr>
                    <w:rFonts w:ascii="Cambria Math" w:hAnsi="Cambria Math" w:cs="Cambria Math"/>
                    <w:b w:val="0"/>
                    <w:i w:val="0"/>
                    <w:lang w:val="en-US"/>
                  </w:rPr>
                </m:ctrlPr>
              </m:fPr>
              <m:num>
                <m:sSub>
                  <m:sSubPr>
                    <m:ctrlPr>
                      <w:rPr>
                        <w:rFonts w:hint="default" w:ascii="Cambria Math" w:hAnsi="Cambria Math" w:cs="Cambria Math"/>
                        <w:lang w:val="en-US" w:eastAsia="zh-CN"/>
                      </w:rPr>
                    </m:ctrlPr>
                  </m:sSubPr>
                  <m:e>
                    <m:r>
                      <m:rPr>
                        <m:sty m:val="p"/>
                      </m:rPr>
                      <w:rPr>
                        <w:rFonts w:hint="default" w:ascii="Cambria Math" w:hAnsi="Cambria Math" w:cs="Cambria Math"/>
                        <w:lang w:val="en-US" w:eastAsia="zh-CN"/>
                      </w:rPr>
                      <m:t>E</m:t>
                    </m:r>
                    <m:ctrlPr>
                      <w:rPr>
                        <w:rFonts w:hint="default" w:ascii="Cambria Math" w:hAnsi="Cambria Math" w:cs="Cambria Math"/>
                        <w:lang w:val="en-US" w:eastAsia="zh-CN"/>
                      </w:rPr>
                    </m:ctrlPr>
                  </m:e>
                  <m:sub>
                    <m:r>
                      <m:rPr>
                        <m:sty m:val="p"/>
                      </m:rPr>
                      <w:rPr>
                        <w:rFonts w:hint="default" w:ascii="Cambria Math" w:hAnsi="Cambria Math" w:cs="Cambria Math"/>
                        <w:lang w:val="en-US" w:eastAsia="zh-CN"/>
                      </w:rPr>
                      <m:t>1</m:t>
                    </m:r>
                    <m:ctrlPr>
                      <w:rPr>
                        <w:rFonts w:hint="default" w:ascii="Cambria Math" w:hAnsi="Cambria Math" w:cs="Cambria Math"/>
                        <w:lang w:val="en-US" w:eastAsia="zh-CN"/>
                      </w:rPr>
                    </m:ctrlPr>
                  </m:sub>
                </m:sSub>
                <m:ctrlPr>
                  <w:rPr>
                    <w:rFonts w:ascii="Cambria Math" w:hAnsi="Cambria Math" w:cs="Cambria Math"/>
                    <w:b w:val="0"/>
                    <w:i w:val="0"/>
                    <w:lang w:val="en-US"/>
                  </w:rPr>
                </m:ctrlPr>
              </m:num>
              <m:den>
                <m:sSub>
                  <m:sSubPr>
                    <m:ctrlPr>
                      <w:rPr>
                        <w:rFonts w:ascii="Cambria Math" w:hAnsi="Cambria Math" w:cs="Cambria Math"/>
                        <w:lang w:val="en-US"/>
                      </w:rPr>
                    </m:ctrlPr>
                  </m:sSubPr>
                  <m:e>
                    <m:r>
                      <m:rPr>
                        <m:sty m:val="p"/>
                      </m:rPr>
                      <w:rPr>
                        <w:rFonts w:hint="default" w:ascii="Cambria Math" w:hAnsi="Cambria Math" w:cs="Cambria Math"/>
                        <w:lang w:val="en-US" w:eastAsia="zh-CN"/>
                      </w:rPr>
                      <m:t>G</m:t>
                    </m:r>
                    <m:ctrlPr>
                      <w:rPr>
                        <w:rFonts w:ascii="Cambria Math" w:hAnsi="Cambria Math" w:cs="Cambria Math"/>
                        <w:lang w:val="en-US"/>
                      </w:rPr>
                    </m:ctrlPr>
                  </m:e>
                  <m:sub>
                    <m:r>
                      <m:rPr>
                        <m:sty m:val="p"/>
                      </m:rPr>
                      <w:rPr>
                        <w:rFonts w:hint="default" w:ascii="Cambria Math" w:hAnsi="Cambria Math" w:cs="Cambria Math"/>
                        <w:lang w:val="en-US" w:eastAsia="zh-CN"/>
                      </w:rPr>
                      <m:t>1</m:t>
                    </m:r>
                    <m:ctrlPr>
                      <w:rPr>
                        <w:rFonts w:ascii="Cambria Math" w:hAnsi="Cambria Math" w:cs="Cambria Math"/>
                        <w:lang w:val="en-US"/>
                      </w:rPr>
                    </m:ctrlPr>
                  </m:sub>
                </m:sSub>
                <m:ctrlPr>
                  <w:rPr>
                    <w:rFonts w:ascii="Cambria Math" w:hAnsi="Cambria Math" w:cs="Cambria Math"/>
                    <w:b w:val="0"/>
                    <w:i w:val="0"/>
                    <w:lang w:val="en-US"/>
                  </w:rPr>
                </m:ctrlPr>
              </m:den>
            </m:f>
            <m:ctrlPr>
              <w:rPr>
                <w:rFonts w:hint="default" w:ascii="Cambria Math" w:hAnsi="Cambria Math" w:cs="Cambria Math"/>
                <w:lang w:val="en-US" w:eastAsia="zh-CN"/>
              </w:rPr>
            </m:ctrlPr>
          </m:e>
        </m:d>
        <m:r>
          <m:rPr>
            <m:sty m:val="p"/>
          </m:rPr>
          <w:rPr>
            <w:rFonts w:hint="default" w:ascii="Cambria Math" w:hAnsi="Cambria Math" w:cs="Cambria Math"/>
            <w:lang w:val="en-US" w:eastAsia="zh-CN"/>
          </w:rPr>
          <m:t>×</m:t>
        </m:r>
        <m:sSub>
          <m:sSubPr>
            <m:ctrlPr>
              <w:rPr>
                <w:rFonts w:ascii="Cambria Math" w:hAnsi="Cambria Math" w:cs="Cambria Math"/>
                <w:lang w:val="en-US"/>
              </w:rPr>
            </m:ctrlPr>
          </m:sSubPr>
          <m:e>
            <m:r>
              <m:rPr>
                <m:sty m:val="p"/>
              </m:rPr>
              <w:rPr>
                <w:rFonts w:hint="default" w:ascii="Cambria Math" w:hAnsi="Cambria Math" w:cs="Cambria Math"/>
                <w:lang w:val="en-US" w:eastAsia="zh-CN"/>
              </w:rPr>
              <m:t>G</m:t>
            </m:r>
            <m:ctrlPr>
              <w:rPr>
                <w:rFonts w:ascii="Cambria Math" w:hAnsi="Cambria Math" w:cs="Cambria Math"/>
                <w:lang w:val="en-US"/>
              </w:rPr>
            </m:ctrlPr>
          </m:e>
          <m:sub>
            <m:r>
              <m:rPr>
                <m:sty m:val="p"/>
              </m:rPr>
              <w:rPr>
                <w:rFonts w:hint="default" w:ascii="Cambria Math" w:hAnsi="Cambria Math" w:cs="Cambria Math"/>
                <w:lang w:val="en-US" w:eastAsia="zh-CN"/>
              </w:rPr>
              <m:t>0</m:t>
            </m:r>
            <m:ctrlPr>
              <w:rPr>
                <w:rFonts w:ascii="Cambria Math" w:hAnsi="Cambria Math" w:cs="Cambria Math"/>
                <w:lang w:val="en-US"/>
              </w:rPr>
            </m:ctrlPr>
          </m:sub>
        </m:sSub>
      </m:oMath>
      <w:r>
        <w:rPr>
          <w:rFonts w:hint="eastAsia" w:ascii="微软雅黑" w:hAnsi="微软雅黑" w:eastAsia="微软雅黑" w:cs="微软雅黑"/>
          <w:lang w:eastAsia="zh-CN"/>
        </w:rPr>
        <w:tab/>
      </w:r>
      <w:r>
        <w:rPr>
          <w:rFonts w:hint="eastAsia"/>
          <w:lang w:eastAsia="zh-CN"/>
        </w:rPr>
        <w:t>(</w:t>
      </w:r>
      <w:r>
        <w:rPr>
          <w:rFonts w:hint="eastAsia"/>
          <w:lang w:eastAsia="zh-CN"/>
        </w:rPr>
        <w:fldChar w:fldCharType="begin"/>
      </w:r>
      <w:r>
        <w:rPr>
          <w:rFonts w:hint="eastAsia"/>
          <w:lang w:eastAsia="zh-CN"/>
        </w:rPr>
        <w:instrText xml:space="preserve"> SEQ 公式 \* ARABIC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w:t>
      </w:r>
    </w:p>
    <w:p w14:paraId="76AD511A">
      <w:pPr>
        <w:pStyle w:val="55"/>
        <w:keepNext w:val="0"/>
        <w:keepLines w:val="0"/>
        <w:pageBreakBefore w:val="0"/>
        <w:kinsoku/>
        <w:wordWrap/>
        <w:overflowPunct/>
        <w:topLinePunct w:val="0"/>
        <w:bidi w:val="0"/>
        <w:adjustRightInd/>
        <w:snapToGrid/>
        <w:spacing w:line="240" w:lineRule="auto"/>
        <w:textAlignment w:val="auto"/>
        <w:rPr>
          <w:rFonts w:hint="eastAsia"/>
          <w:lang w:eastAsia="zh-CN"/>
        </w:rPr>
      </w:pPr>
      <w:r>
        <w:rPr>
          <w:rFonts w:hint="eastAsia"/>
          <w:lang w:eastAsia="zh-CN"/>
        </w:rPr>
        <w:t>式中：</w:t>
      </w:r>
    </w:p>
    <w:p w14:paraId="1D557156">
      <w:pPr>
        <w:pStyle w:val="56"/>
        <w:keepNext w:val="0"/>
        <w:keepLines w:val="0"/>
        <w:pageBreakBefore w:val="0"/>
        <w:kinsoku/>
        <w:wordWrap/>
        <w:overflowPunct/>
        <w:topLinePunct w:val="0"/>
        <w:bidi w:val="0"/>
        <w:adjustRightInd/>
        <w:snapToGrid/>
        <w:spacing w:line="240" w:lineRule="auto"/>
        <w:ind w:firstLine="420"/>
        <w:textAlignment w:val="auto"/>
      </w:pPr>
      <m:oMath>
        <m:r>
          <m:rPr>
            <m:sty m:val="p"/>
          </m:rPr>
          <w:rPr>
            <w:rFonts w:ascii="Cambria Math" w:hAnsi="Cambria Math"/>
          </w:rPr>
          <m:t>△</m:t>
        </m:r>
        <m:r>
          <m:rPr>
            <m:sty m:val="p"/>
          </m:rPr>
          <w:rPr>
            <w:rFonts w:hint="default" w:ascii="Cambria Math" w:hAnsi="Cambria Math"/>
            <w:lang w:val="en-US" w:eastAsia="zh-CN"/>
          </w:rPr>
          <m:t>E</m:t>
        </m:r>
      </m:oMath>
      <w:r>
        <w:t>——节能技术改造项目的节能量，单位为吨标准煤（tce）；</w:t>
      </w:r>
    </w:p>
    <w:p w14:paraId="6809D0F2">
      <w:pPr>
        <w:pStyle w:val="56"/>
        <w:keepNext w:val="0"/>
        <w:keepLines w:val="0"/>
        <w:pageBreakBefore w:val="0"/>
        <w:kinsoku/>
        <w:wordWrap/>
        <w:overflowPunct/>
        <w:topLinePunct w:val="0"/>
        <w:bidi w:val="0"/>
        <w:adjustRightInd/>
        <w:snapToGrid/>
        <w:spacing w:line="240" w:lineRule="auto"/>
        <w:ind w:firstLine="420"/>
        <w:textAlignment w:val="auto"/>
      </w:pPr>
      <m:oMath>
        <m:sSub>
          <m:sSubPr>
            <m:ctrlPr>
              <w:rPr>
                <w:rFonts w:hint="default" w:ascii="Cambria Math" w:hAnsi="Cambria Math" w:cs="Cambria Math"/>
                <w:lang w:val="en-US" w:eastAsia="zh-CN"/>
              </w:rPr>
            </m:ctrlPr>
          </m:sSubPr>
          <m:e>
            <m:r>
              <m:rPr>
                <m:sty m:val="p"/>
              </m:rPr>
              <w:rPr>
                <w:rFonts w:hint="default" w:ascii="Cambria Math" w:hAnsi="Cambria Math" w:cs="Cambria Math"/>
                <w:lang w:val="en-US" w:eastAsia="zh-CN"/>
              </w:rPr>
              <m:t>E</m:t>
            </m:r>
            <m:ctrlPr>
              <w:rPr>
                <w:rFonts w:hint="default" w:ascii="Cambria Math" w:hAnsi="Cambria Math" w:cs="Cambria Math"/>
                <w:lang w:val="en-US" w:eastAsia="zh-CN"/>
              </w:rPr>
            </m:ctrlPr>
          </m:e>
          <m:sub>
            <m:r>
              <m:rPr>
                <m:sty m:val="p"/>
              </m:rPr>
              <w:rPr>
                <w:rFonts w:hint="default" w:ascii="Cambria Math" w:hAnsi="Cambria Math" w:cs="Cambria Math"/>
                <w:lang w:val="en-US" w:eastAsia="zh-CN"/>
              </w:rPr>
              <m:t>0</m:t>
            </m:r>
            <m:ctrlPr>
              <w:rPr>
                <w:rFonts w:hint="default" w:ascii="Cambria Math" w:hAnsi="Cambria Math" w:cs="Cambria Math"/>
                <w:lang w:val="en-US" w:eastAsia="zh-CN"/>
              </w:rPr>
            </m:ctrlPr>
          </m:sub>
        </m:sSub>
      </m:oMath>
      <w:r>
        <w:t>——基期能源消费量，单位为吨标准煤（tce）；</w:t>
      </w:r>
    </w:p>
    <w:p w14:paraId="5ADBE715">
      <w:pPr>
        <w:pStyle w:val="56"/>
        <w:keepNext w:val="0"/>
        <w:keepLines w:val="0"/>
        <w:pageBreakBefore w:val="0"/>
        <w:kinsoku/>
        <w:wordWrap/>
        <w:overflowPunct/>
        <w:topLinePunct w:val="0"/>
        <w:bidi w:val="0"/>
        <w:adjustRightInd/>
        <w:snapToGrid/>
        <w:spacing w:line="240" w:lineRule="auto"/>
        <w:ind w:firstLine="420"/>
        <w:textAlignment w:val="auto"/>
      </w:pPr>
      <m:oMath>
        <m:sSub>
          <m:sSubPr>
            <m:ctrlPr>
              <w:rPr>
                <w:rFonts w:hint="default" w:ascii="Cambria Math" w:hAnsi="Cambria Math" w:cs="Cambria Math"/>
                <w:lang w:val="en-US" w:eastAsia="zh-CN"/>
              </w:rPr>
            </m:ctrlPr>
          </m:sSubPr>
          <m:e>
            <m:r>
              <m:rPr>
                <m:sty m:val="p"/>
              </m:rPr>
              <w:rPr>
                <w:rFonts w:hint="default" w:ascii="Cambria Math" w:hAnsi="Cambria Math" w:cs="Cambria Math"/>
                <w:lang w:val="en-US" w:eastAsia="zh-CN"/>
              </w:rPr>
              <m:t>E</m:t>
            </m:r>
            <m:ctrlPr>
              <w:rPr>
                <w:rFonts w:hint="default" w:ascii="Cambria Math" w:hAnsi="Cambria Math" w:cs="Cambria Math"/>
                <w:lang w:val="en-US" w:eastAsia="zh-CN"/>
              </w:rPr>
            </m:ctrlPr>
          </m:e>
          <m:sub>
            <m:r>
              <m:rPr>
                <m:sty m:val="p"/>
              </m:rPr>
              <w:rPr>
                <w:rFonts w:hint="default" w:ascii="Cambria Math" w:hAnsi="Cambria Math" w:cs="Cambria Math"/>
                <w:lang w:val="en-US" w:eastAsia="zh-CN"/>
              </w:rPr>
              <m:t>1</m:t>
            </m:r>
            <m:ctrlPr>
              <w:rPr>
                <w:rFonts w:hint="default" w:ascii="Cambria Math" w:hAnsi="Cambria Math" w:cs="Cambria Math"/>
                <w:lang w:val="en-US" w:eastAsia="zh-CN"/>
              </w:rPr>
            </m:ctrlPr>
          </m:sub>
        </m:sSub>
      </m:oMath>
      <w:r>
        <w:t>——统计报告期能源消费量，单位为吨标准煤（tce）；</w:t>
      </w:r>
    </w:p>
    <w:p w14:paraId="0932B6B5">
      <w:pPr>
        <w:pStyle w:val="56"/>
        <w:keepNext w:val="0"/>
        <w:keepLines w:val="0"/>
        <w:pageBreakBefore w:val="0"/>
        <w:kinsoku/>
        <w:wordWrap/>
        <w:overflowPunct/>
        <w:topLinePunct w:val="0"/>
        <w:bidi w:val="0"/>
        <w:adjustRightInd/>
        <w:snapToGrid/>
        <w:spacing w:line="240" w:lineRule="auto"/>
        <w:ind w:firstLine="420"/>
        <w:textAlignment w:val="auto"/>
      </w:pPr>
      <m:oMath>
        <m:sSub>
          <m:sSubPr>
            <m:ctrlPr>
              <w:rPr>
                <w:rFonts w:ascii="Cambria Math" w:hAnsi="Cambria Math" w:cs="Cambria Math"/>
                <w:lang w:val="en-US"/>
              </w:rPr>
            </m:ctrlPr>
          </m:sSubPr>
          <m:e>
            <m:r>
              <m:rPr>
                <m:sty m:val="p"/>
              </m:rPr>
              <w:rPr>
                <w:rFonts w:hint="default" w:ascii="Cambria Math" w:hAnsi="Cambria Math" w:cs="Cambria Math"/>
                <w:lang w:val="en-US" w:eastAsia="zh-CN"/>
              </w:rPr>
              <m:t>G</m:t>
            </m:r>
            <m:ctrlPr>
              <w:rPr>
                <w:rFonts w:ascii="Cambria Math" w:hAnsi="Cambria Math" w:cs="Cambria Math"/>
                <w:lang w:val="en-US"/>
              </w:rPr>
            </m:ctrlPr>
          </m:e>
          <m:sub>
            <m:r>
              <m:rPr>
                <m:sty m:val="p"/>
              </m:rPr>
              <w:rPr>
                <w:rFonts w:hint="default" w:ascii="Cambria Math" w:hAnsi="Cambria Math" w:cs="Cambria Math"/>
                <w:lang w:val="en-US" w:eastAsia="zh-CN"/>
              </w:rPr>
              <m:t>0</m:t>
            </m:r>
            <m:ctrlPr>
              <w:rPr>
                <w:rFonts w:ascii="Cambria Math" w:hAnsi="Cambria Math" w:cs="Cambria Math"/>
                <w:lang w:val="en-US"/>
              </w:rPr>
            </m:ctrlPr>
          </m:sub>
        </m:sSub>
      </m:oMath>
      <w:r>
        <w:t>——基期产品产量</w:t>
      </w:r>
      <w:r>
        <w:rPr>
          <w:rFonts w:hint="eastAsia"/>
          <w:lang w:val="en-US" w:eastAsia="zh-CN"/>
        </w:rPr>
        <w:t>或</w:t>
      </w:r>
      <w:r>
        <w:t>处置量；</w:t>
      </w:r>
    </w:p>
    <w:p w14:paraId="0B5758E1">
      <w:pPr>
        <w:pStyle w:val="56"/>
        <w:keepNext w:val="0"/>
        <w:keepLines w:val="0"/>
        <w:pageBreakBefore w:val="0"/>
        <w:kinsoku/>
        <w:wordWrap/>
        <w:overflowPunct/>
        <w:topLinePunct w:val="0"/>
        <w:bidi w:val="0"/>
        <w:adjustRightInd/>
        <w:snapToGrid/>
        <w:spacing w:line="240" w:lineRule="auto"/>
        <w:ind w:firstLine="420"/>
        <w:textAlignment w:val="auto"/>
      </w:pPr>
      <m:oMath>
        <m:sSub>
          <m:sSubPr>
            <m:ctrlPr>
              <w:rPr>
                <w:rFonts w:ascii="Cambria Math" w:hAnsi="Cambria Math" w:cs="Cambria Math"/>
                <w:lang w:val="en-US"/>
              </w:rPr>
            </m:ctrlPr>
          </m:sSubPr>
          <m:e>
            <m:r>
              <m:rPr>
                <m:sty m:val="p"/>
              </m:rPr>
              <w:rPr>
                <w:rFonts w:hint="default" w:ascii="Cambria Math" w:hAnsi="Cambria Math" w:cs="Cambria Math"/>
                <w:lang w:val="en-US" w:eastAsia="zh-CN"/>
              </w:rPr>
              <m:t>G</m:t>
            </m:r>
            <m:ctrlPr>
              <w:rPr>
                <w:rFonts w:ascii="Cambria Math" w:hAnsi="Cambria Math" w:cs="Cambria Math"/>
                <w:lang w:val="en-US"/>
              </w:rPr>
            </m:ctrlPr>
          </m:e>
          <m:sub>
            <m:r>
              <m:rPr>
                <m:sty m:val="p"/>
              </m:rPr>
              <w:rPr>
                <w:rFonts w:hint="default" w:ascii="Cambria Math" w:hAnsi="Cambria Math" w:cs="Cambria Math"/>
                <w:lang w:val="en-US" w:eastAsia="zh-CN"/>
              </w:rPr>
              <m:t>1</m:t>
            </m:r>
            <m:ctrlPr>
              <w:rPr>
                <w:rFonts w:ascii="Cambria Math" w:hAnsi="Cambria Math" w:cs="Cambria Math"/>
                <w:lang w:val="en-US"/>
              </w:rPr>
            </m:ctrlPr>
          </m:sub>
        </m:sSub>
      </m:oMath>
      <w:r>
        <w:t>——统计报告期产品产量</w:t>
      </w:r>
      <w:r>
        <w:rPr>
          <w:rFonts w:hint="eastAsia"/>
          <w:lang w:val="en-US" w:eastAsia="zh-CN"/>
        </w:rPr>
        <w:t>或</w:t>
      </w:r>
      <w:r>
        <w:t>处置量。</w:t>
      </w:r>
    </w:p>
    <w:p w14:paraId="35E3B3A6">
      <w:pPr>
        <w:pStyle w:val="105"/>
        <w:bidi w:val="0"/>
      </w:pPr>
      <w:bookmarkStart w:id="67" w:name="_Toc15066"/>
      <w:bookmarkStart w:id="68" w:name="_Toc12104"/>
      <w:r>
        <w:rPr>
          <w:rFonts w:hint="eastAsia"/>
          <w:lang w:val="en-US" w:eastAsia="zh-CN"/>
        </w:rPr>
        <w:t>效率测算法</w:t>
      </w:r>
      <w:bookmarkEnd w:id="67"/>
      <w:bookmarkEnd w:id="68"/>
    </w:p>
    <w:p w14:paraId="39C6387F">
      <w:pPr>
        <w:pStyle w:val="56"/>
        <w:ind w:firstLine="420"/>
      </w:pPr>
      <w:r>
        <w:t>适用于运行负荷稳定，且具备效率测试条件的项目。利用能源系统效率的变化计算节能量，按公式（</w:t>
      </w:r>
      <w:r>
        <w:rPr>
          <w:rFonts w:hint="eastAsia"/>
          <w:lang w:val="en-US" w:eastAsia="zh-CN"/>
        </w:rPr>
        <w:t>2</w:t>
      </w:r>
      <w:r>
        <w:t>）计算：</w:t>
      </w:r>
    </w:p>
    <w:p w14:paraId="51AFD4D8">
      <w:pPr>
        <w:pStyle w:val="113"/>
        <w:bidi w:val="0"/>
        <w:rPr>
          <w:rFonts w:hint="eastAsia"/>
          <w:lang w:eastAsia="zh-CN"/>
        </w:rPr>
      </w:pPr>
      <w:r>
        <w:rPr>
          <w:rFonts w:hint="eastAsia"/>
          <w:lang w:eastAsia="zh-CN"/>
        </w:rPr>
        <w:tab/>
      </w:r>
      <m:oMath>
        <m:r>
          <m:rPr>
            <m:sty m:val="p"/>
          </m:rPr>
          <w:rPr>
            <w:rFonts w:ascii="Cambria Math" w:hAnsi="Cambria Math"/>
          </w:rPr>
          <m:t>△</m:t>
        </m:r>
        <m:r>
          <m:rPr>
            <m:sty m:val="p"/>
          </m:rPr>
          <w:rPr>
            <w:rFonts w:hint="default" w:ascii="Cambria Math" w:hAnsi="Cambria Math"/>
            <w:lang w:val="en-US" w:eastAsia="zh-CN"/>
          </w:rPr>
          <m:t>E</m:t>
        </m:r>
        <m:r>
          <m:rPr>
            <m:sty m:val="p"/>
          </m:rPr>
          <w:rPr>
            <w:rFonts w:hint="default" w:ascii="Cambria Math" w:hAnsi="Cambria Math" w:cs="Cambria Math"/>
            <w:lang w:val="en-US" w:eastAsia="zh-CN"/>
          </w:rPr>
          <m:t>=</m:t>
        </m:r>
        <m:d>
          <m:dPr>
            <m:ctrlPr>
              <w:rPr>
                <w:rFonts w:hint="default" w:ascii="Cambria Math" w:hAnsi="Cambria Math" w:cs="Cambria Math"/>
                <w:b w:val="0"/>
                <w:i w:val="0"/>
                <w:lang w:val="en-US" w:eastAsia="zh-CN"/>
              </w:rPr>
            </m:ctrlPr>
          </m:dPr>
          <m:e>
            <m:r>
              <m:rPr>
                <m:sty m:val="p"/>
              </m:rPr>
              <w:rPr>
                <w:rFonts w:hint="default" w:ascii="Cambria Math" w:hAnsi="Cambria Math" w:cs="Cambria Math"/>
                <w:lang w:val="en-US" w:eastAsia="zh-CN"/>
              </w:rPr>
              <m:t>1−</m:t>
            </m:r>
            <m:f>
              <m:fPr>
                <m:ctrlPr>
                  <w:rPr>
                    <w:rFonts w:hint="default" w:ascii="Cambria Math" w:hAnsi="Cambria Math" w:cs="Cambria Math"/>
                    <w:b w:val="0"/>
                    <w:i w:val="0"/>
                    <w:lang w:val="en-US" w:eastAsia="zh-CN"/>
                  </w:rPr>
                </m:ctrlPr>
              </m:fPr>
              <m:num>
                <m:sSub>
                  <m:sSubPr>
                    <m:ctrlPr>
                      <w:rPr>
                        <w:rFonts w:hint="default" w:ascii="Cambria Math" w:hAnsi="Cambria Math" w:cs="Cambria Math"/>
                        <w:b w:val="0"/>
                        <w:lang w:val="en-US" w:eastAsia="zh-CN"/>
                      </w:rPr>
                    </m:ctrlPr>
                  </m:sSubPr>
                  <m:e>
                    <m:r>
                      <m:rPr>
                        <m:sty m:val="p"/>
                      </m:rPr>
                      <w:rPr>
                        <w:rFonts w:ascii="Cambria Math" w:hAnsi="Cambria Math" w:cs="Cambria Math"/>
                        <w:lang w:val="en-US"/>
                      </w:rPr>
                      <m:t>η</m:t>
                    </m:r>
                    <m:ctrlPr>
                      <w:rPr>
                        <w:rFonts w:hint="default" w:ascii="Cambria Math" w:hAnsi="Cambria Math" w:cs="Cambria Math"/>
                        <w:b w:val="0"/>
                        <w:i w:val="0"/>
                        <w:lang w:val="en-US" w:eastAsia="zh-CN"/>
                      </w:rPr>
                    </m:ctrlPr>
                  </m:e>
                  <m:sub>
                    <m:r>
                      <m:rPr>
                        <m:sty m:val="p"/>
                      </m:rPr>
                      <w:rPr>
                        <w:rFonts w:hint="default" w:ascii="Cambria Math" w:hAnsi="Cambria Math" w:cs="Cambria Math"/>
                        <w:lang w:val="en-US" w:eastAsia="zh-CN"/>
                      </w:rPr>
                      <m:t>0</m:t>
                    </m:r>
                    <m:ctrlPr>
                      <w:rPr>
                        <w:rFonts w:hint="default" w:ascii="Cambria Math" w:hAnsi="Cambria Math" w:cs="Cambria Math"/>
                        <w:b w:val="0"/>
                        <w:i w:val="0"/>
                        <w:lang w:val="en-US" w:eastAsia="zh-CN"/>
                      </w:rPr>
                    </m:ctrlPr>
                  </m:sub>
                </m:sSub>
                <m:ctrlPr>
                  <w:rPr>
                    <w:rFonts w:hint="default" w:ascii="Cambria Math" w:hAnsi="Cambria Math" w:cs="Cambria Math"/>
                    <w:b w:val="0"/>
                    <w:i w:val="0"/>
                    <w:lang w:val="en-US" w:eastAsia="zh-CN"/>
                  </w:rPr>
                </m:ctrlPr>
              </m:num>
              <m:den>
                <m:sSub>
                  <m:sSubPr>
                    <m:ctrlPr>
                      <w:rPr>
                        <w:rFonts w:hint="default" w:ascii="Cambria Math" w:hAnsi="Cambria Math" w:cs="Cambria Math"/>
                        <w:b w:val="0"/>
                        <w:lang w:val="en-US" w:eastAsia="zh-CN"/>
                      </w:rPr>
                    </m:ctrlPr>
                  </m:sSubPr>
                  <m:e>
                    <m:r>
                      <m:rPr>
                        <m:sty m:val="p"/>
                      </m:rPr>
                      <w:rPr>
                        <w:rFonts w:ascii="Cambria Math" w:hAnsi="Cambria Math" w:cs="Cambria Math"/>
                        <w:lang w:val="en-US"/>
                      </w:rPr>
                      <m:t>η</m:t>
                    </m:r>
                    <m:ctrlPr>
                      <w:rPr>
                        <w:rFonts w:hint="default" w:ascii="Cambria Math" w:hAnsi="Cambria Math" w:cs="Cambria Math"/>
                        <w:b w:val="0"/>
                        <w:i w:val="0"/>
                        <w:lang w:val="en-US" w:eastAsia="zh-CN"/>
                      </w:rPr>
                    </m:ctrlPr>
                  </m:e>
                  <m:sub>
                    <m:r>
                      <m:rPr>
                        <m:sty m:val="p"/>
                      </m:rPr>
                      <w:rPr>
                        <w:rFonts w:hint="default" w:ascii="DejaVu Math TeX Gyre" w:hAnsi="DejaVu Math TeX Gyre" w:cs="Cambria Math"/>
                        <w:lang w:val="en-US" w:eastAsia="zh-CN"/>
                      </w:rPr>
                      <m:t>1</m:t>
                    </m:r>
                    <m:ctrlPr>
                      <w:rPr>
                        <w:rFonts w:hint="default" w:ascii="Cambria Math" w:hAnsi="Cambria Math" w:cs="Cambria Math"/>
                        <w:b w:val="0"/>
                        <w:i w:val="0"/>
                        <w:lang w:val="en-US" w:eastAsia="zh-CN"/>
                      </w:rPr>
                    </m:ctrlPr>
                  </m:sub>
                </m:sSub>
                <m:ctrlPr>
                  <w:rPr>
                    <w:rFonts w:hint="default" w:ascii="Cambria Math" w:hAnsi="Cambria Math" w:cs="Cambria Math"/>
                    <w:b w:val="0"/>
                    <w:i w:val="0"/>
                    <w:lang w:val="en-US" w:eastAsia="zh-CN"/>
                  </w:rPr>
                </m:ctrlPr>
              </m:den>
            </m:f>
            <m:ctrlPr>
              <w:rPr>
                <w:rFonts w:hint="default" w:ascii="Cambria Math" w:hAnsi="Cambria Math" w:cs="Cambria Math"/>
                <w:b w:val="0"/>
                <w:i w:val="0"/>
                <w:lang w:val="en-US" w:eastAsia="zh-CN"/>
              </w:rPr>
            </m:ctrlPr>
          </m:e>
        </m:d>
        <m:r>
          <m:rPr>
            <m:sty m:val="p"/>
          </m:rPr>
          <w:rPr>
            <w:rFonts w:hint="default" w:ascii="Cambria Math" w:hAnsi="Cambria Math" w:cs="Cambria Math"/>
            <w:lang w:val="en-US" w:eastAsia="zh-CN"/>
          </w:rPr>
          <m:t>×</m:t>
        </m:r>
        <m:sSub>
          <m:sSubPr>
            <m:ctrlPr>
              <w:rPr>
                <w:rFonts w:hint="default" w:ascii="Cambria Math" w:hAnsi="Cambria Math" w:cs="Cambria Math"/>
                <w:lang w:val="en-US" w:eastAsia="zh-CN"/>
              </w:rPr>
            </m:ctrlPr>
          </m:sSubPr>
          <m:e>
            <m:r>
              <m:rPr>
                <m:sty m:val="p"/>
              </m:rPr>
              <w:rPr>
                <w:rFonts w:hint="default" w:ascii="Cambria Math" w:hAnsi="Cambria Math" w:cs="Cambria Math"/>
                <w:lang w:val="en-US" w:eastAsia="zh-CN"/>
              </w:rPr>
              <m:t>E</m:t>
            </m:r>
            <m:ctrlPr>
              <w:rPr>
                <w:rFonts w:hint="default" w:ascii="Cambria Math" w:hAnsi="Cambria Math" w:cs="Cambria Math"/>
                <w:lang w:val="en-US" w:eastAsia="zh-CN"/>
              </w:rPr>
            </m:ctrlPr>
          </m:e>
          <m:sub>
            <m:r>
              <m:rPr>
                <m:sty m:val="p"/>
              </m:rPr>
              <w:rPr>
                <w:rFonts w:hint="default" w:ascii="Cambria Math" w:hAnsi="Cambria Math" w:cs="Cambria Math"/>
                <w:lang w:val="en-US" w:eastAsia="zh-CN"/>
              </w:rPr>
              <m:t>0</m:t>
            </m:r>
            <m:ctrlPr>
              <w:rPr>
                <w:rFonts w:hint="default" w:ascii="Cambria Math" w:hAnsi="Cambria Math" w:cs="Cambria Math"/>
                <w:lang w:val="en-US" w:eastAsia="zh-CN"/>
              </w:rPr>
            </m:ctrlPr>
          </m:sub>
        </m:sSub>
      </m:oMath>
      <w:r>
        <w:rPr>
          <w:rFonts w:hint="eastAsia" w:ascii="微软雅黑" w:hAnsi="微软雅黑" w:eastAsia="微软雅黑" w:cs="微软雅黑"/>
          <w:lang w:eastAsia="zh-CN"/>
        </w:rPr>
        <w:tab/>
      </w:r>
      <w:r>
        <w:rPr>
          <w:rFonts w:hint="eastAsia"/>
          <w:lang w:eastAsia="zh-CN"/>
        </w:rPr>
        <w:t>(</w:t>
      </w:r>
      <w:r>
        <w:rPr>
          <w:rFonts w:hint="eastAsia"/>
          <w:lang w:eastAsia="zh-CN"/>
        </w:rPr>
        <w:fldChar w:fldCharType="begin"/>
      </w:r>
      <w:r>
        <w:rPr>
          <w:rFonts w:hint="eastAsia"/>
          <w:lang w:eastAsia="zh-CN"/>
        </w:rPr>
        <w:instrText xml:space="preserve"> SEQ 公式 \* ARABIC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w:t>
      </w:r>
    </w:p>
    <w:p w14:paraId="10241E37">
      <w:pPr>
        <w:pStyle w:val="55"/>
        <w:keepNext w:val="0"/>
        <w:keepLines w:val="0"/>
        <w:pageBreakBefore w:val="0"/>
        <w:kinsoku/>
        <w:wordWrap/>
        <w:overflowPunct/>
        <w:topLinePunct w:val="0"/>
        <w:bidi w:val="0"/>
        <w:adjustRightInd/>
        <w:snapToGrid/>
        <w:spacing w:line="240" w:lineRule="auto"/>
        <w:textAlignment w:val="auto"/>
      </w:pPr>
      <w:r>
        <w:rPr>
          <w:rFonts w:hint="eastAsia"/>
          <w:lang w:eastAsia="zh-CN"/>
        </w:rPr>
        <w:t>式中：</w:t>
      </w:r>
    </w:p>
    <w:p w14:paraId="773275E1">
      <w:pPr>
        <w:pStyle w:val="56"/>
        <w:keepNext w:val="0"/>
        <w:keepLines w:val="0"/>
        <w:pageBreakBefore w:val="0"/>
        <w:kinsoku/>
        <w:wordWrap/>
        <w:overflowPunct/>
        <w:topLinePunct w:val="0"/>
        <w:bidi w:val="0"/>
        <w:adjustRightInd/>
        <w:snapToGrid/>
        <w:spacing w:line="240" w:lineRule="auto"/>
        <w:ind w:firstLine="420"/>
        <w:textAlignment w:val="auto"/>
        <w:rPr>
          <w:rFonts w:hint="eastAsia" w:eastAsia="宋体"/>
          <w:lang w:eastAsia="zh-CN"/>
        </w:rPr>
      </w:pPr>
      <m:oMath>
        <m:sSub>
          <m:sSubPr>
            <m:ctrlPr>
              <w:rPr>
                <w:rFonts w:hint="default" w:ascii="Cambria Math" w:hAnsi="Cambria Math" w:cs="Cambria Math"/>
                <w:b w:val="0"/>
                <w:lang w:val="en-US" w:eastAsia="zh-CN"/>
              </w:rPr>
            </m:ctrlPr>
          </m:sSubPr>
          <m:e>
            <m:r>
              <m:rPr>
                <m:sty m:val="p"/>
              </m:rPr>
              <w:rPr>
                <w:rFonts w:ascii="Cambria Math" w:hAnsi="Cambria Math" w:cs="Cambria Math"/>
                <w:lang w:val="en-US"/>
              </w:rPr>
              <m:t>η</m:t>
            </m:r>
            <m:ctrlPr>
              <w:rPr>
                <w:rFonts w:hint="default" w:ascii="Cambria Math" w:hAnsi="Cambria Math" w:cs="Cambria Math"/>
                <w:b w:val="0"/>
                <w:i w:val="0"/>
                <w:lang w:val="en-US" w:eastAsia="zh-CN"/>
              </w:rPr>
            </m:ctrlPr>
          </m:e>
          <m:sub>
            <m:r>
              <m:rPr>
                <m:sty m:val="p"/>
              </m:rPr>
              <w:rPr>
                <w:rFonts w:hint="default" w:ascii="Cambria Math" w:hAnsi="Cambria Math" w:cs="Cambria Math"/>
                <w:lang w:val="en-US" w:eastAsia="zh-CN"/>
              </w:rPr>
              <m:t>0</m:t>
            </m:r>
            <m:ctrlPr>
              <w:rPr>
                <w:rFonts w:hint="default" w:ascii="Cambria Math" w:hAnsi="Cambria Math" w:cs="Cambria Math"/>
                <w:b w:val="0"/>
                <w:i w:val="0"/>
                <w:lang w:val="en-US" w:eastAsia="zh-CN"/>
              </w:rPr>
            </m:ctrlPr>
          </m:sub>
        </m:sSub>
      </m:oMath>
      <w:r>
        <w:t>——改造前用能系统效率，%</w:t>
      </w:r>
      <w:r>
        <w:rPr>
          <w:rFonts w:hint="eastAsia"/>
          <w:lang w:eastAsia="zh-CN"/>
        </w:rPr>
        <w:t>；</w:t>
      </w:r>
    </w:p>
    <w:p w14:paraId="1E403443">
      <w:pPr>
        <w:pStyle w:val="56"/>
        <w:keepNext w:val="0"/>
        <w:keepLines w:val="0"/>
        <w:pageBreakBefore w:val="0"/>
        <w:kinsoku/>
        <w:wordWrap/>
        <w:overflowPunct/>
        <w:topLinePunct w:val="0"/>
        <w:bidi w:val="0"/>
        <w:adjustRightInd/>
        <w:snapToGrid/>
        <w:spacing w:line="240" w:lineRule="auto"/>
        <w:ind w:firstLine="420"/>
        <w:textAlignment w:val="auto"/>
      </w:pPr>
      <m:oMath>
        <m:sSub>
          <m:sSubPr>
            <m:ctrlPr>
              <w:rPr>
                <w:rFonts w:hint="default" w:ascii="Cambria Math" w:hAnsi="Cambria Math" w:cs="Cambria Math"/>
                <w:b w:val="0"/>
                <w:lang w:val="en-US" w:eastAsia="zh-CN"/>
              </w:rPr>
            </m:ctrlPr>
          </m:sSubPr>
          <m:e>
            <m:r>
              <m:rPr>
                <m:sty m:val="p"/>
              </m:rPr>
              <w:rPr>
                <w:rFonts w:ascii="Cambria Math" w:hAnsi="Cambria Math" w:cs="Cambria Math"/>
                <w:lang w:val="en-US"/>
              </w:rPr>
              <m:t>η</m:t>
            </m:r>
            <m:ctrlPr>
              <w:rPr>
                <w:rFonts w:hint="default" w:ascii="Cambria Math" w:hAnsi="Cambria Math" w:cs="Cambria Math"/>
                <w:b w:val="0"/>
                <w:i w:val="0"/>
                <w:lang w:val="en-US" w:eastAsia="zh-CN"/>
              </w:rPr>
            </m:ctrlPr>
          </m:e>
          <m:sub>
            <m:r>
              <m:rPr>
                <m:sty m:val="p"/>
              </m:rPr>
              <w:rPr>
                <w:rFonts w:hint="default" w:ascii="DejaVu Math TeX Gyre" w:hAnsi="DejaVu Math TeX Gyre" w:cs="Cambria Math"/>
                <w:lang w:val="en-US" w:eastAsia="zh-CN"/>
              </w:rPr>
              <m:t>1</m:t>
            </m:r>
            <m:ctrlPr>
              <w:rPr>
                <w:rFonts w:hint="default" w:ascii="Cambria Math" w:hAnsi="Cambria Math" w:cs="Cambria Math"/>
                <w:b w:val="0"/>
                <w:i w:val="0"/>
                <w:lang w:val="en-US" w:eastAsia="zh-CN"/>
              </w:rPr>
            </m:ctrlPr>
          </m:sub>
        </m:sSub>
      </m:oMath>
      <w:r>
        <w:t>——改造后用能系统效率，%。</w:t>
      </w:r>
    </w:p>
    <w:p w14:paraId="7F47127A">
      <w:pPr>
        <w:pStyle w:val="105"/>
        <w:bidi w:val="0"/>
      </w:pPr>
      <w:bookmarkStart w:id="69" w:name="_Toc3712"/>
      <w:bookmarkStart w:id="70" w:name="_Toc5854"/>
      <w:r>
        <w:rPr>
          <w:rFonts w:hint="eastAsia"/>
          <w:lang w:val="en-US" w:eastAsia="zh-CN"/>
        </w:rPr>
        <w:t>回收能量计算法</w:t>
      </w:r>
      <w:bookmarkEnd w:id="69"/>
      <w:bookmarkEnd w:id="70"/>
    </w:p>
    <w:p w14:paraId="797B8769">
      <w:pPr>
        <w:pStyle w:val="56"/>
        <w:keepNext w:val="0"/>
        <w:keepLines w:val="0"/>
        <w:pageBreakBefore w:val="0"/>
        <w:kinsoku/>
        <w:wordWrap/>
        <w:overflowPunct/>
        <w:topLinePunct w:val="0"/>
        <w:bidi w:val="0"/>
        <w:adjustRightInd/>
        <w:snapToGrid/>
        <w:textAlignment w:val="auto"/>
      </w:pPr>
      <w:r>
        <w:t>适用于项目实施前后边界内的产品产量变化不超过20%，且用于计算</w:t>
      </w:r>
      <w:r>
        <w:rPr>
          <w:rFonts w:hint="eastAsia"/>
          <w:lang w:val="en-US" w:eastAsia="zh-CN"/>
        </w:rPr>
        <w:t>能量</w:t>
      </w:r>
      <w:r>
        <w:t>转化效率的参数均有效可得</w:t>
      </w:r>
      <w:r>
        <w:rPr>
          <w:rFonts w:hint="eastAsia"/>
          <w:lang w:val="en-US" w:eastAsia="zh-CN"/>
        </w:rPr>
        <w:t>的项目</w:t>
      </w:r>
      <w:r>
        <w:rPr>
          <w:rFonts w:hint="eastAsia"/>
          <w:lang w:eastAsia="zh-CN"/>
        </w:rPr>
        <w:t>。</w:t>
      </w:r>
      <w:r>
        <w:rPr>
          <w:rFonts w:hint="eastAsia"/>
          <w:lang w:val="en-US" w:eastAsia="zh-CN"/>
        </w:rPr>
        <w:t>利用</w:t>
      </w:r>
      <w:r>
        <w:t>回收</w:t>
      </w:r>
      <w:r>
        <w:rPr>
          <w:rFonts w:hint="eastAsia"/>
          <w:lang w:val="en-US" w:eastAsia="zh-CN"/>
        </w:rPr>
        <w:t>能量计算法</w:t>
      </w:r>
      <w:r>
        <w:t>计算节能量</w:t>
      </w:r>
      <w:r>
        <w:rPr>
          <w:rFonts w:hint="eastAsia"/>
          <w:lang w:eastAsia="zh-CN"/>
        </w:rPr>
        <w:t>，</w:t>
      </w:r>
      <w:r>
        <w:t>按公式（</w:t>
      </w:r>
      <w:r>
        <w:rPr>
          <w:rFonts w:hint="eastAsia"/>
          <w:lang w:val="en-US" w:eastAsia="zh-CN"/>
        </w:rPr>
        <w:t>3</w:t>
      </w:r>
      <w:r>
        <w:t>）计算：</w:t>
      </w:r>
    </w:p>
    <w:p w14:paraId="7B0F5CD9">
      <w:pPr>
        <w:pStyle w:val="113"/>
        <w:keepNext w:val="0"/>
        <w:keepLines w:val="0"/>
        <w:pageBreakBefore w:val="0"/>
        <w:kinsoku/>
        <w:wordWrap/>
        <w:overflowPunct/>
        <w:topLinePunct w:val="0"/>
        <w:bidi w:val="0"/>
        <w:adjustRightInd/>
        <w:snapToGrid/>
        <w:textAlignment w:val="auto"/>
        <w:rPr>
          <w:rFonts w:hint="eastAsia"/>
          <w:lang w:eastAsia="zh-CN"/>
        </w:rPr>
      </w:pPr>
      <w:r>
        <w:rPr>
          <w:rFonts w:hint="eastAsia"/>
          <w:lang w:eastAsia="zh-CN"/>
        </w:rPr>
        <w:tab/>
      </w:r>
      <m:oMath>
        <m:r>
          <m:rPr>
            <m:sty m:val="p"/>
          </m:rPr>
          <w:rPr>
            <w:rFonts w:ascii="Cambria Math" w:hAnsi="Cambria Math"/>
          </w:rPr>
          <m:t>△</m:t>
        </m:r>
        <m:r>
          <m:rPr>
            <m:sty m:val="p"/>
          </m:rPr>
          <w:rPr>
            <w:rFonts w:hint="default" w:ascii="Cambria Math" w:hAnsi="Cambria Math"/>
            <w:lang w:val="en-US" w:eastAsia="zh-CN"/>
          </w:rPr>
          <m:t>E</m:t>
        </m:r>
        <m:r>
          <m:rPr>
            <m:sty m:val="p"/>
          </m:rPr>
          <w:rPr>
            <w:rFonts w:hint="default" w:ascii="Cambria Math" w:hAnsi="Cambria Math" w:cs="Cambria Math"/>
            <w:lang w:val="en-US" w:eastAsia="zh-CN"/>
          </w:rPr>
          <m:t>=</m:t>
        </m:r>
        <m:sSub>
          <m:sSubPr>
            <m:ctrlPr>
              <w:rPr>
                <w:rFonts w:hint="default" w:ascii="Cambria Math" w:hAnsi="Cambria Math" w:cs="Cambria Math"/>
                <w:b w:val="0"/>
                <w:lang w:val="en-US" w:eastAsia="zh-CN"/>
              </w:rPr>
            </m:ctrlPr>
          </m:sSubPr>
          <m:e>
            <m:r>
              <m:rPr>
                <m:sty m:val="p"/>
              </m:rPr>
              <w:rPr>
                <w:rFonts w:hint="default" w:ascii="Cambria Math" w:hAnsi="Cambria Math" w:cs="Cambria Math"/>
                <w:lang w:val="en-US" w:eastAsia="zh-CN"/>
              </w:rPr>
              <m:t>E</m:t>
            </m:r>
            <m:ctrlPr>
              <w:rPr>
                <w:rFonts w:hint="default" w:ascii="Cambria Math" w:hAnsi="Cambria Math" w:cs="Cambria Math"/>
                <w:b w:val="0"/>
                <w:i w:val="0"/>
                <w:lang w:val="en-US" w:eastAsia="zh-CN"/>
              </w:rPr>
            </m:ctrlPr>
          </m:e>
          <m:sub>
            <m:r>
              <m:rPr>
                <m:sty m:val="p"/>
              </m:rPr>
              <w:rPr>
                <w:rFonts w:hint="default" w:ascii="Cambria Math" w:hAnsi="Cambria Math" w:cs="Cambria Math"/>
                <w:lang w:val="en-US" w:eastAsia="zh-CN"/>
              </w:rPr>
              <m:t>2</m:t>
            </m:r>
            <m:ctrlPr>
              <w:rPr>
                <w:rFonts w:hint="default" w:ascii="Cambria Math" w:hAnsi="Cambria Math" w:cs="Cambria Math"/>
                <w:b w:val="0"/>
                <w:i w:val="0"/>
                <w:lang w:val="en-US" w:eastAsia="zh-CN"/>
              </w:rPr>
            </m:ctrlPr>
          </m:sub>
        </m:sSub>
        <m:r>
          <m:rPr>
            <m:sty m:val="p"/>
          </m:rPr>
          <w:rPr>
            <w:rFonts w:hint="default" w:ascii="Cambria Math" w:hAnsi="Cambria Math" w:cs="Cambria Math"/>
            <w:lang w:val="en-US" w:eastAsia="zh-CN"/>
          </w:rPr>
          <m:t>−</m:t>
        </m:r>
        <m:sSub>
          <m:sSubPr>
            <m:ctrlPr>
              <w:rPr>
                <w:rFonts w:hint="default" w:ascii="Cambria Math" w:hAnsi="Cambria Math" w:cs="Cambria Math"/>
                <w:b w:val="0"/>
                <w:lang w:val="en-US" w:eastAsia="zh-CN"/>
              </w:rPr>
            </m:ctrlPr>
          </m:sSubPr>
          <m:e>
            <m:r>
              <m:rPr>
                <m:sty m:val="p"/>
              </m:rPr>
              <w:rPr>
                <w:rFonts w:hint="default" w:ascii="Cambria Math" w:hAnsi="Cambria Math" w:cs="Cambria Math"/>
                <w:lang w:val="en-US" w:eastAsia="zh-CN"/>
              </w:rPr>
              <m:t>E</m:t>
            </m:r>
            <m:ctrlPr>
              <w:rPr>
                <w:rFonts w:hint="default" w:ascii="Cambria Math" w:hAnsi="Cambria Math" w:cs="Cambria Math"/>
                <w:b w:val="0"/>
                <w:i w:val="0"/>
                <w:lang w:val="en-US" w:eastAsia="zh-CN"/>
              </w:rPr>
            </m:ctrlPr>
          </m:e>
          <m:sub>
            <m:r>
              <m:rPr>
                <m:sty m:val="p"/>
              </m:rPr>
              <w:rPr>
                <w:rFonts w:hint="default" w:ascii="Cambria Math" w:hAnsi="Cambria Math" w:cs="Cambria Math"/>
                <w:lang w:val="en-US" w:eastAsia="zh-CN"/>
              </w:rPr>
              <m:t>3</m:t>
            </m:r>
            <m:ctrlPr>
              <w:rPr>
                <w:rFonts w:hint="default" w:ascii="Cambria Math" w:hAnsi="Cambria Math" w:cs="Cambria Math"/>
                <w:b w:val="0"/>
                <w:i w:val="0"/>
                <w:lang w:val="en-US" w:eastAsia="zh-CN"/>
              </w:rPr>
            </m:ctrlPr>
          </m:sub>
        </m:sSub>
      </m:oMath>
      <w:r>
        <w:rPr>
          <w:rFonts w:hint="eastAsia" w:ascii="微软雅黑" w:hAnsi="微软雅黑" w:eastAsia="微软雅黑" w:cs="微软雅黑"/>
          <w:lang w:eastAsia="zh-CN"/>
        </w:rPr>
        <w:tab/>
      </w:r>
      <w:r>
        <w:rPr>
          <w:rFonts w:hint="eastAsia"/>
          <w:lang w:eastAsia="zh-CN"/>
        </w:rPr>
        <w:t>(</w:t>
      </w:r>
      <w:r>
        <w:rPr>
          <w:rFonts w:hint="eastAsia"/>
          <w:lang w:eastAsia="zh-CN"/>
        </w:rPr>
        <w:fldChar w:fldCharType="begin"/>
      </w:r>
      <w:r>
        <w:rPr>
          <w:rFonts w:hint="eastAsia"/>
          <w:lang w:eastAsia="zh-CN"/>
        </w:rPr>
        <w:instrText xml:space="preserve"> SEQ 公式 \* ARABIC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w:t>
      </w:r>
    </w:p>
    <w:p w14:paraId="4CE7F836">
      <w:pPr>
        <w:pStyle w:val="56"/>
        <w:keepNext w:val="0"/>
        <w:keepLines w:val="0"/>
        <w:pageBreakBefore w:val="0"/>
        <w:kinsoku/>
        <w:wordWrap/>
        <w:overflowPunct/>
        <w:topLinePunct w:val="0"/>
        <w:bidi w:val="0"/>
        <w:adjustRightInd/>
        <w:snapToGrid/>
        <w:textAlignment w:val="auto"/>
      </w:pPr>
      <w:r>
        <w:t>式中：</w:t>
      </w:r>
    </w:p>
    <w:p w14:paraId="70E9E6D7">
      <w:pPr>
        <w:pStyle w:val="56"/>
        <w:keepNext w:val="0"/>
        <w:keepLines w:val="0"/>
        <w:pageBreakBefore w:val="0"/>
        <w:kinsoku/>
        <w:wordWrap/>
        <w:overflowPunct/>
        <w:topLinePunct w:val="0"/>
        <w:bidi w:val="0"/>
        <w:adjustRightInd/>
        <w:snapToGrid/>
        <w:textAlignment w:val="auto"/>
      </w:pPr>
      <m:oMath>
        <m:sSub>
          <m:sSubPr>
            <m:ctrlPr>
              <w:rPr>
                <w:rFonts w:hint="default" w:ascii="Cambria Math" w:hAnsi="Cambria Math" w:cs="Cambria Math"/>
                <w:b w:val="0"/>
                <w:lang w:val="en-US" w:eastAsia="zh-CN"/>
              </w:rPr>
            </m:ctrlPr>
          </m:sSubPr>
          <m:e>
            <m:r>
              <m:rPr>
                <m:sty m:val="p"/>
              </m:rPr>
              <w:rPr>
                <w:rFonts w:hint="default" w:ascii="Cambria Math" w:hAnsi="Cambria Math" w:cs="Cambria Math"/>
                <w:lang w:val="en-US" w:eastAsia="zh-CN"/>
              </w:rPr>
              <m:t>E</m:t>
            </m:r>
            <m:ctrlPr>
              <w:rPr>
                <w:rFonts w:hint="default" w:ascii="Cambria Math" w:hAnsi="Cambria Math" w:cs="Cambria Math"/>
                <w:b w:val="0"/>
                <w:i w:val="0"/>
                <w:lang w:val="en-US" w:eastAsia="zh-CN"/>
              </w:rPr>
            </m:ctrlPr>
          </m:e>
          <m:sub>
            <m:r>
              <m:rPr>
                <m:sty m:val="p"/>
              </m:rPr>
              <w:rPr>
                <w:rFonts w:hint="default" w:ascii="Cambria Math" w:hAnsi="Cambria Math" w:cs="Cambria Math"/>
                <w:lang w:val="en-US" w:eastAsia="zh-CN"/>
              </w:rPr>
              <m:t>2</m:t>
            </m:r>
            <m:ctrlPr>
              <w:rPr>
                <w:rFonts w:hint="default" w:ascii="Cambria Math" w:hAnsi="Cambria Math" w:cs="Cambria Math"/>
                <w:b w:val="0"/>
                <w:i w:val="0"/>
                <w:lang w:val="en-US" w:eastAsia="zh-CN"/>
              </w:rPr>
            </m:ctrlPr>
          </m:sub>
        </m:sSub>
      </m:oMath>
      <w:r>
        <w:t>——回收</w:t>
      </w:r>
      <w:r>
        <w:rPr>
          <w:rFonts w:hint="eastAsia"/>
          <w:lang w:val="en-US" w:eastAsia="zh-CN"/>
        </w:rPr>
        <w:t>利用的能量</w:t>
      </w:r>
      <w:r>
        <w:t>，单位为吨标准煤（tce）；</w:t>
      </w:r>
    </w:p>
    <w:p w14:paraId="5E7E3DD3">
      <w:pPr>
        <w:pStyle w:val="56"/>
        <w:keepNext w:val="0"/>
        <w:keepLines w:val="0"/>
        <w:pageBreakBefore w:val="0"/>
        <w:kinsoku/>
        <w:wordWrap/>
        <w:overflowPunct/>
        <w:topLinePunct w:val="0"/>
        <w:bidi w:val="0"/>
        <w:adjustRightInd/>
        <w:snapToGrid/>
        <w:textAlignment w:val="auto"/>
      </w:pPr>
      <m:oMath>
        <m:sSub>
          <m:sSubPr>
            <m:ctrlPr>
              <w:rPr>
                <w:rFonts w:hint="default" w:ascii="Cambria Math" w:hAnsi="Cambria Math" w:cs="Cambria Math"/>
                <w:b w:val="0"/>
                <w:lang w:val="en-US" w:eastAsia="zh-CN"/>
              </w:rPr>
            </m:ctrlPr>
          </m:sSubPr>
          <m:e>
            <m:r>
              <m:rPr>
                <m:sty m:val="p"/>
              </m:rPr>
              <w:rPr>
                <w:rFonts w:hint="default" w:ascii="Cambria Math" w:hAnsi="Cambria Math" w:cs="Cambria Math"/>
                <w:lang w:val="en-US" w:eastAsia="zh-CN"/>
              </w:rPr>
              <m:t>E</m:t>
            </m:r>
            <m:ctrlPr>
              <w:rPr>
                <w:rFonts w:hint="default" w:ascii="Cambria Math" w:hAnsi="Cambria Math" w:cs="Cambria Math"/>
                <w:b w:val="0"/>
                <w:i w:val="0"/>
                <w:lang w:val="en-US" w:eastAsia="zh-CN"/>
              </w:rPr>
            </m:ctrlPr>
          </m:e>
          <m:sub>
            <m:r>
              <m:rPr>
                <m:sty m:val="p"/>
              </m:rPr>
              <w:rPr>
                <w:rFonts w:hint="default" w:ascii="Cambria Math" w:hAnsi="Cambria Math" w:cs="Cambria Math"/>
                <w:lang w:val="en-US" w:eastAsia="zh-CN"/>
              </w:rPr>
              <m:t>3</m:t>
            </m:r>
            <m:ctrlPr>
              <w:rPr>
                <w:rFonts w:hint="default" w:ascii="Cambria Math" w:hAnsi="Cambria Math" w:cs="Cambria Math"/>
                <w:b w:val="0"/>
                <w:i w:val="0"/>
                <w:lang w:val="en-US" w:eastAsia="zh-CN"/>
              </w:rPr>
            </m:ctrlPr>
          </m:sub>
        </m:sSub>
      </m:oMath>
      <w:r>
        <w:t>——</w:t>
      </w:r>
      <w:r>
        <w:rPr>
          <w:rFonts w:hint="eastAsia"/>
          <w:lang w:val="en-US" w:eastAsia="zh-CN"/>
        </w:rPr>
        <w:t>能量</w:t>
      </w:r>
      <w:r>
        <w:t>回收及</w:t>
      </w:r>
      <w:r>
        <w:rPr>
          <w:rFonts w:hint="eastAsia"/>
          <w:lang w:val="en-US" w:eastAsia="zh-CN"/>
        </w:rPr>
        <w:t>利用过程中消耗的能量</w:t>
      </w:r>
      <w:r>
        <w:t>，单位为吨标准煤（tce）。</w:t>
      </w:r>
    </w:p>
    <w:p w14:paraId="25877918">
      <w:pPr>
        <w:pStyle w:val="104"/>
        <w:bidi w:val="0"/>
      </w:pPr>
      <w:bookmarkStart w:id="71" w:name="_Toc16795"/>
      <w:bookmarkStart w:id="72" w:name="_Toc1340"/>
      <w:r>
        <w:rPr>
          <w:rFonts w:hint="eastAsia"/>
          <w:lang w:val="en-US" w:eastAsia="zh-CN"/>
        </w:rPr>
        <w:t>数据来源</w:t>
      </w:r>
      <w:bookmarkEnd w:id="71"/>
      <w:bookmarkEnd w:id="72"/>
    </w:p>
    <w:p w14:paraId="4630E6B8">
      <w:pPr>
        <w:pStyle w:val="56"/>
        <w:keepNext w:val="0"/>
        <w:keepLines w:val="0"/>
        <w:pageBreakBefore w:val="0"/>
        <w:widowControl/>
        <w:kinsoku/>
        <w:wordWrap/>
        <w:overflowPunct/>
        <w:topLinePunct w:val="0"/>
        <w:autoSpaceDE w:val="0"/>
        <w:autoSpaceDN w:val="0"/>
        <w:bidi w:val="0"/>
        <w:adjustRightInd/>
        <w:snapToGrid/>
        <w:textAlignment w:val="auto"/>
      </w:pPr>
      <w:r>
        <w:t>用于节能量计算的数据应来自于监测、测试及统计记录，与项目边界相对应，应满足以下要求：</w:t>
      </w:r>
    </w:p>
    <w:p w14:paraId="5541EE5D">
      <w:pPr>
        <w:pStyle w:val="174"/>
        <w:numPr>
          <w:ilvl w:val="0"/>
          <w:numId w:val="32"/>
        </w:numPr>
        <w:bidi w:val="0"/>
        <w:ind w:left="851" w:leftChars="0" w:hanging="426" w:firstLineChars="0"/>
      </w:pPr>
      <w:r>
        <w:t>用于项目节能量计算能耗数据及相关参数（温度、压力、流量等）应均来自</w:t>
      </w:r>
      <w:r>
        <w:rPr>
          <w:rFonts w:hint="eastAsia"/>
          <w:lang w:eastAsia="zh-CN"/>
        </w:rPr>
        <w:t>对应计量单元的</w:t>
      </w:r>
      <w:r>
        <w:t>计量仪表，且计量仪表应处于校准/检定有效状态，应查阅计量仪表的校准证书。</w:t>
      </w:r>
    </w:p>
    <w:p w14:paraId="0BA2A22A">
      <w:pPr>
        <w:pStyle w:val="174"/>
        <w:numPr>
          <w:ilvl w:val="0"/>
          <w:numId w:val="32"/>
        </w:numPr>
        <w:bidi w:val="0"/>
        <w:ind w:left="851" w:leftChars="0" w:hanging="426" w:firstLineChars="0"/>
      </w:pPr>
      <w:r>
        <w:rPr>
          <w:rFonts w:hint="eastAsia"/>
          <w:lang w:eastAsia="zh-CN"/>
        </w:rPr>
        <w:t>热值、效率</w:t>
      </w:r>
      <w:r>
        <w:t>等参数应采用测试计算获得，测试应在实际运行的工况下进行，可使用具备资质的第三方检测机构出具的检测结果</w:t>
      </w:r>
      <w:r>
        <w:rPr>
          <w:rFonts w:hint="eastAsia"/>
          <w:lang w:eastAsia="zh-CN"/>
        </w:rPr>
        <w:t>。</w:t>
      </w:r>
    </w:p>
    <w:p w14:paraId="54BAD784">
      <w:pPr>
        <w:pStyle w:val="174"/>
        <w:numPr>
          <w:ilvl w:val="0"/>
          <w:numId w:val="32"/>
        </w:numPr>
        <w:bidi w:val="0"/>
        <w:ind w:left="851" w:leftChars="0" w:hanging="426" w:firstLineChars="0"/>
      </w:pPr>
      <w:r>
        <w:rPr>
          <w:rFonts w:hint="eastAsia"/>
          <w:lang w:eastAsia="zh-CN"/>
        </w:rPr>
        <w:t>如果能耗数据</w:t>
      </w:r>
      <w:r>
        <w:t>存在多渠道来源，按照以下顺序选择：</w:t>
      </w:r>
    </w:p>
    <w:p w14:paraId="5418FBB3">
      <w:pPr>
        <w:pStyle w:val="56"/>
        <w:keepNext w:val="0"/>
        <w:keepLines w:val="0"/>
        <w:pageBreakBefore w:val="0"/>
        <w:widowControl/>
        <w:kinsoku/>
        <w:wordWrap/>
        <w:overflowPunct/>
        <w:topLinePunct w:val="0"/>
        <w:autoSpaceDE w:val="0"/>
        <w:autoSpaceDN w:val="0"/>
        <w:bidi w:val="0"/>
        <w:adjustRightInd/>
        <w:snapToGrid/>
        <w:textAlignment w:val="auto"/>
      </w:pPr>
      <w:r>
        <w:t>——计量统计数据；</w:t>
      </w:r>
    </w:p>
    <w:p w14:paraId="03350CF9">
      <w:pPr>
        <w:pStyle w:val="56"/>
        <w:keepNext w:val="0"/>
        <w:keepLines w:val="0"/>
        <w:pageBreakBefore w:val="0"/>
        <w:widowControl/>
        <w:kinsoku/>
        <w:wordWrap/>
        <w:overflowPunct/>
        <w:topLinePunct w:val="0"/>
        <w:autoSpaceDE w:val="0"/>
        <w:autoSpaceDN w:val="0"/>
        <w:bidi w:val="0"/>
        <w:adjustRightInd/>
        <w:snapToGrid/>
        <w:textAlignment w:val="auto"/>
      </w:pPr>
      <w:r>
        <w:t>——现场测试、实验室测试及监测结果；</w:t>
      </w:r>
    </w:p>
    <w:p w14:paraId="334ABB8A">
      <w:pPr>
        <w:pStyle w:val="56"/>
        <w:keepNext w:val="0"/>
        <w:keepLines w:val="0"/>
        <w:pageBreakBefore w:val="0"/>
        <w:widowControl/>
        <w:kinsoku/>
        <w:wordWrap/>
        <w:overflowPunct/>
        <w:topLinePunct w:val="0"/>
        <w:autoSpaceDE w:val="0"/>
        <w:autoSpaceDN w:val="0"/>
        <w:bidi w:val="0"/>
        <w:adjustRightInd/>
        <w:snapToGrid/>
        <w:textAlignment w:val="auto"/>
      </w:pPr>
      <w:r>
        <w:t>——具有资质的第三方检测报告；</w:t>
      </w:r>
    </w:p>
    <w:p w14:paraId="43CFBEBF">
      <w:pPr>
        <w:pStyle w:val="56"/>
        <w:keepNext w:val="0"/>
        <w:keepLines w:val="0"/>
        <w:pageBreakBefore w:val="0"/>
        <w:widowControl/>
        <w:kinsoku/>
        <w:wordWrap/>
        <w:overflowPunct/>
        <w:topLinePunct w:val="0"/>
        <w:autoSpaceDE w:val="0"/>
        <w:autoSpaceDN w:val="0"/>
        <w:bidi w:val="0"/>
        <w:adjustRightInd/>
        <w:snapToGrid/>
        <w:textAlignment w:val="auto"/>
        <w:rPr>
          <w:rFonts w:hint="eastAsia"/>
          <w:lang w:eastAsia="zh-CN"/>
        </w:rPr>
      </w:pPr>
      <w:r>
        <w:t>——财务凭证（发票或购买合同等）</w:t>
      </w:r>
      <w:r>
        <w:rPr>
          <w:rFonts w:hint="eastAsia"/>
          <w:lang w:eastAsia="zh-CN"/>
        </w:rPr>
        <w:t>。</w:t>
      </w:r>
    </w:p>
    <w:p w14:paraId="400B0A6E">
      <w:pPr>
        <w:pStyle w:val="179"/>
        <w:bidi w:val="0"/>
        <w:rPr>
          <w:rFonts w:hint="eastAsia"/>
          <w:lang w:eastAsia="zh-CN"/>
        </w:rPr>
      </w:pPr>
      <w:r>
        <w:t>如果采用非优先级的数据，需说明原因。</w:t>
      </w:r>
    </w:p>
    <w:p w14:paraId="248B63B5">
      <w:pPr>
        <w:pStyle w:val="174"/>
        <w:numPr>
          <w:ilvl w:val="0"/>
          <w:numId w:val="32"/>
        </w:numPr>
        <w:bidi w:val="0"/>
        <w:ind w:left="851" w:leftChars="0" w:hanging="426" w:firstLineChars="0"/>
      </w:pPr>
      <w:r>
        <w:rPr>
          <w:rFonts w:hint="eastAsia"/>
          <w:lang w:eastAsia="zh-CN"/>
        </w:rPr>
        <w:t>用于项目节能量计算的生产数据（处置量等）应来自于有效的生产统计记录。</w:t>
      </w:r>
    </w:p>
    <w:p w14:paraId="41CFDAEB">
      <w:pPr>
        <w:pStyle w:val="104"/>
        <w:bidi w:val="0"/>
      </w:pPr>
      <w:bookmarkStart w:id="73" w:name="_Toc23378"/>
      <w:bookmarkStart w:id="74" w:name="_Toc4405"/>
      <w:r>
        <w:rPr>
          <w:rFonts w:hint="eastAsia"/>
          <w:lang w:val="en-US" w:eastAsia="zh-CN"/>
        </w:rPr>
        <w:t>数据缺失处理</w:t>
      </w:r>
      <w:bookmarkEnd w:id="73"/>
      <w:bookmarkEnd w:id="74"/>
    </w:p>
    <w:p w14:paraId="1A147066">
      <w:pPr>
        <w:pStyle w:val="56"/>
        <w:keepNext w:val="0"/>
        <w:keepLines w:val="0"/>
        <w:pageBreakBefore w:val="0"/>
        <w:widowControl/>
        <w:kinsoku/>
        <w:wordWrap/>
        <w:overflowPunct/>
        <w:topLinePunct w:val="0"/>
        <w:autoSpaceDE w:val="0"/>
        <w:autoSpaceDN w:val="0"/>
        <w:bidi w:val="0"/>
        <w:adjustRightInd/>
        <w:snapToGrid/>
        <w:textAlignment w:val="auto"/>
      </w:pPr>
      <w:r>
        <w:t>对于数据的缺失处理应满足以下要求：</w:t>
      </w:r>
    </w:p>
    <w:p w14:paraId="627CF693">
      <w:pPr>
        <w:pStyle w:val="174"/>
        <w:numPr>
          <w:ilvl w:val="0"/>
          <w:numId w:val="33"/>
        </w:numPr>
        <w:bidi w:val="0"/>
        <w:ind w:left="851" w:leftChars="0" w:hanging="426" w:firstLineChars="0"/>
      </w:pPr>
      <w:r>
        <w:t>基期能耗数据如有缺失，可选择生产数据及生产条件基本相同的历史时期数据予以还原；</w:t>
      </w:r>
    </w:p>
    <w:p w14:paraId="0D9C9CEA">
      <w:pPr>
        <w:pStyle w:val="174"/>
        <w:numPr>
          <w:ilvl w:val="0"/>
          <w:numId w:val="33"/>
        </w:numPr>
        <w:bidi w:val="0"/>
        <w:ind w:left="851" w:leftChars="0" w:hanging="426" w:firstLineChars="0"/>
      </w:pPr>
      <w:r>
        <w:t>用于计算统计报告期能耗数</w:t>
      </w:r>
      <w:r>
        <w:rPr>
          <w:rFonts w:hint="eastAsia"/>
          <w:lang w:val="en-US" w:eastAsia="zh-CN"/>
        </w:rPr>
        <w:t>据的统计时间段</w:t>
      </w:r>
      <w:r>
        <w:t>应至少覆盖一个稳定的生产周期。</w:t>
      </w:r>
    </w:p>
    <w:p w14:paraId="79E4A46C">
      <w:pPr>
        <w:pStyle w:val="174"/>
        <w:numPr>
          <w:ilvl w:val="0"/>
          <w:numId w:val="0"/>
        </w:numPr>
        <w:bidi w:val="0"/>
        <w:sectPr>
          <w:pgSz w:w="11906" w:h="16838"/>
          <w:pgMar w:top="1928" w:right="1134" w:bottom="1134" w:left="1134" w:header="1418" w:footer="1134" w:gutter="284"/>
          <w:pgNumType w:fmt="decimal"/>
          <w:cols w:space="425" w:num="1"/>
          <w:formProt w:val="0"/>
          <w:docGrid w:linePitch="312" w:charSpace="0"/>
        </w:sectPr>
      </w:pPr>
    </w:p>
    <w:bookmarkEnd w:id="22"/>
    <w:p w14:paraId="22E440B0">
      <w:pPr>
        <w:pStyle w:val="63"/>
        <w:bidi w:val="0"/>
        <w:rPr>
          <w:rFonts w:hint="eastAsia"/>
          <w:lang w:eastAsia="zh-CN"/>
        </w:rPr>
      </w:pPr>
      <w:bookmarkStart w:id="75" w:name="BookMark6"/>
      <w:r>
        <w:rPr>
          <w:rFonts w:hint="eastAsia"/>
          <w:spacing w:val="105"/>
          <w:lang w:eastAsia="zh-CN"/>
        </w:rPr>
        <w:t>参考文</w:t>
      </w:r>
      <w:r>
        <w:rPr>
          <w:rFonts w:hint="eastAsia"/>
          <w:lang w:eastAsia="zh-CN"/>
        </w:rPr>
        <w:t>献</w:t>
      </w:r>
    </w:p>
    <w:p w14:paraId="78833403">
      <w:pPr>
        <w:pStyle w:val="56"/>
        <w:numPr>
          <w:ilvl w:val="0"/>
          <w:numId w:val="34"/>
        </w:numPr>
        <w:bidi w:val="0"/>
      </w:pPr>
      <w:r>
        <w:rPr>
          <w:rFonts w:hint="eastAsia"/>
          <w:lang w:eastAsia="zh-CN"/>
        </w:rPr>
        <w:t>国家发展改革委 财政部.《节能项目节能量审核指南》（发改环资〔2008〕704号）.2008年3月14日</w:t>
      </w:r>
    </w:p>
    <w:bookmarkEnd w:id="75"/>
    <w:p w14:paraId="32282614">
      <w:pPr>
        <w:pStyle w:val="56"/>
        <w:bidi w:val="0"/>
        <w:ind w:left="0" w:leftChars="0" w:firstLine="0" w:firstLineChars="0"/>
        <w:jc w:val="center"/>
        <w:rPr>
          <w:rFonts w:hint="eastAsia" w:eastAsia="宋体"/>
          <w:lang w:eastAsia="zh-CN"/>
        </w:rPr>
      </w:pPr>
      <w:bookmarkStart w:id="76" w:name="BookMark8"/>
      <w:r>
        <w:rPr>
          <w:rFonts w:hint="eastAsia" w:eastAsia="宋体"/>
          <w:lang w:eastAsia="zh-CN"/>
        </w:rPr>
        <w:drawing>
          <wp:inline distT="0" distB="0" distL="114300" distR="114300">
            <wp:extent cx="1485900" cy="317500"/>
            <wp:effectExtent l="0" t="0" r="0" b="0"/>
            <wp:docPr id="3" name="图片 3" descr="1"/>
            <wp:cNvGraphicFramePr/>
            <a:graphic xmlns:a="http://schemas.openxmlformats.org/drawingml/2006/main">
              <a:graphicData uri="http://schemas.openxmlformats.org/drawingml/2006/picture">
                <pic:pic xmlns:pic="http://schemas.openxmlformats.org/drawingml/2006/picture">
                  <pic:nvPicPr>
                    <pic:cNvPr id="3" name="图片 3" descr="1"/>
                    <pic:cNvPicPr/>
                  </pic:nvPicPr>
                  <pic:blipFill>
                    <a:blip r:embed="rId15"/>
                    <a:stretch>
                      <a:fillRect/>
                    </a:stretch>
                  </pic:blipFill>
                  <pic:spPr>
                    <a:xfrm>
                      <a:off x="0" y="0"/>
                      <a:ext cx="1485900" cy="317500"/>
                    </a:xfrm>
                    <a:prstGeom prst="rect">
                      <a:avLst/>
                    </a:prstGeom>
                  </pic:spPr>
                </pic:pic>
              </a:graphicData>
            </a:graphic>
          </wp:inline>
        </w:drawing>
      </w:r>
      <w:bookmarkEnd w:id="76"/>
    </w:p>
    <w:sectPr>
      <w:pgSz w:w="11906" w:h="16838"/>
      <w:pgMar w:top="1928" w:right="1134" w:bottom="1134" w:left="1134" w:header="1418" w:footer="1134" w:gutter="284"/>
      <w:pgNumType w:fmt="decimal"/>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00007A87" w:usb1="80000000" w:usb2="00000008"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MathJax_Vector">
    <w:panose1 w:val="02000603000000000000"/>
    <w:charset w:val="00"/>
    <w:family w:val="auto"/>
    <w:pitch w:val="default"/>
    <w:sig w:usb0="00000001" w:usb1="00000020" w:usb2="00000000" w:usb3="00000000" w:csb0="00000001" w:csb1="00000000"/>
  </w:font>
  <w:font w:name="等线 Light">
    <w:altName w:val="华文仿宋"/>
    <w:panose1 w:val="02010600030101010101"/>
    <w:charset w:val="86"/>
    <w:family w:val="auto"/>
    <w:pitch w:val="default"/>
    <w:sig w:usb0="00000000" w:usb1="00000000" w:usb2="00000016" w:usb3="00000000" w:csb0="0004000F" w:csb1="00000000"/>
  </w:font>
  <w:font w:name="Cambria Math">
    <w:altName w:val="DejaVu Math TeX Gyre"/>
    <w:panose1 w:val="02040503050406030204"/>
    <w:charset w:val="00"/>
    <w:family w:val="auto"/>
    <w:pitch w:val="default"/>
    <w:sig w:usb0="00000000" w:usb1="00000000" w:usb2="02000000" w:usb3="00000000" w:csb0="2000019F" w:csb1="00000000"/>
  </w:font>
  <w:font w:name="DejaVu Math TeX Gyre">
    <w:panose1 w:val="02000503000000000000"/>
    <w:charset w:val="00"/>
    <w:family w:val="auto"/>
    <w:pitch w:val="default"/>
    <w:sig w:usb0="A10000EF" w:usb1="4201F9EE" w:usb2="02000000" w:usb3="00000000" w:csb0="60000193" w:csb1="0DD40000"/>
  </w:font>
  <w:font w:name="微软雅黑">
    <w:altName w:val="方正黑体_GBK"/>
    <w:panose1 w:val="020B0503020204020204"/>
    <w:charset w:val="86"/>
    <w:family w:val="auto"/>
    <w:pitch w:val="default"/>
    <w:sig w:usb0="00000000" w:usb1="00000000" w:usb2="00000016" w:usb3="00000000" w:csb0="0004001F" w:csb1="00000000"/>
  </w:font>
  <w:font w:name="C059">
    <w:panose1 w:val="00000500000000000000"/>
    <w:charset w:val="00"/>
    <w:family w:val="auto"/>
    <w:pitch w:val="default"/>
    <w:sig w:usb0="00000287" w:usb1="00000800" w:usb2="00000000" w:usb3="00000000" w:csb0="6000009F"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26B6D">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8E29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2EF22">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61CD1">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3CA2E">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13336">
    <w:pPr>
      <w:pStyle w:val="61"/>
      <w:rPr>
        <w:rFonts w:hint="eastAsia"/>
      </w:rPr>
    </w:pPr>
    <w:r>
      <w:fldChar w:fldCharType="begin"/>
    </w:r>
    <w:r>
      <w:instrText xml:space="preserve"> STYLEREF  标准文件_文件编号  \* MERGEFORMAT </w:instrText>
    </w:r>
    <w:r>
      <w:fldChar w:fldCharType="separate"/>
    </w:r>
    <w:r>
      <w:t>T/GXAS XXXX—2026</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36B88">
    <w:pPr>
      <w:pStyle w:val="18"/>
      <w:jc w:val="right"/>
    </w:pPr>
    <w:r>
      <w:fldChar w:fldCharType="begin"/>
    </w:r>
    <w:r>
      <w:instrText xml:space="preserve"> STYLEREF  标准文件_文件编号  \* MERGEFORMAT </w:instrText>
    </w:r>
    <w:r>
      <w:fldChar w:fldCharType="separate"/>
    </w:r>
    <w:r>
      <w:t>T/GXAS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FE9CA3"/>
    <w:multiLevelType w:val="multilevel"/>
    <w:tmpl w:val="D3FE9CA3"/>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3B4C09A8"/>
    <w:multiLevelType w:val="multilevel"/>
    <w:tmpl w:val="3B4C09A8"/>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78135D7B"/>
    <w:multiLevelType w:val="singleLevel"/>
    <w:tmpl w:val="78135D7B"/>
    <w:lvl w:ilvl="0" w:tentative="0">
      <w:start w:val="1"/>
      <w:numFmt w:val="decimal"/>
      <w:suff w:val="space"/>
      <w:lvlText w:val="[%1]"/>
      <w:lvlJc w:val="left"/>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2"/>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1"/>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0" w:hash="1thYNMrWJHtVroytuWh5WoAq8bg=" w:salt="/d6l3aDPp0ftLjisgcRmZ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BBD0162"/>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D5DD29"/>
    <w:rsid w:val="1E6F9C52"/>
    <w:rsid w:val="2B7DCE39"/>
    <w:rsid w:val="2BBD0162"/>
    <w:rsid w:val="4F7F82B2"/>
    <w:rsid w:val="5FBF6D1B"/>
    <w:rsid w:val="6A3F241E"/>
    <w:rsid w:val="791C6B2C"/>
    <w:rsid w:val="7CFE0075"/>
    <w:rsid w:val="7FED5ABC"/>
    <w:rsid w:val="7FFFEB12"/>
    <w:rsid w:val="A9DDE843"/>
    <w:rsid w:val="AF7C96F8"/>
    <w:rsid w:val="B57D9233"/>
    <w:rsid w:val="EFD5F2C6"/>
    <w:rsid w:val="F7BFA325"/>
    <w:rsid w:val="F7FF7408"/>
    <w:rsid w:val="FCF7A1CB"/>
    <w:rsid w:val="FF770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suma/C:\home\suma\D:\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B3BEDB4F2724F9D81F4444A5CCE266D"/>
        <w:style w:val=""/>
        <w:category>
          <w:name w:val="常规"/>
          <w:gallery w:val="placeholder"/>
        </w:category>
        <w:types>
          <w:type w:val="bbPlcHdr"/>
        </w:types>
        <w:behaviors>
          <w:behavior w:val="content"/>
        </w:behaviors>
        <w:description w:val=""/>
        <w:guid w:val="{9A791DFB-56F6-4B85-997E-8EF3CEE1C2DA}"/>
      </w:docPartPr>
      <w:docPartBody>
        <w:p w14:paraId="51E07958">
          <w:pPr>
            <w:pStyle w:val="5"/>
          </w:pPr>
          <w:r>
            <w:rPr>
              <w:rStyle w:val="4"/>
              <w:rFonts w:hint="eastAsia"/>
            </w:rPr>
            <w:t>单击或点击此处输入文字。</w:t>
          </w:r>
        </w:p>
      </w:docPartBody>
    </w:docPart>
    <w:docPart>
      <w:docPartPr>
        <w:name w:val="{26fa2485-6f56-4cf1-b52e-3819542468f8}"/>
        <w:style w:val=""/>
        <w:category>
          <w:name w:val="常规"/>
          <w:gallery w:val="placeholder"/>
        </w:category>
        <w:types>
          <w:type w:val="bbPlcHdr"/>
        </w:types>
        <w:behaviors>
          <w:behavior w:val="content"/>
        </w:behaviors>
        <w:description w:val=""/>
        <w:guid w:val="{26fa2485-6f56-4cf1-b52e-3819542468f8}"/>
      </w:docPartPr>
      <w:docPartBody>
        <w:p w14:paraId="1B114E76">
          <w:pPr>
            <w:pStyle w:val="5"/>
          </w:pPr>
          <w:r>
            <w:rPr>
              <w:rStyle w:val="4"/>
              <w:rFonts w:hint="eastAsia"/>
            </w:rPr>
            <w:t>单击或点击此处输入文字。</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w:altName w:val="仿宋"/>
    <w:panose1 w:val="00000000000000000000"/>
    <w:charset w:val="86"/>
    <w:family w:val="auto"/>
    <w:pitch w:val="default"/>
    <w:sig w:usb0="00000000" w:usb1="00000000" w:usb2="00000000" w:usb3="00000000" w:csb0="00000000" w:csb1="00000000"/>
  </w:font>
  <w:font w:name="等线">
    <w:altName w:val="C059"/>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0EA"/>
    <w:rsid w:val="005D70EA"/>
    <w:rsid w:val="006E2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B3BEDB4F2724F9D81F4444A5CCE266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8956B8278AF41489B4C226600D2E8C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DD487E154D8B46B1811108614A11313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Pages>6</Pages>
  <Words>1951</Words>
  <Characters>2283</Characters>
  <Lines>4</Lines>
  <Paragraphs>1</Paragraphs>
  <TotalTime>30</TotalTime>
  <ScaleCrop>false</ScaleCrop>
  <LinksUpToDate>false</LinksUpToDate>
  <CharactersWithSpaces>2362</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2026-03-28T20:02:00Z</dcterms:created>
  <dc:creator>HH</dc:creator>
  <cp:lastModifiedBy>HH</cp:lastModifiedBy>
  <dcterms:modified xsi:type="dcterms:W3CDTF">2026-06-10T08:45:30Z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7E1D3A6D6C2E45CFA4BB5928FBEDD7C9_11</vt:lpwstr>
  </property>
  <property fmtid="{D5CDD505-2E9C-101B-9397-08002B2CF9AE}" pid="15" name="KSOTemplateDocerSaveRecord">
    <vt:lpwstr>eyJoZGlkIjoiOWEwZDc4NjI1MWFjMmM2YzVlMTM4MGY4MGE1NmU0NTkiLCJ1c2VySWQiOiIzMzM3MzQ1NDgifQ==</vt:lpwstr>
  </property>
  <property fmtid="{D5CDD505-2E9C-101B-9397-08002B2CF9AE}" pid="16" name="KSOProductBuildVer">
    <vt:lpwstr>2052-12.8.2.1119</vt:lpwstr>
  </property>
</Properties>
</file>