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F4380A">
      <w:pPr>
        <w:wordWrap w:val="0"/>
        <w:spacing w:line="500" w:lineRule="exact"/>
        <w:jc w:val="center"/>
        <w:rPr>
          <w:rFonts w:eastAsia="仿宋"/>
          <w:b/>
          <w:bCs/>
          <w:color w:val="auto"/>
          <w:kern w:val="0"/>
          <w:sz w:val="32"/>
          <w:szCs w:val="32"/>
        </w:rPr>
      </w:pPr>
    </w:p>
    <w:p w14:paraId="08E87771">
      <w:pPr>
        <w:wordWrap w:val="0"/>
        <w:spacing w:line="500" w:lineRule="exact"/>
        <w:jc w:val="center"/>
        <w:rPr>
          <w:rFonts w:eastAsia="仿宋"/>
          <w:b/>
          <w:bCs/>
          <w:color w:val="auto"/>
          <w:kern w:val="0"/>
          <w:sz w:val="32"/>
          <w:szCs w:val="32"/>
        </w:rPr>
      </w:pPr>
    </w:p>
    <w:p w14:paraId="7D3E0BDA">
      <w:pPr>
        <w:wordWrap w:val="0"/>
        <w:spacing w:line="500" w:lineRule="exact"/>
        <w:jc w:val="center"/>
        <w:rPr>
          <w:rFonts w:eastAsia="仿宋"/>
          <w:b/>
          <w:bCs/>
          <w:color w:val="auto"/>
          <w:kern w:val="0"/>
          <w:sz w:val="32"/>
          <w:szCs w:val="32"/>
        </w:rPr>
      </w:pPr>
    </w:p>
    <w:p w14:paraId="18CF892F">
      <w:pPr>
        <w:wordWrap w:val="0"/>
        <w:spacing w:line="500" w:lineRule="exact"/>
        <w:jc w:val="center"/>
        <w:rPr>
          <w:rFonts w:eastAsia="仿宋"/>
          <w:b/>
          <w:bCs/>
          <w:color w:val="auto"/>
          <w:kern w:val="0"/>
          <w:sz w:val="32"/>
          <w:szCs w:val="32"/>
        </w:rPr>
      </w:pPr>
    </w:p>
    <w:p w14:paraId="67A5AEB1">
      <w:pPr>
        <w:wordWrap w:val="0"/>
        <w:spacing w:line="500" w:lineRule="exact"/>
        <w:jc w:val="center"/>
        <w:rPr>
          <w:rFonts w:eastAsia="仿宋"/>
          <w:b/>
          <w:bCs/>
          <w:color w:val="auto"/>
          <w:kern w:val="0"/>
          <w:sz w:val="32"/>
          <w:szCs w:val="32"/>
        </w:rPr>
      </w:pPr>
    </w:p>
    <w:p w14:paraId="0719F160">
      <w:pPr>
        <w:wordWrap w:val="0"/>
        <w:spacing w:line="500" w:lineRule="exact"/>
        <w:jc w:val="center"/>
        <w:rPr>
          <w:rFonts w:eastAsia="仿宋"/>
          <w:b/>
          <w:bCs/>
          <w:color w:val="auto"/>
          <w:kern w:val="0"/>
          <w:sz w:val="32"/>
          <w:szCs w:val="32"/>
        </w:rPr>
      </w:pPr>
    </w:p>
    <w:p w14:paraId="1590887E">
      <w:pPr>
        <w:wordWrap w:val="0"/>
        <w:spacing w:line="500" w:lineRule="exact"/>
        <w:jc w:val="center"/>
        <w:rPr>
          <w:rFonts w:hint="eastAsia" w:ascii="黑体" w:hAnsi="黑体" w:eastAsia="黑体" w:cs="黑体"/>
          <w:color w:val="auto"/>
          <w:kern w:val="0"/>
          <w:sz w:val="36"/>
          <w:szCs w:val="36"/>
        </w:rPr>
      </w:pPr>
      <w:r>
        <w:rPr>
          <w:rFonts w:hint="eastAsia" w:ascii="黑体" w:hAnsi="黑体" w:eastAsia="黑体" w:cs="黑体"/>
          <w:color w:val="auto"/>
          <w:kern w:val="0"/>
          <w:sz w:val="36"/>
          <w:szCs w:val="36"/>
        </w:rPr>
        <w:t>团体标准《新型吸附剂喷吸-过滤协同净化气粒复合</w:t>
      </w:r>
    </w:p>
    <w:p w14:paraId="01BCAEF3">
      <w:pPr>
        <w:wordWrap w:val="0"/>
        <w:spacing w:line="500" w:lineRule="exact"/>
        <w:jc w:val="center"/>
        <w:rPr>
          <w:rFonts w:hint="eastAsia" w:ascii="黑体" w:hAnsi="黑体" w:eastAsia="黑体" w:cs="黑体"/>
          <w:color w:val="auto"/>
          <w:kern w:val="0"/>
          <w:sz w:val="36"/>
          <w:szCs w:val="36"/>
        </w:rPr>
      </w:pPr>
      <w:r>
        <w:rPr>
          <w:rFonts w:hint="eastAsia" w:ascii="黑体" w:hAnsi="黑体" w:eastAsia="黑体" w:cs="黑体"/>
          <w:color w:val="auto"/>
          <w:kern w:val="0"/>
          <w:sz w:val="36"/>
          <w:szCs w:val="36"/>
        </w:rPr>
        <w:t>废气技术规范》（征求意见稿）</w:t>
      </w:r>
    </w:p>
    <w:p w14:paraId="2268CBBF">
      <w:pPr>
        <w:wordWrap w:val="0"/>
        <w:spacing w:line="500" w:lineRule="exact"/>
        <w:jc w:val="center"/>
        <w:rPr>
          <w:rFonts w:hint="eastAsia" w:ascii="黑体" w:hAnsi="黑体" w:eastAsia="黑体" w:cs="黑体"/>
          <w:color w:val="auto"/>
          <w:kern w:val="0"/>
          <w:sz w:val="36"/>
          <w:szCs w:val="36"/>
        </w:rPr>
      </w:pPr>
      <w:r>
        <w:rPr>
          <w:rFonts w:hint="eastAsia" w:ascii="黑体" w:hAnsi="黑体" w:eastAsia="黑体" w:cs="黑体"/>
          <w:color w:val="auto"/>
          <w:kern w:val="0"/>
          <w:sz w:val="36"/>
          <w:szCs w:val="36"/>
        </w:rPr>
        <w:t>编制说明</w:t>
      </w:r>
    </w:p>
    <w:p w14:paraId="0E27093B">
      <w:pPr>
        <w:pStyle w:val="12"/>
        <w:spacing w:line="500" w:lineRule="exact"/>
        <w:rPr>
          <w:rFonts w:eastAsia="仿宋"/>
          <w:b/>
          <w:bCs/>
          <w:color w:val="auto"/>
          <w:kern w:val="0"/>
          <w:sz w:val="32"/>
          <w:szCs w:val="32"/>
        </w:rPr>
      </w:pPr>
    </w:p>
    <w:p w14:paraId="4D7494D8">
      <w:pPr>
        <w:pStyle w:val="12"/>
        <w:spacing w:line="500" w:lineRule="exact"/>
        <w:rPr>
          <w:rFonts w:eastAsia="仿宋"/>
          <w:b/>
          <w:bCs/>
          <w:color w:val="auto"/>
          <w:kern w:val="0"/>
          <w:sz w:val="32"/>
          <w:szCs w:val="32"/>
        </w:rPr>
      </w:pPr>
    </w:p>
    <w:p w14:paraId="207B2E52">
      <w:pPr>
        <w:pStyle w:val="12"/>
        <w:tabs>
          <w:tab w:val="left" w:pos="3780"/>
        </w:tabs>
        <w:spacing w:line="500" w:lineRule="exact"/>
        <w:rPr>
          <w:rFonts w:eastAsia="仿宋"/>
          <w:b/>
          <w:bCs/>
          <w:color w:val="auto"/>
          <w:kern w:val="0"/>
          <w:sz w:val="32"/>
          <w:szCs w:val="32"/>
        </w:rPr>
      </w:pPr>
    </w:p>
    <w:p w14:paraId="4384B539">
      <w:pPr>
        <w:pStyle w:val="12"/>
        <w:spacing w:line="500" w:lineRule="exact"/>
        <w:rPr>
          <w:rFonts w:eastAsia="仿宋"/>
          <w:b/>
          <w:bCs/>
          <w:color w:val="auto"/>
          <w:kern w:val="0"/>
          <w:sz w:val="32"/>
          <w:szCs w:val="32"/>
        </w:rPr>
      </w:pPr>
    </w:p>
    <w:p w14:paraId="219ECD48">
      <w:pPr>
        <w:pStyle w:val="12"/>
        <w:spacing w:line="500" w:lineRule="exact"/>
        <w:rPr>
          <w:rFonts w:eastAsia="仿宋"/>
          <w:b/>
          <w:bCs/>
          <w:color w:val="auto"/>
          <w:kern w:val="0"/>
          <w:sz w:val="32"/>
          <w:szCs w:val="32"/>
        </w:rPr>
      </w:pPr>
    </w:p>
    <w:p w14:paraId="06D1F827">
      <w:pPr>
        <w:pStyle w:val="12"/>
        <w:spacing w:line="500" w:lineRule="exact"/>
        <w:rPr>
          <w:rFonts w:eastAsia="仿宋"/>
          <w:b/>
          <w:bCs/>
          <w:color w:val="auto"/>
          <w:kern w:val="0"/>
          <w:sz w:val="32"/>
          <w:szCs w:val="32"/>
        </w:rPr>
      </w:pPr>
    </w:p>
    <w:p w14:paraId="5E9EC47C">
      <w:pPr>
        <w:pStyle w:val="12"/>
        <w:spacing w:line="500" w:lineRule="exact"/>
        <w:rPr>
          <w:rFonts w:eastAsia="仿宋"/>
          <w:b/>
          <w:bCs/>
          <w:color w:val="auto"/>
          <w:kern w:val="0"/>
          <w:sz w:val="32"/>
          <w:szCs w:val="32"/>
        </w:rPr>
      </w:pPr>
    </w:p>
    <w:p w14:paraId="476083F0">
      <w:pPr>
        <w:pStyle w:val="12"/>
        <w:spacing w:line="500" w:lineRule="exact"/>
        <w:rPr>
          <w:rFonts w:eastAsia="仿宋"/>
          <w:b/>
          <w:bCs/>
          <w:color w:val="auto"/>
          <w:kern w:val="0"/>
          <w:sz w:val="32"/>
          <w:szCs w:val="32"/>
        </w:rPr>
      </w:pPr>
    </w:p>
    <w:p w14:paraId="641E838C">
      <w:pPr>
        <w:pStyle w:val="12"/>
        <w:spacing w:line="500" w:lineRule="exact"/>
        <w:rPr>
          <w:rFonts w:eastAsia="仿宋"/>
          <w:b/>
          <w:bCs/>
          <w:color w:val="auto"/>
          <w:kern w:val="0"/>
          <w:sz w:val="32"/>
          <w:szCs w:val="32"/>
        </w:rPr>
      </w:pPr>
    </w:p>
    <w:p w14:paraId="635BAE0C">
      <w:pPr>
        <w:pStyle w:val="12"/>
        <w:spacing w:line="500" w:lineRule="exact"/>
        <w:rPr>
          <w:rFonts w:eastAsia="仿宋"/>
          <w:b/>
          <w:bCs/>
          <w:color w:val="auto"/>
          <w:kern w:val="0"/>
          <w:sz w:val="32"/>
          <w:szCs w:val="32"/>
        </w:rPr>
      </w:pPr>
    </w:p>
    <w:p w14:paraId="3FB974EF">
      <w:pPr>
        <w:pStyle w:val="12"/>
        <w:spacing w:line="500" w:lineRule="exact"/>
        <w:rPr>
          <w:rFonts w:eastAsia="仿宋"/>
          <w:b/>
          <w:bCs/>
          <w:color w:val="auto"/>
          <w:kern w:val="0"/>
          <w:sz w:val="32"/>
          <w:szCs w:val="32"/>
        </w:rPr>
      </w:pPr>
    </w:p>
    <w:p w14:paraId="4CC6D02E">
      <w:pPr>
        <w:pStyle w:val="12"/>
        <w:spacing w:line="500" w:lineRule="exact"/>
        <w:rPr>
          <w:rFonts w:eastAsia="仿宋"/>
          <w:b/>
          <w:bCs/>
          <w:color w:val="auto"/>
          <w:kern w:val="0"/>
          <w:sz w:val="32"/>
          <w:szCs w:val="32"/>
        </w:rPr>
      </w:pPr>
    </w:p>
    <w:p w14:paraId="5907D3BE">
      <w:pPr>
        <w:pStyle w:val="12"/>
        <w:spacing w:line="500" w:lineRule="exact"/>
        <w:rPr>
          <w:rFonts w:eastAsia="仿宋"/>
          <w:b/>
          <w:bCs/>
          <w:color w:val="auto"/>
          <w:kern w:val="0"/>
          <w:sz w:val="32"/>
          <w:szCs w:val="32"/>
        </w:rPr>
      </w:pPr>
    </w:p>
    <w:p w14:paraId="460F1B82">
      <w:pPr>
        <w:wordWrap w:val="0"/>
        <w:spacing w:line="500" w:lineRule="exact"/>
        <w:jc w:val="center"/>
        <w:rPr>
          <w:rFonts w:hint="eastAsia" w:ascii="黑体" w:eastAsia="黑体"/>
          <w:color w:val="auto"/>
          <w:sz w:val="28"/>
          <w:szCs w:val="28"/>
        </w:rPr>
      </w:pPr>
      <w:r>
        <w:rPr>
          <w:rFonts w:hint="eastAsia" w:ascii="黑体" w:eastAsia="黑体"/>
          <w:color w:val="auto"/>
          <w:sz w:val="28"/>
          <w:szCs w:val="28"/>
        </w:rPr>
        <w:t>团体标准《新型吸附剂喷吸-过滤协同净化气粒复合</w:t>
      </w:r>
    </w:p>
    <w:p w14:paraId="5ABE605E">
      <w:pPr>
        <w:wordWrap w:val="0"/>
        <w:spacing w:line="500" w:lineRule="exact"/>
        <w:jc w:val="center"/>
        <w:rPr>
          <w:rFonts w:hint="eastAsia" w:ascii="黑体" w:eastAsia="黑体"/>
          <w:color w:val="auto"/>
          <w:sz w:val="28"/>
          <w:szCs w:val="28"/>
        </w:rPr>
      </w:pPr>
      <w:r>
        <w:rPr>
          <w:rFonts w:hint="eastAsia" w:ascii="黑体" w:eastAsia="黑体"/>
          <w:color w:val="auto"/>
          <w:sz w:val="28"/>
          <w:szCs w:val="28"/>
        </w:rPr>
        <w:t>废气技术规范》</w:t>
      </w:r>
    </w:p>
    <w:p w14:paraId="658AF9BC">
      <w:pPr>
        <w:wordWrap w:val="0"/>
        <w:spacing w:line="500" w:lineRule="exact"/>
        <w:jc w:val="center"/>
        <w:rPr>
          <w:rFonts w:hint="eastAsia" w:ascii="黑体" w:eastAsia="黑体"/>
          <w:color w:val="auto"/>
          <w:sz w:val="28"/>
          <w:szCs w:val="28"/>
        </w:rPr>
      </w:pPr>
      <w:r>
        <w:rPr>
          <w:rFonts w:hint="eastAsia" w:ascii="黑体" w:eastAsia="黑体"/>
          <w:color w:val="auto"/>
          <w:sz w:val="28"/>
          <w:szCs w:val="28"/>
        </w:rPr>
        <w:t>标准编制组</w:t>
      </w:r>
    </w:p>
    <w:p w14:paraId="632254E8">
      <w:pPr>
        <w:wordWrap w:val="0"/>
        <w:spacing w:line="500" w:lineRule="exact"/>
        <w:jc w:val="center"/>
        <w:rPr>
          <w:rFonts w:ascii="黑体" w:eastAsia="黑体"/>
          <w:color w:val="auto"/>
          <w:sz w:val="28"/>
          <w:szCs w:val="28"/>
        </w:rPr>
      </w:pPr>
      <w:r>
        <w:rPr>
          <w:rFonts w:hint="eastAsia" w:ascii="黑体" w:eastAsia="黑体"/>
          <w:color w:val="auto"/>
          <w:sz w:val="28"/>
          <w:szCs w:val="28"/>
        </w:rPr>
        <w:t>二〇二六年二月</w:t>
      </w:r>
    </w:p>
    <w:p w14:paraId="65B54A6D">
      <w:pPr>
        <w:spacing w:line="500" w:lineRule="exact"/>
        <w:jc w:val="center"/>
        <w:rPr>
          <w:rFonts w:eastAsia="仿宋"/>
          <w:b/>
          <w:bCs/>
          <w:color w:val="auto"/>
          <w:kern w:val="0"/>
          <w:sz w:val="32"/>
          <w:szCs w:val="32"/>
        </w:rPr>
      </w:pPr>
    </w:p>
    <w:p w14:paraId="76C59DCF">
      <w:pPr>
        <w:spacing w:line="500" w:lineRule="exact"/>
        <w:jc w:val="center"/>
        <w:rPr>
          <w:rFonts w:eastAsia="仿宋"/>
          <w:b/>
          <w:bCs/>
          <w:color w:val="auto"/>
          <w:kern w:val="0"/>
          <w:sz w:val="32"/>
          <w:szCs w:val="32"/>
        </w:rPr>
      </w:pPr>
    </w:p>
    <w:p w14:paraId="620BD523">
      <w:pPr>
        <w:spacing w:beforeLines="50" w:afterLines="50" w:line="500" w:lineRule="exact"/>
        <w:rPr>
          <w:rFonts w:hint="eastAsia" w:eastAsia="黑体"/>
          <w:color w:val="auto"/>
          <w:sz w:val="28"/>
        </w:rPr>
      </w:pPr>
      <w:r>
        <w:rPr>
          <w:rFonts w:eastAsia="黑体"/>
          <w:color w:val="auto"/>
          <w:sz w:val="28"/>
        </w:rPr>
        <w:t>项目名称：</w:t>
      </w:r>
      <w:r>
        <w:rPr>
          <w:rFonts w:hint="eastAsia" w:eastAsia="黑体"/>
          <w:color w:val="auto"/>
          <w:sz w:val="28"/>
        </w:rPr>
        <w:t>新型吸附剂喷吸-过滤协同净化气粒复合废气技术规范</w:t>
      </w:r>
    </w:p>
    <w:p w14:paraId="61FB1F33">
      <w:pPr>
        <w:widowControl/>
        <w:spacing w:beforeLines="50" w:afterLines="50" w:line="500" w:lineRule="exact"/>
        <w:jc w:val="left"/>
        <w:rPr>
          <w:rFonts w:hint="eastAsia" w:eastAsia="黑体"/>
          <w:color w:val="auto"/>
          <w:sz w:val="28"/>
          <w:lang w:val="zh-CN"/>
        </w:rPr>
      </w:pPr>
      <w:r>
        <w:rPr>
          <w:rFonts w:eastAsia="黑体"/>
          <w:color w:val="auto"/>
          <w:sz w:val="28"/>
        </w:rPr>
        <w:t>项目统一编号：</w:t>
      </w:r>
      <w:r>
        <w:rPr>
          <w:rFonts w:hint="eastAsia" w:eastAsia="黑体"/>
          <w:color w:val="auto"/>
          <w:sz w:val="28"/>
          <w:lang w:val="zh-CN"/>
        </w:rPr>
        <w:t>2025-3904</w:t>
      </w:r>
    </w:p>
    <w:p w14:paraId="017E74C4">
      <w:pPr>
        <w:spacing w:beforeLines="50" w:afterLines="50" w:line="500" w:lineRule="exact"/>
        <w:rPr>
          <w:rFonts w:eastAsia="黑体"/>
          <w:color w:val="auto"/>
          <w:sz w:val="28"/>
        </w:rPr>
      </w:pPr>
      <w:r>
        <w:rPr>
          <w:rFonts w:hint="eastAsia" w:eastAsia="黑体"/>
          <w:color w:val="auto"/>
          <w:sz w:val="28"/>
        </w:rPr>
        <w:t>本文件起草单位：桂林理工大学、广西科穗环境科技有限公司、贵港市芭田生态有限公司。</w:t>
      </w:r>
    </w:p>
    <w:p w14:paraId="0E0A06EB">
      <w:pPr>
        <w:pStyle w:val="16"/>
        <w:autoSpaceDE w:val="0"/>
        <w:autoSpaceDN w:val="0"/>
        <w:spacing w:before="0" w:beforeAutospacing="0" w:after="0" w:afterAutospacing="0" w:line="500" w:lineRule="exact"/>
        <w:jc w:val="both"/>
        <w:rPr>
          <w:rFonts w:hint="eastAsia" w:ascii="Times New Roman" w:hAnsi="Times New Roman" w:eastAsia="黑体"/>
          <w:color w:val="auto"/>
          <w:kern w:val="2"/>
          <w:sz w:val="28"/>
          <w:szCs w:val="22"/>
        </w:rPr>
      </w:pPr>
      <w:r>
        <w:rPr>
          <w:rFonts w:hint="eastAsia" w:ascii="Times New Roman" w:hAnsi="Times New Roman" w:eastAsia="黑体"/>
          <w:color w:val="auto"/>
          <w:kern w:val="2"/>
          <w:sz w:val="28"/>
          <w:szCs w:val="22"/>
        </w:rPr>
        <w:t>本文件主要起草人：廖雷、梁燕、陈燕文、戴锡建、覃爱苗、王洪强、</w:t>
      </w:r>
    </w:p>
    <w:p w14:paraId="16FA355A">
      <w:pPr>
        <w:pStyle w:val="16"/>
        <w:autoSpaceDE w:val="0"/>
        <w:autoSpaceDN w:val="0"/>
        <w:spacing w:before="0" w:beforeAutospacing="0" w:after="0" w:afterAutospacing="0" w:line="500" w:lineRule="exact"/>
        <w:jc w:val="both"/>
        <w:rPr>
          <w:rFonts w:hint="eastAsia" w:ascii="Times New Roman" w:hAnsi="Times New Roman" w:eastAsia="黑体"/>
          <w:color w:val="auto"/>
          <w:kern w:val="2"/>
          <w:sz w:val="28"/>
          <w:szCs w:val="22"/>
        </w:rPr>
      </w:pPr>
      <w:r>
        <w:rPr>
          <w:rFonts w:hint="eastAsia" w:ascii="Times New Roman" w:hAnsi="Times New Roman" w:eastAsia="黑体"/>
          <w:color w:val="auto"/>
          <w:kern w:val="2"/>
          <w:sz w:val="28"/>
          <w:szCs w:val="22"/>
        </w:rPr>
        <w:t>莫胜鹏、张学旺、李赫、梁立夫、郑康伟、李克光、谭仕生、施春燕</w:t>
      </w:r>
    </w:p>
    <w:p w14:paraId="52FB2153">
      <w:pPr>
        <w:pStyle w:val="16"/>
        <w:autoSpaceDE w:val="0"/>
        <w:autoSpaceDN w:val="0"/>
        <w:spacing w:before="0" w:beforeAutospacing="0" w:after="0" w:afterAutospacing="0" w:line="500" w:lineRule="exact"/>
        <w:jc w:val="both"/>
        <w:rPr>
          <w:rFonts w:ascii="Times New Roman" w:hAnsi="Times New Roman" w:eastAsia="黑体"/>
          <w:color w:val="auto"/>
          <w:kern w:val="2"/>
          <w:sz w:val="28"/>
          <w:szCs w:val="22"/>
          <w:lang w:val="zh-CN"/>
        </w:rPr>
      </w:pPr>
      <w:r>
        <w:rPr>
          <w:rFonts w:hint="eastAsia" w:ascii="Times New Roman" w:hAnsi="Times New Roman" w:eastAsia="黑体"/>
          <w:color w:val="auto"/>
          <w:kern w:val="2"/>
          <w:sz w:val="28"/>
          <w:szCs w:val="22"/>
        </w:rPr>
        <w:t>、覃蕾宁、陆添印。</w:t>
      </w:r>
    </w:p>
    <w:p w14:paraId="44DA5807">
      <w:pPr>
        <w:spacing w:line="500" w:lineRule="exact"/>
        <w:ind w:firstLine="643" w:firstLineChars="200"/>
        <w:rPr>
          <w:rFonts w:eastAsia="仿宋"/>
          <w:b/>
          <w:bCs/>
          <w:color w:val="auto"/>
          <w:kern w:val="0"/>
          <w:sz w:val="32"/>
          <w:szCs w:val="32"/>
        </w:rPr>
      </w:pPr>
    </w:p>
    <w:p w14:paraId="7AE3364E">
      <w:pPr>
        <w:spacing w:line="500" w:lineRule="exact"/>
        <w:ind w:firstLine="420" w:firstLineChars="200"/>
        <w:rPr>
          <w:color w:val="auto"/>
        </w:rPr>
      </w:pPr>
    </w:p>
    <w:p w14:paraId="3BD3205B">
      <w:pPr>
        <w:spacing w:line="500" w:lineRule="exact"/>
        <w:ind w:firstLine="420" w:firstLineChars="200"/>
        <w:rPr>
          <w:rFonts w:hint="eastAsia"/>
          <w:color w:val="auto"/>
        </w:rPr>
      </w:pPr>
    </w:p>
    <w:p w14:paraId="66227653">
      <w:pPr>
        <w:spacing w:line="500" w:lineRule="exact"/>
        <w:jc w:val="center"/>
        <w:rPr>
          <w:rFonts w:ascii="宋体" w:hAnsi="宋体"/>
          <w:color w:val="auto"/>
        </w:rPr>
        <w:sectPr>
          <w:pgSz w:w="11906" w:h="16838"/>
          <w:pgMar w:top="1440" w:right="1800" w:bottom="1440" w:left="1800" w:header="851" w:footer="992" w:gutter="0"/>
          <w:pgNumType w:start="1"/>
          <w:cols w:space="720" w:num="1"/>
          <w:docGrid w:type="lines" w:linePitch="312" w:charSpace="0"/>
        </w:sectPr>
      </w:pPr>
    </w:p>
    <w:p w14:paraId="6B5474B8">
      <w:pPr>
        <w:spacing w:line="500" w:lineRule="exact"/>
        <w:ind w:firstLine="0" w:firstLineChars="0"/>
        <w:jc w:val="center"/>
        <w:outlineLvl w:val="0"/>
        <w:rPr>
          <w:rFonts w:hint="eastAsia"/>
          <w:color w:val="auto"/>
        </w:rPr>
      </w:pPr>
      <w:bookmarkStart w:id="0" w:name="_Toc32476"/>
      <w:bookmarkStart w:id="1" w:name="_Toc5082"/>
      <w:bookmarkStart w:id="2" w:name="_Toc4976"/>
      <w:r>
        <w:rPr>
          <w:rFonts w:hint="eastAsia" w:ascii="黑体" w:hAnsi="黑体" w:eastAsia="黑体" w:cs="黑体"/>
          <w:color w:val="auto"/>
          <w:sz w:val="44"/>
          <w:szCs w:val="44"/>
        </w:rPr>
        <w:t>目</w:t>
      </w:r>
      <w:r>
        <w:rPr>
          <w:rFonts w:ascii="黑体" w:hAnsi="黑体" w:eastAsia="黑体" w:cs="黑体"/>
          <w:color w:val="auto"/>
          <w:sz w:val="44"/>
          <w:szCs w:val="44"/>
        </w:rPr>
        <w:t xml:space="preserve">  </w:t>
      </w:r>
      <w:r>
        <w:rPr>
          <w:rFonts w:hint="eastAsia" w:ascii="黑体" w:hAnsi="黑体" w:eastAsia="黑体" w:cs="黑体"/>
          <w:color w:val="auto"/>
          <w:sz w:val="44"/>
          <w:szCs w:val="44"/>
        </w:rPr>
        <w:t>录</w:t>
      </w:r>
      <w:bookmarkEnd w:id="0"/>
      <w:bookmarkEnd w:id="1"/>
      <w:bookmarkEnd w:id="2"/>
      <w:r>
        <w:rPr>
          <w:rFonts w:hint="eastAsia"/>
          <w:b/>
          <w:color w:val="auto"/>
        </w:rPr>
        <w:fldChar w:fldCharType="begin"/>
      </w:r>
      <w:r>
        <w:rPr>
          <w:rFonts w:hint="eastAsia"/>
          <w:b/>
          <w:color w:val="auto"/>
        </w:rPr>
        <w:instrText xml:space="preserve">TOC \o "1-1" \h \u </w:instrText>
      </w:r>
      <w:r>
        <w:rPr>
          <w:rFonts w:hint="eastAsia"/>
          <w:b/>
          <w:color w:val="auto"/>
        </w:rPr>
        <w:fldChar w:fldCharType="separate"/>
      </w:r>
      <w:r>
        <w:rPr>
          <w:rFonts w:hint="eastAsia"/>
          <w:color w:val="auto"/>
        </w:rPr>
        <w:fldChar w:fldCharType="end"/>
      </w:r>
    </w:p>
    <w:sdt>
      <w:sdtPr>
        <w:rPr>
          <w:rFonts w:ascii="宋体" w:hAnsi="宋体" w:eastAsia="宋体" w:cs="Times New Roman"/>
          <w:color w:val="auto"/>
          <w:kern w:val="2"/>
          <w:sz w:val="21"/>
          <w:szCs w:val="22"/>
          <w:lang w:val="en-US" w:eastAsia="zh-CN" w:bidi="ar-SA"/>
        </w:rPr>
        <w:id w:val="147463540"/>
        <w15:color w:val="DBDBDB"/>
        <w:docPartObj>
          <w:docPartGallery w:val="Table of Contents"/>
          <w:docPartUnique/>
        </w:docPartObj>
      </w:sdtPr>
      <w:sdtEndPr>
        <w:rPr>
          <w:rFonts w:hint="eastAsia" w:ascii="Times New Roman" w:hAnsi="Times New Roman" w:eastAsia="宋体" w:cs="Times New Roman"/>
          <w:color w:val="auto"/>
          <w:kern w:val="2"/>
          <w:sz w:val="21"/>
          <w:szCs w:val="22"/>
          <w:lang w:val="en-US" w:eastAsia="zh-CN" w:bidi="ar-SA"/>
        </w:rPr>
      </w:sdtEndPr>
      <w:sdtContent>
        <w:p w14:paraId="19EFD9F0">
          <w:pPr>
            <w:spacing w:beforeLines="0" w:afterLines="0"/>
            <w:jc w:val="center"/>
            <w:rPr>
              <w:color w:val="auto"/>
            </w:rPr>
          </w:pPr>
          <w:r>
            <w:rPr>
              <w:rFonts w:hint="eastAsia"/>
              <w:color w:val="auto"/>
            </w:rPr>
            <w:fldChar w:fldCharType="begin"/>
          </w:r>
          <w:r>
            <w:rPr>
              <w:rFonts w:hint="eastAsia"/>
              <w:color w:val="auto"/>
            </w:rPr>
            <w:instrText xml:space="preserve">TOC \o "1-1" \h \u </w:instrText>
          </w:r>
          <w:r>
            <w:rPr>
              <w:rFonts w:hint="eastAsia"/>
              <w:color w:val="auto"/>
            </w:rPr>
            <w:fldChar w:fldCharType="separate"/>
          </w:r>
        </w:p>
        <w:p w14:paraId="181CCE9E">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_Toc1350 </w:instrText>
          </w:r>
          <w:r>
            <w:rPr>
              <w:rFonts w:hint="eastAsia"/>
              <w:color w:val="auto"/>
              <w:sz w:val="24"/>
              <w:szCs w:val="24"/>
            </w:rPr>
            <w:fldChar w:fldCharType="separate"/>
          </w:r>
          <w:r>
            <w:rPr>
              <w:rFonts w:hint="eastAsia"/>
              <w:color w:val="auto"/>
              <w:sz w:val="24"/>
              <w:szCs w:val="24"/>
            </w:rPr>
            <w:t>一、</w:t>
          </w:r>
          <w:r>
            <w:rPr>
              <w:color w:val="auto"/>
              <w:sz w:val="24"/>
              <w:szCs w:val="24"/>
            </w:rPr>
            <w:t>任务来源</w:t>
          </w:r>
          <w:r>
            <w:rPr>
              <w:color w:val="auto"/>
              <w:sz w:val="24"/>
              <w:szCs w:val="24"/>
            </w:rPr>
            <w:tab/>
          </w:r>
          <w:r>
            <w:rPr>
              <w:color w:val="auto"/>
              <w:sz w:val="24"/>
              <w:szCs w:val="24"/>
            </w:rPr>
            <w:fldChar w:fldCharType="begin"/>
          </w:r>
          <w:r>
            <w:rPr>
              <w:color w:val="auto"/>
              <w:sz w:val="24"/>
              <w:szCs w:val="24"/>
            </w:rPr>
            <w:instrText xml:space="preserve"> PAGEREF _Toc1350 \h </w:instrText>
          </w:r>
          <w:r>
            <w:rPr>
              <w:color w:val="auto"/>
              <w:sz w:val="24"/>
              <w:szCs w:val="24"/>
            </w:rPr>
            <w:fldChar w:fldCharType="separate"/>
          </w:r>
          <w:r>
            <w:rPr>
              <w:color w:val="auto"/>
              <w:sz w:val="24"/>
              <w:szCs w:val="24"/>
            </w:rPr>
            <w:t>1</w:t>
          </w:r>
          <w:r>
            <w:rPr>
              <w:color w:val="auto"/>
              <w:sz w:val="24"/>
              <w:szCs w:val="24"/>
            </w:rPr>
            <w:fldChar w:fldCharType="end"/>
          </w:r>
          <w:r>
            <w:rPr>
              <w:rFonts w:hint="eastAsia"/>
              <w:color w:val="auto"/>
              <w:sz w:val="24"/>
              <w:szCs w:val="24"/>
            </w:rPr>
            <w:fldChar w:fldCharType="end"/>
          </w:r>
        </w:p>
        <w:p w14:paraId="292EFD0C">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_Toc13603 </w:instrText>
          </w:r>
          <w:r>
            <w:rPr>
              <w:rFonts w:hint="eastAsia"/>
              <w:color w:val="auto"/>
              <w:sz w:val="24"/>
              <w:szCs w:val="24"/>
            </w:rPr>
            <w:fldChar w:fldCharType="separate"/>
          </w:r>
          <w:r>
            <w:rPr>
              <w:rFonts w:hint="eastAsia"/>
              <w:color w:val="auto"/>
              <w:sz w:val="24"/>
              <w:szCs w:val="24"/>
            </w:rPr>
            <w:t>二、</w:t>
          </w:r>
          <w:r>
            <w:rPr>
              <w:color w:val="auto"/>
              <w:sz w:val="24"/>
              <w:szCs w:val="24"/>
            </w:rPr>
            <w:t>项目背景及目的意义</w:t>
          </w:r>
          <w:r>
            <w:rPr>
              <w:color w:val="auto"/>
              <w:sz w:val="24"/>
              <w:szCs w:val="24"/>
            </w:rPr>
            <w:tab/>
          </w:r>
          <w:r>
            <w:rPr>
              <w:color w:val="auto"/>
              <w:sz w:val="24"/>
              <w:szCs w:val="24"/>
            </w:rPr>
            <w:fldChar w:fldCharType="begin"/>
          </w:r>
          <w:r>
            <w:rPr>
              <w:color w:val="auto"/>
              <w:sz w:val="24"/>
              <w:szCs w:val="24"/>
            </w:rPr>
            <w:instrText xml:space="preserve"> PAGEREF _Toc13603 \h </w:instrText>
          </w:r>
          <w:r>
            <w:rPr>
              <w:color w:val="auto"/>
              <w:sz w:val="24"/>
              <w:szCs w:val="24"/>
            </w:rPr>
            <w:fldChar w:fldCharType="separate"/>
          </w:r>
          <w:r>
            <w:rPr>
              <w:color w:val="auto"/>
              <w:sz w:val="24"/>
              <w:szCs w:val="24"/>
            </w:rPr>
            <w:t>1</w:t>
          </w:r>
          <w:r>
            <w:rPr>
              <w:color w:val="auto"/>
              <w:sz w:val="24"/>
              <w:szCs w:val="24"/>
            </w:rPr>
            <w:fldChar w:fldCharType="end"/>
          </w:r>
          <w:r>
            <w:rPr>
              <w:rFonts w:hint="eastAsia"/>
              <w:color w:val="auto"/>
              <w:sz w:val="24"/>
              <w:szCs w:val="24"/>
            </w:rPr>
            <w:fldChar w:fldCharType="end"/>
          </w:r>
        </w:p>
        <w:p w14:paraId="68B09FB9">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_Toc11488 </w:instrText>
          </w:r>
          <w:r>
            <w:rPr>
              <w:rFonts w:hint="eastAsia"/>
              <w:color w:val="auto"/>
              <w:sz w:val="24"/>
              <w:szCs w:val="24"/>
            </w:rPr>
            <w:fldChar w:fldCharType="separate"/>
          </w:r>
          <w:r>
            <w:rPr>
              <w:rFonts w:hint="eastAsia"/>
              <w:color w:val="auto"/>
              <w:sz w:val="24"/>
              <w:szCs w:val="24"/>
            </w:rPr>
            <w:t>三、标准</w:t>
          </w:r>
          <w:r>
            <w:rPr>
              <w:color w:val="auto"/>
              <w:sz w:val="24"/>
              <w:szCs w:val="24"/>
            </w:rPr>
            <w:t>编制过程</w:t>
          </w:r>
          <w:r>
            <w:rPr>
              <w:color w:val="auto"/>
              <w:sz w:val="24"/>
              <w:szCs w:val="24"/>
            </w:rPr>
            <w:tab/>
          </w:r>
          <w:r>
            <w:rPr>
              <w:color w:val="auto"/>
              <w:sz w:val="24"/>
              <w:szCs w:val="24"/>
            </w:rPr>
            <w:fldChar w:fldCharType="begin"/>
          </w:r>
          <w:r>
            <w:rPr>
              <w:color w:val="auto"/>
              <w:sz w:val="24"/>
              <w:szCs w:val="24"/>
            </w:rPr>
            <w:instrText xml:space="preserve"> PAGEREF _Toc11488 \h </w:instrText>
          </w:r>
          <w:r>
            <w:rPr>
              <w:color w:val="auto"/>
              <w:sz w:val="24"/>
              <w:szCs w:val="24"/>
            </w:rPr>
            <w:fldChar w:fldCharType="separate"/>
          </w:r>
          <w:r>
            <w:rPr>
              <w:color w:val="auto"/>
              <w:sz w:val="24"/>
              <w:szCs w:val="24"/>
            </w:rPr>
            <w:t>2</w:t>
          </w:r>
          <w:r>
            <w:rPr>
              <w:color w:val="auto"/>
              <w:sz w:val="24"/>
              <w:szCs w:val="24"/>
            </w:rPr>
            <w:fldChar w:fldCharType="end"/>
          </w:r>
          <w:r>
            <w:rPr>
              <w:rFonts w:hint="eastAsia"/>
              <w:color w:val="auto"/>
              <w:sz w:val="24"/>
              <w:szCs w:val="24"/>
            </w:rPr>
            <w:fldChar w:fldCharType="end"/>
          </w:r>
        </w:p>
        <w:p w14:paraId="561304AE">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_Toc10592 </w:instrText>
          </w:r>
          <w:r>
            <w:rPr>
              <w:rFonts w:hint="eastAsia"/>
              <w:color w:val="auto"/>
              <w:sz w:val="24"/>
              <w:szCs w:val="24"/>
            </w:rPr>
            <w:fldChar w:fldCharType="separate"/>
          </w:r>
          <w:r>
            <w:rPr>
              <w:rFonts w:hint="eastAsia"/>
              <w:color w:val="auto"/>
              <w:sz w:val="24"/>
              <w:szCs w:val="24"/>
            </w:rPr>
            <w:t>四、</w:t>
          </w:r>
          <w:r>
            <w:rPr>
              <w:color w:val="auto"/>
              <w:sz w:val="24"/>
              <w:szCs w:val="24"/>
              <w:lang w:val="zh-CN"/>
            </w:rPr>
            <w:t>标准制定原则</w:t>
          </w:r>
          <w:r>
            <w:rPr>
              <w:color w:val="auto"/>
              <w:sz w:val="24"/>
              <w:szCs w:val="24"/>
            </w:rPr>
            <w:tab/>
          </w:r>
          <w:r>
            <w:rPr>
              <w:color w:val="auto"/>
              <w:sz w:val="24"/>
              <w:szCs w:val="24"/>
            </w:rPr>
            <w:fldChar w:fldCharType="begin"/>
          </w:r>
          <w:r>
            <w:rPr>
              <w:color w:val="auto"/>
              <w:sz w:val="24"/>
              <w:szCs w:val="24"/>
            </w:rPr>
            <w:instrText xml:space="preserve"> PAGEREF _Toc10592 \h </w:instrText>
          </w:r>
          <w:r>
            <w:rPr>
              <w:color w:val="auto"/>
              <w:sz w:val="24"/>
              <w:szCs w:val="24"/>
            </w:rPr>
            <w:fldChar w:fldCharType="separate"/>
          </w:r>
          <w:r>
            <w:rPr>
              <w:color w:val="auto"/>
              <w:sz w:val="24"/>
              <w:szCs w:val="24"/>
            </w:rPr>
            <w:t>5</w:t>
          </w:r>
          <w:r>
            <w:rPr>
              <w:color w:val="auto"/>
              <w:sz w:val="24"/>
              <w:szCs w:val="24"/>
            </w:rPr>
            <w:fldChar w:fldCharType="end"/>
          </w:r>
          <w:r>
            <w:rPr>
              <w:rFonts w:hint="eastAsia"/>
              <w:color w:val="auto"/>
              <w:sz w:val="24"/>
              <w:szCs w:val="24"/>
            </w:rPr>
            <w:fldChar w:fldCharType="end"/>
          </w:r>
        </w:p>
        <w:p w14:paraId="4BEA5004">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_Toc23463 </w:instrText>
          </w:r>
          <w:r>
            <w:rPr>
              <w:rFonts w:hint="eastAsia"/>
              <w:color w:val="auto"/>
              <w:sz w:val="24"/>
              <w:szCs w:val="24"/>
            </w:rPr>
            <w:fldChar w:fldCharType="separate"/>
          </w:r>
          <w:r>
            <w:rPr>
              <w:rFonts w:hint="eastAsia"/>
              <w:color w:val="auto"/>
              <w:sz w:val="24"/>
              <w:szCs w:val="24"/>
            </w:rPr>
            <w:t>五、技术简介</w:t>
          </w:r>
          <w:r>
            <w:rPr>
              <w:color w:val="auto"/>
              <w:sz w:val="24"/>
              <w:szCs w:val="24"/>
            </w:rPr>
            <w:tab/>
          </w:r>
          <w:r>
            <w:rPr>
              <w:color w:val="auto"/>
              <w:sz w:val="24"/>
              <w:szCs w:val="24"/>
            </w:rPr>
            <w:fldChar w:fldCharType="begin"/>
          </w:r>
          <w:r>
            <w:rPr>
              <w:color w:val="auto"/>
              <w:sz w:val="24"/>
              <w:szCs w:val="24"/>
            </w:rPr>
            <w:instrText xml:space="preserve"> PAGEREF _Toc23463 \h </w:instrText>
          </w:r>
          <w:r>
            <w:rPr>
              <w:color w:val="auto"/>
              <w:sz w:val="24"/>
              <w:szCs w:val="24"/>
            </w:rPr>
            <w:fldChar w:fldCharType="separate"/>
          </w:r>
          <w:r>
            <w:rPr>
              <w:color w:val="auto"/>
              <w:sz w:val="24"/>
              <w:szCs w:val="24"/>
            </w:rPr>
            <w:t>6</w:t>
          </w:r>
          <w:r>
            <w:rPr>
              <w:color w:val="auto"/>
              <w:sz w:val="24"/>
              <w:szCs w:val="24"/>
            </w:rPr>
            <w:fldChar w:fldCharType="end"/>
          </w:r>
          <w:r>
            <w:rPr>
              <w:rFonts w:hint="eastAsia"/>
              <w:color w:val="auto"/>
              <w:sz w:val="24"/>
              <w:szCs w:val="24"/>
            </w:rPr>
            <w:fldChar w:fldCharType="end"/>
          </w:r>
        </w:p>
        <w:p w14:paraId="7D09ADD6">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_Toc5290 </w:instrText>
          </w:r>
          <w:r>
            <w:rPr>
              <w:rFonts w:hint="eastAsia"/>
              <w:color w:val="auto"/>
              <w:sz w:val="24"/>
              <w:szCs w:val="24"/>
            </w:rPr>
            <w:fldChar w:fldCharType="separate"/>
          </w:r>
          <w:r>
            <w:rPr>
              <w:rFonts w:hint="eastAsia"/>
              <w:color w:val="auto"/>
              <w:sz w:val="24"/>
              <w:szCs w:val="24"/>
            </w:rPr>
            <w:t>六、</w:t>
          </w:r>
          <w:r>
            <w:rPr>
              <w:color w:val="auto"/>
              <w:sz w:val="24"/>
              <w:szCs w:val="24"/>
              <w:lang w:val="zh-CN"/>
            </w:rPr>
            <w:t>标准主要章节内容及确定依据</w:t>
          </w:r>
          <w:r>
            <w:rPr>
              <w:color w:val="auto"/>
              <w:sz w:val="24"/>
              <w:szCs w:val="24"/>
            </w:rPr>
            <w:tab/>
          </w:r>
          <w:r>
            <w:rPr>
              <w:color w:val="auto"/>
              <w:sz w:val="24"/>
              <w:szCs w:val="24"/>
            </w:rPr>
            <w:fldChar w:fldCharType="begin"/>
          </w:r>
          <w:r>
            <w:rPr>
              <w:color w:val="auto"/>
              <w:sz w:val="24"/>
              <w:szCs w:val="24"/>
            </w:rPr>
            <w:instrText xml:space="preserve"> PAGEREF _Toc5290 \h </w:instrText>
          </w:r>
          <w:r>
            <w:rPr>
              <w:color w:val="auto"/>
              <w:sz w:val="24"/>
              <w:szCs w:val="24"/>
            </w:rPr>
            <w:fldChar w:fldCharType="separate"/>
          </w:r>
          <w:r>
            <w:rPr>
              <w:color w:val="auto"/>
              <w:sz w:val="24"/>
              <w:szCs w:val="24"/>
            </w:rPr>
            <w:t>10</w:t>
          </w:r>
          <w:r>
            <w:rPr>
              <w:color w:val="auto"/>
              <w:sz w:val="24"/>
              <w:szCs w:val="24"/>
            </w:rPr>
            <w:fldChar w:fldCharType="end"/>
          </w:r>
          <w:r>
            <w:rPr>
              <w:rFonts w:hint="eastAsia"/>
              <w:color w:val="auto"/>
              <w:sz w:val="24"/>
              <w:szCs w:val="24"/>
            </w:rPr>
            <w:fldChar w:fldCharType="end"/>
          </w:r>
        </w:p>
        <w:p w14:paraId="44BBE181">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_Toc25738 </w:instrText>
          </w:r>
          <w:r>
            <w:rPr>
              <w:rFonts w:hint="eastAsia"/>
              <w:color w:val="auto"/>
              <w:sz w:val="24"/>
              <w:szCs w:val="24"/>
            </w:rPr>
            <w:fldChar w:fldCharType="separate"/>
          </w:r>
          <w:r>
            <w:rPr>
              <w:rFonts w:hint="eastAsia"/>
              <w:color w:val="auto"/>
              <w:sz w:val="24"/>
              <w:szCs w:val="24"/>
            </w:rPr>
            <w:t>七</w:t>
          </w:r>
          <w:r>
            <w:rPr>
              <w:color w:val="auto"/>
              <w:sz w:val="24"/>
              <w:szCs w:val="24"/>
            </w:rPr>
            <w:t>、</w:t>
          </w:r>
          <w:r>
            <w:rPr>
              <w:rFonts w:hint="eastAsia"/>
              <w:color w:val="auto"/>
              <w:sz w:val="24"/>
              <w:szCs w:val="24"/>
            </w:rPr>
            <w:t>与有关的现行法律、法规和强制性国家标准的关系</w:t>
          </w:r>
          <w:r>
            <w:rPr>
              <w:color w:val="auto"/>
              <w:sz w:val="24"/>
              <w:szCs w:val="24"/>
            </w:rPr>
            <w:tab/>
          </w:r>
          <w:r>
            <w:rPr>
              <w:color w:val="auto"/>
              <w:sz w:val="24"/>
              <w:szCs w:val="24"/>
            </w:rPr>
            <w:fldChar w:fldCharType="begin"/>
          </w:r>
          <w:r>
            <w:rPr>
              <w:color w:val="auto"/>
              <w:sz w:val="24"/>
              <w:szCs w:val="24"/>
            </w:rPr>
            <w:instrText xml:space="preserve"> PAGEREF _Toc25738 \h </w:instrText>
          </w:r>
          <w:r>
            <w:rPr>
              <w:color w:val="auto"/>
              <w:sz w:val="24"/>
              <w:szCs w:val="24"/>
            </w:rPr>
            <w:fldChar w:fldCharType="separate"/>
          </w:r>
          <w:r>
            <w:rPr>
              <w:color w:val="auto"/>
              <w:sz w:val="24"/>
              <w:szCs w:val="24"/>
            </w:rPr>
            <w:t>18</w:t>
          </w:r>
          <w:r>
            <w:rPr>
              <w:color w:val="auto"/>
              <w:sz w:val="24"/>
              <w:szCs w:val="24"/>
            </w:rPr>
            <w:fldChar w:fldCharType="end"/>
          </w:r>
          <w:r>
            <w:rPr>
              <w:rFonts w:hint="eastAsia"/>
              <w:color w:val="auto"/>
              <w:sz w:val="24"/>
              <w:szCs w:val="24"/>
            </w:rPr>
            <w:fldChar w:fldCharType="end"/>
          </w:r>
        </w:p>
        <w:p w14:paraId="1AE69F98">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_Toc1249 </w:instrText>
          </w:r>
          <w:r>
            <w:rPr>
              <w:rFonts w:hint="eastAsia"/>
              <w:color w:val="auto"/>
              <w:sz w:val="24"/>
              <w:szCs w:val="24"/>
            </w:rPr>
            <w:fldChar w:fldCharType="separate"/>
          </w:r>
          <w:r>
            <w:rPr>
              <w:rFonts w:hint="eastAsia"/>
              <w:color w:val="auto"/>
              <w:sz w:val="24"/>
              <w:szCs w:val="24"/>
            </w:rPr>
            <w:t>八、</w:t>
          </w:r>
          <w:r>
            <w:rPr>
              <w:color w:val="auto"/>
              <w:sz w:val="24"/>
              <w:szCs w:val="24"/>
              <w:lang w:val="zh-CN"/>
            </w:rPr>
            <w:t>重大分歧意见的处理经过和依据</w:t>
          </w:r>
          <w:r>
            <w:rPr>
              <w:color w:val="auto"/>
              <w:sz w:val="24"/>
              <w:szCs w:val="24"/>
            </w:rPr>
            <w:tab/>
          </w:r>
          <w:r>
            <w:rPr>
              <w:color w:val="auto"/>
              <w:sz w:val="24"/>
              <w:szCs w:val="24"/>
            </w:rPr>
            <w:fldChar w:fldCharType="begin"/>
          </w:r>
          <w:r>
            <w:rPr>
              <w:color w:val="auto"/>
              <w:sz w:val="24"/>
              <w:szCs w:val="24"/>
            </w:rPr>
            <w:instrText xml:space="preserve"> PAGEREF _Toc1249 \h </w:instrText>
          </w:r>
          <w:r>
            <w:rPr>
              <w:color w:val="auto"/>
              <w:sz w:val="24"/>
              <w:szCs w:val="24"/>
            </w:rPr>
            <w:fldChar w:fldCharType="separate"/>
          </w:r>
          <w:r>
            <w:rPr>
              <w:color w:val="auto"/>
              <w:sz w:val="24"/>
              <w:szCs w:val="24"/>
            </w:rPr>
            <w:t>18</w:t>
          </w:r>
          <w:r>
            <w:rPr>
              <w:color w:val="auto"/>
              <w:sz w:val="24"/>
              <w:szCs w:val="24"/>
            </w:rPr>
            <w:fldChar w:fldCharType="end"/>
          </w:r>
          <w:r>
            <w:rPr>
              <w:rFonts w:hint="eastAsia"/>
              <w:color w:val="auto"/>
              <w:sz w:val="24"/>
              <w:szCs w:val="24"/>
            </w:rPr>
            <w:fldChar w:fldCharType="end"/>
          </w:r>
        </w:p>
        <w:p w14:paraId="22B97060">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_Toc12774 </w:instrText>
          </w:r>
          <w:r>
            <w:rPr>
              <w:rFonts w:hint="eastAsia"/>
              <w:color w:val="auto"/>
              <w:sz w:val="24"/>
              <w:szCs w:val="24"/>
            </w:rPr>
            <w:fldChar w:fldCharType="separate"/>
          </w:r>
          <w:r>
            <w:rPr>
              <w:rFonts w:hint="eastAsia"/>
              <w:color w:val="auto"/>
              <w:sz w:val="24"/>
              <w:szCs w:val="24"/>
            </w:rPr>
            <w:t>九、</w:t>
          </w:r>
          <w:r>
            <w:rPr>
              <w:color w:val="auto"/>
              <w:sz w:val="24"/>
              <w:szCs w:val="24"/>
            </w:rPr>
            <w:t>自我承诺</w:t>
          </w:r>
          <w:r>
            <w:rPr>
              <w:color w:val="auto"/>
              <w:sz w:val="24"/>
              <w:szCs w:val="24"/>
            </w:rPr>
            <w:tab/>
          </w:r>
          <w:r>
            <w:rPr>
              <w:color w:val="auto"/>
              <w:sz w:val="24"/>
              <w:szCs w:val="24"/>
            </w:rPr>
            <w:fldChar w:fldCharType="begin"/>
          </w:r>
          <w:r>
            <w:rPr>
              <w:color w:val="auto"/>
              <w:sz w:val="24"/>
              <w:szCs w:val="24"/>
            </w:rPr>
            <w:instrText xml:space="preserve"> PAGEREF _Toc12774 \h </w:instrText>
          </w:r>
          <w:r>
            <w:rPr>
              <w:color w:val="auto"/>
              <w:sz w:val="24"/>
              <w:szCs w:val="24"/>
            </w:rPr>
            <w:fldChar w:fldCharType="separate"/>
          </w:r>
          <w:r>
            <w:rPr>
              <w:color w:val="auto"/>
              <w:sz w:val="24"/>
              <w:szCs w:val="24"/>
            </w:rPr>
            <w:t>18</w:t>
          </w:r>
          <w:r>
            <w:rPr>
              <w:color w:val="auto"/>
              <w:sz w:val="24"/>
              <w:szCs w:val="24"/>
            </w:rPr>
            <w:fldChar w:fldCharType="end"/>
          </w:r>
          <w:r>
            <w:rPr>
              <w:rFonts w:hint="eastAsia"/>
              <w:color w:val="auto"/>
              <w:sz w:val="24"/>
              <w:szCs w:val="24"/>
            </w:rPr>
            <w:fldChar w:fldCharType="end"/>
          </w:r>
        </w:p>
        <w:p w14:paraId="59B760E8">
          <w:pPr>
            <w:pStyle w:val="14"/>
            <w:tabs>
              <w:tab w:val="right" w:leader="dot" w:pos="8306"/>
            </w:tabs>
            <w:spacing w:line="360" w:lineRule="auto"/>
            <w:rPr>
              <w:color w:val="auto"/>
              <w:sz w:val="24"/>
              <w:szCs w:val="24"/>
            </w:rPr>
          </w:pPr>
          <w:r>
            <w:rPr>
              <w:rFonts w:hint="eastAsia"/>
              <w:color w:val="auto"/>
              <w:sz w:val="24"/>
              <w:szCs w:val="24"/>
            </w:rPr>
            <w:fldChar w:fldCharType="begin"/>
          </w:r>
          <w:r>
            <w:rPr>
              <w:rFonts w:hint="eastAsia"/>
              <w:color w:val="auto"/>
              <w:sz w:val="24"/>
              <w:szCs w:val="24"/>
            </w:rPr>
            <w:instrText xml:space="preserve"> HYPERLINK \l _Toc1764 </w:instrText>
          </w:r>
          <w:r>
            <w:rPr>
              <w:rFonts w:hint="eastAsia"/>
              <w:color w:val="auto"/>
              <w:sz w:val="24"/>
              <w:szCs w:val="24"/>
            </w:rPr>
            <w:fldChar w:fldCharType="separate"/>
          </w:r>
          <w:r>
            <w:rPr>
              <w:rFonts w:hint="eastAsia"/>
              <w:color w:val="auto"/>
              <w:sz w:val="24"/>
              <w:szCs w:val="24"/>
            </w:rPr>
            <w:t>十</w:t>
          </w:r>
          <w:r>
            <w:rPr>
              <w:color w:val="auto"/>
              <w:sz w:val="24"/>
              <w:szCs w:val="24"/>
            </w:rPr>
            <w:t>、实施标准的措施</w:t>
          </w:r>
          <w:r>
            <w:rPr>
              <w:color w:val="auto"/>
              <w:sz w:val="24"/>
              <w:szCs w:val="24"/>
            </w:rPr>
            <w:tab/>
          </w:r>
          <w:r>
            <w:rPr>
              <w:color w:val="auto"/>
              <w:sz w:val="24"/>
              <w:szCs w:val="24"/>
            </w:rPr>
            <w:fldChar w:fldCharType="begin"/>
          </w:r>
          <w:r>
            <w:rPr>
              <w:color w:val="auto"/>
              <w:sz w:val="24"/>
              <w:szCs w:val="24"/>
            </w:rPr>
            <w:instrText xml:space="preserve"> PAGEREF _Toc1764 \h </w:instrText>
          </w:r>
          <w:r>
            <w:rPr>
              <w:color w:val="auto"/>
              <w:sz w:val="24"/>
              <w:szCs w:val="24"/>
            </w:rPr>
            <w:fldChar w:fldCharType="separate"/>
          </w:r>
          <w:r>
            <w:rPr>
              <w:color w:val="auto"/>
              <w:sz w:val="24"/>
              <w:szCs w:val="24"/>
            </w:rPr>
            <w:t>19</w:t>
          </w:r>
          <w:r>
            <w:rPr>
              <w:color w:val="auto"/>
              <w:sz w:val="24"/>
              <w:szCs w:val="24"/>
            </w:rPr>
            <w:fldChar w:fldCharType="end"/>
          </w:r>
          <w:r>
            <w:rPr>
              <w:rFonts w:hint="eastAsia"/>
              <w:color w:val="auto"/>
              <w:sz w:val="24"/>
              <w:szCs w:val="24"/>
            </w:rPr>
            <w:fldChar w:fldCharType="end"/>
          </w:r>
        </w:p>
        <w:p w14:paraId="50676CEC">
          <w:pPr>
            <w:spacing w:line="500" w:lineRule="exact"/>
            <w:ind w:firstLine="420" w:firstLineChars="200"/>
            <w:rPr>
              <w:rFonts w:hint="eastAsia" w:ascii="Times New Roman" w:hAnsi="Times New Roman" w:eastAsia="宋体" w:cs="Times New Roman"/>
              <w:color w:val="auto"/>
              <w:kern w:val="2"/>
              <w:sz w:val="21"/>
              <w:szCs w:val="22"/>
              <w:lang w:val="en-US" w:eastAsia="zh-CN" w:bidi="ar-SA"/>
            </w:rPr>
          </w:pPr>
          <w:r>
            <w:rPr>
              <w:rFonts w:hint="eastAsia"/>
              <w:color w:val="auto"/>
            </w:rPr>
            <w:fldChar w:fldCharType="end"/>
          </w:r>
        </w:p>
      </w:sdtContent>
    </w:sdt>
    <w:p w14:paraId="66013850">
      <w:pPr>
        <w:spacing w:line="500" w:lineRule="exact"/>
        <w:ind w:firstLine="420" w:firstLineChars="200"/>
        <w:rPr>
          <w:rFonts w:hint="eastAsia" w:ascii="Times New Roman" w:hAnsi="Times New Roman" w:eastAsia="宋体" w:cs="Times New Roman"/>
          <w:color w:val="auto"/>
          <w:kern w:val="2"/>
          <w:sz w:val="21"/>
          <w:szCs w:val="22"/>
          <w:lang w:val="en-US" w:eastAsia="zh-CN" w:bidi="ar-SA"/>
        </w:rPr>
      </w:pPr>
    </w:p>
    <w:p w14:paraId="2BBF1127">
      <w:pPr>
        <w:spacing w:line="500" w:lineRule="exact"/>
        <w:ind w:firstLine="420" w:firstLineChars="200"/>
        <w:rPr>
          <w:rFonts w:hint="eastAsia"/>
          <w:color w:val="auto"/>
        </w:rPr>
      </w:pPr>
    </w:p>
    <w:p w14:paraId="43A3C9A2">
      <w:pPr>
        <w:pStyle w:val="2"/>
        <w:spacing w:line="500" w:lineRule="exact"/>
        <w:rPr>
          <w:rFonts w:hint="eastAsia"/>
          <w:color w:val="auto"/>
        </w:rPr>
        <w:sectPr>
          <w:footerReference r:id="rId3" w:type="default"/>
          <w:pgSz w:w="11906" w:h="16838"/>
          <w:pgMar w:top="1440" w:right="1800" w:bottom="1440" w:left="1800" w:header="851" w:footer="992" w:gutter="0"/>
          <w:pgNumType w:start="1"/>
          <w:cols w:space="720" w:num="1"/>
          <w:docGrid w:type="lines" w:linePitch="312" w:charSpace="0"/>
        </w:sectPr>
      </w:pPr>
      <w:bookmarkStart w:id="3" w:name="_Toc22706"/>
    </w:p>
    <w:p w14:paraId="54FBE4F4">
      <w:pPr>
        <w:pStyle w:val="2"/>
        <w:spacing w:line="500" w:lineRule="exact"/>
        <w:rPr>
          <w:color w:val="auto"/>
        </w:rPr>
      </w:pPr>
      <w:bookmarkStart w:id="4" w:name="_Toc28002"/>
      <w:bookmarkStart w:id="5" w:name="_Toc14604"/>
      <w:bookmarkStart w:id="6" w:name="_Toc1350"/>
      <w:bookmarkStart w:id="7" w:name="_Toc20826"/>
      <w:bookmarkStart w:id="8" w:name="_Toc25665"/>
      <w:bookmarkStart w:id="9" w:name="_Toc25168"/>
      <w:r>
        <w:rPr>
          <w:rFonts w:hint="eastAsia"/>
          <w:color w:val="auto"/>
        </w:rPr>
        <w:t>一、</w:t>
      </w:r>
      <w:r>
        <w:rPr>
          <w:color w:val="auto"/>
        </w:rPr>
        <w:t>任务来源</w:t>
      </w:r>
      <w:bookmarkEnd w:id="3"/>
      <w:bookmarkEnd w:id="4"/>
      <w:bookmarkEnd w:id="5"/>
      <w:bookmarkEnd w:id="6"/>
      <w:bookmarkEnd w:id="7"/>
      <w:bookmarkEnd w:id="8"/>
      <w:bookmarkEnd w:id="9"/>
    </w:p>
    <w:p w14:paraId="516B7E89">
      <w:pPr>
        <w:spacing w:line="500" w:lineRule="exact"/>
        <w:ind w:firstLine="560" w:firstLineChars="200"/>
        <w:rPr>
          <w:rFonts w:eastAsia="仿宋"/>
          <w:color w:val="auto"/>
          <w:sz w:val="28"/>
          <w:szCs w:val="28"/>
          <w:lang w:val="zh-CN"/>
        </w:rPr>
      </w:pPr>
      <w:r>
        <w:rPr>
          <w:rFonts w:hint="eastAsia" w:eastAsia="仿宋"/>
          <w:color w:val="auto"/>
          <w:sz w:val="28"/>
          <w:szCs w:val="28"/>
          <w:lang w:val="zh-CN"/>
        </w:rPr>
        <w:t>根据《广西标准化协会关于下达2025年第三十九批团体标准制修订项目计划的通知》（桂标协〔2025〕350号）</w:t>
      </w:r>
      <w:r>
        <w:rPr>
          <w:rFonts w:hint="eastAsia" w:eastAsia="仿宋"/>
          <w:color w:val="auto"/>
          <w:sz w:val="28"/>
          <w:szCs w:val="28"/>
        </w:rPr>
        <w:t>文件精神</w:t>
      </w:r>
      <w:r>
        <w:rPr>
          <w:rFonts w:hint="eastAsia" w:eastAsia="仿宋"/>
          <w:color w:val="auto"/>
          <w:sz w:val="28"/>
          <w:szCs w:val="28"/>
          <w:lang w:val="zh-CN"/>
        </w:rPr>
        <w:t>，由广西壮族自治区环境保护产业协会提出，桂林理工大学、广西科穗环境科技有限公司、贵港市芭田生态有限公司共同起草</w:t>
      </w:r>
      <w:r>
        <w:rPr>
          <w:rFonts w:hint="eastAsia" w:eastAsia="仿宋"/>
          <w:color w:val="auto"/>
          <w:sz w:val="28"/>
          <w:szCs w:val="28"/>
        </w:rPr>
        <w:t>了</w:t>
      </w:r>
      <w:r>
        <w:rPr>
          <w:rFonts w:hint="eastAsia" w:eastAsia="仿宋"/>
          <w:color w:val="auto"/>
          <w:sz w:val="28"/>
          <w:szCs w:val="28"/>
          <w:lang w:val="zh-CN"/>
        </w:rPr>
        <w:t>团体标准《新型吸附剂喷吸-过滤协同净化气粒复合废气技术规范》（项目编号2025-3904）。</w:t>
      </w:r>
      <w:r>
        <w:rPr>
          <w:rFonts w:eastAsia="仿宋"/>
          <w:color w:val="auto"/>
          <w:sz w:val="28"/>
          <w:szCs w:val="28"/>
          <w:lang w:val="zh-CN"/>
        </w:rPr>
        <mc:AlternateContent>
          <mc:Choice Requires="wps">
            <w:drawing>
              <wp:anchor distT="0" distB="0" distL="114300" distR="114300" simplePos="0" relativeHeight="251659264" behindDoc="0" locked="0" layoutInCell="0" allowOverlap="1">
                <wp:simplePos x="0" y="0"/>
                <wp:positionH relativeFrom="column">
                  <wp:posOffset>0</wp:posOffset>
                </wp:positionH>
                <wp:positionV relativeFrom="paragraph">
                  <wp:posOffset>99060</wp:posOffset>
                </wp:positionV>
                <wp:extent cx="635" cy="0"/>
                <wp:effectExtent l="0" t="4445" r="0" b="5080"/>
                <wp:wrapNone/>
                <wp:docPr id="3" name="直线 7"/>
                <wp:cNvGraphicFramePr/>
                <a:graphic xmlns:a="http://schemas.openxmlformats.org/drawingml/2006/main">
                  <a:graphicData uri="http://schemas.microsoft.com/office/word/2010/wordprocessingShape">
                    <wps:wsp>
                      <wps:cNvCn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7" o:spid="_x0000_s1026" o:spt="20" style="position:absolute;left:0pt;margin-left:0pt;margin-top:7.8pt;height:0pt;width:0.05pt;z-index:251659264;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aDNZdAAAAADAQAADwAA&#10;AAAAAAABACAAAAAiAAAAZHJzL2Rvd25yZXYueG1sUEsBAhQAFAAAAAgAh07iQGAlWFXlAQAA1wMA&#10;AA4AAAAAAAAAAQAgAAAAHwEAAGRycy9lMm9Eb2MueG1sUEsFBgAAAAAGAAYAWQEAAHYFAAAAAA==&#10;">
                <v:fill on="f" focussize="0,0"/>
                <v:stroke color="#000000" joinstyle="round"/>
                <v:imagedata o:title=""/>
                <o:lock v:ext="edit" aspectratio="f"/>
              </v:line>
            </w:pict>
          </mc:Fallback>
        </mc:AlternateContent>
      </w:r>
      <w:r>
        <w:rPr>
          <w:rFonts w:eastAsia="仿宋"/>
          <w:color w:val="auto"/>
          <w:sz w:val="28"/>
          <w:szCs w:val="28"/>
          <w:lang w:val="zh-CN"/>
        </w:rPr>
        <mc:AlternateContent>
          <mc:Choice Requires="wps">
            <w:drawing>
              <wp:anchor distT="0" distB="0" distL="114300" distR="114300" simplePos="0" relativeHeight="251660288" behindDoc="0" locked="0" layoutInCell="0" allowOverlap="1">
                <wp:simplePos x="0" y="0"/>
                <wp:positionH relativeFrom="column">
                  <wp:posOffset>0</wp:posOffset>
                </wp:positionH>
                <wp:positionV relativeFrom="paragraph">
                  <wp:posOffset>99060</wp:posOffset>
                </wp:positionV>
                <wp:extent cx="635" cy="0"/>
                <wp:effectExtent l="0" t="4445" r="0" b="5080"/>
                <wp:wrapNone/>
                <wp:docPr id="5" name="直线 8"/>
                <wp:cNvGraphicFramePr/>
                <a:graphic xmlns:a="http://schemas.openxmlformats.org/drawingml/2006/main">
                  <a:graphicData uri="http://schemas.microsoft.com/office/word/2010/wordprocessingShape">
                    <wps:wsp>
                      <wps:cNvCn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8" o:spid="_x0000_s1026" o:spt="20" style="position:absolute;left:0pt;margin-left:0pt;margin-top:7.8pt;height:0pt;width:0.05pt;z-index:251660288;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WgzWXQAAAAAwEAAA8AAAAA&#10;AAAAAQAgAAAAIgAAAGRycy9kb3ducmV2LnhtbFBLAQIUABQAAAAIAIdO4kDhPmwD4wEAANcDAAAO&#10;AAAAAAAAAAEAIAAAAB8BAABkcnMvZTJvRG9jLnhtbFBLBQYAAAAABgAGAFkBAAB0BQAAAAA=&#10;">
                <v:fill on="f" focussize="0,0"/>
                <v:stroke color="#000000" joinstyle="round"/>
                <v:imagedata o:title=""/>
                <o:lock v:ext="edit" aspectratio="f"/>
              </v:line>
            </w:pict>
          </mc:Fallback>
        </mc:AlternateContent>
      </w:r>
      <w:r>
        <w:rPr>
          <w:rFonts w:eastAsia="仿宋"/>
          <w:color w:val="auto"/>
          <w:sz w:val="28"/>
          <w:szCs w:val="28"/>
          <w:lang w:val="zh-CN"/>
        </w:rPr>
        <mc:AlternateContent>
          <mc:Choice Requires="wps">
            <w:drawing>
              <wp:anchor distT="0" distB="0" distL="114300" distR="114300" simplePos="0" relativeHeight="251661312" behindDoc="0" locked="0" layoutInCell="0" allowOverlap="1">
                <wp:simplePos x="0" y="0"/>
                <wp:positionH relativeFrom="column">
                  <wp:posOffset>0</wp:posOffset>
                </wp:positionH>
                <wp:positionV relativeFrom="paragraph">
                  <wp:posOffset>99060</wp:posOffset>
                </wp:positionV>
                <wp:extent cx="635" cy="0"/>
                <wp:effectExtent l="0" t="4445" r="0" b="5080"/>
                <wp:wrapNone/>
                <wp:docPr id="7" name="直线 9"/>
                <wp:cNvGraphicFramePr/>
                <a:graphic xmlns:a="http://schemas.openxmlformats.org/drawingml/2006/main">
                  <a:graphicData uri="http://schemas.microsoft.com/office/word/2010/wordprocessingShape">
                    <wps:wsp>
                      <wps:cNvCn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9" o:spid="_x0000_s1026" o:spt="20" style="position:absolute;left:0pt;margin-left:0pt;margin-top:7.8pt;height:0pt;width:0.05pt;z-index:251661312;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aDNZdAAAAADAQAADwAA&#10;AAAAAAABACAAAAAiAAAAZHJzL2Rvd25yZXYueG1sUEsBAhQAFAAAAAgAh07iQLb+97LlAQAA1wMA&#10;AA4AAAAAAAAAAQAgAAAAHwEAAGRycy9lMm9Eb2MueG1sUEsFBgAAAAAGAAYAWQEAAHYFAAAAAA==&#10;">
                <v:fill on="f" focussize="0,0"/>
                <v:stroke color="#000000" joinstyle="round"/>
                <v:imagedata o:title=""/>
                <o:lock v:ext="edit" aspectratio="f"/>
              </v:line>
            </w:pict>
          </mc:Fallback>
        </mc:AlternateContent>
      </w:r>
    </w:p>
    <w:p w14:paraId="58251B79">
      <w:pPr>
        <w:pStyle w:val="2"/>
        <w:spacing w:line="500" w:lineRule="exact"/>
        <w:rPr>
          <w:color w:val="auto"/>
        </w:rPr>
      </w:pPr>
      <w:bookmarkStart w:id="10" w:name="_Toc13186"/>
      <w:bookmarkStart w:id="11" w:name="_Toc10125"/>
      <w:bookmarkStart w:id="12" w:name="_Toc29761"/>
      <w:bookmarkStart w:id="13" w:name="_Toc13603"/>
      <w:bookmarkStart w:id="14" w:name="_Toc9977"/>
      <w:bookmarkStart w:id="15" w:name="_Toc20093"/>
      <w:bookmarkStart w:id="16" w:name="_Toc5523"/>
      <w:r>
        <w:rPr>
          <w:rFonts w:hint="eastAsia"/>
          <w:color w:val="auto"/>
        </w:rPr>
        <w:t>二、</w:t>
      </w:r>
      <w:r>
        <w:rPr>
          <w:color w:val="auto"/>
        </w:rPr>
        <w:t>项目背景及目的意义</w:t>
      </w:r>
      <w:bookmarkEnd w:id="10"/>
      <w:bookmarkEnd w:id="11"/>
      <w:bookmarkEnd w:id="12"/>
      <w:bookmarkEnd w:id="13"/>
      <w:bookmarkEnd w:id="14"/>
      <w:bookmarkEnd w:id="15"/>
      <w:bookmarkEnd w:id="16"/>
    </w:p>
    <w:p w14:paraId="3301A119">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随着社会经济快速发展，在“美丽中国”和生态文明建设持续深入推进的大背景下，废气治理作为持续改善环境空气质量、打赢蓝天保卫战的关键环节，其重要性日益凸显。近年来，国家与广西地方层面相继出台了一系列强有力的政策法规，对工业废气治理提出了更高、更具体的要求。</w:t>
      </w:r>
    </w:p>
    <w:p w14:paraId="6E7C8D1D">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广西作为我国木材加工和化肥生产的重要省份，现有木材加工企业九千多家，其中贵港集中了近三千家，拥有各类化肥企业总计157家，年产的化肥量约为 1000万吨，主要生产氮肥、磷肥、钾肥等化肥品种。木材加工废气治理多使用生物质锅炉除尘技术，该技术设备具有运行维护成本高，易堵塞，运行不稳定等问题；化肥生产产生的高温高湿废气，现采用的水洗涤净化法，溶于水的氨、尿素粉尘与水形成水合物-产生气溶胶及“白烟拖尾”现象，不仅损失了肥分资源，产生的PM</w:t>
      </w:r>
      <w:r>
        <w:rPr>
          <w:rFonts w:hint="eastAsia" w:eastAsia="仿宋"/>
          <w:color w:val="auto"/>
          <w:sz w:val="28"/>
          <w:szCs w:val="28"/>
          <w:vertAlign w:val="subscript"/>
        </w:rPr>
        <w:t>2.5</w:t>
      </w:r>
      <w:r>
        <w:rPr>
          <w:rFonts w:hint="eastAsia" w:eastAsia="仿宋"/>
          <w:color w:val="auto"/>
          <w:sz w:val="28"/>
          <w:szCs w:val="28"/>
        </w:rPr>
        <w:t>对周边</w:t>
      </w:r>
      <w:r>
        <w:rPr>
          <w:rFonts w:hint="eastAsia" w:eastAsia="仿宋"/>
          <w:color w:val="auto"/>
          <w:sz w:val="28"/>
          <w:szCs w:val="28"/>
          <w:lang w:eastAsia="zh-CN"/>
        </w:rPr>
        <w:t>区域</w:t>
      </w:r>
      <w:r>
        <w:rPr>
          <w:rFonts w:hint="eastAsia" w:eastAsia="仿宋"/>
          <w:color w:val="auto"/>
          <w:sz w:val="28"/>
          <w:szCs w:val="28"/>
        </w:rPr>
        <w:t>大气环境造成了严重的污染！</w:t>
      </w:r>
    </w:p>
    <w:p w14:paraId="4265C400">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针对当前</w:t>
      </w:r>
      <w:bookmarkStart w:id="17" w:name="OLE_LINK1"/>
      <w:r>
        <w:rPr>
          <w:rFonts w:hint="eastAsia" w:eastAsia="仿宋"/>
          <w:color w:val="auto"/>
          <w:sz w:val="28"/>
          <w:szCs w:val="28"/>
        </w:rPr>
        <w:t>生物质锅炉</w:t>
      </w:r>
      <w:bookmarkEnd w:id="17"/>
      <w:r>
        <w:rPr>
          <w:rFonts w:hint="eastAsia" w:eastAsia="仿宋"/>
          <w:color w:val="auto"/>
          <w:sz w:val="28"/>
          <w:szCs w:val="28"/>
        </w:rPr>
        <w:t>除尘技术和肥料生产废气水洗涤净化法存在的问题，项目组研发了“新型吸附剂喷吸-过滤协同净化气粒复合废气技术”，该技术采用吸附剂喷吸吸附和过滤协同处理工艺，有效净化废气中的颗粒物和污染物，采用该技术净化肥料生产废气，能回收肥料生产废气中的氨和肥粉等肥分资源，并解决水洗涤净化法“白烟拖尾”现象；采用该技术净化生物质锅炉烟气，能有效解决生物质锅炉“冒黑烟”问题。该技术运行维护成本较低，运行稳定。目前已在贵港、南宁、柳州、崇左等各市县的木材加工和肥料生产企业中推广应用，项目运行稳定、效果良好。</w:t>
      </w:r>
    </w:p>
    <w:p w14:paraId="2DFF9D12">
      <w:pPr>
        <w:autoSpaceDE w:val="0"/>
        <w:autoSpaceDN w:val="0"/>
        <w:adjustRightInd w:val="0"/>
        <w:spacing w:line="500" w:lineRule="exact"/>
        <w:ind w:firstLine="560" w:firstLineChars="200"/>
        <w:rPr>
          <w:rFonts w:eastAsia="仿宋"/>
          <w:color w:val="auto"/>
          <w:kern w:val="0"/>
          <w:sz w:val="28"/>
          <w:szCs w:val="28"/>
        </w:rPr>
      </w:pPr>
      <w:r>
        <w:rPr>
          <w:rFonts w:hint="eastAsia" w:eastAsia="仿宋"/>
          <w:color w:val="auto"/>
          <w:sz w:val="28"/>
          <w:szCs w:val="28"/>
        </w:rPr>
        <w:t>“新型吸附剂喷吸-过滤协同净化气粒复合废气技术”的装置标准、工艺标准、试验检验标准均处于空白状态，制定本标准有利于该技术的设计、项目建设、运行维护等环节的技术要求，提升废气处理后的达标排放水平，促进生态环境的持续改善，保障经济社会的可持续发展，提升社会文明水平。</w:t>
      </w:r>
    </w:p>
    <w:p w14:paraId="4E7B07AA">
      <w:pPr>
        <w:pStyle w:val="2"/>
        <w:spacing w:line="500" w:lineRule="exact"/>
        <w:rPr>
          <w:color w:val="auto"/>
        </w:rPr>
      </w:pPr>
      <w:bookmarkStart w:id="18" w:name="_Toc12535"/>
      <w:bookmarkStart w:id="19" w:name="_Toc32390"/>
      <w:bookmarkStart w:id="20" w:name="_Toc20970"/>
      <w:bookmarkStart w:id="21" w:name="_Toc27198"/>
      <w:bookmarkStart w:id="22" w:name="_Toc11488"/>
      <w:bookmarkStart w:id="23" w:name="_Toc22474"/>
      <w:bookmarkStart w:id="24" w:name="_Toc4328"/>
      <w:r>
        <w:rPr>
          <w:rFonts w:hint="eastAsia"/>
          <w:color w:val="auto"/>
        </w:rPr>
        <w:t>三、标准</w:t>
      </w:r>
      <w:r>
        <w:rPr>
          <w:color w:val="auto"/>
        </w:rPr>
        <w:t>编制过程</w:t>
      </w:r>
      <w:bookmarkEnd w:id="18"/>
      <w:bookmarkEnd w:id="19"/>
      <w:bookmarkEnd w:id="20"/>
      <w:bookmarkEnd w:id="21"/>
      <w:bookmarkEnd w:id="22"/>
      <w:bookmarkEnd w:id="23"/>
      <w:bookmarkEnd w:id="24"/>
    </w:p>
    <w:p w14:paraId="4A876A68">
      <w:pPr>
        <w:pStyle w:val="3"/>
        <w:spacing w:line="500" w:lineRule="exact"/>
        <w:rPr>
          <w:color w:val="auto"/>
        </w:rPr>
      </w:pPr>
      <w:bookmarkStart w:id="25" w:name="_Toc24020"/>
      <w:bookmarkStart w:id="26" w:name="_Toc27703"/>
      <w:bookmarkStart w:id="27" w:name="_Toc29439"/>
      <w:bookmarkStart w:id="28" w:name="_Toc14931"/>
      <w:r>
        <w:rPr>
          <w:color w:val="auto"/>
        </w:rPr>
        <w:t>（一）成立标准编制工作组</w:t>
      </w:r>
      <w:bookmarkEnd w:id="25"/>
      <w:bookmarkEnd w:id="26"/>
      <w:bookmarkEnd w:id="27"/>
      <w:bookmarkEnd w:id="28"/>
    </w:p>
    <w:p w14:paraId="062208A7">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团体标准《新型吸附剂喷吸-过滤协同净化气粒复合废气技术规范》项目任务下达后，随即成立了标准编制工作组。该工作组制定了详细的编写方案，明确了各成员的任务职责，确定了工作技术路线，并正式启动了标准研制工作。具体的标准编制工作由桂林理工大学、广西科穗环境科技有限公司、贵港市芭田生态有限公司的相关人员共同协作推进。</w:t>
      </w:r>
    </w:p>
    <w:p w14:paraId="4EA7E797">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标准文件主要起草人：</w:t>
      </w:r>
    </w:p>
    <w:p w14:paraId="3410C107">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廖雷、梁燕、陈燕文、戴锡建、覃爱苗、王洪强、莫胜鹏、张学旺、李赫、梁立夫、郑康伟、李克光、谭仕生、施春燕、覃蕾宁、陆添印。</w:t>
      </w:r>
    </w:p>
    <w:p w14:paraId="32BAE9D5">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标准编制工作组下设三个组，分别是资料收集组、草案编写组、标准实施组。</w:t>
      </w:r>
    </w:p>
    <w:p w14:paraId="08203B48">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资料收集组负责国内外关于木材加工废气和化肥生产废气治理技术的文献资料查询、收集与整理工作；同时，深入新型吸附剂喷吸-过滤协同净化气粒复合废气技术应用项目实地考察，调研该技术的应用情况及其存在的问题。</w:t>
      </w:r>
    </w:p>
    <w:p w14:paraId="070B2138">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草案编写组负责起草编写标准草案、征求意见稿、编制说明、送审稿等文件工作，包括召开会议征求意见、网上征求意见以及标准的修订和完善。</w:t>
      </w:r>
    </w:p>
    <w:p w14:paraId="7A270A8C">
      <w:pPr>
        <w:autoSpaceDE w:val="0"/>
        <w:autoSpaceDN w:val="0"/>
        <w:adjustRightInd w:val="0"/>
        <w:spacing w:line="500" w:lineRule="exact"/>
        <w:ind w:firstLine="560" w:firstLineChars="200"/>
        <w:rPr>
          <w:rFonts w:hint="eastAsia" w:eastAsia="仿宋"/>
          <w:color w:val="auto"/>
          <w:sz w:val="28"/>
          <w:szCs w:val="28"/>
        </w:rPr>
      </w:pPr>
      <w:r>
        <w:rPr>
          <w:rFonts w:hint="eastAsia" w:eastAsia="仿宋"/>
          <w:color w:val="auto"/>
          <w:sz w:val="28"/>
          <w:szCs w:val="28"/>
        </w:rPr>
        <w:t>标准实施组负责在团体标准发布后，开展团体标准宣传培训、详细解读等工作，对相关工作人员开展新型吸附剂喷吸-过滤协同净化气粒复合废气技术操作培训，让相关工作人员严格按照技术要求操作，并对标准实施情况进行分析总结，不断修正完善团体标准。</w:t>
      </w:r>
    </w:p>
    <w:p w14:paraId="11EE85AC">
      <w:pPr>
        <w:spacing w:line="500" w:lineRule="exact"/>
        <w:jc w:val="center"/>
        <w:rPr>
          <w:rFonts w:hint="eastAsia" w:ascii="黑体" w:eastAsia="黑体"/>
          <w:color w:val="auto"/>
        </w:rPr>
      </w:pPr>
      <w:r>
        <w:rPr>
          <w:rFonts w:hint="eastAsia" w:ascii="黑体" w:eastAsia="黑体"/>
          <w:color w:val="auto"/>
        </w:rPr>
        <w:t>表1  本标准主要起草人姓名及任务分工</w:t>
      </w:r>
    </w:p>
    <w:tbl>
      <w:tblPr>
        <w:tblStyle w:val="18"/>
        <w:tblW w:w="521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8"/>
        <w:gridCol w:w="1059"/>
        <w:gridCol w:w="1050"/>
        <w:gridCol w:w="1229"/>
        <w:gridCol w:w="1900"/>
        <w:gridCol w:w="2919"/>
      </w:tblGrid>
      <w:tr w14:paraId="537A4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14" w:type="pct"/>
            <w:noWrap/>
            <w:vAlign w:val="center"/>
          </w:tcPr>
          <w:p w14:paraId="3B41E2FA">
            <w:pPr>
              <w:jc w:val="center"/>
              <w:rPr>
                <w:rFonts w:ascii="Times New Roman" w:hAnsi="Times New Roman" w:eastAsia="仿宋"/>
                <w:b/>
                <w:color w:val="auto"/>
                <w:sz w:val="24"/>
                <w:szCs w:val="24"/>
              </w:rPr>
            </w:pPr>
            <w:r>
              <w:rPr>
                <w:rFonts w:hint="eastAsia" w:ascii="Times New Roman" w:hAnsi="Times New Roman" w:eastAsia="仿宋"/>
                <w:b/>
                <w:color w:val="auto"/>
                <w:sz w:val="24"/>
                <w:szCs w:val="24"/>
              </w:rPr>
              <w:t>序号</w:t>
            </w:r>
          </w:p>
        </w:tc>
        <w:tc>
          <w:tcPr>
            <w:tcW w:w="595" w:type="pct"/>
            <w:noWrap/>
            <w:vAlign w:val="center"/>
          </w:tcPr>
          <w:p w14:paraId="3FB81DEB">
            <w:pPr>
              <w:jc w:val="center"/>
              <w:rPr>
                <w:rFonts w:ascii="Times New Roman" w:hAnsi="Times New Roman" w:eastAsia="仿宋"/>
                <w:b/>
                <w:color w:val="auto"/>
                <w:sz w:val="24"/>
                <w:szCs w:val="24"/>
              </w:rPr>
            </w:pPr>
            <w:r>
              <w:rPr>
                <w:rFonts w:ascii="Times New Roman" w:hAnsi="Times New Roman" w:eastAsia="仿宋"/>
                <w:b/>
                <w:color w:val="auto"/>
                <w:sz w:val="24"/>
                <w:szCs w:val="24"/>
              </w:rPr>
              <w:t>姓名</w:t>
            </w:r>
          </w:p>
        </w:tc>
        <w:tc>
          <w:tcPr>
            <w:tcW w:w="590" w:type="pct"/>
            <w:noWrap/>
            <w:vAlign w:val="center"/>
          </w:tcPr>
          <w:p w14:paraId="00327CD5">
            <w:pPr>
              <w:jc w:val="center"/>
              <w:rPr>
                <w:rFonts w:ascii="Times New Roman" w:hAnsi="Times New Roman" w:eastAsia="仿宋"/>
                <w:b/>
                <w:color w:val="auto"/>
                <w:sz w:val="24"/>
                <w:szCs w:val="24"/>
              </w:rPr>
            </w:pPr>
            <w:r>
              <w:rPr>
                <w:rFonts w:ascii="Times New Roman" w:hAnsi="Times New Roman" w:eastAsia="仿宋"/>
                <w:b/>
                <w:color w:val="auto"/>
                <w:sz w:val="24"/>
                <w:szCs w:val="24"/>
              </w:rPr>
              <w:t>职务/</w:t>
            </w:r>
          </w:p>
          <w:p w14:paraId="2E2039D5">
            <w:pPr>
              <w:jc w:val="center"/>
              <w:rPr>
                <w:rFonts w:ascii="Times New Roman" w:hAnsi="Times New Roman" w:eastAsia="仿宋"/>
                <w:b/>
                <w:color w:val="auto"/>
                <w:sz w:val="24"/>
                <w:szCs w:val="24"/>
              </w:rPr>
            </w:pPr>
            <w:r>
              <w:rPr>
                <w:rFonts w:ascii="Times New Roman" w:hAnsi="Times New Roman" w:eastAsia="仿宋"/>
                <w:b/>
                <w:color w:val="auto"/>
                <w:sz w:val="24"/>
                <w:szCs w:val="24"/>
              </w:rPr>
              <w:t>职称</w:t>
            </w:r>
          </w:p>
        </w:tc>
        <w:tc>
          <w:tcPr>
            <w:tcW w:w="690" w:type="pct"/>
            <w:noWrap/>
            <w:vAlign w:val="center"/>
          </w:tcPr>
          <w:p w14:paraId="2A5AA094">
            <w:pPr>
              <w:jc w:val="center"/>
              <w:rPr>
                <w:rFonts w:ascii="Times New Roman" w:hAnsi="Times New Roman" w:eastAsia="仿宋"/>
                <w:b/>
                <w:color w:val="auto"/>
                <w:sz w:val="24"/>
                <w:szCs w:val="24"/>
              </w:rPr>
            </w:pPr>
            <w:r>
              <w:rPr>
                <w:rFonts w:ascii="Times New Roman" w:hAnsi="Times New Roman" w:eastAsia="仿宋"/>
                <w:b/>
                <w:color w:val="auto"/>
                <w:sz w:val="24"/>
                <w:szCs w:val="24"/>
              </w:rPr>
              <w:t>从事专业</w:t>
            </w:r>
          </w:p>
        </w:tc>
        <w:tc>
          <w:tcPr>
            <w:tcW w:w="1068" w:type="pct"/>
            <w:noWrap/>
            <w:vAlign w:val="center"/>
          </w:tcPr>
          <w:p w14:paraId="0E884485">
            <w:pPr>
              <w:jc w:val="center"/>
              <w:rPr>
                <w:rFonts w:ascii="Times New Roman" w:hAnsi="Times New Roman" w:eastAsia="仿宋"/>
                <w:b/>
                <w:color w:val="auto"/>
                <w:sz w:val="24"/>
                <w:szCs w:val="24"/>
              </w:rPr>
            </w:pPr>
            <w:r>
              <w:rPr>
                <w:rFonts w:ascii="Times New Roman" w:hAnsi="Times New Roman" w:eastAsia="仿宋"/>
                <w:b/>
                <w:color w:val="auto"/>
                <w:sz w:val="24"/>
                <w:szCs w:val="24"/>
              </w:rPr>
              <w:t>工作单位</w:t>
            </w:r>
          </w:p>
        </w:tc>
        <w:tc>
          <w:tcPr>
            <w:tcW w:w="1640" w:type="pct"/>
            <w:noWrap/>
            <w:vAlign w:val="center"/>
          </w:tcPr>
          <w:p w14:paraId="33EE558B">
            <w:pPr>
              <w:jc w:val="center"/>
              <w:rPr>
                <w:rFonts w:ascii="Times New Roman" w:hAnsi="Times New Roman" w:eastAsia="仿宋"/>
                <w:b/>
                <w:color w:val="auto"/>
                <w:sz w:val="24"/>
                <w:szCs w:val="24"/>
              </w:rPr>
            </w:pPr>
            <w:r>
              <w:rPr>
                <w:rFonts w:ascii="Times New Roman" w:hAnsi="Times New Roman" w:eastAsia="仿宋"/>
                <w:b/>
                <w:color w:val="auto"/>
                <w:sz w:val="24"/>
                <w:szCs w:val="24"/>
              </w:rPr>
              <w:t>责任分工</w:t>
            </w:r>
          </w:p>
        </w:tc>
      </w:tr>
      <w:tr w14:paraId="5DC18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389D0313">
            <w:pPr>
              <w:widowControl/>
              <w:jc w:val="center"/>
              <w:rPr>
                <w:rFonts w:hint="eastAsia" w:ascii="Times New Roman" w:hAnsi="Times New Roman" w:eastAsia="仿宋"/>
                <w:color w:val="auto"/>
                <w:sz w:val="24"/>
                <w:szCs w:val="24"/>
              </w:rPr>
            </w:pPr>
            <w:bookmarkStart w:id="29" w:name="_Hlk216166036"/>
            <w:r>
              <w:rPr>
                <w:rFonts w:hint="eastAsia" w:ascii="Times New Roman" w:hAnsi="Times New Roman" w:eastAsia="仿宋"/>
                <w:color w:val="auto"/>
                <w:sz w:val="24"/>
                <w:szCs w:val="24"/>
              </w:rPr>
              <w:t>1</w:t>
            </w:r>
          </w:p>
        </w:tc>
        <w:tc>
          <w:tcPr>
            <w:tcW w:w="595" w:type="pct"/>
            <w:noWrap/>
            <w:vAlign w:val="center"/>
          </w:tcPr>
          <w:p w14:paraId="0D52D0C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廖雷</w:t>
            </w:r>
          </w:p>
        </w:tc>
        <w:tc>
          <w:tcPr>
            <w:tcW w:w="590" w:type="pct"/>
            <w:noWrap/>
            <w:vAlign w:val="center"/>
          </w:tcPr>
          <w:p w14:paraId="74CDB89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教授</w:t>
            </w:r>
          </w:p>
        </w:tc>
        <w:tc>
          <w:tcPr>
            <w:tcW w:w="690" w:type="pct"/>
            <w:noWrap/>
            <w:vAlign w:val="center"/>
          </w:tcPr>
          <w:p w14:paraId="0A38F814">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环境科学与工程</w:t>
            </w:r>
          </w:p>
        </w:tc>
        <w:tc>
          <w:tcPr>
            <w:tcW w:w="1068" w:type="pct"/>
            <w:noWrap/>
            <w:vAlign w:val="center"/>
          </w:tcPr>
          <w:p w14:paraId="7E8A46BB">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桂林理工大学</w:t>
            </w:r>
          </w:p>
        </w:tc>
        <w:tc>
          <w:tcPr>
            <w:tcW w:w="1640" w:type="pct"/>
            <w:noWrap/>
            <w:vAlign w:val="center"/>
          </w:tcPr>
          <w:p w14:paraId="5551206D">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统筹标准的制定工作。</w:t>
            </w:r>
          </w:p>
        </w:tc>
      </w:tr>
      <w:bookmarkEnd w:id="29"/>
      <w:tr w14:paraId="28679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6E845044">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2</w:t>
            </w:r>
          </w:p>
        </w:tc>
        <w:tc>
          <w:tcPr>
            <w:tcW w:w="595" w:type="pct"/>
            <w:noWrap/>
            <w:vAlign w:val="center"/>
          </w:tcPr>
          <w:p w14:paraId="4DFA4B62">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梁燕</w:t>
            </w:r>
          </w:p>
        </w:tc>
        <w:tc>
          <w:tcPr>
            <w:tcW w:w="590" w:type="pct"/>
            <w:noWrap/>
            <w:vAlign w:val="center"/>
          </w:tcPr>
          <w:p w14:paraId="73D988AC">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总经理</w:t>
            </w:r>
          </w:p>
        </w:tc>
        <w:tc>
          <w:tcPr>
            <w:tcW w:w="690" w:type="pct"/>
            <w:noWrap/>
            <w:vAlign w:val="center"/>
          </w:tcPr>
          <w:p w14:paraId="0130FD1A">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环境工程</w:t>
            </w:r>
          </w:p>
        </w:tc>
        <w:tc>
          <w:tcPr>
            <w:tcW w:w="1068" w:type="pct"/>
            <w:noWrap/>
            <w:vAlign w:val="center"/>
          </w:tcPr>
          <w:p w14:paraId="7AF30EFB">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广西科穗环境科技有限公司</w:t>
            </w:r>
          </w:p>
        </w:tc>
        <w:tc>
          <w:tcPr>
            <w:tcW w:w="1640" w:type="pct"/>
            <w:noWrap/>
            <w:vAlign w:val="center"/>
          </w:tcPr>
          <w:p w14:paraId="0851E5E6">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负责实地调研，对标准内容提出行业内相关建议。</w:t>
            </w:r>
          </w:p>
        </w:tc>
      </w:tr>
      <w:tr w14:paraId="5D82D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0E5D26F9">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3</w:t>
            </w:r>
          </w:p>
        </w:tc>
        <w:tc>
          <w:tcPr>
            <w:tcW w:w="595" w:type="pct"/>
            <w:noWrap/>
            <w:vAlign w:val="center"/>
          </w:tcPr>
          <w:p w14:paraId="7E8316A4">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陈燕文</w:t>
            </w:r>
          </w:p>
        </w:tc>
        <w:tc>
          <w:tcPr>
            <w:tcW w:w="590" w:type="pct"/>
            <w:noWrap/>
            <w:vAlign w:val="center"/>
          </w:tcPr>
          <w:p w14:paraId="608D7841">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工程师</w:t>
            </w:r>
          </w:p>
        </w:tc>
        <w:tc>
          <w:tcPr>
            <w:tcW w:w="690" w:type="pct"/>
            <w:noWrap/>
            <w:vAlign w:val="center"/>
          </w:tcPr>
          <w:p w14:paraId="731F98B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复合肥生产</w:t>
            </w:r>
          </w:p>
        </w:tc>
        <w:tc>
          <w:tcPr>
            <w:tcW w:w="1068" w:type="pct"/>
            <w:noWrap/>
            <w:vAlign w:val="center"/>
          </w:tcPr>
          <w:p w14:paraId="6D4248CF">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贵港市芭田生态有限公司</w:t>
            </w:r>
          </w:p>
        </w:tc>
        <w:tc>
          <w:tcPr>
            <w:tcW w:w="1640" w:type="pct"/>
            <w:noWrap/>
            <w:vAlign w:val="center"/>
          </w:tcPr>
          <w:p w14:paraId="383DDFD8">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负责实地调研，对标准内容提出行业内相关建议。</w:t>
            </w:r>
          </w:p>
        </w:tc>
      </w:tr>
      <w:tr w14:paraId="3797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740B67B7">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4</w:t>
            </w:r>
          </w:p>
        </w:tc>
        <w:tc>
          <w:tcPr>
            <w:tcW w:w="595" w:type="pct"/>
            <w:noWrap/>
            <w:vAlign w:val="center"/>
          </w:tcPr>
          <w:p w14:paraId="5418B43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戴锡建</w:t>
            </w:r>
          </w:p>
        </w:tc>
        <w:tc>
          <w:tcPr>
            <w:tcW w:w="590" w:type="pct"/>
            <w:noWrap/>
            <w:vAlign w:val="center"/>
          </w:tcPr>
          <w:p w14:paraId="304E00AC">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高级工程师</w:t>
            </w:r>
          </w:p>
        </w:tc>
        <w:tc>
          <w:tcPr>
            <w:tcW w:w="690" w:type="pct"/>
            <w:noWrap/>
            <w:vAlign w:val="center"/>
          </w:tcPr>
          <w:p w14:paraId="7715417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环境工程</w:t>
            </w:r>
          </w:p>
        </w:tc>
        <w:tc>
          <w:tcPr>
            <w:tcW w:w="1068" w:type="pct"/>
            <w:noWrap/>
            <w:vAlign w:val="center"/>
          </w:tcPr>
          <w:p w14:paraId="03B587BF">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广西科穗环境科技有限公司</w:t>
            </w:r>
          </w:p>
        </w:tc>
        <w:tc>
          <w:tcPr>
            <w:tcW w:w="1640" w:type="pct"/>
            <w:noWrap/>
            <w:vAlign w:val="center"/>
          </w:tcPr>
          <w:p w14:paraId="79BD8428">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负责资料收集、实地调研，起草标准。</w:t>
            </w:r>
          </w:p>
        </w:tc>
      </w:tr>
      <w:tr w14:paraId="1A481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0D44C05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5</w:t>
            </w:r>
          </w:p>
        </w:tc>
        <w:tc>
          <w:tcPr>
            <w:tcW w:w="595" w:type="pct"/>
            <w:noWrap/>
            <w:vAlign w:val="center"/>
          </w:tcPr>
          <w:p w14:paraId="1005DB9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覃爱苗</w:t>
            </w:r>
          </w:p>
        </w:tc>
        <w:tc>
          <w:tcPr>
            <w:tcW w:w="590" w:type="pct"/>
            <w:noWrap/>
            <w:vAlign w:val="center"/>
          </w:tcPr>
          <w:p w14:paraId="3CEB54B2">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教授</w:t>
            </w:r>
          </w:p>
        </w:tc>
        <w:tc>
          <w:tcPr>
            <w:tcW w:w="690" w:type="pct"/>
            <w:noWrap/>
            <w:vAlign w:val="center"/>
          </w:tcPr>
          <w:p w14:paraId="3FD6A069">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材料科学与工程</w:t>
            </w:r>
          </w:p>
        </w:tc>
        <w:tc>
          <w:tcPr>
            <w:tcW w:w="1068" w:type="pct"/>
            <w:noWrap/>
            <w:vAlign w:val="center"/>
          </w:tcPr>
          <w:p w14:paraId="363EA85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桂林理工大学</w:t>
            </w:r>
          </w:p>
        </w:tc>
        <w:tc>
          <w:tcPr>
            <w:tcW w:w="1640" w:type="pct"/>
            <w:noWrap/>
            <w:vAlign w:val="center"/>
          </w:tcPr>
          <w:p w14:paraId="063C198A">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负责标准审核组织、</w:t>
            </w:r>
          </w:p>
          <w:p w14:paraId="48EC4C94">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意见征集。</w:t>
            </w:r>
          </w:p>
        </w:tc>
      </w:tr>
      <w:tr w14:paraId="72A58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787FE952">
            <w:pPr>
              <w:jc w:val="center"/>
              <w:rPr>
                <w:rFonts w:hint="eastAsia" w:ascii="Times New Roman" w:hAnsi="Times New Roman" w:eastAsia="仿宋"/>
                <w:color w:val="auto"/>
                <w:sz w:val="24"/>
                <w:szCs w:val="24"/>
              </w:rPr>
            </w:pPr>
            <w:bookmarkStart w:id="30" w:name="_Hlk216168726"/>
            <w:r>
              <w:rPr>
                <w:rFonts w:hint="eastAsia" w:ascii="Times New Roman" w:hAnsi="Times New Roman" w:eastAsia="仿宋"/>
                <w:color w:val="auto"/>
                <w:sz w:val="24"/>
                <w:szCs w:val="24"/>
              </w:rPr>
              <w:t>6</w:t>
            </w:r>
          </w:p>
        </w:tc>
        <w:tc>
          <w:tcPr>
            <w:tcW w:w="595" w:type="pct"/>
            <w:noWrap/>
            <w:vAlign w:val="center"/>
          </w:tcPr>
          <w:p w14:paraId="5CF1CF39">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王洪强</w:t>
            </w:r>
          </w:p>
        </w:tc>
        <w:tc>
          <w:tcPr>
            <w:tcW w:w="590" w:type="pct"/>
            <w:noWrap/>
            <w:vAlign w:val="center"/>
          </w:tcPr>
          <w:p w14:paraId="1895DE73">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副教授</w:t>
            </w:r>
          </w:p>
        </w:tc>
        <w:tc>
          <w:tcPr>
            <w:tcW w:w="690" w:type="pct"/>
            <w:noWrap/>
            <w:vAlign w:val="center"/>
          </w:tcPr>
          <w:p w14:paraId="7FD2211D">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环境科学与工程</w:t>
            </w:r>
          </w:p>
        </w:tc>
        <w:tc>
          <w:tcPr>
            <w:tcW w:w="1068" w:type="pct"/>
            <w:noWrap/>
            <w:vAlign w:val="center"/>
          </w:tcPr>
          <w:p w14:paraId="5ECC697E">
            <w:pPr>
              <w:widowControl/>
              <w:jc w:val="center"/>
              <w:rPr>
                <w:rFonts w:hint="eastAsia" w:ascii="Times New Roman" w:hAnsi="Times New Roman" w:eastAsia="仿宋"/>
                <w:color w:val="auto"/>
                <w:sz w:val="24"/>
                <w:szCs w:val="24"/>
              </w:rPr>
            </w:pPr>
            <w:bookmarkStart w:id="31" w:name="OLE_LINK4"/>
            <w:bookmarkStart w:id="32" w:name="OLE_LINK3"/>
            <w:r>
              <w:rPr>
                <w:rFonts w:hint="eastAsia" w:ascii="Times New Roman" w:hAnsi="Times New Roman" w:eastAsia="仿宋"/>
                <w:color w:val="auto"/>
                <w:sz w:val="24"/>
                <w:szCs w:val="24"/>
              </w:rPr>
              <w:t>桂林理工大学</w:t>
            </w:r>
            <w:bookmarkEnd w:id="31"/>
            <w:bookmarkEnd w:id="32"/>
          </w:p>
        </w:tc>
        <w:tc>
          <w:tcPr>
            <w:tcW w:w="1640" w:type="pct"/>
            <w:noWrap/>
            <w:vAlign w:val="center"/>
          </w:tcPr>
          <w:p w14:paraId="5CE4EC5D">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负责对标准内容提出行业内相关建议。</w:t>
            </w:r>
          </w:p>
        </w:tc>
      </w:tr>
      <w:bookmarkEnd w:id="30"/>
      <w:tr w14:paraId="54AC4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4" w:type="pct"/>
            <w:noWrap/>
            <w:vAlign w:val="center"/>
          </w:tcPr>
          <w:p w14:paraId="70F4FA4F">
            <w:pPr>
              <w:jc w:val="center"/>
              <w:rPr>
                <w:rFonts w:hint="eastAsia" w:ascii="Times New Roman" w:hAnsi="Times New Roman" w:eastAsia="仿宋"/>
                <w:color w:val="auto"/>
                <w:sz w:val="24"/>
                <w:szCs w:val="24"/>
              </w:rPr>
            </w:pPr>
            <w:bookmarkStart w:id="33" w:name="_Hlk216168878"/>
            <w:r>
              <w:rPr>
                <w:rFonts w:hint="eastAsia" w:ascii="Times New Roman" w:hAnsi="Times New Roman" w:eastAsia="仿宋"/>
                <w:color w:val="auto"/>
                <w:sz w:val="24"/>
                <w:szCs w:val="24"/>
              </w:rPr>
              <w:t>7</w:t>
            </w:r>
          </w:p>
        </w:tc>
        <w:tc>
          <w:tcPr>
            <w:tcW w:w="595" w:type="pct"/>
            <w:noWrap/>
            <w:vAlign w:val="center"/>
          </w:tcPr>
          <w:p w14:paraId="6DE20CE6">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莫胜鹏</w:t>
            </w:r>
          </w:p>
        </w:tc>
        <w:tc>
          <w:tcPr>
            <w:tcW w:w="590" w:type="pct"/>
            <w:noWrap/>
            <w:vAlign w:val="center"/>
          </w:tcPr>
          <w:p w14:paraId="49C21F5D">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副教授</w:t>
            </w:r>
          </w:p>
        </w:tc>
        <w:tc>
          <w:tcPr>
            <w:tcW w:w="690" w:type="pct"/>
            <w:noWrap/>
            <w:vAlign w:val="center"/>
          </w:tcPr>
          <w:p w14:paraId="48DEB806">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环境科学与工程</w:t>
            </w:r>
          </w:p>
        </w:tc>
        <w:tc>
          <w:tcPr>
            <w:tcW w:w="1068" w:type="pct"/>
            <w:noWrap/>
            <w:vAlign w:val="center"/>
          </w:tcPr>
          <w:p w14:paraId="27FF093F">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桂林理工大学</w:t>
            </w:r>
          </w:p>
        </w:tc>
        <w:tc>
          <w:tcPr>
            <w:tcW w:w="1640" w:type="pct"/>
            <w:noWrap/>
            <w:vAlign w:val="center"/>
          </w:tcPr>
          <w:p w14:paraId="12FDB038">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负责标准发布后的</w:t>
            </w:r>
          </w:p>
          <w:p w14:paraId="0A334A1E">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宣贯培训。</w:t>
            </w:r>
          </w:p>
        </w:tc>
      </w:tr>
      <w:bookmarkEnd w:id="33"/>
      <w:tr w14:paraId="7C030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366D48B4">
            <w:pPr>
              <w:jc w:val="center"/>
              <w:rPr>
                <w:rFonts w:hint="eastAsia" w:ascii="Times New Roman" w:hAnsi="Times New Roman" w:eastAsia="仿宋"/>
                <w:color w:val="auto"/>
                <w:sz w:val="24"/>
                <w:szCs w:val="24"/>
              </w:rPr>
            </w:pPr>
            <w:bookmarkStart w:id="34" w:name="_Hlk216169361"/>
            <w:r>
              <w:rPr>
                <w:rFonts w:hint="eastAsia" w:ascii="Times New Roman" w:hAnsi="Times New Roman" w:eastAsia="仿宋"/>
                <w:color w:val="auto"/>
                <w:sz w:val="24"/>
                <w:szCs w:val="24"/>
              </w:rPr>
              <w:t>8</w:t>
            </w:r>
          </w:p>
        </w:tc>
        <w:tc>
          <w:tcPr>
            <w:tcW w:w="595" w:type="pct"/>
            <w:noWrap/>
            <w:vAlign w:val="center"/>
          </w:tcPr>
          <w:p w14:paraId="220B5C91">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张学旺</w:t>
            </w:r>
          </w:p>
        </w:tc>
        <w:tc>
          <w:tcPr>
            <w:tcW w:w="590" w:type="pct"/>
            <w:noWrap/>
            <w:vAlign w:val="center"/>
          </w:tcPr>
          <w:p w14:paraId="6D768648">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00C0983B">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环境科学与工程</w:t>
            </w:r>
          </w:p>
        </w:tc>
        <w:tc>
          <w:tcPr>
            <w:tcW w:w="1068" w:type="pct"/>
            <w:noWrap/>
            <w:vAlign w:val="center"/>
          </w:tcPr>
          <w:p w14:paraId="70EB8104">
            <w:pPr>
              <w:widowControl/>
              <w:jc w:val="center"/>
              <w:rPr>
                <w:rFonts w:hint="eastAsia" w:ascii="Times New Roman" w:hAnsi="Times New Roman" w:eastAsia="仿宋"/>
                <w:color w:val="FF0000"/>
                <w:sz w:val="24"/>
                <w:szCs w:val="24"/>
                <w:highlight w:val="yellow"/>
              </w:rPr>
            </w:pPr>
            <w:r>
              <w:rPr>
                <w:rFonts w:hint="eastAsia" w:ascii="Times New Roman" w:hAnsi="Times New Roman" w:eastAsia="仿宋"/>
                <w:color w:val="FF0000"/>
                <w:sz w:val="24"/>
                <w:szCs w:val="24"/>
              </w:rPr>
              <w:t>桂林理工大学</w:t>
            </w:r>
          </w:p>
        </w:tc>
        <w:tc>
          <w:tcPr>
            <w:tcW w:w="1640" w:type="pct"/>
            <w:noWrap/>
            <w:vAlign w:val="center"/>
          </w:tcPr>
          <w:p w14:paraId="3520A00E">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负责标准发布后的</w:t>
            </w:r>
          </w:p>
          <w:p w14:paraId="1A16562F">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宣贯培训。</w:t>
            </w:r>
          </w:p>
        </w:tc>
      </w:tr>
      <w:bookmarkEnd w:id="34"/>
      <w:tr w14:paraId="1423F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09F9F325">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9</w:t>
            </w:r>
          </w:p>
        </w:tc>
        <w:tc>
          <w:tcPr>
            <w:tcW w:w="595" w:type="pct"/>
            <w:noWrap/>
            <w:vAlign w:val="center"/>
          </w:tcPr>
          <w:p w14:paraId="4B4ED61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李赫</w:t>
            </w:r>
          </w:p>
        </w:tc>
        <w:tc>
          <w:tcPr>
            <w:tcW w:w="590" w:type="pct"/>
            <w:noWrap/>
            <w:vAlign w:val="center"/>
          </w:tcPr>
          <w:p w14:paraId="5DF03ED4">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3CEB06CD">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环境科学与工程</w:t>
            </w:r>
          </w:p>
        </w:tc>
        <w:tc>
          <w:tcPr>
            <w:tcW w:w="1068" w:type="pct"/>
            <w:noWrap/>
            <w:vAlign w:val="center"/>
          </w:tcPr>
          <w:p w14:paraId="5263F174">
            <w:pPr>
              <w:widowControl/>
              <w:jc w:val="center"/>
              <w:rPr>
                <w:rFonts w:hint="eastAsia" w:ascii="Times New Roman" w:hAnsi="Times New Roman" w:eastAsia="仿宋"/>
                <w:color w:val="FF0000"/>
                <w:sz w:val="24"/>
                <w:szCs w:val="24"/>
                <w:highlight w:val="yellow"/>
              </w:rPr>
            </w:pPr>
            <w:r>
              <w:rPr>
                <w:rFonts w:hint="eastAsia" w:ascii="Times New Roman" w:hAnsi="Times New Roman" w:eastAsia="仿宋"/>
                <w:color w:val="FF0000"/>
                <w:sz w:val="24"/>
                <w:szCs w:val="24"/>
              </w:rPr>
              <w:t>桂林理工大学</w:t>
            </w:r>
          </w:p>
        </w:tc>
        <w:tc>
          <w:tcPr>
            <w:tcW w:w="1640" w:type="pct"/>
            <w:noWrap/>
            <w:vAlign w:val="center"/>
          </w:tcPr>
          <w:p w14:paraId="1F13C22F">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负责标准发布后的宣贯培训。</w:t>
            </w:r>
          </w:p>
        </w:tc>
      </w:tr>
      <w:tr w14:paraId="655E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034C3662">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10</w:t>
            </w:r>
          </w:p>
        </w:tc>
        <w:tc>
          <w:tcPr>
            <w:tcW w:w="595" w:type="pct"/>
            <w:noWrap/>
            <w:vAlign w:val="center"/>
          </w:tcPr>
          <w:p w14:paraId="6E494B48">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梁立夫</w:t>
            </w:r>
          </w:p>
        </w:tc>
        <w:tc>
          <w:tcPr>
            <w:tcW w:w="590" w:type="pct"/>
            <w:noWrap/>
            <w:vAlign w:val="center"/>
          </w:tcPr>
          <w:p w14:paraId="273E8252">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18B5CB3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环境科学与工程</w:t>
            </w:r>
          </w:p>
        </w:tc>
        <w:tc>
          <w:tcPr>
            <w:tcW w:w="1068" w:type="pct"/>
            <w:noWrap/>
            <w:vAlign w:val="center"/>
          </w:tcPr>
          <w:p w14:paraId="6F28EC56">
            <w:pPr>
              <w:widowControl/>
              <w:jc w:val="center"/>
              <w:rPr>
                <w:rFonts w:hint="eastAsia" w:ascii="Times New Roman" w:hAnsi="Times New Roman" w:eastAsia="仿宋"/>
                <w:color w:val="FF0000"/>
                <w:sz w:val="24"/>
                <w:szCs w:val="24"/>
                <w:highlight w:val="yellow"/>
              </w:rPr>
            </w:pPr>
            <w:r>
              <w:rPr>
                <w:rFonts w:hint="eastAsia" w:ascii="Times New Roman" w:hAnsi="Times New Roman" w:eastAsia="仿宋"/>
                <w:color w:val="FF0000"/>
                <w:sz w:val="24"/>
                <w:szCs w:val="24"/>
              </w:rPr>
              <w:t>桂林理工大学</w:t>
            </w:r>
          </w:p>
        </w:tc>
        <w:tc>
          <w:tcPr>
            <w:tcW w:w="1640" w:type="pct"/>
            <w:noWrap/>
            <w:vAlign w:val="center"/>
          </w:tcPr>
          <w:p w14:paraId="777FCE8E">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负责标准发布后的</w:t>
            </w:r>
          </w:p>
          <w:p w14:paraId="03541DE6">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宣贯培训。</w:t>
            </w:r>
          </w:p>
        </w:tc>
      </w:tr>
      <w:tr w14:paraId="2C1C4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25801B49">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11</w:t>
            </w:r>
          </w:p>
        </w:tc>
        <w:tc>
          <w:tcPr>
            <w:tcW w:w="595" w:type="pct"/>
            <w:noWrap/>
            <w:vAlign w:val="center"/>
          </w:tcPr>
          <w:p w14:paraId="0D2A0D9B">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郑康伟</w:t>
            </w:r>
          </w:p>
        </w:tc>
        <w:tc>
          <w:tcPr>
            <w:tcW w:w="590" w:type="pct"/>
            <w:noWrap/>
            <w:vAlign w:val="center"/>
          </w:tcPr>
          <w:p w14:paraId="793639CC">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工程师</w:t>
            </w:r>
          </w:p>
        </w:tc>
        <w:tc>
          <w:tcPr>
            <w:tcW w:w="690" w:type="pct"/>
            <w:noWrap/>
            <w:vAlign w:val="center"/>
          </w:tcPr>
          <w:p w14:paraId="5E80E5A1">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复合肥生产</w:t>
            </w:r>
          </w:p>
        </w:tc>
        <w:tc>
          <w:tcPr>
            <w:tcW w:w="1068" w:type="pct"/>
            <w:noWrap/>
            <w:vAlign w:val="center"/>
          </w:tcPr>
          <w:p w14:paraId="0DE6497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贵港市芭田生态有限公司</w:t>
            </w:r>
          </w:p>
        </w:tc>
        <w:tc>
          <w:tcPr>
            <w:tcW w:w="1640" w:type="pct"/>
            <w:noWrap/>
            <w:vAlign w:val="center"/>
          </w:tcPr>
          <w:p w14:paraId="0DA883B5">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提供行业技术支持指导，对技术内容提出</w:t>
            </w:r>
          </w:p>
          <w:p w14:paraId="217DCD19">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专业建议。</w:t>
            </w:r>
          </w:p>
        </w:tc>
      </w:tr>
      <w:tr w14:paraId="5D835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29EEFCD4">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12</w:t>
            </w:r>
          </w:p>
        </w:tc>
        <w:tc>
          <w:tcPr>
            <w:tcW w:w="595" w:type="pct"/>
            <w:noWrap/>
            <w:vAlign w:val="center"/>
          </w:tcPr>
          <w:p w14:paraId="69C58F17">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李克光</w:t>
            </w:r>
          </w:p>
        </w:tc>
        <w:tc>
          <w:tcPr>
            <w:tcW w:w="590" w:type="pct"/>
            <w:noWrap/>
            <w:vAlign w:val="center"/>
          </w:tcPr>
          <w:p w14:paraId="37172E96">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工程师</w:t>
            </w:r>
          </w:p>
        </w:tc>
        <w:tc>
          <w:tcPr>
            <w:tcW w:w="690" w:type="pct"/>
            <w:noWrap/>
            <w:vAlign w:val="center"/>
          </w:tcPr>
          <w:p w14:paraId="4DA985B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机电工程</w:t>
            </w:r>
          </w:p>
        </w:tc>
        <w:tc>
          <w:tcPr>
            <w:tcW w:w="1068" w:type="pct"/>
            <w:noWrap/>
            <w:vAlign w:val="center"/>
          </w:tcPr>
          <w:p w14:paraId="0BBC691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广西科穗环境科技有限公司</w:t>
            </w:r>
          </w:p>
        </w:tc>
        <w:tc>
          <w:tcPr>
            <w:tcW w:w="1640" w:type="pct"/>
            <w:noWrap/>
            <w:vAlign w:val="center"/>
          </w:tcPr>
          <w:p w14:paraId="70976F77">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负责实地调研，对标准内容提出行业内相关建议。</w:t>
            </w:r>
          </w:p>
        </w:tc>
      </w:tr>
      <w:tr w14:paraId="7DC48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35F8CA40">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13</w:t>
            </w:r>
          </w:p>
        </w:tc>
        <w:tc>
          <w:tcPr>
            <w:tcW w:w="595" w:type="pct"/>
            <w:noWrap/>
            <w:vAlign w:val="center"/>
          </w:tcPr>
          <w:p w14:paraId="28B7DCDF">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谭仕生</w:t>
            </w:r>
          </w:p>
        </w:tc>
        <w:tc>
          <w:tcPr>
            <w:tcW w:w="590" w:type="pct"/>
            <w:noWrap/>
            <w:vAlign w:val="center"/>
          </w:tcPr>
          <w:p w14:paraId="1074F21D">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2B1EAE06">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机电工程</w:t>
            </w:r>
          </w:p>
        </w:tc>
        <w:tc>
          <w:tcPr>
            <w:tcW w:w="1068" w:type="pct"/>
            <w:noWrap/>
            <w:vAlign w:val="center"/>
          </w:tcPr>
          <w:p w14:paraId="6DA738DF">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贵港市芭田生态有限公司</w:t>
            </w:r>
          </w:p>
        </w:tc>
        <w:tc>
          <w:tcPr>
            <w:tcW w:w="1640" w:type="pct"/>
            <w:noWrap/>
            <w:vAlign w:val="center"/>
          </w:tcPr>
          <w:p w14:paraId="2393A799">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对设备技术指标、试验方法，解决技术难题，验证条款合理性。</w:t>
            </w:r>
          </w:p>
        </w:tc>
      </w:tr>
      <w:tr w14:paraId="4A165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1FDCDB24">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14</w:t>
            </w:r>
          </w:p>
        </w:tc>
        <w:tc>
          <w:tcPr>
            <w:tcW w:w="595" w:type="pct"/>
            <w:noWrap/>
            <w:vAlign w:val="center"/>
          </w:tcPr>
          <w:p w14:paraId="4FE52085">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施春燕</w:t>
            </w:r>
          </w:p>
        </w:tc>
        <w:tc>
          <w:tcPr>
            <w:tcW w:w="590" w:type="pct"/>
            <w:noWrap/>
            <w:vAlign w:val="center"/>
          </w:tcPr>
          <w:p w14:paraId="47E16C9B">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5A3E058B">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环境工程</w:t>
            </w:r>
          </w:p>
        </w:tc>
        <w:tc>
          <w:tcPr>
            <w:tcW w:w="1068" w:type="pct"/>
            <w:noWrap/>
            <w:vAlign w:val="center"/>
          </w:tcPr>
          <w:p w14:paraId="6CAF3B87">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广西科穗环境科技有限公司</w:t>
            </w:r>
          </w:p>
        </w:tc>
        <w:tc>
          <w:tcPr>
            <w:tcW w:w="1640" w:type="pct"/>
            <w:noWrap/>
            <w:vAlign w:val="center"/>
          </w:tcPr>
          <w:p w14:paraId="3C1AD956">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负责标准发布后的</w:t>
            </w:r>
          </w:p>
          <w:p w14:paraId="4F53DFE6">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宣贯培训。</w:t>
            </w:r>
          </w:p>
        </w:tc>
      </w:tr>
      <w:tr w14:paraId="0844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59C3A69F">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15</w:t>
            </w:r>
          </w:p>
        </w:tc>
        <w:tc>
          <w:tcPr>
            <w:tcW w:w="595" w:type="pct"/>
            <w:noWrap/>
            <w:vAlign w:val="center"/>
          </w:tcPr>
          <w:p w14:paraId="62382CC4">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覃蕾宁</w:t>
            </w:r>
          </w:p>
        </w:tc>
        <w:tc>
          <w:tcPr>
            <w:tcW w:w="590" w:type="pct"/>
            <w:noWrap/>
            <w:vAlign w:val="center"/>
          </w:tcPr>
          <w:p w14:paraId="1C6C5602">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3AD38ADE">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复合肥生产</w:t>
            </w:r>
          </w:p>
        </w:tc>
        <w:tc>
          <w:tcPr>
            <w:tcW w:w="1068" w:type="pct"/>
            <w:noWrap/>
            <w:vAlign w:val="center"/>
          </w:tcPr>
          <w:p w14:paraId="7B0B891D">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贵港市芭田生态有限公司</w:t>
            </w:r>
          </w:p>
        </w:tc>
        <w:tc>
          <w:tcPr>
            <w:tcW w:w="1640" w:type="pct"/>
            <w:noWrap/>
            <w:vAlign w:val="center"/>
          </w:tcPr>
          <w:p w14:paraId="51C85789">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制定标准宣贯方案，组织培训，跟踪实施效果。</w:t>
            </w:r>
          </w:p>
        </w:tc>
      </w:tr>
      <w:tr w14:paraId="613B7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14" w:type="pct"/>
            <w:noWrap/>
            <w:vAlign w:val="center"/>
          </w:tcPr>
          <w:p w14:paraId="133956A8">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16</w:t>
            </w:r>
          </w:p>
        </w:tc>
        <w:tc>
          <w:tcPr>
            <w:tcW w:w="595" w:type="pct"/>
            <w:noWrap/>
            <w:vAlign w:val="center"/>
          </w:tcPr>
          <w:p w14:paraId="2590D9F8">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陆添印</w:t>
            </w:r>
          </w:p>
        </w:tc>
        <w:tc>
          <w:tcPr>
            <w:tcW w:w="590" w:type="pct"/>
            <w:noWrap/>
            <w:vAlign w:val="center"/>
          </w:tcPr>
          <w:p w14:paraId="19E83382">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无</w:t>
            </w:r>
          </w:p>
        </w:tc>
        <w:tc>
          <w:tcPr>
            <w:tcW w:w="690" w:type="pct"/>
            <w:noWrap/>
            <w:vAlign w:val="center"/>
          </w:tcPr>
          <w:p w14:paraId="187316C8">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复合肥生产</w:t>
            </w:r>
          </w:p>
        </w:tc>
        <w:tc>
          <w:tcPr>
            <w:tcW w:w="1068" w:type="pct"/>
            <w:noWrap/>
            <w:vAlign w:val="center"/>
          </w:tcPr>
          <w:p w14:paraId="52FCB7A0">
            <w:pPr>
              <w:widowControl/>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贵港市芭田生态有限公司</w:t>
            </w:r>
          </w:p>
        </w:tc>
        <w:tc>
          <w:tcPr>
            <w:tcW w:w="1640" w:type="pct"/>
            <w:noWrap/>
            <w:vAlign w:val="center"/>
          </w:tcPr>
          <w:p w14:paraId="0FF6C223">
            <w:pPr>
              <w:jc w:val="center"/>
              <w:rPr>
                <w:rFonts w:hint="eastAsia" w:ascii="Times New Roman" w:hAnsi="Times New Roman" w:eastAsia="仿宋"/>
                <w:color w:val="auto"/>
                <w:sz w:val="24"/>
                <w:szCs w:val="24"/>
              </w:rPr>
            </w:pPr>
            <w:r>
              <w:rPr>
                <w:rFonts w:hint="eastAsia" w:ascii="Times New Roman" w:hAnsi="Times New Roman" w:eastAsia="仿宋"/>
                <w:color w:val="auto"/>
                <w:sz w:val="24"/>
                <w:szCs w:val="24"/>
              </w:rPr>
              <w:t>制定标准宣贯方案，组织培训，跟踪实施效果。</w:t>
            </w:r>
          </w:p>
        </w:tc>
      </w:tr>
    </w:tbl>
    <w:p w14:paraId="1CBC7E18">
      <w:pPr>
        <w:pStyle w:val="3"/>
        <w:spacing w:line="500" w:lineRule="exact"/>
        <w:rPr>
          <w:color w:val="auto"/>
        </w:rPr>
      </w:pPr>
      <w:bookmarkStart w:id="35" w:name="_Toc2250"/>
      <w:bookmarkStart w:id="36" w:name="_Toc12093"/>
      <w:bookmarkStart w:id="37" w:name="_Toc5386"/>
      <w:bookmarkStart w:id="38" w:name="_Toc32453"/>
      <w:r>
        <w:rPr>
          <w:rFonts w:hint="eastAsia"/>
          <w:color w:val="auto"/>
        </w:rPr>
        <w:t>（二）</w:t>
      </w:r>
      <w:r>
        <w:rPr>
          <w:color w:val="auto"/>
        </w:rPr>
        <w:t>收集整理文献资料</w:t>
      </w:r>
      <w:bookmarkEnd w:id="35"/>
      <w:bookmarkEnd w:id="36"/>
      <w:bookmarkEnd w:id="37"/>
      <w:bookmarkEnd w:id="38"/>
    </w:p>
    <w:p w14:paraId="56E2B6E1">
      <w:pPr>
        <w:spacing w:line="500" w:lineRule="exact"/>
        <w:ind w:firstLine="560" w:firstLineChars="200"/>
        <w:rPr>
          <w:rFonts w:hint="eastAsia" w:eastAsia="仿宋"/>
          <w:color w:val="auto"/>
          <w:sz w:val="28"/>
          <w:szCs w:val="28"/>
        </w:rPr>
      </w:pPr>
      <w:r>
        <w:rPr>
          <w:rFonts w:hint="eastAsia" w:eastAsia="仿宋"/>
          <w:color w:val="auto"/>
          <w:sz w:val="28"/>
          <w:szCs w:val="28"/>
        </w:rPr>
        <w:t>标准编制工作组收集了国内与新型吸附剂喷吸-过滤协同净化气粒复合废气技术相关标准，具体列出如下：</w:t>
      </w:r>
    </w:p>
    <w:p w14:paraId="62D5800F">
      <w:pPr>
        <w:spacing w:line="500" w:lineRule="exact"/>
        <w:ind w:firstLine="560" w:firstLineChars="200"/>
        <w:rPr>
          <w:rFonts w:hint="eastAsia" w:eastAsia="仿宋"/>
          <w:color w:val="auto"/>
          <w:sz w:val="28"/>
          <w:szCs w:val="28"/>
        </w:rPr>
      </w:pPr>
      <w:r>
        <w:rPr>
          <w:rFonts w:hint="eastAsia" w:eastAsia="仿宋"/>
          <w:color w:val="auto"/>
          <w:sz w:val="28"/>
          <w:szCs w:val="28"/>
        </w:rPr>
        <w:t>GB 16297  大气综合排放标准</w:t>
      </w:r>
    </w:p>
    <w:p w14:paraId="53389EE9">
      <w:pPr>
        <w:spacing w:line="500" w:lineRule="exact"/>
        <w:ind w:firstLine="560" w:firstLineChars="200"/>
        <w:rPr>
          <w:rFonts w:hint="eastAsia" w:eastAsia="仿宋"/>
          <w:color w:val="auto"/>
          <w:sz w:val="28"/>
          <w:szCs w:val="28"/>
        </w:rPr>
      </w:pPr>
      <w:r>
        <w:rPr>
          <w:rFonts w:hint="eastAsia" w:eastAsia="仿宋"/>
          <w:color w:val="auto"/>
          <w:sz w:val="28"/>
          <w:szCs w:val="28"/>
        </w:rPr>
        <w:t>GB/T 6719  袋式除尘器技术要求</w:t>
      </w:r>
    </w:p>
    <w:p w14:paraId="2C3F91E9">
      <w:pPr>
        <w:spacing w:line="500" w:lineRule="exact"/>
        <w:ind w:firstLine="560" w:firstLineChars="200"/>
        <w:rPr>
          <w:rFonts w:hint="eastAsia" w:eastAsia="仿宋"/>
          <w:color w:val="auto"/>
          <w:sz w:val="28"/>
          <w:szCs w:val="28"/>
        </w:rPr>
      </w:pPr>
      <w:r>
        <w:rPr>
          <w:rFonts w:hint="eastAsia" w:eastAsia="仿宋"/>
          <w:color w:val="auto"/>
          <w:sz w:val="28"/>
          <w:szCs w:val="28"/>
        </w:rPr>
        <w:t>GB 13271  锅炉大气污染物排放标准</w:t>
      </w:r>
    </w:p>
    <w:p w14:paraId="4CF9271F">
      <w:pPr>
        <w:spacing w:line="500" w:lineRule="exact"/>
        <w:ind w:firstLine="560" w:firstLineChars="200"/>
        <w:rPr>
          <w:rFonts w:hint="eastAsia" w:eastAsia="仿宋"/>
          <w:color w:val="auto"/>
          <w:sz w:val="28"/>
          <w:szCs w:val="28"/>
        </w:rPr>
      </w:pPr>
      <w:r>
        <w:rPr>
          <w:rFonts w:hint="eastAsia" w:eastAsia="仿宋"/>
          <w:color w:val="auto"/>
          <w:sz w:val="28"/>
          <w:szCs w:val="28"/>
        </w:rPr>
        <w:t>HJ 2026  吸附法工业有机废气治理工程技术规范</w:t>
      </w:r>
    </w:p>
    <w:p w14:paraId="4DC00B69">
      <w:pPr>
        <w:spacing w:line="500" w:lineRule="exact"/>
        <w:ind w:firstLine="560" w:firstLineChars="200"/>
        <w:rPr>
          <w:rFonts w:hint="eastAsia" w:eastAsia="仿宋"/>
          <w:color w:val="auto"/>
          <w:sz w:val="28"/>
          <w:szCs w:val="28"/>
        </w:rPr>
      </w:pPr>
      <w:r>
        <w:rPr>
          <w:rFonts w:hint="eastAsia" w:eastAsia="仿宋"/>
          <w:color w:val="auto"/>
          <w:sz w:val="28"/>
          <w:szCs w:val="28"/>
        </w:rPr>
        <w:t>HJ 2000  大气污染治理工程技术导则</w:t>
      </w:r>
    </w:p>
    <w:p w14:paraId="7214B522">
      <w:pPr>
        <w:spacing w:line="500" w:lineRule="exact"/>
        <w:ind w:firstLine="560" w:firstLineChars="200"/>
        <w:rPr>
          <w:rFonts w:hint="eastAsia" w:eastAsia="仿宋"/>
          <w:color w:val="auto"/>
          <w:sz w:val="28"/>
          <w:szCs w:val="28"/>
        </w:rPr>
      </w:pPr>
      <w:r>
        <w:rPr>
          <w:rFonts w:hint="eastAsia" w:eastAsia="仿宋"/>
          <w:color w:val="auto"/>
          <w:sz w:val="28"/>
          <w:szCs w:val="28"/>
        </w:rPr>
        <w:t>HJ 2020  袋式除尘工程通用技术规范</w:t>
      </w:r>
    </w:p>
    <w:p w14:paraId="31065E7E">
      <w:pPr>
        <w:spacing w:line="500" w:lineRule="exact"/>
        <w:ind w:firstLine="560" w:firstLineChars="200"/>
        <w:rPr>
          <w:rFonts w:hint="eastAsia" w:eastAsia="仿宋"/>
          <w:color w:val="auto"/>
          <w:sz w:val="28"/>
          <w:szCs w:val="28"/>
        </w:rPr>
      </w:pPr>
      <w:r>
        <w:rPr>
          <w:rFonts w:hint="eastAsia" w:eastAsia="仿宋"/>
          <w:color w:val="auto"/>
          <w:sz w:val="28"/>
          <w:szCs w:val="28"/>
        </w:rPr>
        <w:t>HJ／T 286  环境保护产品技术要求 工业锅炉多管旋风除尘器</w:t>
      </w:r>
    </w:p>
    <w:p w14:paraId="52B3382A">
      <w:pPr>
        <w:spacing w:line="500" w:lineRule="exact"/>
        <w:ind w:firstLine="560" w:firstLineChars="200"/>
        <w:rPr>
          <w:rFonts w:hint="eastAsia" w:eastAsia="仿宋"/>
          <w:color w:val="auto"/>
          <w:sz w:val="28"/>
          <w:szCs w:val="28"/>
        </w:rPr>
      </w:pPr>
      <w:r>
        <w:rPr>
          <w:rFonts w:hint="eastAsia" w:eastAsia="仿宋"/>
          <w:color w:val="auto"/>
          <w:sz w:val="28"/>
          <w:szCs w:val="28"/>
        </w:rPr>
        <w:t>JB/T 10341  滤筒式除尘器</w:t>
      </w:r>
    </w:p>
    <w:p w14:paraId="2E13BBC0">
      <w:pPr>
        <w:spacing w:line="500" w:lineRule="exact"/>
        <w:ind w:firstLine="560" w:firstLineChars="200"/>
        <w:rPr>
          <w:rFonts w:hint="eastAsia" w:eastAsia="仿宋"/>
          <w:color w:val="auto"/>
          <w:sz w:val="28"/>
          <w:szCs w:val="28"/>
        </w:rPr>
      </w:pPr>
      <w:r>
        <w:rPr>
          <w:rFonts w:hint="eastAsia" w:eastAsia="仿宋"/>
          <w:color w:val="auto"/>
          <w:sz w:val="28"/>
          <w:szCs w:val="28"/>
        </w:rPr>
        <w:t>TZSESS 010  有机废气治理活性炭吸附装置技术规范</w:t>
      </w:r>
    </w:p>
    <w:p w14:paraId="1DF7B1EB">
      <w:pPr>
        <w:spacing w:line="500" w:lineRule="exact"/>
        <w:ind w:firstLine="560" w:firstLineChars="200"/>
        <w:rPr>
          <w:rFonts w:hint="eastAsia" w:eastAsia="仿宋"/>
          <w:color w:val="auto"/>
          <w:sz w:val="28"/>
          <w:szCs w:val="28"/>
        </w:rPr>
      </w:pPr>
      <w:r>
        <w:rPr>
          <w:rFonts w:hint="eastAsia" w:eastAsia="仿宋"/>
          <w:color w:val="auto"/>
          <w:sz w:val="28"/>
          <w:szCs w:val="28"/>
        </w:rPr>
        <w:t>T/CAEPI 99  工业有机废气净化用沸石蜂窝体吸附剂</w:t>
      </w:r>
    </w:p>
    <w:p w14:paraId="121190D5">
      <w:pPr>
        <w:pStyle w:val="3"/>
        <w:spacing w:line="500" w:lineRule="exact"/>
        <w:rPr>
          <w:color w:val="auto"/>
        </w:rPr>
      </w:pPr>
      <w:bookmarkStart w:id="39" w:name="_Toc29652"/>
      <w:bookmarkStart w:id="40" w:name="_Toc29380"/>
      <w:bookmarkStart w:id="41" w:name="_Toc9470"/>
      <w:bookmarkStart w:id="42" w:name="_Toc7664"/>
      <w:r>
        <w:rPr>
          <w:color w:val="auto"/>
        </w:rPr>
        <w:t>（三）研讨确定标准主体内容</w:t>
      </w:r>
      <w:bookmarkEnd w:id="39"/>
      <w:bookmarkEnd w:id="40"/>
      <w:bookmarkEnd w:id="41"/>
      <w:bookmarkEnd w:id="42"/>
    </w:p>
    <w:p w14:paraId="5280713A">
      <w:pPr>
        <w:spacing w:line="500" w:lineRule="exact"/>
        <w:ind w:firstLine="560" w:firstLineChars="200"/>
        <w:rPr>
          <w:rFonts w:eastAsia="仿宋"/>
          <w:color w:val="auto"/>
          <w:sz w:val="32"/>
          <w:szCs w:val="32"/>
          <w:lang w:val="zh-CN"/>
        </w:rPr>
      </w:pPr>
      <w:r>
        <w:rPr>
          <w:rFonts w:hint="eastAsia" w:eastAsia="仿宋"/>
          <w:color w:val="auto"/>
          <w:sz w:val="28"/>
          <w:szCs w:val="28"/>
        </w:rPr>
        <w:t>标准编制工作组对收集的资料整理研究后，召开了标准编制工作会议，对标准的整体框架结构进行了研究，并对标准的关键性内容进行了初步探讨。经过研究，标准的主体内容确定为术语和定义，总体要求、工艺设计、</w:t>
      </w:r>
      <w:r>
        <w:rPr>
          <w:rFonts w:hint="eastAsia" w:ascii="Calibri" w:hAnsi="Calibri" w:eastAsia="仿宋"/>
          <w:color w:val="auto"/>
          <w:sz w:val="28"/>
          <w:szCs w:val="28"/>
        </w:rPr>
        <w:t>检测与过程控制、</w:t>
      </w:r>
      <w:r>
        <w:rPr>
          <w:rFonts w:hint="eastAsia" w:eastAsia="仿宋"/>
          <w:color w:val="auto"/>
          <w:sz w:val="28"/>
          <w:szCs w:val="28"/>
        </w:rPr>
        <w:t>施工与验收、运行与维护。</w:t>
      </w:r>
    </w:p>
    <w:p w14:paraId="157F793C">
      <w:pPr>
        <w:pStyle w:val="3"/>
        <w:spacing w:line="500" w:lineRule="exact"/>
        <w:rPr>
          <w:color w:val="auto"/>
        </w:rPr>
      </w:pPr>
      <w:bookmarkStart w:id="43" w:name="_Toc31564"/>
      <w:bookmarkStart w:id="44" w:name="_Toc4021"/>
      <w:bookmarkStart w:id="45" w:name="_Toc32730"/>
      <w:bookmarkStart w:id="46" w:name="_Toc16968"/>
      <w:r>
        <w:rPr>
          <w:color w:val="auto"/>
        </w:rPr>
        <w:t>（四）调研、形成文本草案、征求意见稿</w:t>
      </w:r>
      <w:bookmarkEnd w:id="43"/>
      <w:bookmarkEnd w:id="44"/>
      <w:bookmarkEnd w:id="45"/>
      <w:bookmarkEnd w:id="46"/>
      <w:r>
        <w:rPr>
          <w:rFonts w:hint="eastAsia"/>
          <w:color w:val="auto"/>
        </w:rPr>
        <w:t>、</w:t>
      </w:r>
    </w:p>
    <w:p w14:paraId="55EE5FDA">
      <w:pPr>
        <w:spacing w:line="500" w:lineRule="exact"/>
        <w:ind w:firstLine="560" w:firstLineChars="200"/>
        <w:rPr>
          <w:rFonts w:hint="eastAsia" w:eastAsia="仿宋"/>
          <w:color w:val="auto"/>
          <w:sz w:val="28"/>
          <w:szCs w:val="28"/>
        </w:rPr>
      </w:pPr>
      <w:r>
        <w:rPr>
          <w:rFonts w:hint="eastAsia" w:eastAsia="仿宋"/>
          <w:color w:val="auto"/>
          <w:sz w:val="28"/>
          <w:szCs w:val="28"/>
        </w:rPr>
        <w:t>2025年10月-11月，标准起草工作小组开展了广泛的调研工作，查阅了大量国内外文献资料，对新型吸附剂喷吸-过滤协同净化气粒复合废气技术进行了系统性的总结。经过标准编制组的反复讨论与研究，确立了标准的基本框架，完成了主要内容的商讨与研究，并对项目工作进行了全面的部署和安排。</w:t>
      </w:r>
    </w:p>
    <w:p w14:paraId="249FFC5B">
      <w:pPr>
        <w:spacing w:line="500" w:lineRule="exact"/>
        <w:ind w:firstLine="560" w:firstLineChars="200"/>
        <w:rPr>
          <w:rFonts w:hint="eastAsia" w:eastAsia="仿宋"/>
          <w:color w:val="auto"/>
          <w:sz w:val="28"/>
          <w:szCs w:val="28"/>
        </w:rPr>
      </w:pPr>
      <w:r>
        <w:rPr>
          <w:rFonts w:hint="eastAsia" w:eastAsia="仿宋"/>
          <w:color w:val="auto"/>
          <w:sz w:val="28"/>
          <w:szCs w:val="28"/>
        </w:rPr>
        <w:t>2025年11月—2026年2月，根据</w:t>
      </w:r>
      <w:r>
        <w:rPr>
          <w:rFonts w:hint="eastAsia" w:eastAsia="仿宋"/>
          <w:color w:val="auto"/>
          <w:sz w:val="28"/>
          <w:szCs w:val="28"/>
          <w:lang w:val="zh-CN"/>
        </w:rPr>
        <w:t>《广西标准化协会关于下达2025年第三十九批团体标准制修订项目计划的通知》（桂标协〔2025〕350号）</w:t>
      </w:r>
      <w:r>
        <w:rPr>
          <w:rFonts w:hint="eastAsia" w:eastAsia="仿宋"/>
          <w:color w:val="auto"/>
          <w:sz w:val="28"/>
          <w:szCs w:val="28"/>
        </w:rPr>
        <w:t>，</w:t>
      </w:r>
      <w:r>
        <w:rPr>
          <w:rFonts w:hint="eastAsia" w:eastAsia="仿宋"/>
          <w:color w:val="auto"/>
          <w:sz w:val="28"/>
          <w:szCs w:val="28"/>
          <w:lang w:val="zh-CN"/>
        </w:rPr>
        <w:t>《新型吸附剂喷吸-过滤协同净化气粒复合废气技术规范》</w:t>
      </w:r>
      <w:r>
        <w:rPr>
          <w:rFonts w:hint="eastAsia" w:eastAsia="仿宋"/>
          <w:color w:val="auto"/>
          <w:sz w:val="28"/>
          <w:szCs w:val="28"/>
        </w:rPr>
        <w:t>获得立项批准。在前期工作基础上，整合了关于</w:t>
      </w:r>
      <w:r>
        <w:rPr>
          <w:rFonts w:hint="eastAsia" w:eastAsia="仿宋"/>
          <w:color w:val="auto"/>
          <w:sz w:val="28"/>
          <w:szCs w:val="28"/>
          <w:lang w:val="zh-CN"/>
        </w:rPr>
        <w:t>新型吸附剂喷吸-过滤协同净化气粒复合废气技术</w:t>
      </w:r>
      <w:r>
        <w:rPr>
          <w:rFonts w:hint="eastAsia" w:eastAsia="仿宋"/>
          <w:color w:val="auto"/>
          <w:sz w:val="28"/>
          <w:szCs w:val="28"/>
        </w:rPr>
        <w:t>的相关参考资料，并结合前期项目实践验证结果，理清逻辑脉络，按照简化、统一等原则，编制完成了团体标准《</w:t>
      </w:r>
      <w:r>
        <w:rPr>
          <w:rFonts w:hint="eastAsia" w:eastAsia="仿宋"/>
          <w:color w:val="auto"/>
          <w:sz w:val="28"/>
          <w:szCs w:val="28"/>
          <w:lang w:val="zh-CN"/>
        </w:rPr>
        <w:t>新型吸附剂喷吸-过滤协同净化气粒复合废气技术规范</w:t>
      </w:r>
      <w:r>
        <w:rPr>
          <w:rFonts w:hint="eastAsia" w:eastAsia="仿宋"/>
          <w:color w:val="auto"/>
          <w:sz w:val="28"/>
          <w:szCs w:val="28"/>
        </w:rPr>
        <w:t>》（草案）。</w:t>
      </w:r>
    </w:p>
    <w:p w14:paraId="1307E1A0">
      <w:pPr>
        <w:spacing w:line="500" w:lineRule="exact"/>
        <w:ind w:firstLine="560" w:firstLineChars="200"/>
        <w:rPr>
          <w:rFonts w:hint="eastAsia" w:eastAsia="仿宋"/>
          <w:color w:val="auto"/>
          <w:sz w:val="28"/>
          <w:szCs w:val="28"/>
        </w:rPr>
      </w:pPr>
      <w:r>
        <w:rPr>
          <w:rFonts w:hint="eastAsia" w:eastAsia="仿宋"/>
          <w:color w:val="auto"/>
          <w:sz w:val="28"/>
          <w:szCs w:val="28"/>
        </w:rPr>
        <w:t>2026年2月—3月，标准编制工作组在贵港市组织内部相关领域专家对团体标准《</w:t>
      </w:r>
      <w:r>
        <w:rPr>
          <w:rFonts w:hint="eastAsia" w:eastAsia="仿宋"/>
          <w:color w:val="auto"/>
          <w:sz w:val="28"/>
          <w:szCs w:val="28"/>
          <w:lang w:val="zh-CN"/>
        </w:rPr>
        <w:t>新型吸附剂喷吸-过滤协同净化气粒复合废气技术规范</w:t>
      </w:r>
      <w:r>
        <w:rPr>
          <w:rFonts w:hint="eastAsia" w:eastAsia="仿宋"/>
          <w:color w:val="auto"/>
          <w:sz w:val="28"/>
          <w:szCs w:val="28"/>
        </w:rPr>
        <w:t>》（草案）进行征求意见。经过多次讨论、研究和修订完善，最终形成团体标准《</w:t>
      </w:r>
      <w:r>
        <w:rPr>
          <w:rFonts w:hint="eastAsia" w:eastAsia="仿宋"/>
          <w:color w:val="auto"/>
          <w:sz w:val="28"/>
          <w:szCs w:val="28"/>
          <w:lang w:val="zh-CN"/>
        </w:rPr>
        <w:t>新型吸附剂喷吸-过滤协同净化气粒复合废气技术规范</w:t>
      </w:r>
      <w:r>
        <w:rPr>
          <w:rFonts w:hint="eastAsia" w:eastAsia="仿宋"/>
          <w:color w:val="auto"/>
          <w:sz w:val="28"/>
          <w:szCs w:val="28"/>
        </w:rPr>
        <w:t>》（征求意见稿）和编制说明。</w:t>
      </w:r>
    </w:p>
    <w:p w14:paraId="30767D56">
      <w:pPr>
        <w:pStyle w:val="2"/>
        <w:spacing w:line="500" w:lineRule="exact"/>
        <w:rPr>
          <w:color w:val="auto"/>
        </w:rPr>
      </w:pPr>
      <w:bookmarkStart w:id="47" w:name="_Toc32170"/>
      <w:bookmarkStart w:id="48" w:name="_Toc6920"/>
      <w:bookmarkStart w:id="49" w:name="_Toc31369"/>
      <w:bookmarkStart w:id="50" w:name="_Toc729"/>
      <w:bookmarkStart w:id="51" w:name="_Toc526940083"/>
      <w:bookmarkStart w:id="52" w:name="_Toc18233"/>
      <w:bookmarkStart w:id="53" w:name="_Toc26335"/>
      <w:bookmarkStart w:id="54" w:name="_Toc10592"/>
      <w:r>
        <w:rPr>
          <w:rFonts w:hint="eastAsia"/>
          <w:color w:val="auto"/>
        </w:rPr>
        <w:t>四、</w:t>
      </w:r>
      <w:r>
        <w:rPr>
          <w:color w:val="auto"/>
          <w:lang w:val="zh-CN"/>
        </w:rPr>
        <w:t>标准制定原则</w:t>
      </w:r>
      <w:bookmarkEnd w:id="47"/>
      <w:bookmarkEnd w:id="48"/>
      <w:bookmarkEnd w:id="49"/>
      <w:bookmarkEnd w:id="50"/>
      <w:bookmarkEnd w:id="51"/>
      <w:bookmarkEnd w:id="52"/>
      <w:bookmarkEnd w:id="53"/>
      <w:bookmarkEnd w:id="54"/>
    </w:p>
    <w:p w14:paraId="787499F8">
      <w:pPr>
        <w:pStyle w:val="3"/>
        <w:spacing w:line="500" w:lineRule="exact"/>
        <w:rPr>
          <w:color w:val="auto"/>
        </w:rPr>
      </w:pPr>
      <w:bookmarkStart w:id="55" w:name="_Toc16631"/>
      <w:bookmarkStart w:id="56" w:name="_Toc5877"/>
      <w:bookmarkStart w:id="57" w:name="_Toc15303"/>
      <w:bookmarkStart w:id="58" w:name="_Toc27973"/>
      <w:r>
        <w:rPr>
          <w:color w:val="auto"/>
        </w:rPr>
        <w:t>（一）实用性原则</w:t>
      </w:r>
      <w:bookmarkEnd w:id="55"/>
      <w:bookmarkEnd w:id="56"/>
      <w:bookmarkEnd w:id="57"/>
      <w:bookmarkEnd w:id="58"/>
    </w:p>
    <w:p w14:paraId="746AACD4">
      <w:pPr>
        <w:spacing w:line="500" w:lineRule="exact"/>
        <w:ind w:firstLine="560" w:firstLineChars="200"/>
        <w:rPr>
          <w:rFonts w:hint="eastAsia" w:eastAsia="仿宋"/>
          <w:color w:val="auto"/>
          <w:sz w:val="28"/>
          <w:szCs w:val="28"/>
        </w:rPr>
      </w:pPr>
      <w:r>
        <w:rPr>
          <w:rFonts w:hint="eastAsia" w:eastAsia="仿宋"/>
          <w:color w:val="auto"/>
          <w:sz w:val="28"/>
          <w:szCs w:val="28"/>
        </w:rPr>
        <w:t>本文件是在充分收集</w:t>
      </w:r>
      <w:r>
        <w:rPr>
          <w:rFonts w:hint="eastAsia" w:eastAsia="仿宋"/>
          <w:color w:val="auto"/>
          <w:sz w:val="28"/>
          <w:szCs w:val="28"/>
          <w:lang w:val="zh-CN"/>
        </w:rPr>
        <w:t>新型吸附剂喷吸-过滤协同净化气粒复合废气技术</w:t>
      </w:r>
      <w:r>
        <w:rPr>
          <w:rFonts w:hint="eastAsia" w:eastAsia="仿宋"/>
          <w:color w:val="auto"/>
          <w:sz w:val="28"/>
          <w:szCs w:val="28"/>
        </w:rPr>
        <w:t>的相关资料和文献基础上，结合前期项目经验总结起草而成，符合当前</w:t>
      </w:r>
      <w:r>
        <w:rPr>
          <w:rFonts w:hint="eastAsia" w:eastAsia="仿宋"/>
          <w:color w:val="auto"/>
          <w:sz w:val="28"/>
          <w:szCs w:val="28"/>
          <w:lang w:val="zh-CN"/>
        </w:rPr>
        <w:t>新型吸附剂喷吸-过滤协同净化气粒复合废气技术</w:t>
      </w:r>
      <w:r>
        <w:rPr>
          <w:rFonts w:hint="eastAsia" w:eastAsia="仿宋"/>
          <w:color w:val="auto"/>
          <w:sz w:val="28"/>
          <w:szCs w:val="28"/>
        </w:rPr>
        <w:t>要求，有利于行业的长远发展，具有较强的实用性和可操作性。</w:t>
      </w:r>
    </w:p>
    <w:p w14:paraId="4D219FB5">
      <w:pPr>
        <w:pStyle w:val="3"/>
        <w:spacing w:line="500" w:lineRule="exact"/>
        <w:rPr>
          <w:color w:val="auto"/>
        </w:rPr>
      </w:pPr>
      <w:bookmarkStart w:id="59" w:name="_Toc24217"/>
      <w:bookmarkStart w:id="60" w:name="_Toc24285"/>
      <w:bookmarkStart w:id="61" w:name="_Toc23018"/>
      <w:bookmarkStart w:id="62" w:name="_Toc6448"/>
      <w:r>
        <w:rPr>
          <w:color w:val="auto"/>
        </w:rPr>
        <w:t>（二）协调性原则</w:t>
      </w:r>
      <w:bookmarkEnd w:id="59"/>
      <w:bookmarkEnd w:id="60"/>
      <w:bookmarkEnd w:id="61"/>
      <w:bookmarkEnd w:id="62"/>
    </w:p>
    <w:p w14:paraId="5C1739EE">
      <w:pPr>
        <w:spacing w:line="500" w:lineRule="exact"/>
        <w:ind w:firstLine="560" w:firstLineChars="200"/>
        <w:rPr>
          <w:rFonts w:eastAsia="仿宋"/>
          <w:color w:val="auto"/>
          <w:sz w:val="28"/>
          <w:szCs w:val="28"/>
        </w:rPr>
      </w:pPr>
      <w:r>
        <w:rPr>
          <w:rFonts w:hint="eastAsia" w:eastAsia="仿宋"/>
          <w:color w:val="auto"/>
          <w:sz w:val="28"/>
          <w:szCs w:val="28"/>
        </w:rPr>
        <w:t>本文件编写过程中充分关注了</w:t>
      </w:r>
      <w:r>
        <w:rPr>
          <w:rFonts w:hint="eastAsia" w:eastAsia="仿宋"/>
          <w:color w:val="auto"/>
          <w:sz w:val="28"/>
          <w:szCs w:val="28"/>
          <w:lang w:val="zh-CN"/>
        </w:rPr>
        <w:t>新型吸附剂喷吸-过滤协同净化气粒复合废气技术</w:t>
      </w:r>
      <w:r>
        <w:rPr>
          <w:rFonts w:hint="eastAsia" w:eastAsia="仿宋"/>
          <w:color w:val="auto"/>
          <w:sz w:val="28"/>
          <w:szCs w:val="28"/>
        </w:rPr>
        <w:t>规范要求与相关法律法规的协调问题，在内容上与现行法律法规、标准协调一致。</w:t>
      </w:r>
    </w:p>
    <w:p w14:paraId="67E7B288">
      <w:pPr>
        <w:pStyle w:val="3"/>
        <w:spacing w:line="500" w:lineRule="exact"/>
        <w:rPr>
          <w:color w:val="auto"/>
        </w:rPr>
      </w:pPr>
      <w:bookmarkStart w:id="63" w:name="_Toc5657"/>
      <w:bookmarkStart w:id="64" w:name="_Toc27117"/>
      <w:bookmarkStart w:id="65" w:name="_Toc13775"/>
      <w:bookmarkStart w:id="66" w:name="_Toc22236"/>
      <w:r>
        <w:rPr>
          <w:color w:val="auto"/>
        </w:rPr>
        <w:t>（三）规范性原则</w:t>
      </w:r>
      <w:bookmarkEnd w:id="63"/>
      <w:bookmarkEnd w:id="64"/>
      <w:bookmarkEnd w:id="65"/>
      <w:bookmarkEnd w:id="66"/>
    </w:p>
    <w:p w14:paraId="085D8719">
      <w:pPr>
        <w:spacing w:line="480" w:lineRule="exact"/>
        <w:ind w:firstLine="560" w:firstLineChars="200"/>
        <w:rPr>
          <w:rFonts w:eastAsia="仿宋"/>
          <w:color w:val="auto"/>
          <w:sz w:val="28"/>
          <w:szCs w:val="28"/>
        </w:rPr>
      </w:pPr>
      <w:r>
        <w:rPr>
          <w:rFonts w:hint="eastAsia" w:eastAsia="仿宋"/>
          <w:color w:val="auto"/>
          <w:sz w:val="28"/>
          <w:szCs w:val="28"/>
        </w:rPr>
        <w:t>本文件严格按照GB/T 1.1—2020《标准化工作导则 第1部分：标准的结构和编写》的要求和规定编写本标准内容，保证标准编写质量。</w:t>
      </w:r>
    </w:p>
    <w:p w14:paraId="05741975">
      <w:pPr>
        <w:pStyle w:val="3"/>
        <w:spacing w:line="480" w:lineRule="exact"/>
        <w:rPr>
          <w:color w:val="auto"/>
        </w:rPr>
      </w:pPr>
      <w:bookmarkStart w:id="67" w:name="_Toc28108"/>
      <w:bookmarkStart w:id="68" w:name="_Toc20505"/>
      <w:bookmarkStart w:id="69" w:name="_Toc27396"/>
      <w:bookmarkStart w:id="70" w:name="_Toc1202"/>
      <w:r>
        <w:rPr>
          <w:color w:val="auto"/>
        </w:rPr>
        <w:t>（四）前瞻性原则</w:t>
      </w:r>
      <w:bookmarkEnd w:id="67"/>
      <w:bookmarkEnd w:id="68"/>
      <w:bookmarkEnd w:id="69"/>
      <w:bookmarkEnd w:id="70"/>
    </w:p>
    <w:p w14:paraId="4F2BDA39">
      <w:pPr>
        <w:spacing w:line="480" w:lineRule="exact"/>
        <w:ind w:firstLine="560" w:firstLineChars="200"/>
        <w:rPr>
          <w:rFonts w:hint="eastAsia" w:eastAsia="仿宋"/>
          <w:color w:val="auto"/>
          <w:sz w:val="28"/>
          <w:szCs w:val="28"/>
        </w:rPr>
      </w:pPr>
      <w:r>
        <w:rPr>
          <w:rFonts w:hint="eastAsia" w:eastAsia="仿宋"/>
          <w:color w:val="auto"/>
          <w:sz w:val="28"/>
          <w:szCs w:val="28"/>
        </w:rPr>
        <w:t>本文件以</w:t>
      </w:r>
      <w:r>
        <w:rPr>
          <w:rFonts w:hint="eastAsia" w:eastAsia="仿宋"/>
          <w:color w:val="auto"/>
          <w:sz w:val="28"/>
          <w:szCs w:val="28"/>
          <w:lang w:val="zh-CN"/>
        </w:rPr>
        <w:t>新型吸附剂喷吸-过滤协同净化气粒复合废气技术</w:t>
      </w:r>
      <w:r>
        <w:rPr>
          <w:rFonts w:hint="eastAsia" w:eastAsia="仿宋"/>
          <w:color w:val="auto"/>
          <w:sz w:val="28"/>
          <w:szCs w:val="28"/>
        </w:rPr>
        <w:t>为基础，为木材加工废气和肥料生产废气的废气治理提供创新方案，在标准条款中体现了前瞻性、地域性和先进性，作为对</w:t>
      </w:r>
      <w:r>
        <w:rPr>
          <w:rFonts w:hint="eastAsia" w:eastAsia="仿宋"/>
          <w:color w:val="auto"/>
          <w:sz w:val="28"/>
          <w:szCs w:val="28"/>
          <w:lang w:val="zh-CN"/>
        </w:rPr>
        <w:t>新型吸附剂喷吸-过滤协同净化气粒复合废气技术</w:t>
      </w:r>
      <w:r>
        <w:rPr>
          <w:rFonts w:hint="eastAsia" w:eastAsia="仿宋"/>
          <w:color w:val="auto"/>
          <w:sz w:val="28"/>
          <w:szCs w:val="28"/>
        </w:rPr>
        <w:t>的指导。</w:t>
      </w:r>
    </w:p>
    <w:p w14:paraId="5FABF8ED">
      <w:pPr>
        <w:pStyle w:val="2"/>
        <w:spacing w:line="500" w:lineRule="exact"/>
        <w:rPr>
          <w:color w:val="auto"/>
        </w:rPr>
      </w:pPr>
      <w:bookmarkStart w:id="71" w:name="_Toc17630"/>
      <w:bookmarkStart w:id="72" w:name="_Toc9516"/>
      <w:bookmarkStart w:id="73" w:name="_Toc23463"/>
      <w:r>
        <w:rPr>
          <w:rFonts w:hint="eastAsia"/>
          <w:color w:val="auto"/>
        </w:rPr>
        <w:t>五、</w:t>
      </w:r>
      <w:bookmarkEnd w:id="71"/>
      <w:r>
        <w:rPr>
          <w:rFonts w:hint="eastAsia"/>
          <w:color w:val="auto"/>
        </w:rPr>
        <w:t>技术简介</w:t>
      </w:r>
      <w:bookmarkEnd w:id="72"/>
      <w:bookmarkEnd w:id="73"/>
    </w:p>
    <w:p w14:paraId="2AA2F41F">
      <w:pPr>
        <w:widowControl/>
        <w:adjustRightInd w:val="0"/>
        <w:snapToGrid w:val="0"/>
        <w:spacing w:line="360" w:lineRule="auto"/>
        <w:ind w:firstLine="560" w:firstLineChars="200"/>
        <w:rPr>
          <w:rFonts w:hint="eastAsia" w:ascii="宋体" w:hAnsi="宋体" w:cs="宋体"/>
          <w:color w:val="auto"/>
          <w:sz w:val="24"/>
          <w:szCs w:val="24"/>
        </w:rPr>
      </w:pPr>
      <w:r>
        <w:rPr>
          <w:rFonts w:hint="eastAsia" w:eastAsia="仿宋"/>
          <w:color w:val="auto"/>
          <w:sz w:val="28"/>
          <w:szCs w:val="28"/>
          <w:lang w:val="zh-CN"/>
        </w:rPr>
        <w:t>新型吸附剂喷吸-过滤协同净化气粒复合废气技术自研发及应用以来，已获授权5件发明专利5件实用新型专利，</w:t>
      </w:r>
      <w:r>
        <w:rPr>
          <w:rFonts w:hint="eastAsia" w:eastAsia="仿宋"/>
          <w:color w:val="auto"/>
          <w:sz w:val="28"/>
          <w:szCs w:val="28"/>
        </w:rPr>
        <w:t>依托于本技术桂林理工大学和广西科穗环境科技有限公司联合</w:t>
      </w:r>
      <w:r>
        <w:rPr>
          <w:rFonts w:hint="eastAsia" w:eastAsia="仿宋"/>
          <w:color w:val="auto"/>
          <w:sz w:val="28"/>
          <w:szCs w:val="28"/>
          <w:lang w:val="zh-CN"/>
        </w:rPr>
        <w:t>申报的广西重点研发计划项目《新型吸附剂喷吸—袋式过滤协同回收化肥造粒塔氨和肥粉技术研发与应用示范》（桂科AB25069167）已获立项。</w:t>
      </w:r>
    </w:p>
    <w:p w14:paraId="2B59CF00">
      <w:pPr>
        <w:pStyle w:val="3"/>
        <w:spacing w:line="500" w:lineRule="exact"/>
        <w:rPr>
          <w:rFonts w:hint="eastAsia"/>
          <w:color w:val="auto"/>
        </w:rPr>
      </w:pPr>
      <w:r>
        <w:rPr>
          <w:color w:val="auto"/>
        </w:rPr>
        <w:t>（一）</w:t>
      </w:r>
      <w:r>
        <w:rPr>
          <w:rFonts w:hint="eastAsia"/>
          <w:color w:val="auto"/>
        </w:rPr>
        <w:t>工艺流程图</w:t>
      </w:r>
    </w:p>
    <w:p w14:paraId="292415F5">
      <w:pPr>
        <w:spacing w:line="500" w:lineRule="exact"/>
        <w:ind w:firstLine="560" w:firstLineChars="200"/>
        <w:rPr>
          <w:rFonts w:hint="eastAsia" w:eastAsia="仿宋"/>
          <w:color w:val="auto"/>
          <w:sz w:val="28"/>
          <w:szCs w:val="28"/>
        </w:rPr>
      </w:pPr>
      <w:r>
        <w:rPr>
          <w:rFonts w:hint="eastAsia" w:eastAsia="仿宋"/>
          <w:color w:val="auto"/>
          <w:sz w:val="28"/>
          <w:szCs w:val="28"/>
        </w:rPr>
        <w:t>新型吸附剂喷吸-过滤协同净化气粒复合废气技术采用“预处理单元+新型吸附剂喷吸-过滤单元”处理体系，结合智能控制系统实现全流程自动化管理，工艺流程图见图1和图2。</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80"/>
      </w:tblGrid>
      <w:tr w14:paraId="63C0C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7" w:hRule="atLeast"/>
        </w:trPr>
        <w:tc>
          <w:tcPr>
            <w:tcW w:w="8380" w:type="dxa"/>
            <w:tcBorders>
              <w:top w:val="nil"/>
              <w:left w:val="nil"/>
              <w:bottom w:val="nil"/>
              <w:right w:val="nil"/>
            </w:tcBorders>
          </w:tcPr>
          <w:p w14:paraId="7753A260">
            <w:pPr>
              <w:spacing w:line="500" w:lineRule="exact"/>
              <w:rPr>
                <w:rFonts w:ascii="Times New Roman" w:hAnsi="Calibri"/>
                <w:color w:val="auto"/>
              </w:rPr>
            </w:pPr>
            <w:r>
              <w:rPr>
                <w:rFonts w:ascii="Times New Roman" w:hAnsi="Calibri"/>
                <w:color w:val="auto"/>
              </w:rPr>
              <w:drawing>
                <wp:anchor distT="0" distB="0" distL="114300" distR="114300" simplePos="0" relativeHeight="251671552" behindDoc="0" locked="0" layoutInCell="1" allowOverlap="1">
                  <wp:simplePos x="0" y="0"/>
                  <wp:positionH relativeFrom="column">
                    <wp:posOffset>-11430</wp:posOffset>
                  </wp:positionH>
                  <wp:positionV relativeFrom="paragraph">
                    <wp:posOffset>86995</wp:posOffset>
                  </wp:positionV>
                  <wp:extent cx="5017135" cy="1406525"/>
                  <wp:effectExtent l="0" t="0" r="12065" b="3175"/>
                  <wp:wrapSquare wrapText="bothSides"/>
                  <wp:docPr id="4" name="图片 4" descr="h工艺流程图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h工艺流程图0515"/>
                          <pic:cNvPicPr>
                            <a:picLocks noChangeAspect="1"/>
                          </pic:cNvPicPr>
                        </pic:nvPicPr>
                        <pic:blipFill>
                          <a:blip r:embed="rId6"/>
                          <a:stretch>
                            <a:fillRect/>
                          </a:stretch>
                        </pic:blipFill>
                        <pic:spPr>
                          <a:xfrm>
                            <a:off x="0" y="0"/>
                            <a:ext cx="5017135" cy="1406525"/>
                          </a:xfrm>
                          <a:prstGeom prst="rect">
                            <a:avLst/>
                          </a:prstGeom>
                        </pic:spPr>
                      </pic:pic>
                    </a:graphicData>
                  </a:graphic>
                </wp:anchor>
              </w:drawing>
            </w:r>
          </w:p>
        </w:tc>
      </w:tr>
      <w:tr w14:paraId="5FD3F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8380" w:type="dxa"/>
            <w:tcBorders>
              <w:top w:val="nil"/>
              <w:left w:val="nil"/>
              <w:bottom w:val="nil"/>
              <w:right w:val="nil"/>
            </w:tcBorders>
          </w:tcPr>
          <w:p w14:paraId="13CF50BC">
            <w:pPr>
              <w:spacing w:line="500" w:lineRule="exact"/>
              <w:jc w:val="center"/>
              <w:rPr>
                <w:rFonts w:ascii="Times New Roman" w:hAnsi="Calibri"/>
                <w:color w:val="auto"/>
              </w:rPr>
            </w:pPr>
            <w:r>
              <w:rPr>
                <w:rFonts w:hint="eastAsia" w:ascii="黑体" w:hAnsi="Calibri" w:eastAsia="黑体"/>
                <w:color w:val="auto"/>
              </w:rPr>
              <w:t>图1 新型吸附剂喷吸-过滤协同净化肥料生产废气工艺流程图</w:t>
            </w:r>
          </w:p>
        </w:tc>
      </w:tr>
      <w:tr w14:paraId="05CD6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8380" w:type="dxa"/>
            <w:tcBorders>
              <w:top w:val="nil"/>
              <w:left w:val="nil"/>
              <w:bottom w:val="nil"/>
              <w:right w:val="nil"/>
            </w:tcBorders>
          </w:tcPr>
          <w:p w14:paraId="7F431888">
            <w:pPr>
              <w:spacing w:line="500" w:lineRule="exact"/>
              <w:jc w:val="center"/>
              <w:rPr>
                <w:rFonts w:hint="eastAsia" w:ascii="Times New Roman" w:hAnsi="Times New Roman"/>
                <w:b/>
                <w:bCs/>
                <w:color w:val="auto"/>
                <w:szCs w:val="21"/>
              </w:rPr>
            </w:pPr>
            <w:r>
              <w:rPr>
                <w:rFonts w:hint="eastAsia" w:ascii="Times New Roman" w:hAnsi="Times New Roman"/>
                <w:b/>
                <w:bCs/>
                <w:color w:val="auto"/>
                <w:szCs w:val="21"/>
              </w:rPr>
              <w:drawing>
                <wp:anchor distT="0" distB="0" distL="114300" distR="114300" simplePos="0" relativeHeight="251662336" behindDoc="0" locked="0" layoutInCell="1" allowOverlap="1">
                  <wp:simplePos x="0" y="0"/>
                  <wp:positionH relativeFrom="column">
                    <wp:posOffset>6350</wp:posOffset>
                  </wp:positionH>
                  <wp:positionV relativeFrom="paragraph">
                    <wp:posOffset>-1209040</wp:posOffset>
                  </wp:positionV>
                  <wp:extent cx="5171440" cy="1463040"/>
                  <wp:effectExtent l="19050" t="0" r="0" b="0"/>
                  <wp:wrapTopAndBottom/>
                  <wp:docPr id="11" name="图片 1318" descr="m-工艺流程图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18" descr="m-工艺流程图0116"/>
                          <pic:cNvPicPr>
                            <a:picLocks noChangeAspect="1" noChangeArrowheads="1"/>
                          </pic:cNvPicPr>
                        </pic:nvPicPr>
                        <pic:blipFill>
                          <a:blip r:embed="rId7" cstate="print"/>
                          <a:srcRect/>
                          <a:stretch>
                            <a:fillRect/>
                          </a:stretch>
                        </pic:blipFill>
                        <pic:spPr>
                          <a:xfrm>
                            <a:off x="0" y="0"/>
                            <a:ext cx="5171440" cy="1463040"/>
                          </a:xfrm>
                          <a:prstGeom prst="rect">
                            <a:avLst/>
                          </a:prstGeom>
                          <a:noFill/>
                          <a:ln w="9525" cmpd="sng">
                            <a:noFill/>
                            <a:miter lim="800000"/>
                            <a:headEnd/>
                            <a:tailEnd/>
                          </a:ln>
                        </pic:spPr>
                      </pic:pic>
                    </a:graphicData>
                  </a:graphic>
                </wp:anchor>
              </w:drawing>
            </w:r>
          </w:p>
        </w:tc>
      </w:tr>
      <w:tr w14:paraId="685FD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8380" w:type="dxa"/>
            <w:tcBorders>
              <w:top w:val="nil"/>
              <w:left w:val="nil"/>
              <w:bottom w:val="nil"/>
              <w:right w:val="nil"/>
            </w:tcBorders>
          </w:tcPr>
          <w:p w14:paraId="5127525A">
            <w:pPr>
              <w:spacing w:line="500" w:lineRule="exact"/>
              <w:jc w:val="center"/>
              <w:rPr>
                <w:rFonts w:hint="eastAsia" w:ascii="Times New Roman" w:hAnsi="Times New Roman"/>
                <w:b/>
                <w:bCs/>
                <w:color w:val="auto"/>
                <w:szCs w:val="21"/>
              </w:rPr>
            </w:pPr>
            <w:r>
              <w:rPr>
                <w:rFonts w:hint="eastAsia" w:ascii="黑体" w:hAnsi="Calibri" w:eastAsia="黑体"/>
                <w:color w:val="auto"/>
              </w:rPr>
              <w:t>图2 新型吸附剂喷吸-过滤协同净化木材加工废气工艺流程图</w:t>
            </w:r>
          </w:p>
        </w:tc>
      </w:tr>
    </w:tbl>
    <w:p w14:paraId="61FDF061">
      <w:pPr>
        <w:pStyle w:val="3"/>
        <w:spacing w:line="500" w:lineRule="exact"/>
        <w:rPr>
          <w:rFonts w:hint="eastAsia"/>
          <w:color w:val="auto"/>
        </w:rPr>
      </w:pPr>
      <w:r>
        <w:rPr>
          <w:color w:val="auto"/>
        </w:rPr>
        <w:t>（</w:t>
      </w:r>
      <w:r>
        <w:rPr>
          <w:rFonts w:hint="eastAsia"/>
          <w:color w:val="auto"/>
        </w:rPr>
        <w:t>二</w:t>
      </w:r>
      <w:r>
        <w:rPr>
          <w:color w:val="auto"/>
        </w:rPr>
        <w:t>）</w:t>
      </w:r>
      <w:r>
        <w:rPr>
          <w:rFonts w:hint="eastAsia"/>
          <w:color w:val="auto"/>
        </w:rPr>
        <w:t>技术原理</w:t>
      </w:r>
    </w:p>
    <w:p w14:paraId="7E255CFD">
      <w:pPr>
        <w:pStyle w:val="4"/>
        <w:spacing w:line="500" w:lineRule="exact"/>
        <w:rPr>
          <w:color w:val="auto"/>
        </w:rPr>
      </w:pPr>
      <w:r>
        <w:rPr>
          <w:rFonts w:hint="default"/>
          <w:color w:val="auto"/>
        </w:rPr>
        <w:t>1.</w:t>
      </w:r>
      <w:r>
        <w:rPr>
          <w:color w:val="auto"/>
        </w:rPr>
        <w:t>预处理单元</w:t>
      </w:r>
    </w:p>
    <w:p w14:paraId="6BB36C42">
      <w:pPr>
        <w:spacing w:line="500" w:lineRule="exact"/>
        <w:ind w:firstLine="560" w:firstLineChars="200"/>
        <w:rPr>
          <w:rFonts w:hint="eastAsia" w:eastAsia="仿宋"/>
          <w:color w:val="auto"/>
          <w:sz w:val="28"/>
          <w:szCs w:val="28"/>
        </w:rPr>
      </w:pPr>
      <w:r>
        <w:rPr>
          <w:rFonts w:hint="eastAsia" w:eastAsia="仿宋"/>
          <w:color w:val="auto"/>
          <w:sz w:val="28"/>
          <w:szCs w:val="28"/>
        </w:rPr>
        <w:t>预处理单元根据净化的废气特点设置，净化肥料生产废气</w:t>
      </w:r>
      <w:r>
        <w:rPr>
          <w:rFonts w:hint="eastAsia" w:eastAsia="仿宋"/>
          <w:color w:val="auto"/>
          <w:sz w:val="28"/>
          <w:szCs w:val="28"/>
          <w:lang w:val="en-US" w:eastAsia="zh-CN"/>
        </w:rPr>
        <w:t>不需进行预处理</w:t>
      </w:r>
      <w:r>
        <w:rPr>
          <w:rFonts w:hint="eastAsia" w:eastAsia="仿宋"/>
          <w:color w:val="auto"/>
          <w:sz w:val="28"/>
          <w:szCs w:val="28"/>
        </w:rPr>
        <w:t>，净化木材加工废气一般设置旋风除尘器+火星捕捉器+阻燃装置。废气经预处理单元，通过旋风除尘器进行预除尘，3μm以上粉尘大颗粒在旋转离心力的作用下，有效的预除尘后进入排灰口，颗粒除尘效率可达</w:t>
      </w:r>
      <w:r>
        <w:rPr>
          <w:rFonts w:hint="eastAsia" w:eastAsia="仿宋"/>
          <w:color w:val="auto"/>
          <w:sz w:val="28"/>
          <w:szCs w:val="28"/>
          <w:lang w:eastAsia="zh-CN"/>
        </w:rPr>
        <w:t>80%～85%</w:t>
      </w:r>
      <w:r>
        <w:rPr>
          <w:rFonts w:hint="eastAsia" w:eastAsia="仿宋"/>
          <w:color w:val="auto"/>
          <w:sz w:val="28"/>
          <w:szCs w:val="28"/>
        </w:rPr>
        <w:t>；木材加工废气通过火星捕捉器，对烟气进行火星捕捉熄灭，粉尘颗粒火星捕捉熄灭率为</w:t>
      </w:r>
      <w:r>
        <w:rPr>
          <w:rFonts w:hint="eastAsia" w:eastAsia="仿宋"/>
          <w:color w:val="auto"/>
          <w:sz w:val="28"/>
          <w:szCs w:val="28"/>
          <w:lang w:eastAsia="zh-CN"/>
        </w:rPr>
        <w:t>80%～90%</w:t>
      </w:r>
      <w:r>
        <w:rPr>
          <w:rFonts w:hint="eastAsia" w:eastAsia="仿宋"/>
          <w:color w:val="auto"/>
          <w:sz w:val="28"/>
          <w:szCs w:val="28"/>
        </w:rPr>
        <w:t>，降温处理（实现烟气</w:t>
      </w:r>
      <w:r>
        <w:rPr>
          <w:rFonts w:hint="eastAsia" w:eastAsia="仿宋"/>
          <w:color w:val="auto"/>
          <w:sz w:val="28"/>
          <w:szCs w:val="28"/>
          <w:lang w:eastAsia="zh-CN"/>
        </w:rPr>
        <w:t>温度</w:t>
      </w:r>
      <w:r>
        <w:rPr>
          <w:rFonts w:hint="eastAsia" w:eastAsia="仿宋"/>
          <w:color w:val="auto"/>
          <w:sz w:val="28"/>
          <w:szCs w:val="28"/>
        </w:rPr>
        <w:t>稳定在100～150℃），然后通过阻燃喷粉装置，阻燃添加剂在与含尘气体充分接触后，小颗粒的粉尘被其充分包裹，可形成一层阻燃保护层，细颗粒火星熄灭率为99%。</w:t>
      </w:r>
    </w:p>
    <w:p w14:paraId="2F139352">
      <w:pPr>
        <w:pStyle w:val="4"/>
        <w:spacing w:line="500" w:lineRule="exact"/>
        <w:rPr>
          <w:rFonts w:hint="default"/>
          <w:color w:val="auto"/>
        </w:rPr>
      </w:pPr>
      <w:r>
        <w:rPr>
          <w:color w:val="auto"/>
        </w:rPr>
        <w:t>2.新型吸附剂喷吸-过滤单元</w:t>
      </w:r>
    </w:p>
    <w:p w14:paraId="3EF7F66F">
      <w:pPr>
        <w:spacing w:line="500" w:lineRule="exact"/>
        <w:ind w:firstLine="560" w:firstLineChars="200"/>
        <w:rPr>
          <w:rFonts w:hint="eastAsia" w:eastAsia="仿宋"/>
          <w:color w:val="auto"/>
          <w:sz w:val="28"/>
          <w:szCs w:val="28"/>
        </w:rPr>
      </w:pPr>
      <w:r>
        <w:rPr>
          <w:rFonts w:hint="eastAsia" w:eastAsia="仿宋"/>
          <w:color w:val="auto"/>
          <w:sz w:val="28"/>
          <w:szCs w:val="28"/>
        </w:rPr>
        <w:t>新型吸附剂（改性蔗渣灰、改性草木灰、石灰石粉或其混合物等）通过喷吸装置喷流到废气中吸附废气中的气态污染物（NH</w:t>
      </w:r>
      <w:r>
        <w:rPr>
          <w:rFonts w:hint="eastAsia" w:eastAsia="仿宋"/>
          <w:color w:val="auto"/>
          <w:sz w:val="28"/>
          <w:szCs w:val="28"/>
          <w:vertAlign w:val="subscript"/>
        </w:rPr>
        <w:t>3</w:t>
      </w:r>
      <w:r>
        <w:rPr>
          <w:rFonts w:hint="eastAsia" w:eastAsia="仿宋"/>
          <w:color w:val="auto"/>
          <w:sz w:val="28"/>
          <w:szCs w:val="28"/>
        </w:rPr>
        <w:t>、焦油等）形成气吸附型颗粒物，然后进入袋式除尘器或滤筒除尘器，颗粒物被高效拦截在滤袋或滤筒外表面，形成一个厚厚的“滤饼层”，滤饼层</w:t>
      </w:r>
      <w:r>
        <w:rPr>
          <w:rFonts w:hint="eastAsia" w:eastAsia="仿宋"/>
          <w:color w:val="auto"/>
          <w:sz w:val="28"/>
          <w:szCs w:val="28"/>
          <w:lang w:eastAsia="zh-CN"/>
        </w:rPr>
        <w:t>成了一个</w:t>
      </w:r>
      <w:r>
        <w:rPr>
          <w:rFonts w:hint="eastAsia" w:eastAsia="仿宋"/>
          <w:color w:val="auto"/>
          <w:sz w:val="28"/>
          <w:szCs w:val="28"/>
        </w:rPr>
        <w:t>固定的吸附/反应床，废气必须穿透这个滤饼层才能排出，在这个穿透过程中，废气与吸附剂具有较长作用时间和更充分的接触，使得剩余的气态污染物被进一步吸附或反应去除，废气得到净化排出。</w:t>
      </w:r>
    </w:p>
    <w:p w14:paraId="6665033B">
      <w:pPr>
        <w:spacing w:line="500" w:lineRule="exact"/>
        <w:ind w:firstLine="560" w:firstLineChars="200"/>
        <w:rPr>
          <w:rFonts w:hint="eastAsia" w:eastAsia="仿宋"/>
          <w:color w:val="auto"/>
          <w:sz w:val="28"/>
          <w:szCs w:val="28"/>
        </w:rPr>
      </w:pPr>
      <w:r>
        <w:rPr>
          <w:rFonts w:hint="eastAsia" w:eastAsia="仿宋"/>
          <w:color w:val="auto"/>
          <w:sz w:val="28"/>
          <w:szCs w:val="28"/>
        </w:rPr>
        <w:t>随着滤袋或滤筒外粉尘层的增厚，系统阻力（压差）会上升。当达到设定过滤阻力值时，清灰系统启动，采用脉冲喷吹方式，压缩空气瞬间喷入滤袋内部，使滤袋剧烈抖动，将附着在表面的粉尘饼震落至下部的灰斗中。收集下来的粉尘定期排出，</w:t>
      </w:r>
      <w:bookmarkStart w:id="74" w:name="_Hlk219104834"/>
      <w:r>
        <w:rPr>
          <w:rFonts w:hint="eastAsia" w:eastAsia="仿宋"/>
          <w:color w:val="auto"/>
          <w:sz w:val="28"/>
          <w:szCs w:val="28"/>
        </w:rPr>
        <w:t>处理肥料生产废气</w:t>
      </w:r>
      <w:bookmarkEnd w:id="74"/>
      <w:r>
        <w:rPr>
          <w:rFonts w:hint="eastAsia" w:eastAsia="仿宋"/>
          <w:color w:val="auto"/>
          <w:sz w:val="28"/>
          <w:szCs w:val="28"/>
        </w:rPr>
        <w:t>过程中产生的粉尘回生产线进行回用，处理木材加工废气过程中产生的粉尘可做成有机肥料，进行资源化利用。</w:t>
      </w:r>
    </w:p>
    <w:p w14:paraId="4CBC9C0D">
      <w:pPr>
        <w:spacing w:line="500" w:lineRule="exact"/>
        <w:rPr>
          <w:rFonts w:hint="eastAsia" w:eastAsia="仿宋"/>
          <w:b/>
          <w:color w:val="auto"/>
          <w:kern w:val="0"/>
          <w:sz w:val="32"/>
          <w:szCs w:val="27"/>
        </w:rPr>
      </w:pPr>
      <w:r>
        <w:rPr>
          <w:rFonts w:hint="eastAsia" w:eastAsia="仿宋"/>
          <w:b/>
          <w:color w:val="auto"/>
          <w:kern w:val="0"/>
          <w:sz w:val="32"/>
          <w:szCs w:val="27"/>
        </w:rPr>
        <w:t>3.智能控制系统</w:t>
      </w:r>
    </w:p>
    <w:p w14:paraId="1BCAA775">
      <w:pPr>
        <w:spacing w:line="500" w:lineRule="exact"/>
        <w:ind w:firstLine="560" w:firstLineChars="200"/>
        <w:rPr>
          <w:rFonts w:hint="eastAsia" w:eastAsia="仿宋"/>
          <w:color w:val="auto"/>
          <w:sz w:val="28"/>
          <w:szCs w:val="28"/>
        </w:rPr>
      </w:pPr>
      <w:r>
        <w:rPr>
          <w:rFonts w:hint="eastAsia" w:eastAsia="仿宋"/>
          <w:color w:val="auto"/>
          <w:sz w:val="28"/>
          <w:szCs w:val="28"/>
        </w:rPr>
        <w:t>创新研发科穗云系统，在区内率先将无线网络技术用在除尘设备中，智能监控除尘设施运行情况。该项技术实现除尘设备可视化智能监控以及远程管理，可及时诊断、提前维护和排除故障，有效防止掉袋而产生“冒黑烟”现象，确保企业稳定超低运行，挽回因故障维修、停产等成本损失。</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4353B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522" w:type="dxa"/>
          </w:tcPr>
          <w:p w14:paraId="22FE3763">
            <w:pPr>
              <w:spacing w:line="360" w:lineRule="auto"/>
              <w:rPr>
                <w:rFonts w:ascii="Times New Roman" w:hAnsi="Times New Roman" w:eastAsia="仿宋"/>
                <w:color w:val="auto"/>
                <w:sz w:val="28"/>
                <w:szCs w:val="28"/>
              </w:rPr>
            </w:pPr>
            <w:r>
              <w:rPr>
                <w:rFonts w:ascii="Times New Roman" w:hAnsi="Times New Roman" w:eastAsia="仿宋"/>
                <w:color w:val="auto"/>
              </w:rPr>
              <w:drawing>
                <wp:inline distT="0" distB="0" distL="0" distR="0">
                  <wp:extent cx="4743450" cy="3190875"/>
                  <wp:effectExtent l="19050" t="0" r="0" b="0"/>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4"/>
                          <pic:cNvPicPr>
                            <a:picLocks noChangeAspect="1" noChangeArrowheads="1"/>
                          </pic:cNvPicPr>
                        </pic:nvPicPr>
                        <pic:blipFill>
                          <a:blip r:embed="rId8"/>
                          <a:srcRect/>
                          <a:stretch>
                            <a:fillRect/>
                          </a:stretch>
                        </pic:blipFill>
                        <pic:spPr>
                          <a:xfrm>
                            <a:off x="0" y="0"/>
                            <a:ext cx="4743450" cy="3190875"/>
                          </a:xfrm>
                          <a:prstGeom prst="rect">
                            <a:avLst/>
                          </a:prstGeom>
                          <a:noFill/>
                          <a:ln w="9525" cmpd="sng">
                            <a:noFill/>
                            <a:miter lim="800000"/>
                            <a:headEnd/>
                            <a:tailEnd/>
                          </a:ln>
                        </pic:spPr>
                      </pic:pic>
                    </a:graphicData>
                  </a:graphic>
                </wp:inline>
              </w:drawing>
            </w:r>
          </w:p>
        </w:tc>
      </w:tr>
      <w:tr w14:paraId="19F06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7A75CDA1">
            <w:pPr>
              <w:spacing w:line="500" w:lineRule="exact"/>
              <w:jc w:val="center"/>
              <w:rPr>
                <w:rFonts w:ascii="Times New Roman" w:hAnsi="Times New Roman" w:eastAsia="仿宋"/>
                <w:color w:val="auto"/>
                <w:sz w:val="28"/>
                <w:szCs w:val="28"/>
              </w:rPr>
            </w:pPr>
            <w:r>
              <w:rPr>
                <w:rFonts w:hint="eastAsia" w:ascii="黑体" w:hAnsi="Times New Roman" w:eastAsia="黑体"/>
                <w:color w:val="auto"/>
              </w:rPr>
              <w:t>图3 智能化管理流程图</w:t>
            </w:r>
          </w:p>
        </w:tc>
      </w:tr>
    </w:tbl>
    <w:p w14:paraId="0B192692">
      <w:pPr>
        <w:pStyle w:val="3"/>
        <w:spacing w:line="500" w:lineRule="exact"/>
        <w:rPr>
          <w:rFonts w:hint="eastAsia"/>
          <w:color w:val="auto"/>
        </w:rPr>
      </w:pPr>
      <w:r>
        <w:rPr>
          <w:rFonts w:hint="eastAsia"/>
          <w:color w:val="auto"/>
        </w:rPr>
        <w:t>（三）技术应用项目</w:t>
      </w:r>
    </w:p>
    <w:p w14:paraId="222667EB">
      <w:pPr>
        <w:spacing w:line="500" w:lineRule="exact"/>
        <w:ind w:firstLine="560" w:firstLineChars="200"/>
        <w:rPr>
          <w:rFonts w:hint="eastAsia" w:eastAsia="仿宋"/>
          <w:color w:val="auto"/>
          <w:sz w:val="28"/>
          <w:szCs w:val="28"/>
        </w:rPr>
      </w:pPr>
      <w:r>
        <w:rPr>
          <w:rFonts w:hint="eastAsia" w:eastAsia="仿宋"/>
          <w:color w:val="auto"/>
          <w:sz w:val="28"/>
          <w:szCs w:val="28"/>
        </w:rPr>
        <w:t>新型吸附剂喷吸-过滤协同净化气粒复合废气技术目前已在贵港、南宁、柳州、崇左等各市县中推广应用，项目运行稳定、效果良好。</w:t>
      </w:r>
    </w:p>
    <w:p w14:paraId="6D2105BA">
      <w:pPr>
        <w:pStyle w:val="4"/>
        <w:spacing w:line="500" w:lineRule="exact"/>
        <w:ind w:firstLine="560" w:firstLineChars="200"/>
        <w:rPr>
          <w:b w:val="0"/>
          <w:color w:val="auto"/>
          <w:kern w:val="2"/>
          <w:sz w:val="28"/>
          <w:szCs w:val="28"/>
        </w:rPr>
      </w:pPr>
      <w:r>
        <w:rPr>
          <w:b w:val="0"/>
          <w:color w:val="auto"/>
          <w:kern w:val="2"/>
          <w:sz w:val="28"/>
          <w:szCs w:val="28"/>
        </w:rPr>
        <w:t>某化肥有限公司化肥生产废气除尘项目采用“新型吸附剂喷吸-过滤协同净化气粒复合废气技术”，烟尘排放平均浓度18 mg/m</w:t>
      </w:r>
      <w:r>
        <w:rPr>
          <w:b w:val="0"/>
          <w:color w:val="auto"/>
          <w:kern w:val="2"/>
          <w:sz w:val="28"/>
          <w:szCs w:val="28"/>
          <w:vertAlign w:val="superscript"/>
        </w:rPr>
        <w:t>3</w:t>
      </w:r>
      <w:r>
        <w:rPr>
          <w:b w:val="0"/>
          <w:color w:val="auto"/>
          <w:kern w:val="2"/>
          <w:sz w:val="28"/>
          <w:szCs w:val="28"/>
        </w:rPr>
        <w:t>，环保达标排放。</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058E5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tcPr>
          <w:p w14:paraId="5FFA7FEB">
            <w:pPr>
              <w:pStyle w:val="4"/>
              <w:spacing w:line="500" w:lineRule="exact"/>
              <w:outlineLvl w:val="2"/>
              <w:rPr>
                <w:rFonts w:ascii="Calibri" w:hAnsi="Calibri"/>
                <w:b w:val="0"/>
                <w:color w:val="auto"/>
                <w:kern w:val="2"/>
                <w:sz w:val="28"/>
                <w:szCs w:val="28"/>
              </w:rPr>
            </w:pPr>
            <w:r>
              <w:rPr>
                <w:rFonts w:ascii="Calibri" w:hAnsi="Calibri"/>
                <w:color w:val="auto"/>
                <w:sz w:val="18"/>
                <w:szCs w:val="18"/>
              </w:rPr>
              <w:drawing>
                <wp:anchor distT="0" distB="0" distL="114300" distR="114300" simplePos="0" relativeHeight="251663360" behindDoc="0" locked="0" layoutInCell="1" allowOverlap="1">
                  <wp:simplePos x="0" y="0"/>
                  <wp:positionH relativeFrom="column">
                    <wp:posOffset>544195</wp:posOffset>
                  </wp:positionH>
                  <wp:positionV relativeFrom="paragraph">
                    <wp:posOffset>-13970</wp:posOffset>
                  </wp:positionV>
                  <wp:extent cx="4155440" cy="3114675"/>
                  <wp:effectExtent l="19050" t="0" r="0" b="0"/>
                  <wp:wrapSquare wrapText="bothSides"/>
                  <wp:docPr id="12" name="图片 17" descr="史丹利化肥（贵港）有限公司生产线高塔车间投料区、皮带秤、BB肥提升机的除尘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descr="史丹利化肥（贵港）有限公司生产线高塔车间投料区、皮带秤、BB肥提升机的除尘系统"/>
                          <pic:cNvPicPr>
                            <a:picLocks noChangeAspect="1" noChangeArrowheads="1"/>
                          </pic:cNvPicPr>
                        </pic:nvPicPr>
                        <pic:blipFill>
                          <a:blip r:embed="rId9"/>
                          <a:srcRect/>
                          <a:stretch>
                            <a:fillRect/>
                          </a:stretch>
                        </pic:blipFill>
                        <pic:spPr>
                          <a:xfrm>
                            <a:off x="0" y="0"/>
                            <a:ext cx="4155440" cy="3114675"/>
                          </a:xfrm>
                          <a:prstGeom prst="rect">
                            <a:avLst/>
                          </a:prstGeom>
                          <a:noFill/>
                          <a:ln w="9525" cmpd="sng">
                            <a:noFill/>
                            <a:miter lim="800000"/>
                            <a:headEnd/>
                            <a:tailEnd/>
                          </a:ln>
                          <a:effectLst/>
                        </pic:spPr>
                      </pic:pic>
                    </a:graphicData>
                  </a:graphic>
                </wp:anchor>
              </w:drawing>
            </w:r>
          </w:p>
        </w:tc>
      </w:tr>
      <w:tr w14:paraId="71A37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8" w:hRule="atLeast"/>
        </w:trPr>
        <w:tc>
          <w:tcPr>
            <w:tcW w:w="8522" w:type="dxa"/>
            <w:tcBorders>
              <w:top w:val="nil"/>
              <w:left w:val="nil"/>
              <w:bottom w:val="nil"/>
              <w:right w:val="nil"/>
            </w:tcBorders>
          </w:tcPr>
          <w:p w14:paraId="7E71F430">
            <w:pPr>
              <w:pStyle w:val="4"/>
              <w:spacing w:line="500" w:lineRule="exact"/>
              <w:outlineLvl w:val="2"/>
              <w:rPr>
                <w:rFonts w:ascii="Calibri" w:hAnsi="Calibri"/>
                <w:b w:val="0"/>
                <w:color w:val="auto"/>
                <w:kern w:val="2"/>
                <w:sz w:val="28"/>
                <w:szCs w:val="28"/>
              </w:rPr>
            </w:pPr>
            <w:r>
              <w:rPr>
                <w:rFonts w:ascii="Calibri" w:hAnsi="Calibri"/>
                <w:color w:val="auto"/>
              </w:rPr>
              <w:drawing>
                <wp:anchor distT="0" distB="0" distL="114300" distR="114300" simplePos="0" relativeHeight="251664384" behindDoc="0" locked="0" layoutInCell="1" allowOverlap="1">
                  <wp:simplePos x="0" y="0"/>
                  <wp:positionH relativeFrom="column">
                    <wp:posOffset>-13970</wp:posOffset>
                  </wp:positionH>
                  <wp:positionV relativeFrom="paragraph">
                    <wp:posOffset>20955</wp:posOffset>
                  </wp:positionV>
                  <wp:extent cx="2637790" cy="3599815"/>
                  <wp:effectExtent l="19050" t="0" r="0" b="0"/>
                  <wp:wrapTopAndBottom/>
                  <wp:docPr id="13" name="图片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20"/>
                          <pic:cNvPicPr>
                            <a:picLocks noChangeAspect="1" noChangeArrowheads="1"/>
                          </pic:cNvPicPr>
                        </pic:nvPicPr>
                        <pic:blipFill>
                          <a:blip r:embed="rId10"/>
                          <a:srcRect/>
                          <a:stretch>
                            <a:fillRect/>
                          </a:stretch>
                        </pic:blipFill>
                        <pic:spPr>
                          <a:xfrm>
                            <a:off x="0" y="0"/>
                            <a:ext cx="2637790" cy="3599815"/>
                          </a:xfrm>
                          <a:prstGeom prst="rect">
                            <a:avLst/>
                          </a:prstGeom>
                          <a:noFill/>
                          <a:ln w="9525" cmpd="sng">
                            <a:noFill/>
                            <a:miter lim="800000"/>
                            <a:headEnd/>
                            <a:tailEnd/>
                          </a:ln>
                          <a:effectLst/>
                        </pic:spPr>
                      </pic:pic>
                    </a:graphicData>
                  </a:graphic>
                </wp:anchor>
              </w:drawing>
            </w:r>
            <w:r>
              <w:rPr>
                <w:rFonts w:ascii="Calibri" w:hAnsi="Calibri"/>
                <w:color w:val="auto"/>
              </w:rPr>
              <w:drawing>
                <wp:anchor distT="0" distB="0" distL="114300" distR="114300" simplePos="0" relativeHeight="251665408" behindDoc="0" locked="0" layoutInCell="1" allowOverlap="1">
                  <wp:simplePos x="0" y="0"/>
                  <wp:positionH relativeFrom="column">
                    <wp:posOffset>2632075</wp:posOffset>
                  </wp:positionH>
                  <wp:positionV relativeFrom="paragraph">
                    <wp:posOffset>23495</wp:posOffset>
                  </wp:positionV>
                  <wp:extent cx="2640330" cy="3599815"/>
                  <wp:effectExtent l="19050" t="0" r="7620" b="0"/>
                  <wp:wrapTopAndBottom/>
                  <wp:docPr id="14" name="图片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21"/>
                          <pic:cNvPicPr>
                            <a:picLocks noChangeAspect="1" noChangeArrowheads="1"/>
                          </pic:cNvPicPr>
                        </pic:nvPicPr>
                        <pic:blipFill>
                          <a:blip r:embed="rId11"/>
                          <a:srcRect/>
                          <a:stretch>
                            <a:fillRect/>
                          </a:stretch>
                        </pic:blipFill>
                        <pic:spPr>
                          <a:xfrm>
                            <a:off x="0" y="0"/>
                            <a:ext cx="2640330" cy="3599815"/>
                          </a:xfrm>
                          <a:prstGeom prst="rect">
                            <a:avLst/>
                          </a:prstGeom>
                          <a:noFill/>
                          <a:ln w="9525" cmpd="sng">
                            <a:noFill/>
                            <a:miter lim="800000"/>
                            <a:headEnd/>
                            <a:tailEnd/>
                          </a:ln>
                          <a:effectLst/>
                        </pic:spPr>
                      </pic:pic>
                    </a:graphicData>
                  </a:graphic>
                </wp:anchor>
              </w:drawing>
            </w:r>
          </w:p>
        </w:tc>
      </w:tr>
      <w:tr w14:paraId="76EB7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op w:val="nil"/>
              <w:left w:val="nil"/>
              <w:bottom w:val="nil"/>
              <w:right w:val="nil"/>
            </w:tcBorders>
          </w:tcPr>
          <w:p w14:paraId="734437F2">
            <w:pPr>
              <w:pStyle w:val="4"/>
              <w:spacing w:line="500" w:lineRule="exact"/>
              <w:jc w:val="center"/>
              <w:outlineLvl w:val="2"/>
              <w:rPr>
                <w:rFonts w:hint="default" w:ascii="Calibri" w:hAnsi="Calibri"/>
                <w:b w:val="0"/>
                <w:color w:val="auto"/>
                <w:kern w:val="2"/>
                <w:sz w:val="28"/>
                <w:szCs w:val="28"/>
              </w:rPr>
            </w:pPr>
            <w:r>
              <w:rPr>
                <w:rFonts w:ascii="黑体" w:hAnsi="Calibri" w:eastAsia="黑体"/>
                <w:b w:val="0"/>
                <w:color w:val="auto"/>
                <w:kern w:val="2"/>
                <w:sz w:val="21"/>
                <w:szCs w:val="22"/>
              </w:rPr>
              <w:t>图4 应用项目现场及检测报告</w:t>
            </w:r>
          </w:p>
        </w:tc>
      </w:tr>
    </w:tbl>
    <w:p w14:paraId="6F441A8B">
      <w:pPr>
        <w:pStyle w:val="4"/>
        <w:ind w:firstLine="482"/>
        <w:rPr>
          <w:rFonts w:hint="default"/>
          <w:b w:val="0"/>
          <w:color w:val="auto"/>
          <w:kern w:val="2"/>
          <w:sz w:val="28"/>
          <w:szCs w:val="28"/>
        </w:rPr>
      </w:pPr>
      <w:r>
        <w:rPr>
          <w:b w:val="0"/>
          <w:color w:val="auto"/>
          <w:kern w:val="2"/>
          <w:sz w:val="28"/>
          <w:szCs w:val="28"/>
        </w:rPr>
        <w:t>某木业公司的10 t/h生物质锅炉烟气系统净化项目采用自主研发的“新型吸附剂喷吸-过滤协同净化气粒复合废气技术”进行治理，达标排放。</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268F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3" w:hRule="atLeast"/>
        </w:trPr>
        <w:tc>
          <w:tcPr>
            <w:tcW w:w="8522" w:type="dxa"/>
            <w:tcBorders>
              <w:top w:val="nil"/>
              <w:left w:val="nil"/>
              <w:bottom w:val="nil"/>
            </w:tcBorders>
            <w:vAlign w:val="center"/>
          </w:tcPr>
          <w:p w14:paraId="3BD6B013">
            <w:pPr>
              <w:jc w:val="center"/>
              <w:rPr>
                <w:rFonts w:hint="eastAsia" w:ascii="Calibri" w:hAnsi="Calibri" w:eastAsia="仿宋"/>
                <w:color w:val="auto"/>
                <w:sz w:val="28"/>
                <w:szCs w:val="28"/>
              </w:rPr>
            </w:pPr>
            <w:r>
              <w:rPr>
                <w:rFonts w:hint="eastAsia" w:ascii="Calibri" w:hAnsi="Calibri" w:eastAsia="仿宋"/>
                <w:color w:val="auto"/>
                <w:sz w:val="28"/>
                <w:szCs w:val="28"/>
              </w:rPr>
              <w:drawing>
                <wp:inline distT="0" distB="0" distL="0" distR="0">
                  <wp:extent cx="3362325" cy="2524125"/>
                  <wp:effectExtent l="19050" t="0" r="9525" b="0"/>
                  <wp:docPr id="2" name="图片 31" descr="贵港市君道木业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descr="贵港市君道木业有限公司"/>
                          <pic:cNvPicPr>
                            <a:picLocks noChangeAspect="1" noChangeArrowheads="1"/>
                          </pic:cNvPicPr>
                        </pic:nvPicPr>
                        <pic:blipFill>
                          <a:blip r:embed="rId12" cstate="print"/>
                          <a:srcRect/>
                          <a:stretch>
                            <a:fillRect/>
                          </a:stretch>
                        </pic:blipFill>
                        <pic:spPr>
                          <a:xfrm>
                            <a:off x="0" y="0"/>
                            <a:ext cx="3362325" cy="2524125"/>
                          </a:xfrm>
                          <a:prstGeom prst="rect">
                            <a:avLst/>
                          </a:prstGeom>
                          <a:noFill/>
                          <a:ln w="9525" cmpd="sng">
                            <a:noFill/>
                            <a:miter lim="800000"/>
                            <a:headEnd/>
                            <a:tailEnd/>
                          </a:ln>
                        </pic:spPr>
                      </pic:pic>
                    </a:graphicData>
                  </a:graphic>
                </wp:inline>
              </w:drawing>
            </w:r>
            <w:r>
              <w:rPr>
                <w:rFonts w:ascii="Calibri" w:hAnsi="Calibri"/>
                <w:color w:val="auto"/>
              </w:rPr>
              <w:drawing>
                <wp:anchor distT="0" distB="0" distL="114300" distR="114300" simplePos="0" relativeHeight="251666432" behindDoc="0" locked="0" layoutInCell="1" allowOverlap="1">
                  <wp:simplePos x="0" y="0"/>
                  <wp:positionH relativeFrom="column">
                    <wp:posOffset>1374775</wp:posOffset>
                  </wp:positionH>
                  <wp:positionV relativeFrom="paragraph">
                    <wp:posOffset>2575560</wp:posOffset>
                  </wp:positionV>
                  <wp:extent cx="2621280" cy="3599815"/>
                  <wp:effectExtent l="19050" t="0" r="7620" b="0"/>
                  <wp:wrapTopAndBottom/>
                  <wp:docPr id="15" name="图片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22"/>
                          <pic:cNvPicPr>
                            <a:picLocks noChangeAspect="1" noChangeArrowheads="1"/>
                          </pic:cNvPicPr>
                        </pic:nvPicPr>
                        <pic:blipFill>
                          <a:blip r:embed="rId13"/>
                          <a:srcRect/>
                          <a:stretch>
                            <a:fillRect/>
                          </a:stretch>
                        </pic:blipFill>
                        <pic:spPr>
                          <a:xfrm>
                            <a:off x="0" y="0"/>
                            <a:ext cx="2621280" cy="3599815"/>
                          </a:xfrm>
                          <a:prstGeom prst="rect">
                            <a:avLst/>
                          </a:prstGeom>
                          <a:noFill/>
                          <a:ln w="9525" cmpd="sng">
                            <a:noFill/>
                            <a:miter lim="800000"/>
                            <a:headEnd/>
                            <a:tailEnd/>
                          </a:ln>
                          <a:effectLst/>
                        </pic:spPr>
                      </pic:pic>
                    </a:graphicData>
                  </a:graphic>
                </wp:anchor>
              </w:drawing>
            </w:r>
          </w:p>
        </w:tc>
      </w:tr>
      <w:tr w14:paraId="0E0F0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op w:val="nil"/>
              <w:left w:val="nil"/>
              <w:bottom w:val="nil"/>
              <w:right w:val="nil"/>
            </w:tcBorders>
            <w:vAlign w:val="center"/>
          </w:tcPr>
          <w:p w14:paraId="0ECC0817">
            <w:pPr>
              <w:pStyle w:val="4"/>
              <w:ind w:firstLine="2730" w:firstLineChars="1300"/>
              <w:outlineLvl w:val="2"/>
              <w:rPr>
                <w:rFonts w:ascii="Calibri" w:hAnsi="Calibri" w:eastAsia="宋体"/>
                <w:bCs/>
                <w:color w:val="auto"/>
                <w:sz w:val="21"/>
                <w:szCs w:val="21"/>
              </w:rPr>
            </w:pPr>
            <w:r>
              <w:rPr>
                <w:rFonts w:ascii="黑体" w:hAnsi="Calibri" w:eastAsia="黑体"/>
                <w:b w:val="0"/>
                <w:color w:val="auto"/>
                <w:kern w:val="2"/>
                <w:sz w:val="21"/>
                <w:szCs w:val="22"/>
              </w:rPr>
              <w:t>图5 应用项目现场及检测报告</w:t>
            </w:r>
          </w:p>
        </w:tc>
      </w:tr>
    </w:tbl>
    <w:p w14:paraId="23FF5E32">
      <w:pPr>
        <w:pStyle w:val="2"/>
        <w:spacing w:line="500" w:lineRule="exact"/>
        <w:rPr>
          <w:color w:val="auto"/>
          <w:lang w:val="zh-CN"/>
        </w:rPr>
      </w:pPr>
      <w:bookmarkStart w:id="75" w:name="_Toc27343"/>
      <w:bookmarkStart w:id="76" w:name="_Toc31629"/>
      <w:bookmarkStart w:id="77" w:name="_Toc18858"/>
      <w:bookmarkStart w:id="78" w:name="_Toc5290"/>
      <w:bookmarkStart w:id="79" w:name="_Toc32621"/>
      <w:bookmarkStart w:id="80" w:name="_Toc24156"/>
      <w:bookmarkStart w:id="81" w:name="_Toc25383"/>
      <w:r>
        <w:rPr>
          <w:rFonts w:hint="eastAsia"/>
          <w:color w:val="auto"/>
        </w:rPr>
        <w:t>六、</w:t>
      </w:r>
      <w:r>
        <w:rPr>
          <w:color w:val="auto"/>
          <w:lang w:val="zh-CN"/>
        </w:rPr>
        <w:t>标准主要章节内容及确定依据</w:t>
      </w:r>
      <w:bookmarkEnd w:id="75"/>
      <w:bookmarkEnd w:id="76"/>
      <w:bookmarkEnd w:id="77"/>
      <w:bookmarkEnd w:id="78"/>
      <w:bookmarkEnd w:id="79"/>
      <w:bookmarkEnd w:id="80"/>
      <w:bookmarkEnd w:id="81"/>
    </w:p>
    <w:p w14:paraId="58B70594">
      <w:pPr>
        <w:pStyle w:val="3"/>
        <w:spacing w:line="500" w:lineRule="exact"/>
        <w:rPr>
          <w:color w:val="auto"/>
        </w:rPr>
      </w:pPr>
      <w:bookmarkStart w:id="82" w:name="_Toc22770"/>
      <w:bookmarkStart w:id="83" w:name="_Toc15931730"/>
      <w:bookmarkStart w:id="84" w:name="_Toc26772"/>
      <w:bookmarkStart w:id="85" w:name="_Toc9255"/>
      <w:bookmarkStart w:id="86" w:name="_Toc15630"/>
      <w:r>
        <w:rPr>
          <w:color w:val="auto"/>
        </w:rPr>
        <w:t>（一）编制依据</w:t>
      </w:r>
      <w:bookmarkEnd w:id="82"/>
      <w:bookmarkEnd w:id="83"/>
      <w:bookmarkEnd w:id="84"/>
      <w:bookmarkEnd w:id="85"/>
      <w:bookmarkEnd w:id="86"/>
    </w:p>
    <w:p w14:paraId="788A7A3C">
      <w:pPr>
        <w:pStyle w:val="4"/>
        <w:spacing w:line="500" w:lineRule="exact"/>
        <w:rPr>
          <w:rFonts w:hint="default"/>
          <w:color w:val="auto"/>
        </w:rPr>
      </w:pPr>
      <w:r>
        <w:rPr>
          <w:rFonts w:hint="default"/>
          <w:color w:val="auto"/>
        </w:rPr>
        <w:t>1.相关法律及政策依据</w:t>
      </w:r>
    </w:p>
    <w:p w14:paraId="68C7C528">
      <w:pPr>
        <w:spacing w:line="500" w:lineRule="exact"/>
        <w:ind w:firstLine="560" w:firstLineChars="200"/>
        <w:rPr>
          <w:rFonts w:hint="eastAsia" w:eastAsia="仿宋"/>
          <w:color w:val="auto"/>
          <w:sz w:val="28"/>
          <w:szCs w:val="28"/>
        </w:rPr>
      </w:pPr>
      <w:r>
        <w:rPr>
          <w:rFonts w:hint="eastAsia" w:eastAsia="仿宋"/>
          <w:color w:val="auto"/>
          <w:sz w:val="28"/>
          <w:szCs w:val="28"/>
        </w:rPr>
        <w:t>《中华人民共和国环境保护法》</w:t>
      </w:r>
    </w:p>
    <w:p w14:paraId="3E3A3846">
      <w:pPr>
        <w:spacing w:line="500" w:lineRule="exact"/>
        <w:ind w:firstLine="560" w:firstLineChars="200"/>
        <w:rPr>
          <w:rFonts w:hint="eastAsia" w:eastAsia="仿宋"/>
          <w:color w:val="auto"/>
          <w:sz w:val="28"/>
          <w:szCs w:val="28"/>
        </w:rPr>
      </w:pPr>
      <w:r>
        <w:rPr>
          <w:rFonts w:hint="eastAsia" w:eastAsia="仿宋"/>
          <w:color w:val="auto"/>
          <w:sz w:val="28"/>
          <w:szCs w:val="28"/>
        </w:rPr>
        <w:t>《中华人民共和国大气污染防治法》</w:t>
      </w:r>
    </w:p>
    <w:p w14:paraId="3A773079">
      <w:pPr>
        <w:spacing w:line="500" w:lineRule="exact"/>
        <w:ind w:firstLine="560" w:firstLineChars="200"/>
        <w:rPr>
          <w:rFonts w:hint="eastAsia" w:eastAsia="仿宋"/>
          <w:color w:val="auto"/>
          <w:sz w:val="28"/>
          <w:szCs w:val="28"/>
        </w:rPr>
      </w:pPr>
      <w:r>
        <w:rPr>
          <w:rFonts w:hint="eastAsia" w:eastAsia="仿宋"/>
          <w:color w:val="auto"/>
          <w:sz w:val="28"/>
          <w:szCs w:val="28"/>
        </w:rPr>
        <w:t>《中华人民共和国标准化法》</w:t>
      </w:r>
    </w:p>
    <w:p w14:paraId="163537D3">
      <w:pPr>
        <w:spacing w:line="500" w:lineRule="exact"/>
        <w:ind w:firstLine="560" w:firstLineChars="200"/>
        <w:rPr>
          <w:rFonts w:hint="eastAsia" w:eastAsia="仿宋"/>
          <w:color w:val="auto"/>
          <w:sz w:val="28"/>
          <w:szCs w:val="28"/>
        </w:rPr>
      </w:pPr>
      <w:r>
        <w:rPr>
          <w:rFonts w:hint="eastAsia" w:eastAsia="仿宋"/>
          <w:color w:val="auto"/>
          <w:sz w:val="28"/>
          <w:szCs w:val="28"/>
        </w:rPr>
        <w:t>《中华人民共和国标准化法实施条例》</w:t>
      </w:r>
    </w:p>
    <w:p w14:paraId="50C96B85">
      <w:pPr>
        <w:spacing w:line="500" w:lineRule="exact"/>
        <w:ind w:firstLine="560" w:firstLineChars="200"/>
        <w:rPr>
          <w:rFonts w:hint="eastAsia" w:eastAsia="仿宋"/>
          <w:color w:val="auto"/>
          <w:sz w:val="28"/>
          <w:szCs w:val="28"/>
        </w:rPr>
      </w:pPr>
      <w:r>
        <w:rPr>
          <w:rFonts w:hint="eastAsia" w:eastAsia="仿宋"/>
          <w:color w:val="auto"/>
          <w:sz w:val="28"/>
          <w:szCs w:val="28"/>
        </w:rPr>
        <w:t>《生态环境标准管理办法》</w:t>
      </w:r>
    </w:p>
    <w:p w14:paraId="12DE5702">
      <w:pPr>
        <w:spacing w:line="500" w:lineRule="exact"/>
        <w:ind w:firstLine="560" w:firstLineChars="200"/>
        <w:rPr>
          <w:rFonts w:hint="eastAsia" w:eastAsia="仿宋"/>
          <w:color w:val="auto"/>
          <w:sz w:val="28"/>
          <w:szCs w:val="28"/>
        </w:rPr>
      </w:pPr>
      <w:r>
        <w:rPr>
          <w:rStyle w:val="21"/>
          <w:rFonts w:hint="eastAsia" w:eastAsia="仿宋"/>
          <w:b w:val="0"/>
          <w:bCs w:val="0"/>
          <w:color w:val="auto"/>
          <w:sz w:val="28"/>
          <w:szCs w:val="28"/>
        </w:rPr>
        <w:t>《空气质量持续改善行动计划》</w:t>
      </w:r>
    </w:p>
    <w:p w14:paraId="171C7DC0">
      <w:pPr>
        <w:spacing w:line="500" w:lineRule="exact"/>
        <w:ind w:firstLine="560" w:firstLineChars="200"/>
        <w:rPr>
          <w:rFonts w:hint="eastAsia" w:eastAsia="仿宋"/>
          <w:color w:val="auto"/>
          <w:sz w:val="28"/>
          <w:szCs w:val="28"/>
        </w:rPr>
      </w:pPr>
      <w:r>
        <w:rPr>
          <w:rStyle w:val="21"/>
          <w:rFonts w:hint="eastAsia" w:eastAsia="仿宋"/>
          <w:b w:val="0"/>
          <w:bCs w:val="0"/>
          <w:color w:val="auto"/>
          <w:sz w:val="28"/>
          <w:szCs w:val="28"/>
        </w:rPr>
        <w:t>《重污染天气重点行业应急减排措施制定技术指南》</w:t>
      </w:r>
    </w:p>
    <w:p w14:paraId="5B965BE3">
      <w:pPr>
        <w:spacing w:line="500" w:lineRule="exact"/>
        <w:ind w:firstLine="560" w:firstLineChars="200"/>
        <w:rPr>
          <w:rFonts w:hint="eastAsia" w:eastAsia="仿宋"/>
          <w:color w:val="auto"/>
          <w:sz w:val="28"/>
          <w:szCs w:val="28"/>
        </w:rPr>
      </w:pPr>
      <w:r>
        <w:rPr>
          <w:rFonts w:hint="eastAsia" w:eastAsia="仿宋"/>
          <w:color w:val="auto"/>
          <w:sz w:val="28"/>
          <w:szCs w:val="28"/>
        </w:rPr>
        <w:t>《广西壮族自治区大气污染防治条例》</w:t>
      </w:r>
    </w:p>
    <w:p w14:paraId="51D5F509">
      <w:pPr>
        <w:spacing w:line="500" w:lineRule="exact"/>
        <w:ind w:firstLine="560" w:firstLineChars="200"/>
        <w:rPr>
          <w:rFonts w:hint="eastAsia" w:eastAsia="仿宋"/>
          <w:color w:val="auto"/>
          <w:sz w:val="28"/>
          <w:szCs w:val="28"/>
        </w:rPr>
      </w:pPr>
      <w:r>
        <w:rPr>
          <w:rStyle w:val="21"/>
          <w:rFonts w:hint="eastAsia" w:eastAsia="仿宋"/>
          <w:b w:val="0"/>
          <w:bCs w:val="0"/>
          <w:color w:val="auto"/>
          <w:sz w:val="28"/>
          <w:szCs w:val="28"/>
        </w:rPr>
        <w:t>《广西空气质量持续改善行动实施方案》</w:t>
      </w:r>
    </w:p>
    <w:p w14:paraId="28E73BFC">
      <w:pPr>
        <w:pStyle w:val="4"/>
        <w:spacing w:line="500" w:lineRule="exact"/>
        <w:rPr>
          <w:rFonts w:hint="default"/>
          <w:color w:val="auto"/>
        </w:rPr>
      </w:pPr>
      <w:r>
        <w:rPr>
          <w:rFonts w:hint="default"/>
          <w:color w:val="auto"/>
        </w:rPr>
        <w:t>2.主要技术依据</w:t>
      </w:r>
    </w:p>
    <w:p w14:paraId="5E34B78C">
      <w:pPr>
        <w:spacing w:after="156" w:line="500" w:lineRule="exact"/>
        <w:ind w:firstLine="420"/>
        <w:rPr>
          <w:rFonts w:hint="eastAsia" w:eastAsia="仿宋"/>
          <w:color w:val="auto"/>
          <w:sz w:val="28"/>
          <w:szCs w:val="28"/>
        </w:rPr>
      </w:pPr>
      <w:r>
        <w:rPr>
          <w:rFonts w:hint="eastAsia" w:eastAsia="仿宋"/>
          <w:color w:val="auto"/>
          <w:sz w:val="28"/>
          <w:szCs w:val="28"/>
        </w:rPr>
        <w:t>本标准编制过程中，编制组对采用“新型吸附剂喷吸-过滤协同净化气粒复合废气技术”的应用项目进行了调查研究，总结了该技术设计、施工验收及运行管理的实践经验，同时，参考了相关国家标准、行业标准以及其他省份的地方标准，主要参考标准如表2所示。</w:t>
      </w:r>
    </w:p>
    <w:p w14:paraId="17035F4B">
      <w:pPr>
        <w:pStyle w:val="4"/>
        <w:ind w:firstLine="2730" w:firstLineChars="1300"/>
        <w:rPr>
          <w:rFonts w:ascii="黑体" w:hAnsi="黑体" w:eastAsia="黑体" w:cs="黑体"/>
          <w:color w:val="auto"/>
          <w:sz w:val="24"/>
          <w:szCs w:val="21"/>
        </w:rPr>
      </w:pPr>
      <w:r>
        <w:rPr>
          <w:rFonts w:ascii="黑体" w:eastAsia="黑体"/>
          <w:b w:val="0"/>
          <w:color w:val="auto"/>
          <w:kern w:val="2"/>
          <w:sz w:val="21"/>
          <w:szCs w:val="22"/>
        </w:rPr>
        <w:t>表2 主要参考标准</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8"/>
        <w:gridCol w:w="5964"/>
      </w:tblGrid>
      <w:tr w14:paraId="6B671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2BA4164C">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 xml:space="preserve">GB/T 6719  </w:t>
            </w:r>
          </w:p>
        </w:tc>
        <w:tc>
          <w:tcPr>
            <w:tcW w:w="3498" w:type="pct"/>
            <w:noWrap/>
            <w:vAlign w:val="center"/>
          </w:tcPr>
          <w:p w14:paraId="74EBA5AD">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袋式除尘器技术要求</w:t>
            </w:r>
          </w:p>
        </w:tc>
      </w:tr>
      <w:tr w14:paraId="4FA47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3B158190">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GB 12348</w:t>
            </w:r>
          </w:p>
        </w:tc>
        <w:tc>
          <w:tcPr>
            <w:tcW w:w="3498" w:type="pct"/>
            <w:noWrap/>
            <w:vAlign w:val="center"/>
          </w:tcPr>
          <w:p w14:paraId="31132EC3">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工业企业厂界环境噪声排放标准</w:t>
            </w:r>
          </w:p>
        </w:tc>
      </w:tr>
      <w:tr w14:paraId="7D1EC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094FE409">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GB 13271</w:t>
            </w:r>
          </w:p>
        </w:tc>
        <w:tc>
          <w:tcPr>
            <w:tcW w:w="3498" w:type="pct"/>
            <w:noWrap/>
            <w:vAlign w:val="center"/>
          </w:tcPr>
          <w:p w14:paraId="08B50637">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锅炉大气污染物排放标准</w:t>
            </w:r>
          </w:p>
        </w:tc>
      </w:tr>
      <w:tr w14:paraId="7B9F7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3615468C">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GB/T 16157</w:t>
            </w:r>
          </w:p>
        </w:tc>
        <w:tc>
          <w:tcPr>
            <w:tcW w:w="3498" w:type="pct"/>
            <w:noWrap/>
            <w:vAlign w:val="center"/>
          </w:tcPr>
          <w:p w14:paraId="51E6BEA4">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固定污染源排气中颗粒物测定与气态污染物采样方法</w:t>
            </w:r>
          </w:p>
        </w:tc>
      </w:tr>
      <w:tr w14:paraId="4BAAC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1A50AB0D">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GB 16297</w:t>
            </w:r>
          </w:p>
        </w:tc>
        <w:tc>
          <w:tcPr>
            <w:tcW w:w="3498" w:type="pct"/>
            <w:noWrap/>
            <w:vAlign w:val="center"/>
          </w:tcPr>
          <w:p w14:paraId="632846B6">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大气综合排放标准</w:t>
            </w:r>
          </w:p>
        </w:tc>
      </w:tr>
      <w:tr w14:paraId="03941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740C1E82">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GB/T 25445</w:t>
            </w:r>
          </w:p>
        </w:tc>
        <w:tc>
          <w:tcPr>
            <w:tcW w:w="3498" w:type="pct"/>
            <w:noWrap/>
            <w:vAlign w:val="center"/>
          </w:tcPr>
          <w:p w14:paraId="6FA1D09C">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抑制爆炸系统</w:t>
            </w:r>
          </w:p>
        </w:tc>
      </w:tr>
      <w:tr w14:paraId="605ED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3F669F94">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GB/T 50087</w:t>
            </w:r>
          </w:p>
        </w:tc>
        <w:tc>
          <w:tcPr>
            <w:tcW w:w="3498" w:type="pct"/>
            <w:noWrap/>
            <w:vAlign w:val="center"/>
          </w:tcPr>
          <w:p w14:paraId="32F62094">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工业企业噪声控制设计规范</w:t>
            </w:r>
          </w:p>
        </w:tc>
      </w:tr>
      <w:tr w14:paraId="263AE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23B49925">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HJ/T 1</w:t>
            </w:r>
          </w:p>
        </w:tc>
        <w:tc>
          <w:tcPr>
            <w:tcW w:w="3498" w:type="pct"/>
            <w:noWrap/>
            <w:vAlign w:val="center"/>
          </w:tcPr>
          <w:p w14:paraId="2D9906E5">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气体参数测量和采样的固定位装置</w:t>
            </w:r>
          </w:p>
        </w:tc>
      </w:tr>
      <w:tr w14:paraId="0CEE6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545555BC">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HJ/T 286</w:t>
            </w:r>
          </w:p>
        </w:tc>
        <w:tc>
          <w:tcPr>
            <w:tcW w:w="3498" w:type="pct"/>
            <w:noWrap/>
            <w:vAlign w:val="center"/>
          </w:tcPr>
          <w:p w14:paraId="139B57A0">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环境保护产品技术要求  工业锅炉多管旋风除尘器</w:t>
            </w:r>
          </w:p>
        </w:tc>
      </w:tr>
      <w:tr w14:paraId="40CDF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0BFD73D1">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HJ 1088</w:t>
            </w:r>
          </w:p>
        </w:tc>
        <w:tc>
          <w:tcPr>
            <w:tcW w:w="3498" w:type="pct"/>
            <w:noWrap/>
            <w:vAlign w:val="center"/>
          </w:tcPr>
          <w:p w14:paraId="6637DE9E">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排污单位自行监测技术指南 磷肥、钾肥、复混肥料、有机肥料和微生物肥料</w:t>
            </w:r>
          </w:p>
        </w:tc>
      </w:tr>
      <w:tr w14:paraId="1F9D3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0E898555">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HJ 2000</w:t>
            </w:r>
          </w:p>
        </w:tc>
        <w:tc>
          <w:tcPr>
            <w:tcW w:w="3498" w:type="pct"/>
            <w:noWrap/>
            <w:vAlign w:val="center"/>
          </w:tcPr>
          <w:p w14:paraId="2DEC25E4">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大气污染治理工程技术导则</w:t>
            </w:r>
          </w:p>
        </w:tc>
      </w:tr>
      <w:tr w14:paraId="6A4BD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4377A552">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HJ 2020</w:t>
            </w:r>
          </w:p>
        </w:tc>
        <w:tc>
          <w:tcPr>
            <w:tcW w:w="3498" w:type="pct"/>
            <w:noWrap/>
            <w:vAlign w:val="center"/>
          </w:tcPr>
          <w:p w14:paraId="4728A3DE">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袋式除尘工程通用技术规范</w:t>
            </w:r>
          </w:p>
        </w:tc>
      </w:tr>
      <w:tr w14:paraId="08B13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6114787F">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HJ 2026</w:t>
            </w:r>
          </w:p>
        </w:tc>
        <w:tc>
          <w:tcPr>
            <w:tcW w:w="3498" w:type="pct"/>
            <w:noWrap/>
            <w:vAlign w:val="center"/>
          </w:tcPr>
          <w:p w14:paraId="493ABAA1">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吸附法工业有机废气治理工程技术规范</w:t>
            </w:r>
          </w:p>
        </w:tc>
      </w:tr>
      <w:tr w14:paraId="5BF2A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01" w:type="pct"/>
            <w:noWrap/>
            <w:vAlign w:val="center"/>
          </w:tcPr>
          <w:p w14:paraId="360A7D78">
            <w:pPr>
              <w:spacing w:line="500" w:lineRule="exact"/>
              <w:jc w:val="center"/>
              <w:rPr>
                <w:rFonts w:hint="eastAsia" w:ascii="Times New Roman" w:hAnsi="Times New Roman" w:eastAsia="仿宋"/>
                <w:color w:val="auto"/>
                <w:sz w:val="24"/>
                <w:szCs w:val="21"/>
              </w:rPr>
            </w:pPr>
            <w:r>
              <w:rPr>
                <w:rFonts w:hint="eastAsia" w:ascii="宋体" w:hAnsi="宋体" w:cs="宋体"/>
                <w:color w:val="auto"/>
                <w:kern w:val="0"/>
                <w:sz w:val="22"/>
              </w:rPr>
              <w:t>JB/T 10341</w:t>
            </w:r>
          </w:p>
        </w:tc>
        <w:tc>
          <w:tcPr>
            <w:tcW w:w="3498" w:type="pct"/>
            <w:noWrap/>
            <w:vAlign w:val="center"/>
          </w:tcPr>
          <w:p w14:paraId="4DB77EA2">
            <w:pPr>
              <w:widowControl/>
              <w:jc w:val="left"/>
              <w:textAlignment w:val="center"/>
              <w:rPr>
                <w:rFonts w:hint="eastAsia" w:ascii="Times New Roman" w:hAnsi="Times New Roman" w:eastAsia="仿宋"/>
                <w:color w:val="auto"/>
                <w:sz w:val="24"/>
                <w:szCs w:val="21"/>
              </w:rPr>
            </w:pPr>
            <w:r>
              <w:rPr>
                <w:rFonts w:hint="eastAsia" w:ascii="宋体" w:hAnsi="宋体" w:cs="宋体"/>
                <w:color w:val="auto"/>
                <w:kern w:val="0"/>
                <w:sz w:val="22"/>
              </w:rPr>
              <w:t>滤筒式除尘器</w:t>
            </w:r>
          </w:p>
        </w:tc>
      </w:tr>
    </w:tbl>
    <w:p w14:paraId="3BD2BCD5">
      <w:pPr>
        <w:spacing w:line="500" w:lineRule="exact"/>
        <w:jc w:val="center"/>
        <w:rPr>
          <w:rFonts w:hint="eastAsia" w:ascii="黑体" w:hAnsi="黑体" w:eastAsia="黑体" w:cs="黑体"/>
          <w:color w:val="auto"/>
          <w:sz w:val="24"/>
          <w:szCs w:val="21"/>
        </w:rPr>
      </w:pPr>
    </w:p>
    <w:p w14:paraId="5F3250E3">
      <w:pPr>
        <w:pStyle w:val="3"/>
        <w:spacing w:line="500" w:lineRule="exact"/>
        <w:rPr>
          <w:color w:val="auto"/>
        </w:rPr>
      </w:pPr>
      <w:bookmarkStart w:id="87" w:name="_Toc12162"/>
      <w:bookmarkStart w:id="88" w:name="_Toc29809"/>
      <w:bookmarkStart w:id="89" w:name="_Toc32320"/>
      <w:bookmarkStart w:id="90" w:name="_Toc32196"/>
      <w:r>
        <w:rPr>
          <w:color w:val="auto"/>
        </w:rPr>
        <w:t>（二）标准主体内容</w:t>
      </w:r>
      <w:bookmarkEnd w:id="87"/>
      <w:bookmarkEnd w:id="88"/>
      <w:bookmarkEnd w:id="89"/>
      <w:bookmarkEnd w:id="90"/>
    </w:p>
    <w:p w14:paraId="7B82E5C2">
      <w:pPr>
        <w:spacing w:line="500" w:lineRule="exact"/>
        <w:ind w:firstLine="646"/>
        <w:rPr>
          <w:rFonts w:eastAsia="仿宋"/>
          <w:color w:val="auto"/>
          <w:kern w:val="0"/>
          <w:sz w:val="28"/>
          <w:szCs w:val="28"/>
        </w:rPr>
      </w:pPr>
      <w:r>
        <w:rPr>
          <w:rFonts w:hint="eastAsia" w:eastAsia="仿宋"/>
          <w:color w:val="auto"/>
          <w:kern w:val="0"/>
          <w:sz w:val="28"/>
          <w:szCs w:val="28"/>
        </w:rPr>
        <w:t>标准共分为8章，主要内容为：（1）范围；（2）规范性引用文件；（3）术语和定义；（4）总体要求；（5）工艺设计；（6）检测与过程控制；（7）施工与验收；（8）运行管理与维护。</w:t>
      </w:r>
    </w:p>
    <w:p w14:paraId="1BBC3AC1">
      <w:pPr>
        <w:pStyle w:val="3"/>
        <w:spacing w:line="500" w:lineRule="exact"/>
        <w:rPr>
          <w:color w:val="auto"/>
        </w:rPr>
      </w:pPr>
      <w:bookmarkStart w:id="91" w:name="_Toc460"/>
      <w:bookmarkStart w:id="92" w:name="_Toc14784"/>
      <w:bookmarkStart w:id="93" w:name="_Toc9432"/>
      <w:bookmarkStart w:id="94" w:name="_Toc32262"/>
      <w:r>
        <w:rPr>
          <w:color w:val="auto"/>
        </w:rPr>
        <w:t>（三）依据来源</w:t>
      </w:r>
      <w:bookmarkEnd w:id="91"/>
      <w:bookmarkEnd w:id="92"/>
      <w:bookmarkEnd w:id="93"/>
      <w:bookmarkEnd w:id="94"/>
    </w:p>
    <w:p w14:paraId="37105AB5">
      <w:pPr>
        <w:pStyle w:val="4"/>
        <w:spacing w:line="500" w:lineRule="exact"/>
        <w:rPr>
          <w:rFonts w:hint="default"/>
          <w:color w:val="auto"/>
        </w:rPr>
      </w:pPr>
      <w:r>
        <w:rPr>
          <w:rFonts w:hint="default"/>
          <w:color w:val="auto"/>
        </w:rPr>
        <w:t>1.术语和定义</w:t>
      </w:r>
    </w:p>
    <w:p w14:paraId="5B16C033">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 xml:space="preserve">（1）新型吸附剂 </w:t>
      </w:r>
    </w:p>
    <w:p w14:paraId="163CFF8F">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含碳物质经过炭化，活化处理后制得具有发达孔隙结构和巨大比表面积的炭质吸附剂，包括改性蔗渣灰、改性草木灰、石灰石粉或其混合物等。</w:t>
      </w:r>
    </w:p>
    <w:p w14:paraId="366E7086">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主要参照《有机废气治理 活性炭吸附装置技术规范》（T/ZSESS 010-2024）中“3.2 活性炭 含碳物质经过炭化，活化处理制得的具有发达孔隙结构和巨大比表面积的炭质吸附剂”，结合本标准实际情况确定。</w:t>
      </w:r>
    </w:p>
    <w:p w14:paraId="314C225A">
      <w:pPr>
        <w:spacing w:line="500" w:lineRule="exact"/>
        <w:ind w:left="560"/>
        <w:rPr>
          <w:rFonts w:hint="eastAsia" w:eastAsia="仿宋"/>
          <w:color w:val="auto"/>
          <w:kern w:val="0"/>
          <w:sz w:val="28"/>
          <w:szCs w:val="28"/>
        </w:rPr>
      </w:pPr>
      <w:r>
        <w:rPr>
          <w:rFonts w:hint="eastAsia" w:eastAsia="仿宋"/>
          <w:color w:val="auto"/>
          <w:kern w:val="0"/>
          <w:sz w:val="28"/>
          <w:szCs w:val="28"/>
        </w:rPr>
        <w:t>（2）气粒复合废气</w:t>
      </w:r>
    </w:p>
    <w:p w14:paraId="01C8988B">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指肥料生产和木材加工过程中产生的同时含有固态颗粒物和气态污染物的废气，肥料生产废气主要污染物为颗粒物、含氨气态化合物及其他有毒有害气体，木材加工废气主要污染物为颗粒物、焦油气态化合物、氮氧化物及其他有毒有害气体。</w:t>
      </w:r>
    </w:p>
    <w:p w14:paraId="442EB1E1">
      <w:pPr>
        <w:spacing w:line="500" w:lineRule="exact"/>
        <w:ind w:firstLine="560" w:firstLineChars="200"/>
        <w:rPr>
          <w:rFonts w:eastAsia="仿宋"/>
          <w:color w:val="auto"/>
          <w:kern w:val="0"/>
          <w:sz w:val="28"/>
          <w:szCs w:val="28"/>
        </w:rPr>
      </w:pPr>
      <w:r>
        <w:rPr>
          <w:rFonts w:hint="eastAsia" w:eastAsia="仿宋"/>
          <w:color w:val="auto"/>
          <w:kern w:val="0"/>
          <w:sz w:val="28"/>
          <w:szCs w:val="28"/>
        </w:rPr>
        <w:t>主要参照《再生铅生产废气处理技术规范》（YS/T 1170-2017）中“3.2 再生铅废气源 指再生铅企业生产过程中产生的对环境有毒有害的气体，主要包括颗粒物、含硫气态化合物（主要为二氧化硫、三氧化硫、硫酸雾等）及其他有毒有害气体（如铅烟尘及其他重金属、二噁英等）”，结合本标准实际情况确定。</w:t>
      </w:r>
    </w:p>
    <w:p w14:paraId="391DFBA6">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 xml:space="preserve">（3）新型吸附剂喷吸-过滤协同净化气粒复合废气技术 </w:t>
      </w:r>
    </w:p>
    <w:p w14:paraId="7769708F">
      <w:pPr>
        <w:spacing w:line="500" w:lineRule="exact"/>
        <w:ind w:firstLine="560" w:firstLineChars="200"/>
        <w:rPr>
          <w:rFonts w:eastAsia="仿宋"/>
          <w:color w:val="auto"/>
          <w:kern w:val="0"/>
          <w:sz w:val="28"/>
          <w:szCs w:val="28"/>
        </w:rPr>
      </w:pPr>
      <w:r>
        <w:rPr>
          <w:rFonts w:hint="eastAsia" w:eastAsia="仿宋"/>
          <w:color w:val="auto"/>
          <w:kern w:val="0"/>
          <w:sz w:val="28"/>
          <w:szCs w:val="28"/>
        </w:rPr>
        <w:t>通过向废气中精准喷射新型吸附剂，新型吸附剂在气流中与气态污染物发生物理/化学吸附反应，并同时与原始颗粒物发生碰撞、凝聚、载带，最后通过高效过滤单元（如滤筒、滤袋）将载有污染物的吸附剂及原始颗粒物一并捕集的协同净化技术。</w:t>
      </w:r>
    </w:p>
    <w:p w14:paraId="3078F180">
      <w:pPr>
        <w:spacing w:line="500" w:lineRule="exact"/>
        <w:ind w:firstLine="646"/>
        <w:rPr>
          <w:rFonts w:hint="eastAsia" w:eastAsia="仿宋"/>
          <w:color w:val="auto"/>
          <w:kern w:val="0"/>
          <w:sz w:val="28"/>
          <w:szCs w:val="28"/>
        </w:rPr>
      </w:pPr>
      <w:r>
        <w:rPr>
          <w:rFonts w:hint="eastAsia" w:eastAsia="仿宋"/>
          <w:color w:val="auto"/>
          <w:kern w:val="0"/>
          <w:sz w:val="28"/>
          <w:szCs w:val="28"/>
        </w:rPr>
        <w:t>根据新型吸附剂喷吸+袋式过滤的核心技术，结合该技术实际应用情况确定。</w:t>
      </w:r>
    </w:p>
    <w:p w14:paraId="293ED292">
      <w:pPr>
        <w:pStyle w:val="4"/>
        <w:spacing w:line="500" w:lineRule="exact"/>
        <w:rPr>
          <w:rFonts w:hint="default"/>
          <w:color w:val="auto"/>
        </w:rPr>
      </w:pPr>
      <w:r>
        <w:rPr>
          <w:rFonts w:hint="default"/>
          <w:color w:val="auto"/>
        </w:rPr>
        <w:t>2.</w:t>
      </w:r>
      <w:r>
        <w:rPr>
          <w:color w:val="auto"/>
        </w:rPr>
        <w:t>总体</w:t>
      </w:r>
      <w:r>
        <w:rPr>
          <w:rFonts w:hint="default"/>
          <w:color w:val="auto"/>
        </w:rPr>
        <w:t>要求</w:t>
      </w:r>
    </w:p>
    <w:p w14:paraId="10A583B2">
      <w:pPr>
        <w:spacing w:line="500" w:lineRule="exact"/>
        <w:ind w:firstLine="560" w:firstLineChars="200"/>
        <w:rPr>
          <w:rFonts w:hint="eastAsia" w:eastAsia="仿宋"/>
          <w:color w:val="auto"/>
          <w:sz w:val="28"/>
          <w:szCs w:val="28"/>
        </w:rPr>
      </w:pPr>
      <w:bookmarkStart w:id="95" w:name="_Toc130226543"/>
      <w:r>
        <w:rPr>
          <w:rFonts w:hint="eastAsia" w:eastAsia="仿宋"/>
          <w:color w:val="auto"/>
          <w:sz w:val="28"/>
          <w:szCs w:val="28"/>
        </w:rPr>
        <w:t>对采用新型吸附剂喷吸-过滤协同净化气粒复合废气技术的工程设计、二次污染、材料及排放要求进行了规定。</w:t>
      </w:r>
    </w:p>
    <w:bookmarkEnd w:id="95"/>
    <w:p w14:paraId="64BF1C00">
      <w:pPr>
        <w:pStyle w:val="4"/>
        <w:spacing w:line="500" w:lineRule="exact"/>
        <w:rPr>
          <w:rFonts w:hint="default"/>
          <w:color w:val="auto"/>
        </w:rPr>
      </w:pPr>
      <w:r>
        <w:rPr>
          <w:color w:val="auto"/>
        </w:rPr>
        <w:t>3</w:t>
      </w:r>
      <w:r>
        <w:rPr>
          <w:rFonts w:hint="default"/>
          <w:color w:val="auto"/>
        </w:rPr>
        <w:t>.</w:t>
      </w:r>
      <w:r>
        <w:rPr>
          <w:color w:val="auto"/>
        </w:rPr>
        <w:t>工艺设计</w:t>
      </w:r>
    </w:p>
    <w:p w14:paraId="40343364">
      <w:pPr>
        <w:spacing w:line="500" w:lineRule="exact"/>
        <w:ind w:firstLine="560" w:firstLineChars="200"/>
        <w:rPr>
          <w:rFonts w:hint="eastAsia" w:eastAsia="仿宋"/>
          <w:color w:val="FF0000"/>
          <w:kern w:val="0"/>
          <w:sz w:val="28"/>
          <w:szCs w:val="28"/>
        </w:rPr>
      </w:pPr>
      <w:r>
        <w:rPr>
          <w:rFonts w:hint="eastAsia" w:eastAsia="仿宋"/>
          <w:color w:val="FF0000"/>
          <w:kern w:val="0"/>
          <w:sz w:val="28"/>
          <w:szCs w:val="28"/>
        </w:rPr>
        <w:t>新型吸附剂喷吸-过滤协同净化肥料生产废气和木材加工废气的工艺流程</w:t>
      </w:r>
      <w:r>
        <w:rPr>
          <w:rFonts w:hint="eastAsia" w:ascii="Times New Roman" w:hAnsi="Times New Roman" w:eastAsia="仿宋" w:cs="Times New Roman"/>
          <w:color w:val="FF0000"/>
          <w:kern w:val="0"/>
          <w:sz w:val="28"/>
          <w:szCs w:val="28"/>
          <w:lang w:val="en-US" w:eastAsia="zh-CN"/>
        </w:rPr>
        <w:t>的工艺参数是公司在自主研发和工程应用实践过程中确定的。</w:t>
      </w:r>
    </w:p>
    <w:p w14:paraId="7FE96E2E">
      <w:pPr>
        <w:spacing w:line="500" w:lineRule="exact"/>
        <w:ind w:firstLine="560" w:firstLineChars="200"/>
        <w:rPr>
          <w:rFonts w:hint="default" w:eastAsia="仿宋"/>
          <w:color w:val="FF0000"/>
          <w:kern w:val="0"/>
          <w:sz w:val="28"/>
          <w:szCs w:val="28"/>
          <w:lang w:val="en-US" w:eastAsia="zh-CN"/>
        </w:rPr>
      </w:pPr>
      <w:r>
        <w:rPr>
          <w:rFonts w:hint="eastAsia" w:eastAsia="仿宋"/>
          <w:color w:val="FF0000"/>
          <w:kern w:val="0"/>
          <w:sz w:val="28"/>
          <w:szCs w:val="28"/>
          <w:lang w:val="en-US" w:eastAsia="zh-CN"/>
        </w:rPr>
        <w:t>工程应用案例：</w:t>
      </w:r>
    </w:p>
    <w:p w14:paraId="2B3E7A32">
      <w:pPr>
        <w:pStyle w:val="4"/>
        <w:spacing w:line="500" w:lineRule="exact"/>
        <w:ind w:firstLine="560" w:firstLineChars="200"/>
        <w:rPr>
          <w:b w:val="0"/>
          <w:color w:val="FF0000"/>
          <w:kern w:val="2"/>
          <w:sz w:val="28"/>
          <w:szCs w:val="28"/>
        </w:rPr>
      </w:pPr>
      <w:r>
        <w:rPr>
          <w:b w:val="0"/>
          <w:color w:val="FF0000"/>
          <w:kern w:val="2"/>
          <w:sz w:val="28"/>
          <w:szCs w:val="28"/>
        </w:rPr>
        <w:t>某化肥有限公司化肥生产废气除尘项目采用“新型吸附剂喷吸-过滤协同净化气粒复合废气技术”，</w:t>
      </w:r>
      <w:r>
        <w:rPr>
          <w:rFonts w:hint="eastAsia" w:ascii="Times New Roman" w:hAnsi="Times New Roman" w:eastAsia="仿宋" w:cs="Times New Roman"/>
          <w:b w:val="0"/>
          <w:color w:val="FF0000"/>
          <w:kern w:val="2"/>
          <w:sz w:val="28"/>
          <w:szCs w:val="28"/>
          <w:lang w:val="en-US" w:eastAsia="zh-CN" w:bidi="ar"/>
        </w:rPr>
        <w:t>喷吸装置内的吸附剂采用甘蔗渣活性炭</w:t>
      </w:r>
      <w:r>
        <w:rPr>
          <w:rFonts w:hint="eastAsia" w:ascii="Times New Roman" w:hAnsi="Times New Roman" w:cs="Times New Roman"/>
          <w:b w:val="0"/>
          <w:color w:val="FF0000"/>
          <w:kern w:val="2"/>
          <w:sz w:val="28"/>
          <w:szCs w:val="28"/>
          <w:lang w:val="en-US" w:eastAsia="zh-CN" w:bidi="ar"/>
        </w:rPr>
        <w:t>，</w:t>
      </w:r>
      <w:r>
        <w:rPr>
          <w:rFonts w:hint="eastAsia" w:ascii="Times New Roman" w:hAnsi="Times New Roman" w:eastAsia="仿宋" w:cs="Times New Roman"/>
          <w:b w:val="0"/>
          <w:color w:val="FF0000"/>
          <w:kern w:val="2"/>
          <w:sz w:val="28"/>
          <w:szCs w:val="28"/>
          <w:lang w:val="en-US" w:eastAsia="zh-CN" w:bidi="ar"/>
        </w:rPr>
        <w:t>过滤单元选用袋式除尘器，</w:t>
      </w:r>
      <w:r>
        <w:rPr>
          <w:rFonts w:hint="eastAsia" w:ascii="Times New Roman" w:hAnsi="Times New Roman" w:cs="Times New Roman"/>
          <w:b w:val="0"/>
          <w:color w:val="FF0000"/>
          <w:kern w:val="2"/>
          <w:sz w:val="28"/>
          <w:szCs w:val="28"/>
          <w:lang w:val="en-US" w:eastAsia="zh-CN" w:bidi="ar"/>
        </w:rPr>
        <w:t>经处理后废气中的肥料粉尘回收率达到95%，</w:t>
      </w:r>
      <w:r>
        <w:rPr>
          <w:b w:val="0"/>
          <w:color w:val="FF0000"/>
          <w:kern w:val="2"/>
          <w:sz w:val="28"/>
          <w:szCs w:val="28"/>
        </w:rPr>
        <w:t>烟尘排放平均浓度18 mg/m</w:t>
      </w:r>
      <w:r>
        <w:rPr>
          <w:b w:val="0"/>
          <w:color w:val="FF0000"/>
          <w:kern w:val="2"/>
          <w:sz w:val="28"/>
          <w:szCs w:val="28"/>
          <w:vertAlign w:val="superscript"/>
        </w:rPr>
        <w:t>3</w:t>
      </w:r>
      <w:r>
        <w:rPr>
          <w:rFonts w:hint="eastAsia"/>
          <w:b w:val="0"/>
          <w:color w:val="FF0000"/>
          <w:kern w:val="2"/>
          <w:sz w:val="28"/>
          <w:szCs w:val="28"/>
          <w:vertAlign w:val="baseline"/>
          <w:lang w:eastAsia="zh-CN"/>
        </w:rPr>
        <w:t>（</w:t>
      </w:r>
      <w:r>
        <w:rPr>
          <w:rFonts w:hint="eastAsia"/>
          <w:b w:val="0"/>
          <w:color w:val="FF0000"/>
          <w:kern w:val="2"/>
          <w:sz w:val="28"/>
          <w:szCs w:val="28"/>
          <w:vertAlign w:val="baseline"/>
          <w:lang w:val="en-US" w:eastAsia="zh-CN"/>
        </w:rPr>
        <w:t xml:space="preserve">限值≤20 </w:t>
      </w:r>
      <w:r>
        <w:rPr>
          <w:b w:val="0"/>
          <w:color w:val="FF0000"/>
          <w:kern w:val="2"/>
          <w:sz w:val="28"/>
          <w:szCs w:val="28"/>
        </w:rPr>
        <w:t>mg/m</w:t>
      </w:r>
      <w:r>
        <w:rPr>
          <w:b w:val="0"/>
          <w:color w:val="FF0000"/>
          <w:kern w:val="2"/>
          <w:sz w:val="28"/>
          <w:szCs w:val="28"/>
          <w:vertAlign w:val="superscript"/>
        </w:rPr>
        <w:t>3</w:t>
      </w:r>
      <w:r>
        <w:rPr>
          <w:rFonts w:hint="eastAsia"/>
          <w:b w:val="0"/>
          <w:color w:val="FF0000"/>
          <w:kern w:val="2"/>
          <w:sz w:val="28"/>
          <w:szCs w:val="28"/>
          <w:vertAlign w:val="baseline"/>
          <w:lang w:eastAsia="zh-CN"/>
        </w:rPr>
        <w:t>）</w:t>
      </w:r>
      <w:r>
        <w:rPr>
          <w:b w:val="0"/>
          <w:color w:val="FF0000"/>
          <w:kern w:val="2"/>
          <w:sz w:val="28"/>
          <w:szCs w:val="28"/>
        </w:rPr>
        <w:t>，</w:t>
      </w:r>
      <w:r>
        <w:rPr>
          <w:rFonts w:hint="eastAsia"/>
          <w:b w:val="0"/>
          <w:color w:val="FF0000"/>
          <w:kern w:val="2"/>
          <w:sz w:val="28"/>
          <w:szCs w:val="28"/>
          <w:lang w:val="en-US" w:eastAsia="zh-CN"/>
        </w:rPr>
        <w:t>颗粒物排放浓度、颗粒物排放速率、二氧化硫实测浓度、二氧化硫排放速率等符合</w:t>
      </w:r>
      <w:r>
        <w:rPr>
          <w:rFonts w:hint="eastAsia"/>
          <w:b w:val="0"/>
          <w:color w:val="FF0000"/>
          <w:kern w:val="2"/>
          <w:sz w:val="28"/>
          <w:szCs w:val="28"/>
          <w:lang w:eastAsia="zh-CN"/>
        </w:rPr>
        <w:t>《</w:t>
      </w:r>
      <w:r>
        <w:rPr>
          <w:rFonts w:hint="eastAsia"/>
          <w:b w:val="0"/>
          <w:color w:val="FF0000"/>
          <w:kern w:val="2"/>
          <w:sz w:val="28"/>
          <w:szCs w:val="28"/>
          <w:lang w:val="en-US" w:eastAsia="zh-CN"/>
        </w:rPr>
        <w:t>大气污染物综合排放标准</w:t>
      </w:r>
      <w:r>
        <w:rPr>
          <w:rFonts w:hint="eastAsia"/>
          <w:b w:val="0"/>
          <w:color w:val="FF0000"/>
          <w:kern w:val="2"/>
          <w:sz w:val="28"/>
          <w:szCs w:val="28"/>
          <w:lang w:eastAsia="zh-CN"/>
        </w:rPr>
        <w:t>》（</w:t>
      </w:r>
      <w:r>
        <w:rPr>
          <w:rFonts w:hint="eastAsia"/>
          <w:b w:val="0"/>
          <w:color w:val="FF0000"/>
          <w:kern w:val="2"/>
          <w:sz w:val="28"/>
          <w:szCs w:val="28"/>
          <w:lang w:val="en-US" w:eastAsia="zh-CN"/>
        </w:rPr>
        <w:t>GB16297-1996</w:t>
      </w:r>
      <w:r>
        <w:rPr>
          <w:rFonts w:hint="eastAsia"/>
          <w:b w:val="0"/>
          <w:color w:val="FF0000"/>
          <w:kern w:val="2"/>
          <w:sz w:val="28"/>
          <w:szCs w:val="28"/>
          <w:lang w:eastAsia="zh-CN"/>
        </w:rPr>
        <w:t>）</w:t>
      </w:r>
      <w:r>
        <w:rPr>
          <w:rFonts w:hint="eastAsia"/>
          <w:b w:val="0"/>
          <w:color w:val="FF0000"/>
          <w:kern w:val="2"/>
          <w:sz w:val="28"/>
          <w:szCs w:val="28"/>
          <w:lang w:val="en-US" w:eastAsia="zh-CN"/>
        </w:rPr>
        <w:t>排放要求</w:t>
      </w:r>
      <w:r>
        <w:rPr>
          <w:b w:val="0"/>
          <w:color w:val="FF0000"/>
          <w:kern w:val="2"/>
          <w:sz w:val="28"/>
          <w:szCs w:val="28"/>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1371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op w:val="nil"/>
              <w:left w:val="nil"/>
              <w:bottom w:val="nil"/>
              <w:right w:val="nil"/>
            </w:tcBorders>
          </w:tcPr>
          <w:p w14:paraId="3AC7345F">
            <w:pPr>
              <w:pStyle w:val="4"/>
              <w:spacing w:line="500" w:lineRule="exact"/>
              <w:outlineLvl w:val="2"/>
              <w:rPr>
                <w:rFonts w:ascii="Calibri" w:hAnsi="Calibri"/>
                <w:b w:val="0"/>
                <w:color w:val="auto"/>
                <w:kern w:val="2"/>
                <w:sz w:val="28"/>
                <w:szCs w:val="28"/>
              </w:rPr>
            </w:pPr>
            <w:r>
              <w:rPr>
                <w:rFonts w:ascii="Calibri" w:hAnsi="Calibri"/>
                <w:color w:val="auto"/>
                <w:sz w:val="18"/>
                <w:szCs w:val="18"/>
              </w:rPr>
              <w:drawing>
                <wp:anchor distT="0" distB="0" distL="114300" distR="114300" simplePos="0" relativeHeight="251672576" behindDoc="0" locked="0" layoutInCell="1" allowOverlap="1">
                  <wp:simplePos x="0" y="0"/>
                  <wp:positionH relativeFrom="column">
                    <wp:posOffset>544195</wp:posOffset>
                  </wp:positionH>
                  <wp:positionV relativeFrom="paragraph">
                    <wp:posOffset>-13970</wp:posOffset>
                  </wp:positionV>
                  <wp:extent cx="4155440" cy="3114675"/>
                  <wp:effectExtent l="0" t="0" r="16510" b="9525"/>
                  <wp:wrapSquare wrapText="bothSides"/>
                  <wp:docPr id="8" name="图片 17" descr="史丹利化肥（贵港）有限公司生产线高塔车间投料区、皮带秤、BB肥提升机的除尘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7" descr="史丹利化肥（贵港）有限公司生产线高塔车间投料区、皮带秤、BB肥提升机的除尘系统"/>
                          <pic:cNvPicPr>
                            <a:picLocks noChangeAspect="1" noChangeArrowheads="1"/>
                          </pic:cNvPicPr>
                        </pic:nvPicPr>
                        <pic:blipFill>
                          <a:blip r:embed="rId9"/>
                          <a:srcRect/>
                          <a:stretch>
                            <a:fillRect/>
                          </a:stretch>
                        </pic:blipFill>
                        <pic:spPr>
                          <a:xfrm>
                            <a:off x="0" y="0"/>
                            <a:ext cx="4155440" cy="3114675"/>
                          </a:xfrm>
                          <a:prstGeom prst="rect">
                            <a:avLst/>
                          </a:prstGeom>
                          <a:noFill/>
                          <a:ln w="9525" cmpd="sng">
                            <a:noFill/>
                            <a:miter lim="800000"/>
                            <a:headEnd/>
                            <a:tailEnd/>
                          </a:ln>
                          <a:effectLst/>
                        </pic:spPr>
                      </pic:pic>
                    </a:graphicData>
                  </a:graphic>
                </wp:anchor>
              </w:drawing>
            </w:r>
          </w:p>
        </w:tc>
      </w:tr>
      <w:tr w14:paraId="36DE1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8" w:hRule="atLeast"/>
        </w:trPr>
        <w:tc>
          <w:tcPr>
            <w:tcW w:w="8522" w:type="dxa"/>
            <w:tcBorders>
              <w:top w:val="nil"/>
              <w:left w:val="nil"/>
              <w:bottom w:val="nil"/>
              <w:right w:val="nil"/>
            </w:tcBorders>
          </w:tcPr>
          <w:p w14:paraId="3288F6A0">
            <w:pPr>
              <w:pStyle w:val="4"/>
              <w:spacing w:line="500" w:lineRule="exact"/>
              <w:outlineLvl w:val="2"/>
              <w:rPr>
                <w:rFonts w:ascii="Calibri" w:hAnsi="Calibri"/>
                <w:b w:val="0"/>
                <w:color w:val="auto"/>
                <w:kern w:val="2"/>
                <w:sz w:val="28"/>
                <w:szCs w:val="28"/>
              </w:rPr>
            </w:pPr>
            <w:r>
              <w:rPr>
                <w:rFonts w:ascii="Calibri" w:hAnsi="Calibri"/>
                <w:color w:val="auto"/>
              </w:rPr>
              <w:drawing>
                <wp:anchor distT="0" distB="0" distL="114300" distR="114300" simplePos="0" relativeHeight="251673600" behindDoc="0" locked="0" layoutInCell="1" allowOverlap="1">
                  <wp:simplePos x="0" y="0"/>
                  <wp:positionH relativeFrom="column">
                    <wp:posOffset>-13970</wp:posOffset>
                  </wp:positionH>
                  <wp:positionV relativeFrom="paragraph">
                    <wp:posOffset>20955</wp:posOffset>
                  </wp:positionV>
                  <wp:extent cx="2637790" cy="3599815"/>
                  <wp:effectExtent l="0" t="0" r="10160" b="635"/>
                  <wp:wrapTopAndBottom/>
                  <wp:docPr id="9" name="图片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20"/>
                          <pic:cNvPicPr>
                            <a:picLocks noChangeAspect="1" noChangeArrowheads="1"/>
                          </pic:cNvPicPr>
                        </pic:nvPicPr>
                        <pic:blipFill>
                          <a:blip r:embed="rId10"/>
                          <a:srcRect/>
                          <a:stretch>
                            <a:fillRect/>
                          </a:stretch>
                        </pic:blipFill>
                        <pic:spPr>
                          <a:xfrm>
                            <a:off x="0" y="0"/>
                            <a:ext cx="2637790" cy="3599815"/>
                          </a:xfrm>
                          <a:prstGeom prst="rect">
                            <a:avLst/>
                          </a:prstGeom>
                          <a:noFill/>
                          <a:ln w="9525" cmpd="sng">
                            <a:noFill/>
                            <a:miter lim="800000"/>
                            <a:headEnd/>
                            <a:tailEnd/>
                          </a:ln>
                          <a:effectLst/>
                        </pic:spPr>
                      </pic:pic>
                    </a:graphicData>
                  </a:graphic>
                </wp:anchor>
              </w:drawing>
            </w:r>
            <w:r>
              <w:rPr>
                <w:rFonts w:ascii="Calibri" w:hAnsi="Calibri"/>
                <w:color w:val="auto"/>
              </w:rPr>
              <w:drawing>
                <wp:anchor distT="0" distB="0" distL="114300" distR="114300" simplePos="0" relativeHeight="251674624" behindDoc="0" locked="0" layoutInCell="1" allowOverlap="1">
                  <wp:simplePos x="0" y="0"/>
                  <wp:positionH relativeFrom="column">
                    <wp:posOffset>2632075</wp:posOffset>
                  </wp:positionH>
                  <wp:positionV relativeFrom="paragraph">
                    <wp:posOffset>23495</wp:posOffset>
                  </wp:positionV>
                  <wp:extent cx="2640330" cy="3599815"/>
                  <wp:effectExtent l="0" t="0" r="7620" b="635"/>
                  <wp:wrapTopAndBottom/>
                  <wp:docPr id="10" name="图片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21"/>
                          <pic:cNvPicPr>
                            <a:picLocks noChangeAspect="1" noChangeArrowheads="1"/>
                          </pic:cNvPicPr>
                        </pic:nvPicPr>
                        <pic:blipFill>
                          <a:blip r:embed="rId11"/>
                          <a:srcRect/>
                          <a:stretch>
                            <a:fillRect/>
                          </a:stretch>
                        </pic:blipFill>
                        <pic:spPr>
                          <a:xfrm>
                            <a:off x="0" y="0"/>
                            <a:ext cx="2640330" cy="3599815"/>
                          </a:xfrm>
                          <a:prstGeom prst="rect">
                            <a:avLst/>
                          </a:prstGeom>
                          <a:noFill/>
                          <a:ln w="9525" cmpd="sng">
                            <a:noFill/>
                            <a:miter lim="800000"/>
                            <a:headEnd/>
                            <a:tailEnd/>
                          </a:ln>
                          <a:effectLst/>
                        </pic:spPr>
                      </pic:pic>
                    </a:graphicData>
                  </a:graphic>
                </wp:anchor>
              </w:drawing>
            </w:r>
          </w:p>
        </w:tc>
      </w:tr>
      <w:tr w14:paraId="1292B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op w:val="nil"/>
              <w:left w:val="nil"/>
              <w:bottom w:val="nil"/>
              <w:right w:val="nil"/>
            </w:tcBorders>
          </w:tcPr>
          <w:p w14:paraId="1AE73155">
            <w:pPr>
              <w:pStyle w:val="4"/>
              <w:spacing w:line="500" w:lineRule="exact"/>
              <w:jc w:val="center"/>
              <w:outlineLvl w:val="2"/>
              <w:rPr>
                <w:rFonts w:hint="default" w:ascii="Calibri" w:hAnsi="Calibri"/>
                <w:b w:val="0"/>
                <w:color w:val="auto"/>
                <w:kern w:val="2"/>
                <w:sz w:val="28"/>
                <w:szCs w:val="28"/>
              </w:rPr>
            </w:pPr>
            <w:r>
              <w:rPr>
                <w:rFonts w:ascii="黑体" w:hAnsi="Calibri" w:eastAsia="黑体"/>
                <w:b w:val="0"/>
                <w:color w:val="auto"/>
                <w:kern w:val="2"/>
                <w:sz w:val="21"/>
                <w:szCs w:val="22"/>
              </w:rPr>
              <w:t>图</w:t>
            </w:r>
            <w:r>
              <w:rPr>
                <w:rFonts w:hint="eastAsia" w:ascii="黑体" w:hAnsi="Calibri" w:eastAsia="黑体"/>
                <w:b w:val="0"/>
                <w:color w:val="auto"/>
                <w:kern w:val="2"/>
                <w:sz w:val="21"/>
                <w:szCs w:val="22"/>
                <w:lang w:val="en-US" w:eastAsia="zh-CN"/>
              </w:rPr>
              <w:t>6</w:t>
            </w:r>
            <w:r>
              <w:rPr>
                <w:rFonts w:ascii="黑体" w:hAnsi="Calibri" w:eastAsia="黑体"/>
                <w:b w:val="0"/>
                <w:color w:val="auto"/>
                <w:kern w:val="2"/>
                <w:sz w:val="21"/>
                <w:szCs w:val="22"/>
              </w:rPr>
              <w:t xml:space="preserve"> 应用项目现场及检测报告</w:t>
            </w:r>
          </w:p>
        </w:tc>
      </w:tr>
    </w:tbl>
    <w:p w14:paraId="56EE3C08">
      <w:pPr>
        <w:pStyle w:val="4"/>
        <w:ind w:firstLine="482"/>
        <w:jc w:val="both"/>
        <w:rPr>
          <w:rFonts w:ascii="Times New Roman" w:hAnsi="Times New Roman" w:cs="Times New Roman"/>
          <w:b w:val="0"/>
          <w:color w:val="FF0000"/>
          <w:kern w:val="2"/>
          <w:sz w:val="28"/>
          <w:szCs w:val="28"/>
        </w:rPr>
      </w:pPr>
      <w:r>
        <w:rPr>
          <w:rFonts w:ascii="Times New Roman" w:hAnsi="Times New Roman" w:cs="Times New Roman"/>
          <w:b w:val="0"/>
          <w:color w:val="FF0000"/>
          <w:kern w:val="2"/>
          <w:sz w:val="28"/>
          <w:szCs w:val="28"/>
        </w:rPr>
        <w:t>某木业公司的10 t/h生物质锅炉烟气系统净化项目采用自主研发的“新型吸附剂喷吸-过滤协同净化气粒复合废气技术”进行治理，</w:t>
      </w:r>
      <w:r>
        <w:rPr>
          <w:rFonts w:hint="eastAsia" w:ascii="Times New Roman" w:hAnsi="Times New Roman" w:cs="Times New Roman"/>
          <w:b w:val="0"/>
          <w:color w:val="FF0000"/>
          <w:kern w:val="2"/>
          <w:sz w:val="28"/>
          <w:szCs w:val="28"/>
          <w:lang w:val="en-US" w:eastAsia="zh-CN"/>
        </w:rPr>
        <w:t>按照</w:t>
      </w:r>
      <w:r>
        <w:rPr>
          <w:rFonts w:hint="eastAsia" w:ascii="Times New Roman" w:hAnsi="Times New Roman" w:eastAsia="仿宋" w:cs="Times New Roman"/>
          <w:b w:val="0"/>
          <w:bCs w:val="0"/>
          <w:color w:val="FF0000"/>
          <w:kern w:val="2"/>
          <w:sz w:val="28"/>
          <w:szCs w:val="28"/>
          <w:lang w:val="en-US" w:eastAsia="zh-CN"/>
        </w:rPr>
        <w:t>“烟气预除尘-烟气火星捕捉、降温-阻燃添加剂包裹-</w:t>
      </w:r>
      <w:r>
        <w:rPr>
          <w:rFonts w:hint="eastAsia" w:ascii="Times New Roman" w:hAnsi="Times New Roman" w:cs="Times New Roman"/>
          <w:b w:val="0"/>
          <w:bCs w:val="0"/>
          <w:color w:val="FF0000"/>
          <w:kern w:val="2"/>
          <w:sz w:val="28"/>
          <w:szCs w:val="28"/>
          <w:lang w:val="en-US" w:eastAsia="zh-CN"/>
        </w:rPr>
        <w:t>喷吸除尘</w:t>
      </w:r>
      <w:r>
        <w:rPr>
          <w:rFonts w:hint="eastAsia" w:ascii="Times New Roman" w:hAnsi="Times New Roman" w:eastAsia="仿宋" w:cs="Times New Roman"/>
          <w:b w:val="0"/>
          <w:bCs w:val="0"/>
          <w:color w:val="FF0000"/>
          <w:kern w:val="2"/>
          <w:sz w:val="28"/>
          <w:szCs w:val="28"/>
          <w:lang w:val="en-US" w:eastAsia="zh-CN"/>
        </w:rPr>
        <w:t>-布袋高效处理-实现超低排放”</w:t>
      </w:r>
      <w:r>
        <w:rPr>
          <w:rFonts w:hint="eastAsia" w:ascii="Times New Roman" w:hAnsi="Times New Roman" w:cs="Times New Roman"/>
          <w:b w:val="0"/>
          <w:bCs w:val="0"/>
          <w:color w:val="FF0000"/>
          <w:kern w:val="2"/>
          <w:sz w:val="28"/>
          <w:szCs w:val="28"/>
          <w:lang w:val="en-US" w:eastAsia="zh-CN"/>
        </w:rPr>
        <w:t>的技术路线</w:t>
      </w:r>
      <w:r>
        <w:rPr>
          <w:rFonts w:hint="eastAsia" w:ascii="Times New Roman" w:hAnsi="Times New Roman" w:eastAsia="仿宋" w:cs="Times New Roman"/>
          <w:b w:val="0"/>
          <w:bCs w:val="0"/>
          <w:color w:val="FF0000"/>
          <w:kern w:val="2"/>
          <w:sz w:val="28"/>
          <w:szCs w:val="28"/>
          <w:lang w:val="en-US" w:eastAsia="zh-CN"/>
        </w:rPr>
        <w:t>，即</w:t>
      </w:r>
      <w:r>
        <w:rPr>
          <w:rFonts w:hint="eastAsia" w:ascii="Times New Roman" w:hAnsi="Times New Roman" w:eastAsia="仿宋" w:cs="Times New Roman"/>
          <w:b w:val="0"/>
          <w:strike w:val="0"/>
          <w:color w:val="FF0000"/>
          <w:kern w:val="2"/>
          <w:sz w:val="28"/>
          <w:szCs w:val="28"/>
          <w:lang w:eastAsia="zh-CN"/>
        </w:rPr>
        <w:t>生物质锅炉所排放的含尘高温烟气，通过旋风除尘器进行预除尘，</w:t>
      </w:r>
      <w:r>
        <w:rPr>
          <w:rFonts w:hint="eastAsia" w:ascii="Times New Roman" w:hAnsi="Times New Roman" w:eastAsia="仿宋" w:cs="Times New Roman"/>
          <w:b w:val="0"/>
          <w:color w:val="FF0000"/>
          <w:kern w:val="2"/>
          <w:sz w:val="28"/>
          <w:szCs w:val="28"/>
          <w:lang w:val="en-US" w:eastAsia="zh-CN"/>
        </w:rPr>
        <w:t>3μm以上</w:t>
      </w:r>
      <w:r>
        <w:rPr>
          <w:rFonts w:hint="eastAsia" w:ascii="Times New Roman" w:hAnsi="Times New Roman" w:eastAsia="仿宋" w:cs="Times New Roman"/>
          <w:b w:val="0"/>
          <w:i w:val="0"/>
          <w:caps w:val="0"/>
          <w:color w:val="FF0000"/>
          <w:spacing w:val="0"/>
          <w:kern w:val="2"/>
          <w:sz w:val="28"/>
          <w:szCs w:val="28"/>
          <w:shd w:val="clear"/>
          <w:lang w:val="en-US" w:eastAsia="zh-CN"/>
        </w:rPr>
        <w:t>粉尘</w:t>
      </w:r>
      <w:r>
        <w:rPr>
          <w:rFonts w:hint="eastAsia" w:ascii="Times New Roman" w:hAnsi="Times New Roman" w:eastAsia="仿宋" w:cs="Times New Roman"/>
          <w:b w:val="0"/>
          <w:strike w:val="0"/>
          <w:color w:val="FF0000"/>
          <w:kern w:val="2"/>
          <w:sz w:val="28"/>
          <w:szCs w:val="28"/>
          <w:lang w:eastAsia="zh-CN"/>
        </w:rPr>
        <w:t>大颗粒在旋转离心力的作用下，有效的预除尘后进入排灰口，</w:t>
      </w:r>
      <w:r>
        <w:rPr>
          <w:rFonts w:hint="eastAsia" w:ascii="Times New Roman" w:hAnsi="Times New Roman" w:eastAsia="仿宋" w:cs="Times New Roman"/>
          <w:b w:val="0"/>
          <w:i w:val="0"/>
          <w:caps w:val="0"/>
          <w:color w:val="FF0000"/>
          <w:spacing w:val="0"/>
          <w:kern w:val="2"/>
          <w:sz w:val="28"/>
          <w:szCs w:val="28"/>
          <w:shd w:val="clear"/>
          <w:lang w:val="en-US" w:eastAsia="zh-CN"/>
        </w:rPr>
        <w:t>颗粒除尘效率可达80</w:t>
      </w:r>
      <w:r>
        <w:rPr>
          <w:rFonts w:hint="eastAsia" w:ascii="Times New Roman" w:hAnsi="Times New Roman" w:eastAsia="仿宋" w:cs="Times New Roman"/>
          <w:b w:val="0"/>
          <w:bCs w:val="0"/>
          <w:color w:val="FF0000"/>
          <w:kern w:val="2"/>
          <w:sz w:val="28"/>
          <w:szCs w:val="28"/>
        </w:rPr>
        <w:t>～</w:t>
      </w:r>
      <w:r>
        <w:rPr>
          <w:rFonts w:hint="eastAsia" w:ascii="Times New Roman" w:hAnsi="Times New Roman" w:eastAsia="仿宋" w:cs="Times New Roman"/>
          <w:b w:val="0"/>
          <w:bCs w:val="0"/>
          <w:color w:val="FF0000"/>
          <w:kern w:val="2"/>
          <w:sz w:val="28"/>
          <w:szCs w:val="28"/>
          <w:lang w:val="en-US" w:eastAsia="zh-CN"/>
        </w:rPr>
        <w:t>85%</w:t>
      </w:r>
      <w:r>
        <w:rPr>
          <w:rFonts w:hint="eastAsia" w:ascii="Times New Roman" w:hAnsi="Times New Roman" w:eastAsia="仿宋" w:cs="Times New Roman"/>
          <w:b w:val="0"/>
          <w:strike w:val="0"/>
          <w:color w:val="FF0000"/>
          <w:kern w:val="2"/>
          <w:sz w:val="28"/>
          <w:szCs w:val="28"/>
          <w:lang w:eastAsia="zh-CN"/>
        </w:rPr>
        <w:t>；</w:t>
      </w:r>
      <w:r>
        <w:rPr>
          <w:rFonts w:hint="eastAsia" w:ascii="Times New Roman" w:hAnsi="Times New Roman" w:eastAsia="仿宋" w:cs="Times New Roman"/>
          <w:b w:val="0"/>
          <w:bCs w:val="0"/>
          <w:color w:val="FF0000"/>
          <w:kern w:val="2"/>
          <w:sz w:val="28"/>
          <w:szCs w:val="28"/>
          <w:lang w:val="en-US" w:eastAsia="zh-CN"/>
        </w:rPr>
        <w:t>烟气火星捕捉、降温（二级处理）</w:t>
      </w:r>
      <w:r>
        <w:rPr>
          <w:rFonts w:hint="eastAsia" w:ascii="Times New Roman" w:hAnsi="Times New Roman" w:eastAsia="仿宋" w:cs="Times New Roman"/>
          <w:b w:val="0"/>
          <w:strike w:val="0"/>
          <w:color w:val="FF0000"/>
          <w:kern w:val="2"/>
          <w:sz w:val="28"/>
          <w:szCs w:val="28"/>
          <w:lang w:eastAsia="zh-CN"/>
        </w:rPr>
        <w:t>，即含尘高温烟气通过火星捕捉器，对烟气进行火星捕捉</w:t>
      </w:r>
      <w:r>
        <w:rPr>
          <w:rFonts w:hint="eastAsia" w:ascii="Times New Roman" w:hAnsi="Times New Roman" w:eastAsia="仿宋" w:cs="Times New Roman"/>
          <w:b w:val="0"/>
          <w:strike w:val="0"/>
          <w:color w:val="FF0000"/>
          <w:kern w:val="2"/>
          <w:sz w:val="28"/>
          <w:szCs w:val="28"/>
          <w:lang w:val="en-US" w:eastAsia="zh-CN"/>
        </w:rPr>
        <w:t>熄灭，粉尘</w:t>
      </w:r>
      <w:r>
        <w:rPr>
          <w:rFonts w:hint="eastAsia" w:ascii="Times New Roman" w:hAnsi="Times New Roman" w:eastAsia="仿宋" w:cs="Times New Roman"/>
          <w:b w:val="0"/>
          <w:i w:val="0"/>
          <w:caps w:val="0"/>
          <w:color w:val="FF0000"/>
          <w:spacing w:val="0"/>
          <w:kern w:val="2"/>
          <w:sz w:val="28"/>
          <w:szCs w:val="28"/>
          <w:shd w:val="clear"/>
          <w:lang w:val="en-US" w:eastAsia="zh-CN"/>
        </w:rPr>
        <w:t>颗粒火星捕捉熄灭率为</w:t>
      </w:r>
      <w:r>
        <w:rPr>
          <w:rFonts w:hint="eastAsia" w:ascii="Times New Roman" w:hAnsi="Times New Roman" w:eastAsia="仿宋" w:cs="Times New Roman"/>
          <w:b w:val="0"/>
          <w:bCs w:val="0"/>
          <w:strike w:val="0"/>
          <w:color w:val="FF0000"/>
          <w:kern w:val="2"/>
          <w:sz w:val="28"/>
          <w:szCs w:val="28"/>
          <w:lang w:val="en-US" w:eastAsia="zh-CN"/>
        </w:rPr>
        <w:t>80</w:t>
      </w:r>
      <w:r>
        <w:rPr>
          <w:rFonts w:hint="eastAsia" w:ascii="Times New Roman" w:hAnsi="Times New Roman" w:eastAsia="仿宋" w:cs="Times New Roman"/>
          <w:b w:val="0"/>
          <w:bCs w:val="0"/>
          <w:color w:val="FF0000"/>
          <w:kern w:val="2"/>
          <w:sz w:val="28"/>
          <w:szCs w:val="28"/>
        </w:rPr>
        <w:t>～</w:t>
      </w:r>
      <w:r>
        <w:rPr>
          <w:rFonts w:hint="eastAsia" w:ascii="Times New Roman" w:hAnsi="Times New Roman" w:eastAsia="仿宋" w:cs="Times New Roman"/>
          <w:b w:val="0"/>
          <w:i w:val="0"/>
          <w:caps w:val="0"/>
          <w:color w:val="FF0000"/>
          <w:spacing w:val="0"/>
          <w:kern w:val="2"/>
          <w:sz w:val="28"/>
          <w:szCs w:val="28"/>
          <w:shd w:val="clear"/>
          <w:lang w:val="en-US" w:eastAsia="zh-CN"/>
        </w:rPr>
        <w:t>90%</w:t>
      </w:r>
      <w:r>
        <w:rPr>
          <w:rFonts w:hint="eastAsia" w:ascii="Times New Roman" w:hAnsi="Times New Roman" w:eastAsia="仿宋" w:cs="Times New Roman"/>
          <w:b w:val="0"/>
          <w:strike w:val="0"/>
          <w:color w:val="FF0000"/>
          <w:kern w:val="2"/>
          <w:sz w:val="28"/>
          <w:szCs w:val="28"/>
          <w:lang w:eastAsia="zh-CN"/>
        </w:rPr>
        <w:t>，降温处理（实现烟气温稳定在</w:t>
      </w:r>
      <w:r>
        <w:rPr>
          <w:rFonts w:hint="eastAsia" w:ascii="Times New Roman" w:hAnsi="Times New Roman" w:eastAsia="仿宋" w:cs="Times New Roman"/>
          <w:b w:val="0"/>
          <w:strike w:val="0"/>
          <w:color w:val="FF0000"/>
          <w:kern w:val="2"/>
          <w:sz w:val="28"/>
          <w:szCs w:val="28"/>
          <w:lang w:val="en-US" w:eastAsia="zh-CN"/>
        </w:rPr>
        <w:t>100</w:t>
      </w:r>
      <w:r>
        <w:rPr>
          <w:rFonts w:hint="eastAsia" w:ascii="Times New Roman" w:hAnsi="Times New Roman" w:eastAsia="仿宋" w:cs="Times New Roman"/>
          <w:b w:val="0"/>
          <w:bCs w:val="0"/>
          <w:color w:val="FF0000"/>
          <w:kern w:val="2"/>
          <w:sz w:val="28"/>
          <w:szCs w:val="28"/>
        </w:rPr>
        <w:t>～</w:t>
      </w:r>
      <w:r>
        <w:rPr>
          <w:rFonts w:hint="eastAsia" w:ascii="Times New Roman" w:hAnsi="Times New Roman" w:eastAsia="仿宋" w:cs="Times New Roman"/>
          <w:b w:val="0"/>
          <w:bCs w:val="0"/>
          <w:color w:val="FF0000"/>
          <w:kern w:val="2"/>
          <w:sz w:val="28"/>
          <w:szCs w:val="28"/>
          <w:lang w:val="en-US" w:eastAsia="zh-CN"/>
        </w:rPr>
        <w:t>150</w:t>
      </w:r>
      <w:r>
        <w:rPr>
          <w:rFonts w:hint="eastAsia" w:ascii="Times New Roman" w:hAnsi="Times New Roman" w:eastAsia="仿宋" w:cs="Times New Roman"/>
          <w:b w:val="0"/>
          <w:bCs w:val="0"/>
          <w:color w:val="FF0000"/>
          <w:kern w:val="2"/>
          <w:sz w:val="28"/>
          <w:szCs w:val="28"/>
        </w:rPr>
        <w:t>℃</w:t>
      </w:r>
      <w:r>
        <w:rPr>
          <w:rFonts w:hint="eastAsia" w:ascii="Times New Roman" w:hAnsi="Times New Roman" w:eastAsia="仿宋" w:cs="Times New Roman"/>
          <w:b w:val="0"/>
          <w:strike w:val="0"/>
          <w:color w:val="FF0000"/>
          <w:kern w:val="2"/>
          <w:sz w:val="28"/>
          <w:szCs w:val="28"/>
          <w:lang w:eastAsia="zh-CN"/>
        </w:rPr>
        <w:t>），实现熄灭火星及保持烟气温度稳定；</w:t>
      </w:r>
      <w:r>
        <w:rPr>
          <w:rFonts w:hint="eastAsia" w:ascii="Times New Roman" w:hAnsi="Times New Roman" w:eastAsia="仿宋" w:cs="Times New Roman"/>
          <w:b w:val="0"/>
          <w:bCs w:val="0"/>
          <w:color w:val="FF0000"/>
          <w:kern w:val="2"/>
          <w:sz w:val="28"/>
          <w:szCs w:val="28"/>
          <w:lang w:val="en-US" w:eastAsia="zh-CN"/>
        </w:rPr>
        <w:t>阻燃添加剂包裹（三级处理），即</w:t>
      </w:r>
      <w:r>
        <w:rPr>
          <w:rFonts w:hint="eastAsia" w:ascii="Times New Roman" w:hAnsi="Times New Roman" w:eastAsia="仿宋" w:cs="Times New Roman"/>
          <w:b w:val="0"/>
          <w:strike w:val="0"/>
          <w:color w:val="FF0000"/>
          <w:kern w:val="2"/>
          <w:sz w:val="28"/>
          <w:szCs w:val="28"/>
          <w:lang w:eastAsia="zh-CN"/>
        </w:rPr>
        <w:t>含尘烟气经过火星捕捉器后，则通过阻燃喷粉装置，阻燃添加剂在与含尘气体充分接触后，小颗粒的粉尘被其充分包裹，可形成一层阻燃保护层，</w:t>
      </w:r>
      <w:r>
        <w:rPr>
          <w:rFonts w:hint="eastAsia" w:ascii="Times New Roman" w:hAnsi="Times New Roman" w:eastAsia="仿宋" w:cs="Times New Roman"/>
          <w:b w:val="0"/>
          <w:color w:val="FF0000"/>
          <w:kern w:val="2"/>
          <w:sz w:val="28"/>
          <w:szCs w:val="28"/>
          <w:lang w:val="en-US" w:eastAsia="zh-CN"/>
        </w:rPr>
        <w:t>细</w:t>
      </w:r>
      <w:r>
        <w:rPr>
          <w:rFonts w:hint="eastAsia" w:ascii="Times New Roman" w:hAnsi="Times New Roman" w:eastAsia="仿宋" w:cs="Times New Roman"/>
          <w:b w:val="0"/>
          <w:i w:val="0"/>
          <w:caps w:val="0"/>
          <w:color w:val="FF0000"/>
          <w:spacing w:val="0"/>
          <w:kern w:val="2"/>
          <w:sz w:val="28"/>
          <w:szCs w:val="28"/>
          <w:shd w:val="clear"/>
          <w:lang w:val="en-US" w:eastAsia="zh-CN"/>
        </w:rPr>
        <w:t>颗粒火星熄灭率为99%。</w:t>
      </w:r>
      <w:r>
        <w:rPr>
          <w:rFonts w:hint="eastAsia" w:ascii="Times New Roman" w:hAnsi="Times New Roman" w:cs="Times New Roman"/>
          <w:b w:val="0"/>
          <w:i w:val="0"/>
          <w:caps w:val="0"/>
          <w:color w:val="FF0000"/>
          <w:spacing w:val="0"/>
          <w:kern w:val="2"/>
          <w:sz w:val="28"/>
          <w:szCs w:val="28"/>
          <w:shd w:val="clear"/>
          <w:lang w:val="en-US" w:eastAsia="zh-CN"/>
        </w:rPr>
        <w:t>再进入到喷吸装置，进一步进行除尘，然</w:t>
      </w:r>
      <w:r>
        <w:rPr>
          <w:rFonts w:hint="eastAsia" w:ascii="Times New Roman" w:hAnsi="Times New Roman" w:eastAsia="仿宋" w:cs="Times New Roman"/>
          <w:b w:val="0"/>
          <w:i w:val="0"/>
          <w:caps w:val="0"/>
          <w:color w:val="FF0000"/>
          <w:spacing w:val="0"/>
          <w:kern w:val="2"/>
          <w:sz w:val="28"/>
          <w:szCs w:val="28"/>
          <w:shd w:val="clear"/>
          <w:lang w:val="en-US" w:eastAsia="zh-CN"/>
        </w:rPr>
        <w:t>后进入</w:t>
      </w:r>
      <w:r>
        <w:rPr>
          <w:rFonts w:hint="eastAsia" w:ascii="Times New Roman" w:hAnsi="Times New Roman" w:eastAsia="仿宋" w:cs="Times New Roman"/>
          <w:b w:val="0"/>
          <w:bCs w:val="0"/>
          <w:color w:val="FF0000"/>
          <w:kern w:val="2"/>
          <w:sz w:val="28"/>
          <w:szCs w:val="28"/>
          <w:lang w:val="en-US" w:eastAsia="zh-CN"/>
        </w:rPr>
        <w:t>布袋高效处理，</w:t>
      </w:r>
      <w:r>
        <w:rPr>
          <w:rFonts w:hint="eastAsia" w:ascii="Times New Roman" w:hAnsi="Times New Roman" w:eastAsia="仿宋" w:cs="Times New Roman"/>
          <w:b w:val="0"/>
          <w:strike w:val="0"/>
          <w:color w:val="FF0000"/>
          <w:kern w:val="2"/>
          <w:sz w:val="28"/>
          <w:szCs w:val="28"/>
          <w:lang w:eastAsia="zh-CN"/>
        </w:rPr>
        <w:t>布袋可实现高效运行工作的最佳工况，除尘器效率可达到</w:t>
      </w:r>
      <w:r>
        <w:rPr>
          <w:rFonts w:hint="eastAsia" w:ascii="Times New Roman" w:hAnsi="Times New Roman" w:eastAsia="仿宋" w:cs="Times New Roman"/>
          <w:b w:val="0"/>
          <w:strike w:val="0"/>
          <w:color w:val="FF0000"/>
          <w:kern w:val="2"/>
          <w:sz w:val="28"/>
          <w:szCs w:val="28"/>
          <w:lang w:val="en-US" w:eastAsia="zh-CN"/>
        </w:rPr>
        <w:t>99.99%，</w:t>
      </w:r>
      <w:r>
        <w:rPr>
          <w:rFonts w:hint="eastAsia" w:ascii="Times New Roman" w:hAnsi="Times New Roman" w:eastAsia="仿宋" w:cs="Times New Roman"/>
          <w:b w:val="0"/>
          <w:strike w:val="0"/>
          <w:color w:val="FF0000"/>
          <w:kern w:val="2"/>
          <w:sz w:val="28"/>
          <w:szCs w:val="28"/>
          <w:lang w:eastAsia="zh-CN"/>
        </w:rPr>
        <w:t>最终实现烟气治理超低值（</w:t>
      </w:r>
      <w:r>
        <w:rPr>
          <w:rFonts w:hint="eastAsia" w:ascii="Times New Roman" w:hAnsi="Times New Roman" w:eastAsia="仿宋" w:cs="Times New Roman"/>
          <w:b w:val="0"/>
          <w:bCs w:val="0"/>
          <w:color w:val="FF0000"/>
          <w:kern w:val="2"/>
          <w:sz w:val="28"/>
          <w:szCs w:val="28"/>
          <w:vertAlign w:val="baseline"/>
          <w:lang w:val="en-US" w:eastAsia="zh-CN"/>
        </w:rPr>
        <w:t>颗粒物浓度</w:t>
      </w:r>
      <w:r>
        <w:rPr>
          <w:rFonts w:hint="eastAsia" w:ascii="Times New Roman" w:hAnsi="Times New Roman" w:eastAsia="仿宋" w:cs="Times New Roman"/>
          <w:b w:val="0"/>
          <w:strike w:val="0"/>
          <w:color w:val="FF0000"/>
          <w:kern w:val="2"/>
          <w:sz w:val="28"/>
          <w:szCs w:val="28"/>
          <w:lang w:eastAsia="zh-CN"/>
        </w:rPr>
        <w:t>≤</w:t>
      </w:r>
      <w:r>
        <w:rPr>
          <w:rFonts w:hint="eastAsia" w:ascii="Times New Roman" w:hAnsi="Times New Roman" w:eastAsia="仿宋" w:cs="Times New Roman"/>
          <w:b w:val="0"/>
          <w:strike w:val="0"/>
          <w:color w:val="FF0000"/>
          <w:kern w:val="2"/>
          <w:sz w:val="28"/>
          <w:szCs w:val="28"/>
          <w:lang w:val="en-US" w:eastAsia="zh-CN"/>
        </w:rPr>
        <w:t>10</w:t>
      </w:r>
      <w:r>
        <w:rPr>
          <w:rFonts w:hint="eastAsia" w:ascii="Times New Roman" w:hAnsi="Times New Roman" w:eastAsia="仿宋" w:cs="Times New Roman"/>
          <w:b w:val="0"/>
          <w:bCs w:val="0"/>
          <w:color w:val="FF0000"/>
          <w:kern w:val="2"/>
          <w:sz w:val="28"/>
          <w:szCs w:val="28"/>
          <w:vertAlign w:val="baseline"/>
          <w:lang w:val="en-US" w:eastAsia="zh-CN"/>
        </w:rPr>
        <w:t>mg/m3</w:t>
      </w:r>
      <w:r>
        <w:rPr>
          <w:rFonts w:hint="eastAsia" w:ascii="Times New Roman" w:hAnsi="Times New Roman" w:eastAsia="仿宋" w:cs="Times New Roman"/>
          <w:b w:val="0"/>
          <w:strike w:val="0"/>
          <w:color w:val="FF0000"/>
          <w:kern w:val="2"/>
          <w:sz w:val="28"/>
          <w:szCs w:val="28"/>
          <w:lang w:eastAsia="zh-CN"/>
        </w:rPr>
        <w:t>、</w:t>
      </w:r>
      <w:r>
        <w:rPr>
          <w:rFonts w:hint="eastAsia" w:ascii="Times New Roman" w:hAnsi="Times New Roman" w:eastAsia="仿宋" w:cs="Times New Roman"/>
          <w:b w:val="0"/>
          <w:color w:val="FF0000"/>
          <w:kern w:val="2"/>
          <w:sz w:val="28"/>
          <w:szCs w:val="28"/>
          <w:lang w:val="en-US" w:eastAsia="zh-CN"/>
        </w:rPr>
        <w:t>格林曼黑度＜1</w:t>
      </w:r>
      <w:r>
        <w:rPr>
          <w:rFonts w:hint="eastAsia" w:ascii="Times New Roman" w:hAnsi="Times New Roman" w:eastAsia="仿宋" w:cs="Times New Roman"/>
          <w:b w:val="0"/>
          <w:bCs w:val="0"/>
          <w:color w:val="FF0000"/>
          <w:kern w:val="2"/>
          <w:sz w:val="28"/>
          <w:szCs w:val="28"/>
          <w:vertAlign w:val="baseline"/>
          <w:lang w:val="en-US" w:eastAsia="zh-CN"/>
        </w:rPr>
        <w:t>）</w:t>
      </w:r>
      <w:r>
        <w:rPr>
          <w:rFonts w:ascii="Times New Roman" w:hAnsi="Times New Roman" w:cs="Times New Roman"/>
          <w:b w:val="0"/>
          <w:color w:val="FF0000"/>
          <w:kern w:val="2"/>
          <w:sz w:val="28"/>
          <w:szCs w:val="28"/>
        </w:rPr>
        <w:t>达标排放。</w:t>
      </w:r>
    </w:p>
    <w:p w14:paraId="6C91B6C5">
      <w:pPr>
        <w:rPr>
          <w:rFonts w:hint="eastAsia"/>
        </w:r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2804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7" w:hRule="atLeast"/>
        </w:trPr>
        <w:tc>
          <w:tcPr>
            <w:tcW w:w="8522" w:type="dxa"/>
            <w:tcBorders>
              <w:top w:val="nil"/>
              <w:left w:val="nil"/>
              <w:bottom w:val="nil"/>
            </w:tcBorders>
            <w:vAlign w:val="center"/>
          </w:tcPr>
          <w:p w14:paraId="6865C319">
            <w:pPr>
              <w:jc w:val="center"/>
              <w:rPr>
                <w:rFonts w:hint="eastAsia" w:ascii="Calibri" w:hAnsi="Calibri" w:eastAsia="仿宋"/>
                <w:color w:val="FF0000"/>
                <w:sz w:val="28"/>
                <w:szCs w:val="28"/>
              </w:rPr>
            </w:pPr>
            <w:r>
              <w:rPr>
                <w:rFonts w:ascii="Calibri" w:hAnsi="Calibri"/>
                <w:color w:val="FF0000"/>
              </w:rPr>
              <w:drawing>
                <wp:anchor distT="0" distB="0" distL="114300" distR="114300" simplePos="0" relativeHeight="251675648" behindDoc="0" locked="0" layoutInCell="1" allowOverlap="1">
                  <wp:simplePos x="0" y="0"/>
                  <wp:positionH relativeFrom="column">
                    <wp:posOffset>1506220</wp:posOffset>
                  </wp:positionH>
                  <wp:positionV relativeFrom="paragraph">
                    <wp:posOffset>-964565</wp:posOffset>
                  </wp:positionV>
                  <wp:extent cx="2621280" cy="3599815"/>
                  <wp:effectExtent l="0" t="0" r="7620" b="635"/>
                  <wp:wrapTopAndBottom/>
                  <wp:docPr id="20" name="图片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22"/>
                          <pic:cNvPicPr>
                            <a:picLocks noChangeAspect="1" noChangeArrowheads="1"/>
                          </pic:cNvPicPr>
                        </pic:nvPicPr>
                        <pic:blipFill>
                          <a:blip r:embed="rId13"/>
                          <a:srcRect/>
                          <a:stretch>
                            <a:fillRect/>
                          </a:stretch>
                        </pic:blipFill>
                        <pic:spPr>
                          <a:xfrm>
                            <a:off x="0" y="0"/>
                            <a:ext cx="2621280" cy="3599815"/>
                          </a:xfrm>
                          <a:prstGeom prst="rect">
                            <a:avLst/>
                          </a:prstGeom>
                          <a:noFill/>
                          <a:ln w="9525" cmpd="sng">
                            <a:noFill/>
                            <a:miter lim="800000"/>
                            <a:headEnd/>
                            <a:tailEnd/>
                          </a:ln>
                          <a:effectLst/>
                        </pic:spPr>
                      </pic:pic>
                    </a:graphicData>
                  </a:graphic>
                </wp:anchor>
              </w:drawing>
            </w:r>
            <w:r>
              <w:rPr>
                <w:rFonts w:hint="eastAsia" w:ascii="Calibri" w:hAnsi="Calibri" w:eastAsia="仿宋"/>
                <w:color w:val="FF0000"/>
                <w:sz w:val="28"/>
                <w:szCs w:val="28"/>
              </w:rPr>
              <w:drawing>
                <wp:inline distT="0" distB="0" distL="0" distR="0">
                  <wp:extent cx="3362325" cy="2524125"/>
                  <wp:effectExtent l="0" t="0" r="9525" b="9525"/>
                  <wp:docPr id="16" name="图片 31" descr="贵港市君道木业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1" descr="贵港市君道木业有限公司"/>
                          <pic:cNvPicPr>
                            <a:picLocks noChangeAspect="1" noChangeArrowheads="1"/>
                          </pic:cNvPicPr>
                        </pic:nvPicPr>
                        <pic:blipFill>
                          <a:blip r:embed="rId12" cstate="print"/>
                          <a:srcRect/>
                          <a:stretch>
                            <a:fillRect/>
                          </a:stretch>
                        </pic:blipFill>
                        <pic:spPr>
                          <a:xfrm>
                            <a:off x="0" y="0"/>
                            <a:ext cx="3362325" cy="2524125"/>
                          </a:xfrm>
                          <a:prstGeom prst="rect">
                            <a:avLst/>
                          </a:prstGeom>
                          <a:noFill/>
                          <a:ln w="9525" cmpd="sng">
                            <a:noFill/>
                            <a:miter lim="800000"/>
                            <a:headEnd/>
                            <a:tailEnd/>
                          </a:ln>
                        </pic:spPr>
                      </pic:pic>
                    </a:graphicData>
                  </a:graphic>
                </wp:inline>
              </w:drawing>
            </w:r>
          </w:p>
        </w:tc>
      </w:tr>
      <w:tr w14:paraId="3FC43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vAlign w:val="center"/>
          </w:tcPr>
          <w:p w14:paraId="4BB01EB9">
            <w:pPr>
              <w:pStyle w:val="4"/>
              <w:ind w:firstLine="2730" w:firstLineChars="1300"/>
              <w:outlineLvl w:val="2"/>
              <w:rPr>
                <w:rFonts w:ascii="Calibri" w:hAnsi="Calibri" w:eastAsia="宋体"/>
                <w:bCs/>
                <w:color w:val="FF0000"/>
                <w:sz w:val="21"/>
                <w:szCs w:val="21"/>
              </w:rPr>
            </w:pPr>
            <w:r>
              <w:rPr>
                <w:rFonts w:ascii="黑体" w:hAnsi="Calibri" w:eastAsia="黑体"/>
                <w:b w:val="0"/>
                <w:color w:val="FF0000"/>
                <w:kern w:val="2"/>
                <w:sz w:val="21"/>
                <w:szCs w:val="22"/>
              </w:rPr>
              <w:t>图</w:t>
            </w:r>
            <w:r>
              <w:rPr>
                <w:rFonts w:hint="eastAsia" w:ascii="黑体" w:hAnsi="Calibri" w:eastAsia="黑体"/>
                <w:b w:val="0"/>
                <w:color w:val="FF0000"/>
                <w:kern w:val="2"/>
                <w:sz w:val="21"/>
                <w:szCs w:val="22"/>
                <w:lang w:val="en-US" w:eastAsia="zh-CN"/>
              </w:rPr>
              <w:t>7</w:t>
            </w:r>
            <w:r>
              <w:rPr>
                <w:rFonts w:ascii="黑体" w:hAnsi="Calibri" w:eastAsia="黑体"/>
                <w:b w:val="0"/>
                <w:color w:val="FF0000"/>
                <w:kern w:val="2"/>
                <w:sz w:val="21"/>
                <w:szCs w:val="22"/>
              </w:rPr>
              <w:t xml:space="preserve"> 应用项目现场及检测报告</w:t>
            </w:r>
          </w:p>
        </w:tc>
      </w:tr>
    </w:tbl>
    <w:p w14:paraId="325A5E03">
      <w:pPr>
        <w:spacing w:line="500" w:lineRule="exact"/>
        <w:ind w:firstLine="560" w:firstLineChars="200"/>
        <w:rPr>
          <w:rFonts w:hint="eastAsia" w:ascii="Times New Roman" w:hAnsi="Times New Roman" w:eastAsia="仿宋" w:cs="Times New Roman"/>
          <w:b w:val="0"/>
          <w:bCs w:val="0"/>
          <w:color w:val="FF0000"/>
          <w:kern w:val="0"/>
          <w:sz w:val="28"/>
          <w:szCs w:val="28"/>
          <w:lang w:val="en-US" w:eastAsia="zh-CN"/>
        </w:rPr>
      </w:pPr>
      <w:r>
        <w:rPr>
          <w:rFonts w:hint="eastAsia" w:ascii="Times New Roman" w:hAnsi="Times New Roman" w:eastAsia="仿宋" w:cs="Times New Roman"/>
          <w:b w:val="0"/>
          <w:color w:val="FF0000"/>
          <w:kern w:val="0"/>
          <w:sz w:val="28"/>
          <w:szCs w:val="28"/>
          <w:lang w:val="en-US" w:eastAsia="zh-CN"/>
        </w:rPr>
        <w:t>项目采用的</w:t>
      </w:r>
      <w:r>
        <w:rPr>
          <w:rFonts w:hint="eastAsia" w:ascii="Times New Roman" w:hAnsi="Times New Roman" w:eastAsia="仿宋" w:cs="Times New Roman"/>
          <w:b w:val="0"/>
          <w:bCs w:val="0"/>
          <w:color w:val="FF0000"/>
          <w:kern w:val="0"/>
          <w:sz w:val="28"/>
          <w:szCs w:val="28"/>
          <w:lang w:val="en-US" w:eastAsia="zh-CN"/>
        </w:rPr>
        <w:t>火星捕捉装置是广西科穗环境科技有限公司自主研发的专利技术产品（一种阻火星装置 ZL 202020431131.6），火星捕捉器安装在旋风除尘器出口的管道上，内部由多根管束制作而成，以冷却水为冷却介质通过管束进行热交换，通过自动调节冷却水流量控制烟气温度在100~150℃；同时内部管束设计成“品”字型排布，烟气以18-22m/s的风速撞击在冷却管束时，烟气中颗粒火星撞击后因损失能力直接熄灭或被破坏分解成若干细小颗粒火星（由阻燃添加剂熄灭）。</w:t>
      </w:r>
    </w:p>
    <w:p w14:paraId="020616EB">
      <w:pPr>
        <w:spacing w:line="500" w:lineRule="exact"/>
        <w:ind w:firstLine="560" w:firstLineChars="200"/>
        <w:rPr>
          <w:rFonts w:hint="eastAsia" w:ascii="Times New Roman" w:hAnsi="Times New Roman" w:eastAsia="仿宋" w:cs="Times New Roman"/>
          <w:color w:val="FF0000"/>
          <w:kern w:val="0"/>
          <w:sz w:val="28"/>
          <w:szCs w:val="28"/>
          <w:lang w:val="en-US" w:eastAsia="zh-CN"/>
        </w:rPr>
      </w:pPr>
      <w:r>
        <w:rPr>
          <w:rFonts w:hint="eastAsia" w:ascii="Times New Roman" w:hAnsi="Times New Roman" w:eastAsia="仿宋" w:cs="Times New Roman"/>
          <w:color w:val="FF0000"/>
          <w:kern w:val="0"/>
          <w:sz w:val="28"/>
          <w:szCs w:val="28"/>
          <w:lang w:val="en-US" w:eastAsia="zh-CN"/>
        </w:rPr>
        <w:t>该设备的工作过程（原理）为：生物质锅炉排放的烟气（带火星、高温）进入设备进风口1，此时风管上的温度监控装置进行自动测温，烟气进入火星捕捉器后，与管束3外壁碰撞、接触，当烟气温度出现波动时，冷却水泵则自动调节流量，保持烟气温度稳定在100～150℃；同时带有火星的烟气颗粒在经过管束3撞击破坏、熄灭火星。</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8522"/>
      </w:tblGrid>
      <w:tr w14:paraId="23647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7D35BF23">
            <w:pPr>
              <w:pStyle w:val="17"/>
              <w:rPr>
                <w:rFonts w:hint="eastAsia"/>
                <w:color w:val="FF0000"/>
                <w:vertAlign w:val="baseline"/>
                <w:lang w:val="en-US" w:eastAsia="zh-CN"/>
              </w:rPr>
            </w:pPr>
            <w:r>
              <w:rPr>
                <w:rFonts w:hint="default" w:ascii="Times New Roman" w:hAnsi="Times New Roman" w:eastAsia="仿宋" w:cs="Times New Roman"/>
                <w:b w:val="0"/>
                <w:bCs w:val="0"/>
                <w:strike w:val="0"/>
                <w:color w:val="FF0000"/>
                <w:sz w:val="24"/>
                <w:szCs w:val="24"/>
                <w:lang w:val="en-US" w:eastAsia="zh-CN"/>
              </w:rPr>
              <w:drawing>
                <wp:anchor distT="0" distB="0" distL="114300" distR="114300" simplePos="0" relativeHeight="251676672" behindDoc="0" locked="0" layoutInCell="1" allowOverlap="1">
                  <wp:simplePos x="0" y="0"/>
                  <wp:positionH relativeFrom="column">
                    <wp:posOffset>1052830</wp:posOffset>
                  </wp:positionH>
                  <wp:positionV relativeFrom="paragraph">
                    <wp:posOffset>-2489200</wp:posOffset>
                  </wp:positionV>
                  <wp:extent cx="3056890" cy="2639695"/>
                  <wp:effectExtent l="0" t="0" r="10160" b="8255"/>
                  <wp:wrapTopAndBottom/>
                  <wp:docPr id="26" name="图片 26" descr="bed0cddb597bae54e7303151a305c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ed0cddb597bae54e7303151a305cbb"/>
                          <pic:cNvPicPr>
                            <a:picLocks noChangeAspect="1"/>
                          </pic:cNvPicPr>
                        </pic:nvPicPr>
                        <pic:blipFill>
                          <a:blip r:embed="rId14"/>
                          <a:stretch>
                            <a:fillRect/>
                          </a:stretch>
                        </pic:blipFill>
                        <pic:spPr>
                          <a:xfrm>
                            <a:off x="0" y="0"/>
                            <a:ext cx="3056890" cy="2639695"/>
                          </a:xfrm>
                          <a:prstGeom prst="rect">
                            <a:avLst/>
                          </a:prstGeom>
                        </pic:spPr>
                      </pic:pic>
                    </a:graphicData>
                  </a:graphic>
                </wp:anchor>
              </w:drawing>
            </w:r>
          </w:p>
        </w:tc>
      </w:tr>
      <w:tr w14:paraId="3425F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10884BAE">
            <w:pPr>
              <w:pStyle w:val="17"/>
              <w:ind w:left="0" w:firstLine="0" w:firstLineChars="0"/>
              <w:jc w:val="center"/>
              <w:rPr>
                <w:rFonts w:hint="eastAsia"/>
                <w:vertAlign w:val="baseline"/>
                <w:lang w:val="en-US" w:eastAsia="zh-CN"/>
              </w:rPr>
            </w:pPr>
            <w:r>
              <w:rPr>
                <w:rFonts w:hint="default"/>
                <w:lang w:val="en-US" w:eastAsia="zh-CN"/>
              </w:rPr>
              <w:t>1.进风口   2.出风口   3.捕火星管束   4.冷却水进水   5.冷却水出水</w:t>
            </w:r>
          </w:p>
        </w:tc>
      </w:tr>
      <w:tr w14:paraId="5EB02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8522" w:type="dxa"/>
          </w:tcPr>
          <w:p w14:paraId="38EB00AA">
            <w:pPr>
              <w:pStyle w:val="4"/>
              <w:ind w:firstLine="2730" w:firstLineChars="1300"/>
              <w:outlineLvl w:val="2"/>
              <w:rPr>
                <w:rFonts w:hint="default"/>
                <w:lang w:val="en-US" w:eastAsia="zh-CN"/>
              </w:rPr>
            </w:pPr>
            <w:r>
              <w:rPr>
                <w:rFonts w:hint="eastAsia" w:ascii="黑体" w:hAnsi="Calibri" w:eastAsia="黑体" w:cs="Times New Roman"/>
                <w:b w:val="0"/>
                <w:bCs w:val="0"/>
                <w:strike w:val="0"/>
                <w:color w:val="FF0000"/>
                <w:kern w:val="2"/>
                <w:sz w:val="21"/>
                <w:szCs w:val="22"/>
                <w:shd w:val="clear"/>
                <w:lang w:val="en-US" w:eastAsia="zh-CN"/>
              </w:rPr>
              <w:t>图8 火星捕捉器结构示意图</w:t>
            </w:r>
          </w:p>
        </w:tc>
      </w:tr>
    </w:tbl>
    <w:p w14:paraId="5DF31BBC">
      <w:pPr>
        <w:pStyle w:val="17"/>
        <w:rPr>
          <w:rFonts w:hint="eastAsia"/>
          <w:lang w:val="en-US" w:eastAsia="zh-CN"/>
        </w:rPr>
      </w:pPr>
    </w:p>
    <w:p w14:paraId="6FA3C857">
      <w:pPr>
        <w:spacing w:line="500" w:lineRule="exact"/>
        <w:ind w:firstLine="560" w:firstLineChars="200"/>
        <w:rPr>
          <w:rFonts w:hint="eastAsia" w:ascii="Times New Roman" w:hAnsi="Times New Roman" w:eastAsia="仿宋" w:cs="Times New Roman"/>
          <w:b w:val="0"/>
          <w:color w:val="FF0000"/>
          <w:kern w:val="0"/>
          <w:sz w:val="28"/>
          <w:szCs w:val="28"/>
        </w:rPr>
      </w:pPr>
      <w:r>
        <w:rPr>
          <w:rFonts w:hint="eastAsia" w:ascii="Times New Roman" w:hAnsi="Times New Roman" w:eastAsia="仿宋" w:cs="Times New Roman"/>
          <w:b w:val="0"/>
          <w:color w:val="FF0000"/>
          <w:kern w:val="0"/>
          <w:sz w:val="28"/>
          <w:szCs w:val="28"/>
          <w:lang w:val="en-US" w:eastAsia="zh-CN"/>
        </w:rPr>
        <w:t>设备管理采用</w:t>
      </w:r>
      <w:r>
        <w:rPr>
          <w:rFonts w:hint="eastAsia" w:ascii="Times New Roman" w:hAnsi="Times New Roman" w:eastAsia="仿宋" w:cs="Times New Roman"/>
          <w:b w:val="0"/>
          <w:color w:val="FF0000"/>
          <w:kern w:val="0"/>
          <w:sz w:val="28"/>
          <w:szCs w:val="28"/>
        </w:rPr>
        <w:t>智能控制系统</w:t>
      </w:r>
      <w:r>
        <w:rPr>
          <w:rFonts w:hint="eastAsia" w:ascii="Times New Roman" w:hAnsi="Times New Roman" w:eastAsia="仿宋" w:cs="Times New Roman"/>
          <w:b w:val="0"/>
          <w:color w:val="FF0000"/>
          <w:kern w:val="0"/>
          <w:sz w:val="28"/>
          <w:szCs w:val="28"/>
          <w:lang w:eastAsia="zh-CN"/>
        </w:rPr>
        <w:t>：</w:t>
      </w:r>
    </w:p>
    <w:p w14:paraId="1F8567B4">
      <w:pPr>
        <w:spacing w:line="500" w:lineRule="exact"/>
        <w:ind w:firstLine="560" w:firstLineChars="200"/>
        <w:rPr>
          <w:rFonts w:hint="eastAsia" w:eastAsia="仿宋"/>
          <w:color w:val="FF0000"/>
          <w:sz w:val="28"/>
          <w:szCs w:val="28"/>
        </w:rPr>
      </w:pPr>
      <w:r>
        <w:rPr>
          <w:rFonts w:hint="eastAsia" w:eastAsia="仿宋"/>
          <w:color w:val="FF0000"/>
          <w:sz w:val="28"/>
          <w:szCs w:val="28"/>
        </w:rPr>
        <w:t>创新研发科穗云系统，在区内率先将无线网络技术用在除尘设备中，智能监控除尘设施运行情况。该项技术实现除尘设备可视化智能监控以及远程管理，可及时诊断、提前维护和排除故障，有效防止掉袋而产生“冒黑烟”现象，确保企业稳定超低运行，挽回因故障维修、停产等成本损失。</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2DED5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2ECAAE4E">
            <w:pPr>
              <w:spacing w:line="360" w:lineRule="auto"/>
              <w:rPr>
                <w:rFonts w:ascii="Times New Roman" w:hAnsi="Times New Roman" w:eastAsia="仿宋"/>
                <w:color w:val="FF0000"/>
                <w:sz w:val="28"/>
                <w:szCs w:val="28"/>
              </w:rPr>
            </w:pPr>
            <w:r>
              <w:rPr>
                <w:rFonts w:ascii="Times New Roman" w:hAnsi="Times New Roman" w:eastAsia="仿宋"/>
                <w:color w:val="FF0000"/>
              </w:rPr>
              <w:drawing>
                <wp:inline distT="0" distB="0" distL="0" distR="0">
                  <wp:extent cx="4743450" cy="3190875"/>
                  <wp:effectExtent l="0" t="0" r="0" b="9525"/>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noChangeArrowheads="1"/>
                          </pic:cNvPicPr>
                        </pic:nvPicPr>
                        <pic:blipFill>
                          <a:blip r:embed="rId8"/>
                          <a:srcRect/>
                          <a:stretch>
                            <a:fillRect/>
                          </a:stretch>
                        </pic:blipFill>
                        <pic:spPr>
                          <a:xfrm>
                            <a:off x="0" y="0"/>
                            <a:ext cx="4743450" cy="3190875"/>
                          </a:xfrm>
                          <a:prstGeom prst="rect">
                            <a:avLst/>
                          </a:prstGeom>
                          <a:noFill/>
                          <a:ln w="9525" cmpd="sng">
                            <a:noFill/>
                            <a:miter lim="800000"/>
                            <a:headEnd/>
                            <a:tailEnd/>
                          </a:ln>
                        </pic:spPr>
                      </pic:pic>
                    </a:graphicData>
                  </a:graphic>
                </wp:inline>
              </w:drawing>
            </w:r>
          </w:p>
        </w:tc>
      </w:tr>
      <w:tr w14:paraId="1DA44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77DADD7D">
            <w:pPr>
              <w:spacing w:line="500" w:lineRule="exact"/>
              <w:jc w:val="center"/>
              <w:rPr>
                <w:rFonts w:ascii="Times New Roman" w:hAnsi="Times New Roman" w:eastAsia="仿宋"/>
                <w:color w:val="FF0000"/>
                <w:sz w:val="28"/>
                <w:szCs w:val="28"/>
              </w:rPr>
            </w:pPr>
            <w:r>
              <w:rPr>
                <w:rFonts w:hint="eastAsia" w:ascii="黑体" w:hAnsi="Times New Roman" w:eastAsia="黑体"/>
                <w:color w:val="FF0000"/>
              </w:rPr>
              <w:t>图</w:t>
            </w:r>
            <w:r>
              <w:rPr>
                <w:rFonts w:hint="eastAsia" w:ascii="黑体" w:hAnsi="Times New Roman" w:eastAsia="黑体"/>
                <w:color w:val="FF0000"/>
                <w:lang w:val="en-US" w:eastAsia="zh-CN"/>
              </w:rPr>
              <w:t>9</w:t>
            </w:r>
            <w:r>
              <w:rPr>
                <w:rFonts w:hint="eastAsia" w:ascii="黑体" w:hAnsi="Times New Roman" w:eastAsia="黑体"/>
                <w:color w:val="FF0000"/>
              </w:rPr>
              <w:t xml:space="preserve"> 智能化管理流程图</w:t>
            </w:r>
          </w:p>
        </w:tc>
      </w:tr>
    </w:tbl>
    <w:p w14:paraId="4261408B">
      <w:pPr>
        <w:widowControl w:val="0"/>
        <w:spacing w:beforeAutospacing="0" w:afterAutospacing="0" w:line="600" w:lineRule="exact"/>
        <w:jc w:val="left"/>
        <w:outlineLvl w:val="2"/>
        <w:rPr>
          <w:rFonts w:hint="default" w:ascii="Times New Roman" w:hAnsi="Times New Roman" w:eastAsia="仿宋" w:cs="Times New Roman"/>
          <w:b/>
          <w:color w:val="FF0000"/>
          <w:kern w:val="0"/>
          <w:sz w:val="32"/>
          <w:szCs w:val="27"/>
          <w:lang w:val="en-US" w:eastAsia="zh-CN" w:bidi="ar-SA"/>
        </w:rPr>
      </w:pPr>
      <w:r>
        <w:rPr>
          <w:rFonts w:hint="eastAsia" w:ascii="Times New Roman" w:hAnsi="Times New Roman" w:eastAsia="仿宋" w:cs="Times New Roman"/>
          <w:color w:val="FF0000"/>
          <w:kern w:val="0"/>
          <w:sz w:val="28"/>
          <w:szCs w:val="28"/>
          <w:lang w:val="en-US" w:eastAsia="zh-CN" w:bidi="ar-SA"/>
        </w:rPr>
        <w:t>结合工程项目应用情况，确定各流程工艺参数。</w:t>
      </w:r>
    </w:p>
    <w:p w14:paraId="1E8C31A0">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（1）工艺流程</w:t>
      </w:r>
    </w:p>
    <w:p w14:paraId="45E3DE45">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新型吸附剂喷吸-过滤协同净化肥料生产废气和木材加工废气的工艺流程见图</w:t>
      </w:r>
      <w:r>
        <w:rPr>
          <w:rFonts w:hint="eastAsia" w:eastAsia="仿宋"/>
          <w:color w:val="auto"/>
          <w:kern w:val="0"/>
          <w:sz w:val="28"/>
          <w:szCs w:val="28"/>
          <w:lang w:val="en-US" w:eastAsia="zh-CN"/>
        </w:rPr>
        <w:t>10</w:t>
      </w:r>
      <w:r>
        <w:rPr>
          <w:rFonts w:hint="eastAsia" w:eastAsia="仿宋"/>
          <w:color w:val="auto"/>
          <w:kern w:val="0"/>
          <w:sz w:val="28"/>
          <w:szCs w:val="28"/>
        </w:rPr>
        <w:t>和图</w:t>
      </w:r>
      <w:r>
        <w:rPr>
          <w:rFonts w:hint="eastAsia" w:eastAsia="仿宋"/>
          <w:color w:val="auto"/>
          <w:kern w:val="0"/>
          <w:sz w:val="28"/>
          <w:szCs w:val="28"/>
          <w:lang w:val="en-US" w:eastAsia="zh-CN"/>
        </w:rPr>
        <w:t>11</w:t>
      </w:r>
      <w:r>
        <w:rPr>
          <w:rFonts w:hint="eastAsia" w:eastAsia="仿宋"/>
          <w:color w:val="auto"/>
          <w:kern w:val="0"/>
          <w:sz w:val="28"/>
          <w:szCs w:val="28"/>
        </w:rPr>
        <w:t>，</w:t>
      </w:r>
      <w:r>
        <w:rPr>
          <w:rFonts w:hint="eastAsia" w:eastAsia="仿宋"/>
          <w:color w:val="auto"/>
          <w:sz w:val="28"/>
          <w:szCs w:val="28"/>
        </w:rPr>
        <w:t>采用“预处理单元+新型吸附剂喷吸-过滤单元”处理。</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80"/>
      </w:tblGrid>
      <w:tr w14:paraId="21616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3" w:hRule="atLeast"/>
        </w:trPr>
        <w:tc>
          <w:tcPr>
            <w:tcW w:w="8380" w:type="dxa"/>
            <w:tcBorders>
              <w:top w:val="nil"/>
              <w:left w:val="nil"/>
              <w:bottom w:val="nil"/>
              <w:right w:val="nil"/>
            </w:tcBorders>
          </w:tcPr>
          <w:p w14:paraId="76FA6F64">
            <w:pPr>
              <w:spacing w:line="500" w:lineRule="exact"/>
              <w:rPr>
                <w:rFonts w:ascii="Times New Roman" w:hAnsi="Calibri"/>
                <w:color w:val="auto"/>
              </w:rPr>
            </w:pPr>
            <w:r>
              <w:rPr>
                <w:rFonts w:ascii="Times New Roman" w:hAnsi="Calibri"/>
                <w:color w:val="auto"/>
              </w:rPr>
              <w:drawing>
                <wp:anchor distT="0" distB="0" distL="114300" distR="114300" simplePos="0" relativeHeight="251670528" behindDoc="0" locked="0" layoutInCell="1" allowOverlap="1">
                  <wp:simplePos x="0" y="0"/>
                  <wp:positionH relativeFrom="column">
                    <wp:posOffset>0</wp:posOffset>
                  </wp:positionH>
                  <wp:positionV relativeFrom="paragraph">
                    <wp:posOffset>-1212850</wp:posOffset>
                  </wp:positionV>
                  <wp:extent cx="5017135" cy="1406525"/>
                  <wp:effectExtent l="0" t="0" r="12065" b="3175"/>
                  <wp:wrapSquare wrapText="bothSides"/>
                  <wp:docPr id="22" name="图片 22" descr="h工艺流程图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工艺流程图0515"/>
                          <pic:cNvPicPr>
                            <a:picLocks noChangeAspect="1"/>
                          </pic:cNvPicPr>
                        </pic:nvPicPr>
                        <pic:blipFill>
                          <a:blip r:embed="rId6"/>
                          <a:stretch>
                            <a:fillRect/>
                          </a:stretch>
                        </pic:blipFill>
                        <pic:spPr>
                          <a:xfrm>
                            <a:off x="0" y="0"/>
                            <a:ext cx="5017135" cy="1406525"/>
                          </a:xfrm>
                          <a:prstGeom prst="rect">
                            <a:avLst/>
                          </a:prstGeom>
                        </pic:spPr>
                      </pic:pic>
                    </a:graphicData>
                  </a:graphic>
                </wp:anchor>
              </w:drawing>
            </w:r>
          </w:p>
        </w:tc>
      </w:tr>
      <w:tr w14:paraId="501ED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8380" w:type="dxa"/>
            <w:tcBorders>
              <w:top w:val="nil"/>
              <w:left w:val="nil"/>
              <w:bottom w:val="nil"/>
              <w:right w:val="nil"/>
            </w:tcBorders>
          </w:tcPr>
          <w:p w14:paraId="3CD89693">
            <w:pPr>
              <w:spacing w:line="500" w:lineRule="exact"/>
              <w:jc w:val="center"/>
              <w:rPr>
                <w:rFonts w:ascii="Times New Roman" w:hAnsi="Calibri"/>
                <w:color w:val="auto"/>
              </w:rPr>
            </w:pPr>
            <w:r>
              <w:rPr>
                <w:rFonts w:hint="eastAsia" w:ascii="黑体" w:hAnsi="Calibri" w:eastAsia="黑体"/>
                <w:color w:val="auto"/>
              </w:rPr>
              <w:t>图</w:t>
            </w:r>
            <w:r>
              <w:rPr>
                <w:rFonts w:hint="eastAsia" w:ascii="黑体" w:hAnsi="Calibri" w:eastAsia="黑体"/>
                <w:color w:val="auto"/>
                <w:lang w:val="en-US" w:eastAsia="zh-CN"/>
              </w:rPr>
              <w:t>10</w:t>
            </w:r>
            <w:r>
              <w:rPr>
                <w:rFonts w:hint="eastAsia" w:ascii="黑体" w:hAnsi="Calibri" w:eastAsia="黑体"/>
                <w:color w:val="auto"/>
              </w:rPr>
              <w:t xml:space="preserve"> 新型吸附剂喷吸-过滤协同净化肥料生产废气工艺流程图</w:t>
            </w:r>
          </w:p>
        </w:tc>
      </w:tr>
      <w:tr w14:paraId="3216D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2" w:hRule="atLeast"/>
        </w:trPr>
        <w:tc>
          <w:tcPr>
            <w:tcW w:w="8380" w:type="dxa"/>
            <w:tcBorders>
              <w:top w:val="nil"/>
              <w:left w:val="nil"/>
              <w:bottom w:val="nil"/>
              <w:right w:val="nil"/>
            </w:tcBorders>
          </w:tcPr>
          <w:p w14:paraId="70E525DE">
            <w:pPr>
              <w:spacing w:line="500" w:lineRule="exact"/>
              <w:rPr>
                <w:rFonts w:hint="eastAsia" w:ascii="Times New Roman" w:hAnsi="Times New Roman"/>
                <w:b/>
                <w:bCs/>
                <w:color w:val="auto"/>
                <w:szCs w:val="21"/>
              </w:rPr>
            </w:pPr>
            <w:r>
              <w:rPr>
                <w:rFonts w:hint="eastAsia" w:ascii="Times New Roman" w:hAnsi="Times New Roman"/>
                <w:b/>
                <w:bCs/>
                <w:color w:val="auto"/>
                <w:szCs w:val="21"/>
              </w:rPr>
              <w:drawing>
                <wp:anchor distT="0" distB="0" distL="114300" distR="114300" simplePos="0" relativeHeight="251667456" behindDoc="0" locked="0" layoutInCell="1" allowOverlap="1">
                  <wp:simplePos x="0" y="0"/>
                  <wp:positionH relativeFrom="column">
                    <wp:posOffset>6350</wp:posOffset>
                  </wp:positionH>
                  <wp:positionV relativeFrom="paragraph">
                    <wp:posOffset>-1209040</wp:posOffset>
                  </wp:positionV>
                  <wp:extent cx="5171440" cy="1463040"/>
                  <wp:effectExtent l="19050" t="0" r="0" b="0"/>
                  <wp:wrapTopAndBottom/>
                  <wp:docPr id="17" name="图片 1324" descr="m-工艺流程图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24" descr="m-工艺流程图0116"/>
                          <pic:cNvPicPr>
                            <a:picLocks noChangeAspect="1" noChangeArrowheads="1"/>
                          </pic:cNvPicPr>
                        </pic:nvPicPr>
                        <pic:blipFill>
                          <a:blip r:embed="rId7" cstate="print"/>
                          <a:srcRect/>
                          <a:stretch>
                            <a:fillRect/>
                          </a:stretch>
                        </pic:blipFill>
                        <pic:spPr>
                          <a:xfrm>
                            <a:off x="0" y="0"/>
                            <a:ext cx="5171440" cy="1463040"/>
                          </a:xfrm>
                          <a:prstGeom prst="rect">
                            <a:avLst/>
                          </a:prstGeom>
                          <a:noFill/>
                          <a:ln w="9525" cmpd="sng">
                            <a:noFill/>
                            <a:miter lim="800000"/>
                            <a:headEnd/>
                            <a:tailEnd/>
                          </a:ln>
                        </pic:spPr>
                      </pic:pic>
                    </a:graphicData>
                  </a:graphic>
                </wp:anchor>
              </w:drawing>
            </w:r>
          </w:p>
        </w:tc>
      </w:tr>
      <w:tr w14:paraId="320C1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8380" w:type="dxa"/>
            <w:tcBorders>
              <w:top w:val="nil"/>
              <w:left w:val="nil"/>
              <w:bottom w:val="nil"/>
              <w:right w:val="nil"/>
            </w:tcBorders>
          </w:tcPr>
          <w:p w14:paraId="26D4F266">
            <w:pPr>
              <w:spacing w:line="500" w:lineRule="exact"/>
              <w:jc w:val="center"/>
              <w:rPr>
                <w:rFonts w:hint="eastAsia" w:ascii="Times New Roman" w:hAnsi="Times New Roman"/>
                <w:b/>
                <w:bCs/>
                <w:color w:val="auto"/>
                <w:szCs w:val="21"/>
              </w:rPr>
            </w:pPr>
            <w:r>
              <w:rPr>
                <w:rFonts w:hint="eastAsia" w:ascii="黑体" w:hAnsi="Calibri" w:eastAsia="黑体"/>
                <w:color w:val="auto"/>
              </w:rPr>
              <w:t>图</w:t>
            </w:r>
            <w:r>
              <w:rPr>
                <w:rFonts w:hint="eastAsia" w:ascii="黑体" w:hAnsi="Calibri" w:eastAsia="黑体"/>
                <w:color w:val="auto"/>
                <w:lang w:val="en-US" w:eastAsia="zh-CN"/>
              </w:rPr>
              <w:t>11</w:t>
            </w:r>
            <w:r>
              <w:rPr>
                <w:rFonts w:hint="eastAsia" w:ascii="黑体" w:hAnsi="Calibri" w:eastAsia="黑体"/>
                <w:color w:val="auto"/>
              </w:rPr>
              <w:t xml:space="preserve"> 新型吸附剂喷吸-过滤协同净化木材加工废气工艺流程图</w:t>
            </w:r>
          </w:p>
        </w:tc>
      </w:tr>
    </w:tbl>
    <w:p w14:paraId="4DE26A9B">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（2）集气（尘）罩</w:t>
      </w:r>
    </w:p>
    <w:p w14:paraId="7F1A0FE6">
      <w:pPr>
        <w:spacing w:beforeLines="50" w:afterLines="50" w:line="500" w:lineRule="exact"/>
        <w:ind w:firstLine="560" w:firstLineChars="200"/>
        <w:rPr>
          <w:color w:val="auto"/>
        </w:rPr>
      </w:pPr>
      <w:r>
        <w:rPr>
          <w:rFonts w:hint="eastAsia" w:eastAsia="仿宋"/>
          <w:color w:val="auto"/>
          <w:kern w:val="0"/>
          <w:sz w:val="28"/>
          <w:szCs w:val="28"/>
        </w:rPr>
        <w:t>集气（尘）罩主要作用是</w:t>
      </w:r>
      <w:r>
        <w:rPr>
          <w:rStyle w:val="21"/>
          <w:rFonts w:hint="eastAsia" w:eastAsia="仿宋"/>
          <w:b w:val="0"/>
          <w:bCs w:val="0"/>
          <w:color w:val="auto"/>
          <w:kern w:val="0"/>
          <w:sz w:val="28"/>
          <w:szCs w:val="28"/>
        </w:rPr>
        <w:t>高效捕获生产过程中产生的污染物，防止其扩散为无组织排放，并将含污气流输送至后续处理系统。</w:t>
      </w:r>
      <w:r>
        <w:rPr>
          <w:rFonts w:hint="eastAsia" w:eastAsia="仿宋"/>
          <w:color w:val="auto"/>
          <w:kern w:val="0"/>
          <w:sz w:val="28"/>
          <w:szCs w:val="28"/>
        </w:rPr>
        <w:t>集气（尘）罩的设计应该要符合《大气污染治理工程技术导则》（HJ 2000）、《袋式除尘工程通用技术规范》（HJ 2020）和《吸附法工业有机废气治理工程技术规范》（HJ 2026 ）的相关规定，同时也需要与生产工艺协调一致，不影响生产操作。</w:t>
      </w:r>
    </w:p>
    <w:p w14:paraId="34FD8CD8">
      <w:pPr>
        <w:ind w:firstLine="560" w:firstLineChars="200"/>
        <w:rPr>
          <w:rFonts w:hint="eastAsia" w:eastAsia="仿宋"/>
          <w:color w:val="auto"/>
          <w:kern w:val="0"/>
          <w:sz w:val="28"/>
          <w:szCs w:val="28"/>
        </w:rPr>
      </w:pPr>
      <w:r>
        <w:rPr>
          <w:rFonts w:hint="eastAsia" w:eastAsia="仿宋"/>
          <w:color w:val="auto"/>
          <w:kern w:val="0"/>
          <w:sz w:val="28"/>
          <w:szCs w:val="28"/>
        </w:rPr>
        <w:t>（3）预处理</w:t>
      </w:r>
    </w:p>
    <w:p w14:paraId="67869766">
      <w:pPr>
        <w:spacing w:line="500" w:lineRule="exact"/>
        <w:ind w:firstLine="560" w:firstLineChars="200"/>
        <w:rPr>
          <w:rFonts w:hint="eastAsia" w:eastAsia="仿宋"/>
          <w:color w:val="auto"/>
          <w:sz w:val="28"/>
          <w:szCs w:val="28"/>
        </w:rPr>
      </w:pPr>
      <w:r>
        <w:rPr>
          <w:rFonts w:hint="eastAsia" w:eastAsia="仿宋"/>
          <w:color w:val="auto"/>
          <w:sz w:val="28"/>
          <w:szCs w:val="28"/>
        </w:rPr>
        <w:t>预处理主要目的是去除废气中15μm以上大颗粒粉尘，同时熄灭火星和降温。根据净化的废气特点设置，净化肥料生产废气一般设置旋风除尘器，净化木材加工废气一般设置旋风除尘器+火星捕捉器+阻燃装置。</w:t>
      </w:r>
    </w:p>
    <w:p w14:paraId="3BFAA411">
      <w:pPr>
        <w:pStyle w:val="16"/>
        <w:autoSpaceDE w:val="0"/>
        <w:autoSpaceDN w:val="0"/>
        <w:spacing w:line="500" w:lineRule="exact"/>
        <w:ind w:firstLine="560" w:firstLineChars="200"/>
        <w:jc w:val="both"/>
        <w:rPr>
          <w:rFonts w:hint="eastAsia" w:ascii="Times New Roman" w:hAnsi="Times New Roman" w:eastAsia="仿宋"/>
          <w:color w:val="auto"/>
          <w:kern w:val="2"/>
          <w:sz w:val="28"/>
          <w:szCs w:val="28"/>
        </w:rPr>
      </w:pPr>
      <w:r>
        <w:rPr>
          <w:rFonts w:hint="eastAsia" w:ascii="Times New Roman" w:hAnsi="Times New Roman" w:eastAsia="仿宋"/>
          <w:color w:val="auto"/>
          <w:kern w:val="2"/>
          <w:sz w:val="28"/>
          <w:szCs w:val="28"/>
        </w:rPr>
        <w:t>旋风除尘器是利用离心力进行气固分离的经典设备，对于去除大颗粒粉尘具有独特优势，其核心就像一个“气体离心机”。规定了预处理阶段宜选用高效旋风除尘器对废气进行预除尘，规定了旋风除尘器对废气中的颗粒除尘效率应</w:t>
      </w:r>
      <w:r>
        <w:rPr>
          <w:rFonts w:hint="eastAsia" w:ascii="Times New Roman" w:hAnsi="Times New Roman" w:eastAsia="仿宋"/>
          <w:color w:val="auto"/>
          <w:kern w:val="2"/>
          <w:sz w:val="28"/>
          <w:szCs w:val="28"/>
          <w:lang w:eastAsia="zh-CN"/>
        </w:rPr>
        <w:t>达到</w:t>
      </w:r>
      <w:r>
        <w:rPr>
          <w:rFonts w:hint="eastAsia" w:ascii="Times New Roman" w:hAnsi="Times New Roman" w:eastAsia="仿宋"/>
          <w:color w:val="auto"/>
          <w:kern w:val="2"/>
          <w:sz w:val="28"/>
          <w:szCs w:val="28"/>
        </w:rPr>
        <w:t>75%及以上，减轻后面处理单元压力，规定了选用旋风除尘器应符合《HJ/T 286  环境保护产品技术要求  工业锅炉多管旋风除尘器》（HJ/T 286）规定的技术要求，并根据需处理的废气风量、入口浓度、除尘效率及允许阻力等选用合适型号的。</w:t>
      </w:r>
    </w:p>
    <w:p w14:paraId="31D34089">
      <w:pPr>
        <w:pStyle w:val="16"/>
        <w:autoSpaceDE w:val="0"/>
        <w:autoSpaceDN w:val="0"/>
        <w:spacing w:before="0" w:after="0" w:line="500" w:lineRule="exact"/>
        <w:ind w:firstLine="560" w:firstLineChars="200"/>
        <w:rPr>
          <w:rFonts w:hint="eastAsia" w:ascii="Times New Roman" w:hAnsi="Times New Roman" w:eastAsia="仿宋"/>
          <w:color w:val="auto"/>
          <w:sz w:val="28"/>
          <w:szCs w:val="28"/>
        </w:rPr>
      </w:pPr>
      <w:r>
        <w:rPr>
          <w:rFonts w:hint="eastAsia" w:ascii="Times New Roman" w:hAnsi="Times New Roman" w:eastAsia="仿宋"/>
          <w:color w:val="auto"/>
          <w:sz w:val="28"/>
          <w:szCs w:val="28"/>
        </w:rPr>
        <w:t>木材加工废气经旋风除尘器预处理后还应采用火星捕捉器对废气中的火星进行捕捉熄灭，同时通过火星捕捉器内管束的冷却水降低废气温度，然后经过阻燃装置，阻燃添加剂与含尘气体充分接触，将小颗粒粉尘充分包裹，形成一层阻燃保护层，使火星熄灭率达到99%，有效防止火星复燃烧袋。还规定了进入火星捕捉器的废气流速宜控制在（18 ~22）m/s，火星捕捉器对废气中火星熄灭率应达80%及以上，降温处理应实现废气温度在（100~150）℃。对选用的火星捕捉器、阻燃添加剂和喷射量进行了规定，火星捕捉器宜选用多孔板或滤网式火星捕捉器，并根据废气流量、颗粒物粒径分布、火星和废气初始温度、废气成分、火星熄灭率和降温要求等选择合适型号；阻燃添加剂宜选用具有吸水性强、团聚包裹性强的碳酸氢钙粉末或磷酸二氢铵粉末，喷射量应按照《抑制爆炸系统》（GB/T 25445）相关规定确定。</w:t>
      </w:r>
    </w:p>
    <w:p w14:paraId="5C929765">
      <w:pPr>
        <w:pStyle w:val="16"/>
        <w:autoSpaceDE w:val="0"/>
        <w:autoSpaceDN w:val="0"/>
        <w:spacing w:before="0" w:beforeAutospacing="0" w:after="0" w:afterAutospacing="0" w:line="500" w:lineRule="exact"/>
        <w:ind w:firstLine="560" w:firstLineChars="200"/>
        <w:rPr>
          <w:rFonts w:hint="eastAsia" w:ascii="Times New Roman" w:hAnsi="Times New Roman" w:eastAsia="仿宋"/>
          <w:color w:val="auto"/>
          <w:sz w:val="28"/>
          <w:szCs w:val="28"/>
          <w:highlight w:val="none"/>
        </w:rPr>
      </w:pPr>
      <w:r>
        <w:rPr>
          <w:rFonts w:hint="eastAsia" w:ascii="Times New Roman" w:hAnsi="Times New Roman" w:eastAsia="仿宋"/>
          <w:color w:val="auto"/>
          <w:sz w:val="28"/>
          <w:szCs w:val="28"/>
          <w:highlight w:val="none"/>
        </w:rPr>
        <w:t>废气经预处理后，进入喷吸装置的废气宜温度≤150℃，湿度≤80%。</w:t>
      </w:r>
    </w:p>
    <w:p w14:paraId="3336FE45">
      <w:pPr>
        <w:ind w:firstLine="560" w:firstLineChars="200"/>
        <w:rPr>
          <w:rFonts w:hint="eastAsia" w:eastAsia="仿宋"/>
          <w:color w:val="auto"/>
          <w:kern w:val="0"/>
          <w:sz w:val="28"/>
          <w:szCs w:val="28"/>
        </w:rPr>
      </w:pPr>
      <w:r>
        <w:rPr>
          <w:rFonts w:hint="eastAsia" w:eastAsia="仿宋"/>
          <w:color w:val="auto"/>
          <w:kern w:val="0"/>
          <w:sz w:val="28"/>
          <w:szCs w:val="28"/>
        </w:rPr>
        <w:t>（4）新型吸附剂喷吸装置</w:t>
      </w:r>
    </w:p>
    <w:p w14:paraId="33966E09">
      <w:pPr>
        <w:spacing w:line="500" w:lineRule="exact"/>
        <w:ind w:firstLine="560" w:firstLineChars="200"/>
        <w:rPr>
          <w:rFonts w:hint="eastAsia" w:eastAsia="仿宋"/>
          <w:color w:val="auto"/>
          <w:sz w:val="28"/>
          <w:szCs w:val="28"/>
        </w:rPr>
      </w:pPr>
      <w:r>
        <w:rPr>
          <w:rFonts w:hint="eastAsia" w:eastAsia="仿宋"/>
          <w:color w:val="auto"/>
          <w:sz w:val="28"/>
          <w:szCs w:val="28"/>
        </w:rPr>
        <w:t>规定了选用的新型吸附剂类型，喷吸装置的设计要求等。</w:t>
      </w:r>
    </w:p>
    <w:p w14:paraId="7E328BAC">
      <w:pPr>
        <w:spacing w:line="500" w:lineRule="exact"/>
        <w:ind w:firstLine="560" w:firstLineChars="200"/>
        <w:rPr>
          <w:rFonts w:hint="eastAsia" w:eastAsia="仿宋"/>
          <w:color w:val="auto"/>
          <w:sz w:val="28"/>
          <w:szCs w:val="28"/>
        </w:rPr>
      </w:pPr>
      <w:r>
        <w:rPr>
          <w:rFonts w:hint="eastAsia" w:eastAsia="仿宋"/>
          <w:color w:val="auto"/>
          <w:sz w:val="28"/>
          <w:szCs w:val="28"/>
        </w:rPr>
        <w:t>新型吸附剂的选择：将吸附剂喷入到废气气流中与废气充分混合、接触，通过物理吸附或化学反应，将废气中的气态污染物“固定”在吸附剂颗粒中，选用的新型吸附剂需具有</w:t>
      </w:r>
      <w:r>
        <w:rPr>
          <w:rFonts w:eastAsia="仿宋"/>
          <w:color w:val="auto"/>
          <w:sz w:val="28"/>
          <w:szCs w:val="28"/>
        </w:rPr>
        <w:t>高吸附容量、合适粒径分布和良好流动性的</w:t>
      </w:r>
      <w:r>
        <w:rPr>
          <w:rFonts w:hint="eastAsia" w:eastAsia="仿宋"/>
          <w:color w:val="auto"/>
          <w:sz w:val="28"/>
          <w:szCs w:val="28"/>
        </w:rPr>
        <w:t>特点</w:t>
      </w:r>
      <w:r>
        <w:rPr>
          <w:rFonts w:eastAsia="仿宋"/>
          <w:color w:val="auto"/>
          <w:sz w:val="28"/>
          <w:szCs w:val="28"/>
        </w:rPr>
        <w:t>，</w:t>
      </w:r>
      <w:r>
        <w:rPr>
          <w:rFonts w:hint="eastAsia" w:eastAsia="仿宋"/>
          <w:color w:val="auto"/>
          <w:sz w:val="28"/>
          <w:szCs w:val="28"/>
        </w:rPr>
        <w:t>在实际项目中选用改性</w:t>
      </w:r>
      <w:r>
        <w:rPr>
          <w:rFonts w:eastAsia="仿宋"/>
          <w:color w:val="auto"/>
          <w:sz w:val="28"/>
          <w:szCs w:val="28"/>
        </w:rPr>
        <w:t>蔗渣</w:t>
      </w:r>
      <w:r>
        <w:rPr>
          <w:rFonts w:hint="eastAsia" w:eastAsia="仿宋"/>
          <w:color w:val="auto"/>
          <w:sz w:val="28"/>
          <w:szCs w:val="28"/>
        </w:rPr>
        <w:t>灰</w:t>
      </w:r>
      <w:r>
        <w:rPr>
          <w:rFonts w:eastAsia="仿宋"/>
          <w:color w:val="auto"/>
          <w:sz w:val="28"/>
          <w:szCs w:val="28"/>
        </w:rPr>
        <w:t>、</w:t>
      </w:r>
      <w:r>
        <w:rPr>
          <w:rFonts w:hint="eastAsia" w:eastAsia="仿宋"/>
          <w:color w:val="auto"/>
          <w:sz w:val="28"/>
          <w:szCs w:val="28"/>
          <w:lang w:val="en-US" w:eastAsia="zh-CN"/>
        </w:rPr>
        <w:t>改性</w:t>
      </w:r>
      <w:r>
        <w:rPr>
          <w:rFonts w:hint="eastAsia" w:eastAsia="仿宋"/>
          <w:color w:val="auto"/>
          <w:sz w:val="28"/>
          <w:szCs w:val="28"/>
        </w:rPr>
        <w:t>草</w:t>
      </w:r>
      <w:r>
        <w:rPr>
          <w:rFonts w:eastAsia="仿宋"/>
          <w:color w:val="auto"/>
          <w:sz w:val="28"/>
          <w:szCs w:val="28"/>
        </w:rPr>
        <w:t>木</w:t>
      </w:r>
      <w:r>
        <w:rPr>
          <w:rFonts w:hint="eastAsia" w:eastAsia="仿宋"/>
          <w:color w:val="auto"/>
          <w:sz w:val="28"/>
          <w:szCs w:val="28"/>
        </w:rPr>
        <w:t>灰、石灰石粉或其混合物</w:t>
      </w:r>
      <w:r>
        <w:rPr>
          <w:rFonts w:eastAsia="仿宋"/>
          <w:color w:val="auto"/>
          <w:sz w:val="28"/>
          <w:szCs w:val="28"/>
        </w:rPr>
        <w:t>等。</w:t>
      </w:r>
    </w:p>
    <w:p w14:paraId="7F7EADB2">
      <w:pPr>
        <w:spacing w:line="500" w:lineRule="exact"/>
        <w:ind w:firstLine="560" w:firstLineChars="200"/>
        <w:rPr>
          <w:rFonts w:eastAsia="仿宋"/>
          <w:color w:val="auto"/>
          <w:sz w:val="28"/>
          <w:szCs w:val="28"/>
        </w:rPr>
      </w:pPr>
      <w:r>
        <w:rPr>
          <w:rFonts w:eastAsia="仿宋"/>
          <w:color w:val="auto"/>
          <w:sz w:val="28"/>
          <w:szCs w:val="28"/>
        </w:rPr>
        <w:t>选择的吸附剂应符合</w:t>
      </w:r>
      <w:r>
        <w:rPr>
          <w:rFonts w:hint="eastAsia" w:eastAsia="仿宋"/>
          <w:color w:val="auto"/>
          <w:sz w:val="28"/>
          <w:szCs w:val="28"/>
        </w:rPr>
        <w:t>下表</w:t>
      </w:r>
      <w:r>
        <w:rPr>
          <w:rFonts w:eastAsia="仿宋"/>
          <w:color w:val="auto"/>
          <w:sz w:val="28"/>
          <w:szCs w:val="28"/>
        </w:rPr>
        <w:t>参数要求。</w:t>
      </w:r>
    </w:p>
    <w:p w14:paraId="7B190E20">
      <w:pPr>
        <w:spacing w:line="500" w:lineRule="exact"/>
        <w:jc w:val="center"/>
        <w:rPr>
          <w:rFonts w:hint="eastAsia" w:ascii="黑体" w:eastAsia="黑体"/>
          <w:color w:val="auto"/>
        </w:rPr>
      </w:pPr>
      <w:r>
        <w:rPr>
          <w:rFonts w:hint="eastAsia" w:ascii="黑体" w:eastAsia="黑体"/>
          <w:color w:val="auto"/>
        </w:rPr>
        <w:t>表3 吸附剂参数要求</w:t>
      </w:r>
    </w:p>
    <w:tbl>
      <w:tblPr>
        <w:tblStyle w:val="1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816"/>
        <w:gridCol w:w="2848"/>
        <w:gridCol w:w="2842"/>
      </w:tblGrid>
      <w:tr w14:paraId="0A7326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3110" w:type="dxa"/>
            <w:tcBorders>
              <w:top w:val="single" w:color="auto" w:sz="8" w:space="0"/>
              <w:left w:val="single" w:color="auto" w:sz="8" w:space="0"/>
              <w:bottom w:val="single" w:color="auto" w:sz="8" w:space="0"/>
              <w:right w:val="single" w:color="auto" w:sz="4" w:space="0"/>
              <w:tl2br w:val="nil"/>
              <w:tr2bl w:val="nil"/>
            </w:tcBorders>
          </w:tcPr>
          <w:p w14:paraId="4EDFD120">
            <w:pPr>
              <w:pStyle w:val="69"/>
              <w:rPr>
                <w:color w:val="auto"/>
                <w:szCs w:val="24"/>
              </w:rPr>
            </w:pPr>
            <w:r>
              <w:rPr>
                <w:rFonts w:hint="eastAsia"/>
                <w:color w:val="auto"/>
                <w:szCs w:val="24"/>
              </w:rPr>
              <w:t>项目</w:t>
            </w:r>
          </w:p>
        </w:tc>
        <w:tc>
          <w:tcPr>
            <w:tcW w:w="3112" w:type="dxa"/>
            <w:tcBorders>
              <w:top w:val="single" w:color="auto" w:sz="8" w:space="0"/>
              <w:left w:val="single" w:color="auto" w:sz="4" w:space="0"/>
              <w:bottom w:val="single" w:color="auto" w:sz="8" w:space="0"/>
              <w:right w:val="single" w:color="auto" w:sz="4" w:space="0"/>
              <w:tl2br w:val="nil"/>
              <w:tr2bl w:val="nil"/>
            </w:tcBorders>
          </w:tcPr>
          <w:p w14:paraId="45B7544D">
            <w:pPr>
              <w:pStyle w:val="69"/>
              <w:rPr>
                <w:color w:val="auto"/>
                <w:szCs w:val="24"/>
              </w:rPr>
            </w:pPr>
            <w:r>
              <w:rPr>
                <w:rFonts w:hint="eastAsia"/>
                <w:color w:val="auto"/>
                <w:szCs w:val="24"/>
              </w:rPr>
              <w:t>数值</w:t>
            </w:r>
          </w:p>
        </w:tc>
        <w:tc>
          <w:tcPr>
            <w:tcW w:w="3112" w:type="dxa"/>
            <w:tcBorders>
              <w:top w:val="single" w:color="auto" w:sz="8" w:space="0"/>
              <w:left w:val="single" w:color="auto" w:sz="4" w:space="0"/>
              <w:bottom w:val="single" w:color="auto" w:sz="8" w:space="0"/>
              <w:right w:val="single" w:color="auto" w:sz="8" w:space="0"/>
              <w:tl2br w:val="nil"/>
              <w:tr2bl w:val="nil"/>
            </w:tcBorders>
          </w:tcPr>
          <w:p w14:paraId="609532A4">
            <w:pPr>
              <w:pStyle w:val="69"/>
              <w:rPr>
                <w:color w:val="auto"/>
                <w:szCs w:val="24"/>
              </w:rPr>
            </w:pPr>
            <w:r>
              <w:rPr>
                <w:rFonts w:hint="eastAsia"/>
                <w:color w:val="auto"/>
                <w:szCs w:val="24"/>
              </w:rPr>
              <w:t>单位</w:t>
            </w:r>
          </w:p>
        </w:tc>
      </w:tr>
      <w:tr w14:paraId="197FD2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10" w:type="dxa"/>
            <w:tcBorders>
              <w:top w:val="single" w:color="auto" w:sz="8" w:space="0"/>
              <w:left w:val="single" w:color="auto" w:sz="8" w:space="0"/>
              <w:bottom w:val="single" w:color="auto" w:sz="4" w:space="0"/>
              <w:right w:val="single" w:color="auto" w:sz="4" w:space="0"/>
              <w:tl2br w:val="nil"/>
              <w:tr2bl w:val="nil"/>
            </w:tcBorders>
          </w:tcPr>
          <w:p w14:paraId="5A22939A">
            <w:pPr>
              <w:pStyle w:val="69"/>
              <w:rPr>
                <w:color w:val="auto"/>
                <w:szCs w:val="24"/>
              </w:rPr>
            </w:pPr>
            <w:r>
              <w:rPr>
                <w:rFonts w:hint="eastAsia"/>
                <w:color w:val="auto"/>
                <w:szCs w:val="24"/>
              </w:rPr>
              <w:t>尺寸</w:t>
            </w:r>
          </w:p>
        </w:tc>
        <w:tc>
          <w:tcPr>
            <w:tcW w:w="3112" w:type="dxa"/>
            <w:tcBorders>
              <w:top w:val="single" w:color="auto" w:sz="8" w:space="0"/>
              <w:left w:val="single" w:color="auto" w:sz="4" w:space="0"/>
              <w:bottom w:val="single" w:color="auto" w:sz="4" w:space="0"/>
              <w:right w:val="single" w:color="auto" w:sz="4" w:space="0"/>
              <w:tl2br w:val="nil"/>
              <w:tr2bl w:val="nil"/>
            </w:tcBorders>
          </w:tcPr>
          <w:p w14:paraId="48AC6A59">
            <w:pPr>
              <w:pStyle w:val="69"/>
              <w:rPr>
                <w:rFonts w:ascii="Times New Roman"/>
                <w:color w:val="auto"/>
                <w:szCs w:val="24"/>
              </w:rPr>
            </w:pPr>
            <w:r>
              <w:rPr>
                <w:rFonts w:hint="eastAsia" w:ascii="Times New Roman" w:hAnsi="Times New Roman"/>
                <w:color w:val="auto"/>
                <w:szCs w:val="24"/>
              </w:rPr>
              <w:t xml:space="preserve"> 20~40</w:t>
            </w:r>
          </w:p>
        </w:tc>
        <w:tc>
          <w:tcPr>
            <w:tcW w:w="3112" w:type="dxa"/>
            <w:tcBorders>
              <w:top w:val="single" w:color="auto" w:sz="8" w:space="0"/>
              <w:left w:val="single" w:color="auto" w:sz="4" w:space="0"/>
              <w:bottom w:val="single" w:color="auto" w:sz="4" w:space="0"/>
              <w:right w:val="single" w:color="auto" w:sz="8" w:space="0"/>
              <w:tl2br w:val="nil"/>
              <w:tr2bl w:val="nil"/>
            </w:tcBorders>
          </w:tcPr>
          <w:p w14:paraId="2B0C83D3">
            <w:pPr>
              <w:pStyle w:val="69"/>
              <w:rPr>
                <w:color w:val="auto"/>
                <w:szCs w:val="24"/>
              </w:rPr>
            </w:pPr>
            <w:r>
              <w:rPr>
                <w:rFonts w:hint="eastAsia"/>
                <w:color w:val="auto"/>
                <w:szCs w:val="24"/>
              </w:rPr>
              <w:t>目</w:t>
            </w:r>
          </w:p>
        </w:tc>
      </w:tr>
      <w:tr w14:paraId="44F8AE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10" w:type="dxa"/>
            <w:tcBorders>
              <w:top w:val="single" w:color="auto" w:sz="4" w:space="0"/>
              <w:left w:val="single" w:color="auto" w:sz="8" w:space="0"/>
              <w:bottom w:val="single" w:color="auto" w:sz="4" w:space="0"/>
              <w:right w:val="single" w:color="auto" w:sz="4" w:space="0"/>
              <w:tl2br w:val="nil"/>
              <w:tr2bl w:val="nil"/>
            </w:tcBorders>
          </w:tcPr>
          <w:p w14:paraId="15D5AE7B">
            <w:pPr>
              <w:pStyle w:val="69"/>
              <w:rPr>
                <w:color w:val="auto"/>
                <w:szCs w:val="24"/>
              </w:rPr>
            </w:pPr>
            <w:r>
              <w:rPr>
                <w:rFonts w:hint="eastAsia"/>
                <w:color w:val="auto"/>
                <w:szCs w:val="24"/>
              </w:rPr>
              <w:t>比表面积</w:t>
            </w:r>
          </w:p>
        </w:tc>
        <w:tc>
          <w:tcPr>
            <w:tcW w:w="3112" w:type="dxa"/>
            <w:tcBorders>
              <w:top w:val="single" w:color="auto" w:sz="4" w:space="0"/>
              <w:left w:val="single" w:color="auto" w:sz="4" w:space="0"/>
              <w:bottom w:val="single" w:color="auto" w:sz="4" w:space="0"/>
              <w:right w:val="single" w:color="auto" w:sz="4" w:space="0"/>
              <w:tl2br w:val="nil"/>
              <w:tr2bl w:val="nil"/>
            </w:tcBorders>
          </w:tcPr>
          <w:p w14:paraId="4502E401">
            <w:pPr>
              <w:pStyle w:val="69"/>
              <w:rPr>
                <w:rFonts w:ascii="Times New Roman"/>
                <w:color w:val="auto"/>
                <w:szCs w:val="24"/>
              </w:rPr>
            </w:pPr>
            <w:r>
              <w:rPr>
                <w:rFonts w:hint="default" w:ascii="Times New Roman"/>
                <w:color w:val="auto"/>
                <w:szCs w:val="24"/>
              </w:rPr>
              <w:t>≥</w:t>
            </w:r>
            <w:r>
              <w:rPr>
                <w:rFonts w:hint="eastAsia" w:ascii="Times New Roman" w:hAnsi="Times New Roman"/>
                <w:color w:val="auto"/>
                <w:szCs w:val="24"/>
              </w:rPr>
              <w:t>5</w:t>
            </w:r>
            <w:r>
              <w:rPr>
                <w:rFonts w:hint="default" w:ascii="Times New Roman"/>
                <w:color w:val="auto"/>
                <w:szCs w:val="24"/>
              </w:rPr>
              <w:t>00</w:t>
            </w:r>
          </w:p>
        </w:tc>
        <w:tc>
          <w:tcPr>
            <w:tcW w:w="3112" w:type="dxa"/>
            <w:tcBorders>
              <w:top w:val="single" w:color="auto" w:sz="4" w:space="0"/>
              <w:left w:val="single" w:color="auto" w:sz="4" w:space="0"/>
              <w:bottom w:val="single" w:color="auto" w:sz="4" w:space="0"/>
              <w:right w:val="single" w:color="auto" w:sz="8" w:space="0"/>
              <w:tl2br w:val="nil"/>
              <w:tr2bl w:val="nil"/>
            </w:tcBorders>
          </w:tcPr>
          <w:p w14:paraId="57D6A2B2">
            <w:pPr>
              <w:pStyle w:val="69"/>
              <w:rPr>
                <w:color w:val="auto"/>
                <w:szCs w:val="24"/>
              </w:rPr>
            </w:pPr>
            <w:r>
              <w:rPr>
                <w:rFonts w:hint="eastAsia"/>
                <w:color w:val="auto"/>
                <w:szCs w:val="24"/>
              </w:rPr>
              <w:t>m</w:t>
            </w:r>
            <w:r>
              <w:rPr>
                <w:rFonts w:hint="eastAsia"/>
                <w:color w:val="auto"/>
                <w:szCs w:val="24"/>
                <w:vertAlign w:val="superscript"/>
              </w:rPr>
              <w:t>2</w:t>
            </w:r>
            <w:r>
              <w:rPr>
                <w:rFonts w:hint="eastAsia"/>
                <w:color w:val="auto"/>
                <w:szCs w:val="24"/>
              </w:rPr>
              <w:t>/g</w:t>
            </w:r>
          </w:p>
        </w:tc>
      </w:tr>
      <w:tr w14:paraId="58052C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10" w:type="dxa"/>
            <w:tcBorders>
              <w:top w:val="single" w:color="auto" w:sz="4" w:space="0"/>
              <w:left w:val="single" w:color="auto" w:sz="8" w:space="0"/>
              <w:bottom w:val="single" w:color="auto" w:sz="8" w:space="0"/>
              <w:right w:val="single" w:color="auto" w:sz="4" w:space="0"/>
              <w:tl2br w:val="nil"/>
              <w:tr2bl w:val="nil"/>
            </w:tcBorders>
          </w:tcPr>
          <w:p w14:paraId="0E67DF0A">
            <w:pPr>
              <w:pStyle w:val="69"/>
              <w:rPr>
                <w:color w:val="auto"/>
                <w:szCs w:val="24"/>
              </w:rPr>
            </w:pPr>
            <w:r>
              <w:rPr>
                <w:rFonts w:hint="eastAsia"/>
                <w:color w:val="auto"/>
                <w:szCs w:val="24"/>
              </w:rPr>
              <w:t>孔隙体积</w:t>
            </w:r>
          </w:p>
        </w:tc>
        <w:tc>
          <w:tcPr>
            <w:tcW w:w="3112" w:type="dxa"/>
            <w:tcBorders>
              <w:top w:val="single" w:color="auto" w:sz="4" w:space="0"/>
              <w:left w:val="single" w:color="auto" w:sz="4" w:space="0"/>
              <w:bottom w:val="single" w:color="auto" w:sz="8" w:space="0"/>
              <w:right w:val="single" w:color="auto" w:sz="4" w:space="0"/>
              <w:tl2br w:val="nil"/>
              <w:tr2bl w:val="nil"/>
            </w:tcBorders>
          </w:tcPr>
          <w:p w14:paraId="2269C7E0">
            <w:pPr>
              <w:pStyle w:val="69"/>
              <w:rPr>
                <w:rFonts w:ascii="Times New Roman"/>
                <w:color w:val="auto"/>
                <w:szCs w:val="24"/>
              </w:rPr>
            </w:pPr>
            <w:r>
              <w:rPr>
                <w:rFonts w:hint="eastAsia" w:hAnsi="宋体"/>
                <w:color w:val="auto"/>
                <w:szCs w:val="24"/>
              </w:rPr>
              <w:t>＞</w:t>
            </w:r>
            <w:r>
              <w:rPr>
                <w:rFonts w:hint="eastAsia" w:ascii="Times New Roman" w:hAnsi="Times New Roman"/>
                <w:color w:val="auto"/>
                <w:szCs w:val="24"/>
              </w:rPr>
              <w:t>0</w:t>
            </w:r>
            <w:r>
              <w:rPr>
                <w:rFonts w:hint="default" w:ascii="Times New Roman"/>
                <w:color w:val="auto"/>
                <w:szCs w:val="24"/>
              </w:rPr>
              <w:t>.</w:t>
            </w:r>
            <w:r>
              <w:rPr>
                <w:rFonts w:hint="eastAsia" w:ascii="Times New Roman" w:hAnsi="Times New Roman"/>
                <w:color w:val="auto"/>
                <w:szCs w:val="24"/>
              </w:rPr>
              <w:t>5</w:t>
            </w:r>
            <w:r>
              <w:rPr>
                <w:rFonts w:hint="default" w:ascii="Times New Roman"/>
                <w:color w:val="auto"/>
                <w:szCs w:val="24"/>
              </w:rPr>
              <w:t>0</w:t>
            </w:r>
          </w:p>
        </w:tc>
        <w:tc>
          <w:tcPr>
            <w:tcW w:w="3112" w:type="dxa"/>
            <w:tcBorders>
              <w:top w:val="single" w:color="auto" w:sz="4" w:space="0"/>
              <w:left w:val="single" w:color="auto" w:sz="4" w:space="0"/>
              <w:bottom w:val="single" w:color="auto" w:sz="8" w:space="0"/>
              <w:right w:val="single" w:color="auto" w:sz="8" w:space="0"/>
              <w:tl2br w:val="nil"/>
              <w:tr2bl w:val="nil"/>
            </w:tcBorders>
          </w:tcPr>
          <w:p w14:paraId="3E734BEC">
            <w:pPr>
              <w:pStyle w:val="69"/>
              <w:rPr>
                <w:color w:val="auto"/>
                <w:szCs w:val="24"/>
              </w:rPr>
            </w:pPr>
            <w:r>
              <w:rPr>
                <w:rFonts w:hint="eastAsia"/>
                <w:color w:val="auto"/>
                <w:szCs w:val="24"/>
              </w:rPr>
              <w:t>cm</w:t>
            </w:r>
            <w:r>
              <w:rPr>
                <w:rFonts w:hint="eastAsia"/>
                <w:color w:val="auto"/>
                <w:szCs w:val="24"/>
                <w:vertAlign w:val="superscript"/>
              </w:rPr>
              <w:t>3</w:t>
            </w:r>
            <w:r>
              <w:rPr>
                <w:rFonts w:hint="eastAsia"/>
                <w:color w:val="auto"/>
                <w:szCs w:val="24"/>
              </w:rPr>
              <w:t>/g</w:t>
            </w:r>
          </w:p>
        </w:tc>
      </w:tr>
    </w:tbl>
    <w:p w14:paraId="2C577D58">
      <w:pPr>
        <w:spacing w:line="500" w:lineRule="exact"/>
        <w:ind w:firstLine="560" w:firstLineChars="200"/>
        <w:rPr>
          <w:rFonts w:eastAsia="仿宋"/>
          <w:color w:val="auto"/>
          <w:sz w:val="28"/>
          <w:szCs w:val="28"/>
        </w:rPr>
      </w:pPr>
      <w:r>
        <w:rPr>
          <w:rFonts w:eastAsia="仿宋"/>
          <w:color w:val="auto"/>
          <w:sz w:val="28"/>
          <w:szCs w:val="28"/>
        </w:rPr>
        <w:t>喷吸装置是“喷吸-过滤协同净化技术”的心脏，其核心设计目标是在最低能耗下，实现吸附剂在装置内高度均匀、稳定、可控的分布与悬浮，能与废气充分接触吸附</w:t>
      </w:r>
      <w:r>
        <w:rPr>
          <w:rFonts w:hint="eastAsia" w:eastAsia="仿宋"/>
          <w:color w:val="auto"/>
          <w:sz w:val="28"/>
          <w:szCs w:val="28"/>
        </w:rPr>
        <w:t>，喷吸装置的工作示意图见图</w:t>
      </w:r>
      <w:r>
        <w:rPr>
          <w:rFonts w:hint="eastAsia" w:eastAsia="仿宋"/>
          <w:color w:val="auto"/>
          <w:sz w:val="28"/>
          <w:szCs w:val="28"/>
          <w:lang w:val="en-US" w:eastAsia="zh-CN"/>
        </w:rPr>
        <w:t>10</w:t>
      </w:r>
      <w:r>
        <w:rPr>
          <w:rFonts w:eastAsia="仿宋"/>
          <w:color w:val="auto"/>
          <w:sz w:val="28"/>
          <w:szCs w:val="28"/>
        </w:rPr>
        <w:t>。</w:t>
      </w:r>
    </w:p>
    <w:p w14:paraId="594DB1AF">
      <w:pPr>
        <w:spacing w:line="500" w:lineRule="exact"/>
        <w:ind w:firstLine="560" w:firstLineChars="200"/>
        <w:rPr>
          <w:rFonts w:eastAsia="仿宋"/>
          <w:color w:val="auto"/>
          <w:sz w:val="28"/>
          <w:szCs w:val="28"/>
        </w:rPr>
      </w:pPr>
      <w:r>
        <w:rPr>
          <w:rFonts w:eastAsia="仿宋"/>
          <w:color w:val="auto"/>
          <w:sz w:val="28"/>
          <w:szCs w:val="28"/>
        </w:rPr>
        <w:t>喷吸装置应设置在过滤单元上游足够距离处，确保吸附剂与废气有充分的混合接触时间；喷射方式宜采用旋转给料阀+文丘里喷射器，确保吸附剂在装置内均匀分布；喷吸装置的气体负荷应按产尘设备总风量设计，集气罩面风速≥0.8 m/s，管道风速≥14 m/s防积灰，其中处理肥料生产废气的气体负荷设计需考虑高湿导致的结露问题，计算风量时需包含蒸发水量，管道和设备需保温；处理木材加工废气时气体停留时间≥2 s；处理肥料生产废气时气体停留时间≥（3 ~ 5）s。</w:t>
      </w:r>
    </w:p>
    <w:p w14:paraId="24A23961">
      <w:pPr>
        <w:spacing w:line="500" w:lineRule="exact"/>
        <w:ind w:firstLine="420" w:firstLineChars="200"/>
        <w:rPr>
          <w:rFonts w:eastAsia="仿宋"/>
          <w:color w:val="auto"/>
          <w:sz w:val="28"/>
          <w:szCs w:val="28"/>
        </w:rPr>
      </w:pPr>
      <w:r>
        <w:rPr>
          <w:rFonts w:ascii="Calibri" w:hAnsi="Calibri"/>
          <w:color w:val="auto"/>
          <w:szCs w:val="21"/>
        </w:rPr>
        <w:drawing>
          <wp:anchor distT="0" distB="0" distL="114300" distR="114300" simplePos="0" relativeHeight="251668480" behindDoc="0" locked="0" layoutInCell="1" allowOverlap="1">
            <wp:simplePos x="0" y="0"/>
            <wp:positionH relativeFrom="column">
              <wp:posOffset>2289810</wp:posOffset>
            </wp:positionH>
            <wp:positionV relativeFrom="paragraph">
              <wp:posOffset>370840</wp:posOffset>
            </wp:positionV>
            <wp:extent cx="838200" cy="247650"/>
            <wp:effectExtent l="19050" t="0" r="0" b="0"/>
            <wp:wrapTopAndBottom/>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6"/>
                    <pic:cNvPicPr>
                      <a:picLocks noChangeAspect="1" noChangeArrowheads="1"/>
                    </pic:cNvPicPr>
                  </pic:nvPicPr>
                  <pic:blipFill>
                    <a:blip r:embed="rId15"/>
                    <a:srcRect/>
                    <a:stretch>
                      <a:fillRect/>
                    </a:stretch>
                  </pic:blipFill>
                  <pic:spPr>
                    <a:xfrm>
                      <a:off x="0" y="0"/>
                      <a:ext cx="838200" cy="247650"/>
                    </a:xfrm>
                    <a:prstGeom prst="rect">
                      <a:avLst/>
                    </a:prstGeom>
                    <a:noFill/>
                    <a:ln w="9525" cmpd="sng">
                      <a:noFill/>
                      <a:miter lim="800000"/>
                      <a:headEnd/>
                      <a:tailEnd/>
                    </a:ln>
                    <a:effectLst/>
                  </pic:spPr>
                </pic:pic>
              </a:graphicData>
            </a:graphic>
          </wp:anchor>
        </w:drawing>
      </w:r>
      <w:r>
        <w:rPr>
          <w:rFonts w:eastAsia="仿宋"/>
          <w:color w:val="auto"/>
          <w:sz w:val="28"/>
          <w:szCs w:val="28"/>
        </w:rPr>
        <w:t>吸附剂喷吸量</w:t>
      </w:r>
      <w:r>
        <w:rPr>
          <w:rFonts w:hint="eastAsia" w:eastAsia="仿宋"/>
          <w:color w:val="auto"/>
          <w:sz w:val="28"/>
          <w:szCs w:val="28"/>
        </w:rPr>
        <w:t>下列</w:t>
      </w:r>
      <w:r>
        <w:rPr>
          <w:rFonts w:eastAsia="仿宋"/>
          <w:color w:val="auto"/>
          <w:sz w:val="28"/>
          <w:szCs w:val="28"/>
        </w:rPr>
        <w:t>公式进行计算：</w:t>
      </w:r>
    </w:p>
    <w:p w14:paraId="5B8C30B8">
      <w:pPr>
        <w:spacing w:line="500" w:lineRule="exact"/>
        <w:ind w:firstLine="560" w:firstLineChars="200"/>
        <w:rPr>
          <w:rFonts w:eastAsia="仿宋"/>
          <w:color w:val="auto"/>
          <w:sz w:val="28"/>
          <w:szCs w:val="28"/>
        </w:rPr>
      </w:pPr>
      <w:r>
        <w:rPr>
          <w:rFonts w:eastAsia="仿宋"/>
          <w:color w:val="auto"/>
          <w:sz w:val="28"/>
          <w:szCs w:val="28"/>
        </w:rPr>
        <w:t>式中：</w:t>
      </w:r>
    </w:p>
    <w:p w14:paraId="7F5A8986">
      <w:pPr>
        <w:spacing w:line="500" w:lineRule="exact"/>
        <w:ind w:firstLine="560" w:firstLineChars="200"/>
        <w:rPr>
          <w:rFonts w:eastAsia="仿宋"/>
          <w:color w:val="auto"/>
          <w:sz w:val="28"/>
          <w:szCs w:val="28"/>
        </w:rPr>
      </w:pPr>
      <w:r>
        <w:rPr>
          <w:rFonts w:eastAsia="仿宋"/>
          <w:color w:val="auto"/>
          <w:sz w:val="28"/>
          <w:szCs w:val="28"/>
        </w:rPr>
        <w:t>M——吸附剂喷吸量，单位为mg/h；</w:t>
      </w:r>
    </w:p>
    <w:p w14:paraId="23C48CBC">
      <w:pPr>
        <w:spacing w:line="500" w:lineRule="exact"/>
        <w:ind w:firstLine="560" w:firstLineChars="200"/>
        <w:rPr>
          <w:rFonts w:eastAsia="仿宋"/>
          <w:color w:val="auto"/>
          <w:sz w:val="28"/>
          <w:szCs w:val="28"/>
        </w:rPr>
      </w:pPr>
      <w:r>
        <w:rPr>
          <w:rFonts w:eastAsia="仿宋"/>
          <w:color w:val="auto"/>
          <w:sz w:val="28"/>
          <w:szCs w:val="28"/>
        </w:rPr>
        <w:t>Ci——进口气体浓度，单位为mg/m³；</w:t>
      </w:r>
    </w:p>
    <w:p w14:paraId="70FF6080">
      <w:pPr>
        <w:spacing w:line="500" w:lineRule="exact"/>
        <w:ind w:firstLine="560" w:firstLineChars="200"/>
        <w:rPr>
          <w:rFonts w:eastAsia="仿宋"/>
          <w:color w:val="auto"/>
          <w:sz w:val="28"/>
          <w:szCs w:val="28"/>
        </w:rPr>
      </w:pPr>
      <w:r>
        <w:rPr>
          <w:rFonts w:eastAsia="仿宋"/>
          <w:color w:val="auto"/>
          <w:sz w:val="28"/>
          <w:szCs w:val="28"/>
        </w:rPr>
        <w:t>Co——出口气体浓度，单位为mg/m³；</w:t>
      </w:r>
    </w:p>
    <w:p w14:paraId="0A5C95E5">
      <w:pPr>
        <w:spacing w:line="500" w:lineRule="exact"/>
        <w:ind w:firstLine="560" w:firstLineChars="200"/>
        <w:rPr>
          <w:rFonts w:eastAsia="仿宋"/>
          <w:color w:val="auto"/>
          <w:sz w:val="28"/>
          <w:szCs w:val="28"/>
        </w:rPr>
      </w:pPr>
      <w:r>
        <w:rPr>
          <w:rFonts w:eastAsia="仿宋"/>
          <w:color w:val="auto"/>
          <w:sz w:val="28"/>
          <w:szCs w:val="28"/>
        </w:rPr>
        <w:t>Q——风量，单位为m³/h；</w:t>
      </w:r>
    </w:p>
    <w:p w14:paraId="6BDC8D45">
      <w:pPr>
        <w:spacing w:line="500" w:lineRule="exact"/>
        <w:ind w:firstLine="560" w:firstLineChars="200"/>
        <w:rPr>
          <w:rFonts w:eastAsia="仿宋"/>
          <w:color w:val="auto"/>
          <w:sz w:val="28"/>
          <w:szCs w:val="28"/>
        </w:rPr>
      </w:pPr>
      <w:r>
        <w:rPr>
          <w:rFonts w:eastAsia="仿宋"/>
          <w:color w:val="auto"/>
          <w:sz w:val="28"/>
          <w:szCs w:val="28"/>
        </w:rPr>
        <w:t>t——运行时间，单位为 h；</w:t>
      </w:r>
    </w:p>
    <w:p w14:paraId="32A54902">
      <w:pPr>
        <w:spacing w:line="500" w:lineRule="exact"/>
        <w:ind w:firstLine="560" w:firstLineChars="200"/>
        <w:rPr>
          <w:rFonts w:eastAsia="仿宋"/>
          <w:color w:val="auto"/>
          <w:sz w:val="28"/>
          <w:szCs w:val="28"/>
        </w:rPr>
      </w:pPr>
      <w:r>
        <w:rPr>
          <w:rFonts w:eastAsia="仿宋"/>
          <w:color w:val="auto"/>
          <w:sz w:val="28"/>
          <w:szCs w:val="28"/>
        </w:rPr>
        <w:t>q——吸附剂平衡吸附量，单位为mg/g。</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5054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1" w:hRule="atLeast"/>
        </w:trPr>
        <w:tc>
          <w:tcPr>
            <w:tcW w:w="8522" w:type="dxa"/>
            <w:tcBorders>
              <w:top w:val="nil"/>
              <w:left w:val="nil"/>
              <w:bottom w:val="nil"/>
              <w:right w:val="nil"/>
            </w:tcBorders>
          </w:tcPr>
          <w:p w14:paraId="2700E0E6">
            <w:pPr>
              <w:spacing w:line="500" w:lineRule="exact"/>
              <w:rPr>
                <w:rFonts w:ascii="Times New Roman" w:hAnsi="Times New Roman" w:eastAsia="仿宋"/>
                <w:color w:val="auto"/>
                <w:sz w:val="28"/>
                <w:szCs w:val="28"/>
              </w:rPr>
            </w:pPr>
            <w:r>
              <w:rPr>
                <w:rFonts w:ascii="Calibri" w:hAnsi="Calibri"/>
                <w:color w:val="auto"/>
              </w:rPr>
              <w:drawing>
                <wp:anchor distT="0" distB="0" distL="114300" distR="114300" simplePos="0" relativeHeight="251669504" behindDoc="0" locked="0" layoutInCell="1" allowOverlap="1">
                  <wp:simplePos x="0" y="0"/>
                  <wp:positionH relativeFrom="column">
                    <wp:posOffset>15240</wp:posOffset>
                  </wp:positionH>
                  <wp:positionV relativeFrom="paragraph">
                    <wp:posOffset>388620</wp:posOffset>
                  </wp:positionV>
                  <wp:extent cx="5272405" cy="3583940"/>
                  <wp:effectExtent l="19050" t="0" r="4445"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a:srcRect/>
                          <a:stretch>
                            <a:fillRect/>
                          </a:stretch>
                        </pic:blipFill>
                        <pic:spPr>
                          <a:xfrm>
                            <a:off x="0" y="0"/>
                            <a:ext cx="5272405" cy="3583940"/>
                          </a:xfrm>
                          <a:prstGeom prst="rect">
                            <a:avLst/>
                          </a:prstGeom>
                          <a:noFill/>
                          <a:ln w="9525" cmpd="sng">
                            <a:noFill/>
                            <a:miter lim="800000"/>
                            <a:headEnd/>
                            <a:tailEnd/>
                          </a:ln>
                          <a:effectLst/>
                        </pic:spPr>
                      </pic:pic>
                    </a:graphicData>
                  </a:graphic>
                </wp:anchor>
              </w:drawing>
            </w:r>
          </w:p>
        </w:tc>
      </w:tr>
      <w:tr w14:paraId="21539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op w:val="nil"/>
              <w:left w:val="nil"/>
              <w:bottom w:val="nil"/>
              <w:right w:val="nil"/>
            </w:tcBorders>
          </w:tcPr>
          <w:p w14:paraId="644E06E4">
            <w:pPr>
              <w:spacing w:line="500" w:lineRule="exact"/>
              <w:jc w:val="center"/>
              <w:rPr>
                <w:rFonts w:ascii="Times New Roman" w:hAnsi="Times New Roman" w:eastAsia="仿宋"/>
                <w:color w:val="auto"/>
                <w:sz w:val="28"/>
                <w:szCs w:val="28"/>
              </w:rPr>
            </w:pPr>
            <w:r>
              <w:rPr>
                <w:rFonts w:hint="eastAsia" w:ascii="黑体" w:hAnsi="Times New Roman" w:eastAsia="黑体"/>
                <w:color w:val="auto"/>
              </w:rPr>
              <w:t>图</w:t>
            </w:r>
            <w:r>
              <w:rPr>
                <w:rFonts w:hint="eastAsia" w:ascii="黑体" w:eastAsia="黑体"/>
                <w:color w:val="auto"/>
                <w:lang w:val="en-US" w:eastAsia="zh-CN"/>
              </w:rPr>
              <w:t>12</w:t>
            </w:r>
            <w:bookmarkStart w:id="125" w:name="_GoBack"/>
            <w:bookmarkEnd w:id="125"/>
            <w:r>
              <w:rPr>
                <w:rFonts w:hint="eastAsia" w:ascii="黑体" w:hAnsi="Times New Roman" w:eastAsia="黑体"/>
                <w:color w:val="auto"/>
              </w:rPr>
              <w:t xml:space="preserve"> 喷吸装置工作示意图</w:t>
            </w:r>
          </w:p>
        </w:tc>
      </w:tr>
    </w:tbl>
    <w:p w14:paraId="616A6BE6">
      <w:pPr>
        <w:spacing w:beforeLines="50" w:afterLines="50"/>
        <w:ind w:firstLine="560" w:firstLineChars="200"/>
        <w:outlineLvl w:val="2"/>
        <w:rPr>
          <w:rFonts w:hint="eastAsia" w:eastAsia="仿宋"/>
          <w:color w:val="auto"/>
          <w:kern w:val="0"/>
          <w:sz w:val="28"/>
          <w:szCs w:val="28"/>
        </w:rPr>
      </w:pPr>
      <w:r>
        <w:rPr>
          <w:rFonts w:hint="eastAsia" w:eastAsia="仿宋"/>
          <w:color w:val="auto"/>
          <w:kern w:val="0"/>
          <w:sz w:val="28"/>
          <w:szCs w:val="28"/>
        </w:rPr>
        <w:t>（4）过滤单元</w:t>
      </w:r>
    </w:p>
    <w:p w14:paraId="37BE14FD">
      <w:pPr>
        <w:widowControl/>
        <w:spacing w:line="500" w:lineRule="exact"/>
        <w:ind w:firstLine="560" w:firstLineChars="200"/>
        <w:jc w:val="left"/>
        <w:rPr>
          <w:rFonts w:eastAsia="仿宋"/>
          <w:color w:val="auto"/>
          <w:sz w:val="28"/>
          <w:szCs w:val="28"/>
        </w:rPr>
      </w:pPr>
      <w:r>
        <w:rPr>
          <w:rFonts w:eastAsia="仿宋"/>
          <w:color w:val="auto"/>
          <w:sz w:val="28"/>
          <w:szCs w:val="28"/>
        </w:rPr>
        <w:t>过滤单元作为“喷吸-过滤协同净化技术”的</w:t>
      </w:r>
      <w:r>
        <w:rPr>
          <w:rFonts w:hint="eastAsia" w:eastAsia="仿宋"/>
          <w:color w:val="auto"/>
          <w:sz w:val="28"/>
          <w:szCs w:val="28"/>
        </w:rPr>
        <w:t>最后一环，</w:t>
      </w:r>
      <w:r>
        <w:rPr>
          <w:rFonts w:eastAsia="仿宋"/>
          <w:color w:val="auto"/>
          <w:sz w:val="28"/>
          <w:szCs w:val="28"/>
        </w:rPr>
        <w:t>在整个协同系统中，它扮演着三个关键角色：核心分离器：物理拦截废气中的原始粉尘以及喷入的吸附剂粉末；最终反应器：吸附剂在滤料表面形成的“预涂层”，为未完全反应的气态污染物提供了最终的反应场所和过滤屏障，实现深度净化；系统稳定器：稳定的过滤压差和均匀的粉饼层，是保证整个协同工艺持续高效运行的基础。</w:t>
      </w:r>
    </w:p>
    <w:p w14:paraId="018D7F13">
      <w:pPr>
        <w:widowControl/>
        <w:spacing w:line="500" w:lineRule="exact"/>
        <w:ind w:firstLine="560" w:firstLineChars="200"/>
        <w:jc w:val="left"/>
        <w:rPr>
          <w:rFonts w:eastAsia="仿宋"/>
          <w:color w:val="auto"/>
          <w:sz w:val="28"/>
          <w:szCs w:val="28"/>
        </w:rPr>
      </w:pPr>
      <w:r>
        <w:rPr>
          <w:rFonts w:eastAsia="仿宋"/>
          <w:color w:val="auto"/>
          <w:sz w:val="28"/>
          <w:szCs w:val="28"/>
        </w:rPr>
        <w:t>应根据废气特点选用袋式除尘器或滤筒除尘器，选用的袋式除尘器设计应符合《袋式除尘器技术要求》（GB/T 6719）和《袋式除尘工程通用技术规范》（HJ 2020）的相关规定；滤筒除尘器设计应符合《滤筒式除尘器》（JB/T 10341）的相关规定；袋式除尘器和滤筒除尘器选用的滤料在用于处理木材加工废气时应选择耐温与阻燃性能滤料，处理肥料生产废气时应选择抗结露、易清灰的滤料。</w:t>
      </w:r>
    </w:p>
    <w:p w14:paraId="5E0061C3">
      <w:pPr>
        <w:spacing w:line="500" w:lineRule="exact"/>
        <w:ind w:firstLine="560" w:firstLineChars="200"/>
        <w:rPr>
          <w:rFonts w:hint="eastAsia" w:eastAsia="仿宋"/>
          <w:color w:val="auto"/>
          <w:sz w:val="28"/>
          <w:szCs w:val="28"/>
        </w:rPr>
      </w:pPr>
      <w:r>
        <w:rPr>
          <w:rFonts w:hint="eastAsia" w:eastAsia="仿宋"/>
          <w:color w:val="auto"/>
          <w:sz w:val="28"/>
          <w:szCs w:val="28"/>
        </w:rPr>
        <w:t>对采用的</w:t>
      </w:r>
      <w:r>
        <w:rPr>
          <w:rFonts w:eastAsia="仿宋"/>
          <w:color w:val="auto"/>
          <w:sz w:val="28"/>
          <w:szCs w:val="28"/>
        </w:rPr>
        <w:t>引风机、卸灰与输灰系统、达标排放、二次污染控制</w:t>
      </w:r>
      <w:r>
        <w:rPr>
          <w:rFonts w:hint="eastAsia" w:eastAsia="仿宋"/>
          <w:color w:val="auto"/>
          <w:sz w:val="28"/>
          <w:szCs w:val="28"/>
        </w:rPr>
        <w:t>等进行了规定。</w:t>
      </w:r>
    </w:p>
    <w:p w14:paraId="20917F07">
      <w:pPr>
        <w:pStyle w:val="4"/>
        <w:spacing w:line="480" w:lineRule="exact"/>
        <w:rPr>
          <w:color w:val="auto"/>
        </w:rPr>
      </w:pPr>
      <w:r>
        <w:rPr>
          <w:color w:val="auto"/>
        </w:rPr>
        <w:t>4.检测与过程控制</w:t>
      </w:r>
    </w:p>
    <w:p w14:paraId="4C260BAA">
      <w:pPr>
        <w:spacing w:line="480" w:lineRule="exact"/>
        <w:ind w:firstLine="560" w:firstLineChars="200"/>
        <w:rPr>
          <w:rFonts w:hint="eastAsia" w:eastAsia="仿宋"/>
          <w:color w:val="auto"/>
          <w:kern w:val="0"/>
          <w:sz w:val="28"/>
          <w:szCs w:val="28"/>
        </w:rPr>
      </w:pPr>
      <w:r>
        <w:rPr>
          <w:rFonts w:hint="eastAsia" w:eastAsia="仿宋"/>
          <w:color w:val="auto"/>
          <w:kern w:val="0"/>
          <w:sz w:val="28"/>
          <w:szCs w:val="28"/>
        </w:rPr>
        <w:t>对系统的采样口、采样方法、采样频次和检测项目等进行了规定。系统应设置永久性采样口，采样口的设置应符合《气体参数测量和采样的固定位装置》（HJ/T 1）的规定，采样方法应满足《固定污染源排气中颗粒物测定与气态污染物采样方法》（GB/T 16157）的规定。</w:t>
      </w:r>
    </w:p>
    <w:p w14:paraId="543E13A1">
      <w:pPr>
        <w:spacing w:line="480" w:lineRule="exact"/>
        <w:rPr>
          <w:rFonts w:hint="eastAsia" w:eastAsia="仿宋"/>
          <w:color w:val="auto"/>
          <w:kern w:val="0"/>
          <w:sz w:val="28"/>
          <w:szCs w:val="28"/>
        </w:rPr>
      </w:pPr>
      <w:r>
        <w:rPr>
          <w:rFonts w:hint="eastAsia" w:eastAsia="仿宋"/>
          <w:color w:val="auto"/>
          <w:kern w:val="0"/>
          <w:sz w:val="28"/>
          <w:szCs w:val="28"/>
        </w:rPr>
        <w:t>处理肥料生产废气系统的采样频次和检测项目可根据工艺控制要求和《排污单位自行监测技术指南 磷肥、钾肥、复混肥料、有机肥料和微生物肥料》HJ 1088的规定确定（以氨气为主）。处理木材加工废气系统的采样频次宜每季度进行一次，重点检测项目应包括但不限于颗粒物、非甲烷总烃（NMHC）、特征苯系物等。</w:t>
      </w:r>
    </w:p>
    <w:p w14:paraId="1EC70CAC">
      <w:pPr>
        <w:spacing w:line="480" w:lineRule="exact"/>
        <w:ind w:firstLine="560" w:firstLineChars="200"/>
        <w:rPr>
          <w:rFonts w:eastAsia="仿宋"/>
          <w:color w:val="auto"/>
          <w:kern w:val="0"/>
          <w:sz w:val="28"/>
          <w:szCs w:val="28"/>
        </w:rPr>
      </w:pPr>
      <w:r>
        <w:rPr>
          <w:rFonts w:hint="eastAsia" w:eastAsia="仿宋"/>
          <w:color w:val="auto"/>
          <w:kern w:val="0"/>
          <w:sz w:val="28"/>
          <w:szCs w:val="28"/>
        </w:rPr>
        <w:t>系统的过程控制应采用智能控制系统，并对采用的智能控制系统应具有的系统功能、采用的电器产品元件和材料进行了规定。</w:t>
      </w:r>
    </w:p>
    <w:p w14:paraId="5F1311A1">
      <w:pPr>
        <w:spacing w:line="480" w:lineRule="exact"/>
        <w:rPr>
          <w:rFonts w:hint="eastAsia" w:ascii="方正仿宋_GB2312" w:hAnsi="方正仿宋_GB2312" w:eastAsia="方正仿宋_GB2312" w:cs="方正仿宋_GB2312"/>
          <w:b/>
          <w:bCs/>
          <w:color w:val="auto"/>
          <w:sz w:val="32"/>
          <w:szCs w:val="32"/>
        </w:rPr>
      </w:pPr>
      <w:r>
        <w:rPr>
          <w:rFonts w:hint="eastAsia" w:ascii="方正仿宋_GB2312" w:hAnsi="方正仿宋_GB2312" w:eastAsia="方正仿宋_GB2312" w:cs="方正仿宋_GB2312"/>
          <w:b/>
          <w:bCs/>
          <w:color w:val="auto"/>
          <w:sz w:val="32"/>
          <w:szCs w:val="32"/>
        </w:rPr>
        <w:t>5.施工与验收</w:t>
      </w:r>
    </w:p>
    <w:p w14:paraId="6B11C56C">
      <w:pPr>
        <w:spacing w:line="480" w:lineRule="exact"/>
        <w:ind w:firstLine="560" w:firstLineChars="200"/>
        <w:rPr>
          <w:rFonts w:hint="eastAsia" w:eastAsia="仿宋"/>
          <w:color w:val="auto"/>
          <w:kern w:val="0"/>
          <w:sz w:val="28"/>
          <w:szCs w:val="28"/>
        </w:rPr>
      </w:pPr>
      <w:r>
        <w:rPr>
          <w:rFonts w:hint="eastAsia" w:eastAsia="仿宋"/>
          <w:color w:val="auto"/>
          <w:kern w:val="0"/>
          <w:sz w:val="28"/>
          <w:szCs w:val="28"/>
        </w:rPr>
        <w:t>对施工与验收中的施工单位、施工、验收材料等进行了规定。</w:t>
      </w:r>
    </w:p>
    <w:p w14:paraId="1A1C227E">
      <w:pPr>
        <w:pStyle w:val="4"/>
        <w:spacing w:line="500" w:lineRule="exact"/>
        <w:rPr>
          <w:color w:val="auto"/>
        </w:rPr>
      </w:pPr>
      <w:r>
        <w:rPr>
          <w:color w:val="auto"/>
        </w:rPr>
        <w:t>6.运行管理与维护</w:t>
      </w:r>
    </w:p>
    <w:p w14:paraId="04A9E682">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对系统的运行管理与维护进行了规定。</w:t>
      </w:r>
    </w:p>
    <w:p w14:paraId="487039E2">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（1）应建立系统台账、运行记录、定期巡视、交接班、安全检查等管理制度，以及系统运行操作规程等技术文件。</w:t>
      </w:r>
    </w:p>
    <w:p w14:paraId="0F0E6E92">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（2）运行人员应熟悉新型吸附剂喷吸-过滤协同净化气粒复合废气技术的设施、设备的运行要求，经过技术培训和生产实践，并培训合格后方可上岗。</w:t>
      </w:r>
    </w:p>
    <w:p w14:paraId="7DA91FDF">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（3）运行人员应按规程进行操作，并定期检查设施、设备、电器和仪表的运行情况。</w:t>
      </w:r>
    </w:p>
    <w:p w14:paraId="216A002D">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（4）实时监控系统压差、出口浓度、关键设备状态等参数，并做好运行记录，定期校准所有监测仪表。</w:t>
      </w:r>
    </w:p>
    <w:p w14:paraId="0C8EA72A">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（5）定期检查吸附剂储料与喷射系统，防止堵塞与架桥。</w:t>
      </w:r>
    </w:p>
    <w:p w14:paraId="57A3D2FD">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（6）按照设备要求定期检查、更换滤袋或滤筒。</w:t>
      </w:r>
    </w:p>
    <w:p w14:paraId="26901F19">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（7）定期清理灰斗，及时外运或处理粉尘。</w:t>
      </w:r>
    </w:p>
    <w:p w14:paraId="0C13687C">
      <w:pPr>
        <w:spacing w:line="500" w:lineRule="exact"/>
        <w:ind w:firstLine="560" w:firstLineChars="200"/>
        <w:rPr>
          <w:rFonts w:hint="eastAsia" w:eastAsia="仿宋"/>
          <w:color w:val="auto"/>
          <w:kern w:val="0"/>
          <w:sz w:val="28"/>
          <w:szCs w:val="28"/>
        </w:rPr>
      </w:pPr>
      <w:r>
        <w:rPr>
          <w:rFonts w:hint="eastAsia" w:eastAsia="仿宋"/>
          <w:color w:val="auto"/>
          <w:kern w:val="0"/>
          <w:sz w:val="28"/>
          <w:szCs w:val="28"/>
        </w:rPr>
        <w:t>（8）应制定常见故障（如压差异常升高、出口浓度超标、喷射故障等）的诊断与应急处理预案。</w:t>
      </w:r>
    </w:p>
    <w:p w14:paraId="2BA8C6A0">
      <w:pPr>
        <w:pStyle w:val="2"/>
        <w:spacing w:line="500" w:lineRule="exact"/>
        <w:rPr>
          <w:color w:val="auto"/>
          <w:lang w:val="zh-CN"/>
        </w:rPr>
      </w:pPr>
      <w:bookmarkStart w:id="96" w:name="_Toc14296"/>
      <w:bookmarkStart w:id="97" w:name="_Toc5360"/>
      <w:bookmarkStart w:id="98" w:name="_Toc2608"/>
      <w:bookmarkStart w:id="99" w:name="_Toc28968"/>
      <w:bookmarkStart w:id="100" w:name="_Toc2761"/>
      <w:bookmarkStart w:id="101" w:name="_Toc28092"/>
      <w:bookmarkStart w:id="102" w:name="_Toc25738"/>
      <w:r>
        <w:rPr>
          <w:rFonts w:hint="eastAsia"/>
          <w:color w:val="auto"/>
        </w:rPr>
        <w:t>七</w:t>
      </w:r>
      <w:r>
        <w:rPr>
          <w:color w:val="auto"/>
        </w:rPr>
        <w:t>、</w:t>
      </w:r>
      <w:bookmarkStart w:id="103" w:name="_Toc17380"/>
      <w:bookmarkStart w:id="104" w:name="_Toc4668"/>
      <w:bookmarkStart w:id="105" w:name="_Toc29599"/>
      <w:bookmarkStart w:id="106" w:name="_Toc10878"/>
      <w:bookmarkStart w:id="107" w:name="_Toc24521"/>
      <w:bookmarkStart w:id="108" w:name="_Toc30736"/>
      <w:r>
        <w:rPr>
          <w:rFonts w:hint="eastAsia"/>
          <w:color w:val="auto"/>
        </w:rPr>
        <w:t>与有关的现行法律、法规和强制性国家标准的关系</w:t>
      </w:r>
      <w:bookmarkEnd w:id="96"/>
      <w:bookmarkEnd w:id="97"/>
      <w:bookmarkEnd w:id="98"/>
      <w:bookmarkEnd w:id="99"/>
      <w:bookmarkEnd w:id="100"/>
      <w:bookmarkEnd w:id="101"/>
      <w:bookmarkEnd w:id="102"/>
      <w:bookmarkEnd w:id="103"/>
      <w:bookmarkEnd w:id="104"/>
      <w:bookmarkEnd w:id="105"/>
      <w:bookmarkEnd w:id="106"/>
      <w:bookmarkEnd w:id="107"/>
      <w:bookmarkEnd w:id="108"/>
    </w:p>
    <w:p w14:paraId="35E380F7">
      <w:pPr>
        <w:pStyle w:val="63"/>
        <w:adjustRightInd w:val="0"/>
        <w:snapToGrid w:val="0"/>
        <w:spacing w:line="500" w:lineRule="exact"/>
        <w:ind w:firstLine="560" w:firstLineChars="200"/>
        <w:rPr>
          <w:rFonts w:eastAsia="仿宋"/>
          <w:color w:val="auto"/>
          <w:sz w:val="28"/>
          <w:szCs w:val="28"/>
        </w:rPr>
      </w:pPr>
      <w:r>
        <w:rPr>
          <w:rFonts w:hint="eastAsia" w:eastAsia="仿宋"/>
          <w:color w:val="auto"/>
          <w:sz w:val="28"/>
          <w:szCs w:val="28"/>
        </w:rPr>
        <w:t>经查阅，国内暂未制定有与</w:t>
      </w:r>
      <w:r>
        <w:rPr>
          <w:rFonts w:hint="eastAsia" w:eastAsia="仿宋"/>
          <w:color w:val="FF0000"/>
          <w:sz w:val="28"/>
          <w:szCs w:val="28"/>
        </w:rPr>
        <w:t>《新型吸附剂喷吸-过滤协同净化气粒复合废气技术规范》</w:t>
      </w:r>
      <w:r>
        <w:rPr>
          <w:rFonts w:hint="eastAsia" w:eastAsia="仿宋"/>
          <w:color w:val="auto"/>
          <w:sz w:val="28"/>
          <w:szCs w:val="28"/>
        </w:rPr>
        <w:t>相关的国家标准、行业标准、广西地方标准和团体标准。</w:t>
      </w:r>
    </w:p>
    <w:p w14:paraId="4D359DFD">
      <w:pPr>
        <w:spacing w:line="500" w:lineRule="exact"/>
        <w:ind w:firstLine="840" w:firstLineChars="300"/>
        <w:rPr>
          <w:rFonts w:eastAsia="仿宋"/>
          <w:color w:val="auto"/>
          <w:sz w:val="28"/>
          <w:szCs w:val="28"/>
        </w:rPr>
      </w:pPr>
      <w:r>
        <w:rPr>
          <w:rFonts w:eastAsia="仿宋"/>
          <w:color w:val="auto"/>
          <w:sz w:val="28"/>
          <w:szCs w:val="28"/>
        </w:rPr>
        <w:t>本标准的内容与现行的法律、法规及强制性标准无冲突，标准的编写符合</w:t>
      </w:r>
      <w:r>
        <w:rPr>
          <w:rFonts w:hint="eastAsia" w:eastAsia="仿宋"/>
          <w:color w:val="auto"/>
          <w:sz w:val="28"/>
          <w:szCs w:val="28"/>
        </w:rPr>
        <w:t>GB/T 1.1—2020《</w:t>
      </w:r>
      <w:r>
        <w:rPr>
          <w:rFonts w:eastAsia="仿宋"/>
          <w:color w:val="auto"/>
          <w:sz w:val="28"/>
          <w:szCs w:val="28"/>
        </w:rPr>
        <w:t>标准化工作导则 第1部分：标准的结构和编写》的要求。</w:t>
      </w:r>
    </w:p>
    <w:p w14:paraId="775568C6">
      <w:pPr>
        <w:pStyle w:val="2"/>
        <w:spacing w:line="500" w:lineRule="exact"/>
        <w:rPr>
          <w:color w:val="auto"/>
          <w:lang w:val="zh-CN"/>
        </w:rPr>
      </w:pPr>
      <w:bookmarkStart w:id="109" w:name="_Toc283"/>
      <w:bookmarkStart w:id="110" w:name="_Toc14514"/>
      <w:bookmarkStart w:id="111" w:name="_Toc26784"/>
      <w:bookmarkStart w:id="112" w:name="_Toc6669"/>
      <w:bookmarkStart w:id="113" w:name="_Toc10855"/>
      <w:bookmarkStart w:id="114" w:name="_Toc32070"/>
      <w:bookmarkStart w:id="115" w:name="_Toc1249"/>
      <w:r>
        <w:rPr>
          <w:rFonts w:hint="eastAsia"/>
          <w:color w:val="auto"/>
        </w:rPr>
        <w:t>八、</w:t>
      </w:r>
      <w:r>
        <w:rPr>
          <w:color w:val="auto"/>
          <w:lang w:val="zh-CN"/>
        </w:rPr>
        <w:t>重大分歧意见的处理经过和依据</w:t>
      </w:r>
      <w:bookmarkEnd w:id="109"/>
      <w:bookmarkEnd w:id="110"/>
      <w:bookmarkEnd w:id="111"/>
      <w:bookmarkEnd w:id="112"/>
      <w:bookmarkEnd w:id="113"/>
      <w:bookmarkEnd w:id="114"/>
      <w:bookmarkEnd w:id="115"/>
    </w:p>
    <w:p w14:paraId="05CBE072">
      <w:pPr>
        <w:spacing w:line="500" w:lineRule="exact"/>
        <w:ind w:firstLine="560" w:firstLineChars="200"/>
        <w:rPr>
          <w:rFonts w:eastAsia="仿宋"/>
          <w:color w:val="auto"/>
          <w:sz w:val="28"/>
          <w:szCs w:val="28"/>
          <w:lang w:val="zh-CN"/>
        </w:rPr>
      </w:pPr>
      <w:r>
        <w:rPr>
          <w:rFonts w:eastAsia="仿宋"/>
          <w:color w:val="auto"/>
          <w:sz w:val="28"/>
          <w:szCs w:val="28"/>
        </w:rPr>
        <w:t>本标准研制过程中无重大分歧意见。</w:t>
      </w:r>
    </w:p>
    <w:p w14:paraId="13C50132">
      <w:pPr>
        <w:pStyle w:val="2"/>
        <w:spacing w:line="500" w:lineRule="exact"/>
        <w:rPr>
          <w:color w:val="auto"/>
        </w:rPr>
      </w:pPr>
      <w:bookmarkStart w:id="116" w:name="_Toc8533"/>
      <w:bookmarkStart w:id="117" w:name="_Toc12774"/>
      <w:bookmarkStart w:id="118" w:name="_Toc28237"/>
      <w:bookmarkStart w:id="119" w:name="_Toc9176"/>
      <w:bookmarkStart w:id="120" w:name="_Toc20649"/>
      <w:bookmarkStart w:id="121" w:name="_Toc2635"/>
      <w:bookmarkStart w:id="122" w:name="_Toc21230"/>
      <w:r>
        <w:rPr>
          <w:rFonts w:hint="eastAsia"/>
          <w:color w:val="auto"/>
        </w:rPr>
        <w:t>九、</w:t>
      </w:r>
      <w:r>
        <w:rPr>
          <w:color w:val="auto"/>
        </w:rPr>
        <w:t>自我承诺</w:t>
      </w:r>
      <w:bookmarkEnd w:id="116"/>
      <w:bookmarkEnd w:id="117"/>
      <w:bookmarkEnd w:id="118"/>
      <w:bookmarkEnd w:id="119"/>
      <w:bookmarkEnd w:id="120"/>
      <w:bookmarkEnd w:id="121"/>
      <w:bookmarkEnd w:id="122"/>
    </w:p>
    <w:p w14:paraId="71533752">
      <w:pPr>
        <w:spacing w:line="500" w:lineRule="exact"/>
        <w:ind w:firstLine="560" w:firstLineChars="200"/>
        <w:rPr>
          <w:rFonts w:eastAsia="仿宋"/>
          <w:color w:val="auto"/>
          <w:sz w:val="28"/>
          <w:szCs w:val="28"/>
        </w:rPr>
      </w:pPr>
      <w:r>
        <w:rPr>
          <w:rFonts w:eastAsia="仿宋"/>
          <w:color w:val="auto"/>
          <w:sz w:val="28"/>
          <w:szCs w:val="28"/>
        </w:rPr>
        <w:t>本标准内容与各项指标不低于国家强制性标准、国家推荐性标准和行业标准。</w:t>
      </w:r>
    </w:p>
    <w:p w14:paraId="4C2EA32B">
      <w:pPr>
        <w:pStyle w:val="2"/>
        <w:rPr>
          <w:color w:val="auto"/>
        </w:rPr>
      </w:pPr>
      <w:bookmarkStart w:id="123" w:name="_Toc1764"/>
      <w:r>
        <w:rPr>
          <w:rFonts w:hint="eastAsia"/>
          <w:color w:val="auto"/>
        </w:rPr>
        <w:t>十</w:t>
      </w:r>
      <w:r>
        <w:rPr>
          <w:color w:val="auto"/>
        </w:rPr>
        <w:t>、实施标准的措施</w:t>
      </w:r>
      <w:bookmarkEnd w:id="123"/>
    </w:p>
    <w:p w14:paraId="7AA55C47">
      <w:pPr>
        <w:spacing w:line="500" w:lineRule="exact"/>
        <w:ind w:firstLine="560" w:firstLineChars="200"/>
        <w:rPr>
          <w:rFonts w:hint="eastAsia" w:eastAsia="仿宋"/>
          <w:color w:val="auto"/>
          <w:sz w:val="28"/>
          <w:szCs w:val="28"/>
        </w:rPr>
      </w:pPr>
      <w:r>
        <w:rPr>
          <w:rFonts w:hint="eastAsia" w:eastAsia="仿宋"/>
          <w:color w:val="auto"/>
          <w:sz w:val="28"/>
          <w:szCs w:val="28"/>
        </w:rPr>
        <w:t>（一）标准报批发布后，成立标准宣贯工作组</w:t>
      </w:r>
    </w:p>
    <w:p w14:paraId="71774CFD">
      <w:pPr>
        <w:spacing w:line="500" w:lineRule="exact"/>
        <w:ind w:firstLine="560" w:firstLineChars="200"/>
        <w:rPr>
          <w:rFonts w:hint="eastAsia" w:eastAsia="仿宋"/>
          <w:color w:val="auto"/>
          <w:sz w:val="28"/>
          <w:szCs w:val="28"/>
        </w:rPr>
      </w:pPr>
      <w:r>
        <w:rPr>
          <w:rFonts w:hint="eastAsia" w:eastAsia="仿宋"/>
          <w:color w:val="auto"/>
          <w:sz w:val="28"/>
          <w:szCs w:val="28"/>
        </w:rPr>
        <w:t>本标准发布后，成立以标准主要起草人为成员的标准宣贯工作组，主要负责标准的宣贯实施培训计划制定、标准实施交流会策划、标准实施信息反馈收集和标准实施效果评价等工作，并根据标准实施信息反馈和标准实施效果评价情况，及时组织标准复审修订。</w:t>
      </w:r>
    </w:p>
    <w:p w14:paraId="4A6A793F">
      <w:pPr>
        <w:spacing w:line="500" w:lineRule="exact"/>
        <w:ind w:firstLine="560" w:firstLineChars="200"/>
        <w:rPr>
          <w:rFonts w:hint="eastAsia" w:eastAsia="仿宋"/>
          <w:color w:val="auto"/>
          <w:sz w:val="28"/>
          <w:szCs w:val="28"/>
        </w:rPr>
      </w:pPr>
      <w:r>
        <w:rPr>
          <w:rFonts w:hint="eastAsia" w:eastAsia="仿宋"/>
          <w:color w:val="auto"/>
          <w:sz w:val="28"/>
          <w:szCs w:val="28"/>
        </w:rPr>
        <w:t>（二）组织开展标准宣贯培训</w:t>
      </w:r>
    </w:p>
    <w:p w14:paraId="7C69E020">
      <w:pPr>
        <w:spacing w:line="500" w:lineRule="exact"/>
        <w:ind w:firstLine="560" w:firstLineChars="200"/>
        <w:rPr>
          <w:rFonts w:hint="eastAsia" w:eastAsia="仿宋"/>
          <w:color w:val="auto"/>
          <w:sz w:val="28"/>
          <w:szCs w:val="28"/>
        </w:rPr>
      </w:pPr>
      <w:r>
        <w:rPr>
          <w:rFonts w:hint="eastAsia" w:eastAsia="仿宋"/>
          <w:color w:val="auto"/>
          <w:sz w:val="28"/>
          <w:szCs w:val="28"/>
        </w:rPr>
        <w:t>标准发布实施后，标准宣贯工作小组制作标准解读宣贯培训PPT课件和标准核心技术明白书，并按标准宣贯培训计划对相关技术人员开展标准宣贯培训，对标准进行逐条解读，让相关技术人员掌握标准核心技术内容，助力标准实施落地，助力肥料生产和木材加工产业高质量发展。</w:t>
      </w:r>
    </w:p>
    <w:p w14:paraId="307FBB26">
      <w:pPr>
        <w:spacing w:line="500" w:lineRule="exact"/>
        <w:ind w:firstLine="560" w:firstLineChars="200"/>
        <w:rPr>
          <w:rFonts w:hint="eastAsia" w:eastAsia="仿宋"/>
          <w:color w:val="auto"/>
          <w:sz w:val="28"/>
          <w:szCs w:val="28"/>
        </w:rPr>
      </w:pPr>
      <w:r>
        <w:rPr>
          <w:rFonts w:hint="eastAsia" w:eastAsia="仿宋"/>
          <w:color w:val="auto"/>
          <w:sz w:val="28"/>
          <w:szCs w:val="28"/>
        </w:rPr>
        <w:t>（三）开展标准实施交流会，收集标准实施反馈信息</w:t>
      </w:r>
    </w:p>
    <w:p w14:paraId="238A729B">
      <w:pPr>
        <w:spacing w:line="500" w:lineRule="exact"/>
        <w:ind w:firstLine="560" w:firstLineChars="200"/>
        <w:rPr>
          <w:rFonts w:hint="eastAsia" w:eastAsia="仿宋"/>
          <w:color w:val="auto"/>
          <w:sz w:val="28"/>
          <w:szCs w:val="28"/>
        </w:rPr>
      </w:pPr>
      <w:r>
        <w:rPr>
          <w:rFonts w:hint="eastAsia" w:eastAsia="仿宋"/>
          <w:color w:val="auto"/>
          <w:sz w:val="28"/>
          <w:szCs w:val="28"/>
        </w:rPr>
        <w:t>标准起草小组深入团体标准发布机构、应用该技术的公司组织相关技术人员召开标准实施交流会，听取标准实施过程中存在的问题并做好记录和解答，对存在的问题组织项目团队进行研讨，为标准的复审修订做准备。</w:t>
      </w:r>
    </w:p>
    <w:p w14:paraId="7883F7EB">
      <w:pPr>
        <w:spacing w:line="500" w:lineRule="exact"/>
        <w:ind w:firstLine="560" w:firstLineChars="200"/>
        <w:rPr>
          <w:rFonts w:hint="eastAsia" w:eastAsia="仿宋"/>
          <w:color w:val="auto"/>
          <w:sz w:val="28"/>
          <w:szCs w:val="28"/>
        </w:rPr>
      </w:pPr>
      <w:r>
        <w:rPr>
          <w:rFonts w:hint="eastAsia" w:eastAsia="仿宋"/>
          <w:color w:val="auto"/>
          <w:sz w:val="28"/>
          <w:szCs w:val="28"/>
        </w:rPr>
        <w:t>（四）开展标准实施效果评估</w:t>
      </w:r>
    </w:p>
    <w:p w14:paraId="1FC99F13">
      <w:pPr>
        <w:spacing w:line="500" w:lineRule="exact"/>
        <w:ind w:firstLine="560" w:firstLineChars="200"/>
        <w:rPr>
          <w:rFonts w:eastAsia="仿宋"/>
          <w:color w:val="auto"/>
          <w:sz w:val="28"/>
          <w:szCs w:val="28"/>
        </w:rPr>
      </w:pPr>
      <w:r>
        <w:rPr>
          <w:rFonts w:hint="eastAsia" w:eastAsia="仿宋"/>
          <w:color w:val="auto"/>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5DB734AC">
      <w:pPr>
        <w:spacing w:line="500" w:lineRule="exact"/>
        <w:jc w:val="left"/>
        <w:rPr>
          <w:rFonts w:eastAsia="仿宋"/>
          <w:color w:val="auto"/>
          <w:sz w:val="28"/>
          <w:szCs w:val="28"/>
        </w:rPr>
      </w:pPr>
      <w:bookmarkStart w:id="124" w:name="_Toc4478"/>
    </w:p>
    <w:p w14:paraId="1CE05AC4">
      <w:pPr>
        <w:spacing w:line="500" w:lineRule="exact"/>
        <w:jc w:val="left"/>
        <w:rPr>
          <w:rFonts w:eastAsia="仿宋"/>
          <w:color w:val="auto"/>
          <w:sz w:val="28"/>
          <w:szCs w:val="28"/>
        </w:rPr>
      </w:pPr>
    </w:p>
    <w:p w14:paraId="677107B1">
      <w:pPr>
        <w:spacing w:line="500" w:lineRule="exact"/>
        <w:jc w:val="left"/>
        <w:rPr>
          <w:color w:val="auto"/>
          <w:sz w:val="28"/>
          <w:szCs w:val="28"/>
        </w:rPr>
      </w:pPr>
      <w:r>
        <w:rPr>
          <w:rFonts w:eastAsia="仿宋"/>
          <w:color w:val="auto"/>
          <w:sz w:val="28"/>
          <w:szCs w:val="28"/>
        </w:rPr>
        <w:t>团体标准《</w:t>
      </w:r>
      <w:r>
        <w:rPr>
          <w:rFonts w:hint="eastAsia" w:eastAsia="仿宋"/>
          <w:color w:val="auto"/>
          <w:sz w:val="28"/>
          <w:szCs w:val="28"/>
          <w:lang w:val="zh-CN"/>
        </w:rPr>
        <w:t>新型吸附剂喷吸-过滤协同净化气粒复合废气技术规范</w:t>
      </w:r>
      <w:r>
        <w:rPr>
          <w:rFonts w:eastAsia="仿宋"/>
          <w:color w:val="auto"/>
          <w:sz w:val="28"/>
          <w:szCs w:val="28"/>
        </w:rPr>
        <w:t>》</w:t>
      </w:r>
    </w:p>
    <w:p w14:paraId="5624F4CE">
      <w:pPr>
        <w:spacing w:line="500" w:lineRule="exact"/>
        <w:rPr>
          <w:rFonts w:eastAsia="仿宋"/>
          <w:color w:val="auto"/>
          <w:sz w:val="28"/>
          <w:szCs w:val="28"/>
        </w:rPr>
      </w:pPr>
      <w:r>
        <w:rPr>
          <w:color w:val="auto"/>
          <w:sz w:val="28"/>
          <w:szCs w:val="28"/>
        </w:rPr>
        <w:t xml:space="preserve">                    </w:t>
      </w:r>
      <w:r>
        <w:rPr>
          <w:rFonts w:hint="eastAsia"/>
          <w:color w:val="auto"/>
          <w:sz w:val="28"/>
          <w:szCs w:val="28"/>
        </w:rPr>
        <w:t xml:space="preserve">   </w:t>
      </w:r>
      <w:r>
        <w:rPr>
          <w:color w:val="auto"/>
          <w:sz w:val="28"/>
          <w:szCs w:val="28"/>
        </w:rPr>
        <w:t xml:space="preserve">           </w:t>
      </w:r>
      <w:r>
        <w:rPr>
          <w:rFonts w:eastAsia="仿宋"/>
          <w:color w:val="auto"/>
          <w:sz w:val="28"/>
          <w:szCs w:val="28"/>
        </w:rPr>
        <w:t xml:space="preserve"> </w:t>
      </w:r>
      <w:r>
        <w:rPr>
          <w:rFonts w:hint="eastAsia" w:eastAsia="仿宋"/>
          <w:color w:val="auto"/>
          <w:sz w:val="28"/>
          <w:szCs w:val="28"/>
        </w:rPr>
        <w:t xml:space="preserve">  </w:t>
      </w:r>
      <w:r>
        <w:rPr>
          <w:rFonts w:eastAsia="仿宋"/>
          <w:color w:val="auto"/>
          <w:sz w:val="28"/>
          <w:szCs w:val="28"/>
        </w:rPr>
        <w:t xml:space="preserve">  标准编制工作组</w:t>
      </w:r>
    </w:p>
    <w:p w14:paraId="53188668">
      <w:pPr>
        <w:spacing w:line="500" w:lineRule="exact"/>
        <w:rPr>
          <w:color w:val="auto"/>
          <w:kern w:val="0"/>
          <w:sz w:val="28"/>
          <w:szCs w:val="28"/>
        </w:rPr>
      </w:pPr>
      <w:r>
        <w:rPr>
          <w:color w:val="auto"/>
          <w:sz w:val="28"/>
          <w:szCs w:val="28"/>
        </w:rPr>
        <w:t xml:space="preserve">                            </w:t>
      </w:r>
      <w:r>
        <w:rPr>
          <w:rFonts w:hint="eastAsia"/>
          <w:color w:val="auto"/>
          <w:sz w:val="28"/>
          <w:szCs w:val="28"/>
        </w:rPr>
        <w:t xml:space="preserve">      </w:t>
      </w:r>
      <w:r>
        <w:rPr>
          <w:color w:val="auto"/>
          <w:sz w:val="28"/>
          <w:szCs w:val="28"/>
        </w:rPr>
        <w:t xml:space="preserve">   </w:t>
      </w:r>
      <w:r>
        <w:rPr>
          <w:rFonts w:eastAsia="仿宋"/>
          <w:color w:val="auto"/>
          <w:sz w:val="28"/>
          <w:szCs w:val="28"/>
        </w:rPr>
        <w:t xml:space="preserve">   202</w:t>
      </w:r>
      <w:r>
        <w:rPr>
          <w:rFonts w:hint="eastAsia" w:eastAsia="仿宋"/>
          <w:color w:val="auto"/>
          <w:sz w:val="28"/>
          <w:szCs w:val="28"/>
        </w:rPr>
        <w:t>6</w:t>
      </w:r>
      <w:r>
        <w:rPr>
          <w:rFonts w:eastAsia="仿宋"/>
          <w:color w:val="auto"/>
          <w:sz w:val="28"/>
          <w:szCs w:val="28"/>
        </w:rPr>
        <w:t>年</w:t>
      </w:r>
      <w:r>
        <w:rPr>
          <w:rFonts w:hint="eastAsia" w:eastAsia="仿宋"/>
          <w:color w:val="auto"/>
          <w:sz w:val="28"/>
          <w:szCs w:val="28"/>
          <w:lang w:val="en-US" w:eastAsia="zh-CN"/>
        </w:rPr>
        <w:t>5</w:t>
      </w:r>
      <w:r>
        <w:rPr>
          <w:rFonts w:eastAsia="仿宋"/>
          <w:color w:val="auto"/>
          <w:sz w:val="28"/>
          <w:szCs w:val="28"/>
        </w:rPr>
        <w:t>月</w:t>
      </w:r>
      <w:r>
        <w:rPr>
          <w:rFonts w:hint="eastAsia" w:eastAsia="仿宋"/>
          <w:color w:val="auto"/>
          <w:sz w:val="28"/>
          <w:szCs w:val="28"/>
          <w:lang w:val="en-US" w:eastAsia="zh-CN"/>
        </w:rPr>
        <w:t>29</w:t>
      </w:r>
      <w:r>
        <w:rPr>
          <w:rFonts w:eastAsia="仿宋"/>
          <w:color w:val="auto"/>
          <w:sz w:val="28"/>
          <w:szCs w:val="28"/>
        </w:rPr>
        <w:t>日</w:t>
      </w:r>
      <w:bookmarkEnd w:id="124"/>
    </w:p>
    <w:p w14:paraId="694F8FCA">
      <w:pPr>
        <w:rPr>
          <w:color w:val="auto"/>
        </w:rPr>
      </w:pPr>
    </w:p>
    <w:sectPr>
      <w:footerReference r:id="rId4"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Noto Sans CJK JP Regular">
    <w:altName w:val="微软雅黑"/>
    <w:panose1 w:val="00000000000000000000"/>
    <w:charset w:val="00"/>
    <w:family w:val="swiss"/>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Sim Sun">
    <w:altName w:val="微软雅黑"/>
    <w:panose1 w:val="00000000000000000000"/>
    <w:charset w:val="00"/>
    <w:family w:val="auto"/>
    <w:pitch w:val="default"/>
    <w:sig w:usb0="00000000" w:usb1="00000000" w:usb2="00000016" w:usb3="00000000" w:csb0="00040001" w:csb1="00000000"/>
  </w:font>
  <w:font w:name="方正仿宋_GB2312">
    <w:panose1 w:val="02000000000000000000"/>
    <w:charset w:val="86"/>
    <w:family w:val="auto"/>
    <w:pitch w:val="default"/>
    <w:sig w:usb0="A00002BF" w:usb1="184F6CFA" w:usb2="00000012" w:usb3="00000000" w:csb0="00040001" w:csb1="00000000"/>
  </w:font>
  <w:font w:name="Saturday Sans Regular">
    <w:altName w:val="宋体"/>
    <w:panose1 w:val="02010600010101010101"/>
    <w:charset w:val="86"/>
    <w:family w:val="auto"/>
    <w:pitch w:val="default"/>
    <w:sig w:usb0="00000000" w:usb1="00000000" w:usb2="00000000" w:usb3="00000000" w:csb0="00040000" w:csb1="0000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 w:name="Microsoft YaHei UI">
    <w:panose1 w:val="020B0503020204020204"/>
    <w:charset w:val="86"/>
    <w:family w:val="swiss"/>
    <w:pitch w:val="default"/>
    <w:sig w:usb0="80000287" w:usb1="2ACF3C50" w:usb2="00000016" w:usb3="00000000" w:csb0="0004001F" w:csb1="00000000"/>
  </w:font>
  <w:font w:name="汉仪中宋简">
    <w:panose1 w:val="02010600000101010101"/>
    <w:charset w:val="80"/>
    <w:family w:val="auto"/>
    <w:pitch w:val="default"/>
    <w:sig w:usb0="800002BF" w:usb1="184F6CF8" w:usb2="00000012"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D2282A">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23800">
    <w:pPr>
      <w:pStyle w:val="12"/>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10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CEF6F38">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19</w:t>
                          </w:r>
                          <w:r>
                            <w:rPr>
                              <w:rFonts w:hint="eastAsia"/>
                            </w:rPr>
                            <w:fldChar w:fldCharType="end"/>
                          </w:r>
                        </w:p>
                      </w:txbxContent>
                    </wps:txbx>
                    <wps:bodyPr wrap="none" lIns="0" tIns="0" rIns="0" bIns="0" upright="1">
                      <a:spAutoFit/>
                    </wps:bodyPr>
                  </wps:wsp>
                </a:graphicData>
              </a:graphic>
            </wp:anchor>
          </w:drawing>
        </mc:Choice>
        <mc:Fallback>
          <w:pict>
            <v:shape id="文本框 1032"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CGLL+IzAEAAJ0DAAAOAAAAAAAAAAEAIAAAAB4BAABkcnMvZTJv&#10;RG9jLnhtbFBLBQYAAAAABgAGAFkBAABcBQAAAAA=&#10;">
              <v:fill on="f" focussize="0,0"/>
              <v:stroke on="f"/>
              <v:imagedata o:title=""/>
              <o:lock v:ext="edit" aspectratio="f"/>
              <v:textbox inset="0mm,0mm,0mm,0mm" style="mso-fit-shape-to-text:t;">
                <w:txbxContent>
                  <w:p w14:paraId="0CEF6F38">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19</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7C3476D"/>
    <w:multiLevelType w:val="multilevel"/>
    <w:tmpl w:val="D7C3476D"/>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74"/>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1135"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1">
    <w:nsid w:val="E04B76D9"/>
    <w:multiLevelType w:val="multilevel"/>
    <w:tmpl w:val="E04B76D9"/>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pStyle w:val="75"/>
      <w:suff w:val="nothing"/>
      <w:lvlText w:val="%1%2.%3.%4.%5　"/>
      <w:lvlJc w:val="left"/>
      <w:pPr>
        <w:ind w:left="1135"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1FC91163"/>
    <w:multiLevelType w:val="multilevel"/>
    <w:tmpl w:val="1FC91163"/>
    <w:lvl w:ilvl="0" w:tentative="0">
      <w:start w:val="1"/>
      <w:numFmt w:val="decimal"/>
      <w:pStyle w:val="52"/>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2"/>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41"/>
      <w:suff w:val="nothing"/>
      <w:lvlText w:val="%1.%2.%3　"/>
      <w:lvlJc w:val="left"/>
      <w:pPr>
        <w:ind w:left="0" w:firstLine="0"/>
      </w:pPr>
      <w:rPr>
        <w:rFonts w:hint="eastAsia" w:ascii="黑体" w:hAnsi="Times New Roman" w:eastAsia="黑体"/>
        <w:b w:val="0"/>
        <w:i w:val="0"/>
        <w:sz w:val="21"/>
      </w:rPr>
    </w:lvl>
    <w:lvl w:ilvl="3" w:tentative="0">
      <w:start w:val="1"/>
      <w:numFmt w:val="decimal"/>
      <w:pStyle w:val="40"/>
      <w:suff w:val="nothing"/>
      <w:lvlText w:val="%1.%2.%3.%4　"/>
      <w:lvlJc w:val="left"/>
      <w:pPr>
        <w:ind w:left="0" w:firstLine="0"/>
      </w:pPr>
      <w:rPr>
        <w:rFonts w:hint="eastAsia" w:ascii="黑体" w:hAnsi="Times New Roman" w:eastAsia="黑体"/>
        <w:b w:val="0"/>
        <w:i w:val="0"/>
        <w:sz w:val="21"/>
      </w:rPr>
    </w:lvl>
    <w:lvl w:ilvl="4" w:tentative="0">
      <w:start w:val="1"/>
      <w:numFmt w:val="decimal"/>
      <w:pStyle w:val="49"/>
      <w:suff w:val="nothing"/>
      <w:lvlText w:val="%1.%2.%3.%4.%5　"/>
      <w:lvlJc w:val="left"/>
      <w:pPr>
        <w:ind w:left="840" w:firstLine="0"/>
      </w:pPr>
      <w:rPr>
        <w:rFonts w:hint="eastAsia" w:ascii="黑体" w:hAnsi="Times New Roman" w:eastAsia="黑体"/>
        <w:b w:val="0"/>
        <w:i w:val="0"/>
        <w:sz w:val="21"/>
      </w:rPr>
    </w:lvl>
    <w:lvl w:ilvl="5" w:tentative="0">
      <w:start w:val="1"/>
      <w:numFmt w:val="decimal"/>
      <w:pStyle w:val="48"/>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352F9869"/>
    <w:multiLevelType w:val="multilevel"/>
    <w:tmpl w:val="352F9869"/>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pStyle w:val="76"/>
      <w:suff w:val="nothing"/>
      <w:lvlText w:val="%1%2.%3.%4.%5　"/>
      <w:lvlJc w:val="left"/>
      <w:pPr>
        <w:ind w:left="1135"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4">
    <w:nsid w:val="557C2AF5"/>
    <w:multiLevelType w:val="multilevel"/>
    <w:tmpl w:val="557C2AF5"/>
    <w:lvl w:ilvl="0" w:tentative="0">
      <w:start w:val="1"/>
      <w:numFmt w:val="decimal"/>
      <w:pStyle w:val="68"/>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5">
    <w:nsid w:val="657D3FBC"/>
    <w:multiLevelType w:val="multilevel"/>
    <w:tmpl w:val="657D3FBC"/>
    <w:lvl w:ilvl="0" w:tentative="0">
      <w:start w:val="1"/>
      <w:numFmt w:val="upperLetter"/>
      <w:pStyle w:val="55"/>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36"/>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58"/>
      <w:suff w:val="nothing"/>
      <w:lvlText w:val="%1.%2.%3　"/>
      <w:lvlJc w:val="left"/>
      <w:pPr>
        <w:ind w:left="0" w:firstLine="0"/>
      </w:pPr>
      <w:rPr>
        <w:rFonts w:hint="eastAsia" w:ascii="黑体" w:hAnsi="Times New Roman" w:eastAsia="黑体"/>
        <w:b w:val="0"/>
        <w:i w:val="0"/>
        <w:sz w:val="21"/>
      </w:rPr>
    </w:lvl>
    <w:lvl w:ilvl="3" w:tentative="0">
      <w:start w:val="1"/>
      <w:numFmt w:val="decimal"/>
      <w:pStyle w:val="43"/>
      <w:suff w:val="nothing"/>
      <w:lvlText w:val="%1.%2.%3.%4　"/>
      <w:lvlJc w:val="left"/>
      <w:pPr>
        <w:ind w:left="0" w:firstLine="0"/>
      </w:pPr>
      <w:rPr>
        <w:rFonts w:hint="eastAsia" w:ascii="黑体" w:hAnsi="Times New Roman" w:eastAsia="黑体"/>
        <w:b w:val="0"/>
        <w:i w:val="0"/>
        <w:sz w:val="21"/>
      </w:rPr>
    </w:lvl>
    <w:lvl w:ilvl="4" w:tentative="0">
      <w:start w:val="1"/>
      <w:numFmt w:val="decimal"/>
      <w:pStyle w:val="47"/>
      <w:suff w:val="nothing"/>
      <w:lvlText w:val="%1.%2.%3.%4.%5　"/>
      <w:lvlJc w:val="left"/>
      <w:pPr>
        <w:ind w:left="0" w:firstLine="0"/>
      </w:pPr>
      <w:rPr>
        <w:rFonts w:hint="eastAsia" w:ascii="黑体" w:hAnsi="Times New Roman" w:eastAsia="黑体"/>
        <w:b w:val="0"/>
        <w:i w:val="0"/>
        <w:sz w:val="21"/>
      </w:rPr>
    </w:lvl>
    <w:lvl w:ilvl="5" w:tentative="0">
      <w:start w:val="1"/>
      <w:numFmt w:val="decimal"/>
      <w:pStyle w:val="46"/>
      <w:suff w:val="nothing"/>
      <w:lvlText w:val="%1.%2.%3.%4.%5.%6　"/>
      <w:lvlJc w:val="left"/>
      <w:pPr>
        <w:ind w:left="0" w:firstLine="0"/>
      </w:pPr>
      <w:rPr>
        <w:rFonts w:hint="eastAsia" w:ascii="黑体" w:hAnsi="Times New Roman" w:eastAsia="黑体"/>
        <w:b w:val="0"/>
        <w:i w:val="0"/>
        <w:sz w:val="21"/>
      </w:rPr>
    </w:lvl>
    <w:lvl w:ilvl="6" w:tentative="0">
      <w:start w:val="1"/>
      <w:numFmt w:val="decimal"/>
      <w:pStyle w:val="45"/>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6">
    <w:nsid w:val="7314ADCB"/>
    <w:multiLevelType w:val="multilevel"/>
    <w:tmpl w:val="7314ADCB"/>
    <w:lvl w:ilvl="0" w:tentative="0">
      <w:start w:val="1"/>
      <w:numFmt w:val="none"/>
      <w:suff w:val="nothing"/>
      <w:lvlText w:val="%1"/>
      <w:lvlJc w:val="left"/>
      <w:pPr>
        <w:tabs>
          <w:tab w:val="left" w:pos="0"/>
        </w:tabs>
        <w:ind w:left="0" w:firstLine="0"/>
      </w:pPr>
    </w:lvl>
    <w:lvl w:ilvl="1" w:tentative="0">
      <w:start w:val="1"/>
      <w:numFmt w:val="decimal"/>
      <w:pStyle w:val="60"/>
      <w:suff w:val="nothing"/>
      <w:lvlText w:val="%1%2　"/>
      <w:lvlJc w:val="left"/>
      <w:pPr>
        <w:tabs>
          <w:tab w:val="left" w:pos="0"/>
        </w:tabs>
        <w:ind w:left="142" w:firstLine="0"/>
      </w:pPr>
      <w:rPr>
        <w:rFonts w:hint="eastAsia" w:ascii="黑体" w:hAnsi="Times New Roman" w:eastAsia="黑体" w:cs="黑体"/>
        <w:b w:val="0"/>
        <w:sz w:val="21"/>
      </w:rPr>
    </w:lvl>
    <w:lvl w:ilvl="2" w:tentative="0">
      <w:start w:val="1"/>
      <w:numFmt w:val="decimal"/>
      <w:pStyle w:val="62"/>
      <w:suff w:val="nothing"/>
      <w:lvlText w:val="%1%2.%3　"/>
      <w:lvlJc w:val="left"/>
      <w:pPr>
        <w:tabs>
          <w:tab w:val="left" w:pos="0"/>
        </w:tabs>
        <w:ind w:left="284" w:firstLine="0"/>
      </w:pPr>
      <w:rPr>
        <w:rFonts w:hint="eastAsia" w:ascii="黑体" w:hAnsi="Times New Roman" w:eastAsia="黑体" w:cs="Times New Roman"/>
        <w:b w:val="0"/>
        <w:bCs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tabs>
          <w:tab w:val="left" w:pos="0"/>
        </w:tabs>
        <w:ind w:left="851" w:firstLine="0"/>
      </w:pPr>
      <w:rPr>
        <w:rFonts w:hint="eastAsia" w:ascii="黑体" w:hAnsi="Times New Roman" w:eastAsia="黑体" w:cs="黑体"/>
        <w:b w:val="0"/>
        <w:sz w:val="21"/>
      </w:rPr>
    </w:lvl>
    <w:lvl w:ilvl="4" w:tentative="0">
      <w:start w:val="1"/>
      <w:numFmt w:val="decimal"/>
      <w:suff w:val="nothing"/>
      <w:lvlText w:val="%1%2.%3.%4.%5　"/>
      <w:lvlJc w:val="left"/>
      <w:pPr>
        <w:tabs>
          <w:tab w:val="left" w:pos="0"/>
        </w:tabs>
        <w:ind w:left="709" w:firstLine="0"/>
      </w:pPr>
      <w:rPr>
        <w:rFonts w:hint="eastAsia" w:ascii="黑体" w:hAnsi="Times New Roman" w:eastAsia="黑体" w:cs="黑体"/>
        <w:b w:val="0"/>
        <w:sz w:val="21"/>
      </w:rPr>
    </w:lvl>
    <w:lvl w:ilvl="5" w:tentative="0">
      <w:start w:val="1"/>
      <w:numFmt w:val="decimal"/>
      <w:suff w:val="nothing"/>
      <w:lvlText w:val="%1%2.%3.%4.%5.%6　"/>
      <w:lvlJc w:val="left"/>
      <w:pPr>
        <w:tabs>
          <w:tab w:val="left" w:pos="0"/>
        </w:tabs>
        <w:ind w:left="0" w:firstLine="0"/>
      </w:pPr>
      <w:rPr>
        <w:rFonts w:hint="eastAsia" w:ascii="黑体" w:hAnsi="Times New Roman" w:eastAsia="黑体" w:cs="黑体"/>
        <w:b w:val="0"/>
        <w:sz w:val="21"/>
      </w:rPr>
    </w:lvl>
    <w:lvl w:ilvl="6" w:tentative="0">
      <w:start w:val="1"/>
      <w:numFmt w:val="decimal"/>
      <w:suff w:val="nothing"/>
      <w:lvlText w:val="%1%2.%3.%4.%5.%6.%7　"/>
      <w:lvlJc w:val="left"/>
      <w:pPr>
        <w:tabs>
          <w:tab w:val="left" w:pos="0"/>
        </w:tabs>
        <w:ind w:left="0" w:firstLine="0"/>
      </w:pPr>
      <w:rPr>
        <w:rFonts w:hint="eastAsia" w:ascii="黑体" w:hAnsi="Times New Roman" w:eastAsia="黑体" w:cs="黑体"/>
        <w:b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num w:numId="1">
    <w:abstractNumId w:val="5"/>
  </w:num>
  <w:num w:numId="2">
    <w:abstractNumId w:val="2"/>
  </w:num>
  <w:num w:numId="3">
    <w:abstractNumId w:val="6"/>
  </w:num>
  <w:num w:numId="4">
    <w:abstractNumId w:val="4"/>
  </w:num>
  <w:num w:numId="5">
    <w:abstractNumId w:val="0"/>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AxMDYyNGMzNzA5YmZmOTk1NDgyYjkwNmNiNThhYjkifQ=="/>
  </w:docVars>
  <w:rsids>
    <w:rsidRoot w:val="00172A27"/>
    <w:rsid w:val="00010DC7"/>
    <w:rsid w:val="00011A01"/>
    <w:rsid w:val="00015A4C"/>
    <w:rsid w:val="0002639E"/>
    <w:rsid w:val="00030216"/>
    <w:rsid w:val="00040673"/>
    <w:rsid w:val="000575CB"/>
    <w:rsid w:val="00067198"/>
    <w:rsid w:val="000B0F63"/>
    <w:rsid w:val="000B61BD"/>
    <w:rsid w:val="000C6C8D"/>
    <w:rsid w:val="000C7F1A"/>
    <w:rsid w:val="000D1C3A"/>
    <w:rsid w:val="000E1E0E"/>
    <w:rsid w:val="000E4267"/>
    <w:rsid w:val="000F0248"/>
    <w:rsid w:val="000F05CF"/>
    <w:rsid w:val="000F1DB5"/>
    <w:rsid w:val="000F662B"/>
    <w:rsid w:val="00106F17"/>
    <w:rsid w:val="0011216C"/>
    <w:rsid w:val="00117E69"/>
    <w:rsid w:val="00126A30"/>
    <w:rsid w:val="001308AB"/>
    <w:rsid w:val="0013732D"/>
    <w:rsid w:val="00147C7D"/>
    <w:rsid w:val="00151434"/>
    <w:rsid w:val="00153C50"/>
    <w:rsid w:val="00157952"/>
    <w:rsid w:val="00164143"/>
    <w:rsid w:val="00171FB7"/>
    <w:rsid w:val="00172F71"/>
    <w:rsid w:val="001832F7"/>
    <w:rsid w:val="001A054A"/>
    <w:rsid w:val="001B2F50"/>
    <w:rsid w:val="001B305C"/>
    <w:rsid w:val="001B54C0"/>
    <w:rsid w:val="001B5E84"/>
    <w:rsid w:val="001C0F7D"/>
    <w:rsid w:val="001C216B"/>
    <w:rsid w:val="001D7E57"/>
    <w:rsid w:val="001E52AA"/>
    <w:rsid w:val="001E67A8"/>
    <w:rsid w:val="001F15BF"/>
    <w:rsid w:val="001F428D"/>
    <w:rsid w:val="001F4A83"/>
    <w:rsid w:val="0020585D"/>
    <w:rsid w:val="00224621"/>
    <w:rsid w:val="0024763C"/>
    <w:rsid w:val="002477A2"/>
    <w:rsid w:val="00265A98"/>
    <w:rsid w:val="00267652"/>
    <w:rsid w:val="002712EC"/>
    <w:rsid w:val="00277B4E"/>
    <w:rsid w:val="00285B52"/>
    <w:rsid w:val="00294C06"/>
    <w:rsid w:val="0029509C"/>
    <w:rsid w:val="00295185"/>
    <w:rsid w:val="002B6794"/>
    <w:rsid w:val="002C5188"/>
    <w:rsid w:val="002D3496"/>
    <w:rsid w:val="002D396D"/>
    <w:rsid w:val="002E6EFA"/>
    <w:rsid w:val="002F3A54"/>
    <w:rsid w:val="002F6A76"/>
    <w:rsid w:val="00311C39"/>
    <w:rsid w:val="00330AF9"/>
    <w:rsid w:val="00336AF7"/>
    <w:rsid w:val="00340594"/>
    <w:rsid w:val="00341947"/>
    <w:rsid w:val="003432BC"/>
    <w:rsid w:val="00353AEE"/>
    <w:rsid w:val="0035646A"/>
    <w:rsid w:val="00384B17"/>
    <w:rsid w:val="00391B0B"/>
    <w:rsid w:val="00396AC4"/>
    <w:rsid w:val="003A38D0"/>
    <w:rsid w:val="003B4202"/>
    <w:rsid w:val="003C5BD5"/>
    <w:rsid w:val="003E300A"/>
    <w:rsid w:val="003E4697"/>
    <w:rsid w:val="003F2A8F"/>
    <w:rsid w:val="00413A59"/>
    <w:rsid w:val="004231A8"/>
    <w:rsid w:val="0042411B"/>
    <w:rsid w:val="0042607C"/>
    <w:rsid w:val="004412C5"/>
    <w:rsid w:val="00455177"/>
    <w:rsid w:val="0046709A"/>
    <w:rsid w:val="004763E1"/>
    <w:rsid w:val="004852AE"/>
    <w:rsid w:val="00492767"/>
    <w:rsid w:val="004A05BA"/>
    <w:rsid w:val="004A23DD"/>
    <w:rsid w:val="004A5742"/>
    <w:rsid w:val="004B30BA"/>
    <w:rsid w:val="004C1FC8"/>
    <w:rsid w:val="004C28AC"/>
    <w:rsid w:val="004C6539"/>
    <w:rsid w:val="004C67AE"/>
    <w:rsid w:val="004D0150"/>
    <w:rsid w:val="004D342F"/>
    <w:rsid w:val="004D762D"/>
    <w:rsid w:val="004E32A6"/>
    <w:rsid w:val="004E3488"/>
    <w:rsid w:val="004E3568"/>
    <w:rsid w:val="004E3CDB"/>
    <w:rsid w:val="004E500D"/>
    <w:rsid w:val="004E6A14"/>
    <w:rsid w:val="004E7BBF"/>
    <w:rsid w:val="004F7847"/>
    <w:rsid w:val="00502E7C"/>
    <w:rsid w:val="005030C3"/>
    <w:rsid w:val="00505261"/>
    <w:rsid w:val="00510830"/>
    <w:rsid w:val="00516D52"/>
    <w:rsid w:val="0053323C"/>
    <w:rsid w:val="0054527B"/>
    <w:rsid w:val="00547215"/>
    <w:rsid w:val="00572240"/>
    <w:rsid w:val="005811F4"/>
    <w:rsid w:val="00591D79"/>
    <w:rsid w:val="00595E44"/>
    <w:rsid w:val="005A32B4"/>
    <w:rsid w:val="005B12EE"/>
    <w:rsid w:val="005B4D32"/>
    <w:rsid w:val="005E42FC"/>
    <w:rsid w:val="005E6601"/>
    <w:rsid w:val="005F1CE3"/>
    <w:rsid w:val="00601697"/>
    <w:rsid w:val="006027C3"/>
    <w:rsid w:val="0060410F"/>
    <w:rsid w:val="006158FC"/>
    <w:rsid w:val="00616AEB"/>
    <w:rsid w:val="00617CCA"/>
    <w:rsid w:val="006261B3"/>
    <w:rsid w:val="006342D8"/>
    <w:rsid w:val="00634A25"/>
    <w:rsid w:val="006378F5"/>
    <w:rsid w:val="0064440E"/>
    <w:rsid w:val="00644CB7"/>
    <w:rsid w:val="006547B1"/>
    <w:rsid w:val="00661B0A"/>
    <w:rsid w:val="00663EC5"/>
    <w:rsid w:val="00675EC5"/>
    <w:rsid w:val="00676DE4"/>
    <w:rsid w:val="006824C6"/>
    <w:rsid w:val="00685F97"/>
    <w:rsid w:val="00695905"/>
    <w:rsid w:val="006A2F7D"/>
    <w:rsid w:val="006D5759"/>
    <w:rsid w:val="006D69C4"/>
    <w:rsid w:val="006E6B79"/>
    <w:rsid w:val="006E7C1D"/>
    <w:rsid w:val="0070014E"/>
    <w:rsid w:val="0070563C"/>
    <w:rsid w:val="00715FB8"/>
    <w:rsid w:val="00716198"/>
    <w:rsid w:val="00717DCF"/>
    <w:rsid w:val="00723822"/>
    <w:rsid w:val="00742623"/>
    <w:rsid w:val="0074557D"/>
    <w:rsid w:val="00773335"/>
    <w:rsid w:val="007762D2"/>
    <w:rsid w:val="00780898"/>
    <w:rsid w:val="0078210E"/>
    <w:rsid w:val="00791148"/>
    <w:rsid w:val="00795E08"/>
    <w:rsid w:val="007A43FF"/>
    <w:rsid w:val="007A4F52"/>
    <w:rsid w:val="007C0642"/>
    <w:rsid w:val="007C19F2"/>
    <w:rsid w:val="007C1A42"/>
    <w:rsid w:val="007D07A2"/>
    <w:rsid w:val="007F39A4"/>
    <w:rsid w:val="007F65E5"/>
    <w:rsid w:val="00820B5E"/>
    <w:rsid w:val="00850925"/>
    <w:rsid w:val="00857BAD"/>
    <w:rsid w:val="00873D13"/>
    <w:rsid w:val="008A3621"/>
    <w:rsid w:val="008A5070"/>
    <w:rsid w:val="008B03AF"/>
    <w:rsid w:val="008B0B35"/>
    <w:rsid w:val="008B3C2A"/>
    <w:rsid w:val="008D4288"/>
    <w:rsid w:val="008E694A"/>
    <w:rsid w:val="008F5C24"/>
    <w:rsid w:val="008F6349"/>
    <w:rsid w:val="00903B70"/>
    <w:rsid w:val="00915A91"/>
    <w:rsid w:val="00915FCC"/>
    <w:rsid w:val="00926D40"/>
    <w:rsid w:val="00927B4C"/>
    <w:rsid w:val="009435CC"/>
    <w:rsid w:val="009522CD"/>
    <w:rsid w:val="0096107C"/>
    <w:rsid w:val="00964E81"/>
    <w:rsid w:val="0096772B"/>
    <w:rsid w:val="009949F0"/>
    <w:rsid w:val="00996566"/>
    <w:rsid w:val="009A6DB3"/>
    <w:rsid w:val="009C239F"/>
    <w:rsid w:val="009E5DC3"/>
    <w:rsid w:val="009E6454"/>
    <w:rsid w:val="009F0A05"/>
    <w:rsid w:val="00A04BBF"/>
    <w:rsid w:val="00A36DEA"/>
    <w:rsid w:val="00A3781A"/>
    <w:rsid w:val="00A41F64"/>
    <w:rsid w:val="00A51FF8"/>
    <w:rsid w:val="00A60AB6"/>
    <w:rsid w:val="00A616C5"/>
    <w:rsid w:val="00A907F1"/>
    <w:rsid w:val="00A9226F"/>
    <w:rsid w:val="00A97209"/>
    <w:rsid w:val="00AB2368"/>
    <w:rsid w:val="00AC3A29"/>
    <w:rsid w:val="00AD4315"/>
    <w:rsid w:val="00AD7337"/>
    <w:rsid w:val="00AD7958"/>
    <w:rsid w:val="00AE0569"/>
    <w:rsid w:val="00AE47A2"/>
    <w:rsid w:val="00AF0CF4"/>
    <w:rsid w:val="00AF726C"/>
    <w:rsid w:val="00B072CE"/>
    <w:rsid w:val="00B11579"/>
    <w:rsid w:val="00B11AB9"/>
    <w:rsid w:val="00B13764"/>
    <w:rsid w:val="00B13F01"/>
    <w:rsid w:val="00B165A2"/>
    <w:rsid w:val="00B20124"/>
    <w:rsid w:val="00B351EB"/>
    <w:rsid w:val="00B40940"/>
    <w:rsid w:val="00B4439D"/>
    <w:rsid w:val="00B53616"/>
    <w:rsid w:val="00B55C55"/>
    <w:rsid w:val="00B7309A"/>
    <w:rsid w:val="00BA6164"/>
    <w:rsid w:val="00BB0115"/>
    <w:rsid w:val="00BB0940"/>
    <w:rsid w:val="00BB4725"/>
    <w:rsid w:val="00BC4FB2"/>
    <w:rsid w:val="00BC6086"/>
    <w:rsid w:val="00BD249A"/>
    <w:rsid w:val="00BD3D38"/>
    <w:rsid w:val="00BD5B30"/>
    <w:rsid w:val="00BE1EF8"/>
    <w:rsid w:val="00BE7971"/>
    <w:rsid w:val="00BF4ABE"/>
    <w:rsid w:val="00C06FA6"/>
    <w:rsid w:val="00C22782"/>
    <w:rsid w:val="00C27592"/>
    <w:rsid w:val="00C42B39"/>
    <w:rsid w:val="00C5524D"/>
    <w:rsid w:val="00C64B7C"/>
    <w:rsid w:val="00C65D59"/>
    <w:rsid w:val="00C74BFB"/>
    <w:rsid w:val="00C7675F"/>
    <w:rsid w:val="00C7717F"/>
    <w:rsid w:val="00C84834"/>
    <w:rsid w:val="00CB018F"/>
    <w:rsid w:val="00CB7464"/>
    <w:rsid w:val="00CC5A10"/>
    <w:rsid w:val="00CD4013"/>
    <w:rsid w:val="00CD60BE"/>
    <w:rsid w:val="00CE7649"/>
    <w:rsid w:val="00CF0891"/>
    <w:rsid w:val="00CF4358"/>
    <w:rsid w:val="00D35339"/>
    <w:rsid w:val="00D36AA0"/>
    <w:rsid w:val="00D370D4"/>
    <w:rsid w:val="00D544CC"/>
    <w:rsid w:val="00D80D65"/>
    <w:rsid w:val="00D82CA3"/>
    <w:rsid w:val="00D85E0B"/>
    <w:rsid w:val="00D90C96"/>
    <w:rsid w:val="00D92AF9"/>
    <w:rsid w:val="00D9581E"/>
    <w:rsid w:val="00D97324"/>
    <w:rsid w:val="00DA3F3C"/>
    <w:rsid w:val="00DB595C"/>
    <w:rsid w:val="00DB70F7"/>
    <w:rsid w:val="00DC299D"/>
    <w:rsid w:val="00DE30B6"/>
    <w:rsid w:val="00DF5F1D"/>
    <w:rsid w:val="00E216E4"/>
    <w:rsid w:val="00E22EB3"/>
    <w:rsid w:val="00E256B3"/>
    <w:rsid w:val="00E32E04"/>
    <w:rsid w:val="00E55413"/>
    <w:rsid w:val="00E65E2C"/>
    <w:rsid w:val="00E7563E"/>
    <w:rsid w:val="00E83C95"/>
    <w:rsid w:val="00E85B07"/>
    <w:rsid w:val="00E87606"/>
    <w:rsid w:val="00E9403F"/>
    <w:rsid w:val="00E97DBC"/>
    <w:rsid w:val="00EA1508"/>
    <w:rsid w:val="00EA1A14"/>
    <w:rsid w:val="00EB05AF"/>
    <w:rsid w:val="00EB3736"/>
    <w:rsid w:val="00EB521A"/>
    <w:rsid w:val="00EC6CDB"/>
    <w:rsid w:val="00EE7CD4"/>
    <w:rsid w:val="00F04610"/>
    <w:rsid w:val="00F05C6F"/>
    <w:rsid w:val="00F12081"/>
    <w:rsid w:val="00F46071"/>
    <w:rsid w:val="00F5376D"/>
    <w:rsid w:val="00F6510B"/>
    <w:rsid w:val="00F66FC4"/>
    <w:rsid w:val="00F845B7"/>
    <w:rsid w:val="00F901B8"/>
    <w:rsid w:val="00FC63B6"/>
    <w:rsid w:val="00FD3994"/>
    <w:rsid w:val="00FE3E95"/>
    <w:rsid w:val="00FF06EC"/>
    <w:rsid w:val="00FF1908"/>
    <w:rsid w:val="00FF1D3F"/>
    <w:rsid w:val="00FF585F"/>
    <w:rsid w:val="019F44C1"/>
    <w:rsid w:val="01AA7692"/>
    <w:rsid w:val="01B91486"/>
    <w:rsid w:val="020A360C"/>
    <w:rsid w:val="029476F7"/>
    <w:rsid w:val="02BF6B5E"/>
    <w:rsid w:val="03087845"/>
    <w:rsid w:val="03AC1227"/>
    <w:rsid w:val="03B1713F"/>
    <w:rsid w:val="03E70FD8"/>
    <w:rsid w:val="04ED717D"/>
    <w:rsid w:val="0534275F"/>
    <w:rsid w:val="05453D78"/>
    <w:rsid w:val="059F4A76"/>
    <w:rsid w:val="06405680"/>
    <w:rsid w:val="06DA2A49"/>
    <w:rsid w:val="070552AC"/>
    <w:rsid w:val="079D4E7C"/>
    <w:rsid w:val="09BA4874"/>
    <w:rsid w:val="09CD191D"/>
    <w:rsid w:val="09DF565B"/>
    <w:rsid w:val="0A60616F"/>
    <w:rsid w:val="0B1911BA"/>
    <w:rsid w:val="0BE26DF4"/>
    <w:rsid w:val="0C2B0E03"/>
    <w:rsid w:val="0C7D6ABD"/>
    <w:rsid w:val="0C8C17A9"/>
    <w:rsid w:val="0D442020"/>
    <w:rsid w:val="0D71051A"/>
    <w:rsid w:val="0D9750B5"/>
    <w:rsid w:val="0DE80EF4"/>
    <w:rsid w:val="0EAA6508"/>
    <w:rsid w:val="0ED16970"/>
    <w:rsid w:val="0F0319BD"/>
    <w:rsid w:val="0F184CC0"/>
    <w:rsid w:val="0F6519AC"/>
    <w:rsid w:val="0F711E78"/>
    <w:rsid w:val="0F9C2C10"/>
    <w:rsid w:val="0FE30BA6"/>
    <w:rsid w:val="0FED5320"/>
    <w:rsid w:val="10814E2B"/>
    <w:rsid w:val="10897827"/>
    <w:rsid w:val="129A390C"/>
    <w:rsid w:val="12EF7472"/>
    <w:rsid w:val="13126579"/>
    <w:rsid w:val="138D6AA8"/>
    <w:rsid w:val="1444211C"/>
    <w:rsid w:val="146D4F96"/>
    <w:rsid w:val="147657F2"/>
    <w:rsid w:val="15E20ACE"/>
    <w:rsid w:val="16AD03F2"/>
    <w:rsid w:val="16BF4489"/>
    <w:rsid w:val="16EB42BE"/>
    <w:rsid w:val="178C0626"/>
    <w:rsid w:val="17B60D70"/>
    <w:rsid w:val="17CA4317"/>
    <w:rsid w:val="17ED609A"/>
    <w:rsid w:val="189A61B2"/>
    <w:rsid w:val="18DC7CA7"/>
    <w:rsid w:val="19203B83"/>
    <w:rsid w:val="19251C35"/>
    <w:rsid w:val="197F430A"/>
    <w:rsid w:val="19E24D9F"/>
    <w:rsid w:val="1A140EE6"/>
    <w:rsid w:val="1A971C6A"/>
    <w:rsid w:val="1B214CEF"/>
    <w:rsid w:val="1B5E6218"/>
    <w:rsid w:val="1BA70DEF"/>
    <w:rsid w:val="1BE807D5"/>
    <w:rsid w:val="1BEB3AF3"/>
    <w:rsid w:val="1C44310F"/>
    <w:rsid w:val="1C74011D"/>
    <w:rsid w:val="1C7D0EAF"/>
    <w:rsid w:val="1C8F284D"/>
    <w:rsid w:val="1D0A2A4A"/>
    <w:rsid w:val="1D1E7305"/>
    <w:rsid w:val="1D3C1210"/>
    <w:rsid w:val="1EC31AC8"/>
    <w:rsid w:val="1EDB746D"/>
    <w:rsid w:val="1EFB6F04"/>
    <w:rsid w:val="1F066947"/>
    <w:rsid w:val="210C66D2"/>
    <w:rsid w:val="21244086"/>
    <w:rsid w:val="21397CDB"/>
    <w:rsid w:val="213F171D"/>
    <w:rsid w:val="21477079"/>
    <w:rsid w:val="215F146E"/>
    <w:rsid w:val="21625358"/>
    <w:rsid w:val="216D5B2C"/>
    <w:rsid w:val="21747AFA"/>
    <w:rsid w:val="219A5966"/>
    <w:rsid w:val="220B5C81"/>
    <w:rsid w:val="22250FCC"/>
    <w:rsid w:val="22AE641C"/>
    <w:rsid w:val="22C219E8"/>
    <w:rsid w:val="23232CD6"/>
    <w:rsid w:val="2354696F"/>
    <w:rsid w:val="235C4E36"/>
    <w:rsid w:val="237455E1"/>
    <w:rsid w:val="237A6591"/>
    <w:rsid w:val="23BA00B1"/>
    <w:rsid w:val="23D137BD"/>
    <w:rsid w:val="23E42CBC"/>
    <w:rsid w:val="24073AB7"/>
    <w:rsid w:val="24433C55"/>
    <w:rsid w:val="254A3B19"/>
    <w:rsid w:val="25660D20"/>
    <w:rsid w:val="258B6C31"/>
    <w:rsid w:val="25BB7896"/>
    <w:rsid w:val="26275359"/>
    <w:rsid w:val="267F185A"/>
    <w:rsid w:val="26F552F8"/>
    <w:rsid w:val="277047AD"/>
    <w:rsid w:val="27C50248"/>
    <w:rsid w:val="27E17743"/>
    <w:rsid w:val="28282123"/>
    <w:rsid w:val="28BC0413"/>
    <w:rsid w:val="296A5FA4"/>
    <w:rsid w:val="2AB10E14"/>
    <w:rsid w:val="2AF66044"/>
    <w:rsid w:val="2B2366D9"/>
    <w:rsid w:val="2B5A3827"/>
    <w:rsid w:val="2C645C40"/>
    <w:rsid w:val="2C77047F"/>
    <w:rsid w:val="2D507B2B"/>
    <w:rsid w:val="2D831BB6"/>
    <w:rsid w:val="2E370111"/>
    <w:rsid w:val="2E516C54"/>
    <w:rsid w:val="2E5551FB"/>
    <w:rsid w:val="2E565C93"/>
    <w:rsid w:val="2E736E2F"/>
    <w:rsid w:val="2EDE14A6"/>
    <w:rsid w:val="2F4A02C4"/>
    <w:rsid w:val="300A4F83"/>
    <w:rsid w:val="30633B67"/>
    <w:rsid w:val="30CA6520"/>
    <w:rsid w:val="31AC103C"/>
    <w:rsid w:val="328D595E"/>
    <w:rsid w:val="335768E6"/>
    <w:rsid w:val="339563F8"/>
    <w:rsid w:val="33C034A5"/>
    <w:rsid w:val="33C44F61"/>
    <w:rsid w:val="34F56C7B"/>
    <w:rsid w:val="35865846"/>
    <w:rsid w:val="364F3B19"/>
    <w:rsid w:val="36AC1C99"/>
    <w:rsid w:val="378853A9"/>
    <w:rsid w:val="37F44A07"/>
    <w:rsid w:val="383D7D60"/>
    <w:rsid w:val="38AC2262"/>
    <w:rsid w:val="39245FCE"/>
    <w:rsid w:val="392B1453"/>
    <w:rsid w:val="3A4C062F"/>
    <w:rsid w:val="3A746FF7"/>
    <w:rsid w:val="3A9E1E26"/>
    <w:rsid w:val="3C187B0E"/>
    <w:rsid w:val="3C830264"/>
    <w:rsid w:val="3CF94AF8"/>
    <w:rsid w:val="3D280D2D"/>
    <w:rsid w:val="3D4F74B2"/>
    <w:rsid w:val="3DF37550"/>
    <w:rsid w:val="3E5E7F64"/>
    <w:rsid w:val="3E8D44E7"/>
    <w:rsid w:val="3EC6723B"/>
    <w:rsid w:val="3EE76D68"/>
    <w:rsid w:val="3F180D9F"/>
    <w:rsid w:val="405E0DC3"/>
    <w:rsid w:val="405F2483"/>
    <w:rsid w:val="409E149F"/>
    <w:rsid w:val="40D91A51"/>
    <w:rsid w:val="41815F34"/>
    <w:rsid w:val="41EA7EC4"/>
    <w:rsid w:val="42265D55"/>
    <w:rsid w:val="42B94266"/>
    <w:rsid w:val="42E826E3"/>
    <w:rsid w:val="44331656"/>
    <w:rsid w:val="44473A17"/>
    <w:rsid w:val="44D44385"/>
    <w:rsid w:val="45280972"/>
    <w:rsid w:val="45834899"/>
    <w:rsid w:val="45F84D48"/>
    <w:rsid w:val="46302149"/>
    <w:rsid w:val="463351B6"/>
    <w:rsid w:val="468D05CE"/>
    <w:rsid w:val="47491C96"/>
    <w:rsid w:val="47580DC9"/>
    <w:rsid w:val="475F76B1"/>
    <w:rsid w:val="47757FBE"/>
    <w:rsid w:val="47AC0B92"/>
    <w:rsid w:val="47E45DC7"/>
    <w:rsid w:val="481E3096"/>
    <w:rsid w:val="48501B8B"/>
    <w:rsid w:val="48C13988"/>
    <w:rsid w:val="49B54CB0"/>
    <w:rsid w:val="49B861B8"/>
    <w:rsid w:val="49E03DE6"/>
    <w:rsid w:val="49F72A5B"/>
    <w:rsid w:val="4BC56123"/>
    <w:rsid w:val="4BDA17C7"/>
    <w:rsid w:val="4C1B61B3"/>
    <w:rsid w:val="4C2757BD"/>
    <w:rsid w:val="4C6E2D4A"/>
    <w:rsid w:val="4CE15186"/>
    <w:rsid w:val="4D4448C3"/>
    <w:rsid w:val="4D472661"/>
    <w:rsid w:val="4D616064"/>
    <w:rsid w:val="4DD87669"/>
    <w:rsid w:val="4E8B3EE9"/>
    <w:rsid w:val="4F9E3511"/>
    <w:rsid w:val="503C12E1"/>
    <w:rsid w:val="5132018C"/>
    <w:rsid w:val="52270757"/>
    <w:rsid w:val="52CE3F1B"/>
    <w:rsid w:val="53132832"/>
    <w:rsid w:val="53C7314D"/>
    <w:rsid w:val="54047DE6"/>
    <w:rsid w:val="54434869"/>
    <w:rsid w:val="54A9461C"/>
    <w:rsid w:val="54E139AC"/>
    <w:rsid w:val="554D47B3"/>
    <w:rsid w:val="55981A14"/>
    <w:rsid w:val="55AA2AFB"/>
    <w:rsid w:val="55B21D4E"/>
    <w:rsid w:val="56211153"/>
    <w:rsid w:val="5690375C"/>
    <w:rsid w:val="56BE065C"/>
    <w:rsid w:val="56CC4509"/>
    <w:rsid w:val="5711692C"/>
    <w:rsid w:val="57EB3E81"/>
    <w:rsid w:val="58AB240F"/>
    <w:rsid w:val="58ED16CF"/>
    <w:rsid w:val="5912279C"/>
    <w:rsid w:val="59550FA6"/>
    <w:rsid w:val="599F2A10"/>
    <w:rsid w:val="59E82F61"/>
    <w:rsid w:val="5A0358BF"/>
    <w:rsid w:val="5A571F17"/>
    <w:rsid w:val="5A6B0C7E"/>
    <w:rsid w:val="5A6C60E4"/>
    <w:rsid w:val="5A780BB6"/>
    <w:rsid w:val="5A8E1D7E"/>
    <w:rsid w:val="5A95648D"/>
    <w:rsid w:val="5ACB3235"/>
    <w:rsid w:val="5B3B56B7"/>
    <w:rsid w:val="5B6444A7"/>
    <w:rsid w:val="5BA261E3"/>
    <w:rsid w:val="5BFB2BFE"/>
    <w:rsid w:val="5D051360"/>
    <w:rsid w:val="5E54034D"/>
    <w:rsid w:val="5E6F357C"/>
    <w:rsid w:val="5F050DA6"/>
    <w:rsid w:val="5F345110"/>
    <w:rsid w:val="5F5155F9"/>
    <w:rsid w:val="5F537C96"/>
    <w:rsid w:val="5FBC3E5E"/>
    <w:rsid w:val="5FD96977"/>
    <w:rsid w:val="5FFF5431"/>
    <w:rsid w:val="6035746F"/>
    <w:rsid w:val="604665AA"/>
    <w:rsid w:val="60C5442D"/>
    <w:rsid w:val="60E55313"/>
    <w:rsid w:val="6124608B"/>
    <w:rsid w:val="614A24B5"/>
    <w:rsid w:val="618648DC"/>
    <w:rsid w:val="620C4E73"/>
    <w:rsid w:val="6283708F"/>
    <w:rsid w:val="634419C9"/>
    <w:rsid w:val="63D21EFE"/>
    <w:rsid w:val="64595009"/>
    <w:rsid w:val="6502221B"/>
    <w:rsid w:val="6595789C"/>
    <w:rsid w:val="66853208"/>
    <w:rsid w:val="669A4EEA"/>
    <w:rsid w:val="66E831DC"/>
    <w:rsid w:val="66E85811"/>
    <w:rsid w:val="676024D3"/>
    <w:rsid w:val="676F45EB"/>
    <w:rsid w:val="67782996"/>
    <w:rsid w:val="6A69224F"/>
    <w:rsid w:val="6AE517EE"/>
    <w:rsid w:val="6B581FC0"/>
    <w:rsid w:val="6C8247FD"/>
    <w:rsid w:val="6CB934C0"/>
    <w:rsid w:val="6DD36374"/>
    <w:rsid w:val="6E7C6F56"/>
    <w:rsid w:val="6E8335FE"/>
    <w:rsid w:val="6E833643"/>
    <w:rsid w:val="6E997430"/>
    <w:rsid w:val="6EA02273"/>
    <w:rsid w:val="6EEF55A8"/>
    <w:rsid w:val="6F575761"/>
    <w:rsid w:val="6F6118E2"/>
    <w:rsid w:val="6FE51AB2"/>
    <w:rsid w:val="7067610E"/>
    <w:rsid w:val="706B0CFB"/>
    <w:rsid w:val="706F1BA6"/>
    <w:rsid w:val="70BD6D4B"/>
    <w:rsid w:val="70CA400C"/>
    <w:rsid w:val="70D37E18"/>
    <w:rsid w:val="71DB43E3"/>
    <w:rsid w:val="72CC324E"/>
    <w:rsid w:val="735E3587"/>
    <w:rsid w:val="73603D5C"/>
    <w:rsid w:val="7479116C"/>
    <w:rsid w:val="74944C90"/>
    <w:rsid w:val="75294262"/>
    <w:rsid w:val="75335A1E"/>
    <w:rsid w:val="75375D62"/>
    <w:rsid w:val="75B9685C"/>
    <w:rsid w:val="75D62736"/>
    <w:rsid w:val="75D75370"/>
    <w:rsid w:val="75F73BC8"/>
    <w:rsid w:val="76040ECA"/>
    <w:rsid w:val="76ED0618"/>
    <w:rsid w:val="77CB1017"/>
    <w:rsid w:val="78CE1F7F"/>
    <w:rsid w:val="793772F9"/>
    <w:rsid w:val="79826DF5"/>
    <w:rsid w:val="79AF0757"/>
    <w:rsid w:val="7A2D7347"/>
    <w:rsid w:val="7A34548D"/>
    <w:rsid w:val="7AFB1E31"/>
    <w:rsid w:val="7B6A5730"/>
    <w:rsid w:val="7BCE6C35"/>
    <w:rsid w:val="7BEF6704"/>
    <w:rsid w:val="7C625655"/>
    <w:rsid w:val="7CCA78DF"/>
    <w:rsid w:val="7CF71A90"/>
    <w:rsid w:val="7D923E57"/>
    <w:rsid w:val="7E94627B"/>
    <w:rsid w:val="7EF25792"/>
    <w:rsid w:val="7F254B62"/>
    <w:rsid w:val="7FFF7589"/>
    <w:rsid w:val="FBBB76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iPriority="99"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25"/>
    <w:qFormat/>
    <w:uiPriority w:val="9"/>
    <w:pPr>
      <w:widowControl/>
      <w:spacing w:line="600" w:lineRule="exact"/>
      <w:jc w:val="left"/>
      <w:outlineLvl w:val="0"/>
    </w:pPr>
    <w:rPr>
      <w:rFonts w:eastAsia="黑体"/>
      <w:bCs/>
      <w:kern w:val="36"/>
      <w:sz w:val="32"/>
      <w:szCs w:val="48"/>
    </w:rPr>
  </w:style>
  <w:style w:type="paragraph" w:styleId="3">
    <w:name w:val="heading 2"/>
    <w:basedOn w:val="1"/>
    <w:next w:val="1"/>
    <w:qFormat/>
    <w:uiPriority w:val="9"/>
    <w:pPr>
      <w:keepNext/>
      <w:keepLines/>
      <w:spacing w:line="600" w:lineRule="exact"/>
      <w:jc w:val="left"/>
      <w:outlineLvl w:val="1"/>
    </w:pPr>
    <w:rPr>
      <w:rFonts w:eastAsia="楷体"/>
      <w:b/>
      <w:bCs/>
      <w:sz w:val="32"/>
      <w:szCs w:val="32"/>
    </w:rPr>
  </w:style>
  <w:style w:type="paragraph" w:styleId="4">
    <w:name w:val="heading 3"/>
    <w:basedOn w:val="1"/>
    <w:next w:val="1"/>
    <w:qFormat/>
    <w:uiPriority w:val="0"/>
    <w:pPr>
      <w:spacing w:line="600" w:lineRule="exact"/>
      <w:jc w:val="left"/>
      <w:outlineLvl w:val="2"/>
    </w:pPr>
    <w:rPr>
      <w:rFonts w:hint="eastAsia" w:eastAsia="仿宋"/>
      <w:b/>
      <w:kern w:val="0"/>
      <w:sz w:val="32"/>
      <w:szCs w:val="27"/>
    </w:rPr>
  </w:style>
  <w:style w:type="paragraph" w:styleId="5">
    <w:name w:val="heading 4"/>
    <w:basedOn w:val="1"/>
    <w:next w:val="6"/>
    <w:qFormat/>
    <w:uiPriority w:val="0"/>
    <w:pPr>
      <w:spacing w:before="100" w:beforeAutospacing="1" w:after="100" w:afterAutospacing="1"/>
      <w:jc w:val="left"/>
      <w:outlineLvl w:val="3"/>
    </w:pPr>
    <w:rPr>
      <w:rFonts w:hint="eastAsia" w:ascii="宋体" w:hAnsi="宋体"/>
      <w:b/>
      <w:bCs/>
      <w:kern w:val="0"/>
      <w:sz w:val="24"/>
      <w:szCs w:val="24"/>
    </w:rPr>
  </w:style>
  <w:style w:type="character" w:default="1" w:styleId="20">
    <w:name w:val="Default Paragraph Font"/>
    <w:semiHidden/>
    <w:qFormat/>
    <w:uiPriority w:val="0"/>
  </w:style>
  <w:style w:type="table" w:default="1" w:styleId="18">
    <w:name w:val="Normal Table"/>
    <w:semiHidden/>
    <w:qFormat/>
    <w:uiPriority w:val="0"/>
    <w:rPr>
      <w:rFonts w:ascii="Calibri" w:hAnsi="Calibri"/>
    </w:rPr>
    <w:tblPr>
      <w:tblCellMar>
        <w:top w:w="0" w:type="dxa"/>
        <w:left w:w="108" w:type="dxa"/>
        <w:bottom w:w="0" w:type="dxa"/>
        <w:right w:w="108" w:type="dxa"/>
      </w:tblCellMar>
    </w:tblPr>
  </w:style>
  <w:style w:type="paragraph" w:styleId="6">
    <w:name w:val="Body Text"/>
    <w:basedOn w:val="1"/>
    <w:next w:val="7"/>
    <w:qFormat/>
    <w:uiPriority w:val="0"/>
    <w:pPr>
      <w:autoSpaceDE w:val="0"/>
      <w:autoSpaceDN w:val="0"/>
      <w:spacing w:line="312" w:lineRule="exact"/>
      <w:ind w:left="1418"/>
      <w:jc w:val="left"/>
    </w:pPr>
    <w:rPr>
      <w:rFonts w:ascii="Noto Sans CJK JP Regular" w:hAnsi="Noto Sans CJK JP Regular" w:eastAsia="Times New Roman" w:cs="Noto Sans CJK JP Regular"/>
      <w:kern w:val="0"/>
      <w:szCs w:val="21"/>
      <w:lang w:val="zh-CN"/>
    </w:rPr>
  </w:style>
  <w:style w:type="paragraph" w:styleId="7">
    <w:name w:val="Title"/>
    <w:basedOn w:val="1"/>
    <w:next w:val="1"/>
    <w:qFormat/>
    <w:uiPriority w:val="0"/>
    <w:pPr>
      <w:spacing w:before="240" w:after="60"/>
      <w:jc w:val="center"/>
      <w:outlineLvl w:val="0"/>
    </w:pPr>
    <w:rPr>
      <w:rFonts w:ascii="Arial" w:hAnsi="Arial"/>
      <w:b/>
      <w:bCs/>
      <w:sz w:val="32"/>
      <w:szCs w:val="32"/>
    </w:rPr>
  </w:style>
  <w:style w:type="paragraph" w:styleId="8">
    <w:name w:val="annotation text"/>
    <w:basedOn w:val="1"/>
    <w:qFormat/>
    <w:uiPriority w:val="0"/>
    <w:pPr>
      <w:jc w:val="left"/>
    </w:pPr>
  </w:style>
  <w:style w:type="paragraph" w:styleId="9">
    <w:name w:val="Body Text Indent"/>
    <w:basedOn w:val="1"/>
    <w:qFormat/>
    <w:uiPriority w:val="0"/>
    <w:pPr>
      <w:ind w:firstLine="640" w:firstLineChars="200"/>
    </w:pPr>
    <w:rPr>
      <w:rFonts w:ascii="仿宋_GB2312" w:hAnsi="宋体" w:eastAsia="仿宋_GB2312"/>
      <w:bCs/>
      <w:color w:val="000000"/>
      <w:sz w:val="32"/>
      <w:szCs w:val="32"/>
    </w:rPr>
  </w:style>
  <w:style w:type="paragraph" w:styleId="10">
    <w:name w:val="Plain Text"/>
    <w:basedOn w:val="1"/>
    <w:semiHidden/>
    <w:qFormat/>
    <w:uiPriority w:val="0"/>
    <w:rPr>
      <w:rFonts w:ascii="宋体" w:hAnsi="Courier New" w:cs="Courier New"/>
      <w:szCs w:val="21"/>
    </w:rPr>
  </w:style>
  <w:style w:type="paragraph" w:styleId="11">
    <w:name w:val="Balloon Text"/>
    <w:basedOn w:val="1"/>
    <w:link w:val="26"/>
    <w:qFormat/>
    <w:uiPriority w:val="0"/>
    <w:rPr>
      <w:sz w:val="18"/>
      <w:szCs w:val="18"/>
    </w:rPr>
  </w:style>
  <w:style w:type="paragraph" w:styleId="12">
    <w:name w:val="footer"/>
    <w:basedOn w:val="1"/>
    <w:next w:val="1"/>
    <w:uiPriority w:val="0"/>
    <w:pPr>
      <w:tabs>
        <w:tab w:val="center" w:pos="4153"/>
        <w:tab w:val="right" w:pos="8306"/>
      </w:tabs>
      <w:snapToGrid w:val="0"/>
      <w:jc w:val="left"/>
    </w:pPr>
    <w:rPr>
      <w:sz w:val="18"/>
      <w:szCs w:val="18"/>
    </w:rPr>
  </w:style>
  <w:style w:type="paragraph" w:styleId="1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0"/>
  </w:style>
  <w:style w:type="paragraph" w:styleId="15">
    <w:name w:val="toc 2"/>
    <w:basedOn w:val="1"/>
    <w:next w:val="1"/>
    <w:uiPriority w:val="0"/>
    <w:pPr>
      <w:ind w:left="420" w:leftChars="200"/>
    </w:pPr>
  </w:style>
  <w:style w:type="paragraph" w:styleId="16">
    <w:name w:val="Normal (Web)"/>
    <w:basedOn w:val="1"/>
    <w:qFormat/>
    <w:uiPriority w:val="99"/>
    <w:pPr>
      <w:widowControl/>
      <w:spacing w:before="100" w:beforeAutospacing="1" w:after="100" w:afterAutospacing="1" w:line="360" w:lineRule="atLeast"/>
      <w:jc w:val="left"/>
    </w:pPr>
    <w:rPr>
      <w:rFonts w:ascii="宋体" w:hAnsi="宋体"/>
      <w:kern w:val="0"/>
      <w:szCs w:val="21"/>
    </w:rPr>
  </w:style>
  <w:style w:type="paragraph" w:styleId="17">
    <w:name w:val="Body Text First Indent"/>
    <w:basedOn w:val="6"/>
    <w:unhideWhenUsed/>
    <w:qFormat/>
    <w:uiPriority w:val="99"/>
    <w:pPr>
      <w:ind w:firstLine="420" w:firstLineChars="100"/>
    </w:pPr>
  </w:style>
  <w:style w:type="table" w:styleId="19">
    <w:name w:val="Table Grid"/>
    <w:basedOn w:val="18"/>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Strong"/>
    <w:qFormat/>
    <w:uiPriority w:val="22"/>
    <w:rPr>
      <w:b/>
      <w:bCs/>
    </w:rPr>
  </w:style>
  <w:style w:type="character" w:styleId="22">
    <w:name w:val="page number"/>
    <w:qFormat/>
    <w:uiPriority w:val="0"/>
  </w:style>
  <w:style w:type="character" w:styleId="23">
    <w:name w:val="Emphasis"/>
    <w:qFormat/>
    <w:uiPriority w:val="0"/>
    <w:rPr>
      <w:color w:val="CC0000"/>
    </w:rPr>
  </w:style>
  <w:style w:type="character" w:styleId="24">
    <w:name w:val="Hyperlink"/>
    <w:qFormat/>
    <w:uiPriority w:val="0"/>
    <w:rPr>
      <w:color w:val="0000FF"/>
      <w:u w:val="single"/>
    </w:rPr>
  </w:style>
  <w:style w:type="character" w:customStyle="1" w:styleId="25">
    <w:name w:val="标题 1 Char"/>
    <w:link w:val="2"/>
    <w:qFormat/>
    <w:uiPriority w:val="9"/>
    <w:rPr>
      <w:rFonts w:ascii="Times New Roman" w:hAnsi="Times New Roman" w:eastAsia="黑体" w:cs="宋体"/>
      <w:bCs/>
      <w:kern w:val="36"/>
      <w:sz w:val="32"/>
      <w:szCs w:val="48"/>
    </w:rPr>
  </w:style>
  <w:style w:type="character" w:customStyle="1" w:styleId="26">
    <w:name w:val="批注框文本 Char"/>
    <w:link w:val="11"/>
    <w:qFormat/>
    <w:uiPriority w:val="0"/>
    <w:rPr>
      <w:rFonts w:ascii="Calibri" w:hAnsi="Calibri"/>
      <w:kern w:val="2"/>
      <w:sz w:val="18"/>
      <w:szCs w:val="18"/>
    </w:rPr>
  </w:style>
  <w:style w:type="paragraph" w:customStyle="1" w:styleId="27">
    <w:name w:val="Default1"/>
    <w:qFormat/>
    <w:uiPriority w:val="0"/>
    <w:pPr>
      <w:widowControl w:val="0"/>
      <w:autoSpaceDE w:val="0"/>
      <w:autoSpaceDN w:val="0"/>
      <w:adjustRightInd w:val="0"/>
      <w:spacing w:line="360" w:lineRule="auto"/>
      <w:jc w:val="both"/>
    </w:pPr>
    <w:rPr>
      <w:rFonts w:ascii="宋体" w:hAnsi="Calibri" w:eastAsia="宋体" w:cs="宋体"/>
      <w:color w:val="000000"/>
      <w:sz w:val="24"/>
      <w:szCs w:val="24"/>
      <w:lang w:val="en-US" w:eastAsia="zh-CN" w:bidi="ar-SA"/>
    </w:rPr>
  </w:style>
  <w:style w:type="character" w:customStyle="1" w:styleId="28">
    <w:name w:val="selected"/>
    <w:qFormat/>
    <w:uiPriority w:val="0"/>
  </w:style>
  <w:style w:type="character" w:customStyle="1" w:styleId="29">
    <w:name w:val="first-child"/>
    <w:qFormat/>
    <w:uiPriority w:val="0"/>
  </w:style>
  <w:style w:type="character" w:customStyle="1" w:styleId="30">
    <w:name w:val="标准文件_段 Char"/>
    <w:qFormat/>
    <w:uiPriority w:val="0"/>
    <w:rPr>
      <w:rFonts w:hint="eastAsia" w:ascii="宋体" w:hAnsi="Times New Roman" w:eastAsia="宋体" w:cs="宋体"/>
      <w:sz w:val="21"/>
    </w:rPr>
  </w:style>
  <w:style w:type="character" w:customStyle="1" w:styleId="31">
    <w:name w:val="段 Char"/>
    <w:qFormat/>
    <w:uiPriority w:val="0"/>
    <w:rPr>
      <w:rFonts w:ascii="宋体" w:eastAsia="宋体"/>
      <w:sz w:val="21"/>
      <w:lang w:val="en-US" w:eastAsia="zh-CN" w:bidi="ar-SA"/>
    </w:rPr>
  </w:style>
  <w:style w:type="character" w:customStyle="1" w:styleId="32">
    <w:name w:val="ordinary-span-edit2"/>
    <w:qFormat/>
    <w:uiPriority w:val="0"/>
  </w:style>
  <w:style w:type="character" w:customStyle="1" w:styleId="33">
    <w:name w:val="high-light-bg4"/>
    <w:qFormat/>
    <w:uiPriority w:val="0"/>
  </w:style>
  <w:style w:type="character" w:customStyle="1" w:styleId="34">
    <w:name w:val="layui-this"/>
    <w:qFormat/>
    <w:uiPriority w:val="0"/>
    <w:rPr>
      <w:bdr w:val="single" w:color="EEEEEE" w:sz="4" w:space="0"/>
      <w:shd w:val="clear" w:color="auto" w:fill="FFFFFF"/>
    </w:rPr>
  </w:style>
  <w:style w:type="paragraph" w:customStyle="1" w:styleId="35">
    <w:name w:val="BodyText2"/>
    <w:basedOn w:val="1"/>
    <w:qFormat/>
    <w:uiPriority w:val="0"/>
    <w:pPr>
      <w:spacing w:after="120" w:line="480" w:lineRule="auto"/>
      <w:textAlignment w:val="baseline"/>
    </w:pPr>
    <w:rPr>
      <w:sz w:val="32"/>
      <w:szCs w:val="32"/>
    </w:rPr>
  </w:style>
  <w:style w:type="paragraph" w:customStyle="1" w:styleId="36">
    <w:name w:val="附录章标题"/>
    <w:next w:val="37"/>
    <w:qFormat/>
    <w:uiPriority w:val="0"/>
    <w:pPr>
      <w:numPr>
        <w:ilvl w:val="1"/>
        <w:numId w:val="1"/>
      </w:numPr>
      <w:tabs>
        <w:tab w:val="left" w:pos="360"/>
      </w:tabs>
      <w:wordWrap w:val="0"/>
      <w:overflowPunct w:val="0"/>
      <w:autoSpaceDE w:val="0"/>
      <w:spacing w:beforeLines="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37">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38">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9">
    <w:name w:val="三级无"/>
    <w:basedOn w:val="40"/>
    <w:qFormat/>
    <w:uiPriority w:val="0"/>
    <w:pPr>
      <w:spacing w:beforeLines="0" w:afterLines="0"/>
    </w:pPr>
    <w:rPr>
      <w:rFonts w:ascii="宋体" w:eastAsia="宋体"/>
    </w:rPr>
  </w:style>
  <w:style w:type="paragraph" w:customStyle="1" w:styleId="40">
    <w:name w:val="三级条标题"/>
    <w:basedOn w:val="41"/>
    <w:next w:val="37"/>
    <w:qFormat/>
    <w:uiPriority w:val="0"/>
    <w:pPr>
      <w:numPr>
        <w:ilvl w:val="3"/>
      </w:numPr>
      <w:outlineLvl w:val="4"/>
    </w:pPr>
  </w:style>
  <w:style w:type="paragraph" w:customStyle="1" w:styleId="41">
    <w:name w:val="二级条标题"/>
    <w:basedOn w:val="42"/>
    <w:next w:val="1"/>
    <w:qFormat/>
    <w:uiPriority w:val="0"/>
    <w:pPr>
      <w:numPr>
        <w:ilvl w:val="2"/>
      </w:numPr>
      <w:spacing w:before="50" w:after="50"/>
      <w:outlineLvl w:val="3"/>
    </w:pPr>
  </w:style>
  <w:style w:type="paragraph" w:customStyle="1" w:styleId="42">
    <w:name w:val="一级条标题"/>
    <w:next w:val="1"/>
    <w:qFormat/>
    <w:uiPriority w:val="0"/>
    <w:pPr>
      <w:numPr>
        <w:ilvl w:val="1"/>
        <w:numId w:val="2"/>
      </w:numPr>
      <w:spacing w:beforeLines="50" w:afterLines="50"/>
      <w:outlineLvl w:val="2"/>
    </w:pPr>
    <w:rPr>
      <w:rFonts w:ascii="黑体" w:hAnsi="Times New Roman" w:eastAsia="黑体" w:cs="Times New Roman"/>
      <w:sz w:val="21"/>
      <w:szCs w:val="21"/>
      <w:lang w:val="en-US" w:eastAsia="zh-CN" w:bidi="ar-SA"/>
    </w:rPr>
  </w:style>
  <w:style w:type="paragraph" w:customStyle="1" w:styleId="43">
    <w:name w:val="附录二级条标题"/>
    <w:basedOn w:val="1"/>
    <w:next w:val="37"/>
    <w:qFormat/>
    <w:uiPriority w:val="0"/>
    <w:pPr>
      <w:widowControl/>
      <w:numPr>
        <w:ilvl w:val="3"/>
        <w:numId w:val="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styleId="44">
    <w:name w:val="List Paragraph"/>
    <w:basedOn w:val="1"/>
    <w:qFormat/>
    <w:uiPriority w:val="34"/>
    <w:pPr>
      <w:ind w:firstLine="420" w:firstLineChars="200"/>
    </w:pPr>
  </w:style>
  <w:style w:type="paragraph" w:customStyle="1" w:styleId="45">
    <w:name w:val="附录五级条标题"/>
    <w:basedOn w:val="46"/>
    <w:next w:val="37"/>
    <w:qFormat/>
    <w:uiPriority w:val="0"/>
    <w:pPr>
      <w:numPr>
        <w:ilvl w:val="6"/>
      </w:numPr>
      <w:tabs>
        <w:tab w:val="left" w:pos="360"/>
      </w:tabs>
      <w:outlineLvl w:val="6"/>
    </w:pPr>
  </w:style>
  <w:style w:type="paragraph" w:customStyle="1" w:styleId="46">
    <w:name w:val="附录四级条标题"/>
    <w:basedOn w:val="47"/>
    <w:next w:val="37"/>
    <w:qFormat/>
    <w:uiPriority w:val="0"/>
    <w:pPr>
      <w:numPr>
        <w:ilvl w:val="5"/>
      </w:numPr>
      <w:tabs>
        <w:tab w:val="left" w:pos="360"/>
      </w:tabs>
      <w:outlineLvl w:val="5"/>
    </w:pPr>
  </w:style>
  <w:style w:type="paragraph" w:customStyle="1" w:styleId="47">
    <w:name w:val="附录三级条标题"/>
    <w:basedOn w:val="43"/>
    <w:next w:val="37"/>
    <w:qFormat/>
    <w:uiPriority w:val="0"/>
    <w:pPr>
      <w:numPr>
        <w:ilvl w:val="4"/>
      </w:numPr>
      <w:outlineLvl w:val="4"/>
    </w:pPr>
  </w:style>
  <w:style w:type="paragraph" w:customStyle="1" w:styleId="48">
    <w:name w:val="五级条标题"/>
    <w:basedOn w:val="49"/>
    <w:next w:val="37"/>
    <w:qFormat/>
    <w:uiPriority w:val="0"/>
    <w:pPr>
      <w:numPr>
        <w:ilvl w:val="5"/>
      </w:numPr>
      <w:outlineLvl w:val="6"/>
    </w:pPr>
  </w:style>
  <w:style w:type="paragraph" w:customStyle="1" w:styleId="49">
    <w:name w:val="四级条标题"/>
    <w:basedOn w:val="40"/>
    <w:next w:val="37"/>
    <w:qFormat/>
    <w:uiPriority w:val="0"/>
    <w:pPr>
      <w:numPr>
        <w:ilvl w:val="4"/>
      </w:numPr>
      <w:outlineLvl w:val="5"/>
    </w:pPr>
  </w:style>
  <w:style w:type="paragraph" w:customStyle="1" w:styleId="50">
    <w:name w:val="目次、标准名称标题"/>
    <w:basedOn w:val="1"/>
    <w:next w:val="37"/>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51">
    <w:name w:val="报告正文"/>
    <w:basedOn w:val="1"/>
    <w:qFormat/>
    <w:uiPriority w:val="0"/>
    <w:pPr>
      <w:tabs>
        <w:tab w:val="left" w:pos="0"/>
      </w:tabs>
      <w:spacing w:line="360" w:lineRule="auto"/>
      <w:ind w:firstLine="200" w:firstLineChars="200"/>
    </w:pPr>
    <w:rPr>
      <w:color w:val="000000"/>
      <w:sz w:val="24"/>
    </w:rPr>
  </w:style>
  <w:style w:type="paragraph" w:customStyle="1" w:styleId="52">
    <w:name w:val="章标题"/>
    <w:next w:val="37"/>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53">
    <w:name w:val="WPSOffice手动目录 1"/>
    <w:qFormat/>
    <w:uiPriority w:val="0"/>
    <w:rPr>
      <w:rFonts w:ascii="Times New Roman" w:hAnsi="Times New Roman" w:eastAsia="宋体" w:cs="Times New Roman"/>
      <w:lang w:val="en-US" w:eastAsia="zh-CN" w:bidi="ar-SA"/>
    </w:rPr>
  </w:style>
  <w:style w:type="paragraph" w:customStyle="1" w:styleId="54">
    <w:name w:val="二级无"/>
    <w:basedOn w:val="41"/>
    <w:qFormat/>
    <w:uiPriority w:val="0"/>
    <w:pPr>
      <w:spacing w:beforeLines="0" w:afterLines="0"/>
    </w:pPr>
    <w:rPr>
      <w:rFonts w:ascii="宋体" w:eastAsia="宋体"/>
    </w:rPr>
  </w:style>
  <w:style w:type="paragraph" w:customStyle="1" w:styleId="55">
    <w:name w:val="附录标识"/>
    <w:basedOn w:val="1"/>
    <w:next w:val="37"/>
    <w:qFormat/>
    <w:uiPriority w:val="0"/>
    <w:pPr>
      <w:keepNext/>
      <w:widowControl/>
      <w:numPr>
        <w:ilvl w:val="0"/>
        <w:numId w:val="1"/>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56">
    <w:name w:val=".y.."/>
    <w:basedOn w:val="1"/>
    <w:next w:val="1"/>
    <w:qFormat/>
    <w:uiPriority w:val="0"/>
    <w:pPr>
      <w:autoSpaceDE w:val="0"/>
      <w:autoSpaceDN w:val="0"/>
      <w:adjustRightInd w:val="0"/>
      <w:jc w:val="left"/>
    </w:pPr>
    <w:rPr>
      <w:rFonts w:ascii="Sim Sun" w:eastAsia="Sim Sun"/>
      <w:kern w:val="0"/>
      <w:sz w:val="24"/>
      <w:szCs w:val="24"/>
    </w:rPr>
  </w:style>
  <w:style w:type="paragraph" w:customStyle="1" w:styleId="57">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58">
    <w:name w:val="附录一级条标题"/>
    <w:basedOn w:val="36"/>
    <w:next w:val="37"/>
    <w:qFormat/>
    <w:uiPriority w:val="0"/>
    <w:pPr>
      <w:numPr>
        <w:ilvl w:val="2"/>
      </w:numPr>
      <w:autoSpaceDN w:val="0"/>
      <w:spacing w:beforeLines="50" w:afterLines="50"/>
      <w:outlineLvl w:val="2"/>
    </w:pPr>
  </w:style>
  <w:style w:type="paragraph" w:customStyle="1" w:styleId="59">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0">
    <w:name w:val="标准文件_章标题"/>
    <w:basedOn w:val="1"/>
    <w:next w:val="38"/>
    <w:qFormat/>
    <w:uiPriority w:val="0"/>
    <w:pPr>
      <w:widowControl/>
      <w:numPr>
        <w:ilvl w:val="1"/>
        <w:numId w:val="3"/>
      </w:numPr>
      <w:spacing w:beforeLines="100" w:afterLines="100"/>
      <w:ind w:left="0"/>
      <w:outlineLvl w:val="0"/>
    </w:pPr>
    <w:rPr>
      <w:rFonts w:hint="eastAsia" w:ascii="黑体" w:eastAsia="黑体"/>
      <w:kern w:val="0"/>
      <w:szCs w:val="20"/>
    </w:rPr>
  </w:style>
  <w:style w:type="paragraph" w:customStyle="1" w:styleId="61">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62">
    <w:name w:val="标准文件_一级条标题"/>
    <w:basedOn w:val="60"/>
    <w:next w:val="38"/>
    <w:qFormat/>
    <w:uiPriority w:val="0"/>
    <w:pPr>
      <w:numPr>
        <w:ilvl w:val="2"/>
      </w:numPr>
      <w:spacing w:beforeLines="50" w:afterLines="50"/>
      <w:outlineLvl w:val="1"/>
    </w:pPr>
  </w:style>
  <w:style w:type="paragraph" w:customStyle="1" w:styleId="63">
    <w:name w:val="p0"/>
    <w:basedOn w:val="1"/>
    <w:qFormat/>
    <w:uiPriority w:val="0"/>
    <w:pPr>
      <w:widowControl/>
    </w:pPr>
    <w:rPr>
      <w:kern w:val="0"/>
      <w:szCs w:val="21"/>
    </w:rPr>
  </w:style>
  <w:style w:type="paragraph" w:customStyle="1" w:styleId="64">
    <w:name w:val="WPSOffice手动目录 2"/>
    <w:qFormat/>
    <w:uiPriority w:val="0"/>
    <w:pPr>
      <w:ind w:leftChars="200"/>
    </w:pPr>
    <w:rPr>
      <w:rFonts w:ascii="Times New Roman" w:hAnsi="Times New Roman" w:eastAsia="宋体" w:cs="Times New Roman"/>
      <w:lang w:val="en-US" w:eastAsia="zh-CN" w:bidi="ar-SA"/>
    </w:rPr>
  </w:style>
  <w:style w:type="paragraph" w:customStyle="1" w:styleId="65">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66">
    <w:name w:val="Revision"/>
    <w:unhideWhenUsed/>
    <w:qFormat/>
    <w:uiPriority w:val="99"/>
    <w:rPr>
      <w:rFonts w:ascii="Times New Roman" w:hAnsi="Times New Roman" w:eastAsia="宋体" w:cs="Times New Roman"/>
      <w:kern w:val="2"/>
      <w:sz w:val="21"/>
      <w:szCs w:val="22"/>
      <w:lang w:val="en-US" w:eastAsia="zh-CN" w:bidi="ar-SA"/>
    </w:rPr>
  </w:style>
  <w:style w:type="table" w:customStyle="1" w:styleId="67">
    <w:name w:val="Table Normal"/>
    <w:unhideWhenUsed/>
    <w:qFormat/>
    <w:uiPriority w:val="0"/>
    <w:rPr>
      <w:rFonts w:ascii="Arial" w:hAnsi="Arial" w:cs="Arial"/>
      <w:snapToGrid w:val="0"/>
      <w:color w:val="000000"/>
      <w:sz w:val="21"/>
      <w:szCs w:val="21"/>
    </w:rPr>
    <w:tblPr>
      <w:tblCellMar>
        <w:top w:w="0" w:type="dxa"/>
        <w:left w:w="0" w:type="dxa"/>
        <w:bottom w:w="0" w:type="dxa"/>
        <w:right w:w="0" w:type="dxa"/>
      </w:tblCellMar>
    </w:tblPr>
  </w:style>
  <w:style w:type="paragraph" w:customStyle="1" w:styleId="68">
    <w:name w:val="标准文件_正文图标题"/>
    <w:next w:val="38"/>
    <w:qFormat/>
    <w:uiPriority w:val="0"/>
    <w:pPr>
      <w:numPr>
        <w:ilvl w:val="0"/>
        <w:numId w:val="4"/>
      </w:numPr>
      <w:spacing w:beforeLines="50" w:afterLines="50"/>
      <w:jc w:val="center"/>
    </w:pPr>
    <w:rPr>
      <w:rFonts w:ascii="黑体" w:hAnsi="Times New Roman" w:eastAsia="黑体" w:cs="Times New Roman"/>
      <w:sz w:val="21"/>
      <w:lang w:val="en-US" w:eastAsia="zh-CN" w:bidi="ar-SA"/>
    </w:rPr>
  </w:style>
  <w:style w:type="paragraph" w:customStyle="1" w:styleId="69">
    <w:name w:val="标准文件_表格"/>
    <w:basedOn w:val="38"/>
    <w:qFormat/>
    <w:uiPriority w:val="0"/>
    <w:pPr>
      <w:ind w:firstLine="0" w:firstLineChars="0"/>
      <w:jc w:val="center"/>
    </w:pPr>
    <w:rPr>
      <w:sz w:val="18"/>
    </w:rPr>
  </w:style>
  <w:style w:type="paragraph" w:customStyle="1" w:styleId="70">
    <w:name w:val="标准文件_图表说明"/>
    <w:link w:val="71"/>
    <w:qFormat/>
    <w:uiPriority w:val="0"/>
    <w:pPr>
      <w:spacing w:line="276" w:lineRule="auto"/>
      <w:ind w:firstLine="420"/>
    </w:pPr>
    <w:rPr>
      <w:rFonts w:ascii="宋体" w:hAnsi="宋体" w:eastAsia="宋体" w:cs="Times New Roman"/>
      <w:kern w:val="2"/>
      <w:sz w:val="18"/>
      <w:lang w:val="en-US" w:eastAsia="zh-CN" w:bidi="ar-SA"/>
    </w:rPr>
  </w:style>
  <w:style w:type="character" w:customStyle="1" w:styleId="71">
    <w:name w:val="标准文件_图表说明 Char"/>
    <w:link w:val="70"/>
    <w:qFormat/>
    <w:uiPriority w:val="0"/>
    <w:rPr>
      <w:rFonts w:ascii="宋体" w:hAnsi="宋体" w:eastAsia="宋体" w:cs="Times New Roman"/>
      <w:kern w:val="2"/>
      <w:sz w:val="18"/>
      <w:lang w:val="en-US" w:eastAsia="zh-CN" w:bidi="ar-SA"/>
    </w:rPr>
  </w:style>
  <w:style w:type="paragraph" w:customStyle="1" w:styleId="72">
    <w:name w:val="标准文件_术语条一"/>
    <w:basedOn w:val="73"/>
    <w:next w:val="38"/>
    <w:qFormat/>
    <w:uiPriority w:val="0"/>
    <w:pPr>
      <w:tabs>
        <w:tab w:val="left" w:pos="0"/>
      </w:tabs>
    </w:pPr>
  </w:style>
  <w:style w:type="paragraph" w:customStyle="1" w:styleId="73">
    <w:name w:val="标准文件_一级无标题"/>
    <w:basedOn w:val="62"/>
    <w:qFormat/>
    <w:uiPriority w:val="0"/>
    <w:pPr>
      <w:spacing w:beforeLines="0" w:afterLines="0"/>
      <w:outlineLvl w:val="9"/>
    </w:pPr>
    <w:rPr>
      <w:rFonts w:ascii="宋体" w:eastAsia="宋体"/>
    </w:rPr>
  </w:style>
  <w:style w:type="paragraph" w:customStyle="1" w:styleId="74">
    <w:name w:val="标准文件_二级条标题"/>
    <w:basedOn w:val="1"/>
    <w:next w:val="38"/>
    <w:qFormat/>
    <w:uiPriority w:val="0"/>
    <w:pPr>
      <w:numPr>
        <w:ilvl w:val="3"/>
        <w:numId w:val="5"/>
      </w:numPr>
      <w:spacing w:beforeLines="50" w:afterLines="50"/>
      <w:outlineLvl w:val="2"/>
    </w:pPr>
    <w:rPr>
      <w:rFonts w:hint="eastAsia" w:ascii="黑体" w:eastAsia="黑体"/>
      <w:kern w:val="0"/>
      <w:szCs w:val="20"/>
    </w:rPr>
  </w:style>
  <w:style w:type="paragraph" w:customStyle="1" w:styleId="75">
    <w:name w:val="标准文件_三级无标题"/>
    <w:basedOn w:val="76"/>
    <w:qFormat/>
    <w:uiPriority w:val="0"/>
    <w:pPr>
      <w:numPr>
        <w:numId w:val="6"/>
      </w:numPr>
      <w:spacing w:beforeLines="0" w:afterLines="0"/>
      <w:ind w:left="0"/>
      <w:outlineLvl w:val="9"/>
    </w:pPr>
    <w:rPr>
      <w:rFonts w:ascii="宋体" w:eastAsia="宋体"/>
    </w:rPr>
  </w:style>
  <w:style w:type="paragraph" w:customStyle="1" w:styleId="76">
    <w:name w:val="标准文件_三级条标题"/>
    <w:basedOn w:val="74"/>
    <w:next w:val="38"/>
    <w:qFormat/>
    <w:uiPriority w:val="0"/>
    <w:pPr>
      <w:widowControl/>
      <w:numPr>
        <w:ilvl w:val="4"/>
        <w:numId w:val="7"/>
      </w:numPr>
      <w:ind w:left="0"/>
      <w:outlineLvl w:val="3"/>
    </w:p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contractReview xmlns="http://schemas.wps.cn/vas-ai-hub/contract-review">
  <reviewItems>
    <reviewItem>
      <errorID>767598be-7969-4d90-a6ef-6fe3e3026e43</errorID>
      <errorWord>、</errorWord>
      <group>L1_Punc</group>
      <groupName>标点问题</groupName>
      <ability>L2_Punc</ability>
      <abilityName>标点符号检查</abilityName>
      <candidateList/>
      <explain/>
      <paraID>52FB2153</paraID>
      <start>0</start>
      <end>1</end>
      <status>ignored</status>
      <modifiedWord/>
      <trackRevisions>false</trackRevisions>
    </reviewItem>
    <reviewItem>
      <errorID>292e92f2-0396-47f2-878c-eb1e3b1937de</errorID>
      <errorWord>JB</errorWord>
      <group>L1_Sensitive</group>
      <groupName>敏感问题</groupName>
      <ability>L2_Abuse</ability>
      <abilityName>侮辱言辞</abilityName>
      <candidateList/>
      <explain>【侮辱言辞】句中涉及侮辱性的敏感内容，请注意甄别。</explain>
      <paraID>52B3382A</paraID>
      <start>0</start>
      <end>2</end>
      <status>ignored</status>
      <modifiedWord/>
      <trackRevisions>false</trackRevisions>
    </reviewItem>
    <reviewItem>
      <errorID>62ffe7ef-85e1-4fe1-b9eb-ab4595773242</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6BB36C42</paraID>
      <start>109</start>
      <end>110</end>
      <status>ignored</status>
      <modifiedWord/>
      <trackRevisions>false</trackRevisions>
    </reviewItem>
    <reviewItem>
      <errorID>36aa92c3-4252-4c5f-91ee-897abd136feb</errorID>
      <errorWord>JB</errorWord>
      <group>L1_Sensitive</group>
      <groupName>敏感问题</groupName>
      <ability>L2_Abuse</ability>
      <abilityName>侮辱言辞</abilityName>
      <candidateList/>
      <explain>【侮辱言辞】句中涉及侮辱性的敏感内容，请注意甄别。</explain>
      <paraID>360A7D78</paraID>
      <start>0</start>
      <end>2</end>
      <status>ignored</status>
      <modifiedWord/>
      <trackRevisions>false</trackRevisions>
    </reviewItem>
    <reviewItem>
      <errorID>9eec13a8-0b5b-4e03-b871-0bd40e507df6</errorID>
      <errorWord>燃烧袋</errorWord>
      <group>L1_Word</group>
      <groupName>字词问题</groupName>
      <ability>L2_Typo</ability>
      <abilityName>字词错误</abilityName>
      <candidateList>
        <item>燃烧</item>
      </candidateList>
      <explain/>
      <paraID>31D34089</paraID>
      <start>126</start>
      <end>129</end>
      <status>ignored</status>
      <modifiedWord/>
      <trackRevisions>false</trackRevisions>
    </reviewItem>
    <reviewItem>
      <errorID>1bb3cf21-a901-47eb-a4be-bc2c791973be</errorID>
      <errorWord>＞</errorWord>
      <group>L1_Format</group>
      <groupName>格式问题</groupName>
      <ability>L2_HalfPunc</ability>
      <abilityName>全半角检查</abilityName>
      <candidateList>
        <item>&gt;</item>
      </candidateList>
      <explain>文本全半角错误。</explain>
      <paraID>2269C7E0</paraID>
      <start>0</start>
      <end>1</end>
      <status>ignored</status>
      <modifiedWord/>
      <trackRevisions>false</trackRevisions>
    </reviewItem>
    <reviewItem>
      <errorID>35e07be0-8676-4142-8bd1-487baf1ac431</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2C577D58</paraID>
      <start>56</start>
      <end>57</end>
      <status>ignored</status>
      <modifiedWord/>
      <trackRevisions>false</trackRevisions>
    </reviewItem>
    <reviewItem>
      <errorID>dfb582b0-0cb4-4226-b2f8-624f85aaa795</errorID>
      <errorWord>JB</errorWord>
      <group>L1_Sensitive</group>
      <groupName>敏感问题</groupName>
      <ability>L2_Abuse</ability>
      <abilityName>侮辱言辞</abilityName>
      <candidateList/>
      <explain>【侮辱言辞】句中涉及侮辱性的敏感内容，请注意甄别。</explain>
      <paraID> 18D7F13</paraID>
      <start>105</start>
      <end>107</end>
      <status>ignored</status>
      <modifiedWord/>
      <trackRevisions>false</trackRevisions>
    </reviewItem>
    <reviewItem>
      <errorID>91d07dc5-e716-4f01-ae46-778b5cd39614</errorID>
      <errorWord>法律、法规</errorWord>
      <group>L1_Word</group>
      <groupName>字词问题</groupName>
      <ability>L2_Typo</ability>
      <abilityName>字词错误</abilityName>
      <candidateList>
        <item>法律法规</item>
      </candidateList>
      <explain/>
      <paraID>2BA8C6A0</paraID>
      <start>8</start>
      <end>13</end>
      <status>unmodified</status>
      <modifiedWord/>
      <trackRevisions>false</trackRevisions>
    </reviewItem>
    <reviewItem>
      <errorID>d0ecad67-39cb-4bd5-9142-415d2d72edc1</errorID>
      <errorWord>法律、法规</errorWord>
      <group>L1_Word</group>
      <groupName>字词问题</groupName>
      <ability>L2_Typo</ability>
      <abilityName>字词错误</abilityName>
      <candidateList>
        <item>法律法规</item>
      </candidateList>
      <explain/>
      <paraID>4D359DFD</paraID>
      <start>10</start>
      <end>15</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4ed5762-237a-4390-a985-d98ff38b66f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27</Pages>
  <Words>1826</Words>
  <Characters>1864</Characters>
  <DocSecurity>0</DocSecurity>
  <Lines>81</Lines>
  <Paragraphs>22</Paragraphs>
  <ScaleCrop>false</ScaleCrop>
  <LinksUpToDate>false</LinksUpToDate>
  <CharactersWithSpaces>1899</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2018-07-05T15:18:00Z</cp:lastPrinted>
  <dcterms:created xsi:type="dcterms:W3CDTF">2026-05-13T15:49:00Z</dcterms:created>
  <dcterms:modified xsi:type="dcterms:W3CDTF">2026-05-29T08:17:32Z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7F6E214C7E144F898C76C8A11D6EE822_13</vt:lpwstr>
  </property>
  <property fmtid="{D5CDD505-2E9C-101B-9397-08002B2CF9AE}" pid="4" name="KSOTemplateDocerSaveRecord">
    <vt:lpwstr>eyJoZGlkIjoiY2EzYjA0N2E2ZjQwODQ3NjMyMzZiYzc4Zjc5MmY0MmMiLCJ1c2VySWQiOiIyNDY1ODE4ODYifQ==</vt:lpwstr>
  </property>
</Properties>
</file>