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DFDA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CB137AB">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520413F">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14:paraId="39CD0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8D2301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30681E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277A6A9">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60DFC5C5">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05</w:t>
            </w:r>
            <w:r>
              <w:rPr>
                <w:rFonts w:ascii="黑体" w:hAnsi="黑体" w:eastAsia="黑体"/>
                <w:sz w:val="21"/>
                <w:szCs w:val="21"/>
              </w:rPr>
              <w:fldChar w:fldCharType="end"/>
            </w:r>
            <w:bookmarkEnd w:id="2"/>
          </w:p>
        </w:tc>
      </w:tr>
    </w:tbl>
    <w:p w14:paraId="32D7E193">
      <w:pPr>
        <w:pStyle w:val="53"/>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55FDA4DB">
      <w:pPr>
        <w:pStyle w:val="198"/>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72FE3E2B">
      <w:pPr>
        <w:pStyle w:val="199"/>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55729FA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13D5ED9A">
      <w:pPr>
        <w:pStyle w:val="53"/>
        <w:framePr w:w="9639" w:h="6976" w:hRule="exact" w:hSpace="0" w:vSpace="0" w:wrap="around" w:hAnchor="page" w:y="6408"/>
        <w:jc w:val="center"/>
        <w:rPr>
          <w:rFonts w:ascii="黑体" w:hAnsi="黑体" w:eastAsia="黑体"/>
          <w:b w:val="0"/>
          <w:bCs w:val="0"/>
          <w:w w:val="100"/>
        </w:rPr>
      </w:pPr>
    </w:p>
    <w:p w14:paraId="0B0D190A">
      <w:pPr>
        <w:pStyle w:val="20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前交叉韧带损伤壮</w:t>
      </w:r>
      <w:r>
        <w:t>医护理规范</w:t>
      </w:r>
      <w:r>
        <w:fldChar w:fldCharType="end"/>
      </w:r>
      <w:bookmarkEnd w:id="8"/>
    </w:p>
    <w:p w14:paraId="6E41DBDE">
      <w:pPr>
        <w:framePr w:w="9639" w:h="6974" w:hRule="exact" w:wrap="around" w:vAnchor="page" w:hAnchor="page" w:x="1419" w:y="6408" w:anchorLock="1"/>
        <w:ind w:left="-1418"/>
      </w:pPr>
    </w:p>
    <w:p w14:paraId="6969684F">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Specification for Zhuang medicine nursing of anterior cruciate ligament injury</w:t>
      </w:r>
      <w:r>
        <w:rPr>
          <w:rFonts w:ascii="黑体" w:hAnsi="黑体" w:eastAsia="黑体"/>
          <w:szCs w:val="28"/>
        </w:rPr>
        <w:fldChar w:fldCharType="end"/>
      </w:r>
      <w:bookmarkEnd w:id="9"/>
    </w:p>
    <w:p w14:paraId="7557D616">
      <w:pPr>
        <w:framePr w:w="9639" w:h="6974" w:hRule="exact" w:wrap="around" w:vAnchor="page" w:hAnchor="page" w:x="1419" w:y="6408" w:anchorLock="1"/>
        <w:spacing w:line="760" w:lineRule="exact"/>
        <w:ind w:left="-1418"/>
      </w:pPr>
    </w:p>
    <w:p w14:paraId="7D682F33">
      <w:pPr>
        <w:pStyle w:val="128"/>
        <w:framePr w:w="9639" w:h="6974" w:hRule="exact" w:wrap="around" w:vAnchor="page" w:hAnchor="page" w:x="1419" w:y="6408" w:anchorLock="1"/>
        <w:textAlignment w:val="bottom"/>
        <w:rPr>
          <w:rFonts w:eastAsia="黑体"/>
          <w:szCs w:val="28"/>
        </w:rPr>
      </w:pPr>
    </w:p>
    <w:p w14:paraId="0B49AB86">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670E5E7E">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2046BEB5">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61C4E372">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15E683FD">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5F58483F">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1958E108">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4E8CEAB2">
      <w:pPr>
        <w:pStyle w:val="94"/>
        <w:spacing w:after="360"/>
      </w:pPr>
      <w:bookmarkStart w:id="20" w:name="BookMark1"/>
      <w:bookmarkStart w:id="21" w:name="_Toc225358637"/>
      <w:bookmarkStart w:id="22" w:name="_Toc216898645"/>
      <w:bookmarkStart w:id="23" w:name="_Toc226037428"/>
      <w:bookmarkStart w:id="24" w:name="_Toc225358621"/>
      <w:bookmarkStart w:id="25" w:name="_Toc216898537"/>
      <w:r>
        <w:rPr>
          <w:rFonts w:hint="eastAsia"/>
          <w:spacing w:val="320"/>
        </w:rPr>
        <w:t>目</w:t>
      </w:r>
      <w:r>
        <w:rPr>
          <w:rFonts w:hint="eastAsia"/>
        </w:rPr>
        <w:t>次</w:t>
      </w:r>
    </w:p>
    <w:p w14:paraId="0454DC76">
      <w:pPr>
        <w:pStyle w:val="20"/>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"_Toc228451258" </w:instrText>
      </w:r>
      <w:r>
        <w:fldChar w:fldCharType="separate"/>
      </w:r>
      <w:r>
        <w:rPr>
          <w:rStyle w:val="34"/>
        </w:rPr>
        <w:t>前言</w:t>
      </w:r>
      <w:r>
        <w:tab/>
      </w:r>
      <w:r>
        <w:fldChar w:fldCharType="begin"/>
      </w:r>
      <w:r>
        <w:instrText xml:space="preserve"> PAGEREF _Toc228451258 \h </w:instrText>
      </w:r>
      <w:r>
        <w:fldChar w:fldCharType="separate"/>
      </w:r>
      <w:r>
        <w:t>II</w:t>
      </w:r>
      <w:r>
        <w:fldChar w:fldCharType="end"/>
      </w:r>
      <w:r>
        <w:fldChar w:fldCharType="end"/>
      </w:r>
    </w:p>
    <w:p w14:paraId="431E86BB">
      <w:pPr>
        <w:pStyle w:val="20"/>
        <w:tabs>
          <w:tab w:val="right" w:leader="dot" w:pos="9344"/>
        </w:tabs>
        <w:rPr>
          <w:rFonts w:asciiTheme="minorHAnsi" w:hAnsiTheme="minorHAnsi" w:eastAsiaTheme="minorEastAsia" w:cstheme="minorBidi"/>
          <w:szCs w:val="22"/>
        </w:rPr>
      </w:pPr>
      <w:r>
        <w:fldChar w:fldCharType="begin"/>
      </w:r>
      <w:r>
        <w:instrText xml:space="preserve"> HYPERLINK \l "_Toc228451259" </w:instrText>
      </w:r>
      <w:r>
        <w:fldChar w:fldCharType="separate"/>
      </w:r>
      <w:r>
        <w:rPr>
          <w:rStyle w:val="34"/>
        </w:rPr>
        <w:t>1  范围</w:t>
      </w:r>
      <w:r>
        <w:tab/>
      </w:r>
      <w:r>
        <w:fldChar w:fldCharType="begin"/>
      </w:r>
      <w:r>
        <w:instrText xml:space="preserve"> PAGEREF _Toc228451259 \h </w:instrText>
      </w:r>
      <w:r>
        <w:fldChar w:fldCharType="separate"/>
      </w:r>
      <w:r>
        <w:t>1</w:t>
      </w:r>
      <w:r>
        <w:fldChar w:fldCharType="end"/>
      </w:r>
      <w:r>
        <w:fldChar w:fldCharType="end"/>
      </w:r>
    </w:p>
    <w:p w14:paraId="036E0870">
      <w:pPr>
        <w:pStyle w:val="20"/>
        <w:tabs>
          <w:tab w:val="right" w:leader="dot" w:pos="9344"/>
        </w:tabs>
        <w:rPr>
          <w:rFonts w:asciiTheme="minorHAnsi" w:hAnsiTheme="minorHAnsi" w:eastAsiaTheme="minorEastAsia" w:cstheme="minorBidi"/>
          <w:szCs w:val="22"/>
        </w:rPr>
      </w:pPr>
      <w:r>
        <w:fldChar w:fldCharType="begin"/>
      </w:r>
      <w:r>
        <w:instrText xml:space="preserve"> HYPERLINK \l "_Toc228451260" </w:instrText>
      </w:r>
      <w:r>
        <w:fldChar w:fldCharType="separate"/>
      </w:r>
      <w:r>
        <w:rPr>
          <w:rStyle w:val="34"/>
        </w:rPr>
        <w:t>2  规范性引用文件</w:t>
      </w:r>
      <w:r>
        <w:tab/>
      </w:r>
      <w:r>
        <w:fldChar w:fldCharType="begin"/>
      </w:r>
      <w:r>
        <w:instrText xml:space="preserve"> PAGEREF _Toc228451260 \h </w:instrText>
      </w:r>
      <w:r>
        <w:fldChar w:fldCharType="separate"/>
      </w:r>
      <w:r>
        <w:t>1</w:t>
      </w:r>
      <w:r>
        <w:fldChar w:fldCharType="end"/>
      </w:r>
      <w:r>
        <w:fldChar w:fldCharType="end"/>
      </w:r>
    </w:p>
    <w:p w14:paraId="32445712">
      <w:pPr>
        <w:pStyle w:val="20"/>
        <w:tabs>
          <w:tab w:val="right" w:leader="dot" w:pos="9344"/>
        </w:tabs>
        <w:rPr>
          <w:rFonts w:asciiTheme="minorHAnsi" w:hAnsiTheme="minorHAnsi" w:eastAsiaTheme="minorEastAsia" w:cstheme="minorBidi"/>
          <w:szCs w:val="22"/>
        </w:rPr>
      </w:pPr>
      <w:r>
        <w:fldChar w:fldCharType="begin"/>
      </w:r>
      <w:r>
        <w:instrText xml:space="preserve"> HYPERLINK \l "_Toc228451261" </w:instrText>
      </w:r>
      <w:r>
        <w:fldChar w:fldCharType="separate"/>
      </w:r>
      <w:r>
        <w:rPr>
          <w:rStyle w:val="34"/>
        </w:rPr>
        <w:t>3  术语和定义</w:t>
      </w:r>
      <w:r>
        <w:tab/>
      </w:r>
      <w:r>
        <w:fldChar w:fldCharType="begin"/>
      </w:r>
      <w:r>
        <w:instrText xml:space="preserve"> PAGEREF _Toc228451261 \h </w:instrText>
      </w:r>
      <w:r>
        <w:fldChar w:fldCharType="separate"/>
      </w:r>
      <w:r>
        <w:t>1</w:t>
      </w:r>
      <w:r>
        <w:fldChar w:fldCharType="end"/>
      </w:r>
      <w:r>
        <w:fldChar w:fldCharType="end"/>
      </w:r>
    </w:p>
    <w:p w14:paraId="5B56DA55">
      <w:pPr>
        <w:pStyle w:val="20"/>
        <w:tabs>
          <w:tab w:val="right" w:leader="dot" w:pos="9344"/>
        </w:tabs>
        <w:rPr>
          <w:rFonts w:asciiTheme="minorHAnsi" w:hAnsiTheme="minorHAnsi" w:eastAsiaTheme="minorEastAsia" w:cstheme="minorBidi"/>
          <w:szCs w:val="22"/>
        </w:rPr>
      </w:pPr>
      <w:r>
        <w:fldChar w:fldCharType="begin"/>
      </w:r>
      <w:r>
        <w:instrText xml:space="preserve"> HYPERLINK \l "_Toc228451262" </w:instrText>
      </w:r>
      <w:r>
        <w:fldChar w:fldCharType="separate"/>
      </w:r>
      <w:r>
        <w:rPr>
          <w:rStyle w:val="34"/>
        </w:rPr>
        <w:t>4  缩略语</w:t>
      </w:r>
      <w:r>
        <w:tab/>
      </w:r>
      <w:r>
        <w:fldChar w:fldCharType="begin"/>
      </w:r>
      <w:r>
        <w:instrText xml:space="preserve"> PAGEREF _Toc228451262 \h </w:instrText>
      </w:r>
      <w:r>
        <w:fldChar w:fldCharType="separate"/>
      </w:r>
      <w:r>
        <w:t>1</w:t>
      </w:r>
      <w:r>
        <w:fldChar w:fldCharType="end"/>
      </w:r>
      <w:r>
        <w:fldChar w:fldCharType="end"/>
      </w:r>
    </w:p>
    <w:p w14:paraId="23DF7D6F">
      <w:pPr>
        <w:pStyle w:val="20"/>
        <w:tabs>
          <w:tab w:val="right" w:leader="dot" w:pos="9344"/>
        </w:tabs>
        <w:rPr>
          <w:rFonts w:asciiTheme="minorHAnsi" w:hAnsiTheme="minorHAnsi" w:eastAsiaTheme="minorEastAsia" w:cstheme="minorBidi"/>
          <w:szCs w:val="22"/>
        </w:rPr>
      </w:pPr>
      <w:r>
        <w:fldChar w:fldCharType="begin"/>
      </w:r>
      <w:r>
        <w:instrText xml:space="preserve"> HYPERLINK \l "_Toc228451263" </w:instrText>
      </w:r>
      <w:r>
        <w:fldChar w:fldCharType="separate"/>
      </w:r>
      <w:r>
        <w:rPr>
          <w:rStyle w:val="34"/>
        </w:rPr>
        <w:t>5  人员要求</w:t>
      </w:r>
      <w:r>
        <w:tab/>
      </w:r>
      <w:r>
        <w:fldChar w:fldCharType="begin"/>
      </w:r>
      <w:r>
        <w:instrText xml:space="preserve"> PAGEREF _Toc228451263 \h </w:instrText>
      </w:r>
      <w:r>
        <w:fldChar w:fldCharType="separate"/>
      </w:r>
      <w:r>
        <w:t>1</w:t>
      </w:r>
      <w:r>
        <w:fldChar w:fldCharType="end"/>
      </w:r>
      <w:r>
        <w:fldChar w:fldCharType="end"/>
      </w:r>
    </w:p>
    <w:p w14:paraId="63C89C9A">
      <w:pPr>
        <w:pStyle w:val="20"/>
        <w:tabs>
          <w:tab w:val="right" w:leader="dot" w:pos="9344"/>
        </w:tabs>
        <w:rPr>
          <w:rFonts w:asciiTheme="minorHAnsi" w:hAnsiTheme="minorHAnsi" w:eastAsiaTheme="minorEastAsia" w:cstheme="minorBidi"/>
          <w:szCs w:val="22"/>
        </w:rPr>
      </w:pPr>
      <w:r>
        <w:fldChar w:fldCharType="begin"/>
      </w:r>
      <w:r>
        <w:instrText xml:space="preserve"> HYPERLINK \l "_Toc228451264" </w:instrText>
      </w:r>
      <w:r>
        <w:fldChar w:fldCharType="separate"/>
      </w:r>
      <w:r>
        <w:rPr>
          <w:rStyle w:val="34"/>
        </w:rPr>
        <w:t>6  评估</w:t>
      </w:r>
      <w:r>
        <w:tab/>
      </w:r>
      <w:r>
        <w:fldChar w:fldCharType="begin"/>
      </w:r>
      <w:r>
        <w:instrText xml:space="preserve"> PAGEREF _Toc228451264 \h </w:instrText>
      </w:r>
      <w:r>
        <w:fldChar w:fldCharType="separate"/>
      </w:r>
      <w:r>
        <w:t>1</w:t>
      </w:r>
      <w:r>
        <w:fldChar w:fldCharType="end"/>
      </w:r>
      <w:r>
        <w:fldChar w:fldCharType="end"/>
      </w:r>
    </w:p>
    <w:p w14:paraId="7DF5ADF6">
      <w:pPr>
        <w:pStyle w:val="20"/>
        <w:tabs>
          <w:tab w:val="right" w:leader="dot" w:pos="9344"/>
        </w:tabs>
        <w:rPr>
          <w:rFonts w:asciiTheme="minorHAnsi" w:hAnsiTheme="minorHAnsi" w:eastAsiaTheme="minorEastAsia" w:cstheme="minorBidi"/>
          <w:szCs w:val="22"/>
        </w:rPr>
      </w:pPr>
      <w:r>
        <w:fldChar w:fldCharType="begin"/>
      </w:r>
      <w:r>
        <w:instrText xml:space="preserve"> HYPERLINK \l "_Toc228451265" </w:instrText>
      </w:r>
      <w:r>
        <w:fldChar w:fldCharType="separate"/>
      </w:r>
      <w:r>
        <w:rPr>
          <w:rStyle w:val="34"/>
        </w:rPr>
        <w:t>7  护理措施</w:t>
      </w:r>
      <w:r>
        <w:tab/>
      </w:r>
      <w:r>
        <w:fldChar w:fldCharType="begin"/>
      </w:r>
      <w:r>
        <w:instrText xml:space="preserve"> PAGEREF _Toc228451265 \h </w:instrText>
      </w:r>
      <w:r>
        <w:fldChar w:fldCharType="separate"/>
      </w:r>
      <w:r>
        <w:t>2</w:t>
      </w:r>
      <w:r>
        <w:fldChar w:fldCharType="end"/>
      </w:r>
      <w:r>
        <w:fldChar w:fldCharType="end"/>
      </w:r>
    </w:p>
    <w:p w14:paraId="73E52880">
      <w:pPr>
        <w:pStyle w:val="20"/>
        <w:tabs>
          <w:tab w:val="right" w:leader="dot" w:pos="9344"/>
        </w:tabs>
        <w:rPr>
          <w:rFonts w:asciiTheme="minorHAnsi" w:hAnsiTheme="minorHAnsi" w:eastAsiaTheme="minorEastAsia" w:cstheme="minorBidi"/>
          <w:szCs w:val="22"/>
        </w:rPr>
      </w:pPr>
      <w:r>
        <w:fldChar w:fldCharType="begin"/>
      </w:r>
      <w:r>
        <w:instrText xml:space="preserve"> HYPERLINK \l "_Toc228451266" </w:instrText>
      </w:r>
      <w:r>
        <w:fldChar w:fldCharType="separate"/>
      </w:r>
      <w:r>
        <w:rPr>
          <w:rStyle w:val="34"/>
        </w:rPr>
        <w:t>8  常见并发症护理</w:t>
      </w:r>
      <w:r>
        <w:tab/>
      </w:r>
      <w:r>
        <w:fldChar w:fldCharType="begin"/>
      </w:r>
      <w:r>
        <w:instrText xml:space="preserve"> PAGEREF _Toc228451266 \h </w:instrText>
      </w:r>
      <w:r>
        <w:fldChar w:fldCharType="separate"/>
      </w:r>
      <w:r>
        <w:t>3</w:t>
      </w:r>
      <w:r>
        <w:fldChar w:fldCharType="end"/>
      </w:r>
      <w:r>
        <w:fldChar w:fldCharType="end"/>
      </w:r>
    </w:p>
    <w:p w14:paraId="365E5B39">
      <w:pPr>
        <w:pStyle w:val="20"/>
        <w:tabs>
          <w:tab w:val="right" w:leader="dot" w:pos="9344"/>
        </w:tabs>
        <w:rPr>
          <w:rFonts w:asciiTheme="minorHAnsi" w:hAnsiTheme="minorHAnsi" w:eastAsiaTheme="minorEastAsia" w:cstheme="minorBidi"/>
          <w:szCs w:val="22"/>
        </w:rPr>
      </w:pPr>
      <w:r>
        <w:fldChar w:fldCharType="begin"/>
      </w:r>
      <w:r>
        <w:instrText xml:space="preserve"> HYPERLINK \l "_Toc228451267" </w:instrText>
      </w:r>
      <w:r>
        <w:fldChar w:fldCharType="separate"/>
      </w:r>
      <w:r>
        <w:rPr>
          <w:rStyle w:val="34"/>
        </w:rPr>
        <w:t>9  日常调护</w:t>
      </w:r>
      <w:r>
        <w:tab/>
      </w:r>
      <w:r>
        <w:fldChar w:fldCharType="begin"/>
      </w:r>
      <w:r>
        <w:instrText xml:space="preserve"> PAGEREF _Toc228451267 \h </w:instrText>
      </w:r>
      <w:r>
        <w:fldChar w:fldCharType="separate"/>
      </w:r>
      <w:r>
        <w:t>3</w:t>
      </w:r>
      <w:r>
        <w:fldChar w:fldCharType="end"/>
      </w:r>
      <w:r>
        <w:fldChar w:fldCharType="end"/>
      </w:r>
    </w:p>
    <w:p w14:paraId="4D9A9C93">
      <w:pPr>
        <w:pStyle w:val="20"/>
        <w:tabs>
          <w:tab w:val="right" w:leader="dot" w:pos="9344"/>
        </w:tabs>
        <w:rPr>
          <w:rFonts w:asciiTheme="minorHAnsi" w:hAnsiTheme="minorHAnsi" w:eastAsiaTheme="minorEastAsia" w:cstheme="minorBidi"/>
          <w:szCs w:val="22"/>
        </w:rPr>
      </w:pPr>
      <w:r>
        <w:fldChar w:fldCharType="begin"/>
      </w:r>
      <w:r>
        <w:instrText xml:space="preserve"> HYPERLINK \l "_Toc228451268" </w:instrText>
      </w:r>
      <w:r>
        <w:fldChar w:fldCharType="separate"/>
      </w:r>
      <w:r>
        <w:rPr>
          <w:rStyle w:val="34"/>
        </w:rPr>
        <w:t>参考文献</w:t>
      </w:r>
      <w:r>
        <w:tab/>
      </w:r>
      <w:r>
        <w:fldChar w:fldCharType="begin"/>
      </w:r>
      <w:r>
        <w:instrText xml:space="preserve"> PAGEREF _Toc228451268 \h </w:instrText>
      </w:r>
      <w:r>
        <w:fldChar w:fldCharType="separate"/>
      </w:r>
      <w:r>
        <w:t>5</w:t>
      </w:r>
      <w:r>
        <w:fldChar w:fldCharType="end"/>
      </w:r>
      <w:r>
        <w:fldChar w:fldCharType="end"/>
      </w:r>
    </w:p>
    <w:p w14:paraId="487579E0">
      <w:pPr>
        <w:pStyle w:val="94"/>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0"/>
    <w:p w14:paraId="567CDA96">
      <w:pPr>
        <w:pStyle w:val="92"/>
        <w:spacing w:after="360"/>
      </w:pPr>
      <w:bookmarkStart w:id="26" w:name="_Toc228451258"/>
      <w:bookmarkStart w:id="27" w:name="BookMark2"/>
      <w:r>
        <w:rPr>
          <w:spacing w:val="320"/>
        </w:rPr>
        <w:t>前</w:t>
      </w:r>
      <w:r>
        <w:t>言</w:t>
      </w:r>
      <w:bookmarkEnd w:id="21"/>
      <w:bookmarkEnd w:id="22"/>
      <w:bookmarkEnd w:id="23"/>
      <w:bookmarkEnd w:id="24"/>
      <w:bookmarkEnd w:id="25"/>
      <w:bookmarkEnd w:id="26"/>
    </w:p>
    <w:p w14:paraId="01180F20">
      <w:pPr>
        <w:pStyle w:val="59"/>
        <w:ind w:firstLine="420"/>
      </w:pPr>
      <w:r>
        <w:rPr>
          <w:rFonts w:hint="eastAsia"/>
        </w:rPr>
        <w:t>本文件参照GB/T 1.1—2020《标准化工作导则  第1部分：标准化文件的结构和起草规则》的规定起草。</w:t>
      </w:r>
    </w:p>
    <w:p w14:paraId="3BAFC584">
      <w:pPr>
        <w:pStyle w:val="59"/>
        <w:ind w:firstLine="420"/>
      </w:pPr>
      <w:r>
        <w:rPr>
          <w:rFonts w:hint="eastAsia"/>
        </w:rPr>
        <w:t>请注意本文件的某些内容可能涉及专利。本文件的发布机构不承担识别专利的责任。</w:t>
      </w:r>
    </w:p>
    <w:p w14:paraId="382AACE5">
      <w:pPr>
        <w:pStyle w:val="59"/>
        <w:ind w:firstLine="420"/>
      </w:pPr>
      <w:r>
        <w:rPr>
          <w:rFonts w:hint="eastAsia"/>
        </w:rPr>
        <w:t>本文件由广西护理学会提出、归口</w:t>
      </w:r>
      <w:r>
        <w:rPr>
          <w:rFonts w:hint="eastAsia"/>
          <w:lang w:val="en-US" w:eastAsia="zh-CN"/>
        </w:rPr>
        <w:t>并宣贯</w:t>
      </w:r>
      <w:r>
        <w:rPr>
          <w:rFonts w:hint="eastAsia"/>
        </w:rPr>
        <w:t>。</w:t>
      </w:r>
    </w:p>
    <w:p w14:paraId="21FB8E5D">
      <w:pPr>
        <w:pStyle w:val="59"/>
        <w:ind w:firstLine="420"/>
      </w:pPr>
      <w:r>
        <w:rPr>
          <w:rFonts w:hint="eastAsia"/>
        </w:rPr>
        <w:t>本文件起草单位：广西国际壮医医院、</w:t>
      </w:r>
      <w:bookmarkStart w:id="28" w:name="OLE_LINK4"/>
      <w:bookmarkStart w:id="29" w:name="OLE_LINK3"/>
      <w:r>
        <w:rPr>
          <w:rFonts w:hint="eastAsia"/>
        </w:rPr>
        <w:t>广西中医药大学附属第二医院</w:t>
      </w:r>
      <w:bookmarkEnd w:id="28"/>
      <w:bookmarkEnd w:id="29"/>
      <w:r>
        <w:rPr>
          <w:rFonts w:hint="eastAsia"/>
        </w:rPr>
        <w:t>、柳州市中医院(柳州市壮医医院)、钦州市中医医院、河池市中医医院、桂林中西医结合医院、梧州市中医医院、合浦县中医医院。</w:t>
      </w:r>
    </w:p>
    <w:p w14:paraId="136177DC">
      <w:pPr>
        <w:pStyle w:val="59"/>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r>
        <w:rPr>
          <w:rFonts w:hint="eastAsia"/>
        </w:rPr>
        <w:t>本文件主要起草人：黄碧秋、莫理璐、韦佳佳、李龙春、徐德梅、刘霜、张叶琳、王艳红、郭宁、张荣秀、黄源丽、郑文丽、黄艳婴、韦群梅、龚海芳、赵香越、黄秋霞、梁艳媚、蓝阳露、何静、韦芳茵、李丽、莫耀娥、黄圆、邹群、覃丹、韦艳珍、罗珍、罗桂凡、刘淋。</w:t>
      </w:r>
    </w:p>
    <w:bookmarkEnd w:id="27"/>
    <w:p w14:paraId="2615138D">
      <w:pPr>
        <w:spacing w:line="20" w:lineRule="exact"/>
        <w:jc w:val="center"/>
        <w:rPr>
          <w:rFonts w:ascii="黑体" w:hAnsi="黑体" w:eastAsia="黑体"/>
          <w:sz w:val="32"/>
          <w:szCs w:val="32"/>
        </w:rPr>
      </w:pPr>
      <w:bookmarkStart w:id="30" w:name="BookMark4"/>
    </w:p>
    <w:p w14:paraId="5C5E2B82">
      <w:pPr>
        <w:spacing w:line="20" w:lineRule="exact"/>
        <w:jc w:val="center"/>
        <w:rPr>
          <w:rFonts w:ascii="黑体" w:hAnsi="黑体" w:eastAsia="黑体"/>
          <w:sz w:val="32"/>
          <w:szCs w:val="32"/>
        </w:rPr>
      </w:pPr>
    </w:p>
    <w:sdt>
      <w:sdtPr>
        <w:tag w:val="NEW_STAND_NAME"/>
        <w:id w:val="595910757"/>
        <w:lock w:val="sdtLocked"/>
        <w:placeholder>
          <w:docPart w:val="71E1FBCCC21A4E878326910E6248747F"/>
        </w:placeholder>
      </w:sdtPr>
      <w:sdtContent>
        <w:p w14:paraId="4DD4C2D5">
          <w:pPr>
            <w:pStyle w:val="180"/>
            <w:spacing w:before="240" w:beforeLines="100" w:after="528" w:afterLines="220"/>
          </w:pPr>
          <w:bookmarkStart w:id="31" w:name="NEW_STAND_NAME"/>
          <w:r>
            <w:rPr>
              <w:rFonts w:hint="eastAsia"/>
            </w:rPr>
            <w:t>前交叉韧带损伤壮医护理规范</w:t>
          </w:r>
        </w:p>
      </w:sdtContent>
    </w:sdt>
    <w:bookmarkEnd w:id="31"/>
    <w:p w14:paraId="74142D8D">
      <w:pPr>
        <w:pStyle w:val="107"/>
        <w:spacing w:before="240" w:after="240"/>
      </w:pPr>
      <w:bookmarkStart w:id="32" w:name="_Toc226037429"/>
      <w:bookmarkStart w:id="33" w:name="_Toc225358638"/>
      <w:bookmarkStart w:id="34" w:name="_Toc26986771"/>
      <w:bookmarkStart w:id="35" w:name="_Toc17233325"/>
      <w:bookmarkStart w:id="36" w:name="_Toc26718930"/>
      <w:bookmarkStart w:id="37" w:name="_Toc97192964"/>
      <w:bookmarkStart w:id="38" w:name="_Toc228451259"/>
      <w:bookmarkStart w:id="39" w:name="_Toc26986530"/>
      <w:bookmarkStart w:id="40" w:name="_Toc216898646"/>
      <w:bookmarkStart w:id="41" w:name="_Toc24884218"/>
      <w:bookmarkStart w:id="42" w:name="_Toc216898538"/>
      <w:bookmarkStart w:id="43" w:name="_Toc26648465"/>
      <w:bookmarkStart w:id="44" w:name="_Toc17233333"/>
      <w:bookmarkStart w:id="45" w:name="_Toc225358622"/>
      <w:bookmarkStart w:id="46" w:name="_Toc2488421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62F5799">
      <w:pPr>
        <w:pStyle w:val="59"/>
        <w:ind w:firstLine="420"/>
      </w:pPr>
      <w:bookmarkStart w:id="47" w:name="_Toc17233326"/>
      <w:bookmarkStart w:id="48" w:name="_Toc26648466"/>
      <w:bookmarkStart w:id="49" w:name="_Toc24884212"/>
      <w:bookmarkStart w:id="50" w:name="_Toc17233334"/>
      <w:bookmarkStart w:id="51" w:name="_Toc24884219"/>
      <w:r>
        <w:rPr>
          <w:rFonts w:hint="eastAsia"/>
        </w:rPr>
        <w:t>本文件界定了前交叉韧带损伤的术语和定义及缩略语，规定了前交叉韧带损伤壮医护理的人员要求</w:t>
      </w:r>
      <w:r>
        <w:rPr>
          <w:rFonts w:hint="eastAsia"/>
          <w:lang w:val="en-US" w:eastAsia="zh-CN"/>
        </w:rPr>
        <w:t>以及</w:t>
      </w:r>
      <w:r>
        <w:rPr>
          <w:rFonts w:hint="eastAsia"/>
        </w:rPr>
        <w:t>评估、护理措施、常见并发症护理、日常调护的要求。</w:t>
      </w:r>
    </w:p>
    <w:p w14:paraId="55D6E9CC">
      <w:pPr>
        <w:pStyle w:val="59"/>
        <w:ind w:firstLine="420"/>
      </w:pPr>
      <w:r>
        <w:rPr>
          <w:rFonts w:hint="eastAsia"/>
        </w:rPr>
        <w:t>本文件适用于</w:t>
      </w:r>
      <w:r>
        <w:rPr>
          <w:rFonts w:hint="eastAsia"/>
          <w:lang w:val="en-US" w:eastAsia="zh-CN"/>
        </w:rPr>
        <w:t>医疗机构</w:t>
      </w:r>
      <w:r>
        <w:rPr>
          <w:rFonts w:hint="eastAsia"/>
        </w:rPr>
        <w:t>前交叉韧带损伤围手术期的壮医护理工作。</w:t>
      </w:r>
    </w:p>
    <w:p w14:paraId="5A9560F3">
      <w:pPr>
        <w:pStyle w:val="107"/>
        <w:spacing w:before="240" w:after="240"/>
      </w:pPr>
      <w:bookmarkStart w:id="52" w:name="_Toc228451260"/>
      <w:bookmarkStart w:id="53" w:name="_Toc216898539"/>
      <w:bookmarkStart w:id="54" w:name="_Toc97192965"/>
      <w:bookmarkStart w:id="55" w:name="_Toc225358639"/>
      <w:bookmarkStart w:id="56" w:name="_Toc26986772"/>
      <w:bookmarkStart w:id="57" w:name="_Toc216898647"/>
      <w:bookmarkStart w:id="58" w:name="_Toc26986531"/>
      <w:bookmarkStart w:id="59" w:name="_Toc26718931"/>
      <w:bookmarkStart w:id="60" w:name="_Toc226037430"/>
      <w:bookmarkStart w:id="61" w:name="_Toc225358623"/>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dt>
      <w:sdtPr>
        <w:rPr>
          <w:rFonts w:hint="eastAsia"/>
        </w:rPr>
        <w:id w:val="715848253"/>
        <w:placeholder>
          <w:docPart w:val="06E4C117A5E84607801F5820DDAA5BD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3D498CE">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9159D86">
      <w:pPr>
        <w:pStyle w:val="59"/>
        <w:ind w:firstLine="420"/>
      </w:pPr>
      <w:bookmarkStart w:id="62" w:name="OLE_LINK35"/>
      <w:bookmarkStart w:id="63" w:name="_Toc97192966"/>
      <w:r>
        <w:rPr>
          <w:rFonts w:hint="eastAsia"/>
        </w:rPr>
        <w:t>GB/T 12346  经穴名称与定位</w:t>
      </w:r>
    </w:p>
    <w:p w14:paraId="1B73D621">
      <w:pPr>
        <w:pStyle w:val="59"/>
        <w:ind w:firstLine="420"/>
      </w:pPr>
      <w:r>
        <w:rPr>
          <w:rFonts w:hint="eastAsia"/>
        </w:rPr>
        <w:t>GB/T 13734</w:t>
      </w:r>
      <w:r>
        <w:t xml:space="preserve">  </w:t>
      </w:r>
      <w:r>
        <w:rPr>
          <w:rFonts w:hint="eastAsia"/>
        </w:rPr>
        <w:t>耳穴名称与定位</w:t>
      </w:r>
    </w:p>
    <w:p w14:paraId="55A14356">
      <w:pPr>
        <w:pStyle w:val="59"/>
        <w:ind w:firstLine="420"/>
        <w:rPr>
          <w:rFonts w:hint="eastAsia"/>
          <w:color w:val="auto"/>
          <w:highlight w:val="none"/>
        </w:rPr>
      </w:pPr>
      <w:r>
        <w:rPr>
          <w:rFonts w:hint="eastAsia"/>
          <w:color w:val="auto"/>
          <w:highlight w:val="none"/>
        </w:rPr>
        <w:t>GB/T 21709.1</w:t>
      </w:r>
      <w:r>
        <w:rPr>
          <w:color w:val="auto"/>
          <w:highlight w:val="none"/>
        </w:rPr>
        <w:t xml:space="preserve">  </w:t>
      </w:r>
      <w:r>
        <w:rPr>
          <w:rFonts w:hint="eastAsia"/>
          <w:color w:val="auto"/>
          <w:highlight w:val="none"/>
        </w:rPr>
        <w:t xml:space="preserve">针灸技术操作规范 </w:t>
      </w:r>
      <w:r>
        <w:rPr>
          <w:color w:val="auto"/>
          <w:highlight w:val="none"/>
        </w:rPr>
        <w:t xml:space="preserve"> </w:t>
      </w:r>
      <w:r>
        <w:rPr>
          <w:rFonts w:hint="eastAsia"/>
          <w:color w:val="auto"/>
          <w:highlight w:val="none"/>
        </w:rPr>
        <w:t>第1部分：艾灸</w:t>
      </w:r>
    </w:p>
    <w:p w14:paraId="38E9873E">
      <w:pPr>
        <w:widowControl/>
        <w:autoSpaceDE w:val="0"/>
        <w:autoSpaceDN w:val="0"/>
        <w:adjustRightInd/>
        <w:spacing w:line="240" w:lineRule="auto"/>
        <w:ind w:firstLine="420" w:firstLineChars="200"/>
        <w:rPr>
          <w:rFonts w:ascii="宋体" w:hAnsi="Times New Roman"/>
          <w:kern w:val="0"/>
          <w:szCs w:val="20"/>
        </w:rPr>
      </w:pPr>
      <w:r>
        <w:rPr>
          <w:rFonts w:ascii="宋体" w:hAnsi="Times New Roman"/>
          <w:kern w:val="0"/>
          <w:szCs w:val="20"/>
        </w:rPr>
        <w:t xml:space="preserve">DB45/T 2790  </w:t>
      </w:r>
      <w:r>
        <w:rPr>
          <w:rFonts w:hint="eastAsia" w:ascii="宋体" w:hAnsi="Times New Roman"/>
          <w:kern w:val="0"/>
          <w:szCs w:val="20"/>
        </w:rPr>
        <w:t>壮医药物竹罐治疗护理技术操作规范</w:t>
      </w:r>
    </w:p>
    <w:p w14:paraId="7B9C9F72">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DB45/T 2791  壮医药熨治疗护理技术操作规范</w:t>
      </w:r>
    </w:p>
    <w:p w14:paraId="1643C62B">
      <w:pPr>
        <w:pStyle w:val="59"/>
        <w:ind w:firstLine="420"/>
      </w:pPr>
      <w:r>
        <w:t xml:space="preserve">DB45/T 2792  </w:t>
      </w:r>
      <w:r>
        <w:rPr>
          <w:rFonts w:hint="eastAsia"/>
        </w:rPr>
        <w:t>壮医敷贴治疗护理技术操作规范</w:t>
      </w:r>
    </w:p>
    <w:bookmarkEnd w:id="62"/>
    <w:p w14:paraId="20AF6DCE">
      <w:pPr>
        <w:pStyle w:val="107"/>
        <w:spacing w:before="240" w:after="240"/>
      </w:pPr>
      <w:bookmarkStart w:id="64" w:name="_Toc216898648"/>
      <w:bookmarkStart w:id="65" w:name="_Toc216898540"/>
      <w:bookmarkStart w:id="66" w:name="_Toc226037431"/>
      <w:bookmarkStart w:id="67" w:name="_Toc225358624"/>
      <w:bookmarkStart w:id="68" w:name="_Toc228451261"/>
      <w:bookmarkStart w:id="69" w:name="_Toc225358640"/>
      <w:r>
        <w:rPr>
          <w:rFonts w:hint="eastAsia"/>
          <w:szCs w:val="21"/>
        </w:rPr>
        <w:t>术语和定义</w:t>
      </w:r>
      <w:bookmarkEnd w:id="63"/>
      <w:bookmarkEnd w:id="64"/>
      <w:bookmarkEnd w:id="65"/>
      <w:bookmarkEnd w:id="66"/>
      <w:bookmarkEnd w:id="67"/>
      <w:bookmarkEnd w:id="68"/>
      <w:bookmarkEnd w:id="69"/>
    </w:p>
    <w:sdt>
      <w:sdtPr>
        <w:id w:val="-1909835108"/>
        <w:placeholder>
          <w:docPart w:val="D35E9B5DF8444B009B6DFB1F9B50FEA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A6F3BDF">
          <w:pPr>
            <w:pStyle w:val="59"/>
            <w:ind w:firstLine="420"/>
          </w:pPr>
          <w:bookmarkStart w:id="70" w:name="_Toc26986532"/>
          <w:bookmarkEnd w:id="70"/>
          <w:r>
            <w:t>下列术语和定义适用于本文件。</w:t>
          </w:r>
        </w:p>
      </w:sdtContent>
    </w:sdt>
    <w:p w14:paraId="35E44206">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前交叉韧带损伤 </w:t>
      </w:r>
      <w:r>
        <w:rPr>
          <w:rFonts w:ascii="黑体" w:hAnsi="黑体" w:eastAsia="黑体"/>
        </w:rPr>
        <w:t xml:space="preserve"> anterior cruciate ligament injury</w:t>
      </w:r>
    </w:p>
    <w:p w14:paraId="7404B79E">
      <w:pPr>
        <w:pStyle w:val="59"/>
        <w:ind w:firstLine="420"/>
      </w:pPr>
      <w:r>
        <w:rPr>
          <w:rFonts w:hint="eastAsia"/>
        </w:rPr>
        <w:t>属壮医学“Cizgyauhcah yindaisunjsangh”范畴，因外伤导致前交叉韧带连续性及完整性破坏，常伴或不伴半月板、侧副韧带损伤，临床以膝关节不稳、肿胀、疼痛为主要表现</w:t>
      </w:r>
      <w:r>
        <w:rPr>
          <w:rFonts w:hint="eastAsia"/>
          <w:lang w:val="en-US" w:eastAsia="zh-CN"/>
        </w:rPr>
        <w:t>的膝关节损伤</w:t>
      </w:r>
      <w:r>
        <w:rPr>
          <w:rFonts w:hint="eastAsia"/>
        </w:rPr>
        <w:t>。</w:t>
      </w:r>
    </w:p>
    <w:p w14:paraId="5B482FDD">
      <w:pPr>
        <w:pStyle w:val="107"/>
        <w:spacing w:before="240" w:after="240"/>
      </w:pPr>
      <w:bookmarkStart w:id="71" w:name="_Toc216898541"/>
      <w:bookmarkStart w:id="72" w:name="_Toc226037432"/>
      <w:bookmarkStart w:id="73" w:name="_Toc228451262"/>
      <w:bookmarkStart w:id="74" w:name="_Toc216898649"/>
      <w:bookmarkStart w:id="75" w:name="_Toc225358641"/>
      <w:bookmarkStart w:id="76" w:name="_Toc225358625"/>
      <w:r>
        <w:rPr>
          <w:rFonts w:hint="eastAsia"/>
        </w:rPr>
        <w:t>缩略语</w:t>
      </w:r>
      <w:bookmarkEnd w:id="71"/>
      <w:bookmarkEnd w:id="72"/>
      <w:bookmarkEnd w:id="73"/>
      <w:bookmarkEnd w:id="74"/>
      <w:bookmarkEnd w:id="75"/>
      <w:bookmarkEnd w:id="76"/>
    </w:p>
    <w:p w14:paraId="6A6BFC66">
      <w:pPr>
        <w:pStyle w:val="59"/>
        <w:ind w:firstLine="420"/>
      </w:pPr>
      <w:r>
        <w:rPr>
          <w:rFonts w:hint="eastAsia"/>
        </w:rPr>
        <w:t>下列缩略语适用于本文件。</w:t>
      </w:r>
    </w:p>
    <w:p w14:paraId="7BE51912">
      <w:pPr>
        <w:pStyle w:val="59"/>
        <w:ind w:firstLine="420"/>
      </w:pPr>
      <w:r>
        <w:rPr>
          <w:rFonts w:hint="eastAsia"/>
        </w:rPr>
        <w:t>FPS：面部表情疼痛评分法 (Faces Pain Scale)</w:t>
      </w:r>
    </w:p>
    <w:p w14:paraId="6009CC65">
      <w:pPr>
        <w:pStyle w:val="59"/>
        <w:ind w:firstLine="420"/>
      </w:pPr>
      <w:r>
        <w:rPr>
          <w:rFonts w:hint="eastAsia"/>
        </w:rPr>
        <w:t>NRS：数字评分量表（Numeric Rating Scale）</w:t>
      </w:r>
    </w:p>
    <w:p w14:paraId="04DC2190">
      <w:pPr>
        <w:pStyle w:val="107"/>
        <w:spacing w:before="240" w:after="240"/>
      </w:pPr>
      <w:bookmarkStart w:id="77" w:name="_Toc225358626"/>
      <w:bookmarkStart w:id="78" w:name="_Toc216898542"/>
      <w:bookmarkStart w:id="79" w:name="_Toc226037433"/>
      <w:bookmarkStart w:id="80" w:name="_Toc225358642"/>
      <w:bookmarkStart w:id="81" w:name="_Toc228451263"/>
      <w:bookmarkStart w:id="82" w:name="_Toc216898650"/>
      <w:r>
        <w:rPr>
          <w:rFonts w:hint="eastAsia"/>
        </w:rPr>
        <w:t>人员要求</w:t>
      </w:r>
      <w:bookmarkEnd w:id="77"/>
      <w:bookmarkEnd w:id="78"/>
      <w:bookmarkEnd w:id="79"/>
      <w:bookmarkEnd w:id="80"/>
      <w:bookmarkEnd w:id="81"/>
      <w:bookmarkEnd w:id="82"/>
    </w:p>
    <w:p w14:paraId="25E74D57">
      <w:pPr>
        <w:pStyle w:val="59"/>
        <w:ind w:firstLine="420"/>
      </w:pPr>
      <w:r>
        <w:rPr>
          <w:rFonts w:hint="eastAsia"/>
        </w:rPr>
        <w:t>应经过前交叉韧带损伤护理相关培训并考核合格。</w:t>
      </w:r>
    </w:p>
    <w:p w14:paraId="323FC7E3">
      <w:pPr>
        <w:pStyle w:val="107"/>
        <w:spacing w:before="240" w:after="240"/>
      </w:pPr>
      <w:bookmarkStart w:id="83" w:name="_Toc216898543"/>
      <w:bookmarkStart w:id="84" w:name="_Toc225358627"/>
      <w:bookmarkStart w:id="85" w:name="_Toc225358643"/>
      <w:bookmarkStart w:id="86" w:name="_Toc228451264"/>
      <w:bookmarkStart w:id="87" w:name="_Toc216898651"/>
      <w:bookmarkStart w:id="88" w:name="_Toc226037434"/>
      <w:r>
        <w:rPr>
          <w:rFonts w:hint="eastAsia"/>
        </w:rPr>
        <w:t>评估</w:t>
      </w:r>
      <w:bookmarkEnd w:id="83"/>
      <w:bookmarkEnd w:id="84"/>
      <w:bookmarkEnd w:id="85"/>
      <w:bookmarkEnd w:id="86"/>
      <w:bookmarkEnd w:id="87"/>
      <w:bookmarkEnd w:id="88"/>
    </w:p>
    <w:p w14:paraId="4122F189">
      <w:pPr>
        <w:pStyle w:val="165"/>
      </w:pPr>
      <w:r>
        <w:rPr>
          <w:rFonts w:hint="eastAsia"/>
        </w:rPr>
        <w:t>应评估患者健康状况，主要包括：</w:t>
      </w:r>
    </w:p>
    <w:p w14:paraId="71A23DE4">
      <w:pPr>
        <w:pStyle w:val="135"/>
      </w:pPr>
      <w:r>
        <w:rPr>
          <w:rFonts w:hint="eastAsia"/>
        </w:rPr>
        <w:t>膝关节活动度、肿胀程度、股四头肌肌力等；</w:t>
      </w:r>
    </w:p>
    <w:p w14:paraId="6D7D98AA">
      <w:pPr>
        <w:pStyle w:val="135"/>
      </w:pPr>
      <w:r>
        <w:rPr>
          <w:rFonts w:hint="eastAsia"/>
        </w:rPr>
        <w:t>了解抗凝药、降压药、降糖药等用药史；</w:t>
      </w:r>
    </w:p>
    <w:p w14:paraId="308F4AD1">
      <w:pPr>
        <w:pStyle w:val="135"/>
      </w:pPr>
      <w:r>
        <w:rPr>
          <w:rFonts w:hint="eastAsia"/>
        </w:rPr>
        <w:t>患者心理状态。</w:t>
      </w:r>
    </w:p>
    <w:p w14:paraId="0C2BE25C">
      <w:pPr>
        <w:pStyle w:val="165"/>
      </w:pPr>
      <w:r>
        <w:rPr>
          <w:rFonts w:hint="eastAsia"/>
        </w:rPr>
        <w:t>应选用适合患者情况的疼痛评估工具（如NRS、FPS），进行动态评估。</w:t>
      </w:r>
    </w:p>
    <w:p w14:paraId="78C7495E">
      <w:pPr>
        <w:pStyle w:val="165"/>
      </w:pPr>
      <w:r>
        <w:rPr>
          <w:rFonts w:hint="eastAsia"/>
        </w:rPr>
        <w:t>依据症状、目诊、甲诊等判断属阴证或阳证。</w:t>
      </w:r>
      <w:r>
        <w:rPr>
          <w:rFonts w:hint="eastAsia"/>
          <w:lang w:val="en-US" w:eastAsia="zh-CN"/>
        </w:rPr>
        <w:t>主要</w:t>
      </w:r>
      <w:r>
        <w:rPr>
          <w:rFonts w:hint="eastAsia"/>
        </w:rPr>
        <w:t>包括：</w:t>
      </w:r>
    </w:p>
    <w:p w14:paraId="1D1E56B0">
      <w:pPr>
        <w:pStyle w:val="135"/>
      </w:pPr>
      <w:r>
        <w:rPr>
          <w:rFonts w:hint="eastAsia"/>
        </w:rPr>
        <w:t>阴证：伤后超过一个月，表现为关节酸软、打软，舌暗淡，苔薄白，脉细涩。目诊见“勒答”浅淡，甲色淡；</w:t>
      </w:r>
    </w:p>
    <w:p w14:paraId="57FCDB93">
      <w:pPr>
        <w:pStyle w:val="135"/>
      </w:pPr>
      <w:r>
        <w:rPr>
          <w:rFonts w:hint="eastAsia"/>
        </w:rPr>
        <w:t>阳证：伤后一个月内，表现为关节肿痛明显，局部或有瘀斑，舌暗红，苔薄白，脉弦涩。目诊见脉络粗大、深红。</w:t>
      </w:r>
    </w:p>
    <w:p w14:paraId="70923878">
      <w:pPr>
        <w:pStyle w:val="107"/>
        <w:spacing w:before="240" w:after="240"/>
      </w:pPr>
      <w:bookmarkStart w:id="89" w:name="_Toc226037435"/>
      <w:bookmarkStart w:id="90" w:name="_Toc225358628"/>
      <w:bookmarkStart w:id="91" w:name="_Toc225358644"/>
      <w:bookmarkStart w:id="92" w:name="_Toc228451265"/>
      <w:r>
        <w:rPr>
          <w:rFonts w:hint="eastAsia"/>
        </w:rPr>
        <w:t>护理措施</w:t>
      </w:r>
      <w:bookmarkEnd w:id="89"/>
      <w:bookmarkEnd w:id="90"/>
      <w:bookmarkEnd w:id="91"/>
      <w:bookmarkEnd w:id="92"/>
    </w:p>
    <w:p w14:paraId="2592085E">
      <w:pPr>
        <w:pStyle w:val="108"/>
        <w:spacing w:before="120" w:after="120"/>
      </w:pPr>
      <w:r>
        <w:rPr>
          <w:rFonts w:hint="eastAsia"/>
        </w:rPr>
        <w:t>术前护理</w:t>
      </w:r>
    </w:p>
    <w:p w14:paraId="101D271A">
      <w:pPr>
        <w:pStyle w:val="168"/>
      </w:pPr>
      <w:r>
        <w:rPr>
          <w:rFonts w:hint="eastAsia"/>
        </w:rPr>
        <w:t>应指导患者进行术前康复训练，主要为肌肉力量训练与关节活动度训练，包括辅助膝关节屈曲、直腿抬高训练、小腿抬高训练、髋部伸展训练、髋关节外展训练。</w:t>
      </w:r>
    </w:p>
    <w:p w14:paraId="52B6435E">
      <w:pPr>
        <w:pStyle w:val="168"/>
      </w:pPr>
      <w:r>
        <w:rPr>
          <w:rFonts w:hint="eastAsia"/>
        </w:rPr>
        <w:t>手术前一晚应指导患者沐浴，重点清洁膝关节区域，保持皮肤完整。</w:t>
      </w:r>
    </w:p>
    <w:p w14:paraId="1241C112">
      <w:pPr>
        <w:pStyle w:val="168"/>
      </w:pPr>
      <w:r>
        <w:rPr>
          <w:rFonts w:hint="eastAsia"/>
        </w:rPr>
        <w:t>应指导患者术前6</w:t>
      </w:r>
      <w:r>
        <w:rPr>
          <w:rFonts w:hint="eastAsia"/>
          <w:vertAlign w:val="superscript"/>
        </w:rPr>
        <w:t xml:space="preserve"> </w:t>
      </w:r>
      <w:r>
        <w:rPr>
          <w:rFonts w:hint="eastAsia"/>
        </w:rPr>
        <w:t>h禁食、2</w:t>
      </w:r>
      <w:r>
        <w:rPr>
          <w:rFonts w:hint="eastAsia"/>
          <w:vertAlign w:val="superscript"/>
        </w:rPr>
        <w:t xml:space="preserve"> </w:t>
      </w:r>
      <w:r>
        <w:rPr>
          <w:rFonts w:hint="eastAsia"/>
        </w:rPr>
        <w:t>h禁饮，不进行特殊肠道准备。</w:t>
      </w:r>
    </w:p>
    <w:p w14:paraId="078722F6">
      <w:pPr>
        <w:pStyle w:val="168"/>
      </w:pPr>
      <w:r>
        <w:rPr>
          <w:rFonts w:hint="eastAsia"/>
        </w:rPr>
        <w:t>应指导患者进行床上翻身、抬臀等适应性活动。指导患者正确使用拐杖进行非负重行走，并掌握术后支具的佩戴与调节方法。</w:t>
      </w:r>
    </w:p>
    <w:p w14:paraId="03748D56">
      <w:pPr>
        <w:pStyle w:val="168"/>
      </w:pPr>
      <w:r>
        <w:rPr>
          <w:rFonts w:hint="eastAsia"/>
        </w:rPr>
        <w:t>遵医嘱进行耳穴压豆治疗，操作方法如下：</w:t>
      </w:r>
    </w:p>
    <w:p w14:paraId="4D09FFC5">
      <w:pPr>
        <w:pStyle w:val="177"/>
      </w:pPr>
      <w:r>
        <w:rPr>
          <w:rFonts w:hint="eastAsia"/>
        </w:rPr>
        <w:t>取穴主穴取神门，皮质下，枕，垂前，配穴取，肝、肾、心、胃等，耳穴的定位按GB/T 13734确定；</w:t>
      </w:r>
    </w:p>
    <w:p w14:paraId="5BCED4DA">
      <w:pPr>
        <w:pStyle w:val="177"/>
      </w:pPr>
      <w:r>
        <w:rPr>
          <w:rFonts w:hint="eastAsia"/>
        </w:rPr>
        <w:t>用探针在耳穴相应穴位探查反应点，确定贴压部位；</w:t>
      </w:r>
    </w:p>
    <w:p w14:paraId="2B08CCBF">
      <w:pPr>
        <w:pStyle w:val="177"/>
      </w:pPr>
      <w:r>
        <w:rPr>
          <w:rFonts w:hint="eastAsia"/>
        </w:rPr>
        <w:t>找准穴位后，用镊子夹取贴附药籽的小方块胶布，先将胶布一角固定在穴位的一边，然后将药籽对准穴位，用左手手指均匀按压胶布，直至平整；</w:t>
      </w:r>
    </w:p>
    <w:p w14:paraId="633E950E">
      <w:pPr>
        <w:pStyle w:val="177"/>
      </w:pPr>
      <w:r>
        <w:rPr>
          <w:rFonts w:hint="eastAsia"/>
        </w:rPr>
        <w:t>每次以贴压5～7穴为宜，轻轻揉按1</w:t>
      </w:r>
      <w:r>
        <w:rPr>
          <w:vertAlign w:val="superscript"/>
        </w:rPr>
        <w:t xml:space="preserve"> </w:t>
      </w:r>
      <w:r>
        <w:rPr>
          <w:rFonts w:hint="eastAsia"/>
        </w:rPr>
        <w:t>min～2</w:t>
      </w:r>
      <w:r>
        <w:rPr>
          <w:vertAlign w:val="superscript"/>
        </w:rPr>
        <w:t xml:space="preserve"> </w:t>
      </w:r>
      <w:r>
        <w:rPr>
          <w:rFonts w:hint="eastAsia"/>
        </w:rPr>
        <w:t>min，每日按压3～5次，隔1</w:t>
      </w:r>
      <w:r>
        <w:rPr>
          <w:vertAlign w:val="superscript"/>
        </w:rPr>
        <w:t xml:space="preserve"> </w:t>
      </w:r>
      <w:r>
        <w:rPr>
          <w:rFonts w:hint="eastAsia"/>
        </w:rPr>
        <w:t>d～3</w:t>
      </w:r>
      <w:r>
        <w:rPr>
          <w:vertAlign w:val="superscript"/>
        </w:rPr>
        <w:t xml:space="preserve"> </w:t>
      </w:r>
      <w:r>
        <w:rPr>
          <w:rFonts w:hint="eastAsia"/>
        </w:rPr>
        <w:t>d换1次，每次取一侧耳穴，双侧耳穴轮流使用；</w:t>
      </w:r>
    </w:p>
    <w:p w14:paraId="440D5EFA">
      <w:pPr>
        <w:pStyle w:val="177"/>
      </w:pPr>
      <w:r>
        <w:rPr>
          <w:rFonts w:hint="eastAsia"/>
        </w:rPr>
        <w:t>施术过程中注意观察患者对使用的胶布有无过敏情况，询问患者有无不适，若出现红疹、瘙痒、水疱等现象应暂停使用。</w:t>
      </w:r>
    </w:p>
    <w:p w14:paraId="456EA3A1">
      <w:pPr>
        <w:pStyle w:val="108"/>
        <w:spacing w:before="120" w:after="120"/>
      </w:pPr>
      <w:r>
        <w:rPr>
          <w:rFonts w:hint="eastAsia"/>
        </w:rPr>
        <w:t>术后护理</w:t>
      </w:r>
    </w:p>
    <w:p w14:paraId="09E3C91F">
      <w:pPr>
        <w:pStyle w:val="68"/>
        <w:spacing w:before="120" w:after="120"/>
      </w:pPr>
      <w:r>
        <w:rPr>
          <w:rFonts w:hint="eastAsia"/>
        </w:rPr>
        <w:t>病情观察及护理</w:t>
      </w:r>
    </w:p>
    <w:p w14:paraId="5BFC5EF0">
      <w:pPr>
        <w:pStyle w:val="167"/>
      </w:pPr>
      <w:r>
        <w:rPr>
          <w:rFonts w:hint="eastAsia"/>
        </w:rPr>
        <w:t>观察患者神志、生命体征变化、患肢末梢血液循环（肤温、肤色、感觉、足趾活动）、肿胀程度、切口敷料渗血、渗液情况，保持切口清洁干燥。</w:t>
      </w:r>
    </w:p>
    <w:p w14:paraId="0E415F79">
      <w:pPr>
        <w:pStyle w:val="167"/>
      </w:pPr>
      <w:r>
        <w:rPr>
          <w:rFonts w:hint="eastAsia"/>
        </w:rPr>
        <w:t>抬高患者患肢，使其高于心脏水平。</w:t>
      </w:r>
    </w:p>
    <w:p w14:paraId="06FE7608">
      <w:pPr>
        <w:pStyle w:val="167"/>
      </w:pPr>
      <w:r>
        <w:rPr>
          <w:rFonts w:hint="eastAsia"/>
        </w:rPr>
        <w:t>术后即佩戴膝关节支具并锁定于伸直位，根据康复阶段调整锁定角度（早期伸直位固定，逐步增加屈曲范围），并教会患者及家属检查支具的佩戴位置与松紧度。</w:t>
      </w:r>
    </w:p>
    <w:p w14:paraId="310A0BCA">
      <w:pPr>
        <w:pStyle w:val="167"/>
      </w:pPr>
      <w:r>
        <w:rPr>
          <w:rFonts w:hint="eastAsia"/>
        </w:rPr>
        <w:t>患者麻醉清醒后观察其有无恶心、呕吐，可协助进食30</w:t>
      </w:r>
      <w:r>
        <w:rPr>
          <w:rFonts w:hint="eastAsia"/>
          <w:vertAlign w:val="superscript"/>
        </w:rPr>
        <w:t xml:space="preserve"> </w:t>
      </w:r>
      <w:r>
        <w:rPr>
          <w:rFonts w:hint="eastAsia"/>
        </w:rPr>
        <w:t>mL～50</w:t>
      </w:r>
      <w:r>
        <w:rPr>
          <w:rFonts w:hint="eastAsia"/>
          <w:vertAlign w:val="superscript"/>
        </w:rPr>
        <w:t xml:space="preserve"> </w:t>
      </w:r>
      <w:r>
        <w:rPr>
          <w:rFonts w:hint="eastAsia"/>
        </w:rPr>
        <w:t>mL温水，如无不良反应，1</w:t>
      </w:r>
      <w:r>
        <w:rPr>
          <w:rFonts w:hint="eastAsia"/>
          <w:vertAlign w:val="superscript"/>
        </w:rPr>
        <w:t xml:space="preserve"> </w:t>
      </w:r>
      <w:r>
        <w:rPr>
          <w:rFonts w:hint="eastAsia"/>
        </w:rPr>
        <w:t>h～2</w:t>
      </w:r>
      <w:r>
        <w:rPr>
          <w:rFonts w:hint="eastAsia"/>
          <w:vertAlign w:val="superscript"/>
        </w:rPr>
        <w:t xml:space="preserve"> </w:t>
      </w:r>
      <w:r>
        <w:rPr>
          <w:rFonts w:hint="eastAsia"/>
        </w:rPr>
        <w:t>h后根据患者胃肠道反应和耐受程度，指导患者进食流质、半流质、软食至正常饮食，并遵循由少到多、循序渐进的原则。</w:t>
      </w:r>
    </w:p>
    <w:p w14:paraId="331629A3">
      <w:pPr>
        <w:pStyle w:val="167"/>
      </w:pPr>
      <w:r>
        <w:rPr>
          <w:rFonts w:hint="eastAsia"/>
        </w:rPr>
        <w:t>观察患者疼痛的时间、部位、性质和规律，鼓励患者表达疼痛的感受，遵医嘱实施多模式镇痛方案：</w:t>
      </w:r>
    </w:p>
    <w:p w14:paraId="4FBDC389">
      <w:pPr>
        <w:pStyle w:val="135"/>
      </w:pPr>
      <w:r>
        <w:rPr>
          <w:rFonts w:hint="eastAsia"/>
        </w:rPr>
        <w:t>可联合应用静脉/口服镇痛药物；</w:t>
      </w:r>
    </w:p>
    <w:p w14:paraId="3C864BDB">
      <w:pPr>
        <w:pStyle w:val="135"/>
      </w:pPr>
      <w:r>
        <w:rPr>
          <w:rFonts w:hint="eastAsia"/>
        </w:rPr>
        <w:t>冰敷，每次15</w:t>
      </w:r>
      <w:r>
        <w:rPr>
          <w:vertAlign w:val="superscript"/>
        </w:rPr>
        <w:t xml:space="preserve"> </w:t>
      </w:r>
      <w:r>
        <w:rPr>
          <w:rFonts w:hint="eastAsia"/>
        </w:rPr>
        <w:t>min～20</w:t>
      </w:r>
      <w:r>
        <w:rPr>
          <w:vertAlign w:val="superscript"/>
        </w:rPr>
        <w:t xml:space="preserve"> </w:t>
      </w:r>
      <w:r>
        <w:rPr>
          <w:rFonts w:hint="eastAsia"/>
        </w:rPr>
        <w:t>min，每日3～4次；</w:t>
      </w:r>
    </w:p>
    <w:p w14:paraId="108AB8BD">
      <w:pPr>
        <w:pStyle w:val="135"/>
      </w:pPr>
      <w:r>
        <w:rPr>
          <w:rFonts w:hint="eastAsia"/>
        </w:rPr>
        <w:t>指导患者采用深呼吸、听音乐、冥想等方式分散注意力。</w:t>
      </w:r>
    </w:p>
    <w:p w14:paraId="55A307CE">
      <w:pPr>
        <w:pStyle w:val="167"/>
      </w:pPr>
      <w:r>
        <w:rPr>
          <w:rFonts w:hint="eastAsia"/>
        </w:rPr>
        <w:t>评估肿胀部位、程度及伴随的症状，观察患肢血运、皮温、肤色及感觉、活动情况，如有异常及时报告医师。</w:t>
      </w:r>
    </w:p>
    <w:p w14:paraId="6FA11743">
      <w:pPr>
        <w:pStyle w:val="167"/>
      </w:pPr>
      <w:r>
        <w:rPr>
          <w:rFonts w:hint="eastAsia"/>
        </w:rPr>
        <w:t>动态评估患膝关节主动与被动活动范围，重点监测屈伸角度进展，根据康复计划逐步提升至目标角度。</w:t>
      </w:r>
    </w:p>
    <w:p w14:paraId="39B97585">
      <w:pPr>
        <w:pStyle w:val="68"/>
        <w:spacing w:before="120" w:after="120"/>
      </w:pPr>
      <w:r>
        <w:rPr>
          <w:rFonts w:hint="eastAsia"/>
        </w:rPr>
        <w:t>壮医外治法</w:t>
      </w:r>
    </w:p>
    <w:p w14:paraId="48B70EE7">
      <w:pPr>
        <w:pStyle w:val="97"/>
        <w:spacing w:before="120" w:after="120"/>
      </w:pPr>
      <w:r>
        <w:rPr>
          <w:rFonts w:hint="eastAsia"/>
        </w:rPr>
        <w:t>壮医药熨</w:t>
      </w:r>
    </w:p>
    <w:p w14:paraId="0CC44DE0">
      <w:pPr>
        <w:pStyle w:val="170"/>
      </w:pPr>
      <w:r>
        <w:rPr>
          <w:rFonts w:hint="eastAsia"/>
        </w:rPr>
        <w:t>松解筋结时，阴证者手法宜重，药熨包温度宜为60℃～70℃；阳证者手法宜轻，药熨包温度宜为50℃～60</w:t>
      </w:r>
      <w:r>
        <w:rPr>
          <w:rFonts w:hint="eastAsia"/>
          <w:vertAlign w:val="superscript"/>
        </w:rPr>
        <w:t xml:space="preserve"> </w:t>
      </w:r>
      <w:r>
        <w:rPr>
          <w:rFonts w:hint="eastAsia"/>
        </w:rPr>
        <w:t>℃，老年人、幼儿及对热不敏感者，药熨温度不超过50 ℃。</w:t>
      </w:r>
    </w:p>
    <w:p w14:paraId="57C6C9EA">
      <w:pPr>
        <w:pStyle w:val="170"/>
      </w:pPr>
      <w:r>
        <w:rPr>
          <w:rFonts w:hint="eastAsia"/>
        </w:rPr>
        <w:t>每次施术时间15 min～30 min。</w:t>
      </w:r>
    </w:p>
    <w:p w14:paraId="6CE60BEE">
      <w:pPr>
        <w:pStyle w:val="170"/>
      </w:pPr>
      <w:r>
        <w:rPr>
          <w:rFonts w:hint="eastAsia"/>
        </w:rPr>
        <w:t>其他操作、禁忌、注意事项应符合DB</w:t>
      </w:r>
      <w:r>
        <w:t>45/</w:t>
      </w:r>
      <w:r>
        <w:rPr>
          <w:rFonts w:hint="eastAsia"/>
        </w:rPr>
        <w:t>T</w:t>
      </w:r>
      <w:r>
        <w:t xml:space="preserve"> 2791</w:t>
      </w:r>
      <w:r>
        <w:rPr>
          <w:rFonts w:hint="eastAsia"/>
        </w:rPr>
        <w:t>的规定。</w:t>
      </w:r>
    </w:p>
    <w:p w14:paraId="5015FFD9">
      <w:pPr>
        <w:pStyle w:val="97"/>
        <w:spacing w:before="120" w:after="120"/>
      </w:pPr>
      <w:r>
        <w:rPr>
          <w:rFonts w:hint="eastAsia"/>
        </w:rPr>
        <w:t>壮药涂擦</w:t>
      </w:r>
    </w:p>
    <w:p w14:paraId="685924D6">
      <w:pPr>
        <w:pStyle w:val="170"/>
      </w:pPr>
      <w:r>
        <w:rPr>
          <w:rFonts w:hint="eastAsia"/>
        </w:rPr>
        <w:t>嘱患者取卧位，暴露患处，操作者清洁患处皮肤，将配制的药物（可选用武打将军酒）用棉签均匀地涂于患处。面积较大时，宜用镊子夹棉球蘸药物涂布，蘸药干湿度适宜，涂药厚薄均匀，必要时纱布覆盖，胶布固定。</w:t>
      </w:r>
    </w:p>
    <w:p w14:paraId="230B8464">
      <w:pPr>
        <w:pStyle w:val="170"/>
      </w:pPr>
      <w:r>
        <w:rPr>
          <w:rFonts w:hint="eastAsia"/>
        </w:rPr>
        <w:t>每次操作时间15</w:t>
      </w:r>
      <w:r>
        <w:rPr>
          <w:vertAlign w:val="superscript"/>
        </w:rPr>
        <w:t xml:space="preserve"> </w:t>
      </w:r>
      <w:r>
        <w:rPr>
          <w:rFonts w:hint="eastAsia"/>
        </w:rPr>
        <w:t>min～30</w:t>
      </w:r>
      <w:r>
        <w:rPr>
          <w:vertAlign w:val="superscript"/>
        </w:rPr>
        <w:t xml:space="preserve"> </w:t>
      </w:r>
      <w:r>
        <w:rPr>
          <w:rFonts w:hint="eastAsia"/>
        </w:rPr>
        <w:t>min。</w:t>
      </w:r>
    </w:p>
    <w:p w14:paraId="17C44BC4">
      <w:pPr>
        <w:pStyle w:val="97"/>
        <w:spacing w:before="120" w:after="120"/>
      </w:pPr>
      <w:r>
        <w:rPr>
          <w:rFonts w:hint="eastAsia"/>
        </w:rPr>
        <w:t>壮医敷贴</w:t>
      </w:r>
    </w:p>
    <w:p w14:paraId="0C8B7F9C">
      <w:pPr>
        <w:pStyle w:val="170"/>
      </w:pPr>
      <w:r>
        <w:rPr>
          <w:rFonts w:hint="eastAsia"/>
        </w:rPr>
        <w:t>取膝环穴、腿部内外三杆、小腿内外三桩等。</w:t>
      </w:r>
    </w:p>
    <w:p w14:paraId="59E89072">
      <w:pPr>
        <w:pStyle w:val="170"/>
      </w:pPr>
      <w:r>
        <w:rPr>
          <w:rFonts w:hint="eastAsia"/>
        </w:rPr>
        <w:t>将壮药粉置于容器中，加入米酒或醋、姜汁，必要时加热。</w:t>
      </w:r>
    </w:p>
    <w:p w14:paraId="07061E7B">
      <w:pPr>
        <w:pStyle w:val="170"/>
      </w:pPr>
      <w:r>
        <w:rPr>
          <w:rFonts w:hint="eastAsia"/>
        </w:rPr>
        <w:t>松解筋结时：阳证者手法稍重，以患者耐受为度；阴证者手法宜轻，以患者舒适度为适。</w:t>
      </w:r>
    </w:p>
    <w:p w14:paraId="3558A307">
      <w:pPr>
        <w:pStyle w:val="170"/>
      </w:pPr>
      <w:r>
        <w:rPr>
          <w:rFonts w:hint="eastAsia"/>
        </w:rPr>
        <w:t>其他操作、禁忌、注意事项应符合DB</w:t>
      </w:r>
      <w:r>
        <w:t>45/</w:t>
      </w:r>
      <w:r>
        <w:rPr>
          <w:rFonts w:hint="eastAsia"/>
        </w:rPr>
        <w:t>T</w:t>
      </w:r>
      <w:r>
        <w:t xml:space="preserve"> 279</w:t>
      </w:r>
      <w:r>
        <w:rPr>
          <w:rFonts w:hint="eastAsia"/>
        </w:rPr>
        <w:t>2的规定。</w:t>
      </w:r>
    </w:p>
    <w:p w14:paraId="1179B22C">
      <w:pPr>
        <w:pStyle w:val="97"/>
        <w:spacing w:before="120" w:after="120"/>
      </w:pPr>
      <w:r>
        <w:rPr>
          <w:rFonts w:hint="eastAsia"/>
        </w:rPr>
        <w:t>壮医药物竹罐</w:t>
      </w:r>
    </w:p>
    <w:p w14:paraId="44B8C2D8">
      <w:pPr>
        <w:pStyle w:val="170"/>
      </w:pPr>
      <w:r>
        <w:rPr>
          <w:rFonts w:hint="eastAsia"/>
        </w:rPr>
        <w:t>将竹罐投入煮沸的药液中浸煮5</w:t>
      </w:r>
      <w:r>
        <w:rPr>
          <w:vertAlign w:val="superscript"/>
        </w:rPr>
        <w:t xml:space="preserve"> </w:t>
      </w:r>
      <w:r>
        <w:rPr>
          <w:rFonts w:hint="eastAsia"/>
        </w:rPr>
        <w:t>min～20 min，其中阳证方剂需煮沸5</w:t>
      </w:r>
      <w:r>
        <w:rPr>
          <w:vertAlign w:val="superscript"/>
        </w:rPr>
        <w:t xml:space="preserve"> </w:t>
      </w:r>
      <w:r>
        <w:rPr>
          <w:rFonts w:hint="eastAsia"/>
        </w:rPr>
        <w:t>min～10</w:t>
      </w:r>
      <w:r>
        <w:rPr>
          <w:vertAlign w:val="superscript"/>
        </w:rPr>
        <w:t xml:space="preserve"> </w:t>
      </w:r>
      <w:r>
        <w:rPr>
          <w:rFonts w:hint="eastAsia"/>
        </w:rPr>
        <w:t>min，阴证方剂需煮沸15</w:t>
      </w:r>
      <w:r>
        <w:rPr>
          <w:vertAlign w:val="superscript"/>
        </w:rPr>
        <w:t xml:space="preserve"> </w:t>
      </w:r>
      <w:r>
        <w:rPr>
          <w:rFonts w:hint="eastAsia"/>
        </w:rPr>
        <w:t>min～20</w:t>
      </w:r>
      <w:r>
        <w:rPr>
          <w:vertAlign w:val="superscript"/>
        </w:rPr>
        <w:t xml:space="preserve"> </w:t>
      </w:r>
      <w:r>
        <w:rPr>
          <w:rFonts w:hint="eastAsia"/>
        </w:rPr>
        <w:t>min。</w:t>
      </w:r>
    </w:p>
    <w:p w14:paraId="18F70C33">
      <w:pPr>
        <w:pStyle w:val="170"/>
      </w:pPr>
      <w:r>
        <w:rPr>
          <w:rFonts w:hint="eastAsia"/>
        </w:rPr>
        <w:t>以关常穴及环形取穴为原则在关节疼痛或肿胀最严重的部位取一穴，然后以此穴为中心环形取穴）。</w:t>
      </w:r>
    </w:p>
    <w:p w14:paraId="4B304FD0">
      <w:pPr>
        <w:pStyle w:val="170"/>
      </w:pPr>
      <w:r>
        <w:rPr>
          <w:rFonts w:hint="eastAsia"/>
        </w:rPr>
        <w:t>留罐时：</w:t>
      </w:r>
    </w:p>
    <w:p w14:paraId="2E455EF6">
      <w:pPr>
        <w:pStyle w:val="135"/>
      </w:pPr>
      <w:r>
        <w:rPr>
          <w:rFonts w:hint="eastAsia"/>
        </w:rPr>
        <w:t>阳证者：运气后逆时针旋转罐体至10点钟方向，旋转速度稍快，按压力度稍重；</w:t>
      </w:r>
    </w:p>
    <w:p w14:paraId="4F1463BD">
      <w:pPr>
        <w:pStyle w:val="135"/>
      </w:pPr>
      <w:r>
        <w:rPr>
          <w:rFonts w:hint="eastAsia"/>
        </w:rPr>
        <w:t>阴证者：运气后顺时针旋转罐体至2点钟方向，旋转速度宜慢，按压力度宜轻，保持3</w:t>
      </w:r>
      <w:r>
        <w:rPr>
          <w:vertAlign w:val="superscript"/>
        </w:rPr>
        <w:t xml:space="preserve"> </w:t>
      </w:r>
      <w:r>
        <w:t>s</w:t>
      </w:r>
      <w:r>
        <w:rPr>
          <w:rFonts w:hint="eastAsia"/>
        </w:rPr>
        <w:t>～5</w:t>
      </w:r>
      <w:r>
        <w:rPr>
          <w:vertAlign w:val="superscript"/>
        </w:rPr>
        <w:t xml:space="preserve"> </w:t>
      </w:r>
      <w:r>
        <w:t>s</w:t>
      </w:r>
      <w:r>
        <w:rPr>
          <w:rFonts w:hint="eastAsia"/>
        </w:rPr>
        <w:t>，竹罐即可吸附在治疗部位。</w:t>
      </w:r>
    </w:p>
    <w:p w14:paraId="3AFAA577">
      <w:pPr>
        <w:pStyle w:val="170"/>
      </w:pPr>
      <w:r>
        <w:rPr>
          <w:rFonts w:hint="eastAsia"/>
        </w:rPr>
        <w:t>走罐时：阳证者从腰夹脊穴往上走至胸夹脊穴，来回折返；阴证者从胸夹脊穴往下走至腰夹脊穴，来回折返。</w:t>
      </w:r>
    </w:p>
    <w:p w14:paraId="16C379AC">
      <w:pPr>
        <w:pStyle w:val="170"/>
      </w:pPr>
      <w:r>
        <w:rPr>
          <w:rFonts w:hint="eastAsia"/>
        </w:rPr>
        <w:t>其他操作、禁忌、注意事项应符合DB</w:t>
      </w:r>
      <w:r>
        <w:t>45/</w:t>
      </w:r>
      <w:r>
        <w:rPr>
          <w:rFonts w:hint="eastAsia"/>
        </w:rPr>
        <w:t>T</w:t>
      </w:r>
      <w:r>
        <w:t xml:space="preserve"> 279</w:t>
      </w:r>
      <w:r>
        <w:rPr>
          <w:rFonts w:hint="eastAsia"/>
        </w:rPr>
        <w:t>0的规定。</w:t>
      </w:r>
    </w:p>
    <w:p w14:paraId="102B613D">
      <w:pPr>
        <w:pStyle w:val="68"/>
        <w:spacing w:before="120" w:after="120"/>
      </w:pPr>
      <w:r>
        <w:rPr>
          <w:rFonts w:hint="eastAsia"/>
        </w:rPr>
        <w:t>其他外治法</w:t>
      </w:r>
    </w:p>
    <w:p w14:paraId="4975C486">
      <w:pPr>
        <w:pStyle w:val="59"/>
        <w:ind w:firstLine="420"/>
        <w:rPr>
          <w:rFonts w:hint="eastAsia"/>
        </w:rPr>
      </w:pPr>
      <w:r>
        <w:rPr>
          <w:rFonts w:hint="eastAsia"/>
        </w:rPr>
        <w:t>可采用温和灸、雀啄灸、回旋灸等艾灸手法施灸，选择足三里穴、阳陵泉穴、委中穴、太冲穴、涌泉穴等：</w:t>
      </w:r>
    </w:p>
    <w:p w14:paraId="79600324">
      <w:pPr>
        <w:pStyle w:val="135"/>
        <w:jc w:val="both"/>
      </w:pPr>
      <w:bookmarkStart w:id="93" w:name="OLE_LINK10"/>
      <w:r>
        <w:rPr>
          <w:rFonts w:hint="eastAsia"/>
        </w:rPr>
        <w:t>施灸</w:t>
      </w:r>
      <w:bookmarkEnd w:id="93"/>
      <w:r>
        <w:rPr>
          <w:rFonts w:hint="eastAsia"/>
        </w:rPr>
        <w:t>时，以施灸部位出现红晕为度，其他操作、禁忌、注意事项应符合</w:t>
      </w:r>
      <w:bookmarkStart w:id="94" w:name="OLE_LINK36"/>
      <w:bookmarkStart w:id="95" w:name="OLE_LINK37"/>
      <w:r>
        <w:rPr>
          <w:rFonts w:hint="eastAsia"/>
        </w:rPr>
        <w:t>GB/T 21709.1</w:t>
      </w:r>
      <w:bookmarkEnd w:id="94"/>
      <w:bookmarkEnd w:id="95"/>
      <w:r>
        <w:rPr>
          <w:rFonts w:hint="eastAsia"/>
        </w:rPr>
        <w:t>的规定；</w:t>
      </w:r>
    </w:p>
    <w:p w14:paraId="445CBC58">
      <w:pPr>
        <w:pStyle w:val="135"/>
        <w:jc w:val="both"/>
      </w:pPr>
      <w:r>
        <w:rPr>
          <w:rFonts w:hint="eastAsia"/>
        </w:rPr>
        <w:t>每次施灸15</w:t>
      </w:r>
      <w:r>
        <w:rPr>
          <w:vertAlign w:val="superscript"/>
        </w:rPr>
        <w:t xml:space="preserve"> </w:t>
      </w:r>
      <w:r>
        <w:rPr>
          <w:rFonts w:hint="eastAsia"/>
        </w:rPr>
        <w:t>min～20</w:t>
      </w:r>
      <w:r>
        <w:rPr>
          <w:vertAlign w:val="superscript"/>
        </w:rPr>
        <w:t xml:space="preserve"> </w:t>
      </w:r>
      <w:r>
        <w:rPr>
          <w:rFonts w:hint="eastAsia"/>
        </w:rPr>
        <w:t>min，每日1次；</w:t>
      </w:r>
    </w:p>
    <w:p w14:paraId="02F3E50E">
      <w:pPr>
        <w:pStyle w:val="135"/>
        <w:jc w:val="both"/>
      </w:pPr>
      <w:r>
        <w:rPr>
          <w:rFonts w:hint="eastAsia"/>
        </w:rPr>
        <w:t>施灸后指导患者宜卧床休息5</w:t>
      </w:r>
      <w:r>
        <w:rPr>
          <w:vertAlign w:val="superscript"/>
        </w:rPr>
        <w:t xml:space="preserve"> </w:t>
      </w:r>
      <w:r>
        <w:rPr>
          <w:rFonts w:hint="eastAsia"/>
        </w:rPr>
        <w:t>min～10</w:t>
      </w:r>
      <w:r>
        <w:rPr>
          <w:vertAlign w:val="superscript"/>
        </w:rPr>
        <w:t xml:space="preserve"> </w:t>
      </w:r>
      <w:r>
        <w:rPr>
          <w:rFonts w:hint="eastAsia"/>
        </w:rPr>
        <w:t>min，不宜立即进行剧烈运动，且30</w:t>
      </w:r>
      <w:r>
        <w:rPr>
          <w:vertAlign w:val="superscript"/>
        </w:rPr>
        <w:t xml:space="preserve"> </w:t>
      </w:r>
      <w:r>
        <w:rPr>
          <w:rFonts w:hint="eastAsia"/>
        </w:rPr>
        <w:t>min内不宜洗澡。</w:t>
      </w:r>
    </w:p>
    <w:p w14:paraId="06318077">
      <w:pPr>
        <w:pStyle w:val="107"/>
        <w:spacing w:before="240" w:after="240"/>
      </w:pPr>
      <w:bookmarkStart w:id="96" w:name="_Toc225358629"/>
      <w:bookmarkStart w:id="97" w:name="_Toc228451266"/>
      <w:bookmarkStart w:id="98" w:name="_Toc225358645"/>
      <w:bookmarkStart w:id="99" w:name="_Toc216898545"/>
      <w:bookmarkStart w:id="100" w:name="_Toc216898653"/>
      <w:bookmarkStart w:id="101" w:name="_Toc226037436"/>
      <w:r>
        <w:rPr>
          <w:rFonts w:hint="eastAsia"/>
        </w:rPr>
        <w:t>常见并发症护理</w:t>
      </w:r>
      <w:bookmarkEnd w:id="96"/>
      <w:bookmarkEnd w:id="97"/>
      <w:bookmarkEnd w:id="98"/>
      <w:bookmarkEnd w:id="99"/>
      <w:bookmarkEnd w:id="100"/>
      <w:bookmarkEnd w:id="101"/>
    </w:p>
    <w:p w14:paraId="0B316FCE">
      <w:pPr>
        <w:pStyle w:val="108"/>
        <w:spacing w:before="120" w:after="120"/>
      </w:pPr>
      <w:r>
        <w:rPr>
          <w:rFonts w:hint="eastAsia"/>
        </w:rPr>
        <w:t>感染</w:t>
      </w:r>
    </w:p>
    <w:p w14:paraId="0906775E">
      <w:pPr>
        <w:pStyle w:val="168"/>
      </w:pPr>
      <w:r>
        <w:rPr>
          <w:rFonts w:hint="eastAsia"/>
        </w:rPr>
        <w:t>术前指导患者沐浴，保持皮肤清洁，嘱患者如膝关节周围皮肤存在炎症、破损或毛囊炎应治愈后再行手术。</w:t>
      </w:r>
    </w:p>
    <w:p w14:paraId="3DF69568">
      <w:pPr>
        <w:pStyle w:val="168"/>
      </w:pPr>
      <w:r>
        <w:rPr>
          <w:rFonts w:hint="eastAsia"/>
        </w:rPr>
        <w:t>密切观察手术伤口敷料渗血、渗液情况，保持清洁干燥。</w:t>
      </w:r>
    </w:p>
    <w:p w14:paraId="5AF2CD82">
      <w:pPr>
        <w:pStyle w:val="168"/>
      </w:pPr>
      <w:r>
        <w:rPr>
          <w:rFonts w:hint="eastAsia"/>
        </w:rPr>
        <w:t>鼓励患者加强营养，摄入高蛋白、富含维生素的饮食。</w:t>
      </w:r>
    </w:p>
    <w:p w14:paraId="723D29E0">
      <w:pPr>
        <w:pStyle w:val="108"/>
        <w:spacing w:before="120" w:after="120"/>
      </w:pPr>
      <w:r>
        <w:rPr>
          <w:rFonts w:hint="eastAsia"/>
        </w:rPr>
        <w:t>深静脉血栓</w:t>
      </w:r>
    </w:p>
    <w:p w14:paraId="0E6468BA">
      <w:pPr>
        <w:pStyle w:val="168"/>
      </w:pPr>
      <w:r>
        <w:rPr>
          <w:rFonts w:hint="eastAsia"/>
        </w:rPr>
        <w:t>采用Caprini评分进行血栓风险评估，并依据风险等级采取针对性预防措施。</w:t>
      </w:r>
    </w:p>
    <w:p w14:paraId="53EB35A6">
      <w:pPr>
        <w:pStyle w:val="168"/>
      </w:pPr>
      <w:r>
        <w:rPr>
          <w:rFonts w:hint="eastAsia"/>
        </w:rPr>
        <w:t>观察双下肢有无肿胀、皮温升高、肤色加深、疼痛或Homans征阳性等表现；一旦出现胸痛、呼吸困难、血氧饱和度下降等疑似肺栓塞症状，立即报告医生并配合抢救。</w:t>
      </w:r>
    </w:p>
    <w:p w14:paraId="50BD6FFB">
      <w:pPr>
        <w:pStyle w:val="168"/>
      </w:pPr>
      <w:r>
        <w:rPr>
          <w:rFonts w:hint="eastAsia"/>
        </w:rPr>
        <w:t>遵医嘱予壮医药熨治疗、悬空灸涌泉穴。</w:t>
      </w:r>
    </w:p>
    <w:p w14:paraId="2FD9F1C4">
      <w:pPr>
        <w:pStyle w:val="107"/>
        <w:spacing w:before="240" w:after="240"/>
      </w:pPr>
      <w:bookmarkStart w:id="102" w:name="_Toc225358646"/>
      <w:bookmarkStart w:id="103" w:name="_Toc226037437"/>
      <w:bookmarkStart w:id="104" w:name="_Toc228451267"/>
      <w:bookmarkStart w:id="105" w:name="_Toc216898654"/>
      <w:bookmarkStart w:id="106" w:name="_Toc216898546"/>
      <w:bookmarkStart w:id="107" w:name="_Toc225358630"/>
      <w:r>
        <w:rPr>
          <w:rFonts w:hint="eastAsia"/>
        </w:rPr>
        <w:t>日常调护</w:t>
      </w:r>
      <w:bookmarkEnd w:id="102"/>
      <w:bookmarkEnd w:id="103"/>
      <w:bookmarkEnd w:id="104"/>
      <w:bookmarkEnd w:id="105"/>
      <w:bookmarkEnd w:id="106"/>
      <w:bookmarkEnd w:id="107"/>
    </w:p>
    <w:p w14:paraId="157F998D">
      <w:pPr>
        <w:pStyle w:val="108"/>
        <w:spacing w:before="120" w:after="120"/>
      </w:pPr>
      <w:r>
        <w:rPr>
          <w:rFonts w:hint="eastAsia"/>
        </w:rPr>
        <w:t>生活起居</w:t>
      </w:r>
    </w:p>
    <w:p w14:paraId="4401D3D1">
      <w:pPr>
        <w:pStyle w:val="168"/>
      </w:pPr>
      <w:bookmarkStart w:id="117" w:name="_GoBack"/>
      <w:bookmarkEnd w:id="117"/>
      <w:r>
        <w:rPr>
          <w:rFonts w:hint="eastAsia"/>
        </w:rPr>
        <w:t>指导患者进行深呼吸及有效咳嗽训练，预防呼吸道并发症。</w:t>
      </w:r>
    </w:p>
    <w:p w14:paraId="36A7AEE1">
      <w:pPr>
        <w:pStyle w:val="168"/>
      </w:pPr>
      <w:r>
        <w:rPr>
          <w:rFonts w:hint="eastAsia"/>
        </w:rPr>
        <w:t>下床活动时指导患者正确使用助行器或拐杖，掌握“健肢先上，患肢先下”的上下楼梯原则。</w:t>
      </w:r>
    </w:p>
    <w:p w14:paraId="6ADE9A87">
      <w:pPr>
        <w:pStyle w:val="108"/>
        <w:spacing w:before="120" w:after="120"/>
      </w:pPr>
      <w:r>
        <w:rPr>
          <w:rFonts w:hint="eastAsia"/>
        </w:rPr>
        <w:t>辨证施膳</w:t>
      </w:r>
    </w:p>
    <w:p w14:paraId="006944EB">
      <w:pPr>
        <w:pStyle w:val="59"/>
        <w:ind w:firstLine="420"/>
      </w:pPr>
      <w:r>
        <w:rPr>
          <w:rFonts w:hint="eastAsia"/>
        </w:rPr>
        <w:t>遵循“合理膳食，荤素搭配，七分饱”原则，忌食辛辣、油腻刺激之物，并根据证型指导：</w:t>
      </w:r>
    </w:p>
    <w:p w14:paraId="507B3B48">
      <w:pPr>
        <w:pStyle w:val="135"/>
      </w:pPr>
      <w:r>
        <w:rPr>
          <w:rFonts w:hint="eastAsia"/>
        </w:rPr>
        <w:t>阴证：宜食补肝肾、强筋骨之品，如牛羊肉、黑豆、红枣；忌生冷寒凉。可选用壮医药膳如羊肉鸡血藤枸杞汤；</w:t>
      </w:r>
    </w:p>
    <w:p w14:paraId="5F7F52C4">
      <w:pPr>
        <w:pStyle w:val="135"/>
      </w:pPr>
      <w:r>
        <w:rPr>
          <w:rFonts w:hint="eastAsia"/>
        </w:rPr>
        <w:t>阳证：宜食化瘀消肿、舒筋活络之品，如山楂、赤小豆、鸭肉；忌辛辣炙烤。可选用壮医药膳如三七瘦肉粥。</w:t>
      </w:r>
    </w:p>
    <w:p w14:paraId="76B6A845">
      <w:pPr>
        <w:pStyle w:val="108"/>
        <w:spacing w:before="120" w:after="120"/>
      </w:pPr>
      <w:r>
        <w:rPr>
          <w:rFonts w:hint="eastAsia"/>
        </w:rPr>
        <w:t>情志调理</w:t>
      </w:r>
    </w:p>
    <w:p w14:paraId="061DFD97">
      <w:pPr>
        <w:pStyle w:val="168"/>
      </w:pPr>
      <w:r>
        <w:rPr>
          <w:rFonts w:hint="eastAsia"/>
        </w:rPr>
        <w:t>指导患者正确认识病情、了解治疗方法、过程。家属多陪伴，给予情感支持。</w:t>
      </w:r>
    </w:p>
    <w:p w14:paraId="3C8651C5">
      <w:pPr>
        <w:pStyle w:val="168"/>
      </w:pPr>
      <w:r>
        <w:rPr>
          <w:rFonts w:hint="eastAsia"/>
        </w:rPr>
        <w:t>通过静坐冥想、呼吸调节等方法保持情绪稳定。</w:t>
      </w:r>
    </w:p>
    <w:p w14:paraId="60263483">
      <w:pPr>
        <w:pStyle w:val="168"/>
      </w:pPr>
      <w:r>
        <w:rPr>
          <w:rFonts w:hint="eastAsia"/>
        </w:rPr>
        <w:t>根据壮医辨证分型实施五行音乐疗法：</w:t>
      </w:r>
    </w:p>
    <w:p w14:paraId="3689F181">
      <w:pPr>
        <w:pStyle w:val="135"/>
      </w:pPr>
      <w:r>
        <w:rPr>
          <w:rFonts w:hint="eastAsia"/>
        </w:rPr>
        <w:t>阴证：鼓励患者倾诉，动静相宜，可选宫调式壮族山歌（如《大地飞歌》《壮乡三月风光美》）随唱或聆听，以调畅谷道、疏通龙路；同时佩戴壮药提神开胃香囊，助运中焦。</w:t>
      </w:r>
    </w:p>
    <w:p w14:paraId="581D3405">
      <w:pPr>
        <w:pStyle w:val="135"/>
      </w:pPr>
      <w:r>
        <w:rPr>
          <w:rFonts w:hint="eastAsia"/>
        </w:rPr>
        <w:t>阳证：以静心安神为主，可选徵调式壮族山歌（如《山歌好比春江水》《唱山歌》）聆听或轻哼，以通利火路、调畅三气；佩戴壮药安神助眠香囊，宁心调神，通调龙路、火路。</w:t>
      </w:r>
    </w:p>
    <w:p w14:paraId="7F39C253">
      <w:pPr>
        <w:pStyle w:val="108"/>
        <w:spacing w:before="120" w:after="120"/>
      </w:pPr>
      <w:r>
        <w:rPr>
          <w:rFonts w:hint="eastAsia"/>
        </w:rPr>
        <w:t>康复指导</w:t>
      </w:r>
    </w:p>
    <w:p w14:paraId="49F95640">
      <w:pPr>
        <w:pStyle w:val="168"/>
      </w:pPr>
      <w:r>
        <w:rPr>
          <w:rFonts w:hint="eastAsia"/>
        </w:rPr>
        <w:t>手术前指导患者进行周围关节及神经肌肉训练、踝泵运动。</w:t>
      </w:r>
    </w:p>
    <w:p w14:paraId="21CDA142">
      <w:pPr>
        <w:pStyle w:val="168"/>
      </w:pPr>
      <w:r>
        <w:rPr>
          <w:rFonts w:hint="eastAsia"/>
        </w:rPr>
        <w:t>患者</w:t>
      </w:r>
      <w:r>
        <w:rPr>
          <w:rFonts w:hint="eastAsia"/>
          <w:lang w:val="en-US" w:eastAsia="zh-CN"/>
        </w:rPr>
        <w:t>术</w:t>
      </w:r>
      <w:r>
        <w:rPr>
          <w:rFonts w:hint="eastAsia"/>
        </w:rPr>
        <w:t>后麻醉清醒后指导</w:t>
      </w:r>
      <w:r>
        <w:rPr>
          <w:rFonts w:hint="eastAsia"/>
          <w:lang w:val="en-US" w:eastAsia="zh-CN"/>
        </w:rPr>
        <w:t>其</w:t>
      </w:r>
      <w:r>
        <w:rPr>
          <w:rFonts w:hint="eastAsia"/>
        </w:rPr>
        <w:t>进行早期主动和被动功能锻炼；指导患者进行踝泵训练、股四头肌等长收缩活动、直腿抬高练习。</w:t>
      </w:r>
    </w:p>
    <w:p w14:paraId="5D8F13B8">
      <w:pPr>
        <w:pStyle w:val="168"/>
      </w:pPr>
      <w:r>
        <w:rPr>
          <w:rFonts w:hint="eastAsia"/>
        </w:rPr>
        <w:t>康复训练主要分为两个阶段：</w:t>
      </w:r>
    </w:p>
    <w:p w14:paraId="2610CFD1">
      <w:pPr>
        <w:pStyle w:val="168"/>
      </w:pPr>
      <w:r>
        <w:rPr>
          <w:rFonts w:hint="eastAsia"/>
        </w:rPr>
        <w:t>1～4周进行股四头肌等长收缩、直腿抬高、踝泵运动、伸膝压腿运动、膝关节屈伸活动和髌骨活动，每天3～4次，每次20～30组。膝关节伸直0°～5°，屈曲达到90°。</w:t>
      </w:r>
    </w:p>
    <w:p w14:paraId="14F3A791">
      <w:pPr>
        <w:pStyle w:val="168"/>
      </w:pPr>
      <w:r>
        <w:rPr>
          <w:rFonts w:hint="eastAsia"/>
        </w:rPr>
        <w:t>5～8周进行膝关节屈曲、伸展、抗阻伸膝、抗阻屈膝、45°半蹲站起、90°屈膝靠墙站立以及重复1～4周训练项目，在第8周期望达到膝关节伸直0°～5°，屈曲至少达到150°。</w:t>
      </w:r>
    </w:p>
    <w:p w14:paraId="1CB3089E">
      <w:pPr>
        <w:pStyle w:val="168"/>
      </w:pPr>
      <w:r>
        <w:rPr>
          <w:rFonts w:hint="eastAsia"/>
        </w:rPr>
        <w:t>根据患者病情恢复情况尽早下床活动，下床行走时指导患者佩戴膝关节支具保护于膝关节伸直位，应使用双拐辅助，且需专人陪护。</w:t>
      </w:r>
    </w:p>
    <w:p w14:paraId="46F532B1">
      <w:pPr>
        <w:pStyle w:val="168"/>
        <w:numPr>
          <w:ilvl w:val="0"/>
          <w:numId w:val="0"/>
        </w:numPr>
      </w:pPr>
    </w:p>
    <w:bookmarkEnd w:id="30"/>
    <w:p w14:paraId="5F77116D">
      <w:pPr>
        <w:pStyle w:val="59"/>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bookmarkStart w:id="108" w:name="BookMark6"/>
    </w:p>
    <w:p w14:paraId="222BDFCF">
      <w:pPr>
        <w:pStyle w:val="66"/>
        <w:spacing w:after="120"/>
      </w:pPr>
      <w:bookmarkStart w:id="109" w:name="_Toc228451268"/>
      <w:bookmarkStart w:id="110" w:name="_Toc225358632"/>
      <w:bookmarkStart w:id="111" w:name="_Toc216898549"/>
      <w:bookmarkStart w:id="112" w:name="_Toc225358648"/>
      <w:bookmarkStart w:id="113" w:name="_Toc226037439"/>
      <w:bookmarkStart w:id="114" w:name="_Toc216898657"/>
      <w:r>
        <w:rPr>
          <w:rFonts w:hint="eastAsia"/>
          <w:spacing w:val="105"/>
        </w:rPr>
        <w:t>参考文</w:t>
      </w:r>
      <w:r>
        <w:rPr>
          <w:rFonts w:hint="eastAsia"/>
        </w:rPr>
        <w:t>献</w:t>
      </w:r>
      <w:bookmarkEnd w:id="109"/>
      <w:bookmarkEnd w:id="110"/>
      <w:bookmarkEnd w:id="111"/>
      <w:bookmarkEnd w:id="112"/>
      <w:bookmarkEnd w:id="113"/>
      <w:bookmarkEnd w:id="114"/>
    </w:p>
    <w:p w14:paraId="7D223D02">
      <w:pPr>
        <w:pStyle w:val="59"/>
        <w:ind w:firstLine="420"/>
      </w:pPr>
      <w:r>
        <w:rPr>
          <w:rFonts w:hint="eastAsia"/>
        </w:rPr>
        <w:t>[1]</w:t>
      </w:r>
      <w:r>
        <w:t xml:space="preserve">  </w:t>
      </w:r>
      <w:bookmarkStart w:id="115" w:name="OLE_LINK26"/>
      <w:r>
        <w:rPr>
          <w:rFonts w:hint="eastAsia"/>
        </w:rPr>
        <w:t>岳桂华,黄国东.壮瑶医优势病种诊疗方案[M].北京:化学工业出版社,2022.</w:t>
      </w:r>
    </w:p>
    <w:p w14:paraId="3A8BC8D0">
      <w:pPr>
        <w:pStyle w:val="59"/>
        <w:ind w:firstLine="420"/>
      </w:pPr>
      <w:r>
        <w:rPr>
          <w:rFonts w:hint="eastAsia"/>
        </w:rPr>
        <w:t xml:space="preserve">[2] </w:t>
      </w:r>
      <w:r>
        <w:t xml:space="preserve"> </w:t>
      </w:r>
      <w:r>
        <w:rPr>
          <w:rFonts w:hint="eastAsia"/>
        </w:rPr>
        <w:t>林琴,黄国东,胡晓玥. 壮医护理技术操作规程[M].南宁:广西科学技术出版社,2020.</w:t>
      </w:r>
    </w:p>
    <w:p w14:paraId="23CAEF66">
      <w:pPr>
        <w:pStyle w:val="59"/>
        <w:ind w:firstLine="420"/>
      </w:pPr>
      <w:r>
        <w:rPr>
          <w:rFonts w:hint="eastAsia"/>
        </w:rPr>
        <w:t xml:space="preserve">[3] </w:t>
      </w:r>
      <w:r>
        <w:t xml:space="preserve"> </w:t>
      </w:r>
      <w:r>
        <w:rPr>
          <w:rFonts w:hint="eastAsia"/>
        </w:rPr>
        <w:t>李珪,李彤.壮医目诊诊断技术规范与应用研究[M].南宁:广西科学技术出版社,2008.</w:t>
      </w:r>
    </w:p>
    <w:p w14:paraId="54D97FBF">
      <w:pPr>
        <w:pStyle w:val="59"/>
        <w:ind w:firstLine="420"/>
      </w:pPr>
      <w:r>
        <w:rPr>
          <w:rFonts w:hint="eastAsia"/>
        </w:rPr>
        <w:t xml:space="preserve">[4] </w:t>
      </w:r>
      <w:r>
        <w:t xml:space="preserve"> </w:t>
      </w:r>
      <w:r>
        <w:rPr>
          <w:rFonts w:hint="eastAsia"/>
        </w:rPr>
        <w:t>黄贵华,黄瑾明.中国壮医针灸学特定穴位图解应用手册[M].南宁:广西民族出版社,2021.</w:t>
      </w:r>
    </w:p>
    <w:p w14:paraId="2CF8EE2C">
      <w:pPr>
        <w:pStyle w:val="59"/>
        <w:ind w:firstLine="420"/>
      </w:pPr>
      <w:r>
        <w:rPr>
          <w:rFonts w:hint="eastAsia"/>
        </w:rPr>
        <w:t xml:space="preserve">[5] </w:t>
      </w:r>
      <w:r>
        <w:t xml:space="preserve"> </w:t>
      </w:r>
      <w:r>
        <w:rPr>
          <w:rFonts w:hint="eastAsia"/>
        </w:rPr>
        <w:t>黄沂,周艳琼.中医特色护理技术操作规程[M].南宁:广西科学技术出版社,2023.</w:t>
      </w:r>
    </w:p>
    <w:p w14:paraId="740DC239">
      <w:pPr>
        <w:pStyle w:val="59"/>
        <w:ind w:firstLine="420"/>
      </w:pPr>
      <w:r>
        <w:rPr>
          <w:rFonts w:hint="eastAsia"/>
        </w:rPr>
        <w:t xml:space="preserve">[6] </w:t>
      </w:r>
      <w:r>
        <w:t xml:space="preserve"> </w:t>
      </w:r>
      <w:r>
        <w:rPr>
          <w:rFonts w:hint="eastAsia"/>
        </w:rPr>
        <w:t>白晶,付磊,聂姗姗,等.耳穴压豆法治疗跟骨骨折术后疼痛的临床观察[J].中国中医骨伤科杂志,2021,29(7):25-28.</w:t>
      </w:r>
    </w:p>
    <w:p w14:paraId="6B94D534">
      <w:pPr>
        <w:pStyle w:val="59"/>
        <w:ind w:firstLine="420"/>
      </w:pPr>
      <w:r>
        <w:rPr>
          <w:rFonts w:hint="eastAsia"/>
        </w:rPr>
        <w:t xml:space="preserve">[7] </w:t>
      </w:r>
      <w:r>
        <w:t xml:space="preserve"> </w:t>
      </w:r>
      <w:r>
        <w:rPr>
          <w:rFonts w:hint="eastAsia"/>
        </w:rPr>
        <w:t>姜耀,贾云洋,霍妍,等.加速康复外科理念下骨科围手术期健康教育方案优化的专家共识[J]. 骨科临床与研究杂志,2024,9(4):197-202 DOI:10.19548/j.issn.2096-269X.2024.04.001</w:t>
      </w:r>
    </w:p>
    <w:p w14:paraId="58F8BD3E">
      <w:pPr>
        <w:pStyle w:val="59"/>
        <w:ind w:firstLine="420"/>
      </w:pPr>
      <w:r>
        <w:rPr>
          <w:rFonts w:hint="eastAsia"/>
        </w:rPr>
        <w:t xml:space="preserve">[8] </w:t>
      </w:r>
      <w:r>
        <w:t xml:space="preserve"> </w:t>
      </w:r>
      <w:r>
        <w:rPr>
          <w:rFonts w:hint="eastAsia"/>
        </w:rPr>
        <w:t>孟斌,程黎明,海涌,等.骨科急性骨丢失防治专家共识[J].中华骨与关节外科杂志,2021, 14(7):577-583.</w:t>
      </w:r>
    </w:p>
    <w:p w14:paraId="64201ACB">
      <w:pPr>
        <w:pStyle w:val="59"/>
        <w:ind w:firstLine="420"/>
      </w:pPr>
      <w:r>
        <w:rPr>
          <w:rFonts w:hint="eastAsia"/>
        </w:rPr>
        <w:t xml:space="preserve">[9] </w:t>
      </w:r>
      <w:r>
        <w:t xml:space="preserve"> </w:t>
      </w:r>
      <w:r>
        <w:rPr>
          <w:rFonts w:hint="eastAsia"/>
        </w:rPr>
        <w:t>白伦浩,陈疾忤,陈坚,等.前交叉韧带损伤临床诊疗循证指南(2022版)[J].中华创伤杂志, 2022,38(6):492-503.DOI:10.3760/cma.j.cn501098-20220314-00185</w:t>
      </w:r>
    </w:p>
    <w:p w14:paraId="61BDFA19">
      <w:pPr>
        <w:pStyle w:val="59"/>
        <w:ind w:firstLine="420"/>
      </w:pPr>
      <w:r>
        <w:rPr>
          <w:rFonts w:hint="eastAsia"/>
        </w:rPr>
        <w:t xml:space="preserve">[10] </w:t>
      </w:r>
      <w:r>
        <w:t xml:space="preserve"> </w:t>
      </w:r>
      <w:r>
        <w:rPr>
          <w:rFonts w:hint="eastAsia"/>
        </w:rPr>
        <w:t>周丹,邓姝,彭阳.术前康复在前交叉韧带重建中应用的研究进展[J].中华创伤杂志,2025, 41(4):414-420.DOI:10.3760/cma.j.cn501098-20250105-00010</w:t>
      </w:r>
    </w:p>
    <w:p w14:paraId="2E40DE6D">
      <w:pPr>
        <w:pStyle w:val="59"/>
        <w:ind w:firstLine="420"/>
      </w:pPr>
      <w:r>
        <w:rPr>
          <w:rFonts w:hint="eastAsia"/>
        </w:rPr>
        <w:t xml:space="preserve">[11] </w:t>
      </w:r>
      <w:r>
        <w:t xml:space="preserve"> </w:t>
      </w:r>
      <w:r>
        <w:rPr>
          <w:rFonts w:hint="eastAsia"/>
        </w:rPr>
        <w:t>杨滢甄,黄子荣,梁家敏,等.膝关节前交叉韧带重建术前康复治疗的研究进展[J].中华关节外科杂志(电子版),2024,18(4):538-544.DOI:10.3877/cma.j.issn.1674-134X.2024.04.014</w:t>
      </w:r>
    </w:p>
    <w:p w14:paraId="56AA9B09">
      <w:pPr>
        <w:pStyle w:val="59"/>
        <w:ind w:firstLine="420"/>
      </w:pPr>
      <w:r>
        <w:rPr>
          <w:rFonts w:hint="eastAsia"/>
        </w:rPr>
        <w:t xml:space="preserve">[12] </w:t>
      </w:r>
      <w:r>
        <w:t xml:space="preserve"> </w:t>
      </w:r>
      <w:r>
        <w:rPr>
          <w:rFonts w:hint="eastAsia"/>
        </w:rPr>
        <w:t>汪娟,张庆,周长林,等.不同强度神经肌肉功能训练对前交叉韧带重建术后患者肌力和膝关节功能的影响[J].中国康复理论与实践,2025,31(9):1083-1091.</w:t>
      </w:r>
    </w:p>
    <w:p w14:paraId="5400AD22">
      <w:pPr>
        <w:pStyle w:val="59"/>
        <w:ind w:firstLine="420"/>
      </w:pPr>
      <w:r>
        <w:rPr>
          <w:rFonts w:hint="eastAsia"/>
        </w:rPr>
        <w:t xml:space="preserve">[13] </w:t>
      </w:r>
      <w:r>
        <w:t xml:space="preserve"> </w:t>
      </w:r>
      <w:r>
        <w:rPr>
          <w:rFonts w:hint="eastAsia"/>
        </w:rPr>
        <w:t>王爽,贾萌,安森博,等.前交叉韧带重建患者运动康复的循证护理实践[J].中华现代护理杂志 2025,31(19):2567-2573.DOI:10.3760/cma.j.cn115682-20240821-04675</w:t>
      </w:r>
    </w:p>
    <w:p w14:paraId="7F628208">
      <w:pPr>
        <w:pStyle w:val="59"/>
        <w:ind w:firstLine="420"/>
      </w:pPr>
      <w:r>
        <w:rPr>
          <w:rFonts w:hint="eastAsia"/>
        </w:rPr>
        <w:t xml:space="preserve">[14] </w:t>
      </w:r>
      <w:r>
        <w:t xml:space="preserve"> </w:t>
      </w:r>
      <w:r>
        <w:rPr>
          <w:rFonts w:hint="eastAsia"/>
        </w:rPr>
        <w:t>莫理璐,黄碧秋,蓝阳露,等.冰敷联合壮医药锤拍打涌泉穴在促进前交叉韧带重建术后康复中的应用效果[J].当代医药论丛,2023,21(8):162-165.DOI:10.3969/j.issn.2095-7629.2023.08.050.</w:t>
      </w:r>
    </w:p>
    <w:p w14:paraId="4450BB0E">
      <w:pPr>
        <w:pStyle w:val="59"/>
        <w:ind w:firstLine="420"/>
      </w:pPr>
      <w:r>
        <w:rPr>
          <w:rFonts w:hint="eastAsia"/>
        </w:rPr>
        <w:t xml:space="preserve">[15] </w:t>
      </w:r>
      <w:r>
        <w:t xml:space="preserve"> </w:t>
      </w:r>
      <w:r>
        <w:rPr>
          <w:rFonts w:hint="eastAsia"/>
        </w:rPr>
        <w:t>邹群</w:t>
      </w:r>
      <w:r>
        <w:t>,</w:t>
      </w:r>
      <w:r>
        <w:rPr>
          <w:rFonts w:hint="eastAsia"/>
        </w:rPr>
        <w:t>莫耀娥</w:t>
      </w:r>
      <w:r>
        <w:t>,</w:t>
      </w:r>
      <w:r>
        <w:rPr>
          <w:rFonts w:hint="eastAsia"/>
        </w:rPr>
        <w:t>黄碧秋</w:t>
      </w:r>
      <w:r>
        <w:t>.</w:t>
      </w:r>
      <w:r>
        <w:rPr>
          <w:rFonts w:hint="eastAsia"/>
        </w:rPr>
        <w:t>壮医药熨治疗配合功能锻炼在前交叉韧带重建术后早期康复中的疗效观察[J]</w:t>
      </w:r>
      <w:r>
        <w:t>.</w:t>
      </w:r>
      <w:r>
        <w:rPr>
          <w:rFonts w:hint="eastAsia"/>
        </w:rPr>
        <w:t>广西中医药大学学报,2023,26(6):22-26.DOI:10.3969/j.issn.2095-4441.2023.06.006.</w:t>
      </w:r>
    </w:p>
    <w:bookmarkEnd w:id="108"/>
    <w:bookmarkEnd w:id="115"/>
    <w:p w14:paraId="6C400A4F">
      <w:pPr>
        <w:pStyle w:val="59"/>
        <w:ind w:firstLine="0" w:firstLineChars="0"/>
        <w:jc w:val="center"/>
      </w:pPr>
      <w:bookmarkStart w:id="116" w:name="BookMark8"/>
      <w:r>
        <w:drawing>
          <wp:inline distT="0" distB="0" distL="0" distR="0">
            <wp:extent cx="1485900" cy="317500"/>
            <wp:effectExtent l="0" t="0" r="0" b="6350"/>
            <wp:docPr id="2121912031" name="图片 5"/>
            <wp:cNvGraphicFramePr/>
            <a:graphic xmlns:a="http://schemas.openxmlformats.org/drawingml/2006/main">
              <a:graphicData uri="http://schemas.openxmlformats.org/drawingml/2006/picture">
                <pic:pic xmlns:pic="http://schemas.openxmlformats.org/drawingml/2006/picture">
                  <pic:nvPicPr>
                    <pic:cNvPr id="2121912031" name="图片 5"/>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6"/>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F0C1D79-5F96-4139-BF65-353299C525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embedRegular r:id="rId2" w:fontKey="{424229DB-D9DD-46F8-AC68-7BB9A44992B7}"/>
  </w:font>
  <w:font w:name="等线">
    <w:panose1 w:val="02010600030101010101"/>
    <w:charset w:val="86"/>
    <w:family w:val="auto"/>
    <w:pitch w:val="default"/>
    <w:sig w:usb0="A00002BF" w:usb1="38CF7CFA" w:usb2="00000016" w:usb3="00000000" w:csb0="0004000F" w:csb1="00000000"/>
    <w:embedRegular r:id="rId3" w:fontKey="{5095106B-531B-40C0-9952-835168E60C5D}"/>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3E0F9">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0EE3D">
    <w:pPr>
      <w:pStyle w:val="55"/>
    </w:pPr>
    <w:r>
      <w:fldChar w:fldCharType="begin"/>
    </w:r>
    <w:r>
      <w:instrText xml:space="preserve">PAGE   \* MERGEFORMAT</w:instrText>
    </w:r>
    <w:r>
      <w:fldChar w:fldCharType="separate"/>
    </w:r>
    <w:r>
      <w:rPr>
        <w:lang w:val="zh-CN"/>
      </w:rP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03DCB">
    <w:pPr>
      <w:pStyle w:val="54"/>
    </w:pPr>
    <w:r>
      <w:fldChar w:fldCharType="begin"/>
    </w:r>
    <w:r>
      <w:instrText xml:space="preserve"> PAGE   \* MERGEFORMAT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28B67">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F617D">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28724">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3DCAE">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1A90C">
    <w:pPr>
      <w:pStyle w:val="55"/>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E0C2A">
    <w:pPr>
      <w:pStyle w:val="54"/>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4A945">
    <w:pPr>
      <w:pStyle w:val="55"/>
    </w:pPr>
    <w:r>
      <w:fldChar w:fldCharType="begin"/>
    </w:r>
    <w:r>
      <w:instrText xml:space="preserve">PAGE   \* MERGEFORMAT</w:instrText>
    </w:r>
    <w:r>
      <w:fldChar w:fldCharType="separate"/>
    </w:r>
    <w:r>
      <w:rPr>
        <w:lang w:val="zh-CN"/>
      </w:rPr>
      <w:t>7</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C2A58">
    <w:pPr>
      <w:pStyle w:val="54"/>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AE3B1">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6796">
    <w:pPr>
      <w:pStyle w:val="64"/>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04DF7">
    <w:pPr>
      <w:pStyle w:val="65"/>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9149D">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CACBA">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1A365">
    <w:pPr>
      <w:pStyle w:val="64"/>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7D8BE">
    <w:pPr>
      <w:pStyle w:val="65"/>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30F65">
    <w:pPr>
      <w:pStyle w:val="64"/>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EE394">
    <w:pPr>
      <w:pStyle w:val="65"/>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AABCB">
    <w:pPr>
      <w:pStyle w:val="64"/>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8EA21">
    <w:pPr>
      <w:pStyle w:val="65"/>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TrueTypeFonts/>
  <w:saveSubsetFonts/>
  <w:bordersDoNotSurroundHeader w:val="1"/>
  <w:bordersDoNotSurroundFooter w:val="1"/>
  <w:documentProtection w:edit="forms" w:enforcement="1" w:cryptProviderType="rsaAES" w:cryptAlgorithmClass="hash" w:cryptAlgorithmType="typeAny" w:cryptAlgorithmSid="14" w:cryptSpinCount="100000" w:hash="XyhYcVCtF35I0PeJIiKU9f+6UW7Y5kGMOPG6sB4c4rxToikWq7YeMrOoOmOFRBRn8cSbyZnSRQcKFd1/LKC9XA==" w:salt="RBIjdLPQ/pM2f2sMeYcFaQ=="/>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IzNjhjZjkxMjg2OGJjOTQ0NThhNzBhOGI4YTVmYWYifQ=="/>
  </w:docVars>
  <w:rsids>
    <w:rsidRoot w:val="00C2549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58E"/>
    <w:rsid w:val="000303C3"/>
    <w:rsid w:val="000331D3"/>
    <w:rsid w:val="000346A5"/>
    <w:rsid w:val="000359C3"/>
    <w:rsid w:val="00035A7D"/>
    <w:rsid w:val="000360F7"/>
    <w:rsid w:val="000365ED"/>
    <w:rsid w:val="0004249A"/>
    <w:rsid w:val="00042B80"/>
    <w:rsid w:val="00043282"/>
    <w:rsid w:val="00044286"/>
    <w:rsid w:val="00047F28"/>
    <w:rsid w:val="000503AA"/>
    <w:rsid w:val="000506A1"/>
    <w:rsid w:val="000515DD"/>
    <w:rsid w:val="0005265A"/>
    <w:rsid w:val="000539DD"/>
    <w:rsid w:val="00053BD3"/>
    <w:rsid w:val="000556ED"/>
    <w:rsid w:val="00055FE2"/>
    <w:rsid w:val="0005616F"/>
    <w:rsid w:val="00056F69"/>
    <w:rsid w:val="00060C2E"/>
    <w:rsid w:val="00061033"/>
    <w:rsid w:val="000616F9"/>
    <w:rsid w:val="000619E9"/>
    <w:rsid w:val="000622D4"/>
    <w:rsid w:val="0006357D"/>
    <w:rsid w:val="00067F1E"/>
    <w:rsid w:val="0007014B"/>
    <w:rsid w:val="00071CC0"/>
    <w:rsid w:val="00071CFC"/>
    <w:rsid w:val="00073C8C"/>
    <w:rsid w:val="00075426"/>
    <w:rsid w:val="00077B64"/>
    <w:rsid w:val="00080A1C"/>
    <w:rsid w:val="00082317"/>
    <w:rsid w:val="00083D2C"/>
    <w:rsid w:val="00084925"/>
    <w:rsid w:val="00086AA1"/>
    <w:rsid w:val="00087A77"/>
    <w:rsid w:val="00090CA6"/>
    <w:rsid w:val="00092B8A"/>
    <w:rsid w:val="00092FB0"/>
    <w:rsid w:val="000931FF"/>
    <w:rsid w:val="0009333D"/>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739"/>
    <w:rsid w:val="000C2FBD"/>
    <w:rsid w:val="000C4B41"/>
    <w:rsid w:val="000C57D6"/>
    <w:rsid w:val="000C6362"/>
    <w:rsid w:val="000C7666"/>
    <w:rsid w:val="000D04CB"/>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4A89"/>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D67"/>
    <w:rsid w:val="00187A0B"/>
    <w:rsid w:val="00190087"/>
    <w:rsid w:val="001913C4"/>
    <w:rsid w:val="0019348F"/>
    <w:rsid w:val="00193A07"/>
    <w:rsid w:val="00194C95"/>
    <w:rsid w:val="00195C34"/>
    <w:rsid w:val="00195D21"/>
    <w:rsid w:val="00196EF5"/>
    <w:rsid w:val="001A1A53"/>
    <w:rsid w:val="001A234A"/>
    <w:rsid w:val="001A4CF3"/>
    <w:rsid w:val="001A6696"/>
    <w:rsid w:val="001B06E8"/>
    <w:rsid w:val="001B71D0"/>
    <w:rsid w:val="001B71EE"/>
    <w:rsid w:val="001C04A8"/>
    <w:rsid w:val="001C2C03"/>
    <w:rsid w:val="001C3B4C"/>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D40"/>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27A3C"/>
    <w:rsid w:val="00233D64"/>
    <w:rsid w:val="0023482A"/>
    <w:rsid w:val="002359CB"/>
    <w:rsid w:val="00243540"/>
    <w:rsid w:val="0024497B"/>
    <w:rsid w:val="0024515B"/>
    <w:rsid w:val="00246021"/>
    <w:rsid w:val="0024666E"/>
    <w:rsid w:val="00247F52"/>
    <w:rsid w:val="00250391"/>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428"/>
    <w:rsid w:val="002B7F51"/>
    <w:rsid w:val="002C09E7"/>
    <w:rsid w:val="002C1E06"/>
    <w:rsid w:val="002C269C"/>
    <w:rsid w:val="002C3F07"/>
    <w:rsid w:val="002C5278"/>
    <w:rsid w:val="002C7EB6"/>
    <w:rsid w:val="002C7EBB"/>
    <w:rsid w:val="002D06C1"/>
    <w:rsid w:val="002D42B5"/>
    <w:rsid w:val="002D4F1A"/>
    <w:rsid w:val="002D6EC6"/>
    <w:rsid w:val="002D79AC"/>
    <w:rsid w:val="002E039D"/>
    <w:rsid w:val="002E05D3"/>
    <w:rsid w:val="002E4D5A"/>
    <w:rsid w:val="002E6326"/>
    <w:rsid w:val="002E7360"/>
    <w:rsid w:val="002F1C32"/>
    <w:rsid w:val="002F30E0"/>
    <w:rsid w:val="002F35E4"/>
    <w:rsid w:val="002F3730"/>
    <w:rsid w:val="002F38E1"/>
    <w:rsid w:val="002F7AF6"/>
    <w:rsid w:val="00300E63"/>
    <w:rsid w:val="00302F5F"/>
    <w:rsid w:val="0030441D"/>
    <w:rsid w:val="00306063"/>
    <w:rsid w:val="0031062F"/>
    <w:rsid w:val="00312330"/>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5F27"/>
    <w:rsid w:val="0036107C"/>
    <w:rsid w:val="00361303"/>
    <w:rsid w:val="003615D2"/>
    <w:rsid w:val="0036429C"/>
    <w:rsid w:val="00364A53"/>
    <w:rsid w:val="003654CB"/>
    <w:rsid w:val="00365AA9"/>
    <w:rsid w:val="00365F86"/>
    <w:rsid w:val="00365F87"/>
    <w:rsid w:val="00366E89"/>
    <w:rsid w:val="003705F4"/>
    <w:rsid w:val="00370D58"/>
    <w:rsid w:val="00371316"/>
    <w:rsid w:val="00372D9D"/>
    <w:rsid w:val="00376713"/>
    <w:rsid w:val="00381815"/>
    <w:rsid w:val="003819AF"/>
    <w:rsid w:val="003820E9"/>
    <w:rsid w:val="00382DE7"/>
    <w:rsid w:val="00384FFC"/>
    <w:rsid w:val="003856AD"/>
    <w:rsid w:val="003872FC"/>
    <w:rsid w:val="00387ADC"/>
    <w:rsid w:val="00390020"/>
    <w:rsid w:val="003903D6"/>
    <w:rsid w:val="00390EE6"/>
    <w:rsid w:val="0039118F"/>
    <w:rsid w:val="00392AD7"/>
    <w:rsid w:val="003938D9"/>
    <w:rsid w:val="00394376"/>
    <w:rsid w:val="003943FF"/>
    <w:rsid w:val="003974EB"/>
    <w:rsid w:val="00397CC5"/>
    <w:rsid w:val="003A049A"/>
    <w:rsid w:val="003A11D1"/>
    <w:rsid w:val="003A1582"/>
    <w:rsid w:val="003A25D3"/>
    <w:rsid w:val="003A3D9C"/>
    <w:rsid w:val="003A4077"/>
    <w:rsid w:val="003A4AA7"/>
    <w:rsid w:val="003B09AD"/>
    <w:rsid w:val="003B147F"/>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6B40"/>
    <w:rsid w:val="00400E72"/>
    <w:rsid w:val="00401400"/>
    <w:rsid w:val="00404869"/>
    <w:rsid w:val="00405884"/>
    <w:rsid w:val="00407D39"/>
    <w:rsid w:val="0041477A"/>
    <w:rsid w:val="004167A3"/>
    <w:rsid w:val="004316F6"/>
    <w:rsid w:val="00432DAA"/>
    <w:rsid w:val="00434305"/>
    <w:rsid w:val="00435DF7"/>
    <w:rsid w:val="0044083F"/>
    <w:rsid w:val="00441AE7"/>
    <w:rsid w:val="00445574"/>
    <w:rsid w:val="004467FB"/>
    <w:rsid w:val="00452D6B"/>
    <w:rsid w:val="00454484"/>
    <w:rsid w:val="0045517B"/>
    <w:rsid w:val="00461883"/>
    <w:rsid w:val="00463B77"/>
    <w:rsid w:val="00463C7B"/>
    <w:rsid w:val="004644A6"/>
    <w:rsid w:val="004659BD"/>
    <w:rsid w:val="00470775"/>
    <w:rsid w:val="004746B1"/>
    <w:rsid w:val="0047583F"/>
    <w:rsid w:val="00475DE8"/>
    <w:rsid w:val="00481C44"/>
    <w:rsid w:val="00484936"/>
    <w:rsid w:val="00485C89"/>
    <w:rsid w:val="00486BE3"/>
    <w:rsid w:val="00487790"/>
    <w:rsid w:val="004905E4"/>
    <w:rsid w:val="00490A89"/>
    <w:rsid w:val="00490AB4"/>
    <w:rsid w:val="00491576"/>
    <w:rsid w:val="00492F02"/>
    <w:rsid w:val="004939AE"/>
    <w:rsid w:val="004A12DF"/>
    <w:rsid w:val="004A1BA8"/>
    <w:rsid w:val="004A4B57"/>
    <w:rsid w:val="004A5409"/>
    <w:rsid w:val="004A63FA"/>
    <w:rsid w:val="004A6A3D"/>
    <w:rsid w:val="004B0272"/>
    <w:rsid w:val="004B2701"/>
    <w:rsid w:val="004B2E1B"/>
    <w:rsid w:val="004B3AA8"/>
    <w:rsid w:val="004B3E93"/>
    <w:rsid w:val="004B52D5"/>
    <w:rsid w:val="004C1FBC"/>
    <w:rsid w:val="004C25A2"/>
    <w:rsid w:val="004C3F1D"/>
    <w:rsid w:val="004C458D"/>
    <w:rsid w:val="004C7556"/>
    <w:rsid w:val="004C7E8B"/>
    <w:rsid w:val="004C7E9D"/>
    <w:rsid w:val="004C7F67"/>
    <w:rsid w:val="004D076D"/>
    <w:rsid w:val="004D0EF1"/>
    <w:rsid w:val="004D1528"/>
    <w:rsid w:val="004D2253"/>
    <w:rsid w:val="004D4406"/>
    <w:rsid w:val="004D7C42"/>
    <w:rsid w:val="004E0465"/>
    <w:rsid w:val="004E127B"/>
    <w:rsid w:val="004E1C0A"/>
    <w:rsid w:val="004E30C5"/>
    <w:rsid w:val="004E462C"/>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134"/>
    <w:rsid w:val="00524D65"/>
    <w:rsid w:val="00525B16"/>
    <w:rsid w:val="00533D04"/>
    <w:rsid w:val="00534804"/>
    <w:rsid w:val="00534BDF"/>
    <w:rsid w:val="005354EA"/>
    <w:rsid w:val="0053585F"/>
    <w:rsid w:val="00535EC4"/>
    <w:rsid w:val="00535ED9"/>
    <w:rsid w:val="0053692B"/>
    <w:rsid w:val="00541853"/>
    <w:rsid w:val="00543BDA"/>
    <w:rsid w:val="005441CC"/>
    <w:rsid w:val="00546626"/>
    <w:rsid w:val="005479DA"/>
    <w:rsid w:val="00547BCC"/>
    <w:rsid w:val="0055013B"/>
    <w:rsid w:val="00551F6F"/>
    <w:rsid w:val="005541F2"/>
    <w:rsid w:val="00555044"/>
    <w:rsid w:val="00561475"/>
    <w:rsid w:val="00562308"/>
    <w:rsid w:val="0056420D"/>
    <w:rsid w:val="0056487B"/>
    <w:rsid w:val="00564FB9"/>
    <w:rsid w:val="00573D9E"/>
    <w:rsid w:val="00577D88"/>
    <w:rsid w:val="005801E3"/>
    <w:rsid w:val="00581802"/>
    <w:rsid w:val="00582345"/>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8D8"/>
    <w:rsid w:val="005F0D9C"/>
    <w:rsid w:val="005F284E"/>
    <w:rsid w:val="005F7EAA"/>
    <w:rsid w:val="006015CE"/>
    <w:rsid w:val="00604784"/>
    <w:rsid w:val="00606419"/>
    <w:rsid w:val="00607D29"/>
    <w:rsid w:val="00612952"/>
    <w:rsid w:val="00614CC1"/>
    <w:rsid w:val="00615A9D"/>
    <w:rsid w:val="00617387"/>
    <w:rsid w:val="006205D6"/>
    <w:rsid w:val="00622ADE"/>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59B"/>
    <w:rsid w:val="00652AB2"/>
    <w:rsid w:val="00653FED"/>
    <w:rsid w:val="00654EC0"/>
    <w:rsid w:val="0065525B"/>
    <w:rsid w:val="00655D4F"/>
    <w:rsid w:val="00656D29"/>
    <w:rsid w:val="006640E5"/>
    <w:rsid w:val="006646F1"/>
    <w:rsid w:val="00664929"/>
    <w:rsid w:val="00664F62"/>
    <w:rsid w:val="006655E1"/>
    <w:rsid w:val="00672060"/>
    <w:rsid w:val="00672BFD"/>
    <w:rsid w:val="00676758"/>
    <w:rsid w:val="006770F4"/>
    <w:rsid w:val="00677A84"/>
    <w:rsid w:val="0068026D"/>
    <w:rsid w:val="00680A27"/>
    <w:rsid w:val="006816A4"/>
    <w:rsid w:val="006819B8"/>
    <w:rsid w:val="006840A6"/>
    <w:rsid w:val="006850CD"/>
    <w:rsid w:val="00685AAB"/>
    <w:rsid w:val="006967BE"/>
    <w:rsid w:val="006A07AA"/>
    <w:rsid w:val="006A25E5"/>
    <w:rsid w:val="006A2B46"/>
    <w:rsid w:val="006A323C"/>
    <w:rsid w:val="006A336D"/>
    <w:rsid w:val="006A37B9"/>
    <w:rsid w:val="006B2672"/>
    <w:rsid w:val="006B44DF"/>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171"/>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87C"/>
    <w:rsid w:val="0074548E"/>
    <w:rsid w:val="00745773"/>
    <w:rsid w:val="00746800"/>
    <w:rsid w:val="007501A8"/>
    <w:rsid w:val="00750D61"/>
    <w:rsid w:val="00750EE1"/>
    <w:rsid w:val="00752B4D"/>
    <w:rsid w:val="00755402"/>
    <w:rsid w:val="00756B26"/>
    <w:rsid w:val="00756EDF"/>
    <w:rsid w:val="0075720C"/>
    <w:rsid w:val="007600E3"/>
    <w:rsid w:val="00765C43"/>
    <w:rsid w:val="00765EFB"/>
    <w:rsid w:val="007671CA"/>
    <w:rsid w:val="00767C61"/>
    <w:rsid w:val="00767F61"/>
    <w:rsid w:val="0077008A"/>
    <w:rsid w:val="00773C1F"/>
    <w:rsid w:val="00774DA4"/>
    <w:rsid w:val="00776599"/>
    <w:rsid w:val="0078114B"/>
    <w:rsid w:val="00781DD2"/>
    <w:rsid w:val="00783ECF"/>
    <w:rsid w:val="0078413A"/>
    <w:rsid w:val="00784706"/>
    <w:rsid w:val="00791455"/>
    <w:rsid w:val="007959E8"/>
    <w:rsid w:val="00795E9C"/>
    <w:rsid w:val="007A0521"/>
    <w:rsid w:val="007A2E12"/>
    <w:rsid w:val="007A3475"/>
    <w:rsid w:val="007A41C8"/>
    <w:rsid w:val="007A54CE"/>
    <w:rsid w:val="007A5D3A"/>
    <w:rsid w:val="007A6FD9"/>
    <w:rsid w:val="007A7FFA"/>
    <w:rsid w:val="007B04EB"/>
    <w:rsid w:val="007B0D4F"/>
    <w:rsid w:val="007B5A3D"/>
    <w:rsid w:val="007B5B91"/>
    <w:rsid w:val="007B5B95"/>
    <w:rsid w:val="007B6032"/>
    <w:rsid w:val="007B68EA"/>
    <w:rsid w:val="007B7453"/>
    <w:rsid w:val="007C2D89"/>
    <w:rsid w:val="007C4593"/>
    <w:rsid w:val="007C5309"/>
    <w:rsid w:val="007C6069"/>
    <w:rsid w:val="007D06C4"/>
    <w:rsid w:val="007D1352"/>
    <w:rsid w:val="007D2508"/>
    <w:rsid w:val="007D346A"/>
    <w:rsid w:val="007D3D84"/>
    <w:rsid w:val="007D6518"/>
    <w:rsid w:val="007D76BD"/>
    <w:rsid w:val="007E097B"/>
    <w:rsid w:val="007E0BF1"/>
    <w:rsid w:val="007E1F57"/>
    <w:rsid w:val="007F0ED8"/>
    <w:rsid w:val="007F0F63"/>
    <w:rsid w:val="007F75CE"/>
    <w:rsid w:val="008013A4"/>
    <w:rsid w:val="008027CE"/>
    <w:rsid w:val="0080291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6465"/>
    <w:rsid w:val="008373D3"/>
    <w:rsid w:val="00840617"/>
    <w:rsid w:val="00840F84"/>
    <w:rsid w:val="00842A47"/>
    <w:rsid w:val="00843C13"/>
    <w:rsid w:val="00843DEF"/>
    <w:rsid w:val="008454F8"/>
    <w:rsid w:val="00846FAF"/>
    <w:rsid w:val="0085173A"/>
    <w:rsid w:val="008603CE"/>
    <w:rsid w:val="008620FC"/>
    <w:rsid w:val="008627A5"/>
    <w:rsid w:val="00863E05"/>
    <w:rsid w:val="00865ACA"/>
    <w:rsid w:val="00865D28"/>
    <w:rsid w:val="00865F85"/>
    <w:rsid w:val="00867C10"/>
    <w:rsid w:val="00870439"/>
    <w:rsid w:val="00870DA1"/>
    <w:rsid w:val="008721FE"/>
    <w:rsid w:val="0087293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134"/>
    <w:rsid w:val="008A57E6"/>
    <w:rsid w:val="008A6F81"/>
    <w:rsid w:val="008A769A"/>
    <w:rsid w:val="008B0C9C"/>
    <w:rsid w:val="008B166D"/>
    <w:rsid w:val="008B17F4"/>
    <w:rsid w:val="008B3615"/>
    <w:rsid w:val="008B4AC4"/>
    <w:rsid w:val="008B50C8"/>
    <w:rsid w:val="008B5281"/>
    <w:rsid w:val="008B7E05"/>
    <w:rsid w:val="008C1797"/>
    <w:rsid w:val="008C219C"/>
    <w:rsid w:val="008C45D3"/>
    <w:rsid w:val="008C475E"/>
    <w:rsid w:val="008C619A"/>
    <w:rsid w:val="008D0CE8"/>
    <w:rsid w:val="008D2D1D"/>
    <w:rsid w:val="008D3F14"/>
    <w:rsid w:val="008D453D"/>
    <w:rsid w:val="008D53AD"/>
    <w:rsid w:val="008D562B"/>
    <w:rsid w:val="008D5733"/>
    <w:rsid w:val="008D622B"/>
    <w:rsid w:val="008D666C"/>
    <w:rsid w:val="008D7B54"/>
    <w:rsid w:val="008E0C9D"/>
    <w:rsid w:val="008E1648"/>
    <w:rsid w:val="008E1B3E"/>
    <w:rsid w:val="008E2319"/>
    <w:rsid w:val="008E37D2"/>
    <w:rsid w:val="008E4BB6"/>
    <w:rsid w:val="008E5518"/>
    <w:rsid w:val="008E6A84"/>
    <w:rsid w:val="008F0CDC"/>
    <w:rsid w:val="008F17A3"/>
    <w:rsid w:val="008F1ED3"/>
    <w:rsid w:val="008F4C29"/>
    <w:rsid w:val="008F70BD"/>
    <w:rsid w:val="008F788F"/>
    <w:rsid w:val="008F7EA2"/>
    <w:rsid w:val="00902722"/>
    <w:rsid w:val="009027BC"/>
    <w:rsid w:val="009062E6"/>
    <w:rsid w:val="00910BA8"/>
    <w:rsid w:val="00911BE5"/>
    <w:rsid w:val="00913CA9"/>
    <w:rsid w:val="009145AE"/>
    <w:rsid w:val="009146CE"/>
    <w:rsid w:val="00914CA7"/>
    <w:rsid w:val="00915C3E"/>
    <w:rsid w:val="009161A8"/>
    <w:rsid w:val="00917870"/>
    <w:rsid w:val="00920B03"/>
    <w:rsid w:val="009245AE"/>
    <w:rsid w:val="009245F5"/>
    <w:rsid w:val="009249EC"/>
    <w:rsid w:val="009273B3"/>
    <w:rsid w:val="009305B5"/>
    <w:rsid w:val="009356C3"/>
    <w:rsid w:val="009378DD"/>
    <w:rsid w:val="009429D5"/>
    <w:rsid w:val="00942BF1"/>
    <w:rsid w:val="00945180"/>
    <w:rsid w:val="00945428"/>
    <w:rsid w:val="0094607B"/>
    <w:rsid w:val="00950A77"/>
    <w:rsid w:val="00950B00"/>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40C"/>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3F4D"/>
    <w:rsid w:val="009C4CFA"/>
    <w:rsid w:val="009C5070"/>
    <w:rsid w:val="009D112C"/>
    <w:rsid w:val="009D1385"/>
    <w:rsid w:val="009D330E"/>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4EA4"/>
    <w:rsid w:val="00A153D9"/>
    <w:rsid w:val="00A15F09"/>
    <w:rsid w:val="00A169B6"/>
    <w:rsid w:val="00A2271D"/>
    <w:rsid w:val="00A237D5"/>
    <w:rsid w:val="00A24CF0"/>
    <w:rsid w:val="00A30EFC"/>
    <w:rsid w:val="00A31984"/>
    <w:rsid w:val="00A32D73"/>
    <w:rsid w:val="00A3367B"/>
    <w:rsid w:val="00A33C67"/>
    <w:rsid w:val="00A3430E"/>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A9"/>
    <w:rsid w:val="00A723F8"/>
    <w:rsid w:val="00A77CCB"/>
    <w:rsid w:val="00A83D8D"/>
    <w:rsid w:val="00A8446B"/>
    <w:rsid w:val="00A8473F"/>
    <w:rsid w:val="00A862D6"/>
    <w:rsid w:val="00A8715E"/>
    <w:rsid w:val="00A9295B"/>
    <w:rsid w:val="00A93B09"/>
    <w:rsid w:val="00A952D7"/>
    <w:rsid w:val="00A957AF"/>
    <w:rsid w:val="00A963F7"/>
    <w:rsid w:val="00A96AD8"/>
    <w:rsid w:val="00AA052C"/>
    <w:rsid w:val="00AA1E45"/>
    <w:rsid w:val="00AA37B1"/>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578"/>
    <w:rsid w:val="00AD1A94"/>
    <w:rsid w:val="00AD1C05"/>
    <w:rsid w:val="00AD4126"/>
    <w:rsid w:val="00AD421C"/>
    <w:rsid w:val="00AD44FA"/>
    <w:rsid w:val="00AD7FC3"/>
    <w:rsid w:val="00AE070A"/>
    <w:rsid w:val="00AE101C"/>
    <w:rsid w:val="00AE278D"/>
    <w:rsid w:val="00AE2A69"/>
    <w:rsid w:val="00AE37E5"/>
    <w:rsid w:val="00AE5EB4"/>
    <w:rsid w:val="00AF0C18"/>
    <w:rsid w:val="00AF47C5"/>
    <w:rsid w:val="00AF5398"/>
    <w:rsid w:val="00B049AF"/>
    <w:rsid w:val="00B05552"/>
    <w:rsid w:val="00B07242"/>
    <w:rsid w:val="00B10534"/>
    <w:rsid w:val="00B113DB"/>
    <w:rsid w:val="00B11D8A"/>
    <w:rsid w:val="00B12981"/>
    <w:rsid w:val="00B147DD"/>
    <w:rsid w:val="00B156FD"/>
    <w:rsid w:val="00B21F61"/>
    <w:rsid w:val="00B22DBF"/>
    <w:rsid w:val="00B261F1"/>
    <w:rsid w:val="00B265BC"/>
    <w:rsid w:val="00B279E4"/>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0F5A"/>
    <w:rsid w:val="00B62B58"/>
    <w:rsid w:val="00B65149"/>
    <w:rsid w:val="00B66567"/>
    <w:rsid w:val="00B66F52"/>
    <w:rsid w:val="00B66FE5"/>
    <w:rsid w:val="00B72880"/>
    <w:rsid w:val="00B758BF"/>
    <w:rsid w:val="00B77EC8"/>
    <w:rsid w:val="00B81A09"/>
    <w:rsid w:val="00B827A6"/>
    <w:rsid w:val="00B831CE"/>
    <w:rsid w:val="00B86677"/>
    <w:rsid w:val="00B87131"/>
    <w:rsid w:val="00B939B1"/>
    <w:rsid w:val="00B96D40"/>
    <w:rsid w:val="00B97386"/>
    <w:rsid w:val="00BA1BA6"/>
    <w:rsid w:val="00BA263B"/>
    <w:rsid w:val="00BA42B2"/>
    <w:rsid w:val="00BA58D4"/>
    <w:rsid w:val="00BA5B9E"/>
    <w:rsid w:val="00BA7C9A"/>
    <w:rsid w:val="00BB0713"/>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D88"/>
    <w:rsid w:val="00C21540"/>
    <w:rsid w:val="00C21906"/>
    <w:rsid w:val="00C21BFA"/>
    <w:rsid w:val="00C24C8D"/>
    <w:rsid w:val="00C25499"/>
    <w:rsid w:val="00C25FE2"/>
    <w:rsid w:val="00C26B53"/>
    <w:rsid w:val="00C279B2"/>
    <w:rsid w:val="00C31044"/>
    <w:rsid w:val="00C336E9"/>
    <w:rsid w:val="00C33E50"/>
    <w:rsid w:val="00C34C20"/>
    <w:rsid w:val="00C35A3E"/>
    <w:rsid w:val="00C36C30"/>
    <w:rsid w:val="00C42130"/>
    <w:rsid w:val="00C423A4"/>
    <w:rsid w:val="00C423E3"/>
    <w:rsid w:val="00C44BF5"/>
    <w:rsid w:val="00C50393"/>
    <w:rsid w:val="00C521D6"/>
    <w:rsid w:val="00C55232"/>
    <w:rsid w:val="00C553A4"/>
    <w:rsid w:val="00C55A06"/>
    <w:rsid w:val="00C55D03"/>
    <w:rsid w:val="00C601BC"/>
    <w:rsid w:val="00C6329F"/>
    <w:rsid w:val="00C63340"/>
    <w:rsid w:val="00C643F9"/>
    <w:rsid w:val="00C64E95"/>
    <w:rsid w:val="00C71372"/>
    <w:rsid w:val="00C71865"/>
    <w:rsid w:val="00C72410"/>
    <w:rsid w:val="00C7287F"/>
    <w:rsid w:val="00C7309A"/>
    <w:rsid w:val="00C80CB8"/>
    <w:rsid w:val="00C819F8"/>
    <w:rsid w:val="00C8248C"/>
    <w:rsid w:val="00C84E33"/>
    <w:rsid w:val="00C86D6F"/>
    <w:rsid w:val="00C905FC"/>
    <w:rsid w:val="00C921B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175"/>
    <w:rsid w:val="00CC5233"/>
    <w:rsid w:val="00CC5DE6"/>
    <w:rsid w:val="00CC6899"/>
    <w:rsid w:val="00CC6E4E"/>
    <w:rsid w:val="00CC6FE8"/>
    <w:rsid w:val="00CC7202"/>
    <w:rsid w:val="00CD2808"/>
    <w:rsid w:val="00CD28BF"/>
    <w:rsid w:val="00CD4092"/>
    <w:rsid w:val="00CD4A20"/>
    <w:rsid w:val="00CD50A1"/>
    <w:rsid w:val="00CD519E"/>
    <w:rsid w:val="00CE0C4F"/>
    <w:rsid w:val="00CE30EA"/>
    <w:rsid w:val="00CF048A"/>
    <w:rsid w:val="00CF155A"/>
    <w:rsid w:val="00CF15FD"/>
    <w:rsid w:val="00CF2947"/>
    <w:rsid w:val="00CF686F"/>
    <w:rsid w:val="00CF6E60"/>
    <w:rsid w:val="00CF7BCA"/>
    <w:rsid w:val="00D008FD"/>
    <w:rsid w:val="00D0321C"/>
    <w:rsid w:val="00D035EC"/>
    <w:rsid w:val="00D06AB1"/>
    <w:rsid w:val="00D06FC1"/>
    <w:rsid w:val="00D072ED"/>
    <w:rsid w:val="00D07A16"/>
    <w:rsid w:val="00D07F78"/>
    <w:rsid w:val="00D1067E"/>
    <w:rsid w:val="00D10F50"/>
    <w:rsid w:val="00D11272"/>
    <w:rsid w:val="00D126F5"/>
    <w:rsid w:val="00D1489E"/>
    <w:rsid w:val="00D16A31"/>
    <w:rsid w:val="00D20737"/>
    <w:rsid w:val="00D21E81"/>
    <w:rsid w:val="00D223DE"/>
    <w:rsid w:val="00D228C4"/>
    <w:rsid w:val="00D2536D"/>
    <w:rsid w:val="00D25E37"/>
    <w:rsid w:val="00D2661A"/>
    <w:rsid w:val="00D27582"/>
    <w:rsid w:val="00D27EC4"/>
    <w:rsid w:val="00D32719"/>
    <w:rsid w:val="00D33333"/>
    <w:rsid w:val="00D352A2"/>
    <w:rsid w:val="00D4162B"/>
    <w:rsid w:val="00D4514F"/>
    <w:rsid w:val="00D451E2"/>
    <w:rsid w:val="00D45E2F"/>
    <w:rsid w:val="00D45E89"/>
    <w:rsid w:val="00D45E8D"/>
    <w:rsid w:val="00D466AE"/>
    <w:rsid w:val="00D4734F"/>
    <w:rsid w:val="00D51BF3"/>
    <w:rsid w:val="00D66846"/>
    <w:rsid w:val="00D675FB"/>
    <w:rsid w:val="00D719C7"/>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366"/>
    <w:rsid w:val="00DA24F8"/>
    <w:rsid w:val="00DA28E8"/>
    <w:rsid w:val="00DA38D3"/>
    <w:rsid w:val="00DA3932"/>
    <w:rsid w:val="00DA3AFC"/>
    <w:rsid w:val="00DA64F8"/>
    <w:rsid w:val="00DA6C15"/>
    <w:rsid w:val="00DA7132"/>
    <w:rsid w:val="00DA7674"/>
    <w:rsid w:val="00DB0258"/>
    <w:rsid w:val="00DB06D3"/>
    <w:rsid w:val="00DB0C9B"/>
    <w:rsid w:val="00DB38EE"/>
    <w:rsid w:val="00DB498B"/>
    <w:rsid w:val="00DB66CA"/>
    <w:rsid w:val="00DB6BCA"/>
    <w:rsid w:val="00DB6F54"/>
    <w:rsid w:val="00DB73F7"/>
    <w:rsid w:val="00DC0321"/>
    <w:rsid w:val="00DC3067"/>
    <w:rsid w:val="00DC370B"/>
    <w:rsid w:val="00DC5B90"/>
    <w:rsid w:val="00DC63B8"/>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4D90"/>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022"/>
    <w:rsid w:val="00E74313"/>
    <w:rsid w:val="00E74C54"/>
    <w:rsid w:val="00E77A03"/>
    <w:rsid w:val="00E822E8"/>
    <w:rsid w:val="00E82554"/>
    <w:rsid w:val="00E82606"/>
    <w:rsid w:val="00E831C1"/>
    <w:rsid w:val="00E846C8"/>
    <w:rsid w:val="00E84957"/>
    <w:rsid w:val="00E84A55"/>
    <w:rsid w:val="00E85BFF"/>
    <w:rsid w:val="00E90391"/>
    <w:rsid w:val="00E906C2"/>
    <w:rsid w:val="00E930CD"/>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5862"/>
    <w:rsid w:val="00ED067A"/>
    <w:rsid w:val="00ED2B50"/>
    <w:rsid w:val="00EE0350"/>
    <w:rsid w:val="00EE0719"/>
    <w:rsid w:val="00EE0E80"/>
    <w:rsid w:val="00EE613F"/>
    <w:rsid w:val="00EE7295"/>
    <w:rsid w:val="00EE7869"/>
    <w:rsid w:val="00EF01BA"/>
    <w:rsid w:val="00EF054A"/>
    <w:rsid w:val="00EF3235"/>
    <w:rsid w:val="00EF7E72"/>
    <w:rsid w:val="00F02F90"/>
    <w:rsid w:val="00F0600A"/>
    <w:rsid w:val="00F06D37"/>
    <w:rsid w:val="00F07B9D"/>
    <w:rsid w:val="00F11586"/>
    <w:rsid w:val="00F1183B"/>
    <w:rsid w:val="00F11C9F"/>
    <w:rsid w:val="00F12263"/>
    <w:rsid w:val="00F1409D"/>
    <w:rsid w:val="00F14214"/>
    <w:rsid w:val="00F157A9"/>
    <w:rsid w:val="00F16F00"/>
    <w:rsid w:val="00F25BB6"/>
    <w:rsid w:val="00F26B7E"/>
    <w:rsid w:val="00F276F3"/>
    <w:rsid w:val="00F27A3B"/>
    <w:rsid w:val="00F32780"/>
    <w:rsid w:val="00F33817"/>
    <w:rsid w:val="00F34CF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AC3"/>
    <w:rsid w:val="00FB0CB9"/>
    <w:rsid w:val="00FB231D"/>
    <w:rsid w:val="00FB45F1"/>
    <w:rsid w:val="00FB4A72"/>
    <w:rsid w:val="00FB54E8"/>
    <w:rsid w:val="00FB7054"/>
    <w:rsid w:val="00FC17B7"/>
    <w:rsid w:val="00FC2CB7"/>
    <w:rsid w:val="00FC4090"/>
    <w:rsid w:val="00FC55B4"/>
    <w:rsid w:val="00FD00E6"/>
    <w:rsid w:val="00FD09A1"/>
    <w:rsid w:val="00FD2A7C"/>
    <w:rsid w:val="00FD2BD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D174F2"/>
    <w:rsid w:val="09F27069"/>
    <w:rsid w:val="1DE502B6"/>
    <w:rsid w:val="21894314"/>
    <w:rsid w:val="235F406A"/>
    <w:rsid w:val="29F62556"/>
    <w:rsid w:val="2D392FA9"/>
    <w:rsid w:val="2DB53BA5"/>
    <w:rsid w:val="329976DE"/>
    <w:rsid w:val="35020C4F"/>
    <w:rsid w:val="36BD653D"/>
    <w:rsid w:val="3C5502A8"/>
    <w:rsid w:val="40D211A5"/>
    <w:rsid w:val="41FA5A43"/>
    <w:rsid w:val="44ED6924"/>
    <w:rsid w:val="4FF15526"/>
    <w:rsid w:val="50127CB1"/>
    <w:rsid w:val="51E9126A"/>
    <w:rsid w:val="55383C4F"/>
    <w:rsid w:val="5A834F92"/>
    <w:rsid w:val="696F623D"/>
    <w:rsid w:val="699E6D8F"/>
    <w:rsid w:val="6F7B3C46"/>
    <w:rsid w:val="7273373F"/>
    <w:rsid w:val="790559B7"/>
    <w:rsid w:val="9F9F47C4"/>
    <w:rsid w:val="DCCFCF0F"/>
    <w:rsid w:val="FDFFC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字符"/>
    <w:basedOn w:val="30"/>
    <w:link w:val="13"/>
    <w:qFormat/>
    <w:uiPriority w:val="99"/>
    <w:rPr>
      <w:rFonts w:ascii="Calibri" w:hAnsi="Calibri"/>
      <w:kern w:val="2"/>
      <w:sz w:val="21"/>
      <w:szCs w:val="21"/>
    </w:rPr>
  </w:style>
  <w:style w:type="character" w:customStyle="1" w:styleId="234">
    <w:name w:val="批注主题 字符"/>
    <w:basedOn w:val="233"/>
    <w:link w:val="27"/>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glossaryDocument" Target="glossary/document.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1E1FBCCC21A4E878326910E6248747F"/>
        <w:style w:val=""/>
        <w:category>
          <w:name w:val="常规"/>
          <w:gallery w:val="placeholder"/>
        </w:category>
        <w:types>
          <w:type w:val="bbPlcHdr"/>
        </w:types>
        <w:behaviors>
          <w:behavior w:val="content"/>
        </w:behaviors>
        <w:description w:val=""/>
        <w:guid w:val="{BD4D6E4C-2361-4FAB-A845-AEF881CB5109}"/>
      </w:docPartPr>
      <w:docPartBody>
        <w:p w14:paraId="3037230D">
          <w:pPr>
            <w:pStyle w:val="5"/>
          </w:pPr>
          <w:r>
            <w:rPr>
              <w:rStyle w:val="4"/>
              <w:rFonts w:hint="eastAsia"/>
            </w:rPr>
            <w:t>单击或点击此处输入文字。</w:t>
          </w:r>
        </w:p>
      </w:docPartBody>
    </w:docPart>
    <w:docPart>
      <w:docPartPr>
        <w:name w:val="06E4C117A5E84607801F5820DDAA5BD6"/>
        <w:style w:val=""/>
        <w:category>
          <w:name w:val="常规"/>
          <w:gallery w:val="placeholder"/>
        </w:category>
        <w:types>
          <w:type w:val="bbPlcHdr"/>
        </w:types>
        <w:behaviors>
          <w:behavior w:val="content"/>
        </w:behaviors>
        <w:description w:val=""/>
        <w:guid w:val="{4C922077-79B7-47D3-A329-63BE57553503}"/>
      </w:docPartPr>
      <w:docPartBody>
        <w:p w14:paraId="4A6F348D">
          <w:pPr>
            <w:pStyle w:val="6"/>
          </w:pPr>
          <w:r>
            <w:rPr>
              <w:rStyle w:val="4"/>
              <w:rFonts w:hint="eastAsia"/>
            </w:rPr>
            <w:t>选择一项。</w:t>
          </w:r>
        </w:p>
      </w:docPartBody>
    </w:docPart>
    <w:docPart>
      <w:docPartPr>
        <w:name w:val="D35E9B5DF8444B009B6DFB1F9B50FEA7"/>
        <w:style w:val=""/>
        <w:category>
          <w:name w:val="常规"/>
          <w:gallery w:val="placeholder"/>
        </w:category>
        <w:types>
          <w:type w:val="bbPlcHdr"/>
        </w:types>
        <w:behaviors>
          <w:behavior w:val="content"/>
        </w:behaviors>
        <w:description w:val=""/>
        <w:guid w:val="{D2422E4E-34D8-4667-A29B-49BFD59C33AF}"/>
      </w:docPartPr>
      <w:docPartBody>
        <w:p w14:paraId="35DFAE2C">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113"/>
    <w:rsid w:val="00014D17"/>
    <w:rsid w:val="00146C5F"/>
    <w:rsid w:val="00175007"/>
    <w:rsid w:val="00383AA2"/>
    <w:rsid w:val="003B33DB"/>
    <w:rsid w:val="003E1308"/>
    <w:rsid w:val="00535CDF"/>
    <w:rsid w:val="005539AF"/>
    <w:rsid w:val="005F4925"/>
    <w:rsid w:val="006326D7"/>
    <w:rsid w:val="00726E7F"/>
    <w:rsid w:val="00763182"/>
    <w:rsid w:val="00876779"/>
    <w:rsid w:val="00991113"/>
    <w:rsid w:val="009B7F62"/>
    <w:rsid w:val="00A35B3C"/>
    <w:rsid w:val="00A623D8"/>
    <w:rsid w:val="00A84FA7"/>
    <w:rsid w:val="00AE77E4"/>
    <w:rsid w:val="00B516C5"/>
    <w:rsid w:val="00BF1847"/>
    <w:rsid w:val="00C56596"/>
    <w:rsid w:val="00D373C2"/>
    <w:rsid w:val="00EC5B92"/>
    <w:rsid w:val="00FD0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1E1FBCCC21A4E878326910E6248747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E4C117A5E84607801F5820DDAA5BD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35E9B5DF8444B009B6DFB1F9B50FEA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9</Pages>
  <Words>4493</Words>
  <Characters>5443</Characters>
  <Lines>48</Lines>
  <Paragraphs>13</Paragraphs>
  <TotalTime>5</TotalTime>
  <ScaleCrop>false</ScaleCrop>
  <LinksUpToDate>false</LinksUpToDate>
  <CharactersWithSpaces>5647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2026-06-24T06:19:00Z</dcterms:created>
  <dc:creator>Administrator</dc:creator>
  <dc:description>&lt;config cover="true" show_menu="true" version="1.0.0" doctype="SDKXY"&gt;_x000d_
&lt;/config&gt;</dc:description>
  <cp:lastModifiedBy>清风揽月</cp:lastModifiedBy>
  <cp:lastPrinted>2024-09-12T03:00:00Z</cp:lastPrinted>
  <dcterms:modified xsi:type="dcterms:W3CDTF">2026-06-24T10:49:51Z</dcterms:modified>
  <dc:title>团体标准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2052-12.1.0.26895</vt:lpwstr>
  </property>
  <property fmtid="{D5CDD505-2E9C-101B-9397-08002B2CF9AE}" pid="16" name="ICV">
    <vt:lpwstr>48C1630518D44C5AB5711E13980B075F_13</vt:lpwstr>
  </property>
  <property fmtid="{D5CDD505-2E9C-101B-9397-08002B2CF9AE}" pid="17" name="KSOTemplateDocerSaveRecord">
    <vt:lpwstr>eyJoZGlkIjoiODY1NmEwZWIxZGEzMWE3MzdmY2NhMzZhZDE0ODEwM2UiLCJ1c2VySWQiOiI1NjkwODQ0OTAifQ==</vt:lpwstr>
  </property>
</Properties>
</file>