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3E1A5" w14:textId="0D4F6B1C" w:rsidR="00D634F2" w:rsidRDefault="008854C0">
      <w:pPr>
        <w:jc w:val="center"/>
        <w:rPr>
          <w:rFonts w:ascii="方正小标宋简体" w:eastAsia="方正小标宋简体" w:cs="仿宋_GB2312"/>
          <w:bCs/>
          <w:color w:val="000000" w:themeColor="text1"/>
          <w:sz w:val="44"/>
          <w:szCs w:val="44"/>
        </w:rPr>
      </w:pPr>
      <w:r>
        <w:rPr>
          <w:rFonts w:ascii="方正小标宋简体" w:eastAsia="方正小标宋简体" w:cs="仿宋_GB2312" w:hint="eastAsia"/>
          <w:bCs/>
          <w:color w:val="000000" w:themeColor="text1"/>
          <w:sz w:val="44"/>
          <w:szCs w:val="44"/>
        </w:rPr>
        <w:t>团体标准《</w:t>
      </w:r>
      <w:r w:rsidR="00C2496E">
        <w:rPr>
          <w:rFonts w:ascii="方正小标宋简体" w:eastAsia="方正小标宋简体" w:cs="仿宋_GB2312" w:hint="eastAsia"/>
          <w:bCs/>
          <w:color w:val="000000" w:themeColor="text1"/>
          <w:sz w:val="44"/>
          <w:szCs w:val="44"/>
        </w:rPr>
        <w:t>结直肠癌外照射放疗肠道剂量调控技术操作规范</w:t>
      </w:r>
      <w:r>
        <w:rPr>
          <w:rFonts w:ascii="方正小标宋简体" w:eastAsia="方正小标宋简体" w:cs="仿宋_GB2312" w:hint="eastAsia"/>
          <w:bCs/>
          <w:color w:val="000000" w:themeColor="text1"/>
          <w:sz w:val="44"/>
          <w:szCs w:val="44"/>
        </w:rPr>
        <w:t>》（</w:t>
      </w:r>
      <w:r w:rsidR="00FA35E2">
        <w:rPr>
          <w:rFonts w:ascii="方正小标宋简体" w:eastAsia="方正小标宋简体" w:cs="仿宋_GB2312" w:hint="eastAsia"/>
          <w:bCs/>
          <w:color w:val="000000" w:themeColor="text1"/>
          <w:sz w:val="44"/>
          <w:szCs w:val="44"/>
        </w:rPr>
        <w:t>征求意见</w:t>
      </w:r>
      <w:r>
        <w:rPr>
          <w:rFonts w:ascii="方正小标宋简体" w:eastAsia="方正小标宋简体" w:cs="仿宋_GB2312" w:hint="eastAsia"/>
          <w:bCs/>
          <w:color w:val="000000" w:themeColor="text1"/>
          <w:sz w:val="44"/>
          <w:szCs w:val="44"/>
        </w:rPr>
        <w:t>稿）编制说明</w:t>
      </w:r>
    </w:p>
    <w:p w14:paraId="12A46FE1" w14:textId="77777777" w:rsidR="00D634F2" w:rsidRDefault="00D634F2">
      <w:pPr>
        <w:ind w:firstLine="378"/>
        <w:jc w:val="center"/>
        <w:rPr>
          <w:rFonts w:ascii="方正小标宋简体" w:eastAsia="方正小标宋简体" w:cs="仿宋_GB2312"/>
          <w:bCs/>
          <w:color w:val="000000" w:themeColor="text1"/>
          <w:sz w:val="18"/>
          <w:szCs w:val="18"/>
        </w:rPr>
      </w:pPr>
    </w:p>
    <w:p w14:paraId="4964C4A8" w14:textId="77777777"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一、任务来源、起草单位、</w:t>
      </w:r>
      <w:r>
        <w:rPr>
          <w:rFonts w:ascii="黑体" w:eastAsia="黑体" w:hAnsi="黑体"/>
          <w:b w:val="0"/>
          <w:color w:val="000000" w:themeColor="text1"/>
        </w:rPr>
        <w:t>主要起草人</w:t>
      </w:r>
    </w:p>
    <w:p w14:paraId="39D94A88" w14:textId="1E36A770" w:rsidR="00D634F2" w:rsidRDefault="00B1480E">
      <w:pPr>
        <w:spacing w:afterLines="50" w:after="120" w:line="520" w:lineRule="exact"/>
        <w:ind w:firstLineChars="200" w:firstLine="640"/>
        <w:rPr>
          <w:rFonts w:ascii="仿宋_GB2312" w:eastAsia="仿宋_GB2312"/>
          <w:color w:val="000000" w:themeColor="text1"/>
          <w:sz w:val="32"/>
          <w:szCs w:val="32"/>
        </w:rPr>
      </w:pPr>
      <w:r w:rsidRPr="00B1480E">
        <w:rPr>
          <w:rFonts w:ascii="仿宋_GB2312" w:eastAsia="仿宋_GB2312" w:hint="eastAsia"/>
          <w:color w:val="000000" w:themeColor="text1"/>
          <w:sz w:val="32"/>
          <w:szCs w:val="32"/>
        </w:rPr>
        <w:t>根据</w:t>
      </w:r>
      <w:r w:rsidR="006253C4" w:rsidRPr="006253C4">
        <w:rPr>
          <w:rFonts w:ascii="仿宋_GB2312" w:eastAsia="仿宋_GB2312" w:hint="eastAsia"/>
          <w:color w:val="000000" w:themeColor="text1"/>
          <w:sz w:val="32"/>
          <w:szCs w:val="32"/>
        </w:rPr>
        <w:t>《广西标准化协会关于下达2025年第四十五批团体标准制修订项目计划的通知》（桂标协〔2025〕411号）文件精神，由广西中医药大学第一附属医院提出，</w:t>
      </w:r>
      <w:r w:rsidR="00C2496E" w:rsidRPr="00C2496E">
        <w:rPr>
          <w:rFonts w:ascii="仿宋_GB2312" w:eastAsia="仿宋_GB2312" w:hint="eastAsia"/>
          <w:color w:val="000000" w:themeColor="text1"/>
          <w:sz w:val="32"/>
          <w:szCs w:val="32"/>
        </w:rPr>
        <w:t>广西中医药大学第一附属医院</w:t>
      </w:r>
      <w:r w:rsidR="00C2496E" w:rsidRPr="00C2496E">
        <w:rPr>
          <w:rFonts w:ascii="仿宋_GB2312" w:eastAsia="仿宋_GB2312"/>
          <w:color w:val="000000" w:themeColor="text1"/>
          <w:sz w:val="32"/>
          <w:szCs w:val="32"/>
        </w:rPr>
        <w:t>、</w:t>
      </w:r>
      <w:r w:rsidR="00C2496E" w:rsidRPr="00C2496E">
        <w:rPr>
          <w:rFonts w:ascii="仿宋_GB2312" w:eastAsia="仿宋_GB2312" w:hint="eastAsia"/>
          <w:color w:val="000000" w:themeColor="text1"/>
          <w:sz w:val="32"/>
          <w:szCs w:val="32"/>
        </w:rPr>
        <w:t>广西医科大学附属肿瘤医院、广西医科大学第一附属医院</w:t>
      </w:r>
      <w:r w:rsidR="00C2496E" w:rsidRPr="00C2496E">
        <w:rPr>
          <w:rFonts w:ascii="仿宋_GB2312" w:eastAsia="仿宋_GB2312"/>
          <w:color w:val="000000" w:themeColor="text1"/>
          <w:sz w:val="32"/>
          <w:szCs w:val="32"/>
        </w:rPr>
        <w:t>、</w:t>
      </w:r>
      <w:r w:rsidR="00C2496E" w:rsidRPr="00C2496E">
        <w:rPr>
          <w:rFonts w:ascii="仿宋_GB2312" w:eastAsia="仿宋_GB2312" w:hint="eastAsia"/>
          <w:color w:val="000000" w:themeColor="text1"/>
          <w:sz w:val="32"/>
          <w:szCs w:val="32"/>
        </w:rPr>
        <w:t>广西中医药大学附属瑞康医院、广西医科大学第二附属医院</w:t>
      </w:r>
      <w:r w:rsidR="00C2496E" w:rsidRPr="00C2496E">
        <w:rPr>
          <w:rFonts w:ascii="仿宋_GB2312" w:eastAsia="仿宋_GB2312"/>
          <w:color w:val="000000" w:themeColor="text1"/>
          <w:sz w:val="32"/>
          <w:szCs w:val="32"/>
        </w:rPr>
        <w:t>、</w:t>
      </w:r>
      <w:r w:rsidR="00C2496E" w:rsidRPr="00C2496E">
        <w:rPr>
          <w:rFonts w:ascii="仿宋_GB2312" w:eastAsia="仿宋_GB2312" w:hint="eastAsia"/>
          <w:color w:val="000000" w:themeColor="text1"/>
          <w:sz w:val="32"/>
          <w:szCs w:val="32"/>
        </w:rPr>
        <w:t>广西壮族自治区人民医院</w:t>
      </w:r>
      <w:r w:rsidR="00C2496E" w:rsidRPr="00C2496E">
        <w:rPr>
          <w:rFonts w:ascii="仿宋_GB2312" w:eastAsia="仿宋_GB2312"/>
          <w:color w:val="000000" w:themeColor="text1"/>
          <w:sz w:val="32"/>
          <w:szCs w:val="32"/>
        </w:rPr>
        <w:t>、</w:t>
      </w:r>
      <w:r w:rsidR="00C2496E" w:rsidRPr="00C2496E">
        <w:rPr>
          <w:rFonts w:ascii="仿宋_GB2312" w:eastAsia="仿宋_GB2312" w:hint="eastAsia"/>
          <w:color w:val="000000" w:themeColor="text1"/>
          <w:sz w:val="32"/>
          <w:szCs w:val="32"/>
        </w:rPr>
        <w:t>广西国际壮医医院</w:t>
      </w:r>
      <w:r w:rsidR="00C2496E" w:rsidRPr="00C2496E">
        <w:rPr>
          <w:rFonts w:ascii="仿宋_GB2312" w:eastAsia="仿宋_GB2312"/>
          <w:color w:val="000000" w:themeColor="text1"/>
          <w:sz w:val="32"/>
          <w:szCs w:val="32"/>
        </w:rPr>
        <w:t>、</w:t>
      </w:r>
      <w:r w:rsidR="00C2496E" w:rsidRPr="00C2496E">
        <w:rPr>
          <w:rFonts w:ascii="仿宋_GB2312" w:eastAsia="仿宋_GB2312" w:hint="eastAsia"/>
          <w:color w:val="000000" w:themeColor="text1"/>
          <w:sz w:val="32"/>
          <w:szCs w:val="32"/>
        </w:rPr>
        <w:t>广西壮族自治区南溪山医院（广西壮族自治区第二人民医院）</w:t>
      </w:r>
      <w:r w:rsidR="006253C4" w:rsidRPr="006253C4">
        <w:rPr>
          <w:rFonts w:ascii="仿宋_GB2312" w:eastAsia="仿宋_GB2312" w:hint="eastAsia"/>
          <w:color w:val="000000" w:themeColor="text1"/>
          <w:sz w:val="32"/>
          <w:szCs w:val="32"/>
        </w:rPr>
        <w:t>等单位共同起草的团体标准《</w:t>
      </w:r>
      <w:r w:rsidR="00C2496E">
        <w:rPr>
          <w:rFonts w:ascii="仿宋_GB2312" w:eastAsia="仿宋_GB2312" w:hint="eastAsia"/>
          <w:color w:val="000000" w:themeColor="text1"/>
          <w:sz w:val="32"/>
          <w:szCs w:val="32"/>
        </w:rPr>
        <w:t>结直肠癌外照射放疗肠道剂量调控技术操作规范</w:t>
      </w:r>
      <w:r w:rsidR="006253C4" w:rsidRPr="006253C4">
        <w:rPr>
          <w:rFonts w:ascii="仿宋_GB2312" w:eastAsia="仿宋_GB2312" w:hint="eastAsia"/>
          <w:color w:val="000000" w:themeColor="text1"/>
          <w:sz w:val="32"/>
          <w:szCs w:val="32"/>
        </w:rPr>
        <w:t>》</w:t>
      </w:r>
      <w:r w:rsidRPr="00D97782">
        <w:rPr>
          <w:rFonts w:ascii="仿宋_GB2312" w:eastAsia="仿宋_GB2312" w:hint="eastAsia"/>
          <w:color w:val="000000" w:themeColor="text1"/>
          <w:sz w:val="32"/>
          <w:szCs w:val="32"/>
        </w:rPr>
        <w:t>（项目编号：2025-</w:t>
      </w:r>
      <w:r w:rsidR="006253C4">
        <w:rPr>
          <w:rFonts w:ascii="仿宋_GB2312" w:eastAsia="仿宋_GB2312"/>
          <w:color w:val="000000" w:themeColor="text1"/>
          <w:sz w:val="32"/>
          <w:szCs w:val="32"/>
        </w:rPr>
        <w:t>4502</w:t>
      </w:r>
      <w:r w:rsidRPr="00D97782">
        <w:rPr>
          <w:rFonts w:ascii="仿宋_GB2312" w:eastAsia="仿宋_GB2312" w:hint="eastAsia"/>
          <w:color w:val="000000" w:themeColor="text1"/>
          <w:sz w:val="32"/>
          <w:szCs w:val="32"/>
        </w:rPr>
        <w:t>）</w:t>
      </w:r>
      <w:r w:rsidR="008854C0" w:rsidRPr="00D97782">
        <w:rPr>
          <w:rFonts w:ascii="仿宋_GB2312" w:eastAsia="仿宋_GB2312" w:hint="eastAsia"/>
          <w:color w:val="000000" w:themeColor="text1"/>
          <w:sz w:val="32"/>
          <w:szCs w:val="32"/>
        </w:rPr>
        <w:t>已获批立项。</w:t>
      </w:r>
    </w:p>
    <w:p w14:paraId="600D13A7" w14:textId="13CB9654" w:rsidR="00D634F2" w:rsidRDefault="008854C0">
      <w:pPr>
        <w:spacing w:afterLines="50" w:after="120"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为高质量编制团体标准《</w:t>
      </w:r>
      <w:r w:rsidR="00C2496E">
        <w:rPr>
          <w:rFonts w:ascii="仿宋_GB2312" w:eastAsia="仿宋_GB2312" w:hint="eastAsia"/>
          <w:color w:val="000000" w:themeColor="text1"/>
          <w:sz w:val="32"/>
          <w:szCs w:val="32"/>
        </w:rPr>
        <w:t>结直肠癌外照射放疗肠道剂量调控技术操作规范</w:t>
      </w:r>
      <w:r>
        <w:rPr>
          <w:rFonts w:ascii="仿宋_GB2312" w:eastAsia="仿宋_GB2312" w:hint="eastAsia"/>
          <w:color w:val="000000" w:themeColor="text1"/>
          <w:sz w:val="32"/>
          <w:szCs w:val="32"/>
        </w:rPr>
        <w:t>》，由起草单位成立标准编制工作组并进行如下分工：</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660"/>
        <w:gridCol w:w="1578"/>
        <w:gridCol w:w="2169"/>
        <w:gridCol w:w="2793"/>
      </w:tblGrid>
      <w:tr w:rsidR="007E271E" w:rsidRPr="002A7509" w14:paraId="79B3E283" w14:textId="77777777" w:rsidTr="005C0777">
        <w:trPr>
          <w:trHeight w:val="450"/>
          <w:tblHeader/>
          <w:jc w:val="center"/>
        </w:trPr>
        <w:tc>
          <w:tcPr>
            <w:tcW w:w="602" w:type="pct"/>
            <w:vAlign w:val="center"/>
          </w:tcPr>
          <w:p w14:paraId="45AD696A" w14:textId="77777777" w:rsidR="007E271E" w:rsidRPr="002A7509" w:rsidRDefault="007E271E" w:rsidP="005C0777">
            <w:pPr>
              <w:jc w:val="center"/>
              <w:rPr>
                <w:rFonts w:ascii="仿宋_GB2312" w:eastAsia="仿宋_GB2312" w:hAnsi="Times New Roman"/>
                <w:b/>
                <w:color w:val="000000"/>
                <w:sz w:val="24"/>
              </w:rPr>
            </w:pPr>
            <w:r w:rsidRPr="002A7509">
              <w:rPr>
                <w:rFonts w:ascii="仿宋_GB2312" w:eastAsia="仿宋_GB2312" w:hAnsi="Times New Roman" w:hint="eastAsia"/>
                <w:b/>
                <w:color w:val="000000"/>
                <w:sz w:val="24"/>
              </w:rPr>
              <w:t>姓名</w:t>
            </w:r>
          </w:p>
        </w:tc>
        <w:tc>
          <w:tcPr>
            <w:tcW w:w="890" w:type="pct"/>
            <w:vAlign w:val="center"/>
          </w:tcPr>
          <w:p w14:paraId="28B1E0F9" w14:textId="77777777" w:rsidR="007E271E" w:rsidRPr="002A7509" w:rsidRDefault="007E271E" w:rsidP="005C0777">
            <w:pPr>
              <w:jc w:val="center"/>
              <w:rPr>
                <w:rFonts w:ascii="仿宋_GB2312" w:eastAsia="仿宋_GB2312" w:hAnsi="Times New Roman"/>
                <w:b/>
                <w:color w:val="000000"/>
                <w:sz w:val="24"/>
              </w:rPr>
            </w:pPr>
            <w:r w:rsidRPr="002A7509">
              <w:rPr>
                <w:rFonts w:ascii="仿宋_GB2312" w:eastAsia="仿宋_GB2312" w:hAnsi="Times New Roman" w:hint="eastAsia"/>
                <w:b/>
                <w:color w:val="000000"/>
                <w:sz w:val="24"/>
              </w:rPr>
              <w:t>职务/职称</w:t>
            </w:r>
          </w:p>
        </w:tc>
        <w:tc>
          <w:tcPr>
            <w:tcW w:w="846" w:type="pct"/>
            <w:vAlign w:val="center"/>
          </w:tcPr>
          <w:p w14:paraId="4B1085A6" w14:textId="77777777" w:rsidR="007E271E" w:rsidRPr="002A7509" w:rsidRDefault="007E271E" w:rsidP="005C0777">
            <w:pPr>
              <w:jc w:val="center"/>
              <w:rPr>
                <w:rFonts w:ascii="仿宋_GB2312" w:eastAsia="仿宋_GB2312" w:hAnsi="Times New Roman"/>
                <w:b/>
                <w:color w:val="000000"/>
                <w:sz w:val="24"/>
              </w:rPr>
            </w:pPr>
            <w:r w:rsidRPr="002A7509">
              <w:rPr>
                <w:rFonts w:ascii="仿宋_GB2312" w:eastAsia="仿宋_GB2312" w:hAnsi="Times New Roman" w:hint="eastAsia"/>
                <w:b/>
                <w:color w:val="000000"/>
                <w:sz w:val="24"/>
              </w:rPr>
              <w:t>从事专业</w:t>
            </w:r>
          </w:p>
        </w:tc>
        <w:tc>
          <w:tcPr>
            <w:tcW w:w="1163" w:type="pct"/>
            <w:vAlign w:val="center"/>
          </w:tcPr>
          <w:p w14:paraId="53E41F4C" w14:textId="77777777" w:rsidR="007E271E" w:rsidRPr="002A7509" w:rsidRDefault="007E271E" w:rsidP="005C0777">
            <w:pPr>
              <w:jc w:val="center"/>
              <w:rPr>
                <w:rFonts w:ascii="仿宋_GB2312" w:eastAsia="仿宋_GB2312" w:hAnsi="Times New Roman"/>
                <w:b/>
                <w:color w:val="000000"/>
                <w:sz w:val="24"/>
              </w:rPr>
            </w:pPr>
            <w:r w:rsidRPr="002A7509">
              <w:rPr>
                <w:rFonts w:ascii="仿宋_GB2312" w:eastAsia="仿宋_GB2312" w:hAnsi="Times New Roman" w:hint="eastAsia"/>
                <w:b/>
                <w:color w:val="000000"/>
                <w:sz w:val="24"/>
              </w:rPr>
              <w:t>工作单位</w:t>
            </w:r>
          </w:p>
        </w:tc>
        <w:tc>
          <w:tcPr>
            <w:tcW w:w="1498" w:type="pct"/>
            <w:vAlign w:val="center"/>
          </w:tcPr>
          <w:p w14:paraId="71919952" w14:textId="77777777" w:rsidR="007E271E" w:rsidRPr="002A7509" w:rsidRDefault="007E271E" w:rsidP="005C0777">
            <w:pPr>
              <w:jc w:val="center"/>
              <w:rPr>
                <w:rFonts w:ascii="仿宋_GB2312" w:eastAsia="仿宋_GB2312" w:hAnsi="Times New Roman"/>
                <w:b/>
                <w:color w:val="000000"/>
                <w:sz w:val="24"/>
              </w:rPr>
            </w:pPr>
            <w:r w:rsidRPr="002A7509">
              <w:rPr>
                <w:rFonts w:ascii="仿宋_GB2312" w:eastAsia="仿宋_GB2312" w:hAnsi="Times New Roman" w:hint="eastAsia"/>
                <w:b/>
                <w:color w:val="000000"/>
                <w:sz w:val="24"/>
              </w:rPr>
              <w:t>责任分工</w:t>
            </w:r>
          </w:p>
        </w:tc>
      </w:tr>
      <w:tr w:rsidR="007E271E" w:rsidRPr="002A7509" w14:paraId="25C4D37E" w14:textId="77777777" w:rsidTr="005C0777">
        <w:trPr>
          <w:trHeight w:val="850"/>
          <w:jc w:val="center"/>
        </w:trPr>
        <w:tc>
          <w:tcPr>
            <w:tcW w:w="602" w:type="pct"/>
            <w:vAlign w:val="center"/>
          </w:tcPr>
          <w:p w14:paraId="0505A205"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叶芝甫</w:t>
            </w:r>
          </w:p>
        </w:tc>
        <w:tc>
          <w:tcPr>
            <w:tcW w:w="890" w:type="pct"/>
            <w:vAlign w:val="center"/>
          </w:tcPr>
          <w:p w14:paraId="442558FB"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高级工程师</w:t>
            </w:r>
          </w:p>
        </w:tc>
        <w:tc>
          <w:tcPr>
            <w:tcW w:w="846" w:type="pct"/>
            <w:vAlign w:val="center"/>
          </w:tcPr>
          <w:p w14:paraId="67D373BE"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360C22B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vAlign w:val="center"/>
          </w:tcPr>
          <w:p w14:paraId="0A9C35B3" w14:textId="77777777" w:rsidR="007E271E" w:rsidRPr="002A7509" w:rsidRDefault="007E271E" w:rsidP="005C0777">
            <w:pPr>
              <w:suppressAutoHyphens/>
              <w:rPr>
                <w:rFonts w:ascii="仿宋_GB2312" w:eastAsia="仿宋_GB2312" w:hAnsi="仿宋_GB2312" w:cs="仿宋_GB2312"/>
                <w:bCs/>
                <w:color w:val="000000"/>
                <w:sz w:val="24"/>
              </w:rPr>
            </w:pPr>
            <w:r w:rsidRPr="002A7509">
              <w:rPr>
                <w:rFonts w:ascii="仿宋_GB2312" w:eastAsia="仿宋_GB2312" w:hAnsi="仿宋_GB2312" w:cs="仿宋_GB2312" w:hint="eastAsia"/>
                <w:bCs/>
                <w:color w:val="000000"/>
                <w:sz w:val="24"/>
              </w:rPr>
              <w:t>统筹标准编制工作，组织人员进行规范发布后的宣贯培训。</w:t>
            </w:r>
          </w:p>
        </w:tc>
      </w:tr>
      <w:tr w:rsidR="007E271E" w:rsidRPr="002A7509" w14:paraId="1D206C8F" w14:textId="77777777" w:rsidTr="005C0777">
        <w:trPr>
          <w:trHeight w:val="850"/>
          <w:jc w:val="center"/>
        </w:trPr>
        <w:tc>
          <w:tcPr>
            <w:tcW w:w="602" w:type="pct"/>
            <w:vAlign w:val="center"/>
          </w:tcPr>
          <w:p w14:paraId="0AF25CD9"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蔡凯</w:t>
            </w:r>
          </w:p>
        </w:tc>
        <w:tc>
          <w:tcPr>
            <w:tcW w:w="890" w:type="pct"/>
            <w:vAlign w:val="center"/>
          </w:tcPr>
          <w:p w14:paraId="0EE09CAB"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主任医师</w:t>
            </w:r>
          </w:p>
        </w:tc>
        <w:tc>
          <w:tcPr>
            <w:tcW w:w="846" w:type="pct"/>
            <w:vAlign w:val="center"/>
          </w:tcPr>
          <w:p w14:paraId="59E70990"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0F66B10F"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vAlign w:val="center"/>
          </w:tcPr>
          <w:p w14:paraId="71A33475" w14:textId="77777777" w:rsidR="007E271E" w:rsidRPr="002A7509" w:rsidRDefault="007E271E" w:rsidP="005C0777">
            <w:pPr>
              <w:suppressAutoHyphens/>
              <w:rPr>
                <w:rFonts w:ascii="仿宋_GB2312" w:eastAsia="仿宋_GB2312" w:hAnsi="仿宋_GB2312" w:cs="仿宋_GB2312"/>
                <w:bCs/>
                <w:color w:val="000000"/>
                <w:sz w:val="24"/>
              </w:rPr>
            </w:pPr>
            <w:r w:rsidRPr="002A7509">
              <w:rPr>
                <w:rFonts w:ascii="仿宋_GB2312" w:eastAsia="仿宋_GB2312" w:hAnsi="仿宋_GB2312" w:cs="仿宋_GB2312" w:hint="eastAsia"/>
                <w:bCs/>
                <w:color w:val="000000"/>
                <w:sz w:val="24"/>
              </w:rPr>
              <w:t>指导标准文本及编制说明编写，质量控制。</w:t>
            </w:r>
          </w:p>
        </w:tc>
      </w:tr>
      <w:tr w:rsidR="007E271E" w:rsidRPr="002A7509" w14:paraId="52DCE269" w14:textId="77777777" w:rsidTr="005C0777">
        <w:trPr>
          <w:trHeight w:val="995"/>
          <w:jc w:val="center"/>
        </w:trPr>
        <w:tc>
          <w:tcPr>
            <w:tcW w:w="602" w:type="pct"/>
            <w:vAlign w:val="center"/>
          </w:tcPr>
          <w:p w14:paraId="7FF16DC1"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石玮</w:t>
            </w:r>
          </w:p>
        </w:tc>
        <w:tc>
          <w:tcPr>
            <w:tcW w:w="890" w:type="pct"/>
            <w:vAlign w:val="center"/>
          </w:tcPr>
          <w:p w14:paraId="6C0C9413"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主任医师</w:t>
            </w:r>
          </w:p>
        </w:tc>
        <w:tc>
          <w:tcPr>
            <w:tcW w:w="846" w:type="pct"/>
            <w:vAlign w:val="center"/>
          </w:tcPr>
          <w:p w14:paraId="39998C9F"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肿瘤治疗</w:t>
            </w:r>
          </w:p>
        </w:tc>
        <w:tc>
          <w:tcPr>
            <w:tcW w:w="1163" w:type="pct"/>
            <w:vAlign w:val="center"/>
          </w:tcPr>
          <w:p w14:paraId="52B48302"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vAlign w:val="center"/>
          </w:tcPr>
          <w:p w14:paraId="7212B5FF" w14:textId="77777777" w:rsidR="007E271E" w:rsidRPr="002A7509" w:rsidRDefault="007E271E" w:rsidP="005C0777">
            <w:pPr>
              <w:suppressAutoHyphens/>
              <w:rPr>
                <w:rFonts w:ascii="仿宋_GB2312" w:eastAsia="仿宋_GB2312" w:hAnsi="仿宋_GB2312" w:cs="仿宋_GB2312"/>
                <w:bCs/>
                <w:color w:val="000000"/>
                <w:sz w:val="24"/>
              </w:rPr>
            </w:pPr>
            <w:r w:rsidRPr="002A7509">
              <w:rPr>
                <w:rFonts w:ascii="仿宋_GB2312" w:eastAsia="仿宋_GB2312" w:hAnsi="仿宋_GB2312" w:cs="仿宋_GB2312" w:hint="eastAsia"/>
                <w:bCs/>
                <w:color w:val="000000"/>
                <w:sz w:val="24"/>
              </w:rPr>
              <w:t>对标准实施情况进行总结分析，不断对标准提出修正意见。</w:t>
            </w:r>
          </w:p>
        </w:tc>
      </w:tr>
      <w:tr w:rsidR="007E271E" w:rsidRPr="002A7509" w14:paraId="18F6ECDE" w14:textId="77777777" w:rsidTr="005C0777">
        <w:trPr>
          <w:trHeight w:val="995"/>
          <w:jc w:val="center"/>
        </w:trPr>
        <w:tc>
          <w:tcPr>
            <w:tcW w:w="602" w:type="pct"/>
            <w:vAlign w:val="center"/>
          </w:tcPr>
          <w:p w14:paraId="7EE6A9D6"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付庆国</w:t>
            </w:r>
          </w:p>
        </w:tc>
        <w:tc>
          <w:tcPr>
            <w:tcW w:w="890" w:type="pct"/>
            <w:vAlign w:val="center"/>
          </w:tcPr>
          <w:p w14:paraId="720E72D2"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正高级工程师</w:t>
            </w:r>
          </w:p>
        </w:tc>
        <w:tc>
          <w:tcPr>
            <w:tcW w:w="846" w:type="pct"/>
            <w:vAlign w:val="center"/>
          </w:tcPr>
          <w:p w14:paraId="2F57DAB3"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586DDAF8" w14:textId="77777777" w:rsidR="007E271E" w:rsidRPr="002A7509" w:rsidRDefault="007E271E" w:rsidP="005C0777">
            <w:pPr>
              <w:suppressAutoHyphens/>
              <w:rPr>
                <w:rFonts w:ascii="仿宋_GB2312" w:eastAsia="仿宋_GB2312" w:hAnsi="仿宋_GB2312" w:cs="仿宋_GB2312"/>
                <w:bCs/>
                <w:color w:val="000000"/>
                <w:sz w:val="24"/>
              </w:rPr>
            </w:pPr>
            <w:r w:rsidRPr="00DA50A5">
              <w:rPr>
                <w:rFonts w:ascii="仿宋_GB2312" w:eastAsia="仿宋_GB2312" w:hAnsi="仿宋_GB2312" w:cs="仿宋_GB2312" w:hint="eastAsia"/>
                <w:bCs/>
                <w:color w:val="000000"/>
                <w:sz w:val="24"/>
              </w:rPr>
              <w:t>广西医科大学附属肿瘤医院</w:t>
            </w:r>
          </w:p>
        </w:tc>
        <w:tc>
          <w:tcPr>
            <w:tcW w:w="1498" w:type="pct"/>
            <w:vAlign w:val="center"/>
          </w:tcPr>
          <w:p w14:paraId="0976430D" w14:textId="77777777" w:rsidR="007E271E" w:rsidRPr="002A7509" w:rsidRDefault="007E271E" w:rsidP="005C0777">
            <w:pPr>
              <w:suppressAutoHyphens/>
              <w:rPr>
                <w:rFonts w:ascii="仿宋_GB2312" w:eastAsia="仿宋_GB2312" w:hAnsi="仿宋_GB2312" w:cs="仿宋_GB2312"/>
                <w:bCs/>
                <w:color w:val="000000"/>
                <w:sz w:val="24"/>
              </w:rPr>
            </w:pPr>
            <w:r w:rsidRPr="002A7509">
              <w:rPr>
                <w:rFonts w:ascii="仿宋_GB2312" w:eastAsia="仿宋_GB2312" w:hAnsi="仿宋_GB2312" w:cs="仿宋_GB2312" w:hint="eastAsia"/>
                <w:bCs/>
                <w:color w:val="000000"/>
                <w:sz w:val="24"/>
              </w:rPr>
              <w:t>负责起草标准草案，征求意见稿和标准编制说明，送审稿及编制说明的编写工作。</w:t>
            </w:r>
          </w:p>
        </w:tc>
      </w:tr>
      <w:tr w:rsidR="007E271E" w:rsidRPr="002A7509" w14:paraId="297E908E" w14:textId="77777777" w:rsidTr="005C0777">
        <w:trPr>
          <w:trHeight w:val="995"/>
          <w:jc w:val="center"/>
        </w:trPr>
        <w:tc>
          <w:tcPr>
            <w:tcW w:w="602" w:type="pct"/>
            <w:vAlign w:val="center"/>
          </w:tcPr>
          <w:p w14:paraId="53E9BB64"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lastRenderedPageBreak/>
              <w:t>覃文</w:t>
            </w:r>
          </w:p>
        </w:tc>
        <w:tc>
          <w:tcPr>
            <w:tcW w:w="890" w:type="pct"/>
            <w:vAlign w:val="center"/>
          </w:tcPr>
          <w:p w14:paraId="48C6D4C1"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高级工程师</w:t>
            </w:r>
          </w:p>
        </w:tc>
        <w:tc>
          <w:tcPr>
            <w:tcW w:w="846" w:type="pct"/>
            <w:vAlign w:val="center"/>
          </w:tcPr>
          <w:p w14:paraId="0EDCB965"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44C123E5" w14:textId="77777777" w:rsidR="007E271E" w:rsidRPr="002A7509" w:rsidRDefault="007E271E" w:rsidP="005C0777">
            <w:pPr>
              <w:suppressAutoHyphens/>
              <w:rPr>
                <w:rFonts w:ascii="仿宋_GB2312" w:eastAsia="仿宋_GB2312" w:hAnsi="仿宋_GB2312" w:cs="仿宋_GB2312"/>
                <w:bCs/>
                <w:color w:val="000000"/>
                <w:sz w:val="24"/>
              </w:rPr>
            </w:pPr>
            <w:r w:rsidRPr="007869B7">
              <w:rPr>
                <w:rFonts w:ascii="仿宋_GB2312" w:eastAsia="仿宋_GB2312" w:hAnsi="仿宋_GB2312" w:cs="仿宋_GB2312" w:hint="eastAsia"/>
                <w:bCs/>
                <w:color w:val="000000"/>
                <w:sz w:val="24"/>
              </w:rPr>
              <w:t>广西医科大学第一附属医院</w:t>
            </w:r>
          </w:p>
        </w:tc>
        <w:tc>
          <w:tcPr>
            <w:tcW w:w="1498" w:type="pct"/>
            <w:vAlign w:val="center"/>
          </w:tcPr>
          <w:p w14:paraId="408AD79E" w14:textId="77777777" w:rsidR="007E271E" w:rsidRPr="002A7509" w:rsidRDefault="007E271E" w:rsidP="005C0777">
            <w:pPr>
              <w:suppressAutoHyphens/>
              <w:rPr>
                <w:rFonts w:ascii="仿宋_GB2312" w:eastAsia="仿宋_GB2312" w:hAnsi="仿宋_GB2312" w:cs="仿宋_GB2312"/>
                <w:bCs/>
                <w:color w:val="000000"/>
                <w:sz w:val="24"/>
              </w:rPr>
            </w:pPr>
            <w:r w:rsidRPr="002A7509">
              <w:rPr>
                <w:rFonts w:ascii="仿宋_GB2312" w:eastAsia="仿宋_GB2312" w:hAnsi="Times New Roman" w:hint="eastAsia"/>
                <w:bCs/>
                <w:color w:val="000000"/>
                <w:sz w:val="24"/>
              </w:rPr>
              <w:t>负责起草标准草案，征求意见稿和标准编制说明，送审稿及编制说明的编写工作。</w:t>
            </w:r>
          </w:p>
        </w:tc>
      </w:tr>
      <w:tr w:rsidR="007E271E" w:rsidRPr="002A7509" w14:paraId="7D2505D7" w14:textId="77777777" w:rsidTr="005C0777">
        <w:trPr>
          <w:trHeight w:val="995"/>
          <w:jc w:val="center"/>
        </w:trPr>
        <w:tc>
          <w:tcPr>
            <w:tcW w:w="602" w:type="pct"/>
            <w:vAlign w:val="center"/>
          </w:tcPr>
          <w:p w14:paraId="777C6E5A"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朱超华</w:t>
            </w:r>
          </w:p>
        </w:tc>
        <w:tc>
          <w:tcPr>
            <w:tcW w:w="890" w:type="pct"/>
            <w:vAlign w:val="center"/>
          </w:tcPr>
          <w:p w14:paraId="7BA25992"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副主任技师</w:t>
            </w:r>
          </w:p>
        </w:tc>
        <w:tc>
          <w:tcPr>
            <w:tcW w:w="846" w:type="pct"/>
            <w:vAlign w:val="center"/>
          </w:tcPr>
          <w:p w14:paraId="1E531F0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75D9A25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广西壮族自治区人民医院</w:t>
            </w:r>
          </w:p>
        </w:tc>
        <w:tc>
          <w:tcPr>
            <w:tcW w:w="1498" w:type="pct"/>
            <w:vAlign w:val="center"/>
          </w:tcPr>
          <w:p w14:paraId="39368F52" w14:textId="77777777" w:rsidR="007E271E" w:rsidRPr="002A7509" w:rsidRDefault="007E271E" w:rsidP="005C0777">
            <w:pPr>
              <w:suppressAutoHyphens/>
              <w:rPr>
                <w:rFonts w:ascii="仿宋_GB2312" w:eastAsia="仿宋_GB2312" w:hAnsi="仿宋_GB2312" w:cs="仿宋_GB2312"/>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73061267" w14:textId="77777777" w:rsidTr="005C0777">
        <w:trPr>
          <w:trHeight w:val="995"/>
          <w:jc w:val="center"/>
        </w:trPr>
        <w:tc>
          <w:tcPr>
            <w:tcW w:w="602" w:type="pct"/>
            <w:vAlign w:val="center"/>
          </w:tcPr>
          <w:p w14:paraId="105E0D22"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黎贵华</w:t>
            </w:r>
          </w:p>
        </w:tc>
        <w:tc>
          <w:tcPr>
            <w:tcW w:w="890" w:type="pct"/>
            <w:vAlign w:val="center"/>
          </w:tcPr>
          <w:p w14:paraId="032A86EE"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高级工程师</w:t>
            </w:r>
          </w:p>
        </w:tc>
        <w:tc>
          <w:tcPr>
            <w:tcW w:w="846" w:type="pct"/>
            <w:vAlign w:val="center"/>
          </w:tcPr>
          <w:p w14:paraId="11870712"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0426F046" w14:textId="77777777" w:rsidR="007E271E" w:rsidRPr="002A7509" w:rsidRDefault="007E271E" w:rsidP="005C0777">
            <w:pPr>
              <w:suppressAutoHyphens/>
              <w:rPr>
                <w:rFonts w:ascii="仿宋_GB2312" w:eastAsia="仿宋_GB2312" w:hAnsi="仿宋_GB2312" w:cs="仿宋_GB2312"/>
                <w:bCs/>
                <w:color w:val="000000"/>
                <w:sz w:val="24"/>
              </w:rPr>
            </w:pPr>
            <w:r w:rsidRPr="007869B7">
              <w:rPr>
                <w:rFonts w:ascii="仿宋_GB2312" w:eastAsia="仿宋_GB2312" w:hAnsi="仿宋_GB2312" w:cs="仿宋_GB2312" w:hint="eastAsia"/>
                <w:bCs/>
                <w:color w:val="000000"/>
                <w:sz w:val="24"/>
              </w:rPr>
              <w:t>广西医科大学第</w:t>
            </w:r>
            <w:r>
              <w:rPr>
                <w:rFonts w:ascii="仿宋_GB2312" w:eastAsia="仿宋_GB2312" w:hAnsi="仿宋_GB2312" w:cs="仿宋_GB2312" w:hint="eastAsia"/>
                <w:bCs/>
                <w:color w:val="000000"/>
                <w:sz w:val="24"/>
              </w:rPr>
              <w:t>二</w:t>
            </w:r>
            <w:r w:rsidRPr="007869B7">
              <w:rPr>
                <w:rFonts w:ascii="仿宋_GB2312" w:eastAsia="仿宋_GB2312" w:hAnsi="仿宋_GB2312" w:cs="仿宋_GB2312" w:hint="eastAsia"/>
                <w:bCs/>
                <w:color w:val="000000"/>
                <w:sz w:val="24"/>
              </w:rPr>
              <w:t>附属医院</w:t>
            </w:r>
          </w:p>
        </w:tc>
        <w:tc>
          <w:tcPr>
            <w:tcW w:w="1498" w:type="pct"/>
            <w:vAlign w:val="center"/>
          </w:tcPr>
          <w:p w14:paraId="64DC506B"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4313F4B9" w14:textId="77777777" w:rsidTr="005C0777">
        <w:trPr>
          <w:trHeight w:val="995"/>
          <w:jc w:val="center"/>
        </w:trPr>
        <w:tc>
          <w:tcPr>
            <w:tcW w:w="602" w:type="pct"/>
            <w:vAlign w:val="center"/>
          </w:tcPr>
          <w:p w14:paraId="4AFCEB15"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唐阳</w:t>
            </w:r>
          </w:p>
        </w:tc>
        <w:tc>
          <w:tcPr>
            <w:tcW w:w="890" w:type="pct"/>
            <w:vAlign w:val="center"/>
          </w:tcPr>
          <w:p w14:paraId="63D37399"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高级工程师</w:t>
            </w:r>
          </w:p>
        </w:tc>
        <w:tc>
          <w:tcPr>
            <w:tcW w:w="846" w:type="pct"/>
            <w:vAlign w:val="center"/>
          </w:tcPr>
          <w:p w14:paraId="42068EC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10A0F643"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广西中医药大学第二附属医院</w:t>
            </w:r>
          </w:p>
        </w:tc>
        <w:tc>
          <w:tcPr>
            <w:tcW w:w="1498" w:type="pct"/>
            <w:vAlign w:val="center"/>
          </w:tcPr>
          <w:p w14:paraId="0A142D21"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7063B7E1" w14:textId="77777777" w:rsidTr="005C0777">
        <w:trPr>
          <w:trHeight w:val="995"/>
          <w:jc w:val="center"/>
        </w:trPr>
        <w:tc>
          <w:tcPr>
            <w:tcW w:w="602" w:type="pct"/>
            <w:vAlign w:val="center"/>
          </w:tcPr>
          <w:p w14:paraId="6FA03DB6"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饶可</w:t>
            </w:r>
          </w:p>
        </w:tc>
        <w:tc>
          <w:tcPr>
            <w:tcW w:w="890" w:type="pct"/>
            <w:vAlign w:val="center"/>
          </w:tcPr>
          <w:p w14:paraId="716C6D85"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技师</w:t>
            </w:r>
          </w:p>
        </w:tc>
        <w:tc>
          <w:tcPr>
            <w:tcW w:w="846" w:type="pct"/>
            <w:vAlign w:val="center"/>
          </w:tcPr>
          <w:p w14:paraId="67B271A3"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肿瘤放射治疗技术</w:t>
            </w:r>
          </w:p>
        </w:tc>
        <w:tc>
          <w:tcPr>
            <w:tcW w:w="1163" w:type="pct"/>
            <w:vAlign w:val="center"/>
          </w:tcPr>
          <w:p w14:paraId="43BE70D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tcPr>
          <w:p w14:paraId="7BFB3D18"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64E73DDE" w14:textId="77777777" w:rsidTr="005C0777">
        <w:trPr>
          <w:trHeight w:val="995"/>
          <w:jc w:val="center"/>
        </w:trPr>
        <w:tc>
          <w:tcPr>
            <w:tcW w:w="602" w:type="pct"/>
            <w:vAlign w:val="center"/>
          </w:tcPr>
          <w:p w14:paraId="3C921DD0"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颜卓鑫</w:t>
            </w:r>
          </w:p>
        </w:tc>
        <w:tc>
          <w:tcPr>
            <w:tcW w:w="890" w:type="pct"/>
            <w:vAlign w:val="center"/>
          </w:tcPr>
          <w:p w14:paraId="4C8E7DC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工程师</w:t>
            </w:r>
          </w:p>
        </w:tc>
        <w:tc>
          <w:tcPr>
            <w:tcW w:w="846" w:type="pct"/>
            <w:vAlign w:val="center"/>
          </w:tcPr>
          <w:p w14:paraId="117BB3CE"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51AD930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tcPr>
          <w:p w14:paraId="0AEDEE9A"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43E848B8" w14:textId="77777777" w:rsidTr="005C0777">
        <w:trPr>
          <w:trHeight w:val="330"/>
          <w:jc w:val="center"/>
        </w:trPr>
        <w:tc>
          <w:tcPr>
            <w:tcW w:w="602" w:type="pct"/>
            <w:vAlign w:val="center"/>
          </w:tcPr>
          <w:p w14:paraId="163D6922"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李娴雅</w:t>
            </w:r>
          </w:p>
        </w:tc>
        <w:tc>
          <w:tcPr>
            <w:tcW w:w="890" w:type="pct"/>
            <w:vAlign w:val="center"/>
          </w:tcPr>
          <w:p w14:paraId="4CF6FE0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高级工程师</w:t>
            </w:r>
          </w:p>
        </w:tc>
        <w:tc>
          <w:tcPr>
            <w:tcW w:w="846" w:type="pct"/>
            <w:vAlign w:val="center"/>
          </w:tcPr>
          <w:p w14:paraId="3A7BAFED"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3618F416" w14:textId="77777777" w:rsidR="007E271E" w:rsidRPr="002A7509" w:rsidRDefault="007E271E" w:rsidP="005C0777">
            <w:pPr>
              <w:suppressAutoHyphens/>
              <w:rPr>
                <w:rFonts w:ascii="仿宋_GB2312" w:eastAsia="仿宋_GB2312" w:hAnsi="仿宋_GB2312" w:cs="仿宋_GB2312"/>
                <w:bCs/>
                <w:color w:val="000000"/>
                <w:sz w:val="24"/>
              </w:rPr>
            </w:pPr>
            <w:r w:rsidRPr="00DA50A5">
              <w:rPr>
                <w:rFonts w:ascii="仿宋_GB2312" w:eastAsia="仿宋_GB2312" w:hAnsi="仿宋_GB2312" w:cs="仿宋_GB2312" w:hint="eastAsia"/>
                <w:bCs/>
                <w:color w:val="000000"/>
                <w:sz w:val="24"/>
              </w:rPr>
              <w:t>广西医科大学附属肿瘤医院</w:t>
            </w:r>
          </w:p>
        </w:tc>
        <w:tc>
          <w:tcPr>
            <w:tcW w:w="1498" w:type="pct"/>
          </w:tcPr>
          <w:p w14:paraId="7658B36D"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1C23EA3E" w14:textId="77777777" w:rsidTr="005C0777">
        <w:trPr>
          <w:trHeight w:val="160"/>
          <w:jc w:val="center"/>
        </w:trPr>
        <w:tc>
          <w:tcPr>
            <w:tcW w:w="602" w:type="pct"/>
            <w:vAlign w:val="center"/>
          </w:tcPr>
          <w:p w14:paraId="413A98E1"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姚菲</w:t>
            </w:r>
          </w:p>
        </w:tc>
        <w:tc>
          <w:tcPr>
            <w:tcW w:w="890" w:type="pct"/>
            <w:vAlign w:val="center"/>
          </w:tcPr>
          <w:p w14:paraId="0007C802"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副主任医师</w:t>
            </w:r>
          </w:p>
        </w:tc>
        <w:tc>
          <w:tcPr>
            <w:tcW w:w="846" w:type="pct"/>
            <w:vAlign w:val="center"/>
          </w:tcPr>
          <w:p w14:paraId="4590A727"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肿瘤治疗</w:t>
            </w:r>
          </w:p>
        </w:tc>
        <w:tc>
          <w:tcPr>
            <w:tcW w:w="1163" w:type="pct"/>
            <w:vAlign w:val="center"/>
          </w:tcPr>
          <w:p w14:paraId="59696660"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tcPr>
          <w:p w14:paraId="3B8944DF"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65FB177D" w14:textId="77777777" w:rsidTr="005C0777">
        <w:trPr>
          <w:trHeight w:val="256"/>
          <w:jc w:val="center"/>
        </w:trPr>
        <w:tc>
          <w:tcPr>
            <w:tcW w:w="602" w:type="pct"/>
            <w:vAlign w:val="center"/>
          </w:tcPr>
          <w:p w14:paraId="28DE0E16"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林荫光</w:t>
            </w:r>
          </w:p>
        </w:tc>
        <w:tc>
          <w:tcPr>
            <w:tcW w:w="890" w:type="pct"/>
            <w:vAlign w:val="center"/>
          </w:tcPr>
          <w:p w14:paraId="69CF395B"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副主任技师</w:t>
            </w:r>
          </w:p>
        </w:tc>
        <w:tc>
          <w:tcPr>
            <w:tcW w:w="846" w:type="pct"/>
            <w:vAlign w:val="center"/>
          </w:tcPr>
          <w:p w14:paraId="4DD85051"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7E8E21B7"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广西壮族自治区南溪山医院</w:t>
            </w:r>
          </w:p>
        </w:tc>
        <w:tc>
          <w:tcPr>
            <w:tcW w:w="1498" w:type="pct"/>
          </w:tcPr>
          <w:p w14:paraId="2DB07812"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32A89B5B" w14:textId="77777777" w:rsidTr="005C0777">
        <w:trPr>
          <w:trHeight w:val="670"/>
          <w:jc w:val="center"/>
        </w:trPr>
        <w:tc>
          <w:tcPr>
            <w:tcW w:w="602" w:type="pct"/>
            <w:vAlign w:val="center"/>
          </w:tcPr>
          <w:p w14:paraId="6CC10527" w14:textId="77777777" w:rsidR="007E271E" w:rsidRPr="00571FCB"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江现强</w:t>
            </w:r>
          </w:p>
        </w:tc>
        <w:tc>
          <w:tcPr>
            <w:tcW w:w="890" w:type="pct"/>
            <w:vAlign w:val="center"/>
          </w:tcPr>
          <w:p w14:paraId="43EF94D7" w14:textId="77777777" w:rsidR="007E271E"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主任医师</w:t>
            </w:r>
          </w:p>
        </w:tc>
        <w:tc>
          <w:tcPr>
            <w:tcW w:w="846" w:type="pct"/>
            <w:vAlign w:val="center"/>
          </w:tcPr>
          <w:p w14:paraId="592DD6B1" w14:textId="77777777" w:rsidR="007E271E"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肿瘤治疗</w:t>
            </w:r>
          </w:p>
        </w:tc>
        <w:tc>
          <w:tcPr>
            <w:tcW w:w="1163" w:type="pct"/>
            <w:vAlign w:val="center"/>
          </w:tcPr>
          <w:p w14:paraId="4E92354B" w14:textId="77777777" w:rsidR="007E271E"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tcPr>
          <w:p w14:paraId="5A1354C9"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60093869" w14:textId="77777777" w:rsidTr="005C0777">
        <w:trPr>
          <w:trHeight w:val="152"/>
          <w:jc w:val="center"/>
        </w:trPr>
        <w:tc>
          <w:tcPr>
            <w:tcW w:w="602" w:type="pct"/>
            <w:vAlign w:val="center"/>
          </w:tcPr>
          <w:p w14:paraId="095CC0F6"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吴启元</w:t>
            </w:r>
          </w:p>
        </w:tc>
        <w:tc>
          <w:tcPr>
            <w:tcW w:w="890" w:type="pct"/>
            <w:vAlign w:val="center"/>
          </w:tcPr>
          <w:p w14:paraId="46635B1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工程师</w:t>
            </w:r>
          </w:p>
        </w:tc>
        <w:tc>
          <w:tcPr>
            <w:tcW w:w="846" w:type="pct"/>
            <w:vAlign w:val="center"/>
          </w:tcPr>
          <w:p w14:paraId="6CAB0E6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7955297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广西中医药大学第二附属医院</w:t>
            </w:r>
          </w:p>
        </w:tc>
        <w:tc>
          <w:tcPr>
            <w:tcW w:w="1498" w:type="pct"/>
          </w:tcPr>
          <w:p w14:paraId="53257BBF"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750B3745" w14:textId="77777777" w:rsidTr="005C0777">
        <w:trPr>
          <w:trHeight w:val="210"/>
          <w:jc w:val="center"/>
        </w:trPr>
        <w:tc>
          <w:tcPr>
            <w:tcW w:w="602" w:type="pct"/>
            <w:vAlign w:val="center"/>
          </w:tcPr>
          <w:p w14:paraId="5CC5EECE"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黄</w:t>
            </w:r>
            <w:r w:rsidRPr="00571FCB">
              <w:rPr>
                <w:rFonts w:ascii="微软雅黑" w:eastAsia="微软雅黑" w:hAnsi="微软雅黑" w:cs="微软雅黑" w:hint="eastAsia"/>
                <w:bCs/>
                <w:color w:val="000000"/>
                <w:sz w:val="24"/>
              </w:rPr>
              <w:t>祎</w:t>
            </w:r>
            <w:r w:rsidRPr="00571FCB">
              <w:rPr>
                <w:rFonts w:ascii="仿宋_GB2312" w:eastAsia="仿宋_GB2312" w:hAnsi="仿宋_GB2312" w:cs="仿宋_GB2312" w:hint="eastAsia"/>
                <w:bCs/>
                <w:color w:val="000000"/>
                <w:sz w:val="24"/>
              </w:rPr>
              <w:t>梵</w:t>
            </w:r>
          </w:p>
        </w:tc>
        <w:tc>
          <w:tcPr>
            <w:tcW w:w="890" w:type="pct"/>
            <w:vAlign w:val="center"/>
          </w:tcPr>
          <w:p w14:paraId="30674CC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工程师</w:t>
            </w:r>
          </w:p>
        </w:tc>
        <w:tc>
          <w:tcPr>
            <w:tcW w:w="846" w:type="pct"/>
            <w:vAlign w:val="center"/>
          </w:tcPr>
          <w:p w14:paraId="05FA0089"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62F333C0" w14:textId="77777777" w:rsidR="007E271E" w:rsidRPr="002A7509" w:rsidRDefault="007E271E" w:rsidP="005C0777">
            <w:pPr>
              <w:suppressAutoHyphens/>
              <w:rPr>
                <w:rFonts w:ascii="仿宋_GB2312" w:eastAsia="仿宋_GB2312" w:hAnsi="仿宋_GB2312" w:cs="仿宋_GB2312"/>
                <w:bCs/>
                <w:color w:val="000000"/>
                <w:sz w:val="24"/>
              </w:rPr>
            </w:pPr>
            <w:r w:rsidRPr="00DA50A5">
              <w:rPr>
                <w:rFonts w:ascii="仿宋_GB2312" w:eastAsia="仿宋_GB2312" w:hAnsi="仿宋_GB2312" w:cs="仿宋_GB2312"/>
                <w:bCs/>
                <w:color w:val="000000"/>
                <w:sz w:val="24"/>
              </w:rPr>
              <w:t>广西国际壮医医院</w:t>
            </w:r>
          </w:p>
        </w:tc>
        <w:tc>
          <w:tcPr>
            <w:tcW w:w="1498" w:type="pct"/>
          </w:tcPr>
          <w:p w14:paraId="27153E7E"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189D6B44" w14:textId="77777777" w:rsidTr="005C0777">
        <w:trPr>
          <w:trHeight w:val="92"/>
          <w:jc w:val="center"/>
        </w:trPr>
        <w:tc>
          <w:tcPr>
            <w:tcW w:w="602" w:type="pct"/>
            <w:vAlign w:val="center"/>
          </w:tcPr>
          <w:p w14:paraId="4A54478E"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王志光</w:t>
            </w:r>
          </w:p>
        </w:tc>
        <w:tc>
          <w:tcPr>
            <w:tcW w:w="890" w:type="pct"/>
            <w:vAlign w:val="center"/>
          </w:tcPr>
          <w:p w14:paraId="1E49E53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主任医师</w:t>
            </w:r>
          </w:p>
        </w:tc>
        <w:tc>
          <w:tcPr>
            <w:tcW w:w="846" w:type="pct"/>
            <w:vAlign w:val="center"/>
          </w:tcPr>
          <w:p w14:paraId="13EBEFB0"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肿瘤治疗</w:t>
            </w:r>
          </w:p>
        </w:tc>
        <w:tc>
          <w:tcPr>
            <w:tcW w:w="1163" w:type="pct"/>
            <w:vAlign w:val="center"/>
          </w:tcPr>
          <w:p w14:paraId="5D56F1F3"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tcPr>
          <w:p w14:paraId="6B8CEE43"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553D9CDC" w14:textId="77777777" w:rsidTr="005C0777">
        <w:trPr>
          <w:trHeight w:val="152"/>
          <w:jc w:val="center"/>
        </w:trPr>
        <w:tc>
          <w:tcPr>
            <w:tcW w:w="602" w:type="pct"/>
            <w:vAlign w:val="center"/>
          </w:tcPr>
          <w:p w14:paraId="6A28CAF8"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汪伦</w:t>
            </w:r>
          </w:p>
        </w:tc>
        <w:tc>
          <w:tcPr>
            <w:tcW w:w="890" w:type="pct"/>
            <w:vAlign w:val="center"/>
          </w:tcPr>
          <w:p w14:paraId="39FF7FEF"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工程师</w:t>
            </w:r>
          </w:p>
        </w:tc>
        <w:tc>
          <w:tcPr>
            <w:tcW w:w="846" w:type="pct"/>
            <w:vAlign w:val="center"/>
          </w:tcPr>
          <w:p w14:paraId="19DBC69F"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w:t>
            </w:r>
            <w:r>
              <w:rPr>
                <w:rFonts w:ascii="仿宋_GB2312" w:eastAsia="仿宋_GB2312" w:hAnsi="仿宋_GB2312" w:cs="仿宋_GB2312" w:hint="eastAsia"/>
                <w:bCs/>
                <w:color w:val="000000"/>
                <w:sz w:val="24"/>
              </w:rPr>
              <w:lastRenderedPageBreak/>
              <w:t>疗</w:t>
            </w:r>
          </w:p>
        </w:tc>
        <w:tc>
          <w:tcPr>
            <w:tcW w:w="1163" w:type="pct"/>
            <w:vAlign w:val="center"/>
          </w:tcPr>
          <w:p w14:paraId="1F5F9097" w14:textId="77777777" w:rsidR="007E271E" w:rsidRPr="002A7509" w:rsidRDefault="007E271E" w:rsidP="005C0777">
            <w:pPr>
              <w:suppressAutoHyphens/>
              <w:rPr>
                <w:rFonts w:ascii="仿宋_GB2312" w:eastAsia="仿宋_GB2312" w:hAnsi="仿宋_GB2312" w:cs="仿宋_GB2312"/>
                <w:bCs/>
                <w:color w:val="000000"/>
                <w:sz w:val="24"/>
              </w:rPr>
            </w:pPr>
            <w:r w:rsidRPr="00DA50A5">
              <w:rPr>
                <w:rFonts w:ascii="仿宋_GB2312" w:eastAsia="仿宋_GB2312" w:hAnsi="仿宋_GB2312" w:cs="仿宋_GB2312" w:hint="eastAsia"/>
                <w:bCs/>
                <w:color w:val="000000"/>
                <w:sz w:val="24"/>
              </w:rPr>
              <w:lastRenderedPageBreak/>
              <w:t>广西医科大学附属</w:t>
            </w:r>
            <w:r w:rsidRPr="00DA50A5">
              <w:rPr>
                <w:rFonts w:ascii="仿宋_GB2312" w:eastAsia="仿宋_GB2312" w:hAnsi="仿宋_GB2312" w:cs="仿宋_GB2312" w:hint="eastAsia"/>
                <w:bCs/>
                <w:color w:val="000000"/>
                <w:sz w:val="24"/>
              </w:rPr>
              <w:lastRenderedPageBreak/>
              <w:t>肿瘤医院</w:t>
            </w:r>
          </w:p>
        </w:tc>
        <w:tc>
          <w:tcPr>
            <w:tcW w:w="1498" w:type="pct"/>
          </w:tcPr>
          <w:p w14:paraId="303AA7A1"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lastRenderedPageBreak/>
              <w:t>查询、收集和整理资料，</w:t>
            </w:r>
            <w:r w:rsidRPr="002A7509">
              <w:rPr>
                <w:rFonts w:ascii="仿宋_GB2312" w:eastAsia="仿宋_GB2312" w:hAnsi="Times New Roman" w:hint="eastAsia"/>
                <w:bCs/>
                <w:color w:val="000000"/>
                <w:sz w:val="24"/>
              </w:rPr>
              <w:lastRenderedPageBreak/>
              <w:t>协助标准文本及编制说明的编写、实施。</w:t>
            </w:r>
          </w:p>
        </w:tc>
      </w:tr>
      <w:tr w:rsidR="007E271E" w:rsidRPr="002A7509" w14:paraId="15A79BFF" w14:textId="77777777" w:rsidTr="005C0777">
        <w:trPr>
          <w:trHeight w:val="190"/>
          <w:jc w:val="center"/>
        </w:trPr>
        <w:tc>
          <w:tcPr>
            <w:tcW w:w="602" w:type="pct"/>
            <w:vAlign w:val="center"/>
          </w:tcPr>
          <w:p w14:paraId="37B787CD"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lastRenderedPageBreak/>
              <w:t>胡秀琼</w:t>
            </w:r>
          </w:p>
        </w:tc>
        <w:tc>
          <w:tcPr>
            <w:tcW w:w="890" w:type="pct"/>
            <w:vAlign w:val="center"/>
          </w:tcPr>
          <w:p w14:paraId="16E1A22F"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主管技师</w:t>
            </w:r>
          </w:p>
        </w:tc>
        <w:tc>
          <w:tcPr>
            <w:tcW w:w="846" w:type="pct"/>
            <w:vAlign w:val="center"/>
          </w:tcPr>
          <w:p w14:paraId="6917AF53"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4CAE0394" w14:textId="77777777" w:rsidR="007E271E" w:rsidRPr="002A7509" w:rsidRDefault="007E271E" w:rsidP="005C0777">
            <w:pPr>
              <w:suppressAutoHyphens/>
              <w:rPr>
                <w:rFonts w:ascii="仿宋_GB2312" w:eastAsia="仿宋_GB2312" w:hAnsi="仿宋_GB2312" w:cs="仿宋_GB2312"/>
                <w:bCs/>
                <w:color w:val="000000"/>
                <w:sz w:val="24"/>
              </w:rPr>
            </w:pPr>
            <w:r w:rsidRPr="00DA50A5">
              <w:rPr>
                <w:rFonts w:ascii="仿宋_GB2312" w:eastAsia="仿宋_GB2312" w:hAnsi="仿宋_GB2312" w:cs="仿宋_GB2312" w:hint="eastAsia"/>
                <w:bCs/>
                <w:color w:val="000000"/>
                <w:sz w:val="24"/>
              </w:rPr>
              <w:t>广西医科大学附属肿瘤医院</w:t>
            </w:r>
          </w:p>
        </w:tc>
        <w:tc>
          <w:tcPr>
            <w:tcW w:w="1498" w:type="pct"/>
          </w:tcPr>
          <w:p w14:paraId="4ACC2B58"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614FC3F0" w14:textId="77777777" w:rsidTr="005C0777">
        <w:trPr>
          <w:trHeight w:val="160"/>
          <w:jc w:val="center"/>
        </w:trPr>
        <w:tc>
          <w:tcPr>
            <w:tcW w:w="602" w:type="pct"/>
            <w:vAlign w:val="center"/>
          </w:tcPr>
          <w:p w14:paraId="5A1854FC"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罗翊铭</w:t>
            </w:r>
          </w:p>
        </w:tc>
        <w:tc>
          <w:tcPr>
            <w:tcW w:w="890" w:type="pct"/>
            <w:vAlign w:val="center"/>
          </w:tcPr>
          <w:p w14:paraId="72812F18"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技师</w:t>
            </w:r>
          </w:p>
        </w:tc>
        <w:tc>
          <w:tcPr>
            <w:tcW w:w="846" w:type="pct"/>
            <w:vAlign w:val="center"/>
          </w:tcPr>
          <w:p w14:paraId="60F8ACF8"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3F108CAC" w14:textId="77777777" w:rsidR="007E271E" w:rsidRPr="002A7509" w:rsidRDefault="007E271E" w:rsidP="005C0777">
            <w:pPr>
              <w:suppressAutoHyphens/>
              <w:rPr>
                <w:rFonts w:ascii="仿宋_GB2312" w:eastAsia="仿宋_GB2312" w:hAnsi="仿宋_GB2312" w:cs="仿宋_GB2312"/>
                <w:bCs/>
                <w:color w:val="000000"/>
                <w:sz w:val="24"/>
              </w:rPr>
            </w:pPr>
            <w:r w:rsidRPr="00DA50A5">
              <w:rPr>
                <w:rFonts w:ascii="仿宋_GB2312" w:eastAsia="仿宋_GB2312" w:hAnsi="仿宋_GB2312" w:cs="仿宋_GB2312" w:hint="eastAsia"/>
                <w:bCs/>
                <w:color w:val="000000"/>
                <w:sz w:val="24"/>
              </w:rPr>
              <w:t>广西医科大学附属肿瘤医院</w:t>
            </w:r>
          </w:p>
        </w:tc>
        <w:tc>
          <w:tcPr>
            <w:tcW w:w="1498" w:type="pct"/>
          </w:tcPr>
          <w:p w14:paraId="78F16F82"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648AD545" w14:textId="77777777" w:rsidTr="005C0777">
        <w:trPr>
          <w:trHeight w:val="142"/>
          <w:jc w:val="center"/>
        </w:trPr>
        <w:tc>
          <w:tcPr>
            <w:tcW w:w="602" w:type="pct"/>
            <w:vAlign w:val="center"/>
          </w:tcPr>
          <w:p w14:paraId="4C1CB5D0"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甘武田</w:t>
            </w:r>
          </w:p>
        </w:tc>
        <w:tc>
          <w:tcPr>
            <w:tcW w:w="890" w:type="pct"/>
            <w:vAlign w:val="center"/>
          </w:tcPr>
          <w:p w14:paraId="0477CE6C"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工程师</w:t>
            </w:r>
          </w:p>
        </w:tc>
        <w:tc>
          <w:tcPr>
            <w:tcW w:w="846" w:type="pct"/>
            <w:vAlign w:val="center"/>
          </w:tcPr>
          <w:p w14:paraId="0336C142"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66A0A10B"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广西壮族自治区人民医院</w:t>
            </w:r>
          </w:p>
        </w:tc>
        <w:tc>
          <w:tcPr>
            <w:tcW w:w="1498" w:type="pct"/>
          </w:tcPr>
          <w:p w14:paraId="3B4F1950"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4D981328" w14:textId="77777777" w:rsidTr="005C0777">
        <w:trPr>
          <w:trHeight w:val="152"/>
          <w:jc w:val="center"/>
        </w:trPr>
        <w:tc>
          <w:tcPr>
            <w:tcW w:w="602" w:type="pct"/>
            <w:vAlign w:val="center"/>
          </w:tcPr>
          <w:p w14:paraId="3D24B5A6" w14:textId="77777777" w:rsidR="007E271E" w:rsidRPr="002A7509" w:rsidRDefault="007E271E" w:rsidP="005C0777">
            <w:pPr>
              <w:suppressAutoHyphens/>
              <w:rPr>
                <w:rFonts w:ascii="仿宋_GB2312" w:eastAsia="仿宋_GB2312" w:hAnsi="仿宋_GB2312" w:cs="仿宋_GB2312"/>
                <w:bCs/>
                <w:color w:val="000000"/>
                <w:sz w:val="24"/>
              </w:rPr>
            </w:pPr>
            <w:r w:rsidRPr="00571FCB">
              <w:rPr>
                <w:rFonts w:ascii="仿宋_GB2312" w:eastAsia="仿宋_GB2312" w:hAnsi="仿宋_GB2312" w:cs="仿宋_GB2312" w:hint="eastAsia"/>
                <w:bCs/>
                <w:color w:val="000000"/>
                <w:sz w:val="24"/>
              </w:rPr>
              <w:t>黄继钦</w:t>
            </w:r>
          </w:p>
        </w:tc>
        <w:tc>
          <w:tcPr>
            <w:tcW w:w="890" w:type="pct"/>
            <w:vAlign w:val="center"/>
          </w:tcPr>
          <w:p w14:paraId="4459654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工程师</w:t>
            </w:r>
          </w:p>
        </w:tc>
        <w:tc>
          <w:tcPr>
            <w:tcW w:w="846" w:type="pct"/>
            <w:vAlign w:val="center"/>
          </w:tcPr>
          <w:p w14:paraId="348EB1E1"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614AC5D9" w14:textId="77777777" w:rsidR="007E271E" w:rsidRPr="002A7509" w:rsidRDefault="007E271E" w:rsidP="005C0777">
            <w:pPr>
              <w:suppressAutoHyphens/>
              <w:rPr>
                <w:rFonts w:ascii="仿宋_GB2312" w:eastAsia="仿宋_GB2312" w:hAnsi="仿宋_GB2312" w:cs="仿宋_GB2312"/>
                <w:bCs/>
                <w:color w:val="000000"/>
                <w:sz w:val="24"/>
              </w:rPr>
            </w:pPr>
            <w:r w:rsidRPr="007869B7">
              <w:rPr>
                <w:rFonts w:ascii="仿宋_GB2312" w:eastAsia="仿宋_GB2312" w:hAnsi="仿宋_GB2312" w:cs="仿宋_GB2312" w:hint="eastAsia"/>
                <w:bCs/>
                <w:color w:val="000000"/>
                <w:sz w:val="24"/>
              </w:rPr>
              <w:t>广西医科大学第</w:t>
            </w:r>
            <w:r>
              <w:rPr>
                <w:rFonts w:ascii="仿宋_GB2312" w:eastAsia="仿宋_GB2312" w:hAnsi="仿宋_GB2312" w:cs="仿宋_GB2312" w:hint="eastAsia"/>
                <w:bCs/>
                <w:color w:val="000000"/>
                <w:sz w:val="24"/>
              </w:rPr>
              <w:t>二</w:t>
            </w:r>
            <w:r w:rsidRPr="007869B7">
              <w:rPr>
                <w:rFonts w:ascii="仿宋_GB2312" w:eastAsia="仿宋_GB2312" w:hAnsi="仿宋_GB2312" w:cs="仿宋_GB2312" w:hint="eastAsia"/>
                <w:bCs/>
                <w:color w:val="000000"/>
                <w:sz w:val="24"/>
              </w:rPr>
              <w:t>附属医院</w:t>
            </w:r>
          </w:p>
        </w:tc>
        <w:tc>
          <w:tcPr>
            <w:tcW w:w="1498" w:type="pct"/>
          </w:tcPr>
          <w:p w14:paraId="0C95101E"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r w:rsidR="007E271E" w:rsidRPr="002A7509" w14:paraId="2FA4462A" w14:textId="77777777" w:rsidTr="005C0777">
        <w:trPr>
          <w:trHeight w:val="470"/>
          <w:jc w:val="center"/>
        </w:trPr>
        <w:tc>
          <w:tcPr>
            <w:tcW w:w="602" w:type="pct"/>
            <w:vAlign w:val="center"/>
          </w:tcPr>
          <w:p w14:paraId="5E23D19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潘凯</w:t>
            </w:r>
          </w:p>
        </w:tc>
        <w:tc>
          <w:tcPr>
            <w:tcW w:w="890" w:type="pct"/>
            <w:vAlign w:val="center"/>
          </w:tcPr>
          <w:p w14:paraId="1F2BF1C2"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技师</w:t>
            </w:r>
          </w:p>
        </w:tc>
        <w:tc>
          <w:tcPr>
            <w:tcW w:w="846" w:type="pct"/>
            <w:vAlign w:val="center"/>
          </w:tcPr>
          <w:p w14:paraId="73E674E4"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肿瘤放射治疗</w:t>
            </w:r>
          </w:p>
        </w:tc>
        <w:tc>
          <w:tcPr>
            <w:tcW w:w="1163" w:type="pct"/>
            <w:vAlign w:val="center"/>
          </w:tcPr>
          <w:p w14:paraId="6B1F51BA" w14:textId="77777777" w:rsidR="007E271E" w:rsidRPr="002A7509" w:rsidRDefault="007E271E" w:rsidP="005C0777">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广西中医药大学第一附属医院</w:t>
            </w:r>
          </w:p>
        </w:tc>
        <w:tc>
          <w:tcPr>
            <w:tcW w:w="1498" w:type="pct"/>
          </w:tcPr>
          <w:p w14:paraId="2B8F3300" w14:textId="77777777" w:rsidR="007E271E" w:rsidRPr="002A7509" w:rsidRDefault="007E271E" w:rsidP="005C0777">
            <w:pPr>
              <w:suppressAutoHyphens/>
              <w:rPr>
                <w:rFonts w:ascii="仿宋_GB2312" w:eastAsia="仿宋_GB2312" w:hAnsi="Times New Roman"/>
                <w:bCs/>
                <w:color w:val="000000"/>
                <w:sz w:val="24"/>
              </w:rPr>
            </w:pPr>
            <w:r w:rsidRPr="002A7509">
              <w:rPr>
                <w:rFonts w:ascii="仿宋_GB2312" w:eastAsia="仿宋_GB2312" w:hAnsi="Times New Roman" w:hint="eastAsia"/>
                <w:bCs/>
                <w:color w:val="000000"/>
                <w:sz w:val="24"/>
              </w:rPr>
              <w:t>查询、收集和整理资料，协助标准文本及编制说明的编写、实施。</w:t>
            </w:r>
          </w:p>
        </w:tc>
      </w:tr>
    </w:tbl>
    <w:p w14:paraId="4C18D577" w14:textId="77777777"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二、制定标准的必要性和意义</w:t>
      </w:r>
    </w:p>
    <w:p w14:paraId="4B0C4193" w14:textId="23D99E34" w:rsidR="0016212B" w:rsidRPr="0016212B" w:rsidRDefault="0016212B" w:rsidP="0016212B">
      <w:pPr>
        <w:spacing w:line="520" w:lineRule="exact"/>
        <w:ind w:firstLineChars="200" w:firstLine="640"/>
        <w:rPr>
          <w:rFonts w:ascii="仿宋_GB2312" w:eastAsia="仿宋_GB2312"/>
          <w:color w:val="000000" w:themeColor="text1"/>
          <w:sz w:val="32"/>
          <w:szCs w:val="32"/>
        </w:rPr>
      </w:pPr>
      <w:r w:rsidRPr="0016212B">
        <w:rPr>
          <w:rFonts w:ascii="仿宋_GB2312" w:eastAsia="仿宋_GB2312" w:hint="eastAsia"/>
          <w:color w:val="000000" w:themeColor="text1"/>
          <w:sz w:val="32"/>
          <w:szCs w:val="32"/>
        </w:rPr>
        <w:t>结直肠癌是胃肠道常见的恶性肿瘤之一，放疗是其重要的治疗手段之一。在结直肠癌放疗中，肠道气腔剂量调控技术至关重要。近年来，图像引导放疗、调强容积旋转放疗等精准放疗技术迅速发展，这些技术虽具有更高的靶区定位精度和剂量分布适形性，但在肠道气腔剂量调控方面缺乏统一的操作规范。不同医疗机构可能采用不同的方法和参数，导致治疗效果存在差异。肠道内气体的积聚和排放会改变盆腔内的压力分布，对放疗剂量的准确投递产生干扰，可能导致治疗剂量不足或过量，增加正常组织损伤的风险。如小肠接受45Gy以上剂量的体积过大时，发生放射性肠炎的风险会显著增加。结直肠癌的发病率和死亡率近年来呈持续上升趋势，已成为威胁国民健康的重大公共卫生问题。根据 2019 年度CCCD报告，有72650例接受手术治疗的中低位直肠癌患者，这表明结直肠癌放疗的患者群体庞大，对放疗技术的规范需求迫切。目前缺乏统一的治疗标准和诊疗规范，使得不同</w:t>
      </w:r>
      <w:r w:rsidRPr="0016212B">
        <w:rPr>
          <w:rFonts w:ascii="仿宋_GB2312" w:eastAsia="仿宋_GB2312" w:hint="eastAsia"/>
          <w:color w:val="000000" w:themeColor="text1"/>
          <w:sz w:val="32"/>
          <w:szCs w:val="32"/>
        </w:rPr>
        <w:lastRenderedPageBreak/>
        <w:t>医疗机构的治疗结果难以进行客观比较，影响了治疗效果的评估和治疗方案的优化。制定</w:t>
      </w:r>
      <w:r w:rsidR="00C2496E">
        <w:rPr>
          <w:rFonts w:ascii="仿宋_GB2312" w:eastAsia="仿宋_GB2312" w:hint="eastAsia"/>
          <w:color w:val="000000" w:themeColor="text1"/>
          <w:sz w:val="32"/>
          <w:szCs w:val="32"/>
        </w:rPr>
        <w:t>结直肠癌外照射放疗肠道剂量调控技术</w:t>
      </w:r>
      <w:r w:rsidRPr="0016212B">
        <w:rPr>
          <w:rFonts w:ascii="仿宋_GB2312" w:eastAsia="仿宋_GB2312" w:hint="eastAsia"/>
          <w:color w:val="000000" w:themeColor="text1"/>
          <w:sz w:val="32"/>
          <w:szCs w:val="32"/>
        </w:rPr>
        <w:t>标准，可以为医疗机构提供统一的操作指南，提高治疗的一致性和可比性。</w:t>
      </w:r>
    </w:p>
    <w:p w14:paraId="46CD4C94" w14:textId="7A13A74F" w:rsidR="00D634F2" w:rsidRDefault="0016212B" w:rsidP="0016212B">
      <w:pPr>
        <w:spacing w:line="520" w:lineRule="exact"/>
        <w:ind w:firstLineChars="200" w:firstLine="640"/>
        <w:rPr>
          <w:rFonts w:ascii="仿宋_GB2312" w:eastAsia="仿宋_GB2312"/>
          <w:color w:val="000000" w:themeColor="text1"/>
          <w:sz w:val="28"/>
          <w:szCs w:val="28"/>
        </w:rPr>
      </w:pPr>
      <w:r w:rsidRPr="0016212B">
        <w:rPr>
          <w:rFonts w:ascii="仿宋_GB2312" w:eastAsia="仿宋_GB2312" w:hint="eastAsia"/>
          <w:color w:val="000000" w:themeColor="text1"/>
          <w:sz w:val="32"/>
          <w:szCs w:val="32"/>
        </w:rPr>
        <w:t>制定团体标准《</w:t>
      </w:r>
      <w:r w:rsidR="00C2496E">
        <w:rPr>
          <w:rFonts w:ascii="仿宋_GB2312" w:eastAsia="仿宋_GB2312" w:hint="eastAsia"/>
          <w:color w:val="000000" w:themeColor="text1"/>
          <w:sz w:val="32"/>
          <w:szCs w:val="32"/>
        </w:rPr>
        <w:t>结直肠癌外照射放疗肠道剂量调控技术操作规范</w:t>
      </w:r>
      <w:r w:rsidRPr="0016212B">
        <w:rPr>
          <w:rFonts w:ascii="仿宋_GB2312" w:eastAsia="仿宋_GB2312" w:hint="eastAsia"/>
          <w:color w:val="000000" w:themeColor="text1"/>
          <w:sz w:val="32"/>
          <w:szCs w:val="32"/>
        </w:rPr>
        <w:t>》，将有效提高结直肠癌放疗的精准度与安全性，减少放疗对肠道正常组织的损伤，降低不良反应发生率，提升患者治疗效果与生存质量；发挥标准化技术对临床诊疗的规范引领作用，为医疗机构、放疗设备企业、第三方检测机构提供统一的技术遵循，对推动肿瘤放射治疗领域高质量发展具有重要意义</w:t>
      </w:r>
      <w:r w:rsidR="008854C0">
        <w:rPr>
          <w:rFonts w:ascii="仿宋_GB2312" w:eastAsia="仿宋_GB2312" w:hint="eastAsia"/>
          <w:color w:val="000000" w:themeColor="text1"/>
          <w:sz w:val="32"/>
          <w:szCs w:val="32"/>
        </w:rPr>
        <w:t>。</w:t>
      </w:r>
    </w:p>
    <w:p w14:paraId="4CFFA7A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三、主要起草过程</w:t>
      </w:r>
    </w:p>
    <w:p w14:paraId="06CF7C00" w14:textId="77777777"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（一）成立标准编制工作组</w:t>
      </w:r>
    </w:p>
    <w:p w14:paraId="60D4C6AB" w14:textId="1622BE92" w:rsidR="00D634F2" w:rsidRDefault="008854C0">
      <w:pPr>
        <w:spacing w:line="520" w:lineRule="exact"/>
        <w:ind w:firstLineChars="200" w:firstLine="640"/>
        <w:jc w:val="left"/>
        <w:rPr>
          <w:rFonts w:ascii="仿宋_GB2312" w:eastAsia="仿宋_GB2312"/>
          <w:color w:val="000000" w:themeColor="text1"/>
          <w:sz w:val="32"/>
          <w:szCs w:val="32"/>
        </w:rPr>
      </w:pPr>
      <w:r w:rsidRPr="006630BA">
        <w:rPr>
          <w:rFonts w:ascii="仿宋_GB2312" w:eastAsia="仿宋_GB2312" w:hint="eastAsia"/>
          <w:color w:val="000000" w:themeColor="text1"/>
          <w:sz w:val="32"/>
          <w:szCs w:val="32"/>
        </w:rPr>
        <w:t>团体标准《</w:t>
      </w:r>
      <w:r w:rsidR="00C2496E">
        <w:rPr>
          <w:rFonts w:ascii="仿宋_GB2312" w:eastAsia="仿宋_GB2312" w:hint="eastAsia"/>
          <w:color w:val="000000" w:themeColor="text1"/>
          <w:sz w:val="32"/>
          <w:szCs w:val="32"/>
        </w:rPr>
        <w:t>结直肠癌外照射放疗肠道剂量调控技术操作规范</w:t>
      </w:r>
      <w:r w:rsidRPr="006630BA">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项目任务下达后</w:t>
      </w:r>
      <w:r w:rsidRPr="0016212B">
        <w:rPr>
          <w:rFonts w:ascii="仿宋_GB2312" w:eastAsia="仿宋_GB2312" w:hint="eastAsia"/>
          <w:color w:val="000000" w:themeColor="text1"/>
          <w:sz w:val="32"/>
          <w:szCs w:val="32"/>
        </w:rPr>
        <w:t>，</w:t>
      </w:r>
      <w:r w:rsidR="006630BA" w:rsidRPr="0016212B">
        <w:rPr>
          <w:rFonts w:ascii="仿宋_GB2312" w:eastAsia="仿宋_GB2312" w:hint="eastAsia"/>
          <w:color w:val="000000" w:themeColor="text1"/>
          <w:sz w:val="32"/>
          <w:szCs w:val="32"/>
        </w:rPr>
        <w:t>广西中医药大学第一附属医院、广西医科大学附属肿瘤医院、广西医科大学第一附属医院、广西中医药大学附属瑞康医院、广西医科大学第二附属医院、广西壮族自治区人民医院、广西国际壮医医院、广西壮族自治区南溪山医院（广西壮族自治区第二人民医院）</w:t>
      </w:r>
      <w:r w:rsidRPr="0016212B">
        <w:rPr>
          <w:rFonts w:ascii="仿宋_GB2312" w:eastAsia="仿宋_GB2312" w:hint="eastAsia"/>
          <w:color w:val="000000" w:themeColor="text1"/>
          <w:sz w:val="32"/>
          <w:szCs w:val="32"/>
        </w:rPr>
        <w:t>等单位成</w:t>
      </w:r>
      <w:r>
        <w:rPr>
          <w:rFonts w:ascii="仿宋_GB2312" w:eastAsia="仿宋_GB2312" w:hint="eastAsia"/>
          <w:color w:val="000000" w:themeColor="text1"/>
          <w:sz w:val="32"/>
          <w:szCs w:val="32"/>
        </w:rPr>
        <w:t>立了标准编制工作组，制定了起草编写方案与进度安排，明确任务职责，确定工作技术路线，开展标准研制工作。具体标准编制工作由起草单位相关人员配合完成。</w:t>
      </w:r>
    </w:p>
    <w:p w14:paraId="5DD67093" w14:textId="77777777" w:rsidR="00D634F2" w:rsidRPr="00850053" w:rsidRDefault="008854C0">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为了明确标准</w:t>
      </w:r>
      <w:r w:rsidRPr="00850053">
        <w:rPr>
          <w:rFonts w:ascii="仿宋_GB2312" w:eastAsia="仿宋_GB2312" w:hint="eastAsia"/>
          <w:color w:val="000000" w:themeColor="text1"/>
          <w:sz w:val="32"/>
          <w:szCs w:val="32"/>
        </w:rPr>
        <w:t>编制的任务职责，确定工作技术路线，开展标准研制工作。编制工作组下设三个组，分别是资料收集组、草案编写组、标准实施组。</w:t>
      </w:r>
    </w:p>
    <w:p w14:paraId="06A9AB2C" w14:textId="31D44D01"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t>资料收集组负责国内外有关</w:t>
      </w:r>
      <w:r w:rsidR="00C2496E">
        <w:rPr>
          <w:rFonts w:ascii="仿宋_GB2312" w:eastAsia="仿宋_GB2312" w:hint="eastAsia"/>
          <w:color w:val="000000" w:themeColor="text1"/>
          <w:sz w:val="32"/>
          <w:szCs w:val="32"/>
        </w:rPr>
        <w:t>结直肠癌外照射放疗肠道剂量调控技术</w:t>
      </w:r>
      <w:r w:rsidRPr="00067B0F">
        <w:rPr>
          <w:rFonts w:ascii="仿宋_GB2312" w:eastAsia="仿宋_GB2312" w:hint="eastAsia"/>
          <w:color w:val="000000" w:themeColor="text1"/>
          <w:sz w:val="32"/>
          <w:szCs w:val="32"/>
        </w:rPr>
        <w:t>相关文献资料的查询、收集</w:t>
      </w:r>
      <w:r w:rsidRPr="00850053">
        <w:rPr>
          <w:rFonts w:ascii="仿宋_GB2312" w:eastAsia="仿宋_GB2312" w:hint="eastAsia"/>
          <w:color w:val="000000" w:themeColor="text1"/>
          <w:sz w:val="32"/>
          <w:szCs w:val="32"/>
        </w:rPr>
        <w:t>和整理工作，查阅前期对</w:t>
      </w:r>
      <w:r w:rsidR="00C2496E">
        <w:rPr>
          <w:rFonts w:ascii="仿宋_GB2312" w:eastAsia="仿宋_GB2312" w:hint="eastAsia"/>
          <w:color w:val="000000" w:themeColor="text1"/>
          <w:sz w:val="32"/>
          <w:szCs w:val="32"/>
        </w:rPr>
        <w:t>结</w:t>
      </w:r>
      <w:r w:rsidR="00C2496E">
        <w:rPr>
          <w:rFonts w:ascii="仿宋_GB2312" w:eastAsia="仿宋_GB2312" w:hint="eastAsia"/>
          <w:color w:val="000000" w:themeColor="text1"/>
          <w:sz w:val="32"/>
          <w:szCs w:val="32"/>
        </w:rPr>
        <w:lastRenderedPageBreak/>
        <w:t>直肠癌外照射放疗肠道剂量调控技术</w:t>
      </w:r>
      <w:r w:rsidRPr="00850053">
        <w:rPr>
          <w:rFonts w:ascii="仿宋_GB2312" w:eastAsia="仿宋_GB2312" w:hint="eastAsia"/>
          <w:color w:val="000000" w:themeColor="text1"/>
          <w:sz w:val="32"/>
          <w:szCs w:val="32"/>
        </w:rPr>
        <w:t>的有</w:t>
      </w:r>
      <w:bookmarkStart w:id="0" w:name="_GoBack"/>
      <w:bookmarkEnd w:id="0"/>
      <w:r w:rsidRPr="00850053">
        <w:rPr>
          <w:rFonts w:ascii="仿宋_GB2312" w:eastAsia="仿宋_GB2312" w:hint="eastAsia"/>
          <w:color w:val="000000" w:themeColor="text1"/>
          <w:sz w:val="32"/>
          <w:szCs w:val="32"/>
        </w:rPr>
        <w:t>关研究情况和目前</w:t>
      </w:r>
      <w:r w:rsidR="00D97782" w:rsidRPr="00850053">
        <w:rPr>
          <w:rFonts w:ascii="仿宋_GB2312" w:eastAsia="仿宋_GB2312" w:hint="eastAsia"/>
          <w:color w:val="000000" w:themeColor="text1"/>
          <w:sz w:val="32"/>
          <w:szCs w:val="32"/>
        </w:rPr>
        <w:t>科学界</w:t>
      </w:r>
      <w:r w:rsidR="002A6366">
        <w:rPr>
          <w:rFonts w:ascii="仿宋_GB2312" w:eastAsia="仿宋_GB2312" w:hint="eastAsia"/>
          <w:color w:val="000000" w:themeColor="text1"/>
          <w:sz w:val="32"/>
          <w:szCs w:val="32"/>
        </w:rPr>
        <w:t>关于</w:t>
      </w:r>
      <w:r w:rsidR="00C2496E">
        <w:rPr>
          <w:rFonts w:ascii="仿宋_GB2312" w:eastAsia="仿宋_GB2312" w:hint="eastAsia"/>
          <w:color w:val="000000" w:themeColor="text1"/>
          <w:sz w:val="32"/>
          <w:szCs w:val="32"/>
        </w:rPr>
        <w:t>结直肠癌外照射放疗肠道剂量调控技术</w:t>
      </w:r>
      <w:r w:rsidRPr="00850053">
        <w:rPr>
          <w:rFonts w:ascii="仿宋_GB2312" w:eastAsia="仿宋_GB2312" w:hint="eastAsia"/>
          <w:color w:val="000000" w:themeColor="text1"/>
          <w:sz w:val="32"/>
          <w:szCs w:val="32"/>
        </w:rPr>
        <w:t>的研究进展。</w:t>
      </w:r>
    </w:p>
    <w:p w14:paraId="36185C73" w14:textId="77777777"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t>草案编写组负责起草标准草案及后续征求意见稿和标准编制说明、送审稿及编制说明等编写工作，包括后期召开征求意见会、网上征求意见，以及标准的不断修改和完善。</w:t>
      </w:r>
    </w:p>
    <w:p w14:paraId="5F9F7AB9" w14:textId="19C9DDC9" w:rsidR="00D634F2" w:rsidRPr="00850053" w:rsidRDefault="008854C0">
      <w:pPr>
        <w:spacing w:line="520" w:lineRule="exact"/>
        <w:ind w:firstLineChars="200" w:firstLine="640"/>
        <w:jc w:val="left"/>
        <w:rPr>
          <w:rFonts w:ascii="仿宋_GB2312" w:eastAsia="仿宋_GB2312" w:cs="仿宋_GB2312"/>
          <w:color w:val="000000" w:themeColor="text1"/>
          <w:sz w:val="28"/>
          <w:szCs w:val="28"/>
        </w:rPr>
      </w:pPr>
      <w:r w:rsidRPr="00850053">
        <w:rPr>
          <w:rFonts w:ascii="仿宋_GB2312" w:eastAsia="仿宋_GB2312" w:hint="eastAsia"/>
          <w:color w:val="000000" w:themeColor="text1"/>
          <w:sz w:val="32"/>
          <w:szCs w:val="32"/>
        </w:rPr>
        <w:t>标准实施组负责团体标准《</w:t>
      </w:r>
      <w:r w:rsidR="00C2496E">
        <w:rPr>
          <w:rFonts w:ascii="仿宋_GB2312" w:eastAsia="仿宋_GB2312" w:hint="eastAsia"/>
          <w:color w:val="000000" w:themeColor="text1"/>
          <w:sz w:val="32"/>
          <w:szCs w:val="32"/>
        </w:rPr>
        <w:t>结直肠癌外照射放疗肠道剂量调控技术操作规范</w:t>
      </w:r>
      <w:r w:rsidRPr="00850053">
        <w:rPr>
          <w:rFonts w:ascii="仿宋_GB2312" w:eastAsia="仿宋_GB2312" w:hint="eastAsia"/>
          <w:color w:val="000000" w:themeColor="text1"/>
          <w:sz w:val="32"/>
          <w:szCs w:val="32"/>
        </w:rPr>
        <w:t>》发布后，组织相关单位开展标准宣贯培训会，对标准进行详细解读，让相关人员了解标准，并根据标准对</w:t>
      </w:r>
      <w:r w:rsidR="00C2496E">
        <w:rPr>
          <w:rFonts w:ascii="仿宋_GB2312" w:eastAsia="仿宋_GB2312" w:hint="eastAsia"/>
          <w:color w:val="000000" w:themeColor="text1"/>
          <w:sz w:val="32"/>
          <w:szCs w:val="32"/>
        </w:rPr>
        <w:t>结直肠癌外照射放疗肠道剂量调控技术</w:t>
      </w:r>
      <w:r w:rsidRPr="00850053">
        <w:rPr>
          <w:rFonts w:ascii="仿宋_GB2312" w:eastAsia="仿宋_GB2312" w:hint="eastAsia"/>
          <w:color w:val="000000" w:themeColor="text1"/>
          <w:sz w:val="32"/>
          <w:szCs w:val="32"/>
        </w:rPr>
        <w:t>进行规范化操作，并对标准实施情况进行总结分析，不断对标准提出修正意见。</w:t>
      </w:r>
    </w:p>
    <w:p w14:paraId="0433E7F9" w14:textId="77777777" w:rsidR="00D634F2" w:rsidRPr="00850053" w:rsidRDefault="008854C0">
      <w:pPr>
        <w:spacing w:line="560" w:lineRule="exact"/>
        <w:ind w:firstLineChars="200" w:firstLine="643"/>
        <w:rPr>
          <w:rFonts w:ascii="楷体" w:eastAsia="楷体" w:hAnsi="楷体" w:cs="楷体"/>
          <w:b/>
          <w:color w:val="000000" w:themeColor="text1"/>
          <w:sz w:val="32"/>
          <w:szCs w:val="32"/>
        </w:rPr>
      </w:pPr>
      <w:r w:rsidRPr="00850053">
        <w:rPr>
          <w:rFonts w:ascii="楷体" w:eastAsia="楷体" w:hAnsi="楷体" w:cs="楷体" w:hint="eastAsia"/>
          <w:b/>
          <w:color w:val="000000" w:themeColor="text1"/>
          <w:sz w:val="32"/>
          <w:szCs w:val="32"/>
        </w:rPr>
        <w:t>（二）收集整理文献资料</w:t>
      </w:r>
    </w:p>
    <w:p w14:paraId="5656E9FD" w14:textId="37E831F9" w:rsidR="00D634F2" w:rsidRPr="007805DF" w:rsidRDefault="008854C0">
      <w:pPr>
        <w:spacing w:line="520" w:lineRule="exact"/>
        <w:ind w:firstLineChars="200" w:firstLine="640"/>
        <w:rPr>
          <w:rFonts w:ascii="仿宋_GB2312" w:eastAsia="仿宋_GB2312"/>
          <w:color w:val="000000" w:themeColor="text1"/>
          <w:sz w:val="32"/>
          <w:szCs w:val="32"/>
          <w:highlight w:val="yellow"/>
        </w:rPr>
      </w:pPr>
      <w:r w:rsidRPr="00BC1466">
        <w:rPr>
          <w:rFonts w:ascii="仿宋_GB2312" w:eastAsia="仿宋_GB2312" w:hint="eastAsia"/>
          <w:color w:val="000000" w:themeColor="text1"/>
          <w:sz w:val="32"/>
          <w:szCs w:val="32"/>
        </w:rPr>
        <w:t>标准编制工作组收集了国内有关</w:t>
      </w:r>
      <w:r w:rsidR="00067B0F" w:rsidRPr="00D86BBC">
        <w:rPr>
          <w:rFonts w:ascii="仿宋_GB2312" w:eastAsia="仿宋_GB2312" w:hint="eastAsia"/>
          <w:b/>
          <w:color w:val="000000" w:themeColor="text1"/>
          <w:sz w:val="32"/>
          <w:szCs w:val="32"/>
        </w:rPr>
        <w:t>“结直肠 放疗”“结直肠 治疗”</w:t>
      </w:r>
      <w:r w:rsidRPr="00BC1466">
        <w:rPr>
          <w:rFonts w:ascii="仿宋_GB2312" w:eastAsia="仿宋_GB2312" w:hint="eastAsia"/>
          <w:color w:val="000000" w:themeColor="text1"/>
          <w:sz w:val="32"/>
          <w:szCs w:val="32"/>
        </w:rPr>
        <w:t>的相关资料。主要有：</w:t>
      </w:r>
    </w:p>
    <w:p w14:paraId="544C7B2B" w14:textId="77777777" w:rsidR="00784890" w:rsidRDefault="00784890" w:rsidP="00BC1466">
      <w:pPr>
        <w:spacing w:line="520" w:lineRule="exact"/>
        <w:ind w:firstLineChars="200" w:firstLine="640"/>
        <w:rPr>
          <w:rFonts w:ascii="仿宋_GB2312" w:eastAsia="仿宋_GB2312"/>
          <w:color w:val="000000" w:themeColor="text1"/>
          <w:sz w:val="32"/>
          <w:szCs w:val="32"/>
        </w:rPr>
      </w:pPr>
      <w:r w:rsidRPr="00784890">
        <w:rPr>
          <w:rFonts w:ascii="仿宋_GB2312" w:eastAsia="仿宋_GB2312" w:hint="eastAsia"/>
          <w:color w:val="000000" w:themeColor="text1"/>
          <w:sz w:val="32"/>
          <w:szCs w:val="32"/>
        </w:rPr>
        <w:t>《T/CACM 1407—2022结直肠癌化疗期中医诊疗指南》</w:t>
      </w:r>
    </w:p>
    <w:p w14:paraId="1917EBE3" w14:textId="77777777" w:rsidR="00784890" w:rsidRDefault="00784890" w:rsidP="00BC1466">
      <w:pPr>
        <w:spacing w:line="520" w:lineRule="exact"/>
        <w:ind w:firstLineChars="200" w:firstLine="640"/>
        <w:rPr>
          <w:rFonts w:ascii="仿宋_GB2312" w:eastAsia="仿宋_GB2312"/>
          <w:color w:val="000000" w:themeColor="text1"/>
          <w:sz w:val="32"/>
          <w:szCs w:val="32"/>
        </w:rPr>
      </w:pPr>
      <w:r w:rsidRPr="00784890">
        <w:rPr>
          <w:rFonts w:ascii="仿宋_GB2312" w:eastAsia="仿宋_GB2312" w:hint="eastAsia"/>
          <w:color w:val="000000" w:themeColor="text1"/>
          <w:sz w:val="32"/>
          <w:szCs w:val="32"/>
        </w:rPr>
        <w:t>《T/CACM 1406—2022Ⅰ-Ⅲ期结直肠癌西医常规治疗后中医干预指南》</w:t>
      </w:r>
    </w:p>
    <w:p w14:paraId="3D4F227F" w14:textId="0229CFDC" w:rsidR="00302A1F" w:rsidRPr="00302A1F" w:rsidRDefault="00784890" w:rsidP="00BC1466">
      <w:pPr>
        <w:spacing w:line="520" w:lineRule="exact"/>
        <w:ind w:firstLineChars="200" w:firstLine="640"/>
        <w:rPr>
          <w:rFonts w:ascii="仿宋_GB2312" w:eastAsia="仿宋_GB2312"/>
          <w:color w:val="000000" w:themeColor="text1"/>
          <w:sz w:val="32"/>
          <w:szCs w:val="32"/>
        </w:rPr>
      </w:pPr>
      <w:r w:rsidRPr="00784890">
        <w:rPr>
          <w:rFonts w:ascii="仿宋_GB2312" w:eastAsia="仿宋_GB2312" w:hint="eastAsia"/>
          <w:color w:val="000000" w:themeColor="text1"/>
          <w:sz w:val="32"/>
          <w:szCs w:val="32"/>
        </w:rPr>
        <w:t>《结直肠癌术中放疗专家共识（2025版）》</w:t>
      </w:r>
    </w:p>
    <w:p w14:paraId="1F580278" w14:textId="77777777"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（三）研讨确定标准特色</w:t>
      </w:r>
      <w:r>
        <w:rPr>
          <w:rFonts w:ascii="楷体" w:eastAsia="楷体" w:hAnsi="楷体" w:cs="楷体"/>
          <w:b/>
          <w:color w:val="000000" w:themeColor="text1"/>
          <w:sz w:val="32"/>
          <w:szCs w:val="32"/>
        </w:rPr>
        <w:t>、</w:t>
      </w:r>
      <w:r>
        <w:rPr>
          <w:rFonts w:ascii="楷体" w:eastAsia="楷体" w:hAnsi="楷体" w:cs="楷体" w:hint="eastAsia"/>
          <w:b/>
          <w:color w:val="000000" w:themeColor="text1"/>
          <w:sz w:val="32"/>
          <w:szCs w:val="32"/>
        </w:rPr>
        <w:t>创新点和主体内容</w:t>
      </w:r>
    </w:p>
    <w:p w14:paraId="0E636C72" w14:textId="77777777"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标准编制工作组在对收集的资料进行整理研究之后，标准编制工作组召开了标准编制会议，对标准的整体框架结构进行了研究，并对标准的关键性内容进行了初步探讨。经过研究，标准特色、创新点和主体内容如下</w:t>
      </w:r>
      <w:r>
        <w:rPr>
          <w:rFonts w:ascii="仿宋_GB2312" w:eastAsia="仿宋_GB2312" w:hAnsi="Calibri"/>
          <w:color w:val="000000" w:themeColor="text1"/>
        </w:rPr>
        <w:t>：</w:t>
      </w:r>
    </w:p>
    <w:p w14:paraId="17440365" w14:textId="3261D87D" w:rsidR="00D634F2" w:rsidRPr="007B1EA3" w:rsidRDefault="008854C0">
      <w:pPr>
        <w:pStyle w:val="affa"/>
        <w:rPr>
          <w:rFonts w:ascii="仿宋_GB2312" w:eastAsia="仿宋_GB2312" w:hAnsi="Calibri"/>
          <w:color w:val="000000" w:themeColor="text1"/>
        </w:rPr>
      </w:pPr>
      <w:r w:rsidRPr="007B1EA3">
        <w:rPr>
          <w:rFonts w:ascii="仿宋_GB2312" w:eastAsia="仿宋_GB2312" w:hAnsi="Calibri"/>
          <w:color w:val="000000" w:themeColor="text1"/>
        </w:rPr>
        <w:t>1.</w:t>
      </w:r>
      <w:r w:rsidRPr="007B1EA3">
        <w:rPr>
          <w:rFonts w:ascii="仿宋_GB2312" w:eastAsia="仿宋_GB2312" w:hAnsi="Calibri" w:hint="eastAsia"/>
          <w:color w:val="000000" w:themeColor="text1"/>
        </w:rPr>
        <w:t>特色</w:t>
      </w:r>
      <w:r w:rsidR="004D5B86">
        <w:rPr>
          <w:rFonts w:ascii="仿宋_GB2312" w:eastAsia="仿宋_GB2312" w:hAnsi="Calibri" w:hint="eastAsia"/>
          <w:color w:val="000000" w:themeColor="text1"/>
        </w:rPr>
        <w:t>、</w:t>
      </w:r>
      <w:r w:rsidR="004D5B86">
        <w:rPr>
          <w:rFonts w:ascii="仿宋_GB2312" w:eastAsia="仿宋_GB2312" w:hAnsi="Calibri"/>
          <w:color w:val="000000" w:themeColor="text1"/>
        </w:rPr>
        <w:t>创新点</w:t>
      </w:r>
    </w:p>
    <w:p w14:paraId="2742F317" w14:textId="208A0984" w:rsidR="00D634F2" w:rsidRPr="00B8532C" w:rsidRDefault="004D5B86">
      <w:pPr>
        <w:pStyle w:val="affa"/>
        <w:rPr>
          <w:rFonts w:ascii="仿宋_GB2312" w:eastAsia="仿宋_GB2312" w:hAnsi="Calibri"/>
          <w:color w:val="000000" w:themeColor="text1"/>
          <w:highlight w:val="yellow"/>
        </w:rPr>
      </w:pPr>
      <w:r w:rsidRPr="004D5B86">
        <w:rPr>
          <w:rFonts w:ascii="仿宋_GB2312" w:eastAsia="仿宋_GB2312" w:hAnsi="Calibri" w:hint="eastAsia"/>
          <w:color w:val="000000" w:themeColor="text1"/>
        </w:rPr>
        <w:t>基于结直肠癌放疗中肠道气腔剂量扰动机制，填补了当前临床放疗领域针对靶区内肠道气腔动态变化调控的标准空白。标准创新性量化了肠道气腔CT值与体积占比的协同风险阈值，首次明</w:t>
      </w:r>
      <w:r w:rsidRPr="004D5B86">
        <w:rPr>
          <w:rFonts w:ascii="仿宋_GB2312" w:eastAsia="仿宋_GB2312" w:hAnsi="Calibri" w:hint="eastAsia"/>
          <w:color w:val="000000" w:themeColor="text1"/>
        </w:rPr>
        <w:lastRenderedPageBreak/>
        <w:t>确CT值≥250HU且体积占比＞6%为临床高风险临界值，解决了常规放疗中气腔剂量扰动缺乏客观评估标准的难题。该标准整合了剂量算法校正、风险分层管理及动态监测技术，具有精准性强、可操作性高、适用范围广的特点，可有效降低放疗冷区形成风险，提升治疗安全性，且无需依赖昂贵设备，符合临床实际应用需求，易被各级医疗机构采纳</w:t>
      </w:r>
      <w:r w:rsidR="008854C0" w:rsidRPr="007B1EA3">
        <w:rPr>
          <w:rFonts w:ascii="仿宋_GB2312" w:eastAsia="仿宋_GB2312" w:hAnsi="Calibri" w:hint="eastAsia"/>
          <w:color w:val="000000" w:themeColor="text1"/>
        </w:rPr>
        <w:t>。</w:t>
      </w:r>
    </w:p>
    <w:p w14:paraId="66C33575" w14:textId="54441C2E" w:rsidR="00D634F2" w:rsidRDefault="004D5B86">
      <w:pPr>
        <w:pStyle w:val="affa"/>
        <w:rPr>
          <w:rFonts w:ascii="仿宋_GB2312" w:eastAsia="仿宋_GB2312" w:hAnsi="Calibri"/>
          <w:color w:val="000000" w:themeColor="text1"/>
        </w:rPr>
      </w:pPr>
      <w:r>
        <w:rPr>
          <w:rFonts w:ascii="仿宋_GB2312" w:eastAsia="仿宋_GB2312" w:hAnsi="Calibri"/>
          <w:color w:val="000000" w:themeColor="text1"/>
        </w:rPr>
        <w:t>2</w:t>
      </w:r>
      <w:r w:rsidR="008854C0">
        <w:rPr>
          <w:rFonts w:ascii="仿宋_GB2312" w:eastAsia="仿宋_GB2312" w:hAnsi="Calibri"/>
          <w:color w:val="000000" w:themeColor="text1"/>
        </w:rPr>
        <w:t>.</w:t>
      </w:r>
      <w:r w:rsidR="008854C0">
        <w:rPr>
          <w:rFonts w:ascii="仿宋_GB2312" w:eastAsia="仿宋_GB2312" w:hAnsi="Calibri" w:hint="eastAsia"/>
          <w:color w:val="000000" w:themeColor="text1"/>
        </w:rPr>
        <w:t>主体内容</w:t>
      </w:r>
    </w:p>
    <w:p w14:paraId="69E6B1F4" w14:textId="5D966320"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主体内容包括</w:t>
      </w:r>
      <w:r w:rsidR="004D5B86" w:rsidRPr="004D5B86">
        <w:rPr>
          <w:rFonts w:ascii="仿宋_GB2312" w:eastAsia="仿宋_GB2312" w:hAnsi="Calibri" w:hint="eastAsia"/>
          <w:color w:val="000000" w:themeColor="text1"/>
        </w:rPr>
        <w:t>放疗前肠道准备、放疗计划设计</w:t>
      </w:r>
      <w:r w:rsidR="004D5B86" w:rsidRPr="004D5B86">
        <w:rPr>
          <w:rFonts w:ascii="仿宋_GB2312" w:eastAsia="仿宋_GB2312" w:hAnsi="Calibri"/>
          <w:color w:val="000000" w:themeColor="text1"/>
        </w:rPr>
        <w:t>与优化</w:t>
      </w:r>
      <w:r w:rsidR="004D5B86" w:rsidRPr="004D5B86">
        <w:rPr>
          <w:rFonts w:ascii="仿宋_GB2312" w:eastAsia="仿宋_GB2312" w:hAnsi="Calibri" w:hint="eastAsia"/>
          <w:color w:val="000000" w:themeColor="text1"/>
        </w:rPr>
        <w:t>、放疗中监测</w:t>
      </w:r>
      <w:r w:rsidR="004D5B86" w:rsidRPr="004D5B86">
        <w:rPr>
          <w:rFonts w:ascii="仿宋_GB2312" w:eastAsia="仿宋_GB2312" w:hAnsi="Calibri"/>
          <w:color w:val="000000" w:themeColor="text1"/>
        </w:rPr>
        <w:t>与干预</w:t>
      </w:r>
      <w:r w:rsidR="004D5B86" w:rsidRPr="004D5B86">
        <w:rPr>
          <w:rFonts w:ascii="仿宋_GB2312" w:eastAsia="仿宋_GB2312" w:hAnsi="Calibri" w:hint="eastAsia"/>
          <w:color w:val="000000" w:themeColor="text1"/>
        </w:rPr>
        <w:t>、放疗后评估、质量控制与</w:t>
      </w:r>
      <w:r w:rsidR="004D5B86" w:rsidRPr="004D5B86">
        <w:rPr>
          <w:rFonts w:ascii="仿宋_GB2312" w:eastAsia="仿宋_GB2312" w:hAnsi="Calibri"/>
          <w:color w:val="000000" w:themeColor="text1"/>
        </w:rPr>
        <w:t>保障</w:t>
      </w:r>
      <w:r>
        <w:rPr>
          <w:rFonts w:ascii="仿宋_GB2312" w:eastAsia="仿宋_GB2312" w:hAnsi="Calibri" w:hint="eastAsia"/>
          <w:color w:val="000000" w:themeColor="text1"/>
        </w:rPr>
        <w:t>。</w:t>
      </w:r>
    </w:p>
    <w:p w14:paraId="5245BF6C" w14:textId="7743390B"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（四）调研及形成草案、征求意见稿</w:t>
      </w:r>
    </w:p>
    <w:p w14:paraId="58CD6DA5" w14:textId="02DD2225" w:rsidR="00D634F2" w:rsidRPr="000C6800"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Pr="000C6800">
        <w:rPr>
          <w:rFonts w:ascii="仿宋_GB2312" w:eastAsia="仿宋_GB2312"/>
          <w:color w:val="000000" w:themeColor="text1"/>
          <w:sz w:val="32"/>
          <w:szCs w:val="32"/>
        </w:rPr>
        <w:t>5</w:t>
      </w:r>
      <w:r w:rsidRPr="000C6800">
        <w:rPr>
          <w:rFonts w:ascii="仿宋_GB2312" w:eastAsia="仿宋_GB2312" w:hint="eastAsia"/>
          <w:color w:val="000000" w:themeColor="text1"/>
          <w:sz w:val="32"/>
          <w:szCs w:val="32"/>
        </w:rPr>
        <w:t>年</w:t>
      </w:r>
      <w:r w:rsidR="006630BA">
        <w:rPr>
          <w:rFonts w:ascii="仿宋_GB2312" w:eastAsia="仿宋_GB2312"/>
          <w:color w:val="000000" w:themeColor="text1"/>
          <w:sz w:val="32"/>
          <w:szCs w:val="32"/>
        </w:rPr>
        <w:t>11</w:t>
      </w:r>
      <w:r w:rsidRPr="000C6800">
        <w:rPr>
          <w:rFonts w:ascii="仿宋_GB2312" w:eastAsia="仿宋_GB2312" w:hint="eastAsia"/>
          <w:color w:val="000000" w:themeColor="text1"/>
          <w:sz w:val="32"/>
          <w:szCs w:val="32"/>
        </w:rPr>
        <w:t>月～</w:t>
      </w:r>
      <w:r w:rsidR="006630BA">
        <w:rPr>
          <w:rFonts w:ascii="仿宋_GB2312" w:eastAsia="仿宋_GB2312"/>
          <w:color w:val="000000" w:themeColor="text1"/>
          <w:sz w:val="32"/>
          <w:szCs w:val="32"/>
        </w:rPr>
        <w:t>12</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标准编制工作组查阅了大量的国内文献资料，经编制组反复讨论，对</w:t>
      </w:r>
      <w:r w:rsidR="00C2496E">
        <w:rPr>
          <w:rFonts w:ascii="仿宋_GB2312" w:eastAsia="仿宋_GB2312" w:hint="eastAsia"/>
          <w:color w:val="000000" w:themeColor="text1"/>
          <w:sz w:val="32"/>
          <w:szCs w:val="32"/>
        </w:rPr>
        <w:t>结直肠癌外照射放疗肠道剂量调控技术</w:t>
      </w:r>
      <w:r w:rsidR="008854C0" w:rsidRPr="000C6800">
        <w:rPr>
          <w:rFonts w:ascii="仿宋_GB2312" w:eastAsia="仿宋_GB2312" w:hint="eastAsia"/>
          <w:color w:val="000000" w:themeColor="text1"/>
          <w:sz w:val="32"/>
          <w:szCs w:val="32"/>
        </w:rPr>
        <w:t>的实践情况进行系统总结，形成了标准的基本构架，对主要内容进行了讨论并对项目的工作进行了部署和安排。</w:t>
      </w:r>
    </w:p>
    <w:p w14:paraId="5BF443DB" w14:textId="37607AFA" w:rsidR="00D634F2" w:rsidRPr="000C6800"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Pr="000C6800">
        <w:rPr>
          <w:rFonts w:ascii="仿宋_GB2312" w:eastAsia="仿宋_GB2312"/>
          <w:color w:val="000000" w:themeColor="text1"/>
          <w:sz w:val="32"/>
          <w:szCs w:val="32"/>
        </w:rPr>
        <w:t>5</w:t>
      </w:r>
      <w:r w:rsidRPr="000C6800">
        <w:rPr>
          <w:rFonts w:ascii="仿宋_GB2312" w:eastAsia="仿宋_GB2312" w:hint="eastAsia"/>
          <w:color w:val="000000" w:themeColor="text1"/>
          <w:sz w:val="32"/>
          <w:szCs w:val="32"/>
        </w:rPr>
        <w:t>年</w:t>
      </w:r>
      <w:r w:rsidR="006630BA">
        <w:rPr>
          <w:rFonts w:ascii="仿宋_GB2312" w:eastAsia="仿宋_GB2312"/>
          <w:color w:val="000000" w:themeColor="text1"/>
          <w:sz w:val="32"/>
          <w:szCs w:val="32"/>
        </w:rPr>
        <w:t>12</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在前期工作的基础之上，通过理清逻辑脉络，整合已有参考资料中有关</w:t>
      </w:r>
      <w:r w:rsidR="00C2496E">
        <w:rPr>
          <w:rFonts w:ascii="仿宋_GB2312" w:eastAsia="仿宋_GB2312" w:hint="eastAsia"/>
          <w:color w:val="000000" w:themeColor="text1"/>
          <w:sz w:val="32"/>
          <w:szCs w:val="32"/>
        </w:rPr>
        <w:t>结直肠癌外照射放疗肠道剂量调控技术</w:t>
      </w:r>
      <w:r w:rsidR="008854C0" w:rsidRPr="000C6800">
        <w:rPr>
          <w:rFonts w:ascii="仿宋_GB2312" w:eastAsia="仿宋_GB2312" w:hint="eastAsia"/>
          <w:color w:val="000000" w:themeColor="text1"/>
          <w:sz w:val="32"/>
          <w:szCs w:val="32"/>
        </w:rPr>
        <w:t>的要求，并在目前</w:t>
      </w:r>
      <w:r w:rsidR="00C2496E">
        <w:rPr>
          <w:rFonts w:ascii="仿宋_GB2312" w:eastAsia="仿宋_GB2312" w:hint="eastAsia"/>
          <w:color w:val="000000" w:themeColor="text1"/>
          <w:sz w:val="32"/>
          <w:szCs w:val="32"/>
        </w:rPr>
        <w:t>结直肠癌外照射放疗肠道剂量调控技术</w:t>
      </w:r>
      <w:r w:rsidR="008854C0" w:rsidRPr="000C6800">
        <w:rPr>
          <w:rFonts w:ascii="仿宋_GB2312" w:eastAsia="仿宋_GB2312" w:hint="eastAsia"/>
          <w:color w:val="000000" w:themeColor="text1"/>
          <w:sz w:val="32"/>
          <w:szCs w:val="32"/>
        </w:rPr>
        <w:t>实际操作的基础上，按照简化、统一等原则编制完成团体标准《</w:t>
      </w:r>
      <w:r w:rsidR="00C2496E">
        <w:rPr>
          <w:rFonts w:ascii="仿宋_GB2312" w:eastAsia="仿宋_GB2312" w:hint="eastAsia"/>
          <w:color w:val="000000" w:themeColor="text1"/>
          <w:sz w:val="32"/>
          <w:szCs w:val="32"/>
        </w:rPr>
        <w:t>结直肠癌外照射放疗肠道剂量调控技术操作规范</w:t>
      </w:r>
      <w:r w:rsidR="008854C0" w:rsidRPr="000C6800">
        <w:rPr>
          <w:rFonts w:ascii="仿宋_GB2312" w:eastAsia="仿宋_GB2312" w:hint="eastAsia"/>
          <w:color w:val="000000" w:themeColor="text1"/>
          <w:sz w:val="32"/>
          <w:szCs w:val="32"/>
        </w:rPr>
        <w:t>》（草案）。</w:t>
      </w:r>
    </w:p>
    <w:p w14:paraId="44DC1E7F" w14:textId="292F7137" w:rsidR="00D634F2"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006630BA">
        <w:rPr>
          <w:rFonts w:ascii="仿宋_GB2312" w:eastAsia="仿宋_GB2312"/>
          <w:color w:val="000000" w:themeColor="text1"/>
          <w:sz w:val="32"/>
          <w:szCs w:val="32"/>
        </w:rPr>
        <w:t>6</w:t>
      </w:r>
      <w:r w:rsidRPr="000C6800">
        <w:rPr>
          <w:rFonts w:ascii="仿宋_GB2312" w:eastAsia="仿宋_GB2312" w:hint="eastAsia"/>
          <w:color w:val="000000" w:themeColor="text1"/>
          <w:sz w:val="32"/>
          <w:szCs w:val="32"/>
        </w:rPr>
        <w:t>年</w:t>
      </w:r>
      <w:r w:rsidR="006630BA">
        <w:rPr>
          <w:rFonts w:ascii="仿宋_GB2312" w:eastAsia="仿宋_GB2312"/>
          <w:color w:val="000000" w:themeColor="text1"/>
          <w:sz w:val="32"/>
          <w:szCs w:val="32"/>
        </w:rPr>
        <w:t>1</w:t>
      </w:r>
      <w:r w:rsidRPr="000C6800">
        <w:rPr>
          <w:rFonts w:ascii="仿宋_GB2312" w:eastAsia="仿宋_GB2312" w:hint="eastAsia"/>
          <w:color w:val="000000" w:themeColor="text1"/>
          <w:sz w:val="32"/>
          <w:szCs w:val="32"/>
        </w:rPr>
        <w:t>月，</w:t>
      </w:r>
      <w:r w:rsidR="008854C0">
        <w:rPr>
          <w:rFonts w:ascii="仿宋_GB2312" w:eastAsia="仿宋_GB2312" w:hint="eastAsia"/>
          <w:color w:val="000000" w:themeColor="text1"/>
          <w:sz w:val="32"/>
          <w:szCs w:val="32"/>
        </w:rPr>
        <w:t>标准编</w:t>
      </w:r>
      <w:r w:rsidR="008854C0" w:rsidRPr="006630BA">
        <w:rPr>
          <w:rFonts w:ascii="仿宋_GB2312" w:eastAsia="仿宋_GB2312" w:hint="eastAsia"/>
          <w:color w:val="000000" w:themeColor="text1"/>
          <w:sz w:val="32"/>
          <w:szCs w:val="32"/>
        </w:rPr>
        <w:t>制工作组征求</w:t>
      </w:r>
      <w:r w:rsidR="008854C0" w:rsidRPr="006630BA">
        <w:rPr>
          <w:rFonts w:ascii="仿宋_GB2312" w:eastAsia="仿宋_GB2312"/>
          <w:color w:val="000000" w:themeColor="text1"/>
          <w:sz w:val="32"/>
          <w:szCs w:val="32"/>
        </w:rPr>
        <w:t>到了</w:t>
      </w:r>
      <w:r w:rsidR="006630BA" w:rsidRPr="006630BA">
        <w:rPr>
          <w:rFonts w:ascii="仿宋_GB2312" w:eastAsia="仿宋_GB2312" w:hint="eastAsia"/>
          <w:color w:val="000000" w:themeColor="text1"/>
          <w:sz w:val="32"/>
          <w:szCs w:val="32"/>
        </w:rPr>
        <w:t>广西中医药大学第一附属医院、广西医科大学附属肿瘤医院、广西医科大学第一附属医院、广西中医药大学附属瑞康医院、广西医科大学第二附属医院、广西壮族自治区人民医院、广西国际壮医医院、广西壮族自治区南溪山医院（广西壮族自治区第二人民医院）</w:t>
      </w:r>
      <w:r w:rsidR="008854C0" w:rsidRPr="006630BA">
        <w:rPr>
          <w:rFonts w:ascii="仿宋_GB2312" w:eastAsia="仿宋_GB2312" w:hint="eastAsia"/>
          <w:color w:val="000000" w:themeColor="text1"/>
          <w:sz w:val="32"/>
          <w:szCs w:val="32"/>
        </w:rPr>
        <w:t>等单位的内部意见，通过收集反馈的意见，标准编制工作组多次召开会议，对标准草案进行了反复修改和研究讨论，明确</w:t>
      </w:r>
      <w:r w:rsidR="00C2496E">
        <w:rPr>
          <w:rFonts w:ascii="仿宋_GB2312" w:eastAsia="仿宋_GB2312" w:hint="eastAsia"/>
          <w:color w:val="000000" w:themeColor="text1"/>
          <w:sz w:val="32"/>
          <w:szCs w:val="32"/>
        </w:rPr>
        <w:t>结直肠癌外照射放疗</w:t>
      </w:r>
      <w:r w:rsidR="00C2496E">
        <w:rPr>
          <w:rFonts w:ascii="仿宋_GB2312" w:eastAsia="仿宋_GB2312" w:hint="eastAsia"/>
          <w:color w:val="000000" w:themeColor="text1"/>
          <w:sz w:val="32"/>
          <w:szCs w:val="32"/>
        </w:rPr>
        <w:lastRenderedPageBreak/>
        <w:t>肠道剂量调控技术</w:t>
      </w:r>
      <w:r w:rsidR="008854C0" w:rsidRPr="006630BA">
        <w:rPr>
          <w:rFonts w:ascii="仿宋_GB2312" w:eastAsia="仿宋_GB2312" w:hint="eastAsia"/>
          <w:color w:val="000000" w:themeColor="text1"/>
          <w:sz w:val="32"/>
          <w:szCs w:val="32"/>
        </w:rPr>
        <w:t>的要点，掌握了</w:t>
      </w:r>
      <w:r w:rsidR="00C2496E">
        <w:rPr>
          <w:rFonts w:ascii="仿宋_GB2312" w:eastAsia="仿宋_GB2312" w:hint="eastAsia"/>
          <w:color w:val="000000" w:themeColor="text1"/>
          <w:sz w:val="32"/>
          <w:szCs w:val="32"/>
        </w:rPr>
        <w:t>结直肠癌外照射放疗肠道剂量调控技术</w:t>
      </w:r>
      <w:r w:rsidR="008854C0" w:rsidRPr="006630BA">
        <w:rPr>
          <w:rFonts w:ascii="仿宋_GB2312" w:eastAsia="仿宋_GB2312" w:hint="eastAsia"/>
          <w:color w:val="000000" w:themeColor="text1"/>
          <w:sz w:val="32"/>
          <w:szCs w:val="32"/>
        </w:rPr>
        <w:t>的基本情况以及要求，最终形成了</w:t>
      </w:r>
      <w:bookmarkStart w:id="1" w:name="_Hlk120181503"/>
      <w:r w:rsidR="008854C0" w:rsidRPr="006630BA">
        <w:rPr>
          <w:rFonts w:ascii="仿宋_GB2312" w:eastAsia="仿宋_GB2312" w:hint="eastAsia"/>
          <w:color w:val="000000" w:themeColor="text1"/>
          <w:sz w:val="32"/>
          <w:szCs w:val="32"/>
        </w:rPr>
        <w:t>团体标准《</w:t>
      </w:r>
      <w:r w:rsidR="00C2496E">
        <w:rPr>
          <w:rFonts w:ascii="仿宋_GB2312" w:eastAsia="仿宋_GB2312" w:hint="eastAsia"/>
          <w:color w:val="000000" w:themeColor="text1"/>
          <w:sz w:val="32"/>
          <w:szCs w:val="32"/>
        </w:rPr>
        <w:t>结直肠癌外照射放疗肠道剂量调控技术操作规范</w:t>
      </w:r>
      <w:r w:rsidR="008854C0" w:rsidRPr="006630BA">
        <w:rPr>
          <w:rFonts w:ascii="仿宋_GB2312" w:eastAsia="仿宋_GB2312" w:hint="eastAsia"/>
          <w:color w:val="000000" w:themeColor="text1"/>
          <w:sz w:val="32"/>
          <w:szCs w:val="32"/>
        </w:rPr>
        <w:t>》（征</w:t>
      </w:r>
      <w:r w:rsidR="008854C0">
        <w:rPr>
          <w:rFonts w:ascii="仿宋_GB2312" w:eastAsia="仿宋_GB2312" w:hint="eastAsia"/>
          <w:color w:val="000000" w:themeColor="text1"/>
          <w:sz w:val="32"/>
          <w:szCs w:val="32"/>
        </w:rPr>
        <w:t>求意见稿）及其编制说明。</w:t>
      </w:r>
      <w:bookmarkEnd w:id="1"/>
    </w:p>
    <w:p w14:paraId="2596D9F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14:paraId="273473A2"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（一）编制原则</w:t>
      </w:r>
    </w:p>
    <w:p w14:paraId="2244C959"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1、实用性原则</w:t>
      </w:r>
    </w:p>
    <w:p w14:paraId="43ED175A" w14:textId="6B0D1861"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本标准是在充分收集国内外相关资料和文献、调研分析</w:t>
      </w:r>
      <w:r w:rsidR="00C2496E">
        <w:rPr>
          <w:rFonts w:ascii="仿宋_GB2312" w:eastAsia="仿宋_GB2312" w:hint="eastAsia"/>
          <w:color w:val="000000" w:themeColor="text1"/>
          <w:sz w:val="32"/>
          <w:szCs w:val="32"/>
        </w:rPr>
        <w:t>结直肠癌外照射放疗肠道剂量调控技术</w:t>
      </w:r>
      <w:r>
        <w:rPr>
          <w:rFonts w:ascii="仿宋_GB2312" w:eastAsia="仿宋_GB2312" w:hint="eastAsia"/>
          <w:color w:val="000000" w:themeColor="text1"/>
          <w:sz w:val="32"/>
          <w:szCs w:val="32"/>
        </w:rPr>
        <w:t>现状，结合起草单位前期研究工作取得的研究成果及积累的实践经验，并借鉴国内</w:t>
      </w:r>
      <w:r w:rsidR="00C2496E">
        <w:rPr>
          <w:rFonts w:ascii="仿宋_GB2312" w:eastAsia="仿宋_GB2312" w:hint="eastAsia"/>
          <w:color w:val="000000" w:themeColor="text1"/>
          <w:sz w:val="32"/>
          <w:szCs w:val="32"/>
        </w:rPr>
        <w:t>结直肠癌外照射放疗肠道剂量调控技术</w:t>
      </w:r>
      <w:r>
        <w:rPr>
          <w:rFonts w:ascii="仿宋_GB2312" w:eastAsia="仿宋_GB2312" w:hint="eastAsia"/>
          <w:color w:val="000000" w:themeColor="text1"/>
          <w:sz w:val="32"/>
          <w:szCs w:val="32"/>
        </w:rPr>
        <w:t>进行总结起草的，符合工作实际，有利于</w:t>
      </w:r>
      <w:r w:rsidR="00C2496E">
        <w:rPr>
          <w:rFonts w:ascii="仿宋_GB2312" w:eastAsia="仿宋_GB2312" w:hint="eastAsia"/>
          <w:color w:val="000000" w:themeColor="text1"/>
          <w:sz w:val="32"/>
          <w:szCs w:val="32"/>
        </w:rPr>
        <w:t>结直肠癌外照射放疗肠道剂量调控技术</w:t>
      </w:r>
      <w:r>
        <w:rPr>
          <w:rFonts w:ascii="仿宋_GB2312" w:eastAsia="仿宋_GB2312" w:hint="eastAsia"/>
          <w:color w:val="000000" w:themeColor="text1"/>
          <w:sz w:val="32"/>
          <w:szCs w:val="32"/>
        </w:rPr>
        <w:t>的实施与推广，具有可操作性和实用性。</w:t>
      </w:r>
    </w:p>
    <w:p w14:paraId="79A59E20"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2、协调性原则</w:t>
      </w:r>
    </w:p>
    <w:p w14:paraId="61B027EF" w14:textId="2666AC90"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本文件编写过程中注意了与</w:t>
      </w:r>
      <w:r w:rsidR="00C2496E">
        <w:rPr>
          <w:rFonts w:ascii="仿宋_GB2312" w:eastAsia="仿宋_GB2312" w:hint="eastAsia"/>
          <w:color w:val="000000" w:themeColor="text1"/>
          <w:sz w:val="32"/>
          <w:szCs w:val="32"/>
        </w:rPr>
        <w:t>结直肠癌外照射放疗肠道剂量调控技术</w:t>
      </w:r>
      <w:r>
        <w:rPr>
          <w:rFonts w:ascii="仿宋_GB2312" w:eastAsia="仿宋_GB2312" w:hint="eastAsia"/>
          <w:color w:val="000000" w:themeColor="text1"/>
          <w:sz w:val="32"/>
          <w:szCs w:val="32"/>
        </w:rPr>
        <w:t>相关法律法规的协调问题，在内容上与现行法律法规、标准协调一致。</w:t>
      </w:r>
    </w:p>
    <w:p w14:paraId="3DF8F4D5"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3、规范性原则</w:t>
      </w:r>
    </w:p>
    <w:p w14:paraId="12D576A2"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本文件严格按照GB/T 1.1—2020《标准化工作规范  第1部分：标准化文件的结构和起草规则》编写本标准的内容，保证标准的编写质量。</w:t>
      </w:r>
    </w:p>
    <w:p w14:paraId="2234E3DE"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4、前瞻性原则</w:t>
      </w:r>
    </w:p>
    <w:p w14:paraId="62168C45" w14:textId="010D54A8"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本文件在兼顾当前</w:t>
      </w:r>
      <w:r w:rsidR="00C2496E">
        <w:rPr>
          <w:rFonts w:ascii="仿宋_GB2312" w:eastAsia="仿宋_GB2312" w:hint="eastAsia"/>
          <w:color w:val="000000" w:themeColor="text1"/>
          <w:sz w:val="32"/>
          <w:szCs w:val="32"/>
        </w:rPr>
        <w:t>结直肠癌外照射放疗肠道剂量调控技术</w:t>
      </w:r>
      <w:r>
        <w:rPr>
          <w:rFonts w:ascii="仿宋_GB2312" w:eastAsia="仿宋_GB2312" w:hint="eastAsia"/>
          <w:color w:val="000000" w:themeColor="text1"/>
          <w:sz w:val="32"/>
          <w:szCs w:val="32"/>
        </w:rPr>
        <w:t>现实情况的同时，还考虑到了</w:t>
      </w:r>
      <w:r w:rsidR="00C2496E">
        <w:rPr>
          <w:rFonts w:ascii="仿宋_GB2312" w:eastAsia="仿宋_GB2312" w:hint="eastAsia"/>
          <w:color w:val="000000" w:themeColor="text1"/>
          <w:sz w:val="32"/>
          <w:szCs w:val="32"/>
        </w:rPr>
        <w:t>结直肠癌外照射放疗肠道剂量调控</w:t>
      </w:r>
      <w:r w:rsidR="00C2496E">
        <w:rPr>
          <w:rFonts w:ascii="仿宋_GB2312" w:eastAsia="仿宋_GB2312" w:hint="eastAsia"/>
          <w:color w:val="000000" w:themeColor="text1"/>
          <w:sz w:val="32"/>
          <w:szCs w:val="32"/>
        </w:rPr>
        <w:lastRenderedPageBreak/>
        <w:t>技术</w:t>
      </w:r>
      <w:r>
        <w:rPr>
          <w:rFonts w:ascii="仿宋_GB2312" w:eastAsia="仿宋_GB2312" w:hint="eastAsia"/>
          <w:color w:val="000000" w:themeColor="text1"/>
          <w:sz w:val="32"/>
          <w:szCs w:val="32"/>
        </w:rPr>
        <w:t>的需要，在标准中体现了个别特色性、前瞻性和先进性条款，作为对</w:t>
      </w:r>
      <w:r w:rsidR="00C2496E">
        <w:rPr>
          <w:rFonts w:ascii="仿宋_GB2312" w:eastAsia="仿宋_GB2312" w:hint="eastAsia"/>
          <w:color w:val="000000" w:themeColor="text1"/>
          <w:sz w:val="32"/>
          <w:szCs w:val="32"/>
        </w:rPr>
        <w:t>结直肠癌外照射放疗肠道剂量调控技术</w:t>
      </w:r>
      <w:r>
        <w:rPr>
          <w:rFonts w:ascii="仿宋_GB2312" w:eastAsia="仿宋_GB2312" w:hint="eastAsia"/>
          <w:color w:val="000000" w:themeColor="text1"/>
          <w:sz w:val="32"/>
          <w:szCs w:val="32"/>
        </w:rPr>
        <w:t>的指导。</w:t>
      </w:r>
    </w:p>
    <w:p w14:paraId="16101DFE"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（二）编制依据</w:t>
      </w:r>
    </w:p>
    <w:p w14:paraId="035B5479" w14:textId="6AC9417D"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本标准严格按照GB/T 1.1—2020《标准化工作规范  第1部分：标准化文件的结构和起草规则》的规则起草，标准主要内容依据起草单位在</w:t>
      </w:r>
      <w:r w:rsidR="00C2496E">
        <w:rPr>
          <w:rFonts w:ascii="仿宋_GB2312" w:eastAsia="仿宋_GB2312" w:hint="eastAsia"/>
          <w:color w:val="000000" w:themeColor="text1"/>
          <w:sz w:val="32"/>
          <w:szCs w:val="32"/>
        </w:rPr>
        <w:t>结直肠癌外照射放疗肠道剂量调控技术</w:t>
      </w:r>
      <w:r w:rsidR="0016212B">
        <w:rPr>
          <w:rFonts w:ascii="仿宋_GB2312" w:eastAsia="仿宋_GB2312" w:hint="eastAsia"/>
          <w:color w:val="000000" w:themeColor="text1"/>
          <w:sz w:val="32"/>
          <w:szCs w:val="32"/>
        </w:rPr>
        <w:t>应用</w:t>
      </w:r>
      <w:r>
        <w:rPr>
          <w:rFonts w:ascii="仿宋_GB2312" w:eastAsia="仿宋_GB2312" w:hint="eastAsia"/>
          <w:color w:val="000000" w:themeColor="text1"/>
          <w:sz w:val="32"/>
          <w:szCs w:val="32"/>
        </w:rPr>
        <w:t>过程中的</w:t>
      </w:r>
      <w:r w:rsidR="0016212B">
        <w:rPr>
          <w:rFonts w:ascii="仿宋_GB2312" w:eastAsia="仿宋_GB2312" w:hint="eastAsia"/>
          <w:color w:val="000000" w:themeColor="text1"/>
          <w:sz w:val="32"/>
          <w:szCs w:val="32"/>
        </w:rPr>
        <w:t>临床</w:t>
      </w:r>
      <w:r>
        <w:rPr>
          <w:rFonts w:ascii="仿宋_GB2312" w:eastAsia="仿宋_GB2312" w:hint="eastAsia"/>
          <w:color w:val="000000" w:themeColor="text1"/>
          <w:sz w:val="32"/>
          <w:szCs w:val="32"/>
        </w:rPr>
        <w:t>经验确定。</w:t>
      </w:r>
    </w:p>
    <w:p w14:paraId="61C44619"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14:paraId="41C22A5D"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本标准与相关法律法规、强制性标准协调一致，无冲突。</w:t>
      </w:r>
    </w:p>
    <w:p w14:paraId="2324C47D" w14:textId="6E1E45BC" w:rsidR="000E0C0E" w:rsidRDefault="002D5191">
      <w:pPr>
        <w:spacing w:line="520" w:lineRule="exact"/>
        <w:ind w:firstLineChars="200" w:firstLine="640"/>
        <w:rPr>
          <w:rFonts w:ascii="Times New Roman" w:eastAsia="仿宋_GB2312" w:hAnsi="Times New Roman" w:cs="Times New Roman"/>
          <w:color w:val="000000" w:themeColor="text1"/>
          <w:sz w:val="32"/>
          <w:szCs w:val="32"/>
        </w:rPr>
      </w:pPr>
      <w:r w:rsidRPr="002D5191">
        <w:rPr>
          <w:rFonts w:ascii="仿宋_GB2312" w:eastAsia="仿宋_GB2312" w:hint="eastAsia"/>
          <w:color w:val="000000" w:themeColor="text1"/>
          <w:sz w:val="32"/>
          <w:szCs w:val="32"/>
        </w:rPr>
        <w:t>经查阅，没有与“结直肠癌放疗肠道气腔剂量调控”</w:t>
      </w:r>
      <w:r w:rsidRPr="002D5191">
        <w:rPr>
          <w:rFonts w:ascii="仿宋_GB2312" w:eastAsia="仿宋_GB2312"/>
          <w:color w:val="000000" w:themeColor="text1"/>
          <w:sz w:val="32"/>
          <w:szCs w:val="32"/>
        </w:rPr>
        <w:t>的相关标准，</w:t>
      </w:r>
      <w:r w:rsidRPr="002D5191">
        <w:rPr>
          <w:rFonts w:ascii="仿宋_GB2312" w:eastAsia="仿宋_GB2312" w:hint="eastAsia"/>
          <w:color w:val="000000" w:themeColor="text1"/>
          <w:sz w:val="32"/>
          <w:szCs w:val="32"/>
        </w:rPr>
        <w:t>与</w:t>
      </w:r>
      <w:r w:rsidRPr="002D5191">
        <w:rPr>
          <w:rFonts w:ascii="仿宋_GB2312" w:eastAsia="仿宋_GB2312" w:hint="eastAsia"/>
          <w:b/>
          <w:color w:val="000000" w:themeColor="text1"/>
          <w:sz w:val="32"/>
          <w:szCs w:val="32"/>
        </w:rPr>
        <w:t>“结直肠 放疗”“结直肠 治疗”</w:t>
      </w:r>
      <w:r w:rsidRPr="002D5191">
        <w:rPr>
          <w:rFonts w:ascii="仿宋_GB2312" w:eastAsia="仿宋_GB2312" w:hint="eastAsia"/>
          <w:color w:val="000000" w:themeColor="text1"/>
          <w:sz w:val="32"/>
          <w:szCs w:val="32"/>
        </w:rPr>
        <w:t>相关的标准及</w:t>
      </w:r>
      <w:r w:rsidRPr="002D5191">
        <w:rPr>
          <w:rFonts w:ascii="仿宋_GB2312" w:eastAsia="仿宋_GB2312"/>
          <w:color w:val="000000" w:themeColor="text1"/>
          <w:sz w:val="32"/>
          <w:szCs w:val="32"/>
        </w:rPr>
        <w:t>专家共识</w:t>
      </w:r>
      <w:r w:rsidRPr="002D5191">
        <w:rPr>
          <w:rFonts w:ascii="仿宋_GB2312" w:eastAsia="仿宋_GB2312" w:hint="eastAsia"/>
          <w:color w:val="000000" w:themeColor="text1"/>
          <w:sz w:val="32"/>
          <w:szCs w:val="32"/>
        </w:rPr>
        <w:t>有：《T/CACM 1407—2022结直肠癌化疗期中医诊疗指南》《T/CACM 1406—2022Ⅰ-Ⅲ期结直肠癌西医常规治疗后中医干预指南》《结直肠癌术中放疗专家共识（2025版）》。</w:t>
      </w:r>
      <w:r w:rsidR="000E0C0E">
        <w:rPr>
          <w:rFonts w:ascii="Times New Roman" w:eastAsia="仿宋_GB2312" w:hAnsi="Times New Roman" w:cs="Times New Roman" w:hint="eastAsia"/>
          <w:color w:val="000000" w:themeColor="text1"/>
          <w:sz w:val="32"/>
          <w:szCs w:val="32"/>
        </w:rPr>
        <w:t>。</w:t>
      </w:r>
    </w:p>
    <w:p w14:paraId="578C9591" w14:textId="77777777" w:rsidR="002D5191" w:rsidRPr="002D5191" w:rsidRDefault="002D5191" w:rsidP="002D5191">
      <w:pPr>
        <w:spacing w:line="520" w:lineRule="exact"/>
        <w:ind w:firstLineChars="200" w:firstLine="640"/>
        <w:rPr>
          <w:rFonts w:ascii="仿宋_GB2312" w:eastAsia="仿宋_GB2312"/>
          <w:color w:val="000000" w:themeColor="text1"/>
          <w:sz w:val="32"/>
          <w:szCs w:val="32"/>
        </w:rPr>
      </w:pPr>
      <w:r w:rsidRPr="002D5191">
        <w:rPr>
          <w:rFonts w:ascii="仿宋_GB2312" w:eastAsia="仿宋_GB2312" w:hint="eastAsia"/>
          <w:color w:val="000000" w:themeColor="text1"/>
          <w:sz w:val="32"/>
          <w:szCs w:val="32"/>
        </w:rPr>
        <w:t>其中，《T/CACM 1407—2022结直肠癌化疗期中医诊疗指南》规定了结直肠癌根治术后辅助化疗期间中医证候诊断标准、治疗方案的内容适用于结直肠癌根治术后辅助化疗期患者。《T/CACM 1406—2022Ⅰ-Ⅲ期结直肠癌西医常规治疗后中医干预指南》规定了Ⅰ-Ⅲ期结直肠癌的中医证候诊断标准、治疗方案的内容。 适用于Ⅰ-Ⅲ 期结直肠癌西医常规治疗后患者。以上两项中华中医药学会的团体标准的结直肠癌技术不涉及直肠癌放疗肠道气腔剂量调控。</w:t>
      </w:r>
    </w:p>
    <w:p w14:paraId="4752B178" w14:textId="77777777" w:rsidR="002D5191" w:rsidRPr="002D5191" w:rsidRDefault="002D5191" w:rsidP="002D5191">
      <w:pPr>
        <w:spacing w:line="520" w:lineRule="exact"/>
        <w:ind w:firstLineChars="200" w:firstLine="640"/>
        <w:rPr>
          <w:rFonts w:ascii="仿宋_GB2312" w:eastAsia="仿宋_GB2312"/>
          <w:color w:val="000000" w:themeColor="text1"/>
          <w:sz w:val="32"/>
          <w:szCs w:val="32"/>
        </w:rPr>
      </w:pPr>
      <w:r w:rsidRPr="002D5191">
        <w:rPr>
          <w:rFonts w:ascii="仿宋_GB2312" w:eastAsia="仿宋_GB2312" w:hint="eastAsia"/>
          <w:color w:val="000000" w:themeColor="text1"/>
          <w:sz w:val="32"/>
          <w:szCs w:val="32"/>
        </w:rPr>
        <w:t>《结直肠癌术中放疗专家共识（2025 版）》聚焦术中放疗（IORT）这一特定治疗场景，核心是解决术中瘤床/残留病灶的单次大剂量精准照射问题，重点规范适应证、术中操作流程、多</w:t>
      </w:r>
      <w:r w:rsidRPr="002D5191">
        <w:rPr>
          <w:rFonts w:ascii="仿宋_GB2312" w:eastAsia="仿宋_GB2312" w:hint="eastAsia"/>
          <w:color w:val="000000" w:themeColor="text1"/>
          <w:sz w:val="32"/>
          <w:szCs w:val="32"/>
        </w:rPr>
        <w:lastRenderedPageBreak/>
        <w:t>学科协作与设备准入等。而肠道气腔剂量调控技术操作核心是解决外照射中肠道气腔体积波动导致的靶区剂量偏差与正常组织损伤问题，覆盖术前肠道准备、气腔监测、动态剂量调整、影像引导协同等关键环节，二者适用场景无重叠。</w:t>
      </w:r>
    </w:p>
    <w:p w14:paraId="50E0003C" w14:textId="22BA460D" w:rsidR="00D634F2" w:rsidRDefault="002D5191" w:rsidP="002D5191">
      <w:pPr>
        <w:spacing w:line="520" w:lineRule="exact"/>
        <w:ind w:firstLineChars="200" w:firstLine="640"/>
        <w:rPr>
          <w:rFonts w:ascii="仿宋_GB2312" w:eastAsia="仿宋_GB2312"/>
          <w:color w:val="000000" w:themeColor="text1"/>
          <w:sz w:val="32"/>
          <w:szCs w:val="32"/>
        </w:rPr>
      </w:pPr>
      <w:r w:rsidRPr="002D5191">
        <w:rPr>
          <w:rFonts w:ascii="仿宋_GB2312" w:eastAsia="仿宋_GB2312" w:hint="eastAsia"/>
          <w:color w:val="000000" w:themeColor="text1"/>
          <w:sz w:val="32"/>
          <w:szCs w:val="32"/>
        </w:rPr>
        <w:t>本标准适用于接受调强放射治疗的结直肠癌患者，核心作用在于规范肠道气腔CT值与体积占比的评估流程、风险判定及干预措施。具体可应用于放疗计划设计阶段的气腔预处理、分次治疗中的气腔动态监测、高风险患者的个体化干预等场景。同时，标准所确立的风险评估方法和干预原则，可为放射治疗物理师、临床放疗医师提供实操指南，也可为医疗机构放疗质量控制体系建设提供参考，助力提升结直肠癌放疗的精准度和安全性。拟制订团体标准明确</w:t>
      </w:r>
      <w:r w:rsidR="00C2496E">
        <w:rPr>
          <w:rFonts w:ascii="仿宋_GB2312" w:eastAsia="仿宋_GB2312" w:hint="eastAsia"/>
          <w:color w:val="000000" w:themeColor="text1"/>
          <w:sz w:val="32"/>
          <w:szCs w:val="32"/>
        </w:rPr>
        <w:t>结直肠癌外照射放疗肠道剂量调控技术</w:t>
      </w:r>
      <w:r w:rsidRPr="002D5191">
        <w:rPr>
          <w:rFonts w:ascii="仿宋_GB2312" w:eastAsia="仿宋_GB2312" w:hint="eastAsia"/>
          <w:color w:val="000000" w:themeColor="text1"/>
          <w:sz w:val="32"/>
          <w:szCs w:val="32"/>
        </w:rPr>
        <w:t>操作的指标和内容等方面，更具有针对性，</w:t>
      </w:r>
      <w:r w:rsidRPr="002D5191">
        <w:rPr>
          <w:rFonts w:ascii="仿宋_GB2312" w:eastAsia="仿宋_GB2312"/>
          <w:color w:val="000000" w:themeColor="text1"/>
          <w:sz w:val="32"/>
          <w:szCs w:val="32"/>
        </w:rPr>
        <w:t>可填</w:t>
      </w:r>
      <w:r w:rsidR="00C2496E">
        <w:rPr>
          <w:rFonts w:ascii="仿宋_GB2312" w:eastAsia="仿宋_GB2312" w:hint="eastAsia"/>
          <w:color w:val="000000" w:themeColor="text1"/>
          <w:sz w:val="32"/>
          <w:szCs w:val="32"/>
        </w:rPr>
        <w:t>结直肠癌外照射放疗肠道剂量调控技术</w:t>
      </w:r>
      <w:r w:rsidRPr="002D5191">
        <w:rPr>
          <w:rFonts w:ascii="仿宋_GB2312" w:eastAsia="仿宋_GB2312" w:hint="eastAsia"/>
          <w:color w:val="000000" w:themeColor="text1"/>
          <w:sz w:val="32"/>
          <w:szCs w:val="32"/>
        </w:rPr>
        <w:t>操作</w:t>
      </w:r>
      <w:r w:rsidRPr="002D5191">
        <w:rPr>
          <w:rFonts w:ascii="仿宋_GB2312" w:eastAsia="仿宋_GB2312"/>
          <w:color w:val="000000" w:themeColor="text1"/>
          <w:sz w:val="32"/>
          <w:szCs w:val="32"/>
        </w:rPr>
        <w:t>相关领域标准空白</w:t>
      </w:r>
      <w:r w:rsidR="008854C0">
        <w:rPr>
          <w:rFonts w:ascii="仿宋_GB2312" w:eastAsia="仿宋_GB2312" w:hint="eastAsia"/>
          <w:color w:val="000000" w:themeColor="text1"/>
          <w:sz w:val="32"/>
          <w:szCs w:val="32"/>
        </w:rPr>
        <w:t>。</w:t>
      </w:r>
    </w:p>
    <w:p w14:paraId="3C75DE74"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本标准的内容与现行的法律法规及强制性标准无冲突，本文件相关指标不低于强制性国家标准的相关技术要求，标准的编写符合GB/T 1.1—2020的要求。</w:t>
      </w:r>
    </w:p>
    <w:p w14:paraId="10E3EE1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五、主要条款的说明</w:t>
      </w:r>
    </w:p>
    <w:p w14:paraId="1332D6E8" w14:textId="15817112"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团体</w:t>
      </w:r>
      <w:r w:rsidRPr="0016212B">
        <w:rPr>
          <w:rFonts w:ascii="仿宋_GB2312" w:eastAsia="仿宋_GB2312" w:hint="eastAsia"/>
          <w:color w:val="000000" w:themeColor="text1"/>
          <w:sz w:val="32"/>
          <w:szCs w:val="32"/>
        </w:rPr>
        <w:t>标准《</w:t>
      </w:r>
      <w:r w:rsidR="00C2496E">
        <w:rPr>
          <w:rFonts w:ascii="仿宋_GB2312" w:eastAsia="仿宋_GB2312" w:hint="eastAsia"/>
          <w:color w:val="000000" w:themeColor="text1"/>
          <w:sz w:val="32"/>
          <w:szCs w:val="32"/>
        </w:rPr>
        <w:t>结直肠癌外照射放疗肠道剂量调控技术操作规范</w:t>
      </w:r>
      <w:r w:rsidRPr="0016212B">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的主要章节内容包括</w:t>
      </w:r>
      <w:r w:rsidR="00E23A73">
        <w:rPr>
          <w:rFonts w:ascii="仿宋_GB2312" w:eastAsia="仿宋_GB2312" w:hint="eastAsia"/>
          <w:color w:val="000000" w:themeColor="text1"/>
          <w:sz w:val="32"/>
          <w:szCs w:val="32"/>
        </w:rPr>
        <w:t>放疗前</w:t>
      </w:r>
      <w:r w:rsidR="004D5B86" w:rsidRPr="004D5B86">
        <w:rPr>
          <w:rFonts w:ascii="仿宋_GB2312" w:eastAsia="仿宋_GB2312" w:hint="eastAsia"/>
          <w:color w:val="000000" w:themeColor="text1"/>
          <w:sz w:val="32"/>
          <w:szCs w:val="32"/>
        </w:rPr>
        <w:t>准备、放疗计划设计</w:t>
      </w:r>
      <w:r w:rsidR="004D5B86" w:rsidRPr="004D5B86">
        <w:rPr>
          <w:rFonts w:ascii="仿宋_GB2312" w:eastAsia="仿宋_GB2312"/>
          <w:color w:val="000000" w:themeColor="text1"/>
          <w:sz w:val="32"/>
          <w:szCs w:val="32"/>
        </w:rPr>
        <w:t>与优化</w:t>
      </w:r>
      <w:r w:rsidR="004D5B86" w:rsidRPr="004D5B86">
        <w:rPr>
          <w:rFonts w:ascii="仿宋_GB2312" w:eastAsia="仿宋_GB2312" w:hint="eastAsia"/>
          <w:color w:val="000000" w:themeColor="text1"/>
          <w:sz w:val="32"/>
          <w:szCs w:val="32"/>
        </w:rPr>
        <w:t>、放疗中监测</w:t>
      </w:r>
      <w:r w:rsidR="004D5B86" w:rsidRPr="004D5B86">
        <w:rPr>
          <w:rFonts w:ascii="仿宋_GB2312" w:eastAsia="仿宋_GB2312"/>
          <w:color w:val="000000" w:themeColor="text1"/>
          <w:sz w:val="32"/>
          <w:szCs w:val="32"/>
        </w:rPr>
        <w:t>与干预</w:t>
      </w:r>
      <w:r w:rsidR="004D5B86" w:rsidRPr="004D5B86">
        <w:rPr>
          <w:rFonts w:ascii="仿宋_GB2312" w:eastAsia="仿宋_GB2312" w:hint="eastAsia"/>
          <w:color w:val="000000" w:themeColor="text1"/>
          <w:sz w:val="32"/>
          <w:szCs w:val="32"/>
        </w:rPr>
        <w:t>、放疗后评估、质量控制与</w:t>
      </w:r>
      <w:r w:rsidR="004D5B86" w:rsidRPr="004D5B86">
        <w:rPr>
          <w:rFonts w:ascii="仿宋_GB2312" w:eastAsia="仿宋_GB2312"/>
          <w:color w:val="000000" w:themeColor="text1"/>
          <w:sz w:val="32"/>
          <w:szCs w:val="32"/>
        </w:rPr>
        <w:t>保障</w:t>
      </w:r>
      <w:r w:rsidRPr="007125F7">
        <w:rPr>
          <w:rFonts w:ascii="仿宋_GB2312" w:eastAsia="仿宋_GB2312" w:hint="eastAsia"/>
          <w:color w:val="000000" w:themeColor="text1"/>
          <w:sz w:val="32"/>
          <w:szCs w:val="32"/>
        </w:rPr>
        <w:t>。本</w:t>
      </w:r>
      <w:r>
        <w:rPr>
          <w:rFonts w:ascii="仿宋_GB2312" w:eastAsia="仿宋_GB2312" w:hint="eastAsia"/>
          <w:color w:val="000000" w:themeColor="text1"/>
          <w:sz w:val="32"/>
          <w:szCs w:val="32"/>
        </w:rPr>
        <w:t>文件主要内容及依据来源说明如下：</w:t>
      </w:r>
    </w:p>
    <w:p w14:paraId="5F4BAC1F" w14:textId="5ED509D5" w:rsidR="00691524" w:rsidRPr="00E23A73" w:rsidRDefault="00E23A73" w:rsidP="00E23A73">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w:t>
      </w:r>
      <w:r w:rsidRPr="00E23A73">
        <w:rPr>
          <w:rFonts w:ascii="Times New Roman" w:eastAsia="楷体" w:hAnsi="Times New Roman" w:cs="Times New Roman" w:hint="eastAsia"/>
          <w:b/>
          <w:bCs/>
          <w:color w:val="000000" w:themeColor="text1"/>
          <w:kern w:val="0"/>
          <w:sz w:val="32"/>
          <w:szCs w:val="32"/>
        </w:rPr>
        <w:t>放疗前准备</w:t>
      </w:r>
    </w:p>
    <w:p w14:paraId="2E068BB1" w14:textId="46F76251" w:rsidR="0072338E" w:rsidRDefault="00E23A73"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Pr>
          <w:rFonts w:ascii="仿宋_GB2312" w:eastAsia="仿宋_GB2312"/>
          <w:color w:val="000000" w:themeColor="text1"/>
          <w:sz w:val="32"/>
          <w:szCs w:val="32"/>
        </w:rPr>
        <w:t>.</w:t>
      </w:r>
      <w:r>
        <w:rPr>
          <w:rFonts w:ascii="仿宋_GB2312" w:eastAsia="仿宋_GB2312" w:hint="eastAsia"/>
          <w:color w:val="000000" w:themeColor="text1"/>
          <w:sz w:val="32"/>
          <w:szCs w:val="32"/>
        </w:rPr>
        <w:t>患者</w:t>
      </w:r>
      <w:r>
        <w:rPr>
          <w:rFonts w:ascii="仿宋_GB2312" w:eastAsia="仿宋_GB2312"/>
          <w:color w:val="000000" w:themeColor="text1"/>
          <w:sz w:val="32"/>
          <w:szCs w:val="32"/>
        </w:rPr>
        <w:t>教育</w:t>
      </w:r>
      <w:r>
        <w:rPr>
          <w:rFonts w:ascii="仿宋_GB2312" w:eastAsia="仿宋_GB2312" w:hint="eastAsia"/>
          <w:color w:val="000000" w:themeColor="text1"/>
          <w:sz w:val="32"/>
          <w:szCs w:val="32"/>
        </w:rPr>
        <w:t>：</w:t>
      </w:r>
      <w:r w:rsidRPr="00E23A73">
        <w:rPr>
          <w:rFonts w:ascii="仿宋_GB2312" w:eastAsia="仿宋_GB2312" w:hint="eastAsia"/>
          <w:color w:val="000000" w:themeColor="text1"/>
          <w:sz w:val="32"/>
          <w:szCs w:val="32"/>
        </w:rPr>
        <w:t>依据临床反馈</w:t>
      </w:r>
      <w:r>
        <w:rPr>
          <w:rFonts w:ascii="仿宋_GB2312" w:eastAsia="仿宋_GB2312" w:hint="eastAsia"/>
          <w:color w:val="000000" w:themeColor="text1"/>
          <w:sz w:val="32"/>
          <w:szCs w:val="32"/>
        </w:rPr>
        <w:t>，</w:t>
      </w:r>
      <w:r w:rsidRPr="00E23A73">
        <w:rPr>
          <w:rFonts w:ascii="仿宋_GB2312" w:eastAsia="仿宋_GB2312" w:hint="eastAsia"/>
          <w:color w:val="000000" w:themeColor="text1"/>
          <w:sz w:val="32"/>
          <w:szCs w:val="32"/>
        </w:rPr>
        <w:t>患者不理解控食、排便意义，依从性差是气腔超标的首要原因；前置宣教从源头降低肠道干扰</w:t>
      </w:r>
      <w:r w:rsidR="0072338E">
        <w:rPr>
          <w:rFonts w:ascii="仿宋_GB2312" w:eastAsia="仿宋_GB2312" w:hint="eastAsia"/>
          <w:color w:val="000000" w:themeColor="text1"/>
          <w:sz w:val="32"/>
          <w:szCs w:val="32"/>
        </w:rPr>
        <w:t>。</w:t>
      </w:r>
    </w:p>
    <w:p w14:paraId="55BD2F25" w14:textId="434061AB" w:rsidR="0072338E" w:rsidRDefault="0072338E" w:rsidP="0072338E">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Pr="0072338E">
        <w:rPr>
          <w:rFonts w:hint="eastAsia"/>
        </w:rPr>
        <w:t xml:space="preserve"> </w:t>
      </w:r>
      <w:r w:rsidRPr="0072338E">
        <w:rPr>
          <w:rFonts w:ascii="仿宋_GB2312" w:eastAsia="仿宋_GB2312" w:hint="eastAsia"/>
          <w:color w:val="000000" w:themeColor="text1"/>
          <w:sz w:val="32"/>
          <w:szCs w:val="32"/>
        </w:rPr>
        <w:t>饮食调控：高纤维、产气食物会增加肠腔气体</w:t>
      </w:r>
      <w:r>
        <w:rPr>
          <w:rFonts w:ascii="仿宋_GB2312" w:eastAsia="仿宋_GB2312" w:hint="eastAsia"/>
          <w:color w:val="000000" w:themeColor="text1"/>
          <w:sz w:val="32"/>
          <w:szCs w:val="32"/>
        </w:rPr>
        <w:t>/</w:t>
      </w:r>
      <w:r w:rsidRPr="0072338E">
        <w:rPr>
          <w:rFonts w:ascii="仿宋_GB2312" w:eastAsia="仿宋_GB2312" w:hint="eastAsia"/>
          <w:color w:val="000000" w:themeColor="text1"/>
          <w:sz w:val="32"/>
          <w:szCs w:val="32"/>
        </w:rPr>
        <w:t>粪便，造</w:t>
      </w:r>
      <w:r w:rsidRPr="0072338E">
        <w:rPr>
          <w:rFonts w:ascii="仿宋_GB2312" w:eastAsia="仿宋_GB2312" w:hint="eastAsia"/>
          <w:color w:val="000000" w:themeColor="text1"/>
          <w:sz w:val="32"/>
          <w:szCs w:val="32"/>
        </w:rPr>
        <w:lastRenderedPageBreak/>
        <w:t>成低密度气腔与高密度粪块混合，双重扭曲剂量；低渣少产气饮食为国内外盆腔放疗通用肠道管理方案；1500</w:t>
      </w:r>
      <w:r>
        <w:rPr>
          <w:rFonts w:ascii="仿宋_GB2312" w:eastAsia="仿宋_GB2312" w:hint="eastAsia"/>
          <w:color w:val="000000" w:themeColor="text1"/>
          <w:sz w:val="32"/>
          <w:szCs w:val="32"/>
        </w:rPr>
        <w:t>～2000mL</w:t>
      </w:r>
      <w:r w:rsidRPr="0072338E">
        <w:rPr>
          <w:rFonts w:ascii="仿宋_GB2312" w:eastAsia="仿宋_GB2312" w:hint="eastAsia"/>
          <w:color w:val="000000" w:themeColor="text1"/>
          <w:sz w:val="32"/>
          <w:szCs w:val="32"/>
        </w:rPr>
        <w:t>饮水保持肠壁湿润，减少肠道黏膜损伤。</w:t>
      </w:r>
    </w:p>
    <w:p w14:paraId="7102CA5C" w14:textId="583BA852" w:rsidR="0072338E" w:rsidRDefault="0072338E" w:rsidP="0072338E">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3.</w:t>
      </w:r>
      <w:r>
        <w:rPr>
          <w:rFonts w:ascii="仿宋_GB2312" w:eastAsia="仿宋_GB2312" w:hint="eastAsia"/>
          <w:color w:val="000000" w:themeColor="text1"/>
          <w:sz w:val="32"/>
          <w:szCs w:val="32"/>
        </w:rPr>
        <w:t>肠道准备：</w:t>
      </w:r>
      <w:r w:rsidRPr="0072338E">
        <w:rPr>
          <w:rFonts w:ascii="仿宋_GB2312" w:eastAsia="仿宋_GB2312" w:hint="eastAsia"/>
          <w:color w:val="000000" w:themeColor="text1"/>
          <w:sz w:val="32"/>
          <w:szCs w:val="32"/>
        </w:rPr>
        <w:t>定位前</w:t>
      </w:r>
      <w:r>
        <w:rPr>
          <w:rFonts w:ascii="仿宋_GB2312" w:eastAsia="仿宋_GB2312" w:hint="eastAsia"/>
          <w:color w:val="000000" w:themeColor="text1"/>
          <w:sz w:val="32"/>
          <w:szCs w:val="32"/>
        </w:rPr>
        <w:t>1</w:t>
      </w:r>
      <w:r w:rsidRPr="0072338E">
        <w:rPr>
          <w:rFonts w:ascii="仿宋_GB2312" w:eastAsia="仿宋_GB2312" w:hint="eastAsia"/>
          <w:color w:val="000000" w:themeColor="text1"/>
          <w:sz w:val="32"/>
          <w:szCs w:val="32"/>
        </w:rPr>
        <w:t>周禁用钡剂</w:t>
      </w:r>
      <w:r>
        <w:rPr>
          <w:rFonts w:ascii="仿宋_GB2312" w:eastAsia="仿宋_GB2312" w:hint="eastAsia"/>
          <w:color w:val="000000" w:themeColor="text1"/>
          <w:sz w:val="32"/>
          <w:szCs w:val="32"/>
        </w:rPr>
        <w:t>。</w:t>
      </w:r>
      <w:r w:rsidRPr="0072338E">
        <w:rPr>
          <w:rFonts w:ascii="仿宋_GB2312" w:eastAsia="仿宋_GB2312" w:hint="eastAsia"/>
          <w:color w:val="000000" w:themeColor="text1"/>
          <w:sz w:val="32"/>
          <w:szCs w:val="32"/>
        </w:rPr>
        <w:t>钡剂高密度伪影会干扰气腔</w:t>
      </w:r>
      <w:r>
        <w:rPr>
          <w:rFonts w:ascii="仿宋_GB2312" w:eastAsia="仿宋_GB2312" w:hint="eastAsia"/>
          <w:color w:val="000000" w:themeColor="text1"/>
          <w:sz w:val="32"/>
          <w:szCs w:val="32"/>
        </w:rPr>
        <w:t>CT</w:t>
      </w:r>
      <w:r w:rsidRPr="0072338E">
        <w:rPr>
          <w:rFonts w:ascii="仿宋_GB2312" w:eastAsia="仿宋_GB2312" w:hint="eastAsia"/>
          <w:color w:val="000000" w:themeColor="text1"/>
          <w:sz w:val="32"/>
          <w:szCs w:val="32"/>
        </w:rPr>
        <w:t>值测量，造成剂量计算错误；定位前12h、分次前</w:t>
      </w:r>
      <w:r>
        <w:rPr>
          <w:rFonts w:ascii="仿宋_GB2312" w:eastAsia="仿宋_GB2312" w:hint="eastAsia"/>
          <w:color w:val="000000" w:themeColor="text1"/>
          <w:sz w:val="32"/>
          <w:szCs w:val="32"/>
        </w:rPr>
        <w:t>2h</w:t>
      </w:r>
      <w:r w:rsidRPr="0072338E">
        <w:rPr>
          <w:rFonts w:ascii="仿宋_GB2312" w:eastAsia="仿宋_GB2312" w:hint="eastAsia"/>
          <w:color w:val="000000" w:themeColor="text1"/>
          <w:sz w:val="32"/>
          <w:szCs w:val="32"/>
        </w:rPr>
        <w:t>双节点排便：保证定位</w:t>
      </w:r>
      <w:r>
        <w:rPr>
          <w:rFonts w:ascii="仿宋_GB2312" w:eastAsia="仿宋_GB2312" w:hint="eastAsia"/>
          <w:color w:val="000000" w:themeColor="text1"/>
          <w:sz w:val="32"/>
          <w:szCs w:val="32"/>
        </w:rPr>
        <w:t>CT</w:t>
      </w:r>
      <w:r w:rsidRPr="0072338E">
        <w:rPr>
          <w:rFonts w:ascii="仿宋_GB2312" w:eastAsia="仿宋_GB2312" w:hint="eastAsia"/>
          <w:color w:val="000000" w:themeColor="text1"/>
          <w:sz w:val="32"/>
          <w:szCs w:val="32"/>
        </w:rPr>
        <w:t>与每次治疗肠道状态一致，消除分次间基线差异，是后续</w:t>
      </w:r>
      <w:r>
        <w:rPr>
          <w:rFonts w:ascii="仿宋_GB2312" w:eastAsia="仿宋_GB2312" w:hint="eastAsia"/>
          <w:color w:val="000000" w:themeColor="text1"/>
          <w:sz w:val="32"/>
          <w:szCs w:val="32"/>
        </w:rPr>
        <w:t>CBCT</w:t>
      </w:r>
      <w:r w:rsidRPr="0072338E">
        <w:rPr>
          <w:rFonts w:ascii="仿宋_GB2312" w:eastAsia="仿宋_GB2312" w:hint="eastAsia"/>
          <w:color w:val="000000" w:themeColor="text1"/>
          <w:sz w:val="32"/>
          <w:szCs w:val="32"/>
        </w:rPr>
        <w:t>对比、风险分层的基础；</w:t>
      </w:r>
    </w:p>
    <w:p w14:paraId="6BEEC6DE" w14:textId="4FA62A9C" w:rsidR="0072338E" w:rsidRDefault="0072338E"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4</w:t>
      </w:r>
      <w:r>
        <w:rPr>
          <w:rFonts w:ascii="仿宋_GB2312" w:eastAsia="仿宋_GB2312"/>
          <w:color w:val="000000" w:themeColor="text1"/>
          <w:sz w:val="32"/>
          <w:szCs w:val="32"/>
        </w:rPr>
        <w:t>.</w:t>
      </w:r>
      <w:r w:rsidRPr="0072338E">
        <w:rPr>
          <w:rFonts w:ascii="仿宋_GB2312" w:eastAsia="仿宋_GB2312"/>
          <w:color w:val="000000" w:themeColor="text1"/>
          <w:sz w:val="32"/>
          <w:szCs w:val="32"/>
        </w:rPr>
        <w:t>消胀干预</w:t>
      </w:r>
      <w:r w:rsidRPr="0072338E">
        <w:rPr>
          <w:rFonts w:ascii="仿宋_GB2312" w:eastAsia="仿宋_GB2312" w:hint="eastAsia"/>
          <w:color w:val="000000" w:themeColor="text1"/>
          <w:sz w:val="32"/>
          <w:szCs w:val="32"/>
        </w:rPr>
        <w:t>：设置适用指征（胀气史、气腔占比＞4%）、给药方案（定位前</w:t>
      </w:r>
      <w:r w:rsidR="008D7725">
        <w:rPr>
          <w:rFonts w:ascii="仿宋_GB2312" w:eastAsia="仿宋_GB2312" w:hint="eastAsia"/>
          <w:color w:val="000000" w:themeColor="text1"/>
          <w:sz w:val="32"/>
          <w:szCs w:val="32"/>
        </w:rPr>
        <w:t>24h</w:t>
      </w:r>
      <w:r w:rsidRPr="0072338E">
        <w:rPr>
          <w:rFonts w:ascii="仿宋_GB2312" w:eastAsia="仿宋_GB2312" w:hint="eastAsia"/>
          <w:color w:val="000000" w:themeColor="text1"/>
          <w:sz w:val="32"/>
          <w:szCs w:val="32"/>
        </w:rPr>
        <w:t>起，5</w:t>
      </w:r>
      <w:r w:rsidR="008D7725">
        <w:rPr>
          <w:rFonts w:ascii="仿宋_GB2312" w:eastAsia="仿宋_GB2312" w:hint="eastAsia"/>
          <w:color w:val="000000" w:themeColor="text1"/>
          <w:sz w:val="32"/>
          <w:szCs w:val="32"/>
        </w:rPr>
        <w:t>～10mL/</w:t>
      </w:r>
      <w:r w:rsidRPr="0072338E">
        <w:rPr>
          <w:rFonts w:ascii="仿宋_GB2312" w:eastAsia="仿宋_GB2312" w:hint="eastAsia"/>
          <w:color w:val="000000" w:themeColor="text1"/>
          <w:sz w:val="32"/>
          <w:szCs w:val="32"/>
        </w:rPr>
        <w:t>次每日</w:t>
      </w:r>
      <w:r w:rsidR="008D7725">
        <w:rPr>
          <w:rFonts w:ascii="仿宋_GB2312" w:eastAsia="仿宋_GB2312" w:hint="eastAsia"/>
          <w:color w:val="000000" w:themeColor="text1"/>
          <w:sz w:val="32"/>
          <w:szCs w:val="32"/>
        </w:rPr>
        <w:t>3</w:t>
      </w:r>
      <w:r w:rsidRPr="0072338E">
        <w:rPr>
          <w:rFonts w:ascii="仿宋_GB2312" w:eastAsia="仿宋_GB2312" w:hint="eastAsia"/>
          <w:color w:val="000000" w:themeColor="text1"/>
          <w:sz w:val="32"/>
          <w:szCs w:val="32"/>
        </w:rPr>
        <w:t>次）；依据</w:t>
      </w:r>
      <w:r>
        <w:rPr>
          <w:rFonts w:ascii="仿宋_GB2312" w:eastAsia="仿宋_GB2312" w:hint="eastAsia"/>
          <w:color w:val="000000" w:themeColor="text1"/>
          <w:sz w:val="32"/>
          <w:szCs w:val="32"/>
        </w:rPr>
        <w:t>临床经验</w:t>
      </w:r>
      <w:r w:rsidRPr="0072338E">
        <w:rPr>
          <w:rFonts w:ascii="仿宋_GB2312" w:eastAsia="仿宋_GB2312" w:hint="eastAsia"/>
          <w:color w:val="000000" w:themeColor="text1"/>
          <w:sz w:val="32"/>
          <w:szCs w:val="32"/>
        </w:rPr>
        <w:t>，规范消胀药可降低</w:t>
      </w:r>
      <w:r w:rsidR="008D7725">
        <w:rPr>
          <w:rFonts w:ascii="仿宋_GB2312" w:eastAsia="仿宋_GB2312" w:hint="eastAsia"/>
          <w:color w:val="000000" w:themeColor="text1"/>
          <w:sz w:val="32"/>
          <w:szCs w:val="32"/>
        </w:rPr>
        <w:t>60%</w:t>
      </w:r>
      <w:r w:rsidRPr="0072338E">
        <w:rPr>
          <w:rFonts w:ascii="仿宋_GB2312" w:eastAsia="仿宋_GB2312" w:hint="eastAsia"/>
          <w:color w:val="000000" w:themeColor="text1"/>
          <w:sz w:val="32"/>
          <w:szCs w:val="32"/>
        </w:rPr>
        <w:t>以上重度肠胀气事件，减少</w:t>
      </w:r>
      <w:r w:rsidR="008D7725">
        <w:rPr>
          <w:rFonts w:ascii="仿宋_GB2312" w:eastAsia="仿宋_GB2312" w:hint="eastAsia"/>
          <w:color w:val="000000" w:themeColor="text1"/>
          <w:sz w:val="32"/>
          <w:szCs w:val="32"/>
        </w:rPr>
        <w:t>ART</w:t>
      </w:r>
      <w:r w:rsidRPr="0072338E">
        <w:rPr>
          <w:rFonts w:ascii="仿宋_GB2312" w:eastAsia="仿宋_GB2312" w:hint="eastAsia"/>
          <w:color w:val="000000" w:themeColor="text1"/>
          <w:sz w:val="32"/>
          <w:szCs w:val="32"/>
        </w:rPr>
        <w:t>启动频次。</w:t>
      </w:r>
    </w:p>
    <w:p w14:paraId="57D16EDC" w14:textId="0EBE3A16" w:rsidR="0072338E" w:rsidRDefault="0072338E" w:rsidP="008D7725">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5</w:t>
      </w:r>
      <w:r>
        <w:rPr>
          <w:rFonts w:ascii="仿宋_GB2312" w:eastAsia="仿宋_GB2312"/>
          <w:color w:val="000000" w:themeColor="text1"/>
          <w:sz w:val="32"/>
          <w:szCs w:val="32"/>
        </w:rPr>
        <w:t>.</w:t>
      </w:r>
      <w:r w:rsidR="008D7725" w:rsidRPr="008D7725">
        <w:rPr>
          <w:rFonts w:ascii="仿宋_GB2312" w:eastAsia="仿宋_GB2312" w:hint="eastAsia"/>
          <w:color w:val="000000" w:themeColor="text1"/>
          <w:sz w:val="32"/>
          <w:szCs w:val="32"/>
        </w:rPr>
        <w:t>造影剂使用</w:t>
      </w:r>
      <w:r w:rsidR="008D7725">
        <w:rPr>
          <w:rFonts w:ascii="仿宋_GB2312" w:eastAsia="仿宋_GB2312" w:hint="eastAsia"/>
          <w:color w:val="000000" w:themeColor="text1"/>
          <w:sz w:val="32"/>
          <w:szCs w:val="32"/>
        </w:rPr>
        <w:t>：</w:t>
      </w:r>
      <w:r w:rsidR="008D7725" w:rsidRPr="008D7725">
        <w:rPr>
          <w:rFonts w:ascii="仿宋_GB2312" w:eastAsia="仿宋_GB2312" w:hint="eastAsia"/>
          <w:color w:val="000000" w:themeColor="text1"/>
          <w:sz w:val="32"/>
          <w:szCs w:val="32"/>
        </w:rPr>
        <w:t>1%～2% 低浓度碘海醇、分次口服，规避高浓度造影剂高密度伪影；强制碘过敏评估，符合放射造影安全规范；1.5～</w:t>
      </w:r>
      <w:r w:rsidR="008D7725">
        <w:rPr>
          <w:rFonts w:ascii="仿宋_GB2312" w:eastAsia="仿宋_GB2312" w:hint="eastAsia"/>
          <w:color w:val="000000" w:themeColor="text1"/>
          <w:sz w:val="32"/>
          <w:szCs w:val="32"/>
        </w:rPr>
        <w:t>2h</w:t>
      </w:r>
      <w:r w:rsidR="008D7725" w:rsidRPr="008D7725">
        <w:rPr>
          <w:rFonts w:ascii="仿宋_GB2312" w:eastAsia="仿宋_GB2312" w:hint="eastAsia"/>
          <w:color w:val="000000" w:themeColor="text1"/>
          <w:sz w:val="32"/>
          <w:szCs w:val="32"/>
        </w:rPr>
        <w:t>提前服用保障肠腔均匀显影，提升靶区勾画精度。</w:t>
      </w:r>
    </w:p>
    <w:p w14:paraId="0BFFC464" w14:textId="08759298" w:rsidR="004238D5" w:rsidRPr="00E23A73" w:rsidRDefault="004238D5" w:rsidP="004238D5">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w:t>
      </w:r>
      <w:r w:rsidRPr="004238D5">
        <w:rPr>
          <w:rFonts w:ascii="Times New Roman" w:eastAsia="楷体" w:hAnsi="Times New Roman" w:cs="Times New Roman" w:hint="eastAsia"/>
          <w:b/>
          <w:bCs/>
          <w:color w:val="000000" w:themeColor="text1"/>
          <w:kern w:val="0"/>
          <w:sz w:val="32"/>
          <w:szCs w:val="32"/>
        </w:rPr>
        <w:t>放疗计划设计与优化</w:t>
      </w:r>
    </w:p>
    <w:p w14:paraId="43BF6DEE" w14:textId="5FCFD999" w:rsidR="0072338E" w:rsidRDefault="00AC007B"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Pr>
          <w:rFonts w:ascii="仿宋_GB2312" w:eastAsia="仿宋_GB2312"/>
          <w:color w:val="000000" w:themeColor="text1"/>
          <w:sz w:val="32"/>
          <w:szCs w:val="32"/>
        </w:rPr>
        <w:t>.</w:t>
      </w:r>
      <w:r w:rsidRPr="00AC007B">
        <w:rPr>
          <w:rFonts w:ascii="仿宋_GB2312" w:eastAsia="仿宋_GB2312" w:hint="eastAsia"/>
          <w:color w:val="000000" w:themeColor="text1"/>
          <w:sz w:val="32"/>
          <w:szCs w:val="32"/>
        </w:rPr>
        <w:t>气腔独立勾画与量化： 要求将PTV内CT值≤-900HU的区域命名为“Air”并记录其体积和分布。将传统影像上被忽略或仅作为伪影的空气，定义为一个需要被量化和管理的“结构”。因为低密度气腔会严重干扰剂量计算算法的精度（电子密度差异巨大），导致实际照射剂量与计划剂量出现偏差。</w:t>
      </w:r>
    </w:p>
    <w:p w14:paraId="2374C3E0" w14:textId="729FE0E6" w:rsidR="0072338E" w:rsidRDefault="009241A9"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sidRPr="009241A9">
        <w:rPr>
          <w:rFonts w:ascii="仿宋_GB2312" w:eastAsia="仿宋_GB2312" w:hint="eastAsia"/>
          <w:color w:val="000000" w:themeColor="text1"/>
          <w:sz w:val="32"/>
          <w:szCs w:val="32"/>
        </w:rPr>
        <w:t>风险分层： 以“气腔体积占比＞6%且CT值≥250HU”作为启动非计划干预或自适应放疗的阈值。这为临床决策提供了明确的、可量化的分界点，将主观经验转化为客观标准。</w:t>
      </w:r>
      <w:r w:rsidRPr="009241A9">
        <w:rPr>
          <w:rFonts w:ascii="仿宋_GB2312" w:eastAsia="仿宋_GB2312"/>
          <w:color w:val="000000" w:themeColor="text1"/>
          <w:sz w:val="32"/>
          <w:szCs w:val="32"/>
        </w:rPr>
        <w:t>高危患者分次间气腔波动大，提前预留剂量冗余可避免肿瘤低剂量覆盖，备用计划缩短临床应急处理时间</w:t>
      </w:r>
      <w:r>
        <w:rPr>
          <w:rFonts w:ascii="仿宋_GB2312" w:eastAsia="仿宋_GB2312" w:hint="eastAsia"/>
          <w:color w:val="000000" w:themeColor="text1"/>
          <w:sz w:val="32"/>
          <w:szCs w:val="32"/>
        </w:rPr>
        <w:t>。</w:t>
      </w:r>
    </w:p>
    <w:p w14:paraId="6726AEB5" w14:textId="6B740D99" w:rsidR="0072338E" w:rsidRPr="009241A9" w:rsidRDefault="009241A9"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w:t>
      </w:r>
      <w:r>
        <w:rPr>
          <w:rFonts w:ascii="仿宋_GB2312" w:eastAsia="仿宋_GB2312"/>
          <w:color w:val="000000" w:themeColor="text1"/>
          <w:sz w:val="32"/>
          <w:szCs w:val="32"/>
        </w:rPr>
        <w:t>.</w:t>
      </w:r>
      <w:r w:rsidRPr="009241A9">
        <w:rPr>
          <w:rFonts w:ascii="仿宋_GB2312" w:eastAsia="仿宋_GB2312" w:hint="eastAsia"/>
          <w:color w:val="000000" w:themeColor="text1"/>
          <w:sz w:val="32"/>
          <w:szCs w:val="32"/>
        </w:rPr>
        <w:t>剂量学指标量化： 设定D2%≤105%、CI≥0.87、HI≤0.07等具体参数。这些指标的制定参考了当前主流的放疗质控标准，</w:t>
      </w:r>
      <w:r w:rsidRPr="009241A9">
        <w:rPr>
          <w:rFonts w:ascii="仿宋_GB2312" w:eastAsia="仿宋_GB2312" w:hint="eastAsia"/>
          <w:color w:val="000000" w:themeColor="text1"/>
          <w:sz w:val="32"/>
          <w:szCs w:val="32"/>
        </w:rPr>
        <w:lastRenderedPageBreak/>
        <w:t>例如，有研究表明VMAT技术在直肠癌放疗中对小肠的保护具有一定优势</w:t>
      </w:r>
      <w:r>
        <w:rPr>
          <w:rFonts w:ascii="仿宋_GB2312" w:eastAsia="仿宋_GB2312" w:hint="eastAsia"/>
          <w:color w:val="000000" w:themeColor="text1"/>
          <w:sz w:val="32"/>
          <w:szCs w:val="32"/>
        </w:rPr>
        <w:t>。</w:t>
      </w:r>
    </w:p>
    <w:p w14:paraId="038E33F3" w14:textId="79F6D0AD" w:rsidR="009241A9" w:rsidRPr="00E23A73" w:rsidRDefault="009241A9" w:rsidP="009241A9">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w:t>
      </w:r>
      <w:r w:rsidRPr="004238D5">
        <w:rPr>
          <w:rFonts w:ascii="Times New Roman" w:eastAsia="楷体" w:hAnsi="Times New Roman" w:cs="Times New Roman" w:hint="eastAsia"/>
          <w:b/>
          <w:bCs/>
          <w:color w:val="000000" w:themeColor="text1"/>
          <w:kern w:val="0"/>
          <w:sz w:val="32"/>
          <w:szCs w:val="32"/>
        </w:rPr>
        <w:t>放</w:t>
      </w:r>
      <w:r w:rsidRPr="009241A9">
        <w:rPr>
          <w:rFonts w:ascii="Times New Roman" w:eastAsia="楷体" w:hAnsi="Times New Roman" w:cs="Times New Roman" w:hint="eastAsia"/>
          <w:b/>
          <w:bCs/>
          <w:color w:val="000000" w:themeColor="text1"/>
          <w:kern w:val="0"/>
          <w:sz w:val="32"/>
          <w:szCs w:val="32"/>
        </w:rPr>
        <w:t>疗中监测与干预</w:t>
      </w:r>
    </w:p>
    <w:p w14:paraId="559CA391" w14:textId="5C397621" w:rsidR="009241A9" w:rsidRPr="009241A9" w:rsidRDefault="009241A9" w:rsidP="009241A9">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1.</w:t>
      </w:r>
      <w:r w:rsidRPr="009241A9">
        <w:rPr>
          <w:rFonts w:ascii="仿宋_GB2312" w:eastAsia="仿宋_GB2312" w:hint="eastAsia"/>
          <w:color w:val="000000" w:themeColor="text1"/>
          <w:sz w:val="32"/>
          <w:szCs w:val="32"/>
        </w:rPr>
        <w:t>CBCT 监测频次分层</w:t>
      </w:r>
    </w:p>
    <w:p w14:paraId="753BC7E1" w14:textId="39A40BB6" w:rsidR="009241A9" w:rsidRPr="009241A9" w:rsidRDefault="009241A9" w:rsidP="009241A9">
      <w:pPr>
        <w:spacing w:line="520" w:lineRule="exact"/>
        <w:ind w:firstLineChars="200" w:firstLine="640"/>
        <w:rPr>
          <w:rFonts w:ascii="仿宋_GB2312" w:eastAsia="仿宋_GB2312"/>
          <w:color w:val="000000" w:themeColor="text1"/>
          <w:sz w:val="32"/>
          <w:szCs w:val="32"/>
        </w:rPr>
      </w:pPr>
      <w:r w:rsidRPr="009241A9">
        <w:rPr>
          <w:rFonts w:ascii="仿宋_GB2312" w:eastAsia="仿宋_GB2312" w:hint="eastAsia"/>
          <w:color w:val="000000" w:themeColor="text1"/>
          <w:sz w:val="32"/>
          <w:szCs w:val="32"/>
        </w:rPr>
        <w:t>低危每周1</w:t>
      </w:r>
      <w:r>
        <w:rPr>
          <w:rFonts w:ascii="仿宋_GB2312" w:eastAsia="仿宋_GB2312" w:hint="eastAsia"/>
          <w:color w:val="000000" w:themeColor="text1"/>
          <w:sz w:val="32"/>
          <w:szCs w:val="32"/>
        </w:rPr>
        <w:t>～2</w:t>
      </w:r>
      <w:r w:rsidRPr="009241A9">
        <w:rPr>
          <w:rFonts w:ascii="仿宋_GB2312" w:eastAsia="仿宋_GB2312" w:hint="eastAsia"/>
          <w:color w:val="000000" w:themeColor="text1"/>
          <w:sz w:val="32"/>
          <w:szCs w:val="32"/>
        </w:rPr>
        <w:t>次、高危每次治疗前扫描：平衡质控精度与设备效率，避免全部患者每日 CBCT 造成加速器拥堵；匹配骨性 + 软组织形变配准，解决传统刚性配准低估肠道气腔形变的缺陷。</w:t>
      </w:r>
    </w:p>
    <w:p w14:paraId="116FEEF0" w14:textId="400469C6" w:rsidR="009241A9" w:rsidRPr="009241A9" w:rsidRDefault="009241A9" w:rsidP="009241A9">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2.</w:t>
      </w:r>
      <w:r w:rsidRPr="009241A9">
        <w:rPr>
          <w:rFonts w:ascii="仿宋_GB2312" w:eastAsia="仿宋_GB2312" w:hint="eastAsia"/>
          <w:color w:val="000000" w:themeColor="text1"/>
          <w:sz w:val="32"/>
          <w:szCs w:val="32"/>
        </w:rPr>
        <w:t>气腔参数动态分析</w:t>
      </w:r>
    </w:p>
    <w:p w14:paraId="0E2E2BC2" w14:textId="154ADCB4" w:rsidR="009241A9" w:rsidRPr="009241A9" w:rsidRDefault="009241A9" w:rsidP="009241A9">
      <w:pPr>
        <w:spacing w:line="520" w:lineRule="exact"/>
        <w:ind w:firstLineChars="200" w:firstLine="640"/>
        <w:rPr>
          <w:rFonts w:ascii="仿宋_GB2312" w:eastAsia="仿宋_GB2312"/>
          <w:color w:val="000000" w:themeColor="text1"/>
          <w:sz w:val="32"/>
          <w:szCs w:val="32"/>
        </w:rPr>
      </w:pPr>
      <w:r w:rsidRPr="009241A9">
        <w:rPr>
          <w:rFonts w:ascii="仿宋_GB2312" w:eastAsia="仿宋_GB2312" w:hint="eastAsia"/>
          <w:color w:val="000000" w:themeColor="text1"/>
          <w:sz w:val="32"/>
          <w:szCs w:val="32"/>
        </w:rPr>
        <w:t>每次CBCT 重复勾画气腔，对比基线剂量参数（D98、CI、HI）变化率，实现剂量引导放疗（DGRT），不单纯依靠影像形态，以剂量偏差作为干预依据，标准更客观。</w:t>
      </w:r>
    </w:p>
    <w:p w14:paraId="1C51584B" w14:textId="5BCF51FD" w:rsidR="009241A9" w:rsidRPr="009241A9" w:rsidRDefault="009241A9" w:rsidP="009241A9">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3.</w:t>
      </w:r>
      <w:r w:rsidRPr="009241A9">
        <w:rPr>
          <w:rFonts w:ascii="仿宋_GB2312" w:eastAsia="仿宋_GB2312" w:hint="eastAsia"/>
          <w:color w:val="000000" w:themeColor="text1"/>
          <w:sz w:val="32"/>
          <w:szCs w:val="32"/>
        </w:rPr>
        <w:t>分级干预流程</w:t>
      </w:r>
    </w:p>
    <w:p w14:paraId="77B4EC2A" w14:textId="77777777" w:rsidR="009241A9" w:rsidRPr="009241A9" w:rsidRDefault="009241A9" w:rsidP="009241A9">
      <w:pPr>
        <w:spacing w:line="520" w:lineRule="exact"/>
        <w:ind w:firstLineChars="200" w:firstLine="640"/>
        <w:rPr>
          <w:rFonts w:ascii="仿宋_GB2312" w:eastAsia="仿宋_GB2312"/>
          <w:color w:val="000000" w:themeColor="text1"/>
          <w:sz w:val="32"/>
          <w:szCs w:val="32"/>
        </w:rPr>
      </w:pPr>
      <w:r w:rsidRPr="009241A9">
        <w:rPr>
          <w:rFonts w:ascii="仿宋_GB2312" w:eastAsia="仿宋_GB2312" w:hint="eastAsia"/>
          <w:color w:val="000000" w:themeColor="text1"/>
          <w:sz w:val="32"/>
          <w:szCs w:val="32"/>
        </w:rPr>
        <w:t>触发阈值量化：CT≥250HU、D98 偏差≤-2%、CI＜0.85、HI＞0.08，任一即干预；</w:t>
      </w:r>
    </w:p>
    <w:p w14:paraId="72D50CED" w14:textId="77777777" w:rsidR="009241A9" w:rsidRPr="009241A9" w:rsidRDefault="009241A9" w:rsidP="009241A9">
      <w:pPr>
        <w:spacing w:line="520" w:lineRule="exact"/>
        <w:ind w:firstLineChars="200" w:firstLine="640"/>
        <w:rPr>
          <w:rFonts w:ascii="仿宋_GB2312" w:eastAsia="仿宋_GB2312"/>
          <w:color w:val="000000" w:themeColor="text1"/>
          <w:sz w:val="32"/>
          <w:szCs w:val="32"/>
        </w:rPr>
      </w:pPr>
      <w:r w:rsidRPr="009241A9">
        <w:rPr>
          <w:rFonts w:ascii="仿宋_GB2312" w:eastAsia="仿宋_GB2312" w:hint="eastAsia"/>
          <w:color w:val="000000" w:themeColor="text1"/>
          <w:sz w:val="32"/>
          <w:szCs w:val="32"/>
        </w:rPr>
        <w:t>一级干预（无创调整）：优化饮食、排便、消胀药物，无需重新制作计划，快速执行；</w:t>
      </w:r>
    </w:p>
    <w:p w14:paraId="725DE218" w14:textId="37D22E4D" w:rsidR="009241A9" w:rsidRPr="009241A9" w:rsidRDefault="009241A9" w:rsidP="009241A9">
      <w:pPr>
        <w:spacing w:line="520" w:lineRule="exact"/>
        <w:ind w:firstLineChars="200" w:firstLine="640"/>
        <w:rPr>
          <w:rFonts w:ascii="仿宋_GB2312" w:eastAsia="仿宋_GB2312"/>
          <w:color w:val="000000" w:themeColor="text1"/>
          <w:sz w:val="32"/>
          <w:szCs w:val="32"/>
        </w:rPr>
      </w:pPr>
      <w:r w:rsidRPr="009241A9">
        <w:rPr>
          <w:rFonts w:ascii="仿宋_GB2312" w:eastAsia="仿宋_GB2312" w:hint="eastAsia"/>
          <w:color w:val="000000" w:themeColor="text1"/>
          <w:sz w:val="32"/>
          <w:szCs w:val="32"/>
        </w:rPr>
        <w:t>二级干预（启动ART）：无创调整无效后重新勾画、重算剂量，设置新计划合格阈值 D98≥95%、CI≥0.87、HI≤0.07；</w:t>
      </w:r>
    </w:p>
    <w:p w14:paraId="57D8BFE8" w14:textId="76CF2D7C" w:rsidR="0072338E" w:rsidRPr="009241A9" w:rsidRDefault="009241A9" w:rsidP="009241A9">
      <w:pPr>
        <w:spacing w:line="520" w:lineRule="exact"/>
        <w:ind w:firstLineChars="200" w:firstLine="640"/>
        <w:rPr>
          <w:rFonts w:ascii="仿宋_GB2312" w:eastAsia="仿宋_GB2312"/>
          <w:color w:val="000000" w:themeColor="text1"/>
          <w:sz w:val="32"/>
          <w:szCs w:val="32"/>
        </w:rPr>
      </w:pPr>
      <w:r w:rsidRPr="009241A9">
        <w:rPr>
          <w:rFonts w:ascii="仿宋_GB2312" w:eastAsia="仿宋_GB2312" w:hint="eastAsia"/>
          <w:color w:val="000000" w:themeColor="text1"/>
          <w:sz w:val="32"/>
          <w:szCs w:val="32"/>
        </w:rPr>
        <w:t>阶梯干预避免过度频繁自适应放疗，节约人力设备资源，同时严控靶区剂量达标底线。</w:t>
      </w:r>
    </w:p>
    <w:p w14:paraId="49CE488A" w14:textId="2D36B843" w:rsidR="009241A9" w:rsidRPr="00E23A73" w:rsidRDefault="009241A9" w:rsidP="009241A9">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w:t>
      </w:r>
      <w:r w:rsidR="000D6D4A">
        <w:rPr>
          <w:rFonts w:ascii="Times New Roman" w:eastAsia="楷体" w:hAnsi="Times New Roman" w:cs="Times New Roman" w:hint="eastAsia"/>
          <w:b/>
          <w:bCs/>
          <w:color w:val="000000" w:themeColor="text1"/>
          <w:kern w:val="0"/>
          <w:sz w:val="32"/>
          <w:szCs w:val="32"/>
        </w:rPr>
        <w:t>四</w:t>
      </w:r>
      <w:r>
        <w:rPr>
          <w:rFonts w:ascii="Times New Roman" w:eastAsia="楷体" w:hAnsi="Times New Roman" w:cs="Times New Roman" w:hint="eastAsia"/>
          <w:b/>
          <w:bCs/>
          <w:color w:val="000000" w:themeColor="text1"/>
          <w:kern w:val="0"/>
          <w:sz w:val="32"/>
          <w:szCs w:val="32"/>
        </w:rPr>
        <w:t>）</w:t>
      </w:r>
      <w:r w:rsidR="000D6D4A">
        <w:rPr>
          <w:rFonts w:ascii="Times New Roman" w:eastAsia="楷体" w:hAnsi="Times New Roman" w:cs="Times New Roman" w:hint="eastAsia"/>
          <w:b/>
          <w:bCs/>
          <w:color w:val="000000" w:themeColor="text1"/>
          <w:kern w:val="0"/>
          <w:sz w:val="32"/>
          <w:szCs w:val="32"/>
        </w:rPr>
        <w:t>注意事项</w:t>
      </w:r>
    </w:p>
    <w:p w14:paraId="0273CF9A" w14:textId="60A732ED" w:rsidR="0072338E" w:rsidRDefault="00D05921"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Pr>
          <w:rFonts w:ascii="仿宋_GB2312" w:eastAsia="仿宋_GB2312"/>
          <w:color w:val="000000" w:themeColor="text1"/>
          <w:sz w:val="32"/>
          <w:szCs w:val="32"/>
        </w:rPr>
        <w:t>.</w:t>
      </w:r>
      <w:r>
        <w:rPr>
          <w:rFonts w:ascii="仿宋_GB2312" w:eastAsia="仿宋_GB2312" w:hint="eastAsia"/>
          <w:color w:val="000000" w:themeColor="text1"/>
          <w:sz w:val="32"/>
          <w:szCs w:val="32"/>
        </w:rPr>
        <w:t>剂量</w:t>
      </w:r>
      <w:r>
        <w:rPr>
          <w:rFonts w:ascii="仿宋_GB2312" w:eastAsia="仿宋_GB2312"/>
          <w:color w:val="000000" w:themeColor="text1"/>
          <w:sz w:val="32"/>
          <w:szCs w:val="32"/>
        </w:rPr>
        <w:t>验证</w:t>
      </w:r>
    </w:p>
    <w:p w14:paraId="0201342A" w14:textId="64FD10C9" w:rsidR="0072338E" w:rsidRDefault="008D794C" w:rsidP="00E23A73">
      <w:pPr>
        <w:spacing w:line="520" w:lineRule="exact"/>
        <w:ind w:firstLineChars="200" w:firstLine="640"/>
        <w:rPr>
          <w:rFonts w:ascii="仿宋_GB2312" w:eastAsia="仿宋_GB2312"/>
          <w:color w:val="000000" w:themeColor="text1"/>
          <w:sz w:val="32"/>
          <w:szCs w:val="32"/>
        </w:rPr>
      </w:pPr>
      <w:r w:rsidRPr="008D794C">
        <w:rPr>
          <w:rFonts w:ascii="仿宋_GB2312" w:eastAsia="仿宋_GB2312" w:hint="eastAsia"/>
          <w:color w:val="000000" w:themeColor="text1"/>
          <w:sz w:val="32"/>
          <w:szCs w:val="32"/>
        </w:rPr>
        <w:t>结直肠癌放疗靶区紧邻小肠、结肠等充气、可变形肠道，肠道气体</w:t>
      </w:r>
      <w:r>
        <w:rPr>
          <w:rFonts w:ascii="仿宋_GB2312" w:eastAsia="仿宋_GB2312" w:hint="eastAsia"/>
          <w:color w:val="000000" w:themeColor="text1"/>
          <w:sz w:val="32"/>
          <w:szCs w:val="32"/>
        </w:rPr>
        <w:t>/</w:t>
      </w:r>
      <w:r w:rsidRPr="008D794C">
        <w:rPr>
          <w:rFonts w:ascii="仿宋_GB2312" w:eastAsia="仿宋_GB2312" w:hint="eastAsia"/>
          <w:color w:val="000000" w:themeColor="text1"/>
          <w:sz w:val="32"/>
          <w:szCs w:val="32"/>
        </w:rPr>
        <w:t>粪便每日变化会改变组织电子密度，造成实际体内剂量与 TPS 计划剂量出现偏移。分次累积剂量过半（50%）是关键节点：若前期剂量偏差持续超标，后半程放疗会大幅加重肠道受照</w:t>
      </w:r>
      <w:r w:rsidRPr="008D794C">
        <w:rPr>
          <w:rFonts w:ascii="仿宋_GB2312" w:eastAsia="仿宋_GB2312" w:hint="eastAsia"/>
          <w:color w:val="000000" w:themeColor="text1"/>
          <w:sz w:val="32"/>
          <w:szCs w:val="32"/>
        </w:rPr>
        <w:lastRenderedPageBreak/>
        <w:t>损伤；治疗结束验证用于复盘全程剂量误差，为后续患者方案优化提供数据</w:t>
      </w:r>
      <w:r>
        <w:rPr>
          <w:rFonts w:ascii="仿宋_GB2312" w:eastAsia="仿宋_GB2312" w:hint="eastAsia"/>
          <w:color w:val="000000" w:themeColor="text1"/>
          <w:sz w:val="32"/>
          <w:szCs w:val="32"/>
        </w:rPr>
        <w:t>。</w:t>
      </w:r>
      <w:r w:rsidRPr="008D794C">
        <w:rPr>
          <w:rFonts w:ascii="仿宋_GB2312" w:eastAsia="仿宋_GB2312" w:hint="eastAsia"/>
          <w:color w:val="000000" w:themeColor="text1"/>
          <w:sz w:val="32"/>
          <w:szCs w:val="32"/>
        </w:rPr>
        <w:t>设定 ±3% 剂量偏差阈值：盆腔空腔脏器放疗允许误差低于实体肿瘤头部放疗 ±5% 标准，收紧阈值是为严控肠道超剂量风险。</w:t>
      </w:r>
    </w:p>
    <w:p w14:paraId="5C3230D6" w14:textId="15EB1E60" w:rsidR="0072338E" w:rsidRDefault="008D794C"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Pr="008D794C">
        <w:rPr>
          <w:rFonts w:ascii="仿宋_GB2312" w:eastAsia="仿宋_GB2312"/>
          <w:color w:val="000000" w:themeColor="text1"/>
          <w:sz w:val="32"/>
          <w:szCs w:val="32"/>
        </w:rPr>
        <w:t>偏差分析</w:t>
      </w:r>
    </w:p>
    <w:p w14:paraId="36DACCDF" w14:textId="12BD9B4F" w:rsidR="0072338E" w:rsidRDefault="008D794C" w:rsidP="00E23A73">
      <w:pPr>
        <w:spacing w:line="520" w:lineRule="exact"/>
        <w:ind w:firstLineChars="200" w:firstLine="640"/>
        <w:rPr>
          <w:rFonts w:ascii="仿宋_GB2312" w:eastAsia="仿宋_GB2312"/>
          <w:color w:val="000000" w:themeColor="text1"/>
          <w:sz w:val="32"/>
          <w:szCs w:val="32"/>
        </w:rPr>
      </w:pPr>
      <w:r w:rsidRPr="008D794C">
        <w:rPr>
          <w:rFonts w:ascii="仿宋_GB2312" w:eastAsia="仿宋_GB2312" w:hint="eastAsia"/>
          <w:color w:val="000000" w:themeColor="text1"/>
          <w:sz w:val="32"/>
          <w:szCs w:val="32"/>
        </w:rPr>
        <w:t>肠道气腔剂量调控</w:t>
      </w:r>
      <w:r>
        <w:rPr>
          <w:rFonts w:ascii="仿宋_GB2312" w:eastAsia="仿宋_GB2312" w:hint="eastAsia"/>
          <w:color w:val="000000" w:themeColor="text1"/>
          <w:sz w:val="32"/>
          <w:szCs w:val="32"/>
        </w:rPr>
        <w:t>时</w:t>
      </w:r>
      <w:r w:rsidRPr="008D794C">
        <w:rPr>
          <w:rFonts w:ascii="仿宋_GB2312" w:eastAsia="仿宋_GB2312" w:hint="eastAsia"/>
          <w:color w:val="000000" w:themeColor="text1"/>
          <w:sz w:val="32"/>
          <w:szCs w:val="32"/>
        </w:rPr>
        <w:t>，肠道气体（CT≤-900HU）会降低局部电子密度，射线穿透剂量升高；高密度粪块（CT≥250HU）阻挡射线，造成靶区剂量不足。全程</w:t>
      </w:r>
      <w:r>
        <w:rPr>
          <w:rFonts w:ascii="仿宋_GB2312" w:eastAsia="仿宋_GB2312" w:hint="eastAsia"/>
          <w:color w:val="000000" w:themeColor="text1"/>
          <w:sz w:val="32"/>
          <w:szCs w:val="32"/>
        </w:rPr>
        <w:t>CBCT</w:t>
      </w:r>
      <w:r w:rsidRPr="008D794C">
        <w:rPr>
          <w:rFonts w:ascii="仿宋_GB2312" w:eastAsia="仿宋_GB2312" w:hint="eastAsia"/>
          <w:color w:val="000000" w:themeColor="text1"/>
          <w:sz w:val="32"/>
          <w:szCs w:val="32"/>
        </w:rPr>
        <w:t>可抓取每次治疗气腔动态变化，通过形变配准回溯每次实际体内剂量，建立“气腔参数—剂量偏差”量化关系，形成个体化肠道管理数据库。</w:t>
      </w:r>
    </w:p>
    <w:p w14:paraId="4B9048C2" w14:textId="716DA8A0" w:rsidR="0072338E" w:rsidRDefault="008D794C" w:rsidP="00E23A73">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w:t>
      </w:r>
      <w:r>
        <w:rPr>
          <w:rFonts w:ascii="仿宋_GB2312" w:eastAsia="仿宋_GB2312"/>
          <w:color w:val="000000" w:themeColor="text1"/>
          <w:sz w:val="32"/>
          <w:szCs w:val="32"/>
        </w:rPr>
        <w:t>.</w:t>
      </w:r>
      <w:r w:rsidRPr="008D794C">
        <w:t xml:space="preserve"> </w:t>
      </w:r>
      <w:r w:rsidRPr="008D794C">
        <w:rPr>
          <w:rFonts w:ascii="仿宋_GB2312" w:eastAsia="仿宋_GB2312"/>
          <w:color w:val="000000" w:themeColor="text1"/>
          <w:sz w:val="32"/>
          <w:szCs w:val="32"/>
        </w:rPr>
        <w:t>临床疗效</w:t>
      </w:r>
    </w:p>
    <w:p w14:paraId="38146FA3" w14:textId="7A8EA19B" w:rsidR="0072338E" w:rsidRDefault="008D794C" w:rsidP="00E23A73">
      <w:pPr>
        <w:spacing w:line="520" w:lineRule="exact"/>
        <w:ind w:firstLineChars="200" w:firstLine="640"/>
        <w:rPr>
          <w:rFonts w:ascii="仿宋_GB2312" w:eastAsia="仿宋_GB2312"/>
          <w:color w:val="000000" w:themeColor="text1"/>
          <w:sz w:val="32"/>
          <w:szCs w:val="32"/>
        </w:rPr>
      </w:pPr>
      <w:r w:rsidRPr="008D794C">
        <w:rPr>
          <w:rFonts w:ascii="仿宋_GB2312" w:eastAsia="仿宋_GB2312"/>
          <w:color w:val="000000" w:themeColor="text1"/>
          <w:sz w:val="32"/>
          <w:szCs w:val="32"/>
        </w:rPr>
        <w:t>结直肠癌新辅助放疗标准疗效评估窗口期为放疗后 1～3 个月（肿瘤纤维化、退缩达到稳定状态）；CT/MRI 可精准测量原发灶、转移淋巴结退缩程度，反向验证本标准中 PTV 剂量覆盖指标（D98、CI、HI）是否匹配肿瘤控制效果，判断肠道剂量调控策略是否在保护肠道的同时不降低肿瘤杀伤效果</w:t>
      </w:r>
      <w:r>
        <w:rPr>
          <w:rFonts w:ascii="仿宋_GB2312" w:eastAsia="仿宋_GB2312" w:hint="eastAsia"/>
          <w:color w:val="000000" w:themeColor="text1"/>
          <w:sz w:val="32"/>
          <w:szCs w:val="32"/>
        </w:rPr>
        <w:t>。</w:t>
      </w:r>
    </w:p>
    <w:p w14:paraId="5673CFD6" w14:textId="0958080A" w:rsidR="00C21107" w:rsidRPr="00C21107" w:rsidRDefault="00C21107" w:rsidP="00C21107">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C21107">
        <w:rPr>
          <w:rFonts w:ascii="Times New Roman" w:eastAsia="楷体" w:hAnsi="Times New Roman" w:cs="Times New Roman" w:hint="eastAsia"/>
          <w:b/>
          <w:bCs/>
          <w:color w:val="000000" w:themeColor="text1"/>
          <w:kern w:val="0"/>
          <w:sz w:val="32"/>
          <w:szCs w:val="32"/>
        </w:rPr>
        <w:t>（五）临床资料</w:t>
      </w:r>
    </w:p>
    <w:p w14:paraId="3B184088" w14:textId="0FD29155" w:rsidR="00C21107" w:rsidRDefault="00C21107" w:rsidP="00C21107">
      <w:pPr>
        <w:spacing w:line="520" w:lineRule="exact"/>
        <w:ind w:firstLineChars="200" w:firstLine="640"/>
        <w:rPr>
          <w:rFonts w:ascii="仿宋_GB2312" w:eastAsia="仿宋_GB2312"/>
          <w:color w:val="000000" w:themeColor="text1"/>
          <w:sz w:val="32"/>
          <w:szCs w:val="32"/>
        </w:rPr>
      </w:pPr>
      <w:r w:rsidRPr="00C21107">
        <w:rPr>
          <w:rFonts w:ascii="仿宋_GB2312" w:eastAsia="仿宋_GB2312" w:hint="eastAsia"/>
          <w:color w:val="000000" w:themeColor="text1"/>
          <w:sz w:val="32"/>
          <w:szCs w:val="32"/>
        </w:rPr>
        <w:t>选取</w:t>
      </w:r>
      <w:r>
        <w:rPr>
          <w:rFonts w:ascii="仿宋_GB2312" w:eastAsia="仿宋_GB2312" w:hint="eastAsia"/>
          <w:color w:val="000000" w:themeColor="text1"/>
          <w:sz w:val="32"/>
          <w:szCs w:val="32"/>
        </w:rPr>
        <w:t>2021</w:t>
      </w:r>
      <w:r w:rsidRPr="00C21107">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5</w:t>
      </w:r>
      <w:r w:rsidRPr="00C21107">
        <w:rPr>
          <w:rFonts w:ascii="仿宋_GB2312" w:eastAsia="仿宋_GB2312" w:hint="eastAsia"/>
          <w:color w:val="000000" w:themeColor="text1"/>
          <w:sz w:val="32"/>
          <w:szCs w:val="32"/>
        </w:rPr>
        <w:t>月至</w:t>
      </w:r>
      <w:r>
        <w:rPr>
          <w:rFonts w:ascii="仿宋_GB2312" w:eastAsia="仿宋_GB2312" w:hint="eastAsia"/>
          <w:color w:val="000000" w:themeColor="text1"/>
          <w:sz w:val="32"/>
          <w:szCs w:val="32"/>
        </w:rPr>
        <w:t>2025</w:t>
      </w:r>
      <w:r w:rsidRPr="00C21107">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9</w:t>
      </w:r>
      <w:r w:rsidRPr="00C21107">
        <w:rPr>
          <w:rFonts w:ascii="仿宋_GB2312" w:eastAsia="仿宋_GB2312" w:hint="eastAsia"/>
          <w:color w:val="000000" w:themeColor="text1"/>
          <w:sz w:val="32"/>
          <w:szCs w:val="32"/>
        </w:rPr>
        <w:t>月在广西中医药大学第一附属医院收治的30例结直肠癌，其中男</w:t>
      </w:r>
      <w:r>
        <w:rPr>
          <w:rFonts w:ascii="仿宋_GB2312" w:eastAsia="仿宋_GB2312" w:hint="eastAsia"/>
          <w:color w:val="000000" w:themeColor="text1"/>
          <w:sz w:val="32"/>
          <w:szCs w:val="32"/>
        </w:rPr>
        <w:t>19</w:t>
      </w:r>
      <w:r w:rsidRPr="00C21107">
        <w:rPr>
          <w:rFonts w:ascii="仿宋_GB2312" w:eastAsia="仿宋_GB2312" w:hint="eastAsia"/>
          <w:color w:val="000000" w:themeColor="text1"/>
          <w:sz w:val="32"/>
          <w:szCs w:val="32"/>
        </w:rPr>
        <w:t>例，女</w:t>
      </w:r>
      <w:r>
        <w:rPr>
          <w:rFonts w:ascii="仿宋_GB2312" w:eastAsia="仿宋_GB2312" w:hint="eastAsia"/>
          <w:color w:val="000000" w:themeColor="text1"/>
          <w:sz w:val="32"/>
          <w:szCs w:val="32"/>
        </w:rPr>
        <w:t>11</w:t>
      </w:r>
      <w:r w:rsidRPr="00C21107">
        <w:rPr>
          <w:rFonts w:ascii="仿宋_GB2312" w:eastAsia="仿宋_GB2312" w:hint="eastAsia"/>
          <w:color w:val="000000" w:themeColor="text1"/>
          <w:sz w:val="32"/>
          <w:szCs w:val="32"/>
        </w:rPr>
        <w:t>例，年龄37</w:t>
      </w:r>
      <w:r>
        <w:rPr>
          <w:rFonts w:ascii="仿宋_GB2312" w:eastAsia="仿宋_GB2312" w:hint="eastAsia"/>
          <w:color w:val="000000" w:themeColor="text1"/>
          <w:sz w:val="32"/>
          <w:szCs w:val="32"/>
        </w:rPr>
        <w:t>～</w:t>
      </w:r>
      <w:r w:rsidRPr="00C21107">
        <w:rPr>
          <w:rFonts w:ascii="仿宋_GB2312" w:eastAsia="仿宋_GB2312" w:hint="eastAsia"/>
          <w:color w:val="000000" w:themeColor="text1"/>
          <w:sz w:val="32"/>
          <w:szCs w:val="32"/>
        </w:rPr>
        <w:t>85 岁，中位年龄</w:t>
      </w:r>
      <w:r>
        <w:rPr>
          <w:rFonts w:ascii="仿宋_GB2312" w:eastAsia="仿宋_GB2312" w:hint="eastAsia"/>
          <w:color w:val="000000" w:themeColor="text1"/>
          <w:sz w:val="32"/>
          <w:szCs w:val="32"/>
        </w:rPr>
        <w:t>58</w:t>
      </w:r>
      <w:r w:rsidRPr="00C21107">
        <w:rPr>
          <w:rFonts w:ascii="仿宋_GB2312" w:eastAsia="仿宋_GB2312" w:hint="eastAsia"/>
          <w:color w:val="000000" w:themeColor="text1"/>
          <w:sz w:val="32"/>
          <w:szCs w:val="32"/>
        </w:rPr>
        <w:t>岁。</w:t>
      </w:r>
    </w:p>
    <w:p w14:paraId="4D521B81" w14:textId="77777777" w:rsidR="003537AA" w:rsidRDefault="00C21107" w:rsidP="00C21107">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Pr>
          <w:rFonts w:ascii="仿宋_GB2312" w:eastAsia="仿宋_GB2312"/>
          <w:color w:val="000000" w:themeColor="text1"/>
          <w:sz w:val="32"/>
          <w:szCs w:val="32"/>
        </w:rPr>
        <w:t>.CT</w:t>
      </w:r>
      <w:r>
        <w:rPr>
          <w:rFonts w:ascii="仿宋_GB2312" w:eastAsia="仿宋_GB2312" w:hint="eastAsia"/>
          <w:color w:val="000000" w:themeColor="text1"/>
          <w:sz w:val="32"/>
          <w:szCs w:val="32"/>
        </w:rPr>
        <w:t>定位扫描</w:t>
      </w:r>
    </w:p>
    <w:p w14:paraId="16A9EED6" w14:textId="7DBE9BCD" w:rsidR="003537AA" w:rsidRDefault="003537AA" w:rsidP="003537AA">
      <w:pPr>
        <w:spacing w:line="520" w:lineRule="exact"/>
        <w:ind w:firstLineChars="200" w:firstLine="640"/>
        <w:rPr>
          <w:rFonts w:ascii="仿宋_GB2312" w:eastAsia="仿宋_GB2312"/>
          <w:color w:val="000000" w:themeColor="text1"/>
          <w:sz w:val="32"/>
          <w:szCs w:val="32"/>
        </w:rPr>
      </w:pPr>
      <w:r w:rsidRPr="003537AA">
        <w:rPr>
          <w:rFonts w:ascii="仿宋_GB2312" w:eastAsia="仿宋_GB2312" w:hint="eastAsia"/>
          <w:color w:val="000000" w:themeColor="text1"/>
          <w:sz w:val="32"/>
          <w:szCs w:val="32"/>
        </w:rPr>
        <w:t>所有患者采取仰卧位，双手互抱肘关节置于额头，双腿自然伸直，用Cvicomediec 热塑体膜固定患者腹盆腔部，在患者体表用特制墨水画上辅助线，依照Gammex 激光在体膜上画好十字线标记并放置定位铅点。使用GE Discovery大孔径CT模拟定位机进行平扫加增强扫描,范围从肝上界至会阴下5cm,扫描参数:层</w:t>
      </w:r>
      <w:r w:rsidRPr="003537AA">
        <w:rPr>
          <w:rFonts w:ascii="仿宋_GB2312" w:eastAsia="仿宋_GB2312" w:hint="eastAsia"/>
          <w:color w:val="000000" w:themeColor="text1"/>
          <w:sz w:val="32"/>
          <w:szCs w:val="32"/>
        </w:rPr>
        <w:lastRenderedPageBreak/>
        <w:t>厚5 mm、电压120 KV、电流335 mA。并将获得的图像通过局域网传输至VarianEclipse 15.5治疗计划系统(Treatment Planning System, TPS)。</w:t>
      </w:r>
    </w:p>
    <w:p w14:paraId="1883D06F" w14:textId="0855B81C" w:rsidR="003537AA" w:rsidRDefault="003537AA" w:rsidP="00C21107">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Pr="003537AA">
        <w:rPr>
          <w:rFonts w:ascii="仿宋_GB2312" w:eastAsia="仿宋_GB2312" w:hint="eastAsia"/>
          <w:color w:val="000000" w:themeColor="text1"/>
          <w:sz w:val="32"/>
          <w:szCs w:val="32"/>
        </w:rPr>
        <w:t>靶区、危及器官勾画及计划设计</w:t>
      </w:r>
    </w:p>
    <w:p w14:paraId="2B0FF172" w14:textId="198F55B4" w:rsidR="003537AA" w:rsidRPr="003537AA" w:rsidRDefault="003537AA" w:rsidP="003537AA">
      <w:pPr>
        <w:spacing w:line="520" w:lineRule="exact"/>
        <w:ind w:firstLineChars="200" w:firstLine="640"/>
        <w:rPr>
          <w:rFonts w:ascii="仿宋_GB2312" w:eastAsia="仿宋_GB2312"/>
          <w:color w:val="000000" w:themeColor="text1"/>
          <w:sz w:val="32"/>
          <w:szCs w:val="32"/>
        </w:rPr>
      </w:pPr>
      <w:r w:rsidRPr="003537AA">
        <w:rPr>
          <w:rFonts w:ascii="仿宋_GB2312" w:eastAsia="仿宋_GB2312" w:hint="eastAsia"/>
          <w:color w:val="000000" w:themeColor="text1"/>
          <w:sz w:val="32"/>
          <w:szCs w:val="32"/>
        </w:rPr>
        <w:t>放疗医生结合相关影像图在 CT 平扫图上勾画出结直肠癌靶区包括：原发肿瘤体积（Gross Tumor Volume, GTV）、 临床靶区体积（Clinical Target Volume, CTV）、在 CTV 基础上向周围外放 0.5 cm 得到 PTV；以及相关危及器官。后由物理师在 TPS 上设计逆向调强计划，采用各向异性解析算法（AnisotropicAnalytical Algorithm, AAA）进行剂量计算，5 或 7 个共面照射野，处方剂量为4500 cGy</w:t>
      </w:r>
      <w:r>
        <w:rPr>
          <w:rFonts w:ascii="仿宋_GB2312" w:eastAsia="仿宋_GB2312" w:hint="eastAsia"/>
          <w:color w:val="000000" w:themeColor="text1"/>
          <w:sz w:val="32"/>
          <w:szCs w:val="32"/>
        </w:rPr>
        <w:t>～</w:t>
      </w:r>
      <w:r w:rsidRPr="003537AA">
        <w:rPr>
          <w:rFonts w:ascii="仿宋_GB2312" w:eastAsia="仿宋_GB2312" w:hint="eastAsia"/>
          <w:color w:val="000000" w:themeColor="text1"/>
          <w:sz w:val="32"/>
          <w:szCs w:val="32"/>
        </w:rPr>
        <w:t>5060 cGy 不等，标准为 100%处方剂量的等剂量线包括 100%计划靶区</w:t>
      </w:r>
    </w:p>
    <w:p w14:paraId="5DA22127" w14:textId="742DE76E" w:rsidR="003537AA" w:rsidRPr="003537AA" w:rsidRDefault="003537AA" w:rsidP="00C21107">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3.</w:t>
      </w:r>
      <w:r w:rsidRPr="003537AA">
        <w:rPr>
          <w:rFonts w:hint="eastAsia"/>
        </w:rPr>
        <w:t xml:space="preserve"> </w:t>
      </w:r>
      <w:r>
        <w:rPr>
          <w:rFonts w:ascii="仿宋_GB2312" w:eastAsia="仿宋_GB2312" w:hint="eastAsia"/>
          <w:color w:val="000000" w:themeColor="text1"/>
          <w:sz w:val="32"/>
          <w:szCs w:val="32"/>
        </w:rPr>
        <w:t>实验方法</w:t>
      </w:r>
    </w:p>
    <w:p w14:paraId="0881C7A4" w14:textId="223BCE64" w:rsidR="003537AA" w:rsidRDefault="003537AA" w:rsidP="003537AA">
      <w:pPr>
        <w:spacing w:line="520" w:lineRule="exact"/>
        <w:ind w:firstLineChars="200" w:firstLine="640"/>
        <w:rPr>
          <w:rFonts w:ascii="仿宋_GB2312" w:eastAsia="仿宋_GB2312"/>
          <w:color w:val="000000" w:themeColor="text1"/>
          <w:sz w:val="32"/>
          <w:szCs w:val="32"/>
        </w:rPr>
      </w:pPr>
      <w:r w:rsidRPr="003537AA">
        <w:rPr>
          <w:rFonts w:ascii="仿宋_GB2312" w:eastAsia="仿宋_GB2312" w:hint="eastAsia"/>
          <w:color w:val="000000" w:themeColor="text1"/>
          <w:sz w:val="32"/>
          <w:szCs w:val="32"/>
        </w:rPr>
        <w:t>在 TPS 将每例患者 CT 平扫定位图像上 PTV 所包围的肠道气腔结构（CT Value≤-900 HU）勾画出来，将其命名为 Air，并拷贝出 6 套图像，分别更改气腔结构 CT 值为-50 HU、0 HU、30 HU、250 HU、400 HU、600 HU（600 HU 为保持数据走势的完整性）。将治疗组计划（Plan-Treat）移植到更改CT 值后的 6 套图像上，为保持单一变量不改变其余参数，直接计算得到新的 6组计划即实验组计划，并对应赋予的CT值分别命名为Plan-(-50 HU)、Plan-(0 HU)、Plan-(30 HU)、Plan-(250 HU)、Plan-(400 HU)、Plan-(600 HU)。此外在 TPS 上进行建模：勾画出 Body、PTV 和气腔（分别居于 PTV 中心和偏心处），同样分为治疗组和实验组，每组都设置气腔体积占比为 2%</w:t>
      </w:r>
      <w:r>
        <w:rPr>
          <w:rFonts w:ascii="仿宋_GB2312" w:eastAsia="仿宋_GB2312" w:hint="eastAsia"/>
          <w:color w:val="000000" w:themeColor="text1"/>
          <w:sz w:val="32"/>
          <w:szCs w:val="32"/>
        </w:rPr>
        <w:t>～</w:t>
      </w:r>
      <w:r w:rsidRPr="003537AA">
        <w:rPr>
          <w:rFonts w:ascii="仿宋_GB2312" w:eastAsia="仿宋_GB2312" w:hint="eastAsia"/>
          <w:color w:val="000000" w:themeColor="text1"/>
          <w:sz w:val="32"/>
          <w:szCs w:val="32"/>
        </w:rPr>
        <w:t>16%，间隔 2%即共 8 组；对模型进行计划计算：给予 PTV 处方剂量 5000 cGy，单次 200 cGy，布野为 7 野均分，标准为 100%处方剂量的等剂量线</w:t>
      </w:r>
      <w:r w:rsidRPr="003537AA">
        <w:rPr>
          <w:rFonts w:ascii="仿宋_GB2312" w:eastAsia="仿宋_GB2312" w:hint="eastAsia"/>
          <w:color w:val="000000" w:themeColor="text1"/>
          <w:sz w:val="32"/>
          <w:szCs w:val="32"/>
        </w:rPr>
        <w:lastRenderedPageBreak/>
        <w:t>包括 100%计划靶区</w:t>
      </w:r>
    </w:p>
    <w:p w14:paraId="4ABA5B96" w14:textId="77777777" w:rsidR="003537AA" w:rsidRDefault="003537AA" w:rsidP="00C21107">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4.</w:t>
      </w:r>
      <w:r>
        <w:rPr>
          <w:rFonts w:ascii="仿宋_GB2312" w:eastAsia="仿宋_GB2312" w:hint="eastAsia"/>
          <w:color w:val="000000" w:themeColor="text1"/>
          <w:sz w:val="32"/>
          <w:szCs w:val="32"/>
        </w:rPr>
        <w:t>计划评价指标</w:t>
      </w:r>
    </w:p>
    <w:p w14:paraId="70B92471" w14:textId="29C450C8" w:rsidR="00F92463" w:rsidRDefault="00F92463" w:rsidP="00F92463">
      <w:pPr>
        <w:spacing w:line="520" w:lineRule="exact"/>
        <w:ind w:firstLineChars="200" w:firstLine="640"/>
        <w:rPr>
          <w:rFonts w:ascii="仿宋_GB2312" w:eastAsia="仿宋_GB2312"/>
          <w:color w:val="000000" w:themeColor="text1"/>
          <w:sz w:val="32"/>
          <w:szCs w:val="32"/>
        </w:rPr>
      </w:pPr>
      <w:r w:rsidRPr="00F92463">
        <w:rPr>
          <w:rFonts w:ascii="仿宋_GB2312" w:eastAsia="仿宋_GB2312" w:hint="eastAsia"/>
          <w:color w:val="000000" w:themeColor="text1"/>
          <w:sz w:val="32"/>
          <w:szCs w:val="32"/>
        </w:rPr>
        <w:t>PTV 剂量学评价指标包括最大剂量（DMax）、平均剂量(DMean）、98%PTV 体积受照剂量（D98%）、50%PTV 体积受照剂量（D50%)、2%PTV 体积受照剂量（D2%）；以及计划的适形性指数（conformity index, CI）、均匀性指数（homogeneity index, HI）。CI 是反映处方剂量包绕的体积 VR 形状和大小与肿瘤靶区体积 VT的符合程度，CI 值越接近</w:t>
      </w:r>
      <w:r>
        <w:rPr>
          <w:rFonts w:ascii="仿宋_GB2312" w:eastAsia="仿宋_GB2312" w:hint="eastAsia"/>
          <w:color w:val="000000" w:themeColor="text1"/>
          <w:sz w:val="32"/>
          <w:szCs w:val="32"/>
        </w:rPr>
        <w:t>1</w:t>
      </w:r>
      <w:r w:rsidRPr="00F92463">
        <w:rPr>
          <w:rFonts w:ascii="仿宋_GB2312" w:eastAsia="仿宋_GB2312" w:hint="eastAsia"/>
          <w:color w:val="000000" w:themeColor="text1"/>
          <w:sz w:val="32"/>
          <w:szCs w:val="32"/>
        </w:rPr>
        <w:t>说明适形度越好，采用</w:t>
      </w:r>
      <w:r w:rsidRPr="00F92463">
        <w:rPr>
          <w:rFonts w:ascii="仿宋_GB2312" w:eastAsia="仿宋_GB2312"/>
          <w:color w:val="000000" w:themeColor="text1"/>
          <w:sz w:val="32"/>
          <w:szCs w:val="32"/>
        </w:rPr>
        <w:t>Paddick</w:t>
      </w:r>
      <w:r w:rsidRPr="00F92463">
        <w:rPr>
          <w:rFonts w:ascii="仿宋_GB2312" w:eastAsia="仿宋_GB2312" w:hint="eastAsia"/>
          <w:color w:val="000000" w:themeColor="text1"/>
          <w:sz w:val="32"/>
          <w:szCs w:val="32"/>
        </w:rPr>
        <w:t>公式</w:t>
      </w:r>
      <w:r>
        <w:rPr>
          <w:rFonts w:ascii="仿宋_GB2312" w:eastAsia="仿宋_GB2312" w:hint="eastAsia"/>
          <w:color w:val="000000" w:themeColor="text1"/>
          <w:sz w:val="32"/>
          <w:szCs w:val="32"/>
        </w:rPr>
        <w:t>。</w:t>
      </w:r>
    </w:p>
    <w:p w14:paraId="6B5BBED4" w14:textId="3A2D908D" w:rsidR="00F92463" w:rsidRPr="00F92463" w:rsidRDefault="00F92463" w:rsidP="00F92463">
      <w:pPr>
        <w:pStyle w:val="BodyText2"/>
      </w:pPr>
      <m:oMathPara>
        <m:oMath>
          <m:r>
            <m:rPr>
              <m:nor/>
            </m:rPr>
            <w:rPr>
              <w:rFonts w:ascii="Cambria Math" w:hAnsi="Cambria Math"/>
            </w:rPr>
            <m:t>CI=</m:t>
          </m:r>
          <m:f>
            <m:fPr>
              <m:ctrlPr>
                <w:rPr>
                  <w:rFonts w:ascii="Cambria Math" w:hAnsi="Cambria Math"/>
                </w:rPr>
              </m:ctrlPr>
            </m:fPr>
            <m:num>
              <m:sSub>
                <m:sSubPr>
                  <m:ctrlPr>
                    <w:rPr>
                      <w:rFonts w:ascii="Cambria Math" w:hAnsi="Cambria Math"/>
                      <w:i/>
                    </w:rPr>
                  </m:ctrlPr>
                </m:sSubPr>
                <m:e>
                  <m:r>
                    <m:rPr>
                      <m:nor/>
                    </m:rPr>
                    <w:rPr>
                      <w:rFonts w:ascii="Cambria Math" w:hAnsi="Cambria Math"/>
                    </w:rPr>
                    <m:t>V</m:t>
                  </m:r>
                </m:e>
                <m:sub>
                  <m:r>
                    <m:rPr>
                      <m:nor/>
                    </m:rPr>
                    <w:rPr>
                      <w:rFonts w:ascii="Cambria Math" w:hAnsi="Cambria Math"/>
                    </w:rPr>
                    <m:t>R-T</m:t>
                  </m:r>
                </m:sub>
              </m:sSub>
            </m:num>
            <m:den>
              <m:sSub>
                <m:sSubPr>
                  <m:ctrlPr>
                    <w:rPr>
                      <w:rFonts w:ascii="Cambria Math" w:hAnsi="Cambria Math"/>
                      <w:i/>
                    </w:rPr>
                  </m:ctrlPr>
                </m:sSubPr>
                <m:e>
                  <m:r>
                    <m:rPr>
                      <m:nor/>
                    </m:rPr>
                    <w:rPr>
                      <w:rFonts w:ascii="Cambria Math" w:hAnsi="Cambria Math"/>
                    </w:rPr>
                    <m:t>V</m:t>
                  </m:r>
                </m:e>
                <m:sub>
                  <m:r>
                    <m:rPr>
                      <m:nor/>
                    </m:rPr>
                    <w:rPr>
                      <w:rFonts w:ascii="Cambria Math" w:hAnsi="Cambria Math"/>
                    </w:rPr>
                    <m:t>T</m:t>
                  </m:r>
                </m:sub>
              </m:sSub>
            </m:den>
          </m:f>
          <m:r>
            <m:rPr>
              <m:nor/>
            </m:rPr>
            <w:rPr>
              <w:rFonts w:ascii="Cambria Math" w:hAnsi="Cambria Math"/>
            </w:rPr>
            <m:t>×</m:t>
          </m:r>
          <m:f>
            <m:fPr>
              <m:ctrlPr>
                <w:rPr>
                  <w:rFonts w:ascii="Cambria Math" w:hAnsi="Cambria Math"/>
                  <w:i/>
                </w:rPr>
              </m:ctrlPr>
            </m:fPr>
            <m:num>
              <m:sSub>
                <m:sSubPr>
                  <m:ctrlPr>
                    <w:rPr>
                      <w:rFonts w:ascii="Cambria Math" w:hAnsi="Cambria Math"/>
                      <w:i/>
                    </w:rPr>
                  </m:ctrlPr>
                </m:sSubPr>
                <m:e>
                  <m:r>
                    <m:rPr>
                      <m:nor/>
                    </m:rPr>
                    <w:rPr>
                      <w:rFonts w:ascii="Cambria Math" w:hAnsi="Cambria Math"/>
                    </w:rPr>
                    <m:t>V</m:t>
                  </m:r>
                </m:e>
                <m:sub>
                  <m:r>
                    <m:rPr>
                      <m:nor/>
                    </m:rPr>
                    <w:rPr>
                      <w:rFonts w:ascii="Cambria Math" w:hAnsi="Cambria Math"/>
                    </w:rPr>
                    <m:t>R-T</m:t>
                  </m:r>
                </m:sub>
              </m:sSub>
            </m:num>
            <m:den>
              <m:sSub>
                <m:sSubPr>
                  <m:ctrlPr>
                    <w:rPr>
                      <w:rFonts w:ascii="Cambria Math" w:hAnsi="Cambria Math"/>
                      <w:i/>
                    </w:rPr>
                  </m:ctrlPr>
                </m:sSubPr>
                <m:e>
                  <m:r>
                    <m:rPr>
                      <m:nor/>
                    </m:rPr>
                    <w:rPr>
                      <w:rFonts w:ascii="Cambria Math" w:hAnsi="Cambria Math"/>
                    </w:rPr>
                    <m:t>V</m:t>
                  </m:r>
                </m:e>
                <m:sub>
                  <m:r>
                    <m:rPr>
                      <m:nor/>
                    </m:rPr>
                    <w:rPr>
                      <w:rFonts w:ascii="Cambria Math" w:hAnsi="Cambria Math"/>
                    </w:rPr>
                    <m:t>R</m:t>
                  </m:r>
                </m:sub>
              </m:sSub>
            </m:den>
          </m:f>
        </m:oMath>
      </m:oMathPara>
    </w:p>
    <w:p w14:paraId="49DDEBA6" w14:textId="77777777" w:rsidR="00F92463" w:rsidRPr="00F92463" w:rsidRDefault="00F92463" w:rsidP="00F92463">
      <w:pPr>
        <w:spacing w:line="520" w:lineRule="exact"/>
        <w:ind w:firstLineChars="200" w:firstLine="640"/>
        <w:rPr>
          <w:rFonts w:ascii="仿宋_GB2312" w:eastAsia="仿宋_GB2312"/>
          <w:color w:val="000000" w:themeColor="text1"/>
          <w:sz w:val="32"/>
          <w:szCs w:val="32"/>
        </w:rPr>
      </w:pPr>
      <w:r w:rsidRPr="00F92463">
        <w:rPr>
          <w:rFonts w:ascii="仿宋_GB2312" w:eastAsia="仿宋_GB2312" w:hint="eastAsia"/>
          <w:color w:val="000000" w:themeColor="text1"/>
          <w:sz w:val="32"/>
          <w:szCs w:val="32"/>
        </w:rPr>
        <w:t>式中：</w:t>
      </w:r>
    </w:p>
    <w:p w14:paraId="61A6091B" w14:textId="77777777" w:rsidR="00F92463" w:rsidRPr="005F1582" w:rsidRDefault="00F92463" w:rsidP="00F92463">
      <w:pPr>
        <w:pStyle w:val="affa"/>
        <w:rPr>
          <w:color w:val="000000" w:themeColor="text1"/>
        </w:rPr>
      </w:pPr>
      <w:r w:rsidRPr="005F1582">
        <w:rPr>
          <w:rFonts w:hint="eastAsia"/>
          <w:color w:val="000000" w:themeColor="text1"/>
        </w:rPr>
        <w:t>CI ——适形性指数，无量纲；</w:t>
      </w:r>
    </w:p>
    <w:p w14:paraId="39B84DCA" w14:textId="77777777" w:rsidR="00F92463" w:rsidRPr="005F1582" w:rsidRDefault="00F92463" w:rsidP="00F92463">
      <w:pPr>
        <w:pStyle w:val="affa"/>
        <w:rPr>
          <w:color w:val="000000" w:themeColor="text1"/>
        </w:rPr>
      </w:pPr>
      <w:r w:rsidRPr="005F1582">
        <w:rPr>
          <w:rFonts w:hint="eastAsia"/>
          <w:color w:val="000000" w:themeColor="text1"/>
        </w:rPr>
        <w:t>V</w:t>
      </w:r>
      <w:r w:rsidRPr="005F1582">
        <w:rPr>
          <w:rFonts w:hint="eastAsia"/>
          <w:color w:val="000000" w:themeColor="text1"/>
          <w:vertAlign w:val="subscript"/>
        </w:rPr>
        <w:t>R-T</w:t>
      </w:r>
      <w:r w:rsidRPr="005F1582">
        <w:rPr>
          <w:rFonts w:hint="eastAsia"/>
          <w:color w:val="000000" w:themeColor="text1"/>
        </w:rPr>
        <w:t xml:space="preserve"> ——处方剂量包绕的靶区体积，</w:t>
      </w:r>
      <w:r w:rsidRPr="005F1582">
        <w:rPr>
          <w:color w:val="000000" w:themeColor="text1"/>
        </w:rPr>
        <w:t>单位为</w:t>
      </w:r>
      <w:r w:rsidRPr="005F1582">
        <w:rPr>
          <w:rFonts w:hint="eastAsia"/>
          <w:color w:val="000000" w:themeColor="text1"/>
        </w:rPr>
        <w:t>立方厘米（cm</w:t>
      </w:r>
      <w:r w:rsidRPr="005F1582">
        <w:rPr>
          <w:rFonts w:hint="eastAsia"/>
          <w:color w:val="000000" w:themeColor="text1"/>
          <w:vertAlign w:val="superscript"/>
        </w:rPr>
        <w:t>3</w:t>
      </w:r>
      <w:r w:rsidRPr="005F1582">
        <w:rPr>
          <w:rFonts w:hint="eastAsia"/>
          <w:color w:val="000000" w:themeColor="text1"/>
        </w:rPr>
        <w:t>）；</w:t>
      </w:r>
    </w:p>
    <w:p w14:paraId="6E8D1752" w14:textId="77777777" w:rsidR="00F92463" w:rsidRPr="005F1582" w:rsidRDefault="00F92463" w:rsidP="00F92463">
      <w:pPr>
        <w:pStyle w:val="affa"/>
        <w:rPr>
          <w:color w:val="000000" w:themeColor="text1"/>
        </w:rPr>
      </w:pPr>
      <w:r w:rsidRPr="005F1582">
        <w:rPr>
          <w:rFonts w:hint="eastAsia"/>
          <w:color w:val="000000" w:themeColor="text1"/>
        </w:rPr>
        <w:t>V</w:t>
      </w:r>
      <w:r w:rsidRPr="005F1582">
        <w:rPr>
          <w:rFonts w:hint="eastAsia"/>
          <w:color w:val="000000" w:themeColor="text1"/>
          <w:vertAlign w:val="subscript"/>
        </w:rPr>
        <w:t>T</w:t>
      </w:r>
      <w:r w:rsidRPr="005F1582">
        <w:rPr>
          <w:rFonts w:hint="eastAsia"/>
          <w:color w:val="000000" w:themeColor="text1"/>
        </w:rPr>
        <w:t xml:space="preserve"> </w:t>
      </w:r>
      <w:r w:rsidRPr="005F1582">
        <w:rPr>
          <w:color w:val="000000" w:themeColor="text1"/>
        </w:rPr>
        <w:t xml:space="preserve"> </w:t>
      </w:r>
      <w:r w:rsidRPr="005F1582">
        <w:rPr>
          <w:rFonts w:hint="eastAsia"/>
          <w:color w:val="000000" w:themeColor="text1"/>
        </w:rPr>
        <w:t>——靶区体积，单位为立方厘米（cm</w:t>
      </w:r>
      <w:r w:rsidRPr="005F1582">
        <w:rPr>
          <w:rFonts w:hint="eastAsia"/>
          <w:color w:val="000000" w:themeColor="text1"/>
          <w:vertAlign w:val="superscript"/>
        </w:rPr>
        <w:t>3</w:t>
      </w:r>
      <w:r w:rsidRPr="005F1582">
        <w:rPr>
          <w:rFonts w:hint="eastAsia"/>
          <w:color w:val="000000" w:themeColor="text1"/>
        </w:rPr>
        <w:t>）；</w:t>
      </w:r>
    </w:p>
    <w:p w14:paraId="35C495EF" w14:textId="4AD8F155" w:rsidR="00F92463" w:rsidRDefault="00F92463" w:rsidP="00F92463">
      <w:pPr>
        <w:pStyle w:val="affa"/>
        <w:rPr>
          <w:color w:val="000000" w:themeColor="text1"/>
        </w:rPr>
      </w:pPr>
      <w:r w:rsidRPr="005F1582">
        <w:rPr>
          <w:rFonts w:hint="eastAsia"/>
          <w:color w:val="000000" w:themeColor="text1"/>
        </w:rPr>
        <w:t>V</w:t>
      </w:r>
      <w:r w:rsidRPr="005F1582">
        <w:rPr>
          <w:rFonts w:hint="eastAsia"/>
          <w:color w:val="000000" w:themeColor="text1"/>
          <w:vertAlign w:val="subscript"/>
        </w:rPr>
        <w:t>R</w:t>
      </w:r>
      <w:r w:rsidRPr="005F1582">
        <w:rPr>
          <w:rFonts w:hint="eastAsia"/>
          <w:color w:val="000000" w:themeColor="text1"/>
        </w:rPr>
        <w:t xml:space="preserve"> </w:t>
      </w:r>
      <w:r w:rsidRPr="005F1582">
        <w:rPr>
          <w:color w:val="000000" w:themeColor="text1"/>
        </w:rPr>
        <w:t xml:space="preserve"> </w:t>
      </w:r>
      <w:r w:rsidRPr="005F1582">
        <w:rPr>
          <w:rFonts w:hint="eastAsia"/>
          <w:color w:val="000000" w:themeColor="text1"/>
        </w:rPr>
        <w:t>——处方剂量包绕的总体积，单位为立方厘米（cm</w:t>
      </w:r>
      <w:r w:rsidRPr="005F1582">
        <w:rPr>
          <w:rFonts w:hint="eastAsia"/>
          <w:color w:val="000000" w:themeColor="text1"/>
          <w:vertAlign w:val="superscript"/>
        </w:rPr>
        <w:t>3</w:t>
      </w:r>
      <w:r w:rsidRPr="005F1582">
        <w:rPr>
          <w:rFonts w:hint="eastAsia"/>
          <w:color w:val="000000" w:themeColor="text1"/>
        </w:rPr>
        <w:t>）。</w:t>
      </w:r>
    </w:p>
    <w:p w14:paraId="4732609C" w14:textId="75C99726" w:rsidR="00F92463" w:rsidRPr="00F92463" w:rsidRDefault="00F92463" w:rsidP="00F92463">
      <w:pPr>
        <w:pStyle w:val="BodyText2"/>
        <w:rPr>
          <w:rFonts w:ascii="Cambria Math" w:eastAsia="仿宋" w:hAnsi="Cambria Math"/>
          <w:color w:val="000000" w:themeColor="text1"/>
        </w:rPr>
      </w:pPr>
      <m:oMathPara>
        <m:oMath>
          <m:r>
            <m:rPr>
              <m:nor/>
            </m:rPr>
            <w:rPr>
              <w:rFonts w:ascii="Cambria Math" w:eastAsia="仿宋" w:hAnsi="Cambria Math"/>
              <w:color w:val="000000" w:themeColor="text1"/>
            </w:rPr>
            <m:t>CI=</m:t>
          </m:r>
          <m:f>
            <m:fPr>
              <m:ctrlPr>
                <w:rPr>
                  <w:rFonts w:ascii="Cambria Math" w:eastAsia="仿宋" w:hAnsi="Cambria Math"/>
                  <w:color w:val="000000" w:themeColor="text1"/>
                </w:rPr>
              </m:ctrlPr>
            </m:fPr>
            <m:num>
              <m:sSub>
                <m:sSubPr>
                  <m:ctrlPr>
                    <w:rPr>
                      <w:rFonts w:ascii="Cambria Math" w:eastAsia="仿宋" w:hAnsi="Cambria Math"/>
                      <w:i/>
                      <w:color w:val="000000" w:themeColor="text1"/>
                    </w:rPr>
                  </m:ctrlPr>
                </m:sSubPr>
                <m:e>
                  <m:r>
                    <m:rPr>
                      <m:nor/>
                    </m:rPr>
                    <w:rPr>
                      <w:rFonts w:ascii="Cambria Math" w:eastAsia="仿宋" w:hAnsi="Cambria Math"/>
                      <w:color w:val="000000" w:themeColor="text1"/>
                    </w:rPr>
                    <m:t>D</m:t>
                  </m:r>
                </m:e>
                <m:sub>
                  <m:r>
                    <m:rPr>
                      <m:nor/>
                    </m:rPr>
                    <w:rPr>
                      <w:rFonts w:ascii="Cambria Math" w:eastAsia="仿宋" w:hAnsi="Cambria Math"/>
                      <w:color w:val="000000" w:themeColor="text1"/>
                    </w:rPr>
                    <m:t>2%</m:t>
                  </m:r>
                </m:sub>
              </m:sSub>
              <m:r>
                <w:rPr>
                  <w:rFonts w:ascii="Cambria Math" w:eastAsia="仿宋" w:hAnsi="Cambria Math"/>
                  <w:color w:val="000000" w:themeColor="text1"/>
                </w:rPr>
                <m:t>-</m:t>
              </m:r>
              <m:sSub>
                <m:sSubPr>
                  <m:ctrlPr>
                    <w:rPr>
                      <w:rFonts w:ascii="Cambria Math" w:eastAsia="仿宋" w:hAnsi="Cambria Math"/>
                      <w:color w:val="000000" w:themeColor="text1"/>
                    </w:rPr>
                  </m:ctrlPr>
                </m:sSubPr>
                <m:e>
                  <m:r>
                    <m:rPr>
                      <m:nor/>
                    </m:rPr>
                    <w:rPr>
                      <w:rFonts w:ascii="Cambria Math" w:eastAsia="仿宋" w:hAnsi="Cambria Math"/>
                      <w:color w:val="000000" w:themeColor="text1"/>
                    </w:rPr>
                    <m:t>D</m:t>
                  </m:r>
                </m:e>
                <m:sub>
                  <m:r>
                    <m:rPr>
                      <m:nor/>
                    </m:rPr>
                    <w:rPr>
                      <w:rFonts w:ascii="Cambria Math" w:eastAsia="仿宋" w:hAnsi="Cambria Math"/>
                      <w:color w:val="000000" w:themeColor="text1"/>
                    </w:rPr>
                    <m:t>98%</m:t>
                  </m:r>
                </m:sub>
              </m:sSub>
            </m:num>
            <m:den>
              <m:sSub>
                <m:sSubPr>
                  <m:ctrlPr>
                    <w:rPr>
                      <w:rFonts w:ascii="Cambria Math" w:eastAsia="仿宋" w:hAnsi="Cambria Math"/>
                      <w:i/>
                      <w:color w:val="000000" w:themeColor="text1"/>
                    </w:rPr>
                  </m:ctrlPr>
                </m:sSubPr>
                <m:e>
                  <m:r>
                    <m:rPr>
                      <m:nor/>
                    </m:rPr>
                    <w:rPr>
                      <w:rFonts w:ascii="Cambria Math" w:eastAsia="仿宋" w:hAnsi="Cambria Math"/>
                      <w:color w:val="000000" w:themeColor="text1"/>
                    </w:rPr>
                    <m:t>D</m:t>
                  </m:r>
                </m:e>
                <m:sub>
                  <m:r>
                    <m:rPr>
                      <m:nor/>
                    </m:rPr>
                    <w:rPr>
                      <w:rFonts w:ascii="Cambria Math" w:eastAsia="仿宋" w:hAnsi="Cambria Math"/>
                      <w:color w:val="000000" w:themeColor="text1"/>
                    </w:rPr>
                    <m:t>50%</m:t>
                  </m:r>
                </m:sub>
              </m:sSub>
            </m:den>
          </m:f>
        </m:oMath>
      </m:oMathPara>
    </w:p>
    <w:p w14:paraId="4D0B470B" w14:textId="77777777" w:rsidR="00F92463" w:rsidRPr="00F92463" w:rsidRDefault="00F92463" w:rsidP="00F92463">
      <w:pPr>
        <w:pStyle w:val="affa"/>
      </w:pPr>
      <w:r w:rsidRPr="00F92463">
        <w:rPr>
          <w:rFonts w:hint="eastAsia"/>
        </w:rPr>
        <w:t>式中：</w:t>
      </w:r>
    </w:p>
    <w:p w14:paraId="44B14225" w14:textId="77777777" w:rsidR="00F92463" w:rsidRPr="00F92463" w:rsidRDefault="00F92463" w:rsidP="00F92463">
      <w:pPr>
        <w:pStyle w:val="affa"/>
      </w:pPr>
      <w:r w:rsidRPr="00F92463">
        <w:rPr>
          <w:rFonts w:hint="eastAsia"/>
        </w:rPr>
        <w:t>HI ——均匀性指数，无量纲；</w:t>
      </w:r>
    </w:p>
    <w:p w14:paraId="5F43546A" w14:textId="77777777" w:rsidR="00F92463" w:rsidRPr="00F92463" w:rsidRDefault="00F92463" w:rsidP="00F92463">
      <w:pPr>
        <w:pStyle w:val="affa"/>
      </w:pPr>
      <w:r w:rsidRPr="00F92463">
        <w:rPr>
          <w:rFonts w:hint="eastAsia"/>
        </w:rPr>
        <w:t>D</w:t>
      </w:r>
      <w:r w:rsidRPr="00F92463">
        <w:rPr>
          <w:rFonts w:hint="eastAsia"/>
          <w:vertAlign w:val="subscript"/>
        </w:rPr>
        <w:t>2％</w:t>
      </w:r>
      <w:r w:rsidRPr="00F92463">
        <w:rPr>
          <w:rFonts w:hint="eastAsia"/>
        </w:rPr>
        <w:t xml:space="preserve"> </w:t>
      </w:r>
      <w:r w:rsidRPr="00F92463">
        <w:rPr>
          <w:vertAlign w:val="superscript"/>
        </w:rPr>
        <w:t xml:space="preserve"> </w:t>
      </w:r>
      <w:r w:rsidRPr="00F92463">
        <w:rPr>
          <w:rFonts w:hint="eastAsia"/>
        </w:rPr>
        <w:t>——2％ PTV体积受照剂量，单位为厘戈瑞（cGy）；</w:t>
      </w:r>
    </w:p>
    <w:p w14:paraId="350A5195" w14:textId="77777777" w:rsidR="00F92463" w:rsidRPr="00F92463" w:rsidRDefault="00F92463" w:rsidP="00F92463">
      <w:pPr>
        <w:pStyle w:val="affa"/>
      </w:pPr>
      <w:r w:rsidRPr="00F92463">
        <w:rPr>
          <w:rFonts w:hint="eastAsia"/>
        </w:rPr>
        <w:t>D</w:t>
      </w:r>
      <w:r w:rsidRPr="00F92463">
        <w:rPr>
          <w:rFonts w:hint="eastAsia"/>
          <w:vertAlign w:val="subscript"/>
        </w:rPr>
        <w:t>98％</w:t>
      </w:r>
      <w:r w:rsidRPr="00F92463">
        <w:rPr>
          <w:rFonts w:hint="eastAsia"/>
        </w:rPr>
        <w:t xml:space="preserve"> ——98％ PTV体积受照剂量，单位为厘戈瑞（cGy）；</w:t>
      </w:r>
    </w:p>
    <w:p w14:paraId="67E88A42" w14:textId="77777777" w:rsidR="00F92463" w:rsidRPr="00F92463" w:rsidRDefault="00F92463" w:rsidP="00F92463">
      <w:pPr>
        <w:pStyle w:val="affa"/>
      </w:pPr>
      <w:r w:rsidRPr="00F92463">
        <w:rPr>
          <w:rFonts w:hint="eastAsia"/>
        </w:rPr>
        <w:t>D</w:t>
      </w:r>
      <w:r w:rsidRPr="00F92463">
        <w:rPr>
          <w:rFonts w:hint="eastAsia"/>
          <w:vertAlign w:val="subscript"/>
        </w:rPr>
        <w:t>50％</w:t>
      </w:r>
      <w:r w:rsidRPr="00F92463">
        <w:rPr>
          <w:rFonts w:hint="eastAsia"/>
        </w:rPr>
        <w:t xml:space="preserve"> ——50％ PTV体积受照剂量，单位为厘戈瑞（cGy）。</w:t>
      </w:r>
    </w:p>
    <w:p w14:paraId="5D1CA276" w14:textId="1EDFD9F3" w:rsidR="00F92463" w:rsidRPr="00F92463" w:rsidRDefault="00F92463" w:rsidP="00F92463">
      <w:pPr>
        <w:spacing w:line="520" w:lineRule="exact"/>
        <w:ind w:firstLineChars="200" w:firstLine="640"/>
        <w:rPr>
          <w:rFonts w:ascii="仿宋_GB2312" w:eastAsia="仿宋_GB2312"/>
          <w:color w:val="000000" w:themeColor="text1"/>
          <w:sz w:val="32"/>
          <w:szCs w:val="32"/>
        </w:rPr>
      </w:pPr>
      <w:r w:rsidRPr="00F92463">
        <w:rPr>
          <w:rFonts w:ascii="仿宋_GB2312" w:eastAsia="仿宋_GB2312" w:hint="eastAsia"/>
          <w:color w:val="000000" w:themeColor="text1"/>
          <w:sz w:val="32"/>
          <w:szCs w:val="32"/>
        </w:rPr>
        <w:t>HI 是指靶区内剂量分布的均匀性程度，该指数越接近 0，说明靶区内剂量越均匀</w:t>
      </w:r>
      <w:r>
        <w:rPr>
          <w:rFonts w:ascii="仿宋_GB2312" w:eastAsia="仿宋_GB2312" w:hint="eastAsia"/>
          <w:color w:val="000000" w:themeColor="text1"/>
          <w:sz w:val="32"/>
          <w:szCs w:val="32"/>
        </w:rPr>
        <w:t>，</w:t>
      </w:r>
      <w:r w:rsidRPr="00F92463">
        <w:rPr>
          <w:rFonts w:ascii="仿宋_GB2312" w:eastAsia="仿宋_GB2312" w:hint="eastAsia"/>
          <w:color w:val="000000" w:themeColor="text1"/>
          <w:sz w:val="32"/>
          <w:szCs w:val="32"/>
        </w:rPr>
        <w:t>应用 DMax、DMean评价小肠及膀胱的受</w:t>
      </w:r>
      <w:r w:rsidRPr="00F92463">
        <w:rPr>
          <w:rFonts w:ascii="仿宋_GB2312" w:eastAsia="仿宋_GB2312" w:hint="eastAsia"/>
          <w:color w:val="000000" w:themeColor="text1"/>
          <w:sz w:val="32"/>
          <w:szCs w:val="32"/>
        </w:rPr>
        <w:lastRenderedPageBreak/>
        <w:t>照剂量和受相应剂量照射的体积。</w:t>
      </w:r>
    </w:p>
    <w:p w14:paraId="786B162E" w14:textId="3364E7F2" w:rsidR="00F92463" w:rsidRPr="00F92463" w:rsidRDefault="00F92463" w:rsidP="00F92463">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5.</w:t>
      </w:r>
      <w:r>
        <w:rPr>
          <w:rFonts w:ascii="仿宋_GB2312" w:eastAsia="仿宋_GB2312" w:hint="eastAsia"/>
          <w:color w:val="000000" w:themeColor="text1"/>
          <w:sz w:val="32"/>
          <w:szCs w:val="32"/>
        </w:rPr>
        <w:t>统计学</w:t>
      </w:r>
      <w:r>
        <w:rPr>
          <w:rFonts w:ascii="仿宋_GB2312" w:eastAsia="仿宋_GB2312"/>
          <w:color w:val="000000" w:themeColor="text1"/>
          <w:sz w:val="32"/>
          <w:szCs w:val="32"/>
        </w:rPr>
        <w:t>方法</w:t>
      </w:r>
    </w:p>
    <w:p w14:paraId="38120ACD" w14:textId="7317F09C" w:rsidR="00F92463" w:rsidRDefault="00F92463" w:rsidP="00F92463">
      <w:pPr>
        <w:spacing w:line="520" w:lineRule="exact"/>
        <w:ind w:firstLineChars="200" w:firstLine="640"/>
        <w:rPr>
          <w:rFonts w:ascii="仿宋_GB2312" w:eastAsia="仿宋_GB2312"/>
          <w:color w:val="000000" w:themeColor="text1"/>
          <w:sz w:val="32"/>
          <w:szCs w:val="32"/>
        </w:rPr>
      </w:pPr>
      <w:r w:rsidRPr="00F92463">
        <w:rPr>
          <w:rFonts w:ascii="仿宋_GB2312" w:eastAsia="仿宋_GB2312" w:hint="eastAsia"/>
          <w:color w:val="000000" w:themeColor="text1"/>
          <w:sz w:val="32"/>
          <w:szCs w:val="32"/>
        </w:rPr>
        <w:t>采用 SPSS 27.0 对数据进行统计学分析，经正态性检验得 PTV 的 DMax、DMean、D98%、D50%、D2%以及危及器官的剂量参数不全符合正态分布；CI、HI 符合正态分布。故将符合正态分布的计量资料采用配对样本 t 检验进行组间差异性分析；其余计量资料采用配对样本 Wlicoxon 符号秩检验进行组间差异分析，P＜0.05表示差异具有统计学意义。</w:t>
      </w:r>
    </w:p>
    <w:p w14:paraId="08106F0E"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六、重大意见分歧的处理依据和结果</w:t>
      </w:r>
    </w:p>
    <w:p w14:paraId="798124BB"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本标准研制过程中无重大分歧意见。</w:t>
      </w:r>
    </w:p>
    <w:p w14:paraId="6A6B000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七、实施标准的措施</w:t>
      </w:r>
    </w:p>
    <w:p w14:paraId="25EE2F78"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（一）标准报批发布后，成立标准宣贯工作组</w:t>
      </w:r>
    </w:p>
    <w:p w14:paraId="3D9FD746"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3812799D"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（二）组织开展标准宣贯培训</w:t>
      </w:r>
    </w:p>
    <w:p w14:paraId="37D04611" w14:textId="2200EB46" w:rsidR="00D634F2" w:rsidRDefault="008854C0">
      <w:pPr>
        <w:spacing w:line="520" w:lineRule="exact"/>
        <w:ind w:firstLineChars="200" w:firstLine="640"/>
        <w:rPr>
          <w:rFonts w:ascii="仿宋" w:eastAsia="仿宋" w:hAnsi="仿宋"/>
          <w:color w:val="000000" w:themeColor="text1"/>
          <w:sz w:val="32"/>
          <w:szCs w:val="32"/>
        </w:rPr>
      </w:pPr>
      <w:r>
        <w:rPr>
          <w:rFonts w:ascii="仿宋_GB2312" w:eastAsia="仿宋_GB2312" w:hint="eastAsia"/>
          <w:color w:val="000000" w:themeColor="text1"/>
          <w:sz w:val="32"/>
          <w:szCs w:val="32"/>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促进</w:t>
      </w:r>
      <w:r w:rsidR="00B425AB" w:rsidRPr="00B425AB">
        <w:rPr>
          <w:rFonts w:ascii="仿宋_GB2312" w:eastAsia="仿宋_GB2312"/>
          <w:color w:val="000000" w:themeColor="text1"/>
          <w:sz w:val="32"/>
          <w:szCs w:val="32"/>
        </w:rPr>
        <w:t>肿瘤放射治疗领域</w:t>
      </w:r>
      <w:r w:rsidR="00B425AB" w:rsidRPr="00B425AB">
        <w:rPr>
          <w:rFonts w:ascii="仿宋_GB2312" w:eastAsia="仿宋_GB2312" w:hint="eastAsia"/>
          <w:color w:val="000000" w:themeColor="text1"/>
          <w:sz w:val="32"/>
          <w:szCs w:val="32"/>
        </w:rPr>
        <w:t>高质量</w:t>
      </w:r>
      <w:r>
        <w:rPr>
          <w:rFonts w:ascii="仿宋_GB2312" w:eastAsia="仿宋_GB2312" w:hint="eastAsia"/>
          <w:color w:val="000000" w:themeColor="text1"/>
          <w:sz w:val="32"/>
          <w:szCs w:val="32"/>
        </w:rPr>
        <w:t>发展。</w:t>
      </w:r>
    </w:p>
    <w:p w14:paraId="4C1CBF56"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（三）开展标准实施交流会，收集标准实施反馈信息</w:t>
      </w:r>
    </w:p>
    <w:p w14:paraId="05E512D3" w14:textId="43D220ED"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标准起草小组深入各市县相关机构技术人员召开标准实施交流会，听取标准实施过程中存在的问题并做好记录和解答，对存在的问题组织专家团队进行研讨，为标准的复审修订做准备。</w:t>
      </w:r>
    </w:p>
    <w:p w14:paraId="400FCE31"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lastRenderedPageBreak/>
        <w:t>（四）开展标准实施效果评估</w:t>
      </w:r>
    </w:p>
    <w:p w14:paraId="396607B7"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1A42D020"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八、其他应当说明的事项</w:t>
      </w:r>
    </w:p>
    <w:p w14:paraId="10370A89"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无。</w:t>
      </w:r>
    </w:p>
    <w:p w14:paraId="36D45EF5" w14:textId="77777777" w:rsidR="00D634F2" w:rsidRDefault="00D634F2">
      <w:pPr>
        <w:pStyle w:val="-1"/>
        <w:rPr>
          <w:rFonts w:ascii="仿宋_GB2312" w:eastAsia="仿宋_GB2312"/>
          <w:color w:val="000000" w:themeColor="text1"/>
          <w:sz w:val="28"/>
          <w:szCs w:val="28"/>
        </w:rPr>
      </w:pPr>
    </w:p>
    <w:p w14:paraId="0C4BBABE" w14:textId="77777777" w:rsidR="00D634F2" w:rsidRDefault="00D634F2">
      <w:pPr>
        <w:pStyle w:val="-1"/>
        <w:rPr>
          <w:rFonts w:ascii="仿宋_GB2312" w:eastAsia="仿宋_GB2312"/>
          <w:color w:val="000000" w:themeColor="text1"/>
          <w:sz w:val="28"/>
          <w:szCs w:val="28"/>
        </w:rPr>
      </w:pPr>
    </w:p>
    <w:p w14:paraId="5047C76A" w14:textId="7E0E4D22" w:rsidR="00D634F2" w:rsidRDefault="008854C0">
      <w:pPr>
        <w:spacing w:line="520" w:lineRule="exact"/>
        <w:ind w:firstLineChars="200" w:firstLine="640"/>
        <w:jc w:val="right"/>
        <w:rPr>
          <w:rFonts w:ascii="仿宋_GB2312" w:eastAsia="仿宋_GB2312"/>
          <w:color w:val="000000" w:themeColor="text1"/>
          <w:sz w:val="32"/>
          <w:szCs w:val="32"/>
        </w:rPr>
      </w:pPr>
      <w:r>
        <w:rPr>
          <w:rFonts w:ascii="仿宋_GB2312" w:eastAsia="仿宋_GB2312" w:hint="eastAsia"/>
          <w:color w:val="000000" w:themeColor="text1"/>
          <w:sz w:val="32"/>
          <w:szCs w:val="32"/>
        </w:rPr>
        <w:t>团体标</w:t>
      </w:r>
      <w:r w:rsidRPr="0016212B">
        <w:rPr>
          <w:rFonts w:ascii="仿宋_GB2312" w:eastAsia="仿宋_GB2312" w:hint="eastAsia"/>
          <w:color w:val="000000" w:themeColor="text1"/>
          <w:sz w:val="32"/>
          <w:szCs w:val="32"/>
        </w:rPr>
        <w:t>准《</w:t>
      </w:r>
      <w:r w:rsidR="00C2496E">
        <w:rPr>
          <w:rFonts w:ascii="仿宋_GB2312" w:eastAsia="仿宋_GB2312" w:hint="eastAsia"/>
          <w:color w:val="000000" w:themeColor="text1"/>
          <w:sz w:val="32"/>
          <w:szCs w:val="32"/>
        </w:rPr>
        <w:t>结直肠癌外照射放疗肠道剂量调控技术操作规范</w:t>
      </w:r>
      <w:r w:rsidRPr="0016212B">
        <w:rPr>
          <w:rFonts w:ascii="仿宋_GB2312" w:eastAsia="仿宋_GB2312" w:hint="eastAsia"/>
          <w:color w:val="000000" w:themeColor="text1"/>
          <w:sz w:val="32"/>
          <w:szCs w:val="32"/>
        </w:rPr>
        <w:t>》</w:t>
      </w:r>
    </w:p>
    <w:p w14:paraId="6CBA16C8"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标准编制工作组</w:t>
      </w:r>
    </w:p>
    <w:p w14:paraId="3A08D85D" w14:textId="0CC4BBDF" w:rsidR="00D634F2" w:rsidRDefault="008854C0">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202</w:t>
      </w:r>
      <w:r w:rsidR="008630AA">
        <w:rPr>
          <w:rFonts w:ascii="仿宋_GB2312" w:eastAsia="仿宋_GB2312"/>
          <w:color w:val="000000" w:themeColor="text1"/>
          <w:sz w:val="32"/>
          <w:szCs w:val="32"/>
        </w:rPr>
        <w:t>6</w:t>
      </w:r>
      <w:r>
        <w:rPr>
          <w:rFonts w:ascii="仿宋_GB2312" w:eastAsia="仿宋_GB2312" w:hint="eastAsia"/>
          <w:color w:val="000000" w:themeColor="text1"/>
          <w:sz w:val="32"/>
          <w:szCs w:val="32"/>
        </w:rPr>
        <w:t>年</w:t>
      </w:r>
      <w:r w:rsidR="00C21107">
        <w:rPr>
          <w:rFonts w:ascii="仿宋_GB2312" w:eastAsia="仿宋_GB2312"/>
          <w:color w:val="000000" w:themeColor="text1"/>
          <w:sz w:val="32"/>
          <w:szCs w:val="32"/>
        </w:rPr>
        <w:t>6</w:t>
      </w:r>
      <w:r>
        <w:rPr>
          <w:rFonts w:ascii="仿宋_GB2312" w:eastAsia="仿宋_GB2312" w:hint="eastAsia"/>
          <w:color w:val="000000" w:themeColor="text1"/>
          <w:sz w:val="32"/>
          <w:szCs w:val="32"/>
        </w:rPr>
        <w:t>月</w:t>
      </w:r>
      <w:r w:rsidR="00C21107">
        <w:rPr>
          <w:rFonts w:ascii="仿宋_GB2312" w:eastAsia="仿宋_GB2312"/>
          <w:color w:val="000000" w:themeColor="text1"/>
          <w:sz w:val="32"/>
          <w:szCs w:val="32"/>
        </w:rPr>
        <w:t>2</w:t>
      </w:r>
      <w:r w:rsidR="008630AA">
        <w:rPr>
          <w:rFonts w:ascii="仿宋_GB2312" w:eastAsia="仿宋_GB2312"/>
          <w:color w:val="000000" w:themeColor="text1"/>
          <w:sz w:val="32"/>
          <w:szCs w:val="32"/>
        </w:rPr>
        <w:t>5</w:t>
      </w:r>
      <w:r>
        <w:rPr>
          <w:rFonts w:ascii="仿宋_GB2312" w:eastAsia="仿宋_GB2312" w:hint="eastAsia"/>
          <w:color w:val="000000" w:themeColor="text1"/>
          <w:sz w:val="32"/>
          <w:szCs w:val="32"/>
        </w:rPr>
        <w:t>日</w:t>
      </w:r>
    </w:p>
    <w:p w14:paraId="7268023F" w14:textId="6CAF976F" w:rsidR="00C21107" w:rsidRDefault="00C21107" w:rsidP="00C21107">
      <w:pPr>
        <w:pStyle w:val="BodyText2"/>
      </w:pPr>
    </w:p>
    <w:sectPr w:rsidR="00C21107">
      <w:footerReference w:type="default" r:id="rId9"/>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72721" w14:textId="77777777" w:rsidR="008F2549" w:rsidRDefault="008F2549">
      <w:r>
        <w:separator/>
      </w:r>
    </w:p>
  </w:endnote>
  <w:endnote w:type="continuationSeparator" w:id="0">
    <w:p w14:paraId="2A855514" w14:textId="77777777" w:rsidR="008F2549" w:rsidRDefault="008F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6B95112A-BD94-4B52-AC13-A2CE4DAB9F77}"/>
  </w:font>
  <w:font w:name="Calibri">
    <w:panose1 w:val="020F0502020204030204"/>
    <w:charset w:val="00"/>
    <w:family w:val="swiss"/>
    <w:pitch w:val="variable"/>
    <w:sig w:usb0="E00002FF" w:usb1="4000ACFF" w:usb2="00000001" w:usb3="00000000" w:csb0="0000019F" w:csb1="00000000"/>
    <w:embedRegular r:id="rId2" w:subsetted="1" w:fontKey="{C1AF4F76-D3FD-49E1-93AC-E5FDE800584F}"/>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3" w:subsetted="1" w:fontKey="{ADB0C706-0C29-456B-B1CA-0397AB4D6263}"/>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4" w:subsetted="1" w:fontKey="{D54388A2-CC64-40B6-90D2-B3BDA1BAADE1}"/>
    <w:embedBold r:id="rId5" w:subsetted="1" w:fontKey="{36E870F4-F164-4DE3-B1B8-7DC5E524E59E}"/>
  </w:font>
  <w:font w:name="微软雅黑">
    <w:panose1 w:val="020B0503020204020204"/>
    <w:charset w:val="86"/>
    <w:family w:val="swiss"/>
    <w:pitch w:val="variable"/>
    <w:sig w:usb0="80000287" w:usb1="280F3C52" w:usb2="00000016" w:usb3="00000000" w:csb0="0004001F" w:csb1="00000000"/>
    <w:embedRegular r:id="rId6" w:subsetted="1" w:fontKey="{3FF5A235-AB17-486B-9FCD-03AE2C037B49}"/>
  </w:font>
  <w:font w:name="楷体">
    <w:panose1 w:val="02010609060101010101"/>
    <w:charset w:val="86"/>
    <w:family w:val="modern"/>
    <w:pitch w:val="fixed"/>
    <w:sig w:usb0="800002BF" w:usb1="38CF7CFA" w:usb2="00000016" w:usb3="00000000" w:csb0="00040001" w:csb1="00000000"/>
    <w:embedBold r:id="rId7" w:subsetted="1" w:fontKey="{E18C8385-DF84-4BA6-877B-477B0993C6BE}"/>
  </w:font>
  <w:font w:name="Cambria Math">
    <w:panose1 w:val="02040503050406030204"/>
    <w:charset w:val="00"/>
    <w:family w:val="roman"/>
    <w:pitch w:val="variable"/>
    <w:sig w:usb0="E00002FF" w:usb1="420024FF" w:usb2="00000000" w:usb3="00000000" w:csb0="0000019F" w:csb1="00000000"/>
    <w:embedRegular r:id="rId8" w:subsetted="1" w:fontKey="{B79EF594-60A9-48E8-B498-CADC2AA8EDDE}"/>
    <w:embedItalic r:id="rId9" w:subsetted="1" w:fontKey="{E6EBB9AB-5A8D-4051-8AA9-62329CE6CBCC}"/>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65792" w14:textId="77777777" w:rsidR="00AC1923" w:rsidRDefault="00AC1923">
    <w:pPr>
      <w:pStyle w:val="af8"/>
      <w:ind w:firstLine="378"/>
    </w:pPr>
    <w:r>
      <w:rPr>
        <w:noProof/>
      </w:rPr>
      <mc:AlternateContent>
        <mc:Choice Requires="wps">
          <w:drawing>
            <wp:anchor distT="0" distB="0" distL="114300" distR="114300" simplePos="0" relativeHeight="251657728" behindDoc="0" locked="0" layoutInCell="1" allowOverlap="1" wp14:anchorId="26AD30D5" wp14:editId="5D371AB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2607E4CD" w14:textId="0BF61C5C"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C2496E">
                            <w:rPr>
                              <w:rFonts w:ascii="宋体" w:hAnsi="宋体"/>
                              <w:noProof/>
                              <w:sz w:val="21"/>
                            </w:rPr>
                            <w:t>5</w:t>
                          </w:r>
                          <w:r>
                            <w:rPr>
                              <w:rFonts w:ascii="宋体" w:hAnsi="宋体" w:hint="eastAsia"/>
                              <w:sz w:val="21"/>
                            </w:rPr>
                            <w:fldChar w:fldCharType="end"/>
                          </w:r>
                        </w:p>
                      </w:txbxContent>
                    </wps:txbx>
                    <wps:bodyPr wrap="none" lIns="0" tIns="0" rIns="0" bIns="0" upright="1">
                      <a:spAutoFit/>
                    </wps:bodyPr>
                  </wps:wsp>
                </a:graphicData>
              </a:graphic>
            </wp:anchor>
          </w:drawing>
        </mc:Choice>
        <mc:Fallback>
          <w:pict>
            <v:shapetype w14:anchorId="26AD30D5"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2607E4CD" w14:textId="0BF61C5C"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C2496E">
                      <w:rPr>
                        <w:rFonts w:ascii="宋体" w:hAnsi="宋体"/>
                        <w:noProof/>
                        <w:sz w:val="21"/>
                      </w:rPr>
                      <w:t>5</w:t>
                    </w:r>
                    <w:r>
                      <w:rPr>
                        <w:rFonts w:ascii="宋体" w:hAnsi="宋体" w:hint="eastAsia"/>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C68EB" w14:textId="77777777" w:rsidR="008F2549" w:rsidRDefault="008F2549">
      <w:r>
        <w:separator/>
      </w:r>
    </w:p>
  </w:footnote>
  <w:footnote w:type="continuationSeparator" w:id="0">
    <w:p w14:paraId="3634D2ED" w14:textId="77777777" w:rsidR="008F2549" w:rsidRDefault="008F2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F5396"/>
    <w:multiLevelType w:val="singleLevel"/>
    <w:tmpl w:val="81CF5396"/>
    <w:lvl w:ilvl="0">
      <w:start w:val="1"/>
      <w:numFmt w:val="decimal"/>
      <w:suff w:val="nothing"/>
      <w:lvlText w:val="%1）"/>
      <w:lvlJc w:val="left"/>
    </w:lvl>
  </w:abstractNum>
  <w:abstractNum w:abstractNumId="1"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2" w15:restartNumberingAfterBreak="0">
    <w:nsid w:val="A1098D4C"/>
    <w:multiLevelType w:val="singleLevel"/>
    <w:tmpl w:val="A1098D4C"/>
    <w:lvl w:ilvl="0">
      <w:start w:val="1"/>
      <w:numFmt w:val="decimal"/>
      <w:suff w:val="nothing"/>
      <w:lvlText w:val="%1、"/>
      <w:lvlJc w:val="left"/>
    </w:lvl>
  </w:abstractNum>
  <w:abstractNum w:abstractNumId="3"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5"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7"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6"/>
  </w:num>
  <w:num w:numId="2">
    <w:abstractNumId w:val="1"/>
  </w:num>
  <w:num w:numId="3">
    <w:abstractNumId w:val="5"/>
  </w:num>
  <w:num w:numId="4">
    <w:abstractNumId w:val="4"/>
  </w:num>
  <w:num w:numId="5">
    <w:abstractNumId w:val="7"/>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000026B4"/>
    <w:rsid w:val="000068A2"/>
    <w:rsid w:val="00014983"/>
    <w:rsid w:val="00014F92"/>
    <w:rsid w:val="000171F6"/>
    <w:rsid w:val="000178C8"/>
    <w:rsid w:val="00021AEF"/>
    <w:rsid w:val="00024C52"/>
    <w:rsid w:val="0004185E"/>
    <w:rsid w:val="00041CA7"/>
    <w:rsid w:val="000424C0"/>
    <w:rsid w:val="000513F3"/>
    <w:rsid w:val="00051A80"/>
    <w:rsid w:val="00051C74"/>
    <w:rsid w:val="00051F5E"/>
    <w:rsid w:val="000540AB"/>
    <w:rsid w:val="00055442"/>
    <w:rsid w:val="00061BDC"/>
    <w:rsid w:val="0006459C"/>
    <w:rsid w:val="000671D8"/>
    <w:rsid w:val="00067B0F"/>
    <w:rsid w:val="000709A1"/>
    <w:rsid w:val="00071CAA"/>
    <w:rsid w:val="00072103"/>
    <w:rsid w:val="000743B4"/>
    <w:rsid w:val="00075653"/>
    <w:rsid w:val="00076330"/>
    <w:rsid w:val="00082613"/>
    <w:rsid w:val="00092E1F"/>
    <w:rsid w:val="00094B6B"/>
    <w:rsid w:val="000968C6"/>
    <w:rsid w:val="000969BE"/>
    <w:rsid w:val="00097E01"/>
    <w:rsid w:val="000A2616"/>
    <w:rsid w:val="000A77F5"/>
    <w:rsid w:val="000B2F3C"/>
    <w:rsid w:val="000B3320"/>
    <w:rsid w:val="000B3E65"/>
    <w:rsid w:val="000B4242"/>
    <w:rsid w:val="000B6E76"/>
    <w:rsid w:val="000C3C30"/>
    <w:rsid w:val="000C3F40"/>
    <w:rsid w:val="000C517B"/>
    <w:rsid w:val="000C6800"/>
    <w:rsid w:val="000C7685"/>
    <w:rsid w:val="000D1FCA"/>
    <w:rsid w:val="000D211A"/>
    <w:rsid w:val="000D35F1"/>
    <w:rsid w:val="000D47AC"/>
    <w:rsid w:val="000D688C"/>
    <w:rsid w:val="000D6AA8"/>
    <w:rsid w:val="000D6D4A"/>
    <w:rsid w:val="000D75AA"/>
    <w:rsid w:val="000E0C0E"/>
    <w:rsid w:val="000E53EA"/>
    <w:rsid w:val="000F03C9"/>
    <w:rsid w:val="000F21F0"/>
    <w:rsid w:val="000F2317"/>
    <w:rsid w:val="000F2861"/>
    <w:rsid w:val="000F7AED"/>
    <w:rsid w:val="00101040"/>
    <w:rsid w:val="00110AC2"/>
    <w:rsid w:val="001114EB"/>
    <w:rsid w:val="001121F0"/>
    <w:rsid w:val="001133E6"/>
    <w:rsid w:val="001133EF"/>
    <w:rsid w:val="001143BC"/>
    <w:rsid w:val="00116CEA"/>
    <w:rsid w:val="0012345E"/>
    <w:rsid w:val="00132D8B"/>
    <w:rsid w:val="001334A1"/>
    <w:rsid w:val="00133F3E"/>
    <w:rsid w:val="0013596D"/>
    <w:rsid w:val="00141D5D"/>
    <w:rsid w:val="00141D9D"/>
    <w:rsid w:val="001437B3"/>
    <w:rsid w:val="00152CB3"/>
    <w:rsid w:val="001530FB"/>
    <w:rsid w:val="001548F8"/>
    <w:rsid w:val="0016212B"/>
    <w:rsid w:val="001655CC"/>
    <w:rsid w:val="0018012C"/>
    <w:rsid w:val="001821C9"/>
    <w:rsid w:val="00183018"/>
    <w:rsid w:val="00190E01"/>
    <w:rsid w:val="00192A37"/>
    <w:rsid w:val="001968C3"/>
    <w:rsid w:val="001A3825"/>
    <w:rsid w:val="001A7570"/>
    <w:rsid w:val="001B0030"/>
    <w:rsid w:val="001B3580"/>
    <w:rsid w:val="001B6B04"/>
    <w:rsid w:val="001C21D4"/>
    <w:rsid w:val="001C4C8F"/>
    <w:rsid w:val="001C684B"/>
    <w:rsid w:val="001C774B"/>
    <w:rsid w:val="001C7DE8"/>
    <w:rsid w:val="001D03FF"/>
    <w:rsid w:val="001D0584"/>
    <w:rsid w:val="001D3156"/>
    <w:rsid w:val="001D4971"/>
    <w:rsid w:val="001E1206"/>
    <w:rsid w:val="001E130D"/>
    <w:rsid w:val="001E1CA6"/>
    <w:rsid w:val="001E29C4"/>
    <w:rsid w:val="001E2D73"/>
    <w:rsid w:val="001F251A"/>
    <w:rsid w:val="001F2A8F"/>
    <w:rsid w:val="001F4D35"/>
    <w:rsid w:val="001F5F5D"/>
    <w:rsid w:val="00200252"/>
    <w:rsid w:val="0020127F"/>
    <w:rsid w:val="00204829"/>
    <w:rsid w:val="00205352"/>
    <w:rsid w:val="00205D69"/>
    <w:rsid w:val="00210FD3"/>
    <w:rsid w:val="00212227"/>
    <w:rsid w:val="0021503F"/>
    <w:rsid w:val="00215478"/>
    <w:rsid w:val="002209F0"/>
    <w:rsid w:val="002210B4"/>
    <w:rsid w:val="00221DEA"/>
    <w:rsid w:val="0022236C"/>
    <w:rsid w:val="0022377B"/>
    <w:rsid w:val="002251A3"/>
    <w:rsid w:val="00226607"/>
    <w:rsid w:val="002324B6"/>
    <w:rsid w:val="00234F7D"/>
    <w:rsid w:val="00235F58"/>
    <w:rsid w:val="00236909"/>
    <w:rsid w:val="00236EB4"/>
    <w:rsid w:val="00237A0A"/>
    <w:rsid w:val="00241F8A"/>
    <w:rsid w:val="00242A75"/>
    <w:rsid w:val="00242E52"/>
    <w:rsid w:val="0024606D"/>
    <w:rsid w:val="00246E41"/>
    <w:rsid w:val="00251C09"/>
    <w:rsid w:val="0025373A"/>
    <w:rsid w:val="00253845"/>
    <w:rsid w:val="002546EF"/>
    <w:rsid w:val="00262001"/>
    <w:rsid w:val="00263E80"/>
    <w:rsid w:val="002679F0"/>
    <w:rsid w:val="00271E05"/>
    <w:rsid w:val="00280BDB"/>
    <w:rsid w:val="00281F39"/>
    <w:rsid w:val="0028500C"/>
    <w:rsid w:val="0028575C"/>
    <w:rsid w:val="002879F6"/>
    <w:rsid w:val="00291CD8"/>
    <w:rsid w:val="002920DE"/>
    <w:rsid w:val="00292875"/>
    <w:rsid w:val="00292F73"/>
    <w:rsid w:val="0029554A"/>
    <w:rsid w:val="00297734"/>
    <w:rsid w:val="002A2DDC"/>
    <w:rsid w:val="002A3479"/>
    <w:rsid w:val="002A3683"/>
    <w:rsid w:val="002A6366"/>
    <w:rsid w:val="002B7B10"/>
    <w:rsid w:val="002B7C92"/>
    <w:rsid w:val="002C0F07"/>
    <w:rsid w:val="002C176B"/>
    <w:rsid w:val="002C3627"/>
    <w:rsid w:val="002D005F"/>
    <w:rsid w:val="002D0B78"/>
    <w:rsid w:val="002D2273"/>
    <w:rsid w:val="002D4342"/>
    <w:rsid w:val="002D5191"/>
    <w:rsid w:val="002D5597"/>
    <w:rsid w:val="002E1B63"/>
    <w:rsid w:val="002E357A"/>
    <w:rsid w:val="002E3B58"/>
    <w:rsid w:val="002E4234"/>
    <w:rsid w:val="002E5273"/>
    <w:rsid w:val="002F03C6"/>
    <w:rsid w:val="002F0D8E"/>
    <w:rsid w:val="002F4C45"/>
    <w:rsid w:val="002F5C0C"/>
    <w:rsid w:val="00300FDB"/>
    <w:rsid w:val="00302739"/>
    <w:rsid w:val="00302A1F"/>
    <w:rsid w:val="00310A68"/>
    <w:rsid w:val="0031223D"/>
    <w:rsid w:val="00312804"/>
    <w:rsid w:val="00313922"/>
    <w:rsid w:val="00315D1F"/>
    <w:rsid w:val="003160CF"/>
    <w:rsid w:val="00316571"/>
    <w:rsid w:val="00317091"/>
    <w:rsid w:val="00317530"/>
    <w:rsid w:val="00320CB4"/>
    <w:rsid w:val="00321E92"/>
    <w:rsid w:val="00322535"/>
    <w:rsid w:val="003259AF"/>
    <w:rsid w:val="00325F9F"/>
    <w:rsid w:val="0032620D"/>
    <w:rsid w:val="0033062D"/>
    <w:rsid w:val="003306DD"/>
    <w:rsid w:val="00330A4E"/>
    <w:rsid w:val="00332242"/>
    <w:rsid w:val="003329C7"/>
    <w:rsid w:val="003332BA"/>
    <w:rsid w:val="003348AA"/>
    <w:rsid w:val="00340D9B"/>
    <w:rsid w:val="00340FDE"/>
    <w:rsid w:val="003460F3"/>
    <w:rsid w:val="00346534"/>
    <w:rsid w:val="003479E3"/>
    <w:rsid w:val="003517E7"/>
    <w:rsid w:val="00351C4B"/>
    <w:rsid w:val="003537AA"/>
    <w:rsid w:val="00357BDF"/>
    <w:rsid w:val="00360A67"/>
    <w:rsid w:val="00360BAF"/>
    <w:rsid w:val="00361596"/>
    <w:rsid w:val="00362C01"/>
    <w:rsid w:val="00367D5E"/>
    <w:rsid w:val="00371B5F"/>
    <w:rsid w:val="00372E66"/>
    <w:rsid w:val="00373160"/>
    <w:rsid w:val="00375933"/>
    <w:rsid w:val="0037633C"/>
    <w:rsid w:val="00382E35"/>
    <w:rsid w:val="00384168"/>
    <w:rsid w:val="003872E4"/>
    <w:rsid w:val="00390AD8"/>
    <w:rsid w:val="00390C14"/>
    <w:rsid w:val="00391F54"/>
    <w:rsid w:val="00393447"/>
    <w:rsid w:val="00396F2C"/>
    <w:rsid w:val="003A3F27"/>
    <w:rsid w:val="003A49FF"/>
    <w:rsid w:val="003A5862"/>
    <w:rsid w:val="003A694A"/>
    <w:rsid w:val="003B0042"/>
    <w:rsid w:val="003B45A7"/>
    <w:rsid w:val="003B4F42"/>
    <w:rsid w:val="003B4FCF"/>
    <w:rsid w:val="003B6088"/>
    <w:rsid w:val="003C0E61"/>
    <w:rsid w:val="003D3CB2"/>
    <w:rsid w:val="003D485E"/>
    <w:rsid w:val="003D5559"/>
    <w:rsid w:val="003D5741"/>
    <w:rsid w:val="003D7E9E"/>
    <w:rsid w:val="003E080C"/>
    <w:rsid w:val="003E2B4C"/>
    <w:rsid w:val="00400A69"/>
    <w:rsid w:val="00400B2B"/>
    <w:rsid w:val="00400F75"/>
    <w:rsid w:val="004012D1"/>
    <w:rsid w:val="00405301"/>
    <w:rsid w:val="00406CA3"/>
    <w:rsid w:val="00411EFB"/>
    <w:rsid w:val="0041392D"/>
    <w:rsid w:val="00417593"/>
    <w:rsid w:val="00422CC8"/>
    <w:rsid w:val="004238D5"/>
    <w:rsid w:val="00424FB3"/>
    <w:rsid w:val="00426402"/>
    <w:rsid w:val="0042686B"/>
    <w:rsid w:val="00426DC5"/>
    <w:rsid w:val="00430411"/>
    <w:rsid w:val="004314F4"/>
    <w:rsid w:val="00432DC4"/>
    <w:rsid w:val="004373E9"/>
    <w:rsid w:val="00440265"/>
    <w:rsid w:val="0044036C"/>
    <w:rsid w:val="0044048B"/>
    <w:rsid w:val="0044065E"/>
    <w:rsid w:val="00444679"/>
    <w:rsid w:val="004458BB"/>
    <w:rsid w:val="0045095B"/>
    <w:rsid w:val="00455701"/>
    <w:rsid w:val="00460660"/>
    <w:rsid w:val="00460A36"/>
    <w:rsid w:val="004612C5"/>
    <w:rsid w:val="00461AA3"/>
    <w:rsid w:val="00462FF9"/>
    <w:rsid w:val="00471CEC"/>
    <w:rsid w:val="00473D8F"/>
    <w:rsid w:val="00474293"/>
    <w:rsid w:val="00477391"/>
    <w:rsid w:val="0047786D"/>
    <w:rsid w:val="004805DB"/>
    <w:rsid w:val="00480B2B"/>
    <w:rsid w:val="0048511D"/>
    <w:rsid w:val="00493ABA"/>
    <w:rsid w:val="00495AFE"/>
    <w:rsid w:val="00496185"/>
    <w:rsid w:val="00496EA4"/>
    <w:rsid w:val="004A18D9"/>
    <w:rsid w:val="004A4C72"/>
    <w:rsid w:val="004A75FF"/>
    <w:rsid w:val="004B0877"/>
    <w:rsid w:val="004B4D68"/>
    <w:rsid w:val="004C181C"/>
    <w:rsid w:val="004C445A"/>
    <w:rsid w:val="004C4477"/>
    <w:rsid w:val="004C4F1D"/>
    <w:rsid w:val="004C6673"/>
    <w:rsid w:val="004C7096"/>
    <w:rsid w:val="004C78DD"/>
    <w:rsid w:val="004C78FD"/>
    <w:rsid w:val="004C7CD6"/>
    <w:rsid w:val="004D3C4E"/>
    <w:rsid w:val="004D5B86"/>
    <w:rsid w:val="004D70EE"/>
    <w:rsid w:val="004D7C66"/>
    <w:rsid w:val="004E0167"/>
    <w:rsid w:val="004E152E"/>
    <w:rsid w:val="004E2983"/>
    <w:rsid w:val="004E5371"/>
    <w:rsid w:val="004E77D0"/>
    <w:rsid w:val="004F29B4"/>
    <w:rsid w:val="004F3228"/>
    <w:rsid w:val="004F6C5C"/>
    <w:rsid w:val="004F6DB3"/>
    <w:rsid w:val="005020DE"/>
    <w:rsid w:val="005051BE"/>
    <w:rsid w:val="00506D43"/>
    <w:rsid w:val="00507297"/>
    <w:rsid w:val="00510DCF"/>
    <w:rsid w:val="00510F10"/>
    <w:rsid w:val="00511151"/>
    <w:rsid w:val="005124A3"/>
    <w:rsid w:val="00512A66"/>
    <w:rsid w:val="00515B82"/>
    <w:rsid w:val="0051608A"/>
    <w:rsid w:val="0051755E"/>
    <w:rsid w:val="005208D0"/>
    <w:rsid w:val="00524029"/>
    <w:rsid w:val="00524E15"/>
    <w:rsid w:val="00527354"/>
    <w:rsid w:val="005278E3"/>
    <w:rsid w:val="00527E33"/>
    <w:rsid w:val="00533B2A"/>
    <w:rsid w:val="0053400A"/>
    <w:rsid w:val="0053501E"/>
    <w:rsid w:val="0053635F"/>
    <w:rsid w:val="00536C3C"/>
    <w:rsid w:val="00537853"/>
    <w:rsid w:val="00537E5F"/>
    <w:rsid w:val="00540C2F"/>
    <w:rsid w:val="00540ED5"/>
    <w:rsid w:val="0054119B"/>
    <w:rsid w:val="00542F30"/>
    <w:rsid w:val="00544407"/>
    <w:rsid w:val="0054736C"/>
    <w:rsid w:val="00547941"/>
    <w:rsid w:val="00547AAF"/>
    <w:rsid w:val="005505FD"/>
    <w:rsid w:val="0055431F"/>
    <w:rsid w:val="00554B7D"/>
    <w:rsid w:val="00560879"/>
    <w:rsid w:val="00564A0C"/>
    <w:rsid w:val="00564F91"/>
    <w:rsid w:val="00565DC9"/>
    <w:rsid w:val="0056706B"/>
    <w:rsid w:val="00571433"/>
    <w:rsid w:val="00571BCB"/>
    <w:rsid w:val="005734DC"/>
    <w:rsid w:val="00573DE7"/>
    <w:rsid w:val="00575956"/>
    <w:rsid w:val="00575C51"/>
    <w:rsid w:val="005777D1"/>
    <w:rsid w:val="00583E03"/>
    <w:rsid w:val="005873FB"/>
    <w:rsid w:val="005910DC"/>
    <w:rsid w:val="00594F6B"/>
    <w:rsid w:val="0059544C"/>
    <w:rsid w:val="00597C52"/>
    <w:rsid w:val="005A067E"/>
    <w:rsid w:val="005A4A0E"/>
    <w:rsid w:val="005A7C01"/>
    <w:rsid w:val="005B0A13"/>
    <w:rsid w:val="005B304B"/>
    <w:rsid w:val="005B6868"/>
    <w:rsid w:val="005C07C8"/>
    <w:rsid w:val="005C2C71"/>
    <w:rsid w:val="005C5910"/>
    <w:rsid w:val="005C5B2E"/>
    <w:rsid w:val="005C68B4"/>
    <w:rsid w:val="005C6BB1"/>
    <w:rsid w:val="005D2ABC"/>
    <w:rsid w:val="005D3003"/>
    <w:rsid w:val="005D616B"/>
    <w:rsid w:val="005D6C2D"/>
    <w:rsid w:val="005E3C13"/>
    <w:rsid w:val="005E47AA"/>
    <w:rsid w:val="005E5F8F"/>
    <w:rsid w:val="005E7B33"/>
    <w:rsid w:val="005F09D2"/>
    <w:rsid w:val="005F1668"/>
    <w:rsid w:val="005F2769"/>
    <w:rsid w:val="005F2AD0"/>
    <w:rsid w:val="005F2FD2"/>
    <w:rsid w:val="005F4961"/>
    <w:rsid w:val="005F529E"/>
    <w:rsid w:val="0060186C"/>
    <w:rsid w:val="00605A2E"/>
    <w:rsid w:val="0060769D"/>
    <w:rsid w:val="00611B2F"/>
    <w:rsid w:val="006121F4"/>
    <w:rsid w:val="00617539"/>
    <w:rsid w:val="00617590"/>
    <w:rsid w:val="00617B08"/>
    <w:rsid w:val="006253C4"/>
    <w:rsid w:val="006260BB"/>
    <w:rsid w:val="0062727F"/>
    <w:rsid w:val="00627AB4"/>
    <w:rsid w:val="00631D1E"/>
    <w:rsid w:val="006335ED"/>
    <w:rsid w:val="00633E53"/>
    <w:rsid w:val="006342DB"/>
    <w:rsid w:val="006343EC"/>
    <w:rsid w:val="0063539D"/>
    <w:rsid w:val="006371EA"/>
    <w:rsid w:val="00637F53"/>
    <w:rsid w:val="006470F2"/>
    <w:rsid w:val="006477EC"/>
    <w:rsid w:val="00650F3D"/>
    <w:rsid w:val="00650FD7"/>
    <w:rsid w:val="006511A8"/>
    <w:rsid w:val="006526CC"/>
    <w:rsid w:val="00653597"/>
    <w:rsid w:val="00653CD9"/>
    <w:rsid w:val="00654C80"/>
    <w:rsid w:val="00660ECB"/>
    <w:rsid w:val="00661F06"/>
    <w:rsid w:val="006630BA"/>
    <w:rsid w:val="00664AC8"/>
    <w:rsid w:val="0066650C"/>
    <w:rsid w:val="0066728E"/>
    <w:rsid w:val="0067031D"/>
    <w:rsid w:val="0067378F"/>
    <w:rsid w:val="0067489E"/>
    <w:rsid w:val="006773E1"/>
    <w:rsid w:val="0068386A"/>
    <w:rsid w:val="00685738"/>
    <w:rsid w:val="00691000"/>
    <w:rsid w:val="00691524"/>
    <w:rsid w:val="00695D34"/>
    <w:rsid w:val="006A0FCD"/>
    <w:rsid w:val="006A4226"/>
    <w:rsid w:val="006A4FC1"/>
    <w:rsid w:val="006A5636"/>
    <w:rsid w:val="006A6711"/>
    <w:rsid w:val="006A6CB4"/>
    <w:rsid w:val="006B0BA0"/>
    <w:rsid w:val="006B12C0"/>
    <w:rsid w:val="006B4C69"/>
    <w:rsid w:val="006B71A8"/>
    <w:rsid w:val="006C0607"/>
    <w:rsid w:val="006C10FD"/>
    <w:rsid w:val="006C3771"/>
    <w:rsid w:val="006C3BB0"/>
    <w:rsid w:val="006C5213"/>
    <w:rsid w:val="006C5D9F"/>
    <w:rsid w:val="006D0AF0"/>
    <w:rsid w:val="006D35DC"/>
    <w:rsid w:val="006D4F09"/>
    <w:rsid w:val="006E1443"/>
    <w:rsid w:val="006E2C64"/>
    <w:rsid w:val="006E4C07"/>
    <w:rsid w:val="006E6BFD"/>
    <w:rsid w:val="006E746B"/>
    <w:rsid w:val="006F3E35"/>
    <w:rsid w:val="006F55FA"/>
    <w:rsid w:val="007016D6"/>
    <w:rsid w:val="00704968"/>
    <w:rsid w:val="00707BC6"/>
    <w:rsid w:val="007105C4"/>
    <w:rsid w:val="0071134C"/>
    <w:rsid w:val="007125F7"/>
    <w:rsid w:val="00714DDE"/>
    <w:rsid w:val="00720AF6"/>
    <w:rsid w:val="0072338E"/>
    <w:rsid w:val="00724389"/>
    <w:rsid w:val="00726FA5"/>
    <w:rsid w:val="00727802"/>
    <w:rsid w:val="00731B29"/>
    <w:rsid w:val="00733795"/>
    <w:rsid w:val="00734E08"/>
    <w:rsid w:val="007351D6"/>
    <w:rsid w:val="00737200"/>
    <w:rsid w:val="00737872"/>
    <w:rsid w:val="00737D62"/>
    <w:rsid w:val="007400B5"/>
    <w:rsid w:val="0074491A"/>
    <w:rsid w:val="00747D22"/>
    <w:rsid w:val="00754349"/>
    <w:rsid w:val="00754D85"/>
    <w:rsid w:val="007557E4"/>
    <w:rsid w:val="00756356"/>
    <w:rsid w:val="00757FD8"/>
    <w:rsid w:val="007605F1"/>
    <w:rsid w:val="00763D7D"/>
    <w:rsid w:val="0076553F"/>
    <w:rsid w:val="00774434"/>
    <w:rsid w:val="007756AB"/>
    <w:rsid w:val="00777833"/>
    <w:rsid w:val="007805DF"/>
    <w:rsid w:val="007811F6"/>
    <w:rsid w:val="00781D6C"/>
    <w:rsid w:val="007845E1"/>
    <w:rsid w:val="00784890"/>
    <w:rsid w:val="00785759"/>
    <w:rsid w:val="007916D5"/>
    <w:rsid w:val="007936EA"/>
    <w:rsid w:val="007940A9"/>
    <w:rsid w:val="007940BF"/>
    <w:rsid w:val="00795EA0"/>
    <w:rsid w:val="007A149B"/>
    <w:rsid w:val="007B1EA3"/>
    <w:rsid w:val="007C08A9"/>
    <w:rsid w:val="007C244C"/>
    <w:rsid w:val="007C66E4"/>
    <w:rsid w:val="007D641F"/>
    <w:rsid w:val="007D725F"/>
    <w:rsid w:val="007E18F0"/>
    <w:rsid w:val="007E271E"/>
    <w:rsid w:val="007E608C"/>
    <w:rsid w:val="007F2B8D"/>
    <w:rsid w:val="007F3206"/>
    <w:rsid w:val="007F44C1"/>
    <w:rsid w:val="007F6D75"/>
    <w:rsid w:val="008003BA"/>
    <w:rsid w:val="00801A7F"/>
    <w:rsid w:val="0080563C"/>
    <w:rsid w:val="00806BAC"/>
    <w:rsid w:val="008105E1"/>
    <w:rsid w:val="00812DC4"/>
    <w:rsid w:val="00813A84"/>
    <w:rsid w:val="00814260"/>
    <w:rsid w:val="00814DA3"/>
    <w:rsid w:val="00815F39"/>
    <w:rsid w:val="008206EE"/>
    <w:rsid w:val="008216E8"/>
    <w:rsid w:val="008247C4"/>
    <w:rsid w:val="00825F04"/>
    <w:rsid w:val="00826611"/>
    <w:rsid w:val="00826BFA"/>
    <w:rsid w:val="00831A18"/>
    <w:rsid w:val="0083680B"/>
    <w:rsid w:val="00836EA3"/>
    <w:rsid w:val="00840B0D"/>
    <w:rsid w:val="00850053"/>
    <w:rsid w:val="00853F5C"/>
    <w:rsid w:val="00854417"/>
    <w:rsid w:val="00856862"/>
    <w:rsid w:val="00856A9B"/>
    <w:rsid w:val="00860AE3"/>
    <w:rsid w:val="008630AA"/>
    <w:rsid w:val="008653C3"/>
    <w:rsid w:val="008715CA"/>
    <w:rsid w:val="00874BB5"/>
    <w:rsid w:val="00875B83"/>
    <w:rsid w:val="008779C2"/>
    <w:rsid w:val="0088204E"/>
    <w:rsid w:val="00882F78"/>
    <w:rsid w:val="008854C0"/>
    <w:rsid w:val="0088596D"/>
    <w:rsid w:val="00885A19"/>
    <w:rsid w:val="00886CE3"/>
    <w:rsid w:val="00887632"/>
    <w:rsid w:val="00890AB3"/>
    <w:rsid w:val="00893A2E"/>
    <w:rsid w:val="00895F4A"/>
    <w:rsid w:val="008973E6"/>
    <w:rsid w:val="008A010A"/>
    <w:rsid w:val="008B22AA"/>
    <w:rsid w:val="008B3416"/>
    <w:rsid w:val="008B3930"/>
    <w:rsid w:val="008B422F"/>
    <w:rsid w:val="008B4863"/>
    <w:rsid w:val="008B579D"/>
    <w:rsid w:val="008B6B5F"/>
    <w:rsid w:val="008B744A"/>
    <w:rsid w:val="008C0D0B"/>
    <w:rsid w:val="008C1022"/>
    <w:rsid w:val="008C2552"/>
    <w:rsid w:val="008C50FF"/>
    <w:rsid w:val="008D00AC"/>
    <w:rsid w:val="008D02D8"/>
    <w:rsid w:val="008D1A38"/>
    <w:rsid w:val="008D3443"/>
    <w:rsid w:val="008D7187"/>
    <w:rsid w:val="008D7725"/>
    <w:rsid w:val="008D78B0"/>
    <w:rsid w:val="008D794C"/>
    <w:rsid w:val="008E1EB5"/>
    <w:rsid w:val="008E63DC"/>
    <w:rsid w:val="008E7ADB"/>
    <w:rsid w:val="008E7C88"/>
    <w:rsid w:val="008F0233"/>
    <w:rsid w:val="008F0327"/>
    <w:rsid w:val="008F2549"/>
    <w:rsid w:val="008F3A33"/>
    <w:rsid w:val="008F77D3"/>
    <w:rsid w:val="008F7B61"/>
    <w:rsid w:val="00901A8D"/>
    <w:rsid w:val="009029CF"/>
    <w:rsid w:val="009031D1"/>
    <w:rsid w:val="00905E4B"/>
    <w:rsid w:val="00907D3C"/>
    <w:rsid w:val="00913E57"/>
    <w:rsid w:val="00917DDE"/>
    <w:rsid w:val="00920F97"/>
    <w:rsid w:val="00921E53"/>
    <w:rsid w:val="0092324A"/>
    <w:rsid w:val="00923402"/>
    <w:rsid w:val="00923653"/>
    <w:rsid w:val="009241A9"/>
    <w:rsid w:val="00924305"/>
    <w:rsid w:val="00926112"/>
    <w:rsid w:val="00926E1B"/>
    <w:rsid w:val="00927696"/>
    <w:rsid w:val="009312DF"/>
    <w:rsid w:val="009317D5"/>
    <w:rsid w:val="00932BA3"/>
    <w:rsid w:val="00933182"/>
    <w:rsid w:val="00933571"/>
    <w:rsid w:val="00940E07"/>
    <w:rsid w:val="009411E1"/>
    <w:rsid w:val="009425CD"/>
    <w:rsid w:val="00943727"/>
    <w:rsid w:val="009453F1"/>
    <w:rsid w:val="0094544E"/>
    <w:rsid w:val="00947EBA"/>
    <w:rsid w:val="00952A6C"/>
    <w:rsid w:val="00953891"/>
    <w:rsid w:val="00954DC7"/>
    <w:rsid w:val="00954FD2"/>
    <w:rsid w:val="0096388F"/>
    <w:rsid w:val="00963992"/>
    <w:rsid w:val="00966431"/>
    <w:rsid w:val="00966E03"/>
    <w:rsid w:val="009706A4"/>
    <w:rsid w:val="00970FC4"/>
    <w:rsid w:val="00971556"/>
    <w:rsid w:val="009718CC"/>
    <w:rsid w:val="009750C1"/>
    <w:rsid w:val="00975641"/>
    <w:rsid w:val="00985F7F"/>
    <w:rsid w:val="00991C98"/>
    <w:rsid w:val="00994827"/>
    <w:rsid w:val="00997F40"/>
    <w:rsid w:val="009A0FFB"/>
    <w:rsid w:val="009A13B3"/>
    <w:rsid w:val="009A4141"/>
    <w:rsid w:val="009A5CFB"/>
    <w:rsid w:val="009A62C4"/>
    <w:rsid w:val="009B36FD"/>
    <w:rsid w:val="009B795D"/>
    <w:rsid w:val="009C0BDB"/>
    <w:rsid w:val="009C174F"/>
    <w:rsid w:val="009C21A2"/>
    <w:rsid w:val="009C2645"/>
    <w:rsid w:val="009C5B24"/>
    <w:rsid w:val="009D1C9B"/>
    <w:rsid w:val="009D2D7E"/>
    <w:rsid w:val="009D438F"/>
    <w:rsid w:val="009D5100"/>
    <w:rsid w:val="009D6865"/>
    <w:rsid w:val="009E3161"/>
    <w:rsid w:val="009F0F09"/>
    <w:rsid w:val="009F33B1"/>
    <w:rsid w:val="009F7D99"/>
    <w:rsid w:val="00A0200B"/>
    <w:rsid w:val="00A05C7B"/>
    <w:rsid w:val="00A065E9"/>
    <w:rsid w:val="00A11DCA"/>
    <w:rsid w:val="00A12161"/>
    <w:rsid w:val="00A1234F"/>
    <w:rsid w:val="00A1372A"/>
    <w:rsid w:val="00A16A3E"/>
    <w:rsid w:val="00A16D74"/>
    <w:rsid w:val="00A204FE"/>
    <w:rsid w:val="00A22171"/>
    <w:rsid w:val="00A22C63"/>
    <w:rsid w:val="00A23C1F"/>
    <w:rsid w:val="00A24C55"/>
    <w:rsid w:val="00A263D3"/>
    <w:rsid w:val="00A2656A"/>
    <w:rsid w:val="00A30314"/>
    <w:rsid w:val="00A324C0"/>
    <w:rsid w:val="00A356AD"/>
    <w:rsid w:val="00A365A2"/>
    <w:rsid w:val="00A37FDF"/>
    <w:rsid w:val="00A412E6"/>
    <w:rsid w:val="00A42C5E"/>
    <w:rsid w:val="00A4360A"/>
    <w:rsid w:val="00A43914"/>
    <w:rsid w:val="00A449BB"/>
    <w:rsid w:val="00A467C0"/>
    <w:rsid w:val="00A511A6"/>
    <w:rsid w:val="00A52D71"/>
    <w:rsid w:val="00A52E40"/>
    <w:rsid w:val="00A55696"/>
    <w:rsid w:val="00A602E9"/>
    <w:rsid w:val="00A72EA5"/>
    <w:rsid w:val="00A73E5A"/>
    <w:rsid w:val="00A75476"/>
    <w:rsid w:val="00A80798"/>
    <w:rsid w:val="00A84390"/>
    <w:rsid w:val="00A86090"/>
    <w:rsid w:val="00A865BA"/>
    <w:rsid w:val="00A877C5"/>
    <w:rsid w:val="00A87F41"/>
    <w:rsid w:val="00A87F8B"/>
    <w:rsid w:val="00A93EC6"/>
    <w:rsid w:val="00A94D0D"/>
    <w:rsid w:val="00AA112C"/>
    <w:rsid w:val="00AA4E65"/>
    <w:rsid w:val="00AA703E"/>
    <w:rsid w:val="00AB10F4"/>
    <w:rsid w:val="00AB565E"/>
    <w:rsid w:val="00AC007B"/>
    <w:rsid w:val="00AC1923"/>
    <w:rsid w:val="00AC3575"/>
    <w:rsid w:val="00AC57C3"/>
    <w:rsid w:val="00AC63CF"/>
    <w:rsid w:val="00AD0169"/>
    <w:rsid w:val="00AD0172"/>
    <w:rsid w:val="00AD2BF7"/>
    <w:rsid w:val="00AD4D17"/>
    <w:rsid w:val="00AD5449"/>
    <w:rsid w:val="00AD6E16"/>
    <w:rsid w:val="00AE261F"/>
    <w:rsid w:val="00AE277B"/>
    <w:rsid w:val="00AE2D3E"/>
    <w:rsid w:val="00AE2DC3"/>
    <w:rsid w:val="00AE3954"/>
    <w:rsid w:val="00AE3AD9"/>
    <w:rsid w:val="00AE5727"/>
    <w:rsid w:val="00AE6AA1"/>
    <w:rsid w:val="00AE7155"/>
    <w:rsid w:val="00AE7B31"/>
    <w:rsid w:val="00AF11A3"/>
    <w:rsid w:val="00AF1EF8"/>
    <w:rsid w:val="00AF4557"/>
    <w:rsid w:val="00B02088"/>
    <w:rsid w:val="00B0340D"/>
    <w:rsid w:val="00B03636"/>
    <w:rsid w:val="00B046DF"/>
    <w:rsid w:val="00B0506E"/>
    <w:rsid w:val="00B05BC1"/>
    <w:rsid w:val="00B07A8A"/>
    <w:rsid w:val="00B11249"/>
    <w:rsid w:val="00B11CC1"/>
    <w:rsid w:val="00B122F4"/>
    <w:rsid w:val="00B13D72"/>
    <w:rsid w:val="00B144D3"/>
    <w:rsid w:val="00B1480E"/>
    <w:rsid w:val="00B213D1"/>
    <w:rsid w:val="00B233CC"/>
    <w:rsid w:val="00B23C80"/>
    <w:rsid w:val="00B258C7"/>
    <w:rsid w:val="00B339D7"/>
    <w:rsid w:val="00B37157"/>
    <w:rsid w:val="00B37261"/>
    <w:rsid w:val="00B425AB"/>
    <w:rsid w:val="00B429E8"/>
    <w:rsid w:val="00B43752"/>
    <w:rsid w:val="00B50F8B"/>
    <w:rsid w:val="00B53F5C"/>
    <w:rsid w:val="00B54989"/>
    <w:rsid w:val="00B54E52"/>
    <w:rsid w:val="00B5537F"/>
    <w:rsid w:val="00B55800"/>
    <w:rsid w:val="00B56568"/>
    <w:rsid w:val="00B63784"/>
    <w:rsid w:val="00B65AE9"/>
    <w:rsid w:val="00B66676"/>
    <w:rsid w:val="00B6740B"/>
    <w:rsid w:val="00B708B2"/>
    <w:rsid w:val="00B73416"/>
    <w:rsid w:val="00B77477"/>
    <w:rsid w:val="00B81E53"/>
    <w:rsid w:val="00B82470"/>
    <w:rsid w:val="00B8532C"/>
    <w:rsid w:val="00B938A5"/>
    <w:rsid w:val="00B94E0B"/>
    <w:rsid w:val="00B94EFE"/>
    <w:rsid w:val="00B954B8"/>
    <w:rsid w:val="00B95769"/>
    <w:rsid w:val="00B95AA9"/>
    <w:rsid w:val="00BA0825"/>
    <w:rsid w:val="00BA1E45"/>
    <w:rsid w:val="00BA33F4"/>
    <w:rsid w:val="00BA570D"/>
    <w:rsid w:val="00BA5A89"/>
    <w:rsid w:val="00BA67F2"/>
    <w:rsid w:val="00BB0302"/>
    <w:rsid w:val="00BB0578"/>
    <w:rsid w:val="00BB14F3"/>
    <w:rsid w:val="00BB2599"/>
    <w:rsid w:val="00BB4557"/>
    <w:rsid w:val="00BB4A60"/>
    <w:rsid w:val="00BB6932"/>
    <w:rsid w:val="00BB7B52"/>
    <w:rsid w:val="00BC09B1"/>
    <w:rsid w:val="00BC0AE7"/>
    <w:rsid w:val="00BC0EBE"/>
    <w:rsid w:val="00BC1466"/>
    <w:rsid w:val="00BC2838"/>
    <w:rsid w:val="00BC75E3"/>
    <w:rsid w:val="00BD0462"/>
    <w:rsid w:val="00BD049A"/>
    <w:rsid w:val="00BD1C9B"/>
    <w:rsid w:val="00BD2990"/>
    <w:rsid w:val="00BD46AC"/>
    <w:rsid w:val="00BD50BC"/>
    <w:rsid w:val="00BD58F8"/>
    <w:rsid w:val="00BE1405"/>
    <w:rsid w:val="00BE2434"/>
    <w:rsid w:val="00BE4828"/>
    <w:rsid w:val="00BE7E1C"/>
    <w:rsid w:val="00BF1BCD"/>
    <w:rsid w:val="00BF2633"/>
    <w:rsid w:val="00C01697"/>
    <w:rsid w:val="00C0404B"/>
    <w:rsid w:val="00C07069"/>
    <w:rsid w:val="00C10DDC"/>
    <w:rsid w:val="00C11840"/>
    <w:rsid w:val="00C123EE"/>
    <w:rsid w:val="00C13CB6"/>
    <w:rsid w:val="00C16960"/>
    <w:rsid w:val="00C20386"/>
    <w:rsid w:val="00C21107"/>
    <w:rsid w:val="00C24084"/>
    <w:rsid w:val="00C240EA"/>
    <w:rsid w:val="00C2496E"/>
    <w:rsid w:val="00C24E08"/>
    <w:rsid w:val="00C25A1B"/>
    <w:rsid w:val="00C3071D"/>
    <w:rsid w:val="00C32608"/>
    <w:rsid w:val="00C3263C"/>
    <w:rsid w:val="00C34527"/>
    <w:rsid w:val="00C34EF5"/>
    <w:rsid w:val="00C353E2"/>
    <w:rsid w:val="00C370DD"/>
    <w:rsid w:val="00C417EA"/>
    <w:rsid w:val="00C43474"/>
    <w:rsid w:val="00C452A4"/>
    <w:rsid w:val="00C45AB0"/>
    <w:rsid w:val="00C4615A"/>
    <w:rsid w:val="00C47943"/>
    <w:rsid w:val="00C53DA6"/>
    <w:rsid w:val="00C556A8"/>
    <w:rsid w:val="00C5603B"/>
    <w:rsid w:val="00C6357F"/>
    <w:rsid w:val="00C63CAC"/>
    <w:rsid w:val="00C63F98"/>
    <w:rsid w:val="00C6457A"/>
    <w:rsid w:val="00C65F66"/>
    <w:rsid w:val="00C7120B"/>
    <w:rsid w:val="00C7355C"/>
    <w:rsid w:val="00C75439"/>
    <w:rsid w:val="00C75543"/>
    <w:rsid w:val="00C76192"/>
    <w:rsid w:val="00C76CBA"/>
    <w:rsid w:val="00C83F05"/>
    <w:rsid w:val="00C84144"/>
    <w:rsid w:val="00C84726"/>
    <w:rsid w:val="00C8714F"/>
    <w:rsid w:val="00C877FA"/>
    <w:rsid w:val="00C91BC6"/>
    <w:rsid w:val="00C94DE6"/>
    <w:rsid w:val="00CA061C"/>
    <w:rsid w:val="00CA42EE"/>
    <w:rsid w:val="00CA4819"/>
    <w:rsid w:val="00CA66D2"/>
    <w:rsid w:val="00CB1526"/>
    <w:rsid w:val="00CB15D9"/>
    <w:rsid w:val="00CB4195"/>
    <w:rsid w:val="00CB4AE0"/>
    <w:rsid w:val="00CC2D94"/>
    <w:rsid w:val="00CC3BA7"/>
    <w:rsid w:val="00CC657B"/>
    <w:rsid w:val="00CC6C27"/>
    <w:rsid w:val="00CC71EF"/>
    <w:rsid w:val="00CD1247"/>
    <w:rsid w:val="00CD39C3"/>
    <w:rsid w:val="00CD641B"/>
    <w:rsid w:val="00CD7D4C"/>
    <w:rsid w:val="00CE3911"/>
    <w:rsid w:val="00CE4310"/>
    <w:rsid w:val="00CE618C"/>
    <w:rsid w:val="00CE6464"/>
    <w:rsid w:val="00CE7CD2"/>
    <w:rsid w:val="00CF1134"/>
    <w:rsid w:val="00CF2652"/>
    <w:rsid w:val="00CF4569"/>
    <w:rsid w:val="00D01B13"/>
    <w:rsid w:val="00D0457A"/>
    <w:rsid w:val="00D04C1F"/>
    <w:rsid w:val="00D056CC"/>
    <w:rsid w:val="00D05921"/>
    <w:rsid w:val="00D07689"/>
    <w:rsid w:val="00D12C1A"/>
    <w:rsid w:val="00D14FDD"/>
    <w:rsid w:val="00D157EE"/>
    <w:rsid w:val="00D244E8"/>
    <w:rsid w:val="00D25186"/>
    <w:rsid w:val="00D26FDE"/>
    <w:rsid w:val="00D32A78"/>
    <w:rsid w:val="00D32D33"/>
    <w:rsid w:val="00D35977"/>
    <w:rsid w:val="00D40471"/>
    <w:rsid w:val="00D41B12"/>
    <w:rsid w:val="00D43F5A"/>
    <w:rsid w:val="00D46122"/>
    <w:rsid w:val="00D46946"/>
    <w:rsid w:val="00D47978"/>
    <w:rsid w:val="00D51137"/>
    <w:rsid w:val="00D51397"/>
    <w:rsid w:val="00D63277"/>
    <w:rsid w:val="00D63378"/>
    <w:rsid w:val="00D634F2"/>
    <w:rsid w:val="00D64597"/>
    <w:rsid w:val="00D65554"/>
    <w:rsid w:val="00D6558E"/>
    <w:rsid w:val="00D67816"/>
    <w:rsid w:val="00D742F6"/>
    <w:rsid w:val="00D75133"/>
    <w:rsid w:val="00D76935"/>
    <w:rsid w:val="00D779E8"/>
    <w:rsid w:val="00D82669"/>
    <w:rsid w:val="00D830DE"/>
    <w:rsid w:val="00D85995"/>
    <w:rsid w:val="00D86BBC"/>
    <w:rsid w:val="00D87A69"/>
    <w:rsid w:val="00D87F07"/>
    <w:rsid w:val="00D90E31"/>
    <w:rsid w:val="00D9142A"/>
    <w:rsid w:val="00D932AD"/>
    <w:rsid w:val="00D94C31"/>
    <w:rsid w:val="00D9558F"/>
    <w:rsid w:val="00D960EC"/>
    <w:rsid w:val="00D9735E"/>
    <w:rsid w:val="00D97782"/>
    <w:rsid w:val="00DA50C3"/>
    <w:rsid w:val="00DA7438"/>
    <w:rsid w:val="00DB0788"/>
    <w:rsid w:val="00DB7F6F"/>
    <w:rsid w:val="00DC55D0"/>
    <w:rsid w:val="00DC5BB0"/>
    <w:rsid w:val="00DD0BAD"/>
    <w:rsid w:val="00DD0DE2"/>
    <w:rsid w:val="00DD2CE2"/>
    <w:rsid w:val="00DD60DE"/>
    <w:rsid w:val="00DD642A"/>
    <w:rsid w:val="00DD71A7"/>
    <w:rsid w:val="00DE1406"/>
    <w:rsid w:val="00DE14F6"/>
    <w:rsid w:val="00DE35BE"/>
    <w:rsid w:val="00DF2589"/>
    <w:rsid w:val="00DF360F"/>
    <w:rsid w:val="00DF36CA"/>
    <w:rsid w:val="00DF4FB8"/>
    <w:rsid w:val="00DF63E3"/>
    <w:rsid w:val="00DF7385"/>
    <w:rsid w:val="00E00473"/>
    <w:rsid w:val="00E02F0D"/>
    <w:rsid w:val="00E1061C"/>
    <w:rsid w:val="00E10692"/>
    <w:rsid w:val="00E14738"/>
    <w:rsid w:val="00E1479A"/>
    <w:rsid w:val="00E15A16"/>
    <w:rsid w:val="00E206A3"/>
    <w:rsid w:val="00E20C64"/>
    <w:rsid w:val="00E23A73"/>
    <w:rsid w:val="00E24DB8"/>
    <w:rsid w:val="00E26EB0"/>
    <w:rsid w:val="00E27034"/>
    <w:rsid w:val="00E32D4B"/>
    <w:rsid w:val="00E33957"/>
    <w:rsid w:val="00E40749"/>
    <w:rsid w:val="00E41116"/>
    <w:rsid w:val="00E414EF"/>
    <w:rsid w:val="00E424DA"/>
    <w:rsid w:val="00E45390"/>
    <w:rsid w:val="00E455A5"/>
    <w:rsid w:val="00E555C5"/>
    <w:rsid w:val="00E56CCD"/>
    <w:rsid w:val="00E5722D"/>
    <w:rsid w:val="00E62643"/>
    <w:rsid w:val="00E62938"/>
    <w:rsid w:val="00E642D3"/>
    <w:rsid w:val="00E702F6"/>
    <w:rsid w:val="00E7387C"/>
    <w:rsid w:val="00E73C17"/>
    <w:rsid w:val="00E73E5F"/>
    <w:rsid w:val="00E768B8"/>
    <w:rsid w:val="00E778AE"/>
    <w:rsid w:val="00E77A0F"/>
    <w:rsid w:val="00E82D4E"/>
    <w:rsid w:val="00E835A1"/>
    <w:rsid w:val="00E83E2D"/>
    <w:rsid w:val="00E85164"/>
    <w:rsid w:val="00E8739B"/>
    <w:rsid w:val="00E90652"/>
    <w:rsid w:val="00E948B4"/>
    <w:rsid w:val="00E95C43"/>
    <w:rsid w:val="00E96570"/>
    <w:rsid w:val="00EA31DB"/>
    <w:rsid w:val="00EA68E9"/>
    <w:rsid w:val="00EA7D7F"/>
    <w:rsid w:val="00EB3C38"/>
    <w:rsid w:val="00EC12A0"/>
    <w:rsid w:val="00EC1E5F"/>
    <w:rsid w:val="00EC64A8"/>
    <w:rsid w:val="00EC78B7"/>
    <w:rsid w:val="00ED14BD"/>
    <w:rsid w:val="00ED24F1"/>
    <w:rsid w:val="00ED41E5"/>
    <w:rsid w:val="00ED49B5"/>
    <w:rsid w:val="00EE332B"/>
    <w:rsid w:val="00EE6C01"/>
    <w:rsid w:val="00EF1519"/>
    <w:rsid w:val="00EF2896"/>
    <w:rsid w:val="00EF2C61"/>
    <w:rsid w:val="00EF4610"/>
    <w:rsid w:val="00EF6CB2"/>
    <w:rsid w:val="00EF7939"/>
    <w:rsid w:val="00F01A5C"/>
    <w:rsid w:val="00F04DE2"/>
    <w:rsid w:val="00F076E3"/>
    <w:rsid w:val="00F11CFC"/>
    <w:rsid w:val="00F1463A"/>
    <w:rsid w:val="00F15936"/>
    <w:rsid w:val="00F20B68"/>
    <w:rsid w:val="00F23DBE"/>
    <w:rsid w:val="00F31085"/>
    <w:rsid w:val="00F31737"/>
    <w:rsid w:val="00F329A7"/>
    <w:rsid w:val="00F40513"/>
    <w:rsid w:val="00F41C5C"/>
    <w:rsid w:val="00F424A9"/>
    <w:rsid w:val="00F4459F"/>
    <w:rsid w:val="00F508C7"/>
    <w:rsid w:val="00F52F72"/>
    <w:rsid w:val="00F5729F"/>
    <w:rsid w:val="00F60524"/>
    <w:rsid w:val="00F65587"/>
    <w:rsid w:val="00F656A1"/>
    <w:rsid w:val="00F65B62"/>
    <w:rsid w:val="00F71AE6"/>
    <w:rsid w:val="00F72DC7"/>
    <w:rsid w:val="00F74B26"/>
    <w:rsid w:val="00F772DD"/>
    <w:rsid w:val="00F776C3"/>
    <w:rsid w:val="00F77E06"/>
    <w:rsid w:val="00F80CA8"/>
    <w:rsid w:val="00F8101C"/>
    <w:rsid w:val="00F850F4"/>
    <w:rsid w:val="00F85AD8"/>
    <w:rsid w:val="00F9021F"/>
    <w:rsid w:val="00F92463"/>
    <w:rsid w:val="00F93464"/>
    <w:rsid w:val="00F95594"/>
    <w:rsid w:val="00F973A7"/>
    <w:rsid w:val="00FA35E2"/>
    <w:rsid w:val="00FA5DE1"/>
    <w:rsid w:val="00FA6CB8"/>
    <w:rsid w:val="00FA7D60"/>
    <w:rsid w:val="00FB260A"/>
    <w:rsid w:val="00FB2B02"/>
    <w:rsid w:val="00FB4897"/>
    <w:rsid w:val="00FB6664"/>
    <w:rsid w:val="00FC2464"/>
    <w:rsid w:val="00FC3224"/>
    <w:rsid w:val="00FC60C3"/>
    <w:rsid w:val="00FC6311"/>
    <w:rsid w:val="00FC7647"/>
    <w:rsid w:val="00FC7CE6"/>
    <w:rsid w:val="00FD0795"/>
    <w:rsid w:val="00FD0A4E"/>
    <w:rsid w:val="00FD3A37"/>
    <w:rsid w:val="00FD577E"/>
    <w:rsid w:val="00FD6497"/>
    <w:rsid w:val="00FD73BD"/>
    <w:rsid w:val="00FE14B4"/>
    <w:rsid w:val="00FE1EBE"/>
    <w:rsid w:val="00FE46CE"/>
    <w:rsid w:val="00FE4E43"/>
    <w:rsid w:val="00FF1103"/>
    <w:rsid w:val="00FF2EC3"/>
    <w:rsid w:val="00FF462C"/>
    <w:rsid w:val="00FF66DC"/>
    <w:rsid w:val="00FF7CD6"/>
    <w:rsid w:val="012A4E2C"/>
    <w:rsid w:val="02DC2156"/>
    <w:rsid w:val="03CC3F79"/>
    <w:rsid w:val="05CD222A"/>
    <w:rsid w:val="06084616"/>
    <w:rsid w:val="06A9292B"/>
    <w:rsid w:val="08EF7A39"/>
    <w:rsid w:val="0A5844F0"/>
    <w:rsid w:val="0DFF0ECB"/>
    <w:rsid w:val="0EE41D10"/>
    <w:rsid w:val="11386E78"/>
    <w:rsid w:val="11B73ED3"/>
    <w:rsid w:val="12277661"/>
    <w:rsid w:val="133D4C82"/>
    <w:rsid w:val="138D4967"/>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E0C3040"/>
    <w:rsid w:val="2E40384E"/>
    <w:rsid w:val="2F083808"/>
    <w:rsid w:val="2F0B058C"/>
    <w:rsid w:val="2F7C5FA4"/>
    <w:rsid w:val="344833B2"/>
    <w:rsid w:val="3D6C58AA"/>
    <w:rsid w:val="3E799816"/>
    <w:rsid w:val="403F2E01"/>
    <w:rsid w:val="431A1904"/>
    <w:rsid w:val="45413951"/>
    <w:rsid w:val="46E47FFF"/>
    <w:rsid w:val="4779601E"/>
    <w:rsid w:val="493E1AE1"/>
    <w:rsid w:val="4B2238EC"/>
    <w:rsid w:val="4C6C7CEB"/>
    <w:rsid w:val="4DDD59C1"/>
    <w:rsid w:val="4EAE0286"/>
    <w:rsid w:val="51FB0B52"/>
    <w:rsid w:val="531F075A"/>
    <w:rsid w:val="55D63DB0"/>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FDD1529"/>
    <w:rsid w:val="710B6BAC"/>
    <w:rsid w:val="71CC633B"/>
    <w:rsid w:val="71F238C8"/>
    <w:rsid w:val="738A5B9F"/>
    <w:rsid w:val="741F6AAA"/>
    <w:rsid w:val="74A0585D"/>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B34D4F7"/>
  <w15:docId w15:val="{6ED72273-B959-4277-9FE0-EF6A35E8C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next w:val="BodyText2"/>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BodyText2">
    <w:name w:val="BodyText2"/>
    <w:basedOn w:val="ac"/>
    <w:qFormat/>
    <w:pPr>
      <w:spacing w:after="120" w:line="480" w:lineRule="auto"/>
      <w:textAlignment w:val="baseline"/>
    </w:pPr>
    <w:rPr>
      <w:rFonts w:cs="Times New Roman"/>
      <w:sz w:val="32"/>
      <w:szCs w:val="32"/>
    </w:rPr>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Date"/>
    <w:basedOn w:val="ac"/>
    <w:next w:val="ac"/>
    <w:link w:val="af3"/>
    <w:uiPriority w:val="99"/>
    <w:semiHidden/>
    <w:unhideWhenUsed/>
    <w:qFormat/>
    <w:pPr>
      <w:ind w:leftChars="2500" w:left="100"/>
    </w:pPr>
  </w:style>
  <w:style w:type="paragraph" w:styleId="af4">
    <w:name w:val="endnote text"/>
    <w:basedOn w:val="ac"/>
    <w:link w:val="af5"/>
    <w:uiPriority w:val="99"/>
    <w:semiHidden/>
    <w:unhideWhenUsed/>
    <w:qFormat/>
    <w:pPr>
      <w:snapToGrid w:val="0"/>
      <w:jc w:val="left"/>
    </w:pPr>
  </w:style>
  <w:style w:type="paragraph" w:styleId="af6">
    <w:name w:val="Balloon Text"/>
    <w:basedOn w:val="ac"/>
    <w:link w:val="af7"/>
    <w:uiPriority w:val="99"/>
    <w:unhideWhenUsed/>
    <w:qFormat/>
    <w:rPr>
      <w:sz w:val="18"/>
      <w:szCs w:val="18"/>
    </w:rPr>
  </w:style>
  <w:style w:type="paragraph" w:styleId="af8">
    <w:name w:val="footer"/>
    <w:basedOn w:val="ac"/>
    <w:link w:val="af9"/>
    <w:uiPriority w:val="99"/>
    <w:qFormat/>
    <w:pPr>
      <w:tabs>
        <w:tab w:val="center" w:pos="4153"/>
        <w:tab w:val="right" w:pos="8306"/>
      </w:tabs>
      <w:snapToGrid w:val="0"/>
      <w:jc w:val="left"/>
    </w:pPr>
    <w:rPr>
      <w:sz w:val="18"/>
      <w:szCs w:val="18"/>
    </w:rPr>
  </w:style>
  <w:style w:type="paragraph" w:styleId="afa">
    <w:name w:val="envelope return"/>
    <w:basedOn w:val="ac"/>
    <w:qFormat/>
    <w:pPr>
      <w:snapToGrid w:val="0"/>
    </w:pPr>
    <w:rPr>
      <w:rFonts w:ascii="Times New Roman" w:hAnsi="Times New Roman"/>
    </w:rPr>
  </w:style>
  <w:style w:type="paragraph" w:styleId="afb">
    <w:name w:val="header"/>
    <w:basedOn w:val="ac"/>
    <w:link w:val="afc"/>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d">
    <w:name w:val="Normal (Web)"/>
    <w:basedOn w:val="ac"/>
    <w:uiPriority w:val="99"/>
    <w:semiHidden/>
    <w:unhideWhenUsed/>
    <w:qFormat/>
    <w:rPr>
      <w:sz w:val="24"/>
    </w:rPr>
  </w:style>
  <w:style w:type="paragraph" w:styleId="afe">
    <w:name w:val="Title"/>
    <w:basedOn w:val="ac"/>
    <w:next w:val="ac"/>
    <w:link w:val="af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0">
    <w:name w:val="annotation subject"/>
    <w:basedOn w:val="af0"/>
    <w:next w:val="af0"/>
    <w:link w:val="aff1"/>
    <w:uiPriority w:val="99"/>
    <w:semiHidden/>
    <w:unhideWhenUsed/>
    <w:qFormat/>
    <w:pPr>
      <w:adjustRightInd/>
      <w:spacing w:line="240" w:lineRule="auto"/>
    </w:pPr>
    <w:rPr>
      <w:b/>
      <w:bCs/>
      <w:szCs w:val="24"/>
    </w:rPr>
  </w:style>
  <w:style w:type="table" w:styleId="aff2">
    <w:name w:val="Table Grid"/>
    <w:basedOn w:val="ae"/>
    <w:uiPriority w:val="39"/>
    <w:qFormat/>
    <w:pPr>
      <w:widowControl w:val="0"/>
      <w:jc w:val="both"/>
    </w:pPr>
    <w:tblPr>
      <w:tblBorders>
        <w:top w:val="single" w:sz="4" w:space="0" w:color="auto"/>
        <w:bottom w:val="single" w:sz="4" w:space="0" w:color="auto"/>
      </w:tblBorders>
    </w:tblPr>
  </w:style>
  <w:style w:type="character" w:styleId="aff3">
    <w:name w:val="Strong"/>
    <w:basedOn w:val="ad"/>
    <w:uiPriority w:val="22"/>
    <w:qFormat/>
    <w:rPr>
      <w:b/>
    </w:rPr>
  </w:style>
  <w:style w:type="character" w:styleId="aff4">
    <w:name w:val="endnote reference"/>
    <w:basedOn w:val="ad"/>
    <w:uiPriority w:val="99"/>
    <w:semiHidden/>
    <w:unhideWhenUsed/>
    <w:qFormat/>
    <w:rPr>
      <w:vertAlign w:val="superscript"/>
    </w:rPr>
  </w:style>
  <w:style w:type="character" w:styleId="aff5">
    <w:name w:val="line number"/>
    <w:qFormat/>
  </w:style>
  <w:style w:type="character" w:styleId="aff6">
    <w:name w:val="Hyperlink"/>
    <w:qFormat/>
    <w:rPr>
      <w:rFonts w:ascii="宋体" w:eastAsia="宋体"/>
      <w:color w:val="auto"/>
      <w:spacing w:val="0"/>
      <w:w w:val="100"/>
      <w:position w:val="0"/>
      <w:sz w:val="21"/>
      <w:u w:val="none"/>
      <w:vertAlign w:val="baseline"/>
    </w:rPr>
  </w:style>
  <w:style w:type="character" w:styleId="aff7">
    <w:name w:val="annotation reference"/>
    <w:uiPriority w:val="99"/>
    <w:qFormat/>
    <w:rPr>
      <w:sz w:val="21"/>
    </w:rPr>
  </w:style>
  <w:style w:type="character" w:styleId="aff8">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semiHidden/>
    <w:qFormat/>
    <w:rPr>
      <w:rFonts w:ascii="Calibri" w:eastAsia="宋体" w:hAnsi="Calibri"/>
      <w:kern w:val="2"/>
      <w:sz w:val="21"/>
      <w:szCs w:val="21"/>
    </w:rPr>
  </w:style>
  <w:style w:type="character" w:customStyle="1" w:styleId="af7">
    <w:name w:val="批注框文本 字符"/>
    <w:link w:val="af6"/>
    <w:uiPriority w:val="99"/>
    <w:semiHidden/>
    <w:qFormat/>
    <w:rPr>
      <w:rFonts w:eastAsia="宋体"/>
      <w:kern w:val="2"/>
      <w:sz w:val="18"/>
      <w:szCs w:val="18"/>
    </w:rPr>
  </w:style>
  <w:style w:type="character" w:customStyle="1" w:styleId="af9">
    <w:name w:val="页脚 字符"/>
    <w:link w:val="af8"/>
    <w:uiPriority w:val="99"/>
    <w:qFormat/>
    <w:locked/>
    <w:rPr>
      <w:rFonts w:eastAsia="宋体"/>
      <w:kern w:val="2"/>
      <w:sz w:val="18"/>
      <w:szCs w:val="18"/>
    </w:rPr>
  </w:style>
  <w:style w:type="paragraph" w:customStyle="1" w:styleId="aff9">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a">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a"/>
    <w:qFormat/>
    <w:rPr>
      <w:rFonts w:ascii="仿宋" w:eastAsia="仿宋" w:hAnsi="仿宋" w:cs="Calibri"/>
      <w:kern w:val="2"/>
      <w:sz w:val="32"/>
      <w:szCs w:val="32"/>
    </w:rPr>
  </w:style>
  <w:style w:type="paragraph" w:customStyle="1" w:styleId="a6">
    <w:name w:val="标准文件_章标题"/>
    <w:next w:val="affa"/>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b">
    <w:name w:val="标准文件_二级条标题"/>
    <w:next w:val="affa"/>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a"/>
    <w:qFormat/>
    <w:pPr>
      <w:numPr>
        <w:ilvl w:val="2"/>
      </w:numPr>
      <w:spacing w:beforeLines="0" w:before="50" w:afterLines="0" w:after="50"/>
      <w:outlineLvl w:val="1"/>
    </w:pPr>
  </w:style>
  <w:style w:type="paragraph" w:customStyle="1" w:styleId="affc">
    <w:name w:val="标准文件_三级条标题"/>
    <w:basedOn w:val="affb"/>
    <w:next w:val="affa"/>
    <w:qFormat/>
    <w:pPr>
      <w:outlineLvl w:val="3"/>
    </w:pPr>
  </w:style>
  <w:style w:type="paragraph" w:customStyle="1" w:styleId="affd">
    <w:name w:val="标准文件_四级条标题"/>
    <w:next w:val="affa"/>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b"/>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d"/>
    <w:qFormat/>
    <w:pPr>
      <w:numPr>
        <w:ilvl w:val="5"/>
        <w:numId w:val="1"/>
      </w:numPr>
    </w:pPr>
    <w:rPr>
      <w:rFonts w:ascii="宋体" w:eastAsia="宋体"/>
      <w:szCs w:val="52"/>
    </w:rPr>
  </w:style>
  <w:style w:type="paragraph" w:customStyle="1" w:styleId="a8">
    <w:name w:val="标准文件_三级无标题"/>
    <w:basedOn w:val="affc"/>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e">
    <w:name w:val="段"/>
    <w:qFormat/>
    <w:pPr>
      <w:autoSpaceDE w:val="0"/>
      <w:autoSpaceDN w:val="0"/>
      <w:ind w:firstLineChars="200" w:firstLine="200"/>
      <w:jc w:val="both"/>
    </w:pPr>
    <w:rPr>
      <w:rFonts w:ascii="宋体" w:hAnsi="Calibri" w:cs="Calibri"/>
      <w:sz w:val="21"/>
    </w:rPr>
  </w:style>
  <w:style w:type="paragraph" w:customStyle="1" w:styleId="afff">
    <w:name w:val="二级无"/>
    <w:basedOn w:val="ac"/>
    <w:qFormat/>
    <w:pPr>
      <w:widowControl/>
      <w:tabs>
        <w:tab w:val="left" w:pos="780"/>
      </w:tabs>
      <w:ind w:left="780" w:hanging="360"/>
      <w:jc w:val="left"/>
      <w:outlineLvl w:val="3"/>
    </w:pPr>
    <w:rPr>
      <w:rFonts w:ascii="宋体"/>
      <w:kern w:val="0"/>
      <w:szCs w:val="21"/>
    </w:rPr>
  </w:style>
  <w:style w:type="paragraph" w:customStyle="1" w:styleId="afff0">
    <w:name w:val="标准文件_二级无标题"/>
    <w:basedOn w:val="affb"/>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f1">
    <w:name w:val="标准文件_术语条一"/>
    <w:basedOn w:val="ac"/>
    <w:next w:val="affa"/>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f2">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e"/>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f3">
    <w:name w:val="List Paragraph"/>
    <w:basedOn w:val="ac"/>
    <w:uiPriority w:val="99"/>
    <w:unhideWhenUsed/>
    <w:qFormat/>
    <w:pPr>
      <w:ind w:firstLineChars="200" w:firstLine="420"/>
    </w:pPr>
    <w:rPr>
      <w:rFonts w:ascii="Times New Roman" w:hAnsi="Times New Roman" w:cs="Times New Roman"/>
    </w:rPr>
  </w:style>
  <w:style w:type="character" w:customStyle="1" w:styleId="afc">
    <w:name w:val="页眉 字符"/>
    <w:basedOn w:val="ad"/>
    <w:link w:val="afb"/>
    <w:qFormat/>
    <w:rPr>
      <w:rFonts w:ascii="Calibri" w:hAnsi="Calibri" w:cs="Calibri"/>
      <w:kern w:val="2"/>
      <w:sz w:val="18"/>
      <w:szCs w:val="18"/>
    </w:rPr>
  </w:style>
  <w:style w:type="character" w:customStyle="1" w:styleId="aff1">
    <w:name w:val="批注主题 字符"/>
    <w:basedOn w:val="af1"/>
    <w:link w:val="aff0"/>
    <w:uiPriority w:val="99"/>
    <w:semiHidden/>
    <w:qFormat/>
    <w:rPr>
      <w:rFonts w:ascii="Calibri" w:eastAsia="宋体" w:hAnsi="Calibri" w:cs="Calibri"/>
      <w:b/>
      <w:bCs/>
      <w:kern w:val="2"/>
      <w:sz w:val="21"/>
      <w:szCs w:val="24"/>
    </w:rPr>
  </w:style>
  <w:style w:type="character" w:customStyle="1" w:styleId="af5">
    <w:name w:val="尾注文本 字符"/>
    <w:basedOn w:val="ad"/>
    <w:link w:val="af4"/>
    <w:uiPriority w:val="99"/>
    <w:semiHidden/>
    <w:qFormat/>
    <w:rPr>
      <w:rFonts w:ascii="Calibri" w:hAnsi="Calibri" w:cs="Calibri"/>
      <w:kern w:val="2"/>
      <w:sz w:val="21"/>
      <w:szCs w:val="24"/>
    </w:rPr>
  </w:style>
  <w:style w:type="paragraph" w:customStyle="1" w:styleId="a0">
    <w:name w:val="标准文件_方框数字列项"/>
    <w:basedOn w:val="affa"/>
    <w:qFormat/>
    <w:pPr>
      <w:numPr>
        <w:numId w:val="6"/>
      </w:numPr>
      <w:spacing w:line="240" w:lineRule="auto"/>
      <w:ind w:firstLineChars="0" w:firstLine="0"/>
    </w:pPr>
    <w:rPr>
      <w:rFonts w:ascii="宋体" w:eastAsia="宋体" w:hAnsi="Times New Roman" w:cs="Times New Roman"/>
      <w:kern w:val="0"/>
      <w:sz w:val="21"/>
      <w:szCs w:val="20"/>
    </w:rPr>
  </w:style>
  <w:style w:type="character" w:customStyle="1" w:styleId="af3">
    <w:name w:val="日期 字符"/>
    <w:basedOn w:val="ad"/>
    <w:link w:val="af2"/>
    <w:uiPriority w:val="99"/>
    <w:semiHidden/>
    <w:qFormat/>
    <w:rPr>
      <w:rFonts w:ascii="Calibri" w:hAnsi="Calibri" w:cs="Calibri"/>
      <w:kern w:val="2"/>
      <w:sz w:val="21"/>
      <w:szCs w:val="24"/>
    </w:rPr>
  </w:style>
  <w:style w:type="character" w:customStyle="1" w:styleId="aff">
    <w:name w:val="标题 字符"/>
    <w:basedOn w:val="ad"/>
    <w:link w:val="afe"/>
    <w:uiPriority w:val="10"/>
    <w:qFormat/>
    <w:rPr>
      <w:rFonts w:asciiTheme="majorHAnsi" w:eastAsiaTheme="majorEastAsia" w:hAnsiTheme="majorHAnsi" w:cstheme="majorBidi"/>
      <w:b/>
      <w:bCs/>
      <w:kern w:val="2"/>
      <w:sz w:val="32"/>
      <w:szCs w:val="32"/>
    </w:rPr>
  </w:style>
  <w:style w:type="table" w:customStyle="1" w:styleId="11">
    <w:name w:val="网格型1"/>
    <w:basedOn w:val="ae"/>
    <w:next w:val="aff2"/>
    <w:uiPriority w:val="39"/>
    <w:qFormat/>
    <w:rsid w:val="00D157E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标准文件_标准正文"/>
    <w:basedOn w:val="ac"/>
    <w:next w:val="affa"/>
    <w:qFormat/>
    <w:rsid w:val="00F92463"/>
    <w:pPr>
      <w:adjustRightInd w:val="0"/>
      <w:snapToGrid w:val="0"/>
      <w:spacing w:line="400" w:lineRule="exact"/>
      <w:ind w:firstLineChars="200" w:firstLine="200"/>
    </w:pPr>
    <w:rPr>
      <w:rFonts w:cs="Times New Roman"/>
      <w:kern w:val="0"/>
      <w:szCs w:val="21"/>
    </w:rPr>
  </w:style>
  <w:style w:type="paragraph" w:customStyle="1" w:styleId="afff5">
    <w:name w:val="标准文件_正文公式"/>
    <w:basedOn w:val="ac"/>
    <w:next w:val="afff4"/>
    <w:qFormat/>
    <w:rsid w:val="00F92463"/>
    <w:pPr>
      <w:tabs>
        <w:tab w:val="center" w:pos="4678"/>
        <w:tab w:val="right" w:leader="middleDot" w:pos="9356"/>
      </w:tabs>
      <w:adjustRightInd w:val="0"/>
    </w:pPr>
    <w:rPr>
      <w:rFonts w:ascii="宋体" w:hAnsi="宋体" w:cs="Times New Roman"/>
      <w:szCs w:val="21"/>
    </w:rPr>
  </w:style>
  <w:style w:type="character" w:styleId="afff6">
    <w:name w:val="Placeholder Text"/>
    <w:basedOn w:val="ad"/>
    <w:uiPriority w:val="99"/>
    <w:semiHidden/>
    <w:rsid w:val="00F924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161CF1-A274-47CE-B83C-7C7326DC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16</Pages>
  <Words>1519</Words>
  <Characters>8663</Characters>
  <Application>Microsoft Office Word</Application>
  <DocSecurity>0</DocSecurity>
  <Lines>72</Lines>
  <Paragraphs>20</Paragraphs>
  <ScaleCrop>false</ScaleCrop>
  <Company>微软中国</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431</cp:revision>
  <cp:lastPrinted>2026-01-13T12:26:00Z</cp:lastPrinted>
  <dcterms:created xsi:type="dcterms:W3CDTF">2024-09-29T09:06:00Z</dcterms:created>
  <dcterms:modified xsi:type="dcterms:W3CDTF">2026-06-25T09:09:00Z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A922D90BF3B641DA8C66AE267C36FA1E_13</vt:lpwstr>
  </property>
  <property fmtid="{D5CDD505-2E9C-101B-9397-08002B2CF9AE}" pid="4" name="KSOTemplateDocerSaveRecord">
    <vt:lpwstr>eyJoZGlkIjoiNmQ1ZTAxODgwYWQ1NjFmNGMzNjRlNmY2MTk2ZjA3M2MiLCJ1c2VySWQiOiI1NjkwODQ0OTAifQ==</vt:lpwstr>
  </property>
</Properties>
</file>