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D14332" w14:textId="22C9E6E7" w:rsidR="007A6E81" w:rsidRDefault="00000000" w:rsidP="00C37FD1">
      <w:pPr>
        <w:spacing w:after="0" w:line="560" w:lineRule="exact"/>
        <w:jc w:val="center"/>
        <w:rPr>
          <w:rFonts w:ascii="方正小标宋简体" w:eastAsia="方正小标宋简体" w:hAnsi="黑体" w:cs="黑体" w:hint="eastAsia"/>
          <w:color w:val="000000"/>
          <w:sz w:val="44"/>
          <w:szCs w:val="44"/>
        </w:rPr>
      </w:pPr>
      <w:r>
        <w:rPr>
          <w:rFonts w:ascii="方正小标宋简体" w:eastAsia="方正小标宋简体" w:hAnsi="黑体" w:cs="黑体" w:hint="eastAsia"/>
          <w:color w:val="000000"/>
          <w:sz w:val="44"/>
          <w:szCs w:val="44"/>
        </w:rPr>
        <w:t>团体标准</w:t>
      </w:r>
      <w:r w:rsidR="00BE3481" w:rsidRPr="00BE3481">
        <w:rPr>
          <w:rFonts w:ascii="方正小标宋简体" w:eastAsia="方正小标宋简体" w:hAnsi="黑体" w:cs="黑体" w:hint="eastAsia"/>
          <w:color w:val="000000"/>
          <w:sz w:val="44"/>
          <w:szCs w:val="44"/>
        </w:rPr>
        <w:t>《砂梨水肥一体化技术规程》</w:t>
      </w:r>
      <w:r>
        <w:rPr>
          <w:rFonts w:ascii="方正小标宋简体" w:eastAsia="方正小标宋简体" w:hAnsi="黑体" w:cs="黑体" w:hint="eastAsia"/>
          <w:color w:val="000000"/>
          <w:sz w:val="44"/>
          <w:szCs w:val="44"/>
        </w:rPr>
        <w:t>（</w:t>
      </w:r>
      <w:r w:rsidR="00076BF1">
        <w:rPr>
          <w:rFonts w:ascii="方正小标宋简体" w:eastAsia="方正小标宋简体" w:hAnsi="黑体" w:cs="黑体" w:hint="eastAsia"/>
          <w:color w:val="000000"/>
          <w:sz w:val="44"/>
          <w:szCs w:val="44"/>
        </w:rPr>
        <w:t>征求意见稿</w:t>
      </w:r>
      <w:r>
        <w:rPr>
          <w:rFonts w:ascii="方正小标宋简体" w:eastAsia="方正小标宋简体" w:hAnsi="黑体" w:cs="黑体" w:hint="eastAsia"/>
          <w:color w:val="000000"/>
          <w:sz w:val="44"/>
          <w:szCs w:val="44"/>
        </w:rPr>
        <w:t>）编制说明</w:t>
      </w:r>
    </w:p>
    <w:p w14:paraId="1F0BA963" w14:textId="77777777" w:rsidR="007A6E81" w:rsidRDefault="00000000" w:rsidP="00A8651E">
      <w:pPr>
        <w:autoSpaceDE w:val="0"/>
        <w:autoSpaceDN w:val="0"/>
        <w:adjustRightInd w:val="0"/>
        <w:spacing w:after="0" w:line="560" w:lineRule="exact"/>
        <w:ind w:firstLineChars="200" w:firstLine="640"/>
        <w:jc w:val="left"/>
        <w:outlineLvl w:val="0"/>
        <w:rPr>
          <w:rFonts w:ascii="黑体" w:eastAsia="黑体" w:hAnsi="黑体" w:cs="仿宋_GB2312" w:hint="eastAsia"/>
          <w:sz w:val="32"/>
          <w:szCs w:val="32"/>
        </w:rPr>
      </w:pPr>
      <w:r>
        <w:rPr>
          <w:rFonts w:ascii="黑体" w:eastAsia="黑体" w:hAnsi="黑体" w:cs="仿宋_GB2312" w:hint="eastAsia"/>
          <w:sz w:val="32"/>
          <w:szCs w:val="32"/>
        </w:rPr>
        <w:t>一、任务来源、起草单位、主要起草人</w:t>
      </w:r>
    </w:p>
    <w:p w14:paraId="5DF0BCB2" w14:textId="743C9E09" w:rsidR="00C37FD1" w:rsidRDefault="00480C32" w:rsidP="00A8651E">
      <w:pPr>
        <w:spacing w:after="0" w:line="560" w:lineRule="exact"/>
        <w:ind w:firstLineChars="200" w:firstLine="640"/>
        <w:rPr>
          <w:rFonts w:ascii="仿宋_GB2312" w:eastAsia="仿宋_GB2312" w:hAnsi="仿宋" w:hint="eastAsia"/>
          <w:sz w:val="32"/>
          <w:szCs w:val="32"/>
        </w:rPr>
      </w:pPr>
      <w:r w:rsidRPr="00480C32">
        <w:rPr>
          <w:rFonts w:ascii="仿宋_GB2312" w:eastAsia="仿宋_GB2312" w:hAnsi="Calibri" w:hint="eastAsia"/>
          <w:sz w:val="32"/>
          <w:szCs w:val="32"/>
        </w:rPr>
        <w:t>根据《广西标准化协会关于下达2026年第九批团体标准制修订项目计划的通知》（</w:t>
      </w:r>
      <w:proofErr w:type="gramStart"/>
      <w:r w:rsidRPr="00480C32">
        <w:rPr>
          <w:rFonts w:ascii="仿宋_GB2312" w:eastAsia="仿宋_GB2312" w:hAnsi="Calibri" w:hint="eastAsia"/>
          <w:sz w:val="32"/>
          <w:szCs w:val="32"/>
        </w:rPr>
        <w:t>桂标协〔2026〕</w:t>
      </w:r>
      <w:proofErr w:type="gramEnd"/>
      <w:r w:rsidRPr="00480C32">
        <w:rPr>
          <w:rFonts w:ascii="仿宋_GB2312" w:eastAsia="仿宋_GB2312" w:hAnsi="Calibri" w:hint="eastAsia"/>
          <w:sz w:val="32"/>
          <w:szCs w:val="32"/>
        </w:rPr>
        <w:t>129号）文件精神，由广西特色作物研究院提出，广西特色作物研究院、南京农业大学、广西壮族自治区水果技术指导站等单位共同起草制定的团体标准《砂梨水肥一体化技术规程》</w:t>
      </w:r>
      <w:r w:rsidR="00C37FD1" w:rsidRPr="00C37FD1">
        <w:rPr>
          <w:rFonts w:ascii="仿宋_GB2312" w:eastAsia="仿宋_GB2312" w:hAnsi="Calibri" w:hint="eastAsia"/>
          <w:sz w:val="32"/>
          <w:szCs w:val="32"/>
        </w:rPr>
        <w:t>，</w:t>
      </w:r>
      <w:r w:rsidR="00C817E1">
        <w:rPr>
          <w:rFonts w:ascii="仿宋_GB2312" w:eastAsia="仿宋_GB2312" w:hAnsi="仿宋" w:hint="eastAsia"/>
          <w:sz w:val="32"/>
          <w:szCs w:val="32"/>
        </w:rPr>
        <w:t>已获批立项。主要起草人姓名及分工情况如下：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131"/>
        <w:gridCol w:w="1452"/>
        <w:gridCol w:w="1452"/>
        <w:gridCol w:w="2039"/>
        <w:gridCol w:w="2222"/>
      </w:tblGrid>
      <w:tr w:rsidR="00480C32" w:rsidRPr="00480C32" w14:paraId="7847DFEA" w14:textId="77777777" w:rsidTr="002C5F5F">
        <w:trPr>
          <w:trHeight w:val="450"/>
        </w:trPr>
        <w:tc>
          <w:tcPr>
            <w:tcW w:w="681" w:type="pct"/>
            <w:vAlign w:val="center"/>
          </w:tcPr>
          <w:p w14:paraId="7CB3A9B0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b/>
                <w:szCs w:val="21"/>
              </w:rPr>
              <w:t>姓名</w:t>
            </w:r>
          </w:p>
        </w:tc>
        <w:tc>
          <w:tcPr>
            <w:tcW w:w="875" w:type="pct"/>
            <w:vAlign w:val="center"/>
          </w:tcPr>
          <w:p w14:paraId="1381BE2D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b/>
                <w:szCs w:val="21"/>
              </w:rPr>
              <w:t>工作单位</w:t>
            </w:r>
          </w:p>
        </w:tc>
        <w:tc>
          <w:tcPr>
            <w:tcW w:w="875" w:type="pct"/>
            <w:vAlign w:val="center"/>
          </w:tcPr>
          <w:p w14:paraId="736973ED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b/>
                <w:szCs w:val="21"/>
              </w:rPr>
              <w:t>职务/职称</w:t>
            </w:r>
          </w:p>
        </w:tc>
        <w:tc>
          <w:tcPr>
            <w:tcW w:w="1229" w:type="pct"/>
            <w:vAlign w:val="center"/>
          </w:tcPr>
          <w:p w14:paraId="2F91320D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b/>
                <w:szCs w:val="21"/>
              </w:rPr>
              <w:t>从事专业</w:t>
            </w:r>
          </w:p>
        </w:tc>
        <w:tc>
          <w:tcPr>
            <w:tcW w:w="1339" w:type="pct"/>
            <w:vAlign w:val="center"/>
          </w:tcPr>
          <w:p w14:paraId="7039E660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b/>
                <w:szCs w:val="21"/>
              </w:rPr>
              <w:t>责任分工</w:t>
            </w:r>
          </w:p>
        </w:tc>
      </w:tr>
      <w:tr w:rsidR="00480C32" w:rsidRPr="00480C32" w14:paraId="116F8463" w14:textId="77777777" w:rsidTr="002C5F5F">
        <w:trPr>
          <w:trHeight w:val="450"/>
        </w:trPr>
        <w:tc>
          <w:tcPr>
            <w:tcW w:w="681" w:type="pct"/>
            <w:vAlign w:val="center"/>
          </w:tcPr>
          <w:p w14:paraId="78661BB3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bCs/>
                <w:szCs w:val="21"/>
              </w:rPr>
              <w:t>易显荣</w:t>
            </w:r>
          </w:p>
        </w:tc>
        <w:tc>
          <w:tcPr>
            <w:tcW w:w="875" w:type="pct"/>
            <w:vAlign w:val="center"/>
          </w:tcPr>
          <w:p w14:paraId="0041A070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bCs/>
                <w:szCs w:val="21"/>
              </w:rPr>
              <w:t>广西特色作物研究院</w:t>
            </w:r>
          </w:p>
        </w:tc>
        <w:tc>
          <w:tcPr>
            <w:tcW w:w="875" w:type="pct"/>
            <w:vAlign w:val="center"/>
          </w:tcPr>
          <w:p w14:paraId="70B48648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bCs/>
                <w:szCs w:val="21"/>
              </w:rPr>
              <w:t>副研究员</w:t>
            </w:r>
          </w:p>
        </w:tc>
        <w:tc>
          <w:tcPr>
            <w:tcW w:w="1229" w:type="pct"/>
            <w:vAlign w:val="center"/>
          </w:tcPr>
          <w:p w14:paraId="58906EB1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bCs/>
                <w:szCs w:val="21"/>
              </w:rPr>
              <w:t>果树</w:t>
            </w:r>
          </w:p>
        </w:tc>
        <w:tc>
          <w:tcPr>
            <w:tcW w:w="1339" w:type="pct"/>
            <w:vAlign w:val="center"/>
          </w:tcPr>
          <w:p w14:paraId="37F3722A" w14:textId="77777777" w:rsidR="00480C32" w:rsidRPr="00480C32" w:rsidRDefault="00480C32" w:rsidP="00480C32">
            <w:pPr>
              <w:suppressAutoHyphens/>
              <w:spacing w:after="0" w:line="240" w:lineRule="auto"/>
              <w:jc w:val="center"/>
              <w:rPr>
                <w:rFonts w:asciiTheme="minorEastAsia" w:eastAsiaTheme="minorEastAsia" w:hAnsiTheme="minorEastAsia" w:cs="仿宋_GB2312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cs="仿宋_GB2312" w:hint="eastAsia"/>
                <w:bCs/>
                <w:szCs w:val="21"/>
              </w:rPr>
              <w:t>统筹规范编制工作，组织人员进行规范发布后的宣贯培训</w:t>
            </w:r>
          </w:p>
        </w:tc>
      </w:tr>
      <w:tr w:rsidR="00480C32" w:rsidRPr="00480C32" w14:paraId="0DFA9C02" w14:textId="77777777" w:rsidTr="002C5F5F">
        <w:trPr>
          <w:trHeight w:val="450"/>
        </w:trPr>
        <w:tc>
          <w:tcPr>
            <w:tcW w:w="681" w:type="pct"/>
            <w:vAlign w:val="center"/>
          </w:tcPr>
          <w:p w14:paraId="7E36763E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bCs/>
                <w:szCs w:val="21"/>
              </w:rPr>
              <w:t>赵碧英</w:t>
            </w:r>
          </w:p>
        </w:tc>
        <w:tc>
          <w:tcPr>
            <w:tcW w:w="875" w:type="pct"/>
            <w:vAlign w:val="center"/>
          </w:tcPr>
          <w:p w14:paraId="0A633624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bCs/>
                <w:szCs w:val="21"/>
              </w:rPr>
              <w:t>广西特色作物研究院</w:t>
            </w:r>
          </w:p>
        </w:tc>
        <w:tc>
          <w:tcPr>
            <w:tcW w:w="875" w:type="pct"/>
            <w:vAlign w:val="center"/>
          </w:tcPr>
          <w:p w14:paraId="1B20C23F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bCs/>
                <w:szCs w:val="21"/>
              </w:rPr>
              <w:t>副研究员</w:t>
            </w:r>
          </w:p>
        </w:tc>
        <w:tc>
          <w:tcPr>
            <w:tcW w:w="1229" w:type="pct"/>
            <w:vAlign w:val="center"/>
          </w:tcPr>
          <w:p w14:paraId="52C8A315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bCs/>
                <w:szCs w:val="21"/>
              </w:rPr>
              <w:t>果树</w:t>
            </w:r>
          </w:p>
        </w:tc>
        <w:tc>
          <w:tcPr>
            <w:tcW w:w="1339" w:type="pct"/>
            <w:vAlign w:val="center"/>
          </w:tcPr>
          <w:p w14:paraId="76253F4E" w14:textId="77777777" w:rsidR="00480C32" w:rsidRPr="00480C32" w:rsidRDefault="00480C32" w:rsidP="00480C32">
            <w:pPr>
              <w:suppressAutoHyphens/>
              <w:spacing w:after="0" w:line="240" w:lineRule="auto"/>
              <w:jc w:val="center"/>
              <w:rPr>
                <w:rFonts w:asciiTheme="minorEastAsia" w:eastAsiaTheme="minorEastAsia" w:hAnsiTheme="minorEastAsia" w:cs="仿宋_GB2312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cs="仿宋_GB2312" w:hint="eastAsia"/>
                <w:bCs/>
                <w:szCs w:val="21"/>
              </w:rPr>
              <w:t>负责起草规范草案，编制说明编写</w:t>
            </w:r>
          </w:p>
        </w:tc>
      </w:tr>
      <w:tr w:rsidR="00480C32" w:rsidRPr="00480C32" w14:paraId="14066241" w14:textId="77777777" w:rsidTr="002C5F5F">
        <w:trPr>
          <w:trHeight w:val="450"/>
        </w:trPr>
        <w:tc>
          <w:tcPr>
            <w:tcW w:w="681" w:type="pct"/>
            <w:vAlign w:val="center"/>
          </w:tcPr>
          <w:p w14:paraId="623FB830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Cs/>
                <w:szCs w:val="21"/>
              </w:rPr>
            </w:pPr>
            <w:proofErr w:type="gramStart"/>
            <w:r w:rsidRPr="00480C32">
              <w:rPr>
                <w:rFonts w:asciiTheme="minorEastAsia" w:eastAsiaTheme="minorEastAsia" w:hAnsiTheme="minorEastAsia" w:hint="eastAsia"/>
                <w:bCs/>
                <w:szCs w:val="21"/>
              </w:rPr>
              <w:t>吴巨友</w:t>
            </w:r>
            <w:proofErr w:type="gramEnd"/>
          </w:p>
        </w:tc>
        <w:tc>
          <w:tcPr>
            <w:tcW w:w="875" w:type="pct"/>
            <w:vAlign w:val="center"/>
          </w:tcPr>
          <w:p w14:paraId="418A03DF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bCs/>
                <w:szCs w:val="21"/>
              </w:rPr>
              <w:t>南京农业大学</w:t>
            </w:r>
          </w:p>
        </w:tc>
        <w:tc>
          <w:tcPr>
            <w:tcW w:w="875" w:type="pct"/>
            <w:vAlign w:val="center"/>
          </w:tcPr>
          <w:p w14:paraId="66C35435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bCs/>
                <w:szCs w:val="21"/>
              </w:rPr>
              <w:t>教授</w:t>
            </w:r>
          </w:p>
        </w:tc>
        <w:tc>
          <w:tcPr>
            <w:tcW w:w="1229" w:type="pct"/>
            <w:vAlign w:val="center"/>
          </w:tcPr>
          <w:p w14:paraId="6E82590E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bCs/>
                <w:szCs w:val="21"/>
              </w:rPr>
              <w:t>果树</w:t>
            </w:r>
          </w:p>
        </w:tc>
        <w:tc>
          <w:tcPr>
            <w:tcW w:w="1339" w:type="pct"/>
            <w:vAlign w:val="center"/>
          </w:tcPr>
          <w:p w14:paraId="199F6C31" w14:textId="77777777" w:rsidR="00480C32" w:rsidRPr="00480C32" w:rsidRDefault="00480C32" w:rsidP="00480C32">
            <w:pPr>
              <w:suppressAutoHyphens/>
              <w:spacing w:after="0" w:line="240" w:lineRule="auto"/>
              <w:jc w:val="center"/>
              <w:rPr>
                <w:rFonts w:asciiTheme="minorEastAsia" w:eastAsiaTheme="minorEastAsia" w:hAnsiTheme="minorEastAsia" w:cs="仿宋_GB2312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cs="仿宋_GB2312" w:hint="eastAsia"/>
                <w:bCs/>
                <w:szCs w:val="21"/>
              </w:rPr>
              <w:t>对规范实施情况进行总结分析，不断对规范提出修正意见</w:t>
            </w:r>
          </w:p>
        </w:tc>
      </w:tr>
      <w:tr w:rsidR="00480C32" w:rsidRPr="00480C32" w14:paraId="6B6AE5C8" w14:textId="77777777" w:rsidTr="002C5F5F">
        <w:trPr>
          <w:trHeight w:val="450"/>
        </w:trPr>
        <w:tc>
          <w:tcPr>
            <w:tcW w:w="681" w:type="pct"/>
            <w:vAlign w:val="center"/>
          </w:tcPr>
          <w:p w14:paraId="53F411E8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bCs/>
                <w:szCs w:val="21"/>
              </w:rPr>
              <w:t>董彩霞</w:t>
            </w:r>
          </w:p>
        </w:tc>
        <w:tc>
          <w:tcPr>
            <w:tcW w:w="875" w:type="pct"/>
            <w:vAlign w:val="center"/>
          </w:tcPr>
          <w:p w14:paraId="555FD742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bCs/>
                <w:szCs w:val="21"/>
              </w:rPr>
              <w:t>南京农业大学</w:t>
            </w:r>
          </w:p>
        </w:tc>
        <w:tc>
          <w:tcPr>
            <w:tcW w:w="875" w:type="pct"/>
            <w:vAlign w:val="center"/>
          </w:tcPr>
          <w:p w14:paraId="58D1E0FB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bCs/>
                <w:szCs w:val="21"/>
              </w:rPr>
              <w:t>教授</w:t>
            </w:r>
          </w:p>
        </w:tc>
        <w:tc>
          <w:tcPr>
            <w:tcW w:w="1229" w:type="pct"/>
            <w:vAlign w:val="center"/>
          </w:tcPr>
          <w:p w14:paraId="06B0ED81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bCs/>
                <w:szCs w:val="21"/>
              </w:rPr>
              <w:t>土肥</w:t>
            </w:r>
          </w:p>
        </w:tc>
        <w:tc>
          <w:tcPr>
            <w:tcW w:w="1339" w:type="pct"/>
            <w:vAlign w:val="center"/>
          </w:tcPr>
          <w:p w14:paraId="4C942C0E" w14:textId="77777777" w:rsidR="00480C32" w:rsidRPr="00480C32" w:rsidRDefault="00480C32" w:rsidP="00480C32">
            <w:pPr>
              <w:suppressAutoHyphens/>
              <w:spacing w:after="0" w:line="240" w:lineRule="auto"/>
              <w:jc w:val="center"/>
              <w:rPr>
                <w:rFonts w:asciiTheme="minorEastAsia" w:eastAsiaTheme="minorEastAsia" w:hAnsiTheme="minorEastAsia" w:cs="仿宋_GB2312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cs="仿宋_GB2312" w:hint="eastAsia"/>
                <w:bCs/>
                <w:szCs w:val="21"/>
              </w:rPr>
              <w:t>指导规范文本及质量控制</w:t>
            </w:r>
          </w:p>
        </w:tc>
      </w:tr>
      <w:tr w:rsidR="00480C32" w:rsidRPr="00480C32" w14:paraId="5237F482" w14:textId="77777777" w:rsidTr="002C5F5F">
        <w:trPr>
          <w:trHeight w:val="450"/>
        </w:trPr>
        <w:tc>
          <w:tcPr>
            <w:tcW w:w="681" w:type="pct"/>
            <w:vAlign w:val="center"/>
          </w:tcPr>
          <w:p w14:paraId="7EFE1B8B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szCs w:val="21"/>
              </w:rPr>
            </w:pPr>
            <w:proofErr w:type="gramStart"/>
            <w:r w:rsidRPr="00480C32">
              <w:rPr>
                <w:rFonts w:asciiTheme="minorEastAsia" w:eastAsiaTheme="minorEastAsia" w:hAnsiTheme="minorEastAsia" w:hint="eastAsia"/>
                <w:szCs w:val="21"/>
              </w:rPr>
              <w:t>宾哲源</w:t>
            </w:r>
            <w:proofErr w:type="gramEnd"/>
          </w:p>
        </w:tc>
        <w:tc>
          <w:tcPr>
            <w:tcW w:w="875" w:type="pct"/>
            <w:vAlign w:val="center"/>
          </w:tcPr>
          <w:p w14:paraId="7573A74B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bCs/>
                <w:szCs w:val="21"/>
              </w:rPr>
              <w:t>广西壮族自治区水果技术指导站</w:t>
            </w:r>
          </w:p>
        </w:tc>
        <w:tc>
          <w:tcPr>
            <w:tcW w:w="875" w:type="pct"/>
            <w:vAlign w:val="center"/>
          </w:tcPr>
          <w:p w14:paraId="70E5D590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bCs/>
                <w:szCs w:val="21"/>
              </w:rPr>
              <w:t>农艺师</w:t>
            </w:r>
          </w:p>
        </w:tc>
        <w:tc>
          <w:tcPr>
            <w:tcW w:w="1229" w:type="pct"/>
            <w:vAlign w:val="center"/>
          </w:tcPr>
          <w:p w14:paraId="3C3EF61D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bCs/>
                <w:szCs w:val="21"/>
              </w:rPr>
              <w:t>果树</w:t>
            </w:r>
          </w:p>
        </w:tc>
        <w:tc>
          <w:tcPr>
            <w:tcW w:w="1339" w:type="pct"/>
            <w:vAlign w:val="center"/>
          </w:tcPr>
          <w:p w14:paraId="567499AA" w14:textId="77777777" w:rsidR="00480C32" w:rsidRPr="00480C32" w:rsidRDefault="00480C32" w:rsidP="00480C32">
            <w:pPr>
              <w:suppressAutoHyphens/>
              <w:spacing w:after="0" w:line="240" w:lineRule="auto"/>
              <w:jc w:val="center"/>
              <w:rPr>
                <w:rFonts w:asciiTheme="minorEastAsia" w:eastAsiaTheme="minorEastAsia" w:hAnsiTheme="minorEastAsia" w:cs="仿宋_GB2312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cs="仿宋_GB2312" w:hint="eastAsia"/>
                <w:bCs/>
                <w:szCs w:val="21"/>
              </w:rPr>
              <w:t>征求意见稿和规范编制说明</w:t>
            </w:r>
          </w:p>
        </w:tc>
      </w:tr>
      <w:tr w:rsidR="00480C32" w:rsidRPr="00480C32" w14:paraId="55A567BF" w14:textId="77777777" w:rsidTr="002C5F5F">
        <w:trPr>
          <w:trHeight w:val="450"/>
        </w:trPr>
        <w:tc>
          <w:tcPr>
            <w:tcW w:w="681" w:type="pct"/>
            <w:vAlign w:val="center"/>
          </w:tcPr>
          <w:p w14:paraId="47AC12B1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snapToGrid w:val="0"/>
                <w:szCs w:val="21"/>
              </w:rPr>
              <w:t>王鹏</w:t>
            </w:r>
          </w:p>
        </w:tc>
        <w:tc>
          <w:tcPr>
            <w:tcW w:w="875" w:type="pct"/>
            <w:vAlign w:val="center"/>
          </w:tcPr>
          <w:p w14:paraId="2F55E69F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bCs/>
                <w:szCs w:val="21"/>
              </w:rPr>
              <w:t>南京农业大学</w:t>
            </w:r>
          </w:p>
        </w:tc>
        <w:tc>
          <w:tcPr>
            <w:tcW w:w="875" w:type="pct"/>
            <w:vAlign w:val="center"/>
          </w:tcPr>
          <w:p w14:paraId="0D7D1ED5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bCs/>
                <w:szCs w:val="21"/>
              </w:rPr>
              <w:t>教授</w:t>
            </w:r>
          </w:p>
        </w:tc>
        <w:tc>
          <w:tcPr>
            <w:tcW w:w="1229" w:type="pct"/>
            <w:vAlign w:val="center"/>
          </w:tcPr>
          <w:p w14:paraId="14148648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bCs/>
                <w:szCs w:val="21"/>
              </w:rPr>
              <w:t>果树</w:t>
            </w:r>
          </w:p>
        </w:tc>
        <w:tc>
          <w:tcPr>
            <w:tcW w:w="1339" w:type="pct"/>
            <w:vAlign w:val="center"/>
          </w:tcPr>
          <w:p w14:paraId="727034C5" w14:textId="77777777" w:rsidR="00480C32" w:rsidRPr="00480C32" w:rsidRDefault="00480C32" w:rsidP="00480C32">
            <w:pPr>
              <w:suppressAutoHyphens/>
              <w:spacing w:after="0" w:line="240" w:lineRule="auto"/>
              <w:jc w:val="center"/>
              <w:rPr>
                <w:rFonts w:asciiTheme="minorEastAsia" w:eastAsiaTheme="minorEastAsia" w:hAnsiTheme="minorEastAsia" w:cs="仿宋_GB2312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cs="仿宋_GB2312" w:hint="eastAsia"/>
                <w:bCs/>
                <w:szCs w:val="21"/>
              </w:rPr>
              <w:t>负责起草规范草案</w:t>
            </w:r>
          </w:p>
        </w:tc>
      </w:tr>
      <w:tr w:rsidR="00480C32" w:rsidRPr="00480C32" w14:paraId="63132863" w14:textId="77777777" w:rsidTr="002C5F5F">
        <w:trPr>
          <w:trHeight w:val="788"/>
        </w:trPr>
        <w:tc>
          <w:tcPr>
            <w:tcW w:w="681" w:type="pct"/>
            <w:vAlign w:val="center"/>
          </w:tcPr>
          <w:p w14:paraId="4589DFBB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Cs/>
                <w:szCs w:val="21"/>
              </w:rPr>
            </w:pPr>
            <w:proofErr w:type="gramStart"/>
            <w:r w:rsidRPr="00480C32">
              <w:rPr>
                <w:rFonts w:asciiTheme="minorEastAsia" w:eastAsiaTheme="minorEastAsia" w:hAnsiTheme="minorEastAsia" w:hint="eastAsia"/>
                <w:bCs/>
                <w:szCs w:val="21"/>
              </w:rPr>
              <w:t>徐志美</w:t>
            </w:r>
            <w:proofErr w:type="gramEnd"/>
          </w:p>
        </w:tc>
        <w:tc>
          <w:tcPr>
            <w:tcW w:w="875" w:type="pct"/>
            <w:vAlign w:val="center"/>
          </w:tcPr>
          <w:p w14:paraId="5558DE80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bCs/>
                <w:szCs w:val="21"/>
              </w:rPr>
              <w:t>广西特色作物研究院</w:t>
            </w:r>
          </w:p>
        </w:tc>
        <w:tc>
          <w:tcPr>
            <w:tcW w:w="875" w:type="pct"/>
            <w:vAlign w:val="center"/>
          </w:tcPr>
          <w:p w14:paraId="4D5CBEF9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bCs/>
                <w:szCs w:val="21"/>
              </w:rPr>
              <w:t>高级农艺师</w:t>
            </w:r>
          </w:p>
        </w:tc>
        <w:tc>
          <w:tcPr>
            <w:tcW w:w="1229" w:type="pct"/>
            <w:vAlign w:val="center"/>
          </w:tcPr>
          <w:p w14:paraId="7A173490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bCs/>
                <w:szCs w:val="21"/>
              </w:rPr>
              <w:t>栽培</w:t>
            </w:r>
          </w:p>
        </w:tc>
        <w:tc>
          <w:tcPr>
            <w:tcW w:w="1339" w:type="pct"/>
            <w:vAlign w:val="center"/>
          </w:tcPr>
          <w:p w14:paraId="67487DE8" w14:textId="77777777" w:rsidR="00480C32" w:rsidRPr="00480C32" w:rsidRDefault="00480C32" w:rsidP="00480C32">
            <w:pPr>
              <w:suppressAutoHyphens/>
              <w:spacing w:after="0" w:line="240" w:lineRule="auto"/>
              <w:jc w:val="center"/>
              <w:rPr>
                <w:rFonts w:asciiTheme="minorEastAsia" w:eastAsiaTheme="minorEastAsia" w:hAnsiTheme="minorEastAsia" w:cs="仿宋_GB2312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cs="仿宋_GB2312" w:hint="eastAsia"/>
                <w:bCs/>
                <w:szCs w:val="21"/>
              </w:rPr>
              <w:t>负责起草规范草案</w:t>
            </w:r>
          </w:p>
        </w:tc>
      </w:tr>
      <w:tr w:rsidR="00480C32" w:rsidRPr="00480C32" w14:paraId="30DC7F0E" w14:textId="77777777" w:rsidTr="002C5F5F">
        <w:trPr>
          <w:trHeight w:val="788"/>
        </w:trPr>
        <w:tc>
          <w:tcPr>
            <w:tcW w:w="681" w:type="pct"/>
            <w:vAlign w:val="center"/>
          </w:tcPr>
          <w:p w14:paraId="71014883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szCs w:val="21"/>
              </w:rPr>
              <w:t>吴潇</w:t>
            </w:r>
          </w:p>
        </w:tc>
        <w:tc>
          <w:tcPr>
            <w:tcW w:w="875" w:type="pct"/>
            <w:vAlign w:val="center"/>
          </w:tcPr>
          <w:p w14:paraId="5947AEAB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bCs/>
                <w:szCs w:val="21"/>
              </w:rPr>
              <w:t>南京农业大学</w:t>
            </w:r>
          </w:p>
        </w:tc>
        <w:tc>
          <w:tcPr>
            <w:tcW w:w="875" w:type="pct"/>
            <w:vAlign w:val="center"/>
          </w:tcPr>
          <w:p w14:paraId="2E04B14F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bCs/>
                <w:szCs w:val="21"/>
              </w:rPr>
              <w:t>副教授</w:t>
            </w:r>
          </w:p>
        </w:tc>
        <w:tc>
          <w:tcPr>
            <w:tcW w:w="1229" w:type="pct"/>
            <w:vAlign w:val="center"/>
          </w:tcPr>
          <w:p w14:paraId="0512FFB7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bCs/>
                <w:szCs w:val="21"/>
              </w:rPr>
              <w:t>果树</w:t>
            </w:r>
          </w:p>
        </w:tc>
        <w:tc>
          <w:tcPr>
            <w:tcW w:w="1339" w:type="pct"/>
            <w:vAlign w:val="center"/>
          </w:tcPr>
          <w:p w14:paraId="44E8C50E" w14:textId="77777777" w:rsidR="00480C32" w:rsidRPr="00480C32" w:rsidRDefault="00480C32" w:rsidP="00480C32">
            <w:pPr>
              <w:suppressAutoHyphens/>
              <w:spacing w:after="0" w:line="240" w:lineRule="auto"/>
              <w:jc w:val="center"/>
              <w:rPr>
                <w:rFonts w:asciiTheme="minorEastAsia" w:eastAsiaTheme="minorEastAsia" w:hAnsiTheme="minorEastAsia" w:cs="仿宋_GB2312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cs="仿宋_GB2312" w:hint="eastAsia"/>
                <w:bCs/>
                <w:szCs w:val="21"/>
              </w:rPr>
              <w:t>负责起草规范草案</w:t>
            </w:r>
          </w:p>
        </w:tc>
      </w:tr>
      <w:tr w:rsidR="00480C32" w:rsidRPr="00480C32" w14:paraId="4268B05A" w14:textId="77777777" w:rsidTr="002C5F5F">
        <w:trPr>
          <w:trHeight w:val="450"/>
        </w:trPr>
        <w:tc>
          <w:tcPr>
            <w:tcW w:w="681" w:type="pct"/>
            <w:vAlign w:val="center"/>
          </w:tcPr>
          <w:p w14:paraId="1603152E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szCs w:val="21"/>
              </w:rPr>
            </w:pPr>
            <w:proofErr w:type="gramStart"/>
            <w:r w:rsidRPr="00480C32">
              <w:rPr>
                <w:rFonts w:asciiTheme="minorEastAsia" w:eastAsiaTheme="minorEastAsia" w:hAnsiTheme="minorEastAsia" w:hint="eastAsia"/>
                <w:szCs w:val="21"/>
              </w:rPr>
              <w:t>周民武</w:t>
            </w:r>
            <w:proofErr w:type="gramEnd"/>
          </w:p>
        </w:tc>
        <w:tc>
          <w:tcPr>
            <w:tcW w:w="875" w:type="pct"/>
            <w:vAlign w:val="center"/>
          </w:tcPr>
          <w:p w14:paraId="0F503811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bCs/>
                <w:szCs w:val="21"/>
              </w:rPr>
              <w:t>广西特色作物研究院</w:t>
            </w:r>
          </w:p>
        </w:tc>
        <w:tc>
          <w:tcPr>
            <w:tcW w:w="875" w:type="pct"/>
            <w:vAlign w:val="center"/>
          </w:tcPr>
          <w:p w14:paraId="13839A0D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bCs/>
                <w:szCs w:val="21"/>
              </w:rPr>
              <w:t>高级会计师</w:t>
            </w:r>
          </w:p>
        </w:tc>
        <w:tc>
          <w:tcPr>
            <w:tcW w:w="1229" w:type="pct"/>
            <w:vAlign w:val="center"/>
          </w:tcPr>
          <w:p w14:paraId="3AB9AF34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bCs/>
                <w:szCs w:val="21"/>
              </w:rPr>
              <w:t>产业经济</w:t>
            </w:r>
          </w:p>
        </w:tc>
        <w:tc>
          <w:tcPr>
            <w:tcW w:w="1339" w:type="pct"/>
            <w:vAlign w:val="center"/>
          </w:tcPr>
          <w:p w14:paraId="00832680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cs="仿宋_GB2312" w:hint="eastAsia"/>
                <w:bCs/>
                <w:szCs w:val="21"/>
              </w:rPr>
              <w:t>负责起草规范草案</w:t>
            </w:r>
          </w:p>
        </w:tc>
      </w:tr>
      <w:tr w:rsidR="00480C32" w:rsidRPr="00480C32" w14:paraId="3971CFE4" w14:textId="77777777" w:rsidTr="002C5F5F">
        <w:trPr>
          <w:trHeight w:val="450"/>
        </w:trPr>
        <w:tc>
          <w:tcPr>
            <w:tcW w:w="681" w:type="pct"/>
            <w:vAlign w:val="center"/>
          </w:tcPr>
          <w:p w14:paraId="45423AD9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szCs w:val="21"/>
              </w:rPr>
              <w:t>李珍</w:t>
            </w:r>
          </w:p>
        </w:tc>
        <w:tc>
          <w:tcPr>
            <w:tcW w:w="875" w:type="pct"/>
            <w:vAlign w:val="center"/>
          </w:tcPr>
          <w:p w14:paraId="18D86715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bCs/>
                <w:szCs w:val="21"/>
              </w:rPr>
              <w:t>广西壮族自治区水果技术指导站</w:t>
            </w:r>
          </w:p>
        </w:tc>
        <w:tc>
          <w:tcPr>
            <w:tcW w:w="875" w:type="pct"/>
            <w:vAlign w:val="center"/>
          </w:tcPr>
          <w:p w14:paraId="40F758B6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bCs/>
                <w:szCs w:val="21"/>
              </w:rPr>
              <w:t>高级农艺师</w:t>
            </w:r>
          </w:p>
        </w:tc>
        <w:tc>
          <w:tcPr>
            <w:tcW w:w="1229" w:type="pct"/>
            <w:vAlign w:val="center"/>
          </w:tcPr>
          <w:p w14:paraId="6C130DEA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bCs/>
                <w:szCs w:val="21"/>
              </w:rPr>
              <w:t>果树</w:t>
            </w:r>
          </w:p>
        </w:tc>
        <w:tc>
          <w:tcPr>
            <w:tcW w:w="1339" w:type="pct"/>
            <w:vAlign w:val="center"/>
          </w:tcPr>
          <w:p w14:paraId="3209B502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szCs w:val="21"/>
              </w:rPr>
            </w:pPr>
            <w:r w:rsidRPr="00480C32">
              <w:rPr>
                <w:rFonts w:asciiTheme="minorEastAsia" w:eastAsiaTheme="minorEastAsia" w:hAnsiTheme="minorEastAsia" w:cs="仿宋_GB2312" w:hint="eastAsia"/>
                <w:bCs/>
                <w:szCs w:val="21"/>
              </w:rPr>
              <w:t>负责征求意见稿</w:t>
            </w:r>
          </w:p>
        </w:tc>
      </w:tr>
      <w:tr w:rsidR="00480C32" w:rsidRPr="00480C32" w14:paraId="40D044BF" w14:textId="77777777" w:rsidTr="002C5F5F">
        <w:trPr>
          <w:trHeight w:val="450"/>
        </w:trPr>
        <w:tc>
          <w:tcPr>
            <w:tcW w:w="681" w:type="pct"/>
            <w:vAlign w:val="center"/>
          </w:tcPr>
          <w:p w14:paraId="5E412037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szCs w:val="21"/>
              </w:rPr>
              <w:lastRenderedPageBreak/>
              <w:t>刘珊廷</w:t>
            </w:r>
          </w:p>
        </w:tc>
        <w:tc>
          <w:tcPr>
            <w:tcW w:w="875" w:type="pct"/>
            <w:vAlign w:val="center"/>
          </w:tcPr>
          <w:p w14:paraId="037DB547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bCs/>
                <w:szCs w:val="21"/>
              </w:rPr>
              <w:t>广西特色作物研究院</w:t>
            </w:r>
          </w:p>
        </w:tc>
        <w:tc>
          <w:tcPr>
            <w:tcW w:w="875" w:type="pct"/>
            <w:vAlign w:val="center"/>
          </w:tcPr>
          <w:p w14:paraId="08A0095D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bCs/>
                <w:szCs w:val="21"/>
              </w:rPr>
              <w:t>农艺师</w:t>
            </w:r>
          </w:p>
        </w:tc>
        <w:tc>
          <w:tcPr>
            <w:tcW w:w="1229" w:type="pct"/>
            <w:vAlign w:val="center"/>
          </w:tcPr>
          <w:p w14:paraId="7E93DA78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bCs/>
                <w:szCs w:val="21"/>
              </w:rPr>
              <w:t>果树</w:t>
            </w:r>
          </w:p>
        </w:tc>
        <w:tc>
          <w:tcPr>
            <w:tcW w:w="1339" w:type="pct"/>
            <w:vAlign w:val="center"/>
          </w:tcPr>
          <w:p w14:paraId="09313BD0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szCs w:val="21"/>
              </w:rPr>
            </w:pPr>
            <w:r w:rsidRPr="00480C32">
              <w:rPr>
                <w:rFonts w:asciiTheme="minorEastAsia" w:eastAsiaTheme="minorEastAsia" w:hAnsiTheme="minorEastAsia" w:cs="仿宋_GB2312" w:hint="eastAsia"/>
                <w:bCs/>
                <w:szCs w:val="21"/>
              </w:rPr>
              <w:t>负责规范编制说明</w:t>
            </w:r>
          </w:p>
        </w:tc>
      </w:tr>
      <w:tr w:rsidR="00480C32" w:rsidRPr="00480C32" w14:paraId="24B7B412" w14:textId="77777777" w:rsidTr="002C5F5F">
        <w:trPr>
          <w:trHeight w:val="450"/>
        </w:trPr>
        <w:tc>
          <w:tcPr>
            <w:tcW w:w="681" w:type="pct"/>
            <w:vAlign w:val="center"/>
          </w:tcPr>
          <w:p w14:paraId="10EA3758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szCs w:val="21"/>
              </w:rPr>
              <w:t>魏树伟</w:t>
            </w:r>
          </w:p>
        </w:tc>
        <w:tc>
          <w:tcPr>
            <w:tcW w:w="875" w:type="pct"/>
            <w:vAlign w:val="center"/>
          </w:tcPr>
          <w:p w14:paraId="0459EA4A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bCs/>
                <w:szCs w:val="21"/>
              </w:rPr>
              <w:t>山东省果树研究所</w:t>
            </w:r>
          </w:p>
        </w:tc>
        <w:tc>
          <w:tcPr>
            <w:tcW w:w="875" w:type="pct"/>
            <w:vAlign w:val="center"/>
          </w:tcPr>
          <w:p w14:paraId="087DB8A8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bCs/>
                <w:szCs w:val="21"/>
              </w:rPr>
              <w:t>研究员</w:t>
            </w:r>
          </w:p>
        </w:tc>
        <w:tc>
          <w:tcPr>
            <w:tcW w:w="1229" w:type="pct"/>
            <w:vAlign w:val="center"/>
          </w:tcPr>
          <w:p w14:paraId="5A21B91B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bCs/>
                <w:szCs w:val="21"/>
              </w:rPr>
              <w:t>果树</w:t>
            </w:r>
          </w:p>
        </w:tc>
        <w:tc>
          <w:tcPr>
            <w:tcW w:w="1339" w:type="pct"/>
            <w:vAlign w:val="center"/>
          </w:tcPr>
          <w:p w14:paraId="5AC723DD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szCs w:val="21"/>
              </w:rPr>
            </w:pPr>
            <w:r w:rsidRPr="00480C32">
              <w:rPr>
                <w:rFonts w:asciiTheme="minorEastAsia" w:eastAsiaTheme="minorEastAsia" w:hAnsiTheme="minorEastAsia" w:cs="仿宋_GB2312" w:hint="eastAsia"/>
                <w:bCs/>
                <w:szCs w:val="21"/>
              </w:rPr>
              <w:t>负责起草规范草案</w:t>
            </w:r>
          </w:p>
        </w:tc>
      </w:tr>
      <w:tr w:rsidR="00480C32" w:rsidRPr="00480C32" w14:paraId="13938059" w14:textId="77777777" w:rsidTr="002C5F5F">
        <w:trPr>
          <w:trHeight w:val="450"/>
        </w:trPr>
        <w:tc>
          <w:tcPr>
            <w:tcW w:w="681" w:type="pct"/>
            <w:vAlign w:val="center"/>
          </w:tcPr>
          <w:p w14:paraId="3683E7C3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szCs w:val="21"/>
              </w:rPr>
            </w:pPr>
            <w:proofErr w:type="gramStart"/>
            <w:r w:rsidRPr="00480C32">
              <w:rPr>
                <w:rFonts w:asciiTheme="minorEastAsia" w:eastAsiaTheme="minorEastAsia" w:hAnsiTheme="minorEastAsia" w:hint="eastAsia"/>
                <w:szCs w:val="21"/>
              </w:rPr>
              <w:t>贺申魁</w:t>
            </w:r>
            <w:proofErr w:type="gramEnd"/>
          </w:p>
        </w:tc>
        <w:tc>
          <w:tcPr>
            <w:tcW w:w="875" w:type="pct"/>
            <w:vAlign w:val="center"/>
          </w:tcPr>
          <w:p w14:paraId="7D5EF9C7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bCs/>
                <w:szCs w:val="21"/>
              </w:rPr>
              <w:t>广西特色作物研究院</w:t>
            </w:r>
          </w:p>
        </w:tc>
        <w:tc>
          <w:tcPr>
            <w:tcW w:w="875" w:type="pct"/>
            <w:vAlign w:val="center"/>
          </w:tcPr>
          <w:p w14:paraId="3FA1549C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bCs/>
                <w:szCs w:val="21"/>
              </w:rPr>
              <w:t>正高级农艺师</w:t>
            </w:r>
          </w:p>
        </w:tc>
        <w:tc>
          <w:tcPr>
            <w:tcW w:w="1229" w:type="pct"/>
            <w:vAlign w:val="center"/>
          </w:tcPr>
          <w:p w14:paraId="2B37AE54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bCs/>
                <w:szCs w:val="21"/>
              </w:rPr>
              <w:t>果树</w:t>
            </w:r>
          </w:p>
        </w:tc>
        <w:tc>
          <w:tcPr>
            <w:tcW w:w="1339" w:type="pct"/>
            <w:vAlign w:val="center"/>
          </w:tcPr>
          <w:p w14:paraId="12279533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szCs w:val="21"/>
              </w:rPr>
            </w:pPr>
            <w:r w:rsidRPr="00480C32">
              <w:rPr>
                <w:rFonts w:asciiTheme="minorEastAsia" w:eastAsiaTheme="minorEastAsia" w:hAnsiTheme="minorEastAsia" w:cs="仿宋_GB2312" w:hint="eastAsia"/>
                <w:bCs/>
                <w:szCs w:val="21"/>
              </w:rPr>
              <w:t>负责起草规范草案</w:t>
            </w:r>
          </w:p>
        </w:tc>
      </w:tr>
      <w:tr w:rsidR="00480C32" w:rsidRPr="00480C32" w14:paraId="2F04185A" w14:textId="77777777" w:rsidTr="002C5F5F">
        <w:trPr>
          <w:trHeight w:val="450"/>
        </w:trPr>
        <w:tc>
          <w:tcPr>
            <w:tcW w:w="681" w:type="pct"/>
            <w:vAlign w:val="center"/>
          </w:tcPr>
          <w:p w14:paraId="1CAFA05D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szCs w:val="21"/>
              </w:rPr>
              <w:t>彭俊森</w:t>
            </w:r>
          </w:p>
        </w:tc>
        <w:tc>
          <w:tcPr>
            <w:tcW w:w="875" w:type="pct"/>
            <w:vAlign w:val="center"/>
          </w:tcPr>
          <w:p w14:paraId="18A7D4F2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bCs/>
                <w:szCs w:val="21"/>
              </w:rPr>
              <w:t>广西特色作物研究院</w:t>
            </w:r>
          </w:p>
        </w:tc>
        <w:tc>
          <w:tcPr>
            <w:tcW w:w="875" w:type="pct"/>
            <w:vAlign w:val="center"/>
          </w:tcPr>
          <w:p w14:paraId="79A1147D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bCs/>
                <w:szCs w:val="21"/>
              </w:rPr>
              <w:t>研究实习员</w:t>
            </w:r>
          </w:p>
        </w:tc>
        <w:tc>
          <w:tcPr>
            <w:tcW w:w="1229" w:type="pct"/>
            <w:vAlign w:val="center"/>
          </w:tcPr>
          <w:p w14:paraId="339BF1AD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bCs/>
                <w:szCs w:val="21"/>
              </w:rPr>
              <w:t>果树</w:t>
            </w:r>
          </w:p>
        </w:tc>
        <w:tc>
          <w:tcPr>
            <w:tcW w:w="1339" w:type="pct"/>
            <w:vAlign w:val="center"/>
          </w:tcPr>
          <w:p w14:paraId="009353D7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szCs w:val="21"/>
              </w:rPr>
            </w:pPr>
            <w:r w:rsidRPr="00480C32">
              <w:rPr>
                <w:rFonts w:asciiTheme="minorEastAsia" w:eastAsiaTheme="minorEastAsia" w:hAnsiTheme="minorEastAsia" w:cs="仿宋_GB2312" w:hint="eastAsia"/>
                <w:bCs/>
                <w:szCs w:val="21"/>
              </w:rPr>
              <w:t>负责规范编制说明</w:t>
            </w:r>
          </w:p>
        </w:tc>
      </w:tr>
      <w:tr w:rsidR="00480C32" w:rsidRPr="00480C32" w14:paraId="32C3AFBB" w14:textId="77777777" w:rsidTr="002C5F5F">
        <w:trPr>
          <w:trHeight w:val="450"/>
        </w:trPr>
        <w:tc>
          <w:tcPr>
            <w:tcW w:w="681" w:type="pct"/>
            <w:vAlign w:val="center"/>
          </w:tcPr>
          <w:p w14:paraId="4B2705D8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szCs w:val="21"/>
              </w:rPr>
            </w:pPr>
            <w:proofErr w:type="gramStart"/>
            <w:r w:rsidRPr="00480C32">
              <w:rPr>
                <w:rFonts w:asciiTheme="minorEastAsia" w:eastAsiaTheme="minorEastAsia" w:hAnsiTheme="minorEastAsia" w:hint="eastAsia"/>
                <w:szCs w:val="21"/>
              </w:rPr>
              <w:t>蒙令瑶</w:t>
            </w:r>
            <w:proofErr w:type="gramEnd"/>
          </w:p>
        </w:tc>
        <w:tc>
          <w:tcPr>
            <w:tcW w:w="875" w:type="pct"/>
            <w:vAlign w:val="center"/>
          </w:tcPr>
          <w:p w14:paraId="331809F2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bCs/>
                <w:szCs w:val="21"/>
              </w:rPr>
              <w:t>广西特色作物研究院</w:t>
            </w:r>
          </w:p>
        </w:tc>
        <w:tc>
          <w:tcPr>
            <w:tcW w:w="875" w:type="pct"/>
            <w:vAlign w:val="center"/>
          </w:tcPr>
          <w:p w14:paraId="3C425C3C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bCs/>
                <w:szCs w:val="21"/>
              </w:rPr>
              <w:t>研究实习员</w:t>
            </w:r>
          </w:p>
        </w:tc>
        <w:tc>
          <w:tcPr>
            <w:tcW w:w="1229" w:type="pct"/>
            <w:vAlign w:val="center"/>
          </w:tcPr>
          <w:p w14:paraId="58D94309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bCs/>
                <w:szCs w:val="21"/>
              </w:rPr>
            </w:pPr>
            <w:r w:rsidRPr="00480C32">
              <w:rPr>
                <w:rFonts w:asciiTheme="minorEastAsia" w:eastAsiaTheme="minorEastAsia" w:hAnsiTheme="minorEastAsia" w:hint="eastAsia"/>
                <w:bCs/>
                <w:szCs w:val="21"/>
              </w:rPr>
              <w:t>植保</w:t>
            </w:r>
          </w:p>
        </w:tc>
        <w:tc>
          <w:tcPr>
            <w:tcW w:w="1339" w:type="pct"/>
            <w:vAlign w:val="center"/>
          </w:tcPr>
          <w:p w14:paraId="21ED96EC" w14:textId="77777777" w:rsidR="00480C32" w:rsidRPr="00480C32" w:rsidRDefault="00480C32" w:rsidP="00480C32">
            <w:pPr>
              <w:spacing w:after="0" w:line="240" w:lineRule="auto"/>
              <w:jc w:val="center"/>
              <w:rPr>
                <w:rFonts w:asciiTheme="minorEastAsia" w:eastAsiaTheme="minorEastAsia" w:hAnsiTheme="minorEastAsia" w:hint="eastAsia"/>
                <w:szCs w:val="21"/>
              </w:rPr>
            </w:pPr>
            <w:r w:rsidRPr="00480C32">
              <w:rPr>
                <w:rFonts w:asciiTheme="minorEastAsia" w:eastAsiaTheme="minorEastAsia" w:hAnsiTheme="minorEastAsia" w:cs="仿宋_GB2312" w:hint="eastAsia"/>
                <w:bCs/>
                <w:szCs w:val="21"/>
              </w:rPr>
              <w:t>负责规范编制说明</w:t>
            </w:r>
          </w:p>
        </w:tc>
      </w:tr>
    </w:tbl>
    <w:p w14:paraId="76723224" w14:textId="77777777" w:rsidR="007A6E81" w:rsidRDefault="00000000" w:rsidP="00A8651E">
      <w:pPr>
        <w:autoSpaceDE w:val="0"/>
        <w:autoSpaceDN w:val="0"/>
        <w:adjustRightInd w:val="0"/>
        <w:spacing w:after="0" w:line="560" w:lineRule="exact"/>
        <w:ind w:firstLineChars="200" w:firstLine="640"/>
        <w:jc w:val="left"/>
        <w:outlineLvl w:val="0"/>
        <w:rPr>
          <w:rFonts w:ascii="黑体" w:eastAsia="黑体" w:hAnsi="黑体" w:cs="仿宋_GB2312" w:hint="eastAsia"/>
          <w:color w:val="FF0000"/>
          <w:sz w:val="32"/>
          <w:szCs w:val="32"/>
        </w:rPr>
      </w:pPr>
      <w:r>
        <w:rPr>
          <w:rFonts w:ascii="黑体" w:eastAsia="黑体" w:hAnsi="黑体" w:cs="仿宋_GB2312" w:hint="eastAsia"/>
          <w:sz w:val="32"/>
          <w:szCs w:val="32"/>
        </w:rPr>
        <w:t>二、制定标准的必要性和意义</w:t>
      </w:r>
    </w:p>
    <w:p w14:paraId="1A5DC1ED" w14:textId="77777777" w:rsidR="00480C32" w:rsidRPr="00480C32" w:rsidRDefault="00480C32" w:rsidP="00480C32">
      <w:pPr>
        <w:spacing w:after="0" w:line="560" w:lineRule="exact"/>
        <w:ind w:firstLineChars="250" w:firstLine="800"/>
        <w:textAlignment w:val="baseline"/>
        <w:rPr>
          <w:rFonts w:ascii="仿宋_GB2312" w:eastAsia="仿宋_GB2312" w:hAnsi="Calibri"/>
          <w:sz w:val="32"/>
          <w:szCs w:val="32"/>
        </w:rPr>
      </w:pPr>
      <w:r w:rsidRPr="00480C32">
        <w:rPr>
          <w:rFonts w:ascii="仿宋_GB2312" w:eastAsia="仿宋_GB2312" w:hAnsi="Calibri" w:hint="eastAsia"/>
          <w:sz w:val="32"/>
          <w:szCs w:val="32"/>
        </w:rPr>
        <w:t>特色农业是乡村振兴的核心支撑，近年来，国家层面围绕乡村全面振兴做出一系列战略部署。《乡村全面振兴规划（2024－2027年）》明确提出要构建现代乡村产业体系，培育现代乡村产业，做好"土特产"文章，发展乡村种养业、加工流通业、休闲旅游业、乡村服务业，以农产品主产区和特色农产品优势区为重点，打造现代乡村产业走廊，实施农业品牌精品培育计划。在此基础上，中共中央、国务院印发的《加快建设农业强国规划（2024－2035年）》进一步强调推动农业优质化品牌化提升，深入推进</w:t>
      </w:r>
      <w:proofErr w:type="gramStart"/>
      <w:r w:rsidRPr="00480C32">
        <w:rPr>
          <w:rFonts w:ascii="仿宋_GB2312" w:eastAsia="仿宋_GB2312" w:hAnsi="Calibri" w:hint="eastAsia"/>
          <w:sz w:val="32"/>
          <w:szCs w:val="32"/>
        </w:rPr>
        <w:t>农业品种培优</w:t>
      </w:r>
      <w:proofErr w:type="gramEnd"/>
      <w:r w:rsidRPr="00480C32">
        <w:rPr>
          <w:rFonts w:ascii="仿宋_GB2312" w:eastAsia="仿宋_GB2312" w:hAnsi="Calibri" w:hint="eastAsia"/>
          <w:sz w:val="32"/>
          <w:szCs w:val="32"/>
        </w:rPr>
        <w:t>、品质提升、品牌打造和标准化生产，增加绿色优质农产品供给，实施农业标准化提升计划，加快发展乡村特色产业，做精做优乡村特色种养业，做好地方特色品种筛选。2026年，《中共中央 国务院关于锚定农业农村现代化扎实推进乡村全面振兴的意见》围绕“努力把农业建成现代化大产业”做出具体部署，鼓励因地制宜发展特色农业，推动粮食品种培优和品质提升，支持发展绿色高效种养，推进农产品精深加工，培育农业精品品牌，促进全产业链开发。</w:t>
      </w:r>
    </w:p>
    <w:p w14:paraId="19E55E2B" w14:textId="77777777" w:rsidR="00480C32" w:rsidRPr="00480C32" w:rsidRDefault="00480C32" w:rsidP="00480C32">
      <w:pPr>
        <w:spacing w:after="0" w:line="560" w:lineRule="exact"/>
        <w:ind w:firstLineChars="250" w:firstLine="800"/>
        <w:textAlignment w:val="baseline"/>
        <w:rPr>
          <w:rFonts w:ascii="仿宋_GB2312" w:eastAsia="仿宋_GB2312" w:hAnsi="Calibri"/>
          <w:sz w:val="32"/>
          <w:szCs w:val="32"/>
        </w:rPr>
      </w:pPr>
      <w:r w:rsidRPr="00480C32">
        <w:rPr>
          <w:rFonts w:ascii="仿宋_GB2312" w:eastAsia="仿宋_GB2312" w:hAnsi="Calibri" w:hint="eastAsia"/>
          <w:sz w:val="32"/>
          <w:szCs w:val="32"/>
        </w:rPr>
        <w:lastRenderedPageBreak/>
        <w:t>对</w:t>
      </w:r>
      <w:proofErr w:type="gramStart"/>
      <w:r w:rsidRPr="00480C32">
        <w:rPr>
          <w:rFonts w:ascii="仿宋_GB2312" w:eastAsia="仿宋_GB2312" w:hAnsi="Calibri" w:hint="eastAsia"/>
          <w:sz w:val="32"/>
          <w:szCs w:val="32"/>
        </w:rPr>
        <w:t>标国家</w:t>
      </w:r>
      <w:proofErr w:type="gramEnd"/>
      <w:r w:rsidRPr="00480C32">
        <w:rPr>
          <w:rFonts w:ascii="仿宋_GB2312" w:eastAsia="仿宋_GB2312" w:hAnsi="Calibri" w:hint="eastAsia"/>
          <w:sz w:val="32"/>
          <w:szCs w:val="32"/>
        </w:rPr>
        <w:t>战略部署，广西壮族自治区紧密结合实际扎实推进落实。中共广西壮族自治区委员会、广西壮族自治区人民政府《关于进一步深化农村改革扎实推进乡村全面振兴的实施意见》明确要着力壮大县域富民产业，发展乡村现代特色产业，实施广西现代特色农业产业发展三年行动，推进农产品加工业转型升级，实施“桂字号”农业品牌精品培育计划，打造特色农业产业集群，推动新茶饮、</w:t>
      </w:r>
      <w:proofErr w:type="gramStart"/>
      <w:r w:rsidRPr="00480C32">
        <w:rPr>
          <w:rFonts w:ascii="仿宋_GB2312" w:eastAsia="仿宋_GB2312" w:hAnsi="Calibri" w:hint="eastAsia"/>
          <w:sz w:val="32"/>
          <w:szCs w:val="32"/>
        </w:rPr>
        <w:t>嗦</w:t>
      </w:r>
      <w:proofErr w:type="gramEnd"/>
      <w:r w:rsidRPr="00480C32">
        <w:rPr>
          <w:rFonts w:ascii="仿宋_GB2312" w:eastAsia="仿宋_GB2312" w:hAnsi="Calibri" w:hint="eastAsia"/>
          <w:sz w:val="32"/>
          <w:szCs w:val="32"/>
        </w:rPr>
        <w:t>粉经济、果蔬产业、渔畜禽产业等优质发展。</w:t>
      </w:r>
    </w:p>
    <w:p w14:paraId="0F5A4C86" w14:textId="77777777" w:rsidR="00480C32" w:rsidRPr="00480C32" w:rsidRDefault="00480C32" w:rsidP="00480C32">
      <w:pPr>
        <w:spacing w:after="0" w:line="560" w:lineRule="exact"/>
        <w:ind w:firstLineChars="250" w:firstLine="800"/>
        <w:textAlignment w:val="baseline"/>
        <w:rPr>
          <w:rFonts w:ascii="仿宋_GB2312" w:eastAsia="仿宋_GB2312" w:hAnsi="Calibri"/>
          <w:sz w:val="32"/>
          <w:szCs w:val="32"/>
        </w:rPr>
      </w:pPr>
      <w:r w:rsidRPr="00480C32">
        <w:rPr>
          <w:rFonts w:ascii="仿宋_GB2312" w:eastAsia="仿宋_GB2312" w:hAnsi="Calibri" w:hint="eastAsia"/>
          <w:sz w:val="32"/>
          <w:szCs w:val="32"/>
        </w:rPr>
        <w:t>“十五五”规划建议明确提出，要坚持产量产能、生产生态、增产增收一起抓，统筹发展科技农业、绿色农业、质量农业、品牌农业，把农业建成现代化大产业。品牌农业首次与科技、绿色、质量并列，构成了“四位一体”的发展体系，特色农业正是承载这一战略的核心载体。尤其我区已启动“1+16”的“十五五”农业农村规划编制工作，其中“16”即指16个优势特色产业的专项配套规划，旨在进一步巩固提升“10+3+N”现代特色农业产业体系，擦亮“糖罐子”“果盘子”等产业名片。</w:t>
      </w:r>
    </w:p>
    <w:p w14:paraId="16366D4D" w14:textId="77777777" w:rsidR="00480C32" w:rsidRPr="00480C32" w:rsidRDefault="00480C32" w:rsidP="00480C32">
      <w:pPr>
        <w:spacing w:after="0" w:line="560" w:lineRule="exact"/>
        <w:ind w:firstLineChars="250" w:firstLine="800"/>
        <w:textAlignment w:val="baseline"/>
        <w:rPr>
          <w:rFonts w:ascii="仿宋_GB2312" w:eastAsia="仿宋_GB2312" w:hAnsi="Calibri"/>
          <w:sz w:val="32"/>
          <w:szCs w:val="32"/>
        </w:rPr>
      </w:pPr>
      <w:proofErr w:type="gramStart"/>
      <w:r w:rsidRPr="00480C32">
        <w:rPr>
          <w:rFonts w:ascii="仿宋_GB2312" w:eastAsia="仿宋_GB2312" w:hAnsi="Calibri" w:hint="eastAsia"/>
          <w:sz w:val="32"/>
          <w:szCs w:val="32"/>
        </w:rPr>
        <w:t>砂梨是</w:t>
      </w:r>
      <w:proofErr w:type="gramEnd"/>
      <w:r w:rsidRPr="00480C32">
        <w:rPr>
          <w:rFonts w:ascii="仿宋_GB2312" w:eastAsia="仿宋_GB2312" w:hAnsi="Calibri" w:hint="eastAsia"/>
          <w:sz w:val="32"/>
          <w:szCs w:val="32"/>
        </w:rPr>
        <w:t>蔷薇科梨属多年生高大乔木果树，寿命可达300年以上。根据其生命周期变化规律，可划分为营养生长期、生长结果期、盛果期和衰老更新期四个年龄时期。</w:t>
      </w:r>
      <w:proofErr w:type="gramStart"/>
      <w:r w:rsidRPr="00480C32">
        <w:rPr>
          <w:rFonts w:ascii="仿宋_GB2312" w:eastAsia="仿宋_GB2312" w:hAnsi="Calibri" w:hint="eastAsia"/>
          <w:sz w:val="32"/>
          <w:szCs w:val="32"/>
        </w:rPr>
        <w:t>砂</w:t>
      </w:r>
      <w:proofErr w:type="gramEnd"/>
      <w:r w:rsidRPr="00480C32">
        <w:rPr>
          <w:rFonts w:ascii="仿宋_GB2312" w:eastAsia="仿宋_GB2312" w:hAnsi="Calibri" w:hint="eastAsia"/>
          <w:sz w:val="32"/>
          <w:szCs w:val="32"/>
        </w:rPr>
        <w:t>梨果实多为大果型，果形整齐，以圆形或扁圆形为主，部分为长圆形和卵形；果皮多呈褐色或绿色，果点较大，一般无蒂、果梗较长，易于与有</w:t>
      </w:r>
      <w:proofErr w:type="gramStart"/>
      <w:r w:rsidRPr="00480C32">
        <w:rPr>
          <w:rFonts w:ascii="仿宋_GB2312" w:eastAsia="仿宋_GB2312" w:hAnsi="Calibri" w:hint="eastAsia"/>
          <w:sz w:val="32"/>
          <w:szCs w:val="32"/>
        </w:rPr>
        <w:t>蒂且果</w:t>
      </w:r>
      <w:proofErr w:type="gramEnd"/>
      <w:r w:rsidRPr="00480C32">
        <w:rPr>
          <w:rFonts w:ascii="仿宋_GB2312" w:eastAsia="仿宋_GB2312" w:hAnsi="Calibri" w:hint="eastAsia"/>
          <w:sz w:val="32"/>
          <w:szCs w:val="32"/>
        </w:rPr>
        <w:t>梗短的秋子梨相区分；果肉洁白、水分充足、肉质细嫩脆爽，石细胞少，味甜爽口。</w:t>
      </w:r>
    </w:p>
    <w:p w14:paraId="410BD46D" w14:textId="77777777" w:rsidR="00480C32" w:rsidRPr="00480C32" w:rsidRDefault="00480C32" w:rsidP="00480C32">
      <w:pPr>
        <w:spacing w:after="0" w:line="560" w:lineRule="exact"/>
        <w:ind w:firstLineChars="250" w:firstLine="800"/>
        <w:textAlignment w:val="baseline"/>
        <w:rPr>
          <w:rFonts w:ascii="仿宋_GB2312" w:eastAsia="仿宋_GB2312" w:hAnsi="Calibri"/>
          <w:sz w:val="32"/>
          <w:szCs w:val="32"/>
        </w:rPr>
      </w:pPr>
      <w:proofErr w:type="gramStart"/>
      <w:r w:rsidRPr="00480C32">
        <w:rPr>
          <w:rFonts w:ascii="仿宋_GB2312" w:eastAsia="仿宋_GB2312" w:hAnsi="Calibri" w:hint="eastAsia"/>
          <w:sz w:val="32"/>
          <w:szCs w:val="32"/>
        </w:rPr>
        <w:lastRenderedPageBreak/>
        <w:t>砂梨是</w:t>
      </w:r>
      <w:proofErr w:type="gramEnd"/>
      <w:r w:rsidRPr="00480C32">
        <w:rPr>
          <w:rFonts w:ascii="仿宋_GB2312" w:eastAsia="仿宋_GB2312" w:hAnsi="Calibri" w:hint="eastAsia"/>
          <w:sz w:val="32"/>
          <w:szCs w:val="32"/>
        </w:rPr>
        <w:t>原产于我国的世界四大梨栽培种（砂梨、白梨、秋子梨、新疆梨）之一，因果肉含有砂砾状石细胞而得名。其种质资源丰富、栽培历史悠久，适宜在温暖多雨、高温高湿环境下种植，兼具耐热、抗旱、高抗火疫病等优良特性，同时具有果实硕大、成熟期多样、结果早、丰产性强等优势，深受市场与梨农欢迎。</w:t>
      </w:r>
    </w:p>
    <w:p w14:paraId="7DE12EF0" w14:textId="77777777" w:rsidR="00480C32" w:rsidRPr="00480C32" w:rsidRDefault="00480C32" w:rsidP="00480C32">
      <w:pPr>
        <w:spacing w:after="0" w:line="560" w:lineRule="exact"/>
        <w:ind w:firstLineChars="250" w:firstLine="800"/>
        <w:textAlignment w:val="baseline"/>
        <w:rPr>
          <w:rFonts w:ascii="仿宋_GB2312" w:eastAsia="仿宋_GB2312" w:hAnsi="Calibri"/>
          <w:sz w:val="32"/>
          <w:szCs w:val="32"/>
        </w:rPr>
      </w:pPr>
      <w:proofErr w:type="gramStart"/>
      <w:r w:rsidRPr="00480C32">
        <w:rPr>
          <w:rFonts w:ascii="仿宋_GB2312" w:eastAsia="仿宋_GB2312" w:hAnsi="Calibri" w:hint="eastAsia"/>
          <w:sz w:val="32"/>
          <w:szCs w:val="32"/>
        </w:rPr>
        <w:t>砂梨口感</w:t>
      </w:r>
      <w:proofErr w:type="gramEnd"/>
      <w:r w:rsidRPr="00480C32">
        <w:rPr>
          <w:rFonts w:ascii="仿宋_GB2312" w:eastAsia="仿宋_GB2312" w:hAnsi="Calibri" w:hint="eastAsia"/>
          <w:sz w:val="32"/>
          <w:szCs w:val="32"/>
        </w:rPr>
        <w:t>佳、营养丰富，在长江中下游流域、华南等主产区，是居民日常消费与节日馈赠的重要果品。近年来，随着消费者对果品品质要求不断提升，优质</w:t>
      </w:r>
      <w:proofErr w:type="gramStart"/>
      <w:r w:rsidRPr="00480C32">
        <w:rPr>
          <w:rFonts w:ascii="仿宋_GB2312" w:eastAsia="仿宋_GB2312" w:hAnsi="Calibri" w:hint="eastAsia"/>
          <w:sz w:val="32"/>
          <w:szCs w:val="32"/>
        </w:rPr>
        <w:t>砂梨国内</w:t>
      </w:r>
      <w:proofErr w:type="gramEnd"/>
      <w:r w:rsidRPr="00480C32">
        <w:rPr>
          <w:rFonts w:ascii="仿宋_GB2312" w:eastAsia="仿宋_GB2312" w:hAnsi="Calibri" w:hint="eastAsia"/>
          <w:sz w:val="32"/>
          <w:szCs w:val="32"/>
        </w:rPr>
        <w:t>市场需求持续增长；同时凭借优良品质出口东南亚、中东等地区，已成为出口创汇的特色农产品，国际市场前景广阔。</w:t>
      </w:r>
      <w:proofErr w:type="gramStart"/>
      <w:r w:rsidRPr="00480C32">
        <w:rPr>
          <w:rFonts w:ascii="仿宋_GB2312" w:eastAsia="仿宋_GB2312" w:hAnsi="Calibri" w:hint="eastAsia"/>
          <w:sz w:val="32"/>
          <w:szCs w:val="32"/>
        </w:rPr>
        <w:t>砂梨经济效益</w:t>
      </w:r>
      <w:proofErr w:type="gramEnd"/>
      <w:r w:rsidRPr="00480C32">
        <w:rPr>
          <w:rFonts w:ascii="仿宋_GB2312" w:eastAsia="仿宋_GB2312" w:hAnsi="Calibri" w:hint="eastAsia"/>
          <w:sz w:val="32"/>
          <w:szCs w:val="32"/>
        </w:rPr>
        <w:t>突出，精品果单价可达10～40元/</w:t>
      </w:r>
      <w:proofErr w:type="gramStart"/>
      <w:r w:rsidRPr="00480C32">
        <w:rPr>
          <w:rFonts w:ascii="仿宋_GB2312" w:eastAsia="仿宋_GB2312" w:hAnsi="Calibri" w:hint="eastAsia"/>
          <w:sz w:val="32"/>
          <w:szCs w:val="32"/>
        </w:rPr>
        <w:t>个</w:t>
      </w:r>
      <w:proofErr w:type="gramEnd"/>
      <w:r w:rsidRPr="00480C32">
        <w:rPr>
          <w:rFonts w:ascii="仿宋_GB2312" w:eastAsia="仿宋_GB2312" w:hAnsi="Calibri" w:hint="eastAsia"/>
          <w:sz w:val="32"/>
          <w:szCs w:val="32"/>
        </w:rPr>
        <w:t>，普通果出园价约2～4元/斤，产业增收潜力显著。</w:t>
      </w:r>
    </w:p>
    <w:p w14:paraId="42D2A91E" w14:textId="77777777" w:rsidR="00480C32" w:rsidRPr="00480C32" w:rsidRDefault="00480C32" w:rsidP="00480C32">
      <w:pPr>
        <w:spacing w:after="0" w:line="560" w:lineRule="exact"/>
        <w:ind w:firstLineChars="250" w:firstLine="800"/>
        <w:textAlignment w:val="baseline"/>
        <w:rPr>
          <w:rFonts w:ascii="仿宋_GB2312" w:eastAsia="仿宋_GB2312" w:hAnsi="Calibri"/>
          <w:sz w:val="32"/>
          <w:szCs w:val="32"/>
        </w:rPr>
      </w:pPr>
      <w:proofErr w:type="gramStart"/>
      <w:r w:rsidRPr="00480C32">
        <w:rPr>
          <w:rFonts w:ascii="仿宋_GB2312" w:eastAsia="仿宋_GB2312" w:hAnsi="Calibri" w:hint="eastAsia"/>
          <w:sz w:val="32"/>
          <w:szCs w:val="32"/>
        </w:rPr>
        <w:t>我国砂梨种植</w:t>
      </w:r>
      <w:proofErr w:type="gramEnd"/>
      <w:r w:rsidRPr="00480C32">
        <w:rPr>
          <w:rFonts w:ascii="仿宋_GB2312" w:eastAsia="仿宋_GB2312" w:hAnsi="Calibri" w:hint="eastAsia"/>
          <w:sz w:val="32"/>
          <w:szCs w:val="32"/>
        </w:rPr>
        <w:t>主要覆盖长江流域、云贵高原及华南三大核心产区，涉及湖北、湖南、安徽、江西、四川、重庆、云南、贵州、广东、广西、福建等多个省份，地域分布广泛、主栽品种特色鲜明。其中种植面积为四川92.7万亩、云南86.85万亩、安徽61.35万亩、贵州60.9万亩、湖南52.05万亩、湖北36.3万亩、重庆36.15万亩、广西32.1万亩、江西27.6万亩、福建21.15万亩、广东13.65万亩，全国</w:t>
      </w:r>
      <w:proofErr w:type="gramStart"/>
      <w:r w:rsidRPr="00480C32">
        <w:rPr>
          <w:rFonts w:ascii="仿宋_GB2312" w:eastAsia="仿宋_GB2312" w:hAnsi="Calibri" w:hint="eastAsia"/>
          <w:sz w:val="32"/>
          <w:szCs w:val="32"/>
        </w:rPr>
        <w:t>砂梨总</w:t>
      </w:r>
      <w:proofErr w:type="gramEnd"/>
      <w:r w:rsidRPr="00480C32">
        <w:rPr>
          <w:rFonts w:ascii="仿宋_GB2312" w:eastAsia="仿宋_GB2312" w:hAnsi="Calibri" w:hint="eastAsia"/>
          <w:sz w:val="32"/>
          <w:szCs w:val="32"/>
        </w:rPr>
        <w:t>种植面积超500万亩以上，年总产量达600万吨以上，整体种植面积广阔、年产量规模庞大，产业基础扎实、市场效益显著。</w:t>
      </w:r>
    </w:p>
    <w:p w14:paraId="26AECE86" w14:textId="77777777" w:rsidR="00480C32" w:rsidRPr="00480C32" w:rsidRDefault="00480C32" w:rsidP="00480C32">
      <w:pPr>
        <w:spacing w:after="0" w:line="560" w:lineRule="exact"/>
        <w:ind w:firstLineChars="250" w:firstLine="800"/>
        <w:textAlignment w:val="baseline"/>
        <w:rPr>
          <w:rFonts w:ascii="仿宋_GB2312" w:eastAsia="仿宋_GB2312" w:hAnsi="Calibri"/>
          <w:sz w:val="32"/>
          <w:szCs w:val="32"/>
        </w:rPr>
      </w:pPr>
      <w:r w:rsidRPr="00480C32">
        <w:rPr>
          <w:rFonts w:ascii="仿宋_GB2312" w:eastAsia="仿宋_GB2312" w:hAnsi="Calibri" w:hint="eastAsia"/>
          <w:sz w:val="32"/>
          <w:szCs w:val="32"/>
        </w:rPr>
        <w:t>随着市场对优质、安全、绿色水果需求日益增长，加快</w:t>
      </w:r>
      <w:r w:rsidRPr="00480C32">
        <w:rPr>
          <w:rFonts w:ascii="仿宋_GB2312" w:eastAsia="仿宋_GB2312" w:hAnsi="Calibri" w:hint="eastAsia"/>
          <w:sz w:val="32"/>
          <w:szCs w:val="32"/>
        </w:rPr>
        <w:lastRenderedPageBreak/>
        <w:t>推广科学高效的栽培技术已成为</w:t>
      </w:r>
      <w:proofErr w:type="gramStart"/>
      <w:r w:rsidRPr="00480C32">
        <w:rPr>
          <w:rFonts w:ascii="仿宋_GB2312" w:eastAsia="仿宋_GB2312" w:hAnsi="Calibri" w:hint="eastAsia"/>
          <w:sz w:val="32"/>
          <w:szCs w:val="32"/>
        </w:rPr>
        <w:t>砂梨产业提</w:t>
      </w:r>
      <w:proofErr w:type="gramEnd"/>
      <w:r w:rsidRPr="00480C32">
        <w:rPr>
          <w:rFonts w:ascii="仿宋_GB2312" w:eastAsia="仿宋_GB2312" w:hAnsi="Calibri" w:hint="eastAsia"/>
          <w:sz w:val="32"/>
          <w:szCs w:val="32"/>
        </w:rPr>
        <w:t>质增效的关键。</w:t>
      </w:r>
      <w:proofErr w:type="gramStart"/>
      <w:r w:rsidRPr="00480C32">
        <w:rPr>
          <w:rFonts w:ascii="仿宋_GB2312" w:eastAsia="仿宋_GB2312" w:hAnsi="Calibri" w:hint="eastAsia"/>
          <w:sz w:val="32"/>
          <w:szCs w:val="32"/>
        </w:rPr>
        <w:t>制定砂梨水肥</w:t>
      </w:r>
      <w:proofErr w:type="gramEnd"/>
      <w:r w:rsidRPr="00480C32">
        <w:rPr>
          <w:rFonts w:ascii="仿宋_GB2312" w:eastAsia="仿宋_GB2312" w:hAnsi="Calibri" w:hint="eastAsia"/>
          <w:sz w:val="32"/>
          <w:szCs w:val="32"/>
        </w:rPr>
        <w:t>一体化技术规程，是顺应市场需求、提升</w:t>
      </w:r>
      <w:proofErr w:type="gramStart"/>
      <w:r w:rsidRPr="00480C32">
        <w:rPr>
          <w:rFonts w:ascii="仿宋_GB2312" w:eastAsia="仿宋_GB2312" w:hAnsi="Calibri" w:hint="eastAsia"/>
          <w:sz w:val="32"/>
          <w:szCs w:val="32"/>
        </w:rPr>
        <w:t>砂梨产业</w:t>
      </w:r>
      <w:proofErr w:type="gramEnd"/>
      <w:r w:rsidRPr="00480C32">
        <w:rPr>
          <w:rFonts w:ascii="仿宋_GB2312" w:eastAsia="仿宋_GB2312" w:hAnsi="Calibri" w:hint="eastAsia"/>
          <w:sz w:val="32"/>
          <w:szCs w:val="32"/>
        </w:rPr>
        <w:t>竞争力的重要举措。通过统一水肥一体化技术操作规范，可</w:t>
      </w:r>
      <w:proofErr w:type="gramStart"/>
      <w:r w:rsidRPr="00480C32">
        <w:rPr>
          <w:rFonts w:ascii="仿宋_GB2312" w:eastAsia="仿宋_GB2312" w:hAnsi="Calibri" w:hint="eastAsia"/>
          <w:sz w:val="32"/>
          <w:szCs w:val="32"/>
        </w:rPr>
        <w:t>实现砂梨种植</w:t>
      </w:r>
      <w:proofErr w:type="gramEnd"/>
      <w:r w:rsidRPr="00480C32">
        <w:rPr>
          <w:rFonts w:ascii="仿宋_GB2312" w:eastAsia="仿宋_GB2312" w:hAnsi="Calibri" w:hint="eastAsia"/>
          <w:sz w:val="32"/>
          <w:szCs w:val="32"/>
        </w:rPr>
        <w:t>过程中水肥供应精准化、科学化，有效避免过度施肥与不合理灌溉，减少水资源和肥料浪费，同步提升果实品质与产量，使产品更好满足高端市场需求。标准化技术能够帮助种植户优化水肥管理，降低水肥投入成本，减轻病虫害发生风险，提升种植效益与产业综合竞争力。同时，可为广大种植户、农资供应商、加工及流通企业提供统一技术依据，促进产业链上下游协同规范发展，推动</w:t>
      </w:r>
      <w:proofErr w:type="gramStart"/>
      <w:r w:rsidRPr="00480C32">
        <w:rPr>
          <w:rFonts w:ascii="仿宋_GB2312" w:eastAsia="仿宋_GB2312" w:hAnsi="Calibri" w:hint="eastAsia"/>
          <w:sz w:val="32"/>
          <w:szCs w:val="32"/>
        </w:rPr>
        <w:t>砂梨产业</w:t>
      </w:r>
      <w:proofErr w:type="gramEnd"/>
      <w:r w:rsidRPr="00480C32">
        <w:rPr>
          <w:rFonts w:ascii="仿宋_GB2312" w:eastAsia="仿宋_GB2312" w:hAnsi="Calibri" w:hint="eastAsia"/>
          <w:sz w:val="32"/>
          <w:szCs w:val="32"/>
        </w:rPr>
        <w:t>从种植、管理到加工、销售全过程标准化升级。通过建立高标准技术规程，更有利于</w:t>
      </w:r>
      <w:proofErr w:type="gramStart"/>
      <w:r w:rsidRPr="00480C32">
        <w:rPr>
          <w:rFonts w:ascii="仿宋_GB2312" w:eastAsia="仿宋_GB2312" w:hAnsi="Calibri" w:hint="eastAsia"/>
          <w:sz w:val="32"/>
          <w:szCs w:val="32"/>
        </w:rPr>
        <w:t>培育砂梨优质</w:t>
      </w:r>
      <w:proofErr w:type="gramEnd"/>
      <w:r w:rsidRPr="00480C32">
        <w:rPr>
          <w:rFonts w:ascii="仿宋_GB2312" w:eastAsia="仿宋_GB2312" w:hAnsi="Calibri" w:hint="eastAsia"/>
          <w:sz w:val="32"/>
          <w:szCs w:val="32"/>
        </w:rPr>
        <w:t>品牌，提升产品市场认可度与美誉度，</w:t>
      </w:r>
      <w:proofErr w:type="gramStart"/>
      <w:r w:rsidRPr="00480C32">
        <w:rPr>
          <w:rFonts w:ascii="仿宋_GB2312" w:eastAsia="仿宋_GB2312" w:hAnsi="Calibri" w:hint="eastAsia"/>
          <w:sz w:val="32"/>
          <w:szCs w:val="32"/>
        </w:rPr>
        <w:t>为砂梨拓展</w:t>
      </w:r>
      <w:proofErr w:type="gramEnd"/>
      <w:r w:rsidRPr="00480C32">
        <w:rPr>
          <w:rFonts w:ascii="仿宋_GB2312" w:eastAsia="仿宋_GB2312" w:hAnsi="Calibri" w:hint="eastAsia"/>
          <w:sz w:val="32"/>
          <w:szCs w:val="32"/>
        </w:rPr>
        <w:t>高端消费市场、扩大国际贸易提供坚实技术支撑。</w:t>
      </w:r>
    </w:p>
    <w:p w14:paraId="6743B8C2" w14:textId="1B35B05E" w:rsidR="00E150A0" w:rsidRPr="00E150A0" w:rsidRDefault="00480C32" w:rsidP="00480C32">
      <w:pPr>
        <w:autoSpaceDE w:val="0"/>
        <w:autoSpaceDN w:val="0"/>
        <w:adjustRightInd w:val="0"/>
        <w:spacing w:after="0" w:line="560" w:lineRule="exact"/>
        <w:ind w:firstLineChars="200" w:firstLine="640"/>
        <w:jc w:val="left"/>
        <w:rPr>
          <w:rFonts w:ascii="仿宋_GB2312" w:eastAsia="仿宋_GB2312" w:hAnsi="Calibri"/>
          <w:sz w:val="32"/>
          <w:szCs w:val="32"/>
        </w:rPr>
      </w:pPr>
      <w:r w:rsidRPr="00480C32">
        <w:rPr>
          <w:rFonts w:ascii="仿宋_GB2312" w:eastAsia="仿宋_GB2312" w:hAnsi="Calibri" w:hint="eastAsia"/>
          <w:sz w:val="32"/>
          <w:szCs w:val="32"/>
        </w:rPr>
        <w:t>为进一步</w:t>
      </w:r>
      <w:proofErr w:type="gramStart"/>
      <w:r w:rsidRPr="00480C32">
        <w:rPr>
          <w:rFonts w:ascii="仿宋_GB2312" w:eastAsia="仿宋_GB2312" w:hAnsi="Calibri" w:hint="eastAsia"/>
          <w:sz w:val="32"/>
          <w:szCs w:val="32"/>
        </w:rPr>
        <w:t>规范砂梨水肥</w:t>
      </w:r>
      <w:proofErr w:type="gramEnd"/>
      <w:r w:rsidRPr="00480C32">
        <w:rPr>
          <w:rFonts w:ascii="仿宋_GB2312" w:eastAsia="仿宋_GB2312" w:hAnsi="Calibri" w:hint="eastAsia"/>
          <w:sz w:val="32"/>
          <w:szCs w:val="32"/>
        </w:rPr>
        <w:t>管理技术、提升</w:t>
      </w:r>
      <w:proofErr w:type="gramStart"/>
      <w:r w:rsidRPr="00480C32">
        <w:rPr>
          <w:rFonts w:ascii="仿宋_GB2312" w:eastAsia="仿宋_GB2312" w:hAnsi="Calibri" w:hint="eastAsia"/>
          <w:sz w:val="32"/>
          <w:szCs w:val="32"/>
        </w:rPr>
        <w:t>砂</w:t>
      </w:r>
      <w:proofErr w:type="gramEnd"/>
      <w:r w:rsidRPr="00480C32">
        <w:rPr>
          <w:rFonts w:ascii="仿宋_GB2312" w:eastAsia="仿宋_GB2312" w:hAnsi="Calibri" w:hint="eastAsia"/>
          <w:sz w:val="32"/>
          <w:szCs w:val="32"/>
        </w:rPr>
        <w:t>梨果实品质与生产效益、推动</w:t>
      </w:r>
      <w:proofErr w:type="gramStart"/>
      <w:r w:rsidRPr="00480C32">
        <w:rPr>
          <w:rFonts w:ascii="仿宋_GB2312" w:eastAsia="仿宋_GB2312" w:hAnsi="Calibri" w:hint="eastAsia"/>
          <w:sz w:val="32"/>
          <w:szCs w:val="32"/>
        </w:rPr>
        <w:t>砂梨产业</w:t>
      </w:r>
      <w:proofErr w:type="gramEnd"/>
      <w:r w:rsidRPr="00480C32">
        <w:rPr>
          <w:rFonts w:ascii="仿宋_GB2312" w:eastAsia="仿宋_GB2312" w:hAnsi="Calibri" w:hint="eastAsia"/>
          <w:sz w:val="32"/>
          <w:szCs w:val="32"/>
        </w:rPr>
        <w:t>绿色高效可持续发展，通过制定团体标准《砂梨水肥一体化技术规程》，以标准为抓手</w:t>
      </w:r>
      <w:proofErr w:type="gramStart"/>
      <w:r w:rsidRPr="00480C32">
        <w:rPr>
          <w:rFonts w:ascii="仿宋_GB2312" w:eastAsia="仿宋_GB2312" w:hAnsi="Calibri" w:hint="eastAsia"/>
          <w:sz w:val="32"/>
          <w:szCs w:val="32"/>
        </w:rPr>
        <w:t>统一砂梨水肥</w:t>
      </w:r>
      <w:proofErr w:type="gramEnd"/>
      <w:r w:rsidRPr="00480C32">
        <w:rPr>
          <w:rFonts w:ascii="仿宋_GB2312" w:eastAsia="仿宋_GB2312" w:hAnsi="Calibri" w:hint="eastAsia"/>
          <w:sz w:val="32"/>
          <w:szCs w:val="32"/>
        </w:rPr>
        <w:t>一体化技术要求，对促进我国</w:t>
      </w:r>
      <w:proofErr w:type="gramStart"/>
      <w:r w:rsidRPr="00480C32">
        <w:rPr>
          <w:rFonts w:ascii="仿宋_GB2312" w:eastAsia="仿宋_GB2312" w:hAnsi="Calibri" w:hint="eastAsia"/>
          <w:sz w:val="32"/>
          <w:szCs w:val="32"/>
        </w:rPr>
        <w:t>砂梨产业提</w:t>
      </w:r>
      <w:proofErr w:type="gramEnd"/>
      <w:r w:rsidRPr="00480C32">
        <w:rPr>
          <w:rFonts w:ascii="仿宋_GB2312" w:eastAsia="仿宋_GB2312" w:hAnsi="Calibri" w:hint="eastAsia"/>
          <w:sz w:val="32"/>
          <w:szCs w:val="32"/>
        </w:rPr>
        <w:t>质增效、品牌化建设与现代化高质量发展具有积极意义</w:t>
      </w:r>
      <w:r w:rsidR="00993533" w:rsidRPr="00993533">
        <w:rPr>
          <w:rFonts w:ascii="仿宋_GB2312" w:eastAsia="仿宋_GB2312" w:hAnsi="Calibri" w:hint="eastAsia"/>
          <w:sz w:val="32"/>
          <w:szCs w:val="32"/>
        </w:rPr>
        <w:t>。</w:t>
      </w:r>
    </w:p>
    <w:p w14:paraId="4A11617C" w14:textId="77777777" w:rsidR="007A6E81" w:rsidRDefault="00000000" w:rsidP="00A8651E">
      <w:pPr>
        <w:autoSpaceDE w:val="0"/>
        <w:autoSpaceDN w:val="0"/>
        <w:adjustRightInd w:val="0"/>
        <w:spacing w:after="0" w:line="560" w:lineRule="exact"/>
        <w:ind w:firstLineChars="200" w:firstLine="640"/>
        <w:jc w:val="left"/>
        <w:outlineLvl w:val="0"/>
        <w:rPr>
          <w:rFonts w:ascii="黑体" w:eastAsia="黑体" w:hAnsi="黑体" w:cs="仿宋_GB2312" w:hint="eastAsia"/>
          <w:sz w:val="32"/>
          <w:szCs w:val="32"/>
        </w:rPr>
      </w:pPr>
      <w:r>
        <w:rPr>
          <w:rFonts w:ascii="黑体" w:eastAsia="黑体" w:hAnsi="黑体" w:cs="仿宋_GB2312" w:hint="eastAsia"/>
          <w:sz w:val="32"/>
          <w:szCs w:val="32"/>
        </w:rPr>
        <w:t>三、项目编制过程</w:t>
      </w:r>
    </w:p>
    <w:p w14:paraId="17D5BA20" w14:textId="77777777" w:rsidR="007A6E81" w:rsidRDefault="00000000" w:rsidP="00A8651E">
      <w:pPr>
        <w:spacing w:after="0" w:line="560" w:lineRule="exact"/>
        <w:ind w:firstLineChars="200" w:firstLine="643"/>
        <w:outlineLvl w:val="1"/>
        <w:rPr>
          <w:rFonts w:ascii="楷体" w:eastAsia="楷体" w:hAnsi="楷体" w:cs="仿宋_GB2312" w:hint="eastAsia"/>
          <w:b/>
          <w:sz w:val="32"/>
          <w:szCs w:val="32"/>
        </w:rPr>
      </w:pPr>
      <w:r>
        <w:rPr>
          <w:rFonts w:ascii="楷体" w:eastAsia="楷体" w:hAnsi="楷体" w:cs="仿宋_GB2312" w:hint="eastAsia"/>
          <w:b/>
          <w:sz w:val="32"/>
          <w:szCs w:val="32"/>
        </w:rPr>
        <w:t>（一）成立标准编制组</w:t>
      </w:r>
    </w:p>
    <w:p w14:paraId="7D521C90" w14:textId="0A2C0D1C" w:rsidR="007A6E81" w:rsidRDefault="00000000" w:rsidP="00A8651E">
      <w:pPr>
        <w:spacing w:after="0" w:line="560" w:lineRule="exact"/>
        <w:ind w:firstLineChars="200" w:firstLine="640"/>
        <w:rPr>
          <w:rFonts w:ascii="仿宋_GB2312" w:eastAsia="仿宋_GB2312" w:hAnsi="宋体" w:hint="eastAsia"/>
          <w:sz w:val="32"/>
          <w:szCs w:val="32"/>
        </w:rPr>
      </w:pPr>
      <w:r>
        <w:rPr>
          <w:rFonts w:ascii="仿宋_GB2312" w:eastAsia="仿宋_GB2312" w:hAnsi="宋体" w:hint="eastAsia"/>
          <w:sz w:val="32"/>
          <w:szCs w:val="32"/>
        </w:rPr>
        <w:t>团体标准</w:t>
      </w:r>
      <w:r w:rsidR="00993533">
        <w:rPr>
          <w:rFonts w:ascii="仿宋_GB2312" w:eastAsia="仿宋_GB2312" w:hAnsi="宋体" w:hint="eastAsia"/>
          <w:sz w:val="32"/>
          <w:szCs w:val="32"/>
        </w:rPr>
        <w:t>《</w:t>
      </w:r>
      <w:r w:rsidR="00EE2336">
        <w:rPr>
          <w:rFonts w:ascii="仿宋_GB2312" w:eastAsia="仿宋_GB2312" w:hAnsi="宋体" w:hint="eastAsia"/>
          <w:sz w:val="32"/>
          <w:szCs w:val="32"/>
        </w:rPr>
        <w:t>砂梨水肥一体化技术规程</w:t>
      </w:r>
      <w:r w:rsidR="00993533">
        <w:rPr>
          <w:rFonts w:ascii="仿宋_GB2312" w:eastAsia="仿宋_GB2312" w:hAnsi="宋体" w:hint="eastAsia"/>
          <w:sz w:val="32"/>
          <w:szCs w:val="32"/>
        </w:rPr>
        <w:t>》</w:t>
      </w:r>
      <w:r>
        <w:rPr>
          <w:rFonts w:ascii="仿宋_GB2312" w:eastAsia="仿宋_GB2312" w:hAnsi="宋体" w:hint="eastAsia"/>
          <w:sz w:val="32"/>
          <w:szCs w:val="32"/>
        </w:rPr>
        <w:t>项目任务下达后，由</w:t>
      </w:r>
      <w:r w:rsidR="00612846" w:rsidRPr="00612846">
        <w:rPr>
          <w:rFonts w:ascii="仿宋_GB2312" w:eastAsia="仿宋_GB2312" w:hAnsi="宋体" w:hint="eastAsia"/>
          <w:sz w:val="32"/>
          <w:szCs w:val="32"/>
        </w:rPr>
        <w:t>广西特色作物研究院</w:t>
      </w:r>
      <w:r>
        <w:rPr>
          <w:rFonts w:ascii="仿宋_GB2312" w:eastAsia="仿宋_GB2312" w:hAnsi="宋体" w:hint="eastAsia"/>
          <w:sz w:val="32"/>
          <w:szCs w:val="32"/>
        </w:rPr>
        <w:t>牵头组织成立了标准编制组，制定了标准编写方案，明确任务职责，确定工作技术路线，开展标</w:t>
      </w:r>
      <w:r>
        <w:rPr>
          <w:rFonts w:ascii="仿宋_GB2312" w:eastAsia="仿宋_GB2312" w:hAnsi="宋体" w:hint="eastAsia"/>
          <w:sz w:val="32"/>
          <w:szCs w:val="32"/>
        </w:rPr>
        <w:lastRenderedPageBreak/>
        <w:t>准研制工作。具体编制工作由</w:t>
      </w:r>
      <w:r w:rsidR="00612846" w:rsidRPr="00612846">
        <w:rPr>
          <w:rFonts w:ascii="仿宋_GB2312" w:eastAsia="仿宋_GB2312" w:hAnsi="Calibri" w:hint="eastAsia"/>
          <w:sz w:val="32"/>
          <w:szCs w:val="32"/>
        </w:rPr>
        <w:t>广西特色作物研究院、南京农业大学、广西壮族自治区水果技术指导站</w:t>
      </w:r>
      <w:r>
        <w:rPr>
          <w:rFonts w:ascii="仿宋_GB2312" w:eastAsia="仿宋_GB2312" w:hAnsi="宋体" w:hint="eastAsia"/>
          <w:sz w:val="32"/>
          <w:szCs w:val="32"/>
        </w:rPr>
        <w:t>组成的标准编制组负责。编制组下设三个小组，分别是资料收集组、草案编写组、标准实施组。</w:t>
      </w:r>
    </w:p>
    <w:p w14:paraId="521EB054" w14:textId="792C430D" w:rsidR="007A6E81" w:rsidRDefault="00000000" w:rsidP="00A8651E">
      <w:pPr>
        <w:spacing w:after="0" w:line="560" w:lineRule="exact"/>
        <w:ind w:firstLineChars="200" w:firstLine="640"/>
        <w:rPr>
          <w:rFonts w:ascii="仿宋_GB2312" w:eastAsia="仿宋_GB2312" w:hAnsi="宋体" w:hint="eastAsia"/>
          <w:sz w:val="32"/>
          <w:szCs w:val="32"/>
        </w:rPr>
      </w:pPr>
      <w:r>
        <w:rPr>
          <w:rFonts w:ascii="仿宋_GB2312" w:eastAsia="仿宋_GB2312" w:hAnsi="宋体" w:hint="eastAsia"/>
          <w:sz w:val="32"/>
          <w:szCs w:val="32"/>
        </w:rPr>
        <w:t>资料收集组：负责国内</w:t>
      </w:r>
      <w:r w:rsidR="00AD66EF">
        <w:rPr>
          <w:rFonts w:ascii="仿宋_GB2312" w:eastAsia="仿宋_GB2312" w:hAnsi="宋体" w:hint="eastAsia"/>
          <w:sz w:val="32"/>
          <w:szCs w:val="32"/>
        </w:rPr>
        <w:t>外</w:t>
      </w:r>
      <w:proofErr w:type="gramStart"/>
      <w:r>
        <w:rPr>
          <w:rFonts w:ascii="仿宋_GB2312" w:eastAsia="仿宋_GB2312" w:hAnsi="宋体" w:hint="eastAsia"/>
          <w:sz w:val="32"/>
          <w:szCs w:val="32"/>
        </w:rPr>
        <w:t>关于</w:t>
      </w:r>
      <w:r w:rsidR="00295997">
        <w:rPr>
          <w:rFonts w:ascii="仿宋_GB2312" w:eastAsia="仿宋_GB2312" w:hAnsi="宋体"/>
          <w:sz w:val="32"/>
          <w:szCs w:val="32"/>
          <w:lang w:val="en"/>
        </w:rPr>
        <w:t>砂梨水肥</w:t>
      </w:r>
      <w:proofErr w:type="gramEnd"/>
      <w:r w:rsidR="00295997">
        <w:rPr>
          <w:rFonts w:ascii="仿宋_GB2312" w:eastAsia="仿宋_GB2312" w:hAnsi="宋体"/>
          <w:sz w:val="32"/>
          <w:szCs w:val="32"/>
          <w:lang w:val="en"/>
        </w:rPr>
        <w:t>一体化技术</w:t>
      </w:r>
      <w:r>
        <w:rPr>
          <w:rFonts w:ascii="仿宋_GB2312" w:eastAsia="仿宋_GB2312" w:hAnsi="宋体" w:hint="eastAsia"/>
          <w:sz w:val="32"/>
          <w:szCs w:val="32"/>
        </w:rPr>
        <w:t>相关文献资料的查询、收集和整理工作，查阅现存关于相关研究以及国内相关标准的制定。</w:t>
      </w:r>
    </w:p>
    <w:p w14:paraId="7E5F75A1" w14:textId="77777777" w:rsidR="007A6E81" w:rsidRDefault="00000000" w:rsidP="00A8651E">
      <w:pPr>
        <w:spacing w:after="0" w:line="560" w:lineRule="exact"/>
        <w:ind w:firstLineChars="200" w:firstLine="640"/>
        <w:rPr>
          <w:rFonts w:ascii="仿宋_GB2312" w:eastAsia="仿宋_GB2312" w:hAnsi="宋体" w:hint="eastAsia"/>
          <w:sz w:val="32"/>
          <w:szCs w:val="32"/>
        </w:rPr>
      </w:pPr>
      <w:r>
        <w:rPr>
          <w:rFonts w:ascii="仿宋_GB2312" w:eastAsia="仿宋_GB2312" w:hAnsi="宋体" w:hint="eastAsia"/>
          <w:sz w:val="32"/>
          <w:szCs w:val="32"/>
        </w:rPr>
        <w:t>草案编写组：负责标准立项、征求意见、审定、报批等阶段的标准文本及编制说明的起草工作，包括标准制定过程各阶段标准文本及相关材料的修改和完善。</w:t>
      </w:r>
    </w:p>
    <w:p w14:paraId="2F30B001" w14:textId="10FD46D6" w:rsidR="007A6E81" w:rsidRDefault="00000000" w:rsidP="00A8651E">
      <w:pPr>
        <w:spacing w:after="0" w:line="560" w:lineRule="exact"/>
        <w:ind w:firstLineChars="200" w:firstLine="640"/>
        <w:rPr>
          <w:rFonts w:ascii="仿宋_GB2312" w:eastAsia="仿宋_GB2312" w:hAnsi="宋体" w:hint="eastAsia"/>
          <w:sz w:val="32"/>
          <w:szCs w:val="32"/>
        </w:rPr>
      </w:pPr>
      <w:r>
        <w:rPr>
          <w:rFonts w:ascii="仿宋_GB2312" w:eastAsia="仿宋_GB2312" w:hAnsi="宋体" w:hint="eastAsia"/>
          <w:sz w:val="32"/>
          <w:szCs w:val="32"/>
        </w:rPr>
        <w:t>标准实施组：负责团体标准</w:t>
      </w:r>
      <w:r w:rsidR="00993533">
        <w:rPr>
          <w:rFonts w:ascii="仿宋_GB2312" w:eastAsia="仿宋_GB2312" w:hAnsi="宋体" w:hint="eastAsia"/>
          <w:sz w:val="32"/>
          <w:szCs w:val="32"/>
        </w:rPr>
        <w:t>《</w:t>
      </w:r>
      <w:r w:rsidR="00EE2336">
        <w:rPr>
          <w:rFonts w:ascii="仿宋_GB2312" w:eastAsia="仿宋_GB2312" w:hAnsi="宋体" w:hint="eastAsia"/>
          <w:sz w:val="32"/>
          <w:szCs w:val="32"/>
        </w:rPr>
        <w:t>砂梨水肥一体化技术规程</w:t>
      </w:r>
      <w:r w:rsidR="00993533">
        <w:rPr>
          <w:rFonts w:ascii="仿宋_GB2312" w:eastAsia="仿宋_GB2312" w:hAnsi="宋体" w:hint="eastAsia"/>
          <w:sz w:val="32"/>
          <w:szCs w:val="32"/>
        </w:rPr>
        <w:t>》</w:t>
      </w:r>
      <w:r>
        <w:rPr>
          <w:rFonts w:ascii="仿宋_GB2312" w:eastAsia="仿宋_GB2312" w:hAnsi="宋体" w:hint="eastAsia"/>
          <w:sz w:val="32"/>
          <w:szCs w:val="32"/>
        </w:rPr>
        <w:t>标准发布后，</w:t>
      </w:r>
      <w:r w:rsidR="000E4D1D" w:rsidRPr="000E4D1D">
        <w:rPr>
          <w:rFonts w:ascii="仿宋_GB2312" w:eastAsia="仿宋_GB2312" w:hAnsi="宋体" w:hint="eastAsia"/>
          <w:sz w:val="32"/>
          <w:szCs w:val="32"/>
        </w:rPr>
        <w:t>组织相关部门、种植主体、从业人员等开展标准宣贯培训会</w:t>
      </w:r>
      <w:r>
        <w:rPr>
          <w:rFonts w:ascii="仿宋_GB2312" w:eastAsia="仿宋_GB2312" w:hAnsi="宋体" w:hint="eastAsia"/>
          <w:sz w:val="32"/>
          <w:szCs w:val="32"/>
        </w:rPr>
        <w:t>，开展标准宣贯培训会，对标准进行研讨和详细解读，使相关人员了解标准，熟悉标准，并能熟练运用标准；为确保标准的实施效果和综合运用率，对标准实施情况进行总结分析，对标准提出持续改进意见。</w:t>
      </w:r>
    </w:p>
    <w:p w14:paraId="79DCDC6B" w14:textId="77777777" w:rsidR="007A6E81" w:rsidRDefault="00000000" w:rsidP="00A8651E">
      <w:pPr>
        <w:numPr>
          <w:ilvl w:val="0"/>
          <w:numId w:val="7"/>
        </w:numPr>
        <w:spacing w:after="0" w:line="560" w:lineRule="exact"/>
        <w:ind w:firstLineChars="200" w:firstLine="643"/>
        <w:outlineLvl w:val="1"/>
        <w:rPr>
          <w:rFonts w:ascii="楷体" w:eastAsia="楷体" w:hAnsi="楷体" w:cs="仿宋_GB2312" w:hint="eastAsia"/>
          <w:b/>
          <w:sz w:val="32"/>
          <w:szCs w:val="32"/>
        </w:rPr>
      </w:pPr>
      <w:r>
        <w:rPr>
          <w:rFonts w:ascii="楷体" w:eastAsia="楷体" w:hAnsi="楷体" w:cs="仿宋_GB2312" w:hint="eastAsia"/>
          <w:b/>
          <w:sz w:val="32"/>
          <w:szCs w:val="32"/>
        </w:rPr>
        <w:t>收集整理文献资料</w:t>
      </w:r>
    </w:p>
    <w:p w14:paraId="2900EEB5" w14:textId="77777777" w:rsidR="007A6E81" w:rsidRDefault="00000000" w:rsidP="00A8651E">
      <w:pPr>
        <w:pStyle w:val="BodyText2"/>
        <w:spacing w:after="0" w:line="560" w:lineRule="exact"/>
        <w:ind w:firstLineChars="200" w:firstLine="640"/>
        <w:rPr>
          <w:rFonts w:ascii="仿宋_GB2312" w:eastAsia="仿宋_GB2312" w:hAnsi="仿宋_GB2312" w:cs="仿宋_GB2312" w:hint="eastAsia"/>
        </w:rPr>
      </w:pPr>
      <w:r>
        <w:rPr>
          <w:rFonts w:ascii="仿宋_GB2312" w:eastAsia="仿宋_GB2312" w:hAnsi="仿宋_GB2312" w:cs="仿宋_GB2312" w:hint="eastAsia"/>
        </w:rPr>
        <w:t>通过资料收集组对文献资料的收集和整理，草案编写组主要参考了以下国内相关的标准和期刊书籍：</w:t>
      </w:r>
    </w:p>
    <w:p w14:paraId="2513F8A1" w14:textId="77777777" w:rsidR="003A7301" w:rsidRPr="003A7301" w:rsidRDefault="003A7301" w:rsidP="003A7301">
      <w:pPr>
        <w:spacing w:after="0" w:line="560" w:lineRule="exact"/>
        <w:ind w:firstLineChars="200" w:firstLine="640"/>
        <w:jc w:val="left"/>
        <w:rPr>
          <w:rFonts w:ascii="仿宋_GB2312" w:eastAsia="仿宋_GB2312" w:hAnsi="仿宋_GB2312" w:cs="仿宋_GB2312" w:hint="eastAsia"/>
          <w:sz w:val="32"/>
          <w:szCs w:val="32"/>
        </w:rPr>
      </w:pPr>
      <w:r w:rsidRPr="003A7301">
        <w:rPr>
          <w:rFonts w:ascii="仿宋_GB2312" w:eastAsia="仿宋_GB2312" w:hAnsi="仿宋_GB2312" w:cs="仿宋_GB2312" w:hint="eastAsia"/>
          <w:sz w:val="32"/>
          <w:szCs w:val="32"/>
        </w:rPr>
        <w:t>[1]  NY/T 4539—2025  南方水稻水肥一体化技术规范</w:t>
      </w:r>
    </w:p>
    <w:p w14:paraId="0A3606A4" w14:textId="77777777" w:rsidR="003A7301" w:rsidRPr="003A7301" w:rsidRDefault="003A7301" w:rsidP="003A7301">
      <w:pPr>
        <w:spacing w:after="0" w:line="560" w:lineRule="exact"/>
        <w:ind w:firstLineChars="200" w:firstLine="640"/>
        <w:jc w:val="left"/>
        <w:rPr>
          <w:rFonts w:ascii="仿宋_GB2312" w:eastAsia="仿宋_GB2312" w:hAnsi="仿宋_GB2312" w:cs="仿宋_GB2312" w:hint="eastAsia"/>
          <w:sz w:val="32"/>
          <w:szCs w:val="32"/>
        </w:rPr>
      </w:pPr>
      <w:r w:rsidRPr="003A7301">
        <w:rPr>
          <w:rFonts w:ascii="仿宋_GB2312" w:eastAsia="仿宋_GB2312" w:hAnsi="仿宋_GB2312" w:cs="仿宋_GB2312" w:hint="eastAsia"/>
          <w:sz w:val="32"/>
          <w:szCs w:val="32"/>
        </w:rPr>
        <w:t>[2]  DB45/T 2492—2022  柑橘水肥一体化技术规程</w:t>
      </w:r>
    </w:p>
    <w:p w14:paraId="31399186" w14:textId="77777777" w:rsidR="00C8472E" w:rsidRDefault="003A7301" w:rsidP="00C8472E">
      <w:pPr>
        <w:spacing w:after="0" w:line="560" w:lineRule="exact"/>
        <w:ind w:firstLineChars="200" w:firstLine="640"/>
        <w:jc w:val="left"/>
        <w:rPr>
          <w:rFonts w:ascii="仿宋_GB2312" w:eastAsia="仿宋_GB2312" w:hAnsi="仿宋_GB2312" w:cs="仿宋_GB2312" w:hint="eastAsia"/>
          <w:sz w:val="32"/>
          <w:szCs w:val="32"/>
        </w:rPr>
      </w:pPr>
      <w:r w:rsidRPr="003A7301">
        <w:rPr>
          <w:rFonts w:ascii="仿宋_GB2312" w:eastAsia="仿宋_GB2312" w:hAnsi="仿宋_GB2312" w:cs="仿宋_GB2312" w:hint="eastAsia"/>
          <w:sz w:val="32"/>
          <w:szCs w:val="32"/>
        </w:rPr>
        <w:t>[3]  DB46/T 717—2025  胡椒水肥一体化技术规范</w:t>
      </w:r>
    </w:p>
    <w:p w14:paraId="6ECA98E0" w14:textId="1EA4BED4" w:rsidR="007A6E81" w:rsidRPr="00C8472E" w:rsidRDefault="003A7301" w:rsidP="00C8472E">
      <w:pPr>
        <w:spacing w:after="0" w:line="560" w:lineRule="exact"/>
        <w:ind w:firstLineChars="200" w:firstLine="640"/>
        <w:jc w:val="left"/>
        <w:rPr>
          <w:rFonts w:ascii="仿宋_GB2312" w:eastAsia="仿宋_GB2312" w:hAnsi="仿宋_GB2312" w:cs="仿宋_GB2312" w:hint="eastAsia"/>
          <w:sz w:val="32"/>
          <w:szCs w:val="32"/>
        </w:rPr>
      </w:pPr>
      <w:r w:rsidRPr="003A7301">
        <w:rPr>
          <w:rFonts w:ascii="仿宋_GB2312" w:eastAsia="仿宋_GB2312" w:hAnsi="仿宋_GB2312" w:cs="仿宋_GB2312" w:hint="eastAsia"/>
          <w:sz w:val="32"/>
          <w:szCs w:val="32"/>
        </w:rPr>
        <w:t>[4]  张绍铃.</w:t>
      </w:r>
      <w:proofErr w:type="gramStart"/>
      <w:r w:rsidRPr="003A7301">
        <w:rPr>
          <w:rFonts w:ascii="仿宋_GB2312" w:eastAsia="仿宋_GB2312" w:hAnsi="仿宋_GB2312" w:cs="仿宋_GB2312" w:hint="eastAsia"/>
          <w:sz w:val="32"/>
          <w:szCs w:val="32"/>
        </w:rPr>
        <w:t>梨学</w:t>
      </w:r>
      <w:proofErr w:type="gramEnd"/>
      <w:r w:rsidRPr="003A7301">
        <w:rPr>
          <w:rFonts w:ascii="仿宋_GB2312" w:eastAsia="仿宋_GB2312" w:hAnsi="仿宋_GB2312" w:cs="仿宋_GB2312" w:hint="eastAsia"/>
          <w:sz w:val="32"/>
          <w:szCs w:val="32"/>
        </w:rPr>
        <w:t>[M].北京：中国农业出版社，2013.</w:t>
      </w:r>
      <w:r w:rsidR="00A62F45">
        <w:rPr>
          <w:rFonts w:ascii="楷体" w:eastAsia="楷体" w:hAnsi="楷体" w:cs="仿宋_GB2312" w:hint="eastAsia"/>
          <w:b/>
          <w:sz w:val="32"/>
          <w:szCs w:val="32"/>
        </w:rPr>
        <w:lastRenderedPageBreak/>
        <w:t>（三）研讨确定标准特色</w:t>
      </w:r>
      <w:r w:rsidR="00A62F45">
        <w:rPr>
          <w:rFonts w:ascii="楷体" w:eastAsia="楷体" w:hAnsi="楷体" w:cs="仿宋_GB2312"/>
          <w:b/>
          <w:sz w:val="32"/>
          <w:szCs w:val="32"/>
        </w:rPr>
        <w:t>、创新点和</w:t>
      </w:r>
      <w:r w:rsidR="00A62F45">
        <w:rPr>
          <w:rFonts w:ascii="楷体" w:eastAsia="楷体" w:hAnsi="楷体" w:cs="仿宋_GB2312" w:hint="eastAsia"/>
          <w:b/>
          <w:sz w:val="32"/>
          <w:szCs w:val="32"/>
        </w:rPr>
        <w:t>主体内容</w:t>
      </w:r>
    </w:p>
    <w:p w14:paraId="2F69E45A" w14:textId="05442C34" w:rsidR="00424EBB" w:rsidRPr="00424EBB" w:rsidRDefault="00000000" w:rsidP="00424EBB">
      <w:pPr>
        <w:spacing w:after="0" w:line="560" w:lineRule="exact"/>
        <w:ind w:firstLineChars="200" w:firstLine="640"/>
        <w:rPr>
          <w:rFonts w:ascii="仿宋_GB2312" w:eastAsia="仿宋_GB2312" w:hAnsi="宋体" w:hint="eastAsia"/>
          <w:sz w:val="32"/>
          <w:szCs w:val="32"/>
        </w:rPr>
      </w:pPr>
      <w:r>
        <w:rPr>
          <w:rFonts w:ascii="仿宋_GB2312" w:eastAsia="仿宋_GB2312" w:hAnsi="宋体" w:hint="eastAsia"/>
          <w:sz w:val="32"/>
          <w:szCs w:val="32"/>
        </w:rPr>
        <w:t>标准编制组在对收集的资料进行整理研究之后，标准编制组召开了标准编制会议，对标准的整体框架结构进行了研究，</w:t>
      </w:r>
      <w:r w:rsidRPr="005A2962">
        <w:rPr>
          <w:rFonts w:ascii="仿宋_GB2312" w:eastAsia="仿宋_GB2312" w:hAnsi="宋体" w:hint="eastAsia"/>
          <w:sz w:val="32"/>
          <w:szCs w:val="32"/>
        </w:rPr>
        <w:t>并</w:t>
      </w:r>
      <w:r w:rsidRPr="00424EBB">
        <w:rPr>
          <w:rFonts w:ascii="仿宋_GB2312" w:eastAsia="仿宋_GB2312" w:hAnsi="宋体" w:hint="eastAsia"/>
          <w:sz w:val="32"/>
          <w:szCs w:val="32"/>
        </w:rPr>
        <w:t>对标准的特色</w:t>
      </w:r>
      <w:r w:rsidRPr="00424EBB">
        <w:rPr>
          <w:rFonts w:ascii="仿宋_GB2312" w:eastAsia="仿宋_GB2312" w:hAnsi="宋体"/>
          <w:sz w:val="32"/>
          <w:szCs w:val="32"/>
        </w:rPr>
        <w:t>、创新点</w:t>
      </w:r>
      <w:r w:rsidRPr="00424EBB">
        <w:rPr>
          <w:rFonts w:ascii="仿宋_GB2312" w:eastAsia="仿宋_GB2312" w:hAnsi="宋体" w:hint="eastAsia"/>
          <w:sz w:val="32"/>
          <w:szCs w:val="32"/>
        </w:rPr>
        <w:t>及关键性内容进行了初步探讨。经研究，标准</w:t>
      </w:r>
      <w:r w:rsidRPr="00424EBB">
        <w:rPr>
          <w:rFonts w:ascii="仿宋_GB2312" w:eastAsia="仿宋_GB2312" w:hAnsi="宋体"/>
          <w:sz w:val="32"/>
          <w:szCs w:val="32"/>
        </w:rPr>
        <w:t>的</w:t>
      </w:r>
      <w:r w:rsidRPr="00424EBB">
        <w:rPr>
          <w:rFonts w:ascii="仿宋_GB2312" w:eastAsia="仿宋_GB2312" w:hAnsi="宋体" w:hint="eastAsia"/>
          <w:sz w:val="32"/>
          <w:szCs w:val="32"/>
        </w:rPr>
        <w:t>特色</w:t>
      </w:r>
      <w:r w:rsidRPr="00424EBB">
        <w:rPr>
          <w:rFonts w:ascii="仿宋_GB2312" w:eastAsia="仿宋_GB2312" w:hAnsi="宋体"/>
          <w:sz w:val="32"/>
          <w:szCs w:val="32"/>
        </w:rPr>
        <w:t>、创新点</w:t>
      </w:r>
      <w:r w:rsidRPr="00424EBB">
        <w:rPr>
          <w:rFonts w:ascii="仿宋_GB2312" w:eastAsia="仿宋_GB2312" w:hAnsi="宋体" w:hint="eastAsia"/>
          <w:sz w:val="32"/>
          <w:szCs w:val="32"/>
        </w:rPr>
        <w:t>确定</w:t>
      </w:r>
      <w:r w:rsidRPr="00424EBB">
        <w:rPr>
          <w:rFonts w:ascii="仿宋_GB2312" w:eastAsia="仿宋_GB2312" w:hAnsi="宋体"/>
          <w:sz w:val="32"/>
          <w:szCs w:val="32"/>
        </w:rPr>
        <w:t>为</w:t>
      </w:r>
      <w:r w:rsidRPr="00424EBB">
        <w:rPr>
          <w:rFonts w:ascii="仿宋_GB2312" w:eastAsia="仿宋_GB2312" w:hAnsi="宋体" w:hint="eastAsia"/>
          <w:sz w:val="32"/>
          <w:szCs w:val="32"/>
        </w:rPr>
        <w:t>：</w:t>
      </w:r>
      <w:r w:rsidR="00210BE4" w:rsidRPr="00210BE4">
        <w:rPr>
          <w:rFonts w:ascii="仿宋_GB2312" w:eastAsia="仿宋_GB2312" w:hAnsi="宋体" w:hint="eastAsia"/>
          <w:sz w:val="32"/>
          <w:szCs w:val="32"/>
        </w:rPr>
        <w:t>本标准区别于柑橘、葡萄、油梨等果树通用水肥一体化规范，</w:t>
      </w:r>
      <w:proofErr w:type="gramStart"/>
      <w:r w:rsidR="00210BE4" w:rsidRPr="00210BE4">
        <w:rPr>
          <w:rFonts w:ascii="仿宋_GB2312" w:eastAsia="仿宋_GB2312" w:hAnsi="宋体" w:hint="eastAsia"/>
          <w:sz w:val="32"/>
          <w:szCs w:val="32"/>
        </w:rPr>
        <w:t>紧扣砂梨高温高湿适生</w:t>
      </w:r>
      <w:proofErr w:type="gramEnd"/>
      <w:r w:rsidR="00210BE4" w:rsidRPr="00210BE4">
        <w:rPr>
          <w:rFonts w:ascii="仿宋_GB2312" w:eastAsia="仿宋_GB2312" w:hAnsi="宋体" w:hint="eastAsia"/>
          <w:sz w:val="32"/>
          <w:szCs w:val="32"/>
        </w:rPr>
        <w:t>特性、全生育期需水需肥规律与营养临界阈值，构建“土壤肥力分级+叶片营养诊断”</w:t>
      </w:r>
      <w:proofErr w:type="gramStart"/>
      <w:r w:rsidR="00210BE4" w:rsidRPr="00210BE4">
        <w:rPr>
          <w:rFonts w:ascii="仿宋_GB2312" w:eastAsia="仿宋_GB2312" w:hAnsi="宋体" w:hint="eastAsia"/>
          <w:sz w:val="32"/>
          <w:szCs w:val="32"/>
        </w:rPr>
        <w:t>双维度</w:t>
      </w:r>
      <w:proofErr w:type="gramEnd"/>
      <w:r w:rsidR="00210BE4" w:rsidRPr="00210BE4">
        <w:rPr>
          <w:rFonts w:ascii="仿宋_GB2312" w:eastAsia="仿宋_GB2312" w:hAnsi="宋体" w:hint="eastAsia"/>
          <w:sz w:val="32"/>
          <w:szCs w:val="32"/>
        </w:rPr>
        <w:t>精准施肥体系，细化</w:t>
      </w:r>
      <w:proofErr w:type="gramStart"/>
      <w:r w:rsidR="00210BE4" w:rsidRPr="00210BE4">
        <w:rPr>
          <w:rFonts w:ascii="仿宋_GB2312" w:eastAsia="仿宋_GB2312" w:hAnsi="宋体" w:hint="eastAsia"/>
          <w:sz w:val="32"/>
          <w:szCs w:val="32"/>
        </w:rPr>
        <w:t>适配砂梨的</w:t>
      </w:r>
      <w:proofErr w:type="gramEnd"/>
      <w:r w:rsidR="00210BE4" w:rsidRPr="00210BE4">
        <w:rPr>
          <w:rFonts w:ascii="仿宋_GB2312" w:eastAsia="仿宋_GB2312" w:hAnsi="宋体" w:hint="eastAsia"/>
          <w:sz w:val="32"/>
          <w:szCs w:val="32"/>
        </w:rPr>
        <w:t>水溶肥料品类、安全施用浓度、分树龄分生育阶段</w:t>
      </w:r>
      <w:proofErr w:type="gramStart"/>
      <w:r w:rsidR="00210BE4" w:rsidRPr="00210BE4">
        <w:rPr>
          <w:rFonts w:ascii="仿宋_GB2312" w:eastAsia="仿宋_GB2312" w:hAnsi="宋体" w:hint="eastAsia"/>
          <w:sz w:val="32"/>
          <w:szCs w:val="32"/>
        </w:rPr>
        <w:t>差异化氮磷钾</w:t>
      </w:r>
      <w:proofErr w:type="gramEnd"/>
      <w:r w:rsidR="00210BE4" w:rsidRPr="00210BE4">
        <w:rPr>
          <w:rFonts w:ascii="仿宋_GB2312" w:eastAsia="仿宋_GB2312" w:hAnsi="宋体" w:hint="eastAsia"/>
          <w:sz w:val="32"/>
          <w:szCs w:val="32"/>
        </w:rPr>
        <w:t>用量及水肥操作流程，形成</w:t>
      </w:r>
      <w:proofErr w:type="gramStart"/>
      <w:r w:rsidR="00210BE4" w:rsidRPr="00210BE4">
        <w:rPr>
          <w:rFonts w:ascii="仿宋_GB2312" w:eastAsia="仿宋_GB2312" w:hAnsi="宋体" w:hint="eastAsia"/>
          <w:sz w:val="32"/>
          <w:szCs w:val="32"/>
        </w:rPr>
        <w:t>砂梨专</w:t>
      </w:r>
      <w:proofErr w:type="gramEnd"/>
      <w:r w:rsidR="00210BE4" w:rsidRPr="00210BE4">
        <w:rPr>
          <w:rFonts w:ascii="仿宋_GB2312" w:eastAsia="仿宋_GB2312" w:hAnsi="宋体" w:hint="eastAsia"/>
          <w:sz w:val="32"/>
          <w:szCs w:val="32"/>
        </w:rPr>
        <w:t>属成套技术方案，解决通用果树水肥标准应用</w:t>
      </w:r>
      <w:proofErr w:type="gramStart"/>
      <w:r w:rsidR="00210BE4" w:rsidRPr="00210BE4">
        <w:rPr>
          <w:rFonts w:ascii="仿宋_GB2312" w:eastAsia="仿宋_GB2312" w:hAnsi="宋体" w:hint="eastAsia"/>
          <w:sz w:val="32"/>
          <w:szCs w:val="32"/>
        </w:rPr>
        <w:t>于砂梨时</w:t>
      </w:r>
      <w:proofErr w:type="gramEnd"/>
      <w:r w:rsidR="00210BE4" w:rsidRPr="00210BE4">
        <w:rPr>
          <w:rFonts w:ascii="仿宋_GB2312" w:eastAsia="仿宋_GB2312" w:hAnsi="宋体" w:hint="eastAsia"/>
          <w:sz w:val="32"/>
          <w:szCs w:val="32"/>
        </w:rPr>
        <w:t>适配性差、施肥量粗放、精准调控不足的痛点，是国内首部专门针对</w:t>
      </w:r>
      <w:proofErr w:type="gramStart"/>
      <w:r w:rsidR="00210BE4" w:rsidRPr="00210BE4">
        <w:rPr>
          <w:rFonts w:ascii="仿宋_GB2312" w:eastAsia="仿宋_GB2312" w:hAnsi="宋体" w:hint="eastAsia"/>
          <w:sz w:val="32"/>
          <w:szCs w:val="32"/>
        </w:rPr>
        <w:t>砂梨制定</w:t>
      </w:r>
      <w:proofErr w:type="gramEnd"/>
      <w:r w:rsidR="00210BE4" w:rsidRPr="00210BE4">
        <w:rPr>
          <w:rFonts w:ascii="仿宋_GB2312" w:eastAsia="仿宋_GB2312" w:hAnsi="宋体" w:hint="eastAsia"/>
          <w:sz w:val="32"/>
          <w:szCs w:val="32"/>
        </w:rPr>
        <w:t>的水肥一体化专项团体标准。</w:t>
      </w:r>
    </w:p>
    <w:p w14:paraId="15A6CE9B" w14:textId="485EB330" w:rsidR="00D60095" w:rsidRPr="00D60095" w:rsidRDefault="00000000" w:rsidP="00D60095">
      <w:pPr>
        <w:spacing w:after="0" w:line="560" w:lineRule="exact"/>
        <w:ind w:firstLineChars="200" w:firstLine="640"/>
        <w:rPr>
          <w:rFonts w:ascii="仿宋_GB2312" w:eastAsia="仿宋_GB2312" w:hAnsi="宋体" w:hint="eastAsia"/>
          <w:sz w:val="32"/>
          <w:szCs w:val="32"/>
        </w:rPr>
      </w:pPr>
      <w:r w:rsidRPr="007E7F14">
        <w:rPr>
          <w:rFonts w:ascii="仿宋_GB2312" w:eastAsia="仿宋_GB2312" w:hAnsi="宋体" w:hint="eastAsia"/>
          <w:sz w:val="32"/>
          <w:szCs w:val="32"/>
        </w:rPr>
        <w:t>标准的主体内容确定</w:t>
      </w:r>
      <w:r w:rsidR="004B73BF">
        <w:rPr>
          <w:rFonts w:ascii="仿宋_GB2312" w:eastAsia="仿宋_GB2312" w:hAnsi="宋体" w:hint="eastAsia"/>
          <w:sz w:val="32"/>
          <w:szCs w:val="32"/>
        </w:rPr>
        <w:t>为：</w:t>
      </w:r>
      <w:r w:rsidR="00023BDE" w:rsidRPr="00023BDE">
        <w:rPr>
          <w:rFonts w:ascii="仿宋_GB2312" w:eastAsia="仿宋_GB2312" w:hAnsi="宋体" w:hint="eastAsia"/>
          <w:sz w:val="32"/>
          <w:szCs w:val="32"/>
        </w:rPr>
        <w:t>设施配置、</w:t>
      </w:r>
      <w:r w:rsidR="0062061D">
        <w:rPr>
          <w:rFonts w:ascii="仿宋_GB2312" w:eastAsia="仿宋_GB2312" w:hAnsi="宋体" w:hint="eastAsia"/>
          <w:sz w:val="32"/>
          <w:szCs w:val="32"/>
        </w:rPr>
        <w:t>水肥管理</w:t>
      </w:r>
      <w:r w:rsidR="00023BDE" w:rsidRPr="00023BDE">
        <w:rPr>
          <w:rFonts w:ascii="仿宋_GB2312" w:eastAsia="仿宋_GB2312" w:hAnsi="宋体" w:hint="eastAsia"/>
          <w:sz w:val="32"/>
          <w:szCs w:val="32"/>
        </w:rPr>
        <w:t>、系统维护</w:t>
      </w:r>
      <w:r w:rsidR="00023BDE">
        <w:rPr>
          <w:rFonts w:ascii="仿宋_GB2312" w:eastAsia="仿宋_GB2312" w:hAnsi="宋体" w:hint="eastAsia"/>
          <w:sz w:val="32"/>
          <w:szCs w:val="32"/>
        </w:rPr>
        <w:t>、</w:t>
      </w:r>
      <w:r w:rsidR="00023BDE" w:rsidRPr="00023BDE">
        <w:rPr>
          <w:rFonts w:ascii="仿宋_GB2312" w:eastAsia="仿宋_GB2312" w:hAnsi="宋体" w:hint="eastAsia"/>
          <w:sz w:val="32"/>
          <w:szCs w:val="32"/>
        </w:rPr>
        <w:t>生产档案管理</w:t>
      </w:r>
      <w:r w:rsidR="00D60095" w:rsidRPr="007E7F14">
        <w:rPr>
          <w:rFonts w:ascii="仿宋_GB2312" w:eastAsia="仿宋_GB2312" w:hAnsi="宋体" w:hint="eastAsia"/>
          <w:sz w:val="32"/>
          <w:szCs w:val="32"/>
        </w:rPr>
        <w:t>。</w:t>
      </w:r>
    </w:p>
    <w:p w14:paraId="28D22ADB" w14:textId="25A2036E" w:rsidR="007A6E81" w:rsidRDefault="00000000" w:rsidP="00A8651E">
      <w:pPr>
        <w:numPr>
          <w:ilvl w:val="0"/>
          <w:numId w:val="9"/>
        </w:numPr>
        <w:spacing w:after="0" w:line="560" w:lineRule="exact"/>
        <w:ind w:firstLineChars="200" w:firstLine="643"/>
        <w:outlineLvl w:val="1"/>
        <w:rPr>
          <w:rFonts w:ascii="楷体" w:eastAsia="楷体" w:hAnsi="楷体" w:cs="仿宋_GB2312" w:hint="eastAsia"/>
          <w:b/>
          <w:sz w:val="32"/>
          <w:szCs w:val="32"/>
        </w:rPr>
      </w:pPr>
      <w:r>
        <w:rPr>
          <w:rFonts w:ascii="楷体" w:eastAsia="楷体" w:hAnsi="楷体" w:cs="仿宋_GB2312" w:hint="eastAsia"/>
          <w:b/>
          <w:sz w:val="32"/>
          <w:szCs w:val="32"/>
        </w:rPr>
        <w:t>调研，形成草案、征求意见稿</w:t>
      </w:r>
    </w:p>
    <w:p w14:paraId="21C2EA7A" w14:textId="0B08E6F3" w:rsidR="007A6E81" w:rsidRDefault="00000000" w:rsidP="00A8651E">
      <w:pPr>
        <w:spacing w:after="0" w:line="560" w:lineRule="exact"/>
        <w:ind w:firstLineChars="200" w:firstLine="640"/>
        <w:rPr>
          <w:rFonts w:ascii="仿宋_GB2312" w:eastAsia="仿宋_GB2312" w:hAnsi="宋体" w:hint="eastAsia"/>
          <w:color w:val="000000" w:themeColor="text1"/>
          <w:sz w:val="32"/>
          <w:szCs w:val="32"/>
        </w:rPr>
      </w:pPr>
      <w:r>
        <w:rPr>
          <w:rFonts w:ascii="仿宋_GB2312" w:eastAsia="仿宋_GB2312" w:hAnsi="宋体" w:hint="eastAsia"/>
          <w:color w:val="000000" w:themeColor="text1"/>
          <w:sz w:val="32"/>
          <w:szCs w:val="32"/>
        </w:rPr>
        <w:t>202</w:t>
      </w:r>
      <w:r w:rsidR="00DB36B2">
        <w:rPr>
          <w:rFonts w:ascii="仿宋_GB2312" w:eastAsia="仿宋_GB2312" w:hAnsi="宋体" w:hint="eastAsia"/>
          <w:color w:val="000000" w:themeColor="text1"/>
          <w:sz w:val="32"/>
          <w:szCs w:val="32"/>
        </w:rPr>
        <w:t>6</w:t>
      </w:r>
      <w:r>
        <w:rPr>
          <w:rFonts w:ascii="仿宋_GB2312" w:eastAsia="仿宋_GB2312" w:hAnsi="宋体" w:hint="eastAsia"/>
          <w:color w:val="000000" w:themeColor="text1"/>
          <w:sz w:val="32"/>
          <w:szCs w:val="32"/>
        </w:rPr>
        <w:t>年</w:t>
      </w:r>
      <w:r w:rsidR="00AD66EF">
        <w:rPr>
          <w:rFonts w:ascii="仿宋_GB2312" w:eastAsia="仿宋_GB2312" w:hAnsi="宋体" w:hint="eastAsia"/>
          <w:color w:val="000000" w:themeColor="text1"/>
          <w:sz w:val="32"/>
          <w:szCs w:val="32"/>
        </w:rPr>
        <w:t>3</w:t>
      </w:r>
      <w:r>
        <w:rPr>
          <w:rFonts w:ascii="仿宋_GB2312" w:eastAsia="仿宋_GB2312" w:hAnsi="宋体" w:hint="eastAsia"/>
          <w:color w:val="000000" w:themeColor="text1"/>
          <w:sz w:val="32"/>
          <w:szCs w:val="32"/>
        </w:rPr>
        <w:t>月</w:t>
      </w:r>
      <w:r>
        <w:rPr>
          <w:rFonts w:ascii="仿宋_GB2312" w:eastAsia="仿宋_GB2312" w:hAnsi="宋体"/>
          <w:color w:val="000000" w:themeColor="text1"/>
          <w:sz w:val="32"/>
          <w:szCs w:val="32"/>
        </w:rPr>
        <w:t>，</w:t>
      </w:r>
      <w:r>
        <w:rPr>
          <w:rFonts w:ascii="仿宋_GB2312" w:eastAsia="仿宋_GB2312" w:hAnsi="宋体" w:hint="eastAsia"/>
          <w:color w:val="000000" w:themeColor="text1"/>
          <w:sz w:val="32"/>
          <w:szCs w:val="32"/>
        </w:rPr>
        <w:t>标准编制组通过</w:t>
      </w:r>
      <w:r>
        <w:rPr>
          <w:rFonts w:ascii="仿宋_GB2312" w:eastAsia="仿宋_GB2312" w:hAnsi="宋体" w:hint="eastAsia"/>
          <w:sz w:val="32"/>
          <w:szCs w:val="32"/>
        </w:rPr>
        <w:t>查阅了大量的国内外文献资料，</w:t>
      </w:r>
      <w:proofErr w:type="gramStart"/>
      <w:r>
        <w:rPr>
          <w:rFonts w:ascii="仿宋_GB2312" w:eastAsia="仿宋_GB2312" w:hAnsi="宋体" w:hint="eastAsia"/>
          <w:sz w:val="32"/>
          <w:szCs w:val="32"/>
        </w:rPr>
        <w:t>对</w:t>
      </w:r>
      <w:r w:rsidR="00295997">
        <w:rPr>
          <w:rFonts w:ascii="仿宋_GB2312" w:eastAsia="仿宋_GB2312" w:hAnsi="宋体"/>
          <w:sz w:val="32"/>
          <w:szCs w:val="32"/>
          <w:lang w:val="en"/>
        </w:rPr>
        <w:t>砂梨</w:t>
      </w:r>
      <w:proofErr w:type="gramEnd"/>
      <w:r w:rsidR="00295997">
        <w:rPr>
          <w:rFonts w:ascii="仿宋_GB2312" w:eastAsia="仿宋_GB2312" w:hAnsi="宋体"/>
          <w:sz w:val="32"/>
          <w:szCs w:val="32"/>
          <w:lang w:val="en"/>
        </w:rPr>
        <w:t>水肥一体化技术</w:t>
      </w:r>
      <w:r>
        <w:rPr>
          <w:rFonts w:ascii="仿宋_GB2312" w:eastAsia="仿宋_GB2312" w:hAnsi="宋体" w:hint="eastAsia"/>
          <w:sz w:val="32"/>
          <w:szCs w:val="32"/>
        </w:rPr>
        <w:t>的相关文件进行系统总</w:t>
      </w:r>
      <w:r>
        <w:rPr>
          <w:rFonts w:ascii="仿宋_GB2312" w:eastAsia="仿宋_GB2312" w:hAnsi="宋体" w:hint="eastAsia"/>
          <w:color w:val="000000" w:themeColor="text1"/>
          <w:sz w:val="32"/>
          <w:szCs w:val="32"/>
        </w:rPr>
        <w:t>结。形成了标准的基本构架，对主要内容进行了讨论并对项目的工作进行了部署和安排。</w:t>
      </w:r>
    </w:p>
    <w:p w14:paraId="4DAA18C5" w14:textId="7D6E2C1E" w:rsidR="007A6E81" w:rsidRDefault="00000000" w:rsidP="00A8651E">
      <w:pPr>
        <w:spacing w:after="0" w:line="560" w:lineRule="exact"/>
        <w:ind w:firstLineChars="200" w:firstLine="640"/>
        <w:rPr>
          <w:rFonts w:ascii="仿宋_GB2312" w:eastAsia="仿宋_GB2312" w:hAnsi="宋体" w:hint="eastAsia"/>
          <w:color w:val="000000" w:themeColor="text1"/>
          <w:sz w:val="32"/>
          <w:szCs w:val="32"/>
        </w:rPr>
      </w:pPr>
      <w:r>
        <w:rPr>
          <w:rFonts w:ascii="仿宋_GB2312" w:eastAsia="仿宋_GB2312" w:hAnsi="宋体" w:hint="eastAsia"/>
          <w:color w:val="000000" w:themeColor="text1"/>
          <w:sz w:val="32"/>
          <w:szCs w:val="32"/>
        </w:rPr>
        <w:t>在前期工作的基础之上，通过理清逻辑脉络，整合已有参考资料中</w:t>
      </w:r>
      <w:proofErr w:type="gramStart"/>
      <w:r>
        <w:rPr>
          <w:rFonts w:ascii="仿宋_GB2312" w:eastAsia="仿宋_GB2312" w:hAnsi="宋体" w:hint="eastAsia"/>
          <w:color w:val="000000" w:themeColor="text1"/>
          <w:sz w:val="32"/>
          <w:szCs w:val="32"/>
        </w:rPr>
        <w:t>有关</w:t>
      </w:r>
      <w:r w:rsidR="00295997">
        <w:rPr>
          <w:rFonts w:ascii="仿宋_GB2312" w:eastAsia="仿宋_GB2312" w:hAnsi="宋体"/>
          <w:sz w:val="32"/>
          <w:szCs w:val="32"/>
          <w:lang w:val="en"/>
        </w:rPr>
        <w:t>砂梨水肥</w:t>
      </w:r>
      <w:proofErr w:type="gramEnd"/>
      <w:r w:rsidR="00295997">
        <w:rPr>
          <w:rFonts w:ascii="仿宋_GB2312" w:eastAsia="仿宋_GB2312" w:hAnsi="宋体"/>
          <w:sz w:val="32"/>
          <w:szCs w:val="32"/>
          <w:lang w:val="en"/>
        </w:rPr>
        <w:t>一体化技术</w:t>
      </w:r>
      <w:r>
        <w:rPr>
          <w:rFonts w:ascii="仿宋_GB2312" w:eastAsia="仿宋_GB2312" w:hAnsi="宋体" w:hint="eastAsia"/>
          <w:sz w:val="32"/>
          <w:szCs w:val="32"/>
        </w:rPr>
        <w:t>的</w:t>
      </w:r>
      <w:r>
        <w:rPr>
          <w:rFonts w:ascii="仿宋_GB2312" w:eastAsia="仿宋_GB2312" w:hAnsi="宋体"/>
          <w:sz w:val="32"/>
          <w:szCs w:val="32"/>
        </w:rPr>
        <w:t>内容</w:t>
      </w:r>
      <w:r>
        <w:rPr>
          <w:rFonts w:ascii="仿宋_GB2312" w:eastAsia="仿宋_GB2312" w:hAnsi="宋体" w:hint="eastAsia"/>
          <w:color w:val="000000" w:themeColor="text1"/>
          <w:sz w:val="32"/>
          <w:szCs w:val="32"/>
        </w:rPr>
        <w:t>，并</w:t>
      </w:r>
      <w:proofErr w:type="gramStart"/>
      <w:r>
        <w:rPr>
          <w:rFonts w:ascii="仿宋_GB2312" w:eastAsia="仿宋_GB2312" w:hAnsi="宋体" w:hint="eastAsia"/>
          <w:color w:val="000000" w:themeColor="text1"/>
          <w:sz w:val="32"/>
          <w:szCs w:val="32"/>
        </w:rPr>
        <w:t>结合</w:t>
      </w:r>
      <w:r w:rsidR="00295997">
        <w:rPr>
          <w:rFonts w:ascii="仿宋_GB2312" w:eastAsia="仿宋_GB2312" w:hAnsi="宋体"/>
          <w:color w:val="000000" w:themeColor="text1"/>
          <w:sz w:val="32"/>
          <w:szCs w:val="32"/>
          <w:lang w:val="en"/>
        </w:rPr>
        <w:t>砂梨水肥</w:t>
      </w:r>
      <w:proofErr w:type="gramEnd"/>
      <w:r w:rsidR="00295997">
        <w:rPr>
          <w:rFonts w:ascii="仿宋_GB2312" w:eastAsia="仿宋_GB2312" w:hAnsi="宋体"/>
          <w:color w:val="000000" w:themeColor="text1"/>
          <w:sz w:val="32"/>
          <w:szCs w:val="32"/>
          <w:lang w:val="en"/>
        </w:rPr>
        <w:t>一体化技术</w:t>
      </w:r>
      <w:r>
        <w:rPr>
          <w:rFonts w:ascii="仿宋_GB2312" w:eastAsia="仿宋_GB2312" w:hAnsi="宋体" w:hint="eastAsia"/>
          <w:color w:val="000000" w:themeColor="text1"/>
          <w:sz w:val="32"/>
          <w:szCs w:val="32"/>
        </w:rPr>
        <w:t>实际要求的基础上，按照简化、统一等原则编制完成团体标准</w:t>
      </w:r>
      <w:r w:rsidR="00993533">
        <w:rPr>
          <w:rFonts w:ascii="仿宋_GB2312" w:eastAsia="仿宋_GB2312" w:hAnsi="宋体" w:hint="eastAsia"/>
          <w:color w:val="000000" w:themeColor="text1"/>
          <w:sz w:val="32"/>
          <w:szCs w:val="32"/>
        </w:rPr>
        <w:t>《</w:t>
      </w:r>
      <w:r w:rsidR="00EE2336">
        <w:rPr>
          <w:rFonts w:ascii="仿宋_GB2312" w:eastAsia="仿宋_GB2312" w:hAnsi="宋体" w:hint="eastAsia"/>
          <w:color w:val="000000" w:themeColor="text1"/>
          <w:sz w:val="32"/>
          <w:szCs w:val="32"/>
        </w:rPr>
        <w:t>砂梨水肥一体化技术规程</w:t>
      </w:r>
      <w:r w:rsidR="00993533">
        <w:rPr>
          <w:rFonts w:ascii="仿宋_GB2312" w:eastAsia="仿宋_GB2312" w:hAnsi="宋体" w:hint="eastAsia"/>
          <w:color w:val="000000" w:themeColor="text1"/>
          <w:sz w:val="32"/>
          <w:szCs w:val="32"/>
        </w:rPr>
        <w:t>》</w:t>
      </w:r>
      <w:r>
        <w:rPr>
          <w:rFonts w:ascii="仿宋_GB2312" w:eastAsia="仿宋_GB2312" w:hAnsi="宋体" w:hint="eastAsia"/>
          <w:color w:val="000000" w:themeColor="text1"/>
          <w:sz w:val="32"/>
          <w:szCs w:val="32"/>
        </w:rPr>
        <w:t>（草案）。</w:t>
      </w:r>
    </w:p>
    <w:p w14:paraId="1AF40D72" w14:textId="7DF8D114" w:rsidR="00426DA5" w:rsidRDefault="00426DA5" w:rsidP="00426DA5">
      <w:pPr>
        <w:spacing w:line="560" w:lineRule="exact"/>
        <w:ind w:firstLineChars="200" w:firstLine="640"/>
        <w:rPr>
          <w:rFonts w:ascii="仿宋_GB2312" w:eastAsia="仿宋_GB2312" w:hAnsi="宋体"/>
          <w:sz w:val="32"/>
          <w:szCs w:val="32"/>
        </w:rPr>
      </w:pPr>
      <w:bookmarkStart w:id="0" w:name="_Hlk137230187"/>
      <w:r w:rsidRPr="008755D5">
        <w:rPr>
          <w:rFonts w:ascii="仿宋_GB2312" w:eastAsia="仿宋_GB2312" w:hAnsi="宋体" w:hint="eastAsia"/>
          <w:sz w:val="32"/>
          <w:szCs w:val="32"/>
        </w:rPr>
        <w:lastRenderedPageBreak/>
        <w:t>2026年</w:t>
      </w:r>
      <w:r>
        <w:rPr>
          <w:rFonts w:ascii="仿宋_GB2312" w:eastAsia="仿宋_GB2312" w:hAnsi="宋体" w:hint="eastAsia"/>
          <w:sz w:val="32"/>
          <w:szCs w:val="32"/>
        </w:rPr>
        <w:t>4</w:t>
      </w:r>
      <w:r w:rsidRPr="008755D5">
        <w:rPr>
          <w:rFonts w:ascii="仿宋_GB2312" w:eastAsia="仿宋_GB2312" w:hAnsi="宋体" w:hint="eastAsia"/>
          <w:sz w:val="32"/>
          <w:szCs w:val="32"/>
        </w:rPr>
        <w:t>月～</w:t>
      </w:r>
      <w:r w:rsidR="00076BF1">
        <w:rPr>
          <w:rFonts w:ascii="仿宋_GB2312" w:eastAsia="仿宋_GB2312" w:hAnsi="宋体" w:hint="eastAsia"/>
          <w:sz w:val="32"/>
          <w:szCs w:val="32"/>
        </w:rPr>
        <w:t>6</w:t>
      </w:r>
      <w:r w:rsidRPr="008755D5">
        <w:rPr>
          <w:rFonts w:ascii="仿宋_GB2312" w:eastAsia="仿宋_GB2312" w:hAnsi="宋体" w:hint="eastAsia"/>
          <w:sz w:val="32"/>
          <w:szCs w:val="32"/>
        </w:rPr>
        <w:t>月，标准编制组深入</w:t>
      </w:r>
      <w:r w:rsidR="00023BDE" w:rsidRPr="00023BDE">
        <w:rPr>
          <w:rFonts w:ascii="仿宋_GB2312" w:eastAsia="仿宋_GB2312" w:hAnsi="宋体" w:hint="eastAsia"/>
          <w:sz w:val="32"/>
          <w:szCs w:val="32"/>
        </w:rPr>
        <w:t>南京农业大学、广西壮族自治区水果技术指导站、山东省果树研究所</w:t>
      </w:r>
      <w:r w:rsidRPr="008755D5">
        <w:rPr>
          <w:rFonts w:ascii="仿宋_GB2312" w:eastAsia="仿宋_GB2312" w:hAnsi="宋体" w:hint="eastAsia"/>
          <w:sz w:val="32"/>
          <w:szCs w:val="32"/>
        </w:rPr>
        <w:t>等单位，</w:t>
      </w:r>
      <w:proofErr w:type="gramStart"/>
      <w:r w:rsidRPr="008755D5">
        <w:rPr>
          <w:rFonts w:ascii="仿宋_GB2312" w:eastAsia="仿宋_GB2312" w:hAnsi="宋体" w:hint="eastAsia"/>
          <w:sz w:val="32"/>
          <w:szCs w:val="32"/>
        </w:rPr>
        <w:t>针对</w:t>
      </w:r>
      <w:r w:rsidR="00295997">
        <w:rPr>
          <w:rFonts w:ascii="仿宋_GB2312" w:eastAsia="仿宋_GB2312" w:hAnsi="宋体" w:hint="eastAsia"/>
          <w:sz w:val="32"/>
          <w:szCs w:val="32"/>
        </w:rPr>
        <w:t>砂梨水肥</w:t>
      </w:r>
      <w:proofErr w:type="gramEnd"/>
      <w:r w:rsidR="00295997">
        <w:rPr>
          <w:rFonts w:ascii="仿宋_GB2312" w:eastAsia="仿宋_GB2312" w:hAnsi="宋体" w:hint="eastAsia"/>
          <w:sz w:val="32"/>
          <w:szCs w:val="32"/>
        </w:rPr>
        <w:t>一体化技术</w:t>
      </w:r>
      <w:r w:rsidRPr="008755D5">
        <w:rPr>
          <w:rFonts w:ascii="仿宋_GB2312" w:eastAsia="仿宋_GB2312" w:hAnsi="宋体" w:hint="eastAsia"/>
          <w:sz w:val="32"/>
          <w:szCs w:val="32"/>
        </w:rPr>
        <w:t>进行实地调研</w:t>
      </w:r>
      <w:r>
        <w:rPr>
          <w:rFonts w:ascii="仿宋_GB2312" w:eastAsia="仿宋_GB2312" w:hAnsi="宋体" w:hint="eastAsia"/>
          <w:sz w:val="32"/>
          <w:szCs w:val="32"/>
        </w:rPr>
        <w:t>及座谈</w:t>
      </w:r>
      <w:r w:rsidRPr="008755D5">
        <w:rPr>
          <w:rFonts w:ascii="仿宋_GB2312" w:eastAsia="仿宋_GB2312" w:hAnsi="宋体" w:hint="eastAsia"/>
          <w:sz w:val="32"/>
          <w:szCs w:val="32"/>
        </w:rPr>
        <w:t>交流。通过实地调研，掌握了</w:t>
      </w:r>
      <w:proofErr w:type="gramStart"/>
      <w:r>
        <w:rPr>
          <w:rFonts w:ascii="仿宋_GB2312" w:eastAsia="仿宋_GB2312" w:hAnsi="宋体" w:hint="eastAsia"/>
          <w:sz w:val="32"/>
          <w:szCs w:val="32"/>
        </w:rPr>
        <w:t>关于</w:t>
      </w:r>
      <w:r w:rsidR="00295997">
        <w:rPr>
          <w:rFonts w:ascii="仿宋_GB2312" w:eastAsia="仿宋_GB2312" w:hAnsi="宋体" w:hint="eastAsia"/>
          <w:sz w:val="32"/>
          <w:szCs w:val="32"/>
        </w:rPr>
        <w:t>砂梨水肥</w:t>
      </w:r>
      <w:proofErr w:type="gramEnd"/>
      <w:r w:rsidR="00295997">
        <w:rPr>
          <w:rFonts w:ascii="仿宋_GB2312" w:eastAsia="仿宋_GB2312" w:hAnsi="宋体" w:hint="eastAsia"/>
          <w:sz w:val="32"/>
          <w:szCs w:val="32"/>
        </w:rPr>
        <w:t>一体化技术</w:t>
      </w:r>
      <w:r>
        <w:rPr>
          <w:rFonts w:ascii="仿宋_GB2312" w:eastAsia="仿宋_GB2312" w:hAnsi="宋体" w:hint="eastAsia"/>
          <w:sz w:val="32"/>
          <w:szCs w:val="32"/>
        </w:rPr>
        <w:t>的具体要求。在开展实地调研的基础上，标准编制组多次组织召开研讨会，就标准文本主要技术内容进行讨论，收集标准修改意见，会后根据座谈讨论情况对标准草案进行反复修改完善，最终形成团体标准《</w:t>
      </w:r>
      <w:r w:rsidR="00EE2336">
        <w:rPr>
          <w:rFonts w:ascii="仿宋_GB2312" w:eastAsia="仿宋_GB2312" w:hAnsi="宋体" w:hint="eastAsia"/>
          <w:sz w:val="32"/>
          <w:szCs w:val="32"/>
        </w:rPr>
        <w:t>砂梨水肥一体化技术规程</w:t>
      </w:r>
      <w:r>
        <w:rPr>
          <w:rFonts w:ascii="仿宋_GB2312" w:eastAsia="仿宋_GB2312" w:hAnsi="宋体" w:hint="eastAsia"/>
          <w:sz w:val="32"/>
          <w:szCs w:val="32"/>
        </w:rPr>
        <w:t>》（征求意见稿）及其编制说明。</w:t>
      </w:r>
    </w:p>
    <w:p w14:paraId="34BD816B" w14:textId="44921C6A" w:rsidR="000B1283" w:rsidRDefault="00FE4667" w:rsidP="00E410A8">
      <w:pPr>
        <w:spacing w:after="0" w:line="240" w:lineRule="auto"/>
        <w:jc w:val="center"/>
        <w:rPr>
          <w:rFonts w:ascii="仿宋_GB2312" w:eastAsia="仿宋_GB2312" w:hAnsi="宋体"/>
          <w:sz w:val="32"/>
          <w:szCs w:val="32"/>
        </w:rPr>
      </w:pPr>
      <w:r w:rsidRPr="00FE4667">
        <w:rPr>
          <w:rFonts w:ascii="仿宋_GB2312" w:eastAsia="仿宋_GB2312" w:hAnsi="宋体"/>
          <w:noProof/>
          <w:sz w:val="32"/>
          <w:szCs w:val="32"/>
        </w:rPr>
        <w:drawing>
          <wp:inline distT="0" distB="0" distL="0" distR="0" wp14:anchorId="63C8997C" wp14:editId="17D8F83C">
            <wp:extent cx="3550013" cy="2072640"/>
            <wp:effectExtent l="0" t="0" r="0" b="3810"/>
            <wp:docPr id="27828444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5939" cy="2093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4667">
        <w:rPr>
          <w:rFonts w:ascii="仿宋_GB2312" w:eastAsia="仿宋_GB2312" w:hAnsi="宋体"/>
          <w:noProof/>
          <w:sz w:val="32"/>
          <w:szCs w:val="32"/>
        </w:rPr>
        <w:drawing>
          <wp:inline distT="0" distB="0" distL="0" distR="0" wp14:anchorId="3458E128" wp14:editId="227FB1E9">
            <wp:extent cx="3550920" cy="2482816"/>
            <wp:effectExtent l="0" t="0" r="0" b="0"/>
            <wp:docPr id="70898249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0607" cy="2503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9501B8" w14:textId="6087A4BF" w:rsidR="00FE4667" w:rsidRPr="00B26D93" w:rsidRDefault="00B26D93" w:rsidP="00B26D93">
      <w:pPr>
        <w:spacing w:after="0" w:line="240" w:lineRule="auto"/>
        <w:jc w:val="center"/>
        <w:rPr>
          <w:rFonts w:ascii="黑体" w:eastAsia="黑体" w:hAnsi="黑体" w:hint="eastAsia"/>
          <w:sz w:val="28"/>
          <w:szCs w:val="28"/>
        </w:rPr>
      </w:pPr>
      <w:r w:rsidRPr="00B26D93">
        <w:rPr>
          <w:rFonts w:ascii="黑体" w:eastAsia="黑体" w:hAnsi="黑体" w:hint="eastAsia"/>
          <w:sz w:val="28"/>
          <w:szCs w:val="28"/>
        </w:rPr>
        <w:t>研讨会照片</w:t>
      </w:r>
    </w:p>
    <w:p w14:paraId="544E5158" w14:textId="5DD54901" w:rsidR="000B1283" w:rsidRDefault="000B1283" w:rsidP="000B1283">
      <w:pPr>
        <w:spacing w:after="0" w:line="240" w:lineRule="auto"/>
        <w:jc w:val="center"/>
        <w:rPr>
          <w:rFonts w:ascii="仿宋_GB2312" w:eastAsia="仿宋_GB2312" w:hAnsi="宋体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5A5E9C94" wp14:editId="5E39D2BA">
            <wp:extent cx="3667125" cy="4770442"/>
            <wp:effectExtent l="0" t="0" r="0" b="0"/>
            <wp:docPr id="64971410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714109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73023" cy="4778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847C5C" w14:textId="612BBE25" w:rsidR="000B1283" w:rsidRPr="000B1283" w:rsidRDefault="000B1283" w:rsidP="000B1283">
      <w:pPr>
        <w:spacing w:after="0" w:line="240" w:lineRule="auto"/>
        <w:jc w:val="center"/>
        <w:rPr>
          <w:rFonts w:ascii="黑体" w:eastAsia="黑体" w:hAnsi="黑体" w:hint="eastAsia"/>
          <w:sz w:val="28"/>
          <w:szCs w:val="28"/>
        </w:rPr>
      </w:pPr>
      <w:r w:rsidRPr="000B1283">
        <w:rPr>
          <w:rFonts w:ascii="黑体" w:eastAsia="黑体" w:hAnsi="黑体" w:hint="eastAsia"/>
          <w:sz w:val="28"/>
          <w:szCs w:val="28"/>
        </w:rPr>
        <w:t>研讨会签到表</w:t>
      </w:r>
    </w:p>
    <w:p w14:paraId="3AE556AF" w14:textId="77777777" w:rsidR="007A6E81" w:rsidRDefault="00000000" w:rsidP="00A8651E">
      <w:pPr>
        <w:spacing w:after="0" w:line="560" w:lineRule="exact"/>
        <w:ind w:firstLineChars="200" w:firstLine="640"/>
        <w:outlineLvl w:val="0"/>
        <w:rPr>
          <w:rFonts w:ascii="黑体" w:eastAsia="黑体" w:hAnsi="黑体" w:cs="仿宋_GB2312" w:hint="eastAsia"/>
          <w:sz w:val="32"/>
          <w:szCs w:val="32"/>
        </w:rPr>
      </w:pPr>
      <w:bookmarkStart w:id="1" w:name="_Toc526940083"/>
      <w:bookmarkEnd w:id="0"/>
      <w:r>
        <w:rPr>
          <w:rFonts w:ascii="黑体" w:eastAsia="黑体" w:hAnsi="黑体" w:cs="仿宋_GB2312" w:hint="eastAsia"/>
          <w:sz w:val="32"/>
          <w:szCs w:val="32"/>
        </w:rPr>
        <w:t>四、</w:t>
      </w:r>
      <w:bookmarkEnd w:id="1"/>
      <w:r>
        <w:rPr>
          <w:rFonts w:ascii="黑体" w:eastAsia="黑体" w:hAnsi="黑体" w:cs="仿宋_GB2312" w:hint="eastAsia"/>
          <w:sz w:val="32"/>
          <w:szCs w:val="32"/>
        </w:rPr>
        <w:t>制定标准的原则和依据，与现行法律、法规的关系，与有关国家标准、行业标准的协调情况</w:t>
      </w:r>
    </w:p>
    <w:p w14:paraId="0B3B5995" w14:textId="77777777" w:rsidR="007A6E81" w:rsidRDefault="00000000" w:rsidP="00A8651E">
      <w:pPr>
        <w:tabs>
          <w:tab w:val="center" w:pos="4201"/>
          <w:tab w:val="right" w:leader="dot" w:pos="9298"/>
        </w:tabs>
        <w:autoSpaceDE w:val="0"/>
        <w:autoSpaceDN w:val="0"/>
        <w:spacing w:after="0" w:line="560" w:lineRule="exact"/>
        <w:ind w:firstLineChars="200" w:firstLine="643"/>
        <w:outlineLvl w:val="1"/>
        <w:rPr>
          <w:rFonts w:eastAsia="楷体"/>
          <w:b/>
          <w:bCs/>
          <w:kern w:val="0"/>
          <w:sz w:val="32"/>
          <w:szCs w:val="32"/>
        </w:rPr>
      </w:pPr>
      <w:r>
        <w:rPr>
          <w:rFonts w:eastAsia="楷体"/>
          <w:b/>
          <w:bCs/>
          <w:kern w:val="0"/>
          <w:sz w:val="32"/>
          <w:szCs w:val="32"/>
        </w:rPr>
        <w:t>（一）</w:t>
      </w:r>
      <w:r>
        <w:rPr>
          <w:rFonts w:eastAsia="楷体" w:hint="eastAsia"/>
          <w:b/>
          <w:bCs/>
          <w:kern w:val="0"/>
          <w:sz w:val="32"/>
          <w:szCs w:val="32"/>
        </w:rPr>
        <w:t>编制原则</w:t>
      </w:r>
    </w:p>
    <w:p w14:paraId="7EE87314" w14:textId="77777777" w:rsidR="007A6E81" w:rsidRDefault="00000000" w:rsidP="00A8651E">
      <w:pPr>
        <w:spacing w:after="0" w:line="560" w:lineRule="exact"/>
        <w:ind w:firstLineChars="200" w:firstLine="640"/>
        <w:outlineLvl w:val="1"/>
        <w:rPr>
          <w:rFonts w:ascii="仿宋_GB2312" w:eastAsia="仿宋_GB2312" w:hAnsi="宋体" w:hint="eastAsia"/>
          <w:sz w:val="32"/>
          <w:szCs w:val="32"/>
        </w:rPr>
      </w:pPr>
      <w:r>
        <w:rPr>
          <w:rFonts w:ascii="仿宋_GB2312" w:eastAsia="仿宋_GB2312" w:hAnsi="宋体" w:hint="eastAsia"/>
          <w:sz w:val="32"/>
          <w:szCs w:val="32"/>
        </w:rPr>
        <w:t>1.实用性原则</w:t>
      </w:r>
    </w:p>
    <w:p w14:paraId="3693D12F" w14:textId="317B8720" w:rsidR="007A6E81" w:rsidRDefault="00000000" w:rsidP="00A8651E">
      <w:pPr>
        <w:spacing w:after="0" w:line="560" w:lineRule="exact"/>
        <w:ind w:firstLineChars="200" w:firstLine="640"/>
        <w:rPr>
          <w:rFonts w:ascii="仿宋_GB2312" w:eastAsia="仿宋_GB2312" w:hAnsi="宋体" w:hint="eastAsia"/>
          <w:sz w:val="32"/>
          <w:szCs w:val="32"/>
        </w:rPr>
      </w:pPr>
      <w:r>
        <w:rPr>
          <w:rFonts w:ascii="仿宋_GB2312" w:eastAsia="仿宋_GB2312" w:hAnsi="宋体" w:hint="eastAsia"/>
          <w:sz w:val="32"/>
          <w:szCs w:val="32"/>
        </w:rPr>
        <w:t>本文件是在充分收集相关资料，分析当前现状、调研的实际情况，在现有文献中参考</w:t>
      </w:r>
      <w:proofErr w:type="gramStart"/>
      <w:r>
        <w:rPr>
          <w:rFonts w:ascii="仿宋_GB2312" w:eastAsia="仿宋_GB2312" w:hAnsi="宋体" w:hint="eastAsia"/>
          <w:sz w:val="32"/>
          <w:szCs w:val="32"/>
        </w:rPr>
        <w:t>与</w:t>
      </w:r>
      <w:r w:rsidR="00295997">
        <w:rPr>
          <w:rFonts w:ascii="仿宋_GB2312" w:eastAsia="仿宋_GB2312" w:hAnsi="宋体"/>
          <w:sz w:val="32"/>
          <w:szCs w:val="32"/>
          <w:lang w:val="en"/>
        </w:rPr>
        <w:t>砂梨水肥</w:t>
      </w:r>
      <w:proofErr w:type="gramEnd"/>
      <w:r w:rsidR="00295997">
        <w:rPr>
          <w:rFonts w:ascii="仿宋_GB2312" w:eastAsia="仿宋_GB2312" w:hAnsi="宋体"/>
          <w:sz w:val="32"/>
          <w:szCs w:val="32"/>
          <w:lang w:val="en"/>
        </w:rPr>
        <w:t>一体化技术</w:t>
      </w:r>
      <w:r>
        <w:rPr>
          <w:rFonts w:ascii="仿宋_GB2312" w:eastAsia="仿宋_GB2312" w:hAnsi="宋体" w:hint="eastAsia"/>
          <w:sz w:val="32"/>
          <w:szCs w:val="32"/>
        </w:rPr>
        <w:t>相关内容的基础上，结合多年经验而总结起草的。符合</w:t>
      </w:r>
      <w:proofErr w:type="gramStart"/>
      <w:r>
        <w:rPr>
          <w:rFonts w:ascii="仿宋_GB2312" w:eastAsia="仿宋_GB2312" w:hAnsi="宋体" w:hint="eastAsia"/>
          <w:sz w:val="32"/>
          <w:szCs w:val="32"/>
        </w:rPr>
        <w:t>当前</w:t>
      </w:r>
      <w:r w:rsidR="00295997">
        <w:rPr>
          <w:rFonts w:ascii="仿宋_GB2312" w:eastAsia="仿宋_GB2312" w:hAnsi="宋体"/>
          <w:sz w:val="32"/>
          <w:szCs w:val="32"/>
          <w:lang w:val="en"/>
        </w:rPr>
        <w:t>砂梨水肥</w:t>
      </w:r>
      <w:proofErr w:type="gramEnd"/>
      <w:r w:rsidR="00295997">
        <w:rPr>
          <w:rFonts w:ascii="仿宋_GB2312" w:eastAsia="仿宋_GB2312" w:hAnsi="宋体"/>
          <w:sz w:val="32"/>
          <w:szCs w:val="32"/>
          <w:lang w:val="en"/>
        </w:rPr>
        <w:t>一体化技术</w:t>
      </w:r>
      <w:r>
        <w:rPr>
          <w:rFonts w:ascii="仿宋_GB2312" w:eastAsia="仿宋_GB2312" w:hAnsi="宋体" w:hint="eastAsia"/>
          <w:sz w:val="32"/>
          <w:szCs w:val="32"/>
        </w:rPr>
        <w:t>的需要，有利于行业的长远发展，具有较强的实用性和可操作性。</w:t>
      </w:r>
    </w:p>
    <w:p w14:paraId="5FCCC8EC" w14:textId="77777777" w:rsidR="007A6E81" w:rsidRDefault="00000000" w:rsidP="00A8651E">
      <w:pPr>
        <w:spacing w:after="0" w:line="560" w:lineRule="exact"/>
        <w:ind w:firstLineChars="200" w:firstLine="640"/>
        <w:outlineLvl w:val="1"/>
        <w:rPr>
          <w:rFonts w:ascii="仿宋_GB2312" w:eastAsia="仿宋_GB2312" w:hAnsi="宋体" w:hint="eastAsia"/>
          <w:sz w:val="32"/>
          <w:szCs w:val="32"/>
        </w:rPr>
      </w:pPr>
      <w:r>
        <w:rPr>
          <w:rFonts w:ascii="仿宋_GB2312" w:eastAsia="仿宋_GB2312" w:hAnsi="宋体" w:hint="eastAsia"/>
          <w:sz w:val="32"/>
          <w:szCs w:val="32"/>
        </w:rPr>
        <w:lastRenderedPageBreak/>
        <w:t>2.协调性原则</w:t>
      </w:r>
    </w:p>
    <w:p w14:paraId="4E44DF33" w14:textId="5465BA22" w:rsidR="007A6E81" w:rsidRDefault="00000000" w:rsidP="00A8651E">
      <w:pPr>
        <w:spacing w:after="0" w:line="560" w:lineRule="exact"/>
        <w:ind w:firstLineChars="200" w:firstLine="640"/>
        <w:rPr>
          <w:rFonts w:ascii="仿宋_GB2312" w:eastAsia="仿宋_GB2312" w:hAnsi="宋体" w:hint="eastAsia"/>
          <w:sz w:val="32"/>
          <w:szCs w:val="32"/>
        </w:rPr>
      </w:pPr>
      <w:r>
        <w:rPr>
          <w:rFonts w:ascii="仿宋_GB2312" w:eastAsia="仿宋_GB2312" w:hAnsi="宋体" w:hint="eastAsia"/>
          <w:sz w:val="32"/>
          <w:szCs w:val="32"/>
        </w:rPr>
        <w:t>本文件编写过程中注意了</w:t>
      </w:r>
      <w:proofErr w:type="gramStart"/>
      <w:r>
        <w:rPr>
          <w:rFonts w:ascii="仿宋_GB2312" w:eastAsia="仿宋_GB2312" w:hAnsi="宋体" w:hint="eastAsia"/>
          <w:sz w:val="32"/>
          <w:szCs w:val="32"/>
        </w:rPr>
        <w:t>与</w:t>
      </w:r>
      <w:r w:rsidR="00295997">
        <w:rPr>
          <w:rFonts w:ascii="仿宋_GB2312" w:eastAsia="仿宋_GB2312" w:hAnsi="宋体"/>
          <w:sz w:val="32"/>
          <w:szCs w:val="32"/>
          <w:lang w:val="en"/>
        </w:rPr>
        <w:t>砂梨水肥</w:t>
      </w:r>
      <w:proofErr w:type="gramEnd"/>
      <w:r w:rsidR="00295997">
        <w:rPr>
          <w:rFonts w:ascii="仿宋_GB2312" w:eastAsia="仿宋_GB2312" w:hAnsi="宋体"/>
          <w:sz w:val="32"/>
          <w:szCs w:val="32"/>
          <w:lang w:val="en"/>
        </w:rPr>
        <w:t>一体化技术</w:t>
      </w:r>
      <w:r>
        <w:rPr>
          <w:rFonts w:ascii="仿宋_GB2312" w:eastAsia="仿宋_GB2312" w:hAnsi="宋体" w:hint="eastAsia"/>
          <w:sz w:val="32"/>
          <w:szCs w:val="32"/>
        </w:rPr>
        <w:t>相关法律法规的协调问题，在内容上与现行法律法规、标准协调一致。</w:t>
      </w:r>
    </w:p>
    <w:p w14:paraId="43337CB9" w14:textId="77777777" w:rsidR="007A6E81" w:rsidRDefault="00000000" w:rsidP="00A8651E">
      <w:pPr>
        <w:spacing w:after="0" w:line="560" w:lineRule="exact"/>
        <w:ind w:firstLineChars="200" w:firstLine="640"/>
        <w:outlineLvl w:val="1"/>
        <w:rPr>
          <w:rFonts w:ascii="仿宋_GB2312" w:eastAsia="仿宋_GB2312" w:hAnsi="宋体" w:hint="eastAsia"/>
          <w:sz w:val="32"/>
          <w:szCs w:val="32"/>
        </w:rPr>
      </w:pPr>
      <w:r>
        <w:rPr>
          <w:rFonts w:ascii="仿宋_GB2312" w:eastAsia="仿宋_GB2312" w:hAnsi="宋体" w:hint="eastAsia"/>
          <w:sz w:val="32"/>
          <w:szCs w:val="32"/>
        </w:rPr>
        <w:t>3.规范性原则</w:t>
      </w:r>
    </w:p>
    <w:p w14:paraId="29448CD7" w14:textId="77777777" w:rsidR="007A6E81" w:rsidRDefault="00000000" w:rsidP="00A8651E">
      <w:pPr>
        <w:spacing w:after="0" w:line="560" w:lineRule="exact"/>
        <w:ind w:firstLineChars="200" w:firstLine="640"/>
        <w:rPr>
          <w:rFonts w:ascii="仿宋_GB2312" w:eastAsia="仿宋_GB2312" w:hAnsi="宋体" w:hint="eastAsia"/>
          <w:sz w:val="32"/>
          <w:szCs w:val="32"/>
        </w:rPr>
      </w:pPr>
      <w:r>
        <w:rPr>
          <w:rFonts w:ascii="仿宋_GB2312" w:eastAsia="仿宋_GB2312" w:hAnsi="宋体" w:hint="eastAsia"/>
          <w:sz w:val="32"/>
          <w:szCs w:val="32"/>
        </w:rPr>
        <w:t>本文件严格按照GB/T 1.1—2020《标准化工作导则 第1部分：标准化文件的结构和起草规则》的要求和规定编写本标准的内容，保证标准的编写质量。</w:t>
      </w:r>
    </w:p>
    <w:p w14:paraId="45DBE075" w14:textId="77777777" w:rsidR="007A6E81" w:rsidRDefault="00000000" w:rsidP="00A8651E">
      <w:pPr>
        <w:spacing w:after="0" w:line="560" w:lineRule="exact"/>
        <w:ind w:firstLineChars="200" w:firstLine="640"/>
        <w:outlineLvl w:val="1"/>
        <w:rPr>
          <w:rFonts w:ascii="仿宋_GB2312" w:eastAsia="仿宋_GB2312" w:hAnsi="宋体" w:hint="eastAsia"/>
          <w:sz w:val="32"/>
          <w:szCs w:val="32"/>
        </w:rPr>
      </w:pPr>
      <w:r>
        <w:rPr>
          <w:rFonts w:ascii="仿宋_GB2312" w:eastAsia="仿宋_GB2312" w:hAnsi="宋体" w:hint="eastAsia"/>
          <w:sz w:val="32"/>
          <w:szCs w:val="32"/>
        </w:rPr>
        <w:t>4.前瞻性原则</w:t>
      </w:r>
    </w:p>
    <w:p w14:paraId="1F3EC5DE" w14:textId="0A6E7FBE" w:rsidR="007A6E81" w:rsidRDefault="00000000" w:rsidP="00A8651E">
      <w:pPr>
        <w:spacing w:after="0" w:line="560" w:lineRule="exact"/>
        <w:ind w:firstLineChars="200" w:firstLine="640"/>
        <w:rPr>
          <w:rFonts w:ascii="仿宋_GB2312" w:eastAsia="仿宋_GB2312" w:hAnsi="宋体" w:hint="eastAsia"/>
          <w:sz w:val="32"/>
          <w:szCs w:val="32"/>
        </w:rPr>
      </w:pPr>
      <w:r>
        <w:rPr>
          <w:rFonts w:ascii="仿宋_GB2312" w:eastAsia="仿宋_GB2312" w:hAnsi="宋体" w:hint="eastAsia"/>
          <w:sz w:val="32"/>
          <w:szCs w:val="32"/>
        </w:rPr>
        <w:t>本文件在兼顾</w:t>
      </w:r>
      <w:proofErr w:type="gramStart"/>
      <w:r>
        <w:rPr>
          <w:rFonts w:ascii="仿宋_GB2312" w:eastAsia="仿宋_GB2312" w:hAnsi="宋体" w:hint="eastAsia"/>
          <w:sz w:val="32"/>
          <w:szCs w:val="32"/>
        </w:rPr>
        <w:t>当前</w:t>
      </w:r>
      <w:r w:rsidR="00295997">
        <w:rPr>
          <w:rFonts w:ascii="仿宋_GB2312" w:eastAsia="仿宋_GB2312" w:hAnsi="宋体"/>
          <w:sz w:val="32"/>
          <w:szCs w:val="32"/>
          <w:lang w:val="en"/>
        </w:rPr>
        <w:t>砂梨水肥</w:t>
      </w:r>
      <w:proofErr w:type="gramEnd"/>
      <w:r w:rsidR="00295997">
        <w:rPr>
          <w:rFonts w:ascii="仿宋_GB2312" w:eastAsia="仿宋_GB2312" w:hAnsi="宋体"/>
          <w:sz w:val="32"/>
          <w:szCs w:val="32"/>
          <w:lang w:val="en"/>
        </w:rPr>
        <w:t>一体化技术</w:t>
      </w:r>
      <w:r>
        <w:rPr>
          <w:rFonts w:ascii="仿宋_GB2312" w:eastAsia="仿宋_GB2312" w:hAnsi="宋体" w:hint="eastAsia"/>
          <w:sz w:val="32"/>
          <w:szCs w:val="32"/>
        </w:rPr>
        <w:t>现实情况的同时，还考虑到</w:t>
      </w:r>
      <w:proofErr w:type="gramStart"/>
      <w:r>
        <w:rPr>
          <w:rFonts w:ascii="仿宋_GB2312" w:eastAsia="仿宋_GB2312" w:hAnsi="宋体" w:hint="eastAsia"/>
          <w:sz w:val="32"/>
          <w:szCs w:val="32"/>
        </w:rPr>
        <w:t>了</w:t>
      </w:r>
      <w:r w:rsidR="00295997">
        <w:rPr>
          <w:rFonts w:ascii="仿宋_GB2312" w:eastAsia="仿宋_GB2312" w:hAnsi="宋体"/>
          <w:sz w:val="32"/>
          <w:szCs w:val="32"/>
          <w:lang w:val="en"/>
        </w:rPr>
        <w:t>砂梨水肥</w:t>
      </w:r>
      <w:proofErr w:type="gramEnd"/>
      <w:r w:rsidR="00295997">
        <w:rPr>
          <w:rFonts w:ascii="仿宋_GB2312" w:eastAsia="仿宋_GB2312" w:hAnsi="宋体"/>
          <w:sz w:val="32"/>
          <w:szCs w:val="32"/>
          <w:lang w:val="en"/>
        </w:rPr>
        <w:t>一体化技术</w:t>
      </w:r>
      <w:r>
        <w:rPr>
          <w:rFonts w:ascii="仿宋_GB2312" w:eastAsia="仿宋_GB2312" w:hAnsi="宋体" w:hint="eastAsia"/>
          <w:sz w:val="32"/>
          <w:szCs w:val="32"/>
        </w:rPr>
        <w:t>快速发展的趋势和需要，在标准中体现了个别特色性、前瞻性和先进性条款，作为对</w:t>
      </w:r>
      <w:proofErr w:type="gramStart"/>
      <w:r>
        <w:rPr>
          <w:rFonts w:ascii="仿宋_GB2312" w:eastAsia="仿宋_GB2312" w:hAnsi="宋体" w:hint="eastAsia"/>
          <w:sz w:val="32"/>
          <w:szCs w:val="32"/>
        </w:rPr>
        <w:t>开展</w:t>
      </w:r>
      <w:r w:rsidR="00295997">
        <w:rPr>
          <w:rFonts w:ascii="仿宋_GB2312" w:eastAsia="仿宋_GB2312" w:hAnsi="宋体"/>
          <w:sz w:val="32"/>
          <w:szCs w:val="32"/>
          <w:lang w:val="en"/>
        </w:rPr>
        <w:t>砂梨水肥</w:t>
      </w:r>
      <w:proofErr w:type="gramEnd"/>
      <w:r w:rsidR="00295997">
        <w:rPr>
          <w:rFonts w:ascii="仿宋_GB2312" w:eastAsia="仿宋_GB2312" w:hAnsi="宋体"/>
          <w:sz w:val="32"/>
          <w:szCs w:val="32"/>
          <w:lang w:val="en"/>
        </w:rPr>
        <w:t>一体化技术</w:t>
      </w:r>
      <w:r>
        <w:rPr>
          <w:rFonts w:ascii="仿宋_GB2312" w:eastAsia="仿宋_GB2312" w:hAnsi="宋体" w:hint="eastAsia"/>
          <w:sz w:val="32"/>
          <w:szCs w:val="32"/>
        </w:rPr>
        <w:t>的指导。</w:t>
      </w:r>
    </w:p>
    <w:p w14:paraId="46399590" w14:textId="77777777" w:rsidR="007A6E81" w:rsidRDefault="00000000" w:rsidP="00A8651E">
      <w:pPr>
        <w:tabs>
          <w:tab w:val="center" w:pos="4201"/>
          <w:tab w:val="right" w:leader="dot" w:pos="9298"/>
        </w:tabs>
        <w:autoSpaceDE w:val="0"/>
        <w:autoSpaceDN w:val="0"/>
        <w:spacing w:after="0" w:line="560" w:lineRule="exact"/>
        <w:ind w:firstLineChars="200" w:firstLine="643"/>
        <w:outlineLvl w:val="1"/>
        <w:rPr>
          <w:rFonts w:ascii="仿宋_GB2312" w:eastAsia="仿宋_GB2312" w:hAnsi="仿宋" w:hint="eastAsia"/>
          <w:sz w:val="32"/>
          <w:szCs w:val="32"/>
        </w:rPr>
      </w:pPr>
      <w:r>
        <w:rPr>
          <w:rFonts w:eastAsia="楷体" w:hint="eastAsia"/>
          <w:b/>
          <w:bCs/>
          <w:kern w:val="0"/>
          <w:sz w:val="32"/>
          <w:szCs w:val="32"/>
        </w:rPr>
        <w:t>（二）与现行法律、法规的关系，与有关国家标准、行业标准的协调情况</w:t>
      </w:r>
    </w:p>
    <w:p w14:paraId="2A2B8CD5" w14:textId="77777777" w:rsidR="007A6E81" w:rsidRDefault="00000000" w:rsidP="00A8651E">
      <w:pPr>
        <w:spacing w:after="0" w:line="560" w:lineRule="exact"/>
        <w:ind w:firstLineChars="200" w:firstLine="640"/>
        <w:rPr>
          <w:rFonts w:ascii="仿宋_GB2312" w:eastAsia="仿宋_GB2312" w:hAnsi="宋体" w:hint="eastAsia"/>
          <w:sz w:val="32"/>
          <w:szCs w:val="32"/>
        </w:rPr>
      </w:pPr>
      <w:r>
        <w:rPr>
          <w:rFonts w:ascii="仿宋_GB2312" w:eastAsia="仿宋_GB2312" w:hAnsi="仿宋" w:hint="eastAsia"/>
          <w:sz w:val="32"/>
          <w:szCs w:val="32"/>
        </w:rPr>
        <w:t>本标准的内容与现行的法律、法规及强制性标准无冲突，</w:t>
      </w:r>
      <w:r>
        <w:rPr>
          <w:rFonts w:ascii="仿宋_GB2312" w:eastAsia="仿宋_GB2312" w:hAnsi="宋体" w:hint="eastAsia"/>
          <w:sz w:val="32"/>
          <w:szCs w:val="32"/>
        </w:rPr>
        <w:t>标准的编写符合GB/T 1.1—2020的要求。</w:t>
      </w:r>
    </w:p>
    <w:p w14:paraId="246BC0C5" w14:textId="77777777" w:rsidR="00F45EB7" w:rsidRPr="00F45EB7" w:rsidRDefault="00F45EB7" w:rsidP="00F45EB7">
      <w:pPr>
        <w:spacing w:after="0" w:line="560" w:lineRule="exact"/>
        <w:ind w:firstLineChars="200" w:firstLine="640"/>
        <w:rPr>
          <w:rFonts w:ascii="仿宋_GB2312" w:eastAsia="仿宋_GB2312" w:hAnsi="宋体" w:hint="eastAsia"/>
          <w:sz w:val="32"/>
          <w:szCs w:val="32"/>
        </w:rPr>
      </w:pPr>
      <w:r w:rsidRPr="00F45EB7">
        <w:rPr>
          <w:rFonts w:ascii="仿宋_GB2312" w:eastAsia="仿宋_GB2312" w:hAnsi="宋体" w:hint="eastAsia"/>
          <w:sz w:val="32"/>
          <w:szCs w:val="32"/>
        </w:rPr>
        <w:t>经查询，国内目前与“砂梨水肥一体化技术”现行相关的标准有：NY/T 2624—2014《水肥一体化技术规范  总则》、DB33/T 2070—2017《水肥一体化技术通则》、DB44/T 1807—2016《砂梨栽培技术规程》、DB41/T 828—2013《金珠砂梨生产技术规程》、T/NXTR 001—2025《玉露香梨水肥一体化栽培技术规程》、T/GZCX 027—2024《刺梨有机肥水肥一体化施肥技术规程》、广西地方标准《油梨水肥一体化技术规</w:t>
      </w:r>
      <w:r w:rsidRPr="00F45EB7">
        <w:rPr>
          <w:rFonts w:ascii="仿宋_GB2312" w:eastAsia="仿宋_GB2312" w:hAnsi="宋体" w:hint="eastAsia"/>
          <w:sz w:val="32"/>
          <w:szCs w:val="32"/>
        </w:rPr>
        <w:lastRenderedPageBreak/>
        <w:t>程》（2023-1108）</w:t>
      </w:r>
    </w:p>
    <w:p w14:paraId="1BC4C914" w14:textId="33C70BCB" w:rsidR="007A6E81" w:rsidRDefault="00F45EB7" w:rsidP="00F45EB7">
      <w:pPr>
        <w:spacing w:after="0" w:line="560" w:lineRule="exact"/>
        <w:ind w:firstLineChars="200" w:firstLine="640"/>
        <w:rPr>
          <w:rFonts w:ascii="仿宋_GB2312" w:eastAsia="仿宋_GB2312" w:hAnsi="宋体" w:hint="eastAsia"/>
          <w:sz w:val="32"/>
          <w:szCs w:val="32"/>
        </w:rPr>
      </w:pPr>
      <w:r w:rsidRPr="00F45EB7">
        <w:rPr>
          <w:rFonts w:ascii="仿宋_GB2312" w:eastAsia="仿宋_GB2312" w:hAnsi="宋体" w:hint="eastAsia"/>
          <w:sz w:val="32"/>
          <w:szCs w:val="32"/>
        </w:rPr>
        <w:t>上述标准虽涉及水肥一体化通用技术、</w:t>
      </w:r>
      <w:proofErr w:type="gramStart"/>
      <w:r w:rsidRPr="00F45EB7">
        <w:rPr>
          <w:rFonts w:ascii="仿宋_GB2312" w:eastAsia="仿宋_GB2312" w:hAnsi="宋体" w:hint="eastAsia"/>
          <w:sz w:val="32"/>
          <w:szCs w:val="32"/>
        </w:rPr>
        <w:t>砂梨常规</w:t>
      </w:r>
      <w:proofErr w:type="gramEnd"/>
      <w:r w:rsidRPr="00F45EB7">
        <w:rPr>
          <w:rFonts w:ascii="仿宋_GB2312" w:eastAsia="仿宋_GB2312" w:hAnsi="宋体" w:hint="eastAsia"/>
          <w:sz w:val="32"/>
          <w:szCs w:val="32"/>
        </w:rPr>
        <w:t>栽培管理、特定</w:t>
      </w:r>
      <w:proofErr w:type="gramStart"/>
      <w:r w:rsidRPr="00F45EB7">
        <w:rPr>
          <w:rFonts w:ascii="仿宋_GB2312" w:eastAsia="仿宋_GB2312" w:hAnsi="宋体" w:hint="eastAsia"/>
          <w:sz w:val="32"/>
          <w:szCs w:val="32"/>
        </w:rPr>
        <w:t>梨</w:t>
      </w:r>
      <w:proofErr w:type="gramEnd"/>
      <w:r w:rsidRPr="00F45EB7">
        <w:rPr>
          <w:rFonts w:ascii="仿宋_GB2312" w:eastAsia="仿宋_GB2312" w:hAnsi="宋体" w:hint="eastAsia"/>
          <w:sz w:val="32"/>
          <w:szCs w:val="32"/>
        </w:rPr>
        <w:t>品种水肥管理及油梨水肥一体化技术，但团体标准《砂梨水肥一体化技术规程》与之相比，首次针对</w:t>
      </w:r>
      <w:proofErr w:type="gramStart"/>
      <w:r w:rsidRPr="00F45EB7">
        <w:rPr>
          <w:rFonts w:ascii="仿宋_GB2312" w:eastAsia="仿宋_GB2312" w:hAnsi="宋体" w:hint="eastAsia"/>
          <w:sz w:val="32"/>
          <w:szCs w:val="32"/>
        </w:rPr>
        <w:t>砂梨全</w:t>
      </w:r>
      <w:proofErr w:type="gramEnd"/>
      <w:r w:rsidRPr="00F45EB7">
        <w:rPr>
          <w:rFonts w:ascii="仿宋_GB2312" w:eastAsia="仿宋_GB2312" w:hAnsi="宋体" w:hint="eastAsia"/>
          <w:sz w:val="32"/>
          <w:szCs w:val="32"/>
        </w:rPr>
        <w:t>生育期水肥耦合需求，构建“设施配置—精准施肥—灌溉调控—系统维护—生产档案”一体化闭环技术体系，</w:t>
      </w:r>
      <w:proofErr w:type="gramStart"/>
      <w:r w:rsidRPr="00F45EB7">
        <w:rPr>
          <w:rFonts w:ascii="仿宋_GB2312" w:eastAsia="仿宋_GB2312" w:hAnsi="宋体" w:hint="eastAsia"/>
          <w:sz w:val="32"/>
          <w:szCs w:val="32"/>
        </w:rPr>
        <w:t>明确砂梨水肥</w:t>
      </w:r>
      <w:proofErr w:type="gramEnd"/>
      <w:r w:rsidRPr="00F45EB7">
        <w:rPr>
          <w:rFonts w:ascii="仿宋_GB2312" w:eastAsia="仿宋_GB2312" w:hAnsi="宋体" w:hint="eastAsia"/>
          <w:sz w:val="32"/>
          <w:szCs w:val="32"/>
        </w:rPr>
        <w:t>一体化专用术语定义，配套叶片营养诊断指标、土壤肥力分级、分树龄分生育期滴灌施肥量化用量及标准化操作流程，形成可直接落地的</w:t>
      </w:r>
      <w:proofErr w:type="gramStart"/>
      <w:r w:rsidRPr="00F45EB7">
        <w:rPr>
          <w:rFonts w:ascii="仿宋_GB2312" w:eastAsia="仿宋_GB2312" w:hAnsi="宋体" w:hint="eastAsia"/>
          <w:sz w:val="32"/>
          <w:szCs w:val="32"/>
        </w:rPr>
        <w:t>砂梨专</w:t>
      </w:r>
      <w:proofErr w:type="gramEnd"/>
      <w:r w:rsidRPr="00F45EB7">
        <w:rPr>
          <w:rFonts w:ascii="仿宋_GB2312" w:eastAsia="仿宋_GB2312" w:hAnsi="宋体" w:hint="eastAsia"/>
          <w:sz w:val="32"/>
          <w:szCs w:val="32"/>
        </w:rPr>
        <w:t>属水肥一体化技术规范，填补了</w:t>
      </w:r>
      <w:proofErr w:type="gramStart"/>
      <w:r w:rsidRPr="00F45EB7">
        <w:rPr>
          <w:rFonts w:ascii="仿宋_GB2312" w:eastAsia="仿宋_GB2312" w:hAnsi="宋体" w:hint="eastAsia"/>
          <w:sz w:val="32"/>
          <w:szCs w:val="32"/>
        </w:rPr>
        <w:t>国内砂梨专用</w:t>
      </w:r>
      <w:proofErr w:type="gramEnd"/>
      <w:r w:rsidRPr="00F45EB7">
        <w:rPr>
          <w:rFonts w:ascii="仿宋_GB2312" w:eastAsia="仿宋_GB2312" w:hAnsi="宋体" w:hint="eastAsia"/>
          <w:sz w:val="32"/>
          <w:szCs w:val="32"/>
        </w:rPr>
        <w:t>水肥一体化标准空白，更具针对性、精准性与可操作性。</w:t>
      </w:r>
    </w:p>
    <w:p w14:paraId="6762CA19" w14:textId="77777777" w:rsidR="007A6E81" w:rsidRDefault="00000000" w:rsidP="00A8651E">
      <w:pPr>
        <w:autoSpaceDE w:val="0"/>
        <w:autoSpaceDN w:val="0"/>
        <w:adjustRightInd w:val="0"/>
        <w:spacing w:after="0" w:line="560" w:lineRule="atLeast"/>
        <w:ind w:firstLineChars="200" w:firstLine="640"/>
        <w:jc w:val="left"/>
        <w:outlineLvl w:val="0"/>
        <w:rPr>
          <w:rFonts w:ascii="黑体" w:eastAsia="黑体" w:hAnsi="黑体" w:cs="仿宋_GB2312" w:hint="eastAsia"/>
          <w:color w:val="FF0000"/>
          <w:sz w:val="32"/>
          <w:szCs w:val="32"/>
          <w:highlight w:val="yellow"/>
        </w:rPr>
      </w:pPr>
      <w:r>
        <w:rPr>
          <w:rFonts w:ascii="黑体" w:eastAsia="黑体" w:hAnsi="黑体" w:cs="仿宋_GB2312" w:hint="eastAsia"/>
          <w:sz w:val="32"/>
          <w:szCs w:val="32"/>
        </w:rPr>
        <w:t>五、主要条款的说明，主要技术指标、参数、试验验证的论述</w:t>
      </w:r>
    </w:p>
    <w:p w14:paraId="42EC24DA" w14:textId="5A5C25CE" w:rsidR="007E7F14" w:rsidRDefault="00000000" w:rsidP="007E7F14">
      <w:pPr>
        <w:spacing w:after="0" w:line="560" w:lineRule="exact"/>
        <w:ind w:firstLineChars="200" w:firstLine="640"/>
        <w:rPr>
          <w:rFonts w:ascii="仿宋_GB2312" w:eastAsia="仿宋_GB2312" w:hAnsi="宋体" w:hint="eastAsia"/>
          <w:sz w:val="32"/>
          <w:szCs w:val="32"/>
        </w:rPr>
      </w:pPr>
      <w:r>
        <w:rPr>
          <w:rFonts w:ascii="仿宋_GB2312" w:eastAsia="仿宋_GB2312" w:hAnsi="宋体" w:hint="eastAsia"/>
          <w:sz w:val="32"/>
          <w:szCs w:val="32"/>
        </w:rPr>
        <w:t>本标准主要章节内容包括</w:t>
      </w:r>
      <w:r w:rsidR="001438B2">
        <w:rPr>
          <w:rFonts w:ascii="仿宋_GB2312" w:eastAsia="仿宋_GB2312" w:hAnsi="宋体" w:hint="eastAsia"/>
          <w:sz w:val="32"/>
          <w:szCs w:val="32"/>
        </w:rPr>
        <w:t>：</w:t>
      </w:r>
      <w:r w:rsidR="00023BDE" w:rsidRPr="00023BDE">
        <w:rPr>
          <w:rFonts w:ascii="仿宋_GB2312" w:eastAsia="仿宋_GB2312" w:hAnsi="宋体" w:hint="eastAsia"/>
          <w:sz w:val="32"/>
          <w:szCs w:val="32"/>
        </w:rPr>
        <w:t>设施配置、</w:t>
      </w:r>
      <w:r w:rsidR="0062061D">
        <w:rPr>
          <w:rFonts w:ascii="仿宋_GB2312" w:eastAsia="仿宋_GB2312" w:hAnsi="宋体" w:hint="eastAsia"/>
          <w:sz w:val="32"/>
          <w:szCs w:val="32"/>
        </w:rPr>
        <w:t>水肥管理</w:t>
      </w:r>
      <w:r w:rsidR="00023BDE" w:rsidRPr="00023BDE">
        <w:rPr>
          <w:rFonts w:ascii="仿宋_GB2312" w:eastAsia="仿宋_GB2312" w:hAnsi="宋体" w:hint="eastAsia"/>
          <w:sz w:val="32"/>
          <w:szCs w:val="32"/>
        </w:rPr>
        <w:t>、系统维护、生产档案管理</w:t>
      </w:r>
      <w:r w:rsidR="007E7F14" w:rsidRPr="007E7F14">
        <w:rPr>
          <w:rFonts w:ascii="仿宋_GB2312" w:eastAsia="仿宋_GB2312" w:hAnsi="宋体" w:hint="eastAsia"/>
          <w:sz w:val="32"/>
          <w:szCs w:val="32"/>
        </w:rPr>
        <w:t>。</w:t>
      </w:r>
    </w:p>
    <w:p w14:paraId="769F840C" w14:textId="5F1C9649" w:rsidR="00672D24" w:rsidRPr="007E7F14" w:rsidRDefault="00672D24" w:rsidP="007E7F14">
      <w:pPr>
        <w:spacing w:after="0" w:line="560" w:lineRule="exact"/>
        <w:ind w:firstLineChars="200" w:firstLine="640"/>
        <w:rPr>
          <w:rFonts w:ascii="仿宋_GB2312" w:eastAsia="仿宋_GB2312" w:hAnsi="宋体" w:hint="eastAsia"/>
          <w:sz w:val="32"/>
          <w:szCs w:val="32"/>
        </w:rPr>
      </w:pPr>
      <w:r>
        <w:rPr>
          <w:rFonts w:ascii="仿宋_GB2312" w:eastAsia="仿宋_GB2312" w:hAnsi="宋体" w:hint="eastAsia"/>
          <w:sz w:val="32"/>
          <w:szCs w:val="32"/>
        </w:rPr>
        <w:t>标准编制组</w:t>
      </w:r>
      <w:r w:rsidRPr="00672D24">
        <w:rPr>
          <w:rFonts w:ascii="仿宋_GB2312" w:eastAsia="仿宋_GB2312" w:hAnsi="宋体"/>
          <w:sz w:val="32"/>
          <w:szCs w:val="32"/>
        </w:rPr>
        <w:t>在</w:t>
      </w:r>
      <w:proofErr w:type="gramStart"/>
      <w:r w:rsidRPr="00672D24">
        <w:rPr>
          <w:rFonts w:ascii="仿宋_GB2312" w:eastAsia="仿宋_GB2312" w:hAnsi="宋体"/>
          <w:sz w:val="32"/>
          <w:szCs w:val="32"/>
        </w:rPr>
        <w:t>砂梨及梨类</w:t>
      </w:r>
      <w:proofErr w:type="gramEnd"/>
      <w:r w:rsidRPr="00672D24">
        <w:rPr>
          <w:rFonts w:ascii="仿宋_GB2312" w:eastAsia="仿宋_GB2312" w:hAnsi="宋体"/>
          <w:sz w:val="32"/>
          <w:szCs w:val="32"/>
        </w:rPr>
        <w:t>水肥一体化领域拥有长期科研积累、成熟技术体系与大面积示范应用经验。</w:t>
      </w:r>
      <w:r w:rsidR="0088607B" w:rsidRPr="0088607B">
        <w:rPr>
          <w:rFonts w:ascii="仿宋_GB2312" w:eastAsia="仿宋_GB2312" w:hAnsi="宋体" w:hint="eastAsia"/>
          <w:sz w:val="32"/>
          <w:szCs w:val="32"/>
        </w:rPr>
        <w:t>广西特色作物研究院建有17个相关科研团队与47个科研平台，在柑橘、葡萄、苗圃等领域已形成“测土配方+精准灌溉+智能控制”技术框架，具备远程智能监测、定时定量供给、减肥增效等成熟实践，可将高效水肥管控与绿色防控协同模式直接迁移应用</w:t>
      </w:r>
      <w:proofErr w:type="gramStart"/>
      <w:r w:rsidR="0088607B" w:rsidRPr="0088607B">
        <w:rPr>
          <w:rFonts w:ascii="仿宋_GB2312" w:eastAsia="仿宋_GB2312" w:hAnsi="宋体" w:hint="eastAsia"/>
          <w:sz w:val="32"/>
          <w:szCs w:val="32"/>
        </w:rPr>
        <w:t>于砂梨</w:t>
      </w:r>
      <w:proofErr w:type="gramEnd"/>
      <w:r w:rsidR="0088607B" w:rsidRPr="0088607B">
        <w:rPr>
          <w:rFonts w:ascii="仿宋_GB2312" w:eastAsia="仿宋_GB2312" w:hAnsi="宋体" w:hint="eastAsia"/>
          <w:sz w:val="32"/>
          <w:szCs w:val="32"/>
        </w:rPr>
        <w:t>生产</w:t>
      </w:r>
      <w:r w:rsidR="00020F1C" w:rsidRPr="00020F1C">
        <w:rPr>
          <w:rFonts w:ascii="仿宋_GB2312" w:eastAsia="仿宋_GB2312" w:hAnsi="宋体" w:hint="eastAsia"/>
          <w:sz w:val="32"/>
          <w:szCs w:val="32"/>
        </w:rPr>
        <w:t>；南京农业大学自2009年依托国家</w:t>
      </w:r>
      <w:proofErr w:type="gramStart"/>
      <w:r w:rsidR="00020F1C" w:rsidRPr="00020F1C">
        <w:rPr>
          <w:rFonts w:ascii="仿宋_GB2312" w:eastAsia="仿宋_GB2312" w:hAnsi="宋体" w:hint="eastAsia"/>
          <w:sz w:val="32"/>
          <w:szCs w:val="32"/>
        </w:rPr>
        <w:t>梨</w:t>
      </w:r>
      <w:proofErr w:type="gramEnd"/>
      <w:r w:rsidR="00020F1C" w:rsidRPr="00020F1C">
        <w:rPr>
          <w:rFonts w:ascii="仿宋_GB2312" w:eastAsia="仿宋_GB2312" w:hAnsi="宋体" w:hint="eastAsia"/>
          <w:sz w:val="32"/>
          <w:szCs w:val="32"/>
        </w:rPr>
        <w:t>产业技术体系深耕梨园水肥管理，研发梨树专用水溶肥与精准施肥套餐，在桂、苏、豫、甘累计开展3.6万余亩次试验示范，</w:t>
      </w:r>
      <w:proofErr w:type="gramStart"/>
      <w:r w:rsidR="00020F1C" w:rsidRPr="00020F1C">
        <w:rPr>
          <w:rFonts w:ascii="仿宋_GB2312" w:eastAsia="仿宋_GB2312" w:hAnsi="宋体" w:hint="eastAsia"/>
          <w:sz w:val="32"/>
          <w:szCs w:val="32"/>
        </w:rPr>
        <w:lastRenderedPageBreak/>
        <w:t>实现减氮</w:t>
      </w:r>
      <w:proofErr w:type="gramEnd"/>
      <w:r w:rsidR="00020F1C" w:rsidRPr="00020F1C">
        <w:rPr>
          <w:rFonts w:ascii="仿宋_GB2312" w:eastAsia="仿宋_GB2312" w:hAnsi="宋体" w:hint="eastAsia"/>
          <w:sz w:val="32"/>
          <w:szCs w:val="32"/>
        </w:rPr>
        <w:t>30%～50%、增产5%以上，使梨果可溶性固形物提升1～1.5个百分点，相关技术可减少化肥用量15%～30%、提升肥料利用率10%～40%、增产10%以上，每亩节约化肥成本80～120元、亩增产值200～500元，获2项国家发明专利、2篇学术论文及国家级、省级科技奖励2项。</w:t>
      </w:r>
    </w:p>
    <w:p w14:paraId="53F00602" w14:textId="66B50ABF" w:rsidR="007A6E81" w:rsidRPr="003911CA" w:rsidRDefault="0088607B" w:rsidP="003911CA">
      <w:pPr>
        <w:spacing w:after="0" w:line="560" w:lineRule="exact"/>
        <w:ind w:firstLineChars="200" w:firstLine="640"/>
        <w:rPr>
          <w:rFonts w:ascii="仿宋_GB2312" w:eastAsia="仿宋_GB2312" w:hAnsi="宋体" w:hint="eastAsia"/>
          <w:sz w:val="32"/>
          <w:szCs w:val="32"/>
        </w:rPr>
      </w:pPr>
      <w:r>
        <w:rPr>
          <w:rFonts w:ascii="仿宋_GB2312" w:eastAsia="仿宋_GB2312" w:hAnsi="宋体" w:hint="eastAsia"/>
          <w:sz w:val="32"/>
          <w:szCs w:val="32"/>
        </w:rPr>
        <w:t>标准编制组</w:t>
      </w:r>
      <w:r w:rsidRPr="0088607B">
        <w:rPr>
          <w:rFonts w:ascii="仿宋_GB2312" w:eastAsia="仿宋_GB2312" w:hAnsi="宋体" w:hint="eastAsia"/>
          <w:sz w:val="32"/>
          <w:szCs w:val="32"/>
        </w:rPr>
        <w:t>已形成可复制、可推广</w:t>
      </w:r>
      <w:proofErr w:type="gramStart"/>
      <w:r w:rsidRPr="0088607B">
        <w:rPr>
          <w:rFonts w:ascii="仿宋_GB2312" w:eastAsia="仿宋_GB2312" w:hAnsi="宋体" w:hint="eastAsia"/>
          <w:sz w:val="32"/>
          <w:szCs w:val="32"/>
        </w:rPr>
        <w:t>的砂梨水肥</w:t>
      </w:r>
      <w:proofErr w:type="gramEnd"/>
      <w:r w:rsidRPr="0088607B">
        <w:rPr>
          <w:rFonts w:ascii="仿宋_GB2312" w:eastAsia="仿宋_GB2312" w:hAnsi="宋体" w:hint="eastAsia"/>
          <w:sz w:val="32"/>
          <w:szCs w:val="32"/>
        </w:rPr>
        <w:t>一体化技术模式，为规程编制提供了扎实试验数据、核心技术成果与规模化应用支撑</w:t>
      </w:r>
      <w:r w:rsidR="003911CA">
        <w:rPr>
          <w:rFonts w:ascii="仿宋_GB2312" w:eastAsia="仿宋_GB2312" w:hAnsi="宋体" w:hint="eastAsia"/>
          <w:sz w:val="32"/>
          <w:szCs w:val="32"/>
        </w:rPr>
        <w:t>，本标准具体依据来源说明如下：</w:t>
      </w:r>
    </w:p>
    <w:p w14:paraId="1FE41F52" w14:textId="77777777" w:rsidR="006A5419" w:rsidRDefault="006A5419" w:rsidP="003911CA">
      <w:pPr>
        <w:numPr>
          <w:ilvl w:val="0"/>
          <w:numId w:val="10"/>
        </w:numPr>
        <w:spacing w:after="0" w:line="560" w:lineRule="exact"/>
        <w:ind w:left="0" w:firstLineChars="200" w:firstLine="643"/>
        <w:rPr>
          <w:rFonts w:ascii="楷体" w:eastAsia="楷体" w:hAnsi="楷体" w:hint="eastAsia"/>
          <w:b/>
          <w:sz w:val="32"/>
          <w:szCs w:val="32"/>
        </w:rPr>
      </w:pPr>
      <w:r w:rsidRPr="006A5419">
        <w:rPr>
          <w:rFonts w:ascii="楷体" w:eastAsia="楷体" w:hAnsi="楷体" w:hint="eastAsia"/>
          <w:b/>
          <w:sz w:val="32"/>
          <w:szCs w:val="32"/>
        </w:rPr>
        <w:t>设施配置</w:t>
      </w:r>
    </w:p>
    <w:p w14:paraId="3DB650A8" w14:textId="03499F9D" w:rsidR="00994997" w:rsidRDefault="00994997" w:rsidP="00994997">
      <w:pPr>
        <w:spacing w:after="0" w:line="560" w:lineRule="exact"/>
        <w:ind w:left="643"/>
        <w:rPr>
          <w:rFonts w:ascii="楷体" w:eastAsia="楷体" w:hAnsi="楷体" w:hint="eastAsia"/>
          <w:b/>
          <w:sz w:val="32"/>
          <w:szCs w:val="32"/>
        </w:rPr>
      </w:pPr>
      <w:r>
        <w:rPr>
          <w:rFonts w:ascii="楷体" w:eastAsia="楷体" w:hAnsi="楷体" w:hint="eastAsia"/>
          <w:b/>
          <w:sz w:val="32"/>
          <w:szCs w:val="32"/>
        </w:rPr>
        <w:t>1.</w:t>
      </w:r>
      <w:r w:rsidR="00722829">
        <w:rPr>
          <w:rFonts w:ascii="楷体" w:eastAsia="楷体" w:hAnsi="楷体" w:hint="eastAsia"/>
          <w:b/>
          <w:sz w:val="32"/>
          <w:szCs w:val="32"/>
        </w:rPr>
        <w:t>1</w:t>
      </w:r>
      <w:r w:rsidRPr="00994997">
        <w:rPr>
          <w:rFonts w:ascii="楷体" w:eastAsia="楷体" w:hAnsi="楷体" w:hint="eastAsia"/>
          <w:b/>
          <w:sz w:val="32"/>
          <w:szCs w:val="32"/>
        </w:rPr>
        <w:t>灌溉系统</w:t>
      </w:r>
    </w:p>
    <w:p w14:paraId="6954AD96" w14:textId="77777777" w:rsidR="00576AFB" w:rsidRDefault="00225420" w:rsidP="006A5419">
      <w:pPr>
        <w:spacing w:after="0" w:line="560" w:lineRule="exact"/>
        <w:ind w:firstLineChars="200" w:firstLine="640"/>
        <w:rPr>
          <w:rFonts w:ascii="仿宋_GB2312" w:eastAsia="仿宋_GB2312" w:hAnsi="宋体" w:hint="eastAsia"/>
          <w:sz w:val="32"/>
          <w:szCs w:val="32"/>
        </w:rPr>
      </w:pPr>
      <w:r w:rsidRPr="00225420">
        <w:rPr>
          <w:rFonts w:ascii="仿宋_GB2312" w:eastAsia="仿宋_GB2312" w:hAnsi="宋体" w:hint="eastAsia"/>
          <w:sz w:val="32"/>
          <w:szCs w:val="32"/>
        </w:rPr>
        <w:t>滴灌和微喷灌是水肥一体化技术中最成熟、应用最广泛的灌溉方式。滴灌能够将水肥直接输送</w:t>
      </w:r>
      <w:proofErr w:type="gramStart"/>
      <w:r w:rsidRPr="00225420">
        <w:rPr>
          <w:rFonts w:ascii="仿宋_GB2312" w:eastAsia="仿宋_GB2312" w:hAnsi="宋体" w:hint="eastAsia"/>
          <w:sz w:val="32"/>
          <w:szCs w:val="32"/>
        </w:rPr>
        <w:t>到砂梨</w:t>
      </w:r>
      <w:proofErr w:type="gramEnd"/>
      <w:r w:rsidRPr="00225420">
        <w:rPr>
          <w:rFonts w:ascii="仿宋_GB2312" w:eastAsia="仿宋_GB2312" w:hAnsi="宋体" w:hint="eastAsia"/>
          <w:sz w:val="32"/>
          <w:szCs w:val="32"/>
        </w:rPr>
        <w:t>根系分布区域，水分利用率可达90%以上，较传统地面灌溉节水40%～60%；微喷灌则</w:t>
      </w:r>
      <w:proofErr w:type="gramStart"/>
      <w:r w:rsidRPr="00225420">
        <w:rPr>
          <w:rFonts w:ascii="仿宋_GB2312" w:eastAsia="仿宋_GB2312" w:hAnsi="宋体" w:hint="eastAsia"/>
          <w:sz w:val="32"/>
          <w:szCs w:val="32"/>
        </w:rPr>
        <w:t>适用于砂梨幼树</w:t>
      </w:r>
      <w:proofErr w:type="gramEnd"/>
      <w:r w:rsidRPr="00225420">
        <w:rPr>
          <w:rFonts w:ascii="仿宋_GB2312" w:eastAsia="仿宋_GB2312" w:hAnsi="宋体" w:hint="eastAsia"/>
          <w:sz w:val="32"/>
          <w:szCs w:val="32"/>
        </w:rPr>
        <w:t>期或行间生草覆盖区域，具有增湿降温、改善果园小气候的辅助功能。</w:t>
      </w:r>
      <w:proofErr w:type="gramStart"/>
      <w:r w:rsidRPr="00225420">
        <w:rPr>
          <w:rFonts w:ascii="仿宋_GB2312" w:eastAsia="仿宋_GB2312" w:hAnsi="宋体" w:hint="eastAsia"/>
          <w:sz w:val="32"/>
          <w:szCs w:val="32"/>
        </w:rPr>
        <w:t>砂梨叶片</w:t>
      </w:r>
      <w:proofErr w:type="gramEnd"/>
      <w:r w:rsidRPr="00225420">
        <w:rPr>
          <w:rFonts w:ascii="仿宋_GB2312" w:eastAsia="仿宋_GB2312" w:hAnsi="宋体" w:hint="eastAsia"/>
          <w:sz w:val="32"/>
          <w:szCs w:val="32"/>
        </w:rPr>
        <w:t>大、革质层较薄，制造1</w:t>
      </w:r>
      <w:r>
        <w:rPr>
          <w:rFonts w:ascii="仿宋_GB2312" w:eastAsia="仿宋_GB2312" w:hAnsi="宋体" w:hint="eastAsia"/>
          <w:sz w:val="32"/>
          <w:szCs w:val="32"/>
        </w:rPr>
        <w:t>g</w:t>
      </w:r>
      <w:r w:rsidRPr="00225420">
        <w:rPr>
          <w:rFonts w:ascii="仿宋_GB2312" w:eastAsia="仿宋_GB2312" w:hAnsi="宋体" w:hint="eastAsia"/>
          <w:sz w:val="32"/>
          <w:szCs w:val="32"/>
        </w:rPr>
        <w:t>干物质需要的水分比洋梨更多，对水分供给的均匀性和持续性要求更高，滴灌与微喷灌能够精准</w:t>
      </w:r>
      <w:proofErr w:type="gramStart"/>
      <w:r w:rsidRPr="00225420">
        <w:rPr>
          <w:rFonts w:ascii="仿宋_GB2312" w:eastAsia="仿宋_GB2312" w:hAnsi="宋体" w:hint="eastAsia"/>
          <w:sz w:val="32"/>
          <w:szCs w:val="32"/>
        </w:rPr>
        <w:t>匹配砂梨的</w:t>
      </w:r>
      <w:proofErr w:type="gramEnd"/>
      <w:r w:rsidRPr="00225420">
        <w:rPr>
          <w:rFonts w:ascii="仿宋_GB2312" w:eastAsia="仿宋_GB2312" w:hAnsi="宋体" w:hint="eastAsia"/>
          <w:sz w:val="32"/>
          <w:szCs w:val="32"/>
        </w:rPr>
        <w:t>这一生理特性。过滤器是保障滴灌系统正常运行的核心部件，</w:t>
      </w:r>
      <w:proofErr w:type="gramStart"/>
      <w:r w:rsidRPr="00225420">
        <w:rPr>
          <w:rFonts w:ascii="仿宋_GB2312" w:eastAsia="仿宋_GB2312" w:hAnsi="宋体" w:hint="eastAsia"/>
          <w:sz w:val="32"/>
          <w:szCs w:val="32"/>
        </w:rPr>
        <w:t>砂梨灌溉</w:t>
      </w:r>
      <w:proofErr w:type="gramEnd"/>
      <w:r w:rsidRPr="00225420">
        <w:rPr>
          <w:rFonts w:ascii="仿宋_GB2312" w:eastAsia="仿宋_GB2312" w:hAnsi="宋体" w:hint="eastAsia"/>
          <w:sz w:val="32"/>
          <w:szCs w:val="32"/>
        </w:rPr>
        <w:t>水源多取自河流、水库或地下水，不同程度含有泥沙、有机物等杂质，若不经过滤将直接导致滴头堵塞，影响灌溉均匀度和系统寿命。</w:t>
      </w:r>
      <w:proofErr w:type="gramStart"/>
      <w:r w:rsidRPr="00225420">
        <w:rPr>
          <w:rFonts w:ascii="仿宋_GB2312" w:eastAsia="仿宋_GB2312" w:hAnsi="宋体" w:hint="eastAsia"/>
          <w:sz w:val="32"/>
          <w:szCs w:val="32"/>
        </w:rPr>
        <w:t>施肥器</w:t>
      </w:r>
      <w:proofErr w:type="gramEnd"/>
      <w:r w:rsidRPr="00225420">
        <w:rPr>
          <w:rFonts w:ascii="仿宋_GB2312" w:eastAsia="仿宋_GB2312" w:hAnsi="宋体" w:hint="eastAsia"/>
          <w:sz w:val="32"/>
          <w:szCs w:val="32"/>
        </w:rPr>
        <w:t>的选择则根据种植规模和经济条件灵活配置——压差式施肥装置成本低、操作简便，适合中小规模果园；智能施肥机可实现对施肥量、施肥时间、施肥浓度的精准自动控制，适合规模化、标准化种植果园。</w:t>
      </w:r>
      <w:r w:rsidRPr="00225420">
        <w:rPr>
          <w:rFonts w:ascii="仿宋_GB2312" w:eastAsia="仿宋_GB2312" w:hAnsi="宋体" w:hint="eastAsia"/>
          <w:sz w:val="32"/>
          <w:szCs w:val="32"/>
        </w:rPr>
        <w:lastRenderedPageBreak/>
        <w:t>GB/T 17187规定了滴头和</w:t>
      </w:r>
      <w:proofErr w:type="gramStart"/>
      <w:r w:rsidRPr="00225420">
        <w:rPr>
          <w:rFonts w:ascii="仿宋_GB2312" w:eastAsia="仿宋_GB2312" w:hAnsi="宋体" w:hint="eastAsia"/>
          <w:sz w:val="32"/>
          <w:szCs w:val="32"/>
        </w:rPr>
        <w:t>滴灌管</w:t>
      </w:r>
      <w:proofErr w:type="gramEnd"/>
      <w:r w:rsidRPr="00225420">
        <w:rPr>
          <w:rFonts w:ascii="仿宋_GB2312" w:eastAsia="仿宋_GB2312" w:hAnsi="宋体" w:hint="eastAsia"/>
          <w:sz w:val="32"/>
          <w:szCs w:val="32"/>
        </w:rPr>
        <w:t>的机械性能、技术要求和试验方法，GB/T 43908则规定了水肥一体化设备的产品型号、技术要求、检验规则，两项国家标准的引用确保了灌溉系统设备的选型、安装和质量有据可依。</w:t>
      </w:r>
    </w:p>
    <w:p w14:paraId="052CA419" w14:textId="0295A549" w:rsidR="006A5419" w:rsidRDefault="00576AFB" w:rsidP="006A5419">
      <w:pPr>
        <w:spacing w:after="0" w:line="560" w:lineRule="exact"/>
        <w:ind w:firstLineChars="200" w:firstLine="640"/>
        <w:rPr>
          <w:rFonts w:ascii="仿宋_GB2312" w:eastAsia="仿宋_GB2312" w:hAnsi="宋体" w:hint="eastAsia"/>
          <w:sz w:val="32"/>
          <w:szCs w:val="32"/>
        </w:rPr>
      </w:pPr>
      <w:r>
        <w:rPr>
          <w:rFonts w:ascii="仿宋_GB2312" w:eastAsia="仿宋_GB2312" w:hAnsi="宋体" w:hint="eastAsia"/>
          <w:sz w:val="32"/>
          <w:szCs w:val="32"/>
        </w:rPr>
        <w:t>基于上述考虑，</w:t>
      </w:r>
      <w:proofErr w:type="gramStart"/>
      <w:r>
        <w:rPr>
          <w:rFonts w:ascii="仿宋_GB2312" w:eastAsia="仿宋_GB2312" w:hAnsi="宋体" w:hint="eastAsia"/>
          <w:sz w:val="32"/>
          <w:szCs w:val="32"/>
        </w:rPr>
        <w:t>明确</w:t>
      </w:r>
      <w:r w:rsidRPr="00576AFB">
        <w:rPr>
          <w:rFonts w:ascii="仿宋_GB2312" w:eastAsia="仿宋_GB2312" w:hAnsi="宋体" w:hint="eastAsia"/>
          <w:sz w:val="32"/>
          <w:szCs w:val="32"/>
        </w:rPr>
        <w:t>砂梨水肥</w:t>
      </w:r>
      <w:proofErr w:type="gramEnd"/>
      <w:r w:rsidRPr="00E423A3">
        <w:rPr>
          <w:rFonts w:ascii="仿宋_GB2312" w:eastAsia="仿宋_GB2312" w:hAnsi="宋体" w:hint="eastAsia"/>
          <w:sz w:val="32"/>
          <w:szCs w:val="32"/>
        </w:rPr>
        <w:t>一体化灌溉系统采用滴</w:t>
      </w:r>
      <w:r w:rsidRPr="00576AFB">
        <w:rPr>
          <w:rFonts w:ascii="仿宋_GB2312" w:eastAsia="仿宋_GB2312" w:hAnsi="宋体" w:hint="eastAsia"/>
          <w:sz w:val="32"/>
          <w:szCs w:val="32"/>
        </w:rPr>
        <w:t>灌、微喷灌，配套过滤器、施肥器（压差式施肥装置、智能施肥机等）、阀门、输水管道、首部枢纽，并符合GB/T 17187和GB/T 43908的要求</w:t>
      </w:r>
      <w:r>
        <w:rPr>
          <w:rFonts w:ascii="仿宋_GB2312" w:eastAsia="仿宋_GB2312" w:hAnsi="宋体" w:hint="eastAsia"/>
          <w:sz w:val="32"/>
          <w:szCs w:val="32"/>
        </w:rPr>
        <w:t>。</w:t>
      </w:r>
    </w:p>
    <w:p w14:paraId="2ED7ABA9" w14:textId="03214558" w:rsidR="0032465B" w:rsidRDefault="0032465B" w:rsidP="005C1EAA">
      <w:pPr>
        <w:spacing w:after="0" w:line="240" w:lineRule="auto"/>
        <w:jc w:val="center"/>
        <w:rPr>
          <w:rFonts w:ascii="仿宋_GB2312" w:eastAsia="仿宋_GB2312" w:hAnsi="宋体" w:hint="eastAsia"/>
          <w:sz w:val="32"/>
          <w:szCs w:val="32"/>
        </w:rPr>
      </w:pPr>
      <w:r w:rsidRPr="0032465B">
        <w:rPr>
          <w:rFonts w:ascii="仿宋_GB2312" w:eastAsia="仿宋_GB2312" w:hAnsi="宋体"/>
          <w:noProof/>
          <w:sz w:val="32"/>
          <w:szCs w:val="32"/>
        </w:rPr>
        <w:drawing>
          <wp:inline distT="0" distB="0" distL="0" distR="0" wp14:anchorId="44EFAB25" wp14:editId="05484B5F">
            <wp:extent cx="3334192" cy="2221055"/>
            <wp:effectExtent l="0" t="0" r="0" b="8255"/>
            <wp:docPr id="45498650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9073" cy="2224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AA7754" w14:textId="70F4E7AC" w:rsidR="0032465B" w:rsidRDefault="0032465B" w:rsidP="0032465B">
      <w:pPr>
        <w:spacing w:after="0" w:line="240" w:lineRule="auto"/>
        <w:jc w:val="center"/>
        <w:rPr>
          <w:rFonts w:ascii="黑体" w:eastAsia="黑体" w:hAnsi="黑体" w:hint="eastAsia"/>
          <w:sz w:val="28"/>
          <w:szCs w:val="28"/>
        </w:rPr>
      </w:pPr>
      <w:r w:rsidRPr="0032465B">
        <w:rPr>
          <w:rFonts w:ascii="黑体" w:eastAsia="黑体" w:hAnsi="黑体" w:hint="eastAsia"/>
          <w:sz w:val="28"/>
          <w:szCs w:val="28"/>
        </w:rPr>
        <w:t>微喷灌</w:t>
      </w:r>
    </w:p>
    <w:p w14:paraId="685E0F07" w14:textId="6DFCD0E1" w:rsidR="005C1EAA" w:rsidRDefault="005C1EAA" w:rsidP="005C1EAA">
      <w:pPr>
        <w:spacing w:after="0" w:line="240" w:lineRule="auto"/>
        <w:jc w:val="center"/>
        <w:rPr>
          <w:rFonts w:ascii="黑体" w:eastAsia="黑体" w:hAnsi="黑体" w:hint="eastAsia"/>
          <w:sz w:val="28"/>
          <w:szCs w:val="28"/>
        </w:rPr>
      </w:pPr>
      <w:r w:rsidRPr="005C1EAA">
        <w:rPr>
          <w:rFonts w:ascii="黑体" w:eastAsia="黑体" w:hAnsi="黑体"/>
          <w:noProof/>
          <w:sz w:val="28"/>
          <w:szCs w:val="28"/>
        </w:rPr>
        <w:drawing>
          <wp:inline distT="0" distB="0" distL="0" distR="0" wp14:anchorId="6105F860" wp14:editId="67E98961">
            <wp:extent cx="1670026" cy="2226366"/>
            <wp:effectExtent l="0" t="0" r="6985" b="2540"/>
            <wp:docPr id="76426597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5997" cy="2234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691113" w14:textId="20762D9B" w:rsidR="005C1EAA" w:rsidRPr="0032465B" w:rsidRDefault="005C1EAA" w:rsidP="005C1EAA">
      <w:pPr>
        <w:spacing w:after="0" w:line="240" w:lineRule="auto"/>
        <w:jc w:val="center"/>
        <w:rPr>
          <w:rFonts w:ascii="黑体" w:eastAsia="黑体" w:hAnsi="黑体" w:hint="eastAsia"/>
          <w:sz w:val="28"/>
          <w:szCs w:val="28"/>
        </w:rPr>
      </w:pPr>
      <w:r w:rsidRPr="005C1EAA">
        <w:rPr>
          <w:rFonts w:ascii="黑体" w:eastAsia="黑体" w:hAnsi="黑体" w:hint="eastAsia"/>
          <w:sz w:val="28"/>
          <w:szCs w:val="28"/>
        </w:rPr>
        <w:t>简易水肥一体化</w:t>
      </w:r>
    </w:p>
    <w:p w14:paraId="277F94B5" w14:textId="52F9A172" w:rsidR="00994997" w:rsidRPr="00994997" w:rsidRDefault="00722829" w:rsidP="00994997">
      <w:pPr>
        <w:spacing w:after="0" w:line="560" w:lineRule="exact"/>
        <w:ind w:left="643"/>
        <w:rPr>
          <w:rFonts w:ascii="楷体" w:eastAsia="楷体" w:hAnsi="楷体" w:hint="eastAsia"/>
          <w:b/>
          <w:sz w:val="32"/>
          <w:szCs w:val="32"/>
        </w:rPr>
      </w:pPr>
      <w:r>
        <w:rPr>
          <w:rFonts w:ascii="楷体" w:eastAsia="楷体" w:hAnsi="楷体" w:hint="eastAsia"/>
          <w:b/>
          <w:sz w:val="32"/>
          <w:szCs w:val="32"/>
        </w:rPr>
        <w:lastRenderedPageBreak/>
        <w:t>1.2</w:t>
      </w:r>
      <w:r w:rsidR="00994997" w:rsidRPr="00994997">
        <w:rPr>
          <w:rFonts w:ascii="楷体" w:eastAsia="楷体" w:hAnsi="楷体" w:hint="eastAsia"/>
          <w:b/>
          <w:sz w:val="32"/>
          <w:szCs w:val="32"/>
        </w:rPr>
        <w:t>监测设备</w:t>
      </w:r>
    </w:p>
    <w:p w14:paraId="0F8D6BDF" w14:textId="22374DE8" w:rsidR="00576AFB" w:rsidRDefault="00F422AE" w:rsidP="006A5419">
      <w:pPr>
        <w:spacing w:after="0" w:line="560" w:lineRule="exact"/>
        <w:ind w:firstLineChars="200" w:firstLine="640"/>
        <w:rPr>
          <w:rFonts w:ascii="仿宋_GB2312" w:eastAsia="仿宋_GB2312" w:hAnsi="宋体" w:hint="eastAsia"/>
          <w:sz w:val="32"/>
          <w:szCs w:val="32"/>
        </w:rPr>
      </w:pPr>
      <w:r w:rsidRPr="00F422AE">
        <w:rPr>
          <w:rFonts w:ascii="仿宋_GB2312" w:eastAsia="仿宋_GB2312" w:hAnsi="宋体" w:hint="eastAsia"/>
          <w:sz w:val="32"/>
          <w:szCs w:val="32"/>
        </w:rPr>
        <w:t>监测设备</w:t>
      </w:r>
      <w:r>
        <w:rPr>
          <w:rFonts w:ascii="仿宋_GB2312" w:eastAsia="仿宋_GB2312" w:hAnsi="宋体" w:hint="eastAsia"/>
          <w:sz w:val="32"/>
          <w:szCs w:val="32"/>
        </w:rPr>
        <w:t>有利于</w:t>
      </w:r>
      <w:r w:rsidRPr="00F422AE">
        <w:rPr>
          <w:rFonts w:ascii="仿宋_GB2312" w:eastAsia="仿宋_GB2312" w:hAnsi="宋体" w:hint="eastAsia"/>
          <w:sz w:val="32"/>
          <w:szCs w:val="32"/>
        </w:rPr>
        <w:t>水肥一体化实现精准管理。土壤水分传感器能够实时</w:t>
      </w:r>
      <w:proofErr w:type="gramStart"/>
      <w:r w:rsidRPr="00F422AE">
        <w:rPr>
          <w:rFonts w:ascii="仿宋_GB2312" w:eastAsia="仿宋_GB2312" w:hAnsi="宋体" w:hint="eastAsia"/>
          <w:sz w:val="32"/>
          <w:szCs w:val="32"/>
        </w:rPr>
        <w:t>监测砂梨根系</w:t>
      </w:r>
      <w:proofErr w:type="gramEnd"/>
      <w:r w:rsidRPr="00F422AE">
        <w:rPr>
          <w:rFonts w:ascii="仿宋_GB2312" w:eastAsia="仿宋_GB2312" w:hAnsi="宋体" w:hint="eastAsia"/>
          <w:sz w:val="32"/>
          <w:szCs w:val="32"/>
        </w:rPr>
        <w:t>层（20cm～30cm）的土壤含水量，</w:t>
      </w:r>
      <w:r>
        <w:rPr>
          <w:rFonts w:ascii="仿宋_GB2312" w:eastAsia="仿宋_GB2312" w:hAnsi="宋体" w:hint="eastAsia"/>
          <w:sz w:val="32"/>
          <w:szCs w:val="32"/>
        </w:rPr>
        <w:t>可</w:t>
      </w:r>
      <w:r w:rsidRPr="00F422AE">
        <w:rPr>
          <w:rFonts w:ascii="仿宋_GB2312" w:eastAsia="仿宋_GB2312" w:hAnsi="宋体" w:hint="eastAsia"/>
          <w:sz w:val="32"/>
          <w:szCs w:val="32"/>
        </w:rPr>
        <w:t>为确定灌水时期和灌水量提供直接数据支撑，避免凭经验灌水导致的水分不足或渍水危害。pH传感器用于监测土壤酸碱度变化，</w:t>
      </w:r>
      <w:proofErr w:type="gramStart"/>
      <w:r w:rsidRPr="00F422AE">
        <w:rPr>
          <w:rFonts w:ascii="仿宋_GB2312" w:eastAsia="仿宋_GB2312" w:hAnsi="宋体" w:hint="eastAsia"/>
          <w:sz w:val="32"/>
          <w:szCs w:val="32"/>
        </w:rPr>
        <w:t>砂梨适宜</w:t>
      </w:r>
      <w:proofErr w:type="gramEnd"/>
      <w:r w:rsidRPr="00F422AE">
        <w:rPr>
          <w:rFonts w:ascii="仿宋_GB2312" w:eastAsia="仿宋_GB2312" w:hAnsi="宋体" w:hint="eastAsia"/>
          <w:sz w:val="32"/>
          <w:szCs w:val="32"/>
        </w:rPr>
        <w:t>在pH5.5～6.5的微酸性土壤中生长，长期施用化肥可能导致土壤酸化，需通过监测及时调整施肥方案。叶片营养快速检测设备服务于本文件提出的“宜根据砂梨叶片矿质营养诊断结果调整施肥方案”的技术要求，使种植者能够在</w:t>
      </w:r>
      <w:proofErr w:type="gramStart"/>
      <w:r w:rsidRPr="00F422AE">
        <w:rPr>
          <w:rFonts w:ascii="仿宋_GB2312" w:eastAsia="仿宋_GB2312" w:hAnsi="宋体" w:hint="eastAsia"/>
          <w:sz w:val="32"/>
          <w:szCs w:val="32"/>
        </w:rPr>
        <w:t>砂梨关键生育期快速</w:t>
      </w:r>
      <w:proofErr w:type="gramEnd"/>
      <w:r w:rsidRPr="00F422AE">
        <w:rPr>
          <w:rFonts w:ascii="仿宋_GB2312" w:eastAsia="仿宋_GB2312" w:hAnsi="宋体" w:hint="eastAsia"/>
          <w:sz w:val="32"/>
          <w:szCs w:val="32"/>
        </w:rPr>
        <w:t>掌握树体营养状况，实现按需施肥。</w:t>
      </w:r>
    </w:p>
    <w:p w14:paraId="2F55E61C" w14:textId="26A22160" w:rsidR="00F422AE" w:rsidRPr="006A5419" w:rsidRDefault="00F422AE" w:rsidP="006A5419">
      <w:pPr>
        <w:spacing w:after="0" w:line="560" w:lineRule="exact"/>
        <w:ind w:firstLineChars="200" w:firstLine="640"/>
        <w:rPr>
          <w:rFonts w:ascii="仿宋_GB2312" w:eastAsia="仿宋_GB2312" w:hAnsi="宋体" w:hint="eastAsia"/>
          <w:sz w:val="32"/>
          <w:szCs w:val="32"/>
          <w:highlight w:val="yellow"/>
        </w:rPr>
      </w:pPr>
      <w:r>
        <w:rPr>
          <w:rFonts w:ascii="仿宋_GB2312" w:eastAsia="仿宋_GB2312" w:hAnsi="宋体" w:hint="eastAsia"/>
          <w:sz w:val="32"/>
          <w:szCs w:val="32"/>
        </w:rPr>
        <w:t>基于上述考虑，明确了</w:t>
      </w:r>
      <w:r w:rsidRPr="00F422AE">
        <w:rPr>
          <w:rFonts w:ascii="仿宋_GB2312" w:eastAsia="仿宋_GB2312" w:hAnsi="宋体" w:hint="eastAsia"/>
          <w:sz w:val="32"/>
          <w:szCs w:val="32"/>
        </w:rPr>
        <w:t>配备土壤水分传感器、pH传感器等，宜配置叶片营养快速检测设备</w:t>
      </w:r>
      <w:r>
        <w:rPr>
          <w:rFonts w:ascii="仿宋_GB2312" w:eastAsia="仿宋_GB2312" w:hAnsi="宋体" w:hint="eastAsia"/>
          <w:sz w:val="32"/>
          <w:szCs w:val="32"/>
        </w:rPr>
        <w:t>的要求。</w:t>
      </w:r>
    </w:p>
    <w:p w14:paraId="31272C43" w14:textId="0CDA39D3" w:rsidR="006A5419" w:rsidRDefault="0062061D" w:rsidP="003911CA">
      <w:pPr>
        <w:numPr>
          <w:ilvl w:val="0"/>
          <w:numId w:val="10"/>
        </w:numPr>
        <w:spacing w:after="0" w:line="560" w:lineRule="exact"/>
        <w:ind w:left="0" w:firstLineChars="200" w:firstLine="643"/>
        <w:rPr>
          <w:rFonts w:ascii="楷体" w:eastAsia="楷体" w:hAnsi="楷体" w:hint="eastAsia"/>
          <w:b/>
          <w:sz w:val="32"/>
          <w:szCs w:val="32"/>
        </w:rPr>
      </w:pPr>
      <w:r>
        <w:rPr>
          <w:rFonts w:ascii="楷体" w:eastAsia="楷体" w:hAnsi="楷体" w:hint="eastAsia"/>
          <w:b/>
          <w:sz w:val="32"/>
          <w:szCs w:val="32"/>
        </w:rPr>
        <w:t>水肥管理</w:t>
      </w:r>
    </w:p>
    <w:p w14:paraId="07631B59" w14:textId="6B7BB131" w:rsidR="006A5419" w:rsidRPr="00E423A3" w:rsidRDefault="00722829" w:rsidP="00E423A3">
      <w:pPr>
        <w:spacing w:after="0" w:line="560" w:lineRule="exact"/>
        <w:ind w:left="643"/>
        <w:rPr>
          <w:rFonts w:ascii="楷体" w:eastAsia="楷体" w:hAnsi="楷体" w:hint="eastAsia"/>
          <w:b/>
          <w:sz w:val="32"/>
          <w:szCs w:val="32"/>
        </w:rPr>
      </w:pPr>
      <w:r>
        <w:rPr>
          <w:rFonts w:ascii="楷体" w:eastAsia="楷体" w:hAnsi="楷体" w:hint="eastAsia"/>
          <w:b/>
          <w:sz w:val="32"/>
          <w:szCs w:val="32"/>
        </w:rPr>
        <w:t>2.1</w:t>
      </w:r>
      <w:r w:rsidR="00562C02" w:rsidRPr="00E423A3">
        <w:rPr>
          <w:rFonts w:ascii="楷体" w:eastAsia="楷体" w:hAnsi="楷体" w:hint="eastAsia"/>
          <w:b/>
          <w:sz w:val="32"/>
          <w:szCs w:val="32"/>
        </w:rPr>
        <w:t>水质要求</w:t>
      </w:r>
    </w:p>
    <w:p w14:paraId="5E26EABD" w14:textId="2E640CAF" w:rsidR="00562C02" w:rsidRDefault="00562C02" w:rsidP="00CD5657">
      <w:pPr>
        <w:spacing w:after="0" w:line="560" w:lineRule="exact"/>
        <w:ind w:firstLineChars="200" w:firstLine="640"/>
        <w:rPr>
          <w:rFonts w:ascii="仿宋_GB2312" w:eastAsia="仿宋_GB2312" w:hAnsi="宋体" w:hint="eastAsia"/>
          <w:sz w:val="32"/>
          <w:szCs w:val="32"/>
        </w:rPr>
      </w:pPr>
      <w:r w:rsidRPr="00562C02">
        <w:rPr>
          <w:rFonts w:ascii="仿宋_GB2312" w:eastAsia="仿宋_GB2312" w:hAnsi="宋体" w:hint="eastAsia"/>
          <w:sz w:val="32"/>
          <w:szCs w:val="32"/>
        </w:rPr>
        <w:t>灌溉水质量直接关系到水肥一体化系统的运行安全和施肥效果。GB 5084《农田灌溉水质标准》对灌溉水的pH值、悬浮物、化学需氧量、重金属含量等指标</w:t>
      </w:r>
      <w:r w:rsidR="00C7031B">
        <w:rPr>
          <w:rFonts w:ascii="仿宋_GB2312" w:eastAsia="仿宋_GB2312" w:hAnsi="宋体" w:hint="eastAsia"/>
          <w:sz w:val="32"/>
          <w:szCs w:val="32"/>
        </w:rPr>
        <w:t>做</w:t>
      </w:r>
      <w:r w:rsidRPr="00562C02">
        <w:rPr>
          <w:rFonts w:ascii="仿宋_GB2312" w:eastAsia="仿宋_GB2312" w:hAnsi="宋体" w:hint="eastAsia"/>
          <w:sz w:val="32"/>
          <w:szCs w:val="32"/>
        </w:rPr>
        <w:t>出了明确规定，是保障农产品质</w:t>
      </w:r>
      <w:proofErr w:type="gramStart"/>
      <w:r w:rsidRPr="00562C02">
        <w:rPr>
          <w:rFonts w:ascii="仿宋_GB2312" w:eastAsia="仿宋_GB2312" w:hAnsi="宋体" w:hint="eastAsia"/>
          <w:sz w:val="32"/>
          <w:szCs w:val="32"/>
        </w:rPr>
        <w:t>量安全</w:t>
      </w:r>
      <w:proofErr w:type="gramEnd"/>
      <w:r w:rsidRPr="00562C02">
        <w:rPr>
          <w:rFonts w:ascii="仿宋_GB2312" w:eastAsia="仿宋_GB2312" w:hAnsi="宋体" w:hint="eastAsia"/>
          <w:sz w:val="32"/>
          <w:szCs w:val="32"/>
        </w:rPr>
        <w:t>和土壤健康的基本底线。将灌溉水pH值限定在5.5～6.5，主要基于以下考虑：一是该pH范围</w:t>
      </w:r>
      <w:proofErr w:type="gramStart"/>
      <w:r w:rsidRPr="00562C02">
        <w:rPr>
          <w:rFonts w:ascii="仿宋_GB2312" w:eastAsia="仿宋_GB2312" w:hAnsi="宋体" w:hint="eastAsia"/>
          <w:sz w:val="32"/>
          <w:szCs w:val="32"/>
        </w:rPr>
        <w:t>与砂梨适宜</w:t>
      </w:r>
      <w:proofErr w:type="gramEnd"/>
      <w:r w:rsidRPr="00562C02">
        <w:rPr>
          <w:rFonts w:ascii="仿宋_GB2312" w:eastAsia="仿宋_GB2312" w:hAnsi="宋体" w:hint="eastAsia"/>
          <w:sz w:val="32"/>
          <w:szCs w:val="32"/>
        </w:rPr>
        <w:t>的土壤pH范围（5.5～6.5）一致，使用与土壤pH相近的灌溉水不会引起土壤酸碱度的剧烈波动；二是在此pH范围内，大量元素（氮、磷、钾）和微量元素（铁、锌、锰、硼等）的有效性最高，有利于肥料养分的溶解和根系吸收；</w:t>
      </w:r>
      <w:r w:rsidRPr="00562C02">
        <w:rPr>
          <w:rFonts w:ascii="仿宋_GB2312" w:eastAsia="仿宋_GB2312" w:hAnsi="宋体" w:hint="eastAsia"/>
          <w:sz w:val="32"/>
          <w:szCs w:val="32"/>
        </w:rPr>
        <w:lastRenderedPageBreak/>
        <w:t>三是pH值过高或过低均可能加剧灌溉系统堵塞风险</w:t>
      </w:r>
      <w:r w:rsidR="00C7031B">
        <w:rPr>
          <w:rFonts w:ascii="仿宋_GB2312" w:eastAsia="仿宋_GB2312" w:hAnsi="宋体" w:hint="eastAsia"/>
          <w:sz w:val="32"/>
          <w:szCs w:val="32"/>
        </w:rPr>
        <w:t>，</w:t>
      </w:r>
      <w:r w:rsidRPr="00562C02">
        <w:rPr>
          <w:rFonts w:ascii="仿宋_GB2312" w:eastAsia="仿宋_GB2312" w:hAnsi="宋体" w:hint="eastAsia"/>
          <w:sz w:val="32"/>
          <w:szCs w:val="32"/>
        </w:rPr>
        <w:t>如钙镁沉淀或铁铝沉淀，影响系统正常运行。</w:t>
      </w:r>
      <w:r w:rsidR="00C7031B">
        <w:rPr>
          <w:rFonts w:ascii="仿宋_GB2312" w:eastAsia="仿宋_GB2312" w:hAnsi="宋体" w:hint="eastAsia"/>
          <w:sz w:val="32"/>
          <w:szCs w:val="32"/>
        </w:rPr>
        <w:t>因而明确</w:t>
      </w:r>
      <w:r w:rsidR="00C7031B" w:rsidRPr="00C7031B">
        <w:rPr>
          <w:rFonts w:ascii="仿宋_GB2312" w:eastAsia="仿宋_GB2312" w:hAnsi="宋体" w:hint="eastAsia"/>
          <w:sz w:val="32"/>
          <w:szCs w:val="32"/>
        </w:rPr>
        <w:t>灌溉水质量应符合GB 5084的规定。灌溉水pH值宜在5.5～6.5。</w:t>
      </w:r>
    </w:p>
    <w:p w14:paraId="7AD1C098" w14:textId="4DB3758B" w:rsidR="000E7D21" w:rsidRDefault="00562C02" w:rsidP="00C7031B">
      <w:pPr>
        <w:spacing w:after="0" w:line="560" w:lineRule="exact"/>
        <w:ind w:left="643"/>
        <w:rPr>
          <w:rFonts w:ascii="楷体" w:eastAsia="楷体" w:hAnsi="楷体" w:hint="eastAsia"/>
          <w:b/>
          <w:sz w:val="32"/>
          <w:szCs w:val="32"/>
        </w:rPr>
      </w:pPr>
      <w:r w:rsidRPr="00C7031B">
        <w:rPr>
          <w:rFonts w:ascii="楷体" w:eastAsia="楷体" w:hAnsi="楷体" w:hint="eastAsia"/>
          <w:b/>
          <w:sz w:val="32"/>
          <w:szCs w:val="32"/>
        </w:rPr>
        <w:t>2.</w:t>
      </w:r>
      <w:r w:rsidR="00722829">
        <w:rPr>
          <w:rFonts w:ascii="楷体" w:eastAsia="楷体" w:hAnsi="楷体" w:hint="eastAsia"/>
          <w:b/>
          <w:sz w:val="32"/>
          <w:szCs w:val="32"/>
        </w:rPr>
        <w:t>2</w:t>
      </w:r>
      <w:r w:rsidR="000E7D21">
        <w:rPr>
          <w:rFonts w:ascii="楷体" w:eastAsia="楷体" w:hAnsi="楷体" w:hint="eastAsia"/>
          <w:b/>
          <w:sz w:val="32"/>
          <w:szCs w:val="32"/>
        </w:rPr>
        <w:t>施肥管理</w:t>
      </w:r>
    </w:p>
    <w:p w14:paraId="3D711A0F" w14:textId="423AD35A" w:rsidR="00562C02" w:rsidRPr="00C7031B" w:rsidRDefault="00722829" w:rsidP="00C7031B">
      <w:pPr>
        <w:spacing w:after="0" w:line="560" w:lineRule="exact"/>
        <w:ind w:left="643"/>
        <w:rPr>
          <w:rFonts w:ascii="楷体" w:eastAsia="楷体" w:hAnsi="楷体" w:hint="eastAsia"/>
          <w:b/>
          <w:sz w:val="32"/>
          <w:szCs w:val="32"/>
        </w:rPr>
      </w:pPr>
      <w:r>
        <w:rPr>
          <w:rFonts w:ascii="楷体" w:eastAsia="楷体" w:hAnsi="楷体" w:hint="eastAsia"/>
          <w:b/>
          <w:sz w:val="32"/>
          <w:szCs w:val="32"/>
        </w:rPr>
        <w:t>2.2.1</w:t>
      </w:r>
      <w:r w:rsidR="00562C02" w:rsidRPr="00C7031B">
        <w:rPr>
          <w:rFonts w:ascii="楷体" w:eastAsia="楷体" w:hAnsi="楷体" w:hint="eastAsia"/>
          <w:b/>
          <w:sz w:val="32"/>
          <w:szCs w:val="32"/>
        </w:rPr>
        <w:t>施肥原则</w:t>
      </w:r>
    </w:p>
    <w:p w14:paraId="5A8B3717" w14:textId="7D1998E4" w:rsidR="00C7031B" w:rsidRDefault="00CD5657" w:rsidP="00CD5657">
      <w:pPr>
        <w:spacing w:after="0" w:line="560" w:lineRule="exact"/>
        <w:ind w:firstLineChars="200" w:firstLine="640"/>
        <w:rPr>
          <w:rFonts w:ascii="仿宋_GB2312" w:eastAsia="仿宋_GB2312" w:hAnsi="宋体" w:hint="eastAsia"/>
          <w:sz w:val="32"/>
          <w:szCs w:val="32"/>
        </w:rPr>
      </w:pPr>
      <w:proofErr w:type="gramStart"/>
      <w:r w:rsidRPr="00CD5657">
        <w:rPr>
          <w:rFonts w:ascii="仿宋_GB2312" w:eastAsia="仿宋_GB2312" w:hAnsi="宋体" w:hint="eastAsia"/>
          <w:sz w:val="32"/>
          <w:szCs w:val="32"/>
        </w:rPr>
        <w:t>秋施有机肥是砂梨全年</w:t>
      </w:r>
      <w:proofErr w:type="gramEnd"/>
      <w:r w:rsidRPr="00CD5657">
        <w:rPr>
          <w:rFonts w:ascii="仿宋_GB2312" w:eastAsia="仿宋_GB2312" w:hAnsi="宋体" w:hint="eastAsia"/>
          <w:sz w:val="32"/>
          <w:szCs w:val="32"/>
        </w:rPr>
        <w:t>施肥的基础——秋季</w:t>
      </w:r>
      <w:proofErr w:type="gramStart"/>
      <w:r w:rsidRPr="00CD5657">
        <w:rPr>
          <w:rFonts w:ascii="仿宋_GB2312" w:eastAsia="仿宋_GB2312" w:hAnsi="宋体" w:hint="eastAsia"/>
          <w:sz w:val="32"/>
          <w:szCs w:val="32"/>
        </w:rPr>
        <w:t>是砂梨根系</w:t>
      </w:r>
      <w:proofErr w:type="gramEnd"/>
      <w:r w:rsidRPr="00CD5657">
        <w:rPr>
          <w:rFonts w:ascii="仿宋_GB2312" w:eastAsia="仿宋_GB2312" w:hAnsi="宋体" w:hint="eastAsia"/>
          <w:sz w:val="32"/>
          <w:szCs w:val="32"/>
        </w:rPr>
        <w:t>生长的最后一次高峰，此时施入有机肥，根系在当年即可吸收部分养分用于树体贮藏，为翌年萌芽开花奠定营养基础；同时有机肥能够改善土壤结构、增加土壤保水保肥能力，长期施用可显著提升土壤肥力水平。中微量元素矿质</w:t>
      </w:r>
      <w:proofErr w:type="gramStart"/>
      <w:r w:rsidRPr="00CD5657">
        <w:rPr>
          <w:rFonts w:ascii="仿宋_GB2312" w:eastAsia="仿宋_GB2312" w:hAnsi="宋体" w:hint="eastAsia"/>
          <w:sz w:val="32"/>
          <w:szCs w:val="32"/>
        </w:rPr>
        <w:t>肥作为</w:t>
      </w:r>
      <w:proofErr w:type="gramEnd"/>
      <w:r w:rsidRPr="00CD5657">
        <w:rPr>
          <w:rFonts w:ascii="仿宋_GB2312" w:eastAsia="仿宋_GB2312" w:hAnsi="宋体" w:hint="eastAsia"/>
          <w:sz w:val="32"/>
          <w:szCs w:val="32"/>
        </w:rPr>
        <w:t>辅助，主要是针对</w:t>
      </w:r>
      <w:proofErr w:type="gramStart"/>
      <w:r w:rsidRPr="00CD5657">
        <w:rPr>
          <w:rFonts w:ascii="仿宋_GB2312" w:eastAsia="仿宋_GB2312" w:hAnsi="宋体" w:hint="eastAsia"/>
          <w:sz w:val="32"/>
          <w:szCs w:val="32"/>
        </w:rPr>
        <w:t>砂梨生产</w:t>
      </w:r>
      <w:proofErr w:type="gramEnd"/>
      <w:r w:rsidRPr="00CD5657">
        <w:rPr>
          <w:rFonts w:ascii="仿宋_GB2312" w:eastAsia="仿宋_GB2312" w:hAnsi="宋体" w:hint="eastAsia"/>
          <w:sz w:val="32"/>
          <w:szCs w:val="32"/>
        </w:rPr>
        <w:t>中普遍存在的缺硼、缺锌、缺钙等问题，通过与有机肥混合施用可减少养分固定、提高肥效。生长季节配合水肥一体化精准灌溉施肥，则是在基础施肥之上，根据</w:t>
      </w:r>
      <w:proofErr w:type="gramStart"/>
      <w:r w:rsidRPr="00CD5657">
        <w:rPr>
          <w:rFonts w:ascii="仿宋_GB2312" w:eastAsia="仿宋_GB2312" w:hAnsi="宋体" w:hint="eastAsia"/>
          <w:sz w:val="32"/>
          <w:szCs w:val="32"/>
        </w:rPr>
        <w:t>砂梨不同</w:t>
      </w:r>
      <w:proofErr w:type="gramEnd"/>
      <w:r w:rsidRPr="00CD5657">
        <w:rPr>
          <w:rFonts w:ascii="仿宋_GB2312" w:eastAsia="仿宋_GB2312" w:hAnsi="宋体" w:hint="eastAsia"/>
          <w:sz w:val="32"/>
          <w:szCs w:val="32"/>
        </w:rPr>
        <w:t>生育阶段（萌芽期、幼果期、膨果期、采果后）的需肥特点，以水为载体、以肥为核心，实现养分按需供给。</w:t>
      </w:r>
      <w:r>
        <w:rPr>
          <w:rFonts w:ascii="仿宋_GB2312" w:eastAsia="仿宋_GB2312" w:hAnsi="宋体" w:hint="eastAsia"/>
          <w:sz w:val="32"/>
          <w:szCs w:val="32"/>
        </w:rPr>
        <w:t>因而明确</w:t>
      </w:r>
      <w:proofErr w:type="gramStart"/>
      <w:r w:rsidRPr="00CD5657">
        <w:rPr>
          <w:rFonts w:ascii="仿宋_GB2312" w:eastAsia="仿宋_GB2312" w:hAnsi="宋体" w:hint="eastAsia"/>
          <w:sz w:val="32"/>
          <w:szCs w:val="32"/>
        </w:rPr>
        <w:t>以秋施有机肥</w:t>
      </w:r>
      <w:proofErr w:type="gramEnd"/>
      <w:r w:rsidRPr="00CD5657">
        <w:rPr>
          <w:rFonts w:ascii="仿宋_GB2312" w:eastAsia="仿宋_GB2312" w:hAnsi="宋体" w:hint="eastAsia"/>
          <w:sz w:val="32"/>
          <w:szCs w:val="32"/>
        </w:rPr>
        <w:t>为主，中微量元素矿质肥为辅，生长季节配合水肥一体化精准灌溉施肥</w:t>
      </w:r>
      <w:r>
        <w:rPr>
          <w:rFonts w:ascii="仿宋_GB2312" w:eastAsia="仿宋_GB2312" w:hAnsi="宋体" w:hint="eastAsia"/>
          <w:sz w:val="32"/>
          <w:szCs w:val="32"/>
        </w:rPr>
        <w:t>。</w:t>
      </w:r>
    </w:p>
    <w:p w14:paraId="0E61F561" w14:textId="55EB57AF" w:rsidR="000C4591" w:rsidRPr="00EB351A" w:rsidRDefault="000C4591" w:rsidP="000C4591">
      <w:pPr>
        <w:spacing w:after="0" w:line="560" w:lineRule="exact"/>
        <w:ind w:firstLineChars="200" w:firstLine="640"/>
        <w:rPr>
          <w:rFonts w:ascii="仿宋_GB2312" w:eastAsia="仿宋_GB2312" w:hAnsi="宋体" w:hint="eastAsia"/>
          <w:sz w:val="32"/>
          <w:szCs w:val="32"/>
        </w:rPr>
      </w:pPr>
      <w:r w:rsidRPr="00EB351A">
        <w:rPr>
          <w:rFonts w:ascii="仿宋_GB2312" w:eastAsia="仿宋_GB2312" w:hAnsi="宋体" w:hint="eastAsia"/>
          <w:sz w:val="32"/>
          <w:szCs w:val="32"/>
        </w:rPr>
        <w:t>土壤肥力等级划分（附录A）和叶片营养诊断（附录B）是本文件的核心创新点。传统水肥一体化标准多采用“一刀切”的通用推荐用量，忽视了不同果园土壤本底肥力的巨大差异。本文件将土壤肥力划分为高、中、低三个等级，并针对不同肥力等级给出差异化的氮磷钾推荐用量（附录D），使施肥方案更加精准。叶片营养诊断则是动态调整施肥方案的科学依据——叶片是果树营养状况最直接的反映器官，通</w:t>
      </w:r>
      <w:r w:rsidRPr="00EB351A">
        <w:rPr>
          <w:rFonts w:ascii="仿宋_GB2312" w:eastAsia="仿宋_GB2312" w:hAnsi="宋体" w:hint="eastAsia"/>
          <w:sz w:val="32"/>
          <w:szCs w:val="32"/>
        </w:rPr>
        <w:lastRenderedPageBreak/>
        <w:t>过测定叶片中氮、磷、钾、钙、镁、铁、锰、锌、铜、硼等元素的含量，并与适宜参考值（附录B）对比，可以准确判断树体</w:t>
      </w:r>
      <w:proofErr w:type="gramStart"/>
      <w:r w:rsidRPr="00EB351A">
        <w:rPr>
          <w:rFonts w:ascii="仿宋_GB2312" w:eastAsia="仿宋_GB2312" w:hAnsi="宋体" w:hint="eastAsia"/>
          <w:sz w:val="32"/>
          <w:szCs w:val="32"/>
        </w:rPr>
        <w:t>是否缺素或</w:t>
      </w:r>
      <w:proofErr w:type="gramEnd"/>
      <w:r w:rsidRPr="00EB351A">
        <w:rPr>
          <w:rFonts w:ascii="仿宋_GB2312" w:eastAsia="仿宋_GB2312" w:hAnsi="宋体" w:hint="eastAsia"/>
          <w:sz w:val="32"/>
          <w:szCs w:val="32"/>
        </w:rPr>
        <w:t>营养过剩，据此对滴灌施肥用量进行“增加10％～20％”或“减少10％～20％”的调整。这种“土壤测试+叶片诊断”的双重校准机制，确保了施肥方案的个性化和动态优化。</w:t>
      </w:r>
      <w:r>
        <w:rPr>
          <w:rFonts w:ascii="仿宋_GB2312" w:eastAsia="仿宋_GB2312" w:hAnsi="宋体" w:hint="eastAsia"/>
          <w:sz w:val="32"/>
          <w:szCs w:val="32"/>
        </w:rPr>
        <w:t>明确</w:t>
      </w:r>
      <w:r w:rsidRPr="000C4591">
        <w:rPr>
          <w:rFonts w:ascii="仿宋_GB2312" w:eastAsia="仿宋_GB2312" w:hAnsi="宋体" w:hint="eastAsia"/>
          <w:sz w:val="32"/>
          <w:szCs w:val="32"/>
        </w:rPr>
        <w:t>施肥方案依据土壤肥力等级（见附录A）、品种、树龄、树势、目标产量及叶片营养诊断（见附录B）动态调整</w:t>
      </w:r>
      <w:r w:rsidRPr="00CD5657">
        <w:rPr>
          <w:rFonts w:ascii="仿宋_GB2312" w:eastAsia="仿宋_GB2312" w:hAnsi="宋体" w:hint="eastAsia"/>
          <w:sz w:val="32"/>
          <w:szCs w:val="32"/>
        </w:rPr>
        <w:t>。</w:t>
      </w:r>
    </w:p>
    <w:p w14:paraId="696D0C05" w14:textId="46374324" w:rsidR="00EB351A" w:rsidRPr="00CD5657" w:rsidRDefault="00722829" w:rsidP="00CD5657">
      <w:pPr>
        <w:spacing w:after="0" w:line="560" w:lineRule="exact"/>
        <w:ind w:left="643"/>
        <w:rPr>
          <w:rFonts w:ascii="楷体" w:eastAsia="楷体" w:hAnsi="楷体" w:hint="eastAsia"/>
          <w:b/>
          <w:sz w:val="32"/>
          <w:szCs w:val="32"/>
        </w:rPr>
      </w:pPr>
      <w:r>
        <w:rPr>
          <w:rFonts w:ascii="楷体" w:eastAsia="楷体" w:hAnsi="楷体" w:hint="eastAsia"/>
          <w:b/>
          <w:sz w:val="32"/>
          <w:szCs w:val="32"/>
        </w:rPr>
        <w:t>2.2.2基肥</w:t>
      </w:r>
    </w:p>
    <w:p w14:paraId="357B53CD" w14:textId="7EAD6124" w:rsidR="00EB351A" w:rsidRPr="008275D2" w:rsidRDefault="00722829" w:rsidP="008275D2">
      <w:pPr>
        <w:spacing w:after="0" w:line="560" w:lineRule="exact"/>
        <w:ind w:left="643"/>
        <w:rPr>
          <w:rFonts w:ascii="楷体" w:eastAsia="楷体" w:hAnsi="楷体" w:hint="eastAsia"/>
          <w:b/>
          <w:sz w:val="32"/>
          <w:szCs w:val="32"/>
        </w:rPr>
      </w:pPr>
      <w:bookmarkStart w:id="2" w:name="_Hlk233385280"/>
      <w:r w:rsidRPr="008275D2">
        <w:rPr>
          <w:rFonts w:ascii="楷体" w:eastAsia="楷体" w:hAnsi="楷体" w:hint="eastAsia"/>
          <w:b/>
          <w:sz w:val="32"/>
          <w:szCs w:val="32"/>
        </w:rPr>
        <w:t>2.2.2.1</w:t>
      </w:r>
      <w:bookmarkEnd w:id="2"/>
      <w:r w:rsidR="00EB351A" w:rsidRPr="008275D2">
        <w:rPr>
          <w:rFonts w:ascii="楷体" w:eastAsia="楷体" w:hAnsi="楷体" w:hint="eastAsia"/>
          <w:b/>
          <w:sz w:val="32"/>
          <w:szCs w:val="32"/>
        </w:rPr>
        <w:t>有机肥</w:t>
      </w:r>
    </w:p>
    <w:p w14:paraId="37D7505B" w14:textId="40310DC3" w:rsidR="00EB351A" w:rsidRDefault="00EB351A" w:rsidP="00EB351A">
      <w:pPr>
        <w:spacing w:after="0" w:line="560" w:lineRule="exact"/>
        <w:ind w:firstLineChars="200" w:firstLine="640"/>
        <w:rPr>
          <w:rFonts w:ascii="仿宋_GB2312" w:eastAsia="仿宋_GB2312" w:hAnsi="宋体" w:hint="eastAsia"/>
          <w:sz w:val="32"/>
          <w:szCs w:val="32"/>
        </w:rPr>
      </w:pPr>
      <w:r w:rsidRPr="00EB351A">
        <w:rPr>
          <w:rFonts w:ascii="仿宋_GB2312" w:eastAsia="仿宋_GB2312" w:hAnsi="宋体" w:hint="eastAsia"/>
          <w:sz w:val="32"/>
          <w:szCs w:val="32"/>
        </w:rPr>
        <w:t>树冠</w:t>
      </w:r>
      <w:proofErr w:type="gramStart"/>
      <w:r w:rsidRPr="00EB351A">
        <w:rPr>
          <w:rFonts w:ascii="仿宋_GB2312" w:eastAsia="仿宋_GB2312" w:hAnsi="宋体" w:hint="eastAsia"/>
          <w:sz w:val="32"/>
          <w:szCs w:val="32"/>
        </w:rPr>
        <w:t>滴水线是砂梨</w:t>
      </w:r>
      <w:proofErr w:type="gramEnd"/>
      <w:r w:rsidRPr="00EB351A">
        <w:rPr>
          <w:rFonts w:ascii="仿宋_GB2312" w:eastAsia="仿宋_GB2312" w:hAnsi="宋体" w:hint="eastAsia"/>
          <w:sz w:val="32"/>
          <w:szCs w:val="32"/>
        </w:rPr>
        <w:t>吸收根（细根）分布最密集的区域，在此处开沟施</w:t>
      </w:r>
      <w:proofErr w:type="gramStart"/>
      <w:r w:rsidRPr="00EB351A">
        <w:rPr>
          <w:rFonts w:ascii="仿宋_GB2312" w:eastAsia="仿宋_GB2312" w:hAnsi="宋体" w:hint="eastAsia"/>
          <w:sz w:val="32"/>
          <w:szCs w:val="32"/>
        </w:rPr>
        <w:t>肥能够</w:t>
      </w:r>
      <w:proofErr w:type="gramEnd"/>
      <w:r w:rsidRPr="00EB351A">
        <w:rPr>
          <w:rFonts w:ascii="仿宋_GB2312" w:eastAsia="仿宋_GB2312" w:hAnsi="宋体" w:hint="eastAsia"/>
          <w:sz w:val="32"/>
          <w:szCs w:val="32"/>
        </w:rPr>
        <w:t>使肥料与吸收根直接接触，提高肥料利用率。30cm～50cm的施肥深度</w:t>
      </w:r>
      <w:proofErr w:type="gramStart"/>
      <w:r w:rsidRPr="00EB351A">
        <w:rPr>
          <w:rFonts w:ascii="仿宋_GB2312" w:eastAsia="仿宋_GB2312" w:hAnsi="宋体" w:hint="eastAsia"/>
          <w:sz w:val="32"/>
          <w:szCs w:val="32"/>
        </w:rPr>
        <w:t>基于砂梨根系</w:t>
      </w:r>
      <w:proofErr w:type="gramEnd"/>
      <w:r w:rsidRPr="00EB351A">
        <w:rPr>
          <w:rFonts w:ascii="仿宋_GB2312" w:eastAsia="仿宋_GB2312" w:hAnsi="宋体" w:hint="eastAsia"/>
          <w:sz w:val="32"/>
          <w:szCs w:val="32"/>
        </w:rPr>
        <w:t>垂直分布特征——</w:t>
      </w:r>
      <w:proofErr w:type="gramStart"/>
      <w:r w:rsidRPr="00EB351A">
        <w:rPr>
          <w:rFonts w:ascii="仿宋_GB2312" w:eastAsia="仿宋_GB2312" w:hAnsi="宋体" w:hint="eastAsia"/>
          <w:sz w:val="32"/>
          <w:szCs w:val="32"/>
        </w:rPr>
        <w:t>砂梨的</w:t>
      </w:r>
      <w:proofErr w:type="gramEnd"/>
      <w:r w:rsidRPr="00EB351A">
        <w:rPr>
          <w:rFonts w:ascii="仿宋_GB2312" w:eastAsia="仿宋_GB2312" w:hAnsi="宋体" w:hint="eastAsia"/>
          <w:sz w:val="32"/>
          <w:szCs w:val="32"/>
        </w:rPr>
        <w:t>吸收</w:t>
      </w:r>
      <w:proofErr w:type="gramStart"/>
      <w:r w:rsidRPr="00EB351A">
        <w:rPr>
          <w:rFonts w:ascii="仿宋_GB2312" w:eastAsia="仿宋_GB2312" w:hAnsi="宋体" w:hint="eastAsia"/>
          <w:sz w:val="32"/>
          <w:szCs w:val="32"/>
        </w:rPr>
        <w:t>根主要</w:t>
      </w:r>
      <w:proofErr w:type="gramEnd"/>
      <w:r w:rsidRPr="00EB351A">
        <w:rPr>
          <w:rFonts w:ascii="仿宋_GB2312" w:eastAsia="仿宋_GB2312" w:hAnsi="宋体" w:hint="eastAsia"/>
          <w:sz w:val="32"/>
          <w:szCs w:val="32"/>
        </w:rPr>
        <w:t>集中在20cm～</w:t>
      </w:r>
      <w:r w:rsidR="000C4591">
        <w:rPr>
          <w:rFonts w:ascii="仿宋_GB2312" w:eastAsia="仿宋_GB2312" w:hAnsi="宋体" w:hint="eastAsia"/>
          <w:sz w:val="32"/>
          <w:szCs w:val="32"/>
        </w:rPr>
        <w:t>3</w:t>
      </w:r>
      <w:r w:rsidRPr="00EB351A">
        <w:rPr>
          <w:rFonts w:ascii="仿宋_GB2312" w:eastAsia="仿宋_GB2312" w:hAnsi="宋体" w:hint="eastAsia"/>
          <w:sz w:val="32"/>
          <w:szCs w:val="32"/>
        </w:rPr>
        <w:t>0cm土层，该深度范围既能使肥料处于根系密集区，又避免了施肥过</w:t>
      </w:r>
      <w:proofErr w:type="gramStart"/>
      <w:r w:rsidRPr="00EB351A">
        <w:rPr>
          <w:rFonts w:ascii="仿宋_GB2312" w:eastAsia="仿宋_GB2312" w:hAnsi="宋体" w:hint="eastAsia"/>
          <w:sz w:val="32"/>
          <w:szCs w:val="32"/>
        </w:rPr>
        <w:t>浅导致</w:t>
      </w:r>
      <w:proofErr w:type="gramEnd"/>
      <w:r w:rsidRPr="00EB351A">
        <w:rPr>
          <w:rFonts w:ascii="仿宋_GB2312" w:eastAsia="仿宋_GB2312" w:hAnsi="宋体" w:hint="eastAsia"/>
          <w:sz w:val="32"/>
          <w:szCs w:val="32"/>
        </w:rPr>
        <w:t>养分流失或过深导致根系难以吸收。每666.7m</w:t>
      </w:r>
      <w:r w:rsidRPr="00EB351A">
        <w:rPr>
          <w:rFonts w:ascii="Calibri" w:eastAsia="仿宋_GB2312" w:hAnsi="Calibri" w:cs="Calibri"/>
          <w:sz w:val="32"/>
          <w:szCs w:val="32"/>
        </w:rPr>
        <w:t>²</w:t>
      </w:r>
      <w:r w:rsidRPr="00EB351A">
        <w:rPr>
          <w:rFonts w:ascii="仿宋_GB2312" w:eastAsia="仿宋_GB2312" w:hAnsi="仿宋_GB2312" w:cs="仿宋_GB2312" w:hint="eastAsia"/>
          <w:sz w:val="32"/>
          <w:szCs w:val="32"/>
        </w:rPr>
        <w:t>施用腐熟有机肥</w:t>
      </w:r>
      <w:r w:rsidR="000C4591">
        <w:rPr>
          <w:rFonts w:ascii="仿宋_GB2312" w:eastAsia="仿宋_GB2312" w:hAnsi="宋体" w:hint="eastAsia"/>
          <w:sz w:val="32"/>
          <w:szCs w:val="32"/>
        </w:rPr>
        <w:t>15</w:t>
      </w:r>
      <w:r w:rsidRPr="00EB351A">
        <w:rPr>
          <w:rFonts w:ascii="仿宋_GB2312" w:eastAsia="仿宋_GB2312" w:hAnsi="宋体" w:hint="eastAsia"/>
          <w:sz w:val="32"/>
          <w:szCs w:val="32"/>
        </w:rPr>
        <w:t>00kg～</w:t>
      </w:r>
      <w:r w:rsidR="000C4591">
        <w:rPr>
          <w:rFonts w:ascii="仿宋_GB2312" w:eastAsia="仿宋_GB2312" w:hAnsi="宋体" w:hint="eastAsia"/>
          <w:sz w:val="32"/>
          <w:szCs w:val="32"/>
        </w:rPr>
        <w:t>2</w:t>
      </w:r>
      <w:r w:rsidRPr="00EB351A">
        <w:rPr>
          <w:rFonts w:ascii="仿宋_GB2312" w:eastAsia="仿宋_GB2312" w:hAnsi="宋体" w:hint="eastAsia"/>
          <w:sz w:val="32"/>
          <w:szCs w:val="32"/>
        </w:rPr>
        <w:t>000kg是综合考虑</w:t>
      </w:r>
      <w:proofErr w:type="gramStart"/>
      <w:r w:rsidRPr="00EB351A">
        <w:rPr>
          <w:rFonts w:ascii="仿宋_GB2312" w:eastAsia="仿宋_GB2312" w:hAnsi="宋体" w:hint="eastAsia"/>
          <w:sz w:val="32"/>
          <w:szCs w:val="32"/>
        </w:rPr>
        <w:t>了砂梨成年</w:t>
      </w:r>
      <w:proofErr w:type="gramEnd"/>
      <w:r w:rsidRPr="00EB351A">
        <w:rPr>
          <w:rFonts w:ascii="仿宋_GB2312" w:eastAsia="仿宋_GB2312" w:hAnsi="宋体" w:hint="eastAsia"/>
          <w:sz w:val="32"/>
          <w:szCs w:val="32"/>
        </w:rPr>
        <w:t>结果树的年养分携出量、土壤有机质矿化速率以及有机肥自身养分含量后确定的。腐熟有机肥的施用还能够为土壤微生物提供碳源，促进土壤养分转化，</w:t>
      </w:r>
      <w:proofErr w:type="gramStart"/>
      <w:r w:rsidRPr="00EB351A">
        <w:rPr>
          <w:rFonts w:ascii="仿宋_GB2312" w:eastAsia="仿宋_GB2312" w:hAnsi="宋体" w:hint="eastAsia"/>
          <w:sz w:val="32"/>
          <w:szCs w:val="32"/>
        </w:rPr>
        <w:t>是砂梨优质</w:t>
      </w:r>
      <w:proofErr w:type="gramEnd"/>
      <w:r w:rsidRPr="00EB351A">
        <w:rPr>
          <w:rFonts w:ascii="仿宋_GB2312" w:eastAsia="仿宋_GB2312" w:hAnsi="宋体" w:hint="eastAsia"/>
          <w:sz w:val="32"/>
          <w:szCs w:val="32"/>
        </w:rPr>
        <w:t>高产的重要保障。</w:t>
      </w:r>
      <w:r w:rsidR="00CD5657">
        <w:rPr>
          <w:rFonts w:ascii="仿宋_GB2312" w:eastAsia="仿宋_GB2312" w:hAnsi="宋体" w:hint="eastAsia"/>
          <w:sz w:val="32"/>
          <w:szCs w:val="32"/>
        </w:rPr>
        <w:t>明确了</w:t>
      </w:r>
      <w:r w:rsidR="00CD5657" w:rsidRPr="00CD5657">
        <w:rPr>
          <w:rFonts w:ascii="仿宋_GB2312" w:eastAsia="仿宋_GB2312" w:hAnsi="宋体" w:hint="eastAsia"/>
          <w:sz w:val="32"/>
          <w:szCs w:val="32"/>
        </w:rPr>
        <w:t>秋季成年结果树宜在树冠</w:t>
      </w:r>
      <w:proofErr w:type="gramStart"/>
      <w:r w:rsidR="00CD5657" w:rsidRPr="00CD5657">
        <w:rPr>
          <w:rFonts w:ascii="仿宋_GB2312" w:eastAsia="仿宋_GB2312" w:hAnsi="宋体" w:hint="eastAsia"/>
          <w:sz w:val="32"/>
          <w:szCs w:val="32"/>
        </w:rPr>
        <w:t>滴水线</w:t>
      </w:r>
      <w:proofErr w:type="gramEnd"/>
      <w:r w:rsidR="00CD5657" w:rsidRPr="00CD5657">
        <w:rPr>
          <w:rFonts w:ascii="仿宋_GB2312" w:eastAsia="仿宋_GB2312" w:hAnsi="宋体" w:hint="eastAsia"/>
          <w:sz w:val="32"/>
          <w:szCs w:val="32"/>
        </w:rPr>
        <w:t>开沟施入，深度30cm～50cm，666.7m</w:t>
      </w:r>
      <w:r w:rsidR="00CD5657" w:rsidRPr="00CD5657">
        <w:rPr>
          <w:rFonts w:ascii="仿宋_GB2312" w:eastAsia="仿宋_GB2312" w:hAnsi="宋体" w:hint="eastAsia"/>
          <w:sz w:val="32"/>
          <w:szCs w:val="32"/>
          <w:vertAlign w:val="superscript"/>
        </w:rPr>
        <w:t>2</w:t>
      </w:r>
      <w:r w:rsidR="00CD5657" w:rsidRPr="00CD5657">
        <w:rPr>
          <w:rFonts w:ascii="仿宋_GB2312" w:eastAsia="仿宋_GB2312" w:hAnsi="宋体" w:hint="eastAsia"/>
          <w:sz w:val="32"/>
          <w:szCs w:val="32"/>
        </w:rPr>
        <w:t>施腐熟有机肥</w:t>
      </w:r>
      <w:r w:rsidR="000C4591">
        <w:rPr>
          <w:rFonts w:ascii="仿宋_GB2312" w:eastAsia="仿宋_GB2312" w:hAnsi="宋体" w:hint="eastAsia"/>
          <w:sz w:val="32"/>
          <w:szCs w:val="32"/>
        </w:rPr>
        <w:t>15</w:t>
      </w:r>
      <w:r w:rsidR="00CD5657" w:rsidRPr="00CD5657">
        <w:rPr>
          <w:rFonts w:ascii="仿宋_GB2312" w:eastAsia="仿宋_GB2312" w:hAnsi="宋体" w:hint="eastAsia"/>
          <w:sz w:val="32"/>
          <w:szCs w:val="32"/>
        </w:rPr>
        <w:t>00kg～</w:t>
      </w:r>
      <w:r w:rsidR="000C4591">
        <w:rPr>
          <w:rFonts w:ascii="仿宋_GB2312" w:eastAsia="仿宋_GB2312" w:hAnsi="宋体" w:hint="eastAsia"/>
          <w:sz w:val="32"/>
          <w:szCs w:val="32"/>
        </w:rPr>
        <w:t>2</w:t>
      </w:r>
      <w:r w:rsidR="00CD5657" w:rsidRPr="00CD5657">
        <w:rPr>
          <w:rFonts w:ascii="仿宋_GB2312" w:eastAsia="仿宋_GB2312" w:hAnsi="宋体" w:hint="eastAsia"/>
          <w:sz w:val="32"/>
          <w:szCs w:val="32"/>
        </w:rPr>
        <w:t>000kg</w:t>
      </w:r>
      <w:r w:rsidR="00CD5657">
        <w:rPr>
          <w:rFonts w:ascii="仿宋_GB2312" w:eastAsia="仿宋_GB2312" w:hAnsi="宋体" w:hint="eastAsia"/>
          <w:sz w:val="32"/>
          <w:szCs w:val="32"/>
        </w:rPr>
        <w:t>的要求</w:t>
      </w:r>
      <w:r w:rsidR="00CD5657" w:rsidRPr="00CD5657">
        <w:rPr>
          <w:rFonts w:ascii="仿宋_GB2312" w:eastAsia="仿宋_GB2312" w:hAnsi="宋体" w:hint="eastAsia"/>
          <w:sz w:val="32"/>
          <w:szCs w:val="32"/>
        </w:rPr>
        <w:t>。</w:t>
      </w:r>
    </w:p>
    <w:p w14:paraId="56EC1D67" w14:textId="4AC1C6E4" w:rsidR="00924408" w:rsidRDefault="00924408" w:rsidP="00924408">
      <w:pPr>
        <w:spacing w:after="0" w:line="240" w:lineRule="auto"/>
        <w:jc w:val="center"/>
        <w:rPr>
          <w:rFonts w:ascii="仿宋_GB2312" w:eastAsia="仿宋_GB2312" w:hAnsi="宋体" w:hint="eastAsia"/>
          <w:sz w:val="32"/>
          <w:szCs w:val="32"/>
        </w:rPr>
      </w:pPr>
      <w:r w:rsidRPr="00924408">
        <w:rPr>
          <w:rFonts w:ascii="仿宋_GB2312" w:eastAsia="仿宋_GB2312" w:hAnsi="宋体"/>
          <w:noProof/>
          <w:sz w:val="32"/>
          <w:szCs w:val="32"/>
        </w:rPr>
        <w:lastRenderedPageBreak/>
        <w:drawing>
          <wp:inline distT="0" distB="0" distL="0" distR="0" wp14:anchorId="652610B1" wp14:editId="76D795D5">
            <wp:extent cx="2915012" cy="1942171"/>
            <wp:effectExtent l="0" t="8890" r="0" b="0"/>
            <wp:docPr id="208366795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936306" cy="1956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F6B0F7" w14:textId="3D9502DA" w:rsidR="00924408" w:rsidRPr="00AE3AD8" w:rsidRDefault="00AE3AD8" w:rsidP="00924408">
      <w:pPr>
        <w:spacing w:after="0" w:line="240" w:lineRule="auto"/>
        <w:jc w:val="center"/>
        <w:rPr>
          <w:rFonts w:ascii="黑体" w:eastAsia="黑体" w:hAnsi="黑体" w:hint="eastAsia"/>
          <w:sz w:val="28"/>
          <w:szCs w:val="28"/>
        </w:rPr>
      </w:pPr>
      <w:r w:rsidRPr="00AE3AD8">
        <w:rPr>
          <w:rFonts w:ascii="黑体" w:eastAsia="黑体" w:hAnsi="黑体" w:hint="eastAsia"/>
          <w:sz w:val="28"/>
          <w:szCs w:val="28"/>
        </w:rPr>
        <w:t>施肥沟</w:t>
      </w:r>
    </w:p>
    <w:p w14:paraId="6099221F" w14:textId="395356DB" w:rsidR="00EB351A" w:rsidRPr="008275D2" w:rsidRDefault="000C4591" w:rsidP="008275D2">
      <w:pPr>
        <w:spacing w:after="0" w:line="560" w:lineRule="exact"/>
        <w:ind w:left="643"/>
        <w:rPr>
          <w:rFonts w:ascii="楷体" w:eastAsia="楷体" w:hAnsi="楷体" w:hint="eastAsia"/>
          <w:b/>
          <w:sz w:val="32"/>
          <w:szCs w:val="32"/>
        </w:rPr>
      </w:pPr>
      <w:r w:rsidRPr="008275D2">
        <w:rPr>
          <w:rFonts w:ascii="楷体" w:eastAsia="楷体" w:hAnsi="楷体"/>
          <w:b/>
          <w:sz w:val="32"/>
          <w:szCs w:val="32"/>
        </w:rPr>
        <w:t>2.2.2.</w:t>
      </w:r>
      <w:r w:rsidRPr="008275D2">
        <w:rPr>
          <w:rFonts w:ascii="楷体" w:eastAsia="楷体" w:hAnsi="楷体" w:hint="eastAsia"/>
          <w:b/>
          <w:sz w:val="32"/>
          <w:szCs w:val="32"/>
        </w:rPr>
        <w:t>2</w:t>
      </w:r>
      <w:r w:rsidR="00EB351A" w:rsidRPr="008275D2">
        <w:rPr>
          <w:rFonts w:ascii="楷体" w:eastAsia="楷体" w:hAnsi="楷体" w:hint="eastAsia"/>
          <w:b/>
          <w:sz w:val="32"/>
          <w:szCs w:val="32"/>
        </w:rPr>
        <w:t>中微量元素矿质肥</w:t>
      </w:r>
    </w:p>
    <w:p w14:paraId="718B93B0" w14:textId="72025FA6" w:rsidR="00EB351A" w:rsidRDefault="00EB351A" w:rsidP="00EB351A">
      <w:pPr>
        <w:spacing w:after="0" w:line="560" w:lineRule="exact"/>
        <w:ind w:firstLineChars="200" w:firstLine="640"/>
        <w:rPr>
          <w:rFonts w:ascii="仿宋_GB2312" w:eastAsia="仿宋_GB2312" w:hAnsi="宋体" w:hint="eastAsia"/>
          <w:sz w:val="32"/>
          <w:szCs w:val="32"/>
        </w:rPr>
      </w:pPr>
      <w:r w:rsidRPr="00EB351A">
        <w:rPr>
          <w:rFonts w:ascii="仿宋_GB2312" w:eastAsia="仿宋_GB2312" w:hAnsi="宋体" w:hint="eastAsia"/>
          <w:sz w:val="32"/>
          <w:szCs w:val="32"/>
        </w:rPr>
        <w:t>钙镁磷肥、硫酸锌和硼肥的选择具有明确的地域针对性和树种针对性。我国南方</w:t>
      </w:r>
      <w:proofErr w:type="gramStart"/>
      <w:r w:rsidRPr="00EB351A">
        <w:rPr>
          <w:rFonts w:ascii="仿宋_GB2312" w:eastAsia="仿宋_GB2312" w:hAnsi="宋体" w:hint="eastAsia"/>
          <w:sz w:val="32"/>
          <w:szCs w:val="32"/>
        </w:rPr>
        <w:t>砂梨主</w:t>
      </w:r>
      <w:proofErr w:type="gramEnd"/>
      <w:r w:rsidRPr="00EB351A">
        <w:rPr>
          <w:rFonts w:ascii="仿宋_GB2312" w:eastAsia="仿宋_GB2312" w:hAnsi="宋体" w:hint="eastAsia"/>
          <w:sz w:val="32"/>
          <w:szCs w:val="32"/>
        </w:rPr>
        <w:t>产区土壤普遍呈酸性或强酸性（pH＜5.5），有效钙、镁含量偏低，同时</w:t>
      </w:r>
      <w:proofErr w:type="gramStart"/>
      <w:r w:rsidRPr="00EB351A">
        <w:rPr>
          <w:rFonts w:ascii="仿宋_GB2312" w:eastAsia="仿宋_GB2312" w:hAnsi="宋体" w:hint="eastAsia"/>
          <w:sz w:val="32"/>
          <w:szCs w:val="32"/>
        </w:rPr>
        <w:t>砂梨对</w:t>
      </w:r>
      <w:proofErr w:type="gramEnd"/>
      <w:r w:rsidRPr="00EB351A">
        <w:rPr>
          <w:rFonts w:ascii="仿宋_GB2312" w:eastAsia="仿宋_GB2312" w:hAnsi="宋体" w:hint="eastAsia"/>
          <w:sz w:val="32"/>
          <w:szCs w:val="32"/>
        </w:rPr>
        <w:t>钙、镁的需求量较大，缺钙易导致果实裂果、水心病，</w:t>
      </w:r>
      <w:proofErr w:type="gramStart"/>
      <w:r w:rsidRPr="00EB351A">
        <w:rPr>
          <w:rFonts w:ascii="仿宋_GB2312" w:eastAsia="仿宋_GB2312" w:hAnsi="宋体" w:hint="eastAsia"/>
          <w:sz w:val="32"/>
          <w:szCs w:val="32"/>
        </w:rPr>
        <w:t>缺镁则影响</w:t>
      </w:r>
      <w:proofErr w:type="gramEnd"/>
      <w:r w:rsidRPr="00EB351A">
        <w:rPr>
          <w:rFonts w:ascii="仿宋_GB2312" w:eastAsia="仿宋_GB2312" w:hAnsi="宋体" w:hint="eastAsia"/>
          <w:sz w:val="32"/>
          <w:szCs w:val="32"/>
        </w:rPr>
        <w:t>叶片光合作用。钙镁磷肥既能补充钙镁元素，又具有改良酸性土壤的功效，是南方</w:t>
      </w:r>
      <w:proofErr w:type="gramStart"/>
      <w:r w:rsidRPr="00EB351A">
        <w:rPr>
          <w:rFonts w:ascii="仿宋_GB2312" w:eastAsia="仿宋_GB2312" w:hAnsi="宋体" w:hint="eastAsia"/>
          <w:sz w:val="32"/>
          <w:szCs w:val="32"/>
        </w:rPr>
        <w:t>砂</w:t>
      </w:r>
      <w:proofErr w:type="gramEnd"/>
      <w:r w:rsidRPr="00EB351A">
        <w:rPr>
          <w:rFonts w:ascii="仿宋_GB2312" w:eastAsia="仿宋_GB2312" w:hAnsi="宋体" w:hint="eastAsia"/>
          <w:sz w:val="32"/>
          <w:szCs w:val="32"/>
        </w:rPr>
        <w:t>梨园的理想选择。锌和</w:t>
      </w:r>
      <w:proofErr w:type="gramStart"/>
      <w:r w:rsidRPr="00EB351A">
        <w:rPr>
          <w:rFonts w:ascii="仿宋_GB2312" w:eastAsia="仿宋_GB2312" w:hAnsi="宋体" w:hint="eastAsia"/>
          <w:sz w:val="32"/>
          <w:szCs w:val="32"/>
        </w:rPr>
        <w:t>硼是砂梨</w:t>
      </w:r>
      <w:proofErr w:type="gramEnd"/>
      <w:r w:rsidRPr="00EB351A">
        <w:rPr>
          <w:rFonts w:ascii="仿宋_GB2312" w:eastAsia="仿宋_GB2312" w:hAnsi="宋体" w:hint="eastAsia"/>
          <w:sz w:val="32"/>
          <w:szCs w:val="32"/>
        </w:rPr>
        <w:t>生长发育必需的微量元素——缺锌导致小叶病、叶片黄化，</w:t>
      </w:r>
      <w:proofErr w:type="gramStart"/>
      <w:r w:rsidRPr="00EB351A">
        <w:rPr>
          <w:rFonts w:ascii="仿宋_GB2312" w:eastAsia="仿宋_GB2312" w:hAnsi="宋体" w:hint="eastAsia"/>
          <w:sz w:val="32"/>
          <w:szCs w:val="32"/>
        </w:rPr>
        <w:t>缺硼则直接</w:t>
      </w:r>
      <w:proofErr w:type="gramEnd"/>
      <w:r w:rsidRPr="00EB351A">
        <w:rPr>
          <w:rFonts w:ascii="仿宋_GB2312" w:eastAsia="仿宋_GB2312" w:hAnsi="宋体" w:hint="eastAsia"/>
          <w:sz w:val="32"/>
          <w:szCs w:val="32"/>
        </w:rPr>
        <w:t>影响花粉萌发和受精坐果，是砂梨“花而不实”的重要诱因之一。将中微量元素肥与有机肥混合施入，可减少矿质元素在土壤中的固定</w:t>
      </w:r>
      <w:r w:rsidR="00CD5657">
        <w:rPr>
          <w:rFonts w:ascii="仿宋_GB2312" w:eastAsia="仿宋_GB2312" w:hAnsi="宋体" w:hint="eastAsia"/>
          <w:sz w:val="32"/>
          <w:szCs w:val="32"/>
        </w:rPr>
        <w:t>，</w:t>
      </w:r>
      <w:r w:rsidRPr="00EB351A">
        <w:rPr>
          <w:rFonts w:ascii="仿宋_GB2312" w:eastAsia="仿宋_GB2312" w:hAnsi="宋体" w:hint="eastAsia"/>
          <w:sz w:val="32"/>
          <w:szCs w:val="32"/>
        </w:rPr>
        <w:t>如磷的固定、锌的固定，提高其有效性。</w:t>
      </w:r>
      <w:r w:rsidR="00CD5657">
        <w:rPr>
          <w:rFonts w:ascii="仿宋_GB2312" w:eastAsia="仿宋_GB2312" w:hAnsi="宋体" w:hint="eastAsia"/>
          <w:sz w:val="32"/>
          <w:szCs w:val="32"/>
        </w:rPr>
        <w:t>根据标准编制</w:t>
      </w:r>
      <w:proofErr w:type="gramStart"/>
      <w:r w:rsidR="00CD5657">
        <w:rPr>
          <w:rFonts w:ascii="仿宋_GB2312" w:eastAsia="仿宋_GB2312" w:hAnsi="宋体" w:hint="eastAsia"/>
          <w:sz w:val="32"/>
          <w:szCs w:val="32"/>
        </w:rPr>
        <w:t>组</w:t>
      </w:r>
      <w:r w:rsidR="0075768B">
        <w:rPr>
          <w:rFonts w:ascii="仿宋_GB2312" w:eastAsia="仿宋_GB2312" w:hAnsi="宋体" w:hint="eastAsia"/>
          <w:sz w:val="32"/>
          <w:szCs w:val="32"/>
        </w:rPr>
        <w:t>实践</w:t>
      </w:r>
      <w:proofErr w:type="gramEnd"/>
      <w:r w:rsidR="00CD5657">
        <w:rPr>
          <w:rFonts w:ascii="仿宋_GB2312" w:eastAsia="仿宋_GB2312" w:hAnsi="宋体" w:hint="eastAsia"/>
          <w:sz w:val="32"/>
          <w:szCs w:val="32"/>
        </w:rPr>
        <w:t>经验，明确了</w:t>
      </w:r>
      <w:r w:rsidR="00CD5657" w:rsidRPr="00CD5657">
        <w:rPr>
          <w:rFonts w:ascii="仿宋_GB2312" w:eastAsia="仿宋_GB2312" w:hAnsi="宋体" w:hint="eastAsia"/>
          <w:sz w:val="32"/>
          <w:szCs w:val="32"/>
        </w:rPr>
        <w:t>与腐熟有机肥混合后施入，666.7m</w:t>
      </w:r>
      <w:r w:rsidR="00CD5657" w:rsidRPr="00CD5657">
        <w:rPr>
          <w:rFonts w:ascii="仿宋_GB2312" w:eastAsia="仿宋_GB2312" w:hAnsi="宋体" w:hint="eastAsia"/>
          <w:sz w:val="32"/>
          <w:szCs w:val="32"/>
          <w:vertAlign w:val="superscript"/>
        </w:rPr>
        <w:t>2</w:t>
      </w:r>
      <w:r w:rsidR="00CD5657" w:rsidRPr="00CD5657">
        <w:rPr>
          <w:rFonts w:ascii="仿宋_GB2312" w:eastAsia="仿宋_GB2312" w:hAnsi="宋体" w:hint="eastAsia"/>
          <w:sz w:val="32"/>
          <w:szCs w:val="32"/>
        </w:rPr>
        <w:t>施15％钙镁磷肥50kg～75kg、20％硫酸锌肥1kg～2.5kg、20％硼肥500g～1000g</w:t>
      </w:r>
      <w:r w:rsidR="00CD5657">
        <w:rPr>
          <w:rFonts w:ascii="仿宋_GB2312" w:eastAsia="仿宋_GB2312" w:hAnsi="宋体" w:hint="eastAsia"/>
          <w:sz w:val="32"/>
          <w:szCs w:val="32"/>
        </w:rPr>
        <w:t>的要求</w:t>
      </w:r>
      <w:r w:rsidR="00CD5657" w:rsidRPr="00CD5657">
        <w:rPr>
          <w:rFonts w:ascii="仿宋_GB2312" w:eastAsia="仿宋_GB2312" w:hAnsi="宋体" w:hint="eastAsia"/>
          <w:sz w:val="32"/>
          <w:szCs w:val="32"/>
        </w:rPr>
        <w:t>。</w:t>
      </w:r>
    </w:p>
    <w:p w14:paraId="03183123" w14:textId="1CC10279" w:rsidR="00EB351A" w:rsidRDefault="008275D2" w:rsidP="00CD5657">
      <w:pPr>
        <w:spacing w:after="0" w:line="560" w:lineRule="exact"/>
        <w:ind w:left="643"/>
        <w:rPr>
          <w:rFonts w:ascii="楷体" w:eastAsia="楷体" w:hAnsi="楷体" w:hint="eastAsia"/>
          <w:b/>
          <w:sz w:val="32"/>
          <w:szCs w:val="32"/>
        </w:rPr>
      </w:pPr>
      <w:r>
        <w:rPr>
          <w:rFonts w:ascii="楷体" w:eastAsia="楷体" w:hAnsi="楷体" w:hint="eastAsia"/>
          <w:b/>
          <w:sz w:val="32"/>
          <w:szCs w:val="32"/>
        </w:rPr>
        <w:lastRenderedPageBreak/>
        <w:t>2.3追肥</w:t>
      </w:r>
    </w:p>
    <w:p w14:paraId="1AB0F2F4" w14:textId="29F8B70B" w:rsidR="008275D2" w:rsidRPr="00CD5657" w:rsidRDefault="008275D2" w:rsidP="00CD5657">
      <w:pPr>
        <w:spacing w:after="0" w:line="560" w:lineRule="exact"/>
        <w:ind w:left="643"/>
        <w:rPr>
          <w:rFonts w:ascii="楷体" w:eastAsia="楷体" w:hAnsi="楷体" w:hint="eastAsia"/>
          <w:b/>
          <w:sz w:val="32"/>
          <w:szCs w:val="32"/>
        </w:rPr>
      </w:pPr>
      <w:r>
        <w:rPr>
          <w:rFonts w:ascii="楷体" w:eastAsia="楷体" w:hAnsi="楷体" w:hint="eastAsia"/>
          <w:b/>
          <w:sz w:val="32"/>
          <w:szCs w:val="32"/>
        </w:rPr>
        <w:t>2.3.1肥料选择</w:t>
      </w:r>
    </w:p>
    <w:p w14:paraId="5364A20C" w14:textId="013E1703" w:rsidR="00EB351A" w:rsidRPr="00EB351A" w:rsidRDefault="00EB351A" w:rsidP="00EB351A">
      <w:pPr>
        <w:spacing w:after="0" w:line="560" w:lineRule="exact"/>
        <w:ind w:firstLineChars="200" w:firstLine="640"/>
        <w:rPr>
          <w:rFonts w:ascii="仿宋_GB2312" w:eastAsia="仿宋_GB2312" w:hAnsi="宋体" w:hint="eastAsia"/>
          <w:sz w:val="32"/>
          <w:szCs w:val="32"/>
        </w:rPr>
      </w:pPr>
      <w:r w:rsidRPr="00EB351A">
        <w:rPr>
          <w:rFonts w:ascii="仿宋_GB2312" w:eastAsia="仿宋_GB2312" w:hAnsi="宋体" w:hint="eastAsia"/>
          <w:sz w:val="32"/>
          <w:szCs w:val="32"/>
        </w:rPr>
        <w:t>水肥一体化对肥料的水溶性有特殊要求。不溶性或溶解性差的肥料会堵塞过滤器、滴头，导致系统瘫痪；溶解速度慢的肥料则在</w:t>
      </w:r>
      <w:proofErr w:type="gramStart"/>
      <w:r w:rsidRPr="00EB351A">
        <w:rPr>
          <w:rFonts w:ascii="仿宋_GB2312" w:eastAsia="仿宋_GB2312" w:hAnsi="宋体" w:hint="eastAsia"/>
          <w:sz w:val="32"/>
          <w:szCs w:val="32"/>
        </w:rPr>
        <w:t>施肥器</w:t>
      </w:r>
      <w:proofErr w:type="gramEnd"/>
      <w:r w:rsidRPr="00EB351A">
        <w:rPr>
          <w:rFonts w:ascii="仿宋_GB2312" w:eastAsia="仿宋_GB2312" w:hAnsi="宋体" w:hint="eastAsia"/>
          <w:sz w:val="32"/>
          <w:szCs w:val="32"/>
        </w:rPr>
        <w:t>中无法完全溶解，造成实际施肥量与设计用量不符；腐蚀性强的肥料会加速金属部件（阀门、接头、泵体）的腐蚀，缩短设备寿命；与灌溉水相互作用大的肥料</w:t>
      </w:r>
      <w:r w:rsidR="00CD5657">
        <w:rPr>
          <w:rFonts w:ascii="仿宋_GB2312" w:eastAsia="仿宋_GB2312" w:hAnsi="宋体" w:hint="eastAsia"/>
          <w:sz w:val="32"/>
          <w:szCs w:val="32"/>
        </w:rPr>
        <w:t>，</w:t>
      </w:r>
      <w:r w:rsidRPr="00EB351A">
        <w:rPr>
          <w:rFonts w:ascii="仿宋_GB2312" w:eastAsia="仿宋_GB2312" w:hAnsi="宋体" w:hint="eastAsia"/>
          <w:sz w:val="32"/>
          <w:szCs w:val="32"/>
        </w:rPr>
        <w:t>如与水中钙镁离子生成沉淀的肥料</w:t>
      </w:r>
      <w:r w:rsidR="00CD5657">
        <w:rPr>
          <w:rFonts w:ascii="仿宋_GB2312" w:eastAsia="仿宋_GB2312" w:hAnsi="宋体" w:hint="eastAsia"/>
          <w:sz w:val="32"/>
          <w:szCs w:val="32"/>
        </w:rPr>
        <w:t>，</w:t>
      </w:r>
      <w:r w:rsidRPr="00EB351A">
        <w:rPr>
          <w:rFonts w:ascii="仿宋_GB2312" w:eastAsia="仿宋_GB2312" w:hAnsi="宋体" w:hint="eastAsia"/>
          <w:sz w:val="32"/>
          <w:szCs w:val="32"/>
        </w:rPr>
        <w:t>同样会引发堵塞问题。附录C列出的常用水溶性肥料品种，均是经过</w:t>
      </w:r>
      <w:r w:rsidR="00CD5657">
        <w:rPr>
          <w:rFonts w:ascii="仿宋_GB2312" w:eastAsia="仿宋_GB2312" w:hAnsi="宋体" w:hint="eastAsia"/>
          <w:sz w:val="32"/>
          <w:szCs w:val="32"/>
        </w:rPr>
        <w:t>标准编制组</w:t>
      </w:r>
      <w:r w:rsidRPr="00EB351A">
        <w:rPr>
          <w:rFonts w:ascii="仿宋_GB2312" w:eastAsia="仿宋_GB2312" w:hAnsi="宋体" w:hint="eastAsia"/>
          <w:sz w:val="32"/>
          <w:szCs w:val="32"/>
        </w:rPr>
        <w:t>长</w:t>
      </w:r>
      <w:proofErr w:type="gramStart"/>
      <w:r w:rsidRPr="00EB351A">
        <w:rPr>
          <w:rFonts w:ascii="仿宋_GB2312" w:eastAsia="仿宋_GB2312" w:hAnsi="宋体" w:hint="eastAsia"/>
          <w:sz w:val="32"/>
          <w:szCs w:val="32"/>
        </w:rPr>
        <w:t>期实践</w:t>
      </w:r>
      <w:proofErr w:type="gramEnd"/>
      <w:r w:rsidRPr="00EB351A">
        <w:rPr>
          <w:rFonts w:ascii="仿宋_GB2312" w:eastAsia="仿宋_GB2312" w:hAnsi="宋体" w:hint="eastAsia"/>
          <w:sz w:val="32"/>
          <w:szCs w:val="32"/>
        </w:rPr>
        <w:t>验证、适合滴灌系统使用的肥料类型，涵盖了氮肥（尿素、硝酸铵钙等）、磷肥（磷酸二铵、</w:t>
      </w:r>
      <w:proofErr w:type="gramStart"/>
      <w:r w:rsidRPr="00EB351A">
        <w:rPr>
          <w:rFonts w:ascii="仿宋_GB2312" w:eastAsia="仿宋_GB2312" w:hAnsi="宋体" w:hint="eastAsia"/>
          <w:sz w:val="32"/>
          <w:szCs w:val="32"/>
        </w:rPr>
        <w:t>磷酸一铵等</w:t>
      </w:r>
      <w:proofErr w:type="gramEnd"/>
      <w:r w:rsidRPr="00EB351A">
        <w:rPr>
          <w:rFonts w:ascii="仿宋_GB2312" w:eastAsia="仿宋_GB2312" w:hAnsi="宋体" w:hint="eastAsia"/>
          <w:sz w:val="32"/>
          <w:szCs w:val="32"/>
        </w:rPr>
        <w:t>）、钾肥（氯化钾、硫酸钾等）、中量元素肥和微量元素肥，种植者可根据</w:t>
      </w:r>
      <w:proofErr w:type="gramStart"/>
      <w:r w:rsidRPr="00EB351A">
        <w:rPr>
          <w:rFonts w:ascii="仿宋_GB2312" w:eastAsia="仿宋_GB2312" w:hAnsi="宋体" w:hint="eastAsia"/>
          <w:sz w:val="32"/>
          <w:szCs w:val="32"/>
        </w:rPr>
        <w:t>砂梨不同</w:t>
      </w:r>
      <w:proofErr w:type="gramEnd"/>
      <w:r w:rsidRPr="00EB351A">
        <w:rPr>
          <w:rFonts w:ascii="仿宋_GB2312" w:eastAsia="仿宋_GB2312" w:hAnsi="宋体" w:hint="eastAsia"/>
          <w:sz w:val="32"/>
          <w:szCs w:val="32"/>
        </w:rPr>
        <w:t>生育期的养分需求灵活选配。</w:t>
      </w:r>
    </w:p>
    <w:p w14:paraId="4284F539" w14:textId="48124CA5" w:rsidR="00EB351A" w:rsidRPr="00CD5657" w:rsidRDefault="008275D2" w:rsidP="00CD5657">
      <w:pPr>
        <w:spacing w:after="0" w:line="560" w:lineRule="exact"/>
        <w:ind w:left="643"/>
        <w:rPr>
          <w:rFonts w:ascii="楷体" w:eastAsia="楷体" w:hAnsi="楷体" w:hint="eastAsia"/>
          <w:b/>
          <w:sz w:val="32"/>
          <w:szCs w:val="32"/>
        </w:rPr>
      </w:pPr>
      <w:bookmarkStart w:id="3" w:name="_Hlk233385911"/>
      <w:r w:rsidRPr="008275D2">
        <w:rPr>
          <w:rFonts w:ascii="楷体" w:eastAsia="楷体" w:hAnsi="楷体" w:hint="eastAsia"/>
          <w:b/>
          <w:sz w:val="32"/>
          <w:szCs w:val="32"/>
        </w:rPr>
        <w:t>2.3.</w:t>
      </w:r>
      <w:r>
        <w:rPr>
          <w:rFonts w:ascii="楷体" w:eastAsia="楷体" w:hAnsi="楷体" w:hint="eastAsia"/>
          <w:b/>
          <w:sz w:val="32"/>
          <w:szCs w:val="32"/>
        </w:rPr>
        <w:t>2</w:t>
      </w:r>
      <w:bookmarkEnd w:id="3"/>
      <w:r w:rsidR="00EB351A" w:rsidRPr="00CD5657">
        <w:rPr>
          <w:rFonts w:ascii="楷体" w:eastAsia="楷体" w:hAnsi="楷体" w:hint="eastAsia"/>
          <w:b/>
          <w:sz w:val="32"/>
          <w:szCs w:val="32"/>
        </w:rPr>
        <w:t>施肥浓度</w:t>
      </w:r>
    </w:p>
    <w:p w14:paraId="45F3D45D" w14:textId="05602D3B" w:rsidR="00EB351A" w:rsidRPr="00EB351A" w:rsidRDefault="00EB351A" w:rsidP="00EB351A">
      <w:pPr>
        <w:spacing w:after="0" w:line="560" w:lineRule="exact"/>
        <w:ind w:firstLineChars="200" w:firstLine="640"/>
        <w:rPr>
          <w:rFonts w:ascii="仿宋_GB2312" w:eastAsia="仿宋_GB2312" w:hAnsi="宋体" w:hint="eastAsia"/>
          <w:sz w:val="32"/>
          <w:szCs w:val="32"/>
        </w:rPr>
      </w:pPr>
      <w:r w:rsidRPr="00EB351A">
        <w:rPr>
          <w:rFonts w:ascii="仿宋_GB2312" w:eastAsia="仿宋_GB2312" w:hAnsi="宋体" w:hint="eastAsia"/>
          <w:sz w:val="32"/>
          <w:szCs w:val="32"/>
        </w:rPr>
        <w:t>施肥浓度是水肥一体化技术中影响施肥安全性的关键参数。浓度过高会灼伤根系、导致烧苗，浓度过低则施肥效果不佳、增加施肥频次和劳动成本。0.5％和0.3％的浓度限值是</w:t>
      </w:r>
      <w:proofErr w:type="gramStart"/>
      <w:r w:rsidRPr="00EB351A">
        <w:rPr>
          <w:rFonts w:ascii="仿宋_GB2312" w:eastAsia="仿宋_GB2312" w:hAnsi="宋体" w:hint="eastAsia"/>
          <w:sz w:val="32"/>
          <w:szCs w:val="32"/>
        </w:rPr>
        <w:t>基于砂梨根系</w:t>
      </w:r>
      <w:proofErr w:type="gramEnd"/>
      <w:r w:rsidRPr="00EB351A">
        <w:rPr>
          <w:rFonts w:ascii="仿宋_GB2312" w:eastAsia="仿宋_GB2312" w:hAnsi="宋体" w:hint="eastAsia"/>
          <w:sz w:val="32"/>
          <w:szCs w:val="32"/>
        </w:rPr>
        <w:t>对盐分浓度的耐受阈值确定的——土壤潮湿时，土壤溶液本身已被稀释，可承受稍高的肥料浓度；土壤干旱时，土壤溶液浓度已较高，若再施入高浓度肥料，将加剧根系渗透胁迫，甚至造成根系脱水坏死。有机液体肥料由于成分复杂、矿化程度不一，必须充分发酵腐熟以消除有毒有害物质，并稀释至安全浓度后方可施用，以防烧根和土传病害传播。</w:t>
      </w:r>
      <w:r w:rsidR="00CD5657">
        <w:rPr>
          <w:rFonts w:ascii="仿宋_GB2312" w:eastAsia="仿宋_GB2312" w:hAnsi="宋体" w:hint="eastAsia"/>
          <w:sz w:val="32"/>
          <w:szCs w:val="32"/>
        </w:rPr>
        <w:t>因而明确</w:t>
      </w:r>
      <w:r w:rsidR="00CD5657" w:rsidRPr="00CD5657">
        <w:rPr>
          <w:rFonts w:ascii="仿宋_GB2312" w:eastAsia="仿宋_GB2312" w:hAnsi="宋体" w:hint="eastAsia"/>
          <w:sz w:val="32"/>
          <w:szCs w:val="32"/>
        </w:rPr>
        <w:t>水溶性肥料土壤潮湿时施用浓度不</w:t>
      </w:r>
      <w:r w:rsidR="00CD5657" w:rsidRPr="00CD5657">
        <w:rPr>
          <w:rFonts w:ascii="仿宋_GB2312" w:eastAsia="仿宋_GB2312" w:hAnsi="宋体" w:hint="eastAsia"/>
          <w:sz w:val="32"/>
          <w:szCs w:val="32"/>
        </w:rPr>
        <w:lastRenderedPageBreak/>
        <w:t>超过0.5％，土壤干旱时施用浓度不超过0.3％；有机液体肥料需充分发酵腐熟，并稀释至安全浓度后施用</w:t>
      </w:r>
      <w:r w:rsidR="00CD5657">
        <w:rPr>
          <w:rFonts w:ascii="仿宋_GB2312" w:eastAsia="仿宋_GB2312" w:hAnsi="宋体" w:hint="eastAsia"/>
          <w:sz w:val="32"/>
          <w:szCs w:val="32"/>
        </w:rPr>
        <w:t>的要求。</w:t>
      </w:r>
    </w:p>
    <w:p w14:paraId="0BF5AA6B" w14:textId="2F327850" w:rsidR="00EB351A" w:rsidRPr="00CD5657" w:rsidRDefault="008275D2" w:rsidP="00CD5657">
      <w:pPr>
        <w:spacing w:after="0" w:line="560" w:lineRule="exact"/>
        <w:ind w:left="643"/>
        <w:rPr>
          <w:rFonts w:ascii="楷体" w:eastAsia="楷体" w:hAnsi="楷体" w:hint="eastAsia"/>
          <w:b/>
          <w:sz w:val="32"/>
          <w:szCs w:val="32"/>
        </w:rPr>
      </w:pPr>
      <w:r w:rsidRPr="008275D2">
        <w:rPr>
          <w:rFonts w:ascii="楷体" w:eastAsia="楷体" w:hAnsi="楷体"/>
          <w:b/>
          <w:sz w:val="32"/>
          <w:szCs w:val="32"/>
        </w:rPr>
        <w:t>2.3.</w:t>
      </w:r>
      <w:r>
        <w:rPr>
          <w:rFonts w:ascii="楷体" w:eastAsia="楷体" w:hAnsi="楷体" w:hint="eastAsia"/>
          <w:b/>
          <w:sz w:val="32"/>
          <w:szCs w:val="32"/>
        </w:rPr>
        <w:t>3</w:t>
      </w:r>
      <w:r w:rsidR="00EB351A" w:rsidRPr="00CD5657">
        <w:rPr>
          <w:rFonts w:ascii="楷体" w:eastAsia="楷体" w:hAnsi="楷体" w:hint="eastAsia"/>
          <w:b/>
          <w:sz w:val="32"/>
          <w:szCs w:val="32"/>
        </w:rPr>
        <w:t>施肥的时期和用量</w:t>
      </w:r>
    </w:p>
    <w:p w14:paraId="1287230C" w14:textId="7EE79F11" w:rsidR="00EB351A" w:rsidRPr="00EB351A" w:rsidRDefault="00EB351A" w:rsidP="00443710">
      <w:pPr>
        <w:spacing w:after="0" w:line="560" w:lineRule="exact"/>
        <w:ind w:firstLineChars="200" w:firstLine="640"/>
        <w:rPr>
          <w:rFonts w:ascii="仿宋_GB2312" w:eastAsia="仿宋_GB2312" w:hAnsi="宋体" w:hint="eastAsia"/>
          <w:sz w:val="32"/>
          <w:szCs w:val="32"/>
        </w:rPr>
      </w:pPr>
      <w:r w:rsidRPr="00EB351A">
        <w:rPr>
          <w:rFonts w:ascii="仿宋_GB2312" w:eastAsia="仿宋_GB2312" w:hAnsi="宋体" w:hint="eastAsia"/>
          <w:sz w:val="32"/>
          <w:szCs w:val="32"/>
        </w:rPr>
        <w:t>附录D是本文件</w:t>
      </w:r>
      <w:proofErr w:type="gramStart"/>
      <w:r w:rsidRPr="00EB351A">
        <w:rPr>
          <w:rFonts w:ascii="仿宋_GB2312" w:eastAsia="仿宋_GB2312" w:hAnsi="宋体" w:hint="eastAsia"/>
          <w:sz w:val="32"/>
          <w:szCs w:val="32"/>
        </w:rPr>
        <w:t>最</w:t>
      </w:r>
      <w:proofErr w:type="gramEnd"/>
      <w:r w:rsidRPr="00EB351A">
        <w:rPr>
          <w:rFonts w:ascii="仿宋_GB2312" w:eastAsia="仿宋_GB2312" w:hAnsi="宋体" w:hint="eastAsia"/>
          <w:sz w:val="32"/>
          <w:szCs w:val="32"/>
        </w:rPr>
        <w:t>核心的技术附录。</w:t>
      </w:r>
      <w:proofErr w:type="gramStart"/>
      <w:r w:rsidRPr="00EB351A">
        <w:rPr>
          <w:rFonts w:ascii="仿宋_GB2312" w:eastAsia="仿宋_GB2312" w:hAnsi="宋体" w:hint="eastAsia"/>
          <w:sz w:val="32"/>
          <w:szCs w:val="32"/>
        </w:rPr>
        <w:t>砂梨不同</w:t>
      </w:r>
      <w:proofErr w:type="gramEnd"/>
      <w:r w:rsidRPr="00EB351A">
        <w:rPr>
          <w:rFonts w:ascii="仿宋_GB2312" w:eastAsia="仿宋_GB2312" w:hAnsi="宋体" w:hint="eastAsia"/>
          <w:sz w:val="32"/>
          <w:szCs w:val="32"/>
        </w:rPr>
        <w:t>树龄对养分的需求差异显著——一年生幼树以营养生长为主，</w:t>
      </w:r>
      <w:proofErr w:type="gramStart"/>
      <w:r w:rsidRPr="00EB351A">
        <w:rPr>
          <w:rFonts w:ascii="仿宋_GB2312" w:eastAsia="仿宋_GB2312" w:hAnsi="宋体" w:hint="eastAsia"/>
          <w:sz w:val="32"/>
          <w:szCs w:val="32"/>
        </w:rPr>
        <w:t>氮需求</w:t>
      </w:r>
      <w:proofErr w:type="gramEnd"/>
      <w:r w:rsidRPr="00EB351A">
        <w:rPr>
          <w:rFonts w:ascii="仿宋_GB2312" w:eastAsia="仿宋_GB2312" w:hAnsi="宋体" w:hint="eastAsia"/>
          <w:sz w:val="32"/>
          <w:szCs w:val="32"/>
        </w:rPr>
        <w:t>相对较高；三年生幼树开始进入生长结果期，氮磷钾需求同步增长；成年结果树则根据萌芽到新梢生长期、幼果期、膨果期、采果后四个生育阶段分别确定施肥用量。从养分需求规律来看：萌芽到新梢生长期是</w:t>
      </w:r>
      <w:proofErr w:type="gramStart"/>
      <w:r w:rsidRPr="00EB351A">
        <w:rPr>
          <w:rFonts w:ascii="仿宋_GB2312" w:eastAsia="仿宋_GB2312" w:hAnsi="宋体" w:hint="eastAsia"/>
          <w:sz w:val="32"/>
          <w:szCs w:val="32"/>
        </w:rPr>
        <w:t>砂梨对氮需求</w:t>
      </w:r>
      <w:proofErr w:type="gramEnd"/>
      <w:r w:rsidRPr="00EB351A">
        <w:rPr>
          <w:rFonts w:ascii="仿宋_GB2312" w:eastAsia="仿宋_GB2312" w:hAnsi="宋体" w:hint="eastAsia"/>
          <w:sz w:val="32"/>
          <w:szCs w:val="32"/>
        </w:rPr>
        <w:t>最旺盛的时期，氮肥供应不足将直接影响新梢生长量和花芽分化质量；幼果期是细胞分裂的关键时期，磷对细胞分裂有促进作用；膨果期是果实体积和重量快速增长期，</w:t>
      </w:r>
      <w:proofErr w:type="gramStart"/>
      <w:r w:rsidRPr="00EB351A">
        <w:rPr>
          <w:rFonts w:ascii="仿宋_GB2312" w:eastAsia="仿宋_GB2312" w:hAnsi="宋体" w:hint="eastAsia"/>
          <w:sz w:val="32"/>
          <w:szCs w:val="32"/>
        </w:rPr>
        <w:t>钾对碳水化合物</w:t>
      </w:r>
      <w:proofErr w:type="gramEnd"/>
      <w:r w:rsidRPr="00EB351A">
        <w:rPr>
          <w:rFonts w:ascii="仿宋_GB2312" w:eastAsia="仿宋_GB2312" w:hAnsi="宋体" w:hint="eastAsia"/>
          <w:sz w:val="32"/>
          <w:szCs w:val="32"/>
        </w:rPr>
        <w:t>的运输和积累至关重要；采果后施肥则关系到树体营养积累和翌年花芽分化。</w:t>
      </w:r>
      <w:r w:rsidR="0075768B">
        <w:rPr>
          <w:rFonts w:ascii="仿宋_GB2312" w:eastAsia="仿宋_GB2312" w:hAnsi="宋体" w:hint="eastAsia"/>
          <w:sz w:val="32"/>
          <w:szCs w:val="32"/>
        </w:rPr>
        <w:t>标准编制组根据实践</w:t>
      </w:r>
      <w:r w:rsidR="00443710">
        <w:rPr>
          <w:rFonts w:ascii="仿宋_GB2312" w:eastAsia="仿宋_GB2312" w:hAnsi="宋体" w:hint="eastAsia"/>
          <w:sz w:val="32"/>
          <w:szCs w:val="32"/>
        </w:rPr>
        <w:t>经验，给出了</w:t>
      </w:r>
      <w:proofErr w:type="gramStart"/>
      <w:r w:rsidR="00443710" w:rsidRPr="00443710">
        <w:rPr>
          <w:rFonts w:ascii="仿宋_GB2312" w:eastAsia="仿宋_GB2312" w:hAnsi="宋体" w:hint="eastAsia"/>
          <w:sz w:val="32"/>
          <w:szCs w:val="32"/>
        </w:rPr>
        <w:t>砂梨氮</w:t>
      </w:r>
      <w:proofErr w:type="gramEnd"/>
      <w:r w:rsidR="00443710" w:rsidRPr="00443710">
        <w:rPr>
          <w:rFonts w:ascii="仿宋_GB2312" w:eastAsia="仿宋_GB2312" w:hAnsi="宋体" w:hint="eastAsia"/>
          <w:sz w:val="32"/>
          <w:szCs w:val="32"/>
        </w:rPr>
        <w:t>磷钾肥料滴灌施肥推荐用量</w:t>
      </w:r>
      <w:r w:rsidR="00443710">
        <w:rPr>
          <w:rFonts w:ascii="仿宋_GB2312" w:eastAsia="仿宋_GB2312" w:hAnsi="宋体" w:hint="eastAsia"/>
          <w:sz w:val="32"/>
          <w:szCs w:val="32"/>
        </w:rPr>
        <w:t>（</w:t>
      </w:r>
      <w:r w:rsidR="00443710" w:rsidRPr="00EB351A">
        <w:rPr>
          <w:rFonts w:ascii="仿宋_GB2312" w:eastAsia="仿宋_GB2312" w:hAnsi="宋体" w:hint="eastAsia"/>
          <w:sz w:val="32"/>
          <w:szCs w:val="32"/>
        </w:rPr>
        <w:t>附录D</w:t>
      </w:r>
      <w:r w:rsidR="00443710">
        <w:rPr>
          <w:rFonts w:ascii="仿宋_GB2312" w:eastAsia="仿宋_GB2312" w:hAnsi="宋体" w:hint="eastAsia"/>
          <w:sz w:val="32"/>
          <w:szCs w:val="32"/>
        </w:rPr>
        <w:t>），</w:t>
      </w:r>
      <w:r w:rsidRPr="00EB351A">
        <w:rPr>
          <w:rFonts w:ascii="仿宋_GB2312" w:eastAsia="仿宋_GB2312" w:hAnsi="宋体" w:hint="eastAsia"/>
          <w:sz w:val="32"/>
          <w:szCs w:val="32"/>
        </w:rPr>
        <w:t>针对高、中、低三种肥力等级分别给出了差异化的氮磷钾推荐用量范围。</w:t>
      </w:r>
    </w:p>
    <w:p w14:paraId="051137D9" w14:textId="3068A3C4" w:rsidR="00EB351A" w:rsidRPr="00CD5657" w:rsidRDefault="008275D2" w:rsidP="00CD5657">
      <w:pPr>
        <w:spacing w:after="0" w:line="560" w:lineRule="exact"/>
        <w:ind w:left="643"/>
        <w:rPr>
          <w:rFonts w:ascii="楷体" w:eastAsia="楷体" w:hAnsi="楷体" w:hint="eastAsia"/>
          <w:b/>
          <w:sz w:val="32"/>
          <w:szCs w:val="32"/>
        </w:rPr>
      </w:pPr>
      <w:r w:rsidRPr="008275D2">
        <w:rPr>
          <w:rFonts w:ascii="楷体" w:eastAsia="楷体" w:hAnsi="楷体"/>
          <w:b/>
          <w:sz w:val="32"/>
          <w:szCs w:val="32"/>
        </w:rPr>
        <w:t>2.3.</w:t>
      </w:r>
      <w:r>
        <w:rPr>
          <w:rFonts w:ascii="楷体" w:eastAsia="楷体" w:hAnsi="楷体" w:hint="eastAsia"/>
          <w:b/>
          <w:sz w:val="32"/>
          <w:szCs w:val="32"/>
        </w:rPr>
        <w:t>4</w:t>
      </w:r>
      <w:r w:rsidR="00EB351A" w:rsidRPr="00CD5657">
        <w:rPr>
          <w:rFonts w:ascii="楷体" w:eastAsia="楷体" w:hAnsi="楷体" w:hint="eastAsia"/>
          <w:b/>
          <w:sz w:val="32"/>
          <w:szCs w:val="32"/>
        </w:rPr>
        <w:t>施肥方法</w:t>
      </w:r>
    </w:p>
    <w:p w14:paraId="07D30369" w14:textId="395F5452" w:rsidR="00443710" w:rsidRPr="00443710" w:rsidRDefault="00EB351A" w:rsidP="00443710">
      <w:pPr>
        <w:spacing w:after="0" w:line="560" w:lineRule="exact"/>
        <w:ind w:firstLineChars="200" w:firstLine="640"/>
        <w:rPr>
          <w:rFonts w:ascii="仿宋_GB2312" w:eastAsia="仿宋_GB2312" w:hAnsi="宋体" w:hint="eastAsia"/>
          <w:sz w:val="32"/>
          <w:szCs w:val="32"/>
        </w:rPr>
      </w:pPr>
      <w:r w:rsidRPr="00EB351A">
        <w:rPr>
          <w:rFonts w:ascii="仿宋_GB2312" w:eastAsia="仿宋_GB2312" w:hAnsi="宋体" w:hint="eastAsia"/>
          <w:sz w:val="32"/>
          <w:szCs w:val="32"/>
        </w:rPr>
        <w:t>施肥前的清水冲洗具有两个重要作用：一是湿润管道和土壤，为后续水肥溶液的均匀分布创造条件；二是检查系统运行状态，确保无堵塞、无泄漏。土壤潮湿时冲洗15min～20min、土壤干旱时冲洗30min～40min的时间差异，是基于土壤初始含水量对水分入渗速率的影响——干旱土壤入渗速率快但初始湿润需要更长时间，充分冲洗可使肥料溶液到达时土壤已具备良好的水分条件，有利于养分随水分向根系</w:t>
      </w:r>
      <w:r w:rsidRPr="00EB351A">
        <w:rPr>
          <w:rFonts w:ascii="仿宋_GB2312" w:eastAsia="仿宋_GB2312" w:hAnsi="宋体" w:hint="eastAsia"/>
          <w:sz w:val="32"/>
          <w:szCs w:val="32"/>
        </w:rPr>
        <w:lastRenderedPageBreak/>
        <w:t>区运移。施肥后的清水冲洗则是为了将管道中残留的肥料溶液全部推出，防止肥料在管道内结晶沉积、堵塞滴头，同时避免下次灌溉时高浓度残液对作物造成伤害。20min～30min的冲洗时间是根据管道长度、管径和流速计算得出，足以将管道内的肥料溶液推送至田间。</w:t>
      </w:r>
      <w:r w:rsidR="00443710">
        <w:rPr>
          <w:rFonts w:ascii="仿宋_GB2312" w:eastAsia="仿宋_GB2312" w:hAnsi="宋体" w:hint="eastAsia"/>
          <w:sz w:val="32"/>
          <w:szCs w:val="32"/>
        </w:rPr>
        <w:t>基于上述考虑，对具体的</w:t>
      </w:r>
      <w:r w:rsidR="00443710" w:rsidRPr="00443710">
        <w:rPr>
          <w:rFonts w:ascii="仿宋_GB2312" w:eastAsia="仿宋_GB2312" w:hAnsi="宋体" w:hint="eastAsia"/>
          <w:sz w:val="32"/>
          <w:szCs w:val="32"/>
        </w:rPr>
        <w:t>施肥方法</w:t>
      </w:r>
      <w:r w:rsidR="00443710">
        <w:rPr>
          <w:rFonts w:ascii="仿宋_GB2312" w:eastAsia="仿宋_GB2312" w:hAnsi="宋体" w:hint="eastAsia"/>
          <w:sz w:val="32"/>
          <w:szCs w:val="32"/>
        </w:rPr>
        <w:t>进行了明确。</w:t>
      </w:r>
    </w:p>
    <w:p w14:paraId="2EB5FC8B" w14:textId="57BBEE26" w:rsidR="00EB351A" w:rsidRPr="00CD5657" w:rsidRDefault="008275D2" w:rsidP="00CD5657">
      <w:pPr>
        <w:spacing w:after="0" w:line="560" w:lineRule="exact"/>
        <w:ind w:left="643"/>
        <w:rPr>
          <w:rFonts w:ascii="楷体" w:eastAsia="楷体" w:hAnsi="楷体" w:hint="eastAsia"/>
          <w:b/>
          <w:sz w:val="32"/>
          <w:szCs w:val="32"/>
        </w:rPr>
      </w:pPr>
      <w:r>
        <w:rPr>
          <w:rFonts w:ascii="楷体" w:eastAsia="楷体" w:hAnsi="楷体" w:hint="eastAsia"/>
          <w:b/>
          <w:sz w:val="32"/>
          <w:szCs w:val="32"/>
        </w:rPr>
        <w:t>2.4</w:t>
      </w:r>
      <w:r w:rsidR="00EB351A" w:rsidRPr="00CD5657">
        <w:rPr>
          <w:rFonts w:ascii="楷体" w:eastAsia="楷体" w:hAnsi="楷体" w:hint="eastAsia"/>
          <w:b/>
          <w:sz w:val="32"/>
          <w:szCs w:val="32"/>
        </w:rPr>
        <w:t>灌溉方法</w:t>
      </w:r>
    </w:p>
    <w:p w14:paraId="7E5CAF2E" w14:textId="022D3323" w:rsidR="00562C02" w:rsidRPr="006A5419" w:rsidRDefault="00EB351A" w:rsidP="00EB351A">
      <w:pPr>
        <w:spacing w:after="0" w:line="560" w:lineRule="exact"/>
        <w:ind w:firstLineChars="200" w:firstLine="640"/>
        <w:rPr>
          <w:rFonts w:ascii="仿宋_GB2312" w:eastAsia="仿宋_GB2312" w:hAnsi="宋体" w:hint="eastAsia"/>
          <w:sz w:val="32"/>
          <w:szCs w:val="32"/>
          <w:highlight w:val="yellow"/>
        </w:rPr>
      </w:pPr>
      <w:proofErr w:type="gramStart"/>
      <w:r w:rsidRPr="00EB351A">
        <w:rPr>
          <w:rFonts w:ascii="仿宋_GB2312" w:eastAsia="仿宋_GB2312" w:hAnsi="宋体" w:hint="eastAsia"/>
          <w:sz w:val="32"/>
          <w:szCs w:val="32"/>
        </w:rPr>
        <w:t>砂梨是</w:t>
      </w:r>
      <w:proofErr w:type="gramEnd"/>
      <w:r w:rsidRPr="00EB351A">
        <w:rPr>
          <w:rFonts w:ascii="仿宋_GB2312" w:eastAsia="仿宋_GB2312" w:hAnsi="宋体" w:hint="eastAsia"/>
          <w:sz w:val="32"/>
          <w:szCs w:val="32"/>
        </w:rPr>
        <w:t>需水量较大的果树，年需水量在1000毫米以上。但需水规律并非均匀分布——萌芽期和开花期需水适中但不可缺，新</w:t>
      </w:r>
      <w:proofErr w:type="gramStart"/>
      <w:r w:rsidRPr="00EB351A">
        <w:rPr>
          <w:rFonts w:ascii="仿宋_GB2312" w:eastAsia="仿宋_GB2312" w:hAnsi="宋体" w:hint="eastAsia"/>
          <w:sz w:val="32"/>
          <w:szCs w:val="32"/>
        </w:rPr>
        <w:t>梢旺长期</w:t>
      </w:r>
      <w:proofErr w:type="gramEnd"/>
      <w:r w:rsidRPr="00EB351A">
        <w:rPr>
          <w:rFonts w:ascii="仿宋_GB2312" w:eastAsia="仿宋_GB2312" w:hAnsi="宋体" w:hint="eastAsia"/>
          <w:sz w:val="32"/>
          <w:szCs w:val="32"/>
        </w:rPr>
        <w:t>和果实膨大期是需水临界期，水分不足将严重影响新梢生长和果实发育，水分过多则易导致新梢徒长、果实品质下降。20cm～30cm</w:t>
      </w:r>
      <w:proofErr w:type="gramStart"/>
      <w:r w:rsidRPr="00EB351A">
        <w:rPr>
          <w:rFonts w:ascii="仿宋_GB2312" w:eastAsia="仿宋_GB2312" w:hAnsi="宋体" w:hint="eastAsia"/>
          <w:sz w:val="32"/>
          <w:szCs w:val="32"/>
        </w:rPr>
        <w:t>是砂梨吸收</w:t>
      </w:r>
      <w:proofErr w:type="gramEnd"/>
      <w:r w:rsidRPr="00EB351A">
        <w:rPr>
          <w:rFonts w:ascii="仿宋_GB2312" w:eastAsia="仿宋_GB2312" w:hAnsi="宋体" w:hint="eastAsia"/>
          <w:sz w:val="32"/>
          <w:szCs w:val="32"/>
        </w:rPr>
        <w:t>根的主要分布层，土壤水分传感器埋设于此深度，能够最准确地反映根系可吸收利用的水分状况。通过传感器实时监测土壤含水量，结合天气情况</w:t>
      </w:r>
      <w:proofErr w:type="gramStart"/>
      <w:r w:rsidRPr="00EB351A">
        <w:rPr>
          <w:rFonts w:ascii="仿宋_GB2312" w:eastAsia="仿宋_GB2312" w:hAnsi="宋体" w:hint="eastAsia"/>
          <w:sz w:val="32"/>
          <w:szCs w:val="32"/>
        </w:rPr>
        <w:t>和砂梨生育</w:t>
      </w:r>
      <w:proofErr w:type="gramEnd"/>
      <w:r w:rsidRPr="00EB351A">
        <w:rPr>
          <w:rFonts w:ascii="仿宋_GB2312" w:eastAsia="仿宋_GB2312" w:hAnsi="宋体" w:hint="eastAsia"/>
          <w:sz w:val="32"/>
          <w:szCs w:val="32"/>
        </w:rPr>
        <w:t>阶段进行测墒灌溉，既</w:t>
      </w:r>
      <w:r w:rsidR="00BE16A0">
        <w:rPr>
          <w:rFonts w:ascii="仿宋_GB2312" w:eastAsia="仿宋_GB2312" w:hAnsi="宋体" w:hint="eastAsia"/>
          <w:sz w:val="32"/>
          <w:szCs w:val="32"/>
        </w:rPr>
        <w:t>可</w:t>
      </w:r>
      <w:r w:rsidRPr="00EB351A">
        <w:rPr>
          <w:rFonts w:ascii="仿宋_GB2312" w:eastAsia="仿宋_GB2312" w:hAnsi="宋体" w:hint="eastAsia"/>
          <w:sz w:val="32"/>
          <w:szCs w:val="32"/>
        </w:rPr>
        <w:t>避免盲目灌水造成的水资源浪费，又</w:t>
      </w:r>
      <w:r w:rsidR="00BE16A0">
        <w:rPr>
          <w:rFonts w:ascii="仿宋_GB2312" w:eastAsia="仿宋_GB2312" w:hAnsi="宋体" w:hint="eastAsia"/>
          <w:sz w:val="32"/>
          <w:szCs w:val="32"/>
        </w:rPr>
        <w:t>可</w:t>
      </w:r>
      <w:r w:rsidRPr="00EB351A">
        <w:rPr>
          <w:rFonts w:ascii="仿宋_GB2312" w:eastAsia="仿宋_GB2312" w:hAnsi="宋体" w:hint="eastAsia"/>
          <w:sz w:val="32"/>
          <w:szCs w:val="32"/>
        </w:rPr>
        <w:t>防止灌水不足导致的干旱胁迫。</w:t>
      </w:r>
      <w:r w:rsidR="00BE16A0">
        <w:rPr>
          <w:rFonts w:ascii="仿宋_GB2312" w:eastAsia="仿宋_GB2312" w:hAnsi="宋体" w:hint="eastAsia"/>
          <w:sz w:val="32"/>
          <w:szCs w:val="32"/>
        </w:rPr>
        <w:t>明确了</w:t>
      </w:r>
      <w:proofErr w:type="gramStart"/>
      <w:r w:rsidR="00BE16A0" w:rsidRPr="00BE16A0">
        <w:rPr>
          <w:rFonts w:ascii="仿宋_GB2312" w:eastAsia="仿宋_GB2312" w:hAnsi="宋体" w:hint="eastAsia"/>
          <w:sz w:val="32"/>
          <w:szCs w:val="32"/>
        </w:rPr>
        <w:t>依据砂梨的</w:t>
      </w:r>
      <w:proofErr w:type="gramEnd"/>
      <w:r w:rsidR="00BE16A0" w:rsidRPr="00BE16A0">
        <w:rPr>
          <w:rFonts w:ascii="仿宋_GB2312" w:eastAsia="仿宋_GB2312" w:hAnsi="宋体" w:hint="eastAsia"/>
          <w:sz w:val="32"/>
          <w:szCs w:val="32"/>
        </w:rPr>
        <w:t>需水规律、天气情况及土壤墒情确定灌水时期、次数和每次的灌水量，保持土壤湿润。宜在树盘下埋设土壤水分传感器，掌握果园土壤墒情，测墒灌溉，水分传感器埋设深度20cm～30cm</w:t>
      </w:r>
      <w:r w:rsidR="00BE16A0">
        <w:rPr>
          <w:rFonts w:ascii="仿宋_GB2312" w:eastAsia="仿宋_GB2312" w:hAnsi="宋体" w:hint="eastAsia"/>
          <w:sz w:val="32"/>
          <w:szCs w:val="32"/>
        </w:rPr>
        <w:t>的要求</w:t>
      </w:r>
      <w:r w:rsidR="00BE16A0" w:rsidRPr="00BE16A0">
        <w:rPr>
          <w:rFonts w:ascii="仿宋_GB2312" w:eastAsia="仿宋_GB2312" w:hAnsi="宋体" w:hint="eastAsia"/>
          <w:sz w:val="32"/>
          <w:szCs w:val="32"/>
        </w:rPr>
        <w:t>。</w:t>
      </w:r>
    </w:p>
    <w:p w14:paraId="7E611ADD" w14:textId="77777777" w:rsidR="006A5419" w:rsidRDefault="006A5419" w:rsidP="003911CA">
      <w:pPr>
        <w:numPr>
          <w:ilvl w:val="0"/>
          <w:numId w:val="10"/>
        </w:numPr>
        <w:spacing w:after="0" w:line="560" w:lineRule="exact"/>
        <w:ind w:left="0" w:firstLineChars="200" w:firstLine="643"/>
        <w:rPr>
          <w:rFonts w:ascii="楷体" w:eastAsia="楷体" w:hAnsi="楷体" w:hint="eastAsia"/>
          <w:b/>
          <w:sz w:val="32"/>
          <w:szCs w:val="32"/>
        </w:rPr>
      </w:pPr>
      <w:r w:rsidRPr="006A5419">
        <w:rPr>
          <w:rFonts w:ascii="楷体" w:eastAsia="楷体" w:hAnsi="楷体" w:hint="eastAsia"/>
          <w:b/>
          <w:sz w:val="32"/>
          <w:szCs w:val="32"/>
        </w:rPr>
        <w:t>系统维护</w:t>
      </w:r>
    </w:p>
    <w:p w14:paraId="2384A001" w14:textId="1745F796" w:rsidR="006A5419" w:rsidRPr="006A5419" w:rsidRDefault="00EB351A" w:rsidP="00EB351A">
      <w:pPr>
        <w:spacing w:after="0" w:line="560" w:lineRule="exact"/>
        <w:ind w:firstLineChars="200" w:firstLine="640"/>
        <w:rPr>
          <w:rFonts w:ascii="仿宋_GB2312" w:eastAsia="仿宋_GB2312" w:hAnsi="宋体" w:hint="eastAsia"/>
          <w:sz w:val="32"/>
          <w:szCs w:val="32"/>
          <w:highlight w:val="yellow"/>
        </w:rPr>
      </w:pPr>
      <w:r w:rsidRPr="00EB351A">
        <w:rPr>
          <w:rFonts w:ascii="仿宋_GB2312" w:eastAsia="仿宋_GB2312" w:hAnsi="宋体" w:hint="eastAsia"/>
          <w:sz w:val="32"/>
          <w:szCs w:val="32"/>
        </w:rPr>
        <w:t>水肥一体化系统的长期稳定运行离不开规范的维护管理</w:t>
      </w:r>
      <w:r w:rsidR="004C48C4">
        <w:rPr>
          <w:rFonts w:ascii="仿宋_GB2312" w:eastAsia="仿宋_GB2312" w:hAnsi="宋体" w:hint="eastAsia"/>
          <w:sz w:val="32"/>
          <w:szCs w:val="32"/>
        </w:rPr>
        <w:t>，明确</w:t>
      </w:r>
      <w:r w:rsidR="004C48C4" w:rsidRPr="004C48C4">
        <w:rPr>
          <w:rFonts w:ascii="仿宋_GB2312" w:eastAsia="仿宋_GB2312" w:hAnsi="宋体" w:hint="eastAsia"/>
          <w:sz w:val="32"/>
          <w:szCs w:val="32"/>
        </w:rPr>
        <w:t>定期检查灌溉与施肥设备，及时清洗、维修或更换部件</w:t>
      </w:r>
      <w:r w:rsidR="004C48C4">
        <w:rPr>
          <w:rFonts w:ascii="仿宋_GB2312" w:eastAsia="仿宋_GB2312" w:hAnsi="宋体" w:hint="eastAsia"/>
          <w:sz w:val="32"/>
          <w:szCs w:val="32"/>
        </w:rPr>
        <w:t>。</w:t>
      </w:r>
      <w:r w:rsidRPr="00EB351A">
        <w:rPr>
          <w:rFonts w:ascii="仿宋_GB2312" w:eastAsia="仿宋_GB2312" w:hAnsi="宋体" w:hint="eastAsia"/>
          <w:sz w:val="32"/>
          <w:szCs w:val="32"/>
        </w:rPr>
        <w:t>NY/T 2623《灌溉施肥技术规范》对灌溉施肥系统的建</w:t>
      </w:r>
      <w:r w:rsidRPr="00EB351A">
        <w:rPr>
          <w:rFonts w:ascii="仿宋_GB2312" w:eastAsia="仿宋_GB2312" w:hAnsi="宋体" w:hint="eastAsia"/>
          <w:sz w:val="32"/>
          <w:szCs w:val="32"/>
        </w:rPr>
        <w:lastRenderedPageBreak/>
        <w:t>设、使用和维护提出了系统性要求，本文件引用该标准确保系统维护的规范性和可操作性。</w:t>
      </w:r>
    </w:p>
    <w:p w14:paraId="1869FAFE" w14:textId="2B2D27EB" w:rsidR="00A429A5" w:rsidRDefault="006A5419" w:rsidP="003911CA">
      <w:pPr>
        <w:numPr>
          <w:ilvl w:val="0"/>
          <w:numId w:val="10"/>
        </w:numPr>
        <w:spacing w:after="0" w:line="560" w:lineRule="exact"/>
        <w:ind w:left="0" w:firstLineChars="200" w:firstLine="643"/>
        <w:rPr>
          <w:rFonts w:ascii="楷体" w:eastAsia="楷体" w:hAnsi="楷体" w:hint="eastAsia"/>
          <w:b/>
          <w:sz w:val="32"/>
          <w:szCs w:val="32"/>
        </w:rPr>
      </w:pPr>
      <w:r w:rsidRPr="006A5419">
        <w:rPr>
          <w:rFonts w:ascii="楷体" w:eastAsia="楷体" w:hAnsi="楷体" w:hint="eastAsia"/>
          <w:b/>
          <w:sz w:val="32"/>
          <w:szCs w:val="32"/>
        </w:rPr>
        <w:t>生产档案管理</w:t>
      </w:r>
    </w:p>
    <w:p w14:paraId="007AB44F" w14:textId="1581EDBE" w:rsidR="00A429A5" w:rsidRDefault="00EB351A" w:rsidP="00EB351A">
      <w:pPr>
        <w:spacing w:after="0" w:line="560" w:lineRule="exact"/>
        <w:ind w:firstLineChars="200" w:firstLine="640"/>
        <w:rPr>
          <w:rFonts w:ascii="仿宋_GB2312" w:eastAsia="仿宋_GB2312" w:hAnsi="宋体"/>
          <w:sz w:val="32"/>
          <w:szCs w:val="32"/>
        </w:rPr>
      </w:pPr>
      <w:bookmarkStart w:id="4" w:name="_Hlk230897674"/>
      <w:r w:rsidRPr="00EB351A">
        <w:rPr>
          <w:rFonts w:ascii="仿宋_GB2312" w:eastAsia="仿宋_GB2312" w:hAnsi="宋体" w:hint="eastAsia"/>
          <w:sz w:val="32"/>
          <w:szCs w:val="32"/>
        </w:rPr>
        <w:t>生产档案管理是标准化生产的必要环节，也是质量安全追溯的基础。通过系统记录设施安装信息（便于设备管理和故障排查）、运行与维护记录（便于掌握设备状态和安排维护计划）、施肥日期/种类/数量/浓度（便于评估施肥效果和优化施肥方案）、果园温湿度（便于分析环境因子</w:t>
      </w:r>
      <w:proofErr w:type="gramStart"/>
      <w:r w:rsidRPr="00EB351A">
        <w:rPr>
          <w:rFonts w:ascii="仿宋_GB2312" w:eastAsia="仿宋_GB2312" w:hAnsi="宋体" w:hint="eastAsia"/>
          <w:sz w:val="32"/>
          <w:szCs w:val="32"/>
        </w:rPr>
        <w:t>对砂梨</w:t>
      </w:r>
      <w:proofErr w:type="gramEnd"/>
      <w:r w:rsidRPr="00EB351A">
        <w:rPr>
          <w:rFonts w:ascii="仿宋_GB2312" w:eastAsia="仿宋_GB2312" w:hAnsi="宋体" w:hint="eastAsia"/>
          <w:sz w:val="32"/>
          <w:szCs w:val="32"/>
        </w:rPr>
        <w:t>生长的影响），可形成完整的生产数据链。这些数据不仅服务于当季生产管理，还可为多年度的施肥方案优化、产量品质分析提供科学依据。</w:t>
      </w:r>
      <w:r w:rsidR="004C48C4">
        <w:rPr>
          <w:rFonts w:ascii="仿宋_GB2312" w:eastAsia="仿宋_GB2312" w:hAnsi="宋体" w:hint="eastAsia"/>
          <w:sz w:val="32"/>
          <w:szCs w:val="32"/>
        </w:rPr>
        <w:t>明确了</w:t>
      </w:r>
      <w:r w:rsidR="004C48C4" w:rsidRPr="004C48C4">
        <w:rPr>
          <w:rFonts w:ascii="仿宋_GB2312" w:eastAsia="仿宋_GB2312" w:hAnsi="宋体" w:hint="eastAsia"/>
          <w:sz w:val="32"/>
          <w:szCs w:val="32"/>
        </w:rPr>
        <w:t>水肥一体化系统的设施安装、运行与维护，施肥的日期、种类、数量和浓度，果园的温度、湿度等，均由专人记录并建立生产档案</w:t>
      </w:r>
      <w:r w:rsidR="004C48C4">
        <w:rPr>
          <w:rFonts w:ascii="仿宋_GB2312" w:eastAsia="仿宋_GB2312" w:hAnsi="宋体" w:hint="eastAsia"/>
          <w:sz w:val="32"/>
          <w:szCs w:val="32"/>
        </w:rPr>
        <w:t>的要求</w:t>
      </w:r>
      <w:r w:rsidR="004C48C4" w:rsidRPr="004C48C4">
        <w:rPr>
          <w:rFonts w:ascii="仿宋_GB2312" w:eastAsia="仿宋_GB2312" w:hAnsi="宋体" w:hint="eastAsia"/>
          <w:sz w:val="32"/>
          <w:szCs w:val="32"/>
        </w:rPr>
        <w:t>。</w:t>
      </w:r>
    </w:p>
    <w:p w14:paraId="1873CE68" w14:textId="3FE5810D" w:rsidR="00C17DE2" w:rsidRPr="00C17DE2" w:rsidRDefault="00C17DE2" w:rsidP="00C17DE2">
      <w:pPr>
        <w:numPr>
          <w:ilvl w:val="0"/>
          <w:numId w:val="10"/>
        </w:numPr>
        <w:spacing w:after="0" w:line="560" w:lineRule="exact"/>
        <w:ind w:left="0" w:firstLineChars="200" w:firstLine="643"/>
        <w:rPr>
          <w:rFonts w:ascii="楷体" w:eastAsia="楷体" w:hAnsi="楷体"/>
          <w:b/>
          <w:sz w:val="32"/>
          <w:szCs w:val="32"/>
        </w:rPr>
      </w:pPr>
      <w:r w:rsidRPr="00C17DE2">
        <w:rPr>
          <w:rFonts w:ascii="楷体" w:eastAsia="楷体" w:hAnsi="楷体" w:hint="eastAsia"/>
          <w:b/>
          <w:sz w:val="32"/>
          <w:szCs w:val="32"/>
        </w:rPr>
        <w:t>试验验证与效果分析</w:t>
      </w:r>
    </w:p>
    <w:p w14:paraId="5588D160" w14:textId="7B8D52BE" w:rsidR="00C17DE2" w:rsidRDefault="00C17DE2" w:rsidP="00EB351A">
      <w:pPr>
        <w:spacing w:after="0" w:line="560" w:lineRule="exact"/>
        <w:ind w:firstLineChars="200" w:firstLine="640"/>
        <w:rPr>
          <w:rFonts w:ascii="仿宋_GB2312" w:eastAsia="仿宋_GB2312" w:hAnsi="宋体"/>
          <w:sz w:val="32"/>
          <w:szCs w:val="32"/>
        </w:rPr>
      </w:pPr>
      <w:r w:rsidRPr="00C17DE2">
        <w:rPr>
          <w:rFonts w:ascii="仿宋_GB2312" w:eastAsia="仿宋_GB2312" w:hAnsi="宋体" w:hint="eastAsia"/>
          <w:sz w:val="32"/>
          <w:szCs w:val="32"/>
        </w:rPr>
        <w:t>本</w:t>
      </w:r>
      <w:r>
        <w:rPr>
          <w:rFonts w:ascii="仿宋_GB2312" w:eastAsia="仿宋_GB2312" w:hAnsi="宋体" w:hint="eastAsia"/>
          <w:sz w:val="32"/>
          <w:szCs w:val="32"/>
        </w:rPr>
        <w:t>文件</w:t>
      </w:r>
      <w:r w:rsidRPr="00C17DE2">
        <w:rPr>
          <w:rFonts w:ascii="仿宋_GB2312" w:eastAsia="仿宋_GB2312" w:hAnsi="宋体" w:hint="eastAsia"/>
          <w:sz w:val="32"/>
          <w:szCs w:val="32"/>
        </w:rPr>
        <w:t>所规定的技术指标和参数，来源于各起草单位多年、多点试验验证与规模化应用实践。2023—2025年，广西特色作物研究院、南京农业大学、广西壮族自治区水果技术指导站分别在广西、江苏、河南等省（自治区）</w:t>
      </w:r>
      <w:proofErr w:type="gramStart"/>
      <w:r w:rsidRPr="00C17DE2">
        <w:rPr>
          <w:rFonts w:ascii="仿宋_GB2312" w:eastAsia="仿宋_GB2312" w:hAnsi="宋体" w:hint="eastAsia"/>
          <w:sz w:val="32"/>
          <w:szCs w:val="32"/>
        </w:rPr>
        <w:t>多个砂梨主产</w:t>
      </w:r>
      <w:proofErr w:type="gramEnd"/>
      <w:r w:rsidRPr="00C17DE2">
        <w:rPr>
          <w:rFonts w:ascii="仿宋_GB2312" w:eastAsia="仿宋_GB2312" w:hAnsi="宋体" w:hint="eastAsia"/>
          <w:sz w:val="32"/>
          <w:szCs w:val="32"/>
        </w:rPr>
        <w:t>县（市）开展了水肥一体化技术集成示范，累计应用面积达2.7万余亩，涵盖不同树龄、不同土壤类型和不同气候条件，系统验证了本文件技术路线的可行性、适用性和增产节本效果。各单位的应用数据详见表1。</w:t>
      </w:r>
    </w:p>
    <w:p w14:paraId="48FD3D7A" w14:textId="77777777" w:rsidR="00E410A8" w:rsidRDefault="00E410A8" w:rsidP="00EB351A">
      <w:pPr>
        <w:spacing w:after="0" w:line="560" w:lineRule="exact"/>
        <w:ind w:firstLineChars="200" w:firstLine="640"/>
        <w:rPr>
          <w:rFonts w:ascii="仿宋_GB2312" w:eastAsia="仿宋_GB2312" w:hAnsi="宋体"/>
          <w:sz w:val="32"/>
          <w:szCs w:val="32"/>
        </w:rPr>
      </w:pPr>
    </w:p>
    <w:p w14:paraId="5F45F34B" w14:textId="77777777" w:rsidR="00E410A8" w:rsidRDefault="00E410A8" w:rsidP="00EB351A">
      <w:pPr>
        <w:spacing w:after="0" w:line="560" w:lineRule="exact"/>
        <w:ind w:firstLineChars="200" w:firstLine="640"/>
        <w:rPr>
          <w:rFonts w:ascii="仿宋_GB2312" w:eastAsia="仿宋_GB2312" w:hAnsi="宋体" w:hint="eastAsia"/>
          <w:sz w:val="32"/>
          <w:szCs w:val="32"/>
        </w:rPr>
      </w:pPr>
    </w:p>
    <w:p w14:paraId="69D7DE34" w14:textId="4729916B" w:rsidR="00C17DE2" w:rsidRPr="00C17DE2" w:rsidRDefault="00C17DE2" w:rsidP="00C17DE2">
      <w:pPr>
        <w:spacing w:after="0" w:line="560" w:lineRule="exact"/>
        <w:ind w:firstLineChars="200" w:firstLine="560"/>
        <w:jc w:val="center"/>
        <w:rPr>
          <w:rFonts w:ascii="黑体" w:eastAsia="黑体" w:hAnsi="黑体" w:hint="eastAsia"/>
          <w:sz w:val="28"/>
          <w:szCs w:val="28"/>
        </w:rPr>
      </w:pPr>
      <w:r w:rsidRPr="00C17DE2">
        <w:rPr>
          <w:rFonts w:ascii="黑体" w:eastAsia="黑体" w:hAnsi="黑体" w:hint="eastAsia"/>
          <w:sz w:val="28"/>
          <w:szCs w:val="28"/>
        </w:rPr>
        <w:lastRenderedPageBreak/>
        <w:t>表1</w:t>
      </w:r>
      <w:r>
        <w:rPr>
          <w:rFonts w:ascii="黑体" w:eastAsia="黑体" w:hAnsi="黑体" w:hint="eastAsia"/>
          <w:sz w:val="28"/>
          <w:szCs w:val="28"/>
        </w:rPr>
        <w:t xml:space="preserve">  </w:t>
      </w:r>
      <w:r w:rsidRPr="00C17DE2">
        <w:rPr>
          <w:rFonts w:ascii="黑体" w:eastAsia="黑体" w:hAnsi="黑体" w:hint="eastAsia"/>
          <w:sz w:val="28"/>
          <w:szCs w:val="28"/>
        </w:rPr>
        <w:t>各起草</w:t>
      </w:r>
      <w:proofErr w:type="gramStart"/>
      <w:r w:rsidRPr="00C17DE2">
        <w:rPr>
          <w:rFonts w:ascii="黑体" w:eastAsia="黑体" w:hAnsi="黑体" w:hint="eastAsia"/>
          <w:sz w:val="28"/>
          <w:szCs w:val="28"/>
        </w:rPr>
        <w:t>单位砂梨水肥</w:t>
      </w:r>
      <w:proofErr w:type="gramEnd"/>
      <w:r w:rsidRPr="00C17DE2">
        <w:rPr>
          <w:rFonts w:ascii="黑体" w:eastAsia="黑体" w:hAnsi="黑体" w:hint="eastAsia"/>
          <w:sz w:val="28"/>
          <w:szCs w:val="28"/>
        </w:rPr>
        <w:t>一体化技术应用情况调查表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61"/>
        <w:gridCol w:w="636"/>
        <w:gridCol w:w="903"/>
        <w:gridCol w:w="1323"/>
        <w:gridCol w:w="1471"/>
        <w:gridCol w:w="2502"/>
      </w:tblGrid>
      <w:tr w:rsidR="00C17DE2" w:rsidRPr="00C17DE2" w14:paraId="002D5C15" w14:textId="77777777" w:rsidTr="00C17DE2">
        <w:trPr>
          <w:trHeight w:val="23"/>
          <w:jc w:val="center"/>
        </w:trPr>
        <w:tc>
          <w:tcPr>
            <w:tcW w:w="0" w:type="auto"/>
            <w:vAlign w:val="center"/>
          </w:tcPr>
          <w:p w14:paraId="040B328C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</w:rPr>
            </w:pPr>
            <w:r w:rsidRPr="00C17DE2">
              <w:rPr>
                <w:rFonts w:ascii="宋体" w:hAnsi="宋体" w:cs="___WRD_EMBED_SUB_45" w:hint="eastAsia"/>
                <w:szCs w:val="21"/>
              </w:rPr>
              <w:t>单位名称</w:t>
            </w:r>
          </w:p>
        </w:tc>
        <w:tc>
          <w:tcPr>
            <w:tcW w:w="0" w:type="auto"/>
            <w:vAlign w:val="center"/>
          </w:tcPr>
          <w:p w14:paraId="3C9ED32A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</w:rPr>
            </w:pPr>
            <w:r w:rsidRPr="00C17DE2">
              <w:rPr>
                <w:rFonts w:ascii="宋体" w:hAnsi="宋体" w:cs="___WRD_EMBED_SUB_45" w:hint="eastAsia"/>
                <w:szCs w:val="21"/>
              </w:rPr>
              <w:t>年份</w:t>
            </w:r>
          </w:p>
        </w:tc>
        <w:tc>
          <w:tcPr>
            <w:tcW w:w="0" w:type="auto"/>
            <w:vAlign w:val="center"/>
          </w:tcPr>
          <w:p w14:paraId="3417D5D7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</w:rPr>
            </w:pPr>
            <w:r w:rsidRPr="00C17DE2">
              <w:rPr>
                <w:rFonts w:ascii="宋体" w:hAnsi="宋体" w:cs="___WRD_EMBED_SUB_45" w:hint="eastAsia"/>
                <w:szCs w:val="21"/>
              </w:rPr>
              <w:t>试验覆盖地区</w:t>
            </w:r>
          </w:p>
        </w:tc>
        <w:tc>
          <w:tcPr>
            <w:tcW w:w="0" w:type="auto"/>
            <w:vAlign w:val="center"/>
          </w:tcPr>
          <w:p w14:paraId="11735BF2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</w:rPr>
            </w:pPr>
            <w:r w:rsidRPr="00C17DE2">
              <w:rPr>
                <w:rFonts w:ascii="宋体" w:hAnsi="宋体" w:cs="___WRD_EMBED_SUB_45" w:hint="eastAsia"/>
                <w:szCs w:val="21"/>
              </w:rPr>
              <w:t>应用</w:t>
            </w:r>
            <w:r w:rsidRPr="00C17DE2">
              <w:rPr>
                <w:rFonts w:ascii="宋体" w:hAnsi="宋体" w:cs="___WRD_EMBED_SUB_45" w:hint="eastAsia"/>
                <w:szCs w:val="21"/>
                <w:lang w:eastAsia="zh"/>
              </w:rPr>
              <w:t>果园</w:t>
            </w:r>
            <w:r w:rsidRPr="00C17DE2">
              <w:rPr>
                <w:rFonts w:ascii="宋体" w:hAnsi="宋体" w:cs="___WRD_EMBED_SUB_45" w:hint="eastAsia"/>
                <w:szCs w:val="21"/>
              </w:rPr>
              <w:t>面积（亩）</w:t>
            </w:r>
          </w:p>
        </w:tc>
        <w:tc>
          <w:tcPr>
            <w:tcW w:w="0" w:type="auto"/>
            <w:vAlign w:val="center"/>
          </w:tcPr>
          <w:p w14:paraId="119B074B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</w:rPr>
            </w:pPr>
            <w:proofErr w:type="gramStart"/>
            <w:r w:rsidRPr="00C17DE2">
              <w:rPr>
                <w:rFonts w:ascii="宋体" w:hAnsi="宋体" w:cs="___WRD_EMBED_SUB_45" w:hint="eastAsia"/>
                <w:szCs w:val="21"/>
              </w:rPr>
              <w:t>砂梨平均</w:t>
            </w:r>
            <w:proofErr w:type="gramEnd"/>
            <w:r w:rsidRPr="00C17DE2">
              <w:rPr>
                <w:rFonts w:ascii="宋体" w:hAnsi="宋体" w:cs="___WRD_EMBED_SUB_45" w:hint="eastAsia"/>
                <w:szCs w:val="21"/>
              </w:rPr>
              <w:t>亩产量（公斤/亩）</w:t>
            </w:r>
          </w:p>
        </w:tc>
        <w:tc>
          <w:tcPr>
            <w:tcW w:w="0" w:type="auto"/>
            <w:vAlign w:val="center"/>
          </w:tcPr>
          <w:p w14:paraId="03737A74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</w:rPr>
            </w:pPr>
            <w:r w:rsidRPr="00C17DE2">
              <w:rPr>
                <w:rFonts w:ascii="宋体" w:hAnsi="宋体" w:cs="___WRD_EMBED_SUB_45" w:hint="eastAsia"/>
                <w:szCs w:val="21"/>
              </w:rPr>
              <w:t>技术应用效果/备注</w:t>
            </w:r>
          </w:p>
        </w:tc>
      </w:tr>
      <w:tr w:rsidR="00C17DE2" w:rsidRPr="00C17DE2" w14:paraId="4ED6F00E" w14:textId="77777777" w:rsidTr="00C17DE2">
        <w:trPr>
          <w:trHeight w:val="288"/>
          <w:jc w:val="center"/>
        </w:trPr>
        <w:tc>
          <w:tcPr>
            <w:tcW w:w="0" w:type="auto"/>
            <w:vMerge w:val="restart"/>
            <w:vAlign w:val="center"/>
          </w:tcPr>
          <w:p w14:paraId="67323DFC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</w:rPr>
            </w:pPr>
            <w:r w:rsidRPr="00C17DE2">
              <w:rPr>
                <w:rFonts w:ascii="宋体" w:hAnsi="宋体" w:cs="___WRD_EMBED_SUB_45" w:hint="eastAsia"/>
                <w:szCs w:val="21"/>
              </w:rPr>
              <w:t>广西特色作物研究院</w:t>
            </w:r>
          </w:p>
        </w:tc>
        <w:tc>
          <w:tcPr>
            <w:tcW w:w="0" w:type="auto"/>
            <w:vAlign w:val="center"/>
          </w:tcPr>
          <w:p w14:paraId="0D80DAC5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  <w:lang w:eastAsia="zh"/>
              </w:rPr>
            </w:pPr>
            <w:r w:rsidRPr="00C17DE2">
              <w:rPr>
                <w:rFonts w:ascii="宋体" w:hAnsi="宋体" w:cs="___WRD_EMBED_SUB_45" w:hint="eastAsia"/>
                <w:szCs w:val="21"/>
                <w:lang w:eastAsia="zh"/>
              </w:rPr>
              <w:t>2023</w:t>
            </w:r>
          </w:p>
        </w:tc>
        <w:tc>
          <w:tcPr>
            <w:tcW w:w="0" w:type="auto"/>
            <w:vAlign w:val="center"/>
          </w:tcPr>
          <w:p w14:paraId="235580D9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  <w:lang w:eastAsia="zh"/>
              </w:rPr>
            </w:pPr>
            <w:r w:rsidRPr="00C17DE2">
              <w:rPr>
                <w:rFonts w:ascii="宋体" w:hAnsi="宋体" w:cs="___WRD_EMBED_SUB_45" w:hint="eastAsia"/>
                <w:szCs w:val="21"/>
                <w:lang w:eastAsia="zh"/>
              </w:rPr>
              <w:t>贺州市富川县</w:t>
            </w:r>
          </w:p>
        </w:tc>
        <w:tc>
          <w:tcPr>
            <w:tcW w:w="0" w:type="auto"/>
            <w:vAlign w:val="center"/>
          </w:tcPr>
          <w:p w14:paraId="223CD109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  <w:lang w:eastAsia="zh"/>
              </w:rPr>
            </w:pPr>
            <w:r w:rsidRPr="00C17DE2">
              <w:rPr>
                <w:rFonts w:ascii="宋体" w:hAnsi="宋体" w:cs="___WRD_EMBED_SUB_45" w:hint="eastAsia"/>
                <w:szCs w:val="21"/>
                <w:lang w:eastAsia="zh"/>
              </w:rPr>
              <w:t>1180</w:t>
            </w:r>
          </w:p>
        </w:tc>
        <w:tc>
          <w:tcPr>
            <w:tcW w:w="0" w:type="auto"/>
            <w:vAlign w:val="center"/>
          </w:tcPr>
          <w:p w14:paraId="122C15B2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  <w:lang w:eastAsia="zh"/>
              </w:rPr>
            </w:pPr>
            <w:r w:rsidRPr="00C17DE2">
              <w:rPr>
                <w:rFonts w:ascii="宋体" w:hAnsi="宋体" w:cs="___WRD_EMBED_SUB_45" w:hint="eastAsia"/>
                <w:szCs w:val="21"/>
                <w:lang w:eastAsia="zh"/>
              </w:rPr>
              <w:t>2360</w:t>
            </w:r>
          </w:p>
        </w:tc>
        <w:tc>
          <w:tcPr>
            <w:tcW w:w="0" w:type="auto"/>
            <w:vAlign w:val="center"/>
          </w:tcPr>
          <w:p w14:paraId="404915D2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  <w:lang w:eastAsia="zh"/>
              </w:rPr>
            </w:pPr>
            <w:r w:rsidRPr="00C17DE2">
              <w:rPr>
                <w:rFonts w:ascii="宋体" w:hAnsi="宋体" w:cs="___WRD_EMBED_SUB_45" w:hint="eastAsia"/>
                <w:szCs w:val="21"/>
                <w:lang w:eastAsia="zh"/>
              </w:rPr>
              <w:t>省化肥40.2%、节水46.7%、省工67.9%，增产9.1%</w:t>
            </w:r>
          </w:p>
        </w:tc>
      </w:tr>
      <w:tr w:rsidR="00C17DE2" w:rsidRPr="00C17DE2" w14:paraId="7A997C22" w14:textId="77777777" w:rsidTr="00C17DE2">
        <w:trPr>
          <w:trHeight w:val="23"/>
          <w:jc w:val="center"/>
        </w:trPr>
        <w:tc>
          <w:tcPr>
            <w:tcW w:w="0" w:type="auto"/>
            <w:vMerge/>
            <w:vAlign w:val="center"/>
          </w:tcPr>
          <w:p w14:paraId="26C42FF7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</w:rPr>
            </w:pPr>
          </w:p>
        </w:tc>
        <w:tc>
          <w:tcPr>
            <w:tcW w:w="0" w:type="auto"/>
            <w:vAlign w:val="center"/>
          </w:tcPr>
          <w:p w14:paraId="4F70D944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</w:rPr>
            </w:pPr>
            <w:r w:rsidRPr="00C17DE2">
              <w:rPr>
                <w:rFonts w:ascii="宋体" w:hAnsi="宋体" w:cs="___WRD_EMBED_SUB_45" w:hint="eastAsia"/>
                <w:szCs w:val="21"/>
              </w:rPr>
              <w:t>2024</w:t>
            </w:r>
          </w:p>
        </w:tc>
        <w:tc>
          <w:tcPr>
            <w:tcW w:w="0" w:type="auto"/>
            <w:vAlign w:val="center"/>
          </w:tcPr>
          <w:p w14:paraId="374BEAEF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  <w:lang w:eastAsia="zh"/>
              </w:rPr>
            </w:pPr>
            <w:r w:rsidRPr="00C17DE2">
              <w:rPr>
                <w:rFonts w:ascii="宋体" w:hAnsi="宋体" w:cs="___WRD_EMBED_SUB_45" w:hint="eastAsia"/>
                <w:szCs w:val="21"/>
                <w:lang w:eastAsia="zh"/>
              </w:rPr>
              <w:t>柳州市柳江区</w:t>
            </w:r>
          </w:p>
        </w:tc>
        <w:tc>
          <w:tcPr>
            <w:tcW w:w="0" w:type="auto"/>
            <w:vAlign w:val="center"/>
          </w:tcPr>
          <w:p w14:paraId="76809582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  <w:lang w:eastAsia="zh"/>
              </w:rPr>
            </w:pPr>
            <w:r w:rsidRPr="00C17DE2">
              <w:rPr>
                <w:rFonts w:ascii="宋体" w:hAnsi="宋体" w:cs="___WRD_EMBED_SUB_45" w:hint="eastAsia"/>
                <w:szCs w:val="21"/>
                <w:lang w:eastAsia="zh"/>
              </w:rPr>
              <w:t>1650</w:t>
            </w:r>
          </w:p>
        </w:tc>
        <w:tc>
          <w:tcPr>
            <w:tcW w:w="0" w:type="auto"/>
            <w:vAlign w:val="center"/>
          </w:tcPr>
          <w:p w14:paraId="3DF48F64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  <w:lang w:eastAsia="zh"/>
              </w:rPr>
            </w:pPr>
            <w:r w:rsidRPr="00C17DE2">
              <w:rPr>
                <w:rFonts w:ascii="宋体" w:hAnsi="宋体" w:cs="___WRD_EMBED_SUB_45" w:hint="eastAsia"/>
                <w:szCs w:val="21"/>
                <w:lang w:eastAsia="zh"/>
              </w:rPr>
              <w:t>2630</w:t>
            </w:r>
          </w:p>
        </w:tc>
        <w:tc>
          <w:tcPr>
            <w:tcW w:w="0" w:type="auto"/>
            <w:vAlign w:val="center"/>
          </w:tcPr>
          <w:p w14:paraId="6A2DD035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  <w:lang w:eastAsia="zh"/>
              </w:rPr>
            </w:pPr>
            <w:r w:rsidRPr="00C17DE2">
              <w:rPr>
                <w:rFonts w:ascii="宋体" w:hAnsi="宋体" w:cs="___WRD_EMBED_SUB_45" w:hint="eastAsia"/>
                <w:szCs w:val="21"/>
                <w:lang w:eastAsia="zh"/>
              </w:rPr>
              <w:t>省化肥35.5%、节水41.3%、省工70.2%，增产8.2%</w:t>
            </w:r>
          </w:p>
        </w:tc>
      </w:tr>
      <w:tr w:rsidR="00C17DE2" w:rsidRPr="00C17DE2" w14:paraId="1938BF65" w14:textId="77777777" w:rsidTr="00C17DE2">
        <w:trPr>
          <w:trHeight w:val="23"/>
          <w:jc w:val="center"/>
        </w:trPr>
        <w:tc>
          <w:tcPr>
            <w:tcW w:w="0" w:type="auto"/>
            <w:vMerge/>
            <w:vAlign w:val="center"/>
          </w:tcPr>
          <w:p w14:paraId="6D3C205B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</w:rPr>
            </w:pPr>
          </w:p>
        </w:tc>
        <w:tc>
          <w:tcPr>
            <w:tcW w:w="0" w:type="auto"/>
            <w:vAlign w:val="center"/>
          </w:tcPr>
          <w:p w14:paraId="36B23493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</w:rPr>
            </w:pPr>
            <w:r w:rsidRPr="00C17DE2">
              <w:rPr>
                <w:rFonts w:ascii="宋体" w:hAnsi="宋体" w:cs="___WRD_EMBED_SUB_45" w:hint="eastAsia"/>
                <w:szCs w:val="21"/>
              </w:rPr>
              <w:t>2025</w:t>
            </w:r>
          </w:p>
        </w:tc>
        <w:tc>
          <w:tcPr>
            <w:tcW w:w="0" w:type="auto"/>
            <w:vAlign w:val="center"/>
          </w:tcPr>
          <w:p w14:paraId="6D97CC6F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  <w:lang w:eastAsia="zh"/>
              </w:rPr>
            </w:pPr>
            <w:r w:rsidRPr="00C17DE2">
              <w:rPr>
                <w:rFonts w:ascii="宋体" w:hAnsi="宋体" w:cs="___WRD_EMBED_SUB_45" w:hint="eastAsia"/>
                <w:szCs w:val="21"/>
                <w:lang w:eastAsia="zh"/>
              </w:rPr>
              <w:t>桂林市灌阳县</w:t>
            </w:r>
          </w:p>
        </w:tc>
        <w:tc>
          <w:tcPr>
            <w:tcW w:w="0" w:type="auto"/>
            <w:vAlign w:val="center"/>
          </w:tcPr>
          <w:p w14:paraId="738AA0C7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  <w:lang w:eastAsia="zh"/>
              </w:rPr>
            </w:pPr>
            <w:r w:rsidRPr="00C17DE2">
              <w:rPr>
                <w:rFonts w:ascii="宋体" w:hAnsi="宋体" w:cs="___WRD_EMBED_SUB_45" w:hint="eastAsia"/>
                <w:szCs w:val="21"/>
                <w:lang w:eastAsia="zh"/>
              </w:rPr>
              <w:t>3260</w:t>
            </w:r>
          </w:p>
        </w:tc>
        <w:tc>
          <w:tcPr>
            <w:tcW w:w="0" w:type="auto"/>
            <w:vAlign w:val="center"/>
          </w:tcPr>
          <w:p w14:paraId="2846E635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  <w:lang w:eastAsia="zh"/>
              </w:rPr>
            </w:pPr>
            <w:r w:rsidRPr="00C17DE2">
              <w:rPr>
                <w:rFonts w:ascii="宋体" w:hAnsi="宋体" w:cs="___WRD_EMBED_SUB_45" w:hint="eastAsia"/>
                <w:szCs w:val="21"/>
                <w:lang w:eastAsia="zh"/>
              </w:rPr>
              <w:t>2480</w:t>
            </w:r>
          </w:p>
        </w:tc>
        <w:tc>
          <w:tcPr>
            <w:tcW w:w="0" w:type="auto"/>
            <w:vAlign w:val="center"/>
          </w:tcPr>
          <w:p w14:paraId="42FA5918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  <w:lang w:eastAsia="zh"/>
              </w:rPr>
            </w:pPr>
            <w:r w:rsidRPr="00C17DE2">
              <w:rPr>
                <w:rFonts w:ascii="宋体" w:hAnsi="宋体" w:cs="___WRD_EMBED_SUB_45" w:hint="eastAsia"/>
                <w:szCs w:val="21"/>
                <w:lang w:eastAsia="zh"/>
              </w:rPr>
              <w:t>省化肥30.3%、节水40.5%、省工60.8%，增产9.6%</w:t>
            </w:r>
          </w:p>
        </w:tc>
      </w:tr>
      <w:tr w:rsidR="00C17DE2" w:rsidRPr="00C17DE2" w14:paraId="068DE04E" w14:textId="77777777" w:rsidTr="00C17DE2">
        <w:trPr>
          <w:trHeight w:val="23"/>
          <w:jc w:val="center"/>
        </w:trPr>
        <w:tc>
          <w:tcPr>
            <w:tcW w:w="0" w:type="auto"/>
            <w:vMerge w:val="restart"/>
            <w:vAlign w:val="center"/>
          </w:tcPr>
          <w:p w14:paraId="311338B8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</w:rPr>
            </w:pPr>
            <w:r w:rsidRPr="00C17DE2">
              <w:rPr>
                <w:rFonts w:ascii="宋体" w:hAnsi="宋体" w:cs="___WRD_EMBED_SUB_45" w:hint="eastAsia"/>
                <w:szCs w:val="21"/>
              </w:rPr>
              <w:t>南京农业大学</w:t>
            </w:r>
          </w:p>
        </w:tc>
        <w:tc>
          <w:tcPr>
            <w:tcW w:w="0" w:type="auto"/>
            <w:vAlign w:val="center"/>
          </w:tcPr>
          <w:p w14:paraId="4973B912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</w:rPr>
            </w:pPr>
            <w:r w:rsidRPr="00C17DE2">
              <w:rPr>
                <w:rFonts w:ascii="宋体" w:hAnsi="宋体" w:cs="___WRD_EMBED_SUB_45" w:hint="eastAsia"/>
                <w:szCs w:val="21"/>
              </w:rPr>
              <w:t>2023</w:t>
            </w:r>
          </w:p>
        </w:tc>
        <w:tc>
          <w:tcPr>
            <w:tcW w:w="0" w:type="auto"/>
            <w:vAlign w:val="center"/>
          </w:tcPr>
          <w:p w14:paraId="778FB34A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  <w:lang w:eastAsia="zh"/>
              </w:rPr>
            </w:pPr>
            <w:r w:rsidRPr="00C17DE2">
              <w:rPr>
                <w:rFonts w:ascii="宋体" w:hAnsi="宋体" w:cs="___WRD_EMBED_SUB_45" w:hint="eastAsia"/>
                <w:szCs w:val="21"/>
                <w:lang w:eastAsia="zh"/>
              </w:rPr>
              <w:t>江苏省镇江市</w:t>
            </w:r>
          </w:p>
        </w:tc>
        <w:tc>
          <w:tcPr>
            <w:tcW w:w="0" w:type="auto"/>
            <w:vAlign w:val="center"/>
          </w:tcPr>
          <w:p w14:paraId="5EDE1039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  <w:lang w:eastAsia="zh"/>
              </w:rPr>
            </w:pPr>
            <w:r w:rsidRPr="00C17DE2">
              <w:rPr>
                <w:rFonts w:ascii="宋体" w:hAnsi="宋体" w:cs="___WRD_EMBED_SUB_45" w:hint="eastAsia"/>
                <w:szCs w:val="21"/>
                <w:lang w:eastAsia="zh"/>
              </w:rPr>
              <w:t>4630</w:t>
            </w:r>
          </w:p>
        </w:tc>
        <w:tc>
          <w:tcPr>
            <w:tcW w:w="0" w:type="auto"/>
            <w:vAlign w:val="center"/>
          </w:tcPr>
          <w:p w14:paraId="08213BBE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  <w:lang w:eastAsia="zh"/>
              </w:rPr>
            </w:pPr>
            <w:r w:rsidRPr="00C17DE2">
              <w:rPr>
                <w:rFonts w:ascii="宋体" w:hAnsi="宋体" w:cs="___WRD_EMBED_SUB_45" w:hint="eastAsia"/>
                <w:szCs w:val="21"/>
                <w:lang w:eastAsia="zh"/>
              </w:rPr>
              <w:t>2610</w:t>
            </w:r>
          </w:p>
        </w:tc>
        <w:tc>
          <w:tcPr>
            <w:tcW w:w="0" w:type="auto"/>
            <w:vAlign w:val="center"/>
          </w:tcPr>
          <w:p w14:paraId="7DFDA41D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  <w:lang w:eastAsia="zh"/>
              </w:rPr>
            </w:pPr>
            <w:r w:rsidRPr="00C17DE2">
              <w:rPr>
                <w:rFonts w:ascii="宋体" w:hAnsi="宋体" w:cs="___WRD_EMBED_SUB_45" w:hint="eastAsia"/>
                <w:szCs w:val="21"/>
                <w:lang w:eastAsia="zh"/>
              </w:rPr>
              <w:t>省化肥32.1%、节水42.3%、省工63.2%，增产10.8%</w:t>
            </w:r>
          </w:p>
        </w:tc>
      </w:tr>
      <w:tr w:rsidR="00C17DE2" w:rsidRPr="00C17DE2" w14:paraId="22106AB4" w14:textId="77777777" w:rsidTr="00C17DE2">
        <w:trPr>
          <w:trHeight w:val="23"/>
          <w:jc w:val="center"/>
        </w:trPr>
        <w:tc>
          <w:tcPr>
            <w:tcW w:w="0" w:type="auto"/>
            <w:vMerge/>
            <w:vAlign w:val="center"/>
          </w:tcPr>
          <w:p w14:paraId="0BE2B5E1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</w:rPr>
            </w:pPr>
          </w:p>
        </w:tc>
        <w:tc>
          <w:tcPr>
            <w:tcW w:w="0" w:type="auto"/>
            <w:vAlign w:val="center"/>
          </w:tcPr>
          <w:p w14:paraId="13682C4B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</w:rPr>
            </w:pPr>
            <w:r w:rsidRPr="00C17DE2">
              <w:rPr>
                <w:rFonts w:ascii="宋体" w:hAnsi="宋体" w:cs="___WRD_EMBED_SUB_45" w:hint="eastAsia"/>
                <w:szCs w:val="21"/>
              </w:rPr>
              <w:t>2024</w:t>
            </w:r>
          </w:p>
        </w:tc>
        <w:tc>
          <w:tcPr>
            <w:tcW w:w="0" w:type="auto"/>
            <w:vAlign w:val="center"/>
          </w:tcPr>
          <w:p w14:paraId="1E77EB86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  <w:lang w:eastAsia="zh"/>
              </w:rPr>
            </w:pPr>
            <w:r w:rsidRPr="00C17DE2">
              <w:rPr>
                <w:rFonts w:ascii="宋体" w:hAnsi="宋体" w:cs="___WRD_EMBED_SUB_45" w:hint="eastAsia"/>
                <w:szCs w:val="21"/>
                <w:lang w:eastAsia="zh"/>
              </w:rPr>
              <w:t>河南省三门峡市</w:t>
            </w:r>
          </w:p>
        </w:tc>
        <w:tc>
          <w:tcPr>
            <w:tcW w:w="0" w:type="auto"/>
            <w:vAlign w:val="center"/>
          </w:tcPr>
          <w:p w14:paraId="799348F2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  <w:lang w:eastAsia="zh"/>
              </w:rPr>
            </w:pPr>
            <w:r w:rsidRPr="00C17DE2">
              <w:rPr>
                <w:rFonts w:ascii="宋体" w:hAnsi="宋体" w:cs="___WRD_EMBED_SUB_45" w:hint="eastAsia"/>
                <w:szCs w:val="21"/>
                <w:lang w:eastAsia="zh"/>
              </w:rPr>
              <w:t>8600</w:t>
            </w:r>
          </w:p>
        </w:tc>
        <w:tc>
          <w:tcPr>
            <w:tcW w:w="0" w:type="auto"/>
            <w:vAlign w:val="center"/>
          </w:tcPr>
          <w:p w14:paraId="226260E1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b/>
                <w:bCs/>
                <w:szCs w:val="21"/>
                <w:lang w:eastAsia="zh"/>
              </w:rPr>
            </w:pPr>
            <w:r w:rsidRPr="00C17DE2">
              <w:rPr>
                <w:rFonts w:ascii="宋体" w:hAnsi="宋体" w:cs="___WRD_EMBED_SUB_45" w:hint="eastAsia"/>
                <w:szCs w:val="21"/>
                <w:lang w:eastAsia="zh"/>
              </w:rPr>
              <w:t>2380</w:t>
            </w:r>
          </w:p>
        </w:tc>
        <w:tc>
          <w:tcPr>
            <w:tcW w:w="0" w:type="auto"/>
            <w:vAlign w:val="center"/>
          </w:tcPr>
          <w:p w14:paraId="332B600C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b/>
                <w:bCs/>
                <w:szCs w:val="21"/>
                <w:lang w:eastAsia="zh"/>
              </w:rPr>
            </w:pPr>
            <w:r w:rsidRPr="00C17DE2">
              <w:rPr>
                <w:rFonts w:ascii="宋体" w:hAnsi="宋体" w:cs="___WRD_EMBED_SUB_45" w:hint="eastAsia"/>
                <w:szCs w:val="21"/>
                <w:lang w:eastAsia="zh"/>
              </w:rPr>
              <w:t>省化肥30.8%、节水44.6%、省工65.5%，增产8.8%</w:t>
            </w:r>
          </w:p>
        </w:tc>
      </w:tr>
      <w:tr w:rsidR="00C17DE2" w:rsidRPr="00C17DE2" w14:paraId="74FDB48C" w14:textId="77777777" w:rsidTr="00C17DE2">
        <w:trPr>
          <w:trHeight w:val="23"/>
          <w:jc w:val="center"/>
        </w:trPr>
        <w:tc>
          <w:tcPr>
            <w:tcW w:w="0" w:type="auto"/>
            <w:vMerge/>
            <w:vAlign w:val="center"/>
          </w:tcPr>
          <w:p w14:paraId="6ADA33A9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</w:rPr>
            </w:pPr>
          </w:p>
        </w:tc>
        <w:tc>
          <w:tcPr>
            <w:tcW w:w="0" w:type="auto"/>
            <w:vAlign w:val="center"/>
          </w:tcPr>
          <w:p w14:paraId="4FFCC40B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</w:rPr>
            </w:pPr>
            <w:r w:rsidRPr="00C17DE2">
              <w:rPr>
                <w:rFonts w:ascii="宋体" w:hAnsi="宋体" w:cs="___WRD_EMBED_SUB_45" w:hint="eastAsia"/>
                <w:szCs w:val="21"/>
              </w:rPr>
              <w:t>2025</w:t>
            </w:r>
          </w:p>
        </w:tc>
        <w:tc>
          <w:tcPr>
            <w:tcW w:w="0" w:type="auto"/>
            <w:vAlign w:val="center"/>
          </w:tcPr>
          <w:p w14:paraId="2EF9B855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  <w:lang w:eastAsia="zh"/>
              </w:rPr>
            </w:pPr>
            <w:r w:rsidRPr="00C17DE2">
              <w:rPr>
                <w:rFonts w:ascii="宋体" w:hAnsi="宋体" w:cs="___WRD_EMBED_SUB_45" w:hint="eastAsia"/>
                <w:szCs w:val="21"/>
                <w:lang w:eastAsia="zh"/>
              </w:rPr>
              <w:t>河南省原阳县</w:t>
            </w:r>
          </w:p>
        </w:tc>
        <w:tc>
          <w:tcPr>
            <w:tcW w:w="0" w:type="auto"/>
            <w:vAlign w:val="center"/>
          </w:tcPr>
          <w:p w14:paraId="3D2162A8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  <w:lang w:eastAsia="zh"/>
              </w:rPr>
            </w:pPr>
            <w:r w:rsidRPr="00C17DE2">
              <w:rPr>
                <w:rFonts w:ascii="宋体" w:hAnsi="宋体" w:cs="___WRD_EMBED_SUB_45" w:hint="eastAsia"/>
                <w:szCs w:val="21"/>
                <w:lang w:eastAsia="zh"/>
              </w:rPr>
              <w:t>3900</w:t>
            </w:r>
          </w:p>
        </w:tc>
        <w:tc>
          <w:tcPr>
            <w:tcW w:w="0" w:type="auto"/>
            <w:vAlign w:val="center"/>
          </w:tcPr>
          <w:p w14:paraId="44D28F56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  <w:lang w:eastAsia="zh"/>
              </w:rPr>
            </w:pPr>
            <w:r w:rsidRPr="00C17DE2">
              <w:rPr>
                <w:rFonts w:ascii="宋体" w:hAnsi="宋体" w:cs="___WRD_EMBED_SUB_45" w:hint="eastAsia"/>
                <w:szCs w:val="21"/>
                <w:lang w:eastAsia="zh"/>
              </w:rPr>
              <w:t>2360</w:t>
            </w:r>
          </w:p>
        </w:tc>
        <w:tc>
          <w:tcPr>
            <w:tcW w:w="0" w:type="auto"/>
            <w:vAlign w:val="center"/>
          </w:tcPr>
          <w:p w14:paraId="5CD1BAF2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  <w:lang w:eastAsia="zh"/>
              </w:rPr>
            </w:pPr>
            <w:r w:rsidRPr="00C17DE2">
              <w:rPr>
                <w:rFonts w:ascii="宋体" w:hAnsi="宋体" w:cs="___WRD_EMBED_SUB_45" w:hint="eastAsia"/>
                <w:szCs w:val="21"/>
                <w:lang w:eastAsia="zh"/>
              </w:rPr>
              <w:t>省化肥32.3%、节水50.6%、省工64.7%，增产12.1%</w:t>
            </w:r>
          </w:p>
        </w:tc>
      </w:tr>
      <w:tr w:rsidR="00C17DE2" w:rsidRPr="00C17DE2" w14:paraId="60CC8889" w14:textId="77777777" w:rsidTr="00C17DE2">
        <w:trPr>
          <w:trHeight w:val="23"/>
          <w:jc w:val="center"/>
        </w:trPr>
        <w:tc>
          <w:tcPr>
            <w:tcW w:w="0" w:type="auto"/>
            <w:vMerge w:val="restart"/>
            <w:vAlign w:val="center"/>
          </w:tcPr>
          <w:p w14:paraId="44044882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</w:rPr>
            </w:pPr>
            <w:r w:rsidRPr="00C17DE2">
              <w:rPr>
                <w:rFonts w:ascii="宋体" w:hAnsi="宋体" w:cs="___WRD_EMBED_SUB_45" w:hint="eastAsia"/>
                <w:szCs w:val="21"/>
              </w:rPr>
              <w:t>广西壮族自治区水果技术指导站</w:t>
            </w:r>
          </w:p>
        </w:tc>
        <w:tc>
          <w:tcPr>
            <w:tcW w:w="0" w:type="auto"/>
            <w:vAlign w:val="center"/>
          </w:tcPr>
          <w:p w14:paraId="735E818F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</w:rPr>
            </w:pPr>
            <w:r w:rsidRPr="00C17DE2">
              <w:rPr>
                <w:rFonts w:ascii="宋体" w:hAnsi="宋体" w:cs="___WRD_EMBED_SUB_45" w:hint="eastAsia"/>
                <w:szCs w:val="21"/>
              </w:rPr>
              <w:t>2023</w:t>
            </w:r>
          </w:p>
        </w:tc>
        <w:tc>
          <w:tcPr>
            <w:tcW w:w="0" w:type="auto"/>
            <w:vAlign w:val="center"/>
          </w:tcPr>
          <w:p w14:paraId="0B9D3F17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  <w:lang w:eastAsia="zh"/>
              </w:rPr>
            </w:pPr>
            <w:r w:rsidRPr="00C17DE2">
              <w:rPr>
                <w:rFonts w:ascii="宋体" w:hAnsi="宋体" w:cs="___WRD_EMBED_SUB_45" w:hint="eastAsia"/>
                <w:szCs w:val="21"/>
                <w:lang w:eastAsia="zh"/>
              </w:rPr>
              <w:t>南宁市隆安县</w:t>
            </w:r>
          </w:p>
        </w:tc>
        <w:tc>
          <w:tcPr>
            <w:tcW w:w="0" w:type="auto"/>
            <w:vAlign w:val="center"/>
          </w:tcPr>
          <w:p w14:paraId="2A8A1DD0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  <w:lang w:eastAsia="zh"/>
              </w:rPr>
            </w:pPr>
            <w:r w:rsidRPr="00C17DE2">
              <w:rPr>
                <w:rFonts w:ascii="宋体" w:hAnsi="宋体" w:cs="___WRD_EMBED_SUB_45" w:hint="eastAsia"/>
                <w:szCs w:val="21"/>
                <w:lang w:eastAsia="zh"/>
              </w:rPr>
              <w:t>1070</w:t>
            </w:r>
          </w:p>
        </w:tc>
        <w:tc>
          <w:tcPr>
            <w:tcW w:w="0" w:type="auto"/>
            <w:vAlign w:val="center"/>
          </w:tcPr>
          <w:p w14:paraId="0FA680D8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  <w:lang w:eastAsia="zh"/>
              </w:rPr>
            </w:pPr>
            <w:r w:rsidRPr="00C17DE2">
              <w:rPr>
                <w:rFonts w:ascii="宋体" w:hAnsi="宋体" w:cs="___WRD_EMBED_SUB_45" w:hint="eastAsia"/>
                <w:szCs w:val="21"/>
                <w:lang w:eastAsia="zh"/>
              </w:rPr>
              <w:t>2350</w:t>
            </w:r>
          </w:p>
        </w:tc>
        <w:tc>
          <w:tcPr>
            <w:tcW w:w="0" w:type="auto"/>
            <w:vAlign w:val="center"/>
          </w:tcPr>
          <w:p w14:paraId="01A98E80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  <w:lang w:eastAsia="zh"/>
              </w:rPr>
            </w:pPr>
            <w:r w:rsidRPr="00C17DE2">
              <w:rPr>
                <w:rFonts w:ascii="宋体" w:hAnsi="宋体" w:cs="___WRD_EMBED_SUB_45" w:hint="eastAsia"/>
                <w:szCs w:val="21"/>
                <w:lang w:eastAsia="zh"/>
              </w:rPr>
              <w:t>省化肥33.7%、节水43.5%、省工66.4%，增产8.7%</w:t>
            </w:r>
          </w:p>
        </w:tc>
      </w:tr>
      <w:tr w:rsidR="00C17DE2" w:rsidRPr="00C17DE2" w14:paraId="6AABB95D" w14:textId="77777777" w:rsidTr="00C17DE2">
        <w:trPr>
          <w:trHeight w:val="23"/>
          <w:jc w:val="center"/>
        </w:trPr>
        <w:tc>
          <w:tcPr>
            <w:tcW w:w="0" w:type="auto"/>
            <w:vMerge/>
            <w:vAlign w:val="center"/>
          </w:tcPr>
          <w:p w14:paraId="219EC6EA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</w:rPr>
            </w:pPr>
          </w:p>
        </w:tc>
        <w:tc>
          <w:tcPr>
            <w:tcW w:w="0" w:type="auto"/>
            <w:vAlign w:val="center"/>
          </w:tcPr>
          <w:p w14:paraId="6341C776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</w:rPr>
            </w:pPr>
            <w:r w:rsidRPr="00C17DE2">
              <w:rPr>
                <w:rFonts w:ascii="宋体" w:hAnsi="宋体" w:cs="___WRD_EMBED_SUB_45" w:hint="eastAsia"/>
                <w:szCs w:val="21"/>
              </w:rPr>
              <w:t>2024</w:t>
            </w:r>
          </w:p>
        </w:tc>
        <w:tc>
          <w:tcPr>
            <w:tcW w:w="0" w:type="auto"/>
            <w:vAlign w:val="center"/>
          </w:tcPr>
          <w:p w14:paraId="6D8DEC81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  <w:lang w:eastAsia="zh"/>
              </w:rPr>
            </w:pPr>
            <w:r w:rsidRPr="00C17DE2">
              <w:rPr>
                <w:rFonts w:ascii="宋体" w:hAnsi="宋体" w:cs="___WRD_EMBED_SUB_45" w:hint="eastAsia"/>
                <w:szCs w:val="21"/>
                <w:lang w:eastAsia="zh"/>
              </w:rPr>
              <w:t>崇左市天等县</w:t>
            </w:r>
          </w:p>
        </w:tc>
        <w:tc>
          <w:tcPr>
            <w:tcW w:w="0" w:type="auto"/>
            <w:vAlign w:val="center"/>
          </w:tcPr>
          <w:p w14:paraId="78B70D9E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  <w:lang w:eastAsia="zh"/>
              </w:rPr>
            </w:pPr>
            <w:r w:rsidRPr="00C17DE2">
              <w:rPr>
                <w:rFonts w:ascii="宋体" w:hAnsi="宋体" w:cs="___WRD_EMBED_SUB_45" w:hint="eastAsia"/>
                <w:szCs w:val="21"/>
                <w:lang w:eastAsia="zh"/>
              </w:rPr>
              <w:t>1560</w:t>
            </w:r>
          </w:p>
        </w:tc>
        <w:tc>
          <w:tcPr>
            <w:tcW w:w="0" w:type="auto"/>
            <w:vAlign w:val="center"/>
          </w:tcPr>
          <w:p w14:paraId="219250E0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  <w:lang w:eastAsia="zh"/>
              </w:rPr>
            </w:pPr>
            <w:r w:rsidRPr="00C17DE2">
              <w:rPr>
                <w:rFonts w:ascii="宋体" w:hAnsi="宋体" w:cs="___WRD_EMBED_SUB_45" w:hint="eastAsia"/>
                <w:szCs w:val="21"/>
                <w:lang w:eastAsia="zh"/>
              </w:rPr>
              <w:t>2280</w:t>
            </w:r>
          </w:p>
        </w:tc>
        <w:tc>
          <w:tcPr>
            <w:tcW w:w="0" w:type="auto"/>
            <w:vAlign w:val="center"/>
          </w:tcPr>
          <w:p w14:paraId="05355933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  <w:lang w:eastAsia="zh"/>
              </w:rPr>
            </w:pPr>
            <w:r w:rsidRPr="00C17DE2">
              <w:rPr>
                <w:rFonts w:ascii="宋体" w:hAnsi="宋体" w:cs="___WRD_EMBED_SUB_45" w:hint="eastAsia"/>
                <w:szCs w:val="21"/>
                <w:lang w:eastAsia="zh"/>
              </w:rPr>
              <w:t>省化肥33.1%、节水45.2%、省工65.2%，增产9.3%</w:t>
            </w:r>
          </w:p>
        </w:tc>
      </w:tr>
      <w:tr w:rsidR="00C17DE2" w:rsidRPr="00C17DE2" w14:paraId="07186B13" w14:textId="77777777" w:rsidTr="00C17DE2">
        <w:trPr>
          <w:trHeight w:val="23"/>
          <w:jc w:val="center"/>
        </w:trPr>
        <w:tc>
          <w:tcPr>
            <w:tcW w:w="0" w:type="auto"/>
            <w:vMerge/>
            <w:vAlign w:val="center"/>
          </w:tcPr>
          <w:p w14:paraId="58F31BB2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</w:rPr>
            </w:pPr>
          </w:p>
        </w:tc>
        <w:tc>
          <w:tcPr>
            <w:tcW w:w="0" w:type="auto"/>
            <w:vAlign w:val="center"/>
          </w:tcPr>
          <w:p w14:paraId="017A5F9F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</w:rPr>
            </w:pPr>
            <w:r w:rsidRPr="00C17DE2">
              <w:rPr>
                <w:rFonts w:ascii="宋体" w:hAnsi="宋体" w:cs="___WRD_EMBED_SUB_45" w:hint="eastAsia"/>
                <w:szCs w:val="21"/>
              </w:rPr>
              <w:t>2025</w:t>
            </w:r>
          </w:p>
        </w:tc>
        <w:tc>
          <w:tcPr>
            <w:tcW w:w="0" w:type="auto"/>
            <w:vAlign w:val="center"/>
          </w:tcPr>
          <w:p w14:paraId="4EB31613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  <w:lang w:eastAsia="zh"/>
              </w:rPr>
            </w:pPr>
            <w:r w:rsidRPr="00C17DE2">
              <w:rPr>
                <w:rFonts w:ascii="宋体" w:hAnsi="宋体" w:cs="___WRD_EMBED_SUB_45" w:hint="eastAsia"/>
                <w:szCs w:val="21"/>
                <w:lang w:eastAsia="zh"/>
              </w:rPr>
              <w:t>防城港市东兴市</w:t>
            </w:r>
          </w:p>
        </w:tc>
        <w:tc>
          <w:tcPr>
            <w:tcW w:w="0" w:type="auto"/>
            <w:vAlign w:val="center"/>
          </w:tcPr>
          <w:p w14:paraId="4762C366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  <w:lang w:eastAsia="zh"/>
              </w:rPr>
            </w:pPr>
            <w:r w:rsidRPr="00C17DE2">
              <w:rPr>
                <w:rFonts w:ascii="宋体" w:hAnsi="宋体" w:cs="___WRD_EMBED_SUB_45" w:hint="eastAsia"/>
                <w:szCs w:val="21"/>
                <w:lang w:eastAsia="zh"/>
              </w:rPr>
              <w:t>1280</w:t>
            </w:r>
          </w:p>
        </w:tc>
        <w:tc>
          <w:tcPr>
            <w:tcW w:w="0" w:type="auto"/>
            <w:vAlign w:val="center"/>
          </w:tcPr>
          <w:p w14:paraId="32EF05F5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  <w:lang w:eastAsia="zh"/>
              </w:rPr>
            </w:pPr>
            <w:r w:rsidRPr="00C17DE2">
              <w:rPr>
                <w:rFonts w:ascii="宋体" w:hAnsi="宋体" w:cs="___WRD_EMBED_SUB_45" w:hint="eastAsia"/>
                <w:szCs w:val="21"/>
                <w:lang w:eastAsia="zh"/>
              </w:rPr>
              <w:t>2190</w:t>
            </w:r>
          </w:p>
        </w:tc>
        <w:tc>
          <w:tcPr>
            <w:tcW w:w="0" w:type="auto"/>
            <w:vAlign w:val="center"/>
          </w:tcPr>
          <w:p w14:paraId="16C4630B" w14:textId="77777777" w:rsidR="00C17DE2" w:rsidRPr="00C17DE2" w:rsidRDefault="00C17DE2" w:rsidP="00E410A8">
            <w:pPr>
              <w:spacing w:after="0" w:line="240" w:lineRule="auto"/>
              <w:jc w:val="center"/>
              <w:rPr>
                <w:rFonts w:ascii="宋体" w:hAnsi="宋体" w:cs="___WRD_EMBED_SUB_45" w:hint="eastAsia"/>
                <w:szCs w:val="21"/>
                <w:lang w:eastAsia="zh"/>
              </w:rPr>
            </w:pPr>
            <w:r w:rsidRPr="00C17DE2">
              <w:rPr>
                <w:rFonts w:ascii="宋体" w:hAnsi="宋体" w:cs="___WRD_EMBED_SUB_45" w:hint="eastAsia"/>
                <w:szCs w:val="21"/>
                <w:lang w:eastAsia="zh"/>
              </w:rPr>
              <w:t>省化肥31.9%、节水44.6%、省工68.2%，增产9.1%</w:t>
            </w:r>
          </w:p>
        </w:tc>
      </w:tr>
      <w:tr w:rsidR="00C17DE2" w:rsidRPr="00C17DE2" w14:paraId="0738AAE6" w14:textId="77777777" w:rsidTr="00C17DE2">
        <w:trPr>
          <w:trHeight w:val="23"/>
          <w:jc w:val="center"/>
        </w:trPr>
        <w:tc>
          <w:tcPr>
            <w:tcW w:w="0" w:type="auto"/>
            <w:gridSpan w:val="6"/>
            <w:vAlign w:val="center"/>
          </w:tcPr>
          <w:p w14:paraId="4ED075B8" w14:textId="77777777" w:rsidR="00C17DE2" w:rsidRPr="00C17DE2" w:rsidRDefault="00C17DE2" w:rsidP="00E410A8">
            <w:pPr>
              <w:spacing w:after="0" w:line="240" w:lineRule="auto"/>
              <w:jc w:val="left"/>
              <w:rPr>
                <w:rFonts w:ascii="宋体" w:hAnsi="宋体" w:cs="___WRD_EMBED_SUB_45" w:hint="eastAsia"/>
                <w:szCs w:val="21"/>
              </w:rPr>
            </w:pPr>
            <w:r w:rsidRPr="00C17DE2">
              <w:rPr>
                <w:rFonts w:ascii="宋体" w:hAnsi="宋体" w:cs="___WRD_EMBED_SUB_45" w:hint="eastAsia"/>
                <w:szCs w:val="21"/>
                <w:lang w:eastAsia="zh"/>
              </w:rPr>
              <w:t>填写说明：</w:t>
            </w:r>
          </w:p>
          <w:p w14:paraId="2E40E811" w14:textId="77777777" w:rsidR="00C17DE2" w:rsidRPr="00C17DE2" w:rsidRDefault="00C17DE2" w:rsidP="00E410A8">
            <w:pPr>
              <w:spacing w:after="0" w:line="240" w:lineRule="auto"/>
              <w:jc w:val="left"/>
              <w:rPr>
                <w:rFonts w:ascii="宋体" w:hAnsi="宋体" w:cs="___WRD_EMBED_SUB_45" w:hint="eastAsia"/>
                <w:szCs w:val="21"/>
              </w:rPr>
            </w:pPr>
            <w:r w:rsidRPr="00C17DE2">
              <w:rPr>
                <w:rFonts w:ascii="宋体" w:hAnsi="宋体" w:cs="___WRD_EMBED_SUB_45" w:hint="eastAsia"/>
                <w:szCs w:val="21"/>
                <w:lang w:eastAsia="zh"/>
              </w:rPr>
              <w:t>1.请各单位如实填写2023-2025年砂梨水肥一体化技术应用相关数据；</w:t>
            </w:r>
          </w:p>
          <w:p w14:paraId="0B138DF3" w14:textId="77777777" w:rsidR="00C17DE2" w:rsidRPr="00C17DE2" w:rsidRDefault="00C17DE2" w:rsidP="00E410A8">
            <w:pPr>
              <w:spacing w:after="0" w:line="240" w:lineRule="auto"/>
              <w:jc w:val="left"/>
              <w:rPr>
                <w:rFonts w:ascii="宋体" w:hAnsi="宋体" w:cs="___WRD_EMBED_SUB_45" w:hint="eastAsia"/>
                <w:szCs w:val="21"/>
              </w:rPr>
            </w:pPr>
            <w:r w:rsidRPr="00C17DE2">
              <w:rPr>
                <w:rFonts w:ascii="宋体" w:hAnsi="宋体" w:cs="___WRD_EMBED_SUB_45" w:hint="eastAsia"/>
                <w:szCs w:val="21"/>
                <w:lang w:eastAsia="zh"/>
              </w:rPr>
              <w:t>2.试验覆盖地区请填写具体市/县名称；</w:t>
            </w:r>
          </w:p>
          <w:p w14:paraId="0839587B" w14:textId="77777777" w:rsidR="00C17DE2" w:rsidRPr="00C17DE2" w:rsidRDefault="00C17DE2" w:rsidP="00E410A8">
            <w:pPr>
              <w:spacing w:after="0" w:line="240" w:lineRule="auto"/>
              <w:jc w:val="left"/>
              <w:rPr>
                <w:rFonts w:ascii="宋体" w:hAnsi="宋体" w:cs="___WRD_EMBED_SUB_45" w:hint="eastAsia"/>
                <w:szCs w:val="21"/>
              </w:rPr>
            </w:pPr>
            <w:r w:rsidRPr="00C17DE2">
              <w:rPr>
                <w:rFonts w:ascii="宋体" w:hAnsi="宋体" w:cs="___WRD_EMBED_SUB_45" w:hint="eastAsia"/>
                <w:szCs w:val="21"/>
                <w:lang w:eastAsia="zh"/>
              </w:rPr>
              <w:t>3.面积单位为亩，产量单位为公斤/亩；</w:t>
            </w:r>
          </w:p>
          <w:p w14:paraId="1B0418D0" w14:textId="77777777" w:rsidR="00C17DE2" w:rsidRPr="00C17DE2" w:rsidRDefault="00C17DE2" w:rsidP="00E410A8">
            <w:pPr>
              <w:spacing w:after="0" w:line="240" w:lineRule="auto"/>
              <w:rPr>
                <w:rFonts w:ascii="宋体" w:hAnsi="宋体" w:cs="___WRD_EMBED_SUB_45" w:hint="eastAsia"/>
                <w:szCs w:val="21"/>
                <w:lang w:eastAsia="zh"/>
              </w:rPr>
            </w:pPr>
            <w:r w:rsidRPr="00C17DE2">
              <w:rPr>
                <w:rFonts w:ascii="宋体" w:hAnsi="宋体" w:cs="___WRD_EMBED_SUB_45" w:hint="eastAsia"/>
                <w:szCs w:val="21"/>
                <w:lang w:eastAsia="zh"/>
              </w:rPr>
              <w:t>4.效果说明可填写技术应用后的增产、节水、节肥等效果。</w:t>
            </w:r>
          </w:p>
        </w:tc>
      </w:tr>
    </w:tbl>
    <w:bookmarkEnd w:id="4"/>
    <w:p w14:paraId="20822FB3" w14:textId="71D1BFE9" w:rsidR="00066D1C" w:rsidRPr="00863535" w:rsidRDefault="00863535" w:rsidP="00066D1C">
      <w:pPr>
        <w:spacing w:after="0" w:line="560" w:lineRule="exact"/>
        <w:ind w:firstLineChars="200" w:firstLine="640"/>
        <w:rPr>
          <w:rFonts w:ascii="仿宋_GB2312" w:eastAsia="仿宋_GB2312" w:hAnsi="宋体"/>
          <w:sz w:val="32"/>
          <w:szCs w:val="32"/>
        </w:rPr>
      </w:pPr>
      <w:r w:rsidRPr="00863535">
        <w:rPr>
          <w:rFonts w:ascii="仿宋_GB2312" w:eastAsia="仿宋_GB2312" w:hAnsi="宋体" w:hint="eastAsia"/>
          <w:sz w:val="32"/>
          <w:szCs w:val="32"/>
        </w:rPr>
        <w:t>从表1可见，各试点应用水肥一体化技术后，化肥节省率在30.3%～40.2%之间，平均节省34.2%；节水率在40.5%～50.6%之间，平均节水44.4%；省工率在60.8%～70.2%之间，</w:t>
      </w:r>
      <w:r w:rsidRPr="00863535">
        <w:rPr>
          <w:rFonts w:ascii="仿宋_GB2312" w:eastAsia="仿宋_GB2312" w:hAnsi="宋体" w:hint="eastAsia"/>
          <w:sz w:val="32"/>
          <w:szCs w:val="32"/>
        </w:rPr>
        <w:lastRenderedPageBreak/>
        <w:t>平均省工65.8%；增产幅度在8.2%～12.1%之间，平均增产9.6%。上述数据充分证明了本文件所确定的技术参数（灌水定额、施肥浓度、施肥时期与用量、系统运行压力等）科学合理，能够在不同生态区域取得稳定的节本增效效果，为标准的推广应用提供了可靠的实践依据。</w:t>
      </w:r>
    </w:p>
    <w:p w14:paraId="47DCC4CF" w14:textId="32D7EBEA" w:rsidR="001B4038" w:rsidRDefault="001B4038" w:rsidP="001B4038">
      <w:pPr>
        <w:spacing w:after="0" w:line="560" w:lineRule="exact"/>
        <w:ind w:firstLineChars="200" w:firstLine="640"/>
        <w:outlineLvl w:val="0"/>
        <w:rPr>
          <w:rFonts w:ascii="黑体" w:eastAsia="黑体" w:hAnsi="宋体" w:cs="仿宋_GB2312" w:hint="eastAsia"/>
          <w:sz w:val="32"/>
          <w:szCs w:val="32"/>
        </w:rPr>
      </w:pPr>
      <w:r>
        <w:rPr>
          <w:rFonts w:ascii="黑体" w:eastAsia="黑体" w:hAnsi="宋体" w:cs="仿宋_GB2312" w:hint="eastAsia"/>
          <w:sz w:val="32"/>
          <w:szCs w:val="32"/>
          <w:lang w:bidi="ar"/>
        </w:rPr>
        <w:t>六、重大意见分歧的处理依据和结果</w:t>
      </w:r>
    </w:p>
    <w:p w14:paraId="7B772458" w14:textId="77777777" w:rsidR="001B4038" w:rsidRDefault="001B4038" w:rsidP="006A5419">
      <w:pPr>
        <w:spacing w:after="0" w:line="560" w:lineRule="exact"/>
        <w:ind w:firstLineChars="200" w:firstLine="640"/>
        <w:rPr>
          <w:rFonts w:ascii="仿宋_GB2312" w:eastAsia="仿宋_GB2312" w:hAnsi="仿宋" w:cs="仿宋_GB2312" w:hint="eastAsia"/>
          <w:sz w:val="32"/>
          <w:szCs w:val="32"/>
        </w:rPr>
      </w:pPr>
      <w:r>
        <w:rPr>
          <w:rFonts w:ascii="仿宋_GB2312" w:eastAsia="仿宋_GB2312" w:hAnsi="仿宋" w:cs="仿宋_GB2312" w:hint="eastAsia"/>
          <w:sz w:val="32"/>
          <w:szCs w:val="32"/>
          <w:lang w:bidi="ar"/>
        </w:rPr>
        <w:t>本标准研制过程中无重大分歧意见。</w:t>
      </w:r>
    </w:p>
    <w:p w14:paraId="24BA45E5" w14:textId="77777777" w:rsidR="001B4038" w:rsidRDefault="001B4038" w:rsidP="001B4038">
      <w:pPr>
        <w:spacing w:after="0"/>
        <w:ind w:firstLineChars="200" w:firstLine="640"/>
        <w:outlineLvl w:val="0"/>
        <w:rPr>
          <w:rFonts w:ascii="黑体" w:eastAsia="黑体" w:hAnsi="宋体" w:cs="黑体" w:hint="eastAsia"/>
          <w:bCs/>
          <w:color w:val="FF0000"/>
          <w:sz w:val="32"/>
          <w:szCs w:val="32"/>
        </w:rPr>
      </w:pPr>
      <w:r>
        <w:rPr>
          <w:rFonts w:ascii="黑体" w:eastAsia="黑体" w:hAnsi="宋体" w:cs="黑体" w:hint="eastAsia"/>
          <w:bCs/>
          <w:sz w:val="32"/>
          <w:szCs w:val="32"/>
          <w:lang w:bidi="ar"/>
        </w:rPr>
        <w:t>七、实施标准的措施</w:t>
      </w:r>
    </w:p>
    <w:p w14:paraId="19183AD6" w14:textId="28E548FB" w:rsidR="001B4038" w:rsidRDefault="0047702F" w:rsidP="001B4038">
      <w:pPr>
        <w:spacing w:after="0" w:line="560" w:lineRule="exact"/>
        <w:ind w:firstLineChars="200" w:firstLine="640"/>
        <w:rPr>
          <w:rFonts w:ascii="仿宋_GB2312" w:eastAsia="仿宋_GB2312" w:hAnsi="仿宋" w:cs="仿宋_GB2312" w:hint="eastAsia"/>
          <w:color w:val="000000"/>
          <w:sz w:val="32"/>
          <w:szCs w:val="32"/>
          <w:lang w:bidi="ar"/>
        </w:rPr>
      </w:pPr>
      <w:r w:rsidRPr="0047702F">
        <w:rPr>
          <w:rFonts w:ascii="仿宋_GB2312" w:eastAsia="仿宋_GB2312" w:hAnsi="仿宋" w:cs="仿宋_GB2312" w:hint="eastAsia"/>
          <w:color w:val="000000"/>
          <w:sz w:val="32"/>
          <w:szCs w:val="32"/>
          <w:lang w:bidi="ar"/>
        </w:rPr>
        <w:t>团体标准《</w:t>
      </w:r>
      <w:r w:rsidR="00EE2336">
        <w:rPr>
          <w:rFonts w:ascii="仿宋_GB2312" w:eastAsia="仿宋_GB2312" w:hAnsi="仿宋" w:cs="仿宋_GB2312" w:hint="eastAsia"/>
          <w:color w:val="000000"/>
          <w:sz w:val="32"/>
          <w:szCs w:val="32"/>
          <w:lang w:bidi="ar"/>
        </w:rPr>
        <w:t>砂梨水肥一体化技术规程</w:t>
      </w:r>
      <w:r w:rsidRPr="0047702F">
        <w:rPr>
          <w:rFonts w:ascii="仿宋_GB2312" w:eastAsia="仿宋_GB2312" w:hAnsi="仿宋" w:cs="仿宋_GB2312" w:hint="eastAsia"/>
          <w:color w:val="000000"/>
          <w:sz w:val="32"/>
          <w:szCs w:val="32"/>
          <w:lang w:bidi="ar"/>
        </w:rPr>
        <w:t>》发布后，积极向各级相关部门、种植主体、从业人员宣传，向所有生产经营相关单位及从业者推荐执行本标准。</w:t>
      </w:r>
    </w:p>
    <w:p w14:paraId="5195D2A6" w14:textId="77777777" w:rsidR="001B4038" w:rsidRDefault="001B4038" w:rsidP="001B4038">
      <w:pPr>
        <w:autoSpaceDE w:val="0"/>
        <w:autoSpaceDN w:val="0"/>
        <w:adjustRightInd w:val="0"/>
        <w:spacing w:after="0" w:line="560" w:lineRule="exact"/>
        <w:ind w:firstLineChars="200" w:firstLine="640"/>
        <w:outlineLvl w:val="0"/>
        <w:rPr>
          <w:rFonts w:eastAsia="黑体"/>
          <w:sz w:val="32"/>
          <w:szCs w:val="32"/>
        </w:rPr>
      </w:pPr>
      <w:r>
        <w:rPr>
          <w:rFonts w:eastAsia="黑体" w:cs="黑体" w:hint="eastAsia"/>
          <w:sz w:val="32"/>
          <w:szCs w:val="32"/>
          <w:lang w:bidi="ar"/>
        </w:rPr>
        <w:t>八、其他应当说明的事项</w:t>
      </w:r>
    </w:p>
    <w:p w14:paraId="7BBEF8E7" w14:textId="77777777" w:rsidR="001B4038" w:rsidRDefault="001B4038" w:rsidP="001B4038">
      <w:pPr>
        <w:widowControl/>
        <w:spacing w:after="0"/>
        <w:ind w:firstLineChars="200" w:firstLine="640"/>
        <w:jc w:val="left"/>
      </w:pPr>
      <w:r>
        <w:rPr>
          <w:rFonts w:ascii="仿宋_GB2312" w:eastAsia="仿宋_GB2312" w:hAnsi="Calibri" w:hint="eastAsia"/>
          <w:sz w:val="32"/>
          <w:szCs w:val="32"/>
          <w:lang w:bidi="ar"/>
        </w:rPr>
        <w:t>无。</w:t>
      </w:r>
    </w:p>
    <w:p w14:paraId="685FA483" w14:textId="77777777" w:rsidR="001B4038" w:rsidRDefault="001B4038" w:rsidP="001B4038">
      <w:pPr>
        <w:spacing w:after="0" w:line="560" w:lineRule="exact"/>
        <w:ind w:firstLineChars="200" w:firstLine="640"/>
        <w:rPr>
          <w:rFonts w:ascii="仿宋_GB2312" w:eastAsia="仿宋_GB2312" w:hAnsi="宋体" w:hint="eastAsia"/>
          <w:sz w:val="32"/>
          <w:szCs w:val="32"/>
        </w:rPr>
      </w:pPr>
    </w:p>
    <w:p w14:paraId="38371353" w14:textId="77777777" w:rsidR="001B4038" w:rsidRDefault="001B4038" w:rsidP="001B4038">
      <w:pPr>
        <w:spacing w:after="0" w:line="560" w:lineRule="exact"/>
        <w:ind w:firstLineChars="300" w:firstLine="960"/>
        <w:jc w:val="right"/>
        <w:rPr>
          <w:rFonts w:ascii="仿宋_GB2312" w:eastAsia="仿宋_GB2312" w:hAnsi="宋体" w:hint="eastAsia"/>
          <w:sz w:val="32"/>
          <w:szCs w:val="32"/>
        </w:rPr>
      </w:pPr>
    </w:p>
    <w:p w14:paraId="33ED39E9" w14:textId="6275FDDA" w:rsidR="001B4038" w:rsidRDefault="001B4038" w:rsidP="006A5419">
      <w:pPr>
        <w:spacing w:after="0" w:line="560" w:lineRule="exact"/>
        <w:ind w:right="1600"/>
        <w:jc w:val="right"/>
        <w:rPr>
          <w:rFonts w:ascii="仿宋_GB2312" w:eastAsia="仿宋_GB2312" w:hAnsi="宋体" w:hint="eastAsia"/>
          <w:sz w:val="32"/>
          <w:szCs w:val="32"/>
        </w:rPr>
      </w:pPr>
      <w:r>
        <w:rPr>
          <w:rFonts w:ascii="仿宋_GB2312" w:eastAsia="仿宋_GB2312" w:hAnsi="宋体" w:hint="eastAsia"/>
          <w:sz w:val="32"/>
          <w:szCs w:val="32"/>
        </w:rPr>
        <w:t>团体标准</w:t>
      </w:r>
    </w:p>
    <w:p w14:paraId="7E78C34A" w14:textId="0FB9CEB7" w:rsidR="001B4038" w:rsidRDefault="00993533" w:rsidP="0047702F">
      <w:pPr>
        <w:spacing w:after="0" w:line="560" w:lineRule="exact"/>
        <w:ind w:firstLineChars="300" w:firstLine="960"/>
        <w:jc w:val="right"/>
        <w:rPr>
          <w:rFonts w:ascii="仿宋_GB2312" w:eastAsia="仿宋_GB2312" w:hAnsi="宋体" w:hint="eastAsia"/>
          <w:sz w:val="32"/>
          <w:szCs w:val="32"/>
        </w:rPr>
      </w:pPr>
      <w:r>
        <w:rPr>
          <w:rFonts w:ascii="仿宋_GB2312" w:eastAsia="仿宋_GB2312" w:hAnsi="宋体" w:hint="eastAsia"/>
          <w:sz w:val="32"/>
          <w:szCs w:val="32"/>
        </w:rPr>
        <w:t>《</w:t>
      </w:r>
      <w:r w:rsidR="00EE2336">
        <w:rPr>
          <w:rFonts w:ascii="仿宋_GB2312" w:eastAsia="仿宋_GB2312" w:hAnsi="宋体" w:hint="eastAsia"/>
          <w:sz w:val="32"/>
          <w:szCs w:val="32"/>
        </w:rPr>
        <w:t>砂梨水肥一体化技术规程</w:t>
      </w:r>
      <w:r>
        <w:rPr>
          <w:rFonts w:ascii="仿宋_GB2312" w:eastAsia="仿宋_GB2312" w:hAnsi="宋体" w:hint="eastAsia"/>
          <w:sz w:val="32"/>
          <w:szCs w:val="32"/>
        </w:rPr>
        <w:t>》</w:t>
      </w:r>
    </w:p>
    <w:p w14:paraId="79E8E8B0" w14:textId="77777777" w:rsidR="001B4038" w:rsidRDefault="001B4038" w:rsidP="006A5419">
      <w:pPr>
        <w:spacing w:after="0" w:line="560" w:lineRule="exact"/>
        <w:ind w:right="1280"/>
        <w:jc w:val="right"/>
        <w:rPr>
          <w:rFonts w:ascii="仿宋_GB2312" w:eastAsia="仿宋_GB2312" w:hAnsi="宋体" w:hint="eastAsia"/>
          <w:sz w:val="32"/>
          <w:szCs w:val="32"/>
        </w:rPr>
      </w:pPr>
      <w:r>
        <w:rPr>
          <w:rFonts w:ascii="仿宋_GB2312" w:eastAsia="仿宋_GB2312" w:hAnsi="宋体" w:hint="eastAsia"/>
          <w:sz w:val="32"/>
          <w:szCs w:val="32"/>
        </w:rPr>
        <w:t>标准编制组</w:t>
      </w:r>
    </w:p>
    <w:p w14:paraId="77339D0C" w14:textId="6EE34AF8" w:rsidR="001B4038" w:rsidRDefault="001B4038" w:rsidP="00D37E1E">
      <w:pPr>
        <w:spacing w:after="0" w:line="560" w:lineRule="exact"/>
        <w:ind w:right="960"/>
        <w:jc w:val="right"/>
        <w:rPr>
          <w:rFonts w:ascii="仿宋_GB2312" w:eastAsia="仿宋_GB2312" w:hAnsi="宋体" w:hint="eastAsia"/>
          <w:sz w:val="32"/>
          <w:szCs w:val="32"/>
        </w:rPr>
      </w:pPr>
      <w:r>
        <w:rPr>
          <w:rFonts w:ascii="仿宋_GB2312" w:eastAsia="仿宋_GB2312" w:hAnsi="宋体" w:hint="eastAsia"/>
          <w:sz w:val="32"/>
          <w:szCs w:val="32"/>
        </w:rPr>
        <w:t>2026年</w:t>
      </w:r>
      <w:r w:rsidR="004C48C4">
        <w:rPr>
          <w:rFonts w:ascii="仿宋_GB2312" w:eastAsia="仿宋_GB2312" w:hAnsi="宋体" w:hint="eastAsia"/>
          <w:sz w:val="32"/>
          <w:szCs w:val="32"/>
        </w:rPr>
        <w:t>6</w:t>
      </w:r>
      <w:r>
        <w:rPr>
          <w:rFonts w:ascii="仿宋_GB2312" w:eastAsia="仿宋_GB2312" w:hAnsi="宋体" w:hint="eastAsia"/>
          <w:sz w:val="32"/>
          <w:szCs w:val="32"/>
        </w:rPr>
        <w:t>月</w:t>
      </w:r>
      <w:r w:rsidR="0047702F">
        <w:rPr>
          <w:rFonts w:ascii="仿宋_GB2312" w:eastAsia="仿宋_GB2312" w:hAnsi="宋体" w:hint="eastAsia"/>
          <w:sz w:val="32"/>
          <w:szCs w:val="32"/>
        </w:rPr>
        <w:t>2</w:t>
      </w:r>
      <w:r w:rsidR="004C48C4">
        <w:rPr>
          <w:rFonts w:ascii="仿宋_GB2312" w:eastAsia="仿宋_GB2312" w:hAnsi="宋体" w:hint="eastAsia"/>
          <w:sz w:val="32"/>
          <w:szCs w:val="32"/>
        </w:rPr>
        <w:t>6</w:t>
      </w:r>
      <w:r>
        <w:rPr>
          <w:rFonts w:ascii="仿宋_GB2312" w:eastAsia="仿宋_GB2312" w:hAnsi="宋体" w:hint="eastAsia"/>
          <w:sz w:val="32"/>
          <w:szCs w:val="32"/>
        </w:rPr>
        <w:t>日</w:t>
      </w:r>
    </w:p>
    <w:sectPr w:rsidR="001B4038">
      <w:footerReference w:type="default" r:id="rId14"/>
      <w:pgSz w:w="11906" w:h="16838"/>
      <w:pgMar w:top="1440" w:right="1800" w:bottom="1440" w:left="1800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0EA3AB" w14:textId="77777777" w:rsidR="007A0972" w:rsidRDefault="007A0972">
      <w:pPr>
        <w:spacing w:after="0" w:line="240" w:lineRule="auto"/>
      </w:pPr>
      <w:r>
        <w:separator/>
      </w:r>
    </w:p>
  </w:endnote>
  <w:endnote w:type="continuationSeparator" w:id="0">
    <w:p w14:paraId="6573C111" w14:textId="77777777" w:rsidR="007A0972" w:rsidRDefault="007A097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___WRD_EMBED_SUB_45">
    <w:altName w:val="华文中宋"/>
    <w:charset w:val="86"/>
    <w:family w:val="auto"/>
    <w:pitch w:val="default"/>
    <w:sig w:usb0="00000000" w:usb1="00000000" w:usb2="0000000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611666264"/>
    </w:sdtPr>
    <w:sdtContent>
      <w:p w14:paraId="5DC40C9A" w14:textId="77777777" w:rsidR="007A6E81" w:rsidRDefault="00000000">
        <w:pPr>
          <w:pStyle w:val="af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54</w:t>
        </w:r>
        <w:r>
          <w:fldChar w:fldCharType="end"/>
        </w:r>
      </w:p>
    </w:sdtContent>
  </w:sdt>
  <w:p w14:paraId="452459D2" w14:textId="77777777" w:rsidR="007A6E81" w:rsidRDefault="007A6E81">
    <w:pPr>
      <w:pStyle w:val="af8"/>
      <w:tabs>
        <w:tab w:val="clear" w:pos="8306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D2851B" w14:textId="77777777" w:rsidR="007A0972" w:rsidRDefault="007A0972">
      <w:pPr>
        <w:spacing w:after="0" w:line="240" w:lineRule="auto"/>
      </w:pPr>
      <w:r>
        <w:separator/>
      </w:r>
    </w:p>
  </w:footnote>
  <w:footnote w:type="continuationSeparator" w:id="0">
    <w:p w14:paraId="2697B473" w14:textId="77777777" w:rsidR="007A0972" w:rsidRDefault="007A097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D2AB0A94"/>
    <w:multiLevelType w:val="singleLevel"/>
    <w:tmpl w:val="D2AB0A94"/>
    <w:lvl w:ilvl="0">
      <w:start w:val="4"/>
      <w:numFmt w:val="chineseCounting"/>
      <w:suff w:val="nothing"/>
      <w:lvlText w:val="（%1）"/>
      <w:lvlJc w:val="left"/>
      <w:rPr>
        <w:rFonts w:hint="eastAsia"/>
        <w:b/>
        <w:bCs/>
      </w:rPr>
    </w:lvl>
  </w:abstractNum>
  <w:abstractNum w:abstractNumId="1" w15:restartNumberingAfterBreak="0">
    <w:nsid w:val="DDCF736E"/>
    <w:multiLevelType w:val="singleLevel"/>
    <w:tmpl w:val="DDCF736E"/>
    <w:lvl w:ilvl="0">
      <w:start w:val="3"/>
      <w:numFmt w:val="decimal"/>
      <w:suff w:val="space"/>
      <w:lvlText w:val="[%1]"/>
      <w:lvlJc w:val="left"/>
    </w:lvl>
  </w:abstractNum>
  <w:abstractNum w:abstractNumId="2" w15:restartNumberingAfterBreak="0">
    <w:nsid w:val="F59C0A2E"/>
    <w:multiLevelType w:val="multilevel"/>
    <w:tmpl w:val="F59C0A2E"/>
    <w:lvl w:ilvl="0">
      <w:start w:val="1"/>
      <w:numFmt w:val="none"/>
      <w:suff w:val="nothing"/>
      <w:lvlText w:val="%1"/>
      <w:lvlJc w:val="left"/>
      <w:pPr>
        <w:ind w:left="0" w:firstLine="0"/>
      </w:pPr>
    </w:lvl>
    <w:lvl w:ilvl="1">
      <w:start w:val="1"/>
      <w:numFmt w:val="decimal"/>
      <w:suff w:val="nothing"/>
      <w:lvlText w:val="%1%2　"/>
      <w:lvlJc w:val="left"/>
      <w:pPr>
        <w:ind w:left="0" w:firstLine="0"/>
      </w:pPr>
      <w:rPr>
        <w:rFonts w:ascii="黑体" w:eastAsia="黑体" w:hAnsi="Times New Roman" w:cs="黑体" w:hint="eastAsia"/>
        <w:b w:val="0"/>
        <w:i w:val="0"/>
        <w:sz w:val="21"/>
      </w:rPr>
    </w:lvl>
    <w:lvl w:ilvl="2">
      <w:start w:val="1"/>
      <w:numFmt w:val="decimal"/>
      <w:suff w:val="nothing"/>
      <w:lvlText w:val="%1%2.%3　"/>
      <w:lvlJc w:val="left"/>
      <w:pPr>
        <w:ind w:left="142" w:firstLine="0"/>
        <w:textAlignment w:val="baseline"/>
      </w:pPr>
      <w:rPr>
        <w:rFonts w:ascii="黑体" w:eastAsia="黑体" w:hAnsi="Times New Roman" w:cs="Times New Roman" w:hint="eastAsia"/>
        <w:b w:val="0"/>
        <w:bCs w:val="0"/>
        <w:i w:val="0"/>
        <w:iCs w:val="0"/>
        <w:caps w:val="0"/>
        <w:strike w:val="0"/>
        <w:dstrike w:val="0"/>
        <w:vanish w:val="0"/>
        <w:color w:val="000000"/>
        <w:spacing w:val="0"/>
        <w:kern w:val="0"/>
        <w:position w:val="0"/>
        <w:sz w:val="21"/>
        <w:u w:val="none"/>
      </w:rPr>
    </w:lvl>
    <w:lvl w:ilvl="3">
      <w:start w:val="1"/>
      <w:numFmt w:val="decimal"/>
      <w:suff w:val="nothing"/>
      <w:lvlText w:val="%1%2.%3.%4　"/>
      <w:lvlJc w:val="left"/>
      <w:pPr>
        <w:ind w:left="284" w:firstLine="0"/>
      </w:pPr>
      <w:rPr>
        <w:rFonts w:ascii="黑体" w:eastAsia="黑体" w:hAnsi="Times New Roman" w:cs="黑体" w:hint="eastAsia"/>
        <w:b w:val="0"/>
        <w:i w:val="0"/>
        <w:sz w:val="21"/>
      </w:rPr>
    </w:lvl>
    <w:lvl w:ilvl="4">
      <w:start w:val="1"/>
      <w:numFmt w:val="decimal"/>
      <w:pStyle w:val="a"/>
      <w:suff w:val="nothing"/>
      <w:lvlText w:val="%1%2.%3.%4.%5　"/>
      <w:lvlJc w:val="left"/>
      <w:pPr>
        <w:ind w:left="0" w:firstLine="0"/>
      </w:pPr>
      <w:rPr>
        <w:rFonts w:ascii="黑体" w:eastAsia="黑体" w:hAnsi="Times New Roman" w:cs="黑体" w:hint="eastAsia"/>
        <w:b w:val="0"/>
        <w:i w:val="0"/>
        <w:sz w:val="21"/>
      </w:rPr>
    </w:lvl>
    <w:lvl w:ilvl="5">
      <w:start w:val="1"/>
      <w:numFmt w:val="decimal"/>
      <w:suff w:val="nothing"/>
      <w:lvlText w:val="%1%2.%3.%4.%5.%6　"/>
      <w:lvlJc w:val="left"/>
      <w:pPr>
        <w:ind w:left="0" w:firstLine="0"/>
      </w:pPr>
      <w:rPr>
        <w:rFonts w:ascii="黑体" w:eastAsia="黑体" w:hAnsi="Times New Roman" w:cs="黑体" w:hint="eastAsia"/>
        <w:b w:val="0"/>
        <w:i w:val="0"/>
        <w:sz w:val="21"/>
      </w:rPr>
    </w:lvl>
    <w:lvl w:ilvl="6">
      <w:start w:val="1"/>
      <w:numFmt w:val="decimal"/>
      <w:suff w:val="nothing"/>
      <w:lvlText w:val="%1%2.%3.%4.%5.%6.%7　"/>
      <w:lvlJc w:val="left"/>
      <w:pPr>
        <w:ind w:left="0" w:firstLine="0"/>
      </w:pPr>
      <w:rPr>
        <w:rFonts w:ascii="黑体" w:eastAsia="黑体" w:hAnsi="Times New Roman" w:cs="黑体" w:hint="eastAsia"/>
        <w:b w:val="0"/>
        <w:i w:val="0"/>
        <w:sz w:val="21"/>
      </w:rPr>
    </w:lvl>
    <w:lvl w:ilvl="7">
      <w:start w:val="1"/>
      <w:numFmt w:val="decimal"/>
      <w:lvlText w:val="%1.%2.%3.%4.%5.%6.%7.%8"/>
      <w:lvlJc w:val="left"/>
      <w:pPr>
        <w:tabs>
          <w:tab w:val="left" w:pos="4351"/>
        </w:tabs>
        <w:ind w:left="3972" w:hanging="1418"/>
      </w:pPr>
    </w:lvl>
    <w:lvl w:ilvl="8">
      <w:start w:val="1"/>
      <w:numFmt w:val="decimal"/>
      <w:lvlText w:val="%1.%2.%3.%4.%5.%6.%7.%8.%9"/>
      <w:lvlJc w:val="left"/>
      <w:pPr>
        <w:tabs>
          <w:tab w:val="left" w:pos="4777"/>
        </w:tabs>
        <w:ind w:left="4677" w:hanging="1700"/>
      </w:pPr>
    </w:lvl>
  </w:abstractNum>
  <w:abstractNum w:abstractNumId="3" w15:restartNumberingAfterBreak="0">
    <w:nsid w:val="06F50745"/>
    <w:multiLevelType w:val="multilevel"/>
    <w:tmpl w:val="06F50745"/>
    <w:lvl w:ilvl="0">
      <w:start w:val="1"/>
      <w:numFmt w:val="japaneseCounting"/>
      <w:lvlText w:val="（%1）"/>
      <w:lvlJc w:val="left"/>
      <w:pPr>
        <w:ind w:left="1720" w:hanging="108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480" w:hanging="420"/>
      </w:pPr>
    </w:lvl>
    <w:lvl w:ilvl="2">
      <w:start w:val="1"/>
      <w:numFmt w:val="lowerRoman"/>
      <w:lvlText w:val="%3."/>
      <w:lvlJc w:val="right"/>
      <w:pPr>
        <w:ind w:left="1900" w:hanging="420"/>
      </w:pPr>
    </w:lvl>
    <w:lvl w:ilvl="3">
      <w:start w:val="1"/>
      <w:numFmt w:val="decimal"/>
      <w:lvlText w:val="%4."/>
      <w:lvlJc w:val="left"/>
      <w:pPr>
        <w:ind w:left="2320" w:hanging="420"/>
      </w:pPr>
    </w:lvl>
    <w:lvl w:ilvl="4">
      <w:start w:val="1"/>
      <w:numFmt w:val="lowerLetter"/>
      <w:lvlText w:val="%5)"/>
      <w:lvlJc w:val="left"/>
      <w:pPr>
        <w:ind w:left="2740" w:hanging="420"/>
      </w:pPr>
    </w:lvl>
    <w:lvl w:ilvl="5">
      <w:start w:val="1"/>
      <w:numFmt w:val="lowerRoman"/>
      <w:lvlText w:val="%6."/>
      <w:lvlJc w:val="right"/>
      <w:pPr>
        <w:ind w:left="3160" w:hanging="420"/>
      </w:pPr>
    </w:lvl>
    <w:lvl w:ilvl="6">
      <w:start w:val="1"/>
      <w:numFmt w:val="decimal"/>
      <w:lvlText w:val="%7."/>
      <w:lvlJc w:val="left"/>
      <w:pPr>
        <w:ind w:left="3580" w:hanging="420"/>
      </w:pPr>
    </w:lvl>
    <w:lvl w:ilvl="7">
      <w:start w:val="1"/>
      <w:numFmt w:val="lowerLetter"/>
      <w:lvlText w:val="%8)"/>
      <w:lvlJc w:val="left"/>
      <w:pPr>
        <w:ind w:left="4000" w:hanging="420"/>
      </w:pPr>
    </w:lvl>
    <w:lvl w:ilvl="8">
      <w:start w:val="1"/>
      <w:numFmt w:val="lowerRoman"/>
      <w:lvlText w:val="%9."/>
      <w:lvlJc w:val="right"/>
      <w:pPr>
        <w:ind w:left="4420" w:hanging="420"/>
      </w:pPr>
    </w:lvl>
  </w:abstractNum>
  <w:abstractNum w:abstractNumId="4" w15:restartNumberingAfterBreak="0">
    <w:nsid w:val="1FC91163"/>
    <w:multiLevelType w:val="multilevel"/>
    <w:tmpl w:val="1FC91163"/>
    <w:lvl w:ilvl="0">
      <w:start w:val="1"/>
      <w:numFmt w:val="decimal"/>
      <w:suff w:val="nothing"/>
      <w:lvlText w:val="%1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  <w:szCs w:val="21"/>
      </w:rPr>
    </w:lvl>
    <w:lvl w:ilvl="1">
      <w:start w:val="1"/>
      <w:numFmt w:val="decimal"/>
      <w:suff w:val="nothing"/>
      <w:lvlText w:val="%1.%2　"/>
      <w:lvlJc w:val="left"/>
      <w:pPr>
        <w:ind w:left="210" w:firstLine="0"/>
      </w:pPr>
      <w:rPr>
        <w:rFonts w:ascii="黑体" w:eastAsia="黑体" w:hAnsi="Times New Roman" w:cs="Times New Roman" w:hint="eastAsia"/>
        <w:b w:val="0"/>
        <w:bCs w:val="0"/>
        <w:i w:val="0"/>
        <w:iCs w:val="0"/>
        <w:caps w:val="0"/>
        <w:strike w:val="0"/>
        <w:dstrike w:val="0"/>
        <w:vanish w:val="0"/>
        <w:color w:val="000000"/>
        <w:spacing w:val="0"/>
        <w:kern w:val="0"/>
        <w:position w:val="0"/>
        <w:sz w:val="21"/>
        <w:szCs w:val="21"/>
        <w:u w:val="none"/>
        <w:vertAlign w:val="baseline"/>
      </w:rPr>
    </w:lvl>
    <w:lvl w:ilvl="2">
      <w:start w:val="1"/>
      <w:numFmt w:val="decimal"/>
      <w:pStyle w:val="a0"/>
      <w:suff w:val="nothing"/>
      <w:lvlText w:val="%1.%2.%3　"/>
      <w:lvlJc w:val="left"/>
      <w:pPr>
        <w:ind w:left="567" w:firstLine="0"/>
      </w:pPr>
      <w:rPr>
        <w:rFonts w:ascii="黑体" w:eastAsia="黑体" w:hAnsi="Times New Roman" w:hint="eastAsia"/>
        <w:b w:val="0"/>
        <w:i w:val="0"/>
        <w:sz w:val="21"/>
      </w:rPr>
    </w:lvl>
    <w:lvl w:ilvl="3">
      <w:start w:val="1"/>
      <w:numFmt w:val="decimal"/>
      <w:suff w:val="nothing"/>
      <w:lvlText w:val="%1.%2.%3.%4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4">
      <w:start w:val="1"/>
      <w:numFmt w:val="decimal"/>
      <w:suff w:val="nothing"/>
      <w:lvlText w:val="%1.%2.%3.%4.%5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5">
      <w:start w:val="1"/>
      <w:numFmt w:val="decimal"/>
      <w:suff w:val="nothing"/>
      <w:lvlText w:val="%1.%2.%3.%4.%5.%6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6">
      <w:start w:val="1"/>
      <w:numFmt w:val="decimal"/>
      <w:suff w:val="nothing"/>
      <w:lvlText w:val="%1%2.%3.%4.%5.%6.%7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7">
      <w:start w:val="1"/>
      <w:numFmt w:val="decimal"/>
      <w:lvlText w:val="%1.%2.%3.%4.%5.%6.%7.%8"/>
      <w:lvlJc w:val="left"/>
      <w:pPr>
        <w:tabs>
          <w:tab w:val="left" w:pos="4351"/>
        </w:tabs>
        <w:ind w:left="3969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4777"/>
        </w:tabs>
        <w:ind w:left="4677" w:hanging="1700"/>
      </w:pPr>
      <w:rPr>
        <w:rFonts w:hint="eastAsia"/>
      </w:rPr>
    </w:lvl>
  </w:abstractNum>
  <w:abstractNum w:abstractNumId="5" w15:restartNumberingAfterBreak="0">
    <w:nsid w:val="2DE76386"/>
    <w:multiLevelType w:val="singleLevel"/>
    <w:tmpl w:val="2DE76386"/>
    <w:lvl w:ilvl="0">
      <w:start w:val="2"/>
      <w:numFmt w:val="chineseCounting"/>
      <w:suff w:val="nothing"/>
      <w:lvlText w:val="（%1）"/>
      <w:lvlJc w:val="left"/>
      <w:rPr>
        <w:rFonts w:hint="eastAsia"/>
      </w:rPr>
    </w:lvl>
  </w:abstractNum>
  <w:abstractNum w:abstractNumId="6" w15:restartNumberingAfterBreak="0">
    <w:nsid w:val="30E81607"/>
    <w:multiLevelType w:val="multilevel"/>
    <w:tmpl w:val="30E81607"/>
    <w:lvl w:ilvl="0">
      <w:start w:val="1"/>
      <w:numFmt w:val="none"/>
      <w:suff w:val="nothing"/>
      <w:lvlText w:val="%1"/>
      <w:lvlJc w:val="left"/>
      <w:pPr>
        <w:ind w:left="0" w:firstLine="0"/>
      </w:pPr>
    </w:lvl>
    <w:lvl w:ilvl="1">
      <w:start w:val="1"/>
      <w:numFmt w:val="decimal"/>
      <w:suff w:val="nothing"/>
      <w:lvlText w:val="%1%2　"/>
      <w:lvlJc w:val="left"/>
      <w:pPr>
        <w:ind w:left="0" w:firstLine="0"/>
      </w:pPr>
      <w:rPr>
        <w:rFonts w:ascii="黑体" w:eastAsia="黑体" w:hAnsi="Times New Roman" w:cs="黑体" w:hint="eastAsia"/>
        <w:b w:val="0"/>
        <w:i w:val="0"/>
        <w:sz w:val="21"/>
      </w:rPr>
    </w:lvl>
    <w:lvl w:ilvl="2">
      <w:start w:val="1"/>
      <w:numFmt w:val="decimal"/>
      <w:suff w:val="nothing"/>
      <w:lvlText w:val="%1%2.%3　"/>
      <w:lvlJc w:val="left"/>
      <w:pPr>
        <w:ind w:left="142" w:firstLine="0"/>
        <w:textAlignment w:val="baseline"/>
      </w:pPr>
      <w:rPr>
        <w:rFonts w:ascii="黑体" w:eastAsia="黑体" w:hAnsi="Times New Roman" w:cs="Times New Roman" w:hint="eastAsia"/>
        <w:b w:val="0"/>
        <w:bCs w:val="0"/>
        <w:i w:val="0"/>
        <w:iCs w:val="0"/>
        <w:caps w:val="0"/>
        <w:strike w:val="0"/>
        <w:dstrike w:val="0"/>
        <w:vanish w:val="0"/>
        <w:color w:val="000000"/>
        <w:spacing w:val="0"/>
        <w:kern w:val="0"/>
        <w:position w:val="0"/>
        <w:sz w:val="21"/>
        <w:u w:val="none"/>
      </w:rPr>
    </w:lvl>
    <w:lvl w:ilvl="3">
      <w:start w:val="1"/>
      <w:numFmt w:val="decimal"/>
      <w:suff w:val="nothing"/>
      <w:lvlText w:val="%1%2.%3.%4　"/>
      <w:lvlJc w:val="left"/>
      <w:pPr>
        <w:ind w:left="284" w:firstLine="0"/>
      </w:pPr>
      <w:rPr>
        <w:rFonts w:ascii="黑体" w:eastAsia="黑体" w:hAnsi="Times New Roman" w:cs="黑体" w:hint="eastAsia"/>
        <w:b w:val="0"/>
        <w:i w:val="0"/>
        <w:sz w:val="21"/>
      </w:rPr>
    </w:lvl>
    <w:lvl w:ilvl="4">
      <w:start w:val="1"/>
      <w:numFmt w:val="decimal"/>
      <w:suff w:val="nothing"/>
      <w:lvlText w:val="%1%2.%3.%4.%5　"/>
      <w:lvlJc w:val="left"/>
      <w:pPr>
        <w:ind w:left="0" w:firstLine="0"/>
      </w:pPr>
      <w:rPr>
        <w:rFonts w:ascii="黑体" w:eastAsia="黑体" w:hAnsi="Times New Roman" w:cs="黑体" w:hint="eastAsia"/>
        <w:b w:val="0"/>
        <w:i w:val="0"/>
        <w:sz w:val="21"/>
      </w:rPr>
    </w:lvl>
    <w:lvl w:ilvl="5">
      <w:start w:val="1"/>
      <w:numFmt w:val="decimal"/>
      <w:pStyle w:val="a1"/>
      <w:suff w:val="nothing"/>
      <w:lvlText w:val="%1%2.%3.%4.%5.%6　"/>
      <w:lvlJc w:val="left"/>
      <w:pPr>
        <w:ind w:left="0" w:firstLine="0"/>
      </w:pPr>
      <w:rPr>
        <w:rFonts w:ascii="黑体" w:eastAsia="黑体" w:hAnsi="Times New Roman" w:cs="黑体" w:hint="eastAsia"/>
        <w:b w:val="0"/>
        <w:i w:val="0"/>
        <w:sz w:val="21"/>
      </w:rPr>
    </w:lvl>
    <w:lvl w:ilvl="6">
      <w:start w:val="1"/>
      <w:numFmt w:val="decimal"/>
      <w:suff w:val="nothing"/>
      <w:lvlText w:val="%1%2.%3.%4.%5.%6.%7　"/>
      <w:lvlJc w:val="left"/>
      <w:pPr>
        <w:ind w:left="0" w:firstLine="0"/>
      </w:pPr>
      <w:rPr>
        <w:rFonts w:ascii="黑体" w:eastAsia="黑体" w:hAnsi="Times New Roman" w:cs="黑体" w:hint="eastAsia"/>
        <w:b w:val="0"/>
        <w:i w:val="0"/>
        <w:sz w:val="21"/>
      </w:rPr>
    </w:lvl>
    <w:lvl w:ilvl="7">
      <w:start w:val="1"/>
      <w:numFmt w:val="decimal"/>
      <w:lvlText w:val="%1.%2.%3.%4.%5.%6.%7.%8"/>
      <w:lvlJc w:val="left"/>
      <w:pPr>
        <w:tabs>
          <w:tab w:val="left" w:pos="4351"/>
        </w:tabs>
        <w:ind w:left="3972" w:hanging="1418"/>
      </w:pPr>
    </w:lvl>
    <w:lvl w:ilvl="8">
      <w:start w:val="1"/>
      <w:numFmt w:val="decimal"/>
      <w:lvlText w:val="%1.%2.%3.%4.%5.%6.%7.%8.%9"/>
      <w:lvlJc w:val="left"/>
      <w:pPr>
        <w:tabs>
          <w:tab w:val="left" w:pos="4777"/>
        </w:tabs>
        <w:ind w:left="4677" w:hanging="1700"/>
      </w:pPr>
    </w:lvl>
  </w:abstractNum>
  <w:abstractNum w:abstractNumId="7" w15:restartNumberingAfterBreak="0">
    <w:nsid w:val="32534DA6"/>
    <w:multiLevelType w:val="multilevel"/>
    <w:tmpl w:val="32534DA6"/>
    <w:lvl w:ilvl="0">
      <w:start w:val="1"/>
      <w:numFmt w:val="decimal"/>
      <w:lvlText w:val="%1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557C2AF5"/>
    <w:multiLevelType w:val="multilevel"/>
    <w:tmpl w:val="557C2AF5"/>
    <w:lvl w:ilvl="0">
      <w:start w:val="1"/>
      <w:numFmt w:val="decimal"/>
      <w:pStyle w:val="a2"/>
      <w:suff w:val="nothing"/>
      <w:lvlText w:val="图%1　"/>
      <w:lvlJc w:val="left"/>
      <w:pPr>
        <w:ind w:left="0" w:firstLine="0"/>
      </w:pPr>
    </w:lvl>
    <w:lvl w:ilvl="1">
      <w:start w:val="1"/>
      <w:numFmt w:val="decimal"/>
      <w:suff w:val="nothing"/>
      <w:lvlText w:val="%1%2　"/>
      <w:lvlJc w:val="left"/>
      <w:pPr>
        <w:ind w:left="0" w:firstLine="0"/>
      </w:pPr>
    </w:lvl>
    <w:lvl w:ilvl="2">
      <w:start w:val="1"/>
      <w:numFmt w:val="decimal"/>
      <w:suff w:val="nothing"/>
      <w:lvlText w:val="%1%2.%3　"/>
      <w:lvlJc w:val="left"/>
      <w:pPr>
        <w:ind w:left="0" w:firstLine="0"/>
      </w:pPr>
    </w:lvl>
    <w:lvl w:ilvl="3">
      <w:start w:val="1"/>
      <w:numFmt w:val="decimal"/>
      <w:suff w:val="nothing"/>
      <w:lvlText w:val="%1%2.%3.%4　"/>
      <w:lvlJc w:val="left"/>
      <w:pPr>
        <w:ind w:left="0" w:firstLine="0"/>
      </w:pPr>
    </w:lvl>
    <w:lvl w:ilvl="4">
      <w:start w:val="1"/>
      <w:numFmt w:val="decimal"/>
      <w:suff w:val="nothing"/>
      <w:lvlText w:val="%1%2.%3.%4.%5　"/>
      <w:lvlJc w:val="left"/>
      <w:pPr>
        <w:ind w:left="0" w:firstLine="0"/>
      </w:pPr>
    </w:lvl>
    <w:lvl w:ilvl="5">
      <w:start w:val="1"/>
      <w:numFmt w:val="decimal"/>
      <w:suff w:val="nothing"/>
      <w:lvlText w:val="%1%2.%3.%4.%5.%6　"/>
      <w:lvlJc w:val="left"/>
      <w:pPr>
        <w:ind w:left="0" w:firstLine="0"/>
      </w:pPr>
    </w:lvl>
    <w:lvl w:ilvl="6">
      <w:start w:val="1"/>
      <w:numFmt w:val="decimal"/>
      <w:suff w:val="nothing"/>
      <w:lvlText w:val="%1%2.%3.%4.%5.%6.%7　"/>
      <w:lvlJc w:val="left"/>
      <w:pPr>
        <w:ind w:left="0" w:firstLine="0"/>
      </w:pPr>
    </w:lvl>
    <w:lvl w:ilvl="7">
      <w:start w:val="1"/>
      <w:numFmt w:val="decimal"/>
      <w:lvlText w:val="%1.%2.%3.%4.%5.%6.%7.%8"/>
      <w:lvlJc w:val="left"/>
      <w:pPr>
        <w:tabs>
          <w:tab w:val="left" w:pos="4348"/>
        </w:tabs>
        <w:ind w:left="3969" w:hanging="1418"/>
      </w:pPr>
    </w:lvl>
    <w:lvl w:ilvl="8">
      <w:start w:val="1"/>
      <w:numFmt w:val="decimal"/>
      <w:lvlText w:val="%1.%2.%3.%4.%5.%6.%7.%8.%9"/>
      <w:lvlJc w:val="left"/>
      <w:pPr>
        <w:tabs>
          <w:tab w:val="left" w:pos="4774"/>
        </w:tabs>
        <w:ind w:left="4677" w:hanging="1701"/>
      </w:pPr>
    </w:lvl>
  </w:abstractNum>
  <w:abstractNum w:abstractNumId="9" w15:restartNumberingAfterBreak="0">
    <w:nsid w:val="6CEA2025"/>
    <w:multiLevelType w:val="multilevel"/>
    <w:tmpl w:val="6CEA2025"/>
    <w:lvl w:ilvl="0">
      <w:start w:val="1"/>
      <w:numFmt w:val="none"/>
      <w:pStyle w:val="a3"/>
      <w:suff w:val="nothing"/>
      <w:lvlText w:val="%1"/>
      <w:lvlJc w:val="left"/>
      <w:pPr>
        <w:ind w:left="0" w:firstLine="0"/>
      </w:pPr>
      <w:rPr>
        <w:rFonts w:hint="eastAsia"/>
      </w:rPr>
    </w:lvl>
    <w:lvl w:ilvl="1">
      <w:start w:val="1"/>
      <w:numFmt w:val="decimal"/>
      <w:pStyle w:val="a4"/>
      <w:suff w:val="nothing"/>
      <w:lvlText w:val="%1%2　"/>
      <w:lvlJc w:val="left"/>
      <w:pPr>
        <w:ind w:left="0" w:firstLine="0"/>
      </w:pPr>
      <w:rPr>
        <w:rFonts w:ascii="黑体" w:eastAsia="黑体" w:hint="eastAsia"/>
        <w:b w:val="0"/>
        <w:i w:val="0"/>
        <w:sz w:val="21"/>
      </w:rPr>
    </w:lvl>
    <w:lvl w:ilvl="2">
      <w:start w:val="1"/>
      <w:numFmt w:val="decimal"/>
      <w:pStyle w:val="a5"/>
      <w:suff w:val="nothing"/>
      <w:lvlText w:val="%1%2.%3　"/>
      <w:lvlJc w:val="left"/>
      <w:pPr>
        <w:ind w:left="0" w:firstLine="0"/>
      </w:pPr>
      <w:rPr>
        <w:rFonts w:ascii="黑体" w:eastAsia="黑体" w:hAnsi="Times New Roman" w:cs="Times New Roman" w:hint="eastAsia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1"/>
        <w:u w:val="none"/>
        <w:vertAlign w:val="baseline"/>
      </w:rPr>
    </w:lvl>
    <w:lvl w:ilvl="3">
      <w:start w:val="1"/>
      <w:numFmt w:val="decimal"/>
      <w:pStyle w:val="a6"/>
      <w:suff w:val="nothing"/>
      <w:lvlText w:val="%1%2.%3.%4　"/>
      <w:lvlJc w:val="left"/>
      <w:pPr>
        <w:ind w:left="142" w:firstLine="0"/>
      </w:pPr>
      <w:rPr>
        <w:rFonts w:ascii="黑体" w:eastAsia="黑体" w:hint="eastAsia"/>
        <w:b w:val="0"/>
        <w:i w:val="0"/>
        <w:sz w:val="21"/>
      </w:rPr>
    </w:lvl>
    <w:lvl w:ilvl="4">
      <w:start w:val="1"/>
      <w:numFmt w:val="decimal"/>
      <w:pStyle w:val="a7"/>
      <w:suff w:val="nothing"/>
      <w:lvlText w:val="%1%2.%3.%4.%5　"/>
      <w:lvlJc w:val="left"/>
      <w:pPr>
        <w:ind w:left="0" w:firstLine="0"/>
      </w:pPr>
      <w:rPr>
        <w:rFonts w:ascii="黑体" w:eastAsia="黑体" w:hint="eastAsia"/>
        <w:b w:val="0"/>
        <w:i w:val="0"/>
        <w:sz w:val="21"/>
      </w:rPr>
    </w:lvl>
    <w:lvl w:ilvl="5">
      <w:start w:val="1"/>
      <w:numFmt w:val="decimal"/>
      <w:pStyle w:val="a8"/>
      <w:suff w:val="nothing"/>
      <w:lvlText w:val="%1%2.%3.%4.%5.%6　"/>
      <w:lvlJc w:val="left"/>
      <w:pPr>
        <w:ind w:left="0" w:firstLine="0"/>
      </w:pPr>
      <w:rPr>
        <w:rFonts w:ascii="黑体" w:eastAsia="黑体" w:hint="eastAsia"/>
        <w:b w:val="0"/>
        <w:i w:val="0"/>
        <w:sz w:val="21"/>
      </w:rPr>
    </w:lvl>
    <w:lvl w:ilvl="6">
      <w:start w:val="1"/>
      <w:numFmt w:val="decimal"/>
      <w:pStyle w:val="a9"/>
      <w:suff w:val="nothing"/>
      <w:lvlText w:val="%1%2.%3.%4.%5.%6.%7　"/>
      <w:lvlJc w:val="left"/>
      <w:pPr>
        <w:ind w:left="0" w:firstLine="0"/>
      </w:pPr>
      <w:rPr>
        <w:rFonts w:ascii="黑体" w:eastAsia="黑体" w:hint="eastAsia"/>
        <w:b w:val="0"/>
        <w:i w:val="0"/>
        <w:sz w:val="21"/>
      </w:rPr>
    </w:lvl>
    <w:lvl w:ilvl="7">
      <w:start w:val="1"/>
      <w:numFmt w:val="decimal"/>
      <w:lvlText w:val="%1.%2.%3.%4.%5.%6.%7.%8"/>
      <w:lvlJc w:val="left"/>
      <w:pPr>
        <w:tabs>
          <w:tab w:val="left" w:pos="4351"/>
        </w:tabs>
        <w:ind w:left="3969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4777"/>
        </w:tabs>
        <w:ind w:left="4677" w:hanging="1700"/>
      </w:pPr>
      <w:rPr>
        <w:rFonts w:hint="eastAsia"/>
      </w:rPr>
    </w:lvl>
  </w:abstractNum>
  <w:num w:numId="1" w16cid:durableId="1167020077">
    <w:abstractNumId w:val="4"/>
  </w:num>
  <w:num w:numId="2" w16cid:durableId="1862862386">
    <w:abstractNumId w:val="9"/>
  </w:num>
  <w:num w:numId="3" w16cid:durableId="47655265">
    <w:abstractNumId w:val="6"/>
  </w:num>
  <w:num w:numId="4" w16cid:durableId="13769306">
    <w:abstractNumId w:val="2"/>
  </w:num>
  <w:num w:numId="5" w16cid:durableId="738752063">
    <w:abstractNumId w:val="8"/>
  </w:num>
  <w:num w:numId="6" w16cid:durableId="1876457746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1252619333">
    <w:abstractNumId w:val="5"/>
  </w:num>
  <w:num w:numId="8" w16cid:durableId="1116753410">
    <w:abstractNumId w:val="1"/>
  </w:num>
  <w:num w:numId="9" w16cid:durableId="1439369161">
    <w:abstractNumId w:val="0"/>
  </w:num>
  <w:num w:numId="10" w16cid:durableId="189781509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2"/>
  <w:saveSubsetFonts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2"/>
  <w:displayVerticalDrawingGridEvery w:val="2"/>
  <w:noPunctuationKerning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NGUzYjllYmY2NzhhNWE3MDUzYmVjNDFiZDNlNjU1MTcifQ=="/>
  </w:docVars>
  <w:rsids>
    <w:rsidRoot w:val="0037490B"/>
    <w:rsid w:val="89EC8D50"/>
    <w:rsid w:val="8FFF49BA"/>
    <w:rsid w:val="94FF16E9"/>
    <w:rsid w:val="9AFFF60E"/>
    <w:rsid w:val="9F9FA3B0"/>
    <w:rsid w:val="AEF3D813"/>
    <w:rsid w:val="B1FBE3AA"/>
    <w:rsid w:val="B35BF3CF"/>
    <w:rsid w:val="B7EC23E8"/>
    <w:rsid w:val="B7EF9811"/>
    <w:rsid w:val="BC3EB705"/>
    <w:rsid w:val="BDFEA6DB"/>
    <w:rsid w:val="BDFEAFB7"/>
    <w:rsid w:val="BE722060"/>
    <w:rsid w:val="BF7BDA6B"/>
    <w:rsid w:val="BFBF1029"/>
    <w:rsid w:val="BFFFE95C"/>
    <w:rsid w:val="C73F1DFE"/>
    <w:rsid w:val="CA57F4A4"/>
    <w:rsid w:val="CE7797E5"/>
    <w:rsid w:val="CFFFDD94"/>
    <w:rsid w:val="D27BCC68"/>
    <w:rsid w:val="D2F5CF23"/>
    <w:rsid w:val="D5216BC8"/>
    <w:rsid w:val="D87C9004"/>
    <w:rsid w:val="DBDF646F"/>
    <w:rsid w:val="DEBF205D"/>
    <w:rsid w:val="DFBDA631"/>
    <w:rsid w:val="DFF70C8A"/>
    <w:rsid w:val="E07E2E31"/>
    <w:rsid w:val="E7EF1789"/>
    <w:rsid w:val="E7FD68F8"/>
    <w:rsid w:val="E7FD8289"/>
    <w:rsid w:val="EB958B8D"/>
    <w:rsid w:val="EEBF9144"/>
    <w:rsid w:val="EEEBB8A4"/>
    <w:rsid w:val="EF6FBC8C"/>
    <w:rsid w:val="EFACF42E"/>
    <w:rsid w:val="F27B0290"/>
    <w:rsid w:val="F2EF799D"/>
    <w:rsid w:val="F3EF800F"/>
    <w:rsid w:val="F3FC6F6D"/>
    <w:rsid w:val="F57BA348"/>
    <w:rsid w:val="F5FC6A52"/>
    <w:rsid w:val="F5FD69B6"/>
    <w:rsid w:val="F7DB5D64"/>
    <w:rsid w:val="F8FCBB3D"/>
    <w:rsid w:val="FB72E7FF"/>
    <w:rsid w:val="FBFF3A46"/>
    <w:rsid w:val="FCA3DA1D"/>
    <w:rsid w:val="FCFB20AF"/>
    <w:rsid w:val="FCFCE312"/>
    <w:rsid w:val="FDDFF32A"/>
    <w:rsid w:val="FDEC2256"/>
    <w:rsid w:val="FDFCAD16"/>
    <w:rsid w:val="FE571302"/>
    <w:rsid w:val="FE5FC907"/>
    <w:rsid w:val="FE77A231"/>
    <w:rsid w:val="FEDE7D90"/>
    <w:rsid w:val="FEEBE21B"/>
    <w:rsid w:val="FEF5E35D"/>
    <w:rsid w:val="FEFBF325"/>
    <w:rsid w:val="FF1F2340"/>
    <w:rsid w:val="FF7FF3EE"/>
    <w:rsid w:val="FF931F48"/>
    <w:rsid w:val="FFF76504"/>
    <w:rsid w:val="FFFF4524"/>
    <w:rsid w:val="FFFF4F1D"/>
    <w:rsid w:val="FFFF8916"/>
    <w:rsid w:val="FFFFF996"/>
    <w:rsid w:val="000005CA"/>
    <w:rsid w:val="00000707"/>
    <w:rsid w:val="00000AD9"/>
    <w:rsid w:val="00000E4A"/>
    <w:rsid w:val="00001814"/>
    <w:rsid w:val="00001CE0"/>
    <w:rsid w:val="00002424"/>
    <w:rsid w:val="00003DB3"/>
    <w:rsid w:val="0000435A"/>
    <w:rsid w:val="0000721E"/>
    <w:rsid w:val="00012082"/>
    <w:rsid w:val="000126E8"/>
    <w:rsid w:val="0001508A"/>
    <w:rsid w:val="0001766E"/>
    <w:rsid w:val="00020F1C"/>
    <w:rsid w:val="000216C2"/>
    <w:rsid w:val="00021804"/>
    <w:rsid w:val="00021AAC"/>
    <w:rsid w:val="000227C7"/>
    <w:rsid w:val="00022BF7"/>
    <w:rsid w:val="00023BDE"/>
    <w:rsid w:val="000255FF"/>
    <w:rsid w:val="000258DE"/>
    <w:rsid w:val="0002646B"/>
    <w:rsid w:val="000276DC"/>
    <w:rsid w:val="0002775D"/>
    <w:rsid w:val="00030BAD"/>
    <w:rsid w:val="00030EE3"/>
    <w:rsid w:val="00031086"/>
    <w:rsid w:val="00031246"/>
    <w:rsid w:val="00031483"/>
    <w:rsid w:val="00031C1A"/>
    <w:rsid w:val="00033355"/>
    <w:rsid w:val="000336F6"/>
    <w:rsid w:val="0003494D"/>
    <w:rsid w:val="00036510"/>
    <w:rsid w:val="000370FC"/>
    <w:rsid w:val="00037489"/>
    <w:rsid w:val="00043580"/>
    <w:rsid w:val="000438DF"/>
    <w:rsid w:val="00044D55"/>
    <w:rsid w:val="00046883"/>
    <w:rsid w:val="000472C5"/>
    <w:rsid w:val="000504E1"/>
    <w:rsid w:val="0005176B"/>
    <w:rsid w:val="00051846"/>
    <w:rsid w:val="00051CD3"/>
    <w:rsid w:val="00052633"/>
    <w:rsid w:val="00052F64"/>
    <w:rsid w:val="00052FC4"/>
    <w:rsid w:val="00053989"/>
    <w:rsid w:val="00055AC5"/>
    <w:rsid w:val="00057DAE"/>
    <w:rsid w:val="00060C62"/>
    <w:rsid w:val="00061689"/>
    <w:rsid w:val="00062A4F"/>
    <w:rsid w:val="00062D7F"/>
    <w:rsid w:val="00064EA0"/>
    <w:rsid w:val="00065DD5"/>
    <w:rsid w:val="0006607C"/>
    <w:rsid w:val="000661B2"/>
    <w:rsid w:val="00066D1C"/>
    <w:rsid w:val="00067952"/>
    <w:rsid w:val="000702AE"/>
    <w:rsid w:val="000702F1"/>
    <w:rsid w:val="0007171F"/>
    <w:rsid w:val="000718F2"/>
    <w:rsid w:val="00071923"/>
    <w:rsid w:val="00071F75"/>
    <w:rsid w:val="0007388E"/>
    <w:rsid w:val="00074198"/>
    <w:rsid w:val="00074776"/>
    <w:rsid w:val="00074CA1"/>
    <w:rsid w:val="00075EB8"/>
    <w:rsid w:val="00076A07"/>
    <w:rsid w:val="00076BF1"/>
    <w:rsid w:val="00077D12"/>
    <w:rsid w:val="00080929"/>
    <w:rsid w:val="000821B5"/>
    <w:rsid w:val="00082CE2"/>
    <w:rsid w:val="00085453"/>
    <w:rsid w:val="00087516"/>
    <w:rsid w:val="00087B41"/>
    <w:rsid w:val="0009078F"/>
    <w:rsid w:val="000907FE"/>
    <w:rsid w:val="000916EE"/>
    <w:rsid w:val="00093876"/>
    <w:rsid w:val="00094DC8"/>
    <w:rsid w:val="0009562F"/>
    <w:rsid w:val="0009683D"/>
    <w:rsid w:val="00096EB4"/>
    <w:rsid w:val="00097B46"/>
    <w:rsid w:val="000A119D"/>
    <w:rsid w:val="000A27BF"/>
    <w:rsid w:val="000A2963"/>
    <w:rsid w:val="000A3426"/>
    <w:rsid w:val="000A671D"/>
    <w:rsid w:val="000A7270"/>
    <w:rsid w:val="000B041D"/>
    <w:rsid w:val="000B1283"/>
    <w:rsid w:val="000B354A"/>
    <w:rsid w:val="000B3F01"/>
    <w:rsid w:val="000B4B01"/>
    <w:rsid w:val="000B4D20"/>
    <w:rsid w:val="000B544F"/>
    <w:rsid w:val="000B5A5B"/>
    <w:rsid w:val="000B6EA3"/>
    <w:rsid w:val="000B7562"/>
    <w:rsid w:val="000B7B2A"/>
    <w:rsid w:val="000C1499"/>
    <w:rsid w:val="000C1656"/>
    <w:rsid w:val="000C23E0"/>
    <w:rsid w:val="000C4591"/>
    <w:rsid w:val="000C5759"/>
    <w:rsid w:val="000D1A0E"/>
    <w:rsid w:val="000D1CC7"/>
    <w:rsid w:val="000D1D0C"/>
    <w:rsid w:val="000D1D6E"/>
    <w:rsid w:val="000D28E9"/>
    <w:rsid w:val="000D3740"/>
    <w:rsid w:val="000D472A"/>
    <w:rsid w:val="000E0C1D"/>
    <w:rsid w:val="000E3BE1"/>
    <w:rsid w:val="000E4416"/>
    <w:rsid w:val="000E4D1D"/>
    <w:rsid w:val="000E4E87"/>
    <w:rsid w:val="000E57B1"/>
    <w:rsid w:val="000E7D21"/>
    <w:rsid w:val="000F2752"/>
    <w:rsid w:val="000F3B3B"/>
    <w:rsid w:val="000F3F92"/>
    <w:rsid w:val="000F54AD"/>
    <w:rsid w:val="000F76C3"/>
    <w:rsid w:val="00100F24"/>
    <w:rsid w:val="00101862"/>
    <w:rsid w:val="001037D6"/>
    <w:rsid w:val="00103D28"/>
    <w:rsid w:val="0010718F"/>
    <w:rsid w:val="00112E2C"/>
    <w:rsid w:val="001144D7"/>
    <w:rsid w:val="0011489D"/>
    <w:rsid w:val="00115C0F"/>
    <w:rsid w:val="00115C18"/>
    <w:rsid w:val="00117F41"/>
    <w:rsid w:val="00120F4F"/>
    <w:rsid w:val="00120F6B"/>
    <w:rsid w:val="00121C31"/>
    <w:rsid w:val="001226E6"/>
    <w:rsid w:val="0012286E"/>
    <w:rsid w:val="00122F61"/>
    <w:rsid w:val="0012516A"/>
    <w:rsid w:val="0012595B"/>
    <w:rsid w:val="001266A2"/>
    <w:rsid w:val="00126AE4"/>
    <w:rsid w:val="00126AFC"/>
    <w:rsid w:val="00126CE4"/>
    <w:rsid w:val="0012731A"/>
    <w:rsid w:val="00127F78"/>
    <w:rsid w:val="00131174"/>
    <w:rsid w:val="00132566"/>
    <w:rsid w:val="0013257F"/>
    <w:rsid w:val="001341F3"/>
    <w:rsid w:val="001344C5"/>
    <w:rsid w:val="00134634"/>
    <w:rsid w:val="0013499B"/>
    <w:rsid w:val="0013535E"/>
    <w:rsid w:val="00135555"/>
    <w:rsid w:val="00137E5E"/>
    <w:rsid w:val="0014066D"/>
    <w:rsid w:val="0014119F"/>
    <w:rsid w:val="001420D9"/>
    <w:rsid w:val="00142A85"/>
    <w:rsid w:val="00143457"/>
    <w:rsid w:val="001438B2"/>
    <w:rsid w:val="001443AC"/>
    <w:rsid w:val="001446D9"/>
    <w:rsid w:val="00145356"/>
    <w:rsid w:val="00147A26"/>
    <w:rsid w:val="00147A7A"/>
    <w:rsid w:val="001502FB"/>
    <w:rsid w:val="00153AB7"/>
    <w:rsid w:val="0015488D"/>
    <w:rsid w:val="00154E77"/>
    <w:rsid w:val="00160B78"/>
    <w:rsid w:val="00160FAE"/>
    <w:rsid w:val="00161DBA"/>
    <w:rsid w:val="00162358"/>
    <w:rsid w:val="001631D2"/>
    <w:rsid w:val="001657D7"/>
    <w:rsid w:val="00170088"/>
    <w:rsid w:val="0017019C"/>
    <w:rsid w:val="0017068B"/>
    <w:rsid w:val="00170F62"/>
    <w:rsid w:val="00171373"/>
    <w:rsid w:val="001719D7"/>
    <w:rsid w:val="001723A8"/>
    <w:rsid w:val="001729C6"/>
    <w:rsid w:val="00174F8D"/>
    <w:rsid w:val="00175153"/>
    <w:rsid w:val="001761D2"/>
    <w:rsid w:val="00176412"/>
    <w:rsid w:val="00176892"/>
    <w:rsid w:val="00180583"/>
    <w:rsid w:val="00181D6C"/>
    <w:rsid w:val="00184502"/>
    <w:rsid w:val="00185CA3"/>
    <w:rsid w:val="00190900"/>
    <w:rsid w:val="00190B98"/>
    <w:rsid w:val="00191A83"/>
    <w:rsid w:val="001922F7"/>
    <w:rsid w:val="00192386"/>
    <w:rsid w:val="00192739"/>
    <w:rsid w:val="00192792"/>
    <w:rsid w:val="001939FA"/>
    <w:rsid w:val="0019480E"/>
    <w:rsid w:val="00194F7E"/>
    <w:rsid w:val="00195981"/>
    <w:rsid w:val="00197D0D"/>
    <w:rsid w:val="001A032E"/>
    <w:rsid w:val="001A03FA"/>
    <w:rsid w:val="001A1876"/>
    <w:rsid w:val="001A2348"/>
    <w:rsid w:val="001A4DC7"/>
    <w:rsid w:val="001A566B"/>
    <w:rsid w:val="001A585A"/>
    <w:rsid w:val="001A68FB"/>
    <w:rsid w:val="001A783E"/>
    <w:rsid w:val="001B05B6"/>
    <w:rsid w:val="001B1F8E"/>
    <w:rsid w:val="001B2C57"/>
    <w:rsid w:val="001B37F2"/>
    <w:rsid w:val="001B4038"/>
    <w:rsid w:val="001B686B"/>
    <w:rsid w:val="001B6DB3"/>
    <w:rsid w:val="001C0E52"/>
    <w:rsid w:val="001C2328"/>
    <w:rsid w:val="001C3FE3"/>
    <w:rsid w:val="001C4BC7"/>
    <w:rsid w:val="001C6A32"/>
    <w:rsid w:val="001C6AE6"/>
    <w:rsid w:val="001C6E0D"/>
    <w:rsid w:val="001C712F"/>
    <w:rsid w:val="001C7669"/>
    <w:rsid w:val="001D0EEF"/>
    <w:rsid w:val="001D2157"/>
    <w:rsid w:val="001D694F"/>
    <w:rsid w:val="001D6954"/>
    <w:rsid w:val="001E1747"/>
    <w:rsid w:val="001E21D6"/>
    <w:rsid w:val="001E32EC"/>
    <w:rsid w:val="001E386B"/>
    <w:rsid w:val="001E4886"/>
    <w:rsid w:val="001E537B"/>
    <w:rsid w:val="001E6F36"/>
    <w:rsid w:val="001E7634"/>
    <w:rsid w:val="001E7EB0"/>
    <w:rsid w:val="001F03CB"/>
    <w:rsid w:val="001F19DD"/>
    <w:rsid w:val="001F1F80"/>
    <w:rsid w:val="001F319B"/>
    <w:rsid w:val="001F3453"/>
    <w:rsid w:val="001F357A"/>
    <w:rsid w:val="001F4A7D"/>
    <w:rsid w:val="001F5F4D"/>
    <w:rsid w:val="001F67DD"/>
    <w:rsid w:val="001F6FA5"/>
    <w:rsid w:val="001F7CCC"/>
    <w:rsid w:val="0020161B"/>
    <w:rsid w:val="002017AF"/>
    <w:rsid w:val="00202045"/>
    <w:rsid w:val="00203369"/>
    <w:rsid w:val="0020358E"/>
    <w:rsid w:val="00203F22"/>
    <w:rsid w:val="00204388"/>
    <w:rsid w:val="00204DAA"/>
    <w:rsid w:val="00205F41"/>
    <w:rsid w:val="002064AD"/>
    <w:rsid w:val="00210BE4"/>
    <w:rsid w:val="002127FC"/>
    <w:rsid w:val="002148D2"/>
    <w:rsid w:val="00215122"/>
    <w:rsid w:val="002156A6"/>
    <w:rsid w:val="00216631"/>
    <w:rsid w:val="00217829"/>
    <w:rsid w:val="00220171"/>
    <w:rsid w:val="0022020B"/>
    <w:rsid w:val="00220B99"/>
    <w:rsid w:val="002219B5"/>
    <w:rsid w:val="0022384B"/>
    <w:rsid w:val="002239F3"/>
    <w:rsid w:val="00224982"/>
    <w:rsid w:val="00225420"/>
    <w:rsid w:val="00225AB5"/>
    <w:rsid w:val="00225C2B"/>
    <w:rsid w:val="00225C70"/>
    <w:rsid w:val="00227610"/>
    <w:rsid w:val="002306BF"/>
    <w:rsid w:val="00230FE3"/>
    <w:rsid w:val="00231E23"/>
    <w:rsid w:val="0023201C"/>
    <w:rsid w:val="002331BB"/>
    <w:rsid w:val="002338C3"/>
    <w:rsid w:val="00234398"/>
    <w:rsid w:val="002343AD"/>
    <w:rsid w:val="0023444B"/>
    <w:rsid w:val="00234EC1"/>
    <w:rsid w:val="002354BE"/>
    <w:rsid w:val="002357C8"/>
    <w:rsid w:val="0023595B"/>
    <w:rsid w:val="00242126"/>
    <w:rsid w:val="002425E3"/>
    <w:rsid w:val="00245211"/>
    <w:rsid w:val="00246705"/>
    <w:rsid w:val="00251233"/>
    <w:rsid w:val="002519A5"/>
    <w:rsid w:val="0025225A"/>
    <w:rsid w:val="00252C67"/>
    <w:rsid w:val="002531B2"/>
    <w:rsid w:val="0025439B"/>
    <w:rsid w:val="00255076"/>
    <w:rsid w:val="00256BC8"/>
    <w:rsid w:val="00257962"/>
    <w:rsid w:val="002609DF"/>
    <w:rsid w:val="00262B50"/>
    <w:rsid w:val="0026386B"/>
    <w:rsid w:val="00266674"/>
    <w:rsid w:val="002674C5"/>
    <w:rsid w:val="0027055E"/>
    <w:rsid w:val="00270F5A"/>
    <w:rsid w:val="00271153"/>
    <w:rsid w:val="002718CB"/>
    <w:rsid w:val="0027237C"/>
    <w:rsid w:val="00272ECD"/>
    <w:rsid w:val="00273201"/>
    <w:rsid w:val="00275A63"/>
    <w:rsid w:val="00275AA3"/>
    <w:rsid w:val="00280943"/>
    <w:rsid w:val="00282082"/>
    <w:rsid w:val="00282225"/>
    <w:rsid w:val="0028355F"/>
    <w:rsid w:val="00284186"/>
    <w:rsid w:val="00284311"/>
    <w:rsid w:val="0028475F"/>
    <w:rsid w:val="00286CD2"/>
    <w:rsid w:val="00287D8F"/>
    <w:rsid w:val="002908DF"/>
    <w:rsid w:val="00290CF8"/>
    <w:rsid w:val="00292CEA"/>
    <w:rsid w:val="00292DE5"/>
    <w:rsid w:val="00292F83"/>
    <w:rsid w:val="00293DF7"/>
    <w:rsid w:val="002946D7"/>
    <w:rsid w:val="00295997"/>
    <w:rsid w:val="00296164"/>
    <w:rsid w:val="002A1DE2"/>
    <w:rsid w:val="002A2D83"/>
    <w:rsid w:val="002A34D4"/>
    <w:rsid w:val="002A607A"/>
    <w:rsid w:val="002A6206"/>
    <w:rsid w:val="002A65F2"/>
    <w:rsid w:val="002B100F"/>
    <w:rsid w:val="002B176E"/>
    <w:rsid w:val="002B3286"/>
    <w:rsid w:val="002B40F0"/>
    <w:rsid w:val="002B59C9"/>
    <w:rsid w:val="002B6683"/>
    <w:rsid w:val="002B6E5E"/>
    <w:rsid w:val="002C01F9"/>
    <w:rsid w:val="002C03C4"/>
    <w:rsid w:val="002C19B5"/>
    <w:rsid w:val="002C211E"/>
    <w:rsid w:val="002C23C5"/>
    <w:rsid w:val="002C29BB"/>
    <w:rsid w:val="002C3262"/>
    <w:rsid w:val="002C3400"/>
    <w:rsid w:val="002C36FA"/>
    <w:rsid w:val="002C3D9D"/>
    <w:rsid w:val="002C4ADF"/>
    <w:rsid w:val="002C5695"/>
    <w:rsid w:val="002C765C"/>
    <w:rsid w:val="002D0116"/>
    <w:rsid w:val="002D0EC0"/>
    <w:rsid w:val="002D0F44"/>
    <w:rsid w:val="002D0FDE"/>
    <w:rsid w:val="002D4929"/>
    <w:rsid w:val="002D4FC0"/>
    <w:rsid w:val="002D6215"/>
    <w:rsid w:val="002D6356"/>
    <w:rsid w:val="002E1137"/>
    <w:rsid w:val="002E1BFD"/>
    <w:rsid w:val="002E33C3"/>
    <w:rsid w:val="002E4BF9"/>
    <w:rsid w:val="002F0940"/>
    <w:rsid w:val="002F1BB3"/>
    <w:rsid w:val="002F25D8"/>
    <w:rsid w:val="002F27F1"/>
    <w:rsid w:val="002F28C2"/>
    <w:rsid w:val="002F57B7"/>
    <w:rsid w:val="002F5BCA"/>
    <w:rsid w:val="002F639C"/>
    <w:rsid w:val="002F6494"/>
    <w:rsid w:val="002F683C"/>
    <w:rsid w:val="002F7551"/>
    <w:rsid w:val="002F7C10"/>
    <w:rsid w:val="00300A5E"/>
    <w:rsid w:val="00306134"/>
    <w:rsid w:val="00306E58"/>
    <w:rsid w:val="0030718D"/>
    <w:rsid w:val="00307D97"/>
    <w:rsid w:val="00307DD9"/>
    <w:rsid w:val="00311598"/>
    <w:rsid w:val="00311ABF"/>
    <w:rsid w:val="0031537E"/>
    <w:rsid w:val="00316932"/>
    <w:rsid w:val="00316CF4"/>
    <w:rsid w:val="003176CC"/>
    <w:rsid w:val="00320788"/>
    <w:rsid w:val="0032465B"/>
    <w:rsid w:val="00324901"/>
    <w:rsid w:val="003266C1"/>
    <w:rsid w:val="00330D99"/>
    <w:rsid w:val="003322F5"/>
    <w:rsid w:val="00332F81"/>
    <w:rsid w:val="003355C8"/>
    <w:rsid w:val="00335B12"/>
    <w:rsid w:val="0033691C"/>
    <w:rsid w:val="00336BDE"/>
    <w:rsid w:val="00336DA4"/>
    <w:rsid w:val="00342DC7"/>
    <w:rsid w:val="00342F19"/>
    <w:rsid w:val="00343F16"/>
    <w:rsid w:val="00345537"/>
    <w:rsid w:val="00345A67"/>
    <w:rsid w:val="00346D55"/>
    <w:rsid w:val="0034784B"/>
    <w:rsid w:val="00350CD9"/>
    <w:rsid w:val="00351282"/>
    <w:rsid w:val="003518F5"/>
    <w:rsid w:val="003538EC"/>
    <w:rsid w:val="00354B2E"/>
    <w:rsid w:val="00355DDC"/>
    <w:rsid w:val="003579E3"/>
    <w:rsid w:val="00357B40"/>
    <w:rsid w:val="00360157"/>
    <w:rsid w:val="003617F8"/>
    <w:rsid w:val="0036366F"/>
    <w:rsid w:val="00364C43"/>
    <w:rsid w:val="0036669D"/>
    <w:rsid w:val="00366F06"/>
    <w:rsid w:val="00367455"/>
    <w:rsid w:val="00367BF9"/>
    <w:rsid w:val="00367CD0"/>
    <w:rsid w:val="00367DDC"/>
    <w:rsid w:val="00370F39"/>
    <w:rsid w:val="00371857"/>
    <w:rsid w:val="0037336B"/>
    <w:rsid w:val="00373CC6"/>
    <w:rsid w:val="00374750"/>
    <w:rsid w:val="0037490B"/>
    <w:rsid w:val="00374BC5"/>
    <w:rsid w:val="00375600"/>
    <w:rsid w:val="00376BA3"/>
    <w:rsid w:val="00384F17"/>
    <w:rsid w:val="00384F27"/>
    <w:rsid w:val="003860CF"/>
    <w:rsid w:val="00387FD0"/>
    <w:rsid w:val="00390362"/>
    <w:rsid w:val="003905EF"/>
    <w:rsid w:val="00390758"/>
    <w:rsid w:val="003911CA"/>
    <w:rsid w:val="00391BF2"/>
    <w:rsid w:val="003928AE"/>
    <w:rsid w:val="00392C6C"/>
    <w:rsid w:val="00393139"/>
    <w:rsid w:val="00394ABF"/>
    <w:rsid w:val="003950FD"/>
    <w:rsid w:val="00395AAD"/>
    <w:rsid w:val="003A049C"/>
    <w:rsid w:val="003A0BEB"/>
    <w:rsid w:val="003A3C7C"/>
    <w:rsid w:val="003A3E22"/>
    <w:rsid w:val="003A3E99"/>
    <w:rsid w:val="003A5B7E"/>
    <w:rsid w:val="003A7301"/>
    <w:rsid w:val="003B1803"/>
    <w:rsid w:val="003B1E11"/>
    <w:rsid w:val="003B2C5B"/>
    <w:rsid w:val="003B5280"/>
    <w:rsid w:val="003B5F4C"/>
    <w:rsid w:val="003B6B12"/>
    <w:rsid w:val="003B715F"/>
    <w:rsid w:val="003B7268"/>
    <w:rsid w:val="003B76B6"/>
    <w:rsid w:val="003C0AB3"/>
    <w:rsid w:val="003C1122"/>
    <w:rsid w:val="003C1230"/>
    <w:rsid w:val="003C2101"/>
    <w:rsid w:val="003C489B"/>
    <w:rsid w:val="003C5994"/>
    <w:rsid w:val="003C7FFD"/>
    <w:rsid w:val="003D1E3C"/>
    <w:rsid w:val="003D226C"/>
    <w:rsid w:val="003D43E5"/>
    <w:rsid w:val="003D4B79"/>
    <w:rsid w:val="003D7D4F"/>
    <w:rsid w:val="003E0E39"/>
    <w:rsid w:val="003E11BD"/>
    <w:rsid w:val="003E17D3"/>
    <w:rsid w:val="003E30BD"/>
    <w:rsid w:val="003E40BC"/>
    <w:rsid w:val="003E5596"/>
    <w:rsid w:val="003E641C"/>
    <w:rsid w:val="003E7060"/>
    <w:rsid w:val="003F0862"/>
    <w:rsid w:val="003F131C"/>
    <w:rsid w:val="003F222F"/>
    <w:rsid w:val="003F3337"/>
    <w:rsid w:val="003F4547"/>
    <w:rsid w:val="003F4F2B"/>
    <w:rsid w:val="003F54C9"/>
    <w:rsid w:val="003F6173"/>
    <w:rsid w:val="003F654A"/>
    <w:rsid w:val="003F6AED"/>
    <w:rsid w:val="003F7403"/>
    <w:rsid w:val="00401CDE"/>
    <w:rsid w:val="00402E14"/>
    <w:rsid w:val="00402FC9"/>
    <w:rsid w:val="004035E3"/>
    <w:rsid w:val="00404DFA"/>
    <w:rsid w:val="00410474"/>
    <w:rsid w:val="00410531"/>
    <w:rsid w:val="004106D2"/>
    <w:rsid w:val="00411321"/>
    <w:rsid w:val="00412910"/>
    <w:rsid w:val="004129E9"/>
    <w:rsid w:val="00413A94"/>
    <w:rsid w:val="00415EA5"/>
    <w:rsid w:val="00417E13"/>
    <w:rsid w:val="00420DEE"/>
    <w:rsid w:val="004211A8"/>
    <w:rsid w:val="00421747"/>
    <w:rsid w:val="00421BEA"/>
    <w:rsid w:val="00424EBB"/>
    <w:rsid w:val="0042562D"/>
    <w:rsid w:val="00426DA5"/>
    <w:rsid w:val="0043013B"/>
    <w:rsid w:val="0043169F"/>
    <w:rsid w:val="00435C24"/>
    <w:rsid w:val="00443710"/>
    <w:rsid w:val="00443B36"/>
    <w:rsid w:val="004442E1"/>
    <w:rsid w:val="00445B75"/>
    <w:rsid w:val="0044688A"/>
    <w:rsid w:val="00446A74"/>
    <w:rsid w:val="00450356"/>
    <w:rsid w:val="00450C89"/>
    <w:rsid w:val="00450E92"/>
    <w:rsid w:val="00451664"/>
    <w:rsid w:val="00452143"/>
    <w:rsid w:val="0045218D"/>
    <w:rsid w:val="00452AB3"/>
    <w:rsid w:val="004530D3"/>
    <w:rsid w:val="00454515"/>
    <w:rsid w:val="004552D8"/>
    <w:rsid w:val="00456F07"/>
    <w:rsid w:val="00461779"/>
    <w:rsid w:val="004661AA"/>
    <w:rsid w:val="00466F35"/>
    <w:rsid w:val="004671EF"/>
    <w:rsid w:val="00467906"/>
    <w:rsid w:val="00467E08"/>
    <w:rsid w:val="004703C2"/>
    <w:rsid w:val="00470842"/>
    <w:rsid w:val="00471279"/>
    <w:rsid w:val="00471DC2"/>
    <w:rsid w:val="00472170"/>
    <w:rsid w:val="004725E4"/>
    <w:rsid w:val="004741BB"/>
    <w:rsid w:val="004749A8"/>
    <w:rsid w:val="004751EE"/>
    <w:rsid w:val="00475485"/>
    <w:rsid w:val="00475657"/>
    <w:rsid w:val="0047702F"/>
    <w:rsid w:val="004779CA"/>
    <w:rsid w:val="00480C32"/>
    <w:rsid w:val="00482858"/>
    <w:rsid w:val="004831E3"/>
    <w:rsid w:val="004842BC"/>
    <w:rsid w:val="004846D3"/>
    <w:rsid w:val="004859DB"/>
    <w:rsid w:val="004861A8"/>
    <w:rsid w:val="00487025"/>
    <w:rsid w:val="00491688"/>
    <w:rsid w:val="004916D5"/>
    <w:rsid w:val="00492256"/>
    <w:rsid w:val="0049228E"/>
    <w:rsid w:val="00493251"/>
    <w:rsid w:val="00493F63"/>
    <w:rsid w:val="004944B1"/>
    <w:rsid w:val="0049496B"/>
    <w:rsid w:val="0049586B"/>
    <w:rsid w:val="004A0AC6"/>
    <w:rsid w:val="004A1FBA"/>
    <w:rsid w:val="004A273E"/>
    <w:rsid w:val="004A2CDA"/>
    <w:rsid w:val="004A2FD2"/>
    <w:rsid w:val="004A70E3"/>
    <w:rsid w:val="004B0B55"/>
    <w:rsid w:val="004B0BD5"/>
    <w:rsid w:val="004B0E0F"/>
    <w:rsid w:val="004B2556"/>
    <w:rsid w:val="004B2C31"/>
    <w:rsid w:val="004B40E7"/>
    <w:rsid w:val="004B469C"/>
    <w:rsid w:val="004B4A2A"/>
    <w:rsid w:val="004B5848"/>
    <w:rsid w:val="004B73BF"/>
    <w:rsid w:val="004C1ABE"/>
    <w:rsid w:val="004C41E7"/>
    <w:rsid w:val="004C48C4"/>
    <w:rsid w:val="004C5319"/>
    <w:rsid w:val="004C5F8A"/>
    <w:rsid w:val="004C6C6A"/>
    <w:rsid w:val="004C73A0"/>
    <w:rsid w:val="004D217A"/>
    <w:rsid w:val="004D23BA"/>
    <w:rsid w:val="004D55DD"/>
    <w:rsid w:val="004D6690"/>
    <w:rsid w:val="004D768D"/>
    <w:rsid w:val="004D77CE"/>
    <w:rsid w:val="004E0D15"/>
    <w:rsid w:val="004E2471"/>
    <w:rsid w:val="004E3527"/>
    <w:rsid w:val="004E3F4F"/>
    <w:rsid w:val="004E702B"/>
    <w:rsid w:val="004F01FA"/>
    <w:rsid w:val="004F0893"/>
    <w:rsid w:val="004F1610"/>
    <w:rsid w:val="004F2448"/>
    <w:rsid w:val="004F28DF"/>
    <w:rsid w:val="004F4BDF"/>
    <w:rsid w:val="004F6D58"/>
    <w:rsid w:val="00500A17"/>
    <w:rsid w:val="00500D6B"/>
    <w:rsid w:val="0050150E"/>
    <w:rsid w:val="0050264E"/>
    <w:rsid w:val="00504915"/>
    <w:rsid w:val="00504E2E"/>
    <w:rsid w:val="0051044C"/>
    <w:rsid w:val="005107DD"/>
    <w:rsid w:val="00510CD5"/>
    <w:rsid w:val="00511E5A"/>
    <w:rsid w:val="00512F12"/>
    <w:rsid w:val="0051330A"/>
    <w:rsid w:val="005142E2"/>
    <w:rsid w:val="0051458C"/>
    <w:rsid w:val="00514EAE"/>
    <w:rsid w:val="005168D0"/>
    <w:rsid w:val="00517B5F"/>
    <w:rsid w:val="00520762"/>
    <w:rsid w:val="00521AF8"/>
    <w:rsid w:val="0052408F"/>
    <w:rsid w:val="00524B13"/>
    <w:rsid w:val="00524C47"/>
    <w:rsid w:val="00525206"/>
    <w:rsid w:val="005263E7"/>
    <w:rsid w:val="00526408"/>
    <w:rsid w:val="00527045"/>
    <w:rsid w:val="005276F2"/>
    <w:rsid w:val="00527A05"/>
    <w:rsid w:val="00527D6B"/>
    <w:rsid w:val="0053065D"/>
    <w:rsid w:val="00530FD2"/>
    <w:rsid w:val="00531150"/>
    <w:rsid w:val="00531D25"/>
    <w:rsid w:val="00531FB1"/>
    <w:rsid w:val="0053200A"/>
    <w:rsid w:val="005333E8"/>
    <w:rsid w:val="005334D7"/>
    <w:rsid w:val="00535238"/>
    <w:rsid w:val="00536BC8"/>
    <w:rsid w:val="00537AAE"/>
    <w:rsid w:val="00540A5D"/>
    <w:rsid w:val="005415F3"/>
    <w:rsid w:val="00541753"/>
    <w:rsid w:val="00541882"/>
    <w:rsid w:val="005447AD"/>
    <w:rsid w:val="00544BDE"/>
    <w:rsid w:val="00551089"/>
    <w:rsid w:val="00551316"/>
    <w:rsid w:val="00551C6C"/>
    <w:rsid w:val="0055209C"/>
    <w:rsid w:val="0055220C"/>
    <w:rsid w:val="0055328C"/>
    <w:rsid w:val="005533A8"/>
    <w:rsid w:val="005548A7"/>
    <w:rsid w:val="00554B38"/>
    <w:rsid w:val="00555B22"/>
    <w:rsid w:val="00555E8C"/>
    <w:rsid w:val="0056065D"/>
    <w:rsid w:val="00560DF1"/>
    <w:rsid w:val="00562AEB"/>
    <w:rsid w:val="00562C02"/>
    <w:rsid w:val="00562C90"/>
    <w:rsid w:val="00563B38"/>
    <w:rsid w:val="00563CAF"/>
    <w:rsid w:val="00567988"/>
    <w:rsid w:val="00571254"/>
    <w:rsid w:val="005712CA"/>
    <w:rsid w:val="0057177A"/>
    <w:rsid w:val="005727AE"/>
    <w:rsid w:val="005730A0"/>
    <w:rsid w:val="0057334E"/>
    <w:rsid w:val="005734FF"/>
    <w:rsid w:val="005745DF"/>
    <w:rsid w:val="005761A6"/>
    <w:rsid w:val="0057651A"/>
    <w:rsid w:val="00576A49"/>
    <w:rsid w:val="00576AFB"/>
    <w:rsid w:val="00576BEB"/>
    <w:rsid w:val="0057713C"/>
    <w:rsid w:val="005778C3"/>
    <w:rsid w:val="00581081"/>
    <w:rsid w:val="0058257B"/>
    <w:rsid w:val="0058354D"/>
    <w:rsid w:val="005847B2"/>
    <w:rsid w:val="0058636A"/>
    <w:rsid w:val="005868CD"/>
    <w:rsid w:val="005878E9"/>
    <w:rsid w:val="0059192F"/>
    <w:rsid w:val="00591FD9"/>
    <w:rsid w:val="005921E9"/>
    <w:rsid w:val="00592AA7"/>
    <w:rsid w:val="00592BD2"/>
    <w:rsid w:val="005933A4"/>
    <w:rsid w:val="00594BAA"/>
    <w:rsid w:val="00595A3B"/>
    <w:rsid w:val="00597046"/>
    <w:rsid w:val="005970B9"/>
    <w:rsid w:val="005A04F2"/>
    <w:rsid w:val="005A1254"/>
    <w:rsid w:val="005A12B4"/>
    <w:rsid w:val="005A1593"/>
    <w:rsid w:val="005A1EE8"/>
    <w:rsid w:val="005A2675"/>
    <w:rsid w:val="005A2962"/>
    <w:rsid w:val="005A3679"/>
    <w:rsid w:val="005A3ABB"/>
    <w:rsid w:val="005A3C5E"/>
    <w:rsid w:val="005A4739"/>
    <w:rsid w:val="005B0CE5"/>
    <w:rsid w:val="005B0DA2"/>
    <w:rsid w:val="005B214F"/>
    <w:rsid w:val="005B27AC"/>
    <w:rsid w:val="005B2FBF"/>
    <w:rsid w:val="005B3727"/>
    <w:rsid w:val="005B3858"/>
    <w:rsid w:val="005B63E1"/>
    <w:rsid w:val="005B6A6D"/>
    <w:rsid w:val="005C054A"/>
    <w:rsid w:val="005C0BDE"/>
    <w:rsid w:val="005C1586"/>
    <w:rsid w:val="005C17B1"/>
    <w:rsid w:val="005C1EAA"/>
    <w:rsid w:val="005C3575"/>
    <w:rsid w:val="005C42DA"/>
    <w:rsid w:val="005C527C"/>
    <w:rsid w:val="005C532A"/>
    <w:rsid w:val="005C676E"/>
    <w:rsid w:val="005C739C"/>
    <w:rsid w:val="005C760D"/>
    <w:rsid w:val="005D0BB6"/>
    <w:rsid w:val="005D2D1B"/>
    <w:rsid w:val="005D4CCF"/>
    <w:rsid w:val="005D564B"/>
    <w:rsid w:val="005D603D"/>
    <w:rsid w:val="005D61C6"/>
    <w:rsid w:val="005D6E78"/>
    <w:rsid w:val="005D7DA9"/>
    <w:rsid w:val="005E02C6"/>
    <w:rsid w:val="005E12A4"/>
    <w:rsid w:val="005E1E2D"/>
    <w:rsid w:val="005E27FC"/>
    <w:rsid w:val="005E2964"/>
    <w:rsid w:val="005E31F1"/>
    <w:rsid w:val="005E3295"/>
    <w:rsid w:val="005E42E8"/>
    <w:rsid w:val="005E4EC0"/>
    <w:rsid w:val="005E6568"/>
    <w:rsid w:val="005F1195"/>
    <w:rsid w:val="005F220F"/>
    <w:rsid w:val="005F358A"/>
    <w:rsid w:val="005F409F"/>
    <w:rsid w:val="005F43EF"/>
    <w:rsid w:val="005F48D3"/>
    <w:rsid w:val="005F7D38"/>
    <w:rsid w:val="00601734"/>
    <w:rsid w:val="00601BC4"/>
    <w:rsid w:val="0060304F"/>
    <w:rsid w:val="00607703"/>
    <w:rsid w:val="00607B51"/>
    <w:rsid w:val="0061180E"/>
    <w:rsid w:val="00612846"/>
    <w:rsid w:val="00615634"/>
    <w:rsid w:val="00615F98"/>
    <w:rsid w:val="00617E8B"/>
    <w:rsid w:val="0062061D"/>
    <w:rsid w:val="00621EF5"/>
    <w:rsid w:val="00623CA8"/>
    <w:rsid w:val="00623EE1"/>
    <w:rsid w:val="006241E5"/>
    <w:rsid w:val="006248EC"/>
    <w:rsid w:val="0062533E"/>
    <w:rsid w:val="006273C5"/>
    <w:rsid w:val="0063038C"/>
    <w:rsid w:val="0063044D"/>
    <w:rsid w:val="0063055F"/>
    <w:rsid w:val="00630A5B"/>
    <w:rsid w:val="006314F4"/>
    <w:rsid w:val="0063176B"/>
    <w:rsid w:val="00631B7C"/>
    <w:rsid w:val="006321B2"/>
    <w:rsid w:val="00632234"/>
    <w:rsid w:val="006330CE"/>
    <w:rsid w:val="006348A1"/>
    <w:rsid w:val="00635F68"/>
    <w:rsid w:val="006364FC"/>
    <w:rsid w:val="006424F5"/>
    <w:rsid w:val="0064289F"/>
    <w:rsid w:val="00643B0D"/>
    <w:rsid w:val="00643C44"/>
    <w:rsid w:val="00644A19"/>
    <w:rsid w:val="0064622E"/>
    <w:rsid w:val="00647E24"/>
    <w:rsid w:val="0065067A"/>
    <w:rsid w:val="006512FA"/>
    <w:rsid w:val="006535F0"/>
    <w:rsid w:val="006546E6"/>
    <w:rsid w:val="0065692D"/>
    <w:rsid w:val="00657F61"/>
    <w:rsid w:val="00661ACD"/>
    <w:rsid w:val="0066228E"/>
    <w:rsid w:val="00665F2C"/>
    <w:rsid w:val="00666870"/>
    <w:rsid w:val="00666B4C"/>
    <w:rsid w:val="00667F91"/>
    <w:rsid w:val="006700B4"/>
    <w:rsid w:val="00672D24"/>
    <w:rsid w:val="006733C1"/>
    <w:rsid w:val="00673DCB"/>
    <w:rsid w:val="006743E7"/>
    <w:rsid w:val="00674449"/>
    <w:rsid w:val="006747D2"/>
    <w:rsid w:val="006800B4"/>
    <w:rsid w:val="00681DB0"/>
    <w:rsid w:val="006834DF"/>
    <w:rsid w:val="00683CD7"/>
    <w:rsid w:val="00685C5E"/>
    <w:rsid w:val="00690488"/>
    <w:rsid w:val="00690773"/>
    <w:rsid w:val="00691471"/>
    <w:rsid w:val="00691A89"/>
    <w:rsid w:val="00692728"/>
    <w:rsid w:val="00692A7C"/>
    <w:rsid w:val="00692C1F"/>
    <w:rsid w:val="00692D38"/>
    <w:rsid w:val="00693406"/>
    <w:rsid w:val="00693EF9"/>
    <w:rsid w:val="0069670E"/>
    <w:rsid w:val="00696C86"/>
    <w:rsid w:val="006A04E9"/>
    <w:rsid w:val="006A2815"/>
    <w:rsid w:val="006A412A"/>
    <w:rsid w:val="006A49FC"/>
    <w:rsid w:val="006A5419"/>
    <w:rsid w:val="006A59C1"/>
    <w:rsid w:val="006A5B93"/>
    <w:rsid w:val="006A5D41"/>
    <w:rsid w:val="006A6825"/>
    <w:rsid w:val="006B24DB"/>
    <w:rsid w:val="006B394D"/>
    <w:rsid w:val="006B3F4F"/>
    <w:rsid w:val="006B5E2D"/>
    <w:rsid w:val="006B5ED6"/>
    <w:rsid w:val="006B6C36"/>
    <w:rsid w:val="006C08D5"/>
    <w:rsid w:val="006C1CFA"/>
    <w:rsid w:val="006C316B"/>
    <w:rsid w:val="006C33CD"/>
    <w:rsid w:val="006C4586"/>
    <w:rsid w:val="006C6500"/>
    <w:rsid w:val="006C7CB3"/>
    <w:rsid w:val="006D02A5"/>
    <w:rsid w:val="006D2196"/>
    <w:rsid w:val="006D23B4"/>
    <w:rsid w:val="006D2415"/>
    <w:rsid w:val="006D2CE8"/>
    <w:rsid w:val="006D2D30"/>
    <w:rsid w:val="006D3275"/>
    <w:rsid w:val="006D3E5E"/>
    <w:rsid w:val="006D57C2"/>
    <w:rsid w:val="006D5BF6"/>
    <w:rsid w:val="006E369E"/>
    <w:rsid w:val="006E4B45"/>
    <w:rsid w:val="006E566F"/>
    <w:rsid w:val="006E5E60"/>
    <w:rsid w:val="006F0798"/>
    <w:rsid w:val="006F23B7"/>
    <w:rsid w:val="006F375B"/>
    <w:rsid w:val="006F3DDA"/>
    <w:rsid w:val="006F4AAC"/>
    <w:rsid w:val="006F5B43"/>
    <w:rsid w:val="006F61D8"/>
    <w:rsid w:val="006F653B"/>
    <w:rsid w:val="006F7C11"/>
    <w:rsid w:val="00700614"/>
    <w:rsid w:val="00700892"/>
    <w:rsid w:val="007017BF"/>
    <w:rsid w:val="0070278C"/>
    <w:rsid w:val="00703D01"/>
    <w:rsid w:val="00703F7C"/>
    <w:rsid w:val="0071226C"/>
    <w:rsid w:val="00712270"/>
    <w:rsid w:val="007123ED"/>
    <w:rsid w:val="00713F1C"/>
    <w:rsid w:val="00714621"/>
    <w:rsid w:val="00714AE8"/>
    <w:rsid w:val="00714E85"/>
    <w:rsid w:val="00716543"/>
    <w:rsid w:val="007166ED"/>
    <w:rsid w:val="0071696C"/>
    <w:rsid w:val="00717F25"/>
    <w:rsid w:val="00720EB6"/>
    <w:rsid w:val="00722609"/>
    <w:rsid w:val="00722829"/>
    <w:rsid w:val="00724545"/>
    <w:rsid w:val="007250B5"/>
    <w:rsid w:val="00725EED"/>
    <w:rsid w:val="00726B17"/>
    <w:rsid w:val="00727648"/>
    <w:rsid w:val="007305A1"/>
    <w:rsid w:val="00730961"/>
    <w:rsid w:val="00730E14"/>
    <w:rsid w:val="00735168"/>
    <w:rsid w:val="00736D94"/>
    <w:rsid w:val="00736F85"/>
    <w:rsid w:val="00741392"/>
    <w:rsid w:val="00744676"/>
    <w:rsid w:val="00746280"/>
    <w:rsid w:val="00750E5F"/>
    <w:rsid w:val="007518F6"/>
    <w:rsid w:val="00752646"/>
    <w:rsid w:val="00752E35"/>
    <w:rsid w:val="0075324C"/>
    <w:rsid w:val="00753C32"/>
    <w:rsid w:val="00753F3B"/>
    <w:rsid w:val="007553F2"/>
    <w:rsid w:val="0075554D"/>
    <w:rsid w:val="00755DE2"/>
    <w:rsid w:val="00756386"/>
    <w:rsid w:val="00756DC8"/>
    <w:rsid w:val="0075768B"/>
    <w:rsid w:val="00760140"/>
    <w:rsid w:val="00763552"/>
    <w:rsid w:val="007643B9"/>
    <w:rsid w:val="007643DE"/>
    <w:rsid w:val="007663CB"/>
    <w:rsid w:val="00766A4F"/>
    <w:rsid w:val="00770465"/>
    <w:rsid w:val="007708E8"/>
    <w:rsid w:val="00771C64"/>
    <w:rsid w:val="0077246D"/>
    <w:rsid w:val="007743DC"/>
    <w:rsid w:val="00775793"/>
    <w:rsid w:val="00777DD8"/>
    <w:rsid w:val="007804CC"/>
    <w:rsid w:val="007813EE"/>
    <w:rsid w:val="00782F7B"/>
    <w:rsid w:val="00783197"/>
    <w:rsid w:val="007842D4"/>
    <w:rsid w:val="0078489C"/>
    <w:rsid w:val="007848C2"/>
    <w:rsid w:val="00786699"/>
    <w:rsid w:val="00791D40"/>
    <w:rsid w:val="0079263F"/>
    <w:rsid w:val="00793FB2"/>
    <w:rsid w:val="00794143"/>
    <w:rsid w:val="00795047"/>
    <w:rsid w:val="0079601F"/>
    <w:rsid w:val="007961F4"/>
    <w:rsid w:val="007A0100"/>
    <w:rsid w:val="007A0202"/>
    <w:rsid w:val="007A0972"/>
    <w:rsid w:val="007A2FBC"/>
    <w:rsid w:val="007A3953"/>
    <w:rsid w:val="007A6E81"/>
    <w:rsid w:val="007B0360"/>
    <w:rsid w:val="007B0A02"/>
    <w:rsid w:val="007B0DCD"/>
    <w:rsid w:val="007B1C52"/>
    <w:rsid w:val="007B2E04"/>
    <w:rsid w:val="007B3FA6"/>
    <w:rsid w:val="007B4AB3"/>
    <w:rsid w:val="007B4E3F"/>
    <w:rsid w:val="007B6294"/>
    <w:rsid w:val="007B6E45"/>
    <w:rsid w:val="007C19E8"/>
    <w:rsid w:val="007C54A8"/>
    <w:rsid w:val="007C7F31"/>
    <w:rsid w:val="007D0ADA"/>
    <w:rsid w:val="007D1364"/>
    <w:rsid w:val="007D1B47"/>
    <w:rsid w:val="007D1BAD"/>
    <w:rsid w:val="007D2CB6"/>
    <w:rsid w:val="007D2ECF"/>
    <w:rsid w:val="007D3805"/>
    <w:rsid w:val="007D3B5F"/>
    <w:rsid w:val="007D45C0"/>
    <w:rsid w:val="007D6092"/>
    <w:rsid w:val="007D6AA5"/>
    <w:rsid w:val="007E0CA5"/>
    <w:rsid w:val="007E11D4"/>
    <w:rsid w:val="007E1FC3"/>
    <w:rsid w:val="007E36BC"/>
    <w:rsid w:val="007E3BD3"/>
    <w:rsid w:val="007E403A"/>
    <w:rsid w:val="007E4502"/>
    <w:rsid w:val="007E45E3"/>
    <w:rsid w:val="007E4C32"/>
    <w:rsid w:val="007E6510"/>
    <w:rsid w:val="007E7A36"/>
    <w:rsid w:val="007E7F14"/>
    <w:rsid w:val="007F0B80"/>
    <w:rsid w:val="007F24E0"/>
    <w:rsid w:val="007F4855"/>
    <w:rsid w:val="007F5D50"/>
    <w:rsid w:val="007F7E92"/>
    <w:rsid w:val="008003A1"/>
    <w:rsid w:val="00800D4A"/>
    <w:rsid w:val="008049BB"/>
    <w:rsid w:val="0080672F"/>
    <w:rsid w:val="008070F5"/>
    <w:rsid w:val="00810FB0"/>
    <w:rsid w:val="00811738"/>
    <w:rsid w:val="008117B3"/>
    <w:rsid w:val="00812AB4"/>
    <w:rsid w:val="0081376E"/>
    <w:rsid w:val="008142D6"/>
    <w:rsid w:val="008168A7"/>
    <w:rsid w:val="00817353"/>
    <w:rsid w:val="00820A0E"/>
    <w:rsid w:val="0082113C"/>
    <w:rsid w:val="00821180"/>
    <w:rsid w:val="008222C6"/>
    <w:rsid w:val="00823365"/>
    <w:rsid w:val="008237FB"/>
    <w:rsid w:val="008243FA"/>
    <w:rsid w:val="008251EB"/>
    <w:rsid w:val="00826D12"/>
    <w:rsid w:val="0082749B"/>
    <w:rsid w:val="008275D2"/>
    <w:rsid w:val="00830DAA"/>
    <w:rsid w:val="0083341F"/>
    <w:rsid w:val="00835439"/>
    <w:rsid w:val="008355CE"/>
    <w:rsid w:val="00836127"/>
    <w:rsid w:val="0083640A"/>
    <w:rsid w:val="008366C9"/>
    <w:rsid w:val="008366FC"/>
    <w:rsid w:val="008378A9"/>
    <w:rsid w:val="00837CE2"/>
    <w:rsid w:val="00837F7F"/>
    <w:rsid w:val="008411FD"/>
    <w:rsid w:val="00841D0D"/>
    <w:rsid w:val="00845F7F"/>
    <w:rsid w:val="0084649C"/>
    <w:rsid w:val="008470E9"/>
    <w:rsid w:val="008471DF"/>
    <w:rsid w:val="00850E3D"/>
    <w:rsid w:val="008545EB"/>
    <w:rsid w:val="00855291"/>
    <w:rsid w:val="008558E6"/>
    <w:rsid w:val="00855939"/>
    <w:rsid w:val="00856809"/>
    <w:rsid w:val="008601E8"/>
    <w:rsid w:val="00863535"/>
    <w:rsid w:val="008702D3"/>
    <w:rsid w:val="008702F8"/>
    <w:rsid w:val="00870F5A"/>
    <w:rsid w:val="00871EA3"/>
    <w:rsid w:val="008723EC"/>
    <w:rsid w:val="008726EC"/>
    <w:rsid w:val="0087271A"/>
    <w:rsid w:val="00872B61"/>
    <w:rsid w:val="0087397F"/>
    <w:rsid w:val="00873BBB"/>
    <w:rsid w:val="008743BE"/>
    <w:rsid w:val="00875020"/>
    <w:rsid w:val="00875187"/>
    <w:rsid w:val="0087663F"/>
    <w:rsid w:val="008771BB"/>
    <w:rsid w:val="00880315"/>
    <w:rsid w:val="00882603"/>
    <w:rsid w:val="00882892"/>
    <w:rsid w:val="00884BB2"/>
    <w:rsid w:val="00885125"/>
    <w:rsid w:val="0088607B"/>
    <w:rsid w:val="0088623D"/>
    <w:rsid w:val="00886314"/>
    <w:rsid w:val="00887CFC"/>
    <w:rsid w:val="00890ED1"/>
    <w:rsid w:val="00890EEC"/>
    <w:rsid w:val="00891410"/>
    <w:rsid w:val="00891B0F"/>
    <w:rsid w:val="00893D52"/>
    <w:rsid w:val="0089482D"/>
    <w:rsid w:val="008950C7"/>
    <w:rsid w:val="008953E8"/>
    <w:rsid w:val="00895D07"/>
    <w:rsid w:val="008966FB"/>
    <w:rsid w:val="008A02CD"/>
    <w:rsid w:val="008A0C99"/>
    <w:rsid w:val="008A0E43"/>
    <w:rsid w:val="008A1992"/>
    <w:rsid w:val="008A3633"/>
    <w:rsid w:val="008A3D84"/>
    <w:rsid w:val="008A408C"/>
    <w:rsid w:val="008A4D8D"/>
    <w:rsid w:val="008A70F4"/>
    <w:rsid w:val="008B1BAF"/>
    <w:rsid w:val="008B2864"/>
    <w:rsid w:val="008B383E"/>
    <w:rsid w:val="008B52B5"/>
    <w:rsid w:val="008C2238"/>
    <w:rsid w:val="008C2BFA"/>
    <w:rsid w:val="008C3CD2"/>
    <w:rsid w:val="008C591F"/>
    <w:rsid w:val="008C7069"/>
    <w:rsid w:val="008D007A"/>
    <w:rsid w:val="008D0205"/>
    <w:rsid w:val="008D0750"/>
    <w:rsid w:val="008D17BC"/>
    <w:rsid w:val="008D4CD0"/>
    <w:rsid w:val="008D4DD4"/>
    <w:rsid w:val="008D5231"/>
    <w:rsid w:val="008D63E4"/>
    <w:rsid w:val="008E0059"/>
    <w:rsid w:val="008E0665"/>
    <w:rsid w:val="008E1A8E"/>
    <w:rsid w:val="008E281C"/>
    <w:rsid w:val="008E60CC"/>
    <w:rsid w:val="008E61D6"/>
    <w:rsid w:val="008E6A17"/>
    <w:rsid w:val="008E6CA6"/>
    <w:rsid w:val="008E7761"/>
    <w:rsid w:val="008F03D4"/>
    <w:rsid w:val="008F1A36"/>
    <w:rsid w:val="008F26F8"/>
    <w:rsid w:val="008F3AA0"/>
    <w:rsid w:val="008F3AAE"/>
    <w:rsid w:val="008F406F"/>
    <w:rsid w:val="008F4429"/>
    <w:rsid w:val="008F6090"/>
    <w:rsid w:val="008F67B4"/>
    <w:rsid w:val="008F7646"/>
    <w:rsid w:val="00900BA7"/>
    <w:rsid w:val="00900FFB"/>
    <w:rsid w:val="009013F8"/>
    <w:rsid w:val="0090182F"/>
    <w:rsid w:val="009057C7"/>
    <w:rsid w:val="009060E8"/>
    <w:rsid w:val="00907253"/>
    <w:rsid w:val="00910FED"/>
    <w:rsid w:val="009111E3"/>
    <w:rsid w:val="00911E45"/>
    <w:rsid w:val="00914BD3"/>
    <w:rsid w:val="009150B1"/>
    <w:rsid w:val="0091618E"/>
    <w:rsid w:val="0091640D"/>
    <w:rsid w:val="0091702A"/>
    <w:rsid w:val="009175A8"/>
    <w:rsid w:val="009219FA"/>
    <w:rsid w:val="00922717"/>
    <w:rsid w:val="00923828"/>
    <w:rsid w:val="00924408"/>
    <w:rsid w:val="009304AE"/>
    <w:rsid w:val="00932C51"/>
    <w:rsid w:val="009348A2"/>
    <w:rsid w:val="009358BF"/>
    <w:rsid w:val="00935937"/>
    <w:rsid w:val="00936BDC"/>
    <w:rsid w:val="00940365"/>
    <w:rsid w:val="00941B9F"/>
    <w:rsid w:val="00942680"/>
    <w:rsid w:val="00942A04"/>
    <w:rsid w:val="009442F5"/>
    <w:rsid w:val="00944F52"/>
    <w:rsid w:val="00956D3B"/>
    <w:rsid w:val="00957470"/>
    <w:rsid w:val="00957691"/>
    <w:rsid w:val="00961140"/>
    <w:rsid w:val="00961141"/>
    <w:rsid w:val="00961B89"/>
    <w:rsid w:val="00962D90"/>
    <w:rsid w:val="00964155"/>
    <w:rsid w:val="00966360"/>
    <w:rsid w:val="00966787"/>
    <w:rsid w:val="00966855"/>
    <w:rsid w:val="00967A50"/>
    <w:rsid w:val="009700B7"/>
    <w:rsid w:val="00970225"/>
    <w:rsid w:val="00970246"/>
    <w:rsid w:val="00970482"/>
    <w:rsid w:val="009711E6"/>
    <w:rsid w:val="0097184F"/>
    <w:rsid w:val="009719BB"/>
    <w:rsid w:val="0097534D"/>
    <w:rsid w:val="00980DF4"/>
    <w:rsid w:val="009817B0"/>
    <w:rsid w:val="009824FB"/>
    <w:rsid w:val="00982D1D"/>
    <w:rsid w:val="00984CC6"/>
    <w:rsid w:val="00984D4A"/>
    <w:rsid w:val="00984D81"/>
    <w:rsid w:val="0098719A"/>
    <w:rsid w:val="0099110E"/>
    <w:rsid w:val="00992414"/>
    <w:rsid w:val="0099288E"/>
    <w:rsid w:val="0099326E"/>
    <w:rsid w:val="00993533"/>
    <w:rsid w:val="00994997"/>
    <w:rsid w:val="00994D0C"/>
    <w:rsid w:val="00994ECD"/>
    <w:rsid w:val="00995433"/>
    <w:rsid w:val="00995626"/>
    <w:rsid w:val="00997946"/>
    <w:rsid w:val="00997B24"/>
    <w:rsid w:val="009A10F4"/>
    <w:rsid w:val="009A1999"/>
    <w:rsid w:val="009A27DB"/>
    <w:rsid w:val="009A344F"/>
    <w:rsid w:val="009A38DD"/>
    <w:rsid w:val="009A607E"/>
    <w:rsid w:val="009A63A7"/>
    <w:rsid w:val="009A6727"/>
    <w:rsid w:val="009A6CCC"/>
    <w:rsid w:val="009B2FAD"/>
    <w:rsid w:val="009B39A8"/>
    <w:rsid w:val="009B3AE7"/>
    <w:rsid w:val="009B45C4"/>
    <w:rsid w:val="009B481D"/>
    <w:rsid w:val="009B4C75"/>
    <w:rsid w:val="009B587F"/>
    <w:rsid w:val="009B7F25"/>
    <w:rsid w:val="009C2653"/>
    <w:rsid w:val="009C36BA"/>
    <w:rsid w:val="009C37BA"/>
    <w:rsid w:val="009C38E2"/>
    <w:rsid w:val="009C5D70"/>
    <w:rsid w:val="009C7542"/>
    <w:rsid w:val="009D0222"/>
    <w:rsid w:val="009D1257"/>
    <w:rsid w:val="009D12AE"/>
    <w:rsid w:val="009D1DE1"/>
    <w:rsid w:val="009D294C"/>
    <w:rsid w:val="009D3643"/>
    <w:rsid w:val="009D584A"/>
    <w:rsid w:val="009D6270"/>
    <w:rsid w:val="009D6718"/>
    <w:rsid w:val="009D6C37"/>
    <w:rsid w:val="009E057B"/>
    <w:rsid w:val="009E09EA"/>
    <w:rsid w:val="009E19CE"/>
    <w:rsid w:val="009E41C3"/>
    <w:rsid w:val="009E462D"/>
    <w:rsid w:val="009E4976"/>
    <w:rsid w:val="009E60C4"/>
    <w:rsid w:val="009E6F47"/>
    <w:rsid w:val="009F1313"/>
    <w:rsid w:val="009F1F14"/>
    <w:rsid w:val="009F2621"/>
    <w:rsid w:val="009F2C66"/>
    <w:rsid w:val="009F318F"/>
    <w:rsid w:val="009F4065"/>
    <w:rsid w:val="009F45B4"/>
    <w:rsid w:val="009F56D1"/>
    <w:rsid w:val="009F7F56"/>
    <w:rsid w:val="00A00F78"/>
    <w:rsid w:val="00A01560"/>
    <w:rsid w:val="00A0189E"/>
    <w:rsid w:val="00A01F5C"/>
    <w:rsid w:val="00A03ACE"/>
    <w:rsid w:val="00A04906"/>
    <w:rsid w:val="00A04A9C"/>
    <w:rsid w:val="00A076BD"/>
    <w:rsid w:val="00A101F9"/>
    <w:rsid w:val="00A1040B"/>
    <w:rsid w:val="00A11132"/>
    <w:rsid w:val="00A11CA8"/>
    <w:rsid w:val="00A12A1B"/>
    <w:rsid w:val="00A13D36"/>
    <w:rsid w:val="00A15724"/>
    <w:rsid w:val="00A168DB"/>
    <w:rsid w:val="00A17E24"/>
    <w:rsid w:val="00A17FCC"/>
    <w:rsid w:val="00A22078"/>
    <w:rsid w:val="00A22080"/>
    <w:rsid w:val="00A22096"/>
    <w:rsid w:val="00A22129"/>
    <w:rsid w:val="00A22BCF"/>
    <w:rsid w:val="00A2304D"/>
    <w:rsid w:val="00A25B1E"/>
    <w:rsid w:val="00A27211"/>
    <w:rsid w:val="00A31CA7"/>
    <w:rsid w:val="00A325E8"/>
    <w:rsid w:val="00A33141"/>
    <w:rsid w:val="00A335AE"/>
    <w:rsid w:val="00A34077"/>
    <w:rsid w:val="00A35CE4"/>
    <w:rsid w:val="00A36077"/>
    <w:rsid w:val="00A37331"/>
    <w:rsid w:val="00A40B3C"/>
    <w:rsid w:val="00A40BB0"/>
    <w:rsid w:val="00A40D3A"/>
    <w:rsid w:val="00A424D4"/>
    <w:rsid w:val="00A429A5"/>
    <w:rsid w:val="00A43CBD"/>
    <w:rsid w:val="00A43E33"/>
    <w:rsid w:val="00A4427D"/>
    <w:rsid w:val="00A51B5A"/>
    <w:rsid w:val="00A51E25"/>
    <w:rsid w:val="00A52D34"/>
    <w:rsid w:val="00A52F62"/>
    <w:rsid w:val="00A533D6"/>
    <w:rsid w:val="00A53C2B"/>
    <w:rsid w:val="00A5517F"/>
    <w:rsid w:val="00A55285"/>
    <w:rsid w:val="00A5531C"/>
    <w:rsid w:val="00A55982"/>
    <w:rsid w:val="00A56948"/>
    <w:rsid w:val="00A578B0"/>
    <w:rsid w:val="00A57BB6"/>
    <w:rsid w:val="00A62B6B"/>
    <w:rsid w:val="00A62EA4"/>
    <w:rsid w:val="00A62F45"/>
    <w:rsid w:val="00A62F68"/>
    <w:rsid w:val="00A642F4"/>
    <w:rsid w:val="00A666DE"/>
    <w:rsid w:val="00A66715"/>
    <w:rsid w:val="00A67C12"/>
    <w:rsid w:val="00A709DA"/>
    <w:rsid w:val="00A72719"/>
    <w:rsid w:val="00A731D8"/>
    <w:rsid w:val="00A73D1D"/>
    <w:rsid w:val="00A74CFD"/>
    <w:rsid w:val="00A75F6C"/>
    <w:rsid w:val="00A76E7A"/>
    <w:rsid w:val="00A81A71"/>
    <w:rsid w:val="00A82556"/>
    <w:rsid w:val="00A83087"/>
    <w:rsid w:val="00A8329F"/>
    <w:rsid w:val="00A8384F"/>
    <w:rsid w:val="00A8389B"/>
    <w:rsid w:val="00A8433A"/>
    <w:rsid w:val="00A84FBA"/>
    <w:rsid w:val="00A85AC5"/>
    <w:rsid w:val="00A860B5"/>
    <w:rsid w:val="00A8651E"/>
    <w:rsid w:val="00A865AB"/>
    <w:rsid w:val="00A9010D"/>
    <w:rsid w:val="00A9072B"/>
    <w:rsid w:val="00A91045"/>
    <w:rsid w:val="00A91C9C"/>
    <w:rsid w:val="00A9696F"/>
    <w:rsid w:val="00A96A82"/>
    <w:rsid w:val="00AA034D"/>
    <w:rsid w:val="00AA1F4C"/>
    <w:rsid w:val="00AA275F"/>
    <w:rsid w:val="00AA35BD"/>
    <w:rsid w:val="00AA4028"/>
    <w:rsid w:val="00AA4155"/>
    <w:rsid w:val="00AA46B0"/>
    <w:rsid w:val="00AA4A9C"/>
    <w:rsid w:val="00AA65CB"/>
    <w:rsid w:val="00AA6978"/>
    <w:rsid w:val="00AA7544"/>
    <w:rsid w:val="00AB1C38"/>
    <w:rsid w:val="00AB1E15"/>
    <w:rsid w:val="00AB2E07"/>
    <w:rsid w:val="00AB33AE"/>
    <w:rsid w:val="00AB47E7"/>
    <w:rsid w:val="00AB5195"/>
    <w:rsid w:val="00AB6779"/>
    <w:rsid w:val="00AB78CE"/>
    <w:rsid w:val="00AC36C1"/>
    <w:rsid w:val="00AC4380"/>
    <w:rsid w:val="00AC4B56"/>
    <w:rsid w:val="00AC4F50"/>
    <w:rsid w:val="00AC5111"/>
    <w:rsid w:val="00AC5843"/>
    <w:rsid w:val="00AC72A6"/>
    <w:rsid w:val="00AD001B"/>
    <w:rsid w:val="00AD0FC1"/>
    <w:rsid w:val="00AD1569"/>
    <w:rsid w:val="00AD1F08"/>
    <w:rsid w:val="00AD30BC"/>
    <w:rsid w:val="00AD41C5"/>
    <w:rsid w:val="00AD4D2F"/>
    <w:rsid w:val="00AD66EF"/>
    <w:rsid w:val="00AD7858"/>
    <w:rsid w:val="00AE1363"/>
    <w:rsid w:val="00AE18AC"/>
    <w:rsid w:val="00AE27E5"/>
    <w:rsid w:val="00AE3AD8"/>
    <w:rsid w:val="00AE3C24"/>
    <w:rsid w:val="00AE52E4"/>
    <w:rsid w:val="00AE5A98"/>
    <w:rsid w:val="00AE793B"/>
    <w:rsid w:val="00AF074E"/>
    <w:rsid w:val="00AF159D"/>
    <w:rsid w:val="00AF2B38"/>
    <w:rsid w:val="00AF3099"/>
    <w:rsid w:val="00AF4F8C"/>
    <w:rsid w:val="00AF6187"/>
    <w:rsid w:val="00AF729A"/>
    <w:rsid w:val="00AF7FF6"/>
    <w:rsid w:val="00B008EC"/>
    <w:rsid w:val="00B02513"/>
    <w:rsid w:val="00B02B41"/>
    <w:rsid w:val="00B02DB7"/>
    <w:rsid w:val="00B02E50"/>
    <w:rsid w:val="00B031EA"/>
    <w:rsid w:val="00B05CEE"/>
    <w:rsid w:val="00B06150"/>
    <w:rsid w:val="00B06285"/>
    <w:rsid w:val="00B1398E"/>
    <w:rsid w:val="00B1418E"/>
    <w:rsid w:val="00B17002"/>
    <w:rsid w:val="00B2092A"/>
    <w:rsid w:val="00B20ED6"/>
    <w:rsid w:val="00B220CD"/>
    <w:rsid w:val="00B22A11"/>
    <w:rsid w:val="00B22DD0"/>
    <w:rsid w:val="00B268BD"/>
    <w:rsid w:val="00B26AF5"/>
    <w:rsid w:val="00B26BC0"/>
    <w:rsid w:val="00B26D93"/>
    <w:rsid w:val="00B322F1"/>
    <w:rsid w:val="00B33075"/>
    <w:rsid w:val="00B33842"/>
    <w:rsid w:val="00B357BB"/>
    <w:rsid w:val="00B364AC"/>
    <w:rsid w:val="00B36BF4"/>
    <w:rsid w:val="00B36DCD"/>
    <w:rsid w:val="00B36F4A"/>
    <w:rsid w:val="00B37538"/>
    <w:rsid w:val="00B37863"/>
    <w:rsid w:val="00B41731"/>
    <w:rsid w:val="00B41B19"/>
    <w:rsid w:val="00B421F8"/>
    <w:rsid w:val="00B4227A"/>
    <w:rsid w:val="00B425E0"/>
    <w:rsid w:val="00B4300D"/>
    <w:rsid w:val="00B4496C"/>
    <w:rsid w:val="00B45252"/>
    <w:rsid w:val="00B456B8"/>
    <w:rsid w:val="00B46600"/>
    <w:rsid w:val="00B4779D"/>
    <w:rsid w:val="00B50A4E"/>
    <w:rsid w:val="00B519BA"/>
    <w:rsid w:val="00B523DB"/>
    <w:rsid w:val="00B53422"/>
    <w:rsid w:val="00B5342D"/>
    <w:rsid w:val="00B5655E"/>
    <w:rsid w:val="00B57211"/>
    <w:rsid w:val="00B57359"/>
    <w:rsid w:val="00B57867"/>
    <w:rsid w:val="00B608F9"/>
    <w:rsid w:val="00B63108"/>
    <w:rsid w:val="00B647D0"/>
    <w:rsid w:val="00B64EEC"/>
    <w:rsid w:val="00B67400"/>
    <w:rsid w:val="00B67E1A"/>
    <w:rsid w:val="00B702EE"/>
    <w:rsid w:val="00B70BFA"/>
    <w:rsid w:val="00B72598"/>
    <w:rsid w:val="00B73F48"/>
    <w:rsid w:val="00B74D85"/>
    <w:rsid w:val="00B7535F"/>
    <w:rsid w:val="00B76D50"/>
    <w:rsid w:val="00B775C4"/>
    <w:rsid w:val="00B81783"/>
    <w:rsid w:val="00B82082"/>
    <w:rsid w:val="00B82D55"/>
    <w:rsid w:val="00B83EBB"/>
    <w:rsid w:val="00B86EFD"/>
    <w:rsid w:val="00B86FAF"/>
    <w:rsid w:val="00B878A8"/>
    <w:rsid w:val="00B90E1D"/>
    <w:rsid w:val="00B919C9"/>
    <w:rsid w:val="00B91A28"/>
    <w:rsid w:val="00B92057"/>
    <w:rsid w:val="00B9246E"/>
    <w:rsid w:val="00B929B3"/>
    <w:rsid w:val="00B92ADC"/>
    <w:rsid w:val="00B9332E"/>
    <w:rsid w:val="00B93E41"/>
    <w:rsid w:val="00B942D9"/>
    <w:rsid w:val="00B94FB6"/>
    <w:rsid w:val="00B95792"/>
    <w:rsid w:val="00B97258"/>
    <w:rsid w:val="00B9762F"/>
    <w:rsid w:val="00B97CFA"/>
    <w:rsid w:val="00B97EC1"/>
    <w:rsid w:val="00BA1784"/>
    <w:rsid w:val="00BA361F"/>
    <w:rsid w:val="00BA37AA"/>
    <w:rsid w:val="00BA476E"/>
    <w:rsid w:val="00BA71B0"/>
    <w:rsid w:val="00BB09A0"/>
    <w:rsid w:val="00BB2B12"/>
    <w:rsid w:val="00BB2B81"/>
    <w:rsid w:val="00BB557D"/>
    <w:rsid w:val="00BB5D4D"/>
    <w:rsid w:val="00BB73F5"/>
    <w:rsid w:val="00BC07AC"/>
    <w:rsid w:val="00BC0A94"/>
    <w:rsid w:val="00BC13E1"/>
    <w:rsid w:val="00BC15D7"/>
    <w:rsid w:val="00BC1733"/>
    <w:rsid w:val="00BC1CD3"/>
    <w:rsid w:val="00BC3BE2"/>
    <w:rsid w:val="00BC4743"/>
    <w:rsid w:val="00BC55C6"/>
    <w:rsid w:val="00BC5902"/>
    <w:rsid w:val="00BC67F6"/>
    <w:rsid w:val="00BC6B88"/>
    <w:rsid w:val="00BC6FB4"/>
    <w:rsid w:val="00BD166C"/>
    <w:rsid w:val="00BD41A0"/>
    <w:rsid w:val="00BD5364"/>
    <w:rsid w:val="00BD6127"/>
    <w:rsid w:val="00BD73AE"/>
    <w:rsid w:val="00BD796C"/>
    <w:rsid w:val="00BE0A61"/>
    <w:rsid w:val="00BE0E67"/>
    <w:rsid w:val="00BE16A0"/>
    <w:rsid w:val="00BE2C06"/>
    <w:rsid w:val="00BE3481"/>
    <w:rsid w:val="00BE3E86"/>
    <w:rsid w:val="00BE693C"/>
    <w:rsid w:val="00BE6E94"/>
    <w:rsid w:val="00BE7E6D"/>
    <w:rsid w:val="00BF0CCA"/>
    <w:rsid w:val="00BF1578"/>
    <w:rsid w:val="00BF2C63"/>
    <w:rsid w:val="00BF406B"/>
    <w:rsid w:val="00BF475B"/>
    <w:rsid w:val="00BF5208"/>
    <w:rsid w:val="00BF59C0"/>
    <w:rsid w:val="00BF6515"/>
    <w:rsid w:val="00BF7AFD"/>
    <w:rsid w:val="00BF7BBC"/>
    <w:rsid w:val="00C00151"/>
    <w:rsid w:val="00C06397"/>
    <w:rsid w:val="00C06872"/>
    <w:rsid w:val="00C06FBF"/>
    <w:rsid w:val="00C07176"/>
    <w:rsid w:val="00C07C20"/>
    <w:rsid w:val="00C07D3E"/>
    <w:rsid w:val="00C07E9D"/>
    <w:rsid w:val="00C109F6"/>
    <w:rsid w:val="00C10FA7"/>
    <w:rsid w:val="00C11697"/>
    <w:rsid w:val="00C14BEA"/>
    <w:rsid w:val="00C151A2"/>
    <w:rsid w:val="00C16AA4"/>
    <w:rsid w:val="00C17BA5"/>
    <w:rsid w:val="00C17DE2"/>
    <w:rsid w:val="00C218BD"/>
    <w:rsid w:val="00C22400"/>
    <w:rsid w:val="00C2442E"/>
    <w:rsid w:val="00C25194"/>
    <w:rsid w:val="00C27273"/>
    <w:rsid w:val="00C31691"/>
    <w:rsid w:val="00C32B6A"/>
    <w:rsid w:val="00C34141"/>
    <w:rsid w:val="00C34B53"/>
    <w:rsid w:val="00C37192"/>
    <w:rsid w:val="00C377CA"/>
    <w:rsid w:val="00C37BB2"/>
    <w:rsid w:val="00C37FD1"/>
    <w:rsid w:val="00C404E5"/>
    <w:rsid w:val="00C40C57"/>
    <w:rsid w:val="00C4150C"/>
    <w:rsid w:val="00C41EE9"/>
    <w:rsid w:val="00C42B78"/>
    <w:rsid w:val="00C431C4"/>
    <w:rsid w:val="00C43888"/>
    <w:rsid w:val="00C441FE"/>
    <w:rsid w:val="00C455E9"/>
    <w:rsid w:val="00C45763"/>
    <w:rsid w:val="00C46800"/>
    <w:rsid w:val="00C47018"/>
    <w:rsid w:val="00C47059"/>
    <w:rsid w:val="00C47DDD"/>
    <w:rsid w:val="00C51B2C"/>
    <w:rsid w:val="00C5219E"/>
    <w:rsid w:val="00C52809"/>
    <w:rsid w:val="00C52E1E"/>
    <w:rsid w:val="00C53121"/>
    <w:rsid w:val="00C53354"/>
    <w:rsid w:val="00C533C3"/>
    <w:rsid w:val="00C53A73"/>
    <w:rsid w:val="00C542FA"/>
    <w:rsid w:val="00C57985"/>
    <w:rsid w:val="00C61B65"/>
    <w:rsid w:val="00C625CB"/>
    <w:rsid w:val="00C62766"/>
    <w:rsid w:val="00C63989"/>
    <w:rsid w:val="00C63A0A"/>
    <w:rsid w:val="00C64680"/>
    <w:rsid w:val="00C65F6D"/>
    <w:rsid w:val="00C6783E"/>
    <w:rsid w:val="00C7031B"/>
    <w:rsid w:val="00C708F0"/>
    <w:rsid w:val="00C716A7"/>
    <w:rsid w:val="00C71ACC"/>
    <w:rsid w:val="00C727F9"/>
    <w:rsid w:val="00C73DC7"/>
    <w:rsid w:val="00C73E1E"/>
    <w:rsid w:val="00C74CC3"/>
    <w:rsid w:val="00C765A1"/>
    <w:rsid w:val="00C76804"/>
    <w:rsid w:val="00C817E1"/>
    <w:rsid w:val="00C83B0E"/>
    <w:rsid w:val="00C8472E"/>
    <w:rsid w:val="00C85075"/>
    <w:rsid w:val="00C850B4"/>
    <w:rsid w:val="00C86507"/>
    <w:rsid w:val="00C87C61"/>
    <w:rsid w:val="00C87EB0"/>
    <w:rsid w:val="00CA0091"/>
    <w:rsid w:val="00CA0C88"/>
    <w:rsid w:val="00CA0CAF"/>
    <w:rsid w:val="00CA2886"/>
    <w:rsid w:val="00CB015F"/>
    <w:rsid w:val="00CB0DE0"/>
    <w:rsid w:val="00CB358A"/>
    <w:rsid w:val="00CB4CAD"/>
    <w:rsid w:val="00CB56C3"/>
    <w:rsid w:val="00CB597D"/>
    <w:rsid w:val="00CB7CB9"/>
    <w:rsid w:val="00CC0B64"/>
    <w:rsid w:val="00CC0E87"/>
    <w:rsid w:val="00CC1CB0"/>
    <w:rsid w:val="00CC2144"/>
    <w:rsid w:val="00CC2D9C"/>
    <w:rsid w:val="00CC2E82"/>
    <w:rsid w:val="00CC371C"/>
    <w:rsid w:val="00CC382E"/>
    <w:rsid w:val="00CC5CD0"/>
    <w:rsid w:val="00CC5F72"/>
    <w:rsid w:val="00CC7C54"/>
    <w:rsid w:val="00CD2AEA"/>
    <w:rsid w:val="00CD2C53"/>
    <w:rsid w:val="00CD5574"/>
    <w:rsid w:val="00CD55BF"/>
    <w:rsid w:val="00CD5657"/>
    <w:rsid w:val="00CD602D"/>
    <w:rsid w:val="00CD683B"/>
    <w:rsid w:val="00CD6B20"/>
    <w:rsid w:val="00CD6D37"/>
    <w:rsid w:val="00CD77AA"/>
    <w:rsid w:val="00CE1044"/>
    <w:rsid w:val="00CE28AD"/>
    <w:rsid w:val="00CE599F"/>
    <w:rsid w:val="00CE68BA"/>
    <w:rsid w:val="00CF00C7"/>
    <w:rsid w:val="00CF04F7"/>
    <w:rsid w:val="00CF0B4B"/>
    <w:rsid w:val="00CF1614"/>
    <w:rsid w:val="00CF16AE"/>
    <w:rsid w:val="00CF2E3A"/>
    <w:rsid w:val="00CF3AC9"/>
    <w:rsid w:val="00D031EC"/>
    <w:rsid w:val="00D06DD9"/>
    <w:rsid w:val="00D0708F"/>
    <w:rsid w:val="00D07556"/>
    <w:rsid w:val="00D1062C"/>
    <w:rsid w:val="00D11208"/>
    <w:rsid w:val="00D11292"/>
    <w:rsid w:val="00D114BB"/>
    <w:rsid w:val="00D11C53"/>
    <w:rsid w:val="00D11F42"/>
    <w:rsid w:val="00D12130"/>
    <w:rsid w:val="00D1310F"/>
    <w:rsid w:val="00D13797"/>
    <w:rsid w:val="00D15437"/>
    <w:rsid w:val="00D15601"/>
    <w:rsid w:val="00D15A89"/>
    <w:rsid w:val="00D17E02"/>
    <w:rsid w:val="00D20D9A"/>
    <w:rsid w:val="00D22403"/>
    <w:rsid w:val="00D24263"/>
    <w:rsid w:val="00D2508F"/>
    <w:rsid w:val="00D25835"/>
    <w:rsid w:val="00D2583B"/>
    <w:rsid w:val="00D26375"/>
    <w:rsid w:val="00D316EE"/>
    <w:rsid w:val="00D318CF"/>
    <w:rsid w:val="00D328AD"/>
    <w:rsid w:val="00D34175"/>
    <w:rsid w:val="00D347A6"/>
    <w:rsid w:val="00D36799"/>
    <w:rsid w:val="00D36D5E"/>
    <w:rsid w:val="00D3741A"/>
    <w:rsid w:val="00D37E1E"/>
    <w:rsid w:val="00D4017A"/>
    <w:rsid w:val="00D40310"/>
    <w:rsid w:val="00D408A1"/>
    <w:rsid w:val="00D40DEF"/>
    <w:rsid w:val="00D42C35"/>
    <w:rsid w:val="00D4352B"/>
    <w:rsid w:val="00D441D1"/>
    <w:rsid w:val="00D449ED"/>
    <w:rsid w:val="00D4581F"/>
    <w:rsid w:val="00D45956"/>
    <w:rsid w:val="00D46384"/>
    <w:rsid w:val="00D469CC"/>
    <w:rsid w:val="00D46F8C"/>
    <w:rsid w:val="00D52359"/>
    <w:rsid w:val="00D52672"/>
    <w:rsid w:val="00D528C1"/>
    <w:rsid w:val="00D53D0E"/>
    <w:rsid w:val="00D5628E"/>
    <w:rsid w:val="00D60095"/>
    <w:rsid w:val="00D60843"/>
    <w:rsid w:val="00D60DD4"/>
    <w:rsid w:val="00D6104E"/>
    <w:rsid w:val="00D61FA1"/>
    <w:rsid w:val="00D62ABA"/>
    <w:rsid w:val="00D645EF"/>
    <w:rsid w:val="00D66818"/>
    <w:rsid w:val="00D675CF"/>
    <w:rsid w:val="00D675D1"/>
    <w:rsid w:val="00D67F84"/>
    <w:rsid w:val="00D70800"/>
    <w:rsid w:val="00D74FC3"/>
    <w:rsid w:val="00D754E1"/>
    <w:rsid w:val="00D75C57"/>
    <w:rsid w:val="00D8072E"/>
    <w:rsid w:val="00D8194D"/>
    <w:rsid w:val="00D85CFA"/>
    <w:rsid w:val="00D85E2A"/>
    <w:rsid w:val="00D869A8"/>
    <w:rsid w:val="00D87D08"/>
    <w:rsid w:val="00D87ED0"/>
    <w:rsid w:val="00D90F77"/>
    <w:rsid w:val="00D91C1A"/>
    <w:rsid w:val="00D91F2F"/>
    <w:rsid w:val="00D92E39"/>
    <w:rsid w:val="00D93038"/>
    <w:rsid w:val="00D933B2"/>
    <w:rsid w:val="00D93DF7"/>
    <w:rsid w:val="00D946AE"/>
    <w:rsid w:val="00D962C9"/>
    <w:rsid w:val="00D968DE"/>
    <w:rsid w:val="00D97B2F"/>
    <w:rsid w:val="00DA1B76"/>
    <w:rsid w:val="00DA1D47"/>
    <w:rsid w:val="00DA274B"/>
    <w:rsid w:val="00DA474B"/>
    <w:rsid w:val="00DA642C"/>
    <w:rsid w:val="00DA7041"/>
    <w:rsid w:val="00DA774D"/>
    <w:rsid w:val="00DB07E1"/>
    <w:rsid w:val="00DB1372"/>
    <w:rsid w:val="00DB23B4"/>
    <w:rsid w:val="00DB274C"/>
    <w:rsid w:val="00DB2FDD"/>
    <w:rsid w:val="00DB36B2"/>
    <w:rsid w:val="00DB4346"/>
    <w:rsid w:val="00DB5819"/>
    <w:rsid w:val="00DB7142"/>
    <w:rsid w:val="00DB75ED"/>
    <w:rsid w:val="00DC12E2"/>
    <w:rsid w:val="00DC25F7"/>
    <w:rsid w:val="00DC3611"/>
    <w:rsid w:val="00DC4FC7"/>
    <w:rsid w:val="00DC5AAE"/>
    <w:rsid w:val="00DC6AAF"/>
    <w:rsid w:val="00DD028F"/>
    <w:rsid w:val="00DD14B1"/>
    <w:rsid w:val="00DD1BA6"/>
    <w:rsid w:val="00DD6F7B"/>
    <w:rsid w:val="00DE2BBD"/>
    <w:rsid w:val="00DE5FE4"/>
    <w:rsid w:val="00DE6CCD"/>
    <w:rsid w:val="00DF23C5"/>
    <w:rsid w:val="00DF2E48"/>
    <w:rsid w:val="00DF3D6A"/>
    <w:rsid w:val="00DF5548"/>
    <w:rsid w:val="00DF5A44"/>
    <w:rsid w:val="00DF68BF"/>
    <w:rsid w:val="00DF6C6E"/>
    <w:rsid w:val="00DF6F56"/>
    <w:rsid w:val="00DF6FBE"/>
    <w:rsid w:val="00DF7DDA"/>
    <w:rsid w:val="00E00C85"/>
    <w:rsid w:val="00E010F8"/>
    <w:rsid w:val="00E02AE7"/>
    <w:rsid w:val="00E031F2"/>
    <w:rsid w:val="00E0484A"/>
    <w:rsid w:val="00E10F86"/>
    <w:rsid w:val="00E14671"/>
    <w:rsid w:val="00E1499A"/>
    <w:rsid w:val="00E14D18"/>
    <w:rsid w:val="00E14DDF"/>
    <w:rsid w:val="00E150A0"/>
    <w:rsid w:val="00E165DD"/>
    <w:rsid w:val="00E1768A"/>
    <w:rsid w:val="00E221B9"/>
    <w:rsid w:val="00E222B6"/>
    <w:rsid w:val="00E22415"/>
    <w:rsid w:val="00E2552E"/>
    <w:rsid w:val="00E25B5F"/>
    <w:rsid w:val="00E2620D"/>
    <w:rsid w:val="00E30715"/>
    <w:rsid w:val="00E309D2"/>
    <w:rsid w:val="00E31C36"/>
    <w:rsid w:val="00E32149"/>
    <w:rsid w:val="00E32685"/>
    <w:rsid w:val="00E330B4"/>
    <w:rsid w:val="00E330E1"/>
    <w:rsid w:val="00E33107"/>
    <w:rsid w:val="00E3313D"/>
    <w:rsid w:val="00E331FC"/>
    <w:rsid w:val="00E3322F"/>
    <w:rsid w:val="00E33E13"/>
    <w:rsid w:val="00E3543E"/>
    <w:rsid w:val="00E35555"/>
    <w:rsid w:val="00E362F0"/>
    <w:rsid w:val="00E36A4D"/>
    <w:rsid w:val="00E36B5E"/>
    <w:rsid w:val="00E36C4F"/>
    <w:rsid w:val="00E36F7F"/>
    <w:rsid w:val="00E40275"/>
    <w:rsid w:val="00E40396"/>
    <w:rsid w:val="00E409D2"/>
    <w:rsid w:val="00E410A8"/>
    <w:rsid w:val="00E411C0"/>
    <w:rsid w:val="00E41C0B"/>
    <w:rsid w:val="00E423A3"/>
    <w:rsid w:val="00E440E8"/>
    <w:rsid w:val="00E45A33"/>
    <w:rsid w:val="00E464DA"/>
    <w:rsid w:val="00E46520"/>
    <w:rsid w:val="00E46986"/>
    <w:rsid w:val="00E476C2"/>
    <w:rsid w:val="00E47CC3"/>
    <w:rsid w:val="00E50279"/>
    <w:rsid w:val="00E50FC5"/>
    <w:rsid w:val="00E51CEB"/>
    <w:rsid w:val="00E52CEF"/>
    <w:rsid w:val="00E53B5B"/>
    <w:rsid w:val="00E53F4A"/>
    <w:rsid w:val="00E61368"/>
    <w:rsid w:val="00E61E1E"/>
    <w:rsid w:val="00E62D17"/>
    <w:rsid w:val="00E63216"/>
    <w:rsid w:val="00E65875"/>
    <w:rsid w:val="00E66B5E"/>
    <w:rsid w:val="00E710A0"/>
    <w:rsid w:val="00E7231F"/>
    <w:rsid w:val="00E739DB"/>
    <w:rsid w:val="00E73DFB"/>
    <w:rsid w:val="00E755EC"/>
    <w:rsid w:val="00E756CB"/>
    <w:rsid w:val="00E774C0"/>
    <w:rsid w:val="00E81051"/>
    <w:rsid w:val="00E8149E"/>
    <w:rsid w:val="00E824A5"/>
    <w:rsid w:val="00E8311F"/>
    <w:rsid w:val="00E8396E"/>
    <w:rsid w:val="00E84F3A"/>
    <w:rsid w:val="00E85550"/>
    <w:rsid w:val="00E91514"/>
    <w:rsid w:val="00E91789"/>
    <w:rsid w:val="00E925CE"/>
    <w:rsid w:val="00E932CD"/>
    <w:rsid w:val="00E948F1"/>
    <w:rsid w:val="00E94AB9"/>
    <w:rsid w:val="00E94C16"/>
    <w:rsid w:val="00E94CBF"/>
    <w:rsid w:val="00E95306"/>
    <w:rsid w:val="00E96B4C"/>
    <w:rsid w:val="00E9723F"/>
    <w:rsid w:val="00EA10B0"/>
    <w:rsid w:val="00EA19B5"/>
    <w:rsid w:val="00EA381E"/>
    <w:rsid w:val="00EA3D94"/>
    <w:rsid w:val="00EA51FB"/>
    <w:rsid w:val="00EA5AA0"/>
    <w:rsid w:val="00EB0606"/>
    <w:rsid w:val="00EB07E9"/>
    <w:rsid w:val="00EB12A8"/>
    <w:rsid w:val="00EB156A"/>
    <w:rsid w:val="00EB351A"/>
    <w:rsid w:val="00EB3985"/>
    <w:rsid w:val="00EB4D6E"/>
    <w:rsid w:val="00EB5264"/>
    <w:rsid w:val="00EB56E1"/>
    <w:rsid w:val="00EB76C8"/>
    <w:rsid w:val="00EB7F64"/>
    <w:rsid w:val="00EC03FD"/>
    <w:rsid w:val="00EC221D"/>
    <w:rsid w:val="00EC2928"/>
    <w:rsid w:val="00EC3BDB"/>
    <w:rsid w:val="00EC6708"/>
    <w:rsid w:val="00EC758D"/>
    <w:rsid w:val="00ED3168"/>
    <w:rsid w:val="00ED6308"/>
    <w:rsid w:val="00ED67C7"/>
    <w:rsid w:val="00ED7D0F"/>
    <w:rsid w:val="00ED7D4A"/>
    <w:rsid w:val="00EE16A2"/>
    <w:rsid w:val="00EE2336"/>
    <w:rsid w:val="00EE2ACE"/>
    <w:rsid w:val="00EE336C"/>
    <w:rsid w:val="00EE4143"/>
    <w:rsid w:val="00EE6AD6"/>
    <w:rsid w:val="00EE729C"/>
    <w:rsid w:val="00EE768A"/>
    <w:rsid w:val="00EE76E5"/>
    <w:rsid w:val="00EF0762"/>
    <w:rsid w:val="00EF11BE"/>
    <w:rsid w:val="00EF1F86"/>
    <w:rsid w:val="00EF2F76"/>
    <w:rsid w:val="00EF39BD"/>
    <w:rsid w:val="00EF4727"/>
    <w:rsid w:val="00EF4D4D"/>
    <w:rsid w:val="00EF72F7"/>
    <w:rsid w:val="00F010A6"/>
    <w:rsid w:val="00F017E9"/>
    <w:rsid w:val="00F02581"/>
    <w:rsid w:val="00F04397"/>
    <w:rsid w:val="00F04AFE"/>
    <w:rsid w:val="00F07274"/>
    <w:rsid w:val="00F07A06"/>
    <w:rsid w:val="00F07A84"/>
    <w:rsid w:val="00F10358"/>
    <w:rsid w:val="00F10749"/>
    <w:rsid w:val="00F107E3"/>
    <w:rsid w:val="00F120C8"/>
    <w:rsid w:val="00F1264C"/>
    <w:rsid w:val="00F12CCB"/>
    <w:rsid w:val="00F135FB"/>
    <w:rsid w:val="00F15A6D"/>
    <w:rsid w:val="00F17CB9"/>
    <w:rsid w:val="00F17F34"/>
    <w:rsid w:val="00F2008F"/>
    <w:rsid w:val="00F20D2B"/>
    <w:rsid w:val="00F2201A"/>
    <w:rsid w:val="00F2219C"/>
    <w:rsid w:val="00F2281C"/>
    <w:rsid w:val="00F22BF0"/>
    <w:rsid w:val="00F24205"/>
    <w:rsid w:val="00F25BC2"/>
    <w:rsid w:val="00F25F94"/>
    <w:rsid w:val="00F26754"/>
    <w:rsid w:val="00F3010D"/>
    <w:rsid w:val="00F30502"/>
    <w:rsid w:val="00F318B3"/>
    <w:rsid w:val="00F34559"/>
    <w:rsid w:val="00F358A9"/>
    <w:rsid w:val="00F35A42"/>
    <w:rsid w:val="00F37C5F"/>
    <w:rsid w:val="00F40332"/>
    <w:rsid w:val="00F40B37"/>
    <w:rsid w:val="00F41E6A"/>
    <w:rsid w:val="00F422AE"/>
    <w:rsid w:val="00F434A5"/>
    <w:rsid w:val="00F44B19"/>
    <w:rsid w:val="00F45EB7"/>
    <w:rsid w:val="00F47F79"/>
    <w:rsid w:val="00F51ED4"/>
    <w:rsid w:val="00F529B0"/>
    <w:rsid w:val="00F529D2"/>
    <w:rsid w:val="00F53FA7"/>
    <w:rsid w:val="00F57579"/>
    <w:rsid w:val="00F61599"/>
    <w:rsid w:val="00F622CB"/>
    <w:rsid w:val="00F62492"/>
    <w:rsid w:val="00F62744"/>
    <w:rsid w:val="00F62C92"/>
    <w:rsid w:val="00F63612"/>
    <w:rsid w:val="00F646CE"/>
    <w:rsid w:val="00F64A0B"/>
    <w:rsid w:val="00F65B2A"/>
    <w:rsid w:val="00F673E8"/>
    <w:rsid w:val="00F67AA4"/>
    <w:rsid w:val="00F72A3D"/>
    <w:rsid w:val="00F72C91"/>
    <w:rsid w:val="00F73F20"/>
    <w:rsid w:val="00F74332"/>
    <w:rsid w:val="00F759D6"/>
    <w:rsid w:val="00F76688"/>
    <w:rsid w:val="00F770CC"/>
    <w:rsid w:val="00F775F1"/>
    <w:rsid w:val="00F809C7"/>
    <w:rsid w:val="00F80F35"/>
    <w:rsid w:val="00F8101A"/>
    <w:rsid w:val="00F8197E"/>
    <w:rsid w:val="00F849B6"/>
    <w:rsid w:val="00F8519F"/>
    <w:rsid w:val="00F85607"/>
    <w:rsid w:val="00F912C7"/>
    <w:rsid w:val="00F91AC8"/>
    <w:rsid w:val="00F91B54"/>
    <w:rsid w:val="00F91B75"/>
    <w:rsid w:val="00F934D9"/>
    <w:rsid w:val="00F94194"/>
    <w:rsid w:val="00F95B2F"/>
    <w:rsid w:val="00F95B5A"/>
    <w:rsid w:val="00F976FB"/>
    <w:rsid w:val="00FA5AE3"/>
    <w:rsid w:val="00FA79ED"/>
    <w:rsid w:val="00FA7D03"/>
    <w:rsid w:val="00FB3C75"/>
    <w:rsid w:val="00FB56F5"/>
    <w:rsid w:val="00FB7431"/>
    <w:rsid w:val="00FC526D"/>
    <w:rsid w:val="00FC545F"/>
    <w:rsid w:val="00FC5614"/>
    <w:rsid w:val="00FC5622"/>
    <w:rsid w:val="00FD20BF"/>
    <w:rsid w:val="00FD253C"/>
    <w:rsid w:val="00FD2BAA"/>
    <w:rsid w:val="00FD2C70"/>
    <w:rsid w:val="00FD427B"/>
    <w:rsid w:val="00FD4ACE"/>
    <w:rsid w:val="00FD4C55"/>
    <w:rsid w:val="00FD6B0E"/>
    <w:rsid w:val="00FD6B99"/>
    <w:rsid w:val="00FE1CDE"/>
    <w:rsid w:val="00FE2283"/>
    <w:rsid w:val="00FE2832"/>
    <w:rsid w:val="00FE2B1D"/>
    <w:rsid w:val="00FE3CFD"/>
    <w:rsid w:val="00FE4356"/>
    <w:rsid w:val="00FE4667"/>
    <w:rsid w:val="00FE47F7"/>
    <w:rsid w:val="00FE48A2"/>
    <w:rsid w:val="00FF248D"/>
    <w:rsid w:val="00FF63E2"/>
    <w:rsid w:val="00FF7CD7"/>
    <w:rsid w:val="03C26BD1"/>
    <w:rsid w:val="05017C52"/>
    <w:rsid w:val="077F0C40"/>
    <w:rsid w:val="07DF2906"/>
    <w:rsid w:val="09EA05ED"/>
    <w:rsid w:val="0A8F6E15"/>
    <w:rsid w:val="0EBA50FE"/>
    <w:rsid w:val="112C3C37"/>
    <w:rsid w:val="1183EDB1"/>
    <w:rsid w:val="12E52961"/>
    <w:rsid w:val="15375E62"/>
    <w:rsid w:val="156903A2"/>
    <w:rsid w:val="16D42CDF"/>
    <w:rsid w:val="17B648CC"/>
    <w:rsid w:val="17D95673"/>
    <w:rsid w:val="187327BD"/>
    <w:rsid w:val="19AF639F"/>
    <w:rsid w:val="1B331D07"/>
    <w:rsid w:val="1BDB2B53"/>
    <w:rsid w:val="1F7F227B"/>
    <w:rsid w:val="1FFD2F89"/>
    <w:rsid w:val="20FF14F2"/>
    <w:rsid w:val="21550065"/>
    <w:rsid w:val="245B38D1"/>
    <w:rsid w:val="251E1D03"/>
    <w:rsid w:val="29732512"/>
    <w:rsid w:val="29DF5830"/>
    <w:rsid w:val="2B1C386E"/>
    <w:rsid w:val="2B1E480B"/>
    <w:rsid w:val="2B700882"/>
    <w:rsid w:val="2CC118F2"/>
    <w:rsid w:val="2D26080E"/>
    <w:rsid w:val="2E2D7C9E"/>
    <w:rsid w:val="2E520501"/>
    <w:rsid w:val="2E66470A"/>
    <w:rsid w:val="34483C32"/>
    <w:rsid w:val="351C5F25"/>
    <w:rsid w:val="37B91C4D"/>
    <w:rsid w:val="39EFA30C"/>
    <w:rsid w:val="3A6A32CA"/>
    <w:rsid w:val="3BBFE7A4"/>
    <w:rsid w:val="3BCD6E7C"/>
    <w:rsid w:val="3C0D06AF"/>
    <w:rsid w:val="3C6A0C14"/>
    <w:rsid w:val="3CFB8F91"/>
    <w:rsid w:val="3DFE2312"/>
    <w:rsid w:val="3EEE3541"/>
    <w:rsid w:val="3EF3445C"/>
    <w:rsid w:val="3EFFD0F9"/>
    <w:rsid w:val="3FBC05FB"/>
    <w:rsid w:val="3FEAECB8"/>
    <w:rsid w:val="3FF5413C"/>
    <w:rsid w:val="3FFE7740"/>
    <w:rsid w:val="41214B28"/>
    <w:rsid w:val="41C773E2"/>
    <w:rsid w:val="47884B7D"/>
    <w:rsid w:val="47DDCB6C"/>
    <w:rsid w:val="47FA03C6"/>
    <w:rsid w:val="4B9A1834"/>
    <w:rsid w:val="4D4C3002"/>
    <w:rsid w:val="4DF8366D"/>
    <w:rsid w:val="4FEF0763"/>
    <w:rsid w:val="55A14C92"/>
    <w:rsid w:val="55DD7BEB"/>
    <w:rsid w:val="56985A60"/>
    <w:rsid w:val="575C3274"/>
    <w:rsid w:val="579381D7"/>
    <w:rsid w:val="57CF6213"/>
    <w:rsid w:val="588418A2"/>
    <w:rsid w:val="5AD87635"/>
    <w:rsid w:val="5B9FB3C3"/>
    <w:rsid w:val="5DFFD2C5"/>
    <w:rsid w:val="5F9B7AE0"/>
    <w:rsid w:val="5FBCFC77"/>
    <w:rsid w:val="5FBEA25E"/>
    <w:rsid w:val="5FF4247C"/>
    <w:rsid w:val="5FFC8CFE"/>
    <w:rsid w:val="5FFD1323"/>
    <w:rsid w:val="618D6C67"/>
    <w:rsid w:val="636E524A"/>
    <w:rsid w:val="639C7CF6"/>
    <w:rsid w:val="64095E7F"/>
    <w:rsid w:val="64414325"/>
    <w:rsid w:val="658C7FE7"/>
    <w:rsid w:val="66411775"/>
    <w:rsid w:val="68B57855"/>
    <w:rsid w:val="6A053438"/>
    <w:rsid w:val="6B0008F1"/>
    <w:rsid w:val="6B9F2C64"/>
    <w:rsid w:val="6BC308DC"/>
    <w:rsid w:val="6BC960D2"/>
    <w:rsid w:val="6BD46E9D"/>
    <w:rsid w:val="6DB7DC6C"/>
    <w:rsid w:val="6DCE37AD"/>
    <w:rsid w:val="6DEA5845"/>
    <w:rsid w:val="6DEE7A91"/>
    <w:rsid w:val="6E6931FA"/>
    <w:rsid w:val="6F7D354A"/>
    <w:rsid w:val="6FFDF0C0"/>
    <w:rsid w:val="763DF14C"/>
    <w:rsid w:val="764F59DF"/>
    <w:rsid w:val="766F3426"/>
    <w:rsid w:val="7851049C"/>
    <w:rsid w:val="791D122B"/>
    <w:rsid w:val="79DD4C28"/>
    <w:rsid w:val="7A552F0D"/>
    <w:rsid w:val="7AE96FDE"/>
    <w:rsid w:val="7AFAB015"/>
    <w:rsid w:val="7BFF1399"/>
    <w:rsid w:val="7BFF8693"/>
    <w:rsid w:val="7CD7E6EB"/>
    <w:rsid w:val="7CFA34E4"/>
    <w:rsid w:val="7D996D0B"/>
    <w:rsid w:val="7DA7C564"/>
    <w:rsid w:val="7DDF6761"/>
    <w:rsid w:val="7DFA6E0E"/>
    <w:rsid w:val="7E4F77AA"/>
    <w:rsid w:val="7EF729D8"/>
    <w:rsid w:val="7EFF8F28"/>
    <w:rsid w:val="7EFFF9E3"/>
    <w:rsid w:val="7F7F5824"/>
    <w:rsid w:val="7F9B6BCE"/>
    <w:rsid w:val="7FBF3D65"/>
    <w:rsid w:val="7FC5B5BB"/>
    <w:rsid w:val="7FDFD368"/>
    <w:rsid w:val="7FE7C152"/>
    <w:rsid w:val="7FE7D4B8"/>
    <w:rsid w:val="7FFFC68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2CB873C3"/>
  <w15:docId w15:val="{D421DD2B-2FE4-40AA-B2FA-FD70DDD5BB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uiPriority="0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uiPriority="39" w:unhideWhenUsed="1" w:qFormat="1"/>
    <w:lsdException w:name="toc 8" w:semiHidden="1" w:uiPriority="39" w:unhideWhenUsed="1"/>
    <w:lsdException w:name="toc 9" w:semiHidden="1" w:uiPriority="39" w:unhideWhenUsed="1"/>
    <w:lsdException w:name="Normal Indent" w:uiPriority="0" w:qFormat="1"/>
    <w:lsdException w:name="footnote text" w:semiHidden="1" w:unhideWhenUsed="1"/>
    <w:lsdException w:name="annotation text" w:semiHidden="1" w:unhideWhenUsed="1" w:qFormat="1"/>
    <w:lsdException w:name="header" w:uiPriority="0" w:unhideWhenUsed="1" w:qFormat="1"/>
    <w:lsdException w:name="footer" w:uiPriority="0" w:unhideWhenUsed="1" w:qFormat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uiPriority="1" w:unhideWhenUsed="1" w:qFormat="1"/>
    <w:lsdException w:name="Body Text" w:semiHidden="1" w:uiPriority="0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0" w:qFormat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0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a">
    <w:name w:val="Normal"/>
    <w:qFormat/>
    <w:rsid w:val="00A429A5"/>
    <w:pPr>
      <w:widowControl w:val="0"/>
      <w:jc w:val="both"/>
    </w:pPr>
    <w:rPr>
      <w:kern w:val="2"/>
      <w:sz w:val="21"/>
      <w:szCs w:val="24"/>
    </w:rPr>
  </w:style>
  <w:style w:type="paragraph" w:styleId="6">
    <w:name w:val="heading 6"/>
    <w:basedOn w:val="aa"/>
    <w:next w:val="aa"/>
    <w:link w:val="60"/>
    <w:qFormat/>
    <w:pPr>
      <w:keepNext/>
      <w:keepLines/>
      <w:spacing w:before="240" w:after="64" w:line="320" w:lineRule="auto"/>
      <w:outlineLvl w:val="5"/>
    </w:pPr>
    <w:rPr>
      <w:rFonts w:ascii="Arial" w:eastAsia="黑体" w:hAnsi="Arial"/>
      <w:b/>
      <w:bCs/>
      <w:sz w:val="24"/>
    </w:rPr>
  </w:style>
  <w:style w:type="character" w:default="1" w:styleId="ab">
    <w:name w:val="Default Paragraph Font"/>
    <w:uiPriority w:val="1"/>
    <w:semiHidden/>
    <w:unhideWhenUsed/>
  </w:style>
  <w:style w:type="table" w:default="1" w:styleId="ac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d">
    <w:name w:val="No List"/>
    <w:uiPriority w:val="99"/>
    <w:semiHidden/>
    <w:unhideWhenUsed/>
  </w:style>
  <w:style w:type="paragraph" w:customStyle="1" w:styleId="BodyText2">
    <w:name w:val="BodyText2"/>
    <w:qFormat/>
    <w:pPr>
      <w:widowControl w:val="0"/>
      <w:spacing w:after="120" w:line="480" w:lineRule="auto"/>
      <w:jc w:val="both"/>
      <w:textAlignment w:val="baseline"/>
    </w:pPr>
    <w:rPr>
      <w:rFonts w:ascii="Calibri" w:hAnsi="Calibri"/>
      <w:kern w:val="2"/>
      <w:sz w:val="32"/>
      <w:szCs w:val="32"/>
    </w:rPr>
  </w:style>
  <w:style w:type="paragraph" w:styleId="TOC7">
    <w:name w:val="toc 7"/>
    <w:basedOn w:val="aa"/>
    <w:next w:val="aa"/>
    <w:uiPriority w:val="39"/>
    <w:unhideWhenUsed/>
    <w:qFormat/>
    <w:pPr>
      <w:tabs>
        <w:tab w:val="right" w:leader="dot" w:pos="9344"/>
      </w:tabs>
      <w:adjustRightInd w:val="0"/>
      <w:spacing w:line="300" w:lineRule="exact"/>
      <w:ind w:left="1259"/>
    </w:pPr>
    <w:rPr>
      <w:rFonts w:ascii="宋体" w:hAnsi="Calibri"/>
      <w:szCs w:val="21"/>
    </w:rPr>
  </w:style>
  <w:style w:type="paragraph" w:styleId="ae">
    <w:name w:val="Normal Indent"/>
    <w:basedOn w:val="aa"/>
    <w:qFormat/>
    <w:pPr>
      <w:ind w:firstLineChars="200" w:firstLine="420"/>
    </w:pPr>
    <w:rPr>
      <w:rFonts w:ascii="Calibri" w:hAnsi="Calibri"/>
    </w:rPr>
  </w:style>
  <w:style w:type="paragraph" w:styleId="af">
    <w:name w:val="caption"/>
    <w:basedOn w:val="aa"/>
    <w:next w:val="aa"/>
    <w:qFormat/>
    <w:rPr>
      <w:rFonts w:ascii="Arial" w:eastAsia="黑体" w:hAnsi="Arial"/>
      <w:sz w:val="20"/>
    </w:rPr>
  </w:style>
  <w:style w:type="paragraph" w:styleId="af0">
    <w:name w:val="annotation text"/>
    <w:basedOn w:val="aa"/>
    <w:link w:val="af1"/>
    <w:uiPriority w:val="99"/>
    <w:semiHidden/>
    <w:unhideWhenUsed/>
    <w:qFormat/>
    <w:pPr>
      <w:jc w:val="left"/>
    </w:pPr>
  </w:style>
  <w:style w:type="paragraph" w:styleId="af2">
    <w:name w:val="Body Text"/>
    <w:basedOn w:val="aa"/>
    <w:link w:val="af3"/>
    <w:semiHidden/>
    <w:qFormat/>
    <w:rPr>
      <w:rFonts w:ascii="Arial" w:eastAsia="Arial" w:hAnsi="Arial" w:cs="Arial"/>
      <w:szCs w:val="21"/>
      <w:lang w:eastAsia="en-US"/>
    </w:rPr>
  </w:style>
  <w:style w:type="paragraph" w:styleId="af4">
    <w:name w:val="Date"/>
    <w:basedOn w:val="aa"/>
    <w:next w:val="aa"/>
    <w:link w:val="af5"/>
    <w:uiPriority w:val="99"/>
    <w:semiHidden/>
    <w:unhideWhenUsed/>
    <w:qFormat/>
    <w:pPr>
      <w:ind w:leftChars="2500" w:left="100"/>
    </w:pPr>
  </w:style>
  <w:style w:type="paragraph" w:styleId="af6">
    <w:name w:val="Balloon Text"/>
    <w:basedOn w:val="aa"/>
    <w:link w:val="af7"/>
    <w:uiPriority w:val="99"/>
    <w:semiHidden/>
    <w:unhideWhenUsed/>
    <w:qFormat/>
    <w:rPr>
      <w:sz w:val="18"/>
      <w:szCs w:val="18"/>
    </w:rPr>
  </w:style>
  <w:style w:type="paragraph" w:styleId="af8">
    <w:name w:val="footer"/>
    <w:basedOn w:val="aa"/>
    <w:link w:val="af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fa">
    <w:name w:val="header"/>
    <w:basedOn w:val="aa"/>
    <w:link w:val="afb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fc">
    <w:name w:val="Normal (Web)"/>
    <w:basedOn w:val="aa"/>
    <w:unhideWhenUsed/>
    <w:qFormat/>
    <w:rPr>
      <w:sz w:val="24"/>
    </w:rPr>
  </w:style>
  <w:style w:type="paragraph" w:styleId="afd">
    <w:name w:val="Title"/>
    <w:basedOn w:val="aa"/>
    <w:next w:val="aa"/>
    <w:link w:val="afe"/>
    <w:qFormat/>
    <w:pPr>
      <w:widowControl/>
      <w:jc w:val="center"/>
    </w:pPr>
    <w:rPr>
      <w:b/>
      <w:bCs/>
      <w:kern w:val="0"/>
      <w:sz w:val="24"/>
      <w:lang w:eastAsia="en-US"/>
    </w:rPr>
  </w:style>
  <w:style w:type="paragraph" w:styleId="aff">
    <w:name w:val="annotation subject"/>
    <w:basedOn w:val="af0"/>
    <w:next w:val="af0"/>
    <w:link w:val="aff0"/>
    <w:uiPriority w:val="99"/>
    <w:semiHidden/>
    <w:unhideWhenUsed/>
    <w:qFormat/>
    <w:rPr>
      <w:b/>
      <w:bCs/>
    </w:rPr>
  </w:style>
  <w:style w:type="table" w:styleId="aff1">
    <w:name w:val="Table Grid"/>
    <w:basedOn w:val="ac"/>
    <w:qFormat/>
    <w:pPr>
      <w:widowControl w:val="0"/>
      <w:jc w:val="both"/>
    </w:pPr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2">
    <w:name w:val="Hyperlink"/>
    <w:basedOn w:val="ab"/>
    <w:qFormat/>
    <w:rPr>
      <w:color w:val="2440B3"/>
      <w:u w:val="single"/>
    </w:rPr>
  </w:style>
  <w:style w:type="character" w:styleId="aff3">
    <w:name w:val="annotation reference"/>
    <w:basedOn w:val="ab"/>
    <w:uiPriority w:val="99"/>
    <w:semiHidden/>
    <w:unhideWhenUsed/>
    <w:qFormat/>
    <w:rPr>
      <w:sz w:val="21"/>
      <w:szCs w:val="21"/>
    </w:rPr>
  </w:style>
  <w:style w:type="character" w:customStyle="1" w:styleId="afb">
    <w:name w:val="页眉 字符"/>
    <w:basedOn w:val="ab"/>
    <w:link w:val="afa"/>
    <w:qFormat/>
    <w:rPr>
      <w:sz w:val="18"/>
      <w:szCs w:val="18"/>
    </w:rPr>
  </w:style>
  <w:style w:type="character" w:customStyle="1" w:styleId="af9">
    <w:name w:val="页脚 字符"/>
    <w:basedOn w:val="ab"/>
    <w:link w:val="af8"/>
    <w:qFormat/>
    <w:rPr>
      <w:sz w:val="18"/>
      <w:szCs w:val="18"/>
    </w:rPr>
  </w:style>
  <w:style w:type="character" w:customStyle="1" w:styleId="Char">
    <w:name w:val="段 Char"/>
    <w:link w:val="aff4"/>
    <w:qFormat/>
    <w:rPr>
      <w:rFonts w:ascii="宋体"/>
    </w:rPr>
  </w:style>
  <w:style w:type="paragraph" w:customStyle="1" w:styleId="aff4">
    <w:name w:val="段"/>
    <w:link w:val="Char"/>
    <w:qFormat/>
    <w:pPr>
      <w:tabs>
        <w:tab w:val="center" w:pos="4201"/>
        <w:tab w:val="right" w:leader="dot" w:pos="9298"/>
      </w:tabs>
      <w:autoSpaceDE w:val="0"/>
      <w:autoSpaceDN w:val="0"/>
      <w:ind w:firstLineChars="200" w:firstLine="420"/>
      <w:jc w:val="both"/>
    </w:pPr>
    <w:rPr>
      <w:rFonts w:ascii="宋体" w:eastAsiaTheme="minorEastAsia" w:hAnsiTheme="minorHAnsi" w:cstheme="minorBidi"/>
      <w:kern w:val="2"/>
      <w:sz w:val="21"/>
      <w:szCs w:val="22"/>
    </w:rPr>
  </w:style>
  <w:style w:type="paragraph" w:customStyle="1" w:styleId="aff5">
    <w:name w:val="章标题"/>
    <w:next w:val="aff4"/>
    <w:qFormat/>
    <w:pPr>
      <w:tabs>
        <w:tab w:val="left" w:pos="360"/>
      </w:tabs>
      <w:spacing w:beforeLines="100" w:afterLines="100"/>
      <w:jc w:val="both"/>
      <w:outlineLvl w:val="1"/>
    </w:pPr>
    <w:rPr>
      <w:rFonts w:ascii="黑体" w:eastAsia="黑体"/>
      <w:sz w:val="21"/>
    </w:rPr>
  </w:style>
  <w:style w:type="paragraph" w:customStyle="1" w:styleId="a0">
    <w:name w:val="二级无"/>
    <w:basedOn w:val="aa"/>
    <w:qFormat/>
    <w:pPr>
      <w:widowControl/>
      <w:numPr>
        <w:ilvl w:val="2"/>
        <w:numId w:val="1"/>
      </w:numPr>
      <w:jc w:val="left"/>
      <w:outlineLvl w:val="3"/>
    </w:pPr>
    <w:rPr>
      <w:rFonts w:ascii="宋体"/>
      <w:kern w:val="0"/>
      <w:szCs w:val="21"/>
    </w:rPr>
  </w:style>
  <w:style w:type="character" w:customStyle="1" w:styleId="60">
    <w:name w:val="标题 6 字符"/>
    <w:basedOn w:val="ab"/>
    <w:link w:val="6"/>
    <w:qFormat/>
    <w:rPr>
      <w:rFonts w:ascii="Arial" w:eastAsia="黑体" w:hAnsi="Arial" w:cs="Times New Roman"/>
      <w:b/>
      <w:bCs/>
      <w:sz w:val="24"/>
      <w:szCs w:val="24"/>
    </w:rPr>
  </w:style>
  <w:style w:type="paragraph" w:customStyle="1" w:styleId="aff6">
    <w:name w:val="标准文件_段"/>
    <w:link w:val="Char0"/>
    <w:qFormat/>
    <w:pPr>
      <w:autoSpaceDE w:val="0"/>
      <w:autoSpaceDN w:val="0"/>
      <w:ind w:firstLineChars="200" w:firstLine="200"/>
      <w:jc w:val="both"/>
    </w:pPr>
    <w:rPr>
      <w:rFonts w:ascii="宋体"/>
      <w:sz w:val="21"/>
    </w:rPr>
  </w:style>
  <w:style w:type="character" w:customStyle="1" w:styleId="Char0">
    <w:name w:val="标准文件_段 Char"/>
    <w:link w:val="aff6"/>
    <w:qFormat/>
    <w:rPr>
      <w:rFonts w:ascii="宋体" w:eastAsia="宋体" w:hAnsi="Times New Roman" w:cs="Times New Roman"/>
      <w:kern w:val="0"/>
      <w:szCs w:val="20"/>
    </w:rPr>
  </w:style>
  <w:style w:type="paragraph" w:customStyle="1" w:styleId="a6">
    <w:name w:val="标准文件_二级条标题"/>
    <w:next w:val="aff6"/>
    <w:qFormat/>
    <w:pPr>
      <w:widowControl w:val="0"/>
      <w:numPr>
        <w:ilvl w:val="3"/>
        <w:numId w:val="2"/>
      </w:numPr>
      <w:spacing w:beforeLines="50" w:afterLines="50"/>
      <w:ind w:left="0"/>
      <w:jc w:val="both"/>
      <w:outlineLvl w:val="2"/>
    </w:pPr>
    <w:rPr>
      <w:rFonts w:ascii="黑体" w:eastAsia="黑体"/>
      <w:sz w:val="21"/>
    </w:rPr>
  </w:style>
  <w:style w:type="paragraph" w:customStyle="1" w:styleId="a7">
    <w:name w:val="标准文件_三级条标题"/>
    <w:basedOn w:val="a6"/>
    <w:next w:val="aff6"/>
    <w:qFormat/>
    <w:pPr>
      <w:widowControl/>
      <w:numPr>
        <w:ilvl w:val="4"/>
      </w:numPr>
      <w:outlineLvl w:val="3"/>
    </w:pPr>
  </w:style>
  <w:style w:type="paragraph" w:customStyle="1" w:styleId="a8">
    <w:name w:val="标准文件_四级条标题"/>
    <w:next w:val="aff6"/>
    <w:qFormat/>
    <w:pPr>
      <w:widowControl w:val="0"/>
      <w:numPr>
        <w:ilvl w:val="5"/>
        <w:numId w:val="2"/>
      </w:numPr>
      <w:spacing w:beforeLines="50" w:afterLines="50"/>
      <w:jc w:val="both"/>
      <w:outlineLvl w:val="4"/>
    </w:pPr>
    <w:rPr>
      <w:rFonts w:ascii="黑体" w:eastAsia="黑体"/>
      <w:sz w:val="21"/>
    </w:rPr>
  </w:style>
  <w:style w:type="paragraph" w:customStyle="1" w:styleId="a9">
    <w:name w:val="标准文件_五级条标题"/>
    <w:next w:val="aff6"/>
    <w:qFormat/>
    <w:pPr>
      <w:widowControl w:val="0"/>
      <w:numPr>
        <w:ilvl w:val="6"/>
        <w:numId w:val="2"/>
      </w:numPr>
      <w:spacing w:beforeLines="50" w:afterLines="50"/>
      <w:jc w:val="both"/>
      <w:outlineLvl w:val="5"/>
    </w:pPr>
    <w:rPr>
      <w:rFonts w:ascii="黑体" w:eastAsia="黑体"/>
      <w:sz w:val="21"/>
    </w:rPr>
  </w:style>
  <w:style w:type="paragraph" w:customStyle="1" w:styleId="a4">
    <w:name w:val="标准文件_章标题"/>
    <w:next w:val="aff6"/>
    <w:qFormat/>
    <w:pPr>
      <w:numPr>
        <w:ilvl w:val="1"/>
        <w:numId w:val="2"/>
      </w:numPr>
      <w:spacing w:beforeLines="100" w:afterLines="100"/>
      <w:jc w:val="both"/>
      <w:outlineLvl w:val="0"/>
    </w:pPr>
    <w:rPr>
      <w:rFonts w:ascii="黑体" w:eastAsia="黑体"/>
      <w:sz w:val="21"/>
    </w:rPr>
  </w:style>
  <w:style w:type="paragraph" w:customStyle="1" w:styleId="a5">
    <w:name w:val="标准文件_一级条标题"/>
    <w:basedOn w:val="a4"/>
    <w:next w:val="aff6"/>
    <w:qFormat/>
    <w:pPr>
      <w:numPr>
        <w:ilvl w:val="2"/>
      </w:numPr>
      <w:spacing w:beforeLines="50" w:afterLines="50"/>
      <w:outlineLvl w:val="1"/>
    </w:pPr>
  </w:style>
  <w:style w:type="paragraph" w:customStyle="1" w:styleId="a3">
    <w:name w:val="前言标题"/>
    <w:next w:val="aa"/>
    <w:qFormat/>
    <w:pPr>
      <w:numPr>
        <w:numId w:val="2"/>
      </w:numPr>
      <w:shd w:val="clear" w:color="FFFFFF" w:fill="FFFFFF"/>
      <w:spacing w:before="540" w:after="600"/>
      <w:jc w:val="center"/>
      <w:outlineLvl w:val="0"/>
    </w:pPr>
    <w:rPr>
      <w:rFonts w:ascii="黑体" w:eastAsia="黑体"/>
      <w:sz w:val="32"/>
    </w:rPr>
  </w:style>
  <w:style w:type="paragraph" w:customStyle="1" w:styleId="a1">
    <w:name w:val="标准文件_四级无标题"/>
    <w:basedOn w:val="a8"/>
    <w:qFormat/>
    <w:pPr>
      <w:numPr>
        <w:numId w:val="3"/>
      </w:numPr>
      <w:spacing w:beforeLines="0"/>
      <w:outlineLvl w:val="9"/>
    </w:pPr>
    <w:rPr>
      <w:rFonts w:ascii="宋体" w:eastAsia="宋体" w:hAnsi="宋体" w:hint="eastAsia"/>
      <w:szCs w:val="52"/>
    </w:rPr>
  </w:style>
  <w:style w:type="paragraph" w:customStyle="1" w:styleId="a">
    <w:name w:val="标准文件_三级无标题"/>
    <w:qFormat/>
    <w:pPr>
      <w:numPr>
        <w:ilvl w:val="4"/>
        <w:numId w:val="4"/>
      </w:numPr>
      <w:jc w:val="both"/>
    </w:pPr>
    <w:rPr>
      <w:rFonts w:ascii="宋体" w:hint="eastAsia"/>
      <w:sz w:val="21"/>
    </w:rPr>
  </w:style>
  <w:style w:type="character" w:customStyle="1" w:styleId="af7">
    <w:name w:val="批注框文本 字符"/>
    <w:basedOn w:val="ab"/>
    <w:link w:val="af6"/>
    <w:uiPriority w:val="99"/>
    <w:semiHidden/>
    <w:qFormat/>
    <w:rPr>
      <w:kern w:val="2"/>
      <w:sz w:val="18"/>
      <w:szCs w:val="18"/>
    </w:rPr>
  </w:style>
  <w:style w:type="character" w:customStyle="1" w:styleId="af1">
    <w:name w:val="批注文字 字符"/>
    <w:basedOn w:val="ab"/>
    <w:link w:val="af0"/>
    <w:uiPriority w:val="99"/>
    <w:semiHidden/>
    <w:qFormat/>
    <w:rPr>
      <w:kern w:val="2"/>
      <w:sz w:val="21"/>
      <w:szCs w:val="24"/>
    </w:rPr>
  </w:style>
  <w:style w:type="character" w:customStyle="1" w:styleId="aff0">
    <w:name w:val="批注主题 字符"/>
    <w:basedOn w:val="af1"/>
    <w:link w:val="aff"/>
    <w:uiPriority w:val="99"/>
    <w:semiHidden/>
    <w:qFormat/>
    <w:rPr>
      <w:b/>
      <w:bCs/>
      <w:kern w:val="2"/>
      <w:sz w:val="21"/>
      <w:szCs w:val="24"/>
    </w:rPr>
  </w:style>
  <w:style w:type="character" w:customStyle="1" w:styleId="1">
    <w:name w:val="未处理的提及1"/>
    <w:basedOn w:val="ab"/>
    <w:uiPriority w:val="99"/>
    <w:semiHidden/>
    <w:unhideWhenUsed/>
    <w:qFormat/>
    <w:rPr>
      <w:color w:val="605E5C"/>
      <w:shd w:val="clear" w:color="auto" w:fill="E1DFDD"/>
    </w:rPr>
  </w:style>
  <w:style w:type="paragraph" w:styleId="aff7">
    <w:name w:val="List Paragraph"/>
    <w:basedOn w:val="aa"/>
    <w:uiPriority w:val="34"/>
    <w:qFormat/>
    <w:pPr>
      <w:ind w:firstLineChars="200" w:firstLine="420"/>
    </w:pPr>
  </w:style>
  <w:style w:type="paragraph" w:customStyle="1" w:styleId="a2">
    <w:name w:val="标准文件_正文图标题"/>
    <w:next w:val="aff6"/>
    <w:qFormat/>
    <w:pPr>
      <w:numPr>
        <w:numId w:val="5"/>
      </w:numPr>
      <w:spacing w:beforeLines="50" w:before="120" w:afterLines="50" w:after="120"/>
      <w:jc w:val="center"/>
    </w:pPr>
    <w:rPr>
      <w:rFonts w:ascii="黑体" w:eastAsia="黑体"/>
      <w:color w:val="000000" w:themeColor="text1"/>
      <w:sz w:val="21"/>
    </w:rPr>
  </w:style>
  <w:style w:type="character" w:customStyle="1" w:styleId="af5">
    <w:name w:val="日期 字符"/>
    <w:basedOn w:val="ab"/>
    <w:link w:val="af4"/>
    <w:uiPriority w:val="99"/>
    <w:semiHidden/>
    <w:qFormat/>
    <w:rPr>
      <w:kern w:val="2"/>
      <w:sz w:val="21"/>
      <w:szCs w:val="24"/>
    </w:rPr>
  </w:style>
  <w:style w:type="character" w:customStyle="1" w:styleId="af3">
    <w:name w:val="正文文本 字符"/>
    <w:basedOn w:val="ab"/>
    <w:link w:val="af2"/>
    <w:semiHidden/>
    <w:qFormat/>
    <w:rPr>
      <w:rFonts w:ascii="Arial" w:eastAsia="Arial" w:hAnsi="Arial" w:cs="Arial"/>
      <w:kern w:val="2"/>
      <w:sz w:val="21"/>
      <w:szCs w:val="21"/>
      <w:lang w:eastAsia="en-US"/>
    </w:rPr>
  </w:style>
  <w:style w:type="character" w:customStyle="1" w:styleId="afe">
    <w:name w:val="标题 字符"/>
    <w:basedOn w:val="ab"/>
    <w:link w:val="afd"/>
    <w:qFormat/>
    <w:rPr>
      <w:b/>
      <w:bCs/>
      <w:sz w:val="24"/>
      <w:szCs w:val="24"/>
      <w:lang w:eastAsia="en-US"/>
    </w:rPr>
  </w:style>
  <w:style w:type="paragraph" w:customStyle="1" w:styleId="TableText">
    <w:name w:val="Table Text"/>
    <w:basedOn w:val="aa"/>
    <w:semiHidden/>
    <w:qFormat/>
    <w:rPr>
      <w:rFonts w:ascii="宋体" w:hAnsi="宋体" w:cs="宋体"/>
      <w:sz w:val="14"/>
      <w:szCs w:val="14"/>
      <w:lang w:eastAsia="en-US"/>
    </w:rPr>
  </w:style>
  <w:style w:type="table" w:customStyle="1" w:styleId="TableNormal">
    <w:name w:val="Table Normal"/>
    <w:unhideWhenUsed/>
    <w:qFormat/>
    <w:rPr>
      <w:rFonts w:ascii="Calibri" w:hAnsi="Calibri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Style1">
    <w:name w:val="_Style 1"/>
    <w:basedOn w:val="aa"/>
    <w:uiPriority w:val="99"/>
    <w:qFormat/>
    <w:pPr>
      <w:ind w:firstLineChars="200" w:firstLine="420"/>
    </w:pPr>
    <w:rPr>
      <w:rFonts w:ascii="Calibri" w:hAnsi="Calibri"/>
      <w:szCs w:val="22"/>
    </w:rPr>
  </w:style>
  <w:style w:type="character" w:styleId="aff8">
    <w:name w:val="Strong"/>
    <w:qFormat/>
    <w:rsid w:val="003D1E3C"/>
    <w:rPr>
      <w:b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325</TotalTime>
  <Pages>23</Pages>
  <Words>1767</Words>
  <Characters>10075</Characters>
  <Application>Microsoft Office Word</Application>
  <DocSecurity>0</DocSecurity>
  <Lines>83</Lines>
  <Paragraphs>23</Paragraphs>
  <ScaleCrop>false</ScaleCrop>
  <Company>Microsoft</Company>
  <LinksUpToDate>false</LinksUpToDate>
  <CharactersWithSpaces>11819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xiaojie man</dc:creator>
  <cp:lastModifiedBy>Fan Christine</cp:lastModifiedBy>
  <cp:revision>31</cp:revision>
  <cp:lastPrinted>2026-03-18T02:16:00Z</cp:lastPrinted>
  <dcterms:created xsi:type="dcterms:W3CDTF">2026-06-26T00:46:00Z</dcterms:created>
  <dcterms:modified xsi:type="dcterms:W3CDTF">2026-06-26T11:10:00Z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2052-11.8.2.10489</vt:lpwstr>
  </property>
  <property fmtid="{D5CDD505-2E9C-101B-9397-08002B2CF9AE}" pid="3" name="ICV">
    <vt:lpwstr>A4746F5BD7124AF9A5D54362B78634A3_13</vt:lpwstr>
  </property>
</Properties>
</file>